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7FF" w:rsidRPr="00A9681B" w:rsidRDefault="006217FF" w:rsidP="00A9681B">
      <w:pPr>
        <w:pStyle w:val="ECHRDecisionBody"/>
        <w:jc w:val="center"/>
      </w:pPr>
      <w:bookmarkStart w:id="0" w:name="_GoBack"/>
      <w:bookmarkEnd w:id="0"/>
    </w:p>
    <w:p w:rsidR="00766713" w:rsidRPr="00A9681B" w:rsidRDefault="00766713" w:rsidP="00A9681B">
      <w:pPr>
        <w:pStyle w:val="ECHRDecisionBody"/>
        <w:jc w:val="center"/>
      </w:pPr>
    </w:p>
    <w:p w:rsidR="00014566" w:rsidRPr="00A9681B" w:rsidRDefault="00CE0EB3" w:rsidP="00A9681B">
      <w:pPr>
        <w:jc w:val="center"/>
      </w:pPr>
      <w:r w:rsidRPr="00A9681B">
        <w:t>FOURTH SECTION</w:t>
      </w:r>
    </w:p>
    <w:p w:rsidR="00766713" w:rsidRPr="00A9681B" w:rsidRDefault="00766713" w:rsidP="00A9681B">
      <w:pPr>
        <w:jc w:val="center"/>
      </w:pPr>
    </w:p>
    <w:p w:rsidR="00961E5C" w:rsidRPr="00A9681B" w:rsidRDefault="00961E5C" w:rsidP="00A9681B">
      <w:pPr>
        <w:jc w:val="center"/>
      </w:pPr>
    </w:p>
    <w:p w:rsidR="00961E5C" w:rsidRPr="00A9681B" w:rsidRDefault="00961E5C" w:rsidP="00A9681B">
      <w:pPr>
        <w:jc w:val="center"/>
      </w:pPr>
    </w:p>
    <w:p w:rsidR="00766713" w:rsidRPr="00A9681B" w:rsidRDefault="00766713" w:rsidP="00A9681B">
      <w:pPr>
        <w:jc w:val="center"/>
      </w:pPr>
    </w:p>
    <w:p w:rsidR="00766713" w:rsidRPr="00A9681B" w:rsidRDefault="00766713" w:rsidP="00A9681B">
      <w:pPr>
        <w:jc w:val="center"/>
      </w:pPr>
    </w:p>
    <w:p w:rsidR="00766713" w:rsidRPr="00A9681B" w:rsidRDefault="00766713" w:rsidP="00A9681B">
      <w:pPr>
        <w:jc w:val="center"/>
      </w:pPr>
    </w:p>
    <w:p w:rsidR="00014566" w:rsidRPr="00A9681B" w:rsidRDefault="00014566" w:rsidP="00A9681B">
      <w:pPr>
        <w:jc w:val="center"/>
        <w:rPr>
          <w:b/>
        </w:rPr>
      </w:pPr>
      <w:bookmarkStart w:id="1" w:name="To"/>
      <w:r w:rsidRPr="00A9681B">
        <w:rPr>
          <w:b/>
        </w:rPr>
        <w:t xml:space="preserve">CASE OF </w:t>
      </w:r>
      <w:bookmarkEnd w:id="1"/>
      <w:r w:rsidR="00CE0EB3" w:rsidRPr="00A9681B">
        <w:rPr>
          <w:b/>
        </w:rPr>
        <w:t>KÖNYV-TÁR KFT AND OTHERS v. HUNGARY</w:t>
      </w:r>
    </w:p>
    <w:p w:rsidR="00014566" w:rsidRPr="00A9681B" w:rsidRDefault="00014566" w:rsidP="00A9681B">
      <w:pPr>
        <w:jc w:val="center"/>
      </w:pPr>
    </w:p>
    <w:p w:rsidR="00014566" w:rsidRPr="00A9681B" w:rsidRDefault="00014566" w:rsidP="00A9681B">
      <w:pPr>
        <w:jc w:val="center"/>
        <w:rPr>
          <w:i/>
        </w:rPr>
      </w:pPr>
      <w:r w:rsidRPr="00A9681B">
        <w:rPr>
          <w:i/>
        </w:rPr>
        <w:t>(</w:t>
      </w:r>
      <w:r w:rsidR="00CE0EB3" w:rsidRPr="00A9681B">
        <w:rPr>
          <w:i/>
        </w:rPr>
        <w:t>Application no. 21623/13</w:t>
      </w:r>
      <w:r w:rsidRPr="00A9681B">
        <w:rPr>
          <w:i/>
        </w:rPr>
        <w:t>)</w:t>
      </w:r>
    </w:p>
    <w:p w:rsidR="00766713" w:rsidRPr="00A9681B" w:rsidRDefault="00766713" w:rsidP="00A9681B">
      <w:pPr>
        <w:jc w:val="center"/>
        <w:rPr>
          <w:i/>
        </w:rPr>
      </w:pPr>
    </w:p>
    <w:p w:rsidR="00766713" w:rsidRPr="00A9681B" w:rsidRDefault="00766713" w:rsidP="00A9681B">
      <w:pPr>
        <w:jc w:val="center"/>
        <w:rPr>
          <w:i/>
        </w:rPr>
      </w:pPr>
    </w:p>
    <w:p w:rsidR="00766713" w:rsidRPr="00A9681B" w:rsidRDefault="00766713" w:rsidP="00A9681B">
      <w:pPr>
        <w:jc w:val="center"/>
        <w:rPr>
          <w:i/>
        </w:rPr>
      </w:pPr>
    </w:p>
    <w:p w:rsidR="00766713" w:rsidRPr="00A9681B" w:rsidRDefault="00766713" w:rsidP="00A9681B">
      <w:pPr>
        <w:jc w:val="center"/>
        <w:rPr>
          <w:i/>
        </w:rPr>
      </w:pPr>
    </w:p>
    <w:p w:rsidR="00766713" w:rsidRPr="00A9681B" w:rsidRDefault="00766713" w:rsidP="00A9681B">
      <w:pPr>
        <w:jc w:val="center"/>
        <w:rPr>
          <w:i/>
        </w:rPr>
      </w:pPr>
    </w:p>
    <w:p w:rsidR="00766713" w:rsidRPr="00A9681B" w:rsidRDefault="00766713" w:rsidP="00A9681B">
      <w:pPr>
        <w:jc w:val="center"/>
        <w:rPr>
          <w:i/>
        </w:rPr>
      </w:pPr>
    </w:p>
    <w:p w:rsidR="00441E19" w:rsidRPr="00A9681B" w:rsidRDefault="00766713" w:rsidP="00A9681B">
      <w:pPr>
        <w:spacing w:before="120" w:after="120" w:line="280" w:lineRule="exact"/>
        <w:jc w:val="center"/>
        <w:rPr>
          <w:rFonts w:ascii="Times New Roman" w:eastAsia="Times New Roman" w:hAnsi="Times New Roman" w:cs="Times New Roman"/>
        </w:rPr>
      </w:pPr>
      <w:r w:rsidRPr="00A9681B">
        <w:rPr>
          <w:rFonts w:ascii="Times New Roman" w:eastAsia="Times New Roman" w:hAnsi="Times New Roman" w:cs="Times New Roman"/>
        </w:rPr>
        <w:t>JUDGMENT</w:t>
      </w:r>
    </w:p>
    <w:p w:rsidR="00CB1746" w:rsidRPr="00A9681B" w:rsidRDefault="00CB1746" w:rsidP="00A9681B">
      <w:pPr>
        <w:spacing w:before="120" w:after="120" w:line="280" w:lineRule="exact"/>
        <w:jc w:val="center"/>
        <w:rPr>
          <w:rFonts w:ascii="Times New Roman" w:eastAsia="Times New Roman" w:hAnsi="Times New Roman" w:cs="Times New Roman"/>
        </w:rPr>
      </w:pPr>
      <w:r w:rsidRPr="00A9681B">
        <w:rPr>
          <w:rFonts w:ascii="Times New Roman" w:eastAsia="Times New Roman" w:hAnsi="Times New Roman" w:cs="Times New Roman"/>
        </w:rPr>
        <w:t>(</w:t>
      </w:r>
      <w:r w:rsidRPr="00A9681B">
        <w:rPr>
          <w:rFonts w:ascii="Times New Roman" w:eastAsia="Times New Roman" w:hAnsi="Times New Roman" w:cs="Times New Roman"/>
          <w:i/>
        </w:rPr>
        <w:t>Merits</w:t>
      </w:r>
      <w:r w:rsidRPr="00A9681B">
        <w:rPr>
          <w:rFonts w:ascii="Times New Roman" w:eastAsia="Times New Roman" w:hAnsi="Times New Roman" w:cs="Times New Roman"/>
        </w:rPr>
        <w:t>)</w:t>
      </w:r>
    </w:p>
    <w:p w:rsidR="00766713" w:rsidRPr="00A9681B" w:rsidRDefault="00766713" w:rsidP="00A9681B">
      <w:pPr>
        <w:spacing w:before="120" w:after="120" w:line="280" w:lineRule="exact"/>
        <w:jc w:val="center"/>
        <w:rPr>
          <w:rFonts w:ascii="Times New Roman" w:eastAsia="Times New Roman" w:hAnsi="Times New Roman" w:cs="Times New Roman"/>
        </w:rPr>
      </w:pPr>
    </w:p>
    <w:p w:rsidR="00961E5C" w:rsidRPr="00A9681B" w:rsidRDefault="00961E5C" w:rsidP="00A9681B">
      <w:pPr>
        <w:spacing w:before="120" w:after="120" w:line="280" w:lineRule="exact"/>
        <w:jc w:val="center"/>
        <w:rPr>
          <w:rFonts w:ascii="Times New Roman" w:eastAsia="Times New Roman" w:hAnsi="Times New Roman" w:cs="Times New Roman"/>
        </w:rPr>
      </w:pPr>
    </w:p>
    <w:p w:rsidR="00766713" w:rsidRPr="00A9681B" w:rsidRDefault="00766713" w:rsidP="00A9681B">
      <w:pPr>
        <w:spacing w:before="120" w:after="120" w:line="280" w:lineRule="exact"/>
        <w:jc w:val="center"/>
        <w:rPr>
          <w:rFonts w:ascii="Times New Roman" w:eastAsia="Times New Roman" w:hAnsi="Times New Roman" w:cs="Times New Roman"/>
        </w:rPr>
      </w:pPr>
    </w:p>
    <w:p w:rsidR="00766713" w:rsidRPr="00A9681B" w:rsidRDefault="00766713" w:rsidP="00A9681B">
      <w:pPr>
        <w:spacing w:before="120" w:after="120" w:line="280" w:lineRule="exact"/>
        <w:jc w:val="center"/>
        <w:rPr>
          <w:rFonts w:ascii="Times New Roman" w:eastAsia="Times New Roman" w:hAnsi="Times New Roman" w:cs="Times New Roman"/>
        </w:rPr>
      </w:pPr>
      <w:r w:rsidRPr="00A9681B">
        <w:rPr>
          <w:rFonts w:ascii="Times New Roman" w:eastAsia="Times New Roman" w:hAnsi="Times New Roman" w:cs="Times New Roman"/>
        </w:rPr>
        <w:t>STRASBOURG</w:t>
      </w:r>
    </w:p>
    <w:p w:rsidR="00766713" w:rsidRPr="00A9681B" w:rsidRDefault="00766713" w:rsidP="00A9681B">
      <w:pPr>
        <w:spacing w:before="120" w:after="120" w:line="280" w:lineRule="exact"/>
        <w:jc w:val="center"/>
        <w:rPr>
          <w:rFonts w:ascii="Times New Roman" w:eastAsia="Times New Roman" w:hAnsi="Times New Roman" w:cs="Times New Roman"/>
        </w:rPr>
      </w:pPr>
    </w:p>
    <w:p w:rsidR="00766713" w:rsidRPr="00A9681B" w:rsidRDefault="00766713" w:rsidP="00A9681B">
      <w:pPr>
        <w:spacing w:before="120" w:after="120" w:line="280" w:lineRule="exact"/>
        <w:jc w:val="center"/>
        <w:rPr>
          <w:rFonts w:ascii="Times New Roman" w:eastAsia="Times New Roman" w:hAnsi="Times New Roman" w:cs="Times New Roman"/>
        </w:rPr>
      </w:pPr>
      <w:r w:rsidRPr="00A9681B">
        <w:rPr>
          <w:rFonts w:ascii="Times New Roman" w:eastAsia="Times New Roman" w:hAnsi="Times New Roman" w:cs="Times New Roman"/>
        </w:rPr>
        <w:t>16 October 2018</w:t>
      </w:r>
    </w:p>
    <w:p w:rsidR="00766713" w:rsidRPr="00A9681B" w:rsidRDefault="00766713" w:rsidP="00A9681B">
      <w:pPr>
        <w:spacing w:before="120" w:after="120" w:line="280" w:lineRule="exact"/>
        <w:jc w:val="center"/>
        <w:rPr>
          <w:rFonts w:ascii="Times New Roman" w:eastAsia="Times New Roman" w:hAnsi="Times New Roman" w:cs="Times New Roman"/>
        </w:rPr>
      </w:pPr>
    </w:p>
    <w:p w:rsidR="00944182" w:rsidRPr="00A9681B" w:rsidRDefault="00944182" w:rsidP="00A9681B">
      <w:pPr>
        <w:pStyle w:val="jucase0"/>
        <w:ind w:firstLine="0"/>
        <w:jc w:val="center"/>
        <w:rPr>
          <w:color w:val="FF0000"/>
          <w:sz w:val="28"/>
          <w:szCs w:val="28"/>
          <w:u w:val="single"/>
        </w:rPr>
      </w:pPr>
      <w:r w:rsidRPr="00A9681B">
        <w:rPr>
          <w:color w:val="FF0000"/>
          <w:sz w:val="28"/>
          <w:szCs w:val="28"/>
          <w:u w:val="single"/>
        </w:rPr>
        <w:t>FINAL</w:t>
      </w:r>
    </w:p>
    <w:p w:rsidR="00944182" w:rsidRPr="00A9681B" w:rsidRDefault="00944182" w:rsidP="00A9681B">
      <w:pPr>
        <w:pStyle w:val="jupara"/>
        <w:tabs>
          <w:tab w:val="left" w:pos="4650"/>
        </w:tabs>
        <w:ind w:firstLine="0"/>
        <w:jc w:val="center"/>
        <w:rPr>
          <w:color w:val="FF0000"/>
          <w:sz w:val="28"/>
          <w:szCs w:val="28"/>
        </w:rPr>
      </w:pPr>
    </w:p>
    <w:p w:rsidR="00944182" w:rsidRPr="00A9681B" w:rsidRDefault="00944182" w:rsidP="00A9681B">
      <w:pPr>
        <w:pStyle w:val="jupara"/>
        <w:ind w:firstLine="0"/>
        <w:jc w:val="center"/>
        <w:rPr>
          <w:color w:val="FF0000"/>
          <w:sz w:val="28"/>
          <w:szCs w:val="28"/>
        </w:rPr>
      </w:pPr>
      <w:r w:rsidRPr="00A9681B">
        <w:rPr>
          <w:color w:val="FF0000"/>
          <w:sz w:val="28"/>
          <w:szCs w:val="28"/>
        </w:rPr>
        <w:t>18/03/2019</w:t>
      </w:r>
    </w:p>
    <w:p w:rsidR="00944182" w:rsidRPr="00A9681B" w:rsidRDefault="00944182" w:rsidP="00A9681B">
      <w:pPr>
        <w:pStyle w:val="jupara"/>
        <w:ind w:firstLine="0"/>
        <w:jc w:val="center"/>
      </w:pPr>
    </w:p>
    <w:p w:rsidR="00944182" w:rsidRPr="00A9681B" w:rsidRDefault="00944182" w:rsidP="00A9681B">
      <w:pPr>
        <w:jc w:val="center"/>
        <w:rPr>
          <w:i/>
          <w:iCs/>
          <w:sz w:val="22"/>
        </w:rPr>
      </w:pPr>
      <w:r w:rsidRPr="00A9681B">
        <w:rPr>
          <w:i/>
          <w:iCs/>
          <w:sz w:val="22"/>
        </w:rPr>
        <w:t>This judgment has become final under Article 44 § 2 of the Convention. It may be subject to editorial revision.</w:t>
      </w:r>
    </w:p>
    <w:p w:rsidR="00766713" w:rsidRPr="00A9681B" w:rsidRDefault="00766713" w:rsidP="00A9681B">
      <w:pPr>
        <w:spacing w:before="120" w:after="120" w:line="280" w:lineRule="exact"/>
        <w:rPr>
          <w:rFonts w:ascii="Times New Roman" w:eastAsia="Times New Roman" w:hAnsi="Times New Roman" w:cs="Times New Roman"/>
          <w:i/>
          <w:sz w:val="22"/>
        </w:rPr>
      </w:pPr>
    </w:p>
    <w:p w:rsidR="00766713" w:rsidRPr="00A9681B" w:rsidRDefault="00766713" w:rsidP="00A9681B">
      <w:pPr>
        <w:spacing w:before="120" w:after="120" w:line="280" w:lineRule="exact"/>
        <w:rPr>
          <w:rFonts w:ascii="Times New Roman" w:eastAsia="Times New Roman" w:hAnsi="Times New Roman" w:cs="Times New Roman"/>
          <w:i/>
          <w:sz w:val="22"/>
        </w:rPr>
        <w:sectPr w:rsidR="00766713" w:rsidRPr="00A9681B" w:rsidSect="00766713">
          <w:headerReference w:type="default" r:id="rId12"/>
          <w:headerReference w:type="first" r:id="rId13"/>
          <w:footerReference w:type="first" r:id="rId14"/>
          <w:footnotePr>
            <w:numRestart w:val="eachSect"/>
          </w:footnotePr>
          <w:pgSz w:w="11906" w:h="16838" w:code="9"/>
          <w:pgMar w:top="2274" w:right="2274" w:bottom="1843" w:left="2274" w:header="1701" w:footer="720" w:gutter="0"/>
          <w:pgNumType w:start="1"/>
          <w:cols w:space="720"/>
          <w:titlePg/>
          <w:docGrid w:linePitch="326"/>
        </w:sectPr>
      </w:pPr>
    </w:p>
    <w:p w:rsidR="00014566" w:rsidRPr="00A9681B" w:rsidRDefault="00014566" w:rsidP="00A9681B">
      <w:pPr>
        <w:pStyle w:val="JuCase"/>
        <w:rPr>
          <w:bCs/>
        </w:rPr>
      </w:pPr>
      <w:r w:rsidRPr="00A9681B">
        <w:lastRenderedPageBreak/>
        <w:t xml:space="preserve">In the case of </w:t>
      </w:r>
      <w:r w:rsidR="00CE0EB3" w:rsidRPr="00A9681B">
        <w:t>Könyv-Tár Kft and Others v. Hungary</w:t>
      </w:r>
      <w:r w:rsidRPr="00A9681B">
        <w:t>,</w:t>
      </w:r>
    </w:p>
    <w:p w:rsidR="00014566" w:rsidRPr="00A9681B" w:rsidRDefault="00014566" w:rsidP="00A9681B">
      <w:pPr>
        <w:pStyle w:val="ECHRPara"/>
      </w:pPr>
      <w:r w:rsidRPr="00A9681B">
        <w:t>The European Court of Human Rights (</w:t>
      </w:r>
      <w:r w:rsidR="00CE0EB3" w:rsidRPr="00A9681B">
        <w:t>Fourth Section</w:t>
      </w:r>
      <w:r w:rsidRPr="00A9681B">
        <w:t xml:space="preserve">), sitting as a </w:t>
      </w:r>
      <w:r w:rsidR="00CE0EB3" w:rsidRPr="00A9681B">
        <w:t>Chamber</w:t>
      </w:r>
      <w:r w:rsidRPr="00A9681B">
        <w:t xml:space="preserve"> composed of:</w:t>
      </w:r>
    </w:p>
    <w:p w:rsidR="00F36D5C" w:rsidRPr="00A9681B" w:rsidRDefault="00055E1B" w:rsidP="00A9681B">
      <w:pPr>
        <w:pStyle w:val="ECHRDecisionBody"/>
        <w:rPr>
          <w:lang w:val="fr-FR"/>
        </w:rPr>
      </w:pPr>
      <w:r w:rsidRPr="00A9681B">
        <w:tab/>
      </w:r>
      <w:r w:rsidRPr="00A9681B">
        <w:rPr>
          <w:lang w:val="fr-FR"/>
        </w:rPr>
        <w:t>Vincent A. De Gaetano,</w:t>
      </w:r>
      <w:r w:rsidRPr="00A9681B">
        <w:rPr>
          <w:i/>
          <w:lang w:val="fr-FR"/>
        </w:rPr>
        <w:t xml:space="preserve"> President,</w:t>
      </w:r>
      <w:r w:rsidRPr="00A9681B">
        <w:rPr>
          <w:i/>
          <w:lang w:val="fr-FR"/>
        </w:rPr>
        <w:br/>
      </w:r>
      <w:r w:rsidRPr="00A9681B">
        <w:rPr>
          <w:lang w:val="fr-FR"/>
        </w:rPr>
        <w:tab/>
        <w:t>András Sajó,</w:t>
      </w:r>
    </w:p>
    <w:p w:rsidR="00014566" w:rsidRPr="00A9681B" w:rsidRDefault="00F36D5C" w:rsidP="00A9681B">
      <w:pPr>
        <w:pStyle w:val="ECHRDecisionBody"/>
        <w:rPr>
          <w:lang w:val="fr-FR"/>
        </w:rPr>
      </w:pPr>
      <w:r w:rsidRPr="00A9681B">
        <w:rPr>
          <w:lang w:val="fr-FR"/>
        </w:rPr>
        <w:tab/>
        <w:t>Nona Tsotsoria,</w:t>
      </w:r>
      <w:r w:rsidR="00055E1B" w:rsidRPr="00A9681B">
        <w:rPr>
          <w:i/>
          <w:lang w:val="fr-FR"/>
        </w:rPr>
        <w:br/>
      </w:r>
      <w:r w:rsidR="00055E1B" w:rsidRPr="00A9681B">
        <w:rPr>
          <w:lang w:val="fr-FR"/>
        </w:rPr>
        <w:tab/>
        <w:t>Paulo Pinto de Albuquerque,</w:t>
      </w:r>
      <w:r w:rsidR="00055E1B" w:rsidRPr="00A9681B">
        <w:rPr>
          <w:i/>
          <w:lang w:val="fr-FR"/>
        </w:rPr>
        <w:br/>
      </w:r>
      <w:r w:rsidR="00055E1B" w:rsidRPr="00A9681B">
        <w:rPr>
          <w:lang w:val="fr-FR"/>
        </w:rPr>
        <w:tab/>
        <w:t>Krzysztof Wojtyczek,</w:t>
      </w:r>
      <w:r w:rsidR="00055E1B" w:rsidRPr="00A9681B">
        <w:rPr>
          <w:i/>
          <w:lang w:val="fr-FR"/>
        </w:rPr>
        <w:br/>
      </w:r>
      <w:r w:rsidR="00055E1B" w:rsidRPr="00A9681B">
        <w:rPr>
          <w:lang w:val="fr-FR"/>
        </w:rPr>
        <w:tab/>
        <w:t>Egidijus Kūris,</w:t>
      </w:r>
      <w:r w:rsidR="00055E1B" w:rsidRPr="00A9681B">
        <w:rPr>
          <w:lang w:val="fr-FR"/>
        </w:rPr>
        <w:tab/>
      </w:r>
      <w:r w:rsidR="00055E1B" w:rsidRPr="00A9681B">
        <w:rPr>
          <w:i/>
          <w:lang w:val="fr-FR"/>
        </w:rPr>
        <w:br/>
      </w:r>
      <w:r w:rsidR="00055E1B" w:rsidRPr="00A9681B">
        <w:rPr>
          <w:lang w:val="fr-FR"/>
        </w:rPr>
        <w:tab/>
        <w:t>Marko Bošnjak,</w:t>
      </w:r>
      <w:r w:rsidR="00055E1B" w:rsidRPr="00A9681B">
        <w:rPr>
          <w:i/>
          <w:lang w:val="fr-FR"/>
        </w:rPr>
        <w:t xml:space="preserve"> judges,</w:t>
      </w:r>
      <w:r w:rsidR="00055E1B" w:rsidRPr="00A9681B">
        <w:rPr>
          <w:lang w:val="fr-FR"/>
        </w:rPr>
        <w:br/>
      </w:r>
      <w:r w:rsidR="00014566" w:rsidRPr="00A9681B">
        <w:rPr>
          <w:lang w:val="fr-FR"/>
        </w:rPr>
        <w:t xml:space="preserve">and </w:t>
      </w:r>
      <w:r w:rsidR="00CE0EB3" w:rsidRPr="00A9681B">
        <w:rPr>
          <w:lang w:val="fr-FR"/>
        </w:rPr>
        <w:t>Marialena Tsirli</w:t>
      </w:r>
      <w:r w:rsidR="00014566" w:rsidRPr="00A9681B">
        <w:rPr>
          <w:lang w:val="fr-FR"/>
        </w:rPr>
        <w:t xml:space="preserve">, </w:t>
      </w:r>
      <w:r w:rsidR="00CE0EB3" w:rsidRPr="00A9681B">
        <w:rPr>
          <w:i/>
          <w:lang w:val="fr-FR"/>
        </w:rPr>
        <w:t xml:space="preserve">Section </w:t>
      </w:r>
      <w:r w:rsidR="00CE0EB3" w:rsidRPr="00A9681B">
        <w:rPr>
          <w:i/>
          <w:iCs/>
          <w:lang w:val="fr-FR"/>
        </w:rPr>
        <w:t>Registrar</w:t>
      </w:r>
      <w:r w:rsidR="00014566" w:rsidRPr="00A9681B">
        <w:rPr>
          <w:i/>
          <w:lang w:val="fr-FR"/>
        </w:rPr>
        <w:t>,</w:t>
      </w:r>
    </w:p>
    <w:p w:rsidR="00014566" w:rsidRPr="00A9681B" w:rsidRDefault="00014566" w:rsidP="00A9681B">
      <w:pPr>
        <w:pStyle w:val="ECHRPara"/>
      </w:pPr>
      <w:r w:rsidRPr="00A9681B">
        <w:t xml:space="preserve">Having deliberated in private on </w:t>
      </w:r>
      <w:r w:rsidR="004B15FF" w:rsidRPr="00A9681B">
        <w:t>5 January</w:t>
      </w:r>
      <w:r w:rsidR="009C4673" w:rsidRPr="00A9681B">
        <w:t>, 28 February</w:t>
      </w:r>
      <w:r w:rsidR="004B15FF" w:rsidRPr="00A9681B">
        <w:t xml:space="preserve"> and </w:t>
      </w:r>
      <w:r w:rsidR="009C4673" w:rsidRPr="00A9681B">
        <w:t>4 April</w:t>
      </w:r>
      <w:r w:rsidR="004B15FF" w:rsidRPr="00A9681B">
        <w:t xml:space="preserve"> 2017</w:t>
      </w:r>
      <w:r w:rsidR="00347DC1" w:rsidRPr="00A9681B">
        <w:t xml:space="preserve"> and on</w:t>
      </w:r>
      <w:r w:rsidR="009C4673" w:rsidRPr="00A9681B">
        <w:t xml:space="preserve"> 10 </w:t>
      </w:r>
      <w:r w:rsidR="008C00C2" w:rsidRPr="00A9681B">
        <w:t>January and</w:t>
      </w:r>
      <w:r w:rsidR="00B03F1E" w:rsidRPr="00A9681B">
        <w:t xml:space="preserve"> 12 </w:t>
      </w:r>
      <w:r w:rsidR="009C4673" w:rsidRPr="00A9681B">
        <w:t>June 2018;</w:t>
      </w:r>
    </w:p>
    <w:p w:rsidR="00014566" w:rsidRPr="00A9681B" w:rsidRDefault="00014566" w:rsidP="00A9681B">
      <w:pPr>
        <w:pStyle w:val="ECHRPara"/>
      </w:pPr>
      <w:r w:rsidRPr="00A9681B">
        <w:t>Delivers the following jud</w:t>
      </w:r>
      <w:r w:rsidR="009C4673" w:rsidRPr="00A9681B">
        <w:t>gment, which was adopted on the last-mentioned</w:t>
      </w:r>
      <w:r w:rsidRPr="00A9681B">
        <w:t xml:space="preserve"> date:</w:t>
      </w:r>
    </w:p>
    <w:p w:rsidR="00014566" w:rsidRPr="00A9681B" w:rsidRDefault="00014566" w:rsidP="00A9681B">
      <w:pPr>
        <w:pStyle w:val="ECHRTitle1"/>
      </w:pPr>
      <w:r w:rsidRPr="00A9681B">
        <w:t>PROCEDURE</w:t>
      </w:r>
    </w:p>
    <w:p w:rsidR="00CE0EB3" w:rsidRPr="00A9681B" w:rsidRDefault="00CE0EB3"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1</w:t>
      </w:r>
      <w:r w:rsidRPr="00A9681B">
        <w:fldChar w:fldCharType="end"/>
      </w:r>
      <w:r w:rsidR="00014566" w:rsidRPr="00A9681B">
        <w:t xml:space="preserve">.  The case originated in </w:t>
      </w:r>
      <w:r w:rsidRPr="00A9681B">
        <w:t>an application (no. 21623/13)</w:t>
      </w:r>
      <w:r w:rsidR="00014566" w:rsidRPr="00A9681B">
        <w:t xml:space="preserve"> against </w:t>
      </w:r>
      <w:r w:rsidRPr="00A9681B">
        <w:t>Hungary</w:t>
      </w:r>
      <w:r w:rsidR="00014566" w:rsidRPr="00A9681B">
        <w:t xml:space="preserve"> lodged with the </w:t>
      </w:r>
      <w:r w:rsidRPr="00A9681B">
        <w:t>Court under Article 34</w:t>
      </w:r>
      <w:r w:rsidR="00014566" w:rsidRPr="00A9681B">
        <w:t xml:space="preserve"> of the Convention for the Protection of Human Rights and Fundamental Freedoms (“the Convention”) </w:t>
      </w:r>
      <w:r w:rsidR="00F82BF4" w:rsidRPr="00A9681B">
        <w:t>by Könyv</w:t>
      </w:r>
      <w:r w:rsidRPr="00A9681B">
        <w:t>-Tár Kft</w:t>
      </w:r>
      <w:r w:rsidR="00440B1D" w:rsidRPr="00A9681B">
        <w:t xml:space="preserve">, Suli-Könyv Kft </w:t>
      </w:r>
      <w:r w:rsidR="00F82BF4" w:rsidRPr="00A9681B">
        <w:t>and Tankönyv</w:t>
      </w:r>
      <w:r w:rsidR="00440B1D" w:rsidRPr="00A9681B">
        <w:t xml:space="preserve">-Ker </w:t>
      </w:r>
      <w:r w:rsidR="003F297B" w:rsidRPr="00A9681B">
        <w:t>Bt</w:t>
      </w:r>
      <w:r w:rsidR="00CF0E0A" w:rsidRPr="00A9681B">
        <w:t xml:space="preserve"> (“the applicant</w:t>
      </w:r>
      <w:r w:rsidR="00BD1026" w:rsidRPr="00A9681B">
        <w:t xml:space="preserve"> companies</w:t>
      </w:r>
      <w:r w:rsidR="00CF0E0A" w:rsidRPr="00A9681B">
        <w:t>”), on 26 </w:t>
      </w:r>
      <w:r w:rsidRPr="00A9681B">
        <w:t>March 2013</w:t>
      </w:r>
      <w:r w:rsidR="00014566" w:rsidRPr="00A9681B">
        <w:t>.</w:t>
      </w:r>
    </w:p>
    <w:p w:rsidR="00CE0EB3" w:rsidRPr="00A9681B" w:rsidRDefault="00CE0EB3"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2</w:t>
      </w:r>
      <w:r w:rsidRPr="00A9681B">
        <w:fldChar w:fldCharType="end"/>
      </w:r>
      <w:r w:rsidR="00014566" w:rsidRPr="00A9681B">
        <w:t>.  </w:t>
      </w:r>
      <w:r w:rsidRPr="00A9681B">
        <w:t>The applicant</w:t>
      </w:r>
      <w:r w:rsidR="00BD1026" w:rsidRPr="00A9681B">
        <w:t xml:space="preserve"> companies</w:t>
      </w:r>
      <w:r w:rsidRPr="00A9681B">
        <w:t xml:space="preserve"> were represented by Mr </w:t>
      </w:r>
      <w:r w:rsidR="00440B1D" w:rsidRPr="00A9681B">
        <w:t>P.</w:t>
      </w:r>
      <w:r w:rsidRPr="00A9681B">
        <w:t xml:space="preserve"> Köves, a lawyer practising in Budapest. </w:t>
      </w:r>
      <w:r w:rsidR="00014566" w:rsidRPr="00A9681B">
        <w:t xml:space="preserve">The </w:t>
      </w:r>
      <w:r w:rsidRPr="00A9681B">
        <w:t>Hungarian</w:t>
      </w:r>
      <w:r w:rsidR="00014566" w:rsidRPr="00A9681B">
        <w:t xml:space="preserve"> Government (“the Government”) were represented by </w:t>
      </w:r>
      <w:r w:rsidR="008E3E74" w:rsidRPr="00A9681B">
        <w:t xml:space="preserve">Mr Z. Tallódi, Agent, </w:t>
      </w:r>
      <w:r w:rsidR="00440B1D" w:rsidRPr="00A9681B">
        <w:t>Ministry of Justice.</w:t>
      </w:r>
    </w:p>
    <w:p w:rsidR="00766713" w:rsidRPr="00A9681B" w:rsidRDefault="00440B1D"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3</w:t>
      </w:r>
      <w:r w:rsidRPr="00A9681B">
        <w:fldChar w:fldCharType="end"/>
      </w:r>
      <w:r w:rsidRPr="00A9681B">
        <w:t>.  </w:t>
      </w:r>
      <w:r w:rsidR="00CE0EB3" w:rsidRPr="00A9681B">
        <w:t xml:space="preserve">On </w:t>
      </w:r>
      <w:r w:rsidR="00CE0EB3" w:rsidRPr="00A9681B">
        <w:rPr>
          <w:szCs w:val="24"/>
        </w:rPr>
        <w:t>17 October 2013</w:t>
      </w:r>
      <w:r w:rsidR="000A6B51" w:rsidRPr="00A9681B">
        <w:rPr>
          <w:szCs w:val="24"/>
        </w:rPr>
        <w:t xml:space="preserve"> notice of</w:t>
      </w:r>
      <w:r w:rsidR="00014566" w:rsidRPr="00A9681B">
        <w:t xml:space="preserve"> the </w:t>
      </w:r>
      <w:r w:rsidR="00CE0EB3" w:rsidRPr="00A9681B">
        <w:t xml:space="preserve">application was </w:t>
      </w:r>
      <w:r w:rsidR="000A6B51" w:rsidRPr="00A9681B">
        <w:t xml:space="preserve">given </w:t>
      </w:r>
      <w:r w:rsidR="00CE0EB3" w:rsidRPr="00A9681B">
        <w:t>to the Government</w:t>
      </w:r>
      <w:r w:rsidR="00014566" w:rsidRPr="00A9681B">
        <w:t>.</w:t>
      </w:r>
    </w:p>
    <w:p w:rsidR="00014566" w:rsidRPr="00A9681B" w:rsidRDefault="00014566" w:rsidP="00A9681B">
      <w:pPr>
        <w:pStyle w:val="ECHRTitle1"/>
      </w:pPr>
      <w:r w:rsidRPr="00A9681B">
        <w:t>THE FACTS</w:t>
      </w:r>
    </w:p>
    <w:p w:rsidR="00014566" w:rsidRPr="00A9681B" w:rsidRDefault="00014566" w:rsidP="00A9681B">
      <w:pPr>
        <w:pStyle w:val="ECHRHeading1"/>
      </w:pPr>
      <w:r w:rsidRPr="00A9681B">
        <w:t>I.  THE CIRCUMSTANCES OF THE CASE</w:t>
      </w:r>
    </w:p>
    <w:p w:rsidR="00766713" w:rsidRPr="00A9681B" w:rsidRDefault="00E51C3A"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4</w:t>
      </w:r>
      <w:r w:rsidRPr="00A9681B">
        <w:rPr>
          <w:noProof/>
        </w:rPr>
        <w:fldChar w:fldCharType="end"/>
      </w:r>
      <w:r w:rsidR="00F12CCD" w:rsidRPr="00A9681B">
        <w:t>.  </w:t>
      </w:r>
      <w:r w:rsidR="00B31BB3" w:rsidRPr="00A9681B">
        <w:t>The first applicant</w:t>
      </w:r>
      <w:r w:rsidR="00BD1026" w:rsidRPr="00A9681B">
        <w:t xml:space="preserve"> company</w:t>
      </w:r>
      <w:r w:rsidR="003F297B" w:rsidRPr="00A9681B">
        <w:t>, Könyv-Tár Kft,</w:t>
      </w:r>
      <w:r w:rsidR="00B31BB3" w:rsidRPr="00A9681B">
        <w:t xml:space="preserve"> is a </w:t>
      </w:r>
      <w:r w:rsidR="008826CE" w:rsidRPr="00A9681B">
        <w:t xml:space="preserve">limited liability </w:t>
      </w:r>
      <w:r w:rsidR="00B31BB3" w:rsidRPr="00A9681B">
        <w:t xml:space="preserve">company </w:t>
      </w:r>
      <w:r w:rsidR="005E52DE" w:rsidRPr="00A9681B">
        <w:t>with</w:t>
      </w:r>
      <w:r w:rsidR="00EA29F7" w:rsidRPr="00A9681B">
        <w:t xml:space="preserve"> </w:t>
      </w:r>
      <w:r w:rsidR="00B31BB3" w:rsidRPr="00A9681B">
        <w:t xml:space="preserve">its registered </w:t>
      </w:r>
      <w:r w:rsidR="00EA29F7" w:rsidRPr="00A9681B">
        <w:t xml:space="preserve">office </w:t>
      </w:r>
      <w:r w:rsidR="00B31BB3" w:rsidRPr="00A9681B">
        <w:t>in Budapest. The second applicant</w:t>
      </w:r>
      <w:r w:rsidR="00BD1026" w:rsidRPr="00A9681B">
        <w:t xml:space="preserve"> company</w:t>
      </w:r>
      <w:r w:rsidR="003F297B" w:rsidRPr="00A9681B">
        <w:t>, Suli-Könyv Kft,</w:t>
      </w:r>
      <w:r w:rsidR="00B31BB3" w:rsidRPr="00A9681B">
        <w:t xml:space="preserve"> is a </w:t>
      </w:r>
      <w:r w:rsidR="008826CE" w:rsidRPr="00A9681B">
        <w:t xml:space="preserve">limited liability company </w:t>
      </w:r>
      <w:r w:rsidR="00EA29F7" w:rsidRPr="00A9681B">
        <w:t xml:space="preserve">with </w:t>
      </w:r>
      <w:r w:rsidR="00B31BB3" w:rsidRPr="00A9681B">
        <w:t xml:space="preserve">its registered </w:t>
      </w:r>
      <w:r w:rsidR="00EA29F7" w:rsidRPr="00A9681B">
        <w:t xml:space="preserve">office </w:t>
      </w:r>
      <w:r w:rsidR="00B31BB3" w:rsidRPr="00A9681B">
        <w:t>in Tata. The third applicant</w:t>
      </w:r>
      <w:r w:rsidR="005E52DE" w:rsidRPr="00A9681B">
        <w:t xml:space="preserve"> company</w:t>
      </w:r>
      <w:r w:rsidR="003F297B" w:rsidRPr="00A9681B">
        <w:t>, Tankönyv-Ker Bt,</w:t>
      </w:r>
      <w:r w:rsidR="00B31BB3" w:rsidRPr="00A9681B">
        <w:t xml:space="preserve"> is a limited partnership company </w:t>
      </w:r>
      <w:r w:rsidR="00EA29F7" w:rsidRPr="00A9681B">
        <w:t xml:space="preserve">with </w:t>
      </w:r>
      <w:r w:rsidR="00B31BB3" w:rsidRPr="00A9681B">
        <w:t xml:space="preserve">its registered </w:t>
      </w:r>
      <w:r w:rsidR="00EA29F7" w:rsidRPr="00A9681B">
        <w:t xml:space="preserve">office </w:t>
      </w:r>
      <w:r w:rsidR="00B31BB3" w:rsidRPr="00A9681B">
        <w:t>in Budapest</w:t>
      </w:r>
      <w:r w:rsidR="008826CE" w:rsidRPr="00A9681B">
        <w:t>.</w:t>
      </w:r>
    </w:p>
    <w:p w:rsidR="00B31458" w:rsidRPr="00A9681B" w:rsidRDefault="00E51C3A"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5</w:t>
      </w:r>
      <w:r w:rsidRPr="00A9681B">
        <w:rPr>
          <w:noProof/>
        </w:rPr>
        <w:fldChar w:fldCharType="end"/>
      </w:r>
      <w:r w:rsidR="00B31BB3" w:rsidRPr="00A9681B">
        <w:t>.  The applicant</w:t>
      </w:r>
      <w:r w:rsidR="00BD1026" w:rsidRPr="00A9681B">
        <w:t xml:space="preserve"> companies</w:t>
      </w:r>
      <w:r w:rsidR="00B31BB3" w:rsidRPr="00A9681B">
        <w:t xml:space="preserve"> are schoolbook</w:t>
      </w:r>
      <w:r w:rsidR="00BD1026" w:rsidRPr="00A9681B">
        <w:t xml:space="preserve"> distributors</w:t>
      </w:r>
      <w:r w:rsidR="00B31BB3" w:rsidRPr="00A9681B">
        <w:t>.</w:t>
      </w:r>
    </w:p>
    <w:p w:rsidR="006B64A9" w:rsidRPr="00A9681B" w:rsidRDefault="006B64A9"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w:t>
      </w:r>
      <w:r w:rsidRPr="00A9681B">
        <w:fldChar w:fldCharType="end"/>
      </w:r>
      <w:r w:rsidRPr="00A9681B">
        <w:t xml:space="preserve">.  The Hungarian school system was </w:t>
      </w:r>
      <w:r w:rsidR="002C2C87" w:rsidRPr="00A9681B">
        <w:t xml:space="preserve">entirely </w:t>
      </w:r>
      <w:r w:rsidRPr="00A9681B">
        <w:t xml:space="preserve">reorganised by a series of measures adopted in 2011 and </w:t>
      </w:r>
      <w:r w:rsidR="002C2C87" w:rsidRPr="00A9681B">
        <w:t xml:space="preserve">2012. The </w:t>
      </w:r>
      <w:r w:rsidR="000A6B51" w:rsidRPr="00A9681B">
        <w:t xml:space="preserve">schools, </w:t>
      </w:r>
      <w:r w:rsidR="002C2C87" w:rsidRPr="00A9681B">
        <w:t>f</w:t>
      </w:r>
      <w:r w:rsidRPr="00A9681B">
        <w:t>ormerly decentralised</w:t>
      </w:r>
      <w:r w:rsidR="000A6B51" w:rsidRPr="00A9681B">
        <w:t>,</w:t>
      </w:r>
      <w:r w:rsidRPr="00A9681B">
        <w:t xml:space="preserve"> </w:t>
      </w:r>
      <w:r w:rsidR="002C2C87" w:rsidRPr="00A9681B">
        <w:t>became</w:t>
      </w:r>
      <w:r w:rsidRPr="00A9681B">
        <w:t xml:space="preserve"> subject to centralised</w:t>
      </w:r>
      <w:r w:rsidR="00624A35" w:rsidRPr="00A9681B">
        <w:t xml:space="preserve"> State management. On 9 </w:t>
      </w:r>
      <w:r w:rsidRPr="00A9681B">
        <w:t xml:space="preserve">December 2011 and </w:t>
      </w:r>
      <w:r w:rsidRPr="00A9681B">
        <w:lastRenderedPageBreak/>
        <w:t>24 July 2012 respectively, Acts nos. CLXVI of 2011 and CXXV of 2012 (collectively referred to as “the New Regulations”) were published in the Official Gazette</w:t>
      </w:r>
      <w:r w:rsidR="000A6B51" w:rsidRPr="00A9681B">
        <w:t>; they</w:t>
      </w:r>
      <w:r w:rsidRPr="00A9681B">
        <w:t xml:space="preserve"> contained, </w:t>
      </w:r>
      <w:r w:rsidRPr="00A9681B">
        <w:rPr>
          <w:i/>
        </w:rPr>
        <w:t>inter alia</w:t>
      </w:r>
      <w:r w:rsidRPr="00A9681B">
        <w:t>, provisions amending Act no.</w:t>
      </w:r>
      <w:r w:rsidR="00FF313A" w:rsidRPr="00A9681B">
        <w:t> </w:t>
      </w:r>
      <w:r w:rsidRPr="00A9681B">
        <w:t>XXXVII of 2001 on the Schoolbook Market. The amendments came into force on 1 October 2012 and were effective from the school year starting in September 2013. The essence of the new legislation was already contained in the first amendment, published in December 2011.</w:t>
      </w:r>
    </w:p>
    <w:p w:rsidR="003C106D" w:rsidRPr="00A9681B" w:rsidRDefault="00B31458" w:rsidP="00A9681B">
      <w:pPr>
        <w:pStyle w:val="ECHRPara"/>
        <w:rPr>
          <w:rFonts w:asciiTheme="majorHAnsi" w:hAnsiTheme="majorHAnsi" w:cs="TimesNewRomanPSMT"/>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7</w:t>
      </w:r>
      <w:r w:rsidRPr="00A9681B">
        <w:rPr>
          <w:rFonts w:eastAsia="Times New Roman"/>
          <w:lang w:eastAsia="fr-FR"/>
        </w:rPr>
        <w:fldChar w:fldCharType="end"/>
      </w:r>
      <w:r w:rsidRPr="00A9681B">
        <w:rPr>
          <w:rFonts w:eastAsia="Times New Roman"/>
          <w:lang w:eastAsia="fr-FR"/>
        </w:rPr>
        <w:t>.  </w:t>
      </w:r>
      <w:r w:rsidR="00FF313A" w:rsidRPr="00A9681B">
        <w:rPr>
          <w:rFonts w:eastAsia="Times New Roman"/>
          <w:lang w:eastAsia="fr-FR"/>
        </w:rPr>
        <w:t>The applicant companies submitted that t</w:t>
      </w:r>
      <w:r w:rsidRPr="00A9681B">
        <w:rPr>
          <w:rFonts w:asciiTheme="majorHAnsi" w:hAnsiTheme="majorHAnsi" w:cs="TimesNewRomanPSMT"/>
        </w:rPr>
        <w:t xml:space="preserve">he Hungarian schoolbook </w:t>
      </w:r>
      <w:r w:rsidR="00862833" w:rsidRPr="00A9681B">
        <w:rPr>
          <w:rFonts w:asciiTheme="majorHAnsi" w:hAnsiTheme="majorHAnsi" w:cs="TimesNewRomanPSMT"/>
        </w:rPr>
        <w:t xml:space="preserve">distribution </w:t>
      </w:r>
      <w:r w:rsidRPr="00A9681B">
        <w:rPr>
          <w:rFonts w:asciiTheme="majorHAnsi" w:hAnsiTheme="majorHAnsi" w:cs="TimesNewRomanPSMT"/>
        </w:rPr>
        <w:t xml:space="preserve">market, as a whole, </w:t>
      </w:r>
      <w:r w:rsidR="000A6B51" w:rsidRPr="00A9681B">
        <w:rPr>
          <w:rFonts w:asciiTheme="majorHAnsi" w:hAnsiTheme="majorHAnsi" w:cs="TimesNewRomanPSMT"/>
        </w:rPr>
        <w:t>had previously</w:t>
      </w:r>
      <w:r w:rsidR="00FF313A" w:rsidRPr="00A9681B">
        <w:rPr>
          <w:rFonts w:asciiTheme="majorHAnsi" w:hAnsiTheme="majorHAnsi" w:cs="TimesNewRomanPSMT"/>
        </w:rPr>
        <w:t xml:space="preserve"> </w:t>
      </w:r>
      <w:r w:rsidRPr="00A9681B">
        <w:rPr>
          <w:rFonts w:asciiTheme="majorHAnsi" w:hAnsiTheme="majorHAnsi" w:cs="TimesNewRomanPSMT"/>
        </w:rPr>
        <w:t>involve</w:t>
      </w:r>
      <w:r w:rsidR="000A6B51" w:rsidRPr="00A9681B">
        <w:rPr>
          <w:rFonts w:asciiTheme="majorHAnsi" w:hAnsiTheme="majorHAnsi" w:cs="TimesNewRomanPSMT"/>
        </w:rPr>
        <w:t>d</w:t>
      </w:r>
      <w:r w:rsidRPr="00A9681B">
        <w:rPr>
          <w:rFonts w:asciiTheme="majorHAnsi" w:hAnsiTheme="majorHAnsi" w:cs="TimesNewRomanPSMT"/>
        </w:rPr>
        <w:t xml:space="preserve"> three groups of market participants: the publishers, the distributors and the schools. </w:t>
      </w:r>
      <w:r w:rsidR="003C106D" w:rsidRPr="00A9681B">
        <w:rPr>
          <w:rFonts w:eastAsia="Times New Roman"/>
          <w:lang w:eastAsia="fr-FR"/>
        </w:rPr>
        <w:t>Prior to the New Regulations</w:t>
      </w:r>
      <w:r w:rsidR="00A9681B" w:rsidRPr="00A9681B">
        <w:rPr>
          <w:rFonts w:eastAsia="Times New Roman"/>
          <w:lang w:eastAsia="fr-FR"/>
        </w:rPr>
        <w:t>’</w:t>
      </w:r>
      <w:r w:rsidR="003C106D" w:rsidRPr="00A9681B">
        <w:rPr>
          <w:rFonts w:eastAsia="Times New Roman"/>
          <w:lang w:eastAsia="fr-FR"/>
        </w:rPr>
        <w:t xml:space="preserve"> entry into force</w:t>
      </w:r>
      <w:r w:rsidR="003C106D" w:rsidRPr="00A9681B">
        <w:rPr>
          <w:rFonts w:asciiTheme="majorHAnsi" w:hAnsiTheme="majorHAnsi" w:cs="TimesNewRomanPSMT"/>
        </w:rPr>
        <w:t>, it could be consider</w:t>
      </w:r>
      <w:r w:rsidR="00FE39CC" w:rsidRPr="00A9681B">
        <w:rPr>
          <w:rFonts w:asciiTheme="majorHAnsi" w:hAnsiTheme="majorHAnsi" w:cs="TimesNewRomanPSMT"/>
        </w:rPr>
        <w:t>ed a semi-</w:t>
      </w:r>
      <w:r w:rsidR="009323AE" w:rsidRPr="00A9681B">
        <w:rPr>
          <w:rFonts w:asciiTheme="majorHAnsi" w:hAnsiTheme="majorHAnsi" w:cs="TimesNewRomanPSMT"/>
        </w:rPr>
        <w:t>regulated market; i</w:t>
      </w:r>
      <w:r w:rsidR="003C106D" w:rsidRPr="00A9681B">
        <w:rPr>
          <w:rFonts w:asciiTheme="majorHAnsi" w:hAnsiTheme="majorHAnsi" w:cs="TimesNewRomanPSMT"/>
        </w:rPr>
        <w:t xml:space="preserve">n respect of the publishers </w:t>
      </w:r>
      <w:r w:rsidR="00FE39CC" w:rsidRPr="00A9681B">
        <w:rPr>
          <w:rFonts w:asciiTheme="majorHAnsi" w:hAnsiTheme="majorHAnsi" w:cs="TimesNewRomanPSMT"/>
        </w:rPr>
        <w:t>this</w:t>
      </w:r>
      <w:r w:rsidR="003C106D" w:rsidRPr="00A9681B">
        <w:rPr>
          <w:rFonts w:asciiTheme="majorHAnsi" w:hAnsiTheme="majorHAnsi" w:cs="TimesNewRomanPSMT"/>
        </w:rPr>
        <w:t xml:space="preserve"> me</w:t>
      </w:r>
      <w:r w:rsidR="009B7F56" w:rsidRPr="00A9681B">
        <w:rPr>
          <w:rFonts w:asciiTheme="majorHAnsi" w:hAnsiTheme="majorHAnsi" w:cs="TimesNewRomanPSMT"/>
        </w:rPr>
        <w:t>ant</w:t>
      </w:r>
      <w:r w:rsidR="003C106D" w:rsidRPr="00A9681B">
        <w:rPr>
          <w:rFonts w:asciiTheme="majorHAnsi" w:hAnsiTheme="majorHAnsi" w:cs="TimesNewRomanPSMT"/>
        </w:rPr>
        <w:t xml:space="preserve"> that the legislat</w:t>
      </w:r>
      <w:r w:rsidR="000A6B51" w:rsidRPr="00A9681B">
        <w:rPr>
          <w:rFonts w:asciiTheme="majorHAnsi" w:hAnsiTheme="majorHAnsi" w:cs="TimesNewRomanPSMT"/>
        </w:rPr>
        <w:t>ure</w:t>
      </w:r>
      <w:r w:rsidR="003C106D" w:rsidRPr="00A9681B">
        <w:rPr>
          <w:rFonts w:asciiTheme="majorHAnsi" w:hAnsiTheme="majorHAnsi" w:cs="TimesNewRomanPSMT"/>
        </w:rPr>
        <w:t xml:space="preserve"> </w:t>
      </w:r>
      <w:r w:rsidR="009B7F56" w:rsidRPr="00A9681B">
        <w:rPr>
          <w:rFonts w:asciiTheme="majorHAnsi" w:hAnsiTheme="majorHAnsi" w:cs="TimesNewRomanPSMT"/>
        </w:rPr>
        <w:t xml:space="preserve">had </w:t>
      </w:r>
      <w:r w:rsidR="003C106D" w:rsidRPr="00A9681B">
        <w:rPr>
          <w:rFonts w:asciiTheme="majorHAnsi" w:hAnsiTheme="majorHAnsi" w:cs="TimesNewRomanPSMT"/>
        </w:rPr>
        <w:t>established the requirements for a book to qualif</w:t>
      </w:r>
      <w:r w:rsidR="00D445A1" w:rsidRPr="00A9681B">
        <w:rPr>
          <w:rFonts w:asciiTheme="majorHAnsi" w:hAnsiTheme="majorHAnsi" w:cs="TimesNewRomanPSMT"/>
        </w:rPr>
        <w:t>y</w:t>
      </w:r>
      <w:r w:rsidR="003C106D" w:rsidRPr="00A9681B">
        <w:rPr>
          <w:rFonts w:asciiTheme="majorHAnsi" w:hAnsiTheme="majorHAnsi" w:cs="TimesNewRomanPSMT"/>
        </w:rPr>
        <w:t xml:space="preserve"> as </w:t>
      </w:r>
      <w:r w:rsidR="000A6B51" w:rsidRPr="00A9681B">
        <w:rPr>
          <w:rFonts w:asciiTheme="majorHAnsi" w:hAnsiTheme="majorHAnsi" w:cs="TimesNewRomanPSMT"/>
        </w:rPr>
        <w:t xml:space="preserve">a </w:t>
      </w:r>
      <w:r w:rsidR="003C106D" w:rsidRPr="00A9681B">
        <w:rPr>
          <w:rFonts w:asciiTheme="majorHAnsi" w:hAnsiTheme="majorHAnsi" w:cs="TimesNewRomanPSMT"/>
        </w:rPr>
        <w:t xml:space="preserve">schoolbook, and it often applied </w:t>
      </w:r>
      <w:r w:rsidR="00862833" w:rsidRPr="00A9681B">
        <w:rPr>
          <w:rFonts w:asciiTheme="majorHAnsi" w:hAnsiTheme="majorHAnsi" w:cs="TimesNewRomanPSMT"/>
        </w:rPr>
        <w:t xml:space="preserve">certain </w:t>
      </w:r>
      <w:r w:rsidR="003C106D" w:rsidRPr="00A9681B">
        <w:rPr>
          <w:rFonts w:asciiTheme="majorHAnsi" w:hAnsiTheme="majorHAnsi" w:cs="TimesNewRomanPSMT"/>
        </w:rPr>
        <w:t>measures</w:t>
      </w:r>
      <w:r w:rsidR="00FE39CC" w:rsidRPr="00A9681B">
        <w:rPr>
          <w:rFonts w:asciiTheme="majorHAnsi" w:hAnsiTheme="majorHAnsi" w:cs="TimesNewRomanPSMT"/>
        </w:rPr>
        <w:t xml:space="preserve"> in this context</w:t>
      </w:r>
      <w:r w:rsidR="00644A92" w:rsidRPr="00A9681B">
        <w:rPr>
          <w:rFonts w:asciiTheme="majorHAnsi" w:hAnsiTheme="majorHAnsi" w:cs="TimesNewRomanPSMT"/>
        </w:rPr>
        <w:t>,</w:t>
      </w:r>
      <w:r w:rsidR="003C106D" w:rsidRPr="00A9681B">
        <w:rPr>
          <w:rFonts w:asciiTheme="majorHAnsi" w:hAnsiTheme="majorHAnsi" w:cs="TimesNewRomanPSMT"/>
        </w:rPr>
        <w:t xml:space="preserve"> such </w:t>
      </w:r>
      <w:r w:rsidR="009323AE" w:rsidRPr="00A9681B">
        <w:rPr>
          <w:rFonts w:asciiTheme="majorHAnsi" w:hAnsiTheme="majorHAnsi" w:cs="TimesNewRomanPSMT"/>
        </w:rPr>
        <w:t>as maxim</w:t>
      </w:r>
      <w:r w:rsidR="000A6B51" w:rsidRPr="00A9681B">
        <w:rPr>
          <w:rFonts w:asciiTheme="majorHAnsi" w:hAnsiTheme="majorHAnsi" w:cs="TimesNewRomanPSMT"/>
        </w:rPr>
        <w:t>um</w:t>
      </w:r>
      <w:r w:rsidR="009B7F56" w:rsidRPr="00A9681B">
        <w:rPr>
          <w:rFonts w:asciiTheme="majorHAnsi" w:hAnsiTheme="majorHAnsi" w:cs="TimesNewRomanPSMT"/>
        </w:rPr>
        <w:t xml:space="preserve"> prices or</w:t>
      </w:r>
      <w:r w:rsidR="00FE39CC" w:rsidRPr="00A9681B">
        <w:rPr>
          <w:rFonts w:asciiTheme="majorHAnsi" w:hAnsiTheme="majorHAnsi" w:cs="TimesNewRomanPSMT"/>
        </w:rPr>
        <w:t xml:space="preserve"> S</w:t>
      </w:r>
      <w:r w:rsidR="003C106D" w:rsidRPr="00A9681B">
        <w:rPr>
          <w:rFonts w:asciiTheme="majorHAnsi" w:hAnsiTheme="majorHAnsi" w:cs="TimesNewRomanPSMT"/>
        </w:rPr>
        <w:t xml:space="preserve">tate </w:t>
      </w:r>
      <w:r w:rsidR="009B7F56" w:rsidRPr="00A9681B">
        <w:rPr>
          <w:rFonts w:asciiTheme="majorHAnsi" w:hAnsiTheme="majorHAnsi" w:cs="TimesNewRomanPSMT"/>
        </w:rPr>
        <w:t xml:space="preserve">subsidies based on </w:t>
      </w:r>
      <w:r w:rsidR="00FE39CC" w:rsidRPr="00A9681B">
        <w:rPr>
          <w:rFonts w:asciiTheme="majorHAnsi" w:hAnsiTheme="majorHAnsi" w:cs="TimesNewRomanPSMT"/>
        </w:rPr>
        <w:t>indigence</w:t>
      </w:r>
      <w:r w:rsidR="003C106D" w:rsidRPr="00A9681B">
        <w:rPr>
          <w:rFonts w:asciiTheme="majorHAnsi" w:hAnsiTheme="majorHAnsi" w:cs="TimesNewRomanPSMT"/>
        </w:rPr>
        <w:t xml:space="preserve">. However, the schoolbook distribution </w:t>
      </w:r>
      <w:r w:rsidR="000A6B51" w:rsidRPr="00A9681B">
        <w:rPr>
          <w:rFonts w:asciiTheme="majorHAnsi" w:hAnsiTheme="majorHAnsi" w:cs="TimesNewRomanPSMT"/>
        </w:rPr>
        <w:t>sector</w:t>
      </w:r>
      <w:r w:rsidR="003C106D" w:rsidRPr="00A9681B">
        <w:rPr>
          <w:rFonts w:asciiTheme="majorHAnsi" w:hAnsiTheme="majorHAnsi" w:cs="TimesNewRomanPSMT"/>
        </w:rPr>
        <w:t xml:space="preserve"> in itself was an unregulated market. </w:t>
      </w:r>
      <w:r w:rsidR="009B7F56" w:rsidRPr="00A9681B">
        <w:rPr>
          <w:rFonts w:asciiTheme="majorHAnsi" w:hAnsiTheme="majorHAnsi" w:cs="TimesNewRomanPSMT"/>
        </w:rPr>
        <w:t>The schoolbook distributors</w:t>
      </w:r>
      <w:r w:rsidR="00A9681B" w:rsidRPr="00A9681B">
        <w:rPr>
          <w:rFonts w:asciiTheme="majorHAnsi" w:hAnsiTheme="majorHAnsi" w:cs="TimesNewRomanPSMT"/>
        </w:rPr>
        <w:t>’</w:t>
      </w:r>
      <w:r w:rsidR="004F3733" w:rsidRPr="00A9681B">
        <w:rPr>
          <w:rFonts w:asciiTheme="majorHAnsi" w:hAnsiTheme="majorHAnsi" w:cs="TimesNewRomanPSMT"/>
        </w:rPr>
        <w:t xml:space="preserve"> cli</w:t>
      </w:r>
      <w:r w:rsidR="002C2C87" w:rsidRPr="00A9681B">
        <w:rPr>
          <w:rFonts w:asciiTheme="majorHAnsi" w:hAnsiTheme="majorHAnsi" w:cs="TimesNewRomanPSMT"/>
        </w:rPr>
        <w:t>ents were the schools</w:t>
      </w:r>
      <w:r w:rsidR="000A6B51" w:rsidRPr="00A9681B">
        <w:rPr>
          <w:rFonts w:asciiTheme="majorHAnsi" w:hAnsiTheme="majorHAnsi" w:cs="TimesNewRomanPSMT"/>
        </w:rPr>
        <w:t>,</w:t>
      </w:r>
      <w:r w:rsidR="002C2C87" w:rsidRPr="00A9681B">
        <w:rPr>
          <w:rFonts w:asciiTheme="majorHAnsi" w:hAnsiTheme="majorHAnsi" w:cs="TimesNewRomanPSMT"/>
        </w:rPr>
        <w:t xml:space="preserve"> wh</w:t>
      </w:r>
      <w:r w:rsidR="000A6B51" w:rsidRPr="00A9681B">
        <w:rPr>
          <w:rFonts w:asciiTheme="majorHAnsi" w:hAnsiTheme="majorHAnsi" w:cs="TimesNewRomanPSMT"/>
        </w:rPr>
        <w:t>ich</w:t>
      </w:r>
      <w:r w:rsidR="002C2C87" w:rsidRPr="00A9681B">
        <w:rPr>
          <w:rFonts w:asciiTheme="majorHAnsi" w:hAnsiTheme="majorHAnsi" w:cs="TimesNewRomanPSMT"/>
        </w:rPr>
        <w:t xml:space="preserve">, in an often </w:t>
      </w:r>
      <w:r w:rsidR="004F3733" w:rsidRPr="00A9681B">
        <w:rPr>
          <w:rFonts w:asciiTheme="majorHAnsi" w:hAnsiTheme="majorHAnsi" w:cs="TimesNewRomanPSMT"/>
        </w:rPr>
        <w:t xml:space="preserve">highly competitive market, were able to </w:t>
      </w:r>
      <w:r w:rsidR="00FE39CC" w:rsidRPr="00A9681B">
        <w:rPr>
          <w:rFonts w:asciiTheme="majorHAnsi" w:hAnsiTheme="majorHAnsi" w:cs="TimesNewRomanPSMT"/>
        </w:rPr>
        <w:t>select</w:t>
      </w:r>
      <w:r w:rsidR="009323AE" w:rsidRPr="00A9681B">
        <w:rPr>
          <w:rFonts w:asciiTheme="majorHAnsi" w:hAnsiTheme="majorHAnsi" w:cs="TimesNewRomanPSMT"/>
        </w:rPr>
        <w:t xml:space="preserve"> the publisher</w:t>
      </w:r>
      <w:r w:rsidR="000A6B51" w:rsidRPr="00A9681B">
        <w:rPr>
          <w:rFonts w:asciiTheme="majorHAnsi" w:hAnsiTheme="majorHAnsi" w:cs="TimesNewRomanPSMT"/>
        </w:rPr>
        <w:t>s</w:t>
      </w:r>
      <w:r w:rsidR="009323AE" w:rsidRPr="00A9681B">
        <w:rPr>
          <w:rFonts w:asciiTheme="majorHAnsi" w:hAnsiTheme="majorHAnsi" w:cs="TimesNewRomanPSMT"/>
        </w:rPr>
        <w:t xml:space="preserve"> and schoolbook distributor</w:t>
      </w:r>
      <w:r w:rsidR="000A6B51" w:rsidRPr="00A9681B">
        <w:rPr>
          <w:rFonts w:asciiTheme="majorHAnsi" w:hAnsiTheme="majorHAnsi" w:cs="TimesNewRomanPSMT"/>
        </w:rPr>
        <w:t>s</w:t>
      </w:r>
      <w:r w:rsidR="009323AE" w:rsidRPr="00A9681B">
        <w:rPr>
          <w:rFonts w:asciiTheme="majorHAnsi" w:hAnsiTheme="majorHAnsi" w:cs="TimesNewRomanPSMT"/>
        </w:rPr>
        <w:t xml:space="preserve">, the former for the products </w:t>
      </w:r>
      <w:r w:rsidR="000A6B51" w:rsidRPr="00A9681B">
        <w:rPr>
          <w:rFonts w:asciiTheme="majorHAnsi" w:hAnsiTheme="majorHAnsi" w:cs="TimesNewRomanPSMT"/>
        </w:rPr>
        <w:t xml:space="preserve">they </w:t>
      </w:r>
      <w:r w:rsidR="009323AE" w:rsidRPr="00A9681B">
        <w:rPr>
          <w:rFonts w:asciiTheme="majorHAnsi" w:hAnsiTheme="majorHAnsi" w:cs="TimesNewRomanPSMT"/>
        </w:rPr>
        <w:t xml:space="preserve">offered and the latter </w:t>
      </w:r>
      <w:r w:rsidR="00B8646F" w:rsidRPr="00A9681B">
        <w:rPr>
          <w:rFonts w:asciiTheme="majorHAnsi" w:hAnsiTheme="majorHAnsi" w:cs="TimesNewRomanPSMT"/>
        </w:rPr>
        <w:t xml:space="preserve">mainly for </w:t>
      </w:r>
      <w:r w:rsidR="000A6B51" w:rsidRPr="00A9681B">
        <w:rPr>
          <w:rFonts w:asciiTheme="majorHAnsi" w:hAnsiTheme="majorHAnsi" w:cs="TimesNewRomanPSMT"/>
        </w:rPr>
        <w:t xml:space="preserve">their </w:t>
      </w:r>
      <w:r w:rsidR="00B8646F" w:rsidRPr="00A9681B">
        <w:rPr>
          <w:rFonts w:asciiTheme="majorHAnsi" w:hAnsiTheme="majorHAnsi" w:cs="TimesNewRomanPSMT"/>
        </w:rPr>
        <w:t>reliability</w:t>
      </w:r>
      <w:r w:rsidR="000A6B51" w:rsidRPr="00A9681B">
        <w:rPr>
          <w:rFonts w:asciiTheme="majorHAnsi" w:hAnsiTheme="majorHAnsi" w:cs="TimesNewRomanPSMT"/>
        </w:rPr>
        <w:t xml:space="preserve"> and</w:t>
      </w:r>
      <w:r w:rsidR="00862833" w:rsidRPr="00A9681B">
        <w:rPr>
          <w:rFonts w:asciiTheme="majorHAnsi" w:hAnsiTheme="majorHAnsi" w:cs="TimesNewRomanPSMT"/>
        </w:rPr>
        <w:t xml:space="preserve"> accessibility and for the discounts </w:t>
      </w:r>
      <w:r w:rsidR="00FE39CC" w:rsidRPr="00A9681B">
        <w:rPr>
          <w:rFonts w:asciiTheme="majorHAnsi" w:hAnsiTheme="majorHAnsi" w:cs="TimesNewRomanPSMT"/>
        </w:rPr>
        <w:t>promoted</w:t>
      </w:r>
      <w:r w:rsidR="00B8646F" w:rsidRPr="00A9681B">
        <w:rPr>
          <w:rFonts w:asciiTheme="majorHAnsi" w:hAnsiTheme="majorHAnsi" w:cs="TimesNewRomanPSMT"/>
        </w:rPr>
        <w:t>.</w:t>
      </w:r>
    </w:p>
    <w:p w:rsidR="00766713" w:rsidRPr="00A9681B" w:rsidRDefault="00B8646F" w:rsidP="00A9681B">
      <w:pPr>
        <w:pStyle w:val="ECHRPara"/>
        <w:rPr>
          <w:rFonts w:eastAsia="Times New Roman"/>
          <w:lang w:eastAsia="fr-FR"/>
        </w:rPr>
      </w:pPr>
      <w:r w:rsidRPr="00A9681B">
        <w:fldChar w:fldCharType="begin"/>
      </w:r>
      <w:r w:rsidRPr="00A9681B">
        <w:instrText xml:space="preserve"> SEQ level0 \*arabic </w:instrText>
      </w:r>
      <w:r w:rsidRPr="00A9681B">
        <w:fldChar w:fldCharType="separate"/>
      </w:r>
      <w:r w:rsidR="00A9681B" w:rsidRPr="00A9681B">
        <w:rPr>
          <w:noProof/>
        </w:rPr>
        <w:t>8</w:t>
      </w:r>
      <w:r w:rsidRPr="00A9681B">
        <w:fldChar w:fldCharType="end"/>
      </w:r>
      <w:r w:rsidRPr="00A9681B">
        <w:t xml:space="preserve">.  The task of distributors included not only the provision of logistical services but the </w:t>
      </w:r>
      <w:r w:rsidR="000D4103" w:rsidRPr="00A9681B">
        <w:t>processing</w:t>
      </w:r>
      <w:r w:rsidRPr="00A9681B">
        <w:t xml:space="preserve"> of orders, the management of customised billing and the handling of returns. Most of the companies dealing with the distribution of schoolbooks leased warehouses and delivery vehicles for </w:t>
      </w:r>
      <w:r w:rsidR="000A6B51" w:rsidRPr="00A9681B">
        <w:t xml:space="preserve">a </w:t>
      </w:r>
      <w:r w:rsidR="00472B67" w:rsidRPr="00A9681B">
        <w:t>two-to-four-</w:t>
      </w:r>
      <w:r w:rsidRPr="00A9681B">
        <w:t>month period when per</w:t>
      </w:r>
      <w:r w:rsidR="002C2C87" w:rsidRPr="00A9681B">
        <w:t>f</w:t>
      </w:r>
      <w:r w:rsidR="000D4103" w:rsidRPr="00A9681B">
        <w:t xml:space="preserve">orming their </w:t>
      </w:r>
      <w:r w:rsidR="002C2C87" w:rsidRPr="00A9681B">
        <w:t>activit</w:t>
      </w:r>
      <w:r w:rsidR="000D4103" w:rsidRPr="00A9681B">
        <w:t xml:space="preserve">ies, </w:t>
      </w:r>
      <w:r w:rsidR="000A6B51" w:rsidRPr="00A9681B">
        <w:t xml:space="preserve">which were </w:t>
      </w:r>
      <w:r w:rsidR="000D4103" w:rsidRPr="00A9681B">
        <w:t>predominantly seasonal in nature</w:t>
      </w:r>
      <w:r w:rsidR="002C2C87" w:rsidRPr="00A9681B">
        <w:t>. B</w:t>
      </w:r>
      <w:r w:rsidRPr="00A9681B">
        <w:t>esides their regular staff</w:t>
      </w:r>
      <w:r w:rsidR="000A6B51" w:rsidRPr="00A9681B">
        <w:t>,</w:t>
      </w:r>
      <w:r w:rsidRPr="00A9681B">
        <w:t xml:space="preserve"> ranging from </w:t>
      </w:r>
      <w:r w:rsidR="000A6B51" w:rsidRPr="00A9681B">
        <w:t>three</w:t>
      </w:r>
      <w:r w:rsidRPr="00A9681B">
        <w:t xml:space="preserve"> to </w:t>
      </w:r>
      <w:r w:rsidR="000A6B51" w:rsidRPr="00A9681B">
        <w:t xml:space="preserve">fifty-seven </w:t>
      </w:r>
      <w:r w:rsidRPr="00A9681B">
        <w:t>employees</w:t>
      </w:r>
      <w:r w:rsidR="000D4103" w:rsidRPr="00A9681B">
        <w:t>,</w:t>
      </w:r>
      <w:r w:rsidRPr="00A9681B">
        <w:t xml:space="preserve"> they employed an additional </w:t>
      </w:r>
      <w:r w:rsidR="000A6B51" w:rsidRPr="00A9681B">
        <w:t xml:space="preserve">ten </w:t>
      </w:r>
      <w:r w:rsidRPr="00A9681B">
        <w:t xml:space="preserve">to </w:t>
      </w:r>
      <w:r w:rsidR="000A6B51" w:rsidRPr="00A9681B">
        <w:t xml:space="preserve">thirty </w:t>
      </w:r>
      <w:r w:rsidRPr="00A9681B">
        <w:t>seasonal workers, normally students</w:t>
      </w:r>
      <w:r w:rsidR="000D4103" w:rsidRPr="00A9681B">
        <w:t>,</w:t>
      </w:r>
      <w:r w:rsidRPr="00A9681B">
        <w:t xml:space="preserve"> for </w:t>
      </w:r>
      <w:r w:rsidR="000D4103" w:rsidRPr="00A9681B">
        <w:t xml:space="preserve">the </w:t>
      </w:r>
      <w:r w:rsidRPr="00A9681B">
        <w:t xml:space="preserve">compilation of schoolbook packages. </w:t>
      </w:r>
      <w:r w:rsidR="000A6B51" w:rsidRPr="00A9681B">
        <w:t xml:space="preserve">Larger </w:t>
      </w:r>
      <w:r w:rsidRPr="00A9681B">
        <w:t xml:space="preserve">market participants generally had their own vehicles and storage bases where they performed both retail and wholesale activities. These companies bought the books from the publishers and </w:t>
      </w:r>
      <w:r w:rsidR="005207A2" w:rsidRPr="00A9681B">
        <w:t xml:space="preserve">made </w:t>
      </w:r>
      <w:r w:rsidRPr="00A9681B">
        <w:t xml:space="preserve">them </w:t>
      </w:r>
      <w:r w:rsidR="005207A2" w:rsidRPr="00A9681B">
        <w:t xml:space="preserve">available </w:t>
      </w:r>
      <w:r w:rsidRPr="00A9681B">
        <w:t xml:space="preserve">to the smaller distributors. </w:t>
      </w:r>
      <w:r w:rsidRPr="00A9681B">
        <w:rPr>
          <w:rFonts w:eastAsia="Times New Roman"/>
          <w:lang w:eastAsia="fr-FR"/>
        </w:rPr>
        <w:t xml:space="preserve">There were </w:t>
      </w:r>
      <w:r w:rsidR="00EF58C9" w:rsidRPr="00A9681B">
        <w:rPr>
          <w:rFonts w:eastAsia="Times New Roman"/>
          <w:lang w:eastAsia="fr-FR"/>
        </w:rPr>
        <w:t>well over thirty</w:t>
      </w:r>
      <w:r w:rsidRPr="00A9681B">
        <w:rPr>
          <w:rFonts w:eastAsia="Times New Roman"/>
          <w:lang w:eastAsia="fr-FR"/>
        </w:rPr>
        <w:t xml:space="preserve"> market-dominant schoolbook distributors operating in the country (six large and about thirty medium-sized distributors).</w:t>
      </w:r>
    </w:p>
    <w:p w:rsidR="00B8646F" w:rsidRPr="00A9681B" w:rsidRDefault="00EF3E27" w:rsidP="00A9681B">
      <w:pPr>
        <w:pStyle w:val="ECHRPara"/>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9</w:t>
      </w:r>
      <w:r w:rsidRPr="00A9681B">
        <w:rPr>
          <w:rFonts w:eastAsia="Times New Roman"/>
          <w:lang w:eastAsia="fr-FR"/>
        </w:rPr>
        <w:fldChar w:fldCharType="end"/>
      </w:r>
      <w:r w:rsidRPr="00A9681B">
        <w:rPr>
          <w:rFonts w:eastAsia="Times New Roman"/>
          <w:lang w:eastAsia="fr-FR"/>
        </w:rPr>
        <w:t>.  </w:t>
      </w:r>
      <w:r w:rsidR="00D51FE6" w:rsidRPr="00A9681B">
        <w:rPr>
          <w:rFonts w:eastAsia="Times New Roman"/>
          <w:lang w:eastAsia="fr-FR"/>
        </w:rPr>
        <w:t>P</w:t>
      </w:r>
      <w:r w:rsidR="00B8646F" w:rsidRPr="00A9681B">
        <w:rPr>
          <w:rFonts w:eastAsia="Times New Roman"/>
          <w:lang w:eastAsia="fr-FR"/>
        </w:rPr>
        <w:t>articipants in the market strove to acquire as many schools as possible as clients, in particular those which were located in the area close to the distributors</w:t>
      </w:r>
      <w:r w:rsidR="00A9681B" w:rsidRPr="00A9681B">
        <w:rPr>
          <w:rFonts w:eastAsia="Times New Roman"/>
          <w:lang w:eastAsia="fr-FR"/>
        </w:rPr>
        <w:t>’</w:t>
      </w:r>
      <w:r w:rsidR="00B8646F" w:rsidRPr="00A9681B">
        <w:rPr>
          <w:rFonts w:eastAsia="Times New Roman"/>
          <w:lang w:eastAsia="fr-FR"/>
        </w:rPr>
        <w:t xml:space="preserve"> warehouses, </w:t>
      </w:r>
      <w:r w:rsidR="00B8646F" w:rsidRPr="00A9681B">
        <w:t>in order to be able to optimise delivery costs</w:t>
      </w:r>
      <w:r w:rsidR="00B8646F" w:rsidRPr="00A9681B">
        <w:rPr>
          <w:rFonts w:eastAsia="Times New Roman"/>
          <w:lang w:eastAsia="fr-FR"/>
        </w:rPr>
        <w:t>. They made continuous efforts to keep</w:t>
      </w:r>
      <w:r w:rsidR="005207A2" w:rsidRPr="00A9681B">
        <w:rPr>
          <w:rFonts w:eastAsia="Times New Roman"/>
          <w:lang w:eastAsia="fr-FR"/>
        </w:rPr>
        <w:t xml:space="preserve"> hold of</w:t>
      </w:r>
      <w:r w:rsidR="00B8646F" w:rsidRPr="00A9681B">
        <w:rPr>
          <w:rFonts w:eastAsia="Times New Roman"/>
          <w:lang w:eastAsia="fr-FR"/>
        </w:rPr>
        <w:t xml:space="preserve"> their clients, the schools, by providing flexible and prompt services.</w:t>
      </w:r>
      <w:r w:rsidR="00B8646F" w:rsidRPr="00A9681B">
        <w:t xml:space="preserve"> The wholesale price margin was generally </w:t>
      </w:r>
      <w:r w:rsidR="00D51FE6" w:rsidRPr="00A9681B">
        <w:t>about</w:t>
      </w:r>
      <w:r w:rsidR="00424704" w:rsidRPr="00A9681B">
        <w:t xml:space="preserve"> 3</w:t>
      </w:r>
      <w:r w:rsidR="005207A2" w:rsidRPr="00A9681B">
        <w:t>%</w:t>
      </w:r>
      <w:r w:rsidR="00424704" w:rsidRPr="00A9681B">
        <w:t xml:space="preserve"> to 5</w:t>
      </w:r>
      <w:r w:rsidR="005207A2" w:rsidRPr="00A9681B">
        <w:t>%</w:t>
      </w:r>
      <w:r w:rsidR="00424704" w:rsidRPr="00A9681B">
        <w:t xml:space="preserve">, </w:t>
      </w:r>
      <w:r w:rsidR="005207A2" w:rsidRPr="00A9681B">
        <w:t xml:space="preserve">and </w:t>
      </w:r>
      <w:r w:rsidR="00424704" w:rsidRPr="00A9681B">
        <w:t>the operating profit about 1</w:t>
      </w:r>
      <w:r w:rsidR="005207A2" w:rsidRPr="00A9681B">
        <w:t>%</w:t>
      </w:r>
      <w:r w:rsidR="00424704" w:rsidRPr="00A9681B">
        <w:t xml:space="preserve"> to 5</w:t>
      </w:r>
      <w:r w:rsidR="005207A2" w:rsidRPr="00A9681B">
        <w:t>%</w:t>
      </w:r>
      <w:r w:rsidR="00B8646F" w:rsidRPr="00A9681B">
        <w:t>.</w:t>
      </w:r>
    </w:p>
    <w:p w:rsidR="00B8646F" w:rsidRPr="00A9681B" w:rsidRDefault="00B8646F"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10</w:t>
      </w:r>
      <w:r w:rsidRPr="00A9681B">
        <w:fldChar w:fldCharType="end"/>
      </w:r>
      <w:r w:rsidRPr="00A9681B">
        <w:t>.  The first applicant, Könyv-Tár Kft</w:t>
      </w:r>
      <w:r w:rsidR="002C2C87" w:rsidRPr="00A9681B">
        <w:t>,</w:t>
      </w:r>
      <w:r w:rsidRPr="00A9681B">
        <w:t xml:space="preserve"> distributed educational materials for elementary and secondary schools. In this activity, it had business relationships with some 200 publishers, </w:t>
      </w:r>
      <w:r w:rsidR="005207A2" w:rsidRPr="00A9681B">
        <w:t xml:space="preserve">sixty </w:t>
      </w:r>
      <w:r w:rsidRPr="00A9681B">
        <w:t>of them being s</w:t>
      </w:r>
      <w:r w:rsidR="002C2C87" w:rsidRPr="00A9681B">
        <w:t xml:space="preserve">choolbook publishers. In 2012 </w:t>
      </w:r>
      <w:r w:rsidR="00D51FE6" w:rsidRPr="00A9681B">
        <w:t>it</w:t>
      </w:r>
      <w:r w:rsidRPr="00A9681B">
        <w:t xml:space="preserve"> supplied 126 schools.</w:t>
      </w:r>
    </w:p>
    <w:p w:rsidR="00B8646F" w:rsidRPr="00A9681B" w:rsidRDefault="00B8646F" w:rsidP="00A9681B">
      <w:pPr>
        <w:pStyle w:val="ECHRPara"/>
        <w:rPr>
          <w:rFonts w:asciiTheme="majorHAnsi" w:hAnsiTheme="majorHAnsi" w:cs="TimesNewRomanPSMT"/>
        </w:rPr>
      </w:pPr>
      <w:r w:rsidRPr="00A9681B">
        <w:lastRenderedPageBreak/>
        <w:fldChar w:fldCharType="begin"/>
      </w:r>
      <w:r w:rsidRPr="00A9681B">
        <w:instrText xml:space="preserve"> SEQ level0 \*arabic </w:instrText>
      </w:r>
      <w:r w:rsidRPr="00A9681B">
        <w:fldChar w:fldCharType="separate"/>
      </w:r>
      <w:r w:rsidR="00A9681B" w:rsidRPr="00A9681B">
        <w:rPr>
          <w:noProof/>
        </w:rPr>
        <w:t>11</w:t>
      </w:r>
      <w:r w:rsidRPr="00A9681B">
        <w:fldChar w:fldCharType="end"/>
      </w:r>
      <w:r w:rsidRPr="00A9681B">
        <w:t>.  The second applicant, Suli-Könyv Kft</w:t>
      </w:r>
      <w:r w:rsidR="002C2C87" w:rsidRPr="00A9681B">
        <w:t>,</w:t>
      </w:r>
      <w:r w:rsidRPr="00A9681B">
        <w:t xml:space="preserve"> s</w:t>
      </w:r>
      <w:r w:rsidR="00424704" w:rsidRPr="00A9681B">
        <w:t>erved directly (i) 90</w:t>
      </w:r>
      <w:r w:rsidR="005207A2" w:rsidRPr="00A9681B">
        <w:t>%</w:t>
      </w:r>
      <w:r w:rsidR="00424704" w:rsidRPr="00A9681B">
        <w:t xml:space="preserve"> to 95</w:t>
      </w:r>
      <w:r w:rsidR="005207A2" w:rsidRPr="00A9681B">
        <w:t>%</w:t>
      </w:r>
      <w:r w:rsidR="00424704" w:rsidRPr="00A9681B">
        <w:t xml:space="preserve"> </w:t>
      </w:r>
      <w:r w:rsidR="002C2C87" w:rsidRPr="00A9681B">
        <w:t xml:space="preserve">of </w:t>
      </w:r>
      <w:r w:rsidRPr="00A9681B">
        <w:t>schools in Kom</w:t>
      </w:r>
      <w:r w:rsidR="00424704" w:rsidRPr="00A9681B">
        <w:t>árom-Esztergom County; (ii) 100</w:t>
      </w:r>
      <w:r w:rsidR="005207A2" w:rsidRPr="00A9681B">
        <w:t>%</w:t>
      </w:r>
      <w:r w:rsidR="00424704" w:rsidRPr="00A9681B">
        <w:t xml:space="preserve"> </w:t>
      </w:r>
      <w:r w:rsidRPr="00A9681B">
        <w:t>of schools in the wester</w:t>
      </w:r>
      <w:r w:rsidR="00424704" w:rsidRPr="00A9681B">
        <w:t>n part of Pest County; (iii) 65</w:t>
      </w:r>
      <w:r w:rsidR="005207A2" w:rsidRPr="00A9681B">
        <w:t>%</w:t>
      </w:r>
      <w:r w:rsidR="00424704" w:rsidRPr="00A9681B">
        <w:t xml:space="preserve"> to</w:t>
      </w:r>
      <w:r w:rsidR="005207A2" w:rsidRPr="00A9681B">
        <w:t xml:space="preserve"> </w:t>
      </w:r>
      <w:r w:rsidR="00424704" w:rsidRPr="00A9681B">
        <w:t>70</w:t>
      </w:r>
      <w:r w:rsidR="005207A2" w:rsidRPr="00A9681B">
        <w:t>%</w:t>
      </w:r>
      <w:r w:rsidRPr="00A9681B">
        <w:t>) of schools in the northe</w:t>
      </w:r>
      <w:r w:rsidR="00424704" w:rsidRPr="00A9681B">
        <w:t>rn part of Pest County; (iv) 95</w:t>
      </w:r>
      <w:r w:rsidR="005207A2" w:rsidRPr="00A9681B">
        <w:t>%</w:t>
      </w:r>
      <w:r w:rsidR="00424704" w:rsidRPr="00A9681B">
        <w:t xml:space="preserve"> to 100</w:t>
      </w:r>
      <w:r w:rsidR="005207A2" w:rsidRPr="00A9681B">
        <w:t>%</w:t>
      </w:r>
      <w:r w:rsidR="00424704" w:rsidRPr="00A9681B">
        <w:t xml:space="preserve"> </w:t>
      </w:r>
      <w:r w:rsidRPr="00A9681B">
        <w:t>of schools in Győr-Moson-Sopron County; (v</w:t>
      </w:r>
      <w:r w:rsidR="00424704" w:rsidRPr="00A9681B">
        <w:t>) 95</w:t>
      </w:r>
      <w:r w:rsidR="005207A2" w:rsidRPr="00A9681B">
        <w:t>%</w:t>
      </w:r>
      <w:r w:rsidR="00424704" w:rsidRPr="00A9681B">
        <w:t xml:space="preserve"> to 100</w:t>
      </w:r>
      <w:r w:rsidR="005207A2" w:rsidRPr="00A9681B">
        <w:t>%</w:t>
      </w:r>
      <w:r w:rsidR="00424704" w:rsidRPr="00A9681B">
        <w:t xml:space="preserve"> </w:t>
      </w:r>
      <w:r w:rsidRPr="00A9681B">
        <w:t xml:space="preserve">of </w:t>
      </w:r>
      <w:r w:rsidR="00424704" w:rsidRPr="00A9681B">
        <w:t>schools in Vas County; (vi) 85</w:t>
      </w:r>
      <w:r w:rsidR="005207A2" w:rsidRPr="00A9681B">
        <w:t>%</w:t>
      </w:r>
      <w:r w:rsidR="00424704" w:rsidRPr="00A9681B">
        <w:t xml:space="preserve"> to 90</w:t>
      </w:r>
      <w:r w:rsidR="005207A2" w:rsidRPr="00A9681B">
        <w:t>%</w:t>
      </w:r>
      <w:r w:rsidR="00424704" w:rsidRPr="00A9681B">
        <w:t xml:space="preserve"> </w:t>
      </w:r>
      <w:r w:rsidRPr="00A9681B">
        <w:t>of schools in Veszprém County</w:t>
      </w:r>
      <w:r w:rsidR="005207A2" w:rsidRPr="00A9681B">
        <w:t>;</w:t>
      </w:r>
      <w:r w:rsidRPr="00A9681B">
        <w:t xml:space="preserve"> and </w:t>
      </w:r>
      <w:r w:rsidR="002C2C87" w:rsidRPr="00A9681B">
        <w:t xml:space="preserve">(vii) </w:t>
      </w:r>
      <w:r w:rsidR="00424704" w:rsidRPr="00A9681B">
        <w:t>25</w:t>
      </w:r>
      <w:r w:rsidR="005207A2" w:rsidRPr="00A9681B">
        <w:t>%</w:t>
      </w:r>
      <w:r w:rsidR="00424704" w:rsidRPr="00A9681B">
        <w:t xml:space="preserve"> to 30</w:t>
      </w:r>
      <w:r w:rsidR="005207A2" w:rsidRPr="00A9681B">
        <w:t>%</w:t>
      </w:r>
      <w:r w:rsidR="00424704" w:rsidRPr="00A9681B">
        <w:t xml:space="preserve"> </w:t>
      </w:r>
      <w:r w:rsidRPr="00A9681B">
        <w:t>of schools in Budapest.</w:t>
      </w:r>
      <w:r w:rsidR="002C2C87" w:rsidRPr="00A9681B">
        <w:t xml:space="preserve"> </w:t>
      </w:r>
      <w:r w:rsidRPr="00A9681B">
        <w:t xml:space="preserve">Moreover, it supplied more than 1,200 schools indirectly via subcontractors dealing exclusively in schoolbook retail, competing with another five </w:t>
      </w:r>
      <w:r w:rsidR="005207A2" w:rsidRPr="00A9681B">
        <w:t xml:space="preserve">large </w:t>
      </w:r>
      <w:r w:rsidRPr="00A9681B">
        <w:t>distributors.</w:t>
      </w:r>
    </w:p>
    <w:p w:rsidR="00B8646F" w:rsidRPr="00A9681B" w:rsidRDefault="006B64A9"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12</w:t>
      </w:r>
      <w:r w:rsidRPr="00A9681B">
        <w:rPr>
          <w:rFonts w:eastAsia="Times New Roman"/>
          <w:lang w:eastAsia="fr-FR"/>
        </w:rPr>
        <w:fldChar w:fldCharType="end"/>
      </w:r>
      <w:r w:rsidRPr="00A9681B">
        <w:rPr>
          <w:rFonts w:eastAsia="Times New Roman"/>
          <w:lang w:eastAsia="fr-FR"/>
        </w:rPr>
        <w:t>.  </w:t>
      </w:r>
      <w:r w:rsidR="00B8646F" w:rsidRPr="00A9681B">
        <w:rPr>
          <w:rFonts w:eastAsia="Times New Roman"/>
          <w:lang w:eastAsia="fr-FR"/>
        </w:rPr>
        <w:t xml:space="preserve">The third applicant, </w:t>
      </w:r>
      <w:r w:rsidR="00B8646F" w:rsidRPr="00A9681B">
        <w:t>Tankönyv-ker Bt</w:t>
      </w:r>
      <w:r w:rsidR="002C2C87" w:rsidRPr="00A9681B">
        <w:t>,</w:t>
      </w:r>
      <w:r w:rsidR="00B8646F" w:rsidRPr="00A9681B">
        <w:t xml:space="preserve"> supplied </w:t>
      </w:r>
      <w:r w:rsidR="00D51FE6" w:rsidRPr="00A9681B">
        <w:t xml:space="preserve">about </w:t>
      </w:r>
      <w:r w:rsidR="005207A2" w:rsidRPr="00A9681B">
        <w:t xml:space="preserve">thirty-five </w:t>
      </w:r>
      <w:r w:rsidR="00B8646F" w:rsidRPr="00A9681B">
        <w:t>schools in two counties.</w:t>
      </w:r>
    </w:p>
    <w:p w:rsidR="00766713" w:rsidRPr="00A9681B" w:rsidRDefault="00B8646F"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13</w:t>
      </w:r>
      <w:r w:rsidRPr="00A9681B">
        <w:rPr>
          <w:rFonts w:eastAsia="Times New Roman"/>
          <w:lang w:eastAsia="fr-FR"/>
        </w:rPr>
        <w:fldChar w:fldCharType="end"/>
      </w:r>
      <w:r w:rsidRPr="00A9681B">
        <w:rPr>
          <w:rFonts w:eastAsia="Times New Roman"/>
          <w:lang w:eastAsia="fr-FR"/>
        </w:rPr>
        <w:t>.  </w:t>
      </w:r>
      <w:r w:rsidR="006B64A9" w:rsidRPr="00A9681B">
        <w:rPr>
          <w:rFonts w:eastAsia="Times New Roman"/>
          <w:lang w:eastAsia="fr-FR"/>
        </w:rPr>
        <w:t xml:space="preserve">The New Regulations introduced a new system of schoolbook distribution in Hungary, laying </w:t>
      </w:r>
      <w:r w:rsidR="00712716" w:rsidRPr="00A9681B">
        <w:rPr>
          <w:rFonts w:eastAsia="Times New Roman"/>
          <w:lang w:eastAsia="fr-FR"/>
        </w:rPr>
        <w:t xml:space="preserve">down that “schoolbook supply” </w:t>
      </w:r>
      <w:r w:rsidR="001B31D2" w:rsidRPr="00A9681B">
        <w:rPr>
          <w:rFonts w:eastAsia="Times New Roman"/>
          <w:lang w:eastAsia="fr-FR"/>
        </w:rPr>
        <w:softHyphen/>
        <w:t>–</w:t>
      </w:r>
      <w:r w:rsidR="00712716" w:rsidRPr="00A9681B">
        <w:rPr>
          <w:rFonts w:eastAsia="Times New Roman"/>
          <w:lang w:eastAsia="fr-FR"/>
        </w:rPr>
        <w:t xml:space="preserve"> </w:t>
      </w:r>
      <w:r w:rsidR="006B64A9" w:rsidRPr="00A9681B">
        <w:rPr>
          <w:rFonts w:eastAsia="Times New Roman"/>
          <w:lang w:eastAsia="fr-FR"/>
        </w:rPr>
        <w:t>comprising the order</w:t>
      </w:r>
      <w:r w:rsidR="005207A2" w:rsidRPr="00A9681B">
        <w:rPr>
          <w:rFonts w:eastAsia="Times New Roman"/>
          <w:lang w:eastAsia="fr-FR"/>
        </w:rPr>
        <w:t xml:space="preserve"> and</w:t>
      </w:r>
      <w:r w:rsidR="006B64A9" w:rsidRPr="00A9681B">
        <w:rPr>
          <w:rFonts w:eastAsia="Times New Roman"/>
          <w:lang w:eastAsia="fr-FR"/>
        </w:rPr>
        <w:t xml:space="preserve"> purchase of school textbooks</w:t>
      </w:r>
      <w:r w:rsidR="005207A2" w:rsidRPr="00A9681B">
        <w:rPr>
          <w:rFonts w:eastAsia="Times New Roman"/>
          <w:lang w:eastAsia="fr-FR"/>
        </w:rPr>
        <w:t xml:space="preserve"> and their delivery</w:t>
      </w:r>
      <w:r w:rsidR="006B64A9" w:rsidRPr="00A9681B">
        <w:rPr>
          <w:rFonts w:eastAsia="Times New Roman"/>
          <w:lang w:eastAsia="fr-FR"/>
        </w:rPr>
        <w:t xml:space="preserve"> to schools, and the collection of the purchase price from schools – was a public-interest responsibility of the State.</w:t>
      </w:r>
    </w:p>
    <w:bookmarkStart w:id="2" w:name="T3"/>
    <w:p w:rsidR="00766713" w:rsidRPr="00A9681B" w:rsidRDefault="00F36517"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14</w:t>
      </w:r>
      <w:r w:rsidRPr="00A9681B">
        <w:rPr>
          <w:rFonts w:eastAsia="Times New Roman"/>
          <w:lang w:eastAsia="fr-FR"/>
        </w:rPr>
        <w:fldChar w:fldCharType="end"/>
      </w:r>
      <w:bookmarkEnd w:id="2"/>
      <w:r w:rsidRPr="00A9681B">
        <w:rPr>
          <w:rFonts w:eastAsia="Times New Roman"/>
          <w:lang w:eastAsia="fr-FR"/>
        </w:rPr>
        <w:t>.  </w:t>
      </w:r>
      <w:r w:rsidR="006B64A9" w:rsidRPr="00A9681B">
        <w:rPr>
          <w:rFonts w:eastAsia="Times New Roman"/>
          <w:lang w:eastAsia="fr-FR"/>
        </w:rPr>
        <w:t xml:space="preserve">According to the reasoning of the relevant bill, the </w:t>
      </w:r>
      <w:r w:rsidR="001B31D2" w:rsidRPr="00A9681B">
        <w:rPr>
          <w:rFonts w:eastAsia="Times New Roman"/>
          <w:lang w:eastAsia="fr-FR"/>
        </w:rPr>
        <w:t>legislature</w:t>
      </w:r>
      <w:r w:rsidR="00A9681B" w:rsidRPr="00A9681B">
        <w:rPr>
          <w:rFonts w:eastAsia="Times New Roman"/>
          <w:lang w:eastAsia="fr-FR"/>
        </w:rPr>
        <w:t>’</w:t>
      </w:r>
      <w:r w:rsidR="001B31D2" w:rsidRPr="00A9681B">
        <w:rPr>
          <w:rFonts w:eastAsia="Times New Roman"/>
          <w:lang w:eastAsia="fr-FR"/>
        </w:rPr>
        <w:t xml:space="preserve">s </w:t>
      </w:r>
      <w:r w:rsidR="006B64A9" w:rsidRPr="00A9681B">
        <w:rPr>
          <w:rFonts w:eastAsia="Times New Roman"/>
          <w:lang w:eastAsia="fr-FR"/>
        </w:rPr>
        <w:t>intention was to discharge these duties through a single, State-owned non-profit book distribution company, Könyvtárellátó Kiemelten Közhasznú Nonprofit Kft (</w:t>
      </w:r>
      <w:r w:rsidR="00472B67" w:rsidRPr="00A9681B">
        <w:t>Non</w:t>
      </w:r>
      <w:r w:rsidR="00472B67" w:rsidRPr="00A9681B">
        <w:rPr>
          <w:iCs/>
        </w:rPr>
        <w:t>-</w:t>
      </w:r>
      <w:r w:rsidR="00472B67" w:rsidRPr="00A9681B">
        <w:t xml:space="preserve">profit Library Supplier Limited Liability Company; </w:t>
      </w:r>
      <w:r w:rsidR="005207A2" w:rsidRPr="00A9681B">
        <w:t xml:space="preserve">hereinafter </w:t>
      </w:r>
      <w:r w:rsidR="006B64A9" w:rsidRPr="00A9681B">
        <w:rPr>
          <w:rFonts w:eastAsia="Times New Roman"/>
          <w:lang w:eastAsia="fr-FR"/>
        </w:rPr>
        <w:t>“Könyvtárellátó”). A description of the objectives pursued gave the following reasons for the decision:</w:t>
      </w:r>
    </w:p>
    <w:p w:rsidR="006B64A9" w:rsidRPr="00A9681B" w:rsidRDefault="006B64A9" w:rsidP="00A9681B">
      <w:pPr>
        <w:pStyle w:val="ECHRParaQuote"/>
        <w:rPr>
          <w:rFonts w:eastAsia="Times New Roman"/>
          <w:lang w:eastAsia="fr-FR"/>
        </w:rPr>
      </w:pPr>
      <w:r w:rsidRPr="00A9681B">
        <w:rPr>
          <w:rFonts w:eastAsia="Times New Roman"/>
          <w:lang w:eastAsia="fr-FR"/>
        </w:rPr>
        <w:t>“to strengthen the schoolbook procurer</w:t>
      </w:r>
      <w:r w:rsidR="00A9681B" w:rsidRPr="00A9681B">
        <w:rPr>
          <w:rFonts w:eastAsia="Times New Roman"/>
          <w:lang w:eastAsia="fr-FR"/>
        </w:rPr>
        <w:t>’</w:t>
      </w:r>
      <w:r w:rsidRPr="00A9681B">
        <w:rPr>
          <w:rFonts w:eastAsia="Times New Roman"/>
          <w:lang w:eastAsia="fr-FR"/>
        </w:rPr>
        <w:t xml:space="preserve">s position </w:t>
      </w:r>
      <w:r w:rsidR="005207A2" w:rsidRPr="00A9681B">
        <w:rPr>
          <w:rFonts w:eastAsia="Times New Roman"/>
          <w:lang w:eastAsia="fr-FR"/>
        </w:rPr>
        <w:t xml:space="preserve">through </w:t>
      </w:r>
      <w:r w:rsidRPr="00A9681B">
        <w:rPr>
          <w:rFonts w:eastAsia="Times New Roman"/>
          <w:lang w:eastAsia="fr-FR"/>
        </w:rPr>
        <w:t xml:space="preserve">the uniform and centralised procurement of schoolbooks </w:t>
      </w:r>
      <w:r w:rsidR="00766713" w:rsidRPr="00A9681B">
        <w:rPr>
          <w:rFonts w:eastAsia="Times New Roman"/>
          <w:lang w:eastAsia="fr-FR"/>
        </w:rPr>
        <w:t>...</w:t>
      </w:r>
      <w:r w:rsidRPr="00A9681B">
        <w:rPr>
          <w:rFonts w:eastAsia="Times New Roman"/>
          <w:lang w:eastAsia="fr-FR"/>
        </w:rPr>
        <w:t xml:space="preserve"> and </w:t>
      </w:r>
      <w:r w:rsidR="00766713" w:rsidRPr="00A9681B">
        <w:rPr>
          <w:rFonts w:eastAsia="Times New Roman"/>
          <w:lang w:eastAsia="fr-FR"/>
        </w:rPr>
        <w:t>...</w:t>
      </w:r>
      <w:r w:rsidRPr="00A9681B">
        <w:rPr>
          <w:rFonts w:eastAsia="Times New Roman"/>
          <w:lang w:eastAsia="fr-FR"/>
        </w:rPr>
        <w:t xml:space="preserve"> to make schoolbook distribution more transparent by generating competition in a stronger position, that of the procurer</w:t>
      </w:r>
      <w:r w:rsidR="005207A2" w:rsidRPr="00A9681B">
        <w:rPr>
          <w:rFonts w:eastAsia="Times New Roman"/>
          <w:lang w:eastAsia="fr-FR"/>
        </w:rPr>
        <w:t>.</w:t>
      </w:r>
      <w:r w:rsidRPr="00A9681B">
        <w:rPr>
          <w:rFonts w:eastAsia="Times New Roman"/>
          <w:lang w:eastAsia="fr-FR"/>
        </w:rPr>
        <w:t>”</w:t>
      </w:r>
    </w:p>
    <w:p w:rsidR="00766713" w:rsidRPr="00A9681B" w:rsidRDefault="00B31BB3"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15</w:t>
      </w:r>
      <w:r w:rsidRPr="00A9681B">
        <w:rPr>
          <w:rFonts w:eastAsia="Times New Roman"/>
          <w:lang w:eastAsia="fr-FR"/>
        </w:rPr>
        <w:fldChar w:fldCharType="end"/>
      </w:r>
      <w:r w:rsidRPr="00A9681B">
        <w:rPr>
          <w:rFonts w:eastAsia="Times New Roman"/>
          <w:lang w:eastAsia="fr-FR"/>
        </w:rPr>
        <w:t>.  The applicant</w:t>
      </w:r>
      <w:r w:rsidR="00BD1026" w:rsidRPr="00A9681B">
        <w:rPr>
          <w:rFonts w:eastAsia="Times New Roman"/>
          <w:lang w:eastAsia="fr-FR"/>
        </w:rPr>
        <w:t xml:space="preserve"> companies</w:t>
      </w:r>
      <w:r w:rsidRPr="00A9681B">
        <w:rPr>
          <w:rFonts w:eastAsia="Times New Roman"/>
          <w:lang w:eastAsia="fr-FR"/>
        </w:rPr>
        <w:t xml:space="preserve"> </w:t>
      </w:r>
      <w:r w:rsidR="001B2834" w:rsidRPr="00A9681B">
        <w:rPr>
          <w:rFonts w:eastAsia="Times New Roman"/>
          <w:lang w:eastAsia="fr-FR"/>
        </w:rPr>
        <w:t>submitted</w:t>
      </w:r>
      <w:r w:rsidRPr="00A9681B">
        <w:rPr>
          <w:rFonts w:eastAsia="Times New Roman"/>
          <w:lang w:eastAsia="fr-FR"/>
        </w:rPr>
        <w:t xml:space="preserve"> that the New Regulations had centralised and monopolised the schoolbook distribution market </w:t>
      </w:r>
      <w:r w:rsidR="00424704" w:rsidRPr="00A9681B">
        <w:rPr>
          <w:rFonts w:eastAsia="Times New Roman"/>
          <w:lang w:eastAsia="fr-FR"/>
        </w:rPr>
        <w:t xml:space="preserve">with a </w:t>
      </w:r>
      <w:r w:rsidR="005207A2" w:rsidRPr="00A9681B">
        <w:rPr>
          <w:rFonts w:eastAsia="Times New Roman"/>
          <w:lang w:eastAsia="fr-FR"/>
        </w:rPr>
        <w:t xml:space="preserve">guaranteed </w:t>
      </w:r>
      <w:r w:rsidR="00424704" w:rsidRPr="00A9681B">
        <w:rPr>
          <w:rFonts w:eastAsia="Times New Roman"/>
          <w:lang w:eastAsia="fr-FR"/>
        </w:rPr>
        <w:t>margin of 20</w:t>
      </w:r>
      <w:r w:rsidR="005207A2" w:rsidRPr="00A9681B">
        <w:rPr>
          <w:rFonts w:eastAsia="Times New Roman"/>
          <w:lang w:eastAsia="fr-FR"/>
        </w:rPr>
        <w:t>%</w:t>
      </w:r>
      <w:r w:rsidR="00424704" w:rsidRPr="00A9681B">
        <w:rPr>
          <w:rFonts w:eastAsia="Times New Roman"/>
          <w:lang w:eastAsia="fr-FR"/>
        </w:rPr>
        <w:t xml:space="preserve"> </w:t>
      </w:r>
      <w:r w:rsidR="005207A2" w:rsidRPr="00A9681B">
        <w:rPr>
          <w:rFonts w:eastAsia="Times New Roman"/>
          <w:lang w:eastAsia="fr-FR"/>
        </w:rPr>
        <w:t>for</w:t>
      </w:r>
      <w:r w:rsidR="00BD0ADE" w:rsidRPr="00A9681B">
        <w:rPr>
          <w:rFonts w:eastAsia="Times New Roman"/>
          <w:lang w:eastAsia="fr-FR"/>
        </w:rPr>
        <w:t xml:space="preserve"> the State-owned schoolbook distributor, </w:t>
      </w:r>
      <w:r w:rsidRPr="00A9681B">
        <w:rPr>
          <w:rFonts w:eastAsia="Times New Roman"/>
          <w:lang w:eastAsia="fr-FR"/>
        </w:rPr>
        <w:t xml:space="preserve">without providing any compensation </w:t>
      </w:r>
      <w:r w:rsidR="00487E3D" w:rsidRPr="00A9681B">
        <w:rPr>
          <w:rFonts w:eastAsia="Times New Roman"/>
          <w:lang w:eastAsia="fr-FR"/>
        </w:rPr>
        <w:t xml:space="preserve">for </w:t>
      </w:r>
      <w:r w:rsidR="001B2834" w:rsidRPr="00A9681B">
        <w:rPr>
          <w:rFonts w:eastAsia="Times New Roman"/>
          <w:lang w:eastAsia="fr-FR"/>
        </w:rPr>
        <w:t>former</w:t>
      </w:r>
      <w:r w:rsidRPr="00A9681B">
        <w:rPr>
          <w:rFonts w:eastAsia="Times New Roman"/>
          <w:lang w:eastAsia="fr-FR"/>
        </w:rPr>
        <w:t xml:space="preserve"> market participants, including the</w:t>
      </w:r>
      <w:r w:rsidR="000B381F" w:rsidRPr="00A9681B">
        <w:rPr>
          <w:rFonts w:eastAsia="Times New Roman"/>
          <w:lang w:eastAsia="fr-FR"/>
        </w:rPr>
        <w:t>mselves</w:t>
      </w:r>
      <w:r w:rsidRPr="00A9681B">
        <w:rPr>
          <w:rFonts w:eastAsia="Times New Roman"/>
          <w:lang w:eastAsia="fr-FR"/>
        </w:rPr>
        <w:t>. As a consequence, the applicant</w:t>
      </w:r>
      <w:r w:rsidR="00BD1026" w:rsidRPr="00A9681B">
        <w:rPr>
          <w:rFonts w:eastAsia="Times New Roman"/>
          <w:lang w:eastAsia="fr-FR"/>
        </w:rPr>
        <w:t xml:space="preserve"> companies </w:t>
      </w:r>
      <w:r w:rsidRPr="00A9681B">
        <w:rPr>
          <w:rFonts w:eastAsia="Times New Roman"/>
          <w:lang w:eastAsia="fr-FR"/>
        </w:rPr>
        <w:t>and other schoolbook distributors ha</w:t>
      </w:r>
      <w:r w:rsidR="000B381F" w:rsidRPr="00A9681B">
        <w:rPr>
          <w:rFonts w:eastAsia="Times New Roman"/>
          <w:lang w:eastAsia="fr-FR"/>
        </w:rPr>
        <w:t>d</w:t>
      </w:r>
      <w:r w:rsidRPr="00A9681B">
        <w:rPr>
          <w:rFonts w:eastAsia="Times New Roman"/>
          <w:lang w:eastAsia="fr-FR"/>
        </w:rPr>
        <w:t xml:space="preserve"> </w:t>
      </w:r>
      <w:r w:rsidR="00BC18D5" w:rsidRPr="00A9681B">
        <w:t xml:space="preserve">effectively </w:t>
      </w:r>
      <w:r w:rsidR="000B381F" w:rsidRPr="00A9681B">
        <w:rPr>
          <w:rFonts w:eastAsia="Times New Roman"/>
          <w:lang w:eastAsia="fr-FR"/>
        </w:rPr>
        <w:t xml:space="preserve">been </w:t>
      </w:r>
      <w:r w:rsidR="00BC18D5" w:rsidRPr="00A9681B">
        <w:t>barred</w:t>
      </w:r>
      <w:r w:rsidR="00BC18D5" w:rsidRPr="00A9681B">
        <w:rPr>
          <w:rFonts w:eastAsia="Times New Roman"/>
          <w:lang w:eastAsia="fr-FR"/>
        </w:rPr>
        <w:t xml:space="preserve"> </w:t>
      </w:r>
      <w:r w:rsidRPr="00A9681B">
        <w:rPr>
          <w:rFonts w:eastAsia="Times New Roman"/>
          <w:lang w:eastAsia="fr-FR"/>
        </w:rPr>
        <w:t>from the market (which was either their exclusive or major field of activity)</w:t>
      </w:r>
      <w:r w:rsidR="000B381F" w:rsidRPr="00A9681B">
        <w:rPr>
          <w:rFonts w:eastAsia="Times New Roman"/>
          <w:lang w:eastAsia="fr-FR"/>
        </w:rPr>
        <w:t>,</w:t>
      </w:r>
      <w:r w:rsidRPr="00A9681B">
        <w:rPr>
          <w:rFonts w:eastAsia="Times New Roman"/>
          <w:lang w:eastAsia="fr-FR"/>
        </w:rPr>
        <w:t xml:space="preserve"> where they had been operating </w:t>
      </w:r>
      <w:r w:rsidR="00487E3D" w:rsidRPr="00A9681B">
        <w:rPr>
          <w:rFonts w:eastAsia="Times New Roman"/>
          <w:lang w:eastAsia="fr-FR"/>
        </w:rPr>
        <w:t xml:space="preserve">freely </w:t>
      </w:r>
      <w:r w:rsidRPr="00A9681B">
        <w:rPr>
          <w:rFonts w:eastAsia="Times New Roman"/>
          <w:lang w:eastAsia="fr-FR"/>
        </w:rPr>
        <w:t>prior to the entry into force of the New Regulations.</w:t>
      </w:r>
    </w:p>
    <w:p w:rsidR="00B31BB3" w:rsidRPr="00A9681B" w:rsidRDefault="001B2834" w:rsidP="00A9681B">
      <w:pPr>
        <w:pStyle w:val="ECHRPara"/>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16</w:t>
      </w:r>
      <w:r w:rsidRPr="00A9681B">
        <w:rPr>
          <w:rFonts w:eastAsia="Times New Roman"/>
          <w:lang w:eastAsia="fr-FR"/>
        </w:rPr>
        <w:fldChar w:fldCharType="end"/>
      </w:r>
      <w:r w:rsidRPr="00A9681B">
        <w:rPr>
          <w:rFonts w:eastAsia="Times New Roman"/>
          <w:lang w:eastAsia="fr-FR"/>
        </w:rPr>
        <w:t>.  </w:t>
      </w:r>
      <w:r w:rsidR="00D73F89" w:rsidRPr="00A9681B">
        <w:rPr>
          <w:rFonts w:eastAsia="Times New Roman"/>
          <w:lang w:eastAsia="fr-FR"/>
        </w:rPr>
        <w:t>T</w:t>
      </w:r>
      <w:r w:rsidR="00B31BB3" w:rsidRPr="00A9681B">
        <w:rPr>
          <w:rFonts w:eastAsia="Times New Roman"/>
          <w:lang w:eastAsia="fr-FR"/>
        </w:rPr>
        <w:t>he applicant</w:t>
      </w:r>
      <w:r w:rsidR="00BD1026" w:rsidRPr="00A9681B">
        <w:rPr>
          <w:rFonts w:eastAsia="Times New Roman"/>
          <w:lang w:eastAsia="fr-FR"/>
        </w:rPr>
        <w:t xml:space="preserve"> companies</w:t>
      </w:r>
      <w:r w:rsidR="00B31BB3" w:rsidRPr="00A9681B">
        <w:rPr>
          <w:rFonts w:eastAsia="Times New Roman"/>
          <w:lang w:eastAsia="fr-FR"/>
        </w:rPr>
        <w:t xml:space="preserve"> filed a </w:t>
      </w:r>
      <w:r w:rsidR="00D73F89" w:rsidRPr="00A9681B">
        <w:rPr>
          <w:rFonts w:eastAsia="Times New Roman"/>
          <w:lang w:eastAsia="fr-FR"/>
        </w:rPr>
        <w:t xml:space="preserve">constitutional </w:t>
      </w:r>
      <w:r w:rsidR="00B31BB3" w:rsidRPr="00A9681B">
        <w:rPr>
          <w:rFonts w:eastAsia="Times New Roman"/>
          <w:lang w:eastAsia="fr-FR"/>
        </w:rPr>
        <w:t xml:space="preserve">complaint </w:t>
      </w:r>
      <w:r w:rsidR="00563CD6" w:rsidRPr="00A9681B">
        <w:rPr>
          <w:rFonts w:eastAsia="Times New Roman"/>
          <w:lang w:eastAsia="fr-FR"/>
        </w:rPr>
        <w:t xml:space="preserve">with </w:t>
      </w:r>
      <w:r w:rsidR="00D73F89" w:rsidRPr="00A9681B">
        <w:rPr>
          <w:rFonts w:eastAsia="Times New Roman"/>
          <w:lang w:eastAsia="fr-FR"/>
        </w:rPr>
        <w:t>the Constitutional Court</w:t>
      </w:r>
      <w:r w:rsidR="00B31BB3" w:rsidRPr="00A9681B">
        <w:rPr>
          <w:rFonts w:eastAsia="Times New Roman"/>
          <w:lang w:eastAsia="fr-FR"/>
        </w:rPr>
        <w:t xml:space="preserve">, requesting </w:t>
      </w:r>
      <w:r w:rsidR="00B03F1E" w:rsidRPr="00A9681B">
        <w:rPr>
          <w:rFonts w:eastAsia="Times New Roman"/>
          <w:lang w:eastAsia="fr-FR"/>
        </w:rPr>
        <w:t>that</w:t>
      </w:r>
      <w:r w:rsidR="00B31BB3" w:rsidRPr="00A9681B">
        <w:rPr>
          <w:rFonts w:eastAsia="Times New Roman"/>
          <w:lang w:eastAsia="fr-FR"/>
        </w:rPr>
        <w:t xml:space="preserve"> the New Regulations</w:t>
      </w:r>
      <w:r w:rsidR="00B03F1E" w:rsidRPr="00A9681B">
        <w:rPr>
          <w:rFonts w:eastAsia="Times New Roman"/>
          <w:lang w:eastAsia="fr-FR"/>
        </w:rPr>
        <w:t xml:space="preserve"> be repealed</w:t>
      </w:r>
      <w:r w:rsidR="00B31BB3" w:rsidRPr="00A9681B">
        <w:rPr>
          <w:rFonts w:eastAsia="Times New Roman"/>
          <w:lang w:eastAsia="fr-FR"/>
        </w:rPr>
        <w:t xml:space="preserve">. </w:t>
      </w:r>
      <w:r w:rsidR="00B03F1E" w:rsidRPr="00A9681B">
        <w:rPr>
          <w:rFonts w:eastAsia="Times New Roman"/>
          <w:lang w:eastAsia="fr-FR"/>
        </w:rPr>
        <w:t>However, i</w:t>
      </w:r>
      <w:r w:rsidR="00D73F89" w:rsidRPr="00A9681B">
        <w:rPr>
          <w:rFonts w:eastAsia="Times New Roman"/>
          <w:lang w:eastAsia="fr-FR"/>
        </w:rPr>
        <w:t>n their submissions to the Court, t</w:t>
      </w:r>
      <w:r w:rsidR="00B31BB3" w:rsidRPr="00A9681B">
        <w:rPr>
          <w:rFonts w:eastAsia="Times New Roman"/>
          <w:lang w:eastAsia="fr-FR"/>
        </w:rPr>
        <w:t>hey</w:t>
      </w:r>
      <w:r w:rsidR="00D73F89" w:rsidRPr="00A9681B">
        <w:rPr>
          <w:rFonts w:eastAsia="Times New Roman"/>
          <w:lang w:eastAsia="fr-FR"/>
        </w:rPr>
        <w:t xml:space="preserve"> stated</w:t>
      </w:r>
      <w:r w:rsidR="00B31BB3" w:rsidRPr="00A9681B">
        <w:rPr>
          <w:rFonts w:eastAsia="Times New Roman"/>
          <w:lang w:eastAsia="fr-FR"/>
        </w:rPr>
        <w:t xml:space="preserve"> </w:t>
      </w:r>
      <w:r w:rsidR="00D73F89" w:rsidRPr="00A9681B">
        <w:rPr>
          <w:rFonts w:eastAsia="Times New Roman"/>
          <w:lang w:eastAsia="fr-FR"/>
        </w:rPr>
        <w:t xml:space="preserve">that this was not an effective remedy because </w:t>
      </w:r>
      <w:r w:rsidR="00B31BB3" w:rsidRPr="00A9681B">
        <w:rPr>
          <w:rFonts w:eastAsia="Times New Roman"/>
          <w:lang w:eastAsia="fr-FR"/>
        </w:rPr>
        <w:t xml:space="preserve">even if the Constitutional Court </w:t>
      </w:r>
      <w:r w:rsidR="00D73F89" w:rsidRPr="00A9681B">
        <w:rPr>
          <w:rFonts w:eastAsia="Times New Roman"/>
          <w:lang w:eastAsia="fr-FR"/>
        </w:rPr>
        <w:t>had</w:t>
      </w:r>
      <w:r w:rsidR="00563CD6" w:rsidRPr="00A9681B">
        <w:rPr>
          <w:rFonts w:eastAsia="Times New Roman"/>
          <w:lang w:eastAsia="fr-FR"/>
        </w:rPr>
        <w:t xml:space="preserve"> </w:t>
      </w:r>
      <w:r w:rsidRPr="00A9681B">
        <w:rPr>
          <w:rFonts w:eastAsia="Times New Roman"/>
          <w:lang w:eastAsia="fr-FR"/>
        </w:rPr>
        <w:t>repeal</w:t>
      </w:r>
      <w:r w:rsidR="00D73F89" w:rsidRPr="00A9681B">
        <w:rPr>
          <w:rFonts w:eastAsia="Times New Roman"/>
          <w:lang w:eastAsia="fr-FR"/>
        </w:rPr>
        <w:t>ed</w:t>
      </w:r>
      <w:r w:rsidR="00B31BB3" w:rsidRPr="00A9681B">
        <w:rPr>
          <w:rFonts w:eastAsia="Times New Roman"/>
          <w:lang w:eastAsia="fr-FR"/>
        </w:rPr>
        <w:t xml:space="preserve"> the New Regulations, they would </w:t>
      </w:r>
      <w:r w:rsidR="00D73F89" w:rsidRPr="00A9681B">
        <w:rPr>
          <w:rFonts w:eastAsia="Times New Roman"/>
          <w:lang w:eastAsia="fr-FR"/>
        </w:rPr>
        <w:t xml:space="preserve">have </w:t>
      </w:r>
      <w:r w:rsidR="00B31BB3" w:rsidRPr="00A9681B">
        <w:rPr>
          <w:rFonts w:eastAsia="Times New Roman"/>
          <w:lang w:eastAsia="fr-FR"/>
        </w:rPr>
        <w:t>need</w:t>
      </w:r>
      <w:r w:rsidR="00D73F89" w:rsidRPr="00A9681B">
        <w:rPr>
          <w:rFonts w:eastAsia="Times New Roman"/>
          <w:lang w:eastAsia="fr-FR"/>
        </w:rPr>
        <w:t>ed</w:t>
      </w:r>
      <w:r w:rsidR="00B31BB3" w:rsidRPr="00A9681B">
        <w:rPr>
          <w:rFonts w:eastAsia="Times New Roman"/>
          <w:lang w:eastAsia="fr-FR"/>
        </w:rPr>
        <w:t xml:space="preserve"> to reinvest a significant amount of money in order to re-establish their business</w:t>
      </w:r>
      <w:r w:rsidR="00563CD6" w:rsidRPr="00A9681B">
        <w:rPr>
          <w:rFonts w:eastAsia="Times New Roman"/>
          <w:lang w:eastAsia="fr-FR"/>
        </w:rPr>
        <w:t>,</w:t>
      </w:r>
      <w:r w:rsidR="00B31BB3" w:rsidRPr="00A9681B">
        <w:rPr>
          <w:rFonts w:eastAsia="Times New Roman"/>
          <w:lang w:eastAsia="fr-FR"/>
        </w:rPr>
        <w:t xml:space="preserve"> and would </w:t>
      </w:r>
      <w:r w:rsidR="00D73F89" w:rsidRPr="00A9681B">
        <w:rPr>
          <w:rFonts w:eastAsia="Times New Roman"/>
          <w:lang w:eastAsia="fr-FR"/>
        </w:rPr>
        <w:t>have been</w:t>
      </w:r>
      <w:r w:rsidR="00B31BB3" w:rsidRPr="00A9681B">
        <w:rPr>
          <w:rFonts w:eastAsia="Times New Roman"/>
          <w:lang w:eastAsia="fr-FR"/>
        </w:rPr>
        <w:t xml:space="preserve"> unable to </w:t>
      </w:r>
      <w:r w:rsidR="00487E3D" w:rsidRPr="00A9681B">
        <w:rPr>
          <w:rFonts w:eastAsia="Times New Roman"/>
          <w:lang w:eastAsia="fr-FR"/>
        </w:rPr>
        <w:t xml:space="preserve">repair </w:t>
      </w:r>
      <w:r w:rsidR="00B31BB3" w:rsidRPr="00A9681B">
        <w:rPr>
          <w:rFonts w:eastAsia="Times New Roman"/>
          <w:lang w:eastAsia="fr-FR"/>
        </w:rPr>
        <w:t>the damage they ha</w:t>
      </w:r>
      <w:r w:rsidR="00563CD6" w:rsidRPr="00A9681B">
        <w:rPr>
          <w:rFonts w:eastAsia="Times New Roman"/>
          <w:lang w:eastAsia="fr-FR"/>
        </w:rPr>
        <w:t>d</w:t>
      </w:r>
      <w:r w:rsidR="00B31BB3" w:rsidRPr="00A9681B">
        <w:rPr>
          <w:rFonts w:eastAsia="Times New Roman"/>
          <w:lang w:eastAsia="fr-FR"/>
        </w:rPr>
        <w:t xml:space="preserve"> already </w:t>
      </w:r>
      <w:r w:rsidRPr="00A9681B">
        <w:rPr>
          <w:rFonts w:eastAsia="Times New Roman"/>
          <w:lang w:eastAsia="fr-FR"/>
        </w:rPr>
        <w:t>sustained</w:t>
      </w:r>
      <w:r w:rsidR="00D73F89" w:rsidRPr="00A9681B">
        <w:rPr>
          <w:rFonts w:eastAsia="Times New Roman"/>
          <w:lang w:eastAsia="fr-FR"/>
        </w:rPr>
        <w:t>.</w:t>
      </w:r>
    </w:p>
    <w:p w:rsidR="00766713" w:rsidRPr="00A9681B" w:rsidRDefault="00B31BB3" w:rsidP="00A9681B">
      <w:pPr>
        <w:pStyle w:val="ECHRPara"/>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17</w:t>
      </w:r>
      <w:r w:rsidRPr="00A9681B">
        <w:rPr>
          <w:rFonts w:eastAsia="Times New Roman"/>
          <w:lang w:eastAsia="fr-FR"/>
        </w:rPr>
        <w:fldChar w:fldCharType="end"/>
      </w:r>
      <w:r w:rsidRPr="00A9681B">
        <w:rPr>
          <w:rFonts w:eastAsia="Times New Roman"/>
          <w:lang w:eastAsia="fr-FR"/>
        </w:rPr>
        <w:t xml:space="preserve">.  On 14 April 2014 the Constitutional Court terminated the proceedings without </w:t>
      </w:r>
      <w:r w:rsidR="00587160" w:rsidRPr="00A9681B">
        <w:rPr>
          <w:rFonts w:eastAsia="Times New Roman"/>
          <w:lang w:eastAsia="fr-FR"/>
        </w:rPr>
        <w:t xml:space="preserve">an </w:t>
      </w:r>
      <w:r w:rsidRPr="00A9681B">
        <w:rPr>
          <w:rFonts w:eastAsia="Times New Roman"/>
          <w:lang w:eastAsia="fr-FR"/>
        </w:rPr>
        <w:t>examination of the merits of the applicant</w:t>
      </w:r>
      <w:r w:rsidR="00BD1026" w:rsidRPr="00A9681B">
        <w:rPr>
          <w:rFonts w:eastAsia="Times New Roman"/>
          <w:lang w:eastAsia="fr-FR"/>
        </w:rPr>
        <w:t xml:space="preserve"> companies</w:t>
      </w:r>
      <w:r w:rsidR="00A9681B" w:rsidRPr="00A9681B">
        <w:rPr>
          <w:rFonts w:eastAsia="Times New Roman"/>
          <w:lang w:eastAsia="fr-FR"/>
        </w:rPr>
        <w:t>’</w:t>
      </w:r>
      <w:r w:rsidRPr="00A9681B">
        <w:rPr>
          <w:rFonts w:eastAsia="Times New Roman"/>
          <w:lang w:eastAsia="fr-FR"/>
        </w:rPr>
        <w:t xml:space="preserve"> complaint. The Constitutional Court noted that subsequent legislation, Act no. CCXXXII of 2013 on Schoolbook Supply </w:t>
      </w:r>
      <w:r w:rsidR="00F252E8" w:rsidRPr="00A9681B">
        <w:rPr>
          <w:rFonts w:eastAsia="Times New Roman"/>
          <w:lang w:eastAsia="fr-FR"/>
        </w:rPr>
        <w:t xml:space="preserve">in the </w:t>
      </w:r>
      <w:r w:rsidRPr="00A9681B">
        <w:rPr>
          <w:rFonts w:eastAsia="Times New Roman"/>
          <w:lang w:eastAsia="fr-FR"/>
        </w:rPr>
        <w:lastRenderedPageBreak/>
        <w:t>National Public Education</w:t>
      </w:r>
      <w:r w:rsidR="00F252E8" w:rsidRPr="00A9681B">
        <w:rPr>
          <w:rFonts w:eastAsia="Times New Roman"/>
          <w:lang w:eastAsia="fr-FR"/>
        </w:rPr>
        <w:t xml:space="preserve"> System</w:t>
      </w:r>
      <w:r w:rsidR="005207A2" w:rsidRPr="00A9681B">
        <w:rPr>
          <w:rFonts w:eastAsia="Times New Roman"/>
          <w:lang w:eastAsia="fr-FR"/>
        </w:rPr>
        <w:t>,</w:t>
      </w:r>
      <w:r w:rsidRPr="00A9681B">
        <w:rPr>
          <w:rFonts w:eastAsia="Times New Roman"/>
          <w:lang w:eastAsia="fr-FR"/>
        </w:rPr>
        <w:t xml:space="preserve"> had been </w:t>
      </w:r>
      <w:r w:rsidR="00587160" w:rsidRPr="00A9681B">
        <w:rPr>
          <w:rFonts w:eastAsia="Times New Roman"/>
          <w:lang w:eastAsia="fr-FR"/>
        </w:rPr>
        <w:t>enacted</w:t>
      </w:r>
      <w:r w:rsidR="00172C52" w:rsidRPr="00A9681B">
        <w:rPr>
          <w:rFonts w:eastAsia="Times New Roman"/>
          <w:lang w:eastAsia="fr-FR"/>
        </w:rPr>
        <w:t>,</w:t>
      </w:r>
      <w:r w:rsidRPr="00A9681B">
        <w:rPr>
          <w:rFonts w:eastAsia="Times New Roman"/>
          <w:lang w:eastAsia="fr-FR"/>
        </w:rPr>
        <w:t xml:space="preserve"> and </w:t>
      </w:r>
      <w:r w:rsidR="00563CD6" w:rsidRPr="00A9681B">
        <w:rPr>
          <w:rFonts w:eastAsia="Times New Roman"/>
          <w:lang w:eastAsia="fr-FR"/>
        </w:rPr>
        <w:t xml:space="preserve">had </w:t>
      </w:r>
      <w:r w:rsidRPr="00A9681B">
        <w:rPr>
          <w:rFonts w:eastAsia="Times New Roman"/>
          <w:lang w:eastAsia="fr-FR"/>
        </w:rPr>
        <w:t xml:space="preserve">entered into </w:t>
      </w:r>
      <w:r w:rsidR="00587160" w:rsidRPr="00A9681B">
        <w:rPr>
          <w:rFonts w:eastAsia="Times New Roman"/>
          <w:lang w:eastAsia="fr-FR"/>
        </w:rPr>
        <w:t xml:space="preserve">force </w:t>
      </w:r>
      <w:r w:rsidRPr="00A9681B">
        <w:rPr>
          <w:rFonts w:eastAsia="Times New Roman"/>
          <w:lang w:eastAsia="fr-FR"/>
        </w:rPr>
        <w:t xml:space="preserve">on 1 January 2014. This legislation </w:t>
      </w:r>
      <w:r w:rsidR="00563CD6" w:rsidRPr="00A9681B">
        <w:rPr>
          <w:rFonts w:eastAsia="Times New Roman"/>
          <w:lang w:eastAsia="fr-FR"/>
        </w:rPr>
        <w:t xml:space="preserve">repealed </w:t>
      </w:r>
      <w:r w:rsidRPr="00A9681B">
        <w:rPr>
          <w:rFonts w:eastAsia="Times New Roman"/>
          <w:lang w:eastAsia="fr-FR"/>
        </w:rPr>
        <w:t>Act no. XXXVII of 2001 on the Schoolbook Market</w:t>
      </w:r>
      <w:r w:rsidR="00172C52" w:rsidRPr="00A9681B">
        <w:rPr>
          <w:rFonts w:eastAsia="Times New Roman"/>
          <w:lang w:eastAsia="fr-FR"/>
        </w:rPr>
        <w:t xml:space="preserve"> entirely</w:t>
      </w:r>
      <w:r w:rsidRPr="00A9681B">
        <w:rPr>
          <w:rFonts w:eastAsia="Times New Roman"/>
          <w:lang w:eastAsia="fr-FR"/>
        </w:rPr>
        <w:t xml:space="preserve">, </w:t>
      </w:r>
      <w:r w:rsidRPr="00A9681B">
        <w:t>including the impugned New Regulations. The Constitutional Court found that the examination of the provisions</w:t>
      </w:r>
      <w:r w:rsidR="00A9681B" w:rsidRPr="00A9681B">
        <w:t>’</w:t>
      </w:r>
      <w:r w:rsidRPr="00A9681B">
        <w:t xml:space="preserve"> alleged unconstitutionality had </w:t>
      </w:r>
      <w:r w:rsidR="00563CD6" w:rsidRPr="00A9681B">
        <w:t xml:space="preserve">thus </w:t>
      </w:r>
      <w:r w:rsidR="0023455D" w:rsidRPr="00A9681B">
        <w:t>become redundant.</w:t>
      </w:r>
    </w:p>
    <w:p w:rsidR="00B31BB3" w:rsidRPr="00A9681B" w:rsidRDefault="0023455D" w:rsidP="00A9681B">
      <w:pPr>
        <w:pStyle w:val="ECHRPara"/>
      </w:pPr>
      <w:r w:rsidRPr="00A9681B">
        <w:t>As of 1 </w:t>
      </w:r>
      <w:r w:rsidR="00B31BB3" w:rsidRPr="00A9681B">
        <w:t>January 2014</w:t>
      </w:r>
      <w:r w:rsidR="00587160" w:rsidRPr="00A9681B">
        <w:t xml:space="preserve">, </w:t>
      </w:r>
      <w:r w:rsidR="00B31BB3" w:rsidRPr="00A9681B">
        <w:t xml:space="preserve">Act no. CCXXXII of 2013 </w:t>
      </w:r>
      <w:r w:rsidR="00626C7B" w:rsidRPr="00A9681B">
        <w:t xml:space="preserve">had </w:t>
      </w:r>
      <w:r w:rsidR="00B31BB3" w:rsidRPr="00A9681B">
        <w:t xml:space="preserve">completely </w:t>
      </w:r>
      <w:r w:rsidR="00587160" w:rsidRPr="00A9681B">
        <w:t>removed</w:t>
      </w:r>
      <w:r w:rsidR="00B31BB3" w:rsidRPr="00A9681B">
        <w:t xml:space="preserve"> </w:t>
      </w:r>
      <w:r w:rsidR="00587160" w:rsidRPr="00A9681B">
        <w:t xml:space="preserve">any </w:t>
      </w:r>
      <w:r w:rsidR="00563CD6" w:rsidRPr="00A9681B">
        <w:t xml:space="preserve">schoolbook distribution based on the </w:t>
      </w:r>
      <w:r w:rsidR="00B31BB3" w:rsidRPr="00A9681B">
        <w:t>free</w:t>
      </w:r>
      <w:r w:rsidR="005207A2" w:rsidRPr="00A9681B">
        <w:t xml:space="preserve"> </w:t>
      </w:r>
      <w:r w:rsidR="00B31BB3" w:rsidRPr="00A9681B">
        <w:t>market</w:t>
      </w:r>
      <w:r w:rsidR="00563CD6" w:rsidRPr="00A9681B">
        <w:t xml:space="preserve">, </w:t>
      </w:r>
      <w:r w:rsidR="00B31BB3" w:rsidRPr="00A9681B">
        <w:t xml:space="preserve">and </w:t>
      </w:r>
      <w:r w:rsidR="00626C7B" w:rsidRPr="00A9681B">
        <w:t xml:space="preserve">had </w:t>
      </w:r>
      <w:r w:rsidR="00B31BB3" w:rsidRPr="00A9681B">
        <w:t>i</w:t>
      </w:r>
      <w:r w:rsidR="00587160" w:rsidRPr="00A9681B">
        <w:t xml:space="preserve">ntroduced </w:t>
      </w:r>
      <w:r w:rsidR="005207A2" w:rsidRPr="00A9681B">
        <w:t xml:space="preserve">an entirely State-organised form of </w:t>
      </w:r>
      <w:r w:rsidR="00903D3A" w:rsidRPr="00A9681B">
        <w:t xml:space="preserve">schoolbook supply </w:t>
      </w:r>
      <w:r w:rsidR="00626C7B" w:rsidRPr="00A9681B">
        <w:t>to the</w:t>
      </w:r>
      <w:r w:rsidR="00B31BB3" w:rsidRPr="00A9681B">
        <w:t xml:space="preserve"> Hungarian public education</w:t>
      </w:r>
      <w:r w:rsidR="00626C7B" w:rsidRPr="00A9681B">
        <w:t xml:space="preserve"> system</w:t>
      </w:r>
      <w:r w:rsidR="00B31BB3" w:rsidRPr="00A9681B">
        <w:t>.</w:t>
      </w:r>
    </w:p>
    <w:p w:rsidR="00B03F1E" w:rsidRPr="00A9681B" w:rsidRDefault="00B03F1E" w:rsidP="00A9681B">
      <w:pPr>
        <w:pStyle w:val="ECHRPara"/>
        <w:rPr>
          <w:rFonts w:eastAsia="Times New Roman"/>
        </w:rPr>
      </w:pPr>
      <w:r w:rsidRPr="00A9681B">
        <w:t>The applicant companies did not file a constitutional complaint against Act no. CCXXXII of 2013.</w:t>
      </w:r>
    </w:p>
    <w:p w:rsidR="00766713" w:rsidRPr="00A9681B" w:rsidRDefault="003C6B66" w:rsidP="00A9681B">
      <w:pPr>
        <w:pStyle w:val="ECHRHeading1"/>
      </w:pPr>
      <w:r w:rsidRPr="00A9681B">
        <w:t>II. </w:t>
      </w:r>
      <w:r w:rsidR="00156158" w:rsidRPr="00A9681B">
        <w:t> </w:t>
      </w:r>
      <w:r w:rsidR="00014566" w:rsidRPr="00A9681B">
        <w:t>RELEVANT DOMESTIC LAW</w:t>
      </w:r>
    </w:p>
    <w:p w:rsidR="006C32C6" w:rsidRPr="00A9681B" w:rsidRDefault="00055E1B"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18</w:t>
      </w:r>
      <w:r w:rsidRPr="00A9681B">
        <w:fldChar w:fldCharType="end"/>
      </w:r>
      <w:r w:rsidRPr="00A9681B">
        <w:t>.  </w:t>
      </w:r>
      <w:r w:rsidR="006C32C6" w:rsidRPr="00A9681B">
        <w:t xml:space="preserve">The relevant provisions of </w:t>
      </w:r>
      <w:r w:rsidR="006C32C6" w:rsidRPr="00A9681B">
        <w:rPr>
          <w:rFonts w:ascii="Times New Roman" w:eastAsia="Times New Roman" w:hAnsi="Times New Roman" w:cs="Times New Roman"/>
          <w:lang w:eastAsia="fr-FR"/>
        </w:rPr>
        <w:t>Act no. XXXVII of 2001 on the Schoolbook Market, as amended by section 14(1) of Act no. CLXVI of 2011 and Act no. CXXV of 2012</w:t>
      </w:r>
      <w:r w:rsidR="006C32C6" w:rsidRPr="00A9681B">
        <w:t xml:space="preserve">, </w:t>
      </w:r>
      <w:r w:rsidR="00587160" w:rsidRPr="00A9681B">
        <w:t xml:space="preserve">and </w:t>
      </w:r>
      <w:r w:rsidR="006C32C6" w:rsidRPr="00A9681B">
        <w:t>in for</w:t>
      </w:r>
      <w:r w:rsidR="00AF6B34" w:rsidRPr="00A9681B">
        <w:t>ce between 1 October 2012 and 1 </w:t>
      </w:r>
      <w:r w:rsidR="006C32C6" w:rsidRPr="00A9681B">
        <w:t>January 2014, provided:</w:t>
      </w:r>
    </w:p>
    <w:p w:rsidR="0002670B" w:rsidRPr="00A9681B" w:rsidRDefault="0002670B" w:rsidP="00A9681B">
      <w:pPr>
        <w:pStyle w:val="ECHRTitleCentre3"/>
      </w:pPr>
      <w:r w:rsidRPr="00A9681B">
        <w:t>Section 4</w:t>
      </w:r>
    </w:p>
    <w:p w:rsidR="0002670B" w:rsidRPr="00A9681B" w:rsidRDefault="00587160" w:rsidP="00A9681B">
      <w:pPr>
        <w:pStyle w:val="ECHRParaQuote"/>
      </w:pPr>
      <w:r w:rsidRPr="00A9681B">
        <w:t>“</w:t>
      </w:r>
      <w:r w:rsidR="0002670B" w:rsidRPr="00A9681B">
        <w:t xml:space="preserve">(6) The ordering, purchase and </w:t>
      </w:r>
      <w:r w:rsidR="00D66C2C" w:rsidRPr="00A9681B">
        <w:t xml:space="preserve">delivery </w:t>
      </w:r>
      <w:r w:rsidR="00F252E8" w:rsidRPr="00A9681B">
        <w:t>of school textbooks</w:t>
      </w:r>
      <w:r w:rsidR="00F252E8" w:rsidRPr="00A9681B" w:rsidDel="00E12E42">
        <w:t xml:space="preserve"> </w:t>
      </w:r>
      <w:r w:rsidR="0002670B" w:rsidRPr="00A9681B">
        <w:t>to schools</w:t>
      </w:r>
      <w:r w:rsidR="00E12E42" w:rsidRPr="00A9681B">
        <w:t>,</w:t>
      </w:r>
      <w:r w:rsidR="0002670B" w:rsidRPr="00A9681B">
        <w:t xml:space="preserve"> and the collection of </w:t>
      </w:r>
      <w:r w:rsidR="00E12E42" w:rsidRPr="00A9681B">
        <w:t xml:space="preserve">the </w:t>
      </w:r>
      <w:r w:rsidR="0002670B" w:rsidRPr="00A9681B">
        <w:t>purchase price from schools (he</w:t>
      </w:r>
      <w:r w:rsidR="00E12E42" w:rsidRPr="00A9681B">
        <w:t>reinafter</w:t>
      </w:r>
      <w:r w:rsidR="0002670B" w:rsidRPr="00A9681B">
        <w:t xml:space="preserve"> </w:t>
      </w:r>
      <w:r w:rsidR="00A9681B" w:rsidRPr="00A9681B">
        <w:t>‘</w:t>
      </w:r>
      <w:r w:rsidR="0002670B" w:rsidRPr="00A9681B">
        <w:t>schoolbook supply</w:t>
      </w:r>
      <w:r w:rsidR="00A9681B" w:rsidRPr="00A9681B">
        <w:t>’</w:t>
      </w:r>
      <w:r w:rsidR="0002670B" w:rsidRPr="00A9681B">
        <w:t xml:space="preserve">) shall be </w:t>
      </w:r>
      <w:r w:rsidR="00FD17E1" w:rsidRPr="00A9681B">
        <w:t xml:space="preserve">tasks </w:t>
      </w:r>
      <w:r w:rsidR="00E12E42" w:rsidRPr="00A9681B">
        <w:t xml:space="preserve">of </w:t>
      </w:r>
      <w:r w:rsidR="0002670B" w:rsidRPr="00A9681B">
        <w:t xml:space="preserve">public interest performed by the State via the </w:t>
      </w:r>
      <w:r w:rsidR="00F252E8" w:rsidRPr="00A9681B">
        <w:t>Non</w:t>
      </w:r>
      <w:r w:rsidR="00F252E8" w:rsidRPr="00A9681B">
        <w:rPr>
          <w:iCs/>
        </w:rPr>
        <w:t>-</w:t>
      </w:r>
      <w:r w:rsidR="00F252E8" w:rsidRPr="00A9681B">
        <w:t xml:space="preserve">profit </w:t>
      </w:r>
      <w:r w:rsidR="0002670B" w:rsidRPr="00A9681B">
        <w:t>Library Supplier Limited Liability Company (h</w:t>
      </w:r>
      <w:r w:rsidR="0002670B" w:rsidRPr="00A9681B">
        <w:rPr>
          <w:iCs/>
        </w:rPr>
        <w:t>e</w:t>
      </w:r>
      <w:r w:rsidR="00E12E42" w:rsidRPr="00A9681B">
        <w:rPr>
          <w:iCs/>
        </w:rPr>
        <w:t>reinafter</w:t>
      </w:r>
      <w:r w:rsidR="0002670B" w:rsidRPr="00A9681B">
        <w:rPr>
          <w:iCs/>
        </w:rPr>
        <w:t xml:space="preserve"> </w:t>
      </w:r>
      <w:r w:rsidR="00A9681B" w:rsidRPr="00A9681B">
        <w:rPr>
          <w:iCs/>
        </w:rPr>
        <w:t>‘</w:t>
      </w:r>
      <w:r w:rsidRPr="00A9681B">
        <w:t>Könyvtárellátó</w:t>
      </w:r>
      <w:r w:rsidR="00A9681B" w:rsidRPr="00A9681B">
        <w:t>’</w:t>
      </w:r>
      <w:r w:rsidRPr="00A9681B">
        <w:t xml:space="preserve">) </w:t>
      </w:r>
      <w:r w:rsidR="00766713" w:rsidRPr="00A9681B">
        <w:t>...</w:t>
      </w:r>
      <w:r w:rsidRPr="00A9681B">
        <w:t>”</w:t>
      </w:r>
    </w:p>
    <w:p w:rsidR="0002670B" w:rsidRPr="00A9681B" w:rsidRDefault="0002670B" w:rsidP="00A9681B">
      <w:pPr>
        <w:pStyle w:val="ECHRTitleCentre3"/>
      </w:pPr>
      <w:r w:rsidRPr="00A9681B">
        <w:t>Section 8</w:t>
      </w:r>
    </w:p>
    <w:p w:rsidR="006C32C6" w:rsidRPr="00A9681B" w:rsidRDefault="0043347A" w:rsidP="00A9681B">
      <w:pPr>
        <w:pStyle w:val="ECHRParaQuote"/>
        <w:rPr>
          <w:rFonts w:ascii="Times New Roman" w:eastAsia="Times New Roman" w:hAnsi="Times New Roman" w:cs="Times New Roman"/>
          <w:lang w:eastAsia="fr-FR"/>
        </w:rPr>
      </w:pPr>
      <w:r w:rsidRPr="00A9681B">
        <w:t>“</w:t>
      </w:r>
      <w:r w:rsidR="0002670B" w:rsidRPr="00A9681B">
        <w:t xml:space="preserve">(13) Other school textbook publishers and distributors or substitute suppliers may, upon agreement with </w:t>
      </w:r>
      <w:r w:rsidR="0002670B" w:rsidRPr="00A9681B">
        <w:rPr>
          <w:iCs/>
        </w:rPr>
        <w:t>Könyvtárellátó</w:t>
      </w:r>
      <w:r w:rsidR="0002670B" w:rsidRPr="00A9681B">
        <w:t>, participate in carrying out the tasks related to schoolbo</w:t>
      </w:r>
      <w:r w:rsidR="00587160" w:rsidRPr="00A9681B">
        <w:t xml:space="preserve">ok supply </w:t>
      </w:r>
      <w:r w:rsidR="00766713" w:rsidRPr="00A9681B">
        <w:t>...</w:t>
      </w:r>
      <w:r w:rsidR="00587160" w:rsidRPr="00A9681B">
        <w:t>”</w:t>
      </w:r>
    </w:p>
    <w:bookmarkStart w:id="3" w:name="T5"/>
    <w:p w:rsidR="0002670B" w:rsidRPr="00A9681B" w:rsidRDefault="003C6B66" w:rsidP="00A9681B">
      <w:pPr>
        <w:pStyle w:val="ECHRPara"/>
        <w:rPr>
          <w:rFonts w:ascii="Times New Roman" w:eastAsia="Times New Roman" w:hAnsi="Times New Roman" w:cs="Times New Roman"/>
          <w:lang w:eastAsia="fr-FR"/>
        </w:rPr>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19</w:t>
      </w:r>
      <w:r w:rsidRPr="00A9681B">
        <w:rPr>
          <w:rFonts w:ascii="Times New Roman" w:eastAsia="Times New Roman" w:hAnsi="Times New Roman" w:cs="Times New Roman"/>
          <w:lang w:eastAsia="fr-FR"/>
        </w:rPr>
        <w:fldChar w:fldCharType="end"/>
      </w:r>
      <w:bookmarkEnd w:id="3"/>
      <w:r w:rsidRPr="00A9681B">
        <w:rPr>
          <w:rFonts w:ascii="Times New Roman" w:eastAsia="Times New Roman" w:hAnsi="Times New Roman" w:cs="Times New Roman"/>
          <w:lang w:eastAsia="fr-FR"/>
        </w:rPr>
        <w:t>.  </w:t>
      </w:r>
      <w:r w:rsidR="0002670B" w:rsidRPr="00A9681B">
        <w:t xml:space="preserve">The relevant provisions of </w:t>
      </w:r>
      <w:r w:rsidR="0002670B" w:rsidRPr="00A9681B">
        <w:rPr>
          <w:rFonts w:ascii="Times New Roman" w:eastAsia="Times New Roman" w:hAnsi="Times New Roman" w:cs="Times New Roman"/>
          <w:lang w:eastAsia="fr-FR"/>
        </w:rPr>
        <w:t xml:space="preserve">Act no. </w:t>
      </w:r>
      <w:r w:rsidRPr="00A9681B">
        <w:rPr>
          <w:rFonts w:ascii="Times New Roman" w:eastAsia="Times New Roman" w:hAnsi="Times New Roman" w:cs="Times New Roman"/>
          <w:lang w:eastAsia="fr-FR"/>
        </w:rPr>
        <w:t xml:space="preserve">CCXXXII of 2013 </w:t>
      </w:r>
      <w:r w:rsidR="007C1DD7" w:rsidRPr="00A9681B">
        <w:rPr>
          <w:rFonts w:ascii="Times New Roman" w:eastAsia="Times New Roman" w:hAnsi="Times New Roman" w:cs="Times New Roman"/>
          <w:lang w:eastAsia="fr-FR"/>
        </w:rPr>
        <w:t xml:space="preserve">on Schoolbook Supply </w:t>
      </w:r>
      <w:r w:rsidR="006E0762" w:rsidRPr="00A9681B">
        <w:rPr>
          <w:rFonts w:ascii="Times New Roman" w:eastAsia="Times New Roman" w:hAnsi="Times New Roman" w:cs="Times New Roman"/>
          <w:lang w:eastAsia="fr-FR"/>
        </w:rPr>
        <w:t xml:space="preserve">in </w:t>
      </w:r>
      <w:r w:rsidR="007C1DD7" w:rsidRPr="00A9681B">
        <w:rPr>
          <w:rFonts w:ascii="Times New Roman" w:eastAsia="Times New Roman" w:hAnsi="Times New Roman" w:cs="Times New Roman"/>
          <w:lang w:eastAsia="fr-FR"/>
        </w:rPr>
        <w:t>the National Public Education</w:t>
      </w:r>
      <w:r w:rsidR="006E0762" w:rsidRPr="00A9681B">
        <w:rPr>
          <w:rFonts w:ascii="Times New Roman" w:eastAsia="Times New Roman" w:hAnsi="Times New Roman" w:cs="Times New Roman"/>
          <w:lang w:eastAsia="fr-FR"/>
        </w:rPr>
        <w:t xml:space="preserve"> System</w:t>
      </w:r>
      <w:r w:rsidR="00FD17E1" w:rsidRPr="00A9681B">
        <w:rPr>
          <w:rFonts w:ascii="Times New Roman" w:eastAsia="Times New Roman" w:hAnsi="Times New Roman" w:cs="Times New Roman"/>
          <w:lang w:eastAsia="fr-FR"/>
        </w:rPr>
        <w:t>,</w:t>
      </w:r>
      <w:r w:rsidR="007C1DD7" w:rsidRPr="00A9681B">
        <w:rPr>
          <w:rFonts w:ascii="Times New Roman" w:eastAsia="Times New Roman" w:hAnsi="Times New Roman" w:cs="Times New Roman"/>
          <w:lang w:eastAsia="fr-FR"/>
        </w:rPr>
        <w:t xml:space="preserve"> </w:t>
      </w:r>
      <w:r w:rsidR="0002670B" w:rsidRPr="00A9681B">
        <w:rPr>
          <w:rFonts w:ascii="Times New Roman" w:eastAsia="Times New Roman" w:hAnsi="Times New Roman" w:cs="Times New Roman"/>
          <w:lang w:eastAsia="fr-FR"/>
        </w:rPr>
        <w:t>in forc</w:t>
      </w:r>
      <w:r w:rsidR="00587160" w:rsidRPr="00A9681B">
        <w:rPr>
          <w:rFonts w:ascii="Times New Roman" w:eastAsia="Times New Roman" w:hAnsi="Times New Roman" w:cs="Times New Roman"/>
          <w:lang w:eastAsia="fr-FR"/>
        </w:rPr>
        <w:t>e as of 1</w:t>
      </w:r>
      <w:r w:rsidR="00982E2D" w:rsidRPr="00A9681B">
        <w:rPr>
          <w:rFonts w:ascii="Times New Roman" w:eastAsia="Times New Roman" w:hAnsi="Times New Roman" w:cs="Times New Roman"/>
          <w:lang w:eastAsia="fr-FR"/>
        </w:rPr>
        <w:t> </w:t>
      </w:r>
      <w:r w:rsidR="00587160" w:rsidRPr="00A9681B">
        <w:rPr>
          <w:rFonts w:ascii="Times New Roman" w:eastAsia="Times New Roman" w:hAnsi="Times New Roman" w:cs="Times New Roman"/>
          <w:lang w:eastAsia="fr-FR"/>
        </w:rPr>
        <w:t>January 2014, provide</w:t>
      </w:r>
      <w:r w:rsidR="0002670B" w:rsidRPr="00A9681B">
        <w:rPr>
          <w:rFonts w:ascii="Times New Roman" w:eastAsia="Times New Roman" w:hAnsi="Times New Roman" w:cs="Times New Roman"/>
          <w:lang w:eastAsia="fr-FR"/>
        </w:rPr>
        <w:t>:</w:t>
      </w:r>
    </w:p>
    <w:p w:rsidR="007C1DD7" w:rsidRPr="00A9681B" w:rsidRDefault="007C1DD7" w:rsidP="00A9681B">
      <w:pPr>
        <w:pStyle w:val="ECHRTitleCentre3"/>
      </w:pPr>
      <w:r w:rsidRPr="00A9681B">
        <w:t>Section 2</w:t>
      </w:r>
    </w:p>
    <w:p w:rsidR="007C1DD7" w:rsidRPr="00A9681B" w:rsidRDefault="00587160" w:rsidP="00A9681B">
      <w:pPr>
        <w:pStyle w:val="ECHRParaQuote"/>
      </w:pPr>
      <w:r w:rsidRPr="00A9681B">
        <w:t>“</w:t>
      </w:r>
      <w:r w:rsidR="007C1DD7" w:rsidRPr="00A9681B">
        <w:t xml:space="preserve">(2) The </w:t>
      </w:r>
      <w:r w:rsidRPr="00A9681B">
        <w:t>nation</w:t>
      </w:r>
      <w:r w:rsidR="007C1DD7" w:rsidRPr="00A9681B">
        <w:t xml:space="preserve">wide ordering, purchase and </w:t>
      </w:r>
      <w:r w:rsidR="00FD17E1" w:rsidRPr="00A9681B">
        <w:t xml:space="preserve">delivery </w:t>
      </w:r>
      <w:r w:rsidR="00271837" w:rsidRPr="00A9681B">
        <w:t>of school textbooks</w:t>
      </w:r>
      <w:r w:rsidR="00271837" w:rsidRPr="00A9681B" w:rsidDel="00271837">
        <w:t xml:space="preserve"> </w:t>
      </w:r>
      <w:r w:rsidR="007C1DD7" w:rsidRPr="00A9681B">
        <w:t>to schools</w:t>
      </w:r>
      <w:r w:rsidR="00FD17E1" w:rsidRPr="00A9681B">
        <w:t>,</w:t>
      </w:r>
      <w:r w:rsidR="007C1DD7" w:rsidRPr="00A9681B">
        <w:t xml:space="preserve"> and the collection of </w:t>
      </w:r>
      <w:r w:rsidR="00FD17E1" w:rsidRPr="00A9681B">
        <w:t xml:space="preserve">the </w:t>
      </w:r>
      <w:r w:rsidR="007C1DD7" w:rsidRPr="00A9681B">
        <w:t>purchase price from schools (he</w:t>
      </w:r>
      <w:r w:rsidR="00FD17E1" w:rsidRPr="00A9681B">
        <w:t>reinafter</w:t>
      </w:r>
      <w:r w:rsidR="007C1DD7" w:rsidRPr="00A9681B">
        <w:t xml:space="preserve"> </w:t>
      </w:r>
      <w:r w:rsidR="00A9681B" w:rsidRPr="00A9681B">
        <w:t>‘</w:t>
      </w:r>
      <w:r w:rsidR="007C1DD7" w:rsidRPr="00A9681B">
        <w:t>schoolbook supply</w:t>
      </w:r>
      <w:r w:rsidR="00A9681B" w:rsidRPr="00A9681B">
        <w:t>’</w:t>
      </w:r>
      <w:r w:rsidR="007C1DD7" w:rsidRPr="00A9681B">
        <w:t xml:space="preserve">) shall be </w:t>
      </w:r>
      <w:r w:rsidR="00FD17E1" w:rsidRPr="00A9681B">
        <w:t xml:space="preserve">tasks of </w:t>
      </w:r>
      <w:r w:rsidR="007C1DD7" w:rsidRPr="00A9681B">
        <w:t>public interest to be performed by a non</w:t>
      </w:r>
      <w:r w:rsidR="007C1DD7" w:rsidRPr="00A9681B">
        <w:rPr>
          <w:iCs/>
        </w:rPr>
        <w:t>-</w:t>
      </w:r>
      <w:r w:rsidR="007C1DD7" w:rsidRPr="00A9681B">
        <w:t>profit limited liability company (h</w:t>
      </w:r>
      <w:r w:rsidR="007C1DD7" w:rsidRPr="00A9681B">
        <w:rPr>
          <w:iCs/>
        </w:rPr>
        <w:t>e</w:t>
      </w:r>
      <w:r w:rsidR="00FD17E1" w:rsidRPr="00A9681B">
        <w:rPr>
          <w:iCs/>
        </w:rPr>
        <w:t>reinafter</w:t>
      </w:r>
      <w:r w:rsidR="007C1DD7" w:rsidRPr="00A9681B">
        <w:rPr>
          <w:iCs/>
        </w:rPr>
        <w:t xml:space="preserve"> </w:t>
      </w:r>
      <w:r w:rsidR="00A9681B" w:rsidRPr="00A9681B">
        <w:rPr>
          <w:iCs/>
        </w:rPr>
        <w:t>‘</w:t>
      </w:r>
      <w:r w:rsidR="00FD17E1" w:rsidRPr="00A9681B">
        <w:t>K</w:t>
      </w:r>
      <w:r w:rsidR="007C1DD7" w:rsidRPr="00A9681B">
        <w:t>önyvtárellátó</w:t>
      </w:r>
      <w:r w:rsidR="00A9681B" w:rsidRPr="00A9681B">
        <w:t>’</w:t>
      </w:r>
      <w:r w:rsidR="007C1DD7" w:rsidRPr="00A9681B">
        <w:t xml:space="preserve">) appointed by the State </w:t>
      </w:r>
      <w:r w:rsidR="00FD17E1" w:rsidRPr="00A9681B">
        <w:t xml:space="preserve">by </w:t>
      </w:r>
      <w:r w:rsidR="007C1DD7" w:rsidRPr="00A9681B">
        <w:t>decree of the Government.</w:t>
      </w:r>
      <w:r w:rsidRPr="00A9681B">
        <w:t>”</w:t>
      </w:r>
    </w:p>
    <w:p w:rsidR="00BD0ADE" w:rsidRPr="00A9681B" w:rsidRDefault="00312C32" w:rsidP="00A9681B">
      <w:pPr>
        <w:pStyle w:val="ECHRPara"/>
        <w:rPr>
          <w:rFonts w:ascii="Times New Roman" w:eastAsia="Times New Roman" w:hAnsi="Times New Roman" w:cs="Times New Roman"/>
          <w:lang w:eastAsia="fr-FR"/>
        </w:rPr>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20</w:t>
      </w:r>
      <w:r w:rsidRPr="00A9681B">
        <w:rPr>
          <w:rFonts w:ascii="Times New Roman" w:eastAsia="Times New Roman" w:hAnsi="Times New Roman" w:cs="Times New Roman"/>
          <w:lang w:eastAsia="fr-FR"/>
        </w:rPr>
        <w:fldChar w:fldCharType="end"/>
      </w:r>
      <w:r w:rsidRPr="00A9681B">
        <w:rPr>
          <w:rFonts w:ascii="Times New Roman" w:eastAsia="Times New Roman" w:hAnsi="Times New Roman" w:cs="Times New Roman"/>
          <w:lang w:eastAsia="fr-FR"/>
        </w:rPr>
        <w:t xml:space="preserve">.  The relevant provisions of the </w:t>
      </w:r>
      <w:r w:rsidR="00BD0ADE" w:rsidRPr="00A9681B">
        <w:rPr>
          <w:rFonts w:ascii="Times New Roman" w:eastAsia="Times New Roman" w:hAnsi="Times New Roman" w:cs="Times New Roman"/>
          <w:lang w:eastAsia="fr-FR"/>
        </w:rPr>
        <w:t>Fundamental Law</w:t>
      </w:r>
      <w:r w:rsidRPr="00A9681B">
        <w:rPr>
          <w:rFonts w:ascii="Times New Roman" w:eastAsia="Times New Roman" w:hAnsi="Times New Roman" w:cs="Times New Roman"/>
          <w:lang w:eastAsia="fr-FR"/>
        </w:rPr>
        <w:t xml:space="preserve"> of Hungary provide:</w:t>
      </w:r>
    </w:p>
    <w:p w:rsidR="00312C32" w:rsidRPr="00A9681B" w:rsidRDefault="00312C32" w:rsidP="00A9681B">
      <w:pPr>
        <w:pStyle w:val="ECHRTitleCentre3"/>
      </w:pPr>
      <w:r w:rsidRPr="00A9681B">
        <w:t>Article M</w:t>
      </w:r>
    </w:p>
    <w:p w:rsidR="00312C32" w:rsidRPr="00A9681B" w:rsidRDefault="00D73F89" w:rsidP="00A9681B">
      <w:pPr>
        <w:pStyle w:val="ECHRParaQuote"/>
        <w:rPr>
          <w:rFonts w:eastAsia="Times New Roman"/>
          <w:lang w:eastAsia="fr-FR"/>
        </w:rPr>
      </w:pPr>
      <w:r w:rsidRPr="00A9681B">
        <w:rPr>
          <w:rFonts w:eastAsia="Times New Roman"/>
          <w:lang w:eastAsia="fr-FR"/>
        </w:rPr>
        <w:t>“</w:t>
      </w:r>
      <w:r w:rsidR="00312C32" w:rsidRPr="00A9681B">
        <w:rPr>
          <w:rFonts w:eastAsia="Times New Roman"/>
          <w:lang w:eastAsia="fr-FR"/>
        </w:rPr>
        <w:t>(1) The economy of Hungary shall be based upon work as the very foundation of productivity, and upon freedom of enterprise.</w:t>
      </w:r>
    </w:p>
    <w:p w:rsidR="00312C32" w:rsidRPr="00A9681B" w:rsidRDefault="00312C32" w:rsidP="00A9681B">
      <w:pPr>
        <w:pStyle w:val="ECHRParaQuote"/>
        <w:rPr>
          <w:rFonts w:eastAsia="Times New Roman"/>
          <w:lang w:eastAsia="fr-FR"/>
        </w:rPr>
      </w:pPr>
      <w:r w:rsidRPr="00A9681B">
        <w:rPr>
          <w:rFonts w:eastAsia="Times New Roman"/>
          <w:lang w:eastAsia="fr-FR"/>
        </w:rPr>
        <w:lastRenderedPageBreak/>
        <w:t>(2) Hungary shall ensure the conditions of fair economic competition, act against the abuse of a dominant economic position and protect the rights of consumers.</w:t>
      </w:r>
      <w:r w:rsidR="00D73F89" w:rsidRPr="00A9681B">
        <w:rPr>
          <w:rFonts w:eastAsia="Times New Roman"/>
          <w:lang w:eastAsia="fr-FR"/>
        </w:rPr>
        <w:t>”</w:t>
      </w:r>
    </w:p>
    <w:p w:rsidR="00312C32" w:rsidRPr="00A9681B" w:rsidRDefault="00312C32" w:rsidP="00A9681B">
      <w:pPr>
        <w:pStyle w:val="ECHRTitleCentre3"/>
      </w:pPr>
      <w:r w:rsidRPr="00A9681B">
        <w:t>Article XI</w:t>
      </w:r>
    </w:p>
    <w:p w:rsidR="00312C32" w:rsidRPr="00A9681B" w:rsidRDefault="00D73F89" w:rsidP="00A9681B">
      <w:pPr>
        <w:pStyle w:val="ECHRParaQuote"/>
        <w:rPr>
          <w:rFonts w:eastAsia="Times New Roman"/>
          <w:lang w:eastAsia="fr-FR"/>
        </w:rPr>
      </w:pPr>
      <w:r w:rsidRPr="00A9681B">
        <w:rPr>
          <w:rFonts w:eastAsia="Times New Roman"/>
          <w:lang w:eastAsia="fr-FR"/>
        </w:rPr>
        <w:t>“</w:t>
      </w:r>
      <w:r w:rsidR="00312C32" w:rsidRPr="00A9681B">
        <w:rPr>
          <w:rFonts w:eastAsia="Times New Roman"/>
          <w:lang w:eastAsia="fr-FR"/>
        </w:rPr>
        <w:t>(1) Every Hungarian citizen shall have the right to formal and non-formal education.</w:t>
      </w:r>
    </w:p>
    <w:p w:rsidR="00312C32" w:rsidRPr="00A9681B" w:rsidRDefault="00312C32" w:rsidP="00A9681B">
      <w:pPr>
        <w:pStyle w:val="ECHRParaQuote"/>
        <w:rPr>
          <w:rFonts w:eastAsia="Times New Roman"/>
          <w:lang w:eastAsia="fr-FR"/>
        </w:rPr>
      </w:pPr>
      <w:r w:rsidRPr="00A9681B">
        <w:rPr>
          <w:rFonts w:eastAsia="Times New Roman"/>
          <w:lang w:eastAsia="fr-FR"/>
        </w:rPr>
        <w:t>(2) Hungary shall implement this right through the dissemination of and by providing general access to, community culture, by providing free and compulsory primary schooling, free and universally accessible secondary education, and higher education made available to all on the basis of their ability, as well as by providing financial support as laid down in an act of Parliament to those receiving education.</w:t>
      </w:r>
    </w:p>
    <w:p w:rsidR="00312C32" w:rsidRPr="00A9681B" w:rsidRDefault="00D73F89" w:rsidP="00A9681B">
      <w:pPr>
        <w:pStyle w:val="ECHRParaQuote"/>
        <w:rPr>
          <w:rFonts w:eastAsia="Times New Roman"/>
          <w:lang w:eastAsia="fr-FR"/>
        </w:rPr>
      </w:pPr>
      <w:r w:rsidRPr="00A9681B">
        <w:rPr>
          <w:rFonts w:eastAsia="Times New Roman"/>
          <w:lang w:eastAsia="fr-FR"/>
        </w:rPr>
        <w:t xml:space="preserve">(3) </w:t>
      </w:r>
      <w:r w:rsidR="00312C32" w:rsidRPr="00A9681B">
        <w:rPr>
          <w:rFonts w:eastAsia="Times New Roman"/>
          <w:lang w:eastAsia="fr-FR"/>
        </w:rPr>
        <w:t xml:space="preserve">An act of Parliament may set as a condition for receiving financial aid at a higher educational institution participation, for a specific period of time, </w:t>
      </w:r>
      <w:r w:rsidR="005207A2" w:rsidRPr="00A9681B">
        <w:rPr>
          <w:rFonts w:eastAsia="Times New Roman"/>
          <w:lang w:eastAsia="fr-FR"/>
        </w:rPr>
        <w:t xml:space="preserve">in </w:t>
      </w:r>
      <w:r w:rsidR="00312C32" w:rsidRPr="00A9681B">
        <w:rPr>
          <w:rFonts w:eastAsia="Times New Roman"/>
          <w:lang w:eastAsia="fr-FR"/>
        </w:rPr>
        <w:t>employment or enterprise that is regulated by Hungarian law.</w:t>
      </w:r>
      <w:r w:rsidRPr="00A9681B">
        <w:rPr>
          <w:rFonts w:eastAsia="Times New Roman"/>
          <w:lang w:eastAsia="fr-FR"/>
        </w:rPr>
        <w:t>”</w:t>
      </w:r>
    </w:p>
    <w:p w:rsidR="00D14C7A" w:rsidRPr="00A9681B" w:rsidRDefault="00D14C7A" w:rsidP="00A9681B">
      <w:pPr>
        <w:pStyle w:val="ECHRTitleCentre3"/>
      </w:pPr>
      <w:r w:rsidRPr="00A9681B">
        <w:t>Article XII</w:t>
      </w:r>
    </w:p>
    <w:p w:rsidR="00D14C7A" w:rsidRPr="00A9681B" w:rsidRDefault="00D73F89" w:rsidP="00A9681B">
      <w:pPr>
        <w:pStyle w:val="ECHRParaQuote"/>
      </w:pPr>
      <w:r w:rsidRPr="00A9681B">
        <w:t>“</w:t>
      </w:r>
      <w:r w:rsidR="00D14C7A" w:rsidRPr="00A9681B">
        <w:t>(1) Everyone shall have the right to freely choose his or her job or profession, and the freedom to conduct a business. Everyone shall have a duty to contribute to the enrichment of the community through his or her work, performed according to his or her abilities and faculties.</w:t>
      </w:r>
    </w:p>
    <w:p w:rsidR="00D14C7A" w:rsidRPr="00A9681B" w:rsidRDefault="00D14C7A" w:rsidP="00A9681B">
      <w:pPr>
        <w:pStyle w:val="ECHRParaQuote"/>
      </w:pPr>
      <w:r w:rsidRPr="00A9681B">
        <w:t>(2) Hungary shall endeavo</w:t>
      </w:r>
      <w:r w:rsidR="00D73F89" w:rsidRPr="00A9681B">
        <w:t>u</w:t>
      </w:r>
      <w:r w:rsidRPr="00A9681B">
        <w:t xml:space="preserve">r to ensure the possibility of employment </w:t>
      </w:r>
      <w:r w:rsidR="005207A2" w:rsidRPr="00A9681B">
        <w:t xml:space="preserve">for </w:t>
      </w:r>
      <w:r w:rsidRPr="00A9681B">
        <w:t>everyone who is able and willing to work.</w:t>
      </w:r>
      <w:r w:rsidR="00D73F89" w:rsidRPr="00A9681B">
        <w:t>”</w:t>
      </w:r>
    </w:p>
    <w:p w:rsidR="00D14C7A" w:rsidRPr="00A9681B" w:rsidRDefault="00D14C7A" w:rsidP="00A9681B">
      <w:pPr>
        <w:pStyle w:val="ECHRTitleCentre3"/>
      </w:pPr>
      <w:r w:rsidRPr="00A9681B">
        <w:t>Article 37</w:t>
      </w:r>
    </w:p>
    <w:p w:rsidR="00D14C7A" w:rsidRPr="00A9681B" w:rsidRDefault="00D73F89" w:rsidP="00A9681B">
      <w:pPr>
        <w:pStyle w:val="ECHRParaQuote"/>
      </w:pPr>
      <w:r w:rsidRPr="00A9681B">
        <w:t>“</w:t>
      </w:r>
      <w:r w:rsidR="00D14C7A" w:rsidRPr="00A9681B">
        <w:t>(1) The Government shall implement the central budget lawfully and efficiently, under the principle</w:t>
      </w:r>
      <w:r w:rsidRPr="00A9681B">
        <w:t xml:space="preserve"> of prudence and transparency. </w:t>
      </w:r>
      <w:r w:rsidR="00766713" w:rsidRPr="00A9681B">
        <w:t>...</w:t>
      </w:r>
      <w:r w:rsidRPr="00A9681B">
        <w:t>”</w:t>
      </w:r>
    </w:p>
    <w:bookmarkStart w:id="4" w:name="T9"/>
    <w:p w:rsidR="006F459D" w:rsidRPr="00A9681B" w:rsidRDefault="00312C32" w:rsidP="00A9681B">
      <w:pPr>
        <w:pStyle w:val="ECHRPara"/>
        <w:rPr>
          <w:rFonts w:ascii="Times New Roman" w:eastAsia="Times New Roman" w:hAnsi="Times New Roman" w:cs="Times New Roman"/>
          <w:lang w:eastAsia="fr-FR"/>
        </w:rPr>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21</w:t>
      </w:r>
      <w:r w:rsidRPr="00A9681B">
        <w:rPr>
          <w:rFonts w:ascii="Times New Roman" w:eastAsia="Times New Roman" w:hAnsi="Times New Roman" w:cs="Times New Roman"/>
          <w:lang w:eastAsia="fr-FR"/>
        </w:rPr>
        <w:fldChar w:fldCharType="end"/>
      </w:r>
      <w:bookmarkEnd w:id="4"/>
      <w:r w:rsidRPr="00A9681B">
        <w:rPr>
          <w:rFonts w:ascii="Times New Roman" w:eastAsia="Times New Roman" w:hAnsi="Times New Roman" w:cs="Times New Roman"/>
          <w:lang w:eastAsia="fr-FR"/>
        </w:rPr>
        <w:t>.  </w:t>
      </w:r>
      <w:r w:rsidR="00B03F1E" w:rsidRPr="00A9681B">
        <w:rPr>
          <w:rFonts w:ascii="Times New Roman" w:eastAsia="Times New Roman" w:hAnsi="Times New Roman" w:cs="Times New Roman"/>
          <w:lang w:eastAsia="fr-FR"/>
        </w:rPr>
        <w:t>J</w:t>
      </w:r>
      <w:r w:rsidR="006F459D" w:rsidRPr="00A9681B">
        <w:rPr>
          <w:rFonts w:ascii="Times New Roman" w:eastAsia="Times New Roman" w:hAnsi="Times New Roman" w:cs="Times New Roman"/>
          <w:lang w:eastAsia="fr-FR"/>
        </w:rPr>
        <w:t xml:space="preserve">udgment no. Pfv.IV.20.602/2017/5 of the </w:t>
      </w:r>
      <w:r w:rsidR="006F459D" w:rsidRPr="00A9681B">
        <w:rPr>
          <w:rFonts w:ascii="Times New Roman" w:eastAsia="Times New Roman" w:hAnsi="Times New Roman" w:cs="Times New Roman"/>
          <w:i/>
          <w:lang w:eastAsia="fr-FR"/>
        </w:rPr>
        <w:t>Kúria</w:t>
      </w:r>
      <w:r w:rsidRPr="00A9681B">
        <w:rPr>
          <w:rFonts w:ascii="Times New Roman" w:eastAsia="Times New Roman" w:hAnsi="Times New Roman" w:cs="Times New Roman"/>
          <w:lang w:eastAsia="fr-FR"/>
        </w:rPr>
        <w:t xml:space="preserve"> </w:t>
      </w:r>
      <w:r w:rsidR="00B03F1E" w:rsidRPr="00A9681B">
        <w:rPr>
          <w:rFonts w:ascii="Times New Roman" w:eastAsia="Times New Roman" w:hAnsi="Times New Roman" w:cs="Times New Roman"/>
          <w:lang w:eastAsia="fr-FR"/>
        </w:rPr>
        <w:t>contains the following passages</w:t>
      </w:r>
      <w:r w:rsidRPr="00A9681B">
        <w:rPr>
          <w:rFonts w:ascii="Times New Roman" w:eastAsia="Times New Roman" w:hAnsi="Times New Roman" w:cs="Times New Roman"/>
          <w:lang w:eastAsia="fr-FR"/>
        </w:rPr>
        <w:t>:</w:t>
      </w:r>
    </w:p>
    <w:p w:rsidR="006F459D" w:rsidRPr="00A9681B" w:rsidRDefault="00D73F89" w:rsidP="00A9681B">
      <w:pPr>
        <w:pStyle w:val="ECHRParaQuote"/>
      </w:pPr>
      <w:r w:rsidRPr="00A9681B">
        <w:t>“</w:t>
      </w:r>
      <w:r w:rsidR="003B643B" w:rsidRPr="00A9681B">
        <w:t xml:space="preserve">[20] </w:t>
      </w:r>
      <w:r w:rsidR="00766713" w:rsidRPr="00A9681B">
        <w:t>...</w:t>
      </w:r>
      <w:r w:rsidR="006F459D" w:rsidRPr="00A9681B">
        <w:t xml:space="preserve"> </w:t>
      </w:r>
      <w:r w:rsidR="00312C32" w:rsidRPr="00A9681B">
        <w:t>Certainly,</w:t>
      </w:r>
      <w:r w:rsidR="006F459D" w:rsidRPr="00A9681B">
        <w:t xml:space="preserve"> the Hungari</w:t>
      </w:r>
      <w:r w:rsidR="00B03F1E" w:rsidRPr="00A9681B">
        <w:t xml:space="preserve">an </w:t>
      </w:r>
      <w:r w:rsidR="00C146E0" w:rsidRPr="00A9681B">
        <w:t>labour</w:t>
      </w:r>
      <w:r w:rsidR="005207A2" w:rsidRPr="00A9681B">
        <w:t>-</w:t>
      </w:r>
      <w:r w:rsidR="00B03F1E" w:rsidRPr="00A9681B">
        <w:t>law provisions (</w:t>
      </w:r>
      <w:r w:rsidR="005207A2" w:rsidRPr="00A9681B">
        <w:t xml:space="preserve">section </w:t>
      </w:r>
      <w:r w:rsidR="006F459D" w:rsidRPr="00A9681B">
        <w:t xml:space="preserve">115 of the Labour Act, as </w:t>
      </w:r>
      <w:r w:rsidR="00B03F1E" w:rsidRPr="00A9681B">
        <w:t>in force</w:t>
      </w:r>
      <w:r w:rsidR="006F459D" w:rsidRPr="00A9681B">
        <w:t xml:space="preserve"> in the relevant period) were not in compliance with Article 7 (1) and (2) of Directive 2003/88/EC. The Hungarian </w:t>
      </w:r>
      <w:r w:rsidR="00472B67" w:rsidRPr="00A9681B">
        <w:t>rules</w:t>
      </w:r>
      <w:r w:rsidR="006F459D" w:rsidRPr="00A9681B">
        <w:t xml:space="preserve">, at least </w:t>
      </w:r>
      <w:r w:rsidR="00B03F1E" w:rsidRPr="00A9681B">
        <w:t>to</w:t>
      </w:r>
      <w:r w:rsidR="006F459D" w:rsidRPr="00A9681B">
        <w:t xml:space="preserve"> some extent, </w:t>
      </w:r>
      <w:r w:rsidR="00472B67" w:rsidRPr="00A9681B">
        <w:t>were</w:t>
      </w:r>
      <w:r w:rsidR="006F459D" w:rsidRPr="00A9681B">
        <w:t xml:space="preserve"> clearly in conflict with the provisions of the EU directive.</w:t>
      </w:r>
    </w:p>
    <w:p w:rsidR="006F459D" w:rsidRPr="00A9681B" w:rsidRDefault="006F459D" w:rsidP="00A9681B">
      <w:pPr>
        <w:pStyle w:val="ECHRParaQuote"/>
      </w:pPr>
      <w:r w:rsidRPr="00A9681B">
        <w:t xml:space="preserve">[21] The </w:t>
      </w:r>
      <w:r w:rsidRPr="00A9681B">
        <w:rPr>
          <w:i/>
        </w:rPr>
        <w:t>Kúria</w:t>
      </w:r>
      <w:r w:rsidRPr="00A9681B">
        <w:t xml:space="preserve"> </w:t>
      </w:r>
      <w:r w:rsidR="00C146E0" w:rsidRPr="00A9681B">
        <w:t>holds</w:t>
      </w:r>
      <w:r w:rsidRPr="00A9681B">
        <w:t xml:space="preserve">, despite the findings of the final </w:t>
      </w:r>
      <w:r w:rsidR="00312C32" w:rsidRPr="00A9681B">
        <w:t xml:space="preserve">and binding </w:t>
      </w:r>
      <w:r w:rsidRPr="00A9681B">
        <w:t xml:space="preserve">judgment, that the direct consequences of such </w:t>
      </w:r>
      <w:r w:rsidR="005207A2" w:rsidRPr="00A9681B">
        <w:t xml:space="preserve">a </w:t>
      </w:r>
      <w:r w:rsidRPr="00A9681B">
        <w:t>legislative error (mistake), namely the claimant</w:t>
      </w:r>
      <w:r w:rsidR="00A9681B" w:rsidRPr="00A9681B">
        <w:t>’</w:t>
      </w:r>
      <w:r w:rsidRPr="00A9681B">
        <w:t xml:space="preserve">s deprivation of </w:t>
      </w:r>
      <w:r w:rsidR="005207A2" w:rsidRPr="00A9681B">
        <w:t xml:space="preserve">days of </w:t>
      </w:r>
      <w:r w:rsidRPr="00A9681B">
        <w:t>paid leave, had a substanti</w:t>
      </w:r>
      <w:r w:rsidR="00D73F89" w:rsidRPr="00A9681B">
        <w:t xml:space="preserve">ve effect on his private life. </w:t>
      </w:r>
      <w:r w:rsidR="00766713" w:rsidRPr="00A9681B">
        <w:t>...</w:t>
      </w:r>
    </w:p>
    <w:p w:rsidR="00766713" w:rsidRPr="00A9681B" w:rsidRDefault="00D73F89" w:rsidP="00A9681B">
      <w:pPr>
        <w:pStyle w:val="ECHRParaQuote"/>
      </w:pPr>
      <w:r w:rsidRPr="00A9681B">
        <w:t xml:space="preserve">[22] </w:t>
      </w:r>
      <w:r w:rsidR="00766713" w:rsidRPr="00A9681B">
        <w:t>...</w:t>
      </w:r>
      <w:r w:rsidR="006F459D" w:rsidRPr="00A9681B">
        <w:t xml:space="preserve"> The relevant case-law of the Court of Justice of the European Union has clarified that it is exclusively the national law that applies to the </w:t>
      </w:r>
      <w:r w:rsidR="00B6382E" w:rsidRPr="00A9681B">
        <w:t>national courts</w:t>
      </w:r>
      <w:r w:rsidR="00A9681B" w:rsidRPr="00A9681B">
        <w:t>’</w:t>
      </w:r>
      <w:r w:rsidR="00B6382E" w:rsidRPr="00A9681B">
        <w:t xml:space="preserve"> </w:t>
      </w:r>
      <w:r w:rsidR="006F459D" w:rsidRPr="00A9681B">
        <w:t xml:space="preserve">assessment of actual </w:t>
      </w:r>
      <w:r w:rsidR="00B6382E" w:rsidRPr="00A9681B">
        <w:t xml:space="preserve">liability for </w:t>
      </w:r>
      <w:r w:rsidR="006F459D" w:rsidRPr="00A9681B">
        <w:t>damage.</w:t>
      </w:r>
    </w:p>
    <w:p w:rsidR="00766713" w:rsidRPr="00A9681B" w:rsidRDefault="006F459D" w:rsidP="00A9681B">
      <w:pPr>
        <w:pStyle w:val="ECHRParaQuote"/>
      </w:pPr>
      <w:r w:rsidRPr="00A9681B">
        <w:t xml:space="preserve">[23] Although there had been a proposal </w:t>
      </w:r>
      <w:r w:rsidR="003B643B" w:rsidRPr="00A9681B">
        <w:t>to include provisions in the n</w:t>
      </w:r>
      <w:r w:rsidRPr="00A9681B">
        <w:t>ew Civil Code regarding the legislat</w:t>
      </w:r>
      <w:r w:rsidR="00B6382E" w:rsidRPr="00A9681B">
        <w:t>ure</w:t>
      </w:r>
      <w:r w:rsidR="00A9681B" w:rsidRPr="00A9681B">
        <w:t>’</w:t>
      </w:r>
      <w:r w:rsidRPr="00A9681B">
        <w:t xml:space="preserve">s </w:t>
      </w:r>
      <w:r w:rsidR="00B6382E" w:rsidRPr="00A9681B">
        <w:t xml:space="preserve">liability </w:t>
      </w:r>
      <w:r w:rsidRPr="00A9681B">
        <w:t>for damage caused by legislation, that proposa</w:t>
      </w:r>
      <w:r w:rsidR="003B643B" w:rsidRPr="00A9681B">
        <w:t xml:space="preserve">l was finally </w:t>
      </w:r>
      <w:r w:rsidR="00B03F1E" w:rsidRPr="00A9681B">
        <w:t>not accepted</w:t>
      </w:r>
      <w:r w:rsidR="003B643B" w:rsidRPr="00A9681B">
        <w:t>; and the o</w:t>
      </w:r>
      <w:r w:rsidRPr="00A9681B">
        <w:t>ld Civil Code did not include any such provisions. The court as a law enforcer cannot, at its own discretion, countervail that.</w:t>
      </w:r>
    </w:p>
    <w:p w:rsidR="00766713" w:rsidRPr="00A9681B" w:rsidRDefault="006F459D" w:rsidP="00A9681B">
      <w:pPr>
        <w:pStyle w:val="ECHRParaQuote"/>
      </w:pPr>
      <w:r w:rsidRPr="00A9681B">
        <w:t xml:space="preserve">[24] </w:t>
      </w:r>
      <w:r w:rsidR="00B6382E" w:rsidRPr="00A9681B">
        <w:t>Pursuant to Article</w:t>
      </w:r>
      <w:r w:rsidR="003B643B" w:rsidRPr="00A9681B">
        <w:t xml:space="preserve"> 339 of the o</w:t>
      </w:r>
      <w:r w:rsidRPr="00A9681B">
        <w:t xml:space="preserve">ld Civil Code, a person who </w:t>
      </w:r>
      <w:r w:rsidR="00B03F1E" w:rsidRPr="00A9681B">
        <w:t xml:space="preserve">unlawfully </w:t>
      </w:r>
      <w:r w:rsidRPr="00A9681B">
        <w:t xml:space="preserve">causes damage to another person </w:t>
      </w:r>
      <w:r w:rsidR="00371AD4" w:rsidRPr="00A9681B">
        <w:t>is</w:t>
      </w:r>
      <w:r w:rsidRPr="00A9681B">
        <w:t xml:space="preserve"> liable for such damage. He </w:t>
      </w:r>
      <w:r w:rsidR="00371AD4" w:rsidRPr="00A9681B">
        <w:t>is</w:t>
      </w:r>
      <w:r w:rsidRPr="00A9681B">
        <w:t xml:space="preserve"> relieved of liability if he is able to prove that he has acted in a manner that can generally be expected in the given situation. The </w:t>
      </w:r>
      <w:r w:rsidRPr="00A9681B">
        <w:rPr>
          <w:i/>
        </w:rPr>
        <w:t>Kúria</w:t>
      </w:r>
      <w:r w:rsidRPr="00A9681B">
        <w:t xml:space="preserve"> finds that this provision cannot be applied to the relationship between the claimant and the defendant in the present case. It is well-</w:t>
      </w:r>
      <w:r w:rsidR="003B643B" w:rsidRPr="00A9681B">
        <w:t>established case-law under the o</w:t>
      </w:r>
      <w:r w:rsidRPr="00A9681B">
        <w:t xml:space="preserve">ld Civil Code that </w:t>
      </w:r>
      <w:r w:rsidR="00B6382E" w:rsidRPr="00A9681B">
        <w:t xml:space="preserve">Article </w:t>
      </w:r>
      <w:r w:rsidRPr="00A9681B">
        <w:t xml:space="preserve">339 </w:t>
      </w:r>
      <w:r w:rsidR="00472B67" w:rsidRPr="00A9681B">
        <w:t>was</w:t>
      </w:r>
      <w:r w:rsidRPr="00A9681B">
        <w:t xml:space="preserve"> not applicable to damage caused by </w:t>
      </w:r>
      <w:r w:rsidRPr="00A9681B">
        <w:lastRenderedPageBreak/>
        <w:t>legislation. Thus, in the absence of any applicable legal provisions</w:t>
      </w:r>
      <w:r w:rsidR="00312C32" w:rsidRPr="00A9681B">
        <w:t>,</w:t>
      </w:r>
      <w:r w:rsidRPr="00A9681B">
        <w:t xml:space="preserve"> the </w:t>
      </w:r>
      <w:r w:rsidR="00312C32" w:rsidRPr="00A9681B">
        <w:t xml:space="preserve">court </w:t>
      </w:r>
      <w:r w:rsidR="00B03F1E" w:rsidRPr="00A9681B">
        <w:t xml:space="preserve">correctly </w:t>
      </w:r>
      <w:r w:rsidR="00312C32" w:rsidRPr="00A9681B">
        <w:t>dismissed the claimant</w:t>
      </w:r>
      <w:r w:rsidR="00A9681B" w:rsidRPr="00A9681B">
        <w:t>’</w:t>
      </w:r>
      <w:r w:rsidR="00312C32" w:rsidRPr="00A9681B">
        <w:t xml:space="preserve">s claims </w:t>
      </w:r>
      <w:r w:rsidR="00B6382E" w:rsidRPr="00A9681B">
        <w:t xml:space="preserve">for damages </w:t>
      </w:r>
      <w:r w:rsidR="00312C32" w:rsidRPr="00A9681B">
        <w:t xml:space="preserve">in </w:t>
      </w:r>
      <w:r w:rsidR="00B6382E" w:rsidRPr="00A9681B">
        <w:t xml:space="preserve">a </w:t>
      </w:r>
      <w:r w:rsidRPr="00A9681B">
        <w:t xml:space="preserve">final </w:t>
      </w:r>
      <w:r w:rsidR="00312C32" w:rsidRPr="00A9681B">
        <w:t xml:space="preserve">and binding </w:t>
      </w:r>
      <w:r w:rsidR="00472B67" w:rsidRPr="00A9681B">
        <w:t xml:space="preserve">judgment, </w:t>
      </w:r>
      <w:r w:rsidR="00B03F1E" w:rsidRPr="00A9681B">
        <w:t>which is</w:t>
      </w:r>
      <w:r w:rsidRPr="00A9681B">
        <w:t xml:space="preserve"> therefore </w:t>
      </w:r>
      <w:r w:rsidR="00B03F1E" w:rsidRPr="00A9681B">
        <w:t xml:space="preserve">upheld by </w:t>
      </w:r>
      <w:r w:rsidRPr="00A9681B">
        <w:t xml:space="preserve">the </w:t>
      </w:r>
      <w:r w:rsidRPr="00A9681B">
        <w:rPr>
          <w:i/>
        </w:rPr>
        <w:t>Kúria</w:t>
      </w:r>
      <w:r w:rsidRPr="00A9681B">
        <w:t>.</w:t>
      </w:r>
      <w:r w:rsidR="003B643B" w:rsidRPr="00A9681B">
        <w:t>”</w:t>
      </w:r>
    </w:p>
    <w:p w:rsidR="00014566" w:rsidRPr="00A9681B" w:rsidRDefault="00014566" w:rsidP="00A9681B">
      <w:pPr>
        <w:pStyle w:val="ECHRTitle1"/>
      </w:pPr>
      <w:r w:rsidRPr="00A9681B">
        <w:t>THE LAW</w:t>
      </w:r>
    </w:p>
    <w:p w:rsidR="00014566" w:rsidRPr="00A9681B" w:rsidRDefault="00014566" w:rsidP="00A9681B">
      <w:pPr>
        <w:pStyle w:val="ECHRHeading1"/>
      </w:pPr>
      <w:r w:rsidRPr="00A9681B">
        <w:t xml:space="preserve">I.  ALLEGED VIOLATION OF ARTICLE </w:t>
      </w:r>
      <w:r w:rsidR="003C6B66" w:rsidRPr="00A9681B">
        <w:t>1 OF PROTOCOL N</w:t>
      </w:r>
      <w:r w:rsidR="00B6382E" w:rsidRPr="00A9681B">
        <w:t>o</w:t>
      </w:r>
      <w:r w:rsidR="003C6B66" w:rsidRPr="00A9681B">
        <w:t>. 1 TO THE</w:t>
      </w:r>
      <w:r w:rsidRPr="00A9681B">
        <w:t xml:space="preserve"> CONVENTION</w:t>
      </w:r>
    </w:p>
    <w:p w:rsidR="00877698" w:rsidRPr="00A9681B" w:rsidRDefault="00877698" w:rsidP="00A9681B">
      <w:pPr>
        <w:pStyle w:val="ECHRPara"/>
        <w:rPr>
          <w:rFonts w:eastAsia="Times New Roman"/>
        </w:rPr>
      </w:pPr>
      <w:r w:rsidRPr="00A9681B">
        <w:rPr>
          <w:rFonts w:eastAsia="Times New Roman"/>
        </w:rPr>
        <w:fldChar w:fldCharType="begin"/>
      </w:r>
      <w:r w:rsidRPr="00A9681B">
        <w:rPr>
          <w:rFonts w:eastAsia="Times New Roman"/>
        </w:rPr>
        <w:instrText xml:space="preserve"> SEQ level0 \*arabic </w:instrText>
      </w:r>
      <w:r w:rsidRPr="00A9681B">
        <w:rPr>
          <w:rFonts w:eastAsia="Times New Roman"/>
        </w:rPr>
        <w:fldChar w:fldCharType="separate"/>
      </w:r>
      <w:r w:rsidR="00A9681B" w:rsidRPr="00A9681B">
        <w:rPr>
          <w:rFonts w:eastAsia="Times New Roman"/>
          <w:noProof/>
        </w:rPr>
        <w:t>22</w:t>
      </w:r>
      <w:r w:rsidRPr="00A9681B">
        <w:rPr>
          <w:rFonts w:eastAsia="Times New Roman"/>
        </w:rPr>
        <w:fldChar w:fldCharType="end"/>
      </w:r>
      <w:r w:rsidRPr="00A9681B">
        <w:rPr>
          <w:rFonts w:eastAsia="Times New Roman"/>
        </w:rPr>
        <w:t>.  The applicant</w:t>
      </w:r>
      <w:r w:rsidR="00BD1026" w:rsidRPr="00A9681B">
        <w:rPr>
          <w:rFonts w:eastAsia="Times New Roman"/>
        </w:rPr>
        <w:t xml:space="preserve"> </w:t>
      </w:r>
      <w:r w:rsidR="00BD1026" w:rsidRPr="00A9681B">
        <w:rPr>
          <w:rFonts w:eastAsia="Times New Roman"/>
          <w:lang w:eastAsia="fr-FR"/>
        </w:rPr>
        <w:t>companies</w:t>
      </w:r>
      <w:r w:rsidRPr="00A9681B">
        <w:rPr>
          <w:rFonts w:eastAsia="Times New Roman"/>
        </w:rPr>
        <w:t xml:space="preserve"> complained that </w:t>
      </w:r>
      <w:r w:rsidR="00587160" w:rsidRPr="00A9681B">
        <w:rPr>
          <w:rFonts w:eastAsia="Times New Roman"/>
        </w:rPr>
        <w:t xml:space="preserve">the </w:t>
      </w:r>
      <w:r w:rsidRPr="00A9681B">
        <w:rPr>
          <w:rFonts w:eastAsia="Times New Roman"/>
        </w:rPr>
        <w:t xml:space="preserve">creation of </w:t>
      </w:r>
      <w:r w:rsidR="00FA23C8" w:rsidRPr="00A9681B">
        <w:rPr>
          <w:rFonts w:eastAsia="Times New Roman"/>
        </w:rPr>
        <w:t xml:space="preserve">a </w:t>
      </w:r>
      <w:r w:rsidR="00587160" w:rsidRPr="00A9681B">
        <w:rPr>
          <w:rFonts w:eastAsia="Times New Roman"/>
        </w:rPr>
        <w:t>S</w:t>
      </w:r>
      <w:r w:rsidRPr="00A9681B">
        <w:rPr>
          <w:rFonts w:eastAsia="Times New Roman"/>
        </w:rPr>
        <w:t xml:space="preserve">tate monopoly in the schoolbook distribution market had deprived </w:t>
      </w:r>
      <w:r w:rsidR="00FA23C8" w:rsidRPr="00A9681B">
        <w:rPr>
          <w:rFonts w:eastAsia="Times New Roman"/>
        </w:rPr>
        <w:t xml:space="preserve">them </w:t>
      </w:r>
      <w:r w:rsidRPr="00A9681B">
        <w:rPr>
          <w:rFonts w:eastAsia="Times New Roman"/>
        </w:rPr>
        <w:t xml:space="preserve">of the </w:t>
      </w:r>
      <w:r w:rsidR="00587160" w:rsidRPr="00A9681B">
        <w:rPr>
          <w:rFonts w:eastAsia="Times New Roman"/>
        </w:rPr>
        <w:t xml:space="preserve">peaceful </w:t>
      </w:r>
      <w:r w:rsidRPr="00A9681B">
        <w:rPr>
          <w:rFonts w:eastAsia="Times New Roman"/>
        </w:rPr>
        <w:t>enjoyment of their possession</w:t>
      </w:r>
      <w:r w:rsidR="00587160" w:rsidRPr="00A9681B">
        <w:rPr>
          <w:rFonts w:eastAsia="Times New Roman"/>
        </w:rPr>
        <w:t xml:space="preserve">s, in breach of </w:t>
      </w:r>
      <w:r w:rsidRPr="00A9681B">
        <w:rPr>
          <w:rFonts w:eastAsia="Times New Roman"/>
        </w:rPr>
        <w:t>Article 1</w:t>
      </w:r>
      <w:r w:rsidR="00587160" w:rsidRPr="00A9681B">
        <w:rPr>
          <w:rFonts w:eastAsia="Times New Roman"/>
        </w:rPr>
        <w:t xml:space="preserve"> </w:t>
      </w:r>
      <w:r w:rsidR="00156158" w:rsidRPr="00A9681B">
        <w:rPr>
          <w:rFonts w:eastAsia="Times New Roman"/>
        </w:rPr>
        <w:t>of Protocol No. </w:t>
      </w:r>
      <w:r w:rsidRPr="00A9681B">
        <w:rPr>
          <w:rFonts w:eastAsia="Times New Roman"/>
        </w:rPr>
        <w:t>1 to the Convention, which reads:</w:t>
      </w:r>
    </w:p>
    <w:p w:rsidR="003C6B66" w:rsidRPr="00A9681B" w:rsidRDefault="003C6B66" w:rsidP="00A9681B">
      <w:pPr>
        <w:pStyle w:val="ECHRParaQuote"/>
      </w:pPr>
      <w:r w:rsidRPr="00A9681B">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014566" w:rsidRPr="00A9681B" w:rsidRDefault="003C6B66" w:rsidP="00A9681B">
      <w:pPr>
        <w:pStyle w:val="ECHRParaQuote"/>
      </w:pPr>
      <w:r w:rsidRPr="00A9681B">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014566" w:rsidRPr="00A9681B" w:rsidRDefault="00014566" w:rsidP="00A9681B">
      <w:pPr>
        <w:pStyle w:val="ECHRHeading2"/>
      </w:pPr>
      <w:r w:rsidRPr="00A9681B">
        <w:t>A.  Admissibility</w:t>
      </w:r>
    </w:p>
    <w:p w:rsidR="001E2AC3" w:rsidRPr="00A9681B" w:rsidRDefault="00877698"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23</w:t>
      </w:r>
      <w:r w:rsidRPr="00A9681B">
        <w:rPr>
          <w:rFonts w:eastAsia="Times New Roman"/>
          <w:lang w:eastAsia="fr-FR"/>
        </w:rPr>
        <w:fldChar w:fldCharType="end"/>
      </w:r>
      <w:r w:rsidRPr="00A9681B">
        <w:rPr>
          <w:rFonts w:eastAsia="Times New Roman"/>
          <w:lang w:eastAsia="fr-FR"/>
        </w:rPr>
        <w:t>.  </w:t>
      </w:r>
      <w:r w:rsidR="001E2AC3" w:rsidRPr="00A9681B">
        <w:rPr>
          <w:rFonts w:eastAsia="Times New Roman"/>
          <w:lang w:eastAsia="fr-FR"/>
        </w:rPr>
        <w:t>The</w:t>
      </w:r>
      <w:r w:rsidRPr="00A9681B">
        <w:rPr>
          <w:rFonts w:eastAsia="Times New Roman"/>
          <w:lang w:eastAsia="fr-FR"/>
        </w:rPr>
        <w:t xml:space="preserve"> Government argued that the complaint was premature and </w:t>
      </w:r>
      <w:r w:rsidR="001E2AC3" w:rsidRPr="00A9681B">
        <w:rPr>
          <w:rFonts w:eastAsia="Times New Roman"/>
          <w:lang w:eastAsia="fr-FR"/>
        </w:rPr>
        <w:t xml:space="preserve">that </w:t>
      </w:r>
      <w:r w:rsidRPr="00A9681B">
        <w:rPr>
          <w:rFonts w:eastAsia="Times New Roman"/>
          <w:lang w:eastAsia="fr-FR"/>
        </w:rPr>
        <w:t>the applicant</w:t>
      </w:r>
      <w:r w:rsidR="00BD1026" w:rsidRPr="00A9681B">
        <w:rPr>
          <w:rFonts w:eastAsia="Times New Roman"/>
          <w:lang w:eastAsia="fr-FR"/>
        </w:rPr>
        <w:t xml:space="preserve"> companies</w:t>
      </w:r>
      <w:r w:rsidRPr="00A9681B">
        <w:rPr>
          <w:rFonts w:eastAsia="Times New Roman"/>
          <w:lang w:eastAsia="fr-FR"/>
        </w:rPr>
        <w:t xml:space="preserve"> had not exhausted all the effective domestic remedies, as required by Article 35 § 1 of the Convention. </w:t>
      </w:r>
      <w:r w:rsidR="001E2AC3" w:rsidRPr="00A9681B">
        <w:rPr>
          <w:rFonts w:eastAsia="Times New Roman"/>
          <w:lang w:eastAsia="fr-FR"/>
        </w:rPr>
        <w:t>They</w:t>
      </w:r>
      <w:r w:rsidRPr="00A9681B">
        <w:rPr>
          <w:rFonts w:eastAsia="Times New Roman"/>
          <w:lang w:eastAsia="fr-FR"/>
        </w:rPr>
        <w:t xml:space="preserve"> </w:t>
      </w:r>
      <w:r w:rsidR="00746FF8" w:rsidRPr="00A9681B">
        <w:rPr>
          <w:rFonts w:eastAsia="Times New Roman"/>
          <w:lang w:eastAsia="fr-FR"/>
        </w:rPr>
        <w:t xml:space="preserve">submitted </w:t>
      </w:r>
      <w:r w:rsidRPr="00A9681B">
        <w:rPr>
          <w:rFonts w:eastAsia="Times New Roman"/>
          <w:lang w:eastAsia="fr-FR"/>
        </w:rPr>
        <w:t>that the constitutional complaint submitted by the applicant</w:t>
      </w:r>
      <w:r w:rsidR="00BD1026" w:rsidRPr="00A9681B">
        <w:rPr>
          <w:rFonts w:eastAsia="Times New Roman"/>
          <w:lang w:eastAsia="fr-FR"/>
        </w:rPr>
        <w:t xml:space="preserve"> companies</w:t>
      </w:r>
      <w:r w:rsidRPr="00A9681B">
        <w:rPr>
          <w:rFonts w:eastAsia="Times New Roman"/>
          <w:lang w:eastAsia="fr-FR"/>
        </w:rPr>
        <w:t xml:space="preserve"> </w:t>
      </w:r>
      <w:r w:rsidR="001E2AC3" w:rsidRPr="00A9681B">
        <w:rPr>
          <w:rFonts w:eastAsia="Times New Roman"/>
          <w:lang w:eastAsia="fr-FR"/>
        </w:rPr>
        <w:t>was</w:t>
      </w:r>
      <w:r w:rsidRPr="00A9681B">
        <w:rPr>
          <w:rFonts w:eastAsia="Times New Roman"/>
          <w:lang w:eastAsia="fr-FR"/>
        </w:rPr>
        <w:t xml:space="preserve"> an effective remedy </w:t>
      </w:r>
      <w:r w:rsidR="00B6382E" w:rsidRPr="00A9681B">
        <w:rPr>
          <w:rFonts w:eastAsia="Times New Roman"/>
          <w:lang w:eastAsia="fr-FR"/>
        </w:rPr>
        <w:t xml:space="preserve">in relation to which </w:t>
      </w:r>
      <w:r w:rsidR="006B5760" w:rsidRPr="00A9681B">
        <w:rPr>
          <w:rFonts w:eastAsia="Times New Roman"/>
          <w:lang w:eastAsia="fr-FR"/>
        </w:rPr>
        <w:t xml:space="preserve">proceedings were </w:t>
      </w:r>
      <w:r w:rsidRPr="00A9681B">
        <w:rPr>
          <w:rFonts w:eastAsia="Times New Roman"/>
          <w:lang w:eastAsia="fr-FR"/>
        </w:rPr>
        <w:t xml:space="preserve">still </w:t>
      </w:r>
      <w:r w:rsidR="00055E1B" w:rsidRPr="00A9681B">
        <w:rPr>
          <w:rFonts w:eastAsia="Times New Roman"/>
          <w:lang w:eastAsia="fr-FR"/>
        </w:rPr>
        <w:t>ongoing</w:t>
      </w:r>
      <w:r w:rsidR="006B5760" w:rsidRPr="00A9681B">
        <w:rPr>
          <w:rFonts w:eastAsia="Times New Roman"/>
          <w:lang w:eastAsia="fr-FR"/>
        </w:rPr>
        <w:t xml:space="preserve"> </w:t>
      </w:r>
      <w:r w:rsidRPr="00A9681B">
        <w:rPr>
          <w:rFonts w:eastAsia="Times New Roman"/>
          <w:lang w:eastAsia="fr-FR"/>
        </w:rPr>
        <w:t xml:space="preserve">at that time. It was not disputed by the Government that the Constitutional Court </w:t>
      </w:r>
      <w:r w:rsidR="001E2AC3" w:rsidRPr="00A9681B">
        <w:rPr>
          <w:rFonts w:eastAsia="Times New Roman"/>
          <w:lang w:eastAsia="fr-FR"/>
        </w:rPr>
        <w:t>could not</w:t>
      </w:r>
      <w:r w:rsidRPr="00A9681B">
        <w:rPr>
          <w:rFonts w:eastAsia="Times New Roman"/>
          <w:lang w:eastAsia="fr-FR"/>
        </w:rPr>
        <w:t xml:space="preserve"> award damages for the violation of constitutional rights</w:t>
      </w:r>
      <w:r w:rsidR="001933B0" w:rsidRPr="00A9681B">
        <w:rPr>
          <w:rFonts w:eastAsia="Times New Roman"/>
          <w:lang w:eastAsia="fr-FR"/>
        </w:rPr>
        <w:t>.</w:t>
      </w:r>
      <w:r w:rsidRPr="00A9681B">
        <w:rPr>
          <w:rFonts w:eastAsia="Times New Roman"/>
          <w:lang w:eastAsia="fr-FR"/>
        </w:rPr>
        <w:t xml:space="preserve"> </w:t>
      </w:r>
      <w:r w:rsidR="001933B0" w:rsidRPr="00A9681B">
        <w:rPr>
          <w:rFonts w:eastAsia="Times New Roman"/>
          <w:lang w:eastAsia="fr-FR"/>
        </w:rPr>
        <w:t>H</w:t>
      </w:r>
      <w:r w:rsidRPr="00A9681B">
        <w:rPr>
          <w:rFonts w:eastAsia="Times New Roman"/>
          <w:lang w:eastAsia="fr-FR"/>
        </w:rPr>
        <w:t>owever,</w:t>
      </w:r>
      <w:r w:rsidR="001933B0" w:rsidRPr="00A9681B">
        <w:rPr>
          <w:rFonts w:eastAsia="Times New Roman"/>
          <w:lang w:eastAsia="fr-FR"/>
        </w:rPr>
        <w:t xml:space="preserve"> the Government asserted that</w:t>
      </w:r>
      <w:r w:rsidRPr="00A9681B">
        <w:rPr>
          <w:rFonts w:eastAsia="Times New Roman"/>
          <w:lang w:eastAsia="fr-FR"/>
        </w:rPr>
        <w:t xml:space="preserve"> once the preliminary issue of the constitutionality of </w:t>
      </w:r>
      <w:r w:rsidR="001933B0" w:rsidRPr="00A9681B">
        <w:rPr>
          <w:rFonts w:eastAsia="Times New Roman"/>
          <w:lang w:eastAsia="fr-FR"/>
        </w:rPr>
        <w:t xml:space="preserve">the </w:t>
      </w:r>
      <w:r w:rsidRPr="00A9681B">
        <w:rPr>
          <w:rFonts w:eastAsia="Times New Roman"/>
          <w:lang w:eastAsia="fr-FR"/>
        </w:rPr>
        <w:t xml:space="preserve">legislation </w:t>
      </w:r>
      <w:r w:rsidR="001E2AC3" w:rsidRPr="00A9681B">
        <w:rPr>
          <w:rFonts w:eastAsia="Times New Roman"/>
          <w:lang w:eastAsia="fr-FR"/>
        </w:rPr>
        <w:t>was</w:t>
      </w:r>
      <w:r w:rsidRPr="00A9681B">
        <w:rPr>
          <w:rFonts w:eastAsia="Times New Roman"/>
          <w:lang w:eastAsia="fr-FR"/>
        </w:rPr>
        <w:t xml:space="preserve"> determined by </w:t>
      </w:r>
      <w:r w:rsidR="001E2AC3" w:rsidRPr="00A9681B">
        <w:rPr>
          <w:rFonts w:eastAsia="Times New Roman"/>
          <w:lang w:eastAsia="fr-FR"/>
        </w:rPr>
        <w:t>that c</w:t>
      </w:r>
      <w:r w:rsidRPr="00A9681B">
        <w:rPr>
          <w:rFonts w:eastAsia="Times New Roman"/>
          <w:lang w:eastAsia="fr-FR"/>
        </w:rPr>
        <w:t xml:space="preserve">ourt, damages </w:t>
      </w:r>
      <w:r w:rsidR="001E2AC3" w:rsidRPr="00A9681B">
        <w:rPr>
          <w:rFonts w:eastAsia="Times New Roman"/>
          <w:lang w:eastAsia="fr-FR"/>
        </w:rPr>
        <w:t>could</w:t>
      </w:r>
      <w:r w:rsidRPr="00A9681B">
        <w:rPr>
          <w:rFonts w:eastAsia="Times New Roman"/>
          <w:lang w:eastAsia="fr-FR"/>
        </w:rPr>
        <w:t xml:space="preserve"> be sought before </w:t>
      </w:r>
      <w:r w:rsidR="00F64443" w:rsidRPr="00A9681B">
        <w:rPr>
          <w:rFonts w:eastAsia="Times New Roman"/>
          <w:lang w:eastAsia="fr-FR"/>
        </w:rPr>
        <w:t xml:space="preserve">the </w:t>
      </w:r>
      <w:r w:rsidRPr="00A9681B">
        <w:rPr>
          <w:rFonts w:eastAsia="Times New Roman"/>
          <w:lang w:eastAsia="fr-FR"/>
        </w:rPr>
        <w:t>ordinary courts in civil proceedings.</w:t>
      </w:r>
    </w:p>
    <w:p w:rsidR="00703093" w:rsidRPr="00A9681B" w:rsidRDefault="00C146E0" w:rsidP="00A9681B">
      <w:pPr>
        <w:pStyle w:val="ECHRPara"/>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24</w:t>
      </w:r>
      <w:r w:rsidRPr="00A9681B">
        <w:rPr>
          <w:rFonts w:ascii="Times New Roman" w:eastAsia="Times New Roman" w:hAnsi="Times New Roman" w:cs="Times New Roman"/>
          <w:lang w:eastAsia="fr-FR"/>
        </w:rPr>
        <w:fldChar w:fldCharType="end"/>
      </w:r>
      <w:r w:rsidRPr="00A9681B">
        <w:rPr>
          <w:rFonts w:ascii="Times New Roman" w:eastAsia="Times New Roman" w:hAnsi="Times New Roman" w:cs="Times New Roman"/>
          <w:lang w:eastAsia="fr-FR"/>
        </w:rPr>
        <w:t>.  </w:t>
      </w:r>
      <w:r w:rsidR="00EE3E6F" w:rsidRPr="00A9681B">
        <w:rPr>
          <w:rFonts w:ascii="Times New Roman" w:eastAsia="Times New Roman" w:hAnsi="Times New Roman" w:cs="Times New Roman"/>
          <w:lang w:eastAsia="fr-FR"/>
        </w:rPr>
        <w:t xml:space="preserve">Moreover, </w:t>
      </w:r>
      <w:r w:rsidR="00E827C4" w:rsidRPr="00A9681B">
        <w:rPr>
          <w:rFonts w:ascii="Times New Roman" w:eastAsia="Times New Roman" w:hAnsi="Times New Roman" w:cs="Times New Roman"/>
          <w:lang w:eastAsia="fr-FR"/>
        </w:rPr>
        <w:t xml:space="preserve">maintaining that </w:t>
      </w:r>
      <w:r w:rsidR="00B6382E" w:rsidRPr="00A9681B">
        <w:rPr>
          <w:rFonts w:ascii="Times New Roman" w:eastAsia="Times New Roman" w:hAnsi="Times New Roman" w:cs="Times New Roman"/>
          <w:lang w:eastAsia="fr-FR"/>
        </w:rPr>
        <w:t>European Union (</w:t>
      </w:r>
      <w:r w:rsidR="00E827C4" w:rsidRPr="00A9681B">
        <w:rPr>
          <w:rFonts w:ascii="Times New Roman" w:eastAsia="Times New Roman" w:hAnsi="Times New Roman" w:cs="Times New Roman"/>
          <w:lang w:eastAsia="fr-FR"/>
        </w:rPr>
        <w:t>EU</w:t>
      </w:r>
      <w:r w:rsidR="00B6382E" w:rsidRPr="00A9681B">
        <w:rPr>
          <w:rFonts w:ascii="Times New Roman" w:eastAsia="Times New Roman" w:hAnsi="Times New Roman" w:cs="Times New Roman"/>
          <w:lang w:eastAsia="fr-FR"/>
        </w:rPr>
        <w:t>)</w:t>
      </w:r>
      <w:r w:rsidR="00E827C4" w:rsidRPr="00A9681B">
        <w:rPr>
          <w:rFonts w:ascii="Times New Roman" w:eastAsia="Times New Roman" w:hAnsi="Times New Roman" w:cs="Times New Roman"/>
          <w:lang w:eastAsia="fr-FR"/>
        </w:rPr>
        <w:t xml:space="preserve"> law was not </w:t>
      </w:r>
      <w:r w:rsidR="00EE3E6F" w:rsidRPr="00A9681B">
        <w:rPr>
          <w:rFonts w:ascii="Times New Roman" w:eastAsia="Times New Roman" w:hAnsi="Times New Roman" w:cs="Times New Roman"/>
          <w:lang w:eastAsia="fr-FR"/>
        </w:rPr>
        <w:t xml:space="preserve">relevant in </w:t>
      </w:r>
      <w:r w:rsidR="00E827C4" w:rsidRPr="00A9681B">
        <w:rPr>
          <w:rFonts w:ascii="Times New Roman" w:eastAsia="Times New Roman" w:hAnsi="Times New Roman" w:cs="Times New Roman"/>
          <w:lang w:eastAsia="fr-FR"/>
        </w:rPr>
        <w:t>the present case and</w:t>
      </w:r>
      <w:r w:rsidR="00EE3E6F" w:rsidRPr="00A9681B">
        <w:rPr>
          <w:rFonts w:ascii="Times New Roman" w:eastAsia="Times New Roman" w:hAnsi="Times New Roman" w:cs="Times New Roman"/>
          <w:lang w:eastAsia="fr-FR"/>
        </w:rPr>
        <w:t xml:space="preserve"> that</w:t>
      </w:r>
      <w:r w:rsidR="00E827C4" w:rsidRPr="00A9681B">
        <w:rPr>
          <w:rFonts w:ascii="Times New Roman" w:eastAsia="Times New Roman" w:hAnsi="Times New Roman" w:cs="Times New Roman"/>
          <w:lang w:eastAsia="fr-FR"/>
        </w:rPr>
        <w:t xml:space="preserve">, in any </w:t>
      </w:r>
      <w:r w:rsidR="00055E1B" w:rsidRPr="00A9681B">
        <w:rPr>
          <w:rFonts w:ascii="Times New Roman" w:eastAsia="Times New Roman" w:hAnsi="Times New Roman" w:cs="Times New Roman"/>
          <w:lang w:eastAsia="fr-FR"/>
        </w:rPr>
        <w:t>event</w:t>
      </w:r>
      <w:r w:rsidR="00E827C4" w:rsidRPr="00A9681B">
        <w:rPr>
          <w:rFonts w:ascii="Times New Roman" w:eastAsia="Times New Roman" w:hAnsi="Times New Roman" w:cs="Times New Roman"/>
          <w:lang w:eastAsia="fr-FR"/>
        </w:rPr>
        <w:t xml:space="preserve">, </w:t>
      </w:r>
      <w:r w:rsidR="003B643B" w:rsidRPr="00A9681B">
        <w:rPr>
          <w:rFonts w:ascii="Times New Roman" w:eastAsia="Times New Roman" w:hAnsi="Times New Roman" w:cs="Times New Roman"/>
          <w:lang w:eastAsia="fr-FR"/>
        </w:rPr>
        <w:t>it</w:t>
      </w:r>
      <w:r w:rsidR="00EE3E6F" w:rsidRPr="00A9681B">
        <w:rPr>
          <w:rFonts w:ascii="Times New Roman" w:eastAsia="Times New Roman" w:hAnsi="Times New Roman" w:cs="Times New Roman"/>
          <w:lang w:eastAsia="fr-FR"/>
        </w:rPr>
        <w:t>s application</w:t>
      </w:r>
      <w:r w:rsidR="003B643B" w:rsidRPr="00A9681B">
        <w:rPr>
          <w:rFonts w:ascii="Times New Roman" w:eastAsia="Times New Roman" w:hAnsi="Times New Roman" w:cs="Times New Roman"/>
          <w:lang w:eastAsia="fr-FR"/>
        </w:rPr>
        <w:t xml:space="preserve"> </w:t>
      </w:r>
      <w:r w:rsidR="00E827C4" w:rsidRPr="00A9681B">
        <w:rPr>
          <w:rFonts w:ascii="Times New Roman" w:eastAsia="Times New Roman" w:hAnsi="Times New Roman" w:cs="Times New Roman"/>
          <w:lang w:eastAsia="fr-FR"/>
        </w:rPr>
        <w:t>fell outsid</w:t>
      </w:r>
      <w:r w:rsidR="003B643B" w:rsidRPr="00A9681B">
        <w:rPr>
          <w:rFonts w:ascii="Times New Roman" w:eastAsia="Times New Roman" w:hAnsi="Times New Roman" w:cs="Times New Roman"/>
          <w:lang w:eastAsia="fr-FR"/>
        </w:rPr>
        <w:t xml:space="preserve">e the </w:t>
      </w:r>
      <w:r w:rsidR="00EE3E6F" w:rsidRPr="00A9681B">
        <w:rPr>
          <w:rFonts w:ascii="Times New Roman" w:eastAsia="Times New Roman" w:hAnsi="Times New Roman" w:cs="Times New Roman"/>
          <w:lang w:eastAsia="fr-FR"/>
        </w:rPr>
        <w:t>Court</w:t>
      </w:r>
      <w:r w:rsidR="00A9681B" w:rsidRPr="00A9681B">
        <w:rPr>
          <w:rFonts w:ascii="Times New Roman" w:eastAsia="Times New Roman" w:hAnsi="Times New Roman" w:cs="Times New Roman"/>
          <w:lang w:eastAsia="fr-FR"/>
        </w:rPr>
        <w:t>’</w:t>
      </w:r>
      <w:r w:rsidR="00EE3E6F" w:rsidRPr="00A9681B">
        <w:rPr>
          <w:rFonts w:ascii="Times New Roman" w:eastAsia="Times New Roman" w:hAnsi="Times New Roman" w:cs="Times New Roman"/>
          <w:lang w:eastAsia="fr-FR"/>
        </w:rPr>
        <w:t xml:space="preserve">s </w:t>
      </w:r>
      <w:r w:rsidR="003B643B" w:rsidRPr="00A9681B">
        <w:rPr>
          <w:rFonts w:ascii="Times New Roman" w:eastAsia="Times New Roman" w:hAnsi="Times New Roman" w:cs="Times New Roman"/>
          <w:lang w:eastAsia="fr-FR"/>
        </w:rPr>
        <w:t>jurisdiction</w:t>
      </w:r>
      <w:r w:rsidR="00EE3E6F" w:rsidRPr="00A9681B">
        <w:rPr>
          <w:rFonts w:ascii="Times New Roman" w:eastAsia="Times New Roman" w:hAnsi="Times New Roman" w:cs="Times New Roman"/>
          <w:lang w:eastAsia="fr-FR"/>
        </w:rPr>
        <w:t xml:space="preserve">, </w:t>
      </w:r>
      <w:r w:rsidR="00E827C4" w:rsidRPr="00A9681B">
        <w:rPr>
          <w:rFonts w:ascii="Times New Roman" w:eastAsia="Times New Roman" w:hAnsi="Times New Roman" w:cs="Times New Roman"/>
          <w:lang w:eastAsia="fr-FR"/>
        </w:rPr>
        <w:t>the G</w:t>
      </w:r>
      <w:r w:rsidR="001B6C4C" w:rsidRPr="00A9681B">
        <w:rPr>
          <w:rFonts w:ascii="Times New Roman" w:eastAsia="Times New Roman" w:hAnsi="Times New Roman" w:cs="Times New Roman"/>
          <w:lang w:eastAsia="fr-FR"/>
        </w:rPr>
        <w:t xml:space="preserve">overnment argued, </w:t>
      </w:r>
      <w:r w:rsidR="00D81708" w:rsidRPr="00A9681B">
        <w:rPr>
          <w:rFonts w:ascii="Times New Roman" w:eastAsia="Times New Roman" w:hAnsi="Times New Roman" w:cs="Times New Roman"/>
          <w:lang w:eastAsia="fr-FR"/>
        </w:rPr>
        <w:t>referring to</w:t>
      </w:r>
      <w:r w:rsidR="001B6C4C" w:rsidRPr="00A9681B">
        <w:rPr>
          <w:rFonts w:ascii="Times New Roman" w:eastAsia="Times New Roman" w:hAnsi="Times New Roman" w:cs="Times New Roman"/>
          <w:lang w:eastAsia="fr-FR"/>
        </w:rPr>
        <w:t xml:space="preserve"> </w:t>
      </w:r>
      <w:r w:rsidR="001B6C4C" w:rsidRPr="00A9681B">
        <w:rPr>
          <w:rFonts w:ascii="Times New Roman" w:eastAsia="Times New Roman" w:hAnsi="Times New Roman" w:cs="Times New Roman"/>
          <w:i/>
          <w:lang w:eastAsia="fr-FR"/>
        </w:rPr>
        <w:t>Laurus Invest Hungary KFT and Others v. Hungary</w:t>
      </w:r>
      <w:r w:rsidR="001B6C4C" w:rsidRPr="00A9681B">
        <w:rPr>
          <w:rFonts w:ascii="Times New Roman" w:eastAsia="Times New Roman" w:hAnsi="Times New Roman" w:cs="Times New Roman"/>
          <w:lang w:eastAsia="fr-FR"/>
        </w:rPr>
        <w:t xml:space="preserve"> ((dec.), nos.</w:t>
      </w:r>
      <w:r w:rsidR="00EE3E6F" w:rsidRPr="00A9681B">
        <w:rPr>
          <w:rFonts w:ascii="Times New Roman" w:eastAsia="Times New Roman" w:hAnsi="Times New Roman" w:cs="Times New Roman"/>
          <w:lang w:eastAsia="fr-FR"/>
        </w:rPr>
        <w:t> </w:t>
      </w:r>
      <w:r w:rsidR="001B6C4C" w:rsidRPr="00A9681B">
        <w:rPr>
          <w:rFonts w:ascii="Times New Roman" w:eastAsia="Times New Roman" w:hAnsi="Times New Roman" w:cs="Times New Roman"/>
          <w:lang w:eastAsia="fr-FR"/>
        </w:rPr>
        <w:t>23265/13 and 5 others, ECHR 2015 (extracts))</w:t>
      </w:r>
      <w:r w:rsidR="006A4ACC" w:rsidRPr="00A9681B">
        <w:rPr>
          <w:rFonts w:ascii="Times New Roman" w:eastAsia="Times New Roman" w:hAnsi="Times New Roman" w:cs="Times New Roman"/>
          <w:lang w:eastAsia="fr-FR"/>
        </w:rPr>
        <w:t>,</w:t>
      </w:r>
      <w:r w:rsidR="001B6C4C" w:rsidRPr="00A9681B">
        <w:rPr>
          <w:rFonts w:ascii="Times New Roman" w:eastAsia="Times New Roman" w:hAnsi="Times New Roman" w:cs="Times New Roman"/>
          <w:lang w:eastAsia="fr-FR"/>
        </w:rPr>
        <w:t xml:space="preserve"> that the</w:t>
      </w:r>
      <w:r w:rsidR="003B643B" w:rsidRPr="00A9681B">
        <w:rPr>
          <w:rFonts w:ascii="Times New Roman" w:eastAsia="Times New Roman" w:hAnsi="Times New Roman" w:cs="Times New Roman"/>
          <w:lang w:eastAsia="fr-FR"/>
        </w:rPr>
        <w:t xml:space="preserve"> applicant</w:t>
      </w:r>
      <w:r w:rsidR="004E71FD" w:rsidRPr="00A9681B">
        <w:rPr>
          <w:rFonts w:ascii="Times New Roman" w:eastAsia="Times New Roman" w:hAnsi="Times New Roman" w:cs="Times New Roman"/>
          <w:lang w:eastAsia="fr-FR"/>
        </w:rPr>
        <w:t xml:space="preserve"> companie</w:t>
      </w:r>
      <w:r w:rsidR="003B643B" w:rsidRPr="00A9681B">
        <w:rPr>
          <w:rFonts w:ascii="Times New Roman" w:eastAsia="Times New Roman" w:hAnsi="Times New Roman" w:cs="Times New Roman"/>
          <w:lang w:eastAsia="fr-FR"/>
        </w:rPr>
        <w:t xml:space="preserve">s should have brought an action in damages </w:t>
      </w:r>
      <w:r w:rsidR="001B6C4C" w:rsidRPr="00A9681B">
        <w:rPr>
          <w:rFonts w:ascii="Times New Roman" w:eastAsia="Times New Roman" w:hAnsi="Times New Roman" w:cs="Times New Roman"/>
          <w:lang w:eastAsia="fr-FR"/>
        </w:rPr>
        <w:t xml:space="preserve">on the basis of </w:t>
      </w:r>
      <w:r w:rsidR="00B6382E" w:rsidRPr="00A9681B">
        <w:rPr>
          <w:rFonts w:ascii="Times New Roman" w:eastAsia="Times New Roman" w:hAnsi="Times New Roman" w:cs="Times New Roman"/>
          <w:lang w:eastAsia="fr-FR"/>
        </w:rPr>
        <w:t xml:space="preserve">a </w:t>
      </w:r>
      <w:r w:rsidR="001B6C4C" w:rsidRPr="00A9681B">
        <w:rPr>
          <w:rFonts w:ascii="Times New Roman" w:eastAsia="Times New Roman" w:hAnsi="Times New Roman" w:cs="Times New Roman"/>
          <w:lang w:eastAsia="fr-FR"/>
        </w:rPr>
        <w:t>breach of EU law</w:t>
      </w:r>
      <w:r w:rsidR="003B643B" w:rsidRPr="00A9681B">
        <w:rPr>
          <w:rFonts w:ascii="Times New Roman" w:eastAsia="Times New Roman" w:hAnsi="Times New Roman" w:cs="Times New Roman"/>
          <w:lang w:eastAsia="fr-FR"/>
        </w:rPr>
        <w:t xml:space="preserve">, failing which </w:t>
      </w:r>
      <w:r w:rsidR="00EE3E6F" w:rsidRPr="00A9681B">
        <w:rPr>
          <w:rFonts w:ascii="Times New Roman" w:eastAsia="Times New Roman" w:hAnsi="Times New Roman" w:cs="Times New Roman"/>
          <w:lang w:eastAsia="fr-FR"/>
        </w:rPr>
        <w:t xml:space="preserve">they </w:t>
      </w:r>
      <w:r w:rsidR="00B6382E" w:rsidRPr="00A9681B">
        <w:rPr>
          <w:rFonts w:ascii="Times New Roman" w:eastAsia="Times New Roman" w:hAnsi="Times New Roman" w:cs="Times New Roman"/>
          <w:lang w:eastAsia="fr-FR"/>
        </w:rPr>
        <w:t xml:space="preserve">had </w:t>
      </w:r>
      <w:r w:rsidR="00EE3E6F" w:rsidRPr="00A9681B">
        <w:rPr>
          <w:rFonts w:ascii="Times New Roman" w:eastAsia="Times New Roman" w:hAnsi="Times New Roman" w:cs="Times New Roman"/>
          <w:lang w:eastAsia="fr-FR"/>
        </w:rPr>
        <w:t>failed to exhaust</w:t>
      </w:r>
      <w:r w:rsidR="00030651" w:rsidRPr="00A9681B">
        <w:rPr>
          <w:rFonts w:ascii="Times New Roman" w:eastAsia="Times New Roman" w:hAnsi="Times New Roman" w:cs="Times New Roman"/>
          <w:lang w:eastAsia="fr-FR"/>
        </w:rPr>
        <w:t xml:space="preserve"> </w:t>
      </w:r>
      <w:r w:rsidR="001B6C4C" w:rsidRPr="00A9681B">
        <w:rPr>
          <w:rFonts w:ascii="Times New Roman" w:eastAsia="Times New Roman" w:hAnsi="Times New Roman" w:cs="Times New Roman"/>
          <w:lang w:eastAsia="fr-FR"/>
        </w:rPr>
        <w:t>domestic remedies.</w:t>
      </w:r>
    </w:p>
    <w:p w:rsidR="00EE662E" w:rsidRPr="00A9681B" w:rsidRDefault="001E2AC3"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25</w:t>
      </w:r>
      <w:r w:rsidRPr="00A9681B">
        <w:rPr>
          <w:rFonts w:eastAsia="Times New Roman"/>
          <w:lang w:eastAsia="fr-FR"/>
        </w:rPr>
        <w:fldChar w:fldCharType="end"/>
      </w:r>
      <w:r w:rsidRPr="00A9681B">
        <w:rPr>
          <w:rFonts w:eastAsia="Times New Roman"/>
          <w:lang w:eastAsia="fr-FR"/>
        </w:rPr>
        <w:t>.  The applicant</w:t>
      </w:r>
      <w:r w:rsidR="00BD1026" w:rsidRPr="00A9681B">
        <w:rPr>
          <w:rFonts w:eastAsia="Times New Roman"/>
          <w:lang w:eastAsia="fr-FR"/>
        </w:rPr>
        <w:t xml:space="preserve"> companies</w:t>
      </w:r>
      <w:r w:rsidRPr="00A9681B">
        <w:rPr>
          <w:rFonts w:eastAsia="Times New Roman"/>
          <w:lang w:eastAsia="fr-FR"/>
        </w:rPr>
        <w:t xml:space="preserve"> emphasis</w:t>
      </w:r>
      <w:r w:rsidR="00877698" w:rsidRPr="00A9681B">
        <w:rPr>
          <w:rFonts w:eastAsia="Times New Roman"/>
          <w:lang w:eastAsia="fr-FR"/>
        </w:rPr>
        <w:t>ed that</w:t>
      </w:r>
      <w:r w:rsidR="008C141B" w:rsidRPr="00A9681B">
        <w:rPr>
          <w:rFonts w:eastAsia="Times New Roman"/>
          <w:lang w:eastAsia="fr-FR"/>
        </w:rPr>
        <w:t xml:space="preserve"> </w:t>
      </w:r>
      <w:r w:rsidR="00877698" w:rsidRPr="00A9681B">
        <w:rPr>
          <w:rFonts w:eastAsia="Times New Roman"/>
          <w:lang w:eastAsia="fr-FR"/>
        </w:rPr>
        <w:t>the Government</w:t>
      </w:r>
      <w:r w:rsidR="008C141B" w:rsidRPr="00A9681B">
        <w:rPr>
          <w:rFonts w:eastAsia="Times New Roman"/>
          <w:lang w:eastAsia="fr-FR"/>
        </w:rPr>
        <w:t xml:space="preserve"> </w:t>
      </w:r>
      <w:r w:rsidR="00B6382E" w:rsidRPr="00A9681B">
        <w:rPr>
          <w:rFonts w:eastAsia="Times New Roman"/>
          <w:lang w:eastAsia="fr-FR"/>
        </w:rPr>
        <w:t xml:space="preserve">had </w:t>
      </w:r>
      <w:r w:rsidRPr="00A9681B">
        <w:rPr>
          <w:rFonts w:eastAsia="Times New Roman"/>
          <w:lang w:eastAsia="fr-FR"/>
        </w:rPr>
        <w:t>failed</w:t>
      </w:r>
      <w:r w:rsidR="00877698" w:rsidRPr="00A9681B">
        <w:rPr>
          <w:rFonts w:eastAsia="Times New Roman"/>
          <w:lang w:eastAsia="fr-FR"/>
        </w:rPr>
        <w:t xml:space="preserve"> to prove that </w:t>
      </w:r>
      <w:r w:rsidR="00441E19" w:rsidRPr="00A9681B">
        <w:rPr>
          <w:rFonts w:eastAsia="Times New Roman"/>
          <w:lang w:eastAsia="fr-FR"/>
        </w:rPr>
        <w:t xml:space="preserve">an </w:t>
      </w:r>
      <w:r w:rsidR="00441E19" w:rsidRPr="00A9681B">
        <w:rPr>
          <w:rFonts w:ascii="Times New Roman" w:eastAsia="Times New Roman" w:hAnsi="Times New Roman" w:cs="Times New Roman"/>
        </w:rPr>
        <w:t>action against the legislat</w:t>
      </w:r>
      <w:r w:rsidR="00B6382E" w:rsidRPr="00A9681B">
        <w:rPr>
          <w:rFonts w:ascii="Times New Roman" w:eastAsia="Times New Roman" w:hAnsi="Times New Roman" w:cs="Times New Roman"/>
        </w:rPr>
        <w:t>ure</w:t>
      </w:r>
      <w:r w:rsidR="00441E19" w:rsidRPr="00A9681B">
        <w:rPr>
          <w:rFonts w:ascii="Times New Roman" w:eastAsia="Times New Roman" w:hAnsi="Times New Roman" w:cs="Times New Roman"/>
        </w:rPr>
        <w:t xml:space="preserve"> underpinned by a constitutional complaint</w:t>
      </w:r>
      <w:r w:rsidR="008C141B" w:rsidRPr="00A9681B">
        <w:rPr>
          <w:rFonts w:ascii="Times New Roman" w:eastAsia="Times New Roman" w:hAnsi="Times New Roman" w:cs="Times New Roman"/>
        </w:rPr>
        <w:t xml:space="preserve"> </w:t>
      </w:r>
      <w:r w:rsidRPr="00A9681B">
        <w:rPr>
          <w:rFonts w:eastAsia="Times New Roman"/>
          <w:lang w:eastAsia="fr-FR"/>
        </w:rPr>
        <w:t>was</w:t>
      </w:r>
      <w:r w:rsidR="00877698" w:rsidRPr="00A9681B">
        <w:rPr>
          <w:rFonts w:eastAsia="Times New Roman"/>
          <w:lang w:eastAsia="fr-FR"/>
        </w:rPr>
        <w:t xml:space="preserve"> available and effective. </w:t>
      </w:r>
      <w:r w:rsidR="00703093" w:rsidRPr="00A9681B">
        <w:rPr>
          <w:rFonts w:eastAsia="Times New Roman"/>
          <w:lang w:eastAsia="fr-FR"/>
        </w:rPr>
        <w:t>They refer</w:t>
      </w:r>
      <w:r w:rsidR="008C141B" w:rsidRPr="00A9681B">
        <w:rPr>
          <w:rFonts w:eastAsia="Times New Roman"/>
          <w:lang w:eastAsia="fr-FR"/>
        </w:rPr>
        <w:t>red</w:t>
      </w:r>
      <w:r w:rsidR="00703093" w:rsidRPr="00A9681B">
        <w:rPr>
          <w:rFonts w:eastAsia="Times New Roman"/>
          <w:lang w:eastAsia="fr-FR"/>
        </w:rPr>
        <w:t xml:space="preserve"> to the </w:t>
      </w:r>
      <w:r w:rsidR="00703093" w:rsidRPr="00A9681B">
        <w:rPr>
          <w:rFonts w:eastAsia="Times New Roman"/>
          <w:lang w:eastAsia="fr-FR"/>
        </w:rPr>
        <w:lastRenderedPageBreak/>
        <w:t xml:space="preserve">case of </w:t>
      </w:r>
      <w:r w:rsidR="00712716" w:rsidRPr="00A9681B">
        <w:rPr>
          <w:i/>
        </w:rPr>
        <w:t>Vékony v. </w:t>
      </w:r>
      <w:r w:rsidR="00C5309E" w:rsidRPr="00A9681B">
        <w:rPr>
          <w:i/>
        </w:rPr>
        <w:t>Hungary</w:t>
      </w:r>
      <w:r w:rsidR="00C5309E" w:rsidRPr="00A9681B">
        <w:rPr>
          <w:snapToGrid w:val="0"/>
        </w:rPr>
        <w:t xml:space="preserve"> (</w:t>
      </w:r>
      <w:r w:rsidR="00C5309E" w:rsidRPr="00A9681B">
        <w:t>no. 65681/13</w:t>
      </w:r>
      <w:r w:rsidR="00C5309E" w:rsidRPr="00A9681B">
        <w:rPr>
          <w:snapToGrid w:val="0"/>
        </w:rPr>
        <w:t xml:space="preserve">, 13 January 2015), </w:t>
      </w:r>
      <w:r w:rsidR="00703093" w:rsidRPr="00A9681B">
        <w:rPr>
          <w:rFonts w:eastAsia="Times New Roman"/>
          <w:lang w:eastAsia="fr-FR"/>
        </w:rPr>
        <w:t>arguing that</w:t>
      </w:r>
      <w:r w:rsidR="008C141B" w:rsidRPr="00A9681B">
        <w:rPr>
          <w:rFonts w:eastAsia="Times New Roman"/>
          <w:lang w:eastAsia="fr-FR"/>
        </w:rPr>
        <w:t>,</w:t>
      </w:r>
      <w:r w:rsidR="00703093" w:rsidRPr="00A9681B">
        <w:rPr>
          <w:rFonts w:eastAsia="Times New Roman"/>
          <w:lang w:eastAsia="fr-FR"/>
        </w:rPr>
        <w:t xml:space="preserve"> under the current Hungarian</w:t>
      </w:r>
      <w:r w:rsidR="008C141B" w:rsidRPr="00A9681B">
        <w:rPr>
          <w:rFonts w:eastAsia="Times New Roman"/>
          <w:lang w:eastAsia="fr-FR"/>
        </w:rPr>
        <w:t xml:space="preserve"> jurisprudence, the </w:t>
      </w:r>
      <w:r w:rsidR="001C25B3" w:rsidRPr="00A9681B">
        <w:rPr>
          <w:rFonts w:eastAsia="Times New Roman"/>
          <w:lang w:eastAsia="fr-FR"/>
        </w:rPr>
        <w:t xml:space="preserve">legislature </w:t>
      </w:r>
      <w:r w:rsidR="008C141B" w:rsidRPr="00A9681B">
        <w:rPr>
          <w:rFonts w:eastAsia="Times New Roman"/>
          <w:lang w:eastAsia="fr-FR"/>
        </w:rPr>
        <w:t xml:space="preserve">could </w:t>
      </w:r>
      <w:r w:rsidR="00703093" w:rsidRPr="00A9681B">
        <w:rPr>
          <w:rFonts w:eastAsia="Times New Roman"/>
          <w:lang w:eastAsia="fr-FR"/>
        </w:rPr>
        <w:t>not be held liable for its actions</w:t>
      </w:r>
      <w:r w:rsidR="008C141B" w:rsidRPr="00A9681B">
        <w:rPr>
          <w:rFonts w:eastAsia="Times New Roman"/>
          <w:lang w:eastAsia="fr-FR"/>
        </w:rPr>
        <w:t xml:space="preserve">; and any such lawsuit against </w:t>
      </w:r>
      <w:r w:rsidR="00703093" w:rsidRPr="00A9681B">
        <w:rPr>
          <w:rFonts w:eastAsia="Times New Roman"/>
          <w:lang w:eastAsia="fr-FR"/>
        </w:rPr>
        <w:t xml:space="preserve">the </w:t>
      </w:r>
      <w:r w:rsidR="001C25B3" w:rsidRPr="00A9681B">
        <w:rPr>
          <w:rFonts w:eastAsia="Times New Roman"/>
          <w:lang w:eastAsia="fr-FR"/>
        </w:rPr>
        <w:t xml:space="preserve">legislature </w:t>
      </w:r>
      <w:r w:rsidR="008C141B" w:rsidRPr="00A9681B">
        <w:rPr>
          <w:rFonts w:eastAsia="Times New Roman"/>
          <w:lang w:eastAsia="fr-FR"/>
        </w:rPr>
        <w:t>was</w:t>
      </w:r>
      <w:r w:rsidR="00703093" w:rsidRPr="00A9681B">
        <w:rPr>
          <w:rFonts w:eastAsia="Times New Roman"/>
          <w:lang w:eastAsia="fr-FR"/>
        </w:rPr>
        <w:t xml:space="preserve"> only a theoretical possibility </w:t>
      </w:r>
      <w:r w:rsidR="008C141B" w:rsidRPr="00A9681B">
        <w:rPr>
          <w:rFonts w:eastAsia="Times New Roman"/>
          <w:lang w:eastAsia="fr-FR"/>
        </w:rPr>
        <w:t xml:space="preserve">which could </w:t>
      </w:r>
      <w:r w:rsidR="00703093" w:rsidRPr="00A9681B">
        <w:rPr>
          <w:rFonts w:eastAsia="Times New Roman"/>
          <w:lang w:eastAsia="fr-FR"/>
        </w:rPr>
        <w:t>not be considered an effective remedy.</w:t>
      </w:r>
      <w:r w:rsidR="008C141B" w:rsidRPr="00A9681B">
        <w:rPr>
          <w:rFonts w:eastAsia="Times New Roman"/>
          <w:lang w:eastAsia="fr-FR"/>
        </w:rPr>
        <w:t xml:space="preserve"> </w:t>
      </w:r>
      <w:r w:rsidR="00BD5C7A" w:rsidRPr="00A9681B">
        <w:rPr>
          <w:rFonts w:eastAsia="Times New Roman"/>
          <w:lang w:eastAsia="fr-FR"/>
        </w:rPr>
        <w:t>Moreover, they submitted that, to their knowledge, no provision of EU law required a government to monopolise the schoolbook distribution market</w:t>
      </w:r>
      <w:r w:rsidR="00B6382E" w:rsidRPr="00A9681B">
        <w:rPr>
          <w:rFonts w:eastAsia="Times New Roman"/>
          <w:lang w:eastAsia="fr-FR"/>
        </w:rPr>
        <w:t xml:space="preserve"> without compensation</w:t>
      </w:r>
      <w:r w:rsidR="00BD5C7A" w:rsidRPr="00A9681B">
        <w:rPr>
          <w:rFonts w:eastAsia="Times New Roman"/>
          <w:lang w:eastAsia="fr-FR"/>
        </w:rPr>
        <w:t>.</w:t>
      </w:r>
    </w:p>
    <w:p w:rsidR="00766713" w:rsidRPr="00A9681B" w:rsidRDefault="00877698" w:rsidP="00A9681B">
      <w:pPr>
        <w:pStyle w:val="ECHRPara"/>
        <w:rPr>
          <w:rFonts w:ascii="Times New Roman" w:eastAsia="Times New Roman" w:hAnsi="Times New Roman" w:cs="Times New Roman"/>
          <w:lang w:eastAsia="fr-FR"/>
        </w:rPr>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26</w:t>
      </w:r>
      <w:r w:rsidRPr="00A9681B">
        <w:rPr>
          <w:rFonts w:ascii="Times New Roman" w:eastAsia="Times New Roman" w:hAnsi="Times New Roman" w:cs="Times New Roman"/>
          <w:lang w:eastAsia="fr-FR"/>
        </w:rPr>
        <w:fldChar w:fldCharType="end"/>
      </w:r>
      <w:r w:rsidRPr="00A9681B">
        <w:rPr>
          <w:rFonts w:ascii="Times New Roman" w:eastAsia="Times New Roman" w:hAnsi="Times New Roman" w:cs="Times New Roman"/>
          <w:lang w:eastAsia="fr-FR"/>
        </w:rPr>
        <w:t>.  </w:t>
      </w:r>
      <w:r w:rsidR="000101B7" w:rsidRPr="00A9681B">
        <w:rPr>
          <w:rFonts w:ascii="Times New Roman" w:eastAsia="Times New Roman" w:hAnsi="Times New Roman" w:cs="Times New Roman"/>
          <w:lang w:eastAsia="fr-FR"/>
        </w:rPr>
        <w:t>With regard to the applicant companies</w:t>
      </w:r>
      <w:r w:rsidR="00A9681B" w:rsidRPr="00A9681B">
        <w:rPr>
          <w:rFonts w:ascii="Times New Roman" w:eastAsia="Times New Roman" w:hAnsi="Times New Roman" w:cs="Times New Roman"/>
          <w:lang w:eastAsia="fr-FR"/>
        </w:rPr>
        <w:t>’</w:t>
      </w:r>
      <w:r w:rsidR="000101B7" w:rsidRPr="00A9681B">
        <w:rPr>
          <w:rFonts w:ascii="Times New Roman" w:eastAsia="Times New Roman" w:hAnsi="Times New Roman" w:cs="Times New Roman"/>
          <w:lang w:eastAsia="fr-FR"/>
        </w:rPr>
        <w:t xml:space="preserve"> constitutional complaint which was pending at the time of the application, the Court reiterates that the requirement for the applicant to exhaust domestic remedies is normally determined with reference to the date on which the application was lodged with the Court (see </w:t>
      </w:r>
      <w:r w:rsidR="000101B7" w:rsidRPr="00A9681B">
        <w:rPr>
          <w:i/>
        </w:rPr>
        <w:t>Baumann v. France</w:t>
      </w:r>
      <w:r w:rsidR="000101B7" w:rsidRPr="00A9681B">
        <w:t>, no. 33592/96, § 47, ECHR 2001</w:t>
      </w:r>
      <w:r w:rsidR="000101B7" w:rsidRPr="00A9681B">
        <w:noBreakHyphen/>
        <w:t>V (extracts)</w:t>
      </w:r>
      <w:r w:rsidR="0079283E" w:rsidRPr="00A9681B">
        <w:t>)</w:t>
      </w:r>
      <w:r w:rsidR="000101B7" w:rsidRPr="00A9681B">
        <w:t xml:space="preserve">. </w:t>
      </w:r>
      <w:r w:rsidR="0079283E" w:rsidRPr="00A9681B">
        <w:t xml:space="preserve">However, the Court also accepts that the last stage of the exhaustion of domestic remedies may be reached shortly after the lodging of the application but before the Court determines the issue of admissibility (see </w:t>
      </w:r>
      <w:r w:rsidR="0079283E" w:rsidRPr="00A9681B">
        <w:rPr>
          <w:i/>
          <w:lang w:val="en-US"/>
        </w:rPr>
        <w:t>Škorjanec v. Croatia</w:t>
      </w:r>
      <w:r w:rsidR="0079283E" w:rsidRPr="00A9681B">
        <w:rPr>
          <w:lang w:val="en-US"/>
        </w:rPr>
        <w:t>, no.</w:t>
      </w:r>
      <w:r w:rsidR="00EE3E6F" w:rsidRPr="00A9681B">
        <w:rPr>
          <w:lang w:val="en-US"/>
        </w:rPr>
        <w:t> </w:t>
      </w:r>
      <w:r w:rsidR="0079283E" w:rsidRPr="00A9681B">
        <w:rPr>
          <w:lang w:val="en-US"/>
        </w:rPr>
        <w:t>25536/14, § 44, ECHR 2017 (</w:t>
      </w:r>
      <w:r w:rsidR="0079283E" w:rsidRPr="00A9681B">
        <w:t>extracts</w:t>
      </w:r>
      <w:r w:rsidR="0079283E" w:rsidRPr="00A9681B">
        <w:rPr>
          <w:lang w:val="en-US"/>
        </w:rPr>
        <w:t xml:space="preserve">)). </w:t>
      </w:r>
      <w:r w:rsidR="0079283E" w:rsidRPr="00A9681B">
        <w:t>In the present case</w:t>
      </w:r>
      <w:r w:rsidR="000101B7" w:rsidRPr="00A9681B">
        <w:t xml:space="preserve">, the Court observes that </w:t>
      </w:r>
      <w:r w:rsidRPr="00A9681B">
        <w:rPr>
          <w:rFonts w:ascii="Times New Roman" w:eastAsia="Times New Roman" w:hAnsi="Times New Roman" w:cs="Times New Roman"/>
          <w:lang w:eastAsia="fr-FR"/>
        </w:rPr>
        <w:t xml:space="preserve">the Constitutional Court </w:t>
      </w:r>
      <w:r w:rsidR="000101B7" w:rsidRPr="00A9681B">
        <w:rPr>
          <w:rFonts w:ascii="Times New Roman" w:eastAsia="Times New Roman" w:hAnsi="Times New Roman" w:cs="Times New Roman"/>
          <w:lang w:eastAsia="fr-FR"/>
        </w:rPr>
        <w:t xml:space="preserve">eventually </w:t>
      </w:r>
      <w:r w:rsidRPr="00A9681B">
        <w:rPr>
          <w:rFonts w:ascii="Times New Roman" w:eastAsia="Times New Roman" w:hAnsi="Times New Roman" w:cs="Times New Roman"/>
          <w:lang w:eastAsia="fr-FR"/>
        </w:rPr>
        <w:t xml:space="preserve">terminated the case without examining </w:t>
      </w:r>
      <w:r w:rsidR="000101B7" w:rsidRPr="00A9681B">
        <w:rPr>
          <w:rFonts w:ascii="Times New Roman" w:eastAsia="Times New Roman" w:hAnsi="Times New Roman" w:cs="Times New Roman"/>
          <w:lang w:eastAsia="fr-FR"/>
        </w:rPr>
        <w:t>its</w:t>
      </w:r>
      <w:r w:rsidR="001E2AC3" w:rsidRPr="00A9681B">
        <w:rPr>
          <w:rFonts w:ascii="Times New Roman" w:eastAsia="Times New Roman" w:hAnsi="Times New Roman" w:cs="Times New Roman"/>
          <w:lang w:eastAsia="fr-FR"/>
        </w:rPr>
        <w:t xml:space="preserve"> merits</w:t>
      </w:r>
      <w:r w:rsidRPr="00A9681B">
        <w:rPr>
          <w:rFonts w:ascii="Times New Roman" w:eastAsia="Times New Roman" w:hAnsi="Times New Roman" w:cs="Times New Roman"/>
          <w:lang w:eastAsia="fr-FR"/>
        </w:rPr>
        <w:t xml:space="preserve">. </w:t>
      </w:r>
      <w:r w:rsidR="00030651" w:rsidRPr="00A9681B">
        <w:rPr>
          <w:rFonts w:ascii="Times New Roman" w:eastAsia="Times New Roman" w:hAnsi="Times New Roman" w:cs="Times New Roman"/>
          <w:lang w:eastAsia="fr-FR"/>
        </w:rPr>
        <w:t xml:space="preserve">The Court is of the view – </w:t>
      </w:r>
      <w:r w:rsidR="006A4ACC" w:rsidRPr="00A9681B">
        <w:rPr>
          <w:rFonts w:ascii="Times New Roman" w:eastAsia="Times New Roman" w:hAnsi="Times New Roman" w:cs="Times New Roman"/>
          <w:lang w:eastAsia="fr-FR"/>
        </w:rPr>
        <w:t xml:space="preserve">without </w:t>
      </w:r>
      <w:r w:rsidR="00030651" w:rsidRPr="00A9681B">
        <w:rPr>
          <w:rFonts w:ascii="Times New Roman" w:eastAsia="Times New Roman" w:hAnsi="Times New Roman" w:cs="Times New Roman"/>
          <w:lang w:eastAsia="fr-FR"/>
        </w:rPr>
        <w:t xml:space="preserve">addressing </w:t>
      </w:r>
      <w:r w:rsidR="006A4ACC" w:rsidRPr="00A9681B">
        <w:rPr>
          <w:rFonts w:ascii="Times New Roman" w:eastAsia="Times New Roman" w:hAnsi="Times New Roman" w:cs="Times New Roman"/>
          <w:lang w:eastAsia="fr-FR"/>
        </w:rPr>
        <w:t xml:space="preserve">the </w:t>
      </w:r>
      <w:r w:rsidR="00030651" w:rsidRPr="00A9681B">
        <w:rPr>
          <w:rFonts w:ascii="Times New Roman" w:eastAsia="Times New Roman" w:hAnsi="Times New Roman" w:cs="Times New Roman"/>
          <w:lang w:eastAsia="fr-FR"/>
        </w:rPr>
        <w:t xml:space="preserve">question as to whether in general a constitutional complaint to the </w:t>
      </w:r>
      <w:r w:rsidR="006A4ACC" w:rsidRPr="00A9681B">
        <w:rPr>
          <w:rFonts w:ascii="Times New Roman" w:eastAsia="Times New Roman" w:hAnsi="Times New Roman" w:cs="Times New Roman"/>
          <w:lang w:eastAsia="fr-FR"/>
        </w:rPr>
        <w:t xml:space="preserve">Hungarian Constitutional Court </w:t>
      </w:r>
      <w:r w:rsidR="00030651" w:rsidRPr="00A9681B">
        <w:rPr>
          <w:rFonts w:ascii="Times New Roman" w:eastAsia="Times New Roman" w:hAnsi="Times New Roman" w:cs="Times New Roman"/>
          <w:lang w:eastAsia="fr-FR"/>
        </w:rPr>
        <w:t>is</w:t>
      </w:r>
      <w:r w:rsidR="006A4ACC" w:rsidRPr="00A9681B">
        <w:rPr>
          <w:rFonts w:ascii="Times New Roman" w:eastAsia="Times New Roman" w:hAnsi="Times New Roman" w:cs="Times New Roman"/>
          <w:lang w:eastAsia="fr-FR"/>
        </w:rPr>
        <w:t xml:space="preserve"> </w:t>
      </w:r>
      <w:r w:rsidR="00030651" w:rsidRPr="00A9681B">
        <w:rPr>
          <w:rFonts w:ascii="Times New Roman" w:eastAsia="Times New Roman" w:hAnsi="Times New Roman" w:cs="Times New Roman"/>
          <w:lang w:eastAsia="fr-FR"/>
        </w:rPr>
        <w:t>an effective remedy for the purposes of Article 35 § 1 of the Convention –</w:t>
      </w:r>
      <w:r w:rsidR="006A4ACC" w:rsidRPr="00A9681B">
        <w:rPr>
          <w:rFonts w:ascii="Times New Roman" w:eastAsia="Times New Roman" w:hAnsi="Times New Roman" w:cs="Times New Roman"/>
          <w:lang w:eastAsia="fr-FR"/>
        </w:rPr>
        <w:t xml:space="preserve"> that in the present case the applicant</w:t>
      </w:r>
      <w:r w:rsidR="0082224F" w:rsidRPr="00A9681B">
        <w:rPr>
          <w:rFonts w:ascii="Times New Roman" w:eastAsia="Times New Roman" w:hAnsi="Times New Roman" w:cs="Times New Roman"/>
          <w:lang w:eastAsia="fr-FR"/>
        </w:rPr>
        <w:t xml:space="preserve"> companie</w:t>
      </w:r>
      <w:r w:rsidR="00D9764D" w:rsidRPr="00A9681B">
        <w:rPr>
          <w:rFonts w:ascii="Times New Roman" w:eastAsia="Times New Roman" w:hAnsi="Times New Roman" w:cs="Times New Roman"/>
          <w:lang w:eastAsia="fr-FR"/>
        </w:rPr>
        <w:t>s</w:t>
      </w:r>
      <w:r w:rsidR="006A4ACC" w:rsidRPr="00A9681B">
        <w:rPr>
          <w:rFonts w:ascii="Times New Roman" w:eastAsia="Times New Roman" w:hAnsi="Times New Roman" w:cs="Times New Roman"/>
          <w:lang w:eastAsia="fr-FR"/>
        </w:rPr>
        <w:t xml:space="preserve"> </w:t>
      </w:r>
      <w:r w:rsidR="00030651" w:rsidRPr="00A9681B">
        <w:rPr>
          <w:rFonts w:ascii="Times New Roman" w:eastAsia="Times New Roman" w:hAnsi="Times New Roman" w:cs="Times New Roman"/>
          <w:lang w:eastAsia="fr-FR"/>
        </w:rPr>
        <w:t>cannot be</w:t>
      </w:r>
      <w:r w:rsidR="006A4ACC" w:rsidRPr="00A9681B">
        <w:rPr>
          <w:rFonts w:ascii="Times New Roman" w:eastAsia="Times New Roman" w:hAnsi="Times New Roman" w:cs="Times New Roman"/>
          <w:lang w:eastAsia="fr-FR"/>
        </w:rPr>
        <w:t xml:space="preserve"> expected to </w:t>
      </w:r>
      <w:r w:rsidR="00030651" w:rsidRPr="00A9681B">
        <w:rPr>
          <w:rFonts w:ascii="Times New Roman" w:eastAsia="Times New Roman" w:hAnsi="Times New Roman" w:cs="Times New Roman"/>
          <w:lang w:eastAsia="fr-FR"/>
        </w:rPr>
        <w:t xml:space="preserve">have </w:t>
      </w:r>
      <w:r w:rsidR="006A4ACC" w:rsidRPr="00A9681B">
        <w:rPr>
          <w:rFonts w:ascii="Times New Roman" w:eastAsia="Times New Roman" w:hAnsi="Times New Roman" w:cs="Times New Roman"/>
          <w:lang w:eastAsia="fr-FR"/>
        </w:rPr>
        <w:t>lodge</w:t>
      </w:r>
      <w:r w:rsidR="00030651" w:rsidRPr="00A9681B">
        <w:rPr>
          <w:rFonts w:ascii="Times New Roman" w:eastAsia="Times New Roman" w:hAnsi="Times New Roman" w:cs="Times New Roman"/>
          <w:lang w:eastAsia="fr-FR"/>
        </w:rPr>
        <w:t>d</w:t>
      </w:r>
      <w:r w:rsidR="006A4ACC" w:rsidRPr="00A9681B">
        <w:rPr>
          <w:rFonts w:ascii="Times New Roman" w:eastAsia="Times New Roman" w:hAnsi="Times New Roman" w:cs="Times New Roman"/>
          <w:lang w:eastAsia="fr-FR"/>
        </w:rPr>
        <w:t xml:space="preserve"> another constitutional complaint challenging Act no. CCXXXII of 2013 </w:t>
      </w:r>
      <w:r w:rsidR="00EE3E6F" w:rsidRPr="00A9681B">
        <w:rPr>
          <w:rFonts w:ascii="Times New Roman" w:eastAsia="Times New Roman" w:hAnsi="Times New Roman" w:cs="Times New Roman"/>
          <w:lang w:eastAsia="fr-FR"/>
        </w:rPr>
        <w:t>once</w:t>
      </w:r>
      <w:r w:rsidR="006A4ACC" w:rsidRPr="00A9681B">
        <w:rPr>
          <w:rFonts w:ascii="Times New Roman" w:eastAsia="Times New Roman" w:hAnsi="Times New Roman" w:cs="Times New Roman"/>
          <w:lang w:eastAsia="fr-FR"/>
        </w:rPr>
        <w:t xml:space="preserve"> </w:t>
      </w:r>
      <w:r w:rsidR="00D9764D" w:rsidRPr="00A9681B">
        <w:rPr>
          <w:rFonts w:ascii="Times New Roman" w:eastAsia="Times New Roman" w:hAnsi="Times New Roman" w:cs="Times New Roman"/>
          <w:lang w:eastAsia="fr-FR"/>
        </w:rPr>
        <w:t>their</w:t>
      </w:r>
      <w:r w:rsidR="006A4ACC" w:rsidRPr="00A9681B">
        <w:rPr>
          <w:rFonts w:ascii="Times New Roman" w:eastAsia="Times New Roman" w:hAnsi="Times New Roman" w:cs="Times New Roman"/>
          <w:lang w:eastAsia="fr-FR"/>
        </w:rPr>
        <w:t xml:space="preserve"> first </w:t>
      </w:r>
      <w:r w:rsidR="00EE3E6F" w:rsidRPr="00A9681B">
        <w:rPr>
          <w:rFonts w:ascii="Times New Roman" w:eastAsia="Times New Roman" w:hAnsi="Times New Roman" w:cs="Times New Roman"/>
          <w:lang w:eastAsia="fr-FR"/>
        </w:rPr>
        <w:t xml:space="preserve">constitutional </w:t>
      </w:r>
      <w:r w:rsidR="006A4ACC" w:rsidRPr="00A9681B">
        <w:rPr>
          <w:rFonts w:ascii="Times New Roman" w:eastAsia="Times New Roman" w:hAnsi="Times New Roman" w:cs="Times New Roman"/>
          <w:lang w:eastAsia="fr-FR"/>
        </w:rPr>
        <w:t>c</w:t>
      </w:r>
      <w:r w:rsidR="00160B21" w:rsidRPr="00A9681B">
        <w:rPr>
          <w:rFonts w:ascii="Times New Roman" w:eastAsia="Times New Roman" w:hAnsi="Times New Roman" w:cs="Times New Roman"/>
          <w:lang w:eastAsia="fr-FR"/>
        </w:rPr>
        <w:t xml:space="preserve">omplaint </w:t>
      </w:r>
      <w:r w:rsidR="00EE3E6F" w:rsidRPr="00A9681B">
        <w:rPr>
          <w:rFonts w:ascii="Times New Roman" w:eastAsia="Times New Roman" w:hAnsi="Times New Roman" w:cs="Times New Roman"/>
          <w:lang w:eastAsia="fr-FR"/>
        </w:rPr>
        <w:t>had been</w:t>
      </w:r>
      <w:r w:rsidR="00160B21" w:rsidRPr="00A9681B">
        <w:rPr>
          <w:rFonts w:ascii="Times New Roman" w:eastAsia="Times New Roman" w:hAnsi="Times New Roman" w:cs="Times New Roman"/>
          <w:lang w:eastAsia="fr-FR"/>
        </w:rPr>
        <w:t xml:space="preserve"> dismissed by the Constitutional Court without </w:t>
      </w:r>
      <w:r w:rsidR="00030651" w:rsidRPr="00A9681B">
        <w:rPr>
          <w:rFonts w:ascii="Times New Roman" w:eastAsia="Times New Roman" w:hAnsi="Times New Roman" w:cs="Times New Roman"/>
          <w:lang w:eastAsia="fr-FR"/>
        </w:rPr>
        <w:t xml:space="preserve">an </w:t>
      </w:r>
      <w:r w:rsidR="00160B21" w:rsidRPr="00A9681B">
        <w:rPr>
          <w:rFonts w:ascii="Times New Roman" w:eastAsia="Times New Roman" w:hAnsi="Times New Roman" w:cs="Times New Roman"/>
          <w:lang w:eastAsia="fr-FR"/>
        </w:rPr>
        <w:t>examination of the merits.</w:t>
      </w:r>
    </w:p>
    <w:p w:rsidR="00160B21" w:rsidRPr="00A9681B" w:rsidRDefault="00441E19" w:rsidP="00A9681B">
      <w:pPr>
        <w:pStyle w:val="ECHRPara"/>
        <w:rPr>
          <w:rFonts w:ascii="Times New Roman" w:eastAsia="Times New Roman" w:hAnsi="Times New Roman" w:cs="Times New Roman"/>
          <w:lang w:eastAsia="fr-FR"/>
        </w:rPr>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27</w:t>
      </w:r>
      <w:r w:rsidRPr="00A9681B">
        <w:rPr>
          <w:rFonts w:ascii="Times New Roman" w:eastAsia="Times New Roman" w:hAnsi="Times New Roman" w:cs="Times New Roman"/>
          <w:lang w:eastAsia="fr-FR"/>
        </w:rPr>
        <w:fldChar w:fldCharType="end"/>
      </w:r>
      <w:r w:rsidRPr="00A9681B">
        <w:rPr>
          <w:rFonts w:ascii="Times New Roman" w:eastAsia="Times New Roman" w:hAnsi="Times New Roman" w:cs="Times New Roman"/>
          <w:lang w:eastAsia="fr-FR"/>
        </w:rPr>
        <w:t>.  </w:t>
      </w:r>
      <w:r w:rsidR="00160B21" w:rsidRPr="00A9681B">
        <w:rPr>
          <w:rFonts w:ascii="Times New Roman" w:eastAsia="Times New Roman" w:hAnsi="Times New Roman" w:cs="Times New Roman"/>
          <w:lang w:eastAsia="fr-FR"/>
        </w:rPr>
        <w:t xml:space="preserve">In respect of </w:t>
      </w:r>
      <w:r w:rsidR="00030651" w:rsidRPr="00A9681B">
        <w:rPr>
          <w:rFonts w:ascii="Times New Roman" w:eastAsia="Times New Roman" w:hAnsi="Times New Roman" w:cs="Times New Roman"/>
          <w:lang w:eastAsia="fr-FR"/>
        </w:rPr>
        <w:t>a potential action in damages</w:t>
      </w:r>
      <w:r w:rsidR="00160B21" w:rsidRPr="00A9681B">
        <w:rPr>
          <w:rFonts w:ascii="Times New Roman" w:eastAsia="Times New Roman" w:hAnsi="Times New Roman" w:cs="Times New Roman"/>
          <w:lang w:eastAsia="fr-FR"/>
        </w:rPr>
        <w:t xml:space="preserve"> on the basis of </w:t>
      </w:r>
      <w:r w:rsidR="00B6382E" w:rsidRPr="00A9681B">
        <w:rPr>
          <w:rFonts w:ascii="Times New Roman" w:eastAsia="Times New Roman" w:hAnsi="Times New Roman" w:cs="Times New Roman"/>
          <w:lang w:eastAsia="fr-FR"/>
        </w:rPr>
        <w:t xml:space="preserve">a </w:t>
      </w:r>
      <w:r w:rsidR="00160B21" w:rsidRPr="00A9681B">
        <w:rPr>
          <w:rFonts w:ascii="Times New Roman" w:eastAsia="Times New Roman" w:hAnsi="Times New Roman" w:cs="Times New Roman"/>
          <w:lang w:eastAsia="fr-FR"/>
        </w:rPr>
        <w:t xml:space="preserve">breach of EU law, the Court takes into consideration </w:t>
      </w:r>
      <w:r w:rsidR="00C146E0" w:rsidRPr="00A9681B">
        <w:rPr>
          <w:rFonts w:ascii="Times New Roman" w:eastAsia="Times New Roman" w:hAnsi="Times New Roman" w:cs="Times New Roman"/>
          <w:lang w:eastAsia="fr-FR"/>
        </w:rPr>
        <w:t>a</w:t>
      </w:r>
      <w:r w:rsidR="00160B21" w:rsidRPr="00A9681B">
        <w:rPr>
          <w:rFonts w:ascii="Times New Roman" w:eastAsia="Times New Roman" w:hAnsi="Times New Roman" w:cs="Times New Roman"/>
          <w:lang w:eastAsia="fr-FR"/>
        </w:rPr>
        <w:t xml:space="preserve"> recent judgment of the </w:t>
      </w:r>
      <w:r w:rsidR="00160B21" w:rsidRPr="00A9681B">
        <w:rPr>
          <w:rFonts w:ascii="Times New Roman" w:eastAsia="Times New Roman" w:hAnsi="Times New Roman" w:cs="Times New Roman"/>
          <w:i/>
          <w:lang w:eastAsia="fr-FR"/>
        </w:rPr>
        <w:t>Kúria</w:t>
      </w:r>
      <w:r w:rsidR="00160B21" w:rsidRPr="00A9681B">
        <w:rPr>
          <w:rFonts w:ascii="Times New Roman" w:eastAsia="Times New Roman" w:hAnsi="Times New Roman" w:cs="Times New Roman"/>
          <w:lang w:eastAsia="fr-FR"/>
        </w:rPr>
        <w:t xml:space="preserve"> (no. Pfv.IV.20.602/2017, see paragraph </w:t>
      </w:r>
      <w:r w:rsidR="00160B21" w:rsidRPr="00A9681B">
        <w:rPr>
          <w:rFonts w:ascii="Times New Roman" w:eastAsia="Times New Roman" w:hAnsi="Times New Roman" w:cs="Times New Roman"/>
          <w:lang w:eastAsia="fr-FR"/>
        </w:rPr>
        <w:fldChar w:fldCharType="begin"/>
      </w:r>
      <w:r w:rsidR="00160B21" w:rsidRPr="00A9681B">
        <w:rPr>
          <w:rFonts w:ascii="Times New Roman" w:eastAsia="Times New Roman" w:hAnsi="Times New Roman" w:cs="Times New Roman"/>
          <w:lang w:eastAsia="fr-FR"/>
        </w:rPr>
        <w:instrText xml:space="preserve"> REF T9 \h  \* MERGEFORMAT </w:instrText>
      </w:r>
      <w:r w:rsidR="00160B21" w:rsidRPr="00A9681B">
        <w:rPr>
          <w:rFonts w:ascii="Times New Roman" w:eastAsia="Times New Roman" w:hAnsi="Times New Roman" w:cs="Times New Roman"/>
          <w:lang w:eastAsia="fr-FR"/>
        </w:rPr>
      </w:r>
      <w:r w:rsidR="00160B21"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21</w:t>
      </w:r>
      <w:r w:rsidR="00160B21" w:rsidRPr="00A9681B">
        <w:rPr>
          <w:rFonts w:ascii="Times New Roman" w:eastAsia="Times New Roman" w:hAnsi="Times New Roman" w:cs="Times New Roman"/>
          <w:lang w:eastAsia="fr-FR"/>
        </w:rPr>
        <w:fldChar w:fldCharType="end"/>
      </w:r>
      <w:r w:rsidR="00030651" w:rsidRPr="00A9681B">
        <w:rPr>
          <w:rFonts w:ascii="Times New Roman" w:eastAsia="Times New Roman" w:hAnsi="Times New Roman" w:cs="Times New Roman"/>
          <w:lang w:eastAsia="fr-FR"/>
        </w:rPr>
        <w:t xml:space="preserve"> above)</w:t>
      </w:r>
      <w:r w:rsidR="00B6382E" w:rsidRPr="00A9681B">
        <w:rPr>
          <w:rFonts w:ascii="Times New Roman" w:eastAsia="Times New Roman" w:hAnsi="Times New Roman" w:cs="Times New Roman"/>
          <w:lang w:eastAsia="fr-FR"/>
        </w:rPr>
        <w:t>,</w:t>
      </w:r>
      <w:r w:rsidR="00030651" w:rsidRPr="00A9681B">
        <w:rPr>
          <w:rFonts w:ascii="Times New Roman" w:eastAsia="Times New Roman" w:hAnsi="Times New Roman" w:cs="Times New Roman"/>
          <w:lang w:eastAsia="fr-FR"/>
        </w:rPr>
        <w:t xml:space="preserve"> </w:t>
      </w:r>
      <w:r w:rsidR="00C146E0" w:rsidRPr="00A9681B">
        <w:rPr>
          <w:rFonts w:ascii="Times New Roman" w:eastAsia="Times New Roman" w:hAnsi="Times New Roman" w:cs="Times New Roman"/>
          <w:lang w:eastAsia="fr-FR"/>
        </w:rPr>
        <w:t xml:space="preserve">where </w:t>
      </w:r>
      <w:r w:rsidR="004A1363" w:rsidRPr="00A9681B">
        <w:rPr>
          <w:rFonts w:ascii="Times New Roman" w:eastAsia="Times New Roman" w:hAnsi="Times New Roman" w:cs="Times New Roman"/>
          <w:lang w:eastAsia="fr-FR"/>
        </w:rPr>
        <w:t>the latter</w:t>
      </w:r>
      <w:r w:rsidR="00030651" w:rsidRPr="00A9681B">
        <w:rPr>
          <w:rFonts w:ascii="Times New Roman" w:eastAsia="Times New Roman" w:hAnsi="Times New Roman" w:cs="Times New Roman"/>
          <w:lang w:eastAsia="fr-FR"/>
        </w:rPr>
        <w:t xml:space="preserve"> </w:t>
      </w:r>
      <w:r w:rsidR="00160B21" w:rsidRPr="00A9681B">
        <w:rPr>
          <w:rFonts w:ascii="Times New Roman" w:eastAsia="Times New Roman" w:hAnsi="Times New Roman" w:cs="Times New Roman"/>
          <w:lang w:eastAsia="fr-FR"/>
        </w:rPr>
        <w:t xml:space="preserve">examined the responsibility of the Hungarian State for wrongful implementation of EU legislation. </w:t>
      </w:r>
      <w:r w:rsidR="00030651" w:rsidRPr="00A9681B">
        <w:rPr>
          <w:rFonts w:ascii="Times New Roman" w:eastAsia="Times New Roman" w:hAnsi="Times New Roman" w:cs="Times New Roman"/>
          <w:lang w:eastAsia="fr-FR"/>
        </w:rPr>
        <w:t>It</w:t>
      </w:r>
      <w:r w:rsidR="00160B21" w:rsidRPr="00A9681B">
        <w:rPr>
          <w:rFonts w:ascii="Times New Roman" w:eastAsia="Times New Roman" w:hAnsi="Times New Roman" w:cs="Times New Roman"/>
          <w:lang w:eastAsia="fr-FR"/>
        </w:rPr>
        <w:t xml:space="preserve"> found that the State had failed to properly implement </w:t>
      </w:r>
      <w:r w:rsidR="00C146E0" w:rsidRPr="00A9681B">
        <w:rPr>
          <w:rFonts w:ascii="Times New Roman" w:eastAsia="Times New Roman" w:hAnsi="Times New Roman" w:cs="Times New Roman"/>
          <w:lang w:eastAsia="fr-FR"/>
        </w:rPr>
        <w:t xml:space="preserve">an EU </w:t>
      </w:r>
      <w:r w:rsidR="00160B21" w:rsidRPr="00A9681B">
        <w:rPr>
          <w:rFonts w:ascii="Times New Roman" w:eastAsia="Times New Roman" w:hAnsi="Times New Roman" w:cs="Times New Roman"/>
          <w:lang w:eastAsia="fr-FR"/>
        </w:rPr>
        <w:t>Directive</w:t>
      </w:r>
      <w:r w:rsidR="00B6382E" w:rsidRPr="00A9681B">
        <w:rPr>
          <w:rFonts w:ascii="Times New Roman" w:eastAsia="Times New Roman" w:hAnsi="Times New Roman" w:cs="Times New Roman"/>
          <w:lang w:eastAsia="fr-FR"/>
        </w:rPr>
        <w:t>, and that this</w:t>
      </w:r>
      <w:r w:rsidR="00C146E0" w:rsidRPr="00A9681B">
        <w:rPr>
          <w:rFonts w:ascii="Times New Roman" w:eastAsia="Times New Roman" w:hAnsi="Times New Roman" w:cs="Times New Roman"/>
          <w:lang w:eastAsia="fr-FR"/>
        </w:rPr>
        <w:t xml:space="preserve"> omission had </w:t>
      </w:r>
      <w:r w:rsidR="00B6382E" w:rsidRPr="00A9681B">
        <w:rPr>
          <w:rFonts w:ascii="Times New Roman" w:eastAsia="Times New Roman" w:hAnsi="Times New Roman" w:cs="Times New Roman"/>
          <w:lang w:eastAsia="fr-FR"/>
        </w:rPr>
        <w:t xml:space="preserve">had </w:t>
      </w:r>
      <w:r w:rsidR="00C146E0" w:rsidRPr="00A9681B">
        <w:rPr>
          <w:rFonts w:ascii="Times New Roman" w:eastAsia="Times New Roman" w:hAnsi="Times New Roman" w:cs="Times New Roman"/>
          <w:lang w:eastAsia="fr-FR"/>
        </w:rPr>
        <w:t>repercussions on the claimant</w:t>
      </w:r>
      <w:r w:rsidR="00A9681B" w:rsidRPr="00A9681B">
        <w:rPr>
          <w:rFonts w:ascii="Times New Roman" w:eastAsia="Times New Roman" w:hAnsi="Times New Roman" w:cs="Times New Roman"/>
          <w:lang w:eastAsia="fr-FR"/>
        </w:rPr>
        <w:t>’</w:t>
      </w:r>
      <w:r w:rsidR="00C146E0" w:rsidRPr="00A9681B">
        <w:rPr>
          <w:rFonts w:ascii="Times New Roman" w:eastAsia="Times New Roman" w:hAnsi="Times New Roman" w:cs="Times New Roman"/>
          <w:lang w:eastAsia="fr-FR"/>
        </w:rPr>
        <w:t>s</w:t>
      </w:r>
      <w:r w:rsidR="00160B21" w:rsidRPr="00A9681B">
        <w:rPr>
          <w:rFonts w:ascii="Times New Roman" w:eastAsia="Times New Roman" w:hAnsi="Times New Roman" w:cs="Times New Roman"/>
          <w:lang w:eastAsia="fr-FR"/>
        </w:rPr>
        <w:t xml:space="preserve"> private life</w:t>
      </w:r>
      <w:r w:rsidR="00C146E0" w:rsidRPr="00A9681B">
        <w:rPr>
          <w:rFonts w:ascii="Times New Roman" w:eastAsia="Times New Roman" w:hAnsi="Times New Roman" w:cs="Times New Roman"/>
          <w:lang w:eastAsia="fr-FR"/>
        </w:rPr>
        <w:t xml:space="preserve">. </w:t>
      </w:r>
      <w:r w:rsidR="00700A2E" w:rsidRPr="00A9681B">
        <w:rPr>
          <w:rFonts w:ascii="Times New Roman" w:eastAsia="Times New Roman" w:hAnsi="Times New Roman" w:cs="Times New Roman"/>
          <w:lang w:eastAsia="fr-FR"/>
        </w:rPr>
        <w:t>Therefore, t</w:t>
      </w:r>
      <w:r w:rsidR="00160B21" w:rsidRPr="00A9681B">
        <w:rPr>
          <w:rFonts w:ascii="Times New Roman" w:eastAsia="Times New Roman" w:hAnsi="Times New Roman" w:cs="Times New Roman"/>
          <w:lang w:eastAsia="fr-FR"/>
        </w:rPr>
        <w:t>he State</w:t>
      </w:r>
      <w:r w:rsidR="00A9681B" w:rsidRPr="00A9681B">
        <w:rPr>
          <w:rFonts w:ascii="Times New Roman" w:eastAsia="Times New Roman" w:hAnsi="Times New Roman" w:cs="Times New Roman"/>
          <w:lang w:eastAsia="fr-FR"/>
        </w:rPr>
        <w:t>’</w:t>
      </w:r>
      <w:r w:rsidR="00160B21" w:rsidRPr="00A9681B">
        <w:rPr>
          <w:rFonts w:ascii="Times New Roman" w:eastAsia="Times New Roman" w:hAnsi="Times New Roman" w:cs="Times New Roman"/>
          <w:lang w:eastAsia="fr-FR"/>
        </w:rPr>
        <w:t xml:space="preserve">s responsibility could </w:t>
      </w:r>
      <w:r w:rsidR="00030651" w:rsidRPr="00A9681B">
        <w:rPr>
          <w:rFonts w:ascii="Times New Roman" w:eastAsia="Times New Roman" w:hAnsi="Times New Roman" w:cs="Times New Roman"/>
          <w:lang w:eastAsia="fr-FR"/>
        </w:rPr>
        <w:t xml:space="preserve">in principle </w:t>
      </w:r>
      <w:r w:rsidR="00700A2E" w:rsidRPr="00A9681B">
        <w:rPr>
          <w:rFonts w:ascii="Times New Roman" w:eastAsia="Times New Roman" w:hAnsi="Times New Roman" w:cs="Times New Roman"/>
          <w:lang w:eastAsia="fr-FR"/>
        </w:rPr>
        <w:t>be engaged; h</w:t>
      </w:r>
      <w:r w:rsidR="00160B21" w:rsidRPr="00A9681B">
        <w:rPr>
          <w:rFonts w:ascii="Times New Roman" w:eastAsia="Times New Roman" w:hAnsi="Times New Roman" w:cs="Times New Roman"/>
          <w:lang w:eastAsia="fr-FR"/>
        </w:rPr>
        <w:t xml:space="preserve">owever, the </w:t>
      </w:r>
      <w:r w:rsidR="00160B21" w:rsidRPr="00A9681B">
        <w:rPr>
          <w:rFonts w:ascii="Times New Roman" w:eastAsia="Times New Roman" w:hAnsi="Times New Roman" w:cs="Times New Roman"/>
          <w:i/>
          <w:lang w:eastAsia="fr-FR"/>
        </w:rPr>
        <w:t>Kúria</w:t>
      </w:r>
      <w:r w:rsidR="00160B21" w:rsidRPr="00A9681B">
        <w:rPr>
          <w:rFonts w:ascii="Times New Roman" w:eastAsia="Times New Roman" w:hAnsi="Times New Roman" w:cs="Times New Roman"/>
          <w:lang w:eastAsia="fr-FR"/>
        </w:rPr>
        <w:t xml:space="preserve"> dismissed the </w:t>
      </w:r>
      <w:r w:rsidR="00B6382E" w:rsidRPr="00A9681B">
        <w:rPr>
          <w:rFonts w:ascii="Times New Roman" w:eastAsia="Times New Roman" w:hAnsi="Times New Roman" w:cs="Times New Roman"/>
          <w:lang w:eastAsia="fr-FR"/>
        </w:rPr>
        <w:t xml:space="preserve">claim for </w:t>
      </w:r>
      <w:r w:rsidR="00E827C4" w:rsidRPr="00A9681B">
        <w:rPr>
          <w:rFonts w:ascii="Times New Roman" w:eastAsia="Times New Roman" w:hAnsi="Times New Roman" w:cs="Times New Roman"/>
          <w:lang w:eastAsia="fr-FR"/>
        </w:rPr>
        <w:t>damage</w:t>
      </w:r>
      <w:r w:rsidR="00B6382E" w:rsidRPr="00A9681B">
        <w:rPr>
          <w:rFonts w:ascii="Times New Roman" w:eastAsia="Times New Roman" w:hAnsi="Times New Roman" w:cs="Times New Roman"/>
          <w:lang w:eastAsia="fr-FR"/>
        </w:rPr>
        <w:t>s</w:t>
      </w:r>
      <w:r w:rsidR="00E827C4" w:rsidRPr="00A9681B">
        <w:rPr>
          <w:rFonts w:ascii="Times New Roman" w:eastAsia="Times New Roman" w:hAnsi="Times New Roman" w:cs="Times New Roman"/>
          <w:lang w:eastAsia="fr-FR"/>
        </w:rPr>
        <w:t xml:space="preserve"> because </w:t>
      </w:r>
      <w:r w:rsidR="00160B21" w:rsidRPr="00A9681B">
        <w:rPr>
          <w:rFonts w:ascii="Times New Roman" w:eastAsia="Times New Roman" w:hAnsi="Times New Roman" w:cs="Times New Roman"/>
          <w:lang w:eastAsia="fr-FR"/>
        </w:rPr>
        <w:t xml:space="preserve">the Civil Code </w:t>
      </w:r>
      <w:r w:rsidR="00B6382E" w:rsidRPr="00A9681B">
        <w:rPr>
          <w:rFonts w:ascii="Times New Roman" w:eastAsia="Times New Roman" w:hAnsi="Times New Roman" w:cs="Times New Roman"/>
          <w:lang w:eastAsia="fr-FR"/>
        </w:rPr>
        <w:t xml:space="preserve">did </w:t>
      </w:r>
      <w:r w:rsidR="00160B21" w:rsidRPr="00A9681B">
        <w:rPr>
          <w:rFonts w:ascii="Times New Roman" w:eastAsia="Times New Roman" w:hAnsi="Times New Roman" w:cs="Times New Roman"/>
          <w:lang w:eastAsia="fr-FR"/>
        </w:rPr>
        <w:t xml:space="preserve">not contain any provision on </w:t>
      </w:r>
      <w:r w:rsidR="00700A2E" w:rsidRPr="00A9681B">
        <w:rPr>
          <w:rFonts w:ascii="Times New Roman" w:eastAsia="Times New Roman" w:hAnsi="Times New Roman" w:cs="Times New Roman"/>
          <w:lang w:eastAsia="fr-FR"/>
        </w:rPr>
        <w:t xml:space="preserve">the </w:t>
      </w:r>
      <w:r w:rsidR="00160B21" w:rsidRPr="00A9681B">
        <w:rPr>
          <w:rFonts w:ascii="Times New Roman" w:eastAsia="Times New Roman" w:hAnsi="Times New Roman" w:cs="Times New Roman"/>
          <w:lang w:eastAsia="fr-FR"/>
        </w:rPr>
        <w:t>di</w:t>
      </w:r>
      <w:r w:rsidR="00700A2E" w:rsidRPr="00A9681B">
        <w:rPr>
          <w:rFonts w:ascii="Times New Roman" w:eastAsia="Times New Roman" w:hAnsi="Times New Roman" w:cs="Times New Roman"/>
          <w:lang w:eastAsia="fr-FR"/>
        </w:rPr>
        <w:t xml:space="preserve">rect </w:t>
      </w:r>
      <w:r w:rsidR="00B6382E" w:rsidRPr="00A9681B">
        <w:rPr>
          <w:rFonts w:ascii="Times New Roman" w:eastAsia="Times New Roman" w:hAnsi="Times New Roman" w:cs="Times New Roman"/>
          <w:lang w:eastAsia="fr-FR"/>
        </w:rPr>
        <w:t xml:space="preserve">liability </w:t>
      </w:r>
      <w:r w:rsidR="00700A2E" w:rsidRPr="00A9681B">
        <w:rPr>
          <w:rFonts w:ascii="Times New Roman" w:eastAsia="Times New Roman" w:hAnsi="Times New Roman" w:cs="Times New Roman"/>
          <w:lang w:eastAsia="fr-FR"/>
        </w:rPr>
        <w:t xml:space="preserve">of the </w:t>
      </w:r>
      <w:r w:rsidR="00B6382E" w:rsidRPr="00A9681B">
        <w:rPr>
          <w:rFonts w:ascii="Times New Roman" w:eastAsia="Times New Roman" w:hAnsi="Times New Roman" w:cs="Times New Roman"/>
          <w:lang w:eastAsia="fr-FR"/>
        </w:rPr>
        <w:t>legislature</w:t>
      </w:r>
      <w:r w:rsidR="00160B21" w:rsidRPr="00A9681B">
        <w:rPr>
          <w:rFonts w:ascii="Times New Roman" w:eastAsia="Times New Roman" w:hAnsi="Times New Roman" w:cs="Times New Roman"/>
          <w:lang w:eastAsia="fr-FR"/>
        </w:rPr>
        <w:t xml:space="preserve">. </w:t>
      </w:r>
      <w:r w:rsidR="00700A2E" w:rsidRPr="00A9681B">
        <w:rPr>
          <w:rFonts w:ascii="Times New Roman" w:eastAsia="Times New Roman" w:hAnsi="Times New Roman" w:cs="Times New Roman"/>
          <w:lang w:eastAsia="fr-FR"/>
        </w:rPr>
        <w:t xml:space="preserve">The </w:t>
      </w:r>
      <w:r w:rsidR="00160B21" w:rsidRPr="00A9681B">
        <w:rPr>
          <w:rFonts w:ascii="Times New Roman" w:eastAsia="Times New Roman" w:hAnsi="Times New Roman" w:cs="Times New Roman"/>
          <w:lang w:eastAsia="fr-FR"/>
        </w:rPr>
        <w:t xml:space="preserve">Court is </w:t>
      </w:r>
      <w:r w:rsidR="00700A2E" w:rsidRPr="00A9681B">
        <w:rPr>
          <w:rFonts w:ascii="Times New Roman" w:eastAsia="Times New Roman" w:hAnsi="Times New Roman" w:cs="Times New Roman"/>
          <w:lang w:eastAsia="fr-FR"/>
        </w:rPr>
        <w:t xml:space="preserve">thus </w:t>
      </w:r>
      <w:r w:rsidR="00160B21" w:rsidRPr="00A9681B">
        <w:rPr>
          <w:rFonts w:ascii="Times New Roman" w:eastAsia="Times New Roman" w:hAnsi="Times New Roman" w:cs="Times New Roman"/>
          <w:lang w:eastAsia="fr-FR"/>
        </w:rPr>
        <w:t xml:space="preserve">not persuaded that </w:t>
      </w:r>
      <w:r w:rsidR="009C2631" w:rsidRPr="00A9681B">
        <w:rPr>
          <w:rFonts w:ascii="Times New Roman" w:eastAsia="Times New Roman" w:hAnsi="Times New Roman" w:cs="Times New Roman"/>
          <w:lang w:eastAsia="fr-FR"/>
        </w:rPr>
        <w:t xml:space="preserve">in the present case </w:t>
      </w:r>
      <w:r w:rsidR="00160B21" w:rsidRPr="00A9681B">
        <w:rPr>
          <w:rFonts w:ascii="Times New Roman" w:eastAsia="Times New Roman" w:hAnsi="Times New Roman" w:cs="Times New Roman"/>
          <w:lang w:eastAsia="fr-FR"/>
        </w:rPr>
        <w:t>a</w:t>
      </w:r>
      <w:r w:rsidR="00700A2E" w:rsidRPr="00A9681B">
        <w:rPr>
          <w:rFonts w:ascii="Times New Roman" w:eastAsia="Times New Roman" w:hAnsi="Times New Roman" w:cs="Times New Roman"/>
          <w:lang w:eastAsia="fr-FR"/>
        </w:rPr>
        <w:t>n</w:t>
      </w:r>
      <w:r w:rsidR="00160B21" w:rsidRPr="00A9681B">
        <w:rPr>
          <w:rFonts w:ascii="Times New Roman" w:eastAsia="Times New Roman" w:hAnsi="Times New Roman" w:cs="Times New Roman"/>
          <w:lang w:eastAsia="fr-FR"/>
        </w:rPr>
        <w:t xml:space="preserve"> action in damages on the basis of </w:t>
      </w:r>
      <w:r w:rsidR="00B6382E" w:rsidRPr="00A9681B">
        <w:rPr>
          <w:rFonts w:ascii="Times New Roman" w:eastAsia="Times New Roman" w:hAnsi="Times New Roman" w:cs="Times New Roman"/>
          <w:lang w:eastAsia="fr-FR"/>
        </w:rPr>
        <w:t xml:space="preserve">a </w:t>
      </w:r>
      <w:r w:rsidR="00160B21" w:rsidRPr="00A9681B">
        <w:rPr>
          <w:rFonts w:ascii="Times New Roman" w:eastAsia="Times New Roman" w:hAnsi="Times New Roman" w:cs="Times New Roman"/>
          <w:lang w:eastAsia="fr-FR"/>
        </w:rPr>
        <w:t xml:space="preserve">breach of EU law would have been a remedy capable of providing redress </w:t>
      </w:r>
      <w:r w:rsidR="00700A2E" w:rsidRPr="00A9681B">
        <w:rPr>
          <w:rFonts w:ascii="Times New Roman" w:eastAsia="Times New Roman" w:hAnsi="Times New Roman" w:cs="Times New Roman"/>
          <w:lang w:eastAsia="fr-FR"/>
        </w:rPr>
        <w:t>for</w:t>
      </w:r>
      <w:r w:rsidR="00160B21" w:rsidRPr="00A9681B">
        <w:rPr>
          <w:rFonts w:ascii="Times New Roman" w:eastAsia="Times New Roman" w:hAnsi="Times New Roman" w:cs="Times New Roman"/>
          <w:lang w:eastAsia="fr-FR"/>
        </w:rPr>
        <w:t xml:space="preserve"> the applicant</w:t>
      </w:r>
      <w:r w:rsidR="004A1363" w:rsidRPr="00A9681B">
        <w:rPr>
          <w:rFonts w:ascii="Times New Roman" w:eastAsia="Times New Roman" w:hAnsi="Times New Roman" w:cs="Times New Roman"/>
          <w:lang w:eastAsia="fr-FR"/>
        </w:rPr>
        <w:t xml:space="preserve"> companie</w:t>
      </w:r>
      <w:r w:rsidR="00160B21" w:rsidRPr="00A9681B">
        <w:rPr>
          <w:rFonts w:ascii="Times New Roman" w:eastAsia="Times New Roman" w:hAnsi="Times New Roman" w:cs="Times New Roman"/>
          <w:lang w:eastAsia="fr-FR"/>
        </w:rPr>
        <w:t>s</w:t>
      </w:r>
      <w:r w:rsidR="00A9681B" w:rsidRPr="00A9681B">
        <w:rPr>
          <w:rFonts w:ascii="Times New Roman" w:eastAsia="Times New Roman" w:hAnsi="Times New Roman" w:cs="Times New Roman"/>
          <w:lang w:eastAsia="fr-FR"/>
        </w:rPr>
        <w:t>’</w:t>
      </w:r>
      <w:r w:rsidR="00160B21" w:rsidRPr="00A9681B">
        <w:rPr>
          <w:rFonts w:ascii="Times New Roman" w:eastAsia="Times New Roman" w:hAnsi="Times New Roman" w:cs="Times New Roman"/>
          <w:lang w:eastAsia="fr-FR"/>
        </w:rPr>
        <w:t xml:space="preserve"> complaints and offering reasonable prospects of success (see </w:t>
      </w:r>
      <w:r w:rsidR="00160B21" w:rsidRPr="00A9681B">
        <w:rPr>
          <w:rFonts w:ascii="Times New Roman" w:eastAsia="Times New Roman" w:hAnsi="Times New Roman" w:cs="Times New Roman"/>
          <w:i/>
          <w:lang w:eastAsia="fr-FR"/>
        </w:rPr>
        <w:t>Sejdovic v.</w:t>
      </w:r>
      <w:r w:rsidR="00B6382E" w:rsidRPr="00A9681B">
        <w:rPr>
          <w:rFonts w:ascii="Times New Roman" w:eastAsia="Times New Roman" w:hAnsi="Times New Roman" w:cs="Times New Roman"/>
          <w:i/>
          <w:lang w:eastAsia="fr-FR"/>
        </w:rPr>
        <w:t> </w:t>
      </w:r>
      <w:r w:rsidR="00160B21" w:rsidRPr="00A9681B">
        <w:rPr>
          <w:rFonts w:ascii="Times New Roman" w:eastAsia="Times New Roman" w:hAnsi="Times New Roman" w:cs="Times New Roman"/>
          <w:i/>
          <w:lang w:eastAsia="fr-FR"/>
        </w:rPr>
        <w:t>Italy</w:t>
      </w:r>
      <w:r w:rsidR="00160B21" w:rsidRPr="00A9681B">
        <w:rPr>
          <w:rFonts w:ascii="Times New Roman" w:eastAsia="Times New Roman" w:hAnsi="Times New Roman" w:cs="Times New Roman"/>
          <w:lang w:eastAsia="fr-FR"/>
        </w:rPr>
        <w:t xml:space="preserve"> [GC], no.</w:t>
      </w:r>
      <w:r w:rsidR="00700A2E" w:rsidRPr="00A9681B">
        <w:rPr>
          <w:rFonts w:ascii="Times New Roman" w:eastAsia="Times New Roman" w:hAnsi="Times New Roman" w:cs="Times New Roman"/>
          <w:lang w:eastAsia="fr-FR"/>
        </w:rPr>
        <w:t> </w:t>
      </w:r>
      <w:r w:rsidR="00160B21" w:rsidRPr="00A9681B">
        <w:rPr>
          <w:rFonts w:ascii="Times New Roman" w:eastAsia="Times New Roman" w:hAnsi="Times New Roman" w:cs="Times New Roman"/>
          <w:lang w:eastAsia="fr-FR"/>
        </w:rPr>
        <w:t>56581/00, §</w:t>
      </w:r>
      <w:r w:rsidR="00E10576" w:rsidRPr="00A9681B">
        <w:rPr>
          <w:rFonts w:ascii="Times New Roman" w:eastAsia="Times New Roman" w:hAnsi="Times New Roman" w:cs="Times New Roman"/>
          <w:lang w:eastAsia="fr-FR"/>
        </w:rPr>
        <w:t> </w:t>
      </w:r>
      <w:r w:rsidR="00160B21" w:rsidRPr="00A9681B">
        <w:rPr>
          <w:rFonts w:ascii="Times New Roman" w:eastAsia="Times New Roman" w:hAnsi="Times New Roman" w:cs="Times New Roman"/>
          <w:lang w:eastAsia="fr-FR"/>
        </w:rPr>
        <w:t>46, ECHR 2006-II).</w:t>
      </w:r>
    </w:p>
    <w:p w:rsidR="00877698" w:rsidRPr="00A9681B" w:rsidRDefault="008005AC"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28</w:t>
      </w:r>
      <w:r w:rsidRPr="00A9681B">
        <w:rPr>
          <w:rFonts w:eastAsia="Times New Roman"/>
          <w:lang w:eastAsia="fr-FR"/>
        </w:rPr>
        <w:fldChar w:fldCharType="end"/>
      </w:r>
      <w:r w:rsidRPr="00A9681B">
        <w:rPr>
          <w:rFonts w:eastAsia="Times New Roman"/>
          <w:lang w:eastAsia="fr-FR"/>
        </w:rPr>
        <w:t>.  In sum, t</w:t>
      </w:r>
      <w:r w:rsidR="007E4785" w:rsidRPr="00A9681B">
        <w:rPr>
          <w:rFonts w:eastAsia="Times New Roman"/>
          <w:lang w:eastAsia="fr-FR"/>
        </w:rPr>
        <w:t>he Court</w:t>
      </w:r>
      <w:r w:rsidR="001E2AC3" w:rsidRPr="00A9681B">
        <w:rPr>
          <w:rFonts w:eastAsia="Times New Roman"/>
          <w:lang w:eastAsia="fr-FR"/>
        </w:rPr>
        <w:t xml:space="preserve"> is satisfied that it is not possible to reject the application for non-exhaustion of domestic remedies.</w:t>
      </w:r>
    </w:p>
    <w:p w:rsidR="00877698" w:rsidRPr="00A9681B" w:rsidRDefault="00877698"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29</w:t>
      </w:r>
      <w:r w:rsidRPr="00A9681B">
        <w:rPr>
          <w:rFonts w:eastAsia="Times New Roman"/>
          <w:lang w:eastAsia="fr-FR"/>
        </w:rPr>
        <w:fldChar w:fldCharType="end"/>
      </w:r>
      <w:r w:rsidRPr="00A9681B">
        <w:rPr>
          <w:rFonts w:eastAsia="Times New Roman"/>
          <w:lang w:eastAsia="fr-FR"/>
        </w:rPr>
        <w:t>.  Further, the Government argued that there was no “possession” in the present case attract</w:t>
      </w:r>
      <w:r w:rsidR="001E2AC3" w:rsidRPr="00A9681B">
        <w:rPr>
          <w:rFonts w:eastAsia="Times New Roman"/>
          <w:lang w:eastAsia="fr-FR"/>
        </w:rPr>
        <w:t>ing</w:t>
      </w:r>
      <w:r w:rsidRPr="00A9681B">
        <w:rPr>
          <w:rFonts w:eastAsia="Times New Roman"/>
          <w:lang w:eastAsia="fr-FR"/>
        </w:rPr>
        <w:t xml:space="preserve"> the guarantees of Article 1 of Protocol No. 1</w:t>
      </w:r>
      <w:r w:rsidR="001933B0" w:rsidRPr="00A9681B">
        <w:rPr>
          <w:rFonts w:eastAsia="Times New Roman"/>
          <w:lang w:eastAsia="fr-FR"/>
        </w:rPr>
        <w:t>,</w:t>
      </w:r>
      <w:r w:rsidRPr="00A9681B">
        <w:rPr>
          <w:rFonts w:eastAsia="Times New Roman"/>
          <w:lang w:eastAsia="fr-FR"/>
        </w:rPr>
        <w:t xml:space="preserve"> and </w:t>
      </w:r>
      <w:r w:rsidR="00B6382E" w:rsidRPr="00A9681B">
        <w:rPr>
          <w:rFonts w:eastAsia="Times New Roman"/>
          <w:lang w:eastAsia="fr-FR"/>
        </w:rPr>
        <w:t xml:space="preserve">that </w:t>
      </w:r>
      <w:r w:rsidRPr="00A9681B">
        <w:rPr>
          <w:rFonts w:eastAsia="Times New Roman"/>
          <w:lang w:eastAsia="fr-FR"/>
        </w:rPr>
        <w:t>therefore the applicant</w:t>
      </w:r>
      <w:r w:rsidR="00BD1026" w:rsidRPr="00A9681B">
        <w:rPr>
          <w:rFonts w:eastAsia="Times New Roman"/>
          <w:lang w:eastAsia="fr-FR"/>
        </w:rPr>
        <w:t xml:space="preserve"> companies</w:t>
      </w:r>
      <w:r w:rsidR="00A9681B" w:rsidRPr="00A9681B">
        <w:rPr>
          <w:rFonts w:eastAsia="Times New Roman"/>
          <w:lang w:eastAsia="fr-FR"/>
        </w:rPr>
        <w:t>’</w:t>
      </w:r>
      <w:r w:rsidRPr="00A9681B">
        <w:rPr>
          <w:rFonts w:eastAsia="Times New Roman"/>
          <w:lang w:eastAsia="fr-FR"/>
        </w:rPr>
        <w:t xml:space="preserve"> complaint was incompatible </w:t>
      </w:r>
      <w:r w:rsidRPr="00A9681B">
        <w:rPr>
          <w:rFonts w:eastAsia="Times New Roman"/>
          <w:i/>
          <w:lang w:eastAsia="fr-FR"/>
        </w:rPr>
        <w:t xml:space="preserve">ratione materiae </w:t>
      </w:r>
      <w:r w:rsidRPr="00A9681B">
        <w:rPr>
          <w:rFonts w:eastAsia="Times New Roman"/>
          <w:lang w:eastAsia="fr-FR"/>
        </w:rPr>
        <w:t xml:space="preserve">with the provisions of the Convention. They emphasised that </w:t>
      </w:r>
      <w:r w:rsidR="00867593" w:rsidRPr="00A9681B">
        <w:rPr>
          <w:rFonts w:eastAsia="Times New Roman"/>
          <w:lang w:eastAsia="fr-FR"/>
        </w:rPr>
        <w:t xml:space="preserve">the </w:t>
      </w:r>
      <w:r w:rsidRPr="00A9681B">
        <w:rPr>
          <w:rFonts w:eastAsia="Times New Roman"/>
          <w:lang w:eastAsia="fr-FR"/>
        </w:rPr>
        <w:t>Convention did not guarantee the right to acquire property</w:t>
      </w:r>
      <w:r w:rsidR="00867593" w:rsidRPr="00A9681B">
        <w:rPr>
          <w:rFonts w:eastAsia="Times New Roman"/>
          <w:lang w:eastAsia="fr-FR"/>
        </w:rPr>
        <w:t>,</w:t>
      </w:r>
      <w:r w:rsidRPr="00A9681B">
        <w:rPr>
          <w:rFonts w:eastAsia="Times New Roman"/>
          <w:lang w:eastAsia="fr-FR"/>
        </w:rPr>
        <w:t xml:space="preserve"> and future </w:t>
      </w:r>
      <w:r w:rsidRPr="00A9681B">
        <w:rPr>
          <w:rFonts w:eastAsia="Times New Roman"/>
          <w:lang w:eastAsia="fr-FR"/>
        </w:rPr>
        <w:lastRenderedPageBreak/>
        <w:t>income</w:t>
      </w:r>
      <w:r w:rsidR="007E4785" w:rsidRPr="00A9681B">
        <w:rPr>
          <w:rFonts w:eastAsia="Times New Roman"/>
          <w:lang w:eastAsia="fr-FR"/>
        </w:rPr>
        <w:t xml:space="preserve"> was generally not regarded as</w:t>
      </w:r>
      <w:r w:rsidRPr="00A9681B">
        <w:rPr>
          <w:rFonts w:eastAsia="Times New Roman"/>
          <w:lang w:eastAsia="fr-FR"/>
        </w:rPr>
        <w:t xml:space="preserve"> </w:t>
      </w:r>
      <w:r w:rsidR="00867593" w:rsidRPr="00A9681B">
        <w:rPr>
          <w:rFonts w:eastAsia="Times New Roman"/>
          <w:lang w:eastAsia="fr-FR"/>
        </w:rPr>
        <w:t xml:space="preserve">a </w:t>
      </w:r>
      <w:r w:rsidRPr="00A9681B">
        <w:rPr>
          <w:rFonts w:eastAsia="Times New Roman"/>
          <w:lang w:eastAsia="fr-FR"/>
        </w:rPr>
        <w:t>“possession”.</w:t>
      </w:r>
      <w:r w:rsidRPr="00A9681B">
        <w:rPr>
          <w:rFonts w:eastAsia="Times New Roman"/>
          <w:sz w:val="23"/>
          <w:szCs w:val="23"/>
        </w:rPr>
        <w:t xml:space="preserve"> </w:t>
      </w:r>
      <w:r w:rsidRPr="00A9681B">
        <w:rPr>
          <w:rFonts w:eastAsia="Times New Roman"/>
          <w:lang w:eastAsia="fr-FR"/>
        </w:rPr>
        <w:t xml:space="preserve">The Government </w:t>
      </w:r>
      <w:r w:rsidR="00867593" w:rsidRPr="00A9681B">
        <w:rPr>
          <w:rFonts w:eastAsia="Times New Roman"/>
          <w:lang w:eastAsia="fr-FR"/>
        </w:rPr>
        <w:t xml:space="preserve">argued </w:t>
      </w:r>
      <w:r w:rsidRPr="00A9681B">
        <w:rPr>
          <w:rFonts w:eastAsia="Times New Roman"/>
          <w:lang w:eastAsia="fr-FR"/>
        </w:rPr>
        <w:t>that the applicant</w:t>
      </w:r>
      <w:r w:rsidR="00BD1026" w:rsidRPr="00A9681B">
        <w:rPr>
          <w:rFonts w:eastAsia="Times New Roman"/>
          <w:lang w:eastAsia="fr-FR"/>
        </w:rPr>
        <w:t xml:space="preserve"> companies</w:t>
      </w:r>
      <w:r w:rsidR="00A9681B" w:rsidRPr="00A9681B">
        <w:rPr>
          <w:rFonts w:eastAsia="Times New Roman"/>
          <w:lang w:eastAsia="fr-FR"/>
        </w:rPr>
        <w:t>’</w:t>
      </w:r>
      <w:r w:rsidRPr="00A9681B">
        <w:rPr>
          <w:rFonts w:eastAsia="Times New Roman"/>
          <w:lang w:eastAsia="fr-FR"/>
        </w:rPr>
        <w:t xml:space="preserve"> market share and future income had been aff</w:t>
      </w:r>
      <w:r w:rsidR="001E2AC3" w:rsidRPr="00A9681B">
        <w:rPr>
          <w:rFonts w:eastAsia="Times New Roman"/>
          <w:lang w:eastAsia="fr-FR"/>
        </w:rPr>
        <w:t>ected by a change in the organis</w:t>
      </w:r>
      <w:r w:rsidRPr="00A9681B">
        <w:rPr>
          <w:rFonts w:eastAsia="Times New Roman"/>
          <w:lang w:eastAsia="fr-FR"/>
        </w:rPr>
        <w:t>ation of public education</w:t>
      </w:r>
      <w:r w:rsidR="00867593" w:rsidRPr="00A9681B">
        <w:rPr>
          <w:rFonts w:eastAsia="Times New Roman"/>
          <w:lang w:eastAsia="fr-FR"/>
        </w:rPr>
        <w:t>,</w:t>
      </w:r>
      <w:r w:rsidRPr="00A9681B">
        <w:rPr>
          <w:rFonts w:eastAsia="Times New Roman"/>
          <w:lang w:eastAsia="fr-FR"/>
        </w:rPr>
        <w:t xml:space="preserve"> which had occurred within the limits of the wide margin of appreciation</w:t>
      </w:r>
      <w:r w:rsidR="001E2AC3" w:rsidRPr="00A9681B">
        <w:rPr>
          <w:rFonts w:eastAsia="Times New Roman"/>
          <w:lang w:eastAsia="fr-FR"/>
        </w:rPr>
        <w:t xml:space="preserve"> afforded to the authorities in such matters</w:t>
      </w:r>
      <w:r w:rsidR="001116DC" w:rsidRPr="00A9681B">
        <w:rPr>
          <w:rFonts w:eastAsia="Times New Roman"/>
          <w:lang w:eastAsia="fr-FR"/>
        </w:rPr>
        <w:t>,</w:t>
      </w:r>
      <w:r w:rsidR="001E2AC3" w:rsidRPr="00A9681B">
        <w:rPr>
          <w:rFonts w:eastAsia="Times New Roman"/>
          <w:lang w:eastAsia="fr-FR"/>
        </w:rPr>
        <w:t xml:space="preserve"> and the fact remained that t</w:t>
      </w:r>
      <w:r w:rsidRPr="00A9681B">
        <w:rPr>
          <w:rFonts w:eastAsia="Times New Roman"/>
          <w:lang w:eastAsia="fr-FR"/>
        </w:rPr>
        <w:t>he applicant</w:t>
      </w:r>
      <w:r w:rsidR="00BD1026" w:rsidRPr="00A9681B">
        <w:rPr>
          <w:rFonts w:eastAsia="Times New Roman"/>
          <w:lang w:eastAsia="fr-FR"/>
        </w:rPr>
        <w:t xml:space="preserve"> companies</w:t>
      </w:r>
      <w:r w:rsidR="00A9681B" w:rsidRPr="00A9681B">
        <w:rPr>
          <w:rFonts w:eastAsia="Times New Roman"/>
          <w:lang w:eastAsia="fr-FR"/>
        </w:rPr>
        <w:t>’</w:t>
      </w:r>
      <w:r w:rsidRPr="00A9681B">
        <w:rPr>
          <w:rFonts w:eastAsia="Times New Roman"/>
          <w:lang w:eastAsia="fr-FR"/>
        </w:rPr>
        <w:t xml:space="preserve"> </w:t>
      </w:r>
      <w:r w:rsidR="001E2AC3" w:rsidRPr="00A9681B">
        <w:rPr>
          <w:rFonts w:eastAsia="Times New Roman"/>
          <w:lang w:eastAsia="fr-FR"/>
        </w:rPr>
        <w:t xml:space="preserve">mere </w:t>
      </w:r>
      <w:r w:rsidRPr="00A9681B">
        <w:rPr>
          <w:rFonts w:eastAsia="Times New Roman"/>
          <w:lang w:eastAsia="fr-FR"/>
        </w:rPr>
        <w:t>hope</w:t>
      </w:r>
      <w:r w:rsidR="001E2AC3" w:rsidRPr="00A9681B">
        <w:rPr>
          <w:rFonts w:eastAsia="Times New Roman"/>
          <w:lang w:eastAsia="fr-FR"/>
        </w:rPr>
        <w:t xml:space="preserve"> </w:t>
      </w:r>
      <w:r w:rsidR="00B6382E" w:rsidRPr="00A9681B">
        <w:rPr>
          <w:rFonts w:eastAsia="Times New Roman"/>
          <w:lang w:eastAsia="fr-FR"/>
        </w:rPr>
        <w:t xml:space="preserve">of </w:t>
      </w:r>
      <w:r w:rsidR="001E2AC3" w:rsidRPr="00A9681B">
        <w:rPr>
          <w:rFonts w:eastAsia="Times New Roman"/>
          <w:lang w:eastAsia="fr-FR"/>
        </w:rPr>
        <w:t>be</w:t>
      </w:r>
      <w:r w:rsidR="00B6382E" w:rsidRPr="00A9681B">
        <w:rPr>
          <w:rFonts w:eastAsia="Times New Roman"/>
          <w:lang w:eastAsia="fr-FR"/>
        </w:rPr>
        <w:t>ing</w:t>
      </w:r>
      <w:r w:rsidR="001E2AC3" w:rsidRPr="00A9681B">
        <w:rPr>
          <w:rFonts w:eastAsia="Times New Roman"/>
          <w:lang w:eastAsia="fr-FR"/>
        </w:rPr>
        <w:t xml:space="preserve"> able to</w:t>
      </w:r>
      <w:r w:rsidRPr="00A9681B">
        <w:rPr>
          <w:rFonts w:eastAsia="Times New Roman"/>
          <w:lang w:eastAsia="fr-FR"/>
        </w:rPr>
        <w:t xml:space="preserve"> continue trad</w:t>
      </w:r>
      <w:r w:rsidR="001E2AC3" w:rsidRPr="00A9681B">
        <w:rPr>
          <w:rFonts w:eastAsia="Times New Roman"/>
          <w:lang w:eastAsia="fr-FR"/>
        </w:rPr>
        <w:t xml:space="preserve">ing on a market </w:t>
      </w:r>
      <w:r w:rsidRPr="00A9681B">
        <w:rPr>
          <w:rFonts w:eastAsia="Times New Roman"/>
          <w:lang w:eastAsia="fr-FR"/>
        </w:rPr>
        <w:t xml:space="preserve">with </w:t>
      </w:r>
      <w:r w:rsidR="001116DC" w:rsidRPr="00A9681B">
        <w:rPr>
          <w:rFonts w:eastAsia="Times New Roman"/>
          <w:lang w:eastAsia="fr-FR"/>
        </w:rPr>
        <w:t xml:space="preserve">a </w:t>
      </w:r>
      <w:r w:rsidRPr="00A9681B">
        <w:rPr>
          <w:rFonts w:eastAsia="Times New Roman"/>
          <w:lang w:eastAsia="fr-FR"/>
        </w:rPr>
        <w:t>decentrali</w:t>
      </w:r>
      <w:r w:rsidR="001E2AC3" w:rsidRPr="00A9681B">
        <w:rPr>
          <w:rFonts w:eastAsia="Times New Roman"/>
          <w:lang w:eastAsia="fr-FR"/>
        </w:rPr>
        <w:t>s</w:t>
      </w:r>
      <w:r w:rsidRPr="00A9681B">
        <w:rPr>
          <w:rFonts w:eastAsia="Times New Roman"/>
          <w:lang w:eastAsia="fr-FR"/>
        </w:rPr>
        <w:t xml:space="preserve">ed </w:t>
      </w:r>
      <w:r w:rsidR="001E2AC3" w:rsidRPr="00A9681B">
        <w:rPr>
          <w:rFonts w:eastAsia="Times New Roman"/>
          <w:lang w:eastAsia="fr-FR"/>
        </w:rPr>
        <w:t xml:space="preserve">system of </w:t>
      </w:r>
      <w:r w:rsidRPr="00A9681B">
        <w:rPr>
          <w:rFonts w:eastAsia="Times New Roman"/>
          <w:lang w:eastAsia="fr-FR"/>
        </w:rPr>
        <w:t>school</w:t>
      </w:r>
      <w:r w:rsidR="001E2AC3" w:rsidRPr="00A9681B">
        <w:rPr>
          <w:rFonts w:eastAsia="Times New Roman"/>
          <w:lang w:eastAsia="fr-FR"/>
        </w:rPr>
        <w:t xml:space="preserve"> procurement </w:t>
      </w:r>
      <w:r w:rsidRPr="00A9681B">
        <w:rPr>
          <w:rFonts w:eastAsia="Times New Roman"/>
          <w:lang w:eastAsia="fr-FR"/>
        </w:rPr>
        <w:t xml:space="preserve">for an unlimited period of time did not constitute </w:t>
      </w:r>
      <w:r w:rsidR="001116DC" w:rsidRPr="00A9681B">
        <w:rPr>
          <w:rFonts w:eastAsia="Times New Roman"/>
          <w:lang w:eastAsia="fr-FR"/>
        </w:rPr>
        <w:t xml:space="preserve">a </w:t>
      </w:r>
      <w:r w:rsidR="001E2AC3" w:rsidRPr="00A9681B">
        <w:rPr>
          <w:rFonts w:eastAsia="Times New Roman"/>
          <w:lang w:eastAsia="fr-FR"/>
        </w:rPr>
        <w:t>“possession</w:t>
      </w:r>
      <w:r w:rsidRPr="00A9681B">
        <w:rPr>
          <w:rFonts w:eastAsia="Times New Roman"/>
          <w:lang w:eastAsia="fr-FR"/>
        </w:rPr>
        <w:t>”</w:t>
      </w:r>
      <w:r w:rsidR="001E2AC3" w:rsidRPr="00A9681B">
        <w:rPr>
          <w:rFonts w:eastAsia="Times New Roman"/>
          <w:lang w:eastAsia="fr-FR"/>
        </w:rPr>
        <w:t xml:space="preserve"> for the pu</w:t>
      </w:r>
      <w:r w:rsidR="00F42F46" w:rsidRPr="00A9681B">
        <w:rPr>
          <w:rFonts w:eastAsia="Times New Roman"/>
          <w:lang w:eastAsia="fr-FR"/>
        </w:rPr>
        <w:t>rposes of Article 1 of Protocol </w:t>
      </w:r>
      <w:r w:rsidR="001E2AC3" w:rsidRPr="00A9681B">
        <w:rPr>
          <w:rFonts w:eastAsia="Times New Roman"/>
          <w:lang w:eastAsia="fr-FR"/>
        </w:rPr>
        <w:t>No. 1</w:t>
      </w:r>
      <w:r w:rsidRPr="00A9681B">
        <w:rPr>
          <w:rFonts w:eastAsia="Times New Roman"/>
          <w:lang w:eastAsia="fr-FR"/>
        </w:rPr>
        <w:t>.</w:t>
      </w:r>
    </w:p>
    <w:p w:rsidR="00877698" w:rsidRPr="00A9681B" w:rsidRDefault="00877698" w:rsidP="00A9681B">
      <w:pPr>
        <w:pStyle w:val="ECHRPara"/>
        <w:rPr>
          <w:rFonts w:ascii="Times New Roman" w:eastAsia="Times New Roman" w:hAnsi="Times New Roman" w:cs="Times New Roman"/>
        </w:rPr>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30</w:t>
      </w:r>
      <w:r w:rsidRPr="00A9681B">
        <w:rPr>
          <w:rFonts w:ascii="Times New Roman" w:eastAsia="Times New Roman" w:hAnsi="Times New Roman" w:cs="Times New Roman"/>
          <w:lang w:eastAsia="fr-FR"/>
        </w:rPr>
        <w:fldChar w:fldCharType="end"/>
      </w:r>
      <w:r w:rsidRPr="00A9681B">
        <w:rPr>
          <w:rFonts w:ascii="Times New Roman" w:eastAsia="Times New Roman" w:hAnsi="Times New Roman" w:cs="Times New Roman"/>
          <w:lang w:eastAsia="fr-FR"/>
        </w:rPr>
        <w:t>.  The applicant</w:t>
      </w:r>
      <w:r w:rsidR="00BD1026" w:rsidRPr="00A9681B">
        <w:rPr>
          <w:rFonts w:ascii="Times New Roman" w:eastAsia="Times New Roman" w:hAnsi="Times New Roman" w:cs="Times New Roman"/>
          <w:lang w:eastAsia="fr-FR"/>
        </w:rPr>
        <w:t xml:space="preserve"> </w:t>
      </w:r>
      <w:r w:rsidR="00BD1026" w:rsidRPr="00A9681B">
        <w:rPr>
          <w:rFonts w:eastAsia="Times New Roman"/>
          <w:lang w:eastAsia="fr-FR"/>
        </w:rPr>
        <w:t>companies</w:t>
      </w:r>
      <w:r w:rsidRPr="00A9681B">
        <w:rPr>
          <w:rFonts w:ascii="Times New Roman" w:eastAsia="Times New Roman" w:hAnsi="Times New Roman" w:cs="Times New Roman"/>
          <w:lang w:eastAsia="fr-FR"/>
        </w:rPr>
        <w:t xml:space="preserve"> stressed that the concept o</w:t>
      </w:r>
      <w:r w:rsidR="007E4785" w:rsidRPr="00A9681B">
        <w:rPr>
          <w:rFonts w:ascii="Times New Roman" w:eastAsia="Times New Roman" w:hAnsi="Times New Roman" w:cs="Times New Roman"/>
          <w:lang w:eastAsia="fr-FR"/>
        </w:rPr>
        <w:t>f property and thus “possession</w:t>
      </w:r>
      <w:r w:rsidR="006E0762" w:rsidRPr="00A9681B">
        <w:rPr>
          <w:rFonts w:ascii="Times New Roman" w:eastAsia="Times New Roman" w:hAnsi="Times New Roman" w:cs="Times New Roman"/>
          <w:lang w:eastAsia="fr-FR"/>
        </w:rPr>
        <w:t>s</w:t>
      </w:r>
      <w:r w:rsidRPr="00A9681B">
        <w:rPr>
          <w:rFonts w:ascii="Times New Roman" w:eastAsia="Times New Roman" w:hAnsi="Times New Roman" w:cs="Times New Roman"/>
          <w:lang w:eastAsia="fr-FR"/>
        </w:rPr>
        <w:t xml:space="preserve">” under Article 1 of Protocol </w:t>
      </w:r>
      <w:r w:rsidR="00B6382E" w:rsidRPr="00A9681B">
        <w:rPr>
          <w:rFonts w:ascii="Times New Roman" w:eastAsia="Times New Roman" w:hAnsi="Times New Roman" w:cs="Times New Roman"/>
          <w:lang w:eastAsia="fr-FR"/>
        </w:rPr>
        <w:t xml:space="preserve">No. </w:t>
      </w:r>
      <w:r w:rsidRPr="00A9681B">
        <w:rPr>
          <w:rFonts w:ascii="Times New Roman" w:eastAsia="Times New Roman" w:hAnsi="Times New Roman" w:cs="Times New Roman"/>
          <w:lang w:eastAsia="fr-FR"/>
        </w:rPr>
        <w:t xml:space="preserve">1 was </w:t>
      </w:r>
      <w:r w:rsidR="001E2AC3" w:rsidRPr="00A9681B">
        <w:rPr>
          <w:rFonts w:ascii="Times New Roman" w:eastAsia="Times New Roman" w:hAnsi="Times New Roman" w:cs="Times New Roman"/>
          <w:lang w:eastAsia="fr-FR"/>
        </w:rPr>
        <w:t xml:space="preserve">to be </w:t>
      </w:r>
      <w:r w:rsidRPr="00A9681B">
        <w:rPr>
          <w:rFonts w:ascii="Times New Roman" w:eastAsia="Times New Roman" w:hAnsi="Times New Roman" w:cs="Times New Roman"/>
          <w:lang w:eastAsia="fr-FR"/>
        </w:rPr>
        <w:t>broadly interpreted. S</w:t>
      </w:r>
      <w:r w:rsidRPr="00A9681B">
        <w:rPr>
          <w:rFonts w:ascii="Times New Roman" w:eastAsia="Times New Roman" w:hAnsi="Times New Roman" w:cs="Times New Roman"/>
        </w:rPr>
        <w:t>imilarly to physical goods, certain rights and interests constitut</w:t>
      </w:r>
      <w:r w:rsidR="001E2AC3" w:rsidRPr="00A9681B">
        <w:rPr>
          <w:rFonts w:ascii="Times New Roman" w:eastAsia="Times New Roman" w:hAnsi="Times New Roman" w:cs="Times New Roman"/>
        </w:rPr>
        <w:t xml:space="preserve">ed </w:t>
      </w:r>
      <w:r w:rsidRPr="00A9681B">
        <w:rPr>
          <w:rFonts w:ascii="Times New Roman" w:eastAsia="Times New Roman" w:hAnsi="Times New Roman" w:cs="Times New Roman"/>
        </w:rPr>
        <w:t xml:space="preserve">assets </w:t>
      </w:r>
      <w:r w:rsidR="001E2AC3" w:rsidRPr="00A9681B">
        <w:rPr>
          <w:rFonts w:ascii="Times New Roman" w:eastAsia="Times New Roman" w:hAnsi="Times New Roman" w:cs="Times New Roman"/>
        </w:rPr>
        <w:t xml:space="preserve">and might </w:t>
      </w:r>
      <w:r w:rsidRPr="00A9681B">
        <w:rPr>
          <w:rFonts w:ascii="Times New Roman" w:eastAsia="Times New Roman" w:hAnsi="Times New Roman" w:cs="Times New Roman"/>
        </w:rPr>
        <w:t xml:space="preserve">also be </w:t>
      </w:r>
      <w:r w:rsidR="00B6382E" w:rsidRPr="00A9681B">
        <w:rPr>
          <w:rFonts w:ascii="Times New Roman" w:eastAsia="Times New Roman" w:hAnsi="Times New Roman" w:cs="Times New Roman"/>
        </w:rPr>
        <w:t xml:space="preserve">classified </w:t>
      </w:r>
      <w:r w:rsidRPr="00A9681B">
        <w:rPr>
          <w:rFonts w:ascii="Times New Roman" w:eastAsia="Times New Roman" w:hAnsi="Times New Roman" w:cs="Times New Roman"/>
        </w:rPr>
        <w:t xml:space="preserve">as “possessions”. </w:t>
      </w:r>
      <w:r w:rsidR="007E4785" w:rsidRPr="00A9681B">
        <w:rPr>
          <w:rFonts w:ascii="Times New Roman" w:eastAsia="Times New Roman" w:hAnsi="Times New Roman" w:cs="Times New Roman"/>
        </w:rPr>
        <w:t>The applicant</w:t>
      </w:r>
      <w:r w:rsidR="00BD1026" w:rsidRPr="00A9681B">
        <w:rPr>
          <w:rFonts w:ascii="Times New Roman" w:eastAsia="Times New Roman" w:hAnsi="Times New Roman" w:cs="Times New Roman"/>
        </w:rPr>
        <w:t xml:space="preserve"> </w:t>
      </w:r>
      <w:r w:rsidR="00BD1026" w:rsidRPr="00A9681B">
        <w:rPr>
          <w:rFonts w:eastAsia="Times New Roman"/>
          <w:lang w:eastAsia="fr-FR"/>
        </w:rPr>
        <w:t>companies</w:t>
      </w:r>
      <w:r w:rsidR="007E4785" w:rsidRPr="00A9681B">
        <w:rPr>
          <w:rFonts w:ascii="Times New Roman" w:eastAsia="Times New Roman" w:hAnsi="Times New Roman" w:cs="Times New Roman"/>
        </w:rPr>
        <w:t xml:space="preserve"> had </w:t>
      </w:r>
      <w:r w:rsidR="008A71ED" w:rsidRPr="00A9681B">
        <w:rPr>
          <w:rFonts w:ascii="Times New Roman" w:eastAsia="Times New Roman" w:hAnsi="Times New Roman" w:cs="Times New Roman"/>
        </w:rPr>
        <w:t xml:space="preserve">accumulated </w:t>
      </w:r>
      <w:r w:rsidR="007E4785" w:rsidRPr="00A9681B">
        <w:rPr>
          <w:rFonts w:ascii="Times New Roman" w:eastAsia="Times New Roman" w:hAnsi="Times New Roman" w:cs="Times New Roman"/>
        </w:rPr>
        <w:t>significant business know-how</w:t>
      </w:r>
      <w:r w:rsidR="00A86295" w:rsidRPr="00A9681B">
        <w:rPr>
          <w:rFonts w:ascii="Times New Roman" w:eastAsia="Times New Roman" w:hAnsi="Times New Roman" w:cs="Times New Roman"/>
        </w:rPr>
        <w:t xml:space="preserve"> and </w:t>
      </w:r>
      <w:r w:rsidR="003022AA" w:rsidRPr="00A9681B">
        <w:rPr>
          <w:rFonts w:ascii="Times New Roman" w:eastAsia="Times New Roman" w:hAnsi="Times New Roman" w:cs="Times New Roman"/>
        </w:rPr>
        <w:t>goodwill</w:t>
      </w:r>
      <w:r w:rsidR="00A86295" w:rsidRPr="00A9681B">
        <w:rPr>
          <w:rFonts w:ascii="Times New Roman" w:eastAsia="Times New Roman" w:hAnsi="Times New Roman" w:cs="Times New Roman"/>
        </w:rPr>
        <w:t>,</w:t>
      </w:r>
      <w:r w:rsidR="0000026A" w:rsidRPr="00A9681B">
        <w:rPr>
          <w:rFonts w:ascii="Times New Roman" w:eastAsia="Times New Roman" w:hAnsi="Times New Roman" w:cs="Times New Roman"/>
        </w:rPr>
        <w:t xml:space="preserve"> </w:t>
      </w:r>
      <w:r w:rsidR="007E4785" w:rsidRPr="00A9681B">
        <w:rPr>
          <w:rFonts w:ascii="Times New Roman" w:eastAsia="Times New Roman" w:hAnsi="Times New Roman" w:cs="Times New Roman"/>
        </w:rPr>
        <w:t xml:space="preserve">and </w:t>
      </w:r>
      <w:r w:rsidR="003022AA" w:rsidRPr="00A9681B">
        <w:rPr>
          <w:rFonts w:ascii="Times New Roman" w:eastAsia="Times New Roman" w:hAnsi="Times New Roman" w:cs="Times New Roman"/>
        </w:rPr>
        <w:t>acquired</w:t>
      </w:r>
      <w:r w:rsidR="007E4785" w:rsidRPr="00A9681B">
        <w:rPr>
          <w:rFonts w:ascii="Times New Roman" w:eastAsia="Times New Roman" w:hAnsi="Times New Roman" w:cs="Times New Roman"/>
        </w:rPr>
        <w:t xml:space="preserve"> a clientele (schools and school publishers) which fell within the ambit of “possessions”. </w:t>
      </w:r>
      <w:r w:rsidR="003022AA" w:rsidRPr="00A9681B">
        <w:rPr>
          <w:rFonts w:ascii="Times New Roman" w:eastAsia="Times New Roman" w:hAnsi="Times New Roman" w:cs="Times New Roman"/>
        </w:rPr>
        <w:t>These elements</w:t>
      </w:r>
      <w:r w:rsidR="007E4785" w:rsidRPr="00A9681B">
        <w:rPr>
          <w:rFonts w:ascii="Times New Roman" w:eastAsia="Times New Roman" w:hAnsi="Times New Roman" w:cs="Times New Roman"/>
        </w:rPr>
        <w:t xml:space="preserve"> </w:t>
      </w:r>
      <w:r w:rsidR="00B6382E" w:rsidRPr="00A9681B">
        <w:rPr>
          <w:rFonts w:ascii="Times New Roman" w:eastAsia="Times New Roman" w:hAnsi="Times New Roman" w:cs="Times New Roman"/>
        </w:rPr>
        <w:t xml:space="preserve">were only of any </w:t>
      </w:r>
      <w:r w:rsidR="0030146F" w:rsidRPr="00A9681B">
        <w:rPr>
          <w:rFonts w:ascii="Times New Roman" w:eastAsia="Times New Roman" w:hAnsi="Times New Roman" w:cs="Times New Roman"/>
        </w:rPr>
        <w:t xml:space="preserve">value </w:t>
      </w:r>
      <w:r w:rsidR="007E4785" w:rsidRPr="00A9681B">
        <w:rPr>
          <w:rFonts w:ascii="Times New Roman" w:eastAsia="Times New Roman" w:hAnsi="Times New Roman" w:cs="Times New Roman"/>
        </w:rPr>
        <w:t xml:space="preserve">in the realm of schoolbook distribution. </w:t>
      </w:r>
      <w:r w:rsidRPr="00A9681B">
        <w:rPr>
          <w:rFonts w:ascii="Times New Roman" w:eastAsia="Times New Roman" w:hAnsi="Times New Roman" w:cs="Times New Roman"/>
        </w:rPr>
        <w:t>The</w:t>
      </w:r>
      <w:r w:rsidR="007E4785" w:rsidRPr="00A9681B">
        <w:rPr>
          <w:rFonts w:ascii="Times New Roman" w:eastAsia="Times New Roman" w:hAnsi="Times New Roman" w:cs="Times New Roman"/>
        </w:rPr>
        <w:t xml:space="preserve"> applicant</w:t>
      </w:r>
      <w:r w:rsidR="00BD1026" w:rsidRPr="00A9681B">
        <w:rPr>
          <w:rFonts w:ascii="Times New Roman" w:eastAsia="Times New Roman" w:hAnsi="Times New Roman" w:cs="Times New Roman"/>
        </w:rPr>
        <w:t xml:space="preserve"> </w:t>
      </w:r>
      <w:r w:rsidR="00BD1026" w:rsidRPr="00A9681B">
        <w:rPr>
          <w:rFonts w:eastAsia="Times New Roman"/>
          <w:lang w:eastAsia="fr-FR"/>
        </w:rPr>
        <w:t>companies</w:t>
      </w:r>
      <w:r w:rsidR="007E4785" w:rsidRPr="00A9681B">
        <w:rPr>
          <w:rFonts w:ascii="Times New Roman" w:eastAsia="Times New Roman" w:hAnsi="Times New Roman" w:cs="Times New Roman"/>
        </w:rPr>
        <w:t xml:space="preserve"> argued </w:t>
      </w:r>
      <w:r w:rsidRPr="00A9681B">
        <w:rPr>
          <w:rFonts w:ascii="Times New Roman" w:eastAsia="Times New Roman" w:hAnsi="Times New Roman" w:cs="Times New Roman"/>
        </w:rPr>
        <w:t xml:space="preserve">that the State, through the New Regulations, </w:t>
      </w:r>
      <w:r w:rsidR="001E2AC3" w:rsidRPr="00A9681B">
        <w:rPr>
          <w:rFonts w:ascii="Times New Roman" w:eastAsia="Times New Roman" w:hAnsi="Times New Roman" w:cs="Times New Roman"/>
        </w:rPr>
        <w:t>had</w:t>
      </w:r>
      <w:r w:rsidRPr="00A9681B">
        <w:rPr>
          <w:rFonts w:ascii="Times New Roman" w:eastAsia="Times New Roman" w:hAnsi="Times New Roman" w:cs="Times New Roman"/>
        </w:rPr>
        <w:t xml:space="preserve"> not simply </w:t>
      </w:r>
      <w:r w:rsidR="001E2AC3" w:rsidRPr="00A9681B">
        <w:rPr>
          <w:rFonts w:ascii="Times New Roman" w:eastAsia="Times New Roman" w:hAnsi="Times New Roman" w:cs="Times New Roman"/>
        </w:rPr>
        <w:t>limited</w:t>
      </w:r>
      <w:r w:rsidRPr="00A9681B">
        <w:rPr>
          <w:rFonts w:ascii="Times New Roman" w:eastAsia="Times New Roman" w:hAnsi="Times New Roman" w:cs="Times New Roman"/>
        </w:rPr>
        <w:t xml:space="preserve"> the</w:t>
      </w:r>
      <w:r w:rsidR="007E4785" w:rsidRPr="00A9681B">
        <w:rPr>
          <w:rFonts w:ascii="Times New Roman" w:eastAsia="Times New Roman" w:hAnsi="Times New Roman" w:cs="Times New Roman"/>
        </w:rPr>
        <w:t xml:space="preserve">ir </w:t>
      </w:r>
      <w:r w:rsidR="001E2AC3" w:rsidRPr="00A9681B">
        <w:rPr>
          <w:rFonts w:ascii="Times New Roman" w:eastAsia="Times New Roman" w:hAnsi="Times New Roman" w:cs="Times New Roman"/>
        </w:rPr>
        <w:t xml:space="preserve">opportunities to continue </w:t>
      </w:r>
      <w:r w:rsidRPr="00A9681B">
        <w:rPr>
          <w:rFonts w:ascii="Times New Roman" w:eastAsia="Times New Roman" w:hAnsi="Times New Roman" w:cs="Times New Roman"/>
        </w:rPr>
        <w:t>their business</w:t>
      </w:r>
      <w:r w:rsidR="001E2AC3" w:rsidRPr="00A9681B">
        <w:rPr>
          <w:rFonts w:ascii="Times New Roman" w:eastAsia="Times New Roman" w:hAnsi="Times New Roman" w:cs="Times New Roman"/>
        </w:rPr>
        <w:t>,</w:t>
      </w:r>
      <w:r w:rsidRPr="00A9681B">
        <w:rPr>
          <w:rFonts w:ascii="Times New Roman" w:eastAsia="Times New Roman" w:hAnsi="Times New Roman" w:cs="Times New Roman"/>
        </w:rPr>
        <w:t xml:space="preserve"> but, by legislative measures, </w:t>
      </w:r>
      <w:r w:rsidR="008A71ED" w:rsidRPr="00A9681B">
        <w:rPr>
          <w:rFonts w:ascii="Times New Roman" w:eastAsia="Times New Roman" w:hAnsi="Times New Roman" w:cs="Times New Roman"/>
        </w:rPr>
        <w:t xml:space="preserve">had </w:t>
      </w:r>
      <w:r w:rsidRPr="00A9681B">
        <w:rPr>
          <w:rFonts w:ascii="Times New Roman" w:eastAsia="Times New Roman" w:hAnsi="Times New Roman" w:cs="Times New Roman"/>
        </w:rPr>
        <w:t>made it completely impossible.</w:t>
      </w:r>
    </w:p>
    <w:p w:rsidR="00877698" w:rsidRPr="00A9681B" w:rsidRDefault="00877698" w:rsidP="00A9681B">
      <w:pPr>
        <w:pStyle w:val="ECHRPara"/>
        <w:rPr>
          <w:i/>
          <w:szCs w:val="24"/>
        </w:rPr>
      </w:pPr>
      <w:r w:rsidRPr="00A9681B">
        <w:rPr>
          <w:rFonts w:ascii="Times New Roman" w:eastAsia="Times New Roman" w:hAnsi="Times New Roman" w:cs="Times New Roman"/>
        </w:rPr>
        <w:fldChar w:fldCharType="begin"/>
      </w:r>
      <w:r w:rsidRPr="00A9681B">
        <w:rPr>
          <w:rFonts w:ascii="Times New Roman" w:eastAsia="Times New Roman" w:hAnsi="Times New Roman" w:cs="Times New Roman"/>
        </w:rPr>
        <w:instrText xml:space="preserve"> SEQ level0 \*arabic </w:instrText>
      </w:r>
      <w:r w:rsidRPr="00A9681B">
        <w:rPr>
          <w:rFonts w:ascii="Times New Roman" w:eastAsia="Times New Roman" w:hAnsi="Times New Roman" w:cs="Times New Roman"/>
        </w:rPr>
        <w:fldChar w:fldCharType="separate"/>
      </w:r>
      <w:r w:rsidR="00A9681B" w:rsidRPr="00A9681B">
        <w:rPr>
          <w:rFonts w:ascii="Times New Roman" w:eastAsia="Times New Roman" w:hAnsi="Times New Roman" w:cs="Times New Roman"/>
          <w:noProof/>
        </w:rPr>
        <w:t>31</w:t>
      </w:r>
      <w:r w:rsidRPr="00A9681B">
        <w:rPr>
          <w:rFonts w:ascii="Times New Roman" w:eastAsia="Times New Roman" w:hAnsi="Times New Roman" w:cs="Times New Roman"/>
        </w:rPr>
        <w:fldChar w:fldCharType="end"/>
      </w:r>
      <w:r w:rsidRPr="00A9681B">
        <w:rPr>
          <w:rFonts w:ascii="Times New Roman" w:eastAsia="Times New Roman" w:hAnsi="Times New Roman" w:cs="Times New Roman"/>
        </w:rPr>
        <w:t>.  The Court reiterates that the concept of “possessions” in Article 1 of Protocol No. 1 has an autonomous meaning which is certainly not limited to</w:t>
      </w:r>
      <w:r w:rsidR="008A71ED" w:rsidRPr="00A9681B">
        <w:rPr>
          <w:rFonts w:ascii="Times New Roman" w:eastAsia="Times New Roman" w:hAnsi="Times New Roman" w:cs="Times New Roman"/>
        </w:rPr>
        <w:t xml:space="preserve"> the</w:t>
      </w:r>
      <w:r w:rsidRPr="00A9681B">
        <w:rPr>
          <w:rFonts w:ascii="Times New Roman" w:eastAsia="Times New Roman" w:hAnsi="Times New Roman" w:cs="Times New Roman"/>
        </w:rPr>
        <w:t xml:space="preserve"> ownership of physical goods: certain other rights and interests constituting assets can also be regarded as “property rights”, and thus “possessions” for the purposes of this provision (see </w:t>
      </w:r>
      <w:r w:rsidRPr="00A9681B">
        <w:rPr>
          <w:rFonts w:ascii="Times New Roman" w:eastAsia="Times New Roman" w:hAnsi="Times New Roman" w:cs="Times New Roman"/>
          <w:i/>
        </w:rPr>
        <w:t>Iatridis v. Greece</w:t>
      </w:r>
      <w:r w:rsidRPr="00A9681B">
        <w:rPr>
          <w:rFonts w:ascii="Times New Roman" w:eastAsia="Times New Roman" w:hAnsi="Times New Roman" w:cs="Times New Roman"/>
        </w:rPr>
        <w:t xml:space="preserve"> [GC], no.</w:t>
      </w:r>
      <w:r w:rsidR="00156158" w:rsidRPr="00A9681B">
        <w:rPr>
          <w:rFonts w:ascii="Times New Roman" w:eastAsia="Times New Roman" w:hAnsi="Times New Roman" w:cs="Times New Roman"/>
        </w:rPr>
        <w:t> </w:t>
      </w:r>
      <w:r w:rsidRPr="00A9681B">
        <w:rPr>
          <w:rFonts w:ascii="Times New Roman" w:eastAsia="Times New Roman" w:hAnsi="Times New Roman" w:cs="Times New Roman"/>
        </w:rPr>
        <w:t>31107/96, § 54, ECHR 1999</w:t>
      </w:r>
      <w:r w:rsidRPr="00A9681B">
        <w:rPr>
          <w:rFonts w:ascii="Times New Roman" w:eastAsia="Times New Roman" w:hAnsi="Times New Roman" w:cs="Times New Roman"/>
        </w:rPr>
        <w:noBreakHyphen/>
        <w:t xml:space="preserve">II). </w:t>
      </w:r>
      <w:r w:rsidR="00170076" w:rsidRPr="00A9681B">
        <w:rPr>
          <w:rFonts w:ascii="Times New Roman" w:eastAsia="Times New Roman" w:hAnsi="Times New Roman" w:cs="Times New Roman"/>
        </w:rPr>
        <w:t>R</w:t>
      </w:r>
      <w:r w:rsidRPr="00A9681B">
        <w:rPr>
          <w:rFonts w:ascii="Times New Roman" w:eastAsia="Times New Roman" w:hAnsi="Times New Roman" w:cs="Times New Roman"/>
        </w:rPr>
        <w:t xml:space="preserve">ights akin to property rights </w:t>
      </w:r>
      <w:r w:rsidR="008A71ED" w:rsidRPr="00A9681B">
        <w:rPr>
          <w:rFonts w:ascii="Times New Roman" w:eastAsia="Times New Roman" w:hAnsi="Times New Roman" w:cs="Times New Roman"/>
        </w:rPr>
        <w:t xml:space="preserve">have </w:t>
      </w:r>
      <w:r w:rsidRPr="00A9681B">
        <w:rPr>
          <w:rFonts w:ascii="Times New Roman" w:eastAsia="Times New Roman" w:hAnsi="Times New Roman" w:cs="Times New Roman"/>
        </w:rPr>
        <w:t>existed in cases where</w:t>
      </w:r>
      <w:r w:rsidR="008A71ED" w:rsidRPr="00A9681B">
        <w:rPr>
          <w:rFonts w:ascii="Times New Roman" w:eastAsia="Times New Roman" w:hAnsi="Times New Roman" w:cs="Times New Roman"/>
        </w:rPr>
        <w:t>,</w:t>
      </w:r>
      <w:r w:rsidRPr="00A9681B">
        <w:rPr>
          <w:rFonts w:ascii="Times New Roman" w:eastAsia="Times New Roman" w:hAnsi="Times New Roman" w:cs="Times New Roman"/>
        </w:rPr>
        <w:t xml:space="preserve"> by dint of their own work, the applicant</w:t>
      </w:r>
      <w:r w:rsidR="00D53195" w:rsidRPr="00A9681B">
        <w:rPr>
          <w:rFonts w:ascii="Times New Roman" w:eastAsia="Times New Roman" w:hAnsi="Times New Roman" w:cs="Times New Roman"/>
        </w:rPr>
        <w:t xml:space="preserve">s </w:t>
      </w:r>
      <w:r w:rsidRPr="00A9681B">
        <w:rPr>
          <w:rFonts w:ascii="Times New Roman" w:eastAsia="Times New Roman" w:hAnsi="Times New Roman" w:cs="Times New Roman"/>
        </w:rPr>
        <w:t xml:space="preserve">concerned had built up a clientele. </w:t>
      </w:r>
      <w:r w:rsidR="00170076" w:rsidRPr="00A9681B">
        <w:rPr>
          <w:rFonts w:ascii="Times New Roman" w:eastAsia="Times New Roman" w:hAnsi="Times New Roman" w:cs="Times New Roman"/>
        </w:rPr>
        <w:t>This</w:t>
      </w:r>
      <w:r w:rsidRPr="00A9681B">
        <w:rPr>
          <w:rFonts w:ascii="Times New Roman" w:eastAsia="Times New Roman" w:hAnsi="Times New Roman" w:cs="Times New Roman"/>
        </w:rPr>
        <w:t xml:space="preserve"> clientele had, in many respects, the nature of a private right and constituted an asset</w:t>
      </w:r>
      <w:r w:rsidR="00FD6D16" w:rsidRPr="00A9681B">
        <w:rPr>
          <w:rFonts w:ascii="Times New Roman" w:eastAsia="Times New Roman" w:hAnsi="Times New Roman" w:cs="Times New Roman"/>
        </w:rPr>
        <w:t>,</w:t>
      </w:r>
      <w:r w:rsidRPr="00A9681B">
        <w:rPr>
          <w:rFonts w:ascii="Times New Roman" w:eastAsia="Times New Roman" w:hAnsi="Times New Roman" w:cs="Times New Roman"/>
        </w:rPr>
        <w:t xml:space="preserve"> and hence a possession within the meaning of the first sentence of Article 1 (see </w:t>
      </w:r>
      <w:r w:rsidR="0023455D" w:rsidRPr="00A9681B">
        <w:rPr>
          <w:rFonts w:ascii="Times New Roman" w:eastAsia="Times New Roman" w:hAnsi="Times New Roman" w:cs="Times New Roman"/>
          <w:i/>
        </w:rPr>
        <w:t>Van </w:t>
      </w:r>
      <w:r w:rsidRPr="00A9681B">
        <w:rPr>
          <w:rFonts w:ascii="Times New Roman" w:eastAsia="Times New Roman" w:hAnsi="Times New Roman" w:cs="Times New Roman"/>
          <w:i/>
        </w:rPr>
        <w:t>Marle and Others v. the Netherlands</w:t>
      </w:r>
      <w:r w:rsidRPr="00A9681B">
        <w:rPr>
          <w:rFonts w:ascii="Times New Roman" w:eastAsia="Times New Roman" w:hAnsi="Times New Roman" w:cs="Times New Roman"/>
        </w:rPr>
        <w:t>, 26</w:t>
      </w:r>
      <w:r w:rsidR="0023455D" w:rsidRPr="00A9681B">
        <w:rPr>
          <w:rFonts w:ascii="Times New Roman" w:eastAsia="Times New Roman" w:hAnsi="Times New Roman" w:cs="Times New Roman"/>
        </w:rPr>
        <w:t xml:space="preserve"> June 1986, </w:t>
      </w:r>
      <w:r w:rsidR="004978DA" w:rsidRPr="00A9681B">
        <w:rPr>
          <w:rFonts w:ascii="Times New Roman" w:eastAsia="Times New Roman" w:hAnsi="Times New Roman" w:cs="Times New Roman"/>
        </w:rPr>
        <w:t xml:space="preserve">§ 41, </w:t>
      </w:r>
      <w:r w:rsidR="0023455D" w:rsidRPr="00A9681B">
        <w:rPr>
          <w:rFonts w:ascii="Times New Roman" w:eastAsia="Times New Roman" w:hAnsi="Times New Roman" w:cs="Times New Roman"/>
        </w:rPr>
        <w:t>Series A no. 101</w:t>
      </w:r>
      <w:r w:rsidR="001839BF" w:rsidRPr="00A9681B">
        <w:rPr>
          <w:rFonts w:ascii="Times New Roman" w:eastAsia="Times New Roman" w:hAnsi="Times New Roman" w:cs="Times New Roman"/>
        </w:rPr>
        <w:t xml:space="preserve">, and </w:t>
      </w:r>
      <w:r w:rsidRPr="00A9681B">
        <w:rPr>
          <w:rFonts w:ascii="Times New Roman" w:eastAsia="Times New Roman" w:hAnsi="Times New Roman" w:cs="Times New Roman"/>
          <w:i/>
        </w:rPr>
        <w:t>M</w:t>
      </w:r>
      <w:r w:rsidR="00F42F46" w:rsidRPr="00A9681B">
        <w:rPr>
          <w:rFonts w:ascii="Times New Roman" w:eastAsia="Times New Roman" w:hAnsi="Times New Roman" w:cs="Times New Roman"/>
          <w:i/>
        </w:rPr>
        <w:t>alik v. </w:t>
      </w:r>
      <w:r w:rsidRPr="00A9681B">
        <w:rPr>
          <w:rFonts w:ascii="Times New Roman" w:eastAsia="Times New Roman" w:hAnsi="Times New Roman" w:cs="Times New Roman"/>
          <w:i/>
        </w:rPr>
        <w:t>the United Kingdom</w:t>
      </w:r>
      <w:r w:rsidRPr="00A9681B">
        <w:rPr>
          <w:rFonts w:ascii="Times New Roman" w:eastAsia="Times New Roman" w:hAnsi="Times New Roman" w:cs="Times New Roman"/>
        </w:rPr>
        <w:t>, no. 23780/08</w:t>
      </w:r>
      <w:r w:rsidRPr="00A9681B">
        <w:rPr>
          <w:rFonts w:ascii="Times New Roman" w:eastAsia="Times New Roman" w:hAnsi="Times New Roman" w:cs="Times New Roman"/>
          <w:snapToGrid w:val="0"/>
          <w:szCs w:val="24"/>
        </w:rPr>
        <w:t>, § 89, 13 March 2012).</w:t>
      </w:r>
      <w:r w:rsidR="009F057F" w:rsidRPr="00A9681B">
        <w:t xml:space="preserve"> </w:t>
      </w:r>
      <w:r w:rsidR="004B58C3" w:rsidRPr="00A9681B">
        <w:rPr>
          <w:rFonts w:ascii="Times New Roman" w:eastAsia="Times New Roman" w:hAnsi="Times New Roman" w:cs="Times New Roman"/>
          <w:snapToGrid w:val="0"/>
          <w:szCs w:val="24"/>
        </w:rPr>
        <w:t>The applicability of Article 1 of Protocol No. 1 extends</w:t>
      </w:r>
      <w:r w:rsidR="004A324B" w:rsidRPr="00A9681B">
        <w:rPr>
          <w:rFonts w:ascii="Times New Roman" w:eastAsia="Times New Roman" w:hAnsi="Times New Roman" w:cs="Times New Roman"/>
          <w:snapToGrid w:val="0"/>
          <w:szCs w:val="24"/>
        </w:rPr>
        <w:t>,</w:t>
      </w:r>
      <w:r w:rsidR="004B58C3" w:rsidRPr="00A9681B">
        <w:rPr>
          <w:rFonts w:ascii="Times New Roman" w:eastAsia="Times New Roman" w:hAnsi="Times New Roman" w:cs="Times New Roman"/>
          <w:snapToGrid w:val="0"/>
          <w:szCs w:val="24"/>
        </w:rPr>
        <w:t xml:space="preserve"> among others</w:t>
      </w:r>
      <w:r w:rsidR="004A324B" w:rsidRPr="00A9681B">
        <w:rPr>
          <w:rFonts w:ascii="Times New Roman" w:eastAsia="Times New Roman" w:hAnsi="Times New Roman" w:cs="Times New Roman"/>
          <w:snapToGrid w:val="0"/>
          <w:szCs w:val="24"/>
        </w:rPr>
        <w:t>,</w:t>
      </w:r>
      <w:r w:rsidR="004B58C3" w:rsidRPr="00A9681B">
        <w:rPr>
          <w:rFonts w:ascii="Times New Roman" w:eastAsia="Times New Roman" w:hAnsi="Times New Roman" w:cs="Times New Roman"/>
          <w:snapToGrid w:val="0"/>
          <w:szCs w:val="24"/>
        </w:rPr>
        <w:t xml:space="preserve"> to </w:t>
      </w:r>
      <w:r w:rsidR="009F057F" w:rsidRPr="00A9681B">
        <w:rPr>
          <w:rFonts w:ascii="Times New Roman" w:eastAsia="Times New Roman" w:hAnsi="Times New Roman" w:cs="Times New Roman"/>
          <w:snapToGrid w:val="0"/>
          <w:szCs w:val="24"/>
        </w:rPr>
        <w:t>professional</w:t>
      </w:r>
      <w:r w:rsidR="004B58C3" w:rsidRPr="00A9681B">
        <w:rPr>
          <w:rFonts w:ascii="Times New Roman" w:eastAsia="Times New Roman" w:hAnsi="Times New Roman" w:cs="Times New Roman"/>
          <w:snapToGrid w:val="0"/>
          <w:szCs w:val="24"/>
        </w:rPr>
        <w:t xml:space="preserve"> practices</w:t>
      </w:r>
      <w:r w:rsidR="009F057F" w:rsidRPr="00A9681B">
        <w:rPr>
          <w:rFonts w:ascii="Times New Roman" w:eastAsia="Times New Roman" w:hAnsi="Times New Roman" w:cs="Times New Roman"/>
          <w:snapToGrid w:val="0"/>
          <w:szCs w:val="24"/>
        </w:rPr>
        <w:t>, their clientele</w:t>
      </w:r>
      <w:r w:rsidR="004B58C3" w:rsidRPr="00A9681B">
        <w:rPr>
          <w:rFonts w:ascii="Times New Roman" w:eastAsia="Times New Roman" w:hAnsi="Times New Roman" w:cs="Times New Roman"/>
          <w:snapToGrid w:val="0"/>
          <w:szCs w:val="24"/>
        </w:rPr>
        <w:t xml:space="preserve"> and their goodwill, as these are entities of a certain worth that have in many respects the nature of private rights, and thus constitute assets, being possessions within the meaning of the first sentence of this provision (see </w:t>
      </w:r>
      <w:r w:rsidR="004B58C3" w:rsidRPr="00A9681B">
        <w:rPr>
          <w:rFonts w:ascii="Times New Roman" w:eastAsia="Times New Roman" w:hAnsi="Times New Roman" w:cs="Times New Roman"/>
          <w:i/>
          <w:snapToGrid w:val="0"/>
          <w:szCs w:val="24"/>
        </w:rPr>
        <w:t>Van Marle and Others</w:t>
      </w:r>
      <w:r w:rsidR="004B58C3" w:rsidRPr="00A9681B">
        <w:rPr>
          <w:rFonts w:ascii="Times New Roman" w:eastAsia="Times New Roman" w:hAnsi="Times New Roman" w:cs="Times New Roman"/>
          <w:snapToGrid w:val="0"/>
          <w:szCs w:val="24"/>
        </w:rPr>
        <w:t xml:space="preserve">, </w:t>
      </w:r>
      <w:r w:rsidR="003B5906" w:rsidRPr="00A9681B">
        <w:rPr>
          <w:rFonts w:ascii="Times New Roman" w:eastAsia="Times New Roman" w:hAnsi="Times New Roman" w:cs="Times New Roman"/>
          <w:snapToGrid w:val="0"/>
          <w:szCs w:val="24"/>
        </w:rPr>
        <w:t>cited above,</w:t>
      </w:r>
      <w:r w:rsidR="004A1363" w:rsidRPr="00A9681B">
        <w:rPr>
          <w:rFonts w:ascii="Times New Roman" w:eastAsia="Times New Roman" w:hAnsi="Times New Roman" w:cs="Times New Roman"/>
          <w:snapToGrid w:val="0"/>
          <w:szCs w:val="24"/>
        </w:rPr>
        <w:t xml:space="preserve"> § 41;</w:t>
      </w:r>
      <w:r w:rsidR="004B58C3" w:rsidRPr="00A9681B">
        <w:rPr>
          <w:rFonts w:ascii="Times New Roman" w:eastAsia="Times New Roman" w:hAnsi="Times New Roman" w:cs="Times New Roman"/>
          <w:snapToGrid w:val="0"/>
          <w:szCs w:val="24"/>
        </w:rPr>
        <w:t xml:space="preserve"> </w:t>
      </w:r>
      <w:r w:rsidR="004B58C3" w:rsidRPr="00A9681B">
        <w:rPr>
          <w:rFonts w:ascii="Times New Roman" w:eastAsia="Times New Roman" w:hAnsi="Times New Roman" w:cs="Times New Roman"/>
          <w:i/>
          <w:snapToGrid w:val="0"/>
          <w:szCs w:val="24"/>
        </w:rPr>
        <w:t>Döring v. Germany</w:t>
      </w:r>
      <w:r w:rsidR="004B58C3" w:rsidRPr="00A9681B">
        <w:rPr>
          <w:rFonts w:ascii="Times New Roman" w:eastAsia="Times New Roman" w:hAnsi="Times New Roman" w:cs="Times New Roman"/>
          <w:snapToGrid w:val="0"/>
          <w:szCs w:val="24"/>
        </w:rPr>
        <w:t xml:space="preserve"> (dec.), no.</w:t>
      </w:r>
      <w:r w:rsidR="00124B5F" w:rsidRPr="00A9681B">
        <w:rPr>
          <w:rFonts w:ascii="Times New Roman" w:eastAsia="Times New Roman" w:hAnsi="Times New Roman" w:cs="Times New Roman"/>
          <w:snapToGrid w:val="0"/>
          <w:szCs w:val="24"/>
        </w:rPr>
        <w:t> </w:t>
      </w:r>
      <w:r w:rsidR="004B58C3" w:rsidRPr="00A9681B">
        <w:rPr>
          <w:rFonts w:ascii="Times New Roman" w:eastAsia="Times New Roman" w:hAnsi="Times New Roman" w:cs="Times New Roman"/>
          <w:snapToGrid w:val="0"/>
          <w:szCs w:val="24"/>
        </w:rPr>
        <w:t xml:space="preserve">37595/97, ECHR 1999-VIII; </w:t>
      </w:r>
      <w:r w:rsidR="004B58C3" w:rsidRPr="00A9681B">
        <w:rPr>
          <w:rFonts w:ascii="Times New Roman" w:eastAsia="Times New Roman" w:hAnsi="Times New Roman" w:cs="Times New Roman"/>
          <w:i/>
          <w:snapToGrid w:val="0"/>
          <w:szCs w:val="24"/>
        </w:rPr>
        <w:t>Wendenburg and Others v. Germany</w:t>
      </w:r>
      <w:r w:rsidR="00433572" w:rsidRPr="00A9681B">
        <w:rPr>
          <w:rFonts w:ascii="Times New Roman" w:eastAsia="Times New Roman" w:hAnsi="Times New Roman" w:cs="Times New Roman"/>
          <w:snapToGrid w:val="0"/>
          <w:szCs w:val="24"/>
        </w:rPr>
        <w:t xml:space="preserve"> (dec.), no. </w:t>
      </w:r>
      <w:r w:rsidR="004B58C3" w:rsidRPr="00A9681B">
        <w:rPr>
          <w:rFonts w:ascii="Times New Roman" w:eastAsia="Times New Roman" w:hAnsi="Times New Roman" w:cs="Times New Roman"/>
          <w:snapToGrid w:val="0"/>
          <w:szCs w:val="24"/>
        </w:rPr>
        <w:t>71630/01, ECHR 2003-II</w:t>
      </w:r>
      <w:r w:rsidR="009F057F" w:rsidRPr="00A9681B">
        <w:rPr>
          <w:rFonts w:ascii="Times New Roman" w:eastAsia="Times New Roman" w:hAnsi="Times New Roman" w:cs="Times New Roman"/>
          <w:snapToGrid w:val="0"/>
          <w:szCs w:val="24"/>
        </w:rPr>
        <w:t>;</w:t>
      </w:r>
      <w:r w:rsidR="00AF6B34" w:rsidRPr="00A9681B">
        <w:rPr>
          <w:i/>
        </w:rPr>
        <w:t xml:space="preserve"> Buzescu v. </w:t>
      </w:r>
      <w:r w:rsidR="009F057F" w:rsidRPr="00A9681B">
        <w:rPr>
          <w:i/>
        </w:rPr>
        <w:t>Romania</w:t>
      </w:r>
      <w:r w:rsidR="00433572" w:rsidRPr="00A9681B">
        <w:t>, no. 61302/00, § </w:t>
      </w:r>
      <w:r w:rsidR="009F057F" w:rsidRPr="00A9681B">
        <w:t>81, 24 May 2005;</w:t>
      </w:r>
      <w:r w:rsidR="004A1363" w:rsidRPr="00A9681B">
        <w:t xml:space="preserve"> and</w:t>
      </w:r>
      <w:r w:rsidR="009F057F" w:rsidRPr="00A9681B">
        <w:rPr>
          <w:rFonts w:ascii="Times New Roman" w:eastAsia="Times New Roman" w:hAnsi="Times New Roman" w:cs="Times New Roman"/>
          <w:snapToGrid w:val="0"/>
          <w:szCs w:val="24"/>
        </w:rPr>
        <w:t xml:space="preserve"> </w:t>
      </w:r>
      <w:r w:rsidR="009F057F" w:rsidRPr="00A9681B">
        <w:rPr>
          <w:i/>
        </w:rPr>
        <w:t>Oklešen and Pokopališko Pogrebne Storitve Leopold Oklešen S.P. v. Slovenia</w:t>
      </w:r>
      <w:r w:rsidR="009F057F" w:rsidRPr="00A9681B">
        <w:t>, no.</w:t>
      </w:r>
      <w:r w:rsidR="000B296C" w:rsidRPr="00A9681B">
        <w:t> </w:t>
      </w:r>
      <w:r w:rsidR="009F057F" w:rsidRPr="00A9681B">
        <w:t>35264/04</w:t>
      </w:r>
      <w:r w:rsidR="009F057F" w:rsidRPr="00A9681B">
        <w:rPr>
          <w:snapToGrid w:val="0"/>
          <w:szCs w:val="24"/>
        </w:rPr>
        <w:t>, § 54,</w:t>
      </w:r>
      <w:r w:rsidR="00124B5F" w:rsidRPr="00A9681B">
        <w:rPr>
          <w:snapToGrid w:val="0"/>
          <w:szCs w:val="24"/>
        </w:rPr>
        <w:t xml:space="preserve"> 30 </w:t>
      </w:r>
      <w:r w:rsidR="009F057F" w:rsidRPr="00A9681B">
        <w:rPr>
          <w:snapToGrid w:val="0"/>
          <w:szCs w:val="24"/>
        </w:rPr>
        <w:t>November 2010</w:t>
      </w:r>
      <w:r w:rsidR="003B5906" w:rsidRPr="00A9681B">
        <w:rPr>
          <w:snapToGrid w:val="0"/>
          <w:szCs w:val="24"/>
        </w:rPr>
        <w:t xml:space="preserve">; compare and contrast </w:t>
      </w:r>
      <w:r w:rsidR="00EA2A74" w:rsidRPr="00A9681B">
        <w:rPr>
          <w:i/>
          <w:snapToGrid w:val="0"/>
          <w:szCs w:val="24"/>
        </w:rPr>
        <w:t>Tipp 24 AG v</w:t>
      </w:r>
      <w:r w:rsidR="00124B5F" w:rsidRPr="00A9681B">
        <w:rPr>
          <w:i/>
          <w:snapToGrid w:val="0"/>
          <w:szCs w:val="24"/>
        </w:rPr>
        <w:t>.</w:t>
      </w:r>
      <w:r w:rsidR="0043347A" w:rsidRPr="00A9681B">
        <w:rPr>
          <w:i/>
          <w:snapToGrid w:val="0"/>
          <w:szCs w:val="24"/>
        </w:rPr>
        <w:t> </w:t>
      </w:r>
      <w:r w:rsidR="00EA2A74" w:rsidRPr="00A9681B">
        <w:rPr>
          <w:i/>
          <w:snapToGrid w:val="0"/>
          <w:szCs w:val="24"/>
        </w:rPr>
        <w:t>Germany</w:t>
      </w:r>
      <w:r w:rsidR="00124B5F" w:rsidRPr="00A9681B">
        <w:rPr>
          <w:i/>
          <w:snapToGrid w:val="0"/>
          <w:szCs w:val="24"/>
        </w:rPr>
        <w:t xml:space="preserve"> </w:t>
      </w:r>
      <w:r w:rsidR="00124B5F" w:rsidRPr="00A9681B">
        <w:rPr>
          <w:snapToGrid w:val="0"/>
          <w:szCs w:val="24"/>
        </w:rPr>
        <w:t>(dec.), n</w:t>
      </w:r>
      <w:r w:rsidR="007F5700" w:rsidRPr="00A9681B">
        <w:rPr>
          <w:snapToGrid w:val="0"/>
          <w:szCs w:val="24"/>
        </w:rPr>
        <w:t>o.</w:t>
      </w:r>
      <w:r w:rsidR="00433572" w:rsidRPr="00A9681B">
        <w:rPr>
          <w:snapToGrid w:val="0"/>
          <w:szCs w:val="24"/>
        </w:rPr>
        <w:t xml:space="preserve"> 21252/09, § 26, 27 </w:t>
      </w:r>
      <w:r w:rsidR="00124B5F" w:rsidRPr="00A9681B">
        <w:rPr>
          <w:snapToGrid w:val="0"/>
          <w:szCs w:val="24"/>
        </w:rPr>
        <w:t>November 2012</w:t>
      </w:r>
      <w:r w:rsidR="004B58C3" w:rsidRPr="00A9681B">
        <w:rPr>
          <w:rFonts w:ascii="Times New Roman" w:eastAsia="Times New Roman" w:hAnsi="Times New Roman" w:cs="Times New Roman"/>
          <w:snapToGrid w:val="0"/>
          <w:szCs w:val="24"/>
        </w:rPr>
        <w:t xml:space="preserve">). </w:t>
      </w:r>
      <w:r w:rsidRPr="00A9681B">
        <w:rPr>
          <w:rFonts w:ascii="Times New Roman" w:eastAsia="Times New Roman" w:hAnsi="Times New Roman" w:cs="Times New Roman"/>
          <w:snapToGrid w:val="0"/>
          <w:szCs w:val="24"/>
        </w:rPr>
        <w:t xml:space="preserve">The Court </w:t>
      </w:r>
      <w:r w:rsidR="00B6382E" w:rsidRPr="00A9681B">
        <w:rPr>
          <w:rFonts w:ascii="Times New Roman" w:eastAsia="Times New Roman" w:hAnsi="Times New Roman" w:cs="Times New Roman"/>
          <w:snapToGrid w:val="0"/>
          <w:szCs w:val="24"/>
        </w:rPr>
        <w:t xml:space="preserve">has </w:t>
      </w:r>
      <w:r w:rsidRPr="00A9681B">
        <w:rPr>
          <w:rFonts w:ascii="Times New Roman" w:eastAsia="Times New Roman" w:hAnsi="Times New Roman" w:cs="Times New Roman"/>
          <w:snapToGrid w:val="0"/>
          <w:szCs w:val="24"/>
        </w:rPr>
        <w:t>held</w:t>
      </w:r>
      <w:r w:rsidR="008A71ED" w:rsidRPr="00A9681B">
        <w:rPr>
          <w:rFonts w:ascii="Times New Roman" w:eastAsia="Times New Roman" w:hAnsi="Times New Roman" w:cs="Times New Roman"/>
          <w:snapToGrid w:val="0"/>
          <w:szCs w:val="24"/>
        </w:rPr>
        <w:t>,</w:t>
      </w:r>
      <w:r w:rsidRPr="00A9681B">
        <w:rPr>
          <w:rFonts w:ascii="Times New Roman" w:eastAsia="Times New Roman" w:hAnsi="Times New Roman" w:cs="Times New Roman"/>
          <w:snapToGrid w:val="0"/>
          <w:szCs w:val="24"/>
        </w:rPr>
        <w:t xml:space="preserve"> </w:t>
      </w:r>
      <w:r w:rsidR="00170076" w:rsidRPr="00A9681B">
        <w:rPr>
          <w:rFonts w:ascii="Times New Roman" w:eastAsia="Times New Roman" w:hAnsi="Times New Roman" w:cs="Times New Roman"/>
          <w:snapToGrid w:val="0"/>
          <w:szCs w:val="24"/>
        </w:rPr>
        <w:t>for example</w:t>
      </w:r>
      <w:r w:rsidR="008A71ED" w:rsidRPr="00A9681B">
        <w:rPr>
          <w:rFonts w:ascii="Times New Roman" w:eastAsia="Times New Roman" w:hAnsi="Times New Roman" w:cs="Times New Roman"/>
          <w:snapToGrid w:val="0"/>
          <w:szCs w:val="24"/>
        </w:rPr>
        <w:t>,</w:t>
      </w:r>
      <w:r w:rsidR="00170076" w:rsidRPr="00A9681B">
        <w:rPr>
          <w:rFonts w:ascii="Times New Roman" w:eastAsia="Times New Roman" w:hAnsi="Times New Roman" w:cs="Times New Roman"/>
          <w:snapToGrid w:val="0"/>
          <w:szCs w:val="24"/>
        </w:rPr>
        <w:t xml:space="preserve"> </w:t>
      </w:r>
      <w:r w:rsidRPr="00A9681B">
        <w:rPr>
          <w:rFonts w:ascii="Times New Roman" w:eastAsia="Times New Roman" w:hAnsi="Times New Roman" w:cs="Times New Roman"/>
          <w:snapToGrid w:val="0"/>
          <w:szCs w:val="24"/>
        </w:rPr>
        <w:t xml:space="preserve">that operating a cinema for eleven years without the interference of the authorities </w:t>
      </w:r>
      <w:r w:rsidR="008A71ED" w:rsidRPr="00A9681B">
        <w:rPr>
          <w:rFonts w:ascii="Times New Roman" w:eastAsia="Times New Roman" w:hAnsi="Times New Roman" w:cs="Times New Roman"/>
          <w:snapToGrid w:val="0"/>
          <w:szCs w:val="24"/>
        </w:rPr>
        <w:t xml:space="preserve">had </w:t>
      </w:r>
      <w:r w:rsidRPr="00A9681B">
        <w:rPr>
          <w:rFonts w:ascii="Times New Roman" w:eastAsia="Times New Roman" w:hAnsi="Times New Roman" w:cs="Times New Roman"/>
          <w:snapToGrid w:val="0"/>
          <w:szCs w:val="24"/>
        </w:rPr>
        <w:t xml:space="preserve">resulted in </w:t>
      </w:r>
      <w:r w:rsidR="008A71ED" w:rsidRPr="00A9681B">
        <w:rPr>
          <w:rFonts w:ascii="Times New Roman" w:eastAsia="Times New Roman" w:hAnsi="Times New Roman" w:cs="Times New Roman"/>
          <w:snapToGrid w:val="0"/>
          <w:szCs w:val="24"/>
        </w:rPr>
        <w:t xml:space="preserve">the creation of </w:t>
      </w:r>
      <w:r w:rsidRPr="00A9681B">
        <w:rPr>
          <w:rFonts w:ascii="Times New Roman" w:eastAsia="Times New Roman" w:hAnsi="Times New Roman" w:cs="Times New Roman"/>
          <w:snapToGrid w:val="0"/>
          <w:szCs w:val="24"/>
        </w:rPr>
        <w:t xml:space="preserve">a clientele </w:t>
      </w:r>
      <w:r w:rsidR="007E4785" w:rsidRPr="00A9681B">
        <w:rPr>
          <w:rFonts w:ascii="Times New Roman" w:eastAsia="Times New Roman" w:hAnsi="Times New Roman" w:cs="Times New Roman"/>
          <w:snapToGrid w:val="0"/>
          <w:szCs w:val="24"/>
        </w:rPr>
        <w:t>which</w:t>
      </w:r>
      <w:r w:rsidRPr="00A9681B">
        <w:rPr>
          <w:rFonts w:ascii="Times New Roman" w:eastAsia="Times New Roman" w:hAnsi="Times New Roman" w:cs="Times New Roman"/>
          <w:snapToGrid w:val="0"/>
          <w:szCs w:val="24"/>
        </w:rPr>
        <w:t xml:space="preserve"> constituted an asset</w:t>
      </w:r>
      <w:r w:rsidR="004978DA" w:rsidRPr="00A9681B">
        <w:rPr>
          <w:rFonts w:ascii="Times New Roman" w:eastAsia="Times New Roman" w:hAnsi="Times New Roman" w:cs="Times New Roman"/>
          <w:snapToGrid w:val="0"/>
          <w:szCs w:val="24"/>
        </w:rPr>
        <w:t xml:space="preserve"> (see </w:t>
      </w:r>
      <w:r w:rsidR="004978DA" w:rsidRPr="00A9681B">
        <w:rPr>
          <w:rFonts w:ascii="Times New Roman" w:eastAsia="Times New Roman" w:hAnsi="Times New Roman" w:cs="Times New Roman"/>
          <w:i/>
          <w:snapToGrid w:val="0"/>
          <w:szCs w:val="24"/>
        </w:rPr>
        <w:t>Iatridis</w:t>
      </w:r>
      <w:r w:rsidR="004978DA" w:rsidRPr="00A9681B">
        <w:rPr>
          <w:rFonts w:ascii="Times New Roman" w:eastAsia="Times New Roman" w:hAnsi="Times New Roman" w:cs="Times New Roman"/>
          <w:snapToGrid w:val="0"/>
          <w:szCs w:val="24"/>
        </w:rPr>
        <w:t>,</w:t>
      </w:r>
      <w:r w:rsidR="004978DA" w:rsidRPr="00A9681B">
        <w:rPr>
          <w:rFonts w:ascii="Times New Roman" w:eastAsia="Times New Roman" w:hAnsi="Times New Roman" w:cs="Times New Roman"/>
          <w:i/>
          <w:snapToGrid w:val="0"/>
          <w:szCs w:val="24"/>
        </w:rPr>
        <w:t xml:space="preserve"> </w:t>
      </w:r>
      <w:r w:rsidR="004978DA" w:rsidRPr="00A9681B">
        <w:rPr>
          <w:rFonts w:ascii="Times New Roman" w:eastAsia="Times New Roman" w:hAnsi="Times New Roman" w:cs="Times New Roman"/>
          <w:snapToGrid w:val="0"/>
          <w:szCs w:val="24"/>
        </w:rPr>
        <w:t>cited above, § 54)</w:t>
      </w:r>
      <w:r w:rsidRPr="00A9681B">
        <w:rPr>
          <w:rFonts w:ascii="Times New Roman" w:eastAsia="Times New Roman" w:hAnsi="Times New Roman" w:cs="Times New Roman"/>
          <w:snapToGrid w:val="0"/>
          <w:szCs w:val="24"/>
        </w:rPr>
        <w:t>.</w:t>
      </w:r>
      <w:r w:rsidR="00AB3745" w:rsidRPr="00A9681B">
        <w:rPr>
          <w:rFonts w:ascii="Times New Roman" w:eastAsia="Times New Roman" w:hAnsi="Times New Roman" w:cs="Times New Roman"/>
          <w:snapToGrid w:val="0"/>
          <w:szCs w:val="24"/>
        </w:rPr>
        <w:t xml:space="preserve"> </w:t>
      </w:r>
      <w:r w:rsidR="009F057F" w:rsidRPr="00A9681B">
        <w:rPr>
          <w:rFonts w:ascii="Times New Roman" w:eastAsia="Times New Roman" w:hAnsi="Times New Roman" w:cs="Times New Roman"/>
          <w:snapToGrid w:val="0"/>
          <w:szCs w:val="24"/>
        </w:rPr>
        <w:t>The Court</w:t>
      </w:r>
      <w:r w:rsidR="00B6382E" w:rsidRPr="00A9681B">
        <w:rPr>
          <w:rFonts w:ascii="Times New Roman" w:eastAsia="Times New Roman" w:hAnsi="Times New Roman" w:cs="Times New Roman"/>
          <w:snapToGrid w:val="0"/>
          <w:szCs w:val="24"/>
        </w:rPr>
        <w:t xml:space="preserve"> has</w:t>
      </w:r>
      <w:r w:rsidR="009F057F" w:rsidRPr="00A9681B">
        <w:rPr>
          <w:rFonts w:ascii="Times New Roman" w:eastAsia="Times New Roman" w:hAnsi="Times New Roman" w:cs="Times New Roman"/>
          <w:snapToGrid w:val="0"/>
          <w:szCs w:val="24"/>
        </w:rPr>
        <w:t xml:space="preserve"> </w:t>
      </w:r>
      <w:r w:rsidR="009F057F" w:rsidRPr="00A9681B">
        <w:rPr>
          <w:rFonts w:ascii="Times New Roman" w:eastAsia="Times New Roman" w:hAnsi="Times New Roman" w:cs="Times New Roman"/>
          <w:snapToGrid w:val="0"/>
          <w:szCs w:val="24"/>
        </w:rPr>
        <w:lastRenderedPageBreak/>
        <w:t>als</w:t>
      </w:r>
      <w:r w:rsidR="007F5700" w:rsidRPr="00A9681B">
        <w:rPr>
          <w:rFonts w:ascii="Times New Roman" w:eastAsia="Times New Roman" w:hAnsi="Times New Roman" w:cs="Times New Roman"/>
          <w:snapToGrid w:val="0"/>
          <w:szCs w:val="24"/>
        </w:rPr>
        <w:t xml:space="preserve">o held that an applicant could </w:t>
      </w:r>
      <w:r w:rsidR="009F057F" w:rsidRPr="00A9681B">
        <w:rPr>
          <w:rFonts w:ascii="Times New Roman" w:eastAsia="Times New Roman" w:hAnsi="Times New Roman" w:cs="Times New Roman"/>
          <w:snapToGrid w:val="0"/>
          <w:szCs w:val="24"/>
        </w:rPr>
        <w:t xml:space="preserve">be said to have an existing possession in respect of providing funeral services during </w:t>
      </w:r>
      <w:r w:rsidR="003B5906" w:rsidRPr="00A9681B">
        <w:rPr>
          <w:rFonts w:ascii="Times New Roman" w:eastAsia="Times New Roman" w:hAnsi="Times New Roman" w:cs="Times New Roman"/>
          <w:snapToGrid w:val="0"/>
          <w:szCs w:val="24"/>
        </w:rPr>
        <w:t>a</w:t>
      </w:r>
      <w:r w:rsidR="009F057F" w:rsidRPr="00A9681B">
        <w:rPr>
          <w:rFonts w:ascii="Times New Roman" w:eastAsia="Times New Roman" w:hAnsi="Times New Roman" w:cs="Times New Roman"/>
          <w:snapToGrid w:val="0"/>
          <w:szCs w:val="24"/>
        </w:rPr>
        <w:t xml:space="preserve"> period of legal vacuum</w:t>
      </w:r>
      <w:r w:rsidR="003B5906" w:rsidRPr="00A9681B">
        <w:rPr>
          <w:rFonts w:ascii="Times New Roman" w:eastAsia="Times New Roman" w:hAnsi="Times New Roman" w:cs="Times New Roman"/>
          <w:snapToGrid w:val="0"/>
          <w:szCs w:val="24"/>
        </w:rPr>
        <w:t xml:space="preserve"> (see </w:t>
      </w:r>
      <w:r w:rsidR="00433572" w:rsidRPr="00A9681B">
        <w:rPr>
          <w:i/>
        </w:rPr>
        <w:t>Oklešen and Pokopališko Pogrebne Storitve Leopold Oklešen S.P.</w:t>
      </w:r>
      <w:r w:rsidR="003B5906" w:rsidRPr="00A9681B">
        <w:rPr>
          <w:rFonts w:ascii="Times New Roman" w:eastAsia="Times New Roman" w:hAnsi="Times New Roman" w:cs="Times New Roman"/>
          <w:snapToGrid w:val="0"/>
          <w:szCs w:val="24"/>
        </w:rPr>
        <w:t>, cited above,</w:t>
      </w:r>
      <w:r w:rsidR="00A31937" w:rsidRPr="00A9681B">
        <w:rPr>
          <w:rFonts w:ascii="Times New Roman" w:eastAsia="Times New Roman" w:hAnsi="Times New Roman" w:cs="Times New Roman"/>
          <w:snapToGrid w:val="0"/>
          <w:szCs w:val="24"/>
        </w:rPr>
        <w:t xml:space="preserve"> § </w:t>
      </w:r>
      <w:r w:rsidR="003B5906" w:rsidRPr="00A9681B">
        <w:rPr>
          <w:rFonts w:ascii="Times New Roman" w:eastAsia="Times New Roman" w:hAnsi="Times New Roman" w:cs="Times New Roman"/>
          <w:snapToGrid w:val="0"/>
          <w:szCs w:val="24"/>
        </w:rPr>
        <w:t>58)</w:t>
      </w:r>
      <w:r w:rsidR="009F057F" w:rsidRPr="00A9681B">
        <w:rPr>
          <w:rFonts w:ascii="Times New Roman" w:eastAsia="Times New Roman" w:hAnsi="Times New Roman" w:cs="Times New Roman"/>
          <w:snapToGrid w:val="0"/>
          <w:szCs w:val="24"/>
        </w:rPr>
        <w:t>.</w:t>
      </w:r>
    </w:p>
    <w:bookmarkStart w:id="5" w:name="T2"/>
    <w:bookmarkStart w:id="6" w:name="T1"/>
    <w:p w:rsidR="00766713" w:rsidRPr="00A9681B" w:rsidRDefault="00A86295" w:rsidP="00A9681B">
      <w:pPr>
        <w:pStyle w:val="ECHRPara"/>
        <w:rPr>
          <w:rFonts w:ascii="Times New Roman" w:eastAsia="Times New Roman" w:hAnsi="Times New Roman" w:cs="Times New Roman"/>
        </w:rPr>
      </w:pPr>
      <w:r w:rsidRPr="00A9681B">
        <w:rPr>
          <w:rFonts w:ascii="Times New Roman" w:eastAsia="Times New Roman" w:hAnsi="Times New Roman" w:cs="Times New Roman"/>
          <w:snapToGrid w:val="0"/>
          <w:szCs w:val="24"/>
        </w:rPr>
        <w:fldChar w:fldCharType="begin"/>
      </w:r>
      <w:r w:rsidRPr="00A9681B">
        <w:rPr>
          <w:rFonts w:ascii="Times New Roman" w:eastAsia="Times New Roman" w:hAnsi="Times New Roman" w:cs="Times New Roman"/>
          <w:snapToGrid w:val="0"/>
          <w:szCs w:val="24"/>
        </w:rPr>
        <w:instrText xml:space="preserve"> SEQ level0 \*arabic </w:instrText>
      </w:r>
      <w:r w:rsidRPr="00A9681B">
        <w:rPr>
          <w:rFonts w:ascii="Times New Roman" w:eastAsia="Times New Roman" w:hAnsi="Times New Roman" w:cs="Times New Roman"/>
          <w:snapToGrid w:val="0"/>
          <w:szCs w:val="24"/>
        </w:rPr>
        <w:fldChar w:fldCharType="separate"/>
      </w:r>
      <w:r w:rsidR="00A9681B" w:rsidRPr="00A9681B">
        <w:rPr>
          <w:rFonts w:ascii="Times New Roman" w:eastAsia="Times New Roman" w:hAnsi="Times New Roman" w:cs="Times New Roman"/>
          <w:noProof/>
          <w:snapToGrid w:val="0"/>
          <w:szCs w:val="24"/>
        </w:rPr>
        <w:t>32</w:t>
      </w:r>
      <w:r w:rsidRPr="00A9681B">
        <w:rPr>
          <w:rFonts w:ascii="Times New Roman" w:eastAsia="Times New Roman" w:hAnsi="Times New Roman" w:cs="Times New Roman"/>
          <w:snapToGrid w:val="0"/>
          <w:szCs w:val="24"/>
        </w:rPr>
        <w:fldChar w:fldCharType="end"/>
      </w:r>
      <w:bookmarkEnd w:id="5"/>
      <w:r w:rsidRPr="00A9681B">
        <w:rPr>
          <w:rFonts w:ascii="Times New Roman" w:eastAsia="Times New Roman" w:hAnsi="Times New Roman" w:cs="Times New Roman"/>
          <w:snapToGrid w:val="0"/>
          <w:szCs w:val="24"/>
        </w:rPr>
        <w:t>.  </w:t>
      </w:r>
      <w:r w:rsidR="00877698" w:rsidRPr="00A9681B">
        <w:rPr>
          <w:rFonts w:ascii="Times New Roman" w:eastAsia="Times New Roman" w:hAnsi="Times New Roman" w:cs="Times New Roman"/>
          <w:snapToGrid w:val="0"/>
          <w:szCs w:val="24"/>
        </w:rPr>
        <w:t>In the present case</w:t>
      </w:r>
      <w:r w:rsidR="000B296C" w:rsidRPr="00A9681B">
        <w:rPr>
          <w:rFonts w:ascii="Times New Roman" w:eastAsia="Times New Roman" w:hAnsi="Times New Roman" w:cs="Times New Roman"/>
          <w:snapToGrid w:val="0"/>
          <w:szCs w:val="24"/>
        </w:rPr>
        <w:t xml:space="preserve"> the Court observes that</w:t>
      </w:r>
      <w:r w:rsidR="00877698" w:rsidRPr="00A9681B">
        <w:rPr>
          <w:rFonts w:ascii="Times New Roman" w:eastAsia="Times New Roman" w:hAnsi="Times New Roman" w:cs="Times New Roman"/>
          <w:snapToGrid w:val="0"/>
          <w:szCs w:val="24"/>
        </w:rPr>
        <w:t xml:space="preserve"> the applicant</w:t>
      </w:r>
      <w:r w:rsidR="00BD1026" w:rsidRPr="00A9681B">
        <w:rPr>
          <w:rFonts w:ascii="Times New Roman" w:eastAsia="Times New Roman" w:hAnsi="Times New Roman" w:cs="Times New Roman"/>
          <w:snapToGrid w:val="0"/>
          <w:szCs w:val="24"/>
        </w:rPr>
        <w:t xml:space="preserve"> </w:t>
      </w:r>
      <w:r w:rsidR="00BD1026" w:rsidRPr="00A9681B">
        <w:rPr>
          <w:rFonts w:eastAsia="Times New Roman"/>
          <w:lang w:eastAsia="fr-FR"/>
        </w:rPr>
        <w:t>companies</w:t>
      </w:r>
      <w:r w:rsidR="00877698" w:rsidRPr="00A9681B">
        <w:rPr>
          <w:rFonts w:ascii="Times New Roman" w:eastAsia="Times New Roman" w:hAnsi="Times New Roman" w:cs="Times New Roman"/>
          <w:snapToGrid w:val="0"/>
          <w:szCs w:val="24"/>
        </w:rPr>
        <w:t xml:space="preserve">, </w:t>
      </w:r>
      <w:r w:rsidR="001D66AB" w:rsidRPr="00A9681B">
        <w:rPr>
          <w:rFonts w:ascii="Times New Roman" w:eastAsia="Times New Roman" w:hAnsi="Times New Roman" w:cs="Times New Roman"/>
          <w:snapToGrid w:val="0"/>
          <w:szCs w:val="24"/>
        </w:rPr>
        <w:t>wh</w:t>
      </w:r>
      <w:r w:rsidR="00B6382E" w:rsidRPr="00A9681B">
        <w:rPr>
          <w:rFonts w:ascii="Times New Roman" w:eastAsia="Times New Roman" w:hAnsi="Times New Roman" w:cs="Times New Roman"/>
          <w:snapToGrid w:val="0"/>
          <w:szCs w:val="24"/>
        </w:rPr>
        <w:t>ich</w:t>
      </w:r>
      <w:r w:rsidR="001D66AB" w:rsidRPr="00A9681B">
        <w:rPr>
          <w:rFonts w:ascii="Times New Roman" w:eastAsia="Times New Roman" w:hAnsi="Times New Roman" w:cs="Times New Roman"/>
          <w:snapToGrid w:val="0"/>
          <w:szCs w:val="24"/>
        </w:rPr>
        <w:t xml:space="preserve"> had been </w:t>
      </w:r>
      <w:r w:rsidR="007E4785" w:rsidRPr="00A9681B">
        <w:rPr>
          <w:rFonts w:ascii="Times New Roman" w:eastAsia="Times New Roman" w:hAnsi="Times New Roman" w:cs="Times New Roman"/>
          <w:snapToGrid w:val="0"/>
          <w:szCs w:val="24"/>
        </w:rPr>
        <w:t>in the</w:t>
      </w:r>
      <w:r w:rsidR="00877698" w:rsidRPr="00A9681B">
        <w:rPr>
          <w:rFonts w:ascii="Times New Roman" w:eastAsia="Times New Roman" w:hAnsi="Times New Roman" w:cs="Times New Roman"/>
          <w:snapToGrid w:val="0"/>
          <w:szCs w:val="24"/>
        </w:rPr>
        <w:t xml:space="preserve"> schoolbook distribut</w:t>
      </w:r>
      <w:r w:rsidR="001D66AB" w:rsidRPr="00A9681B">
        <w:rPr>
          <w:rFonts w:ascii="Times New Roman" w:eastAsia="Times New Roman" w:hAnsi="Times New Roman" w:cs="Times New Roman"/>
          <w:snapToGrid w:val="0"/>
          <w:szCs w:val="24"/>
        </w:rPr>
        <w:t>ion</w:t>
      </w:r>
      <w:r w:rsidR="00877698" w:rsidRPr="00A9681B">
        <w:rPr>
          <w:rFonts w:ascii="Times New Roman" w:eastAsia="Times New Roman" w:hAnsi="Times New Roman" w:cs="Times New Roman"/>
          <w:snapToGrid w:val="0"/>
          <w:szCs w:val="24"/>
        </w:rPr>
        <w:t xml:space="preserve"> business</w:t>
      </w:r>
      <w:r w:rsidR="00AB3745" w:rsidRPr="00A9681B">
        <w:rPr>
          <w:rFonts w:ascii="Times New Roman" w:eastAsia="Times New Roman" w:hAnsi="Times New Roman" w:cs="Times New Roman"/>
          <w:snapToGrid w:val="0"/>
          <w:szCs w:val="24"/>
        </w:rPr>
        <w:t xml:space="preserve"> for years</w:t>
      </w:r>
      <w:r w:rsidR="00877698" w:rsidRPr="00A9681B">
        <w:rPr>
          <w:rFonts w:ascii="Times New Roman" w:eastAsia="Times New Roman" w:hAnsi="Times New Roman" w:cs="Times New Roman"/>
          <w:snapToGrid w:val="0"/>
          <w:szCs w:val="24"/>
        </w:rPr>
        <w:t>, had bu</w:t>
      </w:r>
      <w:r w:rsidR="007E4785" w:rsidRPr="00A9681B">
        <w:rPr>
          <w:rFonts w:ascii="Times New Roman" w:eastAsia="Times New Roman" w:hAnsi="Times New Roman" w:cs="Times New Roman"/>
          <w:snapToGrid w:val="0"/>
          <w:szCs w:val="24"/>
        </w:rPr>
        <w:t>ilt up close relations with th</w:t>
      </w:r>
      <w:r w:rsidR="00877698" w:rsidRPr="00A9681B">
        <w:rPr>
          <w:rFonts w:ascii="Times New Roman" w:eastAsia="Times New Roman" w:hAnsi="Times New Roman" w:cs="Times New Roman"/>
          <w:snapToGrid w:val="0"/>
          <w:szCs w:val="24"/>
        </w:rPr>
        <w:t xml:space="preserve">e schools located in their </w:t>
      </w:r>
      <w:r w:rsidR="00170076" w:rsidRPr="00A9681B">
        <w:rPr>
          <w:rFonts w:ascii="Times New Roman" w:eastAsia="Times New Roman" w:hAnsi="Times New Roman" w:cs="Times New Roman"/>
          <w:snapToGrid w:val="0"/>
          <w:szCs w:val="24"/>
        </w:rPr>
        <w:t>vicinity</w:t>
      </w:r>
      <w:r w:rsidR="00877698" w:rsidRPr="00A9681B">
        <w:rPr>
          <w:rFonts w:ascii="Times New Roman" w:eastAsia="Times New Roman" w:hAnsi="Times New Roman" w:cs="Times New Roman"/>
          <w:snapToGrid w:val="0"/>
          <w:szCs w:val="24"/>
        </w:rPr>
        <w:t xml:space="preserve">. The </w:t>
      </w:r>
      <w:r w:rsidR="00170076" w:rsidRPr="00A9681B">
        <w:rPr>
          <w:rFonts w:ascii="Times New Roman" w:eastAsia="Times New Roman" w:hAnsi="Times New Roman" w:cs="Times New Roman"/>
          <w:snapToGrid w:val="0"/>
          <w:szCs w:val="24"/>
        </w:rPr>
        <w:t>volume</w:t>
      </w:r>
      <w:r w:rsidR="00877698" w:rsidRPr="00A9681B">
        <w:rPr>
          <w:rFonts w:ascii="Times New Roman" w:eastAsia="Times New Roman" w:hAnsi="Times New Roman" w:cs="Times New Roman"/>
          <w:snapToGrid w:val="0"/>
          <w:szCs w:val="24"/>
        </w:rPr>
        <w:t xml:space="preserve"> of clients in </w:t>
      </w:r>
      <w:r w:rsidR="00170076" w:rsidRPr="00A9681B">
        <w:rPr>
          <w:rFonts w:ascii="Times New Roman" w:eastAsia="Times New Roman" w:hAnsi="Times New Roman" w:cs="Times New Roman"/>
          <w:snapToGrid w:val="0"/>
          <w:szCs w:val="24"/>
        </w:rPr>
        <w:t>this</w:t>
      </w:r>
      <w:r w:rsidR="00877698" w:rsidRPr="00A9681B">
        <w:rPr>
          <w:rFonts w:ascii="Times New Roman" w:eastAsia="Times New Roman" w:hAnsi="Times New Roman" w:cs="Times New Roman"/>
          <w:snapToGrid w:val="0"/>
          <w:szCs w:val="24"/>
        </w:rPr>
        <w:t xml:space="preserve"> </w:t>
      </w:r>
      <w:r w:rsidR="00BC18D5" w:rsidRPr="00A9681B">
        <w:rPr>
          <w:rFonts w:ascii="Times New Roman" w:eastAsia="Times New Roman" w:hAnsi="Times New Roman" w:cs="Times New Roman"/>
          <w:snapToGrid w:val="0"/>
          <w:szCs w:val="24"/>
        </w:rPr>
        <w:t>business</w:t>
      </w:r>
      <w:r w:rsidR="00877698" w:rsidRPr="00A9681B">
        <w:rPr>
          <w:rFonts w:ascii="Times New Roman" w:eastAsia="Times New Roman" w:hAnsi="Times New Roman" w:cs="Times New Roman"/>
          <w:snapToGrid w:val="0"/>
          <w:szCs w:val="24"/>
        </w:rPr>
        <w:t xml:space="preserve"> is</w:t>
      </w:r>
      <w:r w:rsidR="000B296C" w:rsidRPr="00A9681B">
        <w:rPr>
          <w:rFonts w:ascii="Times New Roman" w:eastAsia="Times New Roman" w:hAnsi="Times New Roman" w:cs="Times New Roman"/>
          <w:snapToGrid w:val="0"/>
          <w:szCs w:val="24"/>
        </w:rPr>
        <w:t xml:space="preserve"> </w:t>
      </w:r>
      <w:r w:rsidR="00877698" w:rsidRPr="00A9681B">
        <w:rPr>
          <w:rFonts w:ascii="Times New Roman" w:eastAsia="Times New Roman" w:hAnsi="Times New Roman" w:cs="Times New Roman"/>
          <w:snapToGrid w:val="0"/>
          <w:szCs w:val="24"/>
        </w:rPr>
        <w:t>limited</w:t>
      </w:r>
      <w:r w:rsidR="001D66AB" w:rsidRPr="00A9681B">
        <w:rPr>
          <w:rFonts w:ascii="Times New Roman" w:eastAsia="Times New Roman" w:hAnsi="Times New Roman" w:cs="Times New Roman"/>
          <w:snapToGrid w:val="0"/>
          <w:szCs w:val="24"/>
        </w:rPr>
        <w:t>,</w:t>
      </w:r>
      <w:r w:rsidR="00877698" w:rsidRPr="00A9681B">
        <w:rPr>
          <w:rFonts w:ascii="Times New Roman" w:eastAsia="Times New Roman" w:hAnsi="Times New Roman" w:cs="Times New Roman"/>
          <w:snapToGrid w:val="0"/>
          <w:szCs w:val="24"/>
        </w:rPr>
        <w:t xml:space="preserve"> as it </w:t>
      </w:r>
      <w:r w:rsidR="00170076" w:rsidRPr="00A9681B">
        <w:rPr>
          <w:rFonts w:ascii="Times New Roman" w:eastAsia="Times New Roman" w:hAnsi="Times New Roman" w:cs="Times New Roman"/>
          <w:snapToGrid w:val="0"/>
          <w:szCs w:val="24"/>
        </w:rPr>
        <w:t xml:space="preserve">will </w:t>
      </w:r>
      <w:r w:rsidR="00877698" w:rsidRPr="00A9681B">
        <w:rPr>
          <w:rFonts w:ascii="Times New Roman" w:eastAsia="Times New Roman" w:hAnsi="Times New Roman" w:cs="Times New Roman"/>
          <w:snapToGrid w:val="0"/>
          <w:szCs w:val="24"/>
        </w:rPr>
        <w:t xml:space="preserve">always correspond to the </w:t>
      </w:r>
      <w:r w:rsidR="00170076" w:rsidRPr="00A9681B">
        <w:rPr>
          <w:rFonts w:ascii="Times New Roman" w:eastAsia="Times New Roman" w:hAnsi="Times New Roman" w:cs="Times New Roman"/>
          <w:snapToGrid w:val="0"/>
          <w:szCs w:val="24"/>
        </w:rPr>
        <w:t>number</w:t>
      </w:r>
      <w:r w:rsidR="00877698" w:rsidRPr="00A9681B">
        <w:rPr>
          <w:rFonts w:ascii="Times New Roman" w:eastAsia="Times New Roman" w:hAnsi="Times New Roman" w:cs="Times New Roman"/>
          <w:snapToGrid w:val="0"/>
          <w:szCs w:val="24"/>
        </w:rPr>
        <w:t xml:space="preserve"> </w:t>
      </w:r>
      <w:r w:rsidR="00FD6D16" w:rsidRPr="00A9681B">
        <w:rPr>
          <w:rFonts w:ascii="Times New Roman" w:eastAsia="Times New Roman" w:hAnsi="Times New Roman" w:cs="Times New Roman"/>
          <w:snapToGrid w:val="0"/>
          <w:szCs w:val="24"/>
        </w:rPr>
        <w:t xml:space="preserve">of </w:t>
      </w:r>
      <w:r w:rsidR="00877698" w:rsidRPr="00A9681B">
        <w:rPr>
          <w:rFonts w:ascii="Times New Roman" w:eastAsia="Times New Roman" w:hAnsi="Times New Roman" w:cs="Times New Roman"/>
          <w:snapToGrid w:val="0"/>
          <w:szCs w:val="24"/>
        </w:rPr>
        <w:t xml:space="preserve">schools </w:t>
      </w:r>
      <w:r w:rsidR="00E0787F" w:rsidRPr="00A9681B">
        <w:rPr>
          <w:rFonts w:ascii="Times New Roman" w:eastAsia="Times New Roman" w:hAnsi="Times New Roman" w:cs="Times New Roman"/>
          <w:snapToGrid w:val="0"/>
          <w:szCs w:val="24"/>
        </w:rPr>
        <w:t>and pupils</w:t>
      </w:r>
      <w:r w:rsidR="00170076" w:rsidRPr="00A9681B">
        <w:rPr>
          <w:rFonts w:ascii="Times New Roman" w:eastAsia="Times New Roman" w:hAnsi="Times New Roman" w:cs="Times New Roman"/>
          <w:snapToGrid w:val="0"/>
          <w:szCs w:val="24"/>
        </w:rPr>
        <w:t xml:space="preserve"> </w:t>
      </w:r>
      <w:r w:rsidR="00877698" w:rsidRPr="00A9681B">
        <w:rPr>
          <w:rFonts w:ascii="Times New Roman" w:eastAsia="Times New Roman" w:hAnsi="Times New Roman" w:cs="Times New Roman"/>
          <w:snapToGrid w:val="0"/>
          <w:szCs w:val="24"/>
        </w:rPr>
        <w:t xml:space="preserve">in </w:t>
      </w:r>
      <w:r w:rsidR="001D66AB" w:rsidRPr="00A9681B">
        <w:rPr>
          <w:rFonts w:ascii="Times New Roman" w:eastAsia="Times New Roman" w:hAnsi="Times New Roman" w:cs="Times New Roman"/>
          <w:snapToGrid w:val="0"/>
          <w:szCs w:val="24"/>
        </w:rPr>
        <w:t xml:space="preserve">a </w:t>
      </w:r>
      <w:r w:rsidR="00877698" w:rsidRPr="00A9681B">
        <w:rPr>
          <w:rFonts w:ascii="Times New Roman" w:eastAsia="Times New Roman" w:hAnsi="Times New Roman" w:cs="Times New Roman"/>
          <w:snapToGrid w:val="0"/>
          <w:szCs w:val="24"/>
        </w:rPr>
        <w:t>given region</w:t>
      </w:r>
      <w:r w:rsidR="00170076" w:rsidRPr="00A9681B">
        <w:rPr>
          <w:rFonts w:ascii="Times New Roman" w:eastAsia="Times New Roman" w:hAnsi="Times New Roman" w:cs="Times New Roman"/>
          <w:snapToGrid w:val="0"/>
          <w:szCs w:val="24"/>
        </w:rPr>
        <w:t xml:space="preserve">. The Court is therefore convinced that </w:t>
      </w:r>
      <w:r w:rsidR="002D18A0" w:rsidRPr="00A9681B">
        <w:rPr>
          <w:rFonts w:ascii="Times New Roman" w:eastAsia="Times New Roman" w:hAnsi="Times New Roman" w:cs="Times New Roman"/>
          <w:snapToGrid w:val="0"/>
          <w:szCs w:val="24"/>
        </w:rPr>
        <w:t>the</w:t>
      </w:r>
      <w:r w:rsidR="00170076" w:rsidRPr="00A9681B">
        <w:rPr>
          <w:rFonts w:ascii="Times New Roman" w:eastAsia="Times New Roman" w:hAnsi="Times New Roman" w:cs="Times New Roman"/>
          <w:snapToGrid w:val="0"/>
          <w:szCs w:val="24"/>
        </w:rPr>
        <w:t xml:space="preserve"> </w:t>
      </w:r>
      <w:r w:rsidR="00877698" w:rsidRPr="00A9681B">
        <w:rPr>
          <w:rFonts w:ascii="Times New Roman" w:eastAsia="Times New Roman" w:hAnsi="Times New Roman" w:cs="Times New Roman"/>
        </w:rPr>
        <w:t>clientele</w:t>
      </w:r>
      <w:r w:rsidR="00D737E9" w:rsidRPr="00A9681B">
        <w:rPr>
          <w:rFonts w:ascii="Times New Roman" w:eastAsia="Times New Roman" w:hAnsi="Times New Roman" w:cs="Times New Roman"/>
        </w:rPr>
        <w:t xml:space="preserve"> –</w:t>
      </w:r>
      <w:r w:rsidR="00E0787F" w:rsidRPr="00A9681B">
        <w:rPr>
          <w:rFonts w:ascii="Times New Roman" w:eastAsia="Times New Roman" w:hAnsi="Times New Roman" w:cs="Times New Roman"/>
        </w:rPr>
        <w:t xml:space="preserve"> </w:t>
      </w:r>
      <w:r w:rsidR="00D737E9" w:rsidRPr="00A9681B">
        <w:rPr>
          <w:rFonts w:ascii="Times New Roman" w:eastAsia="Times New Roman" w:hAnsi="Times New Roman" w:cs="Times New Roman"/>
        </w:rPr>
        <w:t xml:space="preserve">although </w:t>
      </w:r>
      <w:r w:rsidR="002D18A0" w:rsidRPr="00A9681B">
        <w:rPr>
          <w:rFonts w:ascii="Times New Roman" w:eastAsia="Times New Roman" w:hAnsi="Times New Roman" w:cs="Times New Roman"/>
        </w:rPr>
        <w:t xml:space="preserve">somewhat </w:t>
      </w:r>
      <w:r w:rsidR="00D737E9" w:rsidRPr="00A9681B">
        <w:rPr>
          <w:rFonts w:ascii="Times New Roman" w:eastAsia="Times New Roman" w:hAnsi="Times New Roman" w:cs="Times New Roman"/>
        </w:rPr>
        <w:t xml:space="preserve">volatile in nature – </w:t>
      </w:r>
      <w:r w:rsidR="00B6382E" w:rsidRPr="00A9681B">
        <w:rPr>
          <w:rFonts w:ascii="Times New Roman" w:eastAsia="Times New Roman" w:hAnsi="Times New Roman" w:cs="Times New Roman"/>
        </w:rPr>
        <w:t xml:space="preserve">was </w:t>
      </w:r>
      <w:r w:rsidR="00170076" w:rsidRPr="00A9681B">
        <w:rPr>
          <w:rFonts w:ascii="Times New Roman" w:eastAsia="Times New Roman" w:hAnsi="Times New Roman" w:cs="Times New Roman"/>
        </w:rPr>
        <w:t>an essential basis for the applicant</w:t>
      </w:r>
      <w:r w:rsidR="00BD1026" w:rsidRPr="00A9681B">
        <w:rPr>
          <w:rFonts w:ascii="Times New Roman" w:eastAsia="Times New Roman" w:hAnsi="Times New Roman" w:cs="Times New Roman"/>
        </w:rPr>
        <w:t xml:space="preserve"> </w:t>
      </w:r>
      <w:r w:rsidR="00BD1026" w:rsidRPr="00A9681B">
        <w:rPr>
          <w:rFonts w:eastAsia="Times New Roman"/>
          <w:lang w:eastAsia="fr-FR"/>
        </w:rPr>
        <w:t>companies</w:t>
      </w:r>
      <w:r w:rsidR="00A9681B" w:rsidRPr="00A9681B">
        <w:rPr>
          <w:rFonts w:eastAsia="Times New Roman"/>
          <w:lang w:eastAsia="fr-FR"/>
        </w:rPr>
        <w:t>’</w:t>
      </w:r>
      <w:r w:rsidR="00170076" w:rsidRPr="00A9681B">
        <w:rPr>
          <w:rFonts w:ascii="Times New Roman" w:eastAsia="Times New Roman" w:hAnsi="Times New Roman" w:cs="Times New Roman"/>
        </w:rPr>
        <w:t xml:space="preserve"> established business</w:t>
      </w:r>
      <w:r w:rsidR="00055E1B" w:rsidRPr="00A9681B">
        <w:rPr>
          <w:rFonts w:ascii="Times New Roman" w:eastAsia="Times New Roman" w:hAnsi="Times New Roman" w:cs="Times New Roman"/>
        </w:rPr>
        <w:t xml:space="preserve">, </w:t>
      </w:r>
      <w:r w:rsidR="00170076" w:rsidRPr="00A9681B">
        <w:rPr>
          <w:rFonts w:ascii="Times New Roman" w:eastAsia="Times New Roman" w:hAnsi="Times New Roman" w:cs="Times New Roman"/>
        </w:rPr>
        <w:t xml:space="preserve">which cannot, </w:t>
      </w:r>
      <w:r w:rsidR="00EB4DB8" w:rsidRPr="00A9681B">
        <w:rPr>
          <w:rFonts w:ascii="Times New Roman" w:eastAsia="Times New Roman" w:hAnsi="Times New Roman" w:cs="Times New Roman"/>
        </w:rPr>
        <w:t xml:space="preserve">in </w:t>
      </w:r>
      <w:r w:rsidR="00170076" w:rsidRPr="00A9681B">
        <w:rPr>
          <w:rFonts w:ascii="Times New Roman" w:eastAsia="Times New Roman" w:hAnsi="Times New Roman" w:cs="Times New Roman"/>
        </w:rPr>
        <w:t xml:space="preserve">the nature of things, be easily </w:t>
      </w:r>
      <w:r w:rsidR="0030146F" w:rsidRPr="00A9681B">
        <w:rPr>
          <w:rFonts w:ascii="Times New Roman" w:eastAsia="Times New Roman" w:hAnsi="Times New Roman" w:cs="Times New Roman"/>
        </w:rPr>
        <w:t>benefited from</w:t>
      </w:r>
      <w:r w:rsidR="00170076" w:rsidRPr="00A9681B">
        <w:rPr>
          <w:rFonts w:ascii="Times New Roman" w:eastAsia="Times New Roman" w:hAnsi="Times New Roman" w:cs="Times New Roman"/>
        </w:rPr>
        <w:t xml:space="preserve"> </w:t>
      </w:r>
      <w:r w:rsidR="00FD6D16" w:rsidRPr="00A9681B">
        <w:rPr>
          <w:rFonts w:ascii="Times New Roman" w:eastAsia="Times New Roman" w:hAnsi="Times New Roman" w:cs="Times New Roman"/>
        </w:rPr>
        <w:t xml:space="preserve">in </w:t>
      </w:r>
      <w:r w:rsidR="00170076" w:rsidRPr="00A9681B">
        <w:rPr>
          <w:rFonts w:ascii="Times New Roman" w:eastAsia="Times New Roman" w:hAnsi="Times New Roman" w:cs="Times New Roman"/>
        </w:rPr>
        <w:t>other trading activities</w:t>
      </w:r>
      <w:r w:rsidR="00877698" w:rsidRPr="00A9681B">
        <w:rPr>
          <w:rFonts w:ascii="Times New Roman" w:eastAsia="Times New Roman" w:hAnsi="Times New Roman" w:cs="Times New Roman"/>
        </w:rPr>
        <w:t>.</w:t>
      </w:r>
      <w:r w:rsidR="000B296C" w:rsidRPr="00A9681B">
        <w:rPr>
          <w:rFonts w:ascii="Times New Roman" w:eastAsia="Times New Roman" w:hAnsi="Times New Roman" w:cs="Times New Roman"/>
        </w:rPr>
        <w:t xml:space="preserve"> </w:t>
      </w:r>
      <w:r w:rsidR="006C5A69" w:rsidRPr="00A9681B">
        <w:rPr>
          <w:rFonts w:ascii="Times New Roman" w:eastAsia="Times New Roman" w:hAnsi="Times New Roman" w:cs="Times New Roman"/>
        </w:rPr>
        <w:t>Indeed, t</w:t>
      </w:r>
      <w:r w:rsidR="0000026A" w:rsidRPr="00A9681B">
        <w:rPr>
          <w:rFonts w:ascii="Times New Roman" w:eastAsia="Times New Roman" w:hAnsi="Times New Roman" w:cs="Times New Roman"/>
        </w:rPr>
        <w:t>he appl</w:t>
      </w:r>
      <w:r w:rsidR="00CE6781" w:rsidRPr="00A9681B">
        <w:rPr>
          <w:rFonts w:ascii="Times New Roman" w:eastAsia="Times New Roman" w:hAnsi="Times New Roman" w:cs="Times New Roman"/>
        </w:rPr>
        <w:t>icant companies</w:t>
      </w:r>
      <w:r w:rsidR="00A9681B" w:rsidRPr="00A9681B">
        <w:rPr>
          <w:rFonts w:ascii="Times New Roman" w:eastAsia="Times New Roman" w:hAnsi="Times New Roman" w:cs="Times New Roman"/>
        </w:rPr>
        <w:t>’</w:t>
      </w:r>
      <w:r w:rsidR="00CE6781" w:rsidRPr="00A9681B">
        <w:rPr>
          <w:rFonts w:ascii="Times New Roman" w:eastAsia="Times New Roman" w:hAnsi="Times New Roman" w:cs="Times New Roman"/>
        </w:rPr>
        <w:t xml:space="preserve"> lost clientele </w:t>
      </w:r>
      <w:r w:rsidR="004B58C3" w:rsidRPr="00A9681B">
        <w:rPr>
          <w:rFonts w:ascii="Times New Roman" w:eastAsia="Times New Roman" w:hAnsi="Times New Roman" w:cs="Times New Roman"/>
        </w:rPr>
        <w:t>ha</w:t>
      </w:r>
      <w:r w:rsidR="00CE6781" w:rsidRPr="00A9681B">
        <w:rPr>
          <w:rFonts w:ascii="Times New Roman" w:eastAsia="Times New Roman" w:hAnsi="Times New Roman" w:cs="Times New Roman"/>
        </w:rPr>
        <w:t>s</w:t>
      </w:r>
      <w:r w:rsidR="004B58C3" w:rsidRPr="00A9681B">
        <w:rPr>
          <w:rFonts w:ascii="Times New Roman" w:eastAsia="Times New Roman" w:hAnsi="Times New Roman" w:cs="Times New Roman"/>
        </w:rPr>
        <w:t xml:space="preserve"> in many respects the nature of </w:t>
      </w:r>
      <w:r w:rsidR="00B6382E" w:rsidRPr="00A9681B">
        <w:rPr>
          <w:rFonts w:ascii="Times New Roman" w:eastAsia="Times New Roman" w:hAnsi="Times New Roman" w:cs="Times New Roman"/>
        </w:rPr>
        <w:t xml:space="preserve">a </w:t>
      </w:r>
      <w:r w:rsidR="004B58C3" w:rsidRPr="00A9681B">
        <w:rPr>
          <w:rFonts w:ascii="Times New Roman" w:eastAsia="Times New Roman" w:hAnsi="Times New Roman" w:cs="Times New Roman"/>
        </w:rPr>
        <w:t>private right, and thus constitute</w:t>
      </w:r>
      <w:r w:rsidR="008C222D" w:rsidRPr="00A9681B">
        <w:rPr>
          <w:rFonts w:ascii="Times New Roman" w:eastAsia="Times New Roman" w:hAnsi="Times New Roman" w:cs="Times New Roman"/>
        </w:rPr>
        <w:t>s an</w:t>
      </w:r>
      <w:r w:rsidR="004B58C3" w:rsidRPr="00A9681B">
        <w:rPr>
          <w:rFonts w:ascii="Times New Roman" w:eastAsia="Times New Roman" w:hAnsi="Times New Roman" w:cs="Times New Roman"/>
        </w:rPr>
        <w:t xml:space="preserve"> asset, being </w:t>
      </w:r>
      <w:r w:rsidR="008C222D" w:rsidRPr="00A9681B">
        <w:rPr>
          <w:rFonts w:ascii="Times New Roman" w:eastAsia="Times New Roman" w:hAnsi="Times New Roman" w:cs="Times New Roman"/>
        </w:rPr>
        <w:t>a “</w:t>
      </w:r>
      <w:r w:rsidR="004B58C3" w:rsidRPr="00A9681B">
        <w:rPr>
          <w:rFonts w:ascii="Times New Roman" w:eastAsia="Times New Roman" w:hAnsi="Times New Roman" w:cs="Times New Roman"/>
        </w:rPr>
        <w:t>possession</w:t>
      </w:r>
      <w:r w:rsidR="008C222D" w:rsidRPr="00A9681B">
        <w:rPr>
          <w:rFonts w:ascii="Times New Roman" w:eastAsia="Times New Roman" w:hAnsi="Times New Roman" w:cs="Times New Roman"/>
        </w:rPr>
        <w:t>”</w:t>
      </w:r>
      <w:r w:rsidR="004B58C3" w:rsidRPr="00A9681B">
        <w:rPr>
          <w:rFonts w:ascii="Times New Roman" w:eastAsia="Times New Roman" w:hAnsi="Times New Roman" w:cs="Times New Roman"/>
        </w:rPr>
        <w:t xml:space="preserve"> within the meaning of </w:t>
      </w:r>
      <w:r w:rsidR="008C222D" w:rsidRPr="00A9681B">
        <w:rPr>
          <w:rFonts w:ascii="Times New Roman" w:eastAsia="Times New Roman" w:hAnsi="Times New Roman" w:cs="Times New Roman"/>
        </w:rPr>
        <w:t>Article 1 of Protocol No. 1</w:t>
      </w:r>
      <w:r w:rsidR="004B58C3" w:rsidRPr="00A9681B">
        <w:rPr>
          <w:rFonts w:ascii="Times New Roman" w:eastAsia="Times New Roman" w:hAnsi="Times New Roman" w:cs="Times New Roman"/>
        </w:rPr>
        <w:t xml:space="preserve"> (see </w:t>
      </w:r>
      <w:r w:rsidR="00124B5F" w:rsidRPr="00A9681B">
        <w:rPr>
          <w:rFonts w:ascii="Times New Roman" w:eastAsia="Times New Roman" w:hAnsi="Times New Roman" w:cs="Times New Roman"/>
          <w:i/>
        </w:rPr>
        <w:t>Van Marle and Others</w:t>
      </w:r>
      <w:r w:rsidR="00DE32CE" w:rsidRPr="00A9681B">
        <w:rPr>
          <w:rFonts w:ascii="Times New Roman" w:eastAsia="Times New Roman" w:hAnsi="Times New Roman" w:cs="Times New Roman"/>
        </w:rPr>
        <w:t>,</w:t>
      </w:r>
      <w:r w:rsidR="00124B5F" w:rsidRPr="00A9681B">
        <w:rPr>
          <w:rFonts w:ascii="Times New Roman" w:eastAsia="Times New Roman" w:hAnsi="Times New Roman" w:cs="Times New Roman"/>
          <w:i/>
        </w:rPr>
        <w:t xml:space="preserve"> </w:t>
      </w:r>
      <w:r w:rsidR="004B58C3" w:rsidRPr="00A9681B">
        <w:rPr>
          <w:rFonts w:ascii="Times New Roman" w:eastAsia="Times New Roman" w:hAnsi="Times New Roman" w:cs="Times New Roman"/>
          <w:i/>
        </w:rPr>
        <w:t>Döring</w:t>
      </w:r>
      <w:r w:rsidR="004B58C3" w:rsidRPr="00A9681B">
        <w:rPr>
          <w:rFonts w:ascii="Times New Roman" w:eastAsia="Times New Roman" w:hAnsi="Times New Roman" w:cs="Times New Roman"/>
        </w:rPr>
        <w:t>,</w:t>
      </w:r>
      <w:r w:rsidR="004A1363" w:rsidRPr="00A9681B">
        <w:rPr>
          <w:rFonts w:ascii="Times New Roman" w:eastAsia="Times New Roman" w:hAnsi="Times New Roman" w:cs="Times New Roman"/>
        </w:rPr>
        <w:t xml:space="preserve"> and</w:t>
      </w:r>
      <w:r w:rsidR="004B58C3" w:rsidRPr="00A9681B">
        <w:rPr>
          <w:rFonts w:ascii="Times New Roman" w:eastAsia="Times New Roman" w:hAnsi="Times New Roman" w:cs="Times New Roman"/>
        </w:rPr>
        <w:t xml:space="preserve"> </w:t>
      </w:r>
      <w:r w:rsidR="00DE32CE" w:rsidRPr="00A9681B">
        <w:rPr>
          <w:rFonts w:ascii="Times New Roman" w:eastAsia="Times New Roman" w:hAnsi="Times New Roman" w:cs="Times New Roman"/>
          <w:i/>
        </w:rPr>
        <w:t>Wendenburg and Others</w:t>
      </w:r>
      <w:r w:rsidR="00DE32CE" w:rsidRPr="00A9681B">
        <w:rPr>
          <w:rFonts w:ascii="Times New Roman" w:eastAsia="Times New Roman" w:hAnsi="Times New Roman" w:cs="Times New Roman"/>
        </w:rPr>
        <w:t xml:space="preserve">, </w:t>
      </w:r>
      <w:r w:rsidR="00124B5F" w:rsidRPr="00A9681B">
        <w:rPr>
          <w:rFonts w:ascii="Times New Roman" w:eastAsia="Times New Roman" w:hAnsi="Times New Roman" w:cs="Times New Roman"/>
        </w:rPr>
        <w:t xml:space="preserve">all </w:t>
      </w:r>
      <w:r w:rsidR="00DE32CE" w:rsidRPr="00A9681B">
        <w:rPr>
          <w:rFonts w:ascii="Times New Roman" w:eastAsia="Times New Roman" w:hAnsi="Times New Roman" w:cs="Times New Roman"/>
        </w:rPr>
        <w:t>cited above</w:t>
      </w:r>
      <w:r w:rsidR="004B58C3" w:rsidRPr="00A9681B">
        <w:rPr>
          <w:rFonts w:ascii="Times New Roman" w:eastAsia="Times New Roman" w:hAnsi="Times New Roman" w:cs="Times New Roman"/>
        </w:rPr>
        <w:t xml:space="preserve">). </w:t>
      </w:r>
      <w:r w:rsidR="00170076" w:rsidRPr="00A9681B">
        <w:rPr>
          <w:rFonts w:ascii="Times New Roman" w:eastAsia="Times New Roman" w:hAnsi="Times New Roman" w:cs="Times New Roman"/>
        </w:rPr>
        <w:t xml:space="preserve">The complaint </w:t>
      </w:r>
      <w:r w:rsidR="0080031F" w:rsidRPr="00A9681B">
        <w:rPr>
          <w:rFonts w:ascii="Times New Roman" w:eastAsia="Times New Roman" w:hAnsi="Times New Roman" w:cs="Times New Roman"/>
        </w:rPr>
        <w:t xml:space="preserve">therefore </w:t>
      </w:r>
      <w:r w:rsidR="00170076" w:rsidRPr="00A9681B">
        <w:rPr>
          <w:rFonts w:ascii="Times New Roman" w:eastAsia="Times New Roman" w:hAnsi="Times New Roman" w:cs="Times New Roman"/>
        </w:rPr>
        <w:t xml:space="preserve">cannot be rejected as incompatible </w:t>
      </w:r>
      <w:r w:rsidR="00170076" w:rsidRPr="00A9681B">
        <w:rPr>
          <w:rFonts w:ascii="Times New Roman" w:eastAsia="Times New Roman" w:hAnsi="Times New Roman" w:cs="Times New Roman"/>
          <w:i/>
        </w:rPr>
        <w:t>ratione materiae</w:t>
      </w:r>
      <w:r w:rsidR="00170076" w:rsidRPr="00A9681B">
        <w:rPr>
          <w:rFonts w:ascii="Times New Roman" w:eastAsia="Times New Roman" w:hAnsi="Times New Roman" w:cs="Times New Roman"/>
        </w:rPr>
        <w:t xml:space="preserve"> with the provisions of the Convention.</w:t>
      </w:r>
    </w:p>
    <w:bookmarkEnd w:id="6"/>
    <w:p w:rsidR="00014566" w:rsidRPr="00A9681B" w:rsidRDefault="00170076" w:rsidP="00A9681B">
      <w:pPr>
        <w:pStyle w:val="ECHRPara"/>
      </w:pPr>
      <w:r w:rsidRPr="00A9681B">
        <w:rPr>
          <w:rFonts w:ascii="Times New Roman" w:eastAsia="Times New Roman" w:hAnsi="Times New Roman" w:cs="Times New Roman"/>
        </w:rPr>
        <w:fldChar w:fldCharType="begin"/>
      </w:r>
      <w:r w:rsidRPr="00A9681B">
        <w:rPr>
          <w:rFonts w:ascii="Times New Roman" w:eastAsia="Times New Roman" w:hAnsi="Times New Roman" w:cs="Times New Roman"/>
        </w:rPr>
        <w:instrText xml:space="preserve"> SEQ level0 \*arabic </w:instrText>
      </w:r>
      <w:r w:rsidRPr="00A9681B">
        <w:rPr>
          <w:rFonts w:ascii="Times New Roman" w:eastAsia="Times New Roman" w:hAnsi="Times New Roman" w:cs="Times New Roman"/>
        </w:rPr>
        <w:fldChar w:fldCharType="separate"/>
      </w:r>
      <w:r w:rsidR="00A9681B" w:rsidRPr="00A9681B">
        <w:rPr>
          <w:rFonts w:ascii="Times New Roman" w:eastAsia="Times New Roman" w:hAnsi="Times New Roman" w:cs="Times New Roman"/>
          <w:noProof/>
        </w:rPr>
        <w:t>33</w:t>
      </w:r>
      <w:r w:rsidRPr="00A9681B">
        <w:rPr>
          <w:rFonts w:ascii="Times New Roman" w:eastAsia="Times New Roman" w:hAnsi="Times New Roman" w:cs="Times New Roman"/>
        </w:rPr>
        <w:fldChar w:fldCharType="end"/>
      </w:r>
      <w:r w:rsidRPr="00A9681B">
        <w:rPr>
          <w:rFonts w:ascii="Times New Roman" w:eastAsia="Times New Roman" w:hAnsi="Times New Roman" w:cs="Times New Roman"/>
        </w:rPr>
        <w:t>.  </w:t>
      </w:r>
      <w:r w:rsidR="00877698" w:rsidRPr="00A9681B">
        <w:rPr>
          <w:rFonts w:ascii="Times New Roman" w:eastAsia="Times New Roman" w:hAnsi="Times New Roman" w:cs="Times New Roman"/>
        </w:rPr>
        <w:t>The Court notes that this complaint is not manifestly ill-founded within the meaning of Article 35 § 3 (a) of the Convention. It further notes that it is not inadmissible on any other grounds. It must therefore be declared admissibl</w:t>
      </w:r>
      <w:r w:rsidR="00014566" w:rsidRPr="00A9681B">
        <w:t>e.</w:t>
      </w:r>
    </w:p>
    <w:p w:rsidR="00014566" w:rsidRPr="00A9681B" w:rsidRDefault="00014566" w:rsidP="00A9681B">
      <w:pPr>
        <w:pStyle w:val="ECHRHeading2"/>
      </w:pPr>
      <w:r w:rsidRPr="00A9681B">
        <w:t>B.  Merits</w:t>
      </w:r>
    </w:p>
    <w:p w:rsidR="006C5D9C" w:rsidRPr="00A9681B" w:rsidRDefault="006C5D9C" w:rsidP="00A9681B">
      <w:pPr>
        <w:pStyle w:val="ECHRHeading3"/>
      </w:pPr>
      <w:r w:rsidRPr="00A9681B">
        <w:t>1</w:t>
      </w:r>
      <w:r w:rsidR="00587160" w:rsidRPr="00A9681B">
        <w:t>.  T</w:t>
      </w:r>
      <w:r w:rsidRPr="00A9681B">
        <w:t>he parties</w:t>
      </w:r>
      <w:r w:rsidR="00A9681B" w:rsidRPr="00A9681B">
        <w:t>’</w:t>
      </w:r>
      <w:r w:rsidR="00587160" w:rsidRPr="00A9681B">
        <w:t xml:space="preserve"> submissions</w:t>
      </w:r>
    </w:p>
    <w:p w:rsidR="00316F38" w:rsidRPr="00A9681B" w:rsidRDefault="00877698" w:rsidP="00A9681B">
      <w:pPr>
        <w:pStyle w:val="ECHRPara"/>
        <w:rPr>
          <w:rFonts w:eastAsia="Times New Roman"/>
          <w:lang w:eastAsia="fr-FR"/>
        </w:rPr>
      </w:pPr>
      <w:r w:rsidRPr="00A9681B">
        <w:rPr>
          <w:rFonts w:eastAsia="Times New Roman"/>
        </w:rPr>
        <w:fldChar w:fldCharType="begin"/>
      </w:r>
      <w:r w:rsidRPr="00A9681B">
        <w:rPr>
          <w:rFonts w:eastAsia="Times New Roman"/>
        </w:rPr>
        <w:instrText xml:space="preserve"> SEQ level0 \*arabic </w:instrText>
      </w:r>
      <w:r w:rsidRPr="00A9681B">
        <w:rPr>
          <w:rFonts w:eastAsia="Times New Roman"/>
        </w:rPr>
        <w:fldChar w:fldCharType="separate"/>
      </w:r>
      <w:r w:rsidR="00A9681B" w:rsidRPr="00A9681B">
        <w:rPr>
          <w:rFonts w:eastAsia="Times New Roman"/>
          <w:noProof/>
        </w:rPr>
        <w:t>34</w:t>
      </w:r>
      <w:r w:rsidRPr="00A9681B">
        <w:rPr>
          <w:rFonts w:eastAsia="Times New Roman"/>
        </w:rPr>
        <w:fldChar w:fldCharType="end"/>
      </w:r>
      <w:r w:rsidRPr="00A9681B">
        <w:rPr>
          <w:rFonts w:eastAsia="Times New Roman"/>
        </w:rPr>
        <w:t>.  </w:t>
      </w:r>
      <w:r w:rsidR="00417E10" w:rsidRPr="00A9681B">
        <w:rPr>
          <w:rFonts w:eastAsia="Times New Roman"/>
        </w:rPr>
        <w:t>T</w:t>
      </w:r>
      <w:r w:rsidR="00316F38" w:rsidRPr="00A9681B">
        <w:rPr>
          <w:rFonts w:eastAsia="Times New Roman"/>
        </w:rPr>
        <w:t xml:space="preserve">he Government argued that the New Regulations had not monopolised the </w:t>
      </w:r>
      <w:r w:rsidR="007E4785" w:rsidRPr="00A9681B">
        <w:rPr>
          <w:rFonts w:eastAsia="Times New Roman"/>
        </w:rPr>
        <w:t>business in which</w:t>
      </w:r>
      <w:r w:rsidR="00316F38" w:rsidRPr="00A9681B">
        <w:rPr>
          <w:rFonts w:eastAsia="Times New Roman"/>
        </w:rPr>
        <w:t xml:space="preserve"> the applicant</w:t>
      </w:r>
      <w:r w:rsidR="00BD1026" w:rsidRPr="00A9681B">
        <w:rPr>
          <w:rFonts w:eastAsia="Times New Roman"/>
        </w:rPr>
        <w:t xml:space="preserve"> </w:t>
      </w:r>
      <w:r w:rsidR="00BD1026" w:rsidRPr="00A9681B">
        <w:rPr>
          <w:rFonts w:eastAsia="Times New Roman"/>
          <w:lang w:eastAsia="fr-FR"/>
        </w:rPr>
        <w:t>companies</w:t>
      </w:r>
      <w:r w:rsidR="00316F38" w:rsidRPr="00A9681B">
        <w:rPr>
          <w:rFonts w:eastAsia="Times New Roman"/>
        </w:rPr>
        <w:t xml:space="preserve"> </w:t>
      </w:r>
      <w:r w:rsidR="007E4785" w:rsidRPr="00A9681B">
        <w:rPr>
          <w:rFonts w:eastAsia="Times New Roman"/>
        </w:rPr>
        <w:t>had been active</w:t>
      </w:r>
      <w:r w:rsidR="00417E10" w:rsidRPr="00A9681B">
        <w:rPr>
          <w:rFonts w:eastAsia="Times New Roman"/>
        </w:rPr>
        <w:t>,</w:t>
      </w:r>
      <w:r w:rsidR="007E4785" w:rsidRPr="00A9681B">
        <w:rPr>
          <w:rFonts w:eastAsia="Times New Roman"/>
        </w:rPr>
        <w:t xml:space="preserve"> </w:t>
      </w:r>
      <w:r w:rsidR="00316F38" w:rsidRPr="00A9681B">
        <w:rPr>
          <w:rFonts w:eastAsia="Times New Roman"/>
        </w:rPr>
        <w:t>but, as an inherent consequence of the centralisation of school</w:t>
      </w:r>
      <w:r w:rsidR="00FA3A27" w:rsidRPr="00A9681B">
        <w:rPr>
          <w:rFonts w:eastAsia="Times New Roman"/>
        </w:rPr>
        <w:t>book</w:t>
      </w:r>
      <w:r w:rsidR="00316F38" w:rsidRPr="00A9681B">
        <w:rPr>
          <w:rFonts w:eastAsia="Times New Roman"/>
        </w:rPr>
        <w:t xml:space="preserve"> management, </w:t>
      </w:r>
      <w:r w:rsidR="00417E10" w:rsidRPr="00A9681B">
        <w:rPr>
          <w:rFonts w:eastAsia="Times New Roman"/>
        </w:rPr>
        <w:t xml:space="preserve">had </w:t>
      </w:r>
      <w:r w:rsidR="007E4785" w:rsidRPr="00A9681B">
        <w:rPr>
          <w:rFonts w:eastAsia="Times New Roman"/>
        </w:rPr>
        <w:t>merely</w:t>
      </w:r>
      <w:r w:rsidR="00316F38" w:rsidRPr="00A9681B">
        <w:rPr>
          <w:rFonts w:eastAsia="Times New Roman"/>
        </w:rPr>
        <w:t xml:space="preserve"> centralised t</w:t>
      </w:r>
      <w:r w:rsidR="00AB3745" w:rsidRPr="00A9681B">
        <w:rPr>
          <w:rFonts w:eastAsia="Times New Roman"/>
        </w:rPr>
        <w:t>he procurement of schoolbooks</w:t>
      </w:r>
      <w:r w:rsidR="00316F38" w:rsidRPr="00A9681B">
        <w:rPr>
          <w:rFonts w:eastAsia="Times New Roman"/>
        </w:rPr>
        <w:t>. The Government stressed that the New Regulations had not re</w:t>
      </w:r>
      <w:r w:rsidR="00B6382E" w:rsidRPr="00A9681B">
        <w:rPr>
          <w:rFonts w:eastAsia="Times New Roman"/>
        </w:rPr>
        <w:t xml:space="preserve">vised </w:t>
      </w:r>
      <w:r w:rsidR="00316F38" w:rsidRPr="00A9681B">
        <w:rPr>
          <w:rFonts w:eastAsia="Times New Roman"/>
        </w:rPr>
        <w:t>the rules o</w:t>
      </w:r>
      <w:r w:rsidR="00B6382E" w:rsidRPr="00A9681B">
        <w:rPr>
          <w:rFonts w:eastAsia="Times New Roman"/>
        </w:rPr>
        <w:t xml:space="preserve">n </w:t>
      </w:r>
      <w:r w:rsidR="00316F38" w:rsidRPr="00A9681B">
        <w:rPr>
          <w:rFonts w:eastAsia="Times New Roman"/>
        </w:rPr>
        <w:t>providing services in the field of schoolbook distribution</w:t>
      </w:r>
      <w:r w:rsidR="00417E10" w:rsidRPr="00A9681B">
        <w:rPr>
          <w:rFonts w:eastAsia="Times New Roman"/>
        </w:rPr>
        <w:t>,</w:t>
      </w:r>
      <w:r w:rsidR="00316F38" w:rsidRPr="00A9681B">
        <w:rPr>
          <w:rFonts w:eastAsia="Times New Roman"/>
        </w:rPr>
        <w:t xml:space="preserve"> and had not given exclusive rights to a </w:t>
      </w:r>
      <w:r w:rsidR="00B842A6" w:rsidRPr="00A9681B">
        <w:rPr>
          <w:rFonts w:eastAsia="Times New Roman"/>
        </w:rPr>
        <w:t>S</w:t>
      </w:r>
      <w:r w:rsidR="00316F38" w:rsidRPr="00A9681B">
        <w:rPr>
          <w:rFonts w:eastAsia="Times New Roman"/>
        </w:rPr>
        <w:t xml:space="preserve">tate-owned entity to carry </w:t>
      </w:r>
      <w:r w:rsidR="00417E10" w:rsidRPr="00A9681B">
        <w:rPr>
          <w:rFonts w:eastAsia="Times New Roman"/>
        </w:rPr>
        <w:t xml:space="preserve">out </w:t>
      </w:r>
      <w:r w:rsidR="00B6382E" w:rsidRPr="00A9681B">
        <w:rPr>
          <w:rFonts w:eastAsia="Times New Roman"/>
        </w:rPr>
        <w:t xml:space="preserve">such </w:t>
      </w:r>
      <w:r w:rsidR="00316F38" w:rsidRPr="00A9681B">
        <w:rPr>
          <w:rFonts w:eastAsia="Times New Roman"/>
        </w:rPr>
        <w:t>activit</w:t>
      </w:r>
      <w:r w:rsidR="007E4785" w:rsidRPr="00A9681B">
        <w:rPr>
          <w:rFonts w:eastAsia="Times New Roman"/>
        </w:rPr>
        <w:t xml:space="preserve">ies. The new rules </w:t>
      </w:r>
      <w:r w:rsidR="00B6382E" w:rsidRPr="00A9681B">
        <w:rPr>
          <w:rFonts w:eastAsia="Times New Roman"/>
        </w:rPr>
        <w:t xml:space="preserve">had done </w:t>
      </w:r>
      <w:r w:rsidR="007E4785" w:rsidRPr="00A9681B">
        <w:rPr>
          <w:rFonts w:eastAsia="Times New Roman"/>
        </w:rPr>
        <w:t xml:space="preserve">no more than </w:t>
      </w:r>
      <w:r w:rsidR="00316F38" w:rsidRPr="00A9681B">
        <w:rPr>
          <w:rFonts w:eastAsia="Times New Roman"/>
        </w:rPr>
        <w:t xml:space="preserve">reorganise the </w:t>
      </w:r>
      <w:r w:rsidR="00417E10" w:rsidRPr="00A9681B">
        <w:rPr>
          <w:rFonts w:eastAsia="Times New Roman"/>
        </w:rPr>
        <w:t xml:space="preserve">relevant </w:t>
      </w:r>
      <w:r w:rsidR="00316F38" w:rsidRPr="00A9681B">
        <w:rPr>
          <w:rFonts w:eastAsia="Times New Roman"/>
        </w:rPr>
        <w:t xml:space="preserve">system of public procurement. </w:t>
      </w:r>
      <w:r w:rsidR="00B6382E" w:rsidRPr="00A9681B">
        <w:rPr>
          <w:rFonts w:eastAsia="Times New Roman"/>
        </w:rPr>
        <w:t>T</w:t>
      </w:r>
      <w:r w:rsidR="007E4785" w:rsidRPr="00A9681B">
        <w:rPr>
          <w:rFonts w:eastAsia="Times New Roman"/>
        </w:rPr>
        <w:t>he applicant</w:t>
      </w:r>
      <w:r w:rsidR="00BD1026" w:rsidRPr="00A9681B">
        <w:rPr>
          <w:rFonts w:eastAsia="Times New Roman"/>
        </w:rPr>
        <w:t xml:space="preserve"> </w:t>
      </w:r>
      <w:r w:rsidR="00BD1026" w:rsidRPr="00A9681B">
        <w:rPr>
          <w:rFonts w:eastAsia="Times New Roman"/>
          <w:lang w:eastAsia="fr-FR"/>
        </w:rPr>
        <w:t>companies</w:t>
      </w:r>
      <w:r w:rsidR="00316F38" w:rsidRPr="00A9681B">
        <w:rPr>
          <w:rFonts w:eastAsia="Times New Roman"/>
        </w:rPr>
        <w:t xml:space="preserve"> </w:t>
      </w:r>
      <w:r w:rsidR="007E4785" w:rsidRPr="00A9681B">
        <w:rPr>
          <w:rFonts w:eastAsia="Times New Roman"/>
        </w:rPr>
        <w:t xml:space="preserve">had had no </w:t>
      </w:r>
      <w:r w:rsidR="00316F38" w:rsidRPr="00A9681B">
        <w:rPr>
          <w:rFonts w:eastAsia="Times New Roman"/>
        </w:rPr>
        <w:t xml:space="preserve">“licence to operate” </w:t>
      </w:r>
      <w:r w:rsidR="007E4785" w:rsidRPr="00A9681B">
        <w:rPr>
          <w:rFonts w:eastAsia="Times New Roman"/>
        </w:rPr>
        <w:t xml:space="preserve">in this field </w:t>
      </w:r>
      <w:r w:rsidR="00417E10" w:rsidRPr="00A9681B">
        <w:rPr>
          <w:rFonts w:eastAsia="Times New Roman"/>
        </w:rPr>
        <w:t xml:space="preserve">which </w:t>
      </w:r>
      <w:r w:rsidR="007E4785" w:rsidRPr="00A9681B">
        <w:rPr>
          <w:rFonts w:eastAsia="Times New Roman"/>
        </w:rPr>
        <w:t>could be seen as</w:t>
      </w:r>
      <w:r w:rsidR="00417E10" w:rsidRPr="00A9681B">
        <w:rPr>
          <w:rFonts w:eastAsia="Times New Roman"/>
        </w:rPr>
        <w:t xml:space="preserve"> having been</w:t>
      </w:r>
      <w:r w:rsidR="007E4785" w:rsidRPr="00A9681B">
        <w:rPr>
          <w:rFonts w:eastAsia="Times New Roman"/>
        </w:rPr>
        <w:t xml:space="preserve"> “withdrawn”</w:t>
      </w:r>
      <w:r w:rsidR="00316F38" w:rsidRPr="00A9681B">
        <w:rPr>
          <w:rFonts w:eastAsia="Times New Roman"/>
        </w:rPr>
        <w:t>; they were free to continue their schoolbook distribution activities and provide services to the new centralised procurer of schoolbooks. In</w:t>
      </w:r>
      <w:r w:rsidR="00014F59" w:rsidRPr="00A9681B">
        <w:rPr>
          <w:rFonts w:eastAsia="Times New Roman"/>
        </w:rPr>
        <w:t>deed</w:t>
      </w:r>
      <w:r w:rsidR="00316F38" w:rsidRPr="00A9681B">
        <w:rPr>
          <w:rFonts w:eastAsia="Times New Roman"/>
        </w:rPr>
        <w:t xml:space="preserve">, Könyvtárellátó had concluded a number of schoolbook distribution agreements in public procurement procedures. </w:t>
      </w:r>
      <w:r w:rsidR="00B6382E" w:rsidRPr="00A9681B">
        <w:rPr>
          <w:rFonts w:eastAsia="Times New Roman"/>
        </w:rPr>
        <w:t>The Government f</w:t>
      </w:r>
      <w:r w:rsidR="00316F38" w:rsidRPr="00A9681B">
        <w:rPr>
          <w:rFonts w:eastAsia="Times New Roman"/>
          <w:lang w:eastAsia="fr-FR"/>
        </w:rPr>
        <w:t xml:space="preserve">urther argued that schoolbook publishers and distributors </w:t>
      </w:r>
      <w:r w:rsidR="00417E10" w:rsidRPr="00A9681B">
        <w:rPr>
          <w:rFonts w:eastAsia="Times New Roman"/>
          <w:lang w:eastAsia="fr-FR"/>
        </w:rPr>
        <w:t xml:space="preserve">had previously been able to </w:t>
      </w:r>
      <w:r w:rsidR="00316F38" w:rsidRPr="00A9681B">
        <w:rPr>
          <w:rFonts w:eastAsia="Times New Roman"/>
          <w:lang w:eastAsia="fr-FR"/>
        </w:rPr>
        <w:t>influence the choice and purchase of books by giving bonuses or discounts</w:t>
      </w:r>
      <w:r w:rsidR="00014F59" w:rsidRPr="00A9681B">
        <w:rPr>
          <w:rFonts w:eastAsia="Times New Roman"/>
          <w:lang w:eastAsia="fr-FR"/>
        </w:rPr>
        <w:t xml:space="preserve">, which </w:t>
      </w:r>
      <w:r w:rsidR="00316F38" w:rsidRPr="00A9681B">
        <w:rPr>
          <w:rFonts w:eastAsia="Times New Roman"/>
          <w:lang w:eastAsia="fr-FR"/>
        </w:rPr>
        <w:t>prejudiced the legislature</w:t>
      </w:r>
      <w:r w:rsidR="00A9681B" w:rsidRPr="00A9681B">
        <w:rPr>
          <w:rFonts w:eastAsia="Times New Roman"/>
          <w:lang w:eastAsia="fr-FR"/>
        </w:rPr>
        <w:t>’</w:t>
      </w:r>
      <w:r w:rsidR="00316F38" w:rsidRPr="00A9681B">
        <w:rPr>
          <w:rFonts w:eastAsia="Times New Roman"/>
          <w:lang w:eastAsia="fr-FR"/>
        </w:rPr>
        <w:t xml:space="preserve">s aim </w:t>
      </w:r>
      <w:r w:rsidR="00B6382E" w:rsidRPr="00A9681B">
        <w:rPr>
          <w:rFonts w:eastAsia="Times New Roman"/>
          <w:lang w:eastAsia="fr-FR"/>
        </w:rPr>
        <w:t xml:space="preserve">of </w:t>
      </w:r>
      <w:r w:rsidR="00316F38" w:rsidRPr="00A9681B">
        <w:rPr>
          <w:rFonts w:eastAsia="Times New Roman"/>
          <w:lang w:eastAsia="fr-FR"/>
        </w:rPr>
        <w:t>ensur</w:t>
      </w:r>
      <w:r w:rsidR="00B6382E" w:rsidRPr="00A9681B">
        <w:rPr>
          <w:rFonts w:eastAsia="Times New Roman"/>
          <w:lang w:eastAsia="fr-FR"/>
        </w:rPr>
        <w:t>ing</w:t>
      </w:r>
      <w:r w:rsidR="00316F38" w:rsidRPr="00A9681B">
        <w:rPr>
          <w:rFonts w:eastAsia="Times New Roman"/>
          <w:lang w:eastAsia="fr-FR"/>
        </w:rPr>
        <w:t xml:space="preserve"> that educational aspects prevail</w:t>
      </w:r>
      <w:r w:rsidR="003C021B" w:rsidRPr="00A9681B">
        <w:rPr>
          <w:rFonts w:eastAsia="Times New Roman"/>
          <w:lang w:eastAsia="fr-FR"/>
        </w:rPr>
        <w:t>ed with regard to</w:t>
      </w:r>
      <w:r w:rsidR="00316F38" w:rsidRPr="00A9681B">
        <w:rPr>
          <w:rFonts w:eastAsia="Times New Roman"/>
          <w:lang w:eastAsia="fr-FR"/>
        </w:rPr>
        <w:t xml:space="preserve"> the selection of schoolbooks.</w:t>
      </w:r>
    </w:p>
    <w:p w:rsidR="007D502E" w:rsidRPr="00A9681B" w:rsidRDefault="00014F59" w:rsidP="00A9681B">
      <w:pPr>
        <w:pStyle w:val="ECHRPara"/>
        <w:rPr>
          <w:rFonts w:eastAsia="Times New Roman"/>
          <w:lang w:eastAsia="fr-FR"/>
        </w:rPr>
      </w:pPr>
      <w:r w:rsidRPr="00A9681B">
        <w:rPr>
          <w:rFonts w:eastAsia="Times New Roman"/>
        </w:rPr>
        <w:lastRenderedPageBreak/>
        <w:fldChar w:fldCharType="begin"/>
      </w:r>
      <w:r w:rsidRPr="00A9681B">
        <w:rPr>
          <w:rFonts w:eastAsia="Times New Roman"/>
        </w:rPr>
        <w:instrText xml:space="preserve"> SEQ level0 \*arabic </w:instrText>
      </w:r>
      <w:r w:rsidRPr="00A9681B">
        <w:rPr>
          <w:rFonts w:eastAsia="Times New Roman"/>
        </w:rPr>
        <w:fldChar w:fldCharType="separate"/>
      </w:r>
      <w:r w:rsidR="00A9681B" w:rsidRPr="00A9681B">
        <w:rPr>
          <w:rFonts w:eastAsia="Times New Roman"/>
          <w:noProof/>
        </w:rPr>
        <w:t>35</w:t>
      </w:r>
      <w:r w:rsidRPr="00A9681B">
        <w:rPr>
          <w:rFonts w:eastAsia="Times New Roman"/>
        </w:rPr>
        <w:fldChar w:fldCharType="end"/>
      </w:r>
      <w:r w:rsidRPr="00A9681B">
        <w:rPr>
          <w:rFonts w:eastAsia="Times New Roman"/>
        </w:rPr>
        <w:t>.  </w:t>
      </w:r>
      <w:r w:rsidR="007F6D07" w:rsidRPr="00A9681B">
        <w:rPr>
          <w:rFonts w:eastAsia="Times New Roman"/>
        </w:rPr>
        <w:t>T</w:t>
      </w:r>
      <w:r w:rsidR="007F6D07" w:rsidRPr="00A9681B">
        <w:rPr>
          <w:rFonts w:eastAsia="Times New Roman"/>
          <w:lang w:eastAsia="fr-FR"/>
        </w:rPr>
        <w:t xml:space="preserve">he Government </w:t>
      </w:r>
      <w:r w:rsidR="003C021B" w:rsidRPr="00A9681B">
        <w:rPr>
          <w:rFonts w:eastAsia="Times New Roman"/>
          <w:lang w:eastAsia="fr-FR"/>
        </w:rPr>
        <w:t xml:space="preserve">argued </w:t>
      </w:r>
      <w:r w:rsidR="007F6D07" w:rsidRPr="00A9681B">
        <w:rPr>
          <w:rFonts w:eastAsia="Times New Roman"/>
          <w:lang w:eastAsia="fr-FR"/>
        </w:rPr>
        <w:t>that</w:t>
      </w:r>
      <w:r w:rsidR="003C021B" w:rsidRPr="00A9681B">
        <w:rPr>
          <w:rFonts w:eastAsia="Times New Roman"/>
          <w:lang w:eastAsia="fr-FR"/>
        </w:rPr>
        <w:t>,</w:t>
      </w:r>
      <w:r w:rsidR="007F6D07" w:rsidRPr="00A9681B">
        <w:rPr>
          <w:rFonts w:eastAsia="Times New Roman"/>
          <w:lang w:eastAsia="fr-FR"/>
        </w:rPr>
        <w:t xml:space="preserve"> although the new rules of </w:t>
      </w:r>
      <w:r w:rsidR="003C021B" w:rsidRPr="00A9681B">
        <w:rPr>
          <w:rFonts w:eastAsia="Times New Roman"/>
          <w:lang w:eastAsia="fr-FR"/>
        </w:rPr>
        <w:t xml:space="preserve">schoolbook </w:t>
      </w:r>
      <w:r w:rsidR="007F6D07" w:rsidRPr="00A9681B">
        <w:rPr>
          <w:rFonts w:eastAsia="Times New Roman"/>
          <w:lang w:eastAsia="fr-FR"/>
        </w:rPr>
        <w:t xml:space="preserve">procurement </w:t>
      </w:r>
      <w:r w:rsidRPr="00A9681B">
        <w:rPr>
          <w:rFonts w:eastAsia="Times New Roman"/>
          <w:lang w:eastAsia="fr-FR"/>
        </w:rPr>
        <w:t>might</w:t>
      </w:r>
      <w:r w:rsidR="007F6D07" w:rsidRPr="00A9681B">
        <w:rPr>
          <w:rFonts w:eastAsia="Times New Roman"/>
          <w:lang w:eastAsia="fr-FR"/>
        </w:rPr>
        <w:t xml:space="preserve"> have indirectly interfered with the applicant</w:t>
      </w:r>
      <w:r w:rsidR="00BD1026" w:rsidRPr="00A9681B">
        <w:rPr>
          <w:rFonts w:eastAsia="Times New Roman"/>
          <w:lang w:eastAsia="fr-FR"/>
        </w:rPr>
        <w:t xml:space="preserve"> companies</w:t>
      </w:r>
      <w:r w:rsidR="00A9681B" w:rsidRPr="00A9681B">
        <w:rPr>
          <w:rFonts w:eastAsia="Times New Roman"/>
          <w:lang w:eastAsia="fr-FR"/>
        </w:rPr>
        <w:t>’</w:t>
      </w:r>
      <w:r w:rsidR="007F6D07" w:rsidRPr="00A9681B">
        <w:rPr>
          <w:rFonts w:eastAsia="Times New Roman"/>
          <w:lang w:eastAsia="fr-FR"/>
        </w:rPr>
        <w:t xml:space="preserve"> financial interests, such interference </w:t>
      </w:r>
      <w:r w:rsidRPr="00A9681B">
        <w:rPr>
          <w:rFonts w:eastAsia="Times New Roman"/>
          <w:lang w:eastAsia="fr-FR"/>
        </w:rPr>
        <w:t xml:space="preserve">had </w:t>
      </w:r>
      <w:r w:rsidR="007F6D07" w:rsidRPr="00A9681B">
        <w:rPr>
          <w:rFonts w:eastAsia="Times New Roman"/>
          <w:lang w:eastAsia="fr-FR"/>
        </w:rPr>
        <w:t xml:space="preserve">complied with the requirements of Article 1 of Protocol No 1. The measure complained </w:t>
      </w:r>
      <w:r w:rsidR="003C021B" w:rsidRPr="00A9681B">
        <w:rPr>
          <w:rFonts w:eastAsia="Times New Roman"/>
          <w:lang w:eastAsia="fr-FR"/>
        </w:rPr>
        <w:t xml:space="preserve">of </w:t>
      </w:r>
      <w:r w:rsidR="00316F38" w:rsidRPr="00A9681B">
        <w:rPr>
          <w:rFonts w:eastAsia="Times New Roman"/>
          <w:lang w:eastAsia="fr-FR"/>
        </w:rPr>
        <w:t>was lawful</w:t>
      </w:r>
      <w:r w:rsidRPr="00A9681B">
        <w:rPr>
          <w:rFonts w:eastAsia="Times New Roman"/>
          <w:lang w:eastAsia="fr-FR"/>
        </w:rPr>
        <w:t xml:space="preserve">; </w:t>
      </w:r>
      <w:r w:rsidR="007F6D07" w:rsidRPr="00A9681B">
        <w:rPr>
          <w:rFonts w:eastAsia="Times New Roman"/>
          <w:lang w:eastAsia="fr-FR"/>
        </w:rPr>
        <w:t>it allowed sufficient time for the applicant</w:t>
      </w:r>
      <w:r w:rsidR="00BD1026" w:rsidRPr="00A9681B">
        <w:rPr>
          <w:rFonts w:eastAsia="Times New Roman"/>
          <w:lang w:eastAsia="fr-FR"/>
        </w:rPr>
        <w:t xml:space="preserve"> companies</w:t>
      </w:r>
      <w:r w:rsidR="007F6D07" w:rsidRPr="00A9681B">
        <w:rPr>
          <w:rFonts w:eastAsia="Times New Roman"/>
          <w:lang w:eastAsia="fr-FR"/>
        </w:rPr>
        <w:t xml:space="preserve"> to adjust their business </w:t>
      </w:r>
      <w:r w:rsidR="003C021B" w:rsidRPr="00A9681B">
        <w:rPr>
          <w:rFonts w:eastAsia="Times New Roman"/>
          <w:lang w:eastAsia="fr-FR"/>
        </w:rPr>
        <w:t xml:space="preserve">practice </w:t>
      </w:r>
      <w:r w:rsidR="007F6D07" w:rsidRPr="00A9681B">
        <w:rPr>
          <w:rFonts w:eastAsia="Times New Roman"/>
          <w:lang w:eastAsia="fr-FR"/>
        </w:rPr>
        <w:t>to the new circumstances</w:t>
      </w:r>
      <w:r w:rsidR="003C021B" w:rsidRPr="00A9681B">
        <w:rPr>
          <w:rFonts w:eastAsia="Times New Roman"/>
          <w:lang w:eastAsia="fr-FR"/>
        </w:rPr>
        <w:t>,</w:t>
      </w:r>
      <w:r w:rsidR="007F6D07" w:rsidRPr="00A9681B">
        <w:rPr>
          <w:rFonts w:eastAsia="Times New Roman"/>
          <w:lang w:eastAsia="fr-FR"/>
        </w:rPr>
        <w:t xml:space="preserve"> and did not interfere with the existing contracts between the applicant</w:t>
      </w:r>
      <w:r w:rsidR="00BD1026" w:rsidRPr="00A9681B">
        <w:rPr>
          <w:rFonts w:eastAsia="Times New Roman"/>
          <w:lang w:eastAsia="fr-FR"/>
        </w:rPr>
        <w:t xml:space="preserve"> companies</w:t>
      </w:r>
      <w:r w:rsidR="007F6D07" w:rsidRPr="00A9681B">
        <w:rPr>
          <w:rFonts w:eastAsia="Times New Roman"/>
          <w:lang w:eastAsia="fr-FR"/>
        </w:rPr>
        <w:t xml:space="preserve"> and their clients. Further</w:t>
      </w:r>
      <w:r w:rsidR="00B6382E" w:rsidRPr="00A9681B">
        <w:rPr>
          <w:rFonts w:eastAsia="Times New Roman"/>
          <w:lang w:eastAsia="fr-FR"/>
        </w:rPr>
        <w:t>more</w:t>
      </w:r>
      <w:r w:rsidR="007F6D07" w:rsidRPr="00A9681B">
        <w:rPr>
          <w:rFonts w:eastAsia="Times New Roman"/>
          <w:lang w:eastAsia="fr-FR"/>
        </w:rPr>
        <w:t xml:space="preserve">, as to the existence of </w:t>
      </w:r>
      <w:r w:rsidR="00B6382E" w:rsidRPr="00A9681B">
        <w:rPr>
          <w:rFonts w:eastAsia="Times New Roman"/>
          <w:lang w:eastAsia="fr-FR"/>
        </w:rPr>
        <w:t xml:space="preserve">a </w:t>
      </w:r>
      <w:r w:rsidR="001B0774" w:rsidRPr="00A9681B">
        <w:rPr>
          <w:rFonts w:eastAsia="Times New Roman"/>
          <w:lang w:eastAsia="fr-FR"/>
        </w:rPr>
        <w:t>general interest</w:t>
      </w:r>
      <w:r w:rsidR="007F6D07" w:rsidRPr="00A9681B">
        <w:rPr>
          <w:rFonts w:eastAsia="Times New Roman"/>
          <w:lang w:eastAsia="fr-FR"/>
        </w:rPr>
        <w:t>, the Government stressed that the New Regulations</w:t>
      </w:r>
      <w:r w:rsidR="00A9681B" w:rsidRPr="00A9681B">
        <w:rPr>
          <w:rFonts w:eastAsia="Times New Roman"/>
          <w:lang w:eastAsia="fr-FR"/>
        </w:rPr>
        <w:t>’</w:t>
      </w:r>
      <w:r w:rsidR="007F6D07" w:rsidRPr="00A9681B">
        <w:rPr>
          <w:rFonts w:eastAsia="Times New Roman"/>
          <w:lang w:eastAsia="fr-FR"/>
        </w:rPr>
        <w:t xml:space="preserve"> legislative objectives could </w:t>
      </w:r>
      <w:r w:rsidR="00B6382E" w:rsidRPr="00A9681B">
        <w:rPr>
          <w:rFonts w:eastAsia="Times New Roman"/>
          <w:lang w:eastAsia="fr-FR"/>
        </w:rPr>
        <w:t xml:space="preserve">be </w:t>
      </w:r>
      <w:r w:rsidR="007F6D07" w:rsidRPr="00A9681B">
        <w:rPr>
          <w:rFonts w:eastAsia="Times New Roman"/>
          <w:lang w:eastAsia="fr-FR"/>
        </w:rPr>
        <w:t>clearly identified</w:t>
      </w:r>
      <w:r w:rsidR="007F6D07" w:rsidRPr="00A9681B">
        <w:rPr>
          <w:sz w:val="23"/>
          <w:szCs w:val="23"/>
        </w:rPr>
        <w:t xml:space="preserve"> </w:t>
      </w:r>
      <w:r w:rsidR="007F6D07" w:rsidRPr="00A9681B">
        <w:rPr>
          <w:rFonts w:eastAsia="Times New Roman"/>
          <w:lang w:eastAsia="fr-FR"/>
        </w:rPr>
        <w:t xml:space="preserve">from the </w:t>
      </w:r>
      <w:r w:rsidR="00B6382E" w:rsidRPr="00A9681B">
        <w:rPr>
          <w:rFonts w:eastAsia="Times New Roman"/>
          <w:lang w:eastAsia="fr-FR"/>
        </w:rPr>
        <w:t>legislature</w:t>
      </w:r>
      <w:r w:rsidR="00A9681B" w:rsidRPr="00A9681B">
        <w:rPr>
          <w:rFonts w:eastAsia="Times New Roman"/>
          <w:lang w:eastAsia="fr-FR"/>
        </w:rPr>
        <w:t>’</w:t>
      </w:r>
      <w:r w:rsidR="00B6382E" w:rsidRPr="00A9681B">
        <w:rPr>
          <w:rFonts w:eastAsia="Times New Roman"/>
          <w:lang w:eastAsia="fr-FR"/>
        </w:rPr>
        <w:t xml:space="preserve">s </w:t>
      </w:r>
      <w:r w:rsidR="007F6D07" w:rsidRPr="00A9681B">
        <w:rPr>
          <w:rFonts w:eastAsia="Times New Roman"/>
          <w:lang w:eastAsia="fr-FR"/>
        </w:rPr>
        <w:t>explanation attached to the amendment proposals</w:t>
      </w:r>
      <w:r w:rsidRPr="00A9681B">
        <w:rPr>
          <w:rFonts w:eastAsia="Times New Roman"/>
          <w:lang w:eastAsia="fr-FR"/>
        </w:rPr>
        <w:t xml:space="preserve"> (</w:t>
      </w:r>
      <w:r w:rsidR="00CC5F65" w:rsidRPr="00A9681B">
        <w:rPr>
          <w:rFonts w:eastAsia="Times New Roman"/>
          <w:lang w:eastAsia="fr-FR"/>
        </w:rPr>
        <w:t>see paragraph</w:t>
      </w:r>
      <w:r w:rsidR="00697D41" w:rsidRPr="00A9681B">
        <w:rPr>
          <w:rFonts w:eastAsia="Times New Roman"/>
          <w:lang w:eastAsia="fr-FR"/>
        </w:rPr>
        <w:t> </w:t>
      </w:r>
      <w:r w:rsidR="003807CD" w:rsidRPr="00A9681B">
        <w:rPr>
          <w:rFonts w:eastAsia="Times New Roman"/>
          <w:lang w:eastAsia="fr-FR"/>
        </w:rPr>
        <w:fldChar w:fldCharType="begin"/>
      </w:r>
      <w:r w:rsidR="003807CD" w:rsidRPr="00A9681B">
        <w:rPr>
          <w:rFonts w:eastAsia="Times New Roman"/>
          <w:lang w:eastAsia="fr-FR"/>
        </w:rPr>
        <w:instrText xml:space="preserve"> REF T3 \h </w:instrText>
      </w:r>
      <w:r w:rsidR="00E06CE1" w:rsidRPr="00A9681B">
        <w:rPr>
          <w:rFonts w:eastAsia="Times New Roman"/>
          <w:lang w:eastAsia="fr-FR"/>
        </w:rPr>
        <w:instrText xml:space="preserve"> \* MERGEFORMAT </w:instrText>
      </w:r>
      <w:r w:rsidR="003807CD" w:rsidRPr="00A9681B">
        <w:rPr>
          <w:rFonts w:eastAsia="Times New Roman"/>
          <w:lang w:eastAsia="fr-FR"/>
        </w:rPr>
      </w:r>
      <w:r w:rsidR="003807CD" w:rsidRPr="00A9681B">
        <w:rPr>
          <w:rFonts w:eastAsia="Times New Roman"/>
          <w:lang w:eastAsia="fr-FR"/>
        </w:rPr>
        <w:fldChar w:fldCharType="separate"/>
      </w:r>
      <w:r w:rsidR="00A9681B" w:rsidRPr="00A9681B">
        <w:rPr>
          <w:rFonts w:eastAsia="Times New Roman"/>
          <w:noProof/>
          <w:lang w:eastAsia="fr-FR"/>
        </w:rPr>
        <w:t>14</w:t>
      </w:r>
      <w:r w:rsidR="003807CD" w:rsidRPr="00A9681B">
        <w:rPr>
          <w:rFonts w:eastAsia="Times New Roman"/>
          <w:lang w:eastAsia="fr-FR"/>
        </w:rPr>
        <w:fldChar w:fldCharType="end"/>
      </w:r>
      <w:r w:rsidRPr="00A9681B">
        <w:rPr>
          <w:rFonts w:eastAsia="Times New Roman"/>
          <w:lang w:eastAsia="fr-FR"/>
        </w:rPr>
        <w:t xml:space="preserve"> above). </w:t>
      </w:r>
      <w:r w:rsidR="00495555" w:rsidRPr="00A9681B">
        <w:rPr>
          <w:rFonts w:eastAsia="Times New Roman"/>
          <w:lang w:eastAsia="fr-FR"/>
        </w:rPr>
        <w:t xml:space="preserve">The Government </w:t>
      </w:r>
      <w:r w:rsidR="00E27B90" w:rsidRPr="00A9681B">
        <w:rPr>
          <w:rFonts w:eastAsia="Times New Roman"/>
          <w:lang w:eastAsia="fr-FR"/>
        </w:rPr>
        <w:t>argued</w:t>
      </w:r>
      <w:r w:rsidR="00495555" w:rsidRPr="00A9681B">
        <w:rPr>
          <w:rFonts w:eastAsia="Times New Roman"/>
          <w:lang w:eastAsia="fr-FR"/>
        </w:rPr>
        <w:t xml:space="preserve"> that </w:t>
      </w:r>
      <w:r w:rsidR="008F2839" w:rsidRPr="00A9681B">
        <w:rPr>
          <w:rFonts w:eastAsia="Times New Roman"/>
          <w:lang w:eastAsia="fr-FR"/>
        </w:rPr>
        <w:t xml:space="preserve">the schoolbook </w:t>
      </w:r>
      <w:r w:rsidR="00232524" w:rsidRPr="00A9681B">
        <w:rPr>
          <w:rFonts w:eastAsia="Times New Roman"/>
          <w:lang w:eastAsia="fr-FR"/>
        </w:rPr>
        <w:t>market</w:t>
      </w:r>
      <w:r w:rsidR="008F2839" w:rsidRPr="00A9681B">
        <w:rPr>
          <w:rFonts w:eastAsia="Times New Roman"/>
          <w:lang w:eastAsia="fr-FR"/>
        </w:rPr>
        <w:t xml:space="preserve"> </w:t>
      </w:r>
      <w:r w:rsidR="00E27B90" w:rsidRPr="00A9681B">
        <w:rPr>
          <w:rFonts w:ascii="Times New Roman" w:eastAsia="Times New Roman" w:hAnsi="Times New Roman" w:cs="Times New Roman"/>
        </w:rPr>
        <w:t>had been</w:t>
      </w:r>
      <w:r w:rsidR="00232524" w:rsidRPr="00A9681B">
        <w:rPr>
          <w:rFonts w:ascii="Times New Roman" w:eastAsia="Times New Roman" w:hAnsi="Times New Roman" w:cs="Times New Roman"/>
        </w:rPr>
        <w:t xml:space="preserve"> a distorted </w:t>
      </w:r>
      <w:r w:rsidR="003C0DDA" w:rsidRPr="00A9681B">
        <w:rPr>
          <w:rFonts w:ascii="Times New Roman" w:eastAsia="Times New Roman" w:hAnsi="Times New Roman" w:cs="Times New Roman"/>
        </w:rPr>
        <w:t>one</w:t>
      </w:r>
      <w:r w:rsidR="00232524" w:rsidRPr="00A9681B">
        <w:rPr>
          <w:rFonts w:ascii="Times New Roman" w:eastAsia="Times New Roman" w:hAnsi="Times New Roman" w:cs="Times New Roman"/>
        </w:rPr>
        <w:t xml:space="preserve"> </w:t>
      </w:r>
      <w:r w:rsidR="00232524" w:rsidRPr="00A9681B">
        <w:rPr>
          <w:rFonts w:eastAsia="Times New Roman"/>
          <w:lang w:eastAsia="fr-FR"/>
        </w:rPr>
        <w:t>where</w:t>
      </w:r>
      <w:r w:rsidR="008F2839" w:rsidRPr="00A9681B">
        <w:rPr>
          <w:rFonts w:eastAsia="Times New Roman"/>
          <w:lang w:eastAsia="fr-FR"/>
        </w:rPr>
        <w:t xml:space="preserve"> </w:t>
      </w:r>
      <w:r w:rsidR="00E27B90" w:rsidRPr="00A9681B">
        <w:rPr>
          <w:rFonts w:eastAsia="Times New Roman"/>
          <w:lang w:eastAsia="fr-FR"/>
        </w:rPr>
        <w:t>the end-</w:t>
      </w:r>
      <w:r w:rsidR="008F2839" w:rsidRPr="00A9681B">
        <w:rPr>
          <w:rFonts w:eastAsia="Times New Roman"/>
          <w:lang w:eastAsia="fr-FR"/>
        </w:rPr>
        <w:t>consumers (</w:t>
      </w:r>
      <w:r w:rsidR="003C0DDA" w:rsidRPr="00A9681B">
        <w:rPr>
          <w:rFonts w:eastAsia="Times New Roman"/>
          <w:lang w:eastAsia="fr-FR"/>
        </w:rPr>
        <w:t xml:space="preserve">that is, </w:t>
      </w:r>
      <w:r w:rsidR="008F2839" w:rsidRPr="00A9681B">
        <w:rPr>
          <w:rFonts w:eastAsia="Times New Roman"/>
          <w:lang w:eastAsia="fr-FR"/>
        </w:rPr>
        <w:t xml:space="preserve">the pupils or their parents) </w:t>
      </w:r>
      <w:r w:rsidR="003C0DDA" w:rsidRPr="00A9681B">
        <w:rPr>
          <w:rFonts w:eastAsia="Times New Roman"/>
          <w:lang w:eastAsia="fr-FR"/>
        </w:rPr>
        <w:t>did</w:t>
      </w:r>
      <w:r w:rsidR="008F2839" w:rsidRPr="00A9681B">
        <w:rPr>
          <w:rFonts w:eastAsia="Times New Roman"/>
          <w:lang w:eastAsia="fr-FR"/>
        </w:rPr>
        <w:t xml:space="preserve"> not </w:t>
      </w:r>
      <w:r w:rsidR="003C0DDA" w:rsidRPr="00A9681B">
        <w:rPr>
          <w:rFonts w:eastAsia="Times New Roman"/>
          <w:lang w:eastAsia="fr-FR"/>
        </w:rPr>
        <w:t xml:space="preserve">freely </w:t>
      </w:r>
      <w:r w:rsidR="008F2839" w:rsidRPr="00A9681B">
        <w:rPr>
          <w:rFonts w:eastAsia="Times New Roman"/>
          <w:lang w:eastAsia="fr-FR"/>
        </w:rPr>
        <w:t xml:space="preserve">select the product </w:t>
      </w:r>
      <w:r w:rsidR="00E27B90" w:rsidRPr="00A9681B">
        <w:rPr>
          <w:rFonts w:eastAsia="Times New Roman"/>
          <w:lang w:eastAsia="fr-FR"/>
        </w:rPr>
        <w:t>and</w:t>
      </w:r>
      <w:r w:rsidR="000D1AE0" w:rsidRPr="00A9681B">
        <w:rPr>
          <w:rFonts w:eastAsia="Times New Roman"/>
          <w:lang w:eastAsia="fr-FR"/>
        </w:rPr>
        <w:t xml:space="preserve"> the</w:t>
      </w:r>
      <w:r w:rsidR="008F2839" w:rsidRPr="00A9681B">
        <w:rPr>
          <w:rFonts w:eastAsia="Times New Roman"/>
          <w:lang w:eastAsia="fr-FR"/>
        </w:rPr>
        <w:t xml:space="preserve"> </w:t>
      </w:r>
      <w:r w:rsidR="000D1AE0" w:rsidRPr="00A9681B">
        <w:rPr>
          <w:rFonts w:eastAsia="Times New Roman"/>
          <w:lang w:eastAsia="fr-FR"/>
        </w:rPr>
        <w:t xml:space="preserve">product </w:t>
      </w:r>
      <w:r w:rsidR="003C0DDA" w:rsidRPr="00A9681B">
        <w:rPr>
          <w:rFonts w:eastAsia="Times New Roman"/>
          <w:lang w:eastAsia="fr-FR"/>
        </w:rPr>
        <w:t>was</w:t>
      </w:r>
      <w:r w:rsidR="008F2839" w:rsidRPr="00A9681B">
        <w:rPr>
          <w:rFonts w:eastAsia="Times New Roman"/>
          <w:lang w:eastAsia="fr-FR"/>
        </w:rPr>
        <w:t xml:space="preserve"> not paid for by the schools or </w:t>
      </w:r>
      <w:r w:rsidR="00E27B90" w:rsidRPr="00A9681B">
        <w:rPr>
          <w:rFonts w:eastAsia="Times New Roman"/>
          <w:lang w:eastAsia="fr-FR"/>
        </w:rPr>
        <w:t xml:space="preserve">the </w:t>
      </w:r>
      <w:r w:rsidR="008F2839" w:rsidRPr="00A9681B">
        <w:rPr>
          <w:rFonts w:eastAsia="Times New Roman"/>
          <w:lang w:eastAsia="fr-FR"/>
        </w:rPr>
        <w:t xml:space="preserve">teachers </w:t>
      </w:r>
      <w:r w:rsidR="000D1AE0" w:rsidRPr="00A9681B">
        <w:rPr>
          <w:rFonts w:eastAsia="Times New Roman"/>
          <w:lang w:eastAsia="fr-FR"/>
        </w:rPr>
        <w:t xml:space="preserve">who actually </w:t>
      </w:r>
      <w:r w:rsidR="008F2839" w:rsidRPr="00A9681B">
        <w:rPr>
          <w:rFonts w:eastAsia="Times New Roman"/>
          <w:lang w:eastAsia="fr-FR"/>
        </w:rPr>
        <w:t>select</w:t>
      </w:r>
      <w:r w:rsidR="003C0DDA" w:rsidRPr="00A9681B">
        <w:rPr>
          <w:rFonts w:eastAsia="Times New Roman"/>
          <w:lang w:eastAsia="fr-FR"/>
        </w:rPr>
        <w:t>ed</w:t>
      </w:r>
      <w:r w:rsidR="000D1AE0" w:rsidRPr="00A9681B">
        <w:rPr>
          <w:rFonts w:eastAsia="Times New Roman"/>
          <w:lang w:eastAsia="fr-FR"/>
        </w:rPr>
        <w:t xml:space="preserve"> them</w:t>
      </w:r>
      <w:r w:rsidR="003C0DDA" w:rsidRPr="00A9681B">
        <w:rPr>
          <w:rFonts w:eastAsia="Times New Roman"/>
          <w:lang w:eastAsia="fr-FR"/>
        </w:rPr>
        <w:t>.</w:t>
      </w:r>
    </w:p>
    <w:p w:rsidR="007D502E" w:rsidRPr="00A9681B" w:rsidRDefault="004A1363"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36</w:t>
      </w:r>
      <w:r w:rsidRPr="00A9681B">
        <w:rPr>
          <w:rFonts w:eastAsia="Times New Roman"/>
          <w:lang w:eastAsia="fr-FR"/>
        </w:rPr>
        <w:fldChar w:fldCharType="end"/>
      </w:r>
      <w:r w:rsidRPr="00A9681B">
        <w:rPr>
          <w:rFonts w:eastAsia="Times New Roman"/>
          <w:lang w:eastAsia="fr-FR"/>
        </w:rPr>
        <w:t>.  </w:t>
      </w:r>
      <w:r w:rsidR="001B6C4C" w:rsidRPr="00A9681B">
        <w:rPr>
          <w:rFonts w:eastAsia="Times New Roman"/>
          <w:lang w:eastAsia="fr-FR"/>
        </w:rPr>
        <w:t>The Government</w:t>
      </w:r>
      <w:r w:rsidR="00B6382E" w:rsidRPr="00A9681B">
        <w:rPr>
          <w:rFonts w:eastAsia="Times New Roman"/>
          <w:lang w:eastAsia="fr-FR"/>
        </w:rPr>
        <w:t xml:space="preserve"> emphasised</w:t>
      </w:r>
      <w:r w:rsidR="001B6C4C" w:rsidRPr="00A9681B">
        <w:rPr>
          <w:rFonts w:eastAsia="Times New Roman"/>
          <w:lang w:eastAsia="fr-FR"/>
        </w:rPr>
        <w:t xml:space="preserve">, however, </w:t>
      </w:r>
      <w:r w:rsidR="007D502E" w:rsidRPr="00A9681B">
        <w:rPr>
          <w:rFonts w:eastAsia="Times New Roman"/>
          <w:lang w:eastAsia="fr-FR"/>
        </w:rPr>
        <w:t xml:space="preserve">that the primary reason for introducing the impugned legislation had been to strengthen the market position of the procurer </w:t>
      </w:r>
      <w:r w:rsidR="007D502E" w:rsidRPr="00A9681B">
        <w:rPr>
          <w:rFonts w:eastAsia="Times New Roman"/>
          <w:i/>
          <w:lang w:eastAsia="fr-FR"/>
        </w:rPr>
        <w:t>vis-à-vis</w:t>
      </w:r>
      <w:r w:rsidR="007D502E" w:rsidRPr="00A9681B">
        <w:rPr>
          <w:rFonts w:eastAsia="Times New Roman"/>
          <w:lang w:eastAsia="fr-FR"/>
        </w:rPr>
        <w:t xml:space="preserve"> the publishers in order to ensure more efficient spending of public funds, rather than addressing any potential market distortions. The</w:t>
      </w:r>
      <w:r w:rsidR="00B6382E" w:rsidRPr="00A9681B">
        <w:rPr>
          <w:rFonts w:eastAsia="Times New Roman"/>
          <w:lang w:eastAsia="fr-FR"/>
        </w:rPr>
        <w:t>y</w:t>
      </w:r>
      <w:r w:rsidR="007D502E" w:rsidRPr="00A9681B">
        <w:rPr>
          <w:rFonts w:eastAsia="Times New Roman"/>
          <w:lang w:eastAsia="fr-FR"/>
        </w:rPr>
        <w:t xml:space="preserve"> added that the market had been rather static in that schools had not changed textbooks (publishers) easily</w:t>
      </w:r>
      <w:r w:rsidR="00B6382E" w:rsidRPr="00A9681B">
        <w:rPr>
          <w:rFonts w:eastAsia="Times New Roman"/>
          <w:lang w:eastAsia="fr-FR"/>
        </w:rPr>
        <w:t>, whereas</w:t>
      </w:r>
      <w:r w:rsidR="007D502E" w:rsidRPr="00A9681B">
        <w:rPr>
          <w:rFonts w:eastAsia="Times New Roman"/>
          <w:lang w:eastAsia="fr-FR"/>
        </w:rPr>
        <w:t xml:space="preserve"> at the same time, schools were often ready to change distributors for higher premiums. The Government maintained that the impugned measure was thus justified, since the State could not be compelled to maintain an irrational system of budgetary expenditure.</w:t>
      </w:r>
    </w:p>
    <w:p w:rsidR="00766713" w:rsidRPr="00A9681B" w:rsidRDefault="00877698" w:rsidP="00A9681B">
      <w:pPr>
        <w:pStyle w:val="ECHRPara"/>
        <w:rPr>
          <w:rFonts w:eastAsia="Times New Roman"/>
          <w:lang w:eastAsia="fr-FR"/>
        </w:rPr>
      </w:pPr>
      <w:r w:rsidRPr="00A9681B">
        <w:rPr>
          <w:rFonts w:eastAsia="Times New Roman"/>
        </w:rPr>
        <w:fldChar w:fldCharType="begin"/>
      </w:r>
      <w:r w:rsidRPr="00A9681B">
        <w:rPr>
          <w:rFonts w:eastAsia="Times New Roman"/>
        </w:rPr>
        <w:instrText xml:space="preserve"> SEQ level0 \*arabic </w:instrText>
      </w:r>
      <w:r w:rsidRPr="00A9681B">
        <w:rPr>
          <w:rFonts w:eastAsia="Times New Roman"/>
        </w:rPr>
        <w:fldChar w:fldCharType="separate"/>
      </w:r>
      <w:r w:rsidR="00A9681B" w:rsidRPr="00A9681B">
        <w:rPr>
          <w:rFonts w:eastAsia="Times New Roman"/>
          <w:noProof/>
        </w:rPr>
        <w:t>37</w:t>
      </w:r>
      <w:r w:rsidRPr="00A9681B">
        <w:rPr>
          <w:rFonts w:eastAsia="Times New Roman"/>
        </w:rPr>
        <w:fldChar w:fldCharType="end"/>
      </w:r>
      <w:r w:rsidRPr="00A9681B">
        <w:rPr>
          <w:rFonts w:eastAsia="Times New Roman"/>
        </w:rPr>
        <w:t>.  The applicant</w:t>
      </w:r>
      <w:r w:rsidR="00BD1026" w:rsidRPr="00A9681B">
        <w:rPr>
          <w:rFonts w:eastAsia="Times New Roman"/>
        </w:rPr>
        <w:t xml:space="preserve"> </w:t>
      </w:r>
      <w:r w:rsidR="00BD1026" w:rsidRPr="00A9681B">
        <w:rPr>
          <w:rFonts w:eastAsia="Times New Roman"/>
          <w:lang w:eastAsia="fr-FR"/>
        </w:rPr>
        <w:t>companies</w:t>
      </w:r>
      <w:r w:rsidRPr="00A9681B">
        <w:rPr>
          <w:rFonts w:eastAsia="Times New Roman"/>
        </w:rPr>
        <w:t xml:space="preserve"> argued that c</w:t>
      </w:r>
      <w:r w:rsidR="00B842A6" w:rsidRPr="00A9681B">
        <w:rPr>
          <w:rFonts w:eastAsia="Times New Roman"/>
          <w:lang w:eastAsia="fr-FR"/>
        </w:rPr>
        <w:t>reating a S</w:t>
      </w:r>
      <w:r w:rsidR="00547F1B" w:rsidRPr="00A9681B">
        <w:rPr>
          <w:rFonts w:eastAsia="Times New Roman"/>
          <w:lang w:eastAsia="fr-FR"/>
        </w:rPr>
        <w:t>tate-</w:t>
      </w:r>
      <w:r w:rsidRPr="00A9681B">
        <w:rPr>
          <w:rFonts w:eastAsia="Times New Roman"/>
          <w:lang w:eastAsia="fr-FR"/>
        </w:rPr>
        <w:t xml:space="preserve">owned entity and centralising </w:t>
      </w:r>
      <w:r w:rsidR="00FE429A" w:rsidRPr="00A9681B">
        <w:rPr>
          <w:rFonts w:eastAsia="Times New Roman"/>
          <w:lang w:eastAsia="fr-FR"/>
        </w:rPr>
        <w:t xml:space="preserve">within such an entity </w:t>
      </w:r>
      <w:r w:rsidR="00014F59" w:rsidRPr="00A9681B">
        <w:rPr>
          <w:rFonts w:eastAsia="Times New Roman"/>
          <w:lang w:eastAsia="fr-FR"/>
        </w:rPr>
        <w:t xml:space="preserve">a </w:t>
      </w:r>
      <w:r w:rsidRPr="00A9681B">
        <w:rPr>
          <w:rFonts w:eastAsia="Times New Roman"/>
          <w:lang w:eastAsia="fr-FR"/>
        </w:rPr>
        <w:t xml:space="preserve">formerly decentralised economic activity </w:t>
      </w:r>
      <w:r w:rsidR="00014F59" w:rsidRPr="00A9681B">
        <w:rPr>
          <w:rFonts w:eastAsia="Times New Roman"/>
          <w:lang w:eastAsia="fr-FR"/>
        </w:rPr>
        <w:t>on an unregulated market</w:t>
      </w:r>
      <w:r w:rsidRPr="00A9681B">
        <w:rPr>
          <w:rFonts w:eastAsia="Times New Roman"/>
          <w:lang w:eastAsia="fr-FR"/>
        </w:rPr>
        <w:t xml:space="preserve"> qualified as monopolisation</w:t>
      </w:r>
      <w:r w:rsidR="002D6A39" w:rsidRPr="00A9681B">
        <w:rPr>
          <w:rFonts w:eastAsia="Times New Roman"/>
          <w:lang w:eastAsia="fr-FR"/>
        </w:rPr>
        <w:t>,</w:t>
      </w:r>
      <w:r w:rsidRPr="00A9681B">
        <w:rPr>
          <w:rFonts w:eastAsia="Times New Roman"/>
          <w:lang w:eastAsia="fr-FR"/>
        </w:rPr>
        <w:t xml:space="preserve"> and as such amounted to an interference </w:t>
      </w:r>
      <w:r w:rsidRPr="00A9681B">
        <w:rPr>
          <w:rFonts w:eastAsia="Times New Roman"/>
        </w:rPr>
        <w:t xml:space="preserve">with </w:t>
      </w:r>
      <w:r w:rsidR="00014F59" w:rsidRPr="00A9681B">
        <w:rPr>
          <w:rFonts w:eastAsia="Times New Roman"/>
        </w:rPr>
        <w:t>their</w:t>
      </w:r>
      <w:r w:rsidRPr="00A9681B">
        <w:rPr>
          <w:rFonts w:eastAsia="Times New Roman"/>
        </w:rPr>
        <w:t xml:space="preserve"> right to peaceful enjoyment of</w:t>
      </w:r>
      <w:r w:rsidR="00233623" w:rsidRPr="00A9681B">
        <w:rPr>
          <w:rFonts w:eastAsia="Times New Roman"/>
        </w:rPr>
        <w:t xml:space="preserve"> their</w:t>
      </w:r>
      <w:r w:rsidRPr="00A9681B">
        <w:rPr>
          <w:rFonts w:eastAsia="Times New Roman"/>
        </w:rPr>
        <w:t xml:space="preserve"> possessions</w:t>
      </w:r>
      <w:r w:rsidRPr="00A9681B">
        <w:rPr>
          <w:rFonts w:eastAsia="Times New Roman"/>
          <w:lang w:eastAsia="fr-FR"/>
        </w:rPr>
        <w:t xml:space="preserve">. </w:t>
      </w:r>
      <w:r w:rsidR="009723A2" w:rsidRPr="00A9681B">
        <w:rPr>
          <w:rFonts w:eastAsia="Times New Roman"/>
          <w:lang w:eastAsia="fr-FR"/>
        </w:rPr>
        <w:t xml:space="preserve">They stressed that </w:t>
      </w:r>
      <w:r w:rsidR="006C2BD3" w:rsidRPr="00A9681B">
        <w:rPr>
          <w:rFonts w:eastAsia="Times New Roman"/>
          <w:lang w:eastAsia="fr-FR"/>
        </w:rPr>
        <w:t>the New Regulations did not comply with the requirement of lawfulness</w:t>
      </w:r>
      <w:r w:rsidR="00C25AA7" w:rsidRPr="00A9681B">
        <w:rPr>
          <w:rFonts w:eastAsia="Times New Roman"/>
          <w:lang w:eastAsia="fr-FR"/>
        </w:rPr>
        <w:t>:</w:t>
      </w:r>
      <w:r w:rsidR="006C2BD3" w:rsidRPr="00A9681B">
        <w:rPr>
          <w:rFonts w:eastAsia="Times New Roman"/>
          <w:lang w:eastAsia="fr-FR"/>
        </w:rPr>
        <w:t xml:space="preserve"> </w:t>
      </w:r>
      <w:r w:rsidR="00C25AA7" w:rsidRPr="00A9681B">
        <w:rPr>
          <w:rFonts w:eastAsia="Times New Roman"/>
          <w:lang w:eastAsia="fr-FR"/>
        </w:rPr>
        <w:t xml:space="preserve">as </w:t>
      </w:r>
      <w:r w:rsidR="0025332D" w:rsidRPr="00A9681B">
        <w:rPr>
          <w:rFonts w:eastAsia="Times New Roman"/>
          <w:lang w:eastAsia="fr-FR"/>
        </w:rPr>
        <w:t xml:space="preserve">the State had not provided </w:t>
      </w:r>
      <w:r w:rsidR="00C25AA7" w:rsidRPr="00A9681B">
        <w:rPr>
          <w:rFonts w:eastAsia="Times New Roman"/>
          <w:lang w:eastAsia="fr-FR"/>
        </w:rPr>
        <w:t xml:space="preserve">for a </w:t>
      </w:r>
      <w:r w:rsidR="009D3C69" w:rsidRPr="00A9681B">
        <w:rPr>
          <w:rFonts w:eastAsia="Times New Roman"/>
          <w:lang w:eastAsia="fr-FR"/>
        </w:rPr>
        <w:t>sufficient transitional period</w:t>
      </w:r>
      <w:r w:rsidR="00014F59" w:rsidRPr="00A9681B">
        <w:rPr>
          <w:rFonts w:eastAsia="Times New Roman"/>
          <w:lang w:eastAsia="fr-FR"/>
        </w:rPr>
        <w:t xml:space="preserve">, </w:t>
      </w:r>
      <w:r w:rsidR="009D3C69" w:rsidRPr="00A9681B">
        <w:rPr>
          <w:rFonts w:eastAsia="Times New Roman"/>
          <w:lang w:eastAsia="fr-FR"/>
        </w:rPr>
        <w:t xml:space="preserve">the impugned legislation </w:t>
      </w:r>
      <w:r w:rsidR="006C2BD3" w:rsidRPr="00A9681B">
        <w:rPr>
          <w:rFonts w:eastAsia="Times New Roman"/>
          <w:lang w:eastAsia="fr-FR"/>
        </w:rPr>
        <w:t>violate</w:t>
      </w:r>
      <w:r w:rsidR="00CB53F2" w:rsidRPr="00A9681B">
        <w:rPr>
          <w:rFonts w:eastAsia="Times New Roman"/>
          <w:lang w:eastAsia="fr-FR"/>
        </w:rPr>
        <w:t>d</w:t>
      </w:r>
      <w:r w:rsidR="006C2BD3" w:rsidRPr="00A9681B">
        <w:rPr>
          <w:rFonts w:eastAsia="Times New Roman"/>
          <w:lang w:eastAsia="fr-FR"/>
        </w:rPr>
        <w:t xml:space="preserve"> customary international law and the Fundamental </w:t>
      </w:r>
      <w:r w:rsidR="00014F59" w:rsidRPr="00A9681B">
        <w:rPr>
          <w:rFonts w:eastAsia="Times New Roman"/>
          <w:lang w:eastAsia="fr-FR"/>
        </w:rPr>
        <w:t>Law</w:t>
      </w:r>
      <w:r w:rsidR="006C2BD3" w:rsidRPr="00A9681B">
        <w:rPr>
          <w:rFonts w:eastAsia="Times New Roman"/>
          <w:lang w:eastAsia="fr-FR"/>
        </w:rPr>
        <w:t xml:space="preserve"> of Hungary</w:t>
      </w:r>
      <w:r w:rsidR="00014F59" w:rsidRPr="00A9681B">
        <w:rPr>
          <w:rFonts w:eastAsia="Times New Roman"/>
          <w:lang w:eastAsia="fr-FR"/>
        </w:rPr>
        <w:t>. Furthermore, there was no</w:t>
      </w:r>
      <w:r w:rsidR="006C2BD3" w:rsidRPr="00A9681B">
        <w:rPr>
          <w:rFonts w:eastAsia="Times New Roman"/>
          <w:lang w:eastAsia="fr-FR"/>
        </w:rPr>
        <w:t xml:space="preserve"> legal </w:t>
      </w:r>
      <w:r w:rsidR="00014F59" w:rsidRPr="00A9681B">
        <w:rPr>
          <w:rFonts w:eastAsia="Times New Roman"/>
          <w:lang w:eastAsia="fr-FR"/>
        </w:rPr>
        <w:t>avenue</w:t>
      </w:r>
      <w:r w:rsidR="006C2BD3" w:rsidRPr="00A9681B">
        <w:rPr>
          <w:rFonts w:eastAsia="Times New Roman"/>
          <w:lang w:eastAsia="fr-FR"/>
        </w:rPr>
        <w:t xml:space="preserve"> available to the applicant</w:t>
      </w:r>
      <w:r w:rsidR="00BD1026" w:rsidRPr="00A9681B">
        <w:rPr>
          <w:rFonts w:eastAsia="Times New Roman"/>
          <w:lang w:eastAsia="fr-FR"/>
        </w:rPr>
        <w:t xml:space="preserve"> companies</w:t>
      </w:r>
      <w:r w:rsidR="006C2BD3" w:rsidRPr="00A9681B">
        <w:rPr>
          <w:rFonts w:eastAsia="Times New Roman"/>
          <w:lang w:eastAsia="fr-FR"/>
        </w:rPr>
        <w:t xml:space="preserve"> to challenge the </w:t>
      </w:r>
      <w:r w:rsidR="00CB53F2" w:rsidRPr="00A9681B">
        <w:rPr>
          <w:rFonts w:eastAsia="Times New Roman"/>
          <w:lang w:eastAsia="fr-FR"/>
        </w:rPr>
        <w:t>impugned provisions</w:t>
      </w:r>
      <w:r w:rsidR="006C2BD3" w:rsidRPr="00A9681B">
        <w:rPr>
          <w:rFonts w:eastAsia="Times New Roman"/>
          <w:lang w:eastAsia="fr-FR"/>
        </w:rPr>
        <w:t>.</w:t>
      </w:r>
    </w:p>
    <w:bookmarkStart w:id="7" w:name="T4"/>
    <w:bookmarkStart w:id="8" w:name="T6"/>
    <w:p w:rsidR="00766713" w:rsidRPr="00A9681B" w:rsidRDefault="00014F59"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38</w:t>
      </w:r>
      <w:r w:rsidRPr="00A9681B">
        <w:rPr>
          <w:rFonts w:eastAsia="Times New Roman"/>
          <w:lang w:eastAsia="fr-FR"/>
        </w:rPr>
        <w:fldChar w:fldCharType="end"/>
      </w:r>
      <w:bookmarkEnd w:id="7"/>
      <w:bookmarkEnd w:id="8"/>
      <w:r w:rsidRPr="00A9681B">
        <w:rPr>
          <w:rFonts w:eastAsia="Times New Roman"/>
          <w:lang w:eastAsia="fr-FR"/>
        </w:rPr>
        <w:t>.  </w:t>
      </w:r>
      <w:r w:rsidR="006C2BD3" w:rsidRPr="00A9681B">
        <w:rPr>
          <w:rFonts w:eastAsia="Times New Roman"/>
          <w:lang w:eastAsia="fr-FR"/>
        </w:rPr>
        <w:t>The applicant</w:t>
      </w:r>
      <w:r w:rsidR="00BD1026" w:rsidRPr="00A9681B">
        <w:rPr>
          <w:rFonts w:eastAsia="Times New Roman"/>
          <w:lang w:eastAsia="fr-FR"/>
        </w:rPr>
        <w:t xml:space="preserve"> companies</w:t>
      </w:r>
      <w:r w:rsidR="00877698" w:rsidRPr="00A9681B">
        <w:rPr>
          <w:rFonts w:eastAsia="Times New Roman"/>
          <w:lang w:eastAsia="fr-FR"/>
        </w:rPr>
        <w:t xml:space="preserve"> </w:t>
      </w:r>
      <w:r w:rsidRPr="00A9681B">
        <w:rPr>
          <w:rFonts w:eastAsia="Times New Roman"/>
          <w:lang w:eastAsia="fr-FR"/>
        </w:rPr>
        <w:t>also submitted</w:t>
      </w:r>
      <w:r w:rsidR="00877698" w:rsidRPr="00A9681B">
        <w:rPr>
          <w:rFonts w:eastAsia="Times New Roman"/>
          <w:lang w:eastAsia="fr-FR"/>
        </w:rPr>
        <w:t xml:space="preserve"> that</w:t>
      </w:r>
      <w:r w:rsidR="00547F1B" w:rsidRPr="00A9681B">
        <w:rPr>
          <w:rFonts w:eastAsia="Times New Roman"/>
          <w:lang w:eastAsia="fr-FR"/>
        </w:rPr>
        <w:t>,</w:t>
      </w:r>
      <w:r w:rsidR="00877698" w:rsidRPr="00A9681B">
        <w:rPr>
          <w:rFonts w:eastAsia="Times New Roman"/>
          <w:lang w:eastAsia="fr-FR"/>
        </w:rPr>
        <w:t xml:space="preserve"> </w:t>
      </w:r>
      <w:r w:rsidRPr="00A9681B">
        <w:rPr>
          <w:rFonts w:eastAsia="Times New Roman"/>
          <w:lang w:eastAsia="fr-FR"/>
        </w:rPr>
        <w:t>contrary to</w:t>
      </w:r>
      <w:r w:rsidR="00877698" w:rsidRPr="00A9681B">
        <w:rPr>
          <w:rFonts w:eastAsia="Times New Roman"/>
          <w:lang w:eastAsia="fr-FR"/>
        </w:rPr>
        <w:t xml:space="preserve"> the Government</w:t>
      </w:r>
      <w:r w:rsidR="00A9681B" w:rsidRPr="00A9681B">
        <w:rPr>
          <w:rFonts w:eastAsia="Times New Roman"/>
          <w:lang w:eastAsia="fr-FR"/>
        </w:rPr>
        <w:t>’</w:t>
      </w:r>
      <w:r w:rsidR="00877698" w:rsidRPr="00A9681B">
        <w:rPr>
          <w:rFonts w:eastAsia="Times New Roman"/>
          <w:lang w:eastAsia="fr-FR"/>
        </w:rPr>
        <w:t xml:space="preserve">s argument, they could not continue their former </w:t>
      </w:r>
      <w:r w:rsidRPr="00A9681B">
        <w:rPr>
          <w:rFonts w:eastAsia="Times New Roman"/>
          <w:lang w:eastAsia="fr-FR"/>
        </w:rPr>
        <w:t>business</w:t>
      </w:r>
      <w:r w:rsidR="00877698" w:rsidRPr="00A9681B">
        <w:rPr>
          <w:rFonts w:eastAsia="Times New Roman"/>
          <w:lang w:eastAsia="fr-FR"/>
        </w:rPr>
        <w:t xml:space="preserve"> by concluding contracts with the centralised procurer. Könyvtárellátó had not issued public procurement tenders for schoolbook distribution activities, but only two public procurement tenders for the performance of certain partial activities</w:t>
      </w:r>
      <w:r w:rsidR="00C25AA7" w:rsidRPr="00A9681B">
        <w:rPr>
          <w:rFonts w:eastAsia="Times New Roman"/>
          <w:lang w:eastAsia="fr-FR"/>
        </w:rPr>
        <w:t>,</w:t>
      </w:r>
      <w:r w:rsidR="00877698" w:rsidRPr="00A9681B">
        <w:rPr>
          <w:rFonts w:eastAsia="Times New Roman"/>
          <w:lang w:eastAsia="fr-FR"/>
        </w:rPr>
        <w:t xml:space="preserve"> such as logistics and packaging</w:t>
      </w:r>
      <w:r w:rsidR="00C25AA7" w:rsidRPr="00A9681B">
        <w:rPr>
          <w:rFonts w:eastAsia="Times New Roman"/>
          <w:lang w:eastAsia="fr-FR"/>
        </w:rPr>
        <w:t>,</w:t>
      </w:r>
      <w:r w:rsidR="00877698" w:rsidRPr="00A9681B">
        <w:rPr>
          <w:rFonts w:eastAsia="Times New Roman"/>
          <w:lang w:eastAsia="fr-FR"/>
        </w:rPr>
        <w:t xml:space="preserve"> and only in certain areas of Hungary (excluding, for example, the capital).</w:t>
      </w:r>
      <w:r w:rsidR="00877698" w:rsidRPr="00A9681B">
        <w:rPr>
          <w:rFonts w:ascii="Calibri" w:eastAsia="Calibri" w:hAnsi="Calibri"/>
        </w:rPr>
        <w:t xml:space="preserve"> </w:t>
      </w:r>
      <w:r w:rsidR="00877698" w:rsidRPr="00A9681B">
        <w:rPr>
          <w:rFonts w:eastAsia="Times New Roman"/>
          <w:lang w:eastAsia="fr-FR"/>
        </w:rPr>
        <w:t xml:space="preserve">In addition, these public procurement tenders </w:t>
      </w:r>
      <w:r w:rsidRPr="00A9681B">
        <w:rPr>
          <w:rFonts w:eastAsia="Times New Roman"/>
          <w:lang w:eastAsia="fr-FR"/>
        </w:rPr>
        <w:t xml:space="preserve">of limited scope </w:t>
      </w:r>
      <w:r w:rsidR="00877698" w:rsidRPr="00A9681B">
        <w:rPr>
          <w:rFonts w:eastAsia="Times New Roman"/>
          <w:lang w:eastAsia="fr-FR"/>
        </w:rPr>
        <w:t xml:space="preserve">were all </w:t>
      </w:r>
      <w:r w:rsidRPr="00A9681B">
        <w:rPr>
          <w:rFonts w:eastAsia="Times New Roman"/>
          <w:lang w:eastAsia="fr-FR"/>
        </w:rPr>
        <w:t>“</w:t>
      </w:r>
      <w:r w:rsidR="00877698" w:rsidRPr="00A9681B">
        <w:rPr>
          <w:rFonts w:eastAsia="Times New Roman"/>
          <w:lang w:eastAsia="fr-FR"/>
        </w:rPr>
        <w:t>closed tenders</w:t>
      </w:r>
      <w:r w:rsidRPr="00A9681B">
        <w:rPr>
          <w:rFonts w:eastAsia="Times New Roman"/>
          <w:lang w:eastAsia="fr-FR"/>
        </w:rPr>
        <w:t>”</w:t>
      </w:r>
      <w:r w:rsidR="00B6382E" w:rsidRPr="00A9681B">
        <w:rPr>
          <w:rFonts w:eastAsia="Times New Roman"/>
          <w:lang w:eastAsia="fr-FR"/>
        </w:rPr>
        <w:t xml:space="preserve"> –</w:t>
      </w:r>
      <w:r w:rsidRPr="00A9681B">
        <w:rPr>
          <w:rFonts w:eastAsia="Times New Roman"/>
          <w:lang w:eastAsia="fr-FR"/>
        </w:rPr>
        <w:t xml:space="preserve"> that is</w:t>
      </w:r>
      <w:r w:rsidR="00B6382E" w:rsidRPr="00A9681B">
        <w:rPr>
          <w:rFonts w:eastAsia="Times New Roman"/>
          <w:lang w:eastAsia="fr-FR"/>
        </w:rPr>
        <w:t>,</w:t>
      </w:r>
      <w:r w:rsidRPr="00A9681B">
        <w:rPr>
          <w:rFonts w:eastAsia="Times New Roman"/>
          <w:lang w:eastAsia="fr-FR"/>
        </w:rPr>
        <w:t xml:space="preserve"> only</w:t>
      </w:r>
      <w:r w:rsidR="00877698" w:rsidRPr="00A9681B">
        <w:rPr>
          <w:rFonts w:eastAsia="Times New Roman"/>
          <w:lang w:eastAsia="fr-FR"/>
        </w:rPr>
        <w:t xml:space="preserve"> invited participants </w:t>
      </w:r>
      <w:r w:rsidRPr="00A9681B">
        <w:rPr>
          <w:rFonts w:eastAsia="Times New Roman"/>
          <w:lang w:eastAsia="fr-FR"/>
        </w:rPr>
        <w:t>could</w:t>
      </w:r>
      <w:r w:rsidR="00877698" w:rsidRPr="00A9681B">
        <w:rPr>
          <w:rFonts w:eastAsia="Times New Roman"/>
          <w:lang w:eastAsia="fr-FR"/>
        </w:rPr>
        <w:t xml:space="preserve"> participate. Further, the applicant</w:t>
      </w:r>
      <w:r w:rsidR="00BD1026" w:rsidRPr="00A9681B">
        <w:rPr>
          <w:rFonts w:eastAsia="Times New Roman"/>
          <w:lang w:eastAsia="fr-FR"/>
        </w:rPr>
        <w:t xml:space="preserve"> companies</w:t>
      </w:r>
      <w:r w:rsidR="00877698" w:rsidRPr="00A9681B">
        <w:rPr>
          <w:rFonts w:eastAsia="Times New Roman"/>
          <w:lang w:eastAsia="fr-FR"/>
        </w:rPr>
        <w:t xml:space="preserve"> </w:t>
      </w:r>
      <w:r w:rsidR="00617C65" w:rsidRPr="00A9681B">
        <w:rPr>
          <w:rFonts w:eastAsia="Times New Roman"/>
          <w:lang w:eastAsia="fr-FR"/>
        </w:rPr>
        <w:t xml:space="preserve">doubted the </w:t>
      </w:r>
      <w:r w:rsidR="00877698" w:rsidRPr="00A9681B">
        <w:rPr>
          <w:rFonts w:eastAsia="Times New Roman"/>
          <w:lang w:eastAsia="fr-FR"/>
        </w:rPr>
        <w:t xml:space="preserve">need to </w:t>
      </w:r>
      <w:r w:rsidR="00233623" w:rsidRPr="00A9681B">
        <w:rPr>
          <w:rFonts w:eastAsia="Times New Roman"/>
          <w:lang w:eastAsia="fr-FR"/>
        </w:rPr>
        <w:t xml:space="preserve">make </w:t>
      </w:r>
      <w:r w:rsidR="00877698" w:rsidRPr="00A9681B">
        <w:rPr>
          <w:rFonts w:eastAsia="Times New Roman"/>
          <w:lang w:eastAsia="fr-FR"/>
        </w:rPr>
        <w:t>schoolbook distribution</w:t>
      </w:r>
      <w:r w:rsidR="00233623" w:rsidRPr="00A9681B">
        <w:rPr>
          <w:rFonts w:eastAsia="Times New Roman"/>
          <w:lang w:eastAsia="fr-FR"/>
        </w:rPr>
        <w:t xml:space="preserve"> more transparent</w:t>
      </w:r>
      <w:r w:rsidR="00877698" w:rsidRPr="00A9681B">
        <w:rPr>
          <w:rFonts w:eastAsia="Times New Roman"/>
          <w:lang w:eastAsia="fr-FR"/>
        </w:rPr>
        <w:t xml:space="preserve">. </w:t>
      </w:r>
      <w:r w:rsidR="00617C65" w:rsidRPr="00A9681B">
        <w:rPr>
          <w:rFonts w:eastAsia="Times New Roman"/>
          <w:lang w:eastAsia="fr-FR"/>
        </w:rPr>
        <w:t>A</w:t>
      </w:r>
      <w:r w:rsidR="00877698" w:rsidRPr="00A9681B">
        <w:rPr>
          <w:rFonts w:eastAsia="Times New Roman"/>
          <w:lang w:eastAsia="fr-FR"/>
        </w:rPr>
        <w:t>dverse</w:t>
      </w:r>
      <w:r w:rsidR="00617C65" w:rsidRPr="00A9681B">
        <w:rPr>
          <w:rFonts w:eastAsia="Times New Roman"/>
          <w:lang w:eastAsia="fr-FR"/>
        </w:rPr>
        <w:t xml:space="preserve"> </w:t>
      </w:r>
      <w:r w:rsidR="00877698" w:rsidRPr="00A9681B">
        <w:rPr>
          <w:rFonts w:eastAsia="Times New Roman"/>
          <w:lang w:eastAsia="fr-FR"/>
        </w:rPr>
        <w:t>in</w:t>
      </w:r>
      <w:r w:rsidR="00547F1B" w:rsidRPr="00A9681B">
        <w:rPr>
          <w:rFonts w:eastAsia="Times New Roman"/>
          <w:lang w:eastAsia="fr-FR"/>
        </w:rPr>
        <w:t xml:space="preserve">fluencing </w:t>
      </w:r>
      <w:r w:rsidR="00617C65" w:rsidRPr="00A9681B">
        <w:rPr>
          <w:rFonts w:eastAsia="Times New Roman"/>
          <w:lang w:eastAsia="fr-FR"/>
        </w:rPr>
        <w:t xml:space="preserve">of </w:t>
      </w:r>
      <w:r w:rsidR="00547F1B" w:rsidRPr="00A9681B">
        <w:rPr>
          <w:rFonts w:eastAsia="Times New Roman"/>
          <w:lang w:eastAsia="fr-FR"/>
        </w:rPr>
        <w:t>schools</w:t>
      </w:r>
      <w:r w:rsidR="00A9681B" w:rsidRPr="00A9681B">
        <w:rPr>
          <w:rFonts w:eastAsia="Times New Roman"/>
          <w:lang w:eastAsia="fr-FR"/>
        </w:rPr>
        <w:t>’</w:t>
      </w:r>
      <w:r w:rsidR="00547F1B" w:rsidRPr="00A9681B">
        <w:rPr>
          <w:rFonts w:eastAsia="Times New Roman"/>
          <w:lang w:eastAsia="fr-FR"/>
        </w:rPr>
        <w:t xml:space="preserve"> decision-</w:t>
      </w:r>
      <w:r w:rsidR="00877698" w:rsidRPr="00A9681B">
        <w:rPr>
          <w:rFonts w:eastAsia="Times New Roman"/>
          <w:lang w:eastAsia="fr-FR"/>
        </w:rPr>
        <w:t xml:space="preserve">making in terms of schoolbook procurement </w:t>
      </w:r>
      <w:r w:rsidR="00C25AA7" w:rsidRPr="00A9681B">
        <w:rPr>
          <w:rFonts w:eastAsia="Times New Roman"/>
          <w:lang w:eastAsia="fr-FR"/>
        </w:rPr>
        <w:t xml:space="preserve">was </w:t>
      </w:r>
      <w:r w:rsidR="00617C65" w:rsidRPr="00A9681B">
        <w:rPr>
          <w:rFonts w:eastAsia="Times New Roman"/>
          <w:lang w:eastAsia="fr-FR"/>
        </w:rPr>
        <w:t>inconceivable</w:t>
      </w:r>
      <w:r w:rsidR="00C25AA7" w:rsidRPr="00A9681B">
        <w:rPr>
          <w:rFonts w:eastAsia="Times New Roman"/>
          <w:lang w:eastAsia="fr-FR"/>
        </w:rPr>
        <w:t>,</w:t>
      </w:r>
      <w:r w:rsidR="00617C65" w:rsidRPr="00A9681B">
        <w:rPr>
          <w:rFonts w:eastAsia="Times New Roman"/>
          <w:lang w:eastAsia="fr-FR"/>
        </w:rPr>
        <w:t xml:space="preserve"> </w:t>
      </w:r>
      <w:r w:rsidR="00877698" w:rsidRPr="00A9681B">
        <w:rPr>
          <w:rFonts w:eastAsia="Times New Roman"/>
          <w:lang w:eastAsia="fr-FR"/>
        </w:rPr>
        <w:t>since the contents and</w:t>
      </w:r>
      <w:r w:rsidR="00C3369D" w:rsidRPr="00A9681B">
        <w:rPr>
          <w:rFonts w:eastAsia="Times New Roman"/>
          <w:lang w:eastAsia="fr-FR"/>
        </w:rPr>
        <w:t>, most importantly,</w:t>
      </w:r>
      <w:r w:rsidR="00877698" w:rsidRPr="00A9681B">
        <w:rPr>
          <w:rFonts w:eastAsia="Times New Roman"/>
          <w:lang w:eastAsia="fr-FR"/>
        </w:rPr>
        <w:t xml:space="preserve"> </w:t>
      </w:r>
      <w:r w:rsidR="00C3369D" w:rsidRPr="00A9681B">
        <w:rPr>
          <w:rFonts w:eastAsia="Times New Roman"/>
          <w:lang w:eastAsia="fr-FR"/>
        </w:rPr>
        <w:lastRenderedPageBreak/>
        <w:t xml:space="preserve">the </w:t>
      </w:r>
      <w:r w:rsidR="00877698" w:rsidRPr="00A9681B">
        <w:rPr>
          <w:rFonts w:eastAsia="Times New Roman"/>
          <w:lang w:eastAsia="fr-FR"/>
        </w:rPr>
        <w:t>prices of all schoolbooks distributed by the applicant</w:t>
      </w:r>
      <w:r w:rsidR="00BD1026" w:rsidRPr="00A9681B">
        <w:rPr>
          <w:rFonts w:eastAsia="Times New Roman"/>
          <w:lang w:eastAsia="fr-FR"/>
        </w:rPr>
        <w:t xml:space="preserve"> companies</w:t>
      </w:r>
      <w:r w:rsidR="00877698" w:rsidRPr="00A9681B">
        <w:rPr>
          <w:rFonts w:eastAsia="Times New Roman"/>
          <w:lang w:eastAsia="fr-FR"/>
        </w:rPr>
        <w:t xml:space="preserve"> had been </w:t>
      </w:r>
      <w:r w:rsidR="00C3369D" w:rsidRPr="00A9681B">
        <w:rPr>
          <w:rFonts w:eastAsia="Times New Roman"/>
          <w:lang w:eastAsia="fr-FR"/>
        </w:rPr>
        <w:t>regulated</w:t>
      </w:r>
      <w:r w:rsidR="00877698" w:rsidRPr="00A9681B">
        <w:rPr>
          <w:rFonts w:eastAsia="Times New Roman"/>
          <w:lang w:eastAsia="fr-FR"/>
        </w:rPr>
        <w:t xml:space="preserve"> by the State.</w:t>
      </w:r>
    </w:p>
    <w:p w:rsidR="007D502E" w:rsidRPr="00A9681B" w:rsidRDefault="007D502E"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39</w:t>
      </w:r>
      <w:r w:rsidRPr="00A9681B">
        <w:rPr>
          <w:rFonts w:eastAsia="Times New Roman"/>
          <w:lang w:eastAsia="fr-FR"/>
        </w:rPr>
        <w:fldChar w:fldCharType="end"/>
      </w:r>
      <w:r w:rsidRPr="00A9681B">
        <w:rPr>
          <w:rFonts w:eastAsia="Times New Roman"/>
          <w:lang w:eastAsia="fr-FR"/>
        </w:rPr>
        <w:t>.  The applicant</w:t>
      </w:r>
      <w:r w:rsidR="004E71FD" w:rsidRPr="00A9681B">
        <w:rPr>
          <w:rFonts w:eastAsia="Times New Roman"/>
          <w:lang w:eastAsia="fr-FR"/>
        </w:rPr>
        <w:t xml:space="preserve"> companie</w:t>
      </w:r>
      <w:r w:rsidRPr="00A9681B">
        <w:rPr>
          <w:rFonts w:eastAsia="Times New Roman"/>
          <w:lang w:eastAsia="fr-FR"/>
        </w:rPr>
        <w:t xml:space="preserve">s emphasised that there had been no strong correlation between the fact that the distributors were chosen by the schools </w:t>
      </w:r>
      <w:r w:rsidR="00B6382E" w:rsidRPr="00A9681B">
        <w:rPr>
          <w:rFonts w:eastAsia="Times New Roman"/>
          <w:lang w:eastAsia="fr-FR"/>
        </w:rPr>
        <w:t xml:space="preserve">and the fact that </w:t>
      </w:r>
      <w:r w:rsidRPr="00A9681B">
        <w:rPr>
          <w:rFonts w:eastAsia="Times New Roman"/>
          <w:lang w:eastAsia="fr-FR"/>
        </w:rPr>
        <w:t xml:space="preserve">the products were paid </w:t>
      </w:r>
      <w:r w:rsidR="00B6382E" w:rsidRPr="00A9681B">
        <w:rPr>
          <w:rFonts w:eastAsia="Times New Roman"/>
          <w:lang w:eastAsia="fr-FR"/>
        </w:rPr>
        <w:t xml:space="preserve">for </w:t>
      </w:r>
      <w:r w:rsidRPr="00A9681B">
        <w:rPr>
          <w:rFonts w:eastAsia="Times New Roman"/>
          <w:lang w:eastAsia="fr-FR"/>
        </w:rPr>
        <w:t>by the parents. This structural feature did not particularly affect the operation of the distribution market, and had little or no impact on the number of market participants and return rates. Since the price of the schoolbooks had always been regulated, the level of profit was mostly depend</w:t>
      </w:r>
      <w:r w:rsidR="00B6382E" w:rsidRPr="00A9681B">
        <w:rPr>
          <w:rFonts w:eastAsia="Times New Roman"/>
          <w:lang w:eastAsia="fr-FR"/>
        </w:rPr>
        <w:t>ent</w:t>
      </w:r>
      <w:r w:rsidRPr="00A9681B">
        <w:rPr>
          <w:rFonts w:eastAsia="Times New Roman"/>
          <w:lang w:eastAsia="fr-FR"/>
        </w:rPr>
        <w:t xml:space="preserve"> on the price margins </w:t>
      </w:r>
      <w:r w:rsidR="009741B1" w:rsidRPr="00A9681B">
        <w:rPr>
          <w:rFonts w:eastAsia="Times New Roman"/>
          <w:lang w:eastAsia="fr-FR"/>
        </w:rPr>
        <w:t>offered</w:t>
      </w:r>
      <w:r w:rsidR="00B6382E" w:rsidRPr="00A9681B">
        <w:rPr>
          <w:rFonts w:eastAsia="Times New Roman"/>
          <w:lang w:eastAsia="fr-FR"/>
        </w:rPr>
        <w:t xml:space="preserve"> </w:t>
      </w:r>
      <w:r w:rsidRPr="00A9681B">
        <w:rPr>
          <w:rFonts w:eastAsia="Times New Roman"/>
          <w:lang w:eastAsia="fr-FR"/>
        </w:rPr>
        <w:t xml:space="preserve">by the publishers, </w:t>
      </w:r>
      <w:r w:rsidR="00B6382E" w:rsidRPr="00A9681B">
        <w:rPr>
          <w:rFonts w:eastAsia="Times New Roman"/>
          <w:lang w:eastAsia="fr-FR"/>
        </w:rPr>
        <w:t>within</w:t>
      </w:r>
      <w:r w:rsidRPr="00A9681B">
        <w:rPr>
          <w:rFonts w:eastAsia="Times New Roman"/>
          <w:lang w:eastAsia="fr-FR"/>
        </w:rPr>
        <w:t xml:space="preserve"> a ra</w:t>
      </w:r>
      <w:r w:rsidR="004A1363" w:rsidRPr="00A9681B">
        <w:rPr>
          <w:rFonts w:eastAsia="Times New Roman"/>
          <w:lang w:eastAsia="fr-FR"/>
        </w:rPr>
        <w:t>nge of 11</w:t>
      </w:r>
      <w:r w:rsidR="00B6382E" w:rsidRPr="00A9681B">
        <w:rPr>
          <w:rFonts w:eastAsia="Times New Roman"/>
          <w:lang w:eastAsia="fr-FR"/>
        </w:rPr>
        <w:t>%</w:t>
      </w:r>
      <w:r w:rsidR="004A1363" w:rsidRPr="00A9681B">
        <w:rPr>
          <w:rFonts w:eastAsia="Times New Roman"/>
          <w:lang w:eastAsia="fr-FR"/>
        </w:rPr>
        <w:t xml:space="preserve"> to </w:t>
      </w:r>
      <w:r w:rsidRPr="00A9681B">
        <w:rPr>
          <w:rFonts w:eastAsia="Times New Roman"/>
          <w:lang w:eastAsia="fr-FR"/>
        </w:rPr>
        <w:t>16</w:t>
      </w:r>
      <w:r w:rsidR="00B6382E" w:rsidRPr="00A9681B">
        <w:rPr>
          <w:rFonts w:eastAsia="Times New Roman"/>
          <w:lang w:eastAsia="fr-FR"/>
        </w:rPr>
        <w:t>%</w:t>
      </w:r>
      <w:r w:rsidRPr="00A9681B">
        <w:rPr>
          <w:rFonts w:eastAsia="Times New Roman"/>
          <w:lang w:eastAsia="fr-FR"/>
        </w:rPr>
        <w:t>. Further</w:t>
      </w:r>
      <w:r w:rsidR="00B6382E" w:rsidRPr="00A9681B">
        <w:rPr>
          <w:rFonts w:eastAsia="Times New Roman"/>
          <w:lang w:eastAsia="fr-FR"/>
        </w:rPr>
        <w:t>more</w:t>
      </w:r>
      <w:r w:rsidRPr="00A9681B">
        <w:rPr>
          <w:rFonts w:eastAsia="Times New Roman"/>
          <w:lang w:eastAsia="fr-FR"/>
        </w:rPr>
        <w:t>, schoolbook distrib</w:t>
      </w:r>
      <w:r w:rsidR="00712716" w:rsidRPr="00A9681B">
        <w:rPr>
          <w:rFonts w:eastAsia="Times New Roman"/>
          <w:lang w:eastAsia="fr-FR"/>
        </w:rPr>
        <w:t>utors offered a commission of 2</w:t>
      </w:r>
      <w:r w:rsidR="00B6382E" w:rsidRPr="00A9681B">
        <w:rPr>
          <w:rFonts w:eastAsia="Times New Roman"/>
          <w:lang w:eastAsia="fr-FR"/>
        </w:rPr>
        <w:t>%</w:t>
      </w:r>
      <w:r w:rsidR="004A1363" w:rsidRPr="00A9681B">
        <w:rPr>
          <w:rFonts w:eastAsia="Times New Roman"/>
          <w:lang w:eastAsia="fr-FR"/>
        </w:rPr>
        <w:t xml:space="preserve"> to </w:t>
      </w:r>
      <w:r w:rsidRPr="00A9681B">
        <w:rPr>
          <w:rFonts w:eastAsia="Times New Roman"/>
          <w:lang w:eastAsia="fr-FR"/>
        </w:rPr>
        <w:t>7</w:t>
      </w:r>
      <w:r w:rsidR="00B6382E" w:rsidRPr="00A9681B">
        <w:rPr>
          <w:rFonts w:eastAsia="Times New Roman"/>
          <w:lang w:eastAsia="fr-FR"/>
        </w:rPr>
        <w:t>%</w:t>
      </w:r>
      <w:r w:rsidR="004A1363" w:rsidRPr="00A9681B">
        <w:rPr>
          <w:rFonts w:eastAsia="Times New Roman"/>
          <w:lang w:eastAsia="fr-FR"/>
        </w:rPr>
        <w:t xml:space="preserve"> t</w:t>
      </w:r>
      <w:r w:rsidRPr="00A9681B">
        <w:rPr>
          <w:rFonts w:eastAsia="Times New Roman"/>
          <w:lang w:eastAsia="fr-FR"/>
        </w:rPr>
        <w:t>o schools – depending on the services provided by them (</w:t>
      </w:r>
      <w:r w:rsidR="009741B1" w:rsidRPr="00A9681B">
        <w:rPr>
          <w:rFonts w:eastAsia="Times New Roman"/>
          <w:lang w:eastAsia="fr-FR"/>
        </w:rPr>
        <w:t xml:space="preserve">for example, </w:t>
      </w:r>
      <w:r w:rsidRPr="00A9681B">
        <w:rPr>
          <w:rFonts w:eastAsia="Times New Roman"/>
          <w:lang w:eastAsia="fr-FR"/>
        </w:rPr>
        <w:t>labelling, distributi</w:t>
      </w:r>
      <w:r w:rsidR="009741B1" w:rsidRPr="00A9681B">
        <w:rPr>
          <w:rFonts w:eastAsia="Times New Roman"/>
          <w:lang w:eastAsia="fr-FR"/>
        </w:rPr>
        <w:t>o</w:t>
      </w:r>
      <w:r w:rsidRPr="00A9681B">
        <w:rPr>
          <w:rFonts w:eastAsia="Times New Roman"/>
          <w:lang w:eastAsia="fr-FR"/>
        </w:rPr>
        <w:t>n to students</w:t>
      </w:r>
      <w:r w:rsidR="009741B1" w:rsidRPr="00A9681B">
        <w:rPr>
          <w:rFonts w:eastAsia="Times New Roman"/>
          <w:lang w:eastAsia="fr-FR"/>
        </w:rPr>
        <w:t xml:space="preserve"> and</w:t>
      </w:r>
      <w:r w:rsidRPr="00A9681B">
        <w:rPr>
          <w:rFonts w:eastAsia="Times New Roman"/>
          <w:lang w:eastAsia="fr-FR"/>
        </w:rPr>
        <w:t xml:space="preserve"> handling of returns) – deducted from the margin received from </w:t>
      </w:r>
      <w:r w:rsidR="004A1363" w:rsidRPr="00A9681B">
        <w:rPr>
          <w:rFonts w:eastAsia="Times New Roman"/>
          <w:lang w:eastAsia="fr-FR"/>
        </w:rPr>
        <w:t>the publishers. The remaining 4</w:t>
      </w:r>
      <w:r w:rsidR="009741B1" w:rsidRPr="00A9681B">
        <w:rPr>
          <w:rFonts w:eastAsia="Times New Roman"/>
          <w:lang w:eastAsia="fr-FR"/>
        </w:rPr>
        <w:t>%</w:t>
      </w:r>
      <w:r w:rsidR="004A1363" w:rsidRPr="00A9681B">
        <w:rPr>
          <w:rFonts w:eastAsia="Times New Roman"/>
          <w:lang w:eastAsia="fr-FR"/>
        </w:rPr>
        <w:t xml:space="preserve"> to </w:t>
      </w:r>
      <w:r w:rsidRPr="00A9681B">
        <w:rPr>
          <w:rFonts w:eastAsia="Times New Roman"/>
          <w:lang w:eastAsia="fr-FR"/>
        </w:rPr>
        <w:t>14</w:t>
      </w:r>
      <w:r w:rsidR="009741B1" w:rsidRPr="00A9681B">
        <w:rPr>
          <w:rFonts w:eastAsia="Times New Roman"/>
          <w:lang w:eastAsia="fr-FR"/>
        </w:rPr>
        <w:t>%</w:t>
      </w:r>
      <w:r w:rsidR="004A1363" w:rsidRPr="00A9681B">
        <w:rPr>
          <w:rFonts w:eastAsia="Times New Roman"/>
          <w:lang w:eastAsia="fr-FR"/>
        </w:rPr>
        <w:t xml:space="preserve"> </w:t>
      </w:r>
      <w:r w:rsidRPr="00A9681B">
        <w:rPr>
          <w:rFonts w:eastAsia="Times New Roman"/>
          <w:lang w:eastAsia="fr-FR"/>
        </w:rPr>
        <w:t>had to cover the distributors</w:t>
      </w:r>
      <w:r w:rsidR="00A9681B" w:rsidRPr="00A9681B">
        <w:rPr>
          <w:rFonts w:eastAsia="Times New Roman"/>
          <w:lang w:eastAsia="fr-FR"/>
        </w:rPr>
        <w:t>’</w:t>
      </w:r>
      <w:r w:rsidRPr="00A9681B">
        <w:rPr>
          <w:rFonts w:eastAsia="Times New Roman"/>
          <w:lang w:eastAsia="fr-FR"/>
        </w:rPr>
        <w:t xml:space="preserve"> operati</w:t>
      </w:r>
      <w:r w:rsidR="009741B1" w:rsidRPr="00A9681B">
        <w:rPr>
          <w:rFonts w:eastAsia="Times New Roman"/>
          <w:lang w:eastAsia="fr-FR"/>
        </w:rPr>
        <w:t>ng costs</w:t>
      </w:r>
      <w:r w:rsidRPr="00A9681B">
        <w:rPr>
          <w:rFonts w:eastAsia="Times New Roman"/>
          <w:lang w:eastAsia="fr-FR"/>
        </w:rPr>
        <w:t>. The applicant companies emphasised that the 11</w:t>
      </w:r>
      <w:r w:rsidR="009741B1" w:rsidRPr="00A9681B">
        <w:rPr>
          <w:rFonts w:eastAsia="Times New Roman"/>
          <w:lang w:eastAsia="fr-FR"/>
        </w:rPr>
        <w:t>%</w:t>
      </w:r>
      <w:r w:rsidR="004A1363" w:rsidRPr="00A9681B">
        <w:rPr>
          <w:rFonts w:eastAsia="Times New Roman"/>
          <w:lang w:eastAsia="fr-FR"/>
        </w:rPr>
        <w:t xml:space="preserve"> to </w:t>
      </w:r>
      <w:r w:rsidRPr="00A9681B">
        <w:rPr>
          <w:rFonts w:eastAsia="Times New Roman"/>
          <w:lang w:eastAsia="fr-FR"/>
        </w:rPr>
        <w:t>16</w:t>
      </w:r>
      <w:r w:rsidR="009741B1" w:rsidRPr="00A9681B">
        <w:rPr>
          <w:rFonts w:eastAsia="Times New Roman"/>
          <w:lang w:eastAsia="fr-FR"/>
        </w:rPr>
        <w:t>%</w:t>
      </w:r>
      <w:r w:rsidR="004A1363" w:rsidRPr="00A9681B">
        <w:rPr>
          <w:rFonts w:eastAsia="Times New Roman"/>
          <w:lang w:eastAsia="fr-FR"/>
        </w:rPr>
        <w:t xml:space="preserve"> </w:t>
      </w:r>
      <w:r w:rsidRPr="00A9681B">
        <w:rPr>
          <w:rFonts w:eastAsia="Times New Roman"/>
          <w:lang w:eastAsia="fr-FR"/>
        </w:rPr>
        <w:t xml:space="preserve">margin </w:t>
      </w:r>
      <w:r w:rsidR="009741B1" w:rsidRPr="00A9681B">
        <w:rPr>
          <w:rFonts w:eastAsia="Times New Roman"/>
          <w:lang w:eastAsia="fr-FR"/>
        </w:rPr>
        <w:t xml:space="preserve">offered </w:t>
      </w:r>
      <w:r w:rsidRPr="00A9681B">
        <w:rPr>
          <w:rFonts w:eastAsia="Times New Roman"/>
          <w:lang w:eastAsia="fr-FR"/>
        </w:rPr>
        <w:t>by the publishers was a free</w:t>
      </w:r>
      <w:r w:rsidR="009741B1" w:rsidRPr="00A9681B">
        <w:rPr>
          <w:rFonts w:eastAsia="Times New Roman"/>
          <w:lang w:eastAsia="fr-FR"/>
        </w:rPr>
        <w:t>-</w:t>
      </w:r>
      <w:r w:rsidRPr="00A9681B">
        <w:rPr>
          <w:rFonts w:eastAsia="Times New Roman"/>
          <w:lang w:eastAsia="fr-FR"/>
        </w:rPr>
        <w:t>market margin. Under the New Regulations, the official, State-owned schoolbook distributor ha</w:t>
      </w:r>
      <w:r w:rsidR="009741B1" w:rsidRPr="00A9681B">
        <w:rPr>
          <w:rFonts w:eastAsia="Times New Roman"/>
          <w:lang w:eastAsia="fr-FR"/>
        </w:rPr>
        <w:t>d</w:t>
      </w:r>
      <w:r w:rsidRPr="00A9681B">
        <w:rPr>
          <w:rFonts w:eastAsia="Times New Roman"/>
          <w:lang w:eastAsia="fr-FR"/>
        </w:rPr>
        <w:t xml:space="preserve"> a guaranteed margin of 20</w:t>
      </w:r>
      <w:r w:rsidR="009741B1" w:rsidRPr="00A9681B">
        <w:rPr>
          <w:rFonts w:eastAsia="Times New Roman"/>
          <w:lang w:eastAsia="fr-FR"/>
        </w:rPr>
        <w:t>%,</w:t>
      </w:r>
      <w:r w:rsidR="004A1363" w:rsidRPr="00A9681B">
        <w:rPr>
          <w:rFonts w:eastAsia="Times New Roman"/>
          <w:lang w:eastAsia="fr-FR"/>
        </w:rPr>
        <w:t xml:space="preserve"> </w:t>
      </w:r>
      <w:r w:rsidRPr="00A9681B">
        <w:rPr>
          <w:rFonts w:eastAsia="Times New Roman"/>
          <w:lang w:eastAsia="fr-FR"/>
        </w:rPr>
        <w:t>which in itself undermine</w:t>
      </w:r>
      <w:r w:rsidR="009741B1" w:rsidRPr="00A9681B">
        <w:rPr>
          <w:rFonts w:eastAsia="Times New Roman"/>
          <w:lang w:eastAsia="fr-FR"/>
        </w:rPr>
        <w:t>d</w:t>
      </w:r>
      <w:r w:rsidRPr="00A9681B">
        <w:rPr>
          <w:rFonts w:eastAsia="Times New Roman"/>
          <w:lang w:eastAsia="fr-FR"/>
        </w:rPr>
        <w:t xml:space="preserve"> the Government</w:t>
      </w:r>
      <w:r w:rsidR="00A9681B" w:rsidRPr="00A9681B">
        <w:rPr>
          <w:rFonts w:eastAsia="Times New Roman"/>
          <w:lang w:eastAsia="fr-FR"/>
        </w:rPr>
        <w:t>’</w:t>
      </w:r>
      <w:r w:rsidRPr="00A9681B">
        <w:rPr>
          <w:rFonts w:eastAsia="Times New Roman"/>
          <w:lang w:eastAsia="fr-FR"/>
        </w:rPr>
        <w:t xml:space="preserve">s premise that schoolbook distribution </w:t>
      </w:r>
      <w:r w:rsidR="009741B1" w:rsidRPr="00A9681B">
        <w:rPr>
          <w:rFonts w:eastAsia="Times New Roman"/>
          <w:lang w:eastAsia="fr-FR"/>
        </w:rPr>
        <w:t xml:space="preserve">under </w:t>
      </w:r>
      <w:r w:rsidRPr="00A9681B">
        <w:rPr>
          <w:rFonts w:eastAsia="Times New Roman"/>
          <w:lang w:eastAsia="fr-FR"/>
        </w:rPr>
        <w:t xml:space="preserve">the new </w:t>
      </w:r>
      <w:r w:rsidR="009741B1" w:rsidRPr="00A9681B">
        <w:rPr>
          <w:rFonts w:eastAsia="Times New Roman"/>
          <w:lang w:eastAsia="fr-FR"/>
        </w:rPr>
        <w:t xml:space="preserve">system was </w:t>
      </w:r>
      <w:r w:rsidRPr="00A9681B">
        <w:rPr>
          <w:rFonts w:eastAsia="Times New Roman"/>
          <w:lang w:eastAsia="fr-FR"/>
        </w:rPr>
        <w:t>cheaper and more efficient.</w:t>
      </w:r>
    </w:p>
    <w:p w:rsidR="007D502E" w:rsidRPr="00A9681B" w:rsidRDefault="007D502E" w:rsidP="00A9681B">
      <w:pPr>
        <w:pStyle w:val="ECHRPara"/>
        <w:rPr>
          <w:rFonts w:eastAsia="Times New Roman"/>
          <w:lang w:eastAsia="fr-FR"/>
        </w:rPr>
      </w:pPr>
      <w:r w:rsidRPr="00A9681B">
        <w:rPr>
          <w:rFonts w:eastAsia="Times New Roman"/>
          <w:lang w:eastAsia="fr-FR"/>
        </w:rPr>
        <w:fldChar w:fldCharType="begin"/>
      </w:r>
      <w:r w:rsidRPr="00A9681B">
        <w:rPr>
          <w:rFonts w:eastAsia="Times New Roman"/>
          <w:lang w:eastAsia="fr-FR"/>
        </w:rPr>
        <w:instrText xml:space="preserve"> SEQ level0 \*arabic </w:instrText>
      </w:r>
      <w:r w:rsidRPr="00A9681B">
        <w:rPr>
          <w:rFonts w:eastAsia="Times New Roman"/>
          <w:lang w:eastAsia="fr-FR"/>
        </w:rPr>
        <w:fldChar w:fldCharType="separate"/>
      </w:r>
      <w:r w:rsidR="00A9681B" w:rsidRPr="00A9681B">
        <w:rPr>
          <w:rFonts w:eastAsia="Times New Roman"/>
          <w:noProof/>
          <w:lang w:eastAsia="fr-FR"/>
        </w:rPr>
        <w:t>40</w:t>
      </w:r>
      <w:r w:rsidRPr="00A9681B">
        <w:rPr>
          <w:rFonts w:eastAsia="Times New Roman"/>
          <w:lang w:eastAsia="fr-FR"/>
        </w:rPr>
        <w:fldChar w:fldCharType="end"/>
      </w:r>
      <w:r w:rsidRPr="00A9681B">
        <w:rPr>
          <w:rFonts w:eastAsia="Times New Roman"/>
          <w:lang w:eastAsia="fr-FR"/>
        </w:rPr>
        <w:t xml:space="preserve">.  The Government and the applicant companies both argued that although </w:t>
      </w:r>
      <w:r w:rsidR="009741B1" w:rsidRPr="00A9681B">
        <w:rPr>
          <w:rFonts w:eastAsia="Times New Roman"/>
          <w:lang w:eastAsia="fr-FR"/>
        </w:rPr>
        <w:t xml:space="preserve">the option of </w:t>
      </w:r>
      <w:r w:rsidRPr="00A9681B">
        <w:rPr>
          <w:rFonts w:eastAsia="Times New Roman"/>
          <w:lang w:eastAsia="fr-FR"/>
        </w:rPr>
        <w:t xml:space="preserve">buying schoolbooks from alternative sources had always been available, it had never been </w:t>
      </w:r>
      <w:r w:rsidR="004A1363" w:rsidRPr="00A9681B">
        <w:rPr>
          <w:rFonts w:eastAsia="Times New Roman"/>
          <w:lang w:eastAsia="fr-FR"/>
        </w:rPr>
        <w:t>the market practice, representing</w:t>
      </w:r>
      <w:r w:rsidRPr="00A9681B">
        <w:rPr>
          <w:rFonts w:eastAsia="Times New Roman"/>
          <w:lang w:eastAsia="fr-FR"/>
        </w:rPr>
        <w:t xml:space="preserve"> only an insignificant part of the overall market.</w:t>
      </w:r>
    </w:p>
    <w:p w:rsidR="006C5D9C" w:rsidRPr="00A9681B" w:rsidRDefault="006C5D9C" w:rsidP="00A9681B">
      <w:pPr>
        <w:pStyle w:val="ECHRHeading3"/>
        <w:rPr>
          <w:rFonts w:eastAsia="Times New Roman"/>
          <w:lang w:eastAsia="fr-FR"/>
        </w:rPr>
      </w:pPr>
      <w:r w:rsidRPr="00A9681B">
        <w:rPr>
          <w:rFonts w:eastAsia="Times New Roman"/>
          <w:lang w:eastAsia="fr-FR"/>
        </w:rPr>
        <w:t>2.</w:t>
      </w:r>
      <w:r w:rsidR="00587160" w:rsidRPr="00A9681B">
        <w:rPr>
          <w:rFonts w:eastAsia="Times New Roman"/>
          <w:lang w:eastAsia="fr-FR"/>
        </w:rPr>
        <w:t>  </w:t>
      </w:r>
      <w:r w:rsidRPr="00A9681B">
        <w:rPr>
          <w:rFonts w:eastAsia="Times New Roman"/>
          <w:lang w:eastAsia="fr-FR"/>
        </w:rPr>
        <w:t>The Court</w:t>
      </w:r>
      <w:r w:rsidR="00A9681B" w:rsidRPr="00A9681B">
        <w:rPr>
          <w:rFonts w:eastAsia="Times New Roman"/>
          <w:lang w:eastAsia="fr-FR"/>
        </w:rPr>
        <w:t>’</w:t>
      </w:r>
      <w:r w:rsidRPr="00A9681B">
        <w:rPr>
          <w:rFonts w:eastAsia="Times New Roman"/>
          <w:lang w:eastAsia="fr-FR"/>
        </w:rPr>
        <w:t>s assessment</w:t>
      </w:r>
    </w:p>
    <w:p w:rsidR="0013005C" w:rsidRPr="00A9681B" w:rsidRDefault="00587160" w:rsidP="00A9681B">
      <w:pPr>
        <w:pStyle w:val="ECHRHeading4"/>
      </w:pPr>
      <w:r w:rsidRPr="00A9681B">
        <w:t>(</w:t>
      </w:r>
      <w:r w:rsidR="0013005C" w:rsidRPr="00A9681B">
        <w:t>a</w:t>
      </w:r>
      <w:r w:rsidRPr="00A9681B">
        <w:t>)</w:t>
      </w:r>
      <w:r w:rsidR="00CF0E0A" w:rsidRPr="00A9681B">
        <w:t>  </w:t>
      </w:r>
      <w:r w:rsidR="0013005C" w:rsidRPr="00A9681B">
        <w:t>Whether there was an interference</w:t>
      </w:r>
    </w:p>
    <w:p w:rsidR="00766713" w:rsidRPr="00A9681B" w:rsidRDefault="001839BF" w:rsidP="00A9681B">
      <w:pPr>
        <w:pStyle w:val="ECHRPara"/>
        <w:rPr>
          <w:rFonts w:ascii="Times New Roman" w:eastAsia="Times New Roman" w:hAnsi="Times New Roman" w:cs="Times New Roman"/>
          <w:lang w:eastAsia="fr-FR"/>
        </w:rPr>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41</w:t>
      </w:r>
      <w:r w:rsidRPr="00A9681B">
        <w:rPr>
          <w:rFonts w:ascii="Times New Roman" w:eastAsia="Times New Roman" w:hAnsi="Times New Roman" w:cs="Times New Roman"/>
          <w:lang w:eastAsia="fr-FR"/>
        </w:rPr>
        <w:fldChar w:fldCharType="end"/>
      </w:r>
      <w:r w:rsidRPr="00A9681B">
        <w:rPr>
          <w:rFonts w:ascii="Times New Roman" w:eastAsia="Times New Roman" w:hAnsi="Times New Roman" w:cs="Times New Roman"/>
          <w:lang w:eastAsia="fr-FR"/>
        </w:rPr>
        <w:t xml:space="preserve">.  The Court reiterates that Article 1 of Protocol No. 1 </w:t>
      </w:r>
      <w:r w:rsidR="0030146F" w:rsidRPr="00A9681B">
        <w:rPr>
          <w:rFonts w:ascii="Times New Roman" w:eastAsia="Times New Roman" w:hAnsi="Times New Roman" w:cs="Times New Roman"/>
          <w:lang w:eastAsia="fr-FR"/>
        </w:rPr>
        <w:t xml:space="preserve">comprises three distinct rules. The first rule, which is of a general nature, </w:t>
      </w:r>
      <w:r w:rsidR="009741B1" w:rsidRPr="00A9681B">
        <w:rPr>
          <w:rFonts w:ascii="Times New Roman" w:eastAsia="Times New Roman" w:hAnsi="Times New Roman" w:cs="Times New Roman"/>
          <w:lang w:eastAsia="fr-FR"/>
        </w:rPr>
        <w:t xml:space="preserve">lays down </w:t>
      </w:r>
      <w:r w:rsidR="0030146F" w:rsidRPr="00A9681B">
        <w:rPr>
          <w:rFonts w:ascii="Times New Roman" w:eastAsia="Times New Roman" w:hAnsi="Times New Roman" w:cs="Times New Roman"/>
          <w:lang w:eastAsia="fr-FR"/>
        </w:rPr>
        <w:t xml:space="preserve">the principle of peaceful enjoyment of property; it is set out in the first sentence of the first paragraph. The second rule covers deprivation of possessions and subjects it to certain conditions; it appears in the second sentence of the same paragraph. The third rule recognises that the States are entitled, amongst other things, to control the use of property in accordance with the general interest, by enforcing such laws as they deem necessary for the purpose; it is contained in the second paragraph </w:t>
      </w:r>
      <w:r w:rsidRPr="00A9681B">
        <w:rPr>
          <w:rFonts w:ascii="Times New Roman" w:eastAsia="Times New Roman" w:hAnsi="Times New Roman" w:cs="Times New Roman"/>
          <w:lang w:eastAsia="fr-FR"/>
        </w:rPr>
        <w:t xml:space="preserve">(see </w:t>
      </w:r>
      <w:r w:rsidRPr="00A9681B">
        <w:rPr>
          <w:i/>
        </w:rPr>
        <w:t>Sporrong and Lönnroth v. Sweden</w:t>
      </w:r>
      <w:r w:rsidRPr="00A9681B">
        <w:t>, 23 September 1982, § 61, Series A no. 52)</w:t>
      </w:r>
      <w:r w:rsidRPr="00A9681B">
        <w:rPr>
          <w:rFonts w:ascii="Times New Roman" w:eastAsia="Times New Roman" w:hAnsi="Times New Roman" w:cs="Times New Roman"/>
          <w:lang w:eastAsia="fr-FR"/>
        </w:rPr>
        <w:t>.</w:t>
      </w:r>
    </w:p>
    <w:p w:rsidR="00766713" w:rsidRPr="00A9681B" w:rsidRDefault="006C5D9C" w:rsidP="00A9681B">
      <w:pPr>
        <w:pStyle w:val="ECHRPara"/>
        <w:rPr>
          <w:rFonts w:ascii="Times New Roman" w:eastAsia="Times New Roman" w:hAnsi="Times New Roman" w:cs="Times New Roman"/>
          <w:lang w:eastAsia="fr-FR"/>
        </w:rPr>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42</w:t>
      </w:r>
      <w:r w:rsidRPr="00A9681B">
        <w:rPr>
          <w:rFonts w:ascii="Times New Roman" w:eastAsia="Times New Roman" w:hAnsi="Times New Roman" w:cs="Times New Roman"/>
          <w:lang w:eastAsia="fr-FR"/>
        </w:rPr>
        <w:fldChar w:fldCharType="end"/>
      </w:r>
      <w:r w:rsidRPr="00A9681B">
        <w:rPr>
          <w:rFonts w:ascii="Times New Roman" w:eastAsia="Times New Roman" w:hAnsi="Times New Roman" w:cs="Times New Roman"/>
          <w:lang w:eastAsia="fr-FR"/>
        </w:rPr>
        <w:t>.  </w:t>
      </w:r>
      <w:r w:rsidRPr="00A9681B">
        <w:t>I</w:t>
      </w:r>
      <w:r w:rsidR="001839BF" w:rsidRPr="00A9681B">
        <w:t>n the present case, i</w:t>
      </w:r>
      <w:r w:rsidRPr="00A9681B">
        <w:t>t has not been disputed by the Government that</w:t>
      </w:r>
      <w:r w:rsidRPr="00A9681B">
        <w:rPr>
          <w:rFonts w:ascii="Times New Roman" w:eastAsia="Times New Roman" w:hAnsi="Times New Roman" w:cs="Times New Roman"/>
          <w:lang w:eastAsia="fr-FR"/>
        </w:rPr>
        <w:t xml:space="preserve"> the New Regulations introduced a new system of schoolbook distribution in Hungary</w:t>
      </w:r>
      <w:r w:rsidR="00360054" w:rsidRPr="00A9681B">
        <w:rPr>
          <w:rFonts w:ascii="Times New Roman" w:eastAsia="Times New Roman" w:hAnsi="Times New Roman" w:cs="Times New Roman"/>
          <w:lang w:eastAsia="fr-FR"/>
        </w:rPr>
        <w:t>,</w:t>
      </w:r>
      <w:r w:rsidRPr="00A9681B">
        <w:rPr>
          <w:rFonts w:ascii="Times New Roman" w:eastAsia="Times New Roman" w:hAnsi="Times New Roman" w:cs="Times New Roman"/>
          <w:lang w:eastAsia="fr-FR"/>
        </w:rPr>
        <w:t xml:space="preserve"> and </w:t>
      </w:r>
      <w:r w:rsidR="001839BF" w:rsidRPr="00A9681B">
        <w:rPr>
          <w:rFonts w:ascii="Times New Roman" w:eastAsia="Times New Roman" w:hAnsi="Times New Roman" w:cs="Times New Roman"/>
          <w:lang w:eastAsia="fr-FR"/>
        </w:rPr>
        <w:t xml:space="preserve">that </w:t>
      </w:r>
      <w:r w:rsidRPr="00A9681B">
        <w:rPr>
          <w:rFonts w:ascii="Times New Roman" w:eastAsia="Times New Roman" w:hAnsi="Times New Roman" w:cs="Times New Roman"/>
          <w:lang w:eastAsia="fr-FR"/>
        </w:rPr>
        <w:t>this affected the applicant</w:t>
      </w:r>
      <w:r w:rsidR="00BD1026" w:rsidRPr="00A9681B">
        <w:rPr>
          <w:rFonts w:ascii="Times New Roman" w:eastAsia="Times New Roman" w:hAnsi="Times New Roman" w:cs="Times New Roman"/>
          <w:lang w:eastAsia="fr-FR"/>
        </w:rPr>
        <w:t xml:space="preserve"> </w:t>
      </w:r>
      <w:r w:rsidR="00BD1026" w:rsidRPr="00A9681B">
        <w:rPr>
          <w:rFonts w:eastAsia="Times New Roman"/>
          <w:lang w:eastAsia="fr-FR"/>
        </w:rPr>
        <w:t>companies</w:t>
      </w:r>
      <w:r w:rsidR="00A9681B" w:rsidRPr="00A9681B">
        <w:rPr>
          <w:rFonts w:eastAsia="Times New Roman"/>
          <w:lang w:eastAsia="fr-FR"/>
        </w:rPr>
        <w:t>’</w:t>
      </w:r>
      <w:r w:rsidRPr="00A9681B">
        <w:rPr>
          <w:rFonts w:ascii="Times New Roman" w:eastAsia="Times New Roman" w:hAnsi="Times New Roman" w:cs="Times New Roman"/>
          <w:lang w:eastAsia="fr-FR"/>
        </w:rPr>
        <w:t xml:space="preserve"> </w:t>
      </w:r>
      <w:r w:rsidR="006846F8" w:rsidRPr="00A9681B">
        <w:rPr>
          <w:rFonts w:ascii="Times New Roman" w:eastAsia="Times New Roman" w:hAnsi="Times New Roman" w:cs="Times New Roman"/>
          <w:lang w:eastAsia="fr-FR"/>
        </w:rPr>
        <w:t xml:space="preserve">business and </w:t>
      </w:r>
      <w:r w:rsidRPr="00A9681B">
        <w:rPr>
          <w:rFonts w:ascii="Times New Roman" w:eastAsia="Times New Roman" w:hAnsi="Times New Roman" w:cs="Times New Roman"/>
          <w:lang w:eastAsia="fr-FR"/>
        </w:rPr>
        <w:t>financial interests.</w:t>
      </w:r>
    </w:p>
    <w:p w:rsidR="006C5D9C" w:rsidRPr="00A9681B" w:rsidRDefault="00035D85" w:rsidP="00A9681B">
      <w:pPr>
        <w:pStyle w:val="ECHRPara"/>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43</w:t>
      </w:r>
      <w:r w:rsidRPr="00A9681B">
        <w:rPr>
          <w:rFonts w:ascii="Times New Roman" w:eastAsia="Times New Roman" w:hAnsi="Times New Roman" w:cs="Times New Roman"/>
          <w:lang w:eastAsia="fr-FR"/>
        </w:rPr>
        <w:fldChar w:fldCharType="end"/>
      </w:r>
      <w:r w:rsidRPr="00A9681B">
        <w:rPr>
          <w:rFonts w:ascii="Times New Roman" w:eastAsia="Times New Roman" w:hAnsi="Times New Roman" w:cs="Times New Roman"/>
          <w:lang w:eastAsia="fr-FR"/>
        </w:rPr>
        <w:t>.  </w:t>
      </w:r>
      <w:r w:rsidR="001839BF" w:rsidRPr="00A9681B">
        <w:rPr>
          <w:rFonts w:ascii="Times New Roman" w:eastAsia="Times New Roman" w:hAnsi="Times New Roman" w:cs="Times New Roman"/>
          <w:lang w:eastAsia="fr-FR"/>
        </w:rPr>
        <w:t>The Court notes that, as a consequence of the impugned legislative measure, the applicant</w:t>
      </w:r>
      <w:r w:rsidR="0037758D" w:rsidRPr="00A9681B">
        <w:rPr>
          <w:rFonts w:ascii="Times New Roman" w:eastAsia="Times New Roman" w:hAnsi="Times New Roman" w:cs="Times New Roman"/>
          <w:lang w:eastAsia="fr-FR"/>
        </w:rPr>
        <w:t xml:space="preserve"> </w:t>
      </w:r>
      <w:r w:rsidR="0037758D" w:rsidRPr="00A9681B">
        <w:rPr>
          <w:rFonts w:eastAsia="Times New Roman"/>
          <w:lang w:eastAsia="fr-FR"/>
        </w:rPr>
        <w:t>companies</w:t>
      </w:r>
      <w:r w:rsidR="001839BF" w:rsidRPr="00A9681B">
        <w:rPr>
          <w:rFonts w:ascii="Times New Roman" w:eastAsia="Times New Roman" w:hAnsi="Times New Roman" w:cs="Times New Roman"/>
          <w:lang w:eastAsia="fr-FR"/>
        </w:rPr>
        <w:t xml:space="preserve"> effectively lost their clientele</w:t>
      </w:r>
      <w:r w:rsidR="009741B1" w:rsidRPr="00A9681B">
        <w:rPr>
          <w:rFonts w:ascii="Times New Roman" w:eastAsia="Times New Roman" w:hAnsi="Times New Roman" w:cs="Times New Roman"/>
          <w:lang w:eastAsia="fr-FR"/>
        </w:rPr>
        <w:t>,</w:t>
      </w:r>
      <w:r w:rsidR="001839BF" w:rsidRPr="00A9681B">
        <w:rPr>
          <w:rFonts w:ascii="Times New Roman" w:eastAsia="Times New Roman" w:hAnsi="Times New Roman" w:cs="Times New Roman"/>
          <w:lang w:eastAsia="fr-FR"/>
        </w:rPr>
        <w:t xml:space="preserve"> which c</w:t>
      </w:r>
      <w:r w:rsidR="00360054" w:rsidRPr="00A9681B">
        <w:rPr>
          <w:rFonts w:ascii="Times New Roman" w:eastAsia="Times New Roman" w:hAnsi="Times New Roman" w:cs="Times New Roman"/>
          <w:lang w:eastAsia="fr-FR"/>
        </w:rPr>
        <w:t>ould</w:t>
      </w:r>
      <w:r w:rsidR="001839BF" w:rsidRPr="00A9681B">
        <w:rPr>
          <w:rFonts w:ascii="Times New Roman" w:eastAsia="Times New Roman" w:hAnsi="Times New Roman" w:cs="Times New Roman"/>
          <w:lang w:eastAsia="fr-FR"/>
        </w:rPr>
        <w:t xml:space="preserve"> be considered a “possession” for the purposes </w:t>
      </w:r>
      <w:r w:rsidR="004355D9" w:rsidRPr="00A9681B">
        <w:rPr>
          <w:rFonts w:ascii="Times New Roman" w:eastAsia="Times New Roman" w:hAnsi="Times New Roman" w:cs="Times New Roman"/>
          <w:lang w:eastAsia="fr-FR"/>
        </w:rPr>
        <w:t>of Article 1 of Protocol No. </w:t>
      </w:r>
      <w:r w:rsidR="002D6719" w:rsidRPr="00A9681B">
        <w:rPr>
          <w:rFonts w:ascii="Times New Roman" w:eastAsia="Times New Roman" w:hAnsi="Times New Roman" w:cs="Times New Roman"/>
          <w:lang w:eastAsia="fr-FR"/>
        </w:rPr>
        <w:t>1 (see paragraph</w:t>
      </w:r>
      <w:r w:rsidR="003807CD" w:rsidRPr="00A9681B">
        <w:rPr>
          <w:rFonts w:ascii="Times New Roman" w:eastAsia="Times New Roman" w:hAnsi="Times New Roman" w:cs="Times New Roman"/>
          <w:lang w:eastAsia="fr-FR"/>
        </w:rPr>
        <w:t xml:space="preserve"> </w:t>
      </w:r>
      <w:r w:rsidR="003807CD" w:rsidRPr="00A9681B">
        <w:rPr>
          <w:rFonts w:ascii="Times New Roman" w:eastAsia="Times New Roman" w:hAnsi="Times New Roman" w:cs="Times New Roman"/>
          <w:lang w:eastAsia="fr-FR"/>
        </w:rPr>
        <w:fldChar w:fldCharType="begin"/>
      </w:r>
      <w:r w:rsidR="003807CD" w:rsidRPr="00A9681B">
        <w:rPr>
          <w:rFonts w:ascii="Times New Roman" w:eastAsia="Times New Roman" w:hAnsi="Times New Roman" w:cs="Times New Roman"/>
          <w:lang w:eastAsia="fr-FR"/>
        </w:rPr>
        <w:instrText xml:space="preserve"> REF T2 \h </w:instrText>
      </w:r>
      <w:r w:rsidR="00E06CE1" w:rsidRPr="00A9681B">
        <w:rPr>
          <w:rFonts w:ascii="Times New Roman" w:eastAsia="Times New Roman" w:hAnsi="Times New Roman" w:cs="Times New Roman"/>
          <w:lang w:eastAsia="fr-FR"/>
        </w:rPr>
        <w:instrText xml:space="preserve"> \* MERGEFORMAT </w:instrText>
      </w:r>
      <w:r w:rsidR="003807CD" w:rsidRPr="00A9681B">
        <w:rPr>
          <w:rFonts w:ascii="Times New Roman" w:eastAsia="Times New Roman" w:hAnsi="Times New Roman" w:cs="Times New Roman"/>
          <w:lang w:eastAsia="fr-FR"/>
        </w:rPr>
      </w:r>
      <w:r w:rsidR="003807CD"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snapToGrid w:val="0"/>
          <w:szCs w:val="24"/>
        </w:rPr>
        <w:t>32</w:t>
      </w:r>
      <w:r w:rsidR="003807CD" w:rsidRPr="00A9681B">
        <w:rPr>
          <w:rFonts w:ascii="Times New Roman" w:eastAsia="Times New Roman" w:hAnsi="Times New Roman" w:cs="Times New Roman"/>
          <w:lang w:eastAsia="fr-FR"/>
        </w:rPr>
        <w:fldChar w:fldCharType="end"/>
      </w:r>
      <w:r w:rsidR="002D6719" w:rsidRPr="00A9681B">
        <w:rPr>
          <w:rFonts w:ascii="Times New Roman" w:eastAsia="Times New Roman" w:hAnsi="Times New Roman" w:cs="Times New Roman"/>
          <w:lang w:eastAsia="fr-FR"/>
        </w:rPr>
        <w:t xml:space="preserve"> </w:t>
      </w:r>
      <w:r w:rsidR="001839BF" w:rsidRPr="00A9681B">
        <w:rPr>
          <w:rFonts w:ascii="Times New Roman" w:eastAsia="Times New Roman" w:hAnsi="Times New Roman" w:cs="Times New Roman"/>
          <w:lang w:eastAsia="fr-FR"/>
        </w:rPr>
        <w:t xml:space="preserve">above). It thus finds that there has been an </w:t>
      </w:r>
      <w:r w:rsidR="001839BF" w:rsidRPr="00A9681B">
        <w:rPr>
          <w:rFonts w:ascii="Times New Roman" w:eastAsia="Times New Roman" w:hAnsi="Times New Roman" w:cs="Times New Roman"/>
          <w:lang w:eastAsia="fr-FR"/>
        </w:rPr>
        <w:lastRenderedPageBreak/>
        <w:t>interference with the applicant</w:t>
      </w:r>
      <w:r w:rsidR="0037758D" w:rsidRPr="00A9681B">
        <w:rPr>
          <w:rFonts w:ascii="Times New Roman" w:eastAsia="Times New Roman" w:hAnsi="Times New Roman" w:cs="Times New Roman"/>
          <w:lang w:eastAsia="fr-FR"/>
        </w:rPr>
        <w:t xml:space="preserve"> </w:t>
      </w:r>
      <w:r w:rsidR="0037758D" w:rsidRPr="00A9681B">
        <w:rPr>
          <w:rFonts w:eastAsia="Times New Roman"/>
          <w:lang w:eastAsia="fr-FR"/>
        </w:rPr>
        <w:t>companies</w:t>
      </w:r>
      <w:r w:rsidR="00A9681B" w:rsidRPr="00A9681B">
        <w:rPr>
          <w:rFonts w:eastAsia="Times New Roman"/>
          <w:lang w:eastAsia="fr-FR"/>
        </w:rPr>
        <w:t>’</w:t>
      </w:r>
      <w:r w:rsidR="001839BF" w:rsidRPr="00A9681B">
        <w:rPr>
          <w:rFonts w:ascii="Times New Roman" w:eastAsia="Times New Roman" w:hAnsi="Times New Roman" w:cs="Times New Roman"/>
          <w:lang w:eastAsia="fr-FR"/>
        </w:rPr>
        <w:t xml:space="preserve"> rights under that provision, consisting </w:t>
      </w:r>
      <w:r w:rsidR="00360054" w:rsidRPr="00A9681B">
        <w:rPr>
          <w:rFonts w:ascii="Times New Roman" w:eastAsia="Times New Roman" w:hAnsi="Times New Roman" w:cs="Times New Roman"/>
          <w:lang w:eastAsia="fr-FR"/>
        </w:rPr>
        <w:t>of</w:t>
      </w:r>
      <w:r w:rsidR="001839BF" w:rsidRPr="00A9681B">
        <w:rPr>
          <w:rFonts w:ascii="Times New Roman" w:eastAsia="Times New Roman" w:hAnsi="Times New Roman" w:cs="Times New Roman"/>
          <w:lang w:eastAsia="fr-FR"/>
        </w:rPr>
        <w:t xml:space="preserve"> </w:t>
      </w:r>
      <w:r w:rsidR="006C5D9C" w:rsidRPr="00A9681B">
        <w:rPr>
          <w:rFonts w:ascii="Times New Roman" w:eastAsia="Times New Roman" w:hAnsi="Times New Roman" w:cs="Times New Roman"/>
          <w:lang w:eastAsia="fr-FR"/>
        </w:rPr>
        <w:t>a measure entailing control of the use of the</w:t>
      </w:r>
      <w:r w:rsidR="009C01F7" w:rsidRPr="00A9681B">
        <w:rPr>
          <w:rFonts w:ascii="Times New Roman" w:eastAsia="Times New Roman" w:hAnsi="Times New Roman" w:cs="Times New Roman"/>
          <w:lang w:eastAsia="fr-FR"/>
        </w:rPr>
        <w:t>ir</w:t>
      </w:r>
      <w:r w:rsidR="006C5D9C" w:rsidRPr="00A9681B">
        <w:rPr>
          <w:rFonts w:ascii="Times New Roman" w:eastAsia="Times New Roman" w:hAnsi="Times New Roman" w:cs="Times New Roman"/>
          <w:lang w:eastAsia="fr-FR"/>
        </w:rPr>
        <w:t xml:space="preserve"> property</w:t>
      </w:r>
      <w:r w:rsidR="001839BF" w:rsidRPr="00A9681B">
        <w:rPr>
          <w:rFonts w:ascii="Times New Roman" w:eastAsia="Times New Roman" w:hAnsi="Times New Roman" w:cs="Times New Roman"/>
          <w:lang w:eastAsia="fr-FR"/>
        </w:rPr>
        <w:t xml:space="preserve">. Such an interference </w:t>
      </w:r>
      <w:r w:rsidR="006C5D9C" w:rsidRPr="00A9681B">
        <w:rPr>
          <w:rFonts w:ascii="Times New Roman" w:eastAsia="Times New Roman" w:hAnsi="Times New Roman" w:cs="Times New Roman"/>
          <w:lang w:eastAsia="fr-FR"/>
        </w:rPr>
        <w:t>falls to be considered under the second paragra</w:t>
      </w:r>
      <w:r w:rsidR="004355D9" w:rsidRPr="00A9681B">
        <w:rPr>
          <w:rFonts w:ascii="Times New Roman" w:eastAsia="Times New Roman" w:hAnsi="Times New Roman" w:cs="Times New Roman"/>
          <w:lang w:eastAsia="fr-FR"/>
        </w:rPr>
        <w:t>ph of Article </w:t>
      </w:r>
      <w:r w:rsidR="00CF0E0A" w:rsidRPr="00A9681B">
        <w:rPr>
          <w:rFonts w:ascii="Times New Roman" w:eastAsia="Times New Roman" w:hAnsi="Times New Roman" w:cs="Times New Roman"/>
          <w:lang w:eastAsia="fr-FR"/>
        </w:rPr>
        <w:t>1 of Protocol No. </w:t>
      </w:r>
      <w:r w:rsidR="006C5D9C" w:rsidRPr="00A9681B">
        <w:rPr>
          <w:rFonts w:ascii="Times New Roman" w:eastAsia="Times New Roman" w:hAnsi="Times New Roman" w:cs="Times New Roman"/>
          <w:lang w:eastAsia="fr-FR"/>
        </w:rPr>
        <w:t xml:space="preserve">1 (see, </w:t>
      </w:r>
      <w:r w:rsidR="001D34C9" w:rsidRPr="00A9681B">
        <w:rPr>
          <w:rFonts w:ascii="Times New Roman" w:eastAsia="Times New Roman" w:hAnsi="Times New Roman" w:cs="Times New Roman"/>
          <w:i/>
          <w:lang w:eastAsia="fr-FR"/>
        </w:rPr>
        <w:t>mutatis mutandis</w:t>
      </w:r>
      <w:r w:rsidR="001D34C9" w:rsidRPr="00A9681B">
        <w:rPr>
          <w:rFonts w:ascii="Times New Roman" w:eastAsia="Times New Roman" w:hAnsi="Times New Roman" w:cs="Times New Roman"/>
          <w:lang w:eastAsia="fr-FR"/>
        </w:rPr>
        <w:t>,</w:t>
      </w:r>
      <w:r w:rsidR="00F42F46" w:rsidRPr="00A9681B">
        <w:rPr>
          <w:i/>
        </w:rPr>
        <w:t xml:space="preserve"> Buzescu</w:t>
      </w:r>
      <w:r w:rsidR="00CF0E0A" w:rsidRPr="00A9681B">
        <w:t xml:space="preserve">, </w:t>
      </w:r>
      <w:r w:rsidR="0025234D" w:rsidRPr="00A9681B">
        <w:t>cited above, §</w:t>
      </w:r>
      <w:r w:rsidR="007D2ECB" w:rsidRPr="00A9681B">
        <w:t> </w:t>
      </w:r>
      <w:r w:rsidR="0025234D" w:rsidRPr="00A9681B">
        <w:t>88</w:t>
      </w:r>
      <w:r w:rsidR="004A1363" w:rsidRPr="00A9681B">
        <w:t>,</w:t>
      </w:r>
      <w:r w:rsidR="00F43A23" w:rsidRPr="00A9681B">
        <w:t xml:space="preserve"> and</w:t>
      </w:r>
      <w:r w:rsidR="006C5D9C" w:rsidRPr="00A9681B">
        <w:rPr>
          <w:rFonts w:ascii="Times New Roman" w:eastAsia="Times New Roman" w:hAnsi="Times New Roman" w:cs="Times New Roman"/>
          <w:lang w:eastAsia="fr-FR"/>
        </w:rPr>
        <w:t xml:space="preserve"> </w:t>
      </w:r>
      <w:r w:rsidR="00F42F46" w:rsidRPr="00A9681B">
        <w:rPr>
          <w:rFonts w:ascii="Times New Roman" w:eastAsia="Times New Roman" w:hAnsi="Times New Roman" w:cs="Times New Roman"/>
          <w:i/>
          <w:lang w:eastAsia="fr-FR"/>
        </w:rPr>
        <w:t>Tre Traktörer AB v. </w:t>
      </w:r>
      <w:r w:rsidR="006C5D9C" w:rsidRPr="00A9681B">
        <w:rPr>
          <w:rFonts w:ascii="Times New Roman" w:eastAsia="Times New Roman" w:hAnsi="Times New Roman" w:cs="Times New Roman"/>
          <w:i/>
          <w:lang w:eastAsia="fr-FR"/>
        </w:rPr>
        <w:t>Sweden</w:t>
      </w:r>
      <w:r w:rsidR="006C5D9C" w:rsidRPr="00A9681B">
        <w:rPr>
          <w:rFonts w:ascii="Times New Roman" w:eastAsia="Times New Roman" w:hAnsi="Times New Roman" w:cs="Times New Roman"/>
          <w:lang w:eastAsia="fr-FR"/>
        </w:rPr>
        <w:t xml:space="preserve">, 7 July 1989, </w:t>
      </w:r>
      <w:r w:rsidR="00F624F4" w:rsidRPr="00A9681B">
        <w:rPr>
          <w:rFonts w:ascii="Times New Roman" w:eastAsia="Times New Roman" w:hAnsi="Times New Roman" w:cs="Times New Roman"/>
          <w:lang w:eastAsia="fr-FR"/>
        </w:rPr>
        <w:t xml:space="preserve">§ 55, </w:t>
      </w:r>
      <w:r w:rsidR="006C5D9C" w:rsidRPr="00A9681B">
        <w:rPr>
          <w:rFonts w:ascii="Times New Roman" w:eastAsia="Times New Roman" w:hAnsi="Times New Roman" w:cs="Times New Roman"/>
          <w:lang w:eastAsia="fr-FR"/>
        </w:rPr>
        <w:t>Se</w:t>
      </w:r>
      <w:r w:rsidR="00CF0E0A" w:rsidRPr="00A9681B">
        <w:rPr>
          <w:rFonts w:ascii="Times New Roman" w:eastAsia="Times New Roman" w:hAnsi="Times New Roman" w:cs="Times New Roman"/>
          <w:lang w:eastAsia="fr-FR"/>
        </w:rPr>
        <w:t>ries </w:t>
      </w:r>
      <w:r w:rsidR="001D34C9" w:rsidRPr="00A9681B">
        <w:rPr>
          <w:rFonts w:ascii="Times New Roman" w:eastAsia="Times New Roman" w:hAnsi="Times New Roman" w:cs="Times New Roman"/>
          <w:lang w:eastAsia="fr-FR"/>
        </w:rPr>
        <w:t>A no.</w:t>
      </w:r>
      <w:r w:rsidR="00F624F4" w:rsidRPr="00A9681B">
        <w:rPr>
          <w:rFonts w:ascii="Times New Roman" w:eastAsia="Times New Roman" w:hAnsi="Times New Roman" w:cs="Times New Roman"/>
          <w:lang w:eastAsia="fr-FR"/>
        </w:rPr>
        <w:t> </w:t>
      </w:r>
      <w:r w:rsidR="001D34C9" w:rsidRPr="00A9681B">
        <w:rPr>
          <w:rFonts w:ascii="Times New Roman" w:eastAsia="Times New Roman" w:hAnsi="Times New Roman" w:cs="Times New Roman"/>
          <w:lang w:eastAsia="fr-FR"/>
        </w:rPr>
        <w:t>159</w:t>
      </w:r>
      <w:r w:rsidR="006C5D9C" w:rsidRPr="00A9681B">
        <w:rPr>
          <w:rFonts w:ascii="Times New Roman" w:eastAsia="Times New Roman" w:hAnsi="Times New Roman" w:cs="Times New Roman"/>
          <w:lang w:eastAsia="fr-FR"/>
        </w:rPr>
        <w:t>).</w:t>
      </w:r>
    </w:p>
    <w:p w:rsidR="00587160" w:rsidRPr="00A9681B" w:rsidRDefault="00587160" w:rsidP="00A9681B">
      <w:pPr>
        <w:pStyle w:val="ECHRHeading4"/>
      </w:pPr>
      <w:r w:rsidRPr="00A9681B">
        <w:t>(b)  Whether the interference was justified</w:t>
      </w:r>
    </w:p>
    <w:p w:rsidR="0013005C" w:rsidRPr="00A9681B" w:rsidRDefault="00587160" w:rsidP="00A9681B">
      <w:pPr>
        <w:pStyle w:val="ECHRHeading5"/>
      </w:pPr>
      <w:r w:rsidRPr="00A9681B">
        <w:t>(i)  L</w:t>
      </w:r>
      <w:r w:rsidR="0013005C" w:rsidRPr="00A9681B">
        <w:t>awfulness</w:t>
      </w:r>
    </w:p>
    <w:p w:rsidR="00766713" w:rsidRPr="00A9681B" w:rsidRDefault="0057546B"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44</w:t>
      </w:r>
      <w:r w:rsidRPr="00A9681B">
        <w:fldChar w:fldCharType="end"/>
      </w:r>
      <w:r w:rsidRPr="00A9681B">
        <w:t>.  </w:t>
      </w:r>
      <w:r w:rsidR="0013005C" w:rsidRPr="00A9681B">
        <w:t>The first and most important requi</w:t>
      </w:r>
      <w:r w:rsidR="004355D9" w:rsidRPr="00A9681B">
        <w:t>rement of Article 1 of Protocol No. </w:t>
      </w:r>
      <w:r w:rsidR="0013005C" w:rsidRPr="00A9681B">
        <w:t xml:space="preserve">1 is that any interference by a public authority with the peaceful enjoyment </w:t>
      </w:r>
      <w:r w:rsidR="00982E2D" w:rsidRPr="00A9681B">
        <w:t>of possessions should be lawful</w:t>
      </w:r>
      <w:r w:rsidR="0013005C" w:rsidRPr="00A9681B">
        <w:t xml:space="preserve"> (see </w:t>
      </w:r>
      <w:r w:rsidR="0013005C" w:rsidRPr="00A9681B">
        <w:rPr>
          <w:i/>
        </w:rPr>
        <w:t>Iatridis</w:t>
      </w:r>
      <w:r w:rsidR="00547F1B" w:rsidRPr="00A9681B">
        <w:t xml:space="preserve">, </w:t>
      </w:r>
      <w:r w:rsidR="00982E2D" w:rsidRPr="00A9681B">
        <w:t xml:space="preserve">cited above, § 58), which </w:t>
      </w:r>
      <w:r w:rsidR="00D669CD" w:rsidRPr="00A9681B">
        <w:t>presuppos</w:t>
      </w:r>
      <w:r w:rsidR="00982E2D" w:rsidRPr="00A9681B">
        <w:t xml:space="preserve">es </w:t>
      </w:r>
      <w:r w:rsidR="00D669CD" w:rsidRPr="00A9681B">
        <w:t xml:space="preserve">that the applicable provisions of domestic law </w:t>
      </w:r>
      <w:r w:rsidR="00E86F36" w:rsidRPr="00A9681B">
        <w:t xml:space="preserve">are </w:t>
      </w:r>
      <w:r w:rsidR="00D669CD" w:rsidRPr="00A9681B">
        <w:t xml:space="preserve">sufficiently accessible, precise and foreseeable (see </w:t>
      </w:r>
      <w:r w:rsidR="000D2442" w:rsidRPr="00A9681B">
        <w:rPr>
          <w:i/>
        </w:rPr>
        <w:t>Beyeler v. </w:t>
      </w:r>
      <w:r w:rsidR="00D669CD" w:rsidRPr="00A9681B">
        <w:rPr>
          <w:i/>
        </w:rPr>
        <w:t>Italy</w:t>
      </w:r>
      <w:r w:rsidR="004355D9" w:rsidRPr="00A9681B">
        <w:t xml:space="preserve"> [GC], no. </w:t>
      </w:r>
      <w:r w:rsidR="00D669CD" w:rsidRPr="00A9681B">
        <w:t>33202/96, § 109, ECHR 2000</w:t>
      </w:r>
      <w:r w:rsidR="00D669CD" w:rsidRPr="00A9681B">
        <w:noBreakHyphen/>
        <w:t xml:space="preserve">I). </w:t>
      </w:r>
      <w:r w:rsidR="004858C7" w:rsidRPr="00A9681B">
        <w:t xml:space="preserve">In the present case, the Court observes that the measure </w:t>
      </w:r>
      <w:r w:rsidR="00982E2D" w:rsidRPr="00A9681B">
        <w:t>complained of was based on two statutory amendments</w:t>
      </w:r>
      <w:r w:rsidR="009741B1" w:rsidRPr="00A9681B">
        <w:t xml:space="preserve"> which had been</w:t>
      </w:r>
      <w:r w:rsidR="001C2AE8" w:rsidRPr="00A9681B">
        <w:t xml:space="preserve"> duly published</w:t>
      </w:r>
      <w:r w:rsidR="00982E2D" w:rsidRPr="00A9681B">
        <w:t xml:space="preserve">. </w:t>
      </w:r>
      <w:r w:rsidR="00C3369D" w:rsidRPr="00A9681B">
        <w:t>It</w:t>
      </w:r>
      <w:r w:rsidR="00D669CD" w:rsidRPr="00A9681B">
        <w:t xml:space="preserve"> </w:t>
      </w:r>
      <w:r w:rsidR="004F6B56" w:rsidRPr="00A9681B">
        <w:t xml:space="preserve">thus </w:t>
      </w:r>
      <w:r w:rsidR="00C3369D" w:rsidRPr="00A9681B">
        <w:t xml:space="preserve">satisfied </w:t>
      </w:r>
      <w:r w:rsidR="003807CD" w:rsidRPr="00A9681B">
        <w:t>the lawfulness requirement.</w:t>
      </w:r>
    </w:p>
    <w:p w:rsidR="0013005C" w:rsidRPr="00A9681B" w:rsidRDefault="0043347A" w:rsidP="00A9681B">
      <w:pPr>
        <w:pStyle w:val="ECHRHeading5"/>
      </w:pPr>
      <w:r w:rsidRPr="00A9681B">
        <w:t>(</w:t>
      </w:r>
      <w:r w:rsidR="00587160" w:rsidRPr="00A9681B">
        <w:t>ii</w:t>
      </w:r>
      <w:r w:rsidRPr="00A9681B">
        <w:t>)</w:t>
      </w:r>
      <w:r w:rsidR="00587160" w:rsidRPr="00A9681B">
        <w:t>  </w:t>
      </w:r>
      <w:r w:rsidR="001B0774" w:rsidRPr="00A9681B">
        <w:t xml:space="preserve">General interest </w:t>
      </w:r>
      <w:r w:rsidR="001B0774" w:rsidRPr="00A9681B">
        <w:rPr>
          <w:rFonts w:cstheme="minorHAnsi"/>
        </w:rPr>
        <w:t xml:space="preserve">– </w:t>
      </w:r>
      <w:r w:rsidR="001B0774" w:rsidRPr="00A9681B">
        <w:t>l</w:t>
      </w:r>
      <w:r w:rsidR="00365A68" w:rsidRPr="00A9681B">
        <w:t>egitimate aim</w:t>
      </w:r>
    </w:p>
    <w:bookmarkStart w:id="9" w:name="T7"/>
    <w:p w:rsidR="00C3369D" w:rsidRPr="00A9681B" w:rsidRDefault="00CB53F2" w:rsidP="00A9681B">
      <w:pPr>
        <w:pStyle w:val="ECHRPara"/>
        <w:rPr>
          <w:rFonts w:ascii="Times New Roman" w:hAnsi="Times New Roman"/>
          <w:szCs w:val="24"/>
          <w:lang w:eastAsia="fr-FR"/>
        </w:rPr>
      </w:pPr>
      <w:r w:rsidRPr="00A9681B">
        <w:fldChar w:fldCharType="begin"/>
      </w:r>
      <w:r w:rsidRPr="00A9681B">
        <w:instrText xml:space="preserve"> SEQ level0 \*arabic </w:instrText>
      </w:r>
      <w:r w:rsidRPr="00A9681B">
        <w:fldChar w:fldCharType="separate"/>
      </w:r>
      <w:r w:rsidR="00A9681B" w:rsidRPr="00A9681B">
        <w:rPr>
          <w:noProof/>
        </w:rPr>
        <w:t>45</w:t>
      </w:r>
      <w:r w:rsidRPr="00A9681B">
        <w:fldChar w:fldCharType="end"/>
      </w:r>
      <w:bookmarkEnd w:id="9"/>
      <w:r w:rsidRPr="00A9681B">
        <w:t>.  </w:t>
      </w:r>
      <w:r w:rsidR="0013005C" w:rsidRPr="00A9681B">
        <w:t>Any interference with the enjoyment of a right or freedom rec</w:t>
      </w:r>
      <w:r w:rsidR="0017412E" w:rsidRPr="00A9681B">
        <w:t xml:space="preserve">ognised by the Convention must </w:t>
      </w:r>
      <w:r w:rsidR="0013005C" w:rsidRPr="00A9681B">
        <w:t>pursue a legitimate aim. The principle of a “fair balance” inherent in Article 1 of Protocol No. 1 itself presupposes the existence of a general interest of the com</w:t>
      </w:r>
      <w:r w:rsidR="00E21769" w:rsidRPr="00A9681B">
        <w:t xml:space="preserve">munity </w:t>
      </w:r>
      <w:r w:rsidR="00556559" w:rsidRPr="00A9681B">
        <w:t xml:space="preserve">(see </w:t>
      </w:r>
      <w:r w:rsidR="00B842A6" w:rsidRPr="00A9681B">
        <w:rPr>
          <w:i/>
        </w:rPr>
        <w:t>Beyeler</w:t>
      </w:r>
      <w:r w:rsidR="004A69D2" w:rsidRPr="00A9681B">
        <w:t>,</w:t>
      </w:r>
      <w:r w:rsidR="00B842A6" w:rsidRPr="00A9681B">
        <w:t xml:space="preserve"> </w:t>
      </w:r>
      <w:r w:rsidR="00697D41" w:rsidRPr="00A9681B">
        <w:t>cited above, § </w:t>
      </w:r>
      <w:r w:rsidR="004A69D2" w:rsidRPr="00A9681B">
        <w:t>111</w:t>
      </w:r>
      <w:r w:rsidR="00B842A6" w:rsidRPr="00A9681B">
        <w:t>).</w:t>
      </w:r>
      <w:r w:rsidR="0016341A" w:rsidRPr="00A9681B">
        <w:t xml:space="preserve"> </w:t>
      </w:r>
      <w:r w:rsidR="00C3369D" w:rsidRPr="00A9681B">
        <w:t>B</w:t>
      </w:r>
      <w:r w:rsidR="00C3369D" w:rsidRPr="00A9681B">
        <w:rPr>
          <w:rFonts w:ascii="Times New Roman" w:hAnsi="Times New Roman"/>
          <w:szCs w:val="24"/>
          <w:lang w:eastAsia="fr-FR"/>
        </w:rPr>
        <w:t>ecause of their direct knowledge of their society and its needs,</w:t>
      </w:r>
      <w:r w:rsidR="00C3369D" w:rsidRPr="00A9681B">
        <w:t xml:space="preserve"> the </w:t>
      </w:r>
      <w:r w:rsidR="0016341A" w:rsidRPr="00A9681B">
        <w:t xml:space="preserve">national authorities enjoy a wide margin of appreciation in determining what is in the general interest of the community (see, </w:t>
      </w:r>
      <w:r w:rsidR="0016341A" w:rsidRPr="00A9681B">
        <w:rPr>
          <w:i/>
        </w:rPr>
        <w:t>mutatis mutandis</w:t>
      </w:r>
      <w:r w:rsidR="0016341A" w:rsidRPr="00A9681B">
        <w:t xml:space="preserve">, </w:t>
      </w:r>
      <w:r w:rsidR="0016341A" w:rsidRPr="00A9681B">
        <w:rPr>
          <w:i/>
        </w:rPr>
        <w:t>James and Others v. the United Kingdom</w:t>
      </w:r>
      <w:r w:rsidR="000D2442" w:rsidRPr="00A9681B">
        <w:t>, 21 </w:t>
      </w:r>
      <w:r w:rsidR="0016341A" w:rsidRPr="00A9681B">
        <w:t xml:space="preserve">February 1986, § 46, Series A no. 98, and </w:t>
      </w:r>
      <w:r w:rsidR="0016341A" w:rsidRPr="00A9681B">
        <w:rPr>
          <w:i/>
        </w:rPr>
        <w:t>Vékony</w:t>
      </w:r>
      <w:r w:rsidR="0016341A" w:rsidRPr="00A9681B">
        <w:rPr>
          <w:snapToGrid w:val="0"/>
        </w:rPr>
        <w:t>, cited above, § 33</w:t>
      </w:r>
      <w:r w:rsidR="0016341A" w:rsidRPr="00A9681B">
        <w:t xml:space="preserve">). </w:t>
      </w:r>
      <w:r w:rsidR="00C3369D" w:rsidRPr="00A9681B">
        <w:rPr>
          <w:rFonts w:ascii="Times New Roman" w:hAnsi="Times New Roman"/>
          <w:szCs w:val="24"/>
          <w:lang w:eastAsia="fr-FR"/>
        </w:rPr>
        <w:t>Furthermore, the notion of “public interest” is necessarily extensive. The Court, finding it natural that the margin of appreciation available to the legislature in implementing social and economic policies should be a wide one, will respect the legislature</w:t>
      </w:r>
      <w:r w:rsidR="00A9681B" w:rsidRPr="00A9681B">
        <w:rPr>
          <w:rFonts w:ascii="Times New Roman" w:hAnsi="Times New Roman"/>
          <w:szCs w:val="24"/>
          <w:lang w:eastAsia="fr-FR"/>
        </w:rPr>
        <w:t>’</w:t>
      </w:r>
      <w:r w:rsidR="00C3369D" w:rsidRPr="00A9681B">
        <w:rPr>
          <w:rFonts w:ascii="Times New Roman" w:hAnsi="Times New Roman"/>
          <w:szCs w:val="24"/>
          <w:lang w:eastAsia="fr-FR"/>
        </w:rPr>
        <w:t xml:space="preserve">s judgment as to what is “in the public interest” unless that judgment </w:t>
      </w:r>
      <w:r w:rsidR="008D220D" w:rsidRPr="00A9681B">
        <w:rPr>
          <w:rFonts w:ascii="Times New Roman" w:hAnsi="Times New Roman"/>
          <w:szCs w:val="24"/>
          <w:lang w:eastAsia="fr-FR"/>
        </w:rPr>
        <w:t xml:space="preserve">is </w:t>
      </w:r>
      <w:r w:rsidR="00C3369D" w:rsidRPr="00A9681B">
        <w:rPr>
          <w:rFonts w:ascii="Times New Roman" w:hAnsi="Times New Roman"/>
          <w:szCs w:val="24"/>
          <w:lang w:eastAsia="fr-FR"/>
        </w:rPr>
        <w:t xml:space="preserve">manifestly without reasonable foundation </w:t>
      </w:r>
      <w:r w:rsidR="00C3369D" w:rsidRPr="00A9681B">
        <w:t xml:space="preserve">(see </w:t>
      </w:r>
      <w:r w:rsidR="00C3369D" w:rsidRPr="00A9681B">
        <w:rPr>
          <w:i/>
        </w:rPr>
        <w:t>James and Others</w:t>
      </w:r>
      <w:r w:rsidR="00C3369D" w:rsidRPr="00A9681B">
        <w:t>, cited above, § 46).</w:t>
      </w:r>
    </w:p>
    <w:p w:rsidR="004F6B56" w:rsidRPr="00A9681B" w:rsidRDefault="00C3369D" w:rsidP="00A9681B">
      <w:pPr>
        <w:pStyle w:val="ECHRPara"/>
        <w:rPr>
          <w:rFonts w:ascii="Times New Roman" w:hAnsi="Times New Roman"/>
          <w:szCs w:val="24"/>
          <w:lang w:eastAsia="fr-FR"/>
        </w:rPr>
      </w:pPr>
      <w:r w:rsidRPr="00A9681B">
        <w:rPr>
          <w:rFonts w:ascii="Times New Roman" w:hAnsi="Times New Roman"/>
          <w:szCs w:val="24"/>
        </w:rPr>
        <w:fldChar w:fldCharType="begin"/>
      </w:r>
      <w:r w:rsidRPr="00A9681B">
        <w:rPr>
          <w:rFonts w:ascii="Times New Roman" w:hAnsi="Times New Roman"/>
          <w:szCs w:val="24"/>
        </w:rPr>
        <w:instrText xml:space="preserve"> SEQ level0 \*arabic </w:instrText>
      </w:r>
      <w:r w:rsidRPr="00A9681B">
        <w:rPr>
          <w:rFonts w:ascii="Times New Roman" w:hAnsi="Times New Roman"/>
          <w:szCs w:val="24"/>
        </w:rPr>
        <w:fldChar w:fldCharType="separate"/>
      </w:r>
      <w:r w:rsidR="00A9681B" w:rsidRPr="00A9681B">
        <w:rPr>
          <w:rFonts w:ascii="Times New Roman" w:hAnsi="Times New Roman"/>
          <w:noProof/>
          <w:szCs w:val="24"/>
        </w:rPr>
        <w:t>46</w:t>
      </w:r>
      <w:r w:rsidRPr="00A9681B">
        <w:rPr>
          <w:rFonts w:ascii="Times New Roman" w:hAnsi="Times New Roman"/>
          <w:szCs w:val="24"/>
        </w:rPr>
        <w:fldChar w:fldCharType="end"/>
      </w:r>
      <w:r w:rsidRPr="00A9681B">
        <w:rPr>
          <w:rFonts w:ascii="Times New Roman" w:hAnsi="Times New Roman"/>
          <w:szCs w:val="24"/>
        </w:rPr>
        <w:t>.  </w:t>
      </w:r>
      <w:r w:rsidR="003B21B7" w:rsidRPr="00A9681B">
        <w:t xml:space="preserve">In the present case, the Court does not need to determine whether the implementation of the impugned reform pursued a legitimate aim. Even assuming that this reform was aimed at ensuring more efficient spending of public funds, the Court is not convinced that this aim consisted </w:t>
      </w:r>
      <w:r w:rsidRPr="00A9681B">
        <w:rPr>
          <w:rFonts w:ascii="Times New Roman" w:hAnsi="Times New Roman"/>
          <w:szCs w:val="24"/>
          <w:lang w:eastAsia="fr-FR"/>
        </w:rPr>
        <w:t>in protecting the end-users</w:t>
      </w:r>
      <w:r w:rsidR="00A9681B" w:rsidRPr="00A9681B">
        <w:rPr>
          <w:rFonts w:ascii="Times New Roman" w:hAnsi="Times New Roman"/>
          <w:szCs w:val="24"/>
          <w:lang w:eastAsia="fr-FR"/>
        </w:rPr>
        <w:t>’</w:t>
      </w:r>
      <w:r w:rsidRPr="00A9681B">
        <w:rPr>
          <w:rFonts w:ascii="Times New Roman" w:hAnsi="Times New Roman"/>
          <w:szCs w:val="24"/>
          <w:lang w:eastAsia="fr-FR"/>
        </w:rPr>
        <w:t xml:space="preserve"> (that is, the parents</w:t>
      </w:r>
      <w:r w:rsidR="00A9681B" w:rsidRPr="00A9681B">
        <w:rPr>
          <w:rFonts w:ascii="Times New Roman" w:hAnsi="Times New Roman"/>
          <w:szCs w:val="24"/>
          <w:lang w:eastAsia="fr-FR"/>
        </w:rPr>
        <w:t>’</w:t>
      </w:r>
      <w:r w:rsidRPr="00A9681B">
        <w:rPr>
          <w:rFonts w:ascii="Times New Roman" w:hAnsi="Times New Roman"/>
          <w:szCs w:val="24"/>
          <w:lang w:eastAsia="fr-FR"/>
        </w:rPr>
        <w:t xml:space="preserve"> or pupils</w:t>
      </w:r>
      <w:r w:rsidR="00A9681B" w:rsidRPr="00A9681B">
        <w:rPr>
          <w:rFonts w:ascii="Times New Roman" w:hAnsi="Times New Roman"/>
          <w:szCs w:val="24"/>
          <w:lang w:eastAsia="fr-FR"/>
        </w:rPr>
        <w:t>’</w:t>
      </w:r>
      <w:r w:rsidRPr="00A9681B">
        <w:rPr>
          <w:rFonts w:ascii="Times New Roman" w:hAnsi="Times New Roman"/>
          <w:szCs w:val="24"/>
          <w:lang w:eastAsia="fr-FR"/>
        </w:rPr>
        <w:t>) interests, given that the prices of schoolbook</w:t>
      </w:r>
      <w:r w:rsidR="004F6B56" w:rsidRPr="00A9681B">
        <w:rPr>
          <w:rFonts w:ascii="Times New Roman" w:hAnsi="Times New Roman"/>
          <w:szCs w:val="24"/>
          <w:lang w:eastAsia="fr-FR"/>
        </w:rPr>
        <w:t>s we</w:t>
      </w:r>
      <w:r w:rsidRPr="00A9681B">
        <w:rPr>
          <w:rFonts w:ascii="Times New Roman" w:hAnsi="Times New Roman"/>
          <w:szCs w:val="24"/>
          <w:lang w:eastAsia="fr-FR"/>
        </w:rPr>
        <w:t xml:space="preserve">re </w:t>
      </w:r>
      <w:r w:rsidR="004F6B56" w:rsidRPr="00A9681B">
        <w:rPr>
          <w:rFonts w:ascii="Times New Roman" w:hAnsi="Times New Roman"/>
          <w:szCs w:val="24"/>
          <w:lang w:eastAsia="fr-FR"/>
        </w:rPr>
        <w:t xml:space="preserve">and remained </w:t>
      </w:r>
      <w:r w:rsidRPr="00A9681B">
        <w:rPr>
          <w:rFonts w:ascii="Times New Roman" w:hAnsi="Times New Roman"/>
          <w:szCs w:val="24"/>
          <w:lang w:eastAsia="fr-FR"/>
        </w:rPr>
        <w:t>State</w:t>
      </w:r>
      <w:r w:rsidR="004F6B56" w:rsidRPr="00A9681B">
        <w:rPr>
          <w:rFonts w:ascii="Times New Roman" w:hAnsi="Times New Roman"/>
          <w:szCs w:val="24"/>
          <w:lang w:eastAsia="fr-FR"/>
        </w:rPr>
        <w:t>-</w:t>
      </w:r>
      <w:r w:rsidRPr="00A9681B">
        <w:rPr>
          <w:rFonts w:ascii="Times New Roman" w:hAnsi="Times New Roman"/>
          <w:szCs w:val="24"/>
          <w:lang w:eastAsia="fr-FR"/>
        </w:rPr>
        <w:t xml:space="preserve">regulated, independently of the measures </w:t>
      </w:r>
      <w:r w:rsidR="004F6B56" w:rsidRPr="00A9681B">
        <w:rPr>
          <w:rFonts w:ascii="Times New Roman" w:hAnsi="Times New Roman"/>
          <w:szCs w:val="24"/>
          <w:lang w:eastAsia="fr-FR"/>
        </w:rPr>
        <w:t>under scrutiny</w:t>
      </w:r>
      <w:r w:rsidR="0091342C" w:rsidRPr="00A9681B">
        <w:rPr>
          <w:rFonts w:ascii="Times New Roman" w:hAnsi="Times New Roman"/>
          <w:szCs w:val="24"/>
          <w:lang w:eastAsia="fr-FR"/>
        </w:rPr>
        <w:t xml:space="preserve"> (see paragraph </w:t>
      </w:r>
      <w:r w:rsidR="0091342C" w:rsidRPr="00A9681B">
        <w:rPr>
          <w:rFonts w:ascii="Times New Roman" w:hAnsi="Times New Roman"/>
          <w:szCs w:val="24"/>
          <w:lang w:eastAsia="fr-FR"/>
        </w:rPr>
        <w:fldChar w:fldCharType="begin"/>
      </w:r>
      <w:r w:rsidR="0091342C" w:rsidRPr="00A9681B">
        <w:rPr>
          <w:rFonts w:ascii="Times New Roman" w:hAnsi="Times New Roman"/>
          <w:szCs w:val="24"/>
          <w:lang w:eastAsia="fr-FR"/>
        </w:rPr>
        <w:instrText xml:space="preserve"> REF T4 \h </w:instrText>
      </w:r>
      <w:r w:rsidR="00E06CE1" w:rsidRPr="00A9681B">
        <w:rPr>
          <w:rFonts w:ascii="Times New Roman" w:hAnsi="Times New Roman"/>
          <w:szCs w:val="24"/>
          <w:lang w:eastAsia="fr-FR"/>
        </w:rPr>
        <w:instrText xml:space="preserve"> \* MERGEFORMAT </w:instrText>
      </w:r>
      <w:r w:rsidR="0091342C" w:rsidRPr="00A9681B">
        <w:rPr>
          <w:rFonts w:ascii="Times New Roman" w:hAnsi="Times New Roman"/>
          <w:szCs w:val="24"/>
          <w:lang w:eastAsia="fr-FR"/>
        </w:rPr>
      </w:r>
      <w:r w:rsidR="0091342C" w:rsidRPr="00A9681B">
        <w:rPr>
          <w:rFonts w:ascii="Times New Roman" w:hAnsi="Times New Roman"/>
          <w:szCs w:val="24"/>
          <w:lang w:eastAsia="fr-FR"/>
        </w:rPr>
        <w:fldChar w:fldCharType="separate"/>
      </w:r>
      <w:r w:rsidR="00A9681B" w:rsidRPr="00A9681B">
        <w:rPr>
          <w:rFonts w:eastAsia="Times New Roman"/>
          <w:noProof/>
          <w:lang w:eastAsia="fr-FR"/>
        </w:rPr>
        <w:t>38</w:t>
      </w:r>
      <w:r w:rsidR="0091342C" w:rsidRPr="00A9681B">
        <w:rPr>
          <w:rFonts w:ascii="Times New Roman" w:hAnsi="Times New Roman"/>
          <w:szCs w:val="24"/>
          <w:lang w:eastAsia="fr-FR"/>
        </w:rPr>
        <w:fldChar w:fldCharType="end"/>
      </w:r>
      <w:r w:rsidRPr="00A9681B">
        <w:rPr>
          <w:rFonts w:ascii="Times New Roman" w:hAnsi="Times New Roman"/>
          <w:szCs w:val="24"/>
          <w:lang w:eastAsia="fr-FR"/>
        </w:rPr>
        <w:t xml:space="preserve"> above). </w:t>
      </w:r>
      <w:r w:rsidR="007D502E" w:rsidRPr="00A9681B">
        <w:rPr>
          <w:rFonts w:ascii="Times New Roman" w:hAnsi="Times New Roman"/>
          <w:szCs w:val="24"/>
          <w:lang w:eastAsia="fr-FR"/>
        </w:rPr>
        <w:t xml:space="preserve">Moreover, the Court notes that the fact that the </w:t>
      </w:r>
      <w:r w:rsidR="007D502E" w:rsidRPr="00A9681B">
        <w:rPr>
          <w:rFonts w:eastAsia="Times New Roman"/>
          <w:lang w:eastAsia="fr-FR"/>
        </w:rPr>
        <w:t>State-owned schoolbook distributo</w:t>
      </w:r>
      <w:r w:rsidR="004A1363" w:rsidRPr="00A9681B">
        <w:rPr>
          <w:rFonts w:eastAsia="Times New Roman"/>
          <w:lang w:eastAsia="fr-FR"/>
        </w:rPr>
        <w:t>r has a guaranteed margin of 20</w:t>
      </w:r>
      <w:r w:rsidR="009741B1" w:rsidRPr="00A9681B">
        <w:rPr>
          <w:rFonts w:eastAsia="Times New Roman"/>
          <w:lang w:eastAsia="fr-FR"/>
        </w:rPr>
        <w:t>%</w:t>
      </w:r>
      <w:r w:rsidR="007D502E" w:rsidRPr="00A9681B">
        <w:rPr>
          <w:rFonts w:eastAsia="Times New Roman"/>
          <w:lang w:eastAsia="fr-FR"/>
        </w:rPr>
        <w:t xml:space="preserve">, exceeding the </w:t>
      </w:r>
      <w:r w:rsidR="009741B1" w:rsidRPr="00A9681B">
        <w:rPr>
          <w:rFonts w:eastAsia="Times New Roman"/>
          <w:lang w:eastAsia="fr-FR"/>
        </w:rPr>
        <w:t xml:space="preserve">margin of </w:t>
      </w:r>
      <w:r w:rsidR="007D502E" w:rsidRPr="00A9681B">
        <w:rPr>
          <w:rFonts w:eastAsia="Times New Roman"/>
          <w:lang w:eastAsia="fr-FR"/>
        </w:rPr>
        <w:t>11</w:t>
      </w:r>
      <w:r w:rsidR="009741B1" w:rsidRPr="00A9681B">
        <w:rPr>
          <w:rFonts w:eastAsia="Times New Roman"/>
          <w:lang w:eastAsia="fr-FR"/>
        </w:rPr>
        <w:t>%</w:t>
      </w:r>
      <w:r w:rsidR="004A1363" w:rsidRPr="00A9681B">
        <w:rPr>
          <w:rFonts w:eastAsia="Times New Roman"/>
          <w:lang w:eastAsia="fr-FR"/>
        </w:rPr>
        <w:t xml:space="preserve"> to </w:t>
      </w:r>
      <w:r w:rsidR="007D502E" w:rsidRPr="00A9681B">
        <w:rPr>
          <w:rFonts w:eastAsia="Times New Roman"/>
          <w:lang w:eastAsia="fr-FR"/>
        </w:rPr>
        <w:t>16</w:t>
      </w:r>
      <w:r w:rsidR="009741B1" w:rsidRPr="00A9681B">
        <w:rPr>
          <w:rFonts w:eastAsia="Times New Roman"/>
          <w:lang w:eastAsia="fr-FR"/>
        </w:rPr>
        <w:t>%</w:t>
      </w:r>
      <w:r w:rsidR="00697D41" w:rsidRPr="00A9681B">
        <w:rPr>
          <w:rFonts w:eastAsia="Times New Roman"/>
          <w:lang w:eastAsia="fr-FR"/>
        </w:rPr>
        <w:t> </w:t>
      </w:r>
      <w:r w:rsidR="007D502E" w:rsidRPr="00A9681B">
        <w:rPr>
          <w:rFonts w:eastAsia="Times New Roman"/>
          <w:lang w:eastAsia="fr-FR"/>
        </w:rPr>
        <w:t xml:space="preserve"> that had been </w:t>
      </w:r>
      <w:r w:rsidR="009741B1" w:rsidRPr="00A9681B">
        <w:rPr>
          <w:rFonts w:eastAsia="Times New Roman"/>
          <w:lang w:eastAsia="fr-FR"/>
        </w:rPr>
        <w:t xml:space="preserve">offered </w:t>
      </w:r>
      <w:r w:rsidR="007D502E" w:rsidRPr="00A9681B">
        <w:rPr>
          <w:rFonts w:eastAsia="Times New Roman"/>
          <w:lang w:eastAsia="fr-FR"/>
        </w:rPr>
        <w:t>to the applicant</w:t>
      </w:r>
      <w:r w:rsidR="0082224F" w:rsidRPr="00A9681B">
        <w:rPr>
          <w:rFonts w:eastAsia="Times New Roman"/>
          <w:lang w:eastAsia="fr-FR"/>
        </w:rPr>
        <w:t xml:space="preserve"> companie</w:t>
      </w:r>
      <w:r w:rsidR="007D502E" w:rsidRPr="00A9681B">
        <w:rPr>
          <w:rFonts w:eastAsia="Times New Roman"/>
          <w:lang w:eastAsia="fr-FR"/>
        </w:rPr>
        <w:t xml:space="preserve">s on </w:t>
      </w:r>
      <w:r w:rsidR="009741B1" w:rsidRPr="00A9681B">
        <w:rPr>
          <w:rFonts w:eastAsia="Times New Roman"/>
          <w:lang w:eastAsia="fr-FR"/>
        </w:rPr>
        <w:t>the</w:t>
      </w:r>
      <w:r w:rsidR="007D502E" w:rsidRPr="00A9681B">
        <w:rPr>
          <w:rFonts w:eastAsia="Times New Roman"/>
          <w:lang w:eastAsia="fr-FR"/>
        </w:rPr>
        <w:t xml:space="preserve"> free market before the New </w:t>
      </w:r>
      <w:r w:rsidR="007D502E" w:rsidRPr="00A9681B">
        <w:rPr>
          <w:rFonts w:eastAsia="Times New Roman"/>
          <w:lang w:eastAsia="fr-FR"/>
        </w:rPr>
        <w:lastRenderedPageBreak/>
        <w:t>Regulations, might also call into question the Government</w:t>
      </w:r>
      <w:r w:rsidR="00A9681B" w:rsidRPr="00A9681B">
        <w:rPr>
          <w:rFonts w:eastAsia="Times New Roman"/>
          <w:lang w:eastAsia="fr-FR"/>
        </w:rPr>
        <w:t>’</w:t>
      </w:r>
      <w:r w:rsidR="007D502E" w:rsidRPr="00A9681B">
        <w:rPr>
          <w:rFonts w:eastAsia="Times New Roman"/>
          <w:lang w:eastAsia="fr-FR"/>
        </w:rPr>
        <w:t>s argument about ensuring more efficient spending of public funds.</w:t>
      </w:r>
    </w:p>
    <w:p w:rsidR="00877698" w:rsidRPr="00A9681B" w:rsidRDefault="004F6B56" w:rsidP="00A9681B">
      <w:pPr>
        <w:pStyle w:val="ECHRPara"/>
      </w:pPr>
      <w:r w:rsidRPr="00A9681B">
        <w:rPr>
          <w:rFonts w:ascii="Times New Roman" w:hAnsi="Times New Roman"/>
          <w:szCs w:val="24"/>
          <w:lang w:eastAsia="fr-FR"/>
        </w:rPr>
        <w:fldChar w:fldCharType="begin"/>
      </w:r>
      <w:r w:rsidRPr="00A9681B">
        <w:rPr>
          <w:rFonts w:ascii="Times New Roman" w:hAnsi="Times New Roman"/>
          <w:szCs w:val="24"/>
          <w:lang w:eastAsia="fr-FR"/>
        </w:rPr>
        <w:instrText xml:space="preserve"> SEQ level0 \*arabic </w:instrText>
      </w:r>
      <w:r w:rsidRPr="00A9681B">
        <w:rPr>
          <w:rFonts w:ascii="Times New Roman" w:hAnsi="Times New Roman"/>
          <w:szCs w:val="24"/>
          <w:lang w:eastAsia="fr-FR"/>
        </w:rPr>
        <w:fldChar w:fldCharType="separate"/>
      </w:r>
      <w:r w:rsidR="00A9681B" w:rsidRPr="00A9681B">
        <w:rPr>
          <w:rFonts w:ascii="Times New Roman" w:hAnsi="Times New Roman"/>
          <w:noProof/>
          <w:szCs w:val="24"/>
          <w:lang w:eastAsia="fr-FR"/>
        </w:rPr>
        <w:t>47</w:t>
      </w:r>
      <w:r w:rsidRPr="00A9681B">
        <w:rPr>
          <w:rFonts w:ascii="Times New Roman" w:hAnsi="Times New Roman"/>
          <w:szCs w:val="24"/>
          <w:lang w:eastAsia="fr-FR"/>
        </w:rPr>
        <w:fldChar w:fldCharType="end"/>
      </w:r>
      <w:r w:rsidRPr="00A9681B">
        <w:rPr>
          <w:rFonts w:ascii="Times New Roman" w:hAnsi="Times New Roman"/>
          <w:szCs w:val="24"/>
          <w:lang w:eastAsia="fr-FR"/>
        </w:rPr>
        <w:t>.  </w:t>
      </w:r>
      <w:r w:rsidR="00C3369D" w:rsidRPr="00A9681B">
        <w:rPr>
          <w:rFonts w:ascii="Times New Roman" w:hAnsi="Times New Roman"/>
          <w:szCs w:val="24"/>
          <w:lang w:eastAsia="fr-FR"/>
        </w:rPr>
        <w:t xml:space="preserve">At any rate, assuming the existence of a legitimate aim pursued by those measures, it must be ascertained whether </w:t>
      </w:r>
      <w:r w:rsidR="00D62CA7" w:rsidRPr="00A9681B">
        <w:t>the circumstances of the case disclose a violation of the applicant</w:t>
      </w:r>
      <w:r w:rsidR="004A1363" w:rsidRPr="00A9681B">
        <w:t xml:space="preserve"> companie</w:t>
      </w:r>
      <w:r w:rsidR="00D62CA7" w:rsidRPr="00A9681B">
        <w:t>s</w:t>
      </w:r>
      <w:r w:rsidR="00A9681B" w:rsidRPr="00A9681B">
        <w:t>’</w:t>
      </w:r>
      <w:r w:rsidR="00D62CA7" w:rsidRPr="00A9681B">
        <w:t xml:space="preserve"> rights under Article 1 of Protocol No.</w:t>
      </w:r>
      <w:r w:rsidRPr="00A9681B">
        <w:t> </w:t>
      </w:r>
      <w:r w:rsidR="00D62CA7" w:rsidRPr="00A9681B">
        <w:t xml:space="preserve">1 </w:t>
      </w:r>
      <w:r w:rsidR="00C3369D" w:rsidRPr="00A9681B">
        <w:t xml:space="preserve">in terms of </w:t>
      </w:r>
      <w:r w:rsidR="00D62CA7" w:rsidRPr="00A9681B">
        <w:t>proportionality.</w:t>
      </w:r>
    </w:p>
    <w:p w:rsidR="0013005C" w:rsidRPr="00A9681B" w:rsidRDefault="0043347A" w:rsidP="00A9681B">
      <w:pPr>
        <w:pStyle w:val="ECHRHeading5"/>
      </w:pPr>
      <w:r w:rsidRPr="00A9681B">
        <w:t>(</w:t>
      </w:r>
      <w:r w:rsidR="00587160" w:rsidRPr="00A9681B">
        <w:t>iii</w:t>
      </w:r>
      <w:r w:rsidRPr="00A9681B">
        <w:t>)</w:t>
      </w:r>
      <w:r w:rsidR="00587160" w:rsidRPr="00A9681B">
        <w:t>  Proportionality of the measure</w:t>
      </w:r>
    </w:p>
    <w:p w:rsidR="0013005C" w:rsidRPr="00A9681B" w:rsidRDefault="004262EC" w:rsidP="00A9681B">
      <w:pPr>
        <w:pStyle w:val="ECHRPara"/>
      </w:pPr>
      <w:r w:rsidRPr="00A9681B">
        <w:rPr>
          <w:rFonts w:ascii="Times New Roman" w:eastAsia="Times New Roman" w:hAnsi="Times New Roman" w:cs="Times New Roman"/>
          <w:lang w:eastAsia="fr-FR"/>
        </w:rPr>
        <w:fldChar w:fldCharType="begin"/>
      </w:r>
      <w:r w:rsidRPr="00A9681B">
        <w:rPr>
          <w:rFonts w:ascii="Times New Roman" w:eastAsia="Times New Roman" w:hAnsi="Times New Roman" w:cs="Times New Roman"/>
          <w:lang w:eastAsia="fr-FR"/>
        </w:rPr>
        <w:instrText xml:space="preserve"> SEQ level0 \*arabic </w:instrText>
      </w:r>
      <w:r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48</w:t>
      </w:r>
      <w:r w:rsidRPr="00A9681B">
        <w:rPr>
          <w:rFonts w:ascii="Times New Roman" w:eastAsia="Times New Roman" w:hAnsi="Times New Roman" w:cs="Times New Roman"/>
          <w:lang w:eastAsia="fr-FR"/>
        </w:rPr>
        <w:fldChar w:fldCharType="end"/>
      </w:r>
      <w:r w:rsidRPr="00A9681B">
        <w:rPr>
          <w:rFonts w:ascii="Times New Roman" w:eastAsia="Times New Roman" w:hAnsi="Times New Roman" w:cs="Times New Roman"/>
          <w:lang w:eastAsia="fr-FR"/>
        </w:rPr>
        <w:t>.  </w:t>
      </w:r>
      <w:r w:rsidR="0013005C" w:rsidRPr="00A9681B">
        <w:rPr>
          <w:rFonts w:ascii="Times New Roman" w:eastAsia="Times New Roman" w:hAnsi="Times New Roman" w:cs="Times New Roman"/>
          <w:lang w:eastAsia="fr-FR"/>
        </w:rPr>
        <w:t>In order to be compatible with the general rule set forth in the first sentence of the first paragraph of Article 1 of Protocol No. 1, in the light of which the secon</w:t>
      </w:r>
      <w:r w:rsidR="0057546B" w:rsidRPr="00A9681B">
        <w:rPr>
          <w:rFonts w:ascii="Times New Roman" w:eastAsia="Times New Roman" w:hAnsi="Times New Roman" w:cs="Times New Roman"/>
          <w:lang w:eastAsia="fr-FR"/>
        </w:rPr>
        <w:t>d paragraph is to be construed,</w:t>
      </w:r>
      <w:r w:rsidR="0013005C" w:rsidRPr="00A9681B">
        <w:rPr>
          <w:rFonts w:ascii="Times New Roman" w:eastAsia="Times New Roman" w:hAnsi="Times New Roman" w:cs="Times New Roman"/>
          <w:lang w:eastAsia="fr-FR"/>
        </w:rPr>
        <w:t xml:space="preserve"> an interference must strike a “fair balance” between the demands of the general interest of the community and the requirements of the protection of the individual</w:t>
      </w:r>
      <w:r w:rsidR="00A9681B" w:rsidRPr="00A9681B">
        <w:rPr>
          <w:rFonts w:ascii="Times New Roman" w:eastAsia="Times New Roman" w:hAnsi="Times New Roman" w:cs="Times New Roman"/>
          <w:lang w:eastAsia="fr-FR"/>
        </w:rPr>
        <w:t>’</w:t>
      </w:r>
      <w:r w:rsidR="0013005C" w:rsidRPr="00A9681B">
        <w:rPr>
          <w:rFonts w:ascii="Times New Roman" w:eastAsia="Times New Roman" w:hAnsi="Times New Roman" w:cs="Times New Roman"/>
          <w:lang w:eastAsia="fr-FR"/>
        </w:rPr>
        <w:t xml:space="preserve">s fundamental rights (see </w:t>
      </w:r>
      <w:r w:rsidR="0013005C" w:rsidRPr="00A9681B">
        <w:rPr>
          <w:rFonts w:ascii="Times New Roman" w:eastAsia="Times New Roman" w:hAnsi="Times New Roman" w:cs="Times New Roman"/>
          <w:i/>
          <w:lang w:eastAsia="fr-FR"/>
        </w:rPr>
        <w:t>Sporrong and Lönnroth</w:t>
      </w:r>
      <w:r w:rsidR="0013005C" w:rsidRPr="00A9681B">
        <w:rPr>
          <w:rFonts w:ascii="Times New Roman" w:eastAsia="Times New Roman" w:hAnsi="Times New Roman" w:cs="Times New Roman"/>
          <w:lang w:eastAsia="fr-FR"/>
        </w:rPr>
        <w:t xml:space="preserve">, </w:t>
      </w:r>
      <w:r w:rsidR="0025234D" w:rsidRPr="00A9681B">
        <w:rPr>
          <w:rFonts w:ascii="Times New Roman" w:eastAsia="Times New Roman" w:hAnsi="Times New Roman" w:cs="Times New Roman"/>
          <w:lang w:eastAsia="fr-FR"/>
        </w:rPr>
        <w:t>cited above</w:t>
      </w:r>
      <w:r w:rsidR="000A2F90" w:rsidRPr="00A9681B">
        <w:rPr>
          <w:rFonts w:ascii="Times New Roman" w:eastAsia="Times New Roman" w:hAnsi="Times New Roman" w:cs="Times New Roman"/>
          <w:lang w:eastAsia="fr-FR"/>
        </w:rPr>
        <w:t xml:space="preserve">, </w:t>
      </w:r>
      <w:r w:rsidR="0025234D" w:rsidRPr="00A9681B">
        <w:rPr>
          <w:rFonts w:ascii="Times New Roman" w:eastAsia="Times New Roman" w:hAnsi="Times New Roman" w:cs="Times New Roman"/>
          <w:lang w:eastAsia="fr-FR"/>
        </w:rPr>
        <w:t>§</w:t>
      </w:r>
      <w:r w:rsidR="00BB495B" w:rsidRPr="00A9681B">
        <w:rPr>
          <w:rFonts w:ascii="Times New Roman" w:eastAsia="Times New Roman" w:hAnsi="Times New Roman" w:cs="Times New Roman"/>
          <w:lang w:eastAsia="fr-FR"/>
        </w:rPr>
        <w:t> </w:t>
      </w:r>
      <w:r w:rsidR="00741FF4" w:rsidRPr="00A9681B">
        <w:rPr>
          <w:rFonts w:ascii="Times New Roman" w:eastAsia="Times New Roman" w:hAnsi="Times New Roman" w:cs="Times New Roman"/>
          <w:lang w:eastAsia="fr-FR"/>
        </w:rPr>
        <w:t>69</w:t>
      </w:r>
      <w:r w:rsidR="0013005C" w:rsidRPr="00A9681B">
        <w:rPr>
          <w:rFonts w:ascii="Times New Roman" w:eastAsia="Times New Roman" w:hAnsi="Times New Roman" w:cs="Times New Roman"/>
          <w:lang w:eastAsia="fr-FR"/>
        </w:rPr>
        <w:t xml:space="preserve">). </w:t>
      </w:r>
      <w:r w:rsidR="00BC1057" w:rsidRPr="00A9681B">
        <w:t>The search for this balance is reflected in the structure of Article 1</w:t>
      </w:r>
      <w:r w:rsidR="0091342C" w:rsidRPr="00A9681B">
        <w:t xml:space="preserve"> of Protocol No. 1</w:t>
      </w:r>
      <w:r w:rsidR="00BC1057" w:rsidRPr="00A9681B">
        <w:t xml:space="preserve"> as a whole (ibid.)</w:t>
      </w:r>
      <w:r w:rsidR="00117186" w:rsidRPr="00A9681B">
        <w:t>,</w:t>
      </w:r>
      <w:r w:rsidR="00BC1057" w:rsidRPr="00A9681B">
        <w:t xml:space="preserve"> and hence also in the second paragraph. There must be a reasonable relationship of proportionality between the means employed and the aim sought to be realised (see </w:t>
      </w:r>
      <w:r w:rsidR="00BC1057" w:rsidRPr="00A9681B">
        <w:rPr>
          <w:i/>
        </w:rPr>
        <w:t>James and Others</w:t>
      </w:r>
      <w:r w:rsidR="00BC1057" w:rsidRPr="00A9681B">
        <w:t xml:space="preserve">, cited above, </w:t>
      </w:r>
      <w:r w:rsidR="00F43A23" w:rsidRPr="00A9681B">
        <w:t>§ 50</w:t>
      </w:r>
      <w:r w:rsidR="00BC1057" w:rsidRPr="00A9681B">
        <w:t xml:space="preserve">). A </w:t>
      </w:r>
      <w:r w:rsidR="00DE32CE" w:rsidRPr="00A9681B">
        <w:t>fair</w:t>
      </w:r>
      <w:r w:rsidR="00BC1057" w:rsidRPr="00A9681B">
        <w:t xml:space="preserve"> balance between the general interest and the individual</w:t>
      </w:r>
      <w:r w:rsidR="00A9681B" w:rsidRPr="00A9681B">
        <w:t>’</w:t>
      </w:r>
      <w:r w:rsidR="00BC1057" w:rsidRPr="00A9681B">
        <w:t xml:space="preserve">s rights will not be found if the person concerned has had to bear an individual and excessive burden (see </w:t>
      </w:r>
      <w:r w:rsidR="00BC1057" w:rsidRPr="00A9681B">
        <w:rPr>
          <w:i/>
        </w:rPr>
        <w:t>Vékony</w:t>
      </w:r>
      <w:r w:rsidR="00BC1057" w:rsidRPr="00A9681B">
        <w:rPr>
          <w:snapToGrid w:val="0"/>
        </w:rPr>
        <w:t xml:space="preserve">, </w:t>
      </w:r>
      <w:r w:rsidR="00F43A23" w:rsidRPr="00A9681B">
        <w:rPr>
          <w:snapToGrid w:val="0"/>
        </w:rPr>
        <w:t xml:space="preserve">cited above, </w:t>
      </w:r>
      <w:r w:rsidR="00BC1057" w:rsidRPr="00A9681B">
        <w:rPr>
          <w:snapToGrid w:val="0"/>
        </w:rPr>
        <w:t>§ 32</w:t>
      </w:r>
      <w:r w:rsidR="00BC1057" w:rsidRPr="00A9681B">
        <w:t>).</w:t>
      </w:r>
    </w:p>
    <w:p w:rsidR="00766713" w:rsidRPr="00A9681B" w:rsidRDefault="00124B5F"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49</w:t>
      </w:r>
      <w:r w:rsidRPr="00A9681B">
        <w:fldChar w:fldCharType="end"/>
      </w:r>
      <w:r w:rsidRPr="00A9681B">
        <w:t>.  </w:t>
      </w:r>
      <w:r w:rsidR="00497CBB" w:rsidRPr="00A9681B">
        <w:t xml:space="preserve">In the determination of the proportionality of the interference in cases concerning loss of clientele and the </w:t>
      </w:r>
      <w:r w:rsidR="009741B1" w:rsidRPr="00A9681B">
        <w:t xml:space="preserve">practice </w:t>
      </w:r>
      <w:r w:rsidR="00497CBB" w:rsidRPr="00A9681B">
        <w:t>of a profession</w:t>
      </w:r>
      <w:r w:rsidR="00E27B90" w:rsidRPr="00A9681B">
        <w:t>,</w:t>
      </w:r>
      <w:r w:rsidR="00497CBB" w:rsidRPr="00A9681B">
        <w:t xml:space="preserve"> the Court </w:t>
      </w:r>
      <w:r w:rsidR="004F6B56" w:rsidRPr="00A9681B">
        <w:t xml:space="preserve">has </w:t>
      </w:r>
      <w:r w:rsidR="00497CBB" w:rsidRPr="00A9681B">
        <w:t>consider</w:t>
      </w:r>
      <w:r w:rsidR="007F5700" w:rsidRPr="00A9681B">
        <w:t>ed</w:t>
      </w:r>
      <w:r w:rsidR="004F6B56" w:rsidRPr="00A9681B">
        <w:t xml:space="preserve">, </w:t>
      </w:r>
      <w:r w:rsidR="004F6B56" w:rsidRPr="00A9681B">
        <w:rPr>
          <w:i/>
        </w:rPr>
        <w:t>inter alia</w:t>
      </w:r>
      <w:r w:rsidR="004F6B56" w:rsidRPr="00A9681B">
        <w:t>,</w:t>
      </w:r>
      <w:r w:rsidR="00497CBB" w:rsidRPr="00A9681B">
        <w:t xml:space="preserve"> </w:t>
      </w:r>
      <w:r w:rsidR="004F6B56" w:rsidRPr="00A9681B">
        <w:t xml:space="preserve">(i) </w:t>
      </w:r>
      <w:r w:rsidR="00522250" w:rsidRPr="00A9681B">
        <w:t>the existence of regulation</w:t>
      </w:r>
      <w:r w:rsidR="007F5700" w:rsidRPr="00A9681B">
        <w:t>s</w:t>
      </w:r>
      <w:r w:rsidR="00522250" w:rsidRPr="00A9681B">
        <w:t xml:space="preserve"> applicable to the </w:t>
      </w:r>
      <w:r w:rsidR="004F6B56" w:rsidRPr="00A9681B">
        <w:t>applicant</w:t>
      </w:r>
      <w:r w:rsidR="00A9681B" w:rsidRPr="00A9681B">
        <w:t>’</w:t>
      </w:r>
      <w:r w:rsidR="004F6B56" w:rsidRPr="00A9681B">
        <w:t xml:space="preserve">s </w:t>
      </w:r>
      <w:r w:rsidR="00522250" w:rsidRPr="00A9681B">
        <w:t>business</w:t>
      </w:r>
      <w:r w:rsidR="009741B1" w:rsidRPr="00A9681B">
        <w:t>;</w:t>
      </w:r>
      <w:r w:rsidR="00522250" w:rsidRPr="00A9681B">
        <w:t xml:space="preserve"> </w:t>
      </w:r>
      <w:r w:rsidR="004F6B56" w:rsidRPr="00A9681B">
        <w:t xml:space="preserve">(ii) </w:t>
      </w:r>
      <w:r w:rsidR="00497CBB" w:rsidRPr="00A9681B">
        <w:t xml:space="preserve">the nature </w:t>
      </w:r>
      <w:r w:rsidR="00522250" w:rsidRPr="00A9681B">
        <w:t>of such</w:t>
      </w:r>
      <w:r w:rsidR="00497CBB" w:rsidRPr="00A9681B">
        <w:t xml:space="preserve"> regulation</w:t>
      </w:r>
      <w:r w:rsidR="007F5700" w:rsidRPr="00A9681B">
        <w:t>s</w:t>
      </w:r>
      <w:r w:rsidR="00497CBB" w:rsidRPr="00A9681B">
        <w:t xml:space="preserve"> </w:t>
      </w:r>
      <w:r w:rsidR="004F6B56" w:rsidRPr="00A9681B">
        <w:t>(</w:t>
      </w:r>
      <w:r w:rsidR="00497CBB" w:rsidRPr="00A9681B">
        <w:t>for example</w:t>
      </w:r>
      <w:r w:rsidR="004F6B56" w:rsidRPr="00A9681B">
        <w:t>,</w:t>
      </w:r>
      <w:r w:rsidR="00497CBB" w:rsidRPr="00A9681B">
        <w:t xml:space="preserve"> if the industry </w:t>
      </w:r>
      <w:r w:rsidR="004F6B56" w:rsidRPr="00A9681B">
        <w:t>was</w:t>
      </w:r>
      <w:r w:rsidR="00497CBB" w:rsidRPr="00A9681B">
        <w:t xml:space="preserve"> such that, in view of the dangers inherent </w:t>
      </w:r>
      <w:r w:rsidR="009741B1" w:rsidRPr="00A9681B">
        <w:t xml:space="preserve">in </w:t>
      </w:r>
      <w:r w:rsidR="0040162A" w:rsidRPr="00A9681B">
        <w:t>it, it</w:t>
      </w:r>
      <w:r w:rsidR="00497CBB" w:rsidRPr="00A9681B">
        <w:t xml:space="preserve"> </w:t>
      </w:r>
      <w:r w:rsidR="004F6B56" w:rsidRPr="00A9681B">
        <w:t>was</w:t>
      </w:r>
      <w:r w:rsidR="0040162A" w:rsidRPr="00A9681B">
        <w:t xml:space="preserve"> </w:t>
      </w:r>
      <w:r w:rsidR="00497CBB" w:rsidRPr="00A9681B">
        <w:t>traditionally subject to restrictions</w:t>
      </w:r>
      <w:r w:rsidR="004F6B56" w:rsidRPr="00A9681B">
        <w:t>)</w:t>
      </w:r>
      <w:r w:rsidR="009741B1" w:rsidRPr="00A9681B">
        <w:t>;</w:t>
      </w:r>
      <w:r w:rsidR="0040162A" w:rsidRPr="00A9681B">
        <w:t xml:space="preserve"> and </w:t>
      </w:r>
      <w:r w:rsidR="004F6B56" w:rsidRPr="00A9681B">
        <w:t xml:space="preserve">(iii) </w:t>
      </w:r>
      <w:r w:rsidR="0040162A" w:rsidRPr="00A9681B">
        <w:t>whether transitional measures exist</w:t>
      </w:r>
      <w:r w:rsidR="004F6B56" w:rsidRPr="00A9681B">
        <w:t>ed (</w:t>
      </w:r>
      <w:r w:rsidR="0040162A" w:rsidRPr="00A9681B">
        <w:t>for example</w:t>
      </w:r>
      <w:r w:rsidR="004F6B56" w:rsidRPr="00A9681B">
        <w:t>,</w:t>
      </w:r>
      <w:r w:rsidR="0040162A" w:rsidRPr="00A9681B">
        <w:t xml:space="preserve"> at least partial continuation of the activity </w:t>
      </w:r>
      <w:r w:rsidR="004F6B56" w:rsidRPr="00A9681B">
        <w:t>was</w:t>
      </w:r>
      <w:r w:rsidR="0040162A" w:rsidRPr="00A9681B">
        <w:t xml:space="preserve"> possible for </w:t>
      </w:r>
      <w:r w:rsidR="004F6B56" w:rsidRPr="00A9681B">
        <w:t>some time)</w:t>
      </w:r>
      <w:r w:rsidR="0040162A" w:rsidRPr="00A9681B">
        <w:t xml:space="preserve"> (see </w:t>
      </w:r>
      <w:r w:rsidR="00522250" w:rsidRPr="00A9681B">
        <w:rPr>
          <w:i/>
        </w:rPr>
        <w:t>Oklešen and Pokopališko Pogrebne Storitve Leopold Oklešen S.P</w:t>
      </w:r>
      <w:r w:rsidR="00522250" w:rsidRPr="00A9681B">
        <w:t>.</w:t>
      </w:r>
      <w:r w:rsidR="00A31937" w:rsidRPr="00A9681B">
        <w:t>, cited above</w:t>
      </w:r>
      <w:r w:rsidR="009741B1" w:rsidRPr="00A9681B">
        <w:t>, and contrast</w:t>
      </w:r>
      <w:r w:rsidR="00A31937" w:rsidRPr="00A9681B">
        <w:t xml:space="preserve"> </w:t>
      </w:r>
      <w:r w:rsidR="0040162A" w:rsidRPr="00A9681B">
        <w:rPr>
          <w:i/>
        </w:rPr>
        <w:t>Tipp 24</w:t>
      </w:r>
      <w:r w:rsidRPr="00A9681B">
        <w:rPr>
          <w:i/>
        </w:rPr>
        <w:t xml:space="preserve"> AG</w:t>
      </w:r>
      <w:r w:rsidR="0040162A" w:rsidRPr="00A9681B">
        <w:t>,</w:t>
      </w:r>
      <w:r w:rsidRPr="00A9681B">
        <w:rPr>
          <w:i/>
        </w:rPr>
        <w:t xml:space="preserve"> </w:t>
      </w:r>
      <w:r w:rsidR="00A31937" w:rsidRPr="00A9681B">
        <w:t xml:space="preserve">cited </w:t>
      </w:r>
      <w:r w:rsidR="0040162A" w:rsidRPr="00A9681B">
        <w:t>above, §</w:t>
      </w:r>
      <w:r w:rsidR="009741B1" w:rsidRPr="00A9681B">
        <w:t> </w:t>
      </w:r>
      <w:r w:rsidR="0040162A" w:rsidRPr="00A9681B">
        <w:t>34).</w:t>
      </w:r>
    </w:p>
    <w:bookmarkStart w:id="10" w:name="T10"/>
    <w:p w:rsidR="00766713" w:rsidRPr="00A9681B" w:rsidRDefault="00B0489A" w:rsidP="00A9681B">
      <w:pPr>
        <w:pStyle w:val="ECHRPara"/>
        <w:rPr>
          <w:snapToGrid w:val="0"/>
        </w:rPr>
      </w:pPr>
      <w:r w:rsidRPr="00A9681B">
        <w:fldChar w:fldCharType="begin"/>
      </w:r>
      <w:r w:rsidRPr="00A9681B">
        <w:instrText xml:space="preserve"> SEQ level0 \*arabic </w:instrText>
      </w:r>
      <w:r w:rsidRPr="00A9681B">
        <w:fldChar w:fldCharType="separate"/>
      </w:r>
      <w:r w:rsidR="00A9681B" w:rsidRPr="00A9681B">
        <w:rPr>
          <w:noProof/>
        </w:rPr>
        <w:t>50</w:t>
      </w:r>
      <w:r w:rsidRPr="00A9681B">
        <w:fldChar w:fldCharType="end"/>
      </w:r>
      <w:bookmarkEnd w:id="10"/>
      <w:r w:rsidRPr="00A9681B">
        <w:t>.  </w:t>
      </w:r>
      <w:r w:rsidR="0011176C" w:rsidRPr="00A9681B">
        <w:t>It</w:t>
      </w:r>
      <w:r w:rsidR="00E06CE1" w:rsidRPr="00A9681B">
        <w:t xml:space="preserve"> is of crucial importance </w:t>
      </w:r>
      <w:r w:rsidR="0011176C" w:rsidRPr="00A9681B">
        <w:t>for</w:t>
      </w:r>
      <w:r w:rsidR="00E06CE1" w:rsidRPr="00A9681B">
        <w:t xml:space="preserve"> the State </w:t>
      </w:r>
      <w:r w:rsidR="0011176C" w:rsidRPr="00A9681B">
        <w:t xml:space="preserve">to put in place </w:t>
      </w:r>
      <w:r w:rsidR="00E06CE1" w:rsidRPr="00A9681B">
        <w:t>measures of protection against arbitrariness</w:t>
      </w:r>
      <w:r w:rsidR="00D737E9" w:rsidRPr="00A9681B">
        <w:t>, as</w:t>
      </w:r>
      <w:r w:rsidR="00E06CE1" w:rsidRPr="00A9681B">
        <w:t xml:space="preserve"> required by the rule of law in a democratic society (see, </w:t>
      </w:r>
      <w:r w:rsidR="00E06CE1" w:rsidRPr="00A9681B">
        <w:rPr>
          <w:i/>
        </w:rPr>
        <w:t>mutatis mutandis</w:t>
      </w:r>
      <w:r w:rsidR="006A6107" w:rsidRPr="00A9681B">
        <w:t>,</w:t>
      </w:r>
      <w:r w:rsidR="00E06CE1" w:rsidRPr="00A9681B">
        <w:t xml:space="preserve"> </w:t>
      </w:r>
      <w:r w:rsidR="00E06CE1" w:rsidRPr="00A9681B">
        <w:rPr>
          <w:i/>
        </w:rPr>
        <w:t>Centro Europa 7 S.r.l. and Di Stefano v. Italy</w:t>
      </w:r>
      <w:r w:rsidR="00E06CE1" w:rsidRPr="00A9681B">
        <w:t xml:space="preserve"> [GC], no. 38433/09, § 156, ECHR 2012, and </w:t>
      </w:r>
      <w:r w:rsidR="00E06CE1" w:rsidRPr="00A9681B">
        <w:rPr>
          <w:i/>
        </w:rPr>
        <w:t>Anheuser-Busch Inc. v. Portugal</w:t>
      </w:r>
      <w:r w:rsidR="00E06CE1" w:rsidRPr="00A9681B">
        <w:t xml:space="preserve"> [GC], no. 73049/01, § 71, ECHR 2007 I). </w:t>
      </w:r>
      <w:r w:rsidR="0011176C" w:rsidRPr="00A9681B">
        <w:t>Moreover</w:t>
      </w:r>
      <w:r w:rsidRPr="00A9681B">
        <w:t xml:space="preserve">, although the second paragraph of Article 1 of Protocol No. 1 contains no explicit procedural requirements, it has been construed </w:t>
      </w:r>
      <w:r w:rsidR="007F0ACD" w:rsidRPr="00A9681B">
        <w:t xml:space="preserve">as </w:t>
      </w:r>
      <w:r w:rsidRPr="00A9681B">
        <w:t>requir</w:t>
      </w:r>
      <w:r w:rsidR="007F0ACD" w:rsidRPr="00A9681B">
        <w:t>ing</w:t>
      </w:r>
      <w:r w:rsidRPr="00A9681B">
        <w:t xml:space="preserve"> that persons affected by a measure interfering with their possessions be afforded a reasonable opportunity </w:t>
      </w:r>
      <w:r w:rsidR="007F0ACD" w:rsidRPr="00A9681B">
        <w:t xml:space="preserve">to </w:t>
      </w:r>
      <w:r w:rsidRPr="00A9681B">
        <w:t xml:space="preserve">put their case to the responsible authorities for the purpose of effectively challenging those measures (see </w:t>
      </w:r>
      <w:r w:rsidRPr="00A9681B">
        <w:rPr>
          <w:i/>
        </w:rPr>
        <w:t>Microintelect OOD</w:t>
      </w:r>
      <w:r w:rsidRPr="00A9681B">
        <w:t xml:space="preserve"> </w:t>
      </w:r>
      <w:r w:rsidRPr="00A9681B">
        <w:rPr>
          <w:i/>
        </w:rPr>
        <w:t>v. Bulgaria</w:t>
      </w:r>
      <w:r w:rsidRPr="00A9681B">
        <w:t>, no. 34129/03</w:t>
      </w:r>
      <w:r w:rsidRPr="00A9681B">
        <w:rPr>
          <w:snapToGrid w:val="0"/>
        </w:rPr>
        <w:t xml:space="preserve">, § 44, </w:t>
      </w:r>
      <w:r w:rsidRPr="00A9681B">
        <w:t>4 March</w:t>
      </w:r>
      <w:r w:rsidRPr="00A9681B">
        <w:rPr>
          <w:snapToGrid w:val="0"/>
        </w:rPr>
        <w:t xml:space="preserve"> 2014).</w:t>
      </w:r>
    </w:p>
    <w:bookmarkStart w:id="11" w:name="t13"/>
    <w:bookmarkStart w:id="12" w:name="t11"/>
    <w:p w:rsidR="00766713" w:rsidRPr="00A9681B" w:rsidRDefault="00CE0EB3"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51</w:t>
      </w:r>
      <w:r w:rsidRPr="00A9681B">
        <w:fldChar w:fldCharType="end"/>
      </w:r>
      <w:bookmarkEnd w:id="11"/>
      <w:r w:rsidR="00014566" w:rsidRPr="00A9681B">
        <w:t>.  </w:t>
      </w:r>
      <w:r w:rsidR="00FA3A27" w:rsidRPr="00A9681B">
        <w:t xml:space="preserve">Furthermore, </w:t>
      </w:r>
      <w:r w:rsidR="001111D0" w:rsidRPr="00A9681B">
        <w:t xml:space="preserve">compensation terms under the relevant legislation </w:t>
      </w:r>
      <w:r w:rsidR="0091342C" w:rsidRPr="00A9681B">
        <w:t>may be</w:t>
      </w:r>
      <w:r w:rsidR="001111D0" w:rsidRPr="00A9681B">
        <w:t xml:space="preserve"> material to the assessment </w:t>
      </w:r>
      <w:r w:rsidR="007F0ACD" w:rsidRPr="00A9681B">
        <w:t xml:space="preserve">of </w:t>
      </w:r>
      <w:r w:rsidR="001111D0" w:rsidRPr="00A9681B">
        <w:t>whether the contested measure respects the requisite fair balance and, notably, whether it imposes a</w:t>
      </w:r>
      <w:r w:rsidR="00307A23" w:rsidRPr="00A9681B">
        <w:t>n individual and</w:t>
      </w:r>
      <w:r w:rsidR="001111D0" w:rsidRPr="00A9681B">
        <w:t xml:space="preserve"> </w:t>
      </w:r>
      <w:r w:rsidR="001111D0" w:rsidRPr="00A9681B">
        <w:lastRenderedPageBreak/>
        <w:t xml:space="preserve">disproportionate burden on the applicants </w:t>
      </w:r>
      <w:r w:rsidR="00FE4562" w:rsidRPr="00A9681B">
        <w:t>(see</w:t>
      </w:r>
      <w:r w:rsidR="00307A23" w:rsidRPr="00A9681B">
        <w:t xml:space="preserve">, </w:t>
      </w:r>
      <w:r w:rsidR="00307A23" w:rsidRPr="00A9681B">
        <w:rPr>
          <w:i/>
        </w:rPr>
        <w:t>mutatis mutandis</w:t>
      </w:r>
      <w:r w:rsidR="00307A23" w:rsidRPr="00A9681B">
        <w:t>,</w:t>
      </w:r>
      <w:r w:rsidR="00FE4562" w:rsidRPr="00A9681B">
        <w:t xml:space="preserve"> </w:t>
      </w:r>
      <w:r w:rsidR="009D3C69" w:rsidRPr="00A9681B">
        <w:rPr>
          <w:i/>
        </w:rPr>
        <w:t>Pressos Comp</w:t>
      </w:r>
      <w:r w:rsidR="00CF0E0A" w:rsidRPr="00A9681B">
        <w:rPr>
          <w:i/>
        </w:rPr>
        <w:t>ania Naviera S.A. and Others v. </w:t>
      </w:r>
      <w:r w:rsidR="009D3C69" w:rsidRPr="00A9681B">
        <w:rPr>
          <w:i/>
        </w:rPr>
        <w:t>Belgium</w:t>
      </w:r>
      <w:r w:rsidR="00712716" w:rsidRPr="00A9681B">
        <w:t>, 20 November 1995, § </w:t>
      </w:r>
      <w:r w:rsidR="009D3C69" w:rsidRPr="00A9681B">
        <w:t>38, Series A no. 332).</w:t>
      </w:r>
    </w:p>
    <w:bookmarkEnd w:id="12"/>
    <w:p w:rsidR="00766713" w:rsidRPr="00A9681B" w:rsidRDefault="00145F90" w:rsidP="00A9681B">
      <w:pPr>
        <w:pStyle w:val="ECHRPara"/>
        <w:rPr>
          <w:rFonts w:ascii="Times New Roman" w:eastAsia="Times New Roman" w:hAnsi="Times New Roman" w:cs="Times New Roman"/>
        </w:rPr>
      </w:pPr>
      <w:r w:rsidRPr="00A9681B">
        <w:rPr>
          <w:rFonts w:ascii="Times New Roman" w:eastAsia="Times New Roman" w:hAnsi="Times New Roman" w:cs="Times New Roman"/>
        </w:rPr>
        <w:fldChar w:fldCharType="begin"/>
      </w:r>
      <w:r w:rsidRPr="00A9681B">
        <w:rPr>
          <w:rFonts w:ascii="Times New Roman" w:eastAsia="Times New Roman" w:hAnsi="Times New Roman" w:cs="Times New Roman"/>
        </w:rPr>
        <w:instrText xml:space="preserve"> SEQ level0 \*arabic </w:instrText>
      </w:r>
      <w:r w:rsidRPr="00A9681B">
        <w:rPr>
          <w:rFonts w:ascii="Times New Roman" w:eastAsia="Times New Roman" w:hAnsi="Times New Roman" w:cs="Times New Roman"/>
        </w:rPr>
        <w:fldChar w:fldCharType="separate"/>
      </w:r>
      <w:r w:rsidR="00A9681B" w:rsidRPr="00A9681B">
        <w:rPr>
          <w:rFonts w:ascii="Times New Roman" w:eastAsia="Times New Roman" w:hAnsi="Times New Roman" w:cs="Times New Roman"/>
          <w:noProof/>
        </w:rPr>
        <w:t>52</w:t>
      </w:r>
      <w:r w:rsidRPr="00A9681B">
        <w:rPr>
          <w:rFonts w:ascii="Times New Roman" w:eastAsia="Times New Roman" w:hAnsi="Times New Roman" w:cs="Times New Roman"/>
        </w:rPr>
        <w:fldChar w:fldCharType="end"/>
      </w:r>
      <w:r w:rsidRPr="00A9681B">
        <w:rPr>
          <w:rFonts w:ascii="Times New Roman" w:eastAsia="Times New Roman" w:hAnsi="Times New Roman" w:cs="Times New Roman"/>
        </w:rPr>
        <w:t>.  </w:t>
      </w:r>
      <w:r w:rsidR="00BB495B" w:rsidRPr="00A9681B">
        <w:rPr>
          <w:rFonts w:ascii="Times New Roman" w:eastAsia="Times New Roman" w:hAnsi="Times New Roman" w:cs="Times New Roman"/>
        </w:rPr>
        <w:t xml:space="preserve">At the outset, </w:t>
      </w:r>
      <w:r w:rsidR="002259CC" w:rsidRPr="00A9681B">
        <w:rPr>
          <w:rFonts w:ascii="Times New Roman" w:eastAsia="Times New Roman" w:hAnsi="Times New Roman" w:cs="Times New Roman"/>
        </w:rPr>
        <w:t xml:space="preserve">the Court </w:t>
      </w:r>
      <w:r w:rsidR="00CC0CB3" w:rsidRPr="00A9681B">
        <w:rPr>
          <w:rFonts w:ascii="Times New Roman" w:eastAsia="Times New Roman" w:hAnsi="Times New Roman" w:cs="Times New Roman"/>
        </w:rPr>
        <w:t>notes</w:t>
      </w:r>
      <w:r w:rsidR="00BB495B" w:rsidRPr="00A9681B">
        <w:rPr>
          <w:rFonts w:ascii="Times New Roman" w:eastAsia="Times New Roman" w:hAnsi="Times New Roman" w:cs="Times New Roman"/>
        </w:rPr>
        <w:t xml:space="preserve"> </w:t>
      </w:r>
      <w:r w:rsidR="00CC0CB3" w:rsidRPr="00A9681B">
        <w:rPr>
          <w:rFonts w:ascii="Times New Roman" w:eastAsia="Times New Roman" w:hAnsi="Times New Roman" w:cs="Times New Roman"/>
        </w:rPr>
        <w:t>a</w:t>
      </w:r>
      <w:r w:rsidR="004F6B56" w:rsidRPr="00A9681B">
        <w:rPr>
          <w:rFonts w:ascii="Times New Roman" w:eastAsia="Times New Roman" w:hAnsi="Times New Roman" w:cs="Times New Roman"/>
        </w:rPr>
        <w:t xml:space="preserve">n </w:t>
      </w:r>
      <w:r w:rsidR="002259CC" w:rsidRPr="00A9681B">
        <w:rPr>
          <w:rFonts w:ascii="Times New Roman" w:eastAsia="Times New Roman" w:hAnsi="Times New Roman" w:cs="Times New Roman"/>
        </w:rPr>
        <w:t xml:space="preserve">attribute inherent </w:t>
      </w:r>
      <w:r w:rsidR="00BB495B" w:rsidRPr="00A9681B">
        <w:rPr>
          <w:rFonts w:ascii="Times New Roman" w:eastAsia="Times New Roman" w:hAnsi="Times New Roman" w:cs="Times New Roman"/>
        </w:rPr>
        <w:t>in</w:t>
      </w:r>
      <w:r w:rsidR="002259CC" w:rsidRPr="00A9681B">
        <w:rPr>
          <w:rFonts w:ascii="Times New Roman" w:eastAsia="Times New Roman" w:hAnsi="Times New Roman" w:cs="Times New Roman"/>
        </w:rPr>
        <w:t xml:space="preserve"> the schoolbook market</w:t>
      </w:r>
      <w:r w:rsidR="00CC0CB3" w:rsidRPr="00A9681B">
        <w:rPr>
          <w:rFonts w:ascii="Times New Roman" w:eastAsia="Times New Roman" w:hAnsi="Times New Roman" w:cs="Times New Roman"/>
        </w:rPr>
        <w:t xml:space="preserve"> which </w:t>
      </w:r>
      <w:r w:rsidR="002259CC" w:rsidRPr="00A9681B">
        <w:rPr>
          <w:rFonts w:ascii="Times New Roman" w:eastAsia="Times New Roman" w:hAnsi="Times New Roman" w:cs="Times New Roman"/>
        </w:rPr>
        <w:t xml:space="preserve">is </w:t>
      </w:r>
      <w:r w:rsidR="00871598" w:rsidRPr="00A9681B">
        <w:rPr>
          <w:rFonts w:ascii="Times New Roman" w:eastAsia="Times New Roman" w:hAnsi="Times New Roman" w:cs="Times New Roman"/>
        </w:rPr>
        <w:t xml:space="preserve">unusual in </w:t>
      </w:r>
      <w:r w:rsidR="00CC0CB3" w:rsidRPr="00A9681B">
        <w:rPr>
          <w:rFonts w:ascii="Times New Roman" w:eastAsia="Times New Roman" w:hAnsi="Times New Roman" w:cs="Times New Roman"/>
        </w:rPr>
        <w:t>some</w:t>
      </w:r>
      <w:r w:rsidR="00871598" w:rsidRPr="00A9681B">
        <w:rPr>
          <w:rFonts w:ascii="Times New Roman" w:eastAsia="Times New Roman" w:hAnsi="Times New Roman" w:cs="Times New Roman"/>
        </w:rPr>
        <w:t xml:space="preserve"> </w:t>
      </w:r>
      <w:r w:rsidR="00140696" w:rsidRPr="00A9681B">
        <w:rPr>
          <w:rFonts w:ascii="Times New Roman" w:eastAsia="Times New Roman" w:hAnsi="Times New Roman" w:cs="Times New Roman"/>
        </w:rPr>
        <w:t>aspects</w:t>
      </w:r>
      <w:r w:rsidR="00CC0CB3" w:rsidRPr="00A9681B">
        <w:rPr>
          <w:rFonts w:ascii="Times New Roman" w:eastAsia="Times New Roman" w:hAnsi="Times New Roman" w:cs="Times New Roman"/>
        </w:rPr>
        <w:t xml:space="preserve">. </w:t>
      </w:r>
      <w:r w:rsidR="005B14A9" w:rsidRPr="00A9681B">
        <w:rPr>
          <w:rFonts w:ascii="Times New Roman" w:eastAsia="Times New Roman" w:hAnsi="Times New Roman" w:cs="Times New Roman"/>
        </w:rPr>
        <w:t>T</w:t>
      </w:r>
      <w:r w:rsidR="00871598" w:rsidRPr="00A9681B">
        <w:rPr>
          <w:rFonts w:ascii="Times New Roman" w:eastAsia="Times New Roman" w:hAnsi="Times New Roman" w:cs="Times New Roman"/>
        </w:rPr>
        <w:t xml:space="preserve">he </w:t>
      </w:r>
      <w:r w:rsidR="00BB495B" w:rsidRPr="00A9681B">
        <w:rPr>
          <w:rFonts w:ascii="Times New Roman" w:eastAsia="Times New Roman" w:hAnsi="Times New Roman" w:cs="Times New Roman"/>
        </w:rPr>
        <w:t>protagonists</w:t>
      </w:r>
      <w:r w:rsidR="00871598" w:rsidRPr="00A9681B">
        <w:rPr>
          <w:rFonts w:ascii="Times New Roman" w:eastAsia="Times New Roman" w:hAnsi="Times New Roman" w:cs="Times New Roman"/>
        </w:rPr>
        <w:t xml:space="preserve"> who </w:t>
      </w:r>
      <w:r w:rsidR="00BB495B" w:rsidRPr="00A9681B">
        <w:rPr>
          <w:rFonts w:ascii="Times New Roman" w:eastAsia="Times New Roman" w:hAnsi="Times New Roman" w:cs="Times New Roman"/>
        </w:rPr>
        <w:t>select</w:t>
      </w:r>
      <w:r w:rsidR="00871598" w:rsidRPr="00A9681B">
        <w:rPr>
          <w:rFonts w:ascii="Times New Roman" w:eastAsia="Times New Roman" w:hAnsi="Times New Roman" w:cs="Times New Roman"/>
        </w:rPr>
        <w:t xml:space="preserve"> the </w:t>
      </w:r>
      <w:r w:rsidR="00697DF6" w:rsidRPr="00A9681B">
        <w:rPr>
          <w:rFonts w:ascii="Times New Roman" w:eastAsia="Times New Roman" w:hAnsi="Times New Roman" w:cs="Times New Roman"/>
        </w:rPr>
        <w:t>products</w:t>
      </w:r>
      <w:r w:rsidR="00871598" w:rsidRPr="00A9681B">
        <w:rPr>
          <w:rFonts w:ascii="Times New Roman" w:eastAsia="Times New Roman" w:hAnsi="Times New Roman" w:cs="Times New Roman"/>
        </w:rPr>
        <w:t xml:space="preserve"> (</w:t>
      </w:r>
      <w:r w:rsidR="00BB495B" w:rsidRPr="00A9681B">
        <w:rPr>
          <w:rFonts w:ascii="Times New Roman" w:eastAsia="Times New Roman" w:hAnsi="Times New Roman" w:cs="Times New Roman"/>
        </w:rPr>
        <w:t xml:space="preserve">that is, </w:t>
      </w:r>
      <w:r w:rsidR="00871598" w:rsidRPr="00A9681B">
        <w:rPr>
          <w:rFonts w:ascii="Times New Roman" w:eastAsia="Times New Roman" w:hAnsi="Times New Roman" w:cs="Times New Roman"/>
        </w:rPr>
        <w:t xml:space="preserve">the schools </w:t>
      </w:r>
      <w:r w:rsidR="0025234D" w:rsidRPr="00A9681B">
        <w:rPr>
          <w:rFonts w:ascii="Times New Roman" w:eastAsia="Times New Roman" w:hAnsi="Times New Roman" w:cs="Times New Roman"/>
        </w:rPr>
        <w:t>or</w:t>
      </w:r>
      <w:r w:rsidR="00871598" w:rsidRPr="00A9681B">
        <w:rPr>
          <w:rFonts w:ascii="Times New Roman" w:eastAsia="Times New Roman" w:hAnsi="Times New Roman" w:cs="Times New Roman"/>
        </w:rPr>
        <w:t xml:space="preserve"> </w:t>
      </w:r>
      <w:r w:rsidR="00140696" w:rsidRPr="00A9681B">
        <w:rPr>
          <w:rFonts w:ascii="Times New Roman" w:eastAsia="Times New Roman" w:hAnsi="Times New Roman" w:cs="Times New Roman"/>
        </w:rPr>
        <w:t>the t</w:t>
      </w:r>
      <w:r w:rsidR="00871598" w:rsidRPr="00A9681B">
        <w:rPr>
          <w:rFonts w:ascii="Times New Roman" w:eastAsia="Times New Roman" w:hAnsi="Times New Roman" w:cs="Times New Roman"/>
        </w:rPr>
        <w:t xml:space="preserve">eachers) are not the </w:t>
      </w:r>
      <w:r w:rsidR="009547ED" w:rsidRPr="00A9681B">
        <w:rPr>
          <w:rFonts w:ascii="Times New Roman" w:eastAsia="Times New Roman" w:hAnsi="Times New Roman" w:cs="Times New Roman"/>
        </w:rPr>
        <w:t>ones</w:t>
      </w:r>
      <w:r w:rsidR="00871598" w:rsidRPr="00A9681B">
        <w:rPr>
          <w:rFonts w:ascii="Times New Roman" w:eastAsia="Times New Roman" w:hAnsi="Times New Roman" w:cs="Times New Roman"/>
        </w:rPr>
        <w:t xml:space="preserve"> who pay for them (</w:t>
      </w:r>
      <w:r w:rsidR="00BB495B" w:rsidRPr="00A9681B">
        <w:rPr>
          <w:rFonts w:ascii="Times New Roman" w:eastAsia="Times New Roman" w:hAnsi="Times New Roman" w:cs="Times New Roman"/>
        </w:rPr>
        <w:t xml:space="preserve">that is, </w:t>
      </w:r>
      <w:r w:rsidR="00871598" w:rsidRPr="00A9681B">
        <w:rPr>
          <w:rFonts w:ascii="Times New Roman" w:eastAsia="Times New Roman" w:hAnsi="Times New Roman" w:cs="Times New Roman"/>
        </w:rPr>
        <w:t xml:space="preserve">the </w:t>
      </w:r>
      <w:r w:rsidR="003D32B6" w:rsidRPr="00A9681B">
        <w:rPr>
          <w:rFonts w:ascii="Times New Roman" w:eastAsia="Times New Roman" w:hAnsi="Times New Roman" w:cs="Times New Roman"/>
        </w:rPr>
        <w:t xml:space="preserve">end-users: the pupils and </w:t>
      </w:r>
      <w:r w:rsidR="00871598" w:rsidRPr="00A9681B">
        <w:rPr>
          <w:rFonts w:ascii="Times New Roman" w:eastAsia="Times New Roman" w:hAnsi="Times New Roman" w:cs="Times New Roman"/>
        </w:rPr>
        <w:t xml:space="preserve">their parents). </w:t>
      </w:r>
      <w:r w:rsidR="007F0ACD" w:rsidRPr="00A9681B">
        <w:rPr>
          <w:rFonts w:ascii="Times New Roman" w:eastAsia="Times New Roman" w:hAnsi="Times New Roman" w:cs="Times New Roman"/>
        </w:rPr>
        <w:t xml:space="preserve">In </w:t>
      </w:r>
      <w:r w:rsidR="00BB495B" w:rsidRPr="00A9681B">
        <w:rPr>
          <w:rFonts w:ascii="Times New Roman" w:eastAsia="Times New Roman" w:hAnsi="Times New Roman" w:cs="Times New Roman"/>
        </w:rPr>
        <w:t>the Court</w:t>
      </w:r>
      <w:r w:rsidR="00A9681B" w:rsidRPr="00A9681B">
        <w:rPr>
          <w:rFonts w:ascii="Times New Roman" w:eastAsia="Times New Roman" w:hAnsi="Times New Roman" w:cs="Times New Roman"/>
        </w:rPr>
        <w:t>’</w:t>
      </w:r>
      <w:r w:rsidR="007F0ACD" w:rsidRPr="00A9681B">
        <w:rPr>
          <w:rFonts w:ascii="Times New Roman" w:eastAsia="Times New Roman" w:hAnsi="Times New Roman" w:cs="Times New Roman"/>
        </w:rPr>
        <w:t>s view</w:t>
      </w:r>
      <w:r w:rsidR="00BB495B" w:rsidRPr="00A9681B">
        <w:rPr>
          <w:rFonts w:ascii="Times New Roman" w:eastAsia="Times New Roman" w:hAnsi="Times New Roman" w:cs="Times New Roman"/>
        </w:rPr>
        <w:t xml:space="preserve">, this </w:t>
      </w:r>
      <w:r w:rsidR="00CC0CB3" w:rsidRPr="00A9681B">
        <w:rPr>
          <w:rFonts w:ascii="Times New Roman" w:eastAsia="Times New Roman" w:hAnsi="Times New Roman" w:cs="Times New Roman"/>
        </w:rPr>
        <w:t>scheme</w:t>
      </w:r>
      <w:r w:rsidR="00BB495B" w:rsidRPr="00A9681B">
        <w:rPr>
          <w:rFonts w:ascii="Times New Roman" w:eastAsia="Times New Roman" w:hAnsi="Times New Roman" w:cs="Times New Roman"/>
        </w:rPr>
        <w:t xml:space="preserve"> can be explained by the need </w:t>
      </w:r>
      <w:r w:rsidR="00CA2E25" w:rsidRPr="00A9681B">
        <w:rPr>
          <w:rFonts w:ascii="Times New Roman" w:eastAsia="Times New Roman" w:hAnsi="Times New Roman" w:cs="Times New Roman"/>
        </w:rPr>
        <w:t xml:space="preserve">to ensure that </w:t>
      </w:r>
      <w:r w:rsidR="00CC0CB3" w:rsidRPr="00A9681B">
        <w:rPr>
          <w:rFonts w:ascii="Times New Roman" w:eastAsia="Times New Roman" w:hAnsi="Times New Roman" w:cs="Times New Roman"/>
        </w:rPr>
        <w:t>all pupils in a class</w:t>
      </w:r>
      <w:r w:rsidR="00CA2E25" w:rsidRPr="00A9681B">
        <w:rPr>
          <w:rFonts w:ascii="Times New Roman" w:eastAsia="Times New Roman" w:hAnsi="Times New Roman" w:cs="Times New Roman"/>
        </w:rPr>
        <w:t xml:space="preserve"> use the same textbook</w:t>
      </w:r>
      <w:r w:rsidR="00CC0CB3" w:rsidRPr="00A9681B">
        <w:rPr>
          <w:rFonts w:ascii="Times New Roman" w:eastAsia="Times New Roman" w:hAnsi="Times New Roman" w:cs="Times New Roman"/>
        </w:rPr>
        <w:t xml:space="preserve">. This arrangement </w:t>
      </w:r>
      <w:r w:rsidR="00355BE9" w:rsidRPr="00A9681B">
        <w:rPr>
          <w:rFonts w:ascii="Times New Roman" w:eastAsia="Times New Roman" w:hAnsi="Times New Roman" w:cs="Times New Roman"/>
        </w:rPr>
        <w:t>might</w:t>
      </w:r>
      <w:r w:rsidR="007F0ACD" w:rsidRPr="00A9681B">
        <w:rPr>
          <w:rFonts w:ascii="Times New Roman" w:eastAsia="Times New Roman" w:hAnsi="Times New Roman" w:cs="Times New Roman"/>
        </w:rPr>
        <w:t>,</w:t>
      </w:r>
      <w:r w:rsidR="00CA2E25" w:rsidRPr="00A9681B">
        <w:rPr>
          <w:rFonts w:ascii="Times New Roman" w:eastAsia="Times New Roman" w:hAnsi="Times New Roman" w:cs="Times New Roman"/>
        </w:rPr>
        <w:t xml:space="preserve"> </w:t>
      </w:r>
      <w:r w:rsidR="00CC0CB3" w:rsidRPr="00A9681B">
        <w:rPr>
          <w:rFonts w:ascii="Times New Roman" w:eastAsia="Times New Roman" w:hAnsi="Times New Roman" w:cs="Times New Roman"/>
        </w:rPr>
        <w:t>however</w:t>
      </w:r>
      <w:r w:rsidR="007F0ACD" w:rsidRPr="00A9681B">
        <w:rPr>
          <w:rFonts w:ascii="Times New Roman" w:eastAsia="Times New Roman" w:hAnsi="Times New Roman" w:cs="Times New Roman"/>
        </w:rPr>
        <w:t>,</w:t>
      </w:r>
      <w:r w:rsidR="00CC0CB3" w:rsidRPr="00A9681B">
        <w:rPr>
          <w:rFonts w:ascii="Times New Roman" w:eastAsia="Times New Roman" w:hAnsi="Times New Roman" w:cs="Times New Roman"/>
        </w:rPr>
        <w:t xml:space="preserve"> entail </w:t>
      </w:r>
      <w:r w:rsidR="00CA2E25" w:rsidRPr="00A9681B">
        <w:rPr>
          <w:rFonts w:ascii="Times New Roman" w:eastAsia="Times New Roman" w:hAnsi="Times New Roman" w:cs="Times New Roman"/>
        </w:rPr>
        <w:t xml:space="preserve">some market distortions and a potentially </w:t>
      </w:r>
      <w:r w:rsidR="00CC0CB3" w:rsidRPr="00A9681B">
        <w:rPr>
          <w:rFonts w:ascii="Times New Roman" w:eastAsia="Times New Roman" w:hAnsi="Times New Roman" w:cs="Times New Roman"/>
        </w:rPr>
        <w:t>exposed</w:t>
      </w:r>
      <w:r w:rsidR="00CA2E25" w:rsidRPr="00A9681B">
        <w:rPr>
          <w:rFonts w:ascii="Times New Roman" w:eastAsia="Times New Roman" w:hAnsi="Times New Roman" w:cs="Times New Roman"/>
        </w:rPr>
        <w:t xml:space="preserve"> situation </w:t>
      </w:r>
      <w:r w:rsidR="007F0ACD" w:rsidRPr="00A9681B">
        <w:rPr>
          <w:rFonts w:ascii="Times New Roman" w:eastAsia="Times New Roman" w:hAnsi="Times New Roman" w:cs="Times New Roman"/>
        </w:rPr>
        <w:t xml:space="preserve">for </w:t>
      </w:r>
      <w:r w:rsidR="00CA2E25" w:rsidRPr="00A9681B">
        <w:rPr>
          <w:rFonts w:ascii="Times New Roman" w:eastAsia="Times New Roman" w:hAnsi="Times New Roman" w:cs="Times New Roman"/>
        </w:rPr>
        <w:t>the end-consumers</w:t>
      </w:r>
      <w:r w:rsidR="00697DF6" w:rsidRPr="00A9681B">
        <w:rPr>
          <w:rFonts w:ascii="Times New Roman" w:eastAsia="Times New Roman" w:hAnsi="Times New Roman" w:cs="Times New Roman"/>
        </w:rPr>
        <w:t xml:space="preserve">. </w:t>
      </w:r>
      <w:r w:rsidR="007F0ACD" w:rsidRPr="00A9681B">
        <w:rPr>
          <w:rFonts w:ascii="Times New Roman" w:eastAsia="Times New Roman" w:hAnsi="Times New Roman" w:cs="Times New Roman"/>
        </w:rPr>
        <w:t>Such a situation</w:t>
      </w:r>
      <w:r w:rsidR="00697DF6" w:rsidRPr="00A9681B">
        <w:rPr>
          <w:rFonts w:ascii="Times New Roman" w:eastAsia="Times New Roman" w:hAnsi="Times New Roman" w:cs="Times New Roman"/>
        </w:rPr>
        <w:t xml:space="preserve"> </w:t>
      </w:r>
      <w:r w:rsidR="00CC0CB3" w:rsidRPr="00A9681B">
        <w:rPr>
          <w:rFonts w:ascii="Times New Roman" w:eastAsia="Times New Roman" w:hAnsi="Times New Roman" w:cs="Times New Roman"/>
        </w:rPr>
        <w:t xml:space="preserve">can be </w:t>
      </w:r>
      <w:r w:rsidR="007F0ACD" w:rsidRPr="00A9681B">
        <w:rPr>
          <w:rFonts w:ascii="Times New Roman" w:eastAsia="Times New Roman" w:hAnsi="Times New Roman" w:cs="Times New Roman"/>
        </w:rPr>
        <w:t xml:space="preserve">offset </w:t>
      </w:r>
      <w:r w:rsidR="002921B6" w:rsidRPr="00A9681B">
        <w:rPr>
          <w:rFonts w:ascii="Times New Roman" w:eastAsia="Times New Roman" w:hAnsi="Times New Roman" w:cs="Times New Roman"/>
        </w:rPr>
        <w:t xml:space="preserve">by market regulation, </w:t>
      </w:r>
      <w:r w:rsidR="007F0ACD" w:rsidRPr="00A9681B">
        <w:rPr>
          <w:rFonts w:ascii="Times New Roman" w:eastAsia="Times New Roman" w:hAnsi="Times New Roman" w:cs="Times New Roman"/>
        </w:rPr>
        <w:t>for example by means of</w:t>
      </w:r>
      <w:r w:rsidR="002921B6" w:rsidRPr="00A9681B">
        <w:rPr>
          <w:rFonts w:ascii="Times New Roman" w:eastAsia="Times New Roman" w:hAnsi="Times New Roman" w:cs="Times New Roman"/>
        </w:rPr>
        <w:t xml:space="preserve"> maxim</w:t>
      </w:r>
      <w:r w:rsidR="007F0ACD" w:rsidRPr="00A9681B">
        <w:rPr>
          <w:rFonts w:ascii="Times New Roman" w:eastAsia="Times New Roman" w:hAnsi="Times New Roman" w:cs="Times New Roman"/>
        </w:rPr>
        <w:t>um</w:t>
      </w:r>
      <w:r w:rsidR="002921B6" w:rsidRPr="00A9681B">
        <w:rPr>
          <w:rFonts w:ascii="Times New Roman" w:eastAsia="Times New Roman" w:hAnsi="Times New Roman" w:cs="Times New Roman"/>
        </w:rPr>
        <w:t xml:space="preserve"> prices </w:t>
      </w:r>
      <w:r w:rsidR="00B255B0" w:rsidRPr="00A9681B">
        <w:rPr>
          <w:rFonts w:ascii="Times New Roman" w:eastAsia="Times New Roman" w:hAnsi="Times New Roman" w:cs="Times New Roman"/>
        </w:rPr>
        <w:t>or</w:t>
      </w:r>
      <w:r w:rsidR="002921B6" w:rsidRPr="00A9681B">
        <w:rPr>
          <w:rFonts w:ascii="Times New Roman" w:eastAsia="Times New Roman" w:hAnsi="Times New Roman" w:cs="Times New Roman"/>
        </w:rPr>
        <w:t xml:space="preserve"> </w:t>
      </w:r>
      <w:r w:rsidR="00CC0CB3" w:rsidRPr="00A9681B">
        <w:rPr>
          <w:rFonts w:ascii="Times New Roman" w:eastAsia="Times New Roman" w:hAnsi="Times New Roman" w:cs="Times New Roman"/>
        </w:rPr>
        <w:t>S</w:t>
      </w:r>
      <w:r w:rsidR="002921B6" w:rsidRPr="00A9681B">
        <w:rPr>
          <w:rFonts w:ascii="Times New Roman" w:eastAsia="Times New Roman" w:hAnsi="Times New Roman" w:cs="Times New Roman"/>
        </w:rPr>
        <w:t>tate subsidies.</w:t>
      </w:r>
    </w:p>
    <w:p w:rsidR="002259CC" w:rsidRPr="00A9681B" w:rsidRDefault="00697DF6" w:rsidP="00A9681B">
      <w:pPr>
        <w:pStyle w:val="ECHRPara"/>
        <w:rPr>
          <w:rFonts w:ascii="Times New Roman" w:eastAsia="Times New Roman" w:hAnsi="Times New Roman" w:cs="Times New Roman"/>
        </w:rPr>
      </w:pPr>
      <w:r w:rsidRPr="00A9681B">
        <w:rPr>
          <w:rFonts w:ascii="Times New Roman" w:eastAsia="Times New Roman" w:hAnsi="Times New Roman" w:cs="Times New Roman"/>
        </w:rPr>
        <w:fldChar w:fldCharType="begin"/>
      </w:r>
      <w:r w:rsidRPr="00A9681B">
        <w:rPr>
          <w:rFonts w:ascii="Times New Roman" w:eastAsia="Times New Roman" w:hAnsi="Times New Roman" w:cs="Times New Roman"/>
        </w:rPr>
        <w:instrText xml:space="preserve"> SEQ level0 \*arabic </w:instrText>
      </w:r>
      <w:r w:rsidRPr="00A9681B">
        <w:rPr>
          <w:rFonts w:ascii="Times New Roman" w:eastAsia="Times New Roman" w:hAnsi="Times New Roman" w:cs="Times New Roman"/>
        </w:rPr>
        <w:fldChar w:fldCharType="separate"/>
      </w:r>
      <w:r w:rsidR="00A9681B" w:rsidRPr="00A9681B">
        <w:rPr>
          <w:rFonts w:ascii="Times New Roman" w:eastAsia="Times New Roman" w:hAnsi="Times New Roman" w:cs="Times New Roman"/>
          <w:noProof/>
        </w:rPr>
        <w:t>53</w:t>
      </w:r>
      <w:r w:rsidRPr="00A9681B">
        <w:rPr>
          <w:rFonts w:ascii="Times New Roman" w:eastAsia="Times New Roman" w:hAnsi="Times New Roman" w:cs="Times New Roman"/>
        </w:rPr>
        <w:fldChar w:fldCharType="end"/>
      </w:r>
      <w:r w:rsidRPr="00A9681B">
        <w:rPr>
          <w:rFonts w:ascii="Times New Roman" w:eastAsia="Times New Roman" w:hAnsi="Times New Roman" w:cs="Times New Roman"/>
        </w:rPr>
        <w:t>.  </w:t>
      </w:r>
      <w:r w:rsidR="004D33A0" w:rsidRPr="00A9681B">
        <w:rPr>
          <w:rFonts w:ascii="Times New Roman" w:eastAsia="Times New Roman" w:hAnsi="Times New Roman" w:cs="Times New Roman"/>
        </w:rPr>
        <w:t>However, the Court is not convinced that these features of the schoolbook market produce</w:t>
      </w:r>
      <w:r w:rsidR="00B255B0" w:rsidRPr="00A9681B">
        <w:rPr>
          <w:rFonts w:ascii="Times New Roman" w:eastAsia="Times New Roman" w:hAnsi="Times New Roman" w:cs="Times New Roman"/>
        </w:rPr>
        <w:t xml:space="preserve"> </w:t>
      </w:r>
      <w:r w:rsidR="005B14A9" w:rsidRPr="00A9681B">
        <w:rPr>
          <w:rFonts w:ascii="Times New Roman" w:eastAsia="Times New Roman" w:hAnsi="Times New Roman" w:cs="Times New Roman"/>
        </w:rPr>
        <w:t>a</w:t>
      </w:r>
      <w:r w:rsidR="00B255B0" w:rsidRPr="00A9681B">
        <w:rPr>
          <w:rFonts w:ascii="Times New Roman" w:eastAsia="Times New Roman" w:hAnsi="Times New Roman" w:cs="Times New Roman"/>
        </w:rPr>
        <w:t xml:space="preserve"> </w:t>
      </w:r>
      <w:r w:rsidR="00355BE9" w:rsidRPr="00A9681B">
        <w:rPr>
          <w:rFonts w:ascii="Times New Roman" w:eastAsia="Times New Roman" w:hAnsi="Times New Roman" w:cs="Times New Roman"/>
        </w:rPr>
        <w:t xml:space="preserve">distortive </w:t>
      </w:r>
      <w:r w:rsidR="004D33A0" w:rsidRPr="00A9681B">
        <w:rPr>
          <w:rFonts w:ascii="Times New Roman" w:eastAsia="Times New Roman" w:hAnsi="Times New Roman" w:cs="Times New Roman"/>
        </w:rPr>
        <w:t>effect</w:t>
      </w:r>
      <w:r w:rsidR="00355BE9" w:rsidRPr="00A9681B">
        <w:rPr>
          <w:rFonts w:ascii="Times New Roman" w:eastAsia="Times New Roman" w:hAnsi="Times New Roman" w:cs="Times New Roman"/>
        </w:rPr>
        <w:t xml:space="preserve"> on competition </w:t>
      </w:r>
      <w:r w:rsidR="004D33A0" w:rsidRPr="00A9681B">
        <w:rPr>
          <w:rFonts w:ascii="Times New Roman" w:eastAsia="Times New Roman" w:hAnsi="Times New Roman" w:cs="Times New Roman"/>
        </w:rPr>
        <w:t xml:space="preserve">amongst participants </w:t>
      </w:r>
      <w:r w:rsidR="006430E8" w:rsidRPr="00A9681B">
        <w:rPr>
          <w:rFonts w:ascii="Times New Roman" w:eastAsia="Times New Roman" w:hAnsi="Times New Roman" w:cs="Times New Roman"/>
        </w:rPr>
        <w:t xml:space="preserve">in </w:t>
      </w:r>
      <w:r w:rsidR="004D33A0" w:rsidRPr="00A9681B">
        <w:rPr>
          <w:rFonts w:ascii="Times New Roman" w:eastAsia="Times New Roman" w:hAnsi="Times New Roman" w:cs="Times New Roman"/>
        </w:rPr>
        <w:t xml:space="preserve">the </w:t>
      </w:r>
      <w:r w:rsidR="009547ED" w:rsidRPr="00A9681B">
        <w:rPr>
          <w:rFonts w:ascii="Times New Roman" w:eastAsia="Times New Roman" w:hAnsi="Times New Roman" w:cs="Times New Roman"/>
        </w:rPr>
        <w:t>distribut</w:t>
      </w:r>
      <w:r w:rsidR="004D33A0" w:rsidRPr="00A9681B">
        <w:rPr>
          <w:rFonts w:ascii="Times New Roman" w:eastAsia="Times New Roman" w:hAnsi="Times New Roman" w:cs="Times New Roman"/>
        </w:rPr>
        <w:t>i</w:t>
      </w:r>
      <w:r w:rsidR="006430E8" w:rsidRPr="00A9681B">
        <w:rPr>
          <w:rFonts w:ascii="Times New Roman" w:eastAsia="Times New Roman" w:hAnsi="Times New Roman" w:cs="Times New Roman"/>
        </w:rPr>
        <w:t>on</w:t>
      </w:r>
      <w:r w:rsidR="004D33A0" w:rsidRPr="00A9681B">
        <w:rPr>
          <w:rFonts w:ascii="Times New Roman" w:eastAsia="Times New Roman" w:hAnsi="Times New Roman" w:cs="Times New Roman"/>
        </w:rPr>
        <w:t xml:space="preserve"> business</w:t>
      </w:r>
      <w:r w:rsidR="003D32B6" w:rsidRPr="00A9681B">
        <w:rPr>
          <w:rFonts w:ascii="Times New Roman" w:eastAsia="Times New Roman" w:hAnsi="Times New Roman" w:cs="Times New Roman"/>
        </w:rPr>
        <w:t>, such as the applicant</w:t>
      </w:r>
      <w:r w:rsidR="004A1363" w:rsidRPr="00A9681B">
        <w:rPr>
          <w:rFonts w:ascii="Times New Roman" w:eastAsia="Times New Roman" w:hAnsi="Times New Roman" w:cs="Times New Roman"/>
        </w:rPr>
        <w:t xml:space="preserve"> companies</w:t>
      </w:r>
      <w:r w:rsidR="004D33A0" w:rsidRPr="00A9681B">
        <w:rPr>
          <w:rFonts w:ascii="Times New Roman" w:eastAsia="Times New Roman" w:hAnsi="Times New Roman" w:cs="Times New Roman"/>
        </w:rPr>
        <w:t xml:space="preserve">. It observes that </w:t>
      </w:r>
      <w:r w:rsidR="00C74E74" w:rsidRPr="00A9681B">
        <w:rPr>
          <w:rFonts w:ascii="Times New Roman" w:eastAsia="Times New Roman" w:hAnsi="Times New Roman" w:cs="Times New Roman"/>
        </w:rPr>
        <w:t>the distributors</w:t>
      </w:r>
      <w:r w:rsidR="00B255B0" w:rsidRPr="00A9681B">
        <w:rPr>
          <w:rFonts w:ascii="Times New Roman" w:eastAsia="Times New Roman" w:hAnsi="Times New Roman" w:cs="Times New Roman"/>
        </w:rPr>
        <w:t xml:space="preserve"> maintained </w:t>
      </w:r>
      <w:r w:rsidR="003D5F5B" w:rsidRPr="00A9681B">
        <w:rPr>
          <w:rFonts w:ascii="Times New Roman" w:eastAsia="Times New Roman" w:hAnsi="Times New Roman" w:cs="Times New Roman"/>
        </w:rPr>
        <w:t xml:space="preserve">contractual </w:t>
      </w:r>
      <w:r w:rsidR="00B255B0" w:rsidRPr="00A9681B">
        <w:rPr>
          <w:rFonts w:ascii="Times New Roman" w:eastAsia="Times New Roman" w:hAnsi="Times New Roman" w:cs="Times New Roman"/>
        </w:rPr>
        <w:t>relationships with the schools and not wit</w:t>
      </w:r>
      <w:r w:rsidR="004D33A0" w:rsidRPr="00A9681B">
        <w:rPr>
          <w:rFonts w:ascii="Times New Roman" w:eastAsia="Times New Roman" w:hAnsi="Times New Roman" w:cs="Times New Roman"/>
        </w:rPr>
        <w:t xml:space="preserve">h the </w:t>
      </w:r>
      <w:r w:rsidR="003D32B6" w:rsidRPr="00A9681B">
        <w:rPr>
          <w:rFonts w:ascii="Times New Roman" w:eastAsia="Times New Roman" w:hAnsi="Times New Roman" w:cs="Times New Roman"/>
        </w:rPr>
        <w:t>end-users</w:t>
      </w:r>
      <w:r w:rsidR="004D33A0" w:rsidRPr="00A9681B">
        <w:rPr>
          <w:rFonts w:ascii="Times New Roman" w:eastAsia="Times New Roman" w:hAnsi="Times New Roman" w:cs="Times New Roman"/>
        </w:rPr>
        <w:t xml:space="preserve">; and, for their </w:t>
      </w:r>
      <w:r w:rsidR="00C74E74" w:rsidRPr="00A9681B">
        <w:rPr>
          <w:rFonts w:ascii="Times New Roman" w:eastAsia="Times New Roman" w:hAnsi="Times New Roman" w:cs="Times New Roman"/>
        </w:rPr>
        <w:t>part,</w:t>
      </w:r>
      <w:r w:rsidR="004D33A0" w:rsidRPr="00A9681B">
        <w:rPr>
          <w:rFonts w:ascii="Times New Roman" w:eastAsia="Times New Roman" w:hAnsi="Times New Roman" w:cs="Times New Roman"/>
        </w:rPr>
        <w:t xml:space="preserve"> the </w:t>
      </w:r>
      <w:r w:rsidR="00B255B0" w:rsidRPr="00A9681B">
        <w:rPr>
          <w:rFonts w:ascii="Times New Roman" w:eastAsia="Times New Roman" w:hAnsi="Times New Roman" w:cs="Times New Roman"/>
        </w:rPr>
        <w:t xml:space="preserve">schools were </w:t>
      </w:r>
      <w:r w:rsidR="00304443" w:rsidRPr="00A9681B">
        <w:rPr>
          <w:rFonts w:ascii="Times New Roman" w:eastAsia="Times New Roman" w:hAnsi="Times New Roman" w:cs="Times New Roman"/>
        </w:rPr>
        <w:t xml:space="preserve">entirely </w:t>
      </w:r>
      <w:r w:rsidR="00B255B0" w:rsidRPr="00A9681B">
        <w:rPr>
          <w:rFonts w:ascii="Times New Roman" w:eastAsia="Times New Roman" w:hAnsi="Times New Roman" w:cs="Times New Roman"/>
        </w:rPr>
        <w:t xml:space="preserve">free to </w:t>
      </w:r>
      <w:r w:rsidR="004D33A0" w:rsidRPr="00A9681B">
        <w:rPr>
          <w:rFonts w:ascii="Times New Roman" w:eastAsia="Times New Roman" w:hAnsi="Times New Roman" w:cs="Times New Roman"/>
        </w:rPr>
        <w:t xml:space="preserve">select </w:t>
      </w:r>
      <w:r w:rsidR="00B255B0" w:rsidRPr="00A9681B">
        <w:rPr>
          <w:rFonts w:ascii="Times New Roman" w:eastAsia="Times New Roman" w:hAnsi="Times New Roman" w:cs="Times New Roman"/>
        </w:rPr>
        <w:t xml:space="preserve">any </w:t>
      </w:r>
      <w:r w:rsidR="00304443" w:rsidRPr="00A9681B">
        <w:rPr>
          <w:rFonts w:ascii="Times New Roman" w:eastAsia="Times New Roman" w:hAnsi="Times New Roman" w:cs="Times New Roman"/>
        </w:rPr>
        <w:t xml:space="preserve">distributor </w:t>
      </w:r>
      <w:r w:rsidR="004D33A0" w:rsidRPr="00A9681B">
        <w:rPr>
          <w:rFonts w:ascii="Times New Roman" w:eastAsia="Times New Roman" w:hAnsi="Times New Roman" w:cs="Times New Roman"/>
        </w:rPr>
        <w:t xml:space="preserve">as </w:t>
      </w:r>
      <w:r w:rsidR="009C187E" w:rsidRPr="00A9681B">
        <w:rPr>
          <w:rFonts w:ascii="Times New Roman" w:eastAsia="Times New Roman" w:hAnsi="Times New Roman" w:cs="Times New Roman"/>
        </w:rPr>
        <w:t xml:space="preserve">their </w:t>
      </w:r>
      <w:r w:rsidR="00355BE9" w:rsidRPr="00A9681B">
        <w:rPr>
          <w:rFonts w:ascii="Times New Roman" w:eastAsia="Times New Roman" w:hAnsi="Times New Roman" w:cs="Times New Roman"/>
        </w:rPr>
        <w:t>long</w:t>
      </w:r>
      <w:r w:rsidR="001E01B3" w:rsidRPr="00A9681B">
        <w:rPr>
          <w:rFonts w:ascii="Times New Roman" w:eastAsia="Times New Roman" w:hAnsi="Times New Roman" w:cs="Times New Roman"/>
        </w:rPr>
        <w:t>-</w:t>
      </w:r>
      <w:r w:rsidR="009547ED" w:rsidRPr="00A9681B">
        <w:rPr>
          <w:rFonts w:ascii="Times New Roman" w:eastAsia="Times New Roman" w:hAnsi="Times New Roman" w:cs="Times New Roman"/>
        </w:rPr>
        <w:t xml:space="preserve"> or short-term </w:t>
      </w:r>
      <w:r w:rsidR="009C187E" w:rsidRPr="00A9681B">
        <w:rPr>
          <w:rFonts w:ascii="Times New Roman" w:eastAsia="Times New Roman" w:hAnsi="Times New Roman" w:cs="Times New Roman"/>
        </w:rPr>
        <w:t xml:space="preserve">supplier. </w:t>
      </w:r>
      <w:r w:rsidR="004D33A0" w:rsidRPr="00A9681B">
        <w:rPr>
          <w:rFonts w:ascii="Times New Roman" w:eastAsia="Times New Roman" w:hAnsi="Times New Roman" w:cs="Times New Roman"/>
        </w:rPr>
        <w:t>It is true that</w:t>
      </w:r>
      <w:r w:rsidR="009C187E" w:rsidRPr="00A9681B">
        <w:rPr>
          <w:rFonts w:ascii="Times New Roman" w:eastAsia="Times New Roman" w:hAnsi="Times New Roman" w:cs="Times New Roman"/>
        </w:rPr>
        <w:t xml:space="preserve"> there </w:t>
      </w:r>
      <w:r w:rsidR="004D33A0" w:rsidRPr="00A9681B">
        <w:rPr>
          <w:rFonts w:ascii="Times New Roman" w:eastAsia="Times New Roman" w:hAnsi="Times New Roman" w:cs="Times New Roman"/>
        </w:rPr>
        <w:t xml:space="preserve">was </w:t>
      </w:r>
      <w:r w:rsidR="009C187E" w:rsidRPr="00A9681B">
        <w:rPr>
          <w:rFonts w:ascii="Times New Roman" w:eastAsia="Times New Roman" w:hAnsi="Times New Roman" w:cs="Times New Roman"/>
        </w:rPr>
        <w:t xml:space="preserve">a </w:t>
      </w:r>
      <w:r w:rsidR="004D33A0" w:rsidRPr="00A9681B">
        <w:rPr>
          <w:rFonts w:ascii="Times New Roman" w:eastAsia="Times New Roman" w:hAnsi="Times New Roman" w:cs="Times New Roman"/>
        </w:rPr>
        <w:t>constant</w:t>
      </w:r>
      <w:r w:rsidR="009C187E" w:rsidRPr="00A9681B">
        <w:rPr>
          <w:rFonts w:ascii="Times New Roman" w:eastAsia="Times New Roman" w:hAnsi="Times New Roman" w:cs="Times New Roman"/>
        </w:rPr>
        <w:t xml:space="preserve"> market </w:t>
      </w:r>
      <w:r w:rsidR="004D33A0" w:rsidRPr="00A9681B">
        <w:rPr>
          <w:rFonts w:ascii="Times New Roman" w:eastAsia="Times New Roman" w:hAnsi="Times New Roman" w:cs="Times New Roman"/>
        </w:rPr>
        <w:t xml:space="preserve">outlet (that is, the multitude of pupils in need of textbooks in a given </w:t>
      </w:r>
      <w:r w:rsidR="0011176C" w:rsidRPr="00A9681B">
        <w:rPr>
          <w:rFonts w:ascii="Times New Roman" w:eastAsia="Times New Roman" w:hAnsi="Times New Roman" w:cs="Times New Roman"/>
        </w:rPr>
        <w:t>school year</w:t>
      </w:r>
      <w:r w:rsidR="004D33A0" w:rsidRPr="00A9681B">
        <w:rPr>
          <w:rFonts w:ascii="Times New Roman" w:eastAsia="Times New Roman" w:hAnsi="Times New Roman" w:cs="Times New Roman"/>
        </w:rPr>
        <w:t>)</w:t>
      </w:r>
      <w:r w:rsidR="009C187E" w:rsidRPr="00A9681B">
        <w:rPr>
          <w:rFonts w:ascii="Times New Roman" w:eastAsia="Times New Roman" w:hAnsi="Times New Roman" w:cs="Times New Roman"/>
        </w:rPr>
        <w:t xml:space="preserve"> </w:t>
      </w:r>
      <w:r w:rsidR="004D33A0" w:rsidRPr="00A9681B">
        <w:rPr>
          <w:rFonts w:ascii="Times New Roman" w:eastAsia="Times New Roman" w:hAnsi="Times New Roman" w:cs="Times New Roman"/>
        </w:rPr>
        <w:t>ultimately corresponding to</w:t>
      </w:r>
      <w:r w:rsidR="009C187E" w:rsidRPr="00A9681B">
        <w:rPr>
          <w:rFonts w:ascii="Times New Roman" w:eastAsia="Times New Roman" w:hAnsi="Times New Roman" w:cs="Times New Roman"/>
        </w:rPr>
        <w:t xml:space="preserve"> the </w:t>
      </w:r>
      <w:r w:rsidR="004D33A0" w:rsidRPr="00A9681B">
        <w:rPr>
          <w:rFonts w:ascii="Times New Roman" w:eastAsia="Times New Roman" w:hAnsi="Times New Roman" w:cs="Times New Roman"/>
        </w:rPr>
        <w:t xml:space="preserve">entirety of the </w:t>
      </w:r>
      <w:r w:rsidR="009C187E" w:rsidRPr="00A9681B">
        <w:rPr>
          <w:rFonts w:ascii="Times New Roman" w:eastAsia="Times New Roman" w:hAnsi="Times New Roman" w:cs="Times New Roman"/>
        </w:rPr>
        <w:t>applicant</w:t>
      </w:r>
      <w:r w:rsidR="00086CA8" w:rsidRPr="00A9681B">
        <w:rPr>
          <w:rFonts w:ascii="Times New Roman" w:eastAsia="Times New Roman" w:hAnsi="Times New Roman" w:cs="Times New Roman"/>
        </w:rPr>
        <w:t xml:space="preserve"> companie</w:t>
      </w:r>
      <w:r w:rsidR="009C187E" w:rsidRPr="00A9681B">
        <w:rPr>
          <w:rFonts w:ascii="Times New Roman" w:eastAsia="Times New Roman" w:hAnsi="Times New Roman" w:cs="Times New Roman"/>
        </w:rPr>
        <w:t>s</w:t>
      </w:r>
      <w:r w:rsidR="00A9681B" w:rsidRPr="00A9681B">
        <w:rPr>
          <w:rFonts w:ascii="Times New Roman" w:eastAsia="Times New Roman" w:hAnsi="Times New Roman" w:cs="Times New Roman"/>
        </w:rPr>
        <w:t>’</w:t>
      </w:r>
      <w:r w:rsidR="004D33A0" w:rsidRPr="00A9681B">
        <w:rPr>
          <w:rFonts w:ascii="Times New Roman" w:eastAsia="Times New Roman" w:hAnsi="Times New Roman" w:cs="Times New Roman"/>
        </w:rPr>
        <w:t xml:space="preserve"> and other distributors</w:t>
      </w:r>
      <w:r w:rsidR="00A9681B" w:rsidRPr="00A9681B">
        <w:rPr>
          <w:rFonts w:ascii="Times New Roman" w:eastAsia="Times New Roman" w:hAnsi="Times New Roman" w:cs="Times New Roman"/>
        </w:rPr>
        <w:t>’</w:t>
      </w:r>
      <w:r w:rsidR="004D33A0" w:rsidRPr="00A9681B">
        <w:rPr>
          <w:rFonts w:ascii="Times New Roman" w:eastAsia="Times New Roman" w:hAnsi="Times New Roman" w:cs="Times New Roman"/>
        </w:rPr>
        <w:t xml:space="preserve"> combined</w:t>
      </w:r>
      <w:r w:rsidR="009C187E" w:rsidRPr="00A9681B">
        <w:rPr>
          <w:rFonts w:ascii="Times New Roman" w:eastAsia="Times New Roman" w:hAnsi="Times New Roman" w:cs="Times New Roman"/>
        </w:rPr>
        <w:t xml:space="preserve"> </w:t>
      </w:r>
      <w:r w:rsidR="004D33A0" w:rsidRPr="00A9681B">
        <w:rPr>
          <w:rFonts w:ascii="Times New Roman" w:eastAsia="Times New Roman" w:hAnsi="Times New Roman" w:cs="Times New Roman"/>
        </w:rPr>
        <w:t>services. However, t</w:t>
      </w:r>
      <w:r w:rsidR="009C187E" w:rsidRPr="00A9681B">
        <w:rPr>
          <w:rFonts w:ascii="Times New Roman" w:eastAsia="Times New Roman" w:hAnsi="Times New Roman" w:cs="Times New Roman"/>
        </w:rPr>
        <w:t>h</w:t>
      </w:r>
      <w:r w:rsidR="004D33A0" w:rsidRPr="00A9681B">
        <w:rPr>
          <w:rFonts w:ascii="Times New Roman" w:eastAsia="Times New Roman" w:hAnsi="Times New Roman" w:cs="Times New Roman"/>
        </w:rPr>
        <w:t xml:space="preserve">e </w:t>
      </w:r>
      <w:r w:rsidR="006430E8" w:rsidRPr="00A9681B">
        <w:rPr>
          <w:rFonts w:ascii="Times New Roman" w:eastAsia="Times New Roman" w:hAnsi="Times New Roman" w:cs="Times New Roman"/>
        </w:rPr>
        <w:t>applicant companies</w:t>
      </w:r>
      <w:r w:rsidR="00A9681B" w:rsidRPr="00A9681B">
        <w:rPr>
          <w:rFonts w:ascii="Times New Roman" w:eastAsia="Times New Roman" w:hAnsi="Times New Roman" w:cs="Times New Roman"/>
        </w:rPr>
        <w:t>’</w:t>
      </w:r>
      <w:r w:rsidR="006430E8" w:rsidRPr="00A9681B">
        <w:rPr>
          <w:rFonts w:ascii="Times New Roman" w:eastAsia="Times New Roman" w:hAnsi="Times New Roman" w:cs="Times New Roman"/>
        </w:rPr>
        <w:t xml:space="preserve"> </w:t>
      </w:r>
      <w:r w:rsidR="004D33A0" w:rsidRPr="00A9681B">
        <w:rPr>
          <w:rFonts w:ascii="Times New Roman" w:eastAsia="Times New Roman" w:hAnsi="Times New Roman" w:cs="Times New Roman"/>
        </w:rPr>
        <w:t xml:space="preserve">respective shares </w:t>
      </w:r>
      <w:r w:rsidR="006430E8" w:rsidRPr="00A9681B">
        <w:rPr>
          <w:rFonts w:ascii="Times New Roman" w:eastAsia="Times New Roman" w:hAnsi="Times New Roman" w:cs="Times New Roman"/>
        </w:rPr>
        <w:t xml:space="preserve">in </w:t>
      </w:r>
      <w:r w:rsidR="004D33A0" w:rsidRPr="00A9681B">
        <w:rPr>
          <w:rFonts w:ascii="Times New Roman" w:eastAsia="Times New Roman" w:hAnsi="Times New Roman" w:cs="Times New Roman"/>
        </w:rPr>
        <w:t xml:space="preserve">this constant </w:t>
      </w:r>
      <w:r w:rsidR="00564607" w:rsidRPr="00A9681B">
        <w:rPr>
          <w:rFonts w:ascii="Times New Roman" w:eastAsia="Times New Roman" w:hAnsi="Times New Roman" w:cs="Times New Roman"/>
        </w:rPr>
        <w:t xml:space="preserve">market outlet </w:t>
      </w:r>
      <w:r w:rsidR="009C187E" w:rsidRPr="00A9681B">
        <w:rPr>
          <w:rFonts w:ascii="Times New Roman" w:eastAsia="Times New Roman" w:hAnsi="Times New Roman" w:cs="Times New Roman"/>
        </w:rPr>
        <w:t>w</w:t>
      </w:r>
      <w:r w:rsidR="004D33A0" w:rsidRPr="00A9681B">
        <w:rPr>
          <w:rFonts w:ascii="Times New Roman" w:eastAsia="Times New Roman" w:hAnsi="Times New Roman" w:cs="Times New Roman"/>
        </w:rPr>
        <w:t>ere in no way</w:t>
      </w:r>
      <w:r w:rsidR="009C187E" w:rsidRPr="00A9681B">
        <w:rPr>
          <w:rFonts w:ascii="Times New Roman" w:eastAsia="Times New Roman" w:hAnsi="Times New Roman" w:cs="Times New Roman"/>
        </w:rPr>
        <w:t xml:space="preserve"> </w:t>
      </w:r>
      <w:r w:rsidR="00355BE9" w:rsidRPr="00A9681B">
        <w:rPr>
          <w:rFonts w:ascii="Times New Roman" w:eastAsia="Times New Roman" w:hAnsi="Times New Roman" w:cs="Times New Roman"/>
        </w:rPr>
        <w:t>guaranteed</w:t>
      </w:r>
      <w:r w:rsidR="004D33A0" w:rsidRPr="00A9681B">
        <w:rPr>
          <w:rFonts w:ascii="Times New Roman" w:eastAsia="Times New Roman" w:hAnsi="Times New Roman" w:cs="Times New Roman"/>
        </w:rPr>
        <w:t xml:space="preserve">, </w:t>
      </w:r>
      <w:r w:rsidR="006430E8" w:rsidRPr="00A9681B">
        <w:rPr>
          <w:rFonts w:ascii="Times New Roman" w:eastAsia="Times New Roman" w:hAnsi="Times New Roman" w:cs="Times New Roman"/>
        </w:rPr>
        <w:t xml:space="preserve">since they </w:t>
      </w:r>
      <w:r w:rsidR="003D32B6" w:rsidRPr="00A9681B">
        <w:rPr>
          <w:rFonts w:ascii="Times New Roman" w:eastAsia="Times New Roman" w:hAnsi="Times New Roman" w:cs="Times New Roman"/>
        </w:rPr>
        <w:t xml:space="preserve">needed </w:t>
      </w:r>
      <w:r w:rsidR="009C187E" w:rsidRPr="00A9681B">
        <w:rPr>
          <w:rFonts w:ascii="Times New Roman" w:eastAsia="Times New Roman" w:hAnsi="Times New Roman" w:cs="Times New Roman"/>
        </w:rPr>
        <w:t>to acquire and preserve their clientele</w:t>
      </w:r>
      <w:r w:rsidR="003D32B6" w:rsidRPr="00A9681B">
        <w:rPr>
          <w:rFonts w:ascii="Times New Roman" w:eastAsia="Times New Roman" w:hAnsi="Times New Roman" w:cs="Times New Roman"/>
        </w:rPr>
        <w:t xml:space="preserve"> (</w:t>
      </w:r>
      <w:r w:rsidR="009C187E" w:rsidRPr="00A9681B">
        <w:rPr>
          <w:rFonts w:ascii="Times New Roman" w:eastAsia="Times New Roman" w:hAnsi="Times New Roman" w:cs="Times New Roman"/>
        </w:rPr>
        <w:t>the schools</w:t>
      </w:r>
      <w:r w:rsidR="003D32B6" w:rsidRPr="00A9681B">
        <w:rPr>
          <w:rFonts w:ascii="Times New Roman" w:eastAsia="Times New Roman" w:hAnsi="Times New Roman" w:cs="Times New Roman"/>
        </w:rPr>
        <w:t xml:space="preserve">) in </w:t>
      </w:r>
      <w:r w:rsidR="005D4E73" w:rsidRPr="00A9681B">
        <w:rPr>
          <w:rFonts w:ascii="Times New Roman" w:eastAsia="Times New Roman" w:hAnsi="Times New Roman" w:cs="Times New Roman"/>
        </w:rPr>
        <w:t>a largely unregulated and competitive market environment.</w:t>
      </w:r>
      <w:r w:rsidR="003D5F5B" w:rsidRPr="00A9681B">
        <w:rPr>
          <w:rFonts w:ascii="Times New Roman" w:eastAsia="Times New Roman" w:hAnsi="Times New Roman" w:cs="Times New Roman"/>
        </w:rPr>
        <w:t xml:space="preserve"> </w:t>
      </w:r>
      <w:r w:rsidR="009547ED" w:rsidRPr="00A9681B">
        <w:rPr>
          <w:rFonts w:ascii="Times New Roman" w:eastAsia="Times New Roman" w:hAnsi="Times New Roman" w:cs="Times New Roman"/>
        </w:rPr>
        <w:t xml:space="preserve">The Court </w:t>
      </w:r>
      <w:r w:rsidR="003D5F5B" w:rsidRPr="00A9681B">
        <w:rPr>
          <w:rFonts w:ascii="Times New Roman" w:eastAsia="Times New Roman" w:hAnsi="Times New Roman" w:cs="Times New Roman"/>
        </w:rPr>
        <w:t xml:space="preserve">is therefore satisfied that </w:t>
      </w:r>
      <w:r w:rsidR="009547ED" w:rsidRPr="00A9681B">
        <w:rPr>
          <w:rFonts w:ascii="Times New Roman" w:eastAsia="Times New Roman" w:hAnsi="Times New Roman" w:cs="Times New Roman"/>
        </w:rPr>
        <w:t xml:space="preserve">although the schoolbook market </w:t>
      </w:r>
      <w:r w:rsidR="006430E8" w:rsidRPr="00A9681B">
        <w:rPr>
          <w:rFonts w:ascii="Times New Roman" w:eastAsia="Times New Roman" w:hAnsi="Times New Roman" w:cs="Times New Roman"/>
        </w:rPr>
        <w:t xml:space="preserve">did </w:t>
      </w:r>
      <w:r w:rsidR="003D5F5B" w:rsidRPr="00A9681B">
        <w:rPr>
          <w:rFonts w:ascii="Times New Roman" w:eastAsia="Times New Roman" w:hAnsi="Times New Roman" w:cs="Times New Roman"/>
        </w:rPr>
        <w:t xml:space="preserve">indeed </w:t>
      </w:r>
      <w:r w:rsidR="009547ED" w:rsidRPr="00A9681B">
        <w:rPr>
          <w:rFonts w:ascii="Times New Roman" w:eastAsia="Times New Roman" w:hAnsi="Times New Roman" w:cs="Times New Roman"/>
        </w:rPr>
        <w:t>ha</w:t>
      </w:r>
      <w:r w:rsidR="006430E8" w:rsidRPr="00A9681B">
        <w:rPr>
          <w:rFonts w:ascii="Times New Roman" w:eastAsia="Times New Roman" w:hAnsi="Times New Roman" w:cs="Times New Roman"/>
        </w:rPr>
        <w:t>ve</w:t>
      </w:r>
      <w:r w:rsidR="009547ED" w:rsidRPr="00A9681B">
        <w:rPr>
          <w:rFonts w:ascii="Times New Roman" w:eastAsia="Times New Roman" w:hAnsi="Times New Roman" w:cs="Times New Roman"/>
        </w:rPr>
        <w:t xml:space="preserve"> some special attributes, </w:t>
      </w:r>
      <w:r w:rsidR="00564607" w:rsidRPr="00A9681B">
        <w:rPr>
          <w:rFonts w:ascii="Times New Roman" w:eastAsia="Times New Roman" w:hAnsi="Times New Roman" w:cs="Times New Roman"/>
        </w:rPr>
        <w:t xml:space="preserve">these </w:t>
      </w:r>
      <w:r w:rsidR="009547ED" w:rsidRPr="00A9681B">
        <w:rPr>
          <w:rFonts w:ascii="Times New Roman" w:eastAsia="Times New Roman" w:hAnsi="Times New Roman" w:cs="Times New Roman"/>
        </w:rPr>
        <w:t xml:space="preserve">did not </w:t>
      </w:r>
      <w:r w:rsidR="006430E8" w:rsidRPr="00A9681B">
        <w:rPr>
          <w:rFonts w:ascii="Times New Roman" w:eastAsia="Times New Roman" w:hAnsi="Times New Roman" w:cs="Times New Roman"/>
        </w:rPr>
        <w:t xml:space="preserve">give rise to </w:t>
      </w:r>
      <w:r w:rsidR="009547ED" w:rsidRPr="00A9681B">
        <w:rPr>
          <w:rFonts w:ascii="Times New Roman" w:eastAsia="Times New Roman" w:hAnsi="Times New Roman" w:cs="Times New Roman"/>
        </w:rPr>
        <w:t xml:space="preserve">any special </w:t>
      </w:r>
      <w:r w:rsidR="00564607" w:rsidRPr="00A9681B">
        <w:rPr>
          <w:rFonts w:ascii="Times New Roman" w:eastAsia="Times New Roman" w:hAnsi="Times New Roman" w:cs="Times New Roman"/>
        </w:rPr>
        <w:t xml:space="preserve">or privileged </w:t>
      </w:r>
      <w:r w:rsidR="009547ED" w:rsidRPr="00A9681B">
        <w:rPr>
          <w:rFonts w:ascii="Times New Roman" w:eastAsia="Times New Roman" w:hAnsi="Times New Roman" w:cs="Times New Roman"/>
        </w:rPr>
        <w:t xml:space="preserve">market </w:t>
      </w:r>
      <w:r w:rsidR="006430E8" w:rsidRPr="00A9681B">
        <w:rPr>
          <w:rFonts w:ascii="Times New Roman" w:eastAsia="Times New Roman" w:hAnsi="Times New Roman" w:cs="Times New Roman"/>
        </w:rPr>
        <w:t xml:space="preserve">conditions </w:t>
      </w:r>
      <w:r w:rsidR="003D5F5B" w:rsidRPr="00A9681B">
        <w:rPr>
          <w:rFonts w:ascii="Times New Roman" w:eastAsia="Times New Roman" w:hAnsi="Times New Roman" w:cs="Times New Roman"/>
        </w:rPr>
        <w:t xml:space="preserve">for the applicant companies </w:t>
      </w:r>
      <w:r w:rsidR="006430E8" w:rsidRPr="00A9681B">
        <w:rPr>
          <w:rFonts w:ascii="Times New Roman" w:eastAsia="Times New Roman" w:hAnsi="Times New Roman" w:cs="Times New Roman"/>
        </w:rPr>
        <w:t>such as to</w:t>
      </w:r>
      <w:r w:rsidR="003D5F5B" w:rsidRPr="00A9681B">
        <w:rPr>
          <w:rFonts w:ascii="Times New Roman" w:eastAsia="Times New Roman" w:hAnsi="Times New Roman" w:cs="Times New Roman"/>
        </w:rPr>
        <w:t xml:space="preserve"> justif</w:t>
      </w:r>
      <w:r w:rsidR="006430E8" w:rsidRPr="00A9681B">
        <w:rPr>
          <w:rFonts w:ascii="Times New Roman" w:eastAsia="Times New Roman" w:hAnsi="Times New Roman" w:cs="Times New Roman"/>
        </w:rPr>
        <w:t>y</w:t>
      </w:r>
      <w:r w:rsidR="003D5F5B" w:rsidRPr="00A9681B">
        <w:rPr>
          <w:rFonts w:ascii="Times New Roman" w:eastAsia="Times New Roman" w:hAnsi="Times New Roman" w:cs="Times New Roman"/>
        </w:rPr>
        <w:t xml:space="preserve"> </w:t>
      </w:r>
      <w:r w:rsidR="00174DA0" w:rsidRPr="00A9681B">
        <w:rPr>
          <w:rFonts w:ascii="Times New Roman" w:eastAsia="Times New Roman" w:hAnsi="Times New Roman" w:cs="Times New Roman"/>
        </w:rPr>
        <w:t xml:space="preserve">in itself </w:t>
      </w:r>
      <w:r w:rsidR="00564607" w:rsidRPr="00A9681B">
        <w:rPr>
          <w:rFonts w:ascii="Times New Roman" w:eastAsia="Times New Roman" w:hAnsi="Times New Roman" w:cs="Times New Roman"/>
        </w:rPr>
        <w:t xml:space="preserve">the </w:t>
      </w:r>
      <w:r w:rsidR="00355BE9" w:rsidRPr="00A9681B">
        <w:rPr>
          <w:rFonts w:ascii="Times New Roman" w:eastAsia="Times New Roman" w:hAnsi="Times New Roman" w:cs="Times New Roman"/>
        </w:rPr>
        <w:t>State intervention</w:t>
      </w:r>
      <w:r w:rsidR="006430E8" w:rsidRPr="00A9681B">
        <w:rPr>
          <w:rFonts w:ascii="Times New Roman" w:eastAsia="Times New Roman" w:hAnsi="Times New Roman" w:cs="Times New Roman"/>
        </w:rPr>
        <w:t xml:space="preserve"> complained of in the present case</w:t>
      </w:r>
      <w:r w:rsidR="003D5F5B" w:rsidRPr="00A9681B">
        <w:rPr>
          <w:rFonts w:ascii="Times New Roman" w:eastAsia="Times New Roman" w:hAnsi="Times New Roman" w:cs="Times New Roman"/>
        </w:rPr>
        <w:t>.</w:t>
      </w:r>
    </w:p>
    <w:p w:rsidR="00766713" w:rsidRPr="00A9681B" w:rsidRDefault="002259CC" w:rsidP="00A9681B">
      <w:pPr>
        <w:pStyle w:val="ECHRPara"/>
        <w:rPr>
          <w:rFonts w:ascii="Times New Roman" w:eastAsia="Times New Roman" w:hAnsi="Times New Roman" w:cs="Times New Roman"/>
        </w:rPr>
      </w:pPr>
      <w:r w:rsidRPr="00A9681B">
        <w:rPr>
          <w:rFonts w:ascii="Times New Roman" w:eastAsia="Times New Roman" w:hAnsi="Times New Roman" w:cs="Times New Roman"/>
        </w:rPr>
        <w:fldChar w:fldCharType="begin"/>
      </w:r>
      <w:r w:rsidRPr="00A9681B">
        <w:rPr>
          <w:rFonts w:ascii="Times New Roman" w:eastAsia="Times New Roman" w:hAnsi="Times New Roman" w:cs="Times New Roman"/>
        </w:rPr>
        <w:instrText xml:space="preserve"> SEQ level0 \*arabic </w:instrText>
      </w:r>
      <w:r w:rsidRPr="00A9681B">
        <w:rPr>
          <w:rFonts w:ascii="Times New Roman" w:eastAsia="Times New Roman" w:hAnsi="Times New Roman" w:cs="Times New Roman"/>
        </w:rPr>
        <w:fldChar w:fldCharType="separate"/>
      </w:r>
      <w:r w:rsidR="00A9681B" w:rsidRPr="00A9681B">
        <w:rPr>
          <w:rFonts w:ascii="Times New Roman" w:eastAsia="Times New Roman" w:hAnsi="Times New Roman" w:cs="Times New Roman"/>
          <w:noProof/>
        </w:rPr>
        <w:t>54</w:t>
      </w:r>
      <w:r w:rsidRPr="00A9681B">
        <w:rPr>
          <w:rFonts w:ascii="Times New Roman" w:eastAsia="Times New Roman" w:hAnsi="Times New Roman" w:cs="Times New Roman"/>
        </w:rPr>
        <w:fldChar w:fldCharType="end"/>
      </w:r>
      <w:r w:rsidRPr="00A9681B">
        <w:rPr>
          <w:rFonts w:ascii="Times New Roman" w:eastAsia="Times New Roman" w:hAnsi="Times New Roman" w:cs="Times New Roman"/>
        </w:rPr>
        <w:t>.  </w:t>
      </w:r>
      <w:r w:rsidR="00174DA0" w:rsidRPr="00A9681B">
        <w:rPr>
          <w:rFonts w:ascii="Times New Roman" w:eastAsia="Times New Roman" w:hAnsi="Times New Roman" w:cs="Times New Roman"/>
        </w:rPr>
        <w:t>Furthermore, t</w:t>
      </w:r>
      <w:r w:rsidR="00145F90" w:rsidRPr="00A9681B">
        <w:rPr>
          <w:rFonts w:ascii="Times New Roman" w:eastAsia="Times New Roman" w:hAnsi="Times New Roman" w:cs="Times New Roman"/>
        </w:rPr>
        <w:t xml:space="preserve">he Court </w:t>
      </w:r>
      <w:r w:rsidR="00FA3A27" w:rsidRPr="00A9681B">
        <w:rPr>
          <w:rFonts w:ascii="Times New Roman" w:eastAsia="Times New Roman" w:hAnsi="Times New Roman" w:cs="Times New Roman"/>
        </w:rPr>
        <w:t>is</w:t>
      </w:r>
      <w:r w:rsidR="00145F90" w:rsidRPr="00A9681B">
        <w:rPr>
          <w:rFonts w:ascii="Times New Roman" w:eastAsia="Times New Roman" w:hAnsi="Times New Roman" w:cs="Times New Roman"/>
        </w:rPr>
        <w:t xml:space="preserve"> not persuaded </w:t>
      </w:r>
      <w:r w:rsidR="00E21769" w:rsidRPr="00A9681B">
        <w:rPr>
          <w:rFonts w:ascii="Times New Roman" w:eastAsia="Times New Roman" w:hAnsi="Times New Roman" w:cs="Times New Roman"/>
        </w:rPr>
        <w:t>by the Government</w:t>
      </w:r>
      <w:r w:rsidR="00A9681B" w:rsidRPr="00A9681B">
        <w:rPr>
          <w:rFonts w:ascii="Times New Roman" w:eastAsia="Times New Roman" w:hAnsi="Times New Roman" w:cs="Times New Roman"/>
        </w:rPr>
        <w:t>’</w:t>
      </w:r>
      <w:r w:rsidR="00E21769" w:rsidRPr="00A9681B">
        <w:rPr>
          <w:rFonts w:ascii="Times New Roman" w:eastAsia="Times New Roman" w:hAnsi="Times New Roman" w:cs="Times New Roman"/>
        </w:rPr>
        <w:t xml:space="preserve">s argument </w:t>
      </w:r>
      <w:r w:rsidR="00C90632" w:rsidRPr="00A9681B">
        <w:rPr>
          <w:rFonts w:ascii="Times New Roman" w:eastAsia="Times New Roman" w:hAnsi="Times New Roman" w:cs="Times New Roman"/>
        </w:rPr>
        <w:t>that</w:t>
      </w:r>
      <w:r w:rsidR="003022AA" w:rsidRPr="00A9681B">
        <w:rPr>
          <w:rFonts w:ascii="Times New Roman" w:eastAsia="Times New Roman" w:hAnsi="Times New Roman" w:cs="Times New Roman"/>
        </w:rPr>
        <w:t xml:space="preserve"> </w:t>
      </w:r>
      <w:r w:rsidR="00145F90" w:rsidRPr="00A9681B">
        <w:rPr>
          <w:rFonts w:ascii="Times New Roman" w:eastAsia="Times New Roman" w:hAnsi="Times New Roman" w:cs="Times New Roman"/>
        </w:rPr>
        <w:t xml:space="preserve">the New Regulations </w:t>
      </w:r>
      <w:r w:rsidR="00117186" w:rsidRPr="00A9681B">
        <w:rPr>
          <w:rFonts w:ascii="Times New Roman" w:eastAsia="Times New Roman" w:hAnsi="Times New Roman" w:cs="Times New Roman"/>
        </w:rPr>
        <w:t xml:space="preserve">did </w:t>
      </w:r>
      <w:r w:rsidR="00145F90" w:rsidRPr="00A9681B">
        <w:rPr>
          <w:rFonts w:ascii="Times New Roman" w:eastAsia="Times New Roman" w:hAnsi="Times New Roman" w:cs="Times New Roman"/>
        </w:rPr>
        <w:t xml:space="preserve">not monopolise schoolbook distribution </w:t>
      </w:r>
      <w:r w:rsidR="003D32B6" w:rsidRPr="00A9681B">
        <w:rPr>
          <w:rFonts w:ascii="Times New Roman" w:eastAsia="Times New Roman" w:hAnsi="Times New Roman" w:cs="Times New Roman"/>
        </w:rPr>
        <w:t>or</w:t>
      </w:r>
      <w:r w:rsidR="00145F90" w:rsidRPr="00A9681B">
        <w:rPr>
          <w:rFonts w:ascii="Times New Roman" w:eastAsia="Times New Roman" w:hAnsi="Times New Roman" w:cs="Times New Roman"/>
        </w:rPr>
        <w:t xml:space="preserve"> </w:t>
      </w:r>
      <w:r w:rsidR="00B842A6" w:rsidRPr="00A9681B">
        <w:rPr>
          <w:rFonts w:ascii="Times New Roman" w:eastAsia="Times New Roman" w:hAnsi="Times New Roman" w:cs="Times New Roman"/>
        </w:rPr>
        <w:t>give exclusive rights to a S</w:t>
      </w:r>
      <w:r w:rsidR="00145F90" w:rsidRPr="00A9681B">
        <w:rPr>
          <w:rFonts w:ascii="Times New Roman" w:eastAsia="Times New Roman" w:hAnsi="Times New Roman" w:cs="Times New Roman"/>
        </w:rPr>
        <w:t xml:space="preserve">tate-owned entity to </w:t>
      </w:r>
      <w:r w:rsidR="00FA3A27" w:rsidRPr="00A9681B">
        <w:rPr>
          <w:rFonts w:ascii="Times New Roman" w:eastAsia="Times New Roman" w:hAnsi="Times New Roman" w:cs="Times New Roman"/>
        </w:rPr>
        <w:t>perform</w:t>
      </w:r>
      <w:r w:rsidR="00145F90" w:rsidRPr="00A9681B">
        <w:rPr>
          <w:rFonts w:ascii="Times New Roman" w:eastAsia="Times New Roman" w:hAnsi="Times New Roman" w:cs="Times New Roman"/>
        </w:rPr>
        <w:t xml:space="preserve"> </w:t>
      </w:r>
      <w:r w:rsidR="00FA3A27" w:rsidRPr="00A9681B">
        <w:rPr>
          <w:rFonts w:ascii="Times New Roman" w:eastAsia="Times New Roman" w:hAnsi="Times New Roman" w:cs="Times New Roman"/>
        </w:rPr>
        <w:t>a business</w:t>
      </w:r>
      <w:r w:rsidR="00FE4562" w:rsidRPr="00A9681B">
        <w:rPr>
          <w:rFonts w:ascii="Times New Roman" w:eastAsia="Times New Roman" w:hAnsi="Times New Roman" w:cs="Times New Roman"/>
        </w:rPr>
        <w:t xml:space="preserve"> </w:t>
      </w:r>
      <w:r w:rsidR="00145F90" w:rsidRPr="00A9681B">
        <w:rPr>
          <w:rFonts w:ascii="Times New Roman" w:eastAsia="Times New Roman" w:hAnsi="Times New Roman" w:cs="Times New Roman"/>
        </w:rPr>
        <w:t xml:space="preserve">activity </w:t>
      </w:r>
      <w:r w:rsidR="00FA3A27" w:rsidRPr="00A9681B">
        <w:rPr>
          <w:rFonts w:ascii="Times New Roman" w:eastAsia="Times New Roman" w:hAnsi="Times New Roman" w:cs="Times New Roman"/>
        </w:rPr>
        <w:t xml:space="preserve">previously </w:t>
      </w:r>
      <w:r w:rsidR="00C90632" w:rsidRPr="00A9681B">
        <w:rPr>
          <w:rFonts w:ascii="Times New Roman" w:eastAsia="Times New Roman" w:hAnsi="Times New Roman" w:cs="Times New Roman"/>
        </w:rPr>
        <w:t xml:space="preserve">carried out </w:t>
      </w:r>
      <w:r w:rsidR="00FA3A27" w:rsidRPr="00A9681B">
        <w:rPr>
          <w:rFonts w:ascii="Times New Roman" w:eastAsia="Times New Roman" w:hAnsi="Times New Roman" w:cs="Times New Roman"/>
        </w:rPr>
        <w:t xml:space="preserve">by </w:t>
      </w:r>
      <w:r w:rsidR="00145F90" w:rsidRPr="00A9681B">
        <w:rPr>
          <w:rFonts w:ascii="Times New Roman" w:eastAsia="Times New Roman" w:hAnsi="Times New Roman" w:cs="Times New Roman"/>
        </w:rPr>
        <w:t>the applicant</w:t>
      </w:r>
      <w:r w:rsidR="0037758D" w:rsidRPr="00A9681B">
        <w:rPr>
          <w:rFonts w:ascii="Times New Roman" w:eastAsia="Times New Roman" w:hAnsi="Times New Roman" w:cs="Times New Roman"/>
        </w:rPr>
        <w:t xml:space="preserve"> </w:t>
      </w:r>
      <w:r w:rsidR="0037758D" w:rsidRPr="00A9681B">
        <w:rPr>
          <w:rFonts w:eastAsia="Times New Roman"/>
          <w:lang w:eastAsia="fr-FR"/>
        </w:rPr>
        <w:t>companies</w:t>
      </w:r>
      <w:r w:rsidR="00145F90" w:rsidRPr="00A9681B">
        <w:rPr>
          <w:rFonts w:ascii="Times New Roman" w:eastAsia="Times New Roman" w:hAnsi="Times New Roman" w:cs="Times New Roman"/>
        </w:rPr>
        <w:t>. On the contrary,</w:t>
      </w:r>
      <w:r w:rsidR="00117186" w:rsidRPr="00A9681B">
        <w:rPr>
          <w:rFonts w:ascii="Times New Roman" w:eastAsia="Times New Roman" w:hAnsi="Times New Roman" w:cs="Times New Roman"/>
        </w:rPr>
        <w:t xml:space="preserve"> in terms of market reality, </w:t>
      </w:r>
      <w:r w:rsidR="00145F90" w:rsidRPr="00A9681B">
        <w:rPr>
          <w:rFonts w:ascii="Times New Roman" w:eastAsia="Times New Roman" w:hAnsi="Times New Roman" w:cs="Times New Roman"/>
        </w:rPr>
        <w:t xml:space="preserve">the Court </w:t>
      </w:r>
      <w:r w:rsidR="00FA3A27" w:rsidRPr="00A9681B">
        <w:rPr>
          <w:rFonts w:ascii="Times New Roman" w:eastAsia="Times New Roman" w:hAnsi="Times New Roman" w:cs="Times New Roman"/>
        </w:rPr>
        <w:t>considers</w:t>
      </w:r>
      <w:r w:rsidR="00145F90" w:rsidRPr="00A9681B">
        <w:rPr>
          <w:rFonts w:ascii="Times New Roman" w:eastAsia="Times New Roman" w:hAnsi="Times New Roman" w:cs="Times New Roman"/>
        </w:rPr>
        <w:t xml:space="preserve"> that the State, through the New Regulations</w:t>
      </w:r>
      <w:r w:rsidR="00117186" w:rsidRPr="00A9681B">
        <w:rPr>
          <w:rFonts w:ascii="Times New Roman" w:eastAsia="Times New Roman" w:hAnsi="Times New Roman" w:cs="Times New Roman"/>
        </w:rPr>
        <w:t xml:space="preserve">, </w:t>
      </w:r>
      <w:r w:rsidR="00FA3A27" w:rsidRPr="00A9681B">
        <w:rPr>
          <w:rFonts w:ascii="Times New Roman" w:eastAsia="Times New Roman" w:hAnsi="Times New Roman" w:cs="Times New Roman"/>
        </w:rPr>
        <w:t xml:space="preserve">stopped </w:t>
      </w:r>
      <w:r w:rsidR="00145F90" w:rsidRPr="00A9681B">
        <w:rPr>
          <w:rFonts w:ascii="Times New Roman" w:eastAsia="Times New Roman" w:hAnsi="Times New Roman" w:cs="Times New Roman"/>
        </w:rPr>
        <w:t>the applicant</w:t>
      </w:r>
      <w:r w:rsidR="0037758D" w:rsidRPr="00A9681B">
        <w:rPr>
          <w:rFonts w:ascii="Times New Roman" w:eastAsia="Times New Roman" w:hAnsi="Times New Roman" w:cs="Times New Roman"/>
        </w:rPr>
        <w:t xml:space="preserve"> </w:t>
      </w:r>
      <w:r w:rsidR="0037758D" w:rsidRPr="00A9681B">
        <w:rPr>
          <w:rFonts w:eastAsia="Times New Roman"/>
          <w:lang w:eastAsia="fr-FR"/>
        </w:rPr>
        <w:t>companies</w:t>
      </w:r>
      <w:r w:rsidR="00145F90" w:rsidRPr="00A9681B">
        <w:rPr>
          <w:rFonts w:ascii="Times New Roman" w:eastAsia="Times New Roman" w:hAnsi="Times New Roman" w:cs="Times New Roman"/>
        </w:rPr>
        <w:t xml:space="preserve"> </w:t>
      </w:r>
      <w:r w:rsidR="00FA3A27" w:rsidRPr="00A9681B">
        <w:rPr>
          <w:rFonts w:ascii="Times New Roman" w:eastAsia="Times New Roman" w:hAnsi="Times New Roman" w:cs="Times New Roman"/>
        </w:rPr>
        <w:t xml:space="preserve">from </w:t>
      </w:r>
      <w:r w:rsidR="00145F90" w:rsidRPr="00A9681B">
        <w:rPr>
          <w:rFonts w:ascii="Times New Roman" w:eastAsia="Times New Roman" w:hAnsi="Times New Roman" w:cs="Times New Roman"/>
        </w:rPr>
        <w:t>con</w:t>
      </w:r>
      <w:r w:rsidR="00FA3A27" w:rsidRPr="00A9681B">
        <w:rPr>
          <w:rFonts w:ascii="Times New Roman" w:eastAsia="Times New Roman" w:hAnsi="Times New Roman" w:cs="Times New Roman"/>
        </w:rPr>
        <w:t>tinuing</w:t>
      </w:r>
      <w:r w:rsidR="00145F90" w:rsidRPr="00A9681B">
        <w:rPr>
          <w:rFonts w:ascii="Times New Roman" w:eastAsia="Times New Roman" w:hAnsi="Times New Roman" w:cs="Times New Roman"/>
        </w:rPr>
        <w:t xml:space="preserve"> their business operation</w:t>
      </w:r>
      <w:r w:rsidR="00FA3A27" w:rsidRPr="00A9681B">
        <w:rPr>
          <w:rFonts w:ascii="Times New Roman" w:eastAsia="Times New Roman" w:hAnsi="Times New Roman" w:cs="Times New Roman"/>
        </w:rPr>
        <w:t>s</w:t>
      </w:r>
      <w:r w:rsidR="003254AB" w:rsidRPr="00A9681B">
        <w:rPr>
          <w:rFonts w:ascii="Times New Roman" w:eastAsia="Times New Roman" w:hAnsi="Times New Roman" w:cs="Times New Roman"/>
        </w:rPr>
        <w:t xml:space="preserve"> and in fact created a monopolised market in schoolbook distribution. </w:t>
      </w:r>
      <w:r w:rsidR="00FE4CCB" w:rsidRPr="00A9681B">
        <w:rPr>
          <w:rFonts w:ascii="Times New Roman" w:eastAsia="Times New Roman" w:hAnsi="Times New Roman" w:cs="Times New Roman"/>
        </w:rPr>
        <w:t xml:space="preserve">The </w:t>
      </w:r>
      <w:r w:rsidR="00B842A6" w:rsidRPr="00A9681B">
        <w:rPr>
          <w:rFonts w:ascii="Times New Roman" w:eastAsia="Times New Roman" w:hAnsi="Times New Roman" w:cs="Times New Roman"/>
        </w:rPr>
        <w:t xml:space="preserve">monopolised nature of the market </w:t>
      </w:r>
      <w:r w:rsidR="003254AB" w:rsidRPr="00A9681B">
        <w:rPr>
          <w:rFonts w:ascii="Times New Roman" w:eastAsia="Times New Roman" w:hAnsi="Times New Roman" w:cs="Times New Roman"/>
        </w:rPr>
        <w:t xml:space="preserve">was confirmed and strengthened by the </w:t>
      </w:r>
      <w:r w:rsidR="00FA3A27" w:rsidRPr="00A9681B">
        <w:rPr>
          <w:rFonts w:ascii="Times New Roman" w:eastAsia="Times New Roman" w:hAnsi="Times New Roman" w:cs="Times New Roman"/>
        </w:rPr>
        <w:t>subsequent</w:t>
      </w:r>
      <w:r w:rsidR="003254AB" w:rsidRPr="00A9681B">
        <w:rPr>
          <w:rFonts w:ascii="Times New Roman" w:eastAsia="Times New Roman" w:hAnsi="Times New Roman" w:cs="Times New Roman"/>
        </w:rPr>
        <w:t xml:space="preserve"> legislation (</w:t>
      </w:r>
      <w:r w:rsidR="00FA3A27" w:rsidRPr="00A9681B">
        <w:rPr>
          <w:rFonts w:ascii="Times New Roman" w:eastAsia="Times New Roman" w:hAnsi="Times New Roman" w:cs="Times New Roman"/>
        </w:rPr>
        <w:t xml:space="preserve">see </w:t>
      </w:r>
      <w:r w:rsidR="003254AB" w:rsidRPr="00A9681B">
        <w:rPr>
          <w:rFonts w:ascii="Times New Roman" w:eastAsia="Times New Roman" w:hAnsi="Times New Roman" w:cs="Times New Roman"/>
          <w:lang w:eastAsia="fr-FR"/>
        </w:rPr>
        <w:t>Act no.</w:t>
      </w:r>
      <w:r w:rsidR="00C45CF3" w:rsidRPr="00A9681B">
        <w:rPr>
          <w:rFonts w:ascii="Times New Roman" w:eastAsia="Times New Roman" w:hAnsi="Times New Roman" w:cs="Times New Roman"/>
          <w:lang w:eastAsia="fr-FR"/>
        </w:rPr>
        <w:t> </w:t>
      </w:r>
      <w:r w:rsidR="003254AB" w:rsidRPr="00A9681B">
        <w:rPr>
          <w:rFonts w:ascii="Times New Roman" w:eastAsia="Times New Roman" w:hAnsi="Times New Roman" w:cs="Times New Roman"/>
          <w:lang w:eastAsia="fr-FR"/>
        </w:rPr>
        <w:t xml:space="preserve">CCXXXII of 2013 on Schoolbook Supply </w:t>
      </w:r>
      <w:r w:rsidR="00FE429A" w:rsidRPr="00A9681B">
        <w:rPr>
          <w:rFonts w:ascii="Times New Roman" w:eastAsia="Times New Roman" w:hAnsi="Times New Roman" w:cs="Times New Roman"/>
          <w:lang w:eastAsia="fr-FR"/>
        </w:rPr>
        <w:t xml:space="preserve">in </w:t>
      </w:r>
      <w:r w:rsidR="003254AB" w:rsidRPr="00A9681B">
        <w:rPr>
          <w:rFonts w:ascii="Times New Roman" w:eastAsia="Times New Roman" w:hAnsi="Times New Roman" w:cs="Times New Roman"/>
          <w:lang w:eastAsia="fr-FR"/>
        </w:rPr>
        <w:t>the National Public Education</w:t>
      </w:r>
      <w:r w:rsidR="00FE429A" w:rsidRPr="00A9681B">
        <w:rPr>
          <w:rFonts w:ascii="Times New Roman" w:eastAsia="Times New Roman" w:hAnsi="Times New Roman" w:cs="Times New Roman"/>
          <w:lang w:eastAsia="fr-FR"/>
        </w:rPr>
        <w:t xml:space="preserve"> System</w:t>
      </w:r>
      <w:r w:rsidR="00FA3A27" w:rsidRPr="00A9681B">
        <w:rPr>
          <w:rFonts w:ascii="Times New Roman" w:eastAsia="Times New Roman" w:hAnsi="Times New Roman" w:cs="Times New Roman"/>
          <w:lang w:eastAsia="fr-FR"/>
        </w:rPr>
        <w:t xml:space="preserve">, </w:t>
      </w:r>
      <w:r w:rsidR="00931F98" w:rsidRPr="00A9681B">
        <w:rPr>
          <w:rFonts w:ascii="Times New Roman" w:eastAsia="Times New Roman" w:hAnsi="Times New Roman" w:cs="Times New Roman"/>
          <w:lang w:eastAsia="fr-FR"/>
        </w:rPr>
        <w:t xml:space="preserve">cited </w:t>
      </w:r>
      <w:r w:rsidR="00FA3A27" w:rsidRPr="00A9681B">
        <w:rPr>
          <w:rFonts w:ascii="Times New Roman" w:eastAsia="Times New Roman" w:hAnsi="Times New Roman" w:cs="Times New Roman"/>
          <w:lang w:eastAsia="fr-FR"/>
        </w:rPr>
        <w:t xml:space="preserve">in </w:t>
      </w:r>
      <w:r w:rsidR="00C74E74" w:rsidRPr="00A9681B">
        <w:rPr>
          <w:rFonts w:ascii="Times New Roman" w:eastAsia="Times New Roman" w:hAnsi="Times New Roman" w:cs="Times New Roman"/>
          <w:lang w:eastAsia="fr-FR"/>
        </w:rPr>
        <w:t xml:space="preserve">paragraph </w:t>
      </w:r>
      <w:r w:rsidR="00682AC5" w:rsidRPr="00A9681B">
        <w:rPr>
          <w:rFonts w:ascii="Times New Roman" w:eastAsia="Times New Roman" w:hAnsi="Times New Roman" w:cs="Times New Roman"/>
          <w:lang w:eastAsia="fr-FR"/>
        </w:rPr>
        <w:fldChar w:fldCharType="begin"/>
      </w:r>
      <w:r w:rsidR="00682AC5" w:rsidRPr="00A9681B">
        <w:rPr>
          <w:rFonts w:ascii="Times New Roman" w:eastAsia="Times New Roman" w:hAnsi="Times New Roman" w:cs="Times New Roman"/>
          <w:lang w:eastAsia="fr-FR"/>
        </w:rPr>
        <w:instrText xml:space="preserve"> REF T5 \h </w:instrText>
      </w:r>
      <w:r w:rsidR="00E06CE1" w:rsidRPr="00A9681B">
        <w:rPr>
          <w:rFonts w:ascii="Times New Roman" w:eastAsia="Times New Roman" w:hAnsi="Times New Roman" w:cs="Times New Roman"/>
          <w:lang w:eastAsia="fr-FR"/>
        </w:rPr>
        <w:instrText xml:space="preserve"> \* MERGEFORMAT </w:instrText>
      </w:r>
      <w:r w:rsidR="00682AC5" w:rsidRPr="00A9681B">
        <w:rPr>
          <w:rFonts w:ascii="Times New Roman" w:eastAsia="Times New Roman" w:hAnsi="Times New Roman" w:cs="Times New Roman"/>
          <w:lang w:eastAsia="fr-FR"/>
        </w:rPr>
      </w:r>
      <w:r w:rsidR="00682AC5" w:rsidRPr="00A9681B">
        <w:rPr>
          <w:rFonts w:ascii="Times New Roman" w:eastAsia="Times New Roman" w:hAnsi="Times New Roman" w:cs="Times New Roman"/>
          <w:lang w:eastAsia="fr-FR"/>
        </w:rPr>
        <w:fldChar w:fldCharType="separate"/>
      </w:r>
      <w:r w:rsidR="00A9681B" w:rsidRPr="00A9681B">
        <w:rPr>
          <w:rFonts w:ascii="Times New Roman" w:eastAsia="Times New Roman" w:hAnsi="Times New Roman" w:cs="Times New Roman"/>
          <w:noProof/>
          <w:lang w:eastAsia="fr-FR"/>
        </w:rPr>
        <w:t>19</w:t>
      </w:r>
      <w:r w:rsidR="00682AC5" w:rsidRPr="00A9681B">
        <w:rPr>
          <w:rFonts w:ascii="Times New Roman" w:eastAsia="Times New Roman" w:hAnsi="Times New Roman" w:cs="Times New Roman"/>
          <w:lang w:eastAsia="fr-FR"/>
        </w:rPr>
        <w:fldChar w:fldCharType="end"/>
      </w:r>
      <w:r w:rsidR="00FA3A27" w:rsidRPr="00A9681B">
        <w:rPr>
          <w:rFonts w:ascii="Times New Roman" w:eastAsia="Times New Roman" w:hAnsi="Times New Roman" w:cs="Times New Roman"/>
          <w:lang w:eastAsia="fr-FR"/>
        </w:rPr>
        <w:t xml:space="preserve"> above</w:t>
      </w:r>
      <w:r w:rsidR="003254AB" w:rsidRPr="00A9681B">
        <w:rPr>
          <w:rFonts w:ascii="Times New Roman" w:eastAsia="Times New Roman" w:hAnsi="Times New Roman" w:cs="Times New Roman"/>
          <w:lang w:eastAsia="fr-FR"/>
        </w:rPr>
        <w:t>)</w:t>
      </w:r>
      <w:r w:rsidR="00145F90" w:rsidRPr="00A9681B">
        <w:rPr>
          <w:rFonts w:ascii="Times New Roman" w:eastAsia="Times New Roman" w:hAnsi="Times New Roman" w:cs="Times New Roman"/>
        </w:rPr>
        <w:t>.</w:t>
      </w:r>
      <w:r w:rsidR="00FA3A27" w:rsidRPr="00A9681B">
        <w:t xml:space="preserve"> The Court observes</w:t>
      </w:r>
      <w:r w:rsidR="00014566" w:rsidRPr="00A9681B">
        <w:t xml:space="preserve"> </w:t>
      </w:r>
      <w:r w:rsidR="00877698" w:rsidRPr="00A9681B">
        <w:rPr>
          <w:rFonts w:ascii="Times New Roman" w:eastAsia="Times New Roman" w:hAnsi="Times New Roman" w:cs="Times New Roman"/>
        </w:rPr>
        <w:t>that</w:t>
      </w:r>
      <w:r w:rsidR="00FE4CCB" w:rsidRPr="00A9681B">
        <w:rPr>
          <w:rFonts w:ascii="Times New Roman" w:eastAsia="Times New Roman" w:hAnsi="Times New Roman" w:cs="Times New Roman"/>
        </w:rPr>
        <w:t>,</w:t>
      </w:r>
      <w:r w:rsidR="00877698" w:rsidRPr="00A9681B">
        <w:rPr>
          <w:rFonts w:ascii="Times New Roman" w:eastAsia="Times New Roman" w:hAnsi="Times New Roman" w:cs="Times New Roman"/>
        </w:rPr>
        <w:t xml:space="preserve"> </w:t>
      </w:r>
      <w:r w:rsidR="00FA3A27" w:rsidRPr="00A9681B">
        <w:rPr>
          <w:rFonts w:ascii="Times New Roman" w:eastAsia="Times New Roman" w:hAnsi="Times New Roman" w:cs="Times New Roman"/>
          <w:snapToGrid w:val="0"/>
          <w:szCs w:val="24"/>
        </w:rPr>
        <w:t>al</w:t>
      </w:r>
      <w:r w:rsidR="00877698" w:rsidRPr="00A9681B">
        <w:rPr>
          <w:rFonts w:ascii="Times New Roman" w:eastAsia="Times New Roman" w:hAnsi="Times New Roman" w:cs="Times New Roman"/>
          <w:snapToGrid w:val="0"/>
          <w:szCs w:val="24"/>
        </w:rPr>
        <w:t xml:space="preserve">though </w:t>
      </w:r>
      <w:r w:rsidR="00FA3A27" w:rsidRPr="00A9681B">
        <w:rPr>
          <w:rFonts w:ascii="Times New Roman" w:eastAsia="Times New Roman" w:hAnsi="Times New Roman" w:cs="Times New Roman"/>
          <w:snapToGrid w:val="0"/>
          <w:szCs w:val="24"/>
        </w:rPr>
        <w:t xml:space="preserve">there </w:t>
      </w:r>
      <w:r w:rsidR="00FE4CCB" w:rsidRPr="00A9681B">
        <w:rPr>
          <w:rFonts w:ascii="Times New Roman" w:eastAsia="Times New Roman" w:hAnsi="Times New Roman" w:cs="Times New Roman"/>
          <w:snapToGrid w:val="0"/>
          <w:szCs w:val="24"/>
        </w:rPr>
        <w:t xml:space="preserve">was </w:t>
      </w:r>
      <w:r w:rsidR="00FA3A27" w:rsidRPr="00A9681B">
        <w:rPr>
          <w:rFonts w:ascii="Times New Roman" w:eastAsia="Times New Roman" w:hAnsi="Times New Roman" w:cs="Times New Roman"/>
          <w:snapToGrid w:val="0"/>
          <w:szCs w:val="24"/>
        </w:rPr>
        <w:t xml:space="preserve">no formal withdrawal of a licence (compare and contrast </w:t>
      </w:r>
      <w:r w:rsidR="00B579BC" w:rsidRPr="00A9681B">
        <w:rPr>
          <w:rFonts w:ascii="Times New Roman" w:eastAsia="Times New Roman" w:hAnsi="Times New Roman" w:cs="Times New Roman"/>
          <w:i/>
          <w:lang w:eastAsia="fr-FR"/>
        </w:rPr>
        <w:t>Tre Traktörer</w:t>
      </w:r>
      <w:r w:rsidR="00741FF4" w:rsidRPr="00A9681B">
        <w:rPr>
          <w:rFonts w:ascii="Times New Roman" w:eastAsia="Times New Roman" w:hAnsi="Times New Roman" w:cs="Times New Roman"/>
          <w:i/>
          <w:lang w:eastAsia="fr-FR"/>
        </w:rPr>
        <w:t xml:space="preserve"> AB</w:t>
      </w:r>
      <w:r w:rsidR="00B579BC" w:rsidRPr="00A9681B">
        <w:rPr>
          <w:rFonts w:ascii="Times New Roman" w:eastAsia="Times New Roman" w:hAnsi="Times New Roman" w:cs="Times New Roman"/>
          <w:lang w:eastAsia="fr-FR"/>
        </w:rPr>
        <w:t>, cited above, § 53</w:t>
      </w:r>
      <w:r w:rsidR="00FE4CCB" w:rsidRPr="00A9681B">
        <w:rPr>
          <w:rFonts w:ascii="Times New Roman" w:eastAsia="Times New Roman" w:hAnsi="Times New Roman" w:cs="Times New Roman"/>
          <w:lang w:eastAsia="fr-FR"/>
        </w:rPr>
        <w:t>,</w:t>
      </w:r>
      <w:r w:rsidR="00B579BC" w:rsidRPr="00A9681B">
        <w:rPr>
          <w:rFonts w:ascii="Times New Roman" w:eastAsia="Times New Roman" w:hAnsi="Times New Roman" w:cs="Times New Roman"/>
          <w:lang w:eastAsia="fr-FR"/>
        </w:rPr>
        <w:t xml:space="preserve"> and </w:t>
      </w:r>
      <w:r w:rsidR="00FA3A27" w:rsidRPr="00A9681B">
        <w:rPr>
          <w:rFonts w:ascii="Times New Roman" w:eastAsia="Times New Roman" w:hAnsi="Times New Roman" w:cs="Times New Roman"/>
          <w:i/>
          <w:snapToGrid w:val="0"/>
          <w:szCs w:val="24"/>
        </w:rPr>
        <w:t>Vékony</w:t>
      </w:r>
      <w:r w:rsidR="00B579BC" w:rsidRPr="00A9681B">
        <w:rPr>
          <w:rFonts w:ascii="Times New Roman" w:eastAsia="Times New Roman" w:hAnsi="Times New Roman" w:cs="Times New Roman"/>
          <w:snapToGrid w:val="0"/>
          <w:szCs w:val="24"/>
        </w:rPr>
        <w:t>, cited above,</w:t>
      </w:r>
      <w:r w:rsidR="00C90632" w:rsidRPr="00A9681B">
        <w:rPr>
          <w:rFonts w:ascii="Times New Roman" w:eastAsia="Times New Roman" w:hAnsi="Times New Roman" w:cs="Times New Roman"/>
          <w:snapToGrid w:val="0"/>
          <w:szCs w:val="24"/>
        </w:rPr>
        <w:t xml:space="preserve"> </w:t>
      </w:r>
      <w:r w:rsidR="00C90632" w:rsidRPr="00A9681B">
        <w:rPr>
          <w:rFonts w:ascii="Times New Roman" w:eastAsia="Times New Roman" w:hAnsi="Times New Roman" w:cs="Times New Roman"/>
          <w:lang w:eastAsia="fr-FR"/>
        </w:rPr>
        <w:t>§</w:t>
      </w:r>
      <w:r w:rsidR="00B579BC" w:rsidRPr="00A9681B">
        <w:rPr>
          <w:rFonts w:ascii="Times New Roman" w:eastAsia="Times New Roman" w:hAnsi="Times New Roman" w:cs="Times New Roman"/>
          <w:snapToGrid w:val="0"/>
          <w:szCs w:val="24"/>
        </w:rPr>
        <w:t xml:space="preserve"> 29</w:t>
      </w:r>
      <w:r w:rsidR="00FA3A27" w:rsidRPr="00A9681B">
        <w:rPr>
          <w:rFonts w:ascii="Times New Roman" w:eastAsia="Times New Roman" w:hAnsi="Times New Roman" w:cs="Times New Roman"/>
          <w:snapToGrid w:val="0"/>
          <w:szCs w:val="24"/>
        </w:rPr>
        <w:t>)</w:t>
      </w:r>
      <w:r w:rsidR="00877698" w:rsidRPr="00A9681B">
        <w:rPr>
          <w:rFonts w:ascii="Times New Roman" w:eastAsia="Times New Roman" w:hAnsi="Times New Roman" w:cs="Times New Roman"/>
          <w:snapToGrid w:val="0"/>
          <w:szCs w:val="24"/>
        </w:rPr>
        <w:t xml:space="preserve">, the New Regulations introduced a system </w:t>
      </w:r>
      <w:r w:rsidR="00877698" w:rsidRPr="00A9681B">
        <w:rPr>
          <w:rFonts w:ascii="Times New Roman" w:eastAsia="Times New Roman" w:hAnsi="Times New Roman" w:cs="Times New Roman"/>
        </w:rPr>
        <w:t>of schoolbook procurement where</w:t>
      </w:r>
      <w:r w:rsidR="00FA3A27" w:rsidRPr="00A9681B">
        <w:rPr>
          <w:rFonts w:ascii="Times New Roman" w:eastAsia="Times New Roman" w:hAnsi="Times New Roman" w:cs="Times New Roman"/>
        </w:rPr>
        <w:t>, inevitably,</w:t>
      </w:r>
      <w:r w:rsidR="00877698" w:rsidRPr="00A9681B">
        <w:rPr>
          <w:rFonts w:ascii="Times New Roman" w:eastAsia="Times New Roman" w:hAnsi="Times New Roman" w:cs="Times New Roman"/>
        </w:rPr>
        <w:t xml:space="preserve"> the applicant</w:t>
      </w:r>
      <w:r w:rsidR="0037758D" w:rsidRPr="00A9681B">
        <w:rPr>
          <w:rFonts w:ascii="Times New Roman" w:eastAsia="Times New Roman" w:hAnsi="Times New Roman" w:cs="Times New Roman"/>
        </w:rPr>
        <w:t xml:space="preserve"> </w:t>
      </w:r>
      <w:r w:rsidR="0037758D" w:rsidRPr="00A9681B">
        <w:rPr>
          <w:rFonts w:eastAsia="Times New Roman"/>
          <w:lang w:eastAsia="fr-FR"/>
        </w:rPr>
        <w:t>companies</w:t>
      </w:r>
      <w:r w:rsidR="00A9681B" w:rsidRPr="00A9681B">
        <w:rPr>
          <w:rFonts w:eastAsia="Times New Roman"/>
          <w:lang w:eastAsia="fr-FR"/>
        </w:rPr>
        <w:t>’</w:t>
      </w:r>
      <w:r w:rsidR="00877698" w:rsidRPr="00A9681B">
        <w:rPr>
          <w:rFonts w:ascii="Times New Roman" w:eastAsia="Times New Roman" w:hAnsi="Times New Roman" w:cs="Times New Roman"/>
        </w:rPr>
        <w:t xml:space="preserve"> entire clientele </w:t>
      </w:r>
      <w:r w:rsidR="005E5E10" w:rsidRPr="00A9681B">
        <w:rPr>
          <w:rFonts w:ascii="Times New Roman" w:eastAsia="Times New Roman" w:hAnsi="Times New Roman" w:cs="Times New Roman"/>
        </w:rPr>
        <w:t>was taken over by</w:t>
      </w:r>
      <w:r w:rsidR="00877698" w:rsidRPr="00A9681B">
        <w:rPr>
          <w:rFonts w:ascii="Times New Roman" w:eastAsia="Times New Roman" w:hAnsi="Times New Roman" w:cs="Times New Roman"/>
        </w:rPr>
        <w:t xml:space="preserve"> the State-owned Könyvtárellátó.</w:t>
      </w:r>
      <w:r w:rsidR="003254AB" w:rsidRPr="00A9681B">
        <w:rPr>
          <w:rFonts w:ascii="Times New Roman" w:eastAsia="Times New Roman" w:hAnsi="Times New Roman" w:cs="Times New Roman"/>
        </w:rPr>
        <w:t xml:space="preserve"> As of the </w:t>
      </w:r>
      <w:r w:rsidR="00FE4CCB" w:rsidRPr="00A9681B">
        <w:rPr>
          <w:rFonts w:ascii="Times New Roman" w:eastAsia="Times New Roman" w:hAnsi="Times New Roman" w:cs="Times New Roman"/>
        </w:rPr>
        <w:t xml:space="preserve">2013/14 </w:t>
      </w:r>
      <w:r w:rsidR="003254AB" w:rsidRPr="00A9681B">
        <w:rPr>
          <w:rFonts w:ascii="Times New Roman" w:eastAsia="Times New Roman" w:hAnsi="Times New Roman" w:cs="Times New Roman"/>
        </w:rPr>
        <w:t>school year</w:t>
      </w:r>
      <w:r w:rsidR="005E5E10" w:rsidRPr="00A9681B">
        <w:rPr>
          <w:rFonts w:ascii="Times New Roman" w:eastAsia="Times New Roman" w:hAnsi="Times New Roman" w:cs="Times New Roman"/>
        </w:rPr>
        <w:t>,</w:t>
      </w:r>
      <w:r w:rsidR="003254AB" w:rsidRPr="00A9681B">
        <w:rPr>
          <w:rFonts w:ascii="Times New Roman" w:eastAsia="Times New Roman" w:hAnsi="Times New Roman" w:cs="Times New Roman"/>
        </w:rPr>
        <w:t xml:space="preserve"> the applicant</w:t>
      </w:r>
      <w:r w:rsidR="0037758D" w:rsidRPr="00A9681B">
        <w:rPr>
          <w:rFonts w:ascii="Times New Roman" w:eastAsia="Times New Roman" w:hAnsi="Times New Roman" w:cs="Times New Roman"/>
        </w:rPr>
        <w:t xml:space="preserve"> </w:t>
      </w:r>
      <w:r w:rsidR="0037758D" w:rsidRPr="00A9681B">
        <w:rPr>
          <w:rFonts w:eastAsia="Times New Roman"/>
          <w:lang w:eastAsia="fr-FR"/>
        </w:rPr>
        <w:lastRenderedPageBreak/>
        <w:t>companies</w:t>
      </w:r>
      <w:r w:rsidR="003254AB" w:rsidRPr="00A9681B">
        <w:rPr>
          <w:rFonts w:ascii="Times New Roman" w:eastAsia="Times New Roman" w:hAnsi="Times New Roman" w:cs="Times New Roman"/>
        </w:rPr>
        <w:t xml:space="preserve"> were </w:t>
      </w:r>
      <w:r w:rsidR="003B21B7" w:rsidRPr="00A9681B">
        <w:t>practically</w:t>
      </w:r>
      <w:r w:rsidR="003D32B6" w:rsidRPr="00A9681B">
        <w:rPr>
          <w:rFonts w:ascii="Times New Roman" w:eastAsia="Times New Roman" w:hAnsi="Times New Roman" w:cs="Times New Roman"/>
        </w:rPr>
        <w:t xml:space="preserve"> </w:t>
      </w:r>
      <w:r w:rsidR="003254AB" w:rsidRPr="00A9681B">
        <w:rPr>
          <w:rFonts w:ascii="Times New Roman" w:eastAsia="Times New Roman" w:hAnsi="Times New Roman" w:cs="Times New Roman"/>
        </w:rPr>
        <w:t xml:space="preserve">excluded from </w:t>
      </w:r>
      <w:r w:rsidR="00AC6239" w:rsidRPr="00A9681B">
        <w:rPr>
          <w:rFonts w:ascii="Times New Roman" w:eastAsia="Times New Roman" w:hAnsi="Times New Roman" w:cs="Times New Roman"/>
        </w:rPr>
        <w:t>schoolbook distribution</w:t>
      </w:r>
      <w:r w:rsidR="003254AB" w:rsidRPr="00A9681B">
        <w:rPr>
          <w:rFonts w:ascii="Times New Roman" w:eastAsia="Times New Roman" w:hAnsi="Times New Roman" w:cs="Times New Roman"/>
        </w:rPr>
        <w:t xml:space="preserve"> contracts</w:t>
      </w:r>
      <w:r w:rsidR="00AC6239" w:rsidRPr="00A9681B">
        <w:rPr>
          <w:rFonts w:ascii="Times New Roman" w:eastAsia="Times New Roman" w:hAnsi="Times New Roman" w:cs="Times New Roman"/>
        </w:rPr>
        <w:t>.</w:t>
      </w:r>
    </w:p>
    <w:p w:rsidR="00C35B83" w:rsidRPr="00A9681B" w:rsidRDefault="00E21769" w:rsidP="00A9681B">
      <w:pPr>
        <w:pStyle w:val="ECHRPara"/>
        <w:rPr>
          <w:rFonts w:ascii="Times New Roman" w:eastAsia="Times New Roman" w:hAnsi="Times New Roman" w:cs="Times New Roman"/>
        </w:rPr>
      </w:pPr>
      <w:r w:rsidRPr="00A9681B">
        <w:t xml:space="preserve">All these observations </w:t>
      </w:r>
      <w:r w:rsidR="00C90632" w:rsidRPr="00A9681B">
        <w:t xml:space="preserve">prompt </w:t>
      </w:r>
      <w:r w:rsidRPr="00A9681B">
        <w:t xml:space="preserve">the conclusion that </w:t>
      </w:r>
      <w:r w:rsidR="003B21B7" w:rsidRPr="00A9681B">
        <w:t xml:space="preserve">in practice </w:t>
      </w:r>
      <w:r w:rsidRPr="00A9681B">
        <w:t xml:space="preserve">the applicant </w:t>
      </w:r>
      <w:r w:rsidRPr="00A9681B">
        <w:rPr>
          <w:rFonts w:eastAsia="Times New Roman"/>
          <w:lang w:eastAsia="fr-FR"/>
        </w:rPr>
        <w:t>companies</w:t>
      </w:r>
      <w:r w:rsidR="00A9681B" w:rsidRPr="00A9681B">
        <w:rPr>
          <w:rFonts w:eastAsia="Times New Roman"/>
          <w:lang w:eastAsia="fr-FR"/>
        </w:rPr>
        <w:t>’</w:t>
      </w:r>
      <w:r w:rsidRPr="00A9681B">
        <w:t xml:space="preserve"> business </w:t>
      </w:r>
      <w:r w:rsidR="0091342C" w:rsidRPr="00A9681B">
        <w:t>could not be continued</w:t>
      </w:r>
      <w:r w:rsidRPr="00A9681B">
        <w:t>.</w:t>
      </w:r>
    </w:p>
    <w:p w:rsidR="00766713" w:rsidRPr="00A9681B" w:rsidRDefault="00F624F4" w:rsidP="00A9681B">
      <w:pPr>
        <w:pStyle w:val="ECHRPara"/>
      </w:pPr>
      <w:r w:rsidRPr="00A9681B">
        <w:rPr>
          <w:rFonts w:ascii="Times New Roman" w:eastAsia="Times New Roman" w:hAnsi="Times New Roman" w:cs="Times New Roman"/>
        </w:rPr>
        <w:fldChar w:fldCharType="begin"/>
      </w:r>
      <w:r w:rsidRPr="00A9681B">
        <w:rPr>
          <w:rFonts w:ascii="Times New Roman" w:eastAsia="Times New Roman" w:hAnsi="Times New Roman" w:cs="Times New Roman"/>
        </w:rPr>
        <w:instrText xml:space="preserve"> SEQ level0 \*arabic </w:instrText>
      </w:r>
      <w:r w:rsidRPr="00A9681B">
        <w:rPr>
          <w:rFonts w:ascii="Times New Roman" w:eastAsia="Times New Roman" w:hAnsi="Times New Roman" w:cs="Times New Roman"/>
        </w:rPr>
        <w:fldChar w:fldCharType="separate"/>
      </w:r>
      <w:r w:rsidR="00A9681B" w:rsidRPr="00A9681B">
        <w:rPr>
          <w:rFonts w:ascii="Times New Roman" w:eastAsia="Times New Roman" w:hAnsi="Times New Roman" w:cs="Times New Roman"/>
          <w:noProof/>
        </w:rPr>
        <w:t>55</w:t>
      </w:r>
      <w:r w:rsidRPr="00A9681B">
        <w:rPr>
          <w:rFonts w:ascii="Times New Roman" w:eastAsia="Times New Roman" w:hAnsi="Times New Roman" w:cs="Times New Roman"/>
        </w:rPr>
        <w:fldChar w:fldCharType="end"/>
      </w:r>
      <w:r w:rsidRPr="00A9681B">
        <w:rPr>
          <w:rFonts w:ascii="Times New Roman" w:eastAsia="Times New Roman" w:hAnsi="Times New Roman" w:cs="Times New Roman"/>
        </w:rPr>
        <w:t>.  </w:t>
      </w:r>
      <w:r w:rsidR="0066142A" w:rsidRPr="00A9681B">
        <w:rPr>
          <w:rFonts w:ascii="Times New Roman" w:hAnsi="Times New Roman"/>
          <w:szCs w:val="24"/>
        </w:rPr>
        <w:t xml:space="preserve">It is true that </w:t>
      </w:r>
      <w:r w:rsidR="00C35B83" w:rsidRPr="00A9681B">
        <w:rPr>
          <w:rFonts w:ascii="Times New Roman" w:eastAsia="Times New Roman" w:hAnsi="Times New Roman" w:cs="Times New Roman"/>
        </w:rPr>
        <w:t>the applicant</w:t>
      </w:r>
      <w:r w:rsidR="0037758D" w:rsidRPr="00A9681B">
        <w:rPr>
          <w:rFonts w:ascii="Times New Roman" w:eastAsia="Times New Roman" w:hAnsi="Times New Roman" w:cs="Times New Roman"/>
        </w:rPr>
        <w:t xml:space="preserve"> </w:t>
      </w:r>
      <w:r w:rsidR="0037758D" w:rsidRPr="00A9681B">
        <w:rPr>
          <w:rFonts w:eastAsia="Times New Roman"/>
          <w:lang w:eastAsia="fr-FR"/>
        </w:rPr>
        <w:t>companies</w:t>
      </w:r>
      <w:r w:rsidR="00C35B83" w:rsidRPr="00A9681B">
        <w:rPr>
          <w:rFonts w:ascii="Times New Roman" w:eastAsia="Times New Roman" w:hAnsi="Times New Roman" w:cs="Times New Roman"/>
        </w:rPr>
        <w:t xml:space="preserve"> </w:t>
      </w:r>
      <w:r w:rsidR="005E5E10" w:rsidRPr="00A9681B">
        <w:rPr>
          <w:rFonts w:ascii="Times New Roman" w:eastAsia="Times New Roman" w:hAnsi="Times New Roman" w:cs="Times New Roman"/>
        </w:rPr>
        <w:t>could, in theory,</w:t>
      </w:r>
      <w:r w:rsidR="00C35B83" w:rsidRPr="00A9681B">
        <w:rPr>
          <w:rFonts w:ascii="Times New Roman" w:eastAsia="Times New Roman" w:hAnsi="Times New Roman" w:cs="Times New Roman"/>
        </w:rPr>
        <w:t xml:space="preserve"> conclude schoolbook distribution agreements with Könyvtárellátó </w:t>
      </w:r>
      <w:r w:rsidR="00FE4562" w:rsidRPr="00A9681B">
        <w:rPr>
          <w:rFonts w:ascii="Times New Roman" w:eastAsia="Times New Roman" w:hAnsi="Times New Roman" w:cs="Times New Roman"/>
        </w:rPr>
        <w:t>within the framework of</w:t>
      </w:r>
      <w:r w:rsidR="00C35B83" w:rsidRPr="00A9681B">
        <w:rPr>
          <w:rFonts w:ascii="Times New Roman" w:eastAsia="Times New Roman" w:hAnsi="Times New Roman" w:cs="Times New Roman"/>
        </w:rPr>
        <w:t xml:space="preserve"> public procurement procedures</w:t>
      </w:r>
      <w:r w:rsidR="005E5E10" w:rsidRPr="00A9681B">
        <w:rPr>
          <w:rFonts w:ascii="Times New Roman" w:eastAsia="Times New Roman" w:hAnsi="Times New Roman" w:cs="Times New Roman"/>
        </w:rPr>
        <w:t xml:space="preserve">. However, </w:t>
      </w:r>
      <w:r w:rsidR="00FE4CCB" w:rsidRPr="00A9681B">
        <w:rPr>
          <w:rFonts w:ascii="Times New Roman" w:eastAsia="Times New Roman" w:hAnsi="Times New Roman" w:cs="Times New Roman"/>
        </w:rPr>
        <w:t>at this juncture</w:t>
      </w:r>
      <w:r w:rsidR="00591CCC" w:rsidRPr="00A9681B">
        <w:rPr>
          <w:rFonts w:ascii="Times New Roman" w:eastAsia="Times New Roman" w:hAnsi="Times New Roman" w:cs="Times New Roman"/>
        </w:rPr>
        <w:t>,</w:t>
      </w:r>
      <w:r w:rsidR="00FE4CCB" w:rsidRPr="00A9681B">
        <w:rPr>
          <w:rFonts w:ascii="Times New Roman" w:eastAsia="Times New Roman" w:hAnsi="Times New Roman" w:cs="Times New Roman"/>
        </w:rPr>
        <w:t xml:space="preserve"> </w:t>
      </w:r>
      <w:r w:rsidR="005E5E10" w:rsidRPr="00A9681B">
        <w:rPr>
          <w:rFonts w:ascii="Times New Roman" w:eastAsia="Times New Roman" w:hAnsi="Times New Roman" w:cs="Times New Roman"/>
        </w:rPr>
        <w:t>the Court notes the applicant</w:t>
      </w:r>
      <w:r w:rsidR="0037758D" w:rsidRPr="00A9681B">
        <w:rPr>
          <w:rFonts w:ascii="Times New Roman" w:eastAsia="Times New Roman" w:hAnsi="Times New Roman" w:cs="Times New Roman"/>
        </w:rPr>
        <w:t xml:space="preserve"> </w:t>
      </w:r>
      <w:r w:rsidR="0037758D" w:rsidRPr="00A9681B">
        <w:rPr>
          <w:rFonts w:eastAsia="Times New Roman"/>
          <w:lang w:eastAsia="fr-FR"/>
        </w:rPr>
        <w:t>companies</w:t>
      </w:r>
      <w:r w:rsidR="00A9681B" w:rsidRPr="00A9681B">
        <w:rPr>
          <w:rFonts w:eastAsia="Times New Roman"/>
          <w:lang w:eastAsia="fr-FR"/>
        </w:rPr>
        <w:t>’</w:t>
      </w:r>
      <w:r w:rsidR="005E5E10" w:rsidRPr="00A9681B">
        <w:rPr>
          <w:rFonts w:ascii="Times New Roman" w:eastAsia="Times New Roman" w:hAnsi="Times New Roman" w:cs="Times New Roman"/>
        </w:rPr>
        <w:t xml:space="preserve"> submission, unrefuted by the Government, </w:t>
      </w:r>
      <w:r w:rsidR="00FE4CCB" w:rsidRPr="00A9681B">
        <w:rPr>
          <w:rFonts w:ascii="Times New Roman" w:eastAsia="Times New Roman" w:hAnsi="Times New Roman" w:cs="Times New Roman"/>
        </w:rPr>
        <w:t xml:space="preserve">that </w:t>
      </w:r>
      <w:r w:rsidR="00C35B83" w:rsidRPr="00A9681B">
        <w:rPr>
          <w:rFonts w:ascii="Times New Roman" w:eastAsia="Times New Roman" w:hAnsi="Times New Roman" w:cs="Times New Roman"/>
        </w:rPr>
        <w:t>in practice</w:t>
      </w:r>
      <w:r w:rsidR="00FE4CCB" w:rsidRPr="00A9681B">
        <w:rPr>
          <w:rFonts w:ascii="Times New Roman" w:eastAsia="Times New Roman" w:hAnsi="Times New Roman" w:cs="Times New Roman"/>
        </w:rPr>
        <w:t>,</w:t>
      </w:r>
      <w:r w:rsidR="00C35B83" w:rsidRPr="00A9681B">
        <w:rPr>
          <w:rFonts w:ascii="Times New Roman" w:eastAsia="Times New Roman" w:hAnsi="Times New Roman" w:cs="Times New Roman"/>
        </w:rPr>
        <w:t xml:space="preserve"> these </w:t>
      </w:r>
      <w:r w:rsidR="00C35B83" w:rsidRPr="00A9681B">
        <w:rPr>
          <w:rFonts w:ascii="Times New Roman" w:eastAsia="Times New Roman" w:hAnsi="Times New Roman" w:cs="Times New Roman"/>
          <w:lang w:eastAsia="fr-FR"/>
        </w:rPr>
        <w:t>tenders</w:t>
      </w:r>
      <w:r w:rsidR="00591CCC" w:rsidRPr="00A9681B">
        <w:rPr>
          <w:rFonts w:ascii="Times New Roman" w:eastAsia="Times New Roman" w:hAnsi="Times New Roman" w:cs="Times New Roman"/>
          <w:lang w:eastAsia="fr-FR"/>
        </w:rPr>
        <w:t xml:space="preserve"> we</w:t>
      </w:r>
      <w:r w:rsidR="00FE4CCB" w:rsidRPr="00A9681B">
        <w:rPr>
          <w:rFonts w:ascii="Times New Roman" w:eastAsia="Times New Roman" w:hAnsi="Times New Roman" w:cs="Times New Roman"/>
          <w:lang w:eastAsia="fr-FR"/>
        </w:rPr>
        <w:t>re limited in scope and</w:t>
      </w:r>
      <w:r w:rsidR="005E5E10" w:rsidRPr="00A9681B">
        <w:rPr>
          <w:rFonts w:ascii="Times New Roman" w:eastAsia="Times New Roman" w:hAnsi="Times New Roman" w:cs="Times New Roman"/>
          <w:lang w:eastAsia="fr-FR"/>
        </w:rPr>
        <w:t xml:space="preserve"> </w:t>
      </w:r>
      <w:r w:rsidR="003D32B6" w:rsidRPr="00A9681B">
        <w:rPr>
          <w:rFonts w:ascii="Times New Roman" w:eastAsia="Times New Roman" w:hAnsi="Times New Roman" w:cs="Times New Roman"/>
          <w:lang w:eastAsia="fr-FR"/>
        </w:rPr>
        <w:t>open only</w:t>
      </w:r>
      <w:r w:rsidR="00FE4562" w:rsidRPr="00A9681B">
        <w:rPr>
          <w:rFonts w:ascii="Times New Roman" w:eastAsia="Times New Roman" w:hAnsi="Times New Roman" w:cs="Times New Roman"/>
          <w:lang w:eastAsia="fr-FR"/>
        </w:rPr>
        <w:t xml:space="preserve"> </w:t>
      </w:r>
      <w:r w:rsidR="005E5E10" w:rsidRPr="00A9681B">
        <w:rPr>
          <w:rFonts w:ascii="Times New Roman" w:eastAsia="Times New Roman" w:hAnsi="Times New Roman" w:cs="Times New Roman"/>
          <w:lang w:eastAsia="fr-FR"/>
        </w:rPr>
        <w:t xml:space="preserve">to </w:t>
      </w:r>
      <w:r w:rsidR="003D32B6" w:rsidRPr="00A9681B">
        <w:rPr>
          <w:rFonts w:ascii="Times New Roman" w:eastAsia="Times New Roman" w:hAnsi="Times New Roman" w:cs="Times New Roman"/>
          <w:lang w:eastAsia="fr-FR"/>
        </w:rPr>
        <w:t>invitees</w:t>
      </w:r>
      <w:r w:rsidR="00FD4526" w:rsidRPr="00A9681B">
        <w:rPr>
          <w:rFonts w:ascii="Times New Roman" w:eastAsia="Times New Roman" w:hAnsi="Times New Roman" w:cs="Times New Roman"/>
          <w:lang w:eastAsia="fr-FR"/>
        </w:rPr>
        <w:t xml:space="preserve"> </w:t>
      </w:r>
      <w:r w:rsidR="00C35B83" w:rsidRPr="00A9681B">
        <w:rPr>
          <w:rFonts w:ascii="Times New Roman" w:eastAsia="Times New Roman" w:hAnsi="Times New Roman" w:cs="Times New Roman"/>
          <w:lang w:eastAsia="fr-FR"/>
        </w:rPr>
        <w:t xml:space="preserve">(see paragraph </w:t>
      </w:r>
      <w:r w:rsidR="00682AC5" w:rsidRPr="00A9681B">
        <w:rPr>
          <w:rFonts w:ascii="Times New Roman" w:eastAsia="Times New Roman" w:hAnsi="Times New Roman" w:cs="Times New Roman"/>
          <w:lang w:eastAsia="fr-FR"/>
        </w:rPr>
        <w:fldChar w:fldCharType="begin"/>
      </w:r>
      <w:r w:rsidR="00682AC5" w:rsidRPr="00A9681B">
        <w:rPr>
          <w:rFonts w:ascii="Times New Roman" w:eastAsia="Times New Roman" w:hAnsi="Times New Roman" w:cs="Times New Roman"/>
          <w:lang w:eastAsia="fr-FR"/>
        </w:rPr>
        <w:instrText xml:space="preserve"> REF T6 \h </w:instrText>
      </w:r>
      <w:r w:rsidR="00E06CE1" w:rsidRPr="00A9681B">
        <w:rPr>
          <w:rFonts w:ascii="Times New Roman" w:eastAsia="Times New Roman" w:hAnsi="Times New Roman" w:cs="Times New Roman"/>
          <w:lang w:eastAsia="fr-FR"/>
        </w:rPr>
        <w:instrText xml:space="preserve"> \* MERGEFORMAT </w:instrText>
      </w:r>
      <w:r w:rsidR="00682AC5" w:rsidRPr="00A9681B">
        <w:rPr>
          <w:rFonts w:ascii="Times New Roman" w:eastAsia="Times New Roman" w:hAnsi="Times New Roman" w:cs="Times New Roman"/>
          <w:lang w:eastAsia="fr-FR"/>
        </w:rPr>
      </w:r>
      <w:r w:rsidR="00682AC5" w:rsidRPr="00A9681B">
        <w:rPr>
          <w:rFonts w:ascii="Times New Roman" w:eastAsia="Times New Roman" w:hAnsi="Times New Roman" w:cs="Times New Roman"/>
          <w:lang w:eastAsia="fr-FR"/>
        </w:rPr>
        <w:fldChar w:fldCharType="separate"/>
      </w:r>
      <w:r w:rsidR="00A9681B" w:rsidRPr="00A9681B">
        <w:rPr>
          <w:rFonts w:eastAsia="Times New Roman"/>
          <w:noProof/>
          <w:lang w:eastAsia="fr-FR"/>
        </w:rPr>
        <w:t>38</w:t>
      </w:r>
      <w:r w:rsidR="00682AC5" w:rsidRPr="00A9681B">
        <w:rPr>
          <w:rFonts w:ascii="Times New Roman" w:eastAsia="Times New Roman" w:hAnsi="Times New Roman" w:cs="Times New Roman"/>
          <w:lang w:eastAsia="fr-FR"/>
        </w:rPr>
        <w:fldChar w:fldCharType="end"/>
      </w:r>
      <w:r w:rsidR="00C35B83" w:rsidRPr="00A9681B">
        <w:rPr>
          <w:rFonts w:ascii="Times New Roman" w:eastAsia="Times New Roman" w:hAnsi="Times New Roman" w:cs="Times New Roman"/>
          <w:lang w:eastAsia="fr-FR"/>
        </w:rPr>
        <w:t xml:space="preserve"> above). The Court therefore cannot consider these </w:t>
      </w:r>
      <w:r w:rsidR="00AC3EA8" w:rsidRPr="00A9681B">
        <w:rPr>
          <w:rFonts w:ascii="Times New Roman" w:eastAsia="Times New Roman" w:hAnsi="Times New Roman" w:cs="Times New Roman"/>
          <w:lang w:eastAsia="fr-FR"/>
        </w:rPr>
        <w:t>public procurement tenders a</w:t>
      </w:r>
      <w:r w:rsidR="00AC3EA8" w:rsidRPr="00A9681B">
        <w:t xml:space="preserve"> realistic prospect </w:t>
      </w:r>
      <w:r w:rsidR="007F6679" w:rsidRPr="00A9681B">
        <w:t xml:space="preserve">by which </w:t>
      </w:r>
      <w:r w:rsidR="00AC3EA8" w:rsidRPr="00A9681B">
        <w:t>the applicant</w:t>
      </w:r>
      <w:r w:rsidR="0037758D" w:rsidRPr="00A9681B">
        <w:t xml:space="preserve"> </w:t>
      </w:r>
      <w:r w:rsidR="0037758D" w:rsidRPr="00A9681B">
        <w:rPr>
          <w:rFonts w:eastAsia="Times New Roman"/>
          <w:lang w:eastAsia="fr-FR"/>
        </w:rPr>
        <w:t>companies</w:t>
      </w:r>
      <w:r w:rsidR="00AC3EA8" w:rsidRPr="00A9681B">
        <w:t xml:space="preserve"> </w:t>
      </w:r>
      <w:r w:rsidR="00591CCC" w:rsidRPr="00A9681B">
        <w:t>could</w:t>
      </w:r>
      <w:r w:rsidR="007F6679" w:rsidRPr="00A9681B">
        <w:t xml:space="preserve"> </w:t>
      </w:r>
      <w:r w:rsidR="003D32B6" w:rsidRPr="00A9681B">
        <w:t xml:space="preserve">have </w:t>
      </w:r>
      <w:r w:rsidR="00AC3EA8" w:rsidRPr="00A9681B">
        <w:t>continue</w:t>
      </w:r>
      <w:r w:rsidR="003D32B6" w:rsidRPr="00A9681B">
        <w:t>d</w:t>
      </w:r>
      <w:r w:rsidR="00AC3EA8" w:rsidRPr="00A9681B">
        <w:t xml:space="preserve"> the</w:t>
      </w:r>
      <w:r w:rsidR="00FE4562" w:rsidRPr="00A9681B">
        <w:t>ir business and maintain</w:t>
      </w:r>
      <w:r w:rsidR="003D32B6" w:rsidRPr="00A9681B">
        <w:t>ed</w:t>
      </w:r>
      <w:r w:rsidR="00FE4562" w:rsidRPr="00A9681B">
        <w:t xml:space="preserve"> </w:t>
      </w:r>
      <w:r w:rsidR="00AC3EA8" w:rsidRPr="00A9681B">
        <w:t>their clientele.</w:t>
      </w:r>
    </w:p>
    <w:p w:rsidR="00766713" w:rsidRPr="00A9681B" w:rsidRDefault="00AC3EA8" w:rsidP="00A9681B">
      <w:pPr>
        <w:pStyle w:val="ECHRPara"/>
        <w:rPr>
          <w:rFonts w:ascii="Times New Roman" w:hAnsi="Times New Roman"/>
          <w:szCs w:val="24"/>
        </w:rPr>
      </w:pPr>
      <w:r w:rsidRPr="00A9681B">
        <w:fldChar w:fldCharType="begin"/>
      </w:r>
      <w:r w:rsidRPr="00A9681B">
        <w:instrText xml:space="preserve"> SEQ level0 \*arabic </w:instrText>
      </w:r>
      <w:r w:rsidRPr="00A9681B">
        <w:fldChar w:fldCharType="separate"/>
      </w:r>
      <w:r w:rsidR="00A9681B" w:rsidRPr="00A9681B">
        <w:rPr>
          <w:noProof/>
        </w:rPr>
        <w:t>56</w:t>
      </w:r>
      <w:r w:rsidRPr="00A9681B">
        <w:fldChar w:fldCharType="end"/>
      </w:r>
      <w:r w:rsidRPr="00A9681B">
        <w:t>.  </w:t>
      </w:r>
      <w:r w:rsidR="0066142A" w:rsidRPr="00A9681B">
        <w:rPr>
          <w:rFonts w:ascii="Times New Roman" w:hAnsi="Times New Roman"/>
          <w:szCs w:val="24"/>
        </w:rPr>
        <w:t>Although</w:t>
      </w:r>
      <w:r w:rsidR="00772A82" w:rsidRPr="00A9681B">
        <w:rPr>
          <w:rFonts w:ascii="Times New Roman" w:hAnsi="Times New Roman"/>
          <w:szCs w:val="24"/>
        </w:rPr>
        <w:t xml:space="preserve"> the interference with the applicant</w:t>
      </w:r>
      <w:r w:rsidR="0037758D" w:rsidRPr="00A9681B">
        <w:rPr>
          <w:rFonts w:ascii="Times New Roman" w:hAnsi="Times New Roman"/>
          <w:szCs w:val="24"/>
        </w:rPr>
        <w:t xml:space="preserve"> </w:t>
      </w:r>
      <w:r w:rsidR="0037758D" w:rsidRPr="00A9681B">
        <w:rPr>
          <w:rFonts w:eastAsia="Times New Roman"/>
          <w:lang w:eastAsia="fr-FR"/>
        </w:rPr>
        <w:t>companies</w:t>
      </w:r>
      <w:r w:rsidR="00A9681B" w:rsidRPr="00A9681B">
        <w:rPr>
          <w:rFonts w:eastAsia="Times New Roman"/>
          <w:lang w:eastAsia="fr-FR"/>
        </w:rPr>
        <w:t>’</w:t>
      </w:r>
      <w:r w:rsidR="00772A82" w:rsidRPr="00A9681B">
        <w:rPr>
          <w:rFonts w:ascii="Times New Roman" w:hAnsi="Times New Roman"/>
          <w:szCs w:val="24"/>
        </w:rPr>
        <w:t xml:space="preserve"> possessions was a control of use rather than a deprivation of possessions</w:t>
      </w:r>
      <w:r w:rsidR="00F624F4" w:rsidRPr="00A9681B">
        <w:rPr>
          <w:rFonts w:ascii="Times New Roman" w:hAnsi="Times New Roman"/>
          <w:szCs w:val="24"/>
        </w:rPr>
        <w:t xml:space="preserve"> </w:t>
      </w:r>
      <w:r w:rsidR="001111D0" w:rsidRPr="00A9681B">
        <w:rPr>
          <w:rFonts w:ascii="Times New Roman" w:hAnsi="Times New Roman"/>
          <w:szCs w:val="24"/>
        </w:rPr>
        <w:t xml:space="preserve">and </w:t>
      </w:r>
      <w:r w:rsidR="007F6679" w:rsidRPr="00A9681B">
        <w:rPr>
          <w:rFonts w:ascii="Times New Roman" w:hAnsi="Times New Roman"/>
          <w:szCs w:val="24"/>
        </w:rPr>
        <w:t xml:space="preserve">therefore </w:t>
      </w:r>
      <w:r w:rsidR="00772A82" w:rsidRPr="00A9681B">
        <w:rPr>
          <w:rFonts w:ascii="Times New Roman" w:hAnsi="Times New Roman"/>
          <w:szCs w:val="24"/>
        </w:rPr>
        <w:t>the case-law on compensation for deprivation</w:t>
      </w:r>
      <w:r w:rsidR="00C90632" w:rsidRPr="00A9681B">
        <w:rPr>
          <w:rFonts w:ascii="Times New Roman" w:hAnsi="Times New Roman"/>
          <w:szCs w:val="24"/>
        </w:rPr>
        <w:t xml:space="preserve"> of possessions</w:t>
      </w:r>
      <w:r w:rsidR="00772A82" w:rsidRPr="00A9681B">
        <w:rPr>
          <w:rFonts w:ascii="Times New Roman" w:hAnsi="Times New Roman"/>
          <w:szCs w:val="24"/>
        </w:rPr>
        <w:t xml:space="preserve"> is not directly applicable (see </w:t>
      </w:r>
      <w:r w:rsidR="00772A82" w:rsidRPr="00A9681B">
        <w:rPr>
          <w:rFonts w:ascii="Times New Roman" w:hAnsi="Times New Roman"/>
          <w:i/>
          <w:iCs/>
          <w:szCs w:val="24"/>
        </w:rPr>
        <w:t>J.A. Pye (Oxford) Ltd an</w:t>
      </w:r>
      <w:r w:rsidR="004355D9" w:rsidRPr="00A9681B">
        <w:rPr>
          <w:rFonts w:ascii="Times New Roman" w:hAnsi="Times New Roman"/>
          <w:i/>
          <w:iCs/>
          <w:szCs w:val="24"/>
        </w:rPr>
        <w:t>d J.A. Pye (Oxford) Land Ltd v. </w:t>
      </w:r>
      <w:r w:rsidR="00772A82" w:rsidRPr="00A9681B">
        <w:rPr>
          <w:rFonts w:ascii="Times New Roman" w:hAnsi="Times New Roman"/>
          <w:i/>
          <w:iCs/>
          <w:szCs w:val="24"/>
        </w:rPr>
        <w:t>the United Kingdom</w:t>
      </w:r>
      <w:r w:rsidR="00772A82" w:rsidRPr="00A9681B">
        <w:rPr>
          <w:rFonts w:ascii="Times New Roman" w:hAnsi="Times New Roman"/>
          <w:szCs w:val="24"/>
        </w:rPr>
        <w:t xml:space="preserve"> [GC], no. 44302/02, § 79, ECHR 2007</w:t>
      </w:r>
      <w:r w:rsidR="00772A82" w:rsidRPr="00A9681B">
        <w:rPr>
          <w:rFonts w:ascii="Times New Roman" w:hAnsi="Times New Roman"/>
          <w:szCs w:val="24"/>
        </w:rPr>
        <w:noBreakHyphen/>
        <w:t>III)</w:t>
      </w:r>
      <w:r w:rsidR="0066142A" w:rsidRPr="00A9681B">
        <w:rPr>
          <w:rFonts w:ascii="Times New Roman" w:hAnsi="Times New Roman"/>
          <w:szCs w:val="24"/>
        </w:rPr>
        <w:t xml:space="preserve">, </w:t>
      </w:r>
      <w:r w:rsidR="00307C86" w:rsidRPr="00A9681B">
        <w:rPr>
          <w:rFonts w:ascii="Times New Roman" w:hAnsi="Times New Roman"/>
          <w:szCs w:val="24"/>
        </w:rPr>
        <w:t xml:space="preserve">it </w:t>
      </w:r>
      <w:r w:rsidR="005B55F9" w:rsidRPr="00A9681B">
        <w:rPr>
          <w:rFonts w:ascii="Times New Roman" w:hAnsi="Times New Roman"/>
          <w:szCs w:val="24"/>
        </w:rPr>
        <w:t>nevertheless must be emphasis</w:t>
      </w:r>
      <w:r w:rsidR="00307C86" w:rsidRPr="00A9681B">
        <w:rPr>
          <w:rFonts w:ascii="Times New Roman" w:hAnsi="Times New Roman"/>
          <w:szCs w:val="24"/>
        </w:rPr>
        <w:t xml:space="preserve">ed that </w:t>
      </w:r>
      <w:r w:rsidR="007F6679" w:rsidRPr="00A9681B">
        <w:rPr>
          <w:rFonts w:ascii="Times New Roman" w:hAnsi="Times New Roman"/>
          <w:szCs w:val="24"/>
        </w:rPr>
        <w:t>a</w:t>
      </w:r>
      <w:r w:rsidR="00F624F4" w:rsidRPr="00A9681B">
        <w:rPr>
          <w:rFonts w:ascii="Times New Roman" w:hAnsi="Times New Roman"/>
          <w:szCs w:val="24"/>
        </w:rPr>
        <w:t xml:space="preserve"> </w:t>
      </w:r>
      <w:r w:rsidR="00772A82" w:rsidRPr="00A9681B">
        <w:rPr>
          <w:rFonts w:ascii="Times New Roman" w:hAnsi="Times New Roman"/>
          <w:szCs w:val="24"/>
        </w:rPr>
        <w:t>disproportionate and arbitrary control measure</w:t>
      </w:r>
      <w:r w:rsidR="004262EC" w:rsidRPr="00A9681B">
        <w:rPr>
          <w:rFonts w:ascii="Times New Roman" w:hAnsi="Times New Roman"/>
          <w:szCs w:val="24"/>
        </w:rPr>
        <w:t>, especially with</w:t>
      </w:r>
      <w:r w:rsidR="005B55F9" w:rsidRPr="00A9681B">
        <w:rPr>
          <w:rFonts w:ascii="Times New Roman" w:hAnsi="Times New Roman"/>
          <w:szCs w:val="24"/>
        </w:rPr>
        <w:t xml:space="preserve">out any scheme </w:t>
      </w:r>
      <w:r w:rsidR="004262EC" w:rsidRPr="00A9681B">
        <w:rPr>
          <w:rFonts w:ascii="Times New Roman" w:hAnsi="Times New Roman"/>
          <w:szCs w:val="24"/>
        </w:rPr>
        <w:t xml:space="preserve">of </w:t>
      </w:r>
      <w:r w:rsidR="00FC30E3" w:rsidRPr="00A9681B">
        <w:rPr>
          <w:rFonts w:ascii="Times New Roman" w:hAnsi="Times New Roman"/>
          <w:szCs w:val="24"/>
        </w:rPr>
        <w:t>compensation</w:t>
      </w:r>
      <w:r w:rsidR="0011176C" w:rsidRPr="00A9681B">
        <w:rPr>
          <w:rFonts w:ascii="Times New Roman" w:hAnsi="Times New Roman"/>
          <w:szCs w:val="24"/>
        </w:rPr>
        <w:t xml:space="preserve"> (see paragraphs </w:t>
      </w:r>
      <w:r w:rsidR="0011176C" w:rsidRPr="00A9681B">
        <w:rPr>
          <w:rFonts w:ascii="Times New Roman" w:hAnsi="Times New Roman"/>
          <w:szCs w:val="24"/>
        </w:rPr>
        <w:fldChar w:fldCharType="begin"/>
      </w:r>
      <w:r w:rsidR="0011176C" w:rsidRPr="00A9681B">
        <w:rPr>
          <w:rFonts w:ascii="Times New Roman" w:hAnsi="Times New Roman"/>
          <w:szCs w:val="24"/>
        </w:rPr>
        <w:instrText xml:space="preserve"> REF T10 \h </w:instrText>
      </w:r>
      <w:r w:rsidR="0011176C" w:rsidRPr="00A9681B">
        <w:rPr>
          <w:rFonts w:ascii="Times New Roman" w:hAnsi="Times New Roman"/>
          <w:szCs w:val="24"/>
        </w:rPr>
      </w:r>
      <w:r w:rsidR="0011176C" w:rsidRPr="00A9681B">
        <w:rPr>
          <w:rFonts w:ascii="Times New Roman" w:hAnsi="Times New Roman"/>
          <w:szCs w:val="24"/>
        </w:rPr>
        <w:fldChar w:fldCharType="separate"/>
      </w:r>
      <w:r w:rsidR="00A9681B" w:rsidRPr="00A9681B">
        <w:rPr>
          <w:noProof/>
        </w:rPr>
        <w:t>50</w:t>
      </w:r>
      <w:r w:rsidR="0011176C" w:rsidRPr="00A9681B">
        <w:rPr>
          <w:rFonts w:ascii="Times New Roman" w:hAnsi="Times New Roman"/>
          <w:szCs w:val="24"/>
        </w:rPr>
        <w:fldChar w:fldCharType="end"/>
      </w:r>
      <w:r w:rsidR="0011176C" w:rsidRPr="00A9681B">
        <w:rPr>
          <w:rFonts w:ascii="Times New Roman" w:hAnsi="Times New Roman"/>
          <w:szCs w:val="24"/>
        </w:rPr>
        <w:t xml:space="preserve"> and</w:t>
      </w:r>
      <w:bookmarkStart w:id="13" w:name="T12"/>
      <w:bookmarkEnd w:id="13"/>
      <w:r w:rsidR="008274DE" w:rsidRPr="00A9681B">
        <w:rPr>
          <w:rFonts w:ascii="Times New Roman" w:hAnsi="Times New Roman"/>
          <w:szCs w:val="24"/>
        </w:rPr>
        <w:t> </w:t>
      </w:r>
      <w:r w:rsidR="008414BC" w:rsidRPr="00A9681B">
        <w:rPr>
          <w:rFonts w:ascii="Times New Roman" w:hAnsi="Times New Roman"/>
          <w:szCs w:val="24"/>
        </w:rPr>
        <w:fldChar w:fldCharType="begin"/>
      </w:r>
      <w:r w:rsidR="008414BC" w:rsidRPr="00A9681B">
        <w:rPr>
          <w:rFonts w:ascii="Times New Roman" w:hAnsi="Times New Roman"/>
          <w:szCs w:val="24"/>
        </w:rPr>
        <w:instrText xml:space="preserve"> REF t13 \h </w:instrText>
      </w:r>
      <w:r w:rsidR="008414BC" w:rsidRPr="00A9681B">
        <w:rPr>
          <w:rFonts w:ascii="Times New Roman" w:hAnsi="Times New Roman"/>
          <w:szCs w:val="24"/>
        </w:rPr>
      </w:r>
      <w:r w:rsidR="008414BC" w:rsidRPr="00A9681B">
        <w:rPr>
          <w:rFonts w:ascii="Times New Roman" w:hAnsi="Times New Roman"/>
          <w:szCs w:val="24"/>
        </w:rPr>
        <w:fldChar w:fldCharType="separate"/>
      </w:r>
      <w:r w:rsidR="00A9681B" w:rsidRPr="00A9681B">
        <w:rPr>
          <w:noProof/>
        </w:rPr>
        <w:t>51</w:t>
      </w:r>
      <w:r w:rsidR="008414BC" w:rsidRPr="00A9681B">
        <w:rPr>
          <w:rFonts w:ascii="Times New Roman" w:hAnsi="Times New Roman"/>
          <w:szCs w:val="24"/>
        </w:rPr>
        <w:fldChar w:fldCharType="end"/>
      </w:r>
      <w:r w:rsidR="0011176C" w:rsidRPr="00A9681B">
        <w:rPr>
          <w:rFonts w:ascii="Times New Roman" w:hAnsi="Times New Roman"/>
          <w:szCs w:val="24"/>
        </w:rPr>
        <w:fldChar w:fldCharType="begin"/>
      </w:r>
      <w:r w:rsidR="0011176C" w:rsidRPr="00A9681B">
        <w:rPr>
          <w:rFonts w:ascii="Times New Roman" w:hAnsi="Times New Roman"/>
          <w:szCs w:val="24"/>
        </w:rPr>
        <w:instrText xml:space="preserve"> REF T12 \h </w:instrText>
      </w:r>
      <w:r w:rsidR="0011176C" w:rsidRPr="00A9681B">
        <w:rPr>
          <w:rFonts w:ascii="Times New Roman" w:hAnsi="Times New Roman"/>
          <w:szCs w:val="24"/>
        </w:rPr>
      </w:r>
      <w:r w:rsidR="0011176C" w:rsidRPr="00A9681B">
        <w:rPr>
          <w:rFonts w:ascii="Times New Roman" w:hAnsi="Times New Roman"/>
          <w:szCs w:val="24"/>
        </w:rPr>
        <w:fldChar w:fldCharType="end"/>
      </w:r>
      <w:r w:rsidR="0011176C" w:rsidRPr="00A9681B">
        <w:rPr>
          <w:rFonts w:ascii="Times New Roman" w:hAnsi="Times New Roman"/>
          <w:szCs w:val="24"/>
        </w:rPr>
        <w:fldChar w:fldCharType="begin"/>
      </w:r>
      <w:r w:rsidR="0011176C" w:rsidRPr="00A9681B">
        <w:rPr>
          <w:rFonts w:ascii="Times New Roman" w:hAnsi="Times New Roman"/>
          <w:szCs w:val="24"/>
        </w:rPr>
        <w:instrText xml:space="preserve"> REF T12 \h </w:instrText>
      </w:r>
      <w:r w:rsidR="0011176C" w:rsidRPr="00A9681B">
        <w:rPr>
          <w:rFonts w:ascii="Times New Roman" w:hAnsi="Times New Roman"/>
          <w:szCs w:val="24"/>
        </w:rPr>
      </w:r>
      <w:r w:rsidR="0011176C" w:rsidRPr="00A9681B">
        <w:rPr>
          <w:rFonts w:ascii="Times New Roman" w:hAnsi="Times New Roman"/>
          <w:szCs w:val="24"/>
        </w:rPr>
        <w:fldChar w:fldCharType="end"/>
      </w:r>
      <w:r w:rsidR="0011176C" w:rsidRPr="00A9681B">
        <w:rPr>
          <w:rFonts w:ascii="Times New Roman" w:hAnsi="Times New Roman"/>
          <w:szCs w:val="24"/>
        </w:rPr>
        <w:t xml:space="preserve"> above)</w:t>
      </w:r>
      <w:r w:rsidR="004262EC" w:rsidRPr="00A9681B">
        <w:rPr>
          <w:rFonts w:ascii="Times New Roman" w:hAnsi="Times New Roman"/>
          <w:szCs w:val="24"/>
        </w:rPr>
        <w:t>,</w:t>
      </w:r>
      <w:r w:rsidR="00FC30E3" w:rsidRPr="00A9681B">
        <w:rPr>
          <w:rFonts w:ascii="Times New Roman" w:hAnsi="Times New Roman"/>
          <w:szCs w:val="24"/>
        </w:rPr>
        <w:t xml:space="preserve"> </w:t>
      </w:r>
      <w:r w:rsidR="00772A82" w:rsidRPr="00A9681B">
        <w:rPr>
          <w:rFonts w:ascii="Times New Roman" w:hAnsi="Times New Roman"/>
          <w:szCs w:val="24"/>
        </w:rPr>
        <w:t xml:space="preserve">does not satisfy the requirements of </w:t>
      </w:r>
      <w:r w:rsidR="00AD146E" w:rsidRPr="00A9681B">
        <w:rPr>
          <w:rFonts w:ascii="Times New Roman" w:hAnsi="Times New Roman"/>
          <w:szCs w:val="24"/>
        </w:rPr>
        <w:t xml:space="preserve">the </w:t>
      </w:r>
      <w:r w:rsidR="00772A82" w:rsidRPr="00A9681B">
        <w:rPr>
          <w:rFonts w:ascii="Times New Roman" w:hAnsi="Times New Roman"/>
          <w:szCs w:val="24"/>
        </w:rPr>
        <w:t>protection of possession</w:t>
      </w:r>
      <w:r w:rsidR="007F6679" w:rsidRPr="00A9681B">
        <w:rPr>
          <w:rFonts w:ascii="Times New Roman" w:hAnsi="Times New Roman"/>
          <w:szCs w:val="24"/>
        </w:rPr>
        <w:t>s</w:t>
      </w:r>
      <w:r w:rsidR="00F42F46" w:rsidRPr="00A9681B">
        <w:rPr>
          <w:rFonts w:ascii="Times New Roman" w:hAnsi="Times New Roman"/>
          <w:szCs w:val="24"/>
        </w:rPr>
        <w:t xml:space="preserve"> under Article 1 of Protocol </w:t>
      </w:r>
      <w:r w:rsidR="00772A82" w:rsidRPr="00A9681B">
        <w:rPr>
          <w:rFonts w:ascii="Times New Roman" w:hAnsi="Times New Roman"/>
          <w:szCs w:val="24"/>
        </w:rPr>
        <w:t xml:space="preserve">No. 1 </w:t>
      </w:r>
      <w:r w:rsidR="00D737E9" w:rsidRPr="00A9681B">
        <w:rPr>
          <w:rFonts w:ascii="Times New Roman" w:hAnsi="Times New Roman"/>
          <w:szCs w:val="24"/>
        </w:rPr>
        <w:t>(see</w:t>
      </w:r>
      <w:r w:rsidR="00E06CE1" w:rsidRPr="00A9681B">
        <w:rPr>
          <w:rFonts w:ascii="Times New Roman" w:hAnsi="Times New Roman"/>
          <w:szCs w:val="24"/>
        </w:rPr>
        <w:t xml:space="preserve">, </w:t>
      </w:r>
      <w:r w:rsidR="00FC30E3" w:rsidRPr="00A9681B">
        <w:rPr>
          <w:rFonts w:ascii="Times New Roman" w:hAnsi="Times New Roman"/>
          <w:i/>
          <w:szCs w:val="24"/>
        </w:rPr>
        <w:t>mutatis mutandis</w:t>
      </w:r>
      <w:r w:rsidR="00FC30E3" w:rsidRPr="00A9681B">
        <w:rPr>
          <w:rFonts w:ascii="Times New Roman" w:hAnsi="Times New Roman"/>
          <w:szCs w:val="24"/>
        </w:rPr>
        <w:t xml:space="preserve">, </w:t>
      </w:r>
      <w:r w:rsidR="00D83BE7" w:rsidRPr="00A9681B">
        <w:rPr>
          <w:i/>
        </w:rPr>
        <w:t>S.C. Antares Transport S.A. and S.C. Transroby S.R.L.</w:t>
      </w:r>
      <w:r w:rsidR="00D83BE7" w:rsidRPr="00A9681B">
        <w:t xml:space="preserve"> </w:t>
      </w:r>
      <w:r w:rsidR="00D83BE7" w:rsidRPr="00A9681B">
        <w:rPr>
          <w:i/>
        </w:rPr>
        <w:t>v. Romania</w:t>
      </w:r>
      <w:r w:rsidR="00D83BE7" w:rsidRPr="00A9681B">
        <w:t>, no. 27227/08</w:t>
      </w:r>
      <w:r w:rsidR="00AC5D89" w:rsidRPr="00A9681B">
        <w:rPr>
          <w:snapToGrid w:val="0"/>
        </w:rPr>
        <w:t>, § </w:t>
      </w:r>
      <w:r w:rsidR="008274DE" w:rsidRPr="00A9681B">
        <w:rPr>
          <w:snapToGrid w:val="0"/>
        </w:rPr>
        <w:t>48, 15 </w:t>
      </w:r>
      <w:r w:rsidR="00D83BE7" w:rsidRPr="00A9681B">
        <w:rPr>
          <w:snapToGrid w:val="0"/>
        </w:rPr>
        <w:t xml:space="preserve">December 2015, and </w:t>
      </w:r>
      <w:r w:rsidR="00772A82" w:rsidRPr="00A9681B">
        <w:rPr>
          <w:rFonts w:ascii="Times New Roman" w:hAnsi="Times New Roman"/>
          <w:i/>
          <w:iCs/>
          <w:szCs w:val="24"/>
        </w:rPr>
        <w:t>Vékony</w:t>
      </w:r>
      <w:r w:rsidR="00772A82" w:rsidRPr="00A9681B">
        <w:rPr>
          <w:rFonts w:ascii="Times New Roman" w:hAnsi="Times New Roman"/>
          <w:szCs w:val="24"/>
        </w:rPr>
        <w:t>, cited above, § 35).</w:t>
      </w:r>
    </w:p>
    <w:p w:rsidR="00F624F4" w:rsidRPr="00A9681B" w:rsidRDefault="0022140F" w:rsidP="00A9681B">
      <w:pPr>
        <w:pStyle w:val="ECHRPara"/>
      </w:pPr>
      <w:r w:rsidRPr="00A9681B">
        <w:rPr>
          <w:rFonts w:ascii="Times New Roman" w:hAnsi="Times New Roman"/>
          <w:szCs w:val="24"/>
        </w:rPr>
        <w:fldChar w:fldCharType="begin"/>
      </w:r>
      <w:r w:rsidRPr="00A9681B">
        <w:rPr>
          <w:rFonts w:ascii="Times New Roman" w:hAnsi="Times New Roman"/>
          <w:szCs w:val="24"/>
        </w:rPr>
        <w:instrText xml:space="preserve"> SEQ level0 \*arabic </w:instrText>
      </w:r>
      <w:r w:rsidRPr="00A9681B">
        <w:rPr>
          <w:rFonts w:ascii="Times New Roman" w:hAnsi="Times New Roman"/>
          <w:szCs w:val="24"/>
        </w:rPr>
        <w:fldChar w:fldCharType="separate"/>
      </w:r>
      <w:r w:rsidR="00A9681B" w:rsidRPr="00A9681B">
        <w:rPr>
          <w:rFonts w:ascii="Times New Roman" w:hAnsi="Times New Roman"/>
          <w:noProof/>
          <w:szCs w:val="24"/>
        </w:rPr>
        <w:t>57</w:t>
      </w:r>
      <w:r w:rsidRPr="00A9681B">
        <w:rPr>
          <w:rFonts w:ascii="Times New Roman" w:hAnsi="Times New Roman"/>
          <w:szCs w:val="24"/>
        </w:rPr>
        <w:fldChar w:fldCharType="end"/>
      </w:r>
      <w:r w:rsidRPr="00A9681B">
        <w:rPr>
          <w:rFonts w:ascii="Times New Roman" w:hAnsi="Times New Roman"/>
          <w:szCs w:val="24"/>
        </w:rPr>
        <w:t>.  In the present case i</w:t>
      </w:r>
      <w:r w:rsidR="0066142A" w:rsidRPr="00A9681B">
        <w:t xml:space="preserve">t is noteworthy that the </w:t>
      </w:r>
      <w:r w:rsidR="005B55F9" w:rsidRPr="00A9681B">
        <w:rPr>
          <w:rFonts w:ascii="Times New Roman" w:eastAsia="Times New Roman" w:hAnsi="Times New Roman" w:cs="Times New Roman"/>
        </w:rPr>
        <w:t xml:space="preserve">State </w:t>
      </w:r>
      <w:r w:rsidR="00307C86" w:rsidRPr="00A9681B">
        <w:rPr>
          <w:rFonts w:ascii="Times New Roman" w:eastAsia="Times New Roman" w:hAnsi="Times New Roman" w:cs="Times New Roman"/>
        </w:rPr>
        <w:t>made it impossible for the applicant companies to continue their business</w:t>
      </w:r>
      <w:r w:rsidR="009448A2" w:rsidRPr="00A9681B">
        <w:rPr>
          <w:rFonts w:ascii="Times New Roman" w:eastAsia="Times New Roman" w:hAnsi="Times New Roman" w:cs="Times New Roman"/>
        </w:rPr>
        <w:t xml:space="preserve"> </w:t>
      </w:r>
      <w:r w:rsidR="005B55F9" w:rsidRPr="00A9681B">
        <w:t xml:space="preserve">but </w:t>
      </w:r>
      <w:r w:rsidR="009448A2" w:rsidRPr="00A9681B">
        <w:t>provided no</w:t>
      </w:r>
      <w:r w:rsidR="0066142A" w:rsidRPr="00A9681B">
        <w:t xml:space="preserve"> possibility of judicial redress</w:t>
      </w:r>
      <w:r w:rsidR="005B55F9" w:rsidRPr="00A9681B">
        <w:t xml:space="preserve"> or any financial compensation (</w:t>
      </w:r>
      <w:r w:rsidR="006666E2" w:rsidRPr="00A9681B">
        <w:t xml:space="preserve">see, by </w:t>
      </w:r>
      <w:r w:rsidR="00C90632" w:rsidRPr="00A9681B">
        <w:t>contrast</w:t>
      </w:r>
      <w:r w:rsidR="006666E2" w:rsidRPr="00A9681B">
        <w:t>,</w:t>
      </w:r>
      <w:r w:rsidR="00C90632" w:rsidRPr="00A9681B">
        <w:t xml:space="preserve"> </w:t>
      </w:r>
      <w:r w:rsidR="00A86295" w:rsidRPr="00A9681B">
        <w:rPr>
          <w:i/>
        </w:rPr>
        <w:t>Pinnacle Meat Processors Company and 8 Others v. the United Kingdom</w:t>
      </w:r>
      <w:r w:rsidR="00697D41" w:rsidRPr="00A9681B">
        <w:t>, no. </w:t>
      </w:r>
      <w:r w:rsidR="00A86295" w:rsidRPr="00A9681B">
        <w:t>3329</w:t>
      </w:r>
      <w:r w:rsidR="00AC5D89" w:rsidRPr="00A9681B">
        <w:t>8/96, Commission decision of 21 </w:t>
      </w:r>
      <w:r w:rsidR="00A86295" w:rsidRPr="00A9681B">
        <w:t>October 1998, unreported,</w:t>
      </w:r>
      <w:r w:rsidR="005B55F9" w:rsidRPr="00A9681B">
        <w:t xml:space="preserve"> and </w:t>
      </w:r>
      <w:r w:rsidR="005B55F9" w:rsidRPr="00A9681B">
        <w:rPr>
          <w:i/>
        </w:rPr>
        <w:t>Ian Edgar (Liverpool) L</w:t>
      </w:r>
      <w:r w:rsidR="00A86295" w:rsidRPr="00A9681B">
        <w:rPr>
          <w:i/>
        </w:rPr>
        <w:t>imi</w:t>
      </w:r>
      <w:r w:rsidR="005B55F9" w:rsidRPr="00A9681B">
        <w:rPr>
          <w:i/>
        </w:rPr>
        <w:t>t</w:t>
      </w:r>
      <w:r w:rsidR="00A86295" w:rsidRPr="00A9681B">
        <w:rPr>
          <w:i/>
        </w:rPr>
        <w:t>e</w:t>
      </w:r>
      <w:r w:rsidR="005B55F9" w:rsidRPr="00A9681B">
        <w:rPr>
          <w:i/>
        </w:rPr>
        <w:t>d</w:t>
      </w:r>
      <w:r w:rsidR="005B55F9" w:rsidRPr="00A9681B">
        <w:t xml:space="preserve"> </w:t>
      </w:r>
      <w:r w:rsidR="00AC5D89" w:rsidRPr="00A9681B">
        <w:rPr>
          <w:i/>
        </w:rPr>
        <w:t>v. </w:t>
      </w:r>
      <w:r w:rsidR="00A86295" w:rsidRPr="00A9681B">
        <w:rPr>
          <w:i/>
        </w:rPr>
        <w:t>the United Kingdom</w:t>
      </w:r>
      <w:r w:rsidR="00B721AA" w:rsidRPr="00A9681B">
        <w:rPr>
          <w:i/>
        </w:rPr>
        <w:t xml:space="preserve"> </w:t>
      </w:r>
      <w:r w:rsidR="00B721AA" w:rsidRPr="00A9681B">
        <w:t>(dec.)</w:t>
      </w:r>
      <w:r w:rsidR="00A86295" w:rsidRPr="00A9681B">
        <w:t xml:space="preserve">, </w:t>
      </w:r>
      <w:r w:rsidR="00B721AA" w:rsidRPr="00A9681B">
        <w:t xml:space="preserve">no. </w:t>
      </w:r>
      <w:r w:rsidR="00A86295" w:rsidRPr="00A9681B">
        <w:t>37683/97</w:t>
      </w:r>
      <w:r w:rsidR="00B721AA" w:rsidRPr="00A9681B">
        <w:t>,</w:t>
      </w:r>
      <w:r w:rsidR="00A86295" w:rsidRPr="00A9681B">
        <w:t xml:space="preserve"> </w:t>
      </w:r>
      <w:r w:rsidR="00836AE1" w:rsidRPr="00A9681B">
        <w:t>ECHR</w:t>
      </w:r>
      <w:r w:rsidR="00B721AA" w:rsidRPr="00A9681B">
        <w:t xml:space="preserve"> 2000</w:t>
      </w:r>
      <w:r w:rsidR="00836AE1" w:rsidRPr="00A9681B">
        <w:t>-I</w:t>
      </w:r>
      <w:r w:rsidR="005B55F9" w:rsidRPr="00A9681B">
        <w:t>).</w:t>
      </w:r>
    </w:p>
    <w:p w:rsidR="00766713" w:rsidRPr="00A9681B" w:rsidRDefault="003D32B6" w:rsidP="00A9681B">
      <w:pPr>
        <w:pStyle w:val="ECHRPara"/>
        <w:rPr>
          <w:rFonts w:ascii="Times New Roman" w:hAnsi="Times New Roman"/>
          <w:szCs w:val="24"/>
        </w:rPr>
      </w:pPr>
      <w:r w:rsidRPr="00A9681B">
        <w:rPr>
          <w:rFonts w:ascii="Times New Roman" w:hAnsi="Times New Roman"/>
          <w:szCs w:val="24"/>
        </w:rPr>
        <w:fldChar w:fldCharType="begin"/>
      </w:r>
      <w:r w:rsidRPr="00A9681B">
        <w:rPr>
          <w:rFonts w:ascii="Times New Roman" w:hAnsi="Times New Roman"/>
          <w:szCs w:val="24"/>
        </w:rPr>
        <w:instrText xml:space="preserve"> SEQ level0 \*arabic </w:instrText>
      </w:r>
      <w:r w:rsidRPr="00A9681B">
        <w:rPr>
          <w:rFonts w:ascii="Times New Roman" w:hAnsi="Times New Roman"/>
          <w:szCs w:val="24"/>
        </w:rPr>
        <w:fldChar w:fldCharType="separate"/>
      </w:r>
      <w:r w:rsidR="00A9681B" w:rsidRPr="00A9681B">
        <w:rPr>
          <w:rFonts w:ascii="Times New Roman" w:hAnsi="Times New Roman"/>
          <w:noProof/>
          <w:szCs w:val="24"/>
        </w:rPr>
        <w:t>58</w:t>
      </w:r>
      <w:r w:rsidRPr="00A9681B">
        <w:rPr>
          <w:rFonts w:ascii="Times New Roman" w:hAnsi="Times New Roman"/>
          <w:szCs w:val="24"/>
        </w:rPr>
        <w:fldChar w:fldCharType="end"/>
      </w:r>
      <w:r w:rsidRPr="00A9681B">
        <w:rPr>
          <w:rFonts w:ascii="Times New Roman" w:hAnsi="Times New Roman"/>
          <w:szCs w:val="24"/>
        </w:rPr>
        <w:t>.  T</w:t>
      </w:r>
      <w:r w:rsidR="001C2AE8" w:rsidRPr="00A9681B">
        <w:rPr>
          <w:rFonts w:ascii="Times New Roman" w:hAnsi="Times New Roman"/>
          <w:szCs w:val="24"/>
        </w:rPr>
        <w:t xml:space="preserve">he </w:t>
      </w:r>
      <w:r w:rsidRPr="00A9681B">
        <w:rPr>
          <w:rFonts w:ascii="Times New Roman" w:hAnsi="Times New Roman"/>
          <w:szCs w:val="24"/>
        </w:rPr>
        <w:t xml:space="preserve">margin of appreciation afforded to the </w:t>
      </w:r>
      <w:r w:rsidR="001C2AE8" w:rsidRPr="00A9681B">
        <w:rPr>
          <w:rFonts w:ascii="Times New Roman" w:hAnsi="Times New Roman"/>
          <w:szCs w:val="24"/>
        </w:rPr>
        <w:t xml:space="preserve">State </w:t>
      </w:r>
      <w:r w:rsidRPr="00A9681B">
        <w:rPr>
          <w:rFonts w:ascii="Times New Roman" w:hAnsi="Times New Roman"/>
          <w:szCs w:val="24"/>
        </w:rPr>
        <w:t xml:space="preserve">in </w:t>
      </w:r>
      <w:r w:rsidRPr="00A9681B">
        <w:rPr>
          <w:rFonts w:ascii="Times New Roman" w:hAnsi="Times New Roman"/>
          <w:szCs w:val="24"/>
          <w:lang w:eastAsia="fr-FR"/>
        </w:rPr>
        <w:t>identifying appropriate measures for the implementation of the reform</w:t>
      </w:r>
      <w:r w:rsidRPr="00A9681B">
        <w:rPr>
          <w:rFonts w:ascii="Times New Roman" w:hAnsi="Times New Roman"/>
          <w:szCs w:val="24"/>
        </w:rPr>
        <w:t xml:space="preserve"> in question is </w:t>
      </w:r>
      <w:r w:rsidR="004557AA" w:rsidRPr="00A9681B">
        <w:rPr>
          <w:rFonts w:ascii="Times New Roman" w:hAnsi="Times New Roman"/>
          <w:szCs w:val="24"/>
          <w:lang w:eastAsia="fr-FR"/>
        </w:rPr>
        <w:t xml:space="preserve">a wide </w:t>
      </w:r>
      <w:r w:rsidR="00254862" w:rsidRPr="00A9681B">
        <w:rPr>
          <w:rFonts w:ascii="Times New Roman" w:hAnsi="Times New Roman"/>
          <w:szCs w:val="24"/>
          <w:lang w:eastAsia="fr-FR"/>
        </w:rPr>
        <w:t>one</w:t>
      </w:r>
      <w:r w:rsidR="004557AA" w:rsidRPr="00A9681B">
        <w:rPr>
          <w:rFonts w:ascii="Times New Roman" w:hAnsi="Times New Roman"/>
          <w:szCs w:val="24"/>
          <w:lang w:eastAsia="fr-FR"/>
        </w:rPr>
        <w:t xml:space="preserve"> </w:t>
      </w:r>
      <w:r w:rsidR="00682AC5" w:rsidRPr="00A9681B">
        <w:rPr>
          <w:rFonts w:ascii="Times New Roman" w:hAnsi="Times New Roman"/>
          <w:szCs w:val="24"/>
          <w:lang w:eastAsia="fr-FR"/>
        </w:rPr>
        <w:t xml:space="preserve">(see paragraph </w:t>
      </w:r>
      <w:r w:rsidR="00682AC5" w:rsidRPr="00A9681B">
        <w:rPr>
          <w:rFonts w:ascii="Times New Roman" w:hAnsi="Times New Roman"/>
          <w:szCs w:val="24"/>
          <w:lang w:eastAsia="fr-FR"/>
        </w:rPr>
        <w:fldChar w:fldCharType="begin"/>
      </w:r>
      <w:r w:rsidR="00682AC5" w:rsidRPr="00A9681B">
        <w:rPr>
          <w:rFonts w:ascii="Times New Roman" w:hAnsi="Times New Roman"/>
          <w:szCs w:val="24"/>
          <w:lang w:eastAsia="fr-FR"/>
        </w:rPr>
        <w:instrText xml:space="preserve"> REF T7 \h </w:instrText>
      </w:r>
      <w:r w:rsidR="00E06CE1" w:rsidRPr="00A9681B">
        <w:rPr>
          <w:rFonts w:ascii="Times New Roman" w:hAnsi="Times New Roman"/>
          <w:szCs w:val="24"/>
          <w:lang w:eastAsia="fr-FR"/>
        </w:rPr>
        <w:instrText xml:space="preserve"> \* MERGEFORMAT </w:instrText>
      </w:r>
      <w:r w:rsidR="00682AC5" w:rsidRPr="00A9681B">
        <w:rPr>
          <w:rFonts w:ascii="Times New Roman" w:hAnsi="Times New Roman"/>
          <w:szCs w:val="24"/>
          <w:lang w:eastAsia="fr-FR"/>
        </w:rPr>
      </w:r>
      <w:r w:rsidR="00682AC5" w:rsidRPr="00A9681B">
        <w:rPr>
          <w:rFonts w:ascii="Times New Roman" w:hAnsi="Times New Roman"/>
          <w:szCs w:val="24"/>
          <w:lang w:eastAsia="fr-FR"/>
        </w:rPr>
        <w:fldChar w:fldCharType="separate"/>
      </w:r>
      <w:r w:rsidR="00A9681B" w:rsidRPr="00A9681B">
        <w:rPr>
          <w:noProof/>
        </w:rPr>
        <w:t>45</w:t>
      </w:r>
      <w:r w:rsidR="00682AC5" w:rsidRPr="00A9681B">
        <w:rPr>
          <w:rFonts w:ascii="Times New Roman" w:hAnsi="Times New Roman"/>
          <w:szCs w:val="24"/>
          <w:lang w:eastAsia="fr-FR"/>
        </w:rPr>
        <w:fldChar w:fldCharType="end"/>
      </w:r>
      <w:r w:rsidRPr="00A9681B">
        <w:rPr>
          <w:rFonts w:ascii="Times New Roman" w:hAnsi="Times New Roman"/>
          <w:szCs w:val="24"/>
          <w:lang w:eastAsia="fr-FR"/>
        </w:rPr>
        <w:t xml:space="preserve"> above)</w:t>
      </w:r>
      <w:r w:rsidR="004557AA" w:rsidRPr="00A9681B">
        <w:rPr>
          <w:rFonts w:ascii="Times New Roman" w:hAnsi="Times New Roman"/>
          <w:szCs w:val="24"/>
          <w:lang w:eastAsia="fr-FR"/>
        </w:rPr>
        <w:t xml:space="preserve">. </w:t>
      </w:r>
      <w:r w:rsidR="00772A82" w:rsidRPr="00A9681B">
        <w:rPr>
          <w:rFonts w:ascii="Times New Roman" w:hAnsi="Times New Roman"/>
          <w:szCs w:val="24"/>
        </w:rPr>
        <w:t xml:space="preserve">However, </w:t>
      </w:r>
      <w:r w:rsidR="006666E2" w:rsidRPr="00A9681B">
        <w:rPr>
          <w:rFonts w:ascii="Times New Roman" w:hAnsi="Times New Roman"/>
          <w:szCs w:val="24"/>
        </w:rPr>
        <w:t xml:space="preserve">such measures </w:t>
      </w:r>
      <w:r w:rsidR="0022140F" w:rsidRPr="00A9681B">
        <w:rPr>
          <w:rFonts w:ascii="Times New Roman" w:hAnsi="Times New Roman"/>
          <w:szCs w:val="24"/>
        </w:rPr>
        <w:t xml:space="preserve">must not </w:t>
      </w:r>
      <w:r w:rsidR="00FC30E3" w:rsidRPr="00A9681B">
        <w:rPr>
          <w:rFonts w:ascii="Times New Roman" w:hAnsi="Times New Roman"/>
          <w:szCs w:val="24"/>
        </w:rPr>
        <w:t xml:space="preserve">be </w:t>
      </w:r>
      <w:r w:rsidR="00752AC7" w:rsidRPr="00A9681B">
        <w:rPr>
          <w:rFonts w:ascii="Times New Roman" w:hAnsi="Times New Roman"/>
          <w:szCs w:val="24"/>
        </w:rPr>
        <w:t xml:space="preserve">disproportionate </w:t>
      </w:r>
      <w:r w:rsidR="0022140F" w:rsidRPr="00A9681B">
        <w:rPr>
          <w:rFonts w:ascii="Times New Roman" w:hAnsi="Times New Roman"/>
          <w:szCs w:val="24"/>
        </w:rPr>
        <w:t xml:space="preserve">in terms of the </w:t>
      </w:r>
      <w:r w:rsidR="00D5354E" w:rsidRPr="00A9681B">
        <w:t>means employed and the aim sought to be realised</w:t>
      </w:r>
      <w:r w:rsidR="00C515F7" w:rsidRPr="00A9681B">
        <w:t>,</w:t>
      </w:r>
      <w:r w:rsidR="00D5354E" w:rsidRPr="00A9681B">
        <w:t xml:space="preserve"> and must not expose th</w:t>
      </w:r>
      <w:r w:rsidR="005B55F9" w:rsidRPr="00A9681B">
        <w:t xml:space="preserve">e business players concerned to </w:t>
      </w:r>
      <w:r w:rsidR="00D5354E" w:rsidRPr="00A9681B">
        <w:t xml:space="preserve">an individual and excessive burden. In the present case </w:t>
      </w:r>
      <w:r w:rsidR="00F624F4" w:rsidRPr="00A9681B">
        <w:rPr>
          <w:rFonts w:ascii="Times New Roman" w:hAnsi="Times New Roman"/>
          <w:szCs w:val="24"/>
        </w:rPr>
        <w:t>t</w:t>
      </w:r>
      <w:r w:rsidR="00772A82" w:rsidRPr="00A9681B">
        <w:rPr>
          <w:rFonts w:ascii="Times New Roman" w:hAnsi="Times New Roman"/>
          <w:szCs w:val="24"/>
        </w:rPr>
        <w:t xml:space="preserve">he </w:t>
      </w:r>
      <w:r w:rsidR="00F624F4" w:rsidRPr="00A9681B">
        <w:rPr>
          <w:rFonts w:ascii="Times New Roman" w:hAnsi="Times New Roman"/>
          <w:szCs w:val="24"/>
        </w:rPr>
        <w:t>drastic change to the applicant</w:t>
      </w:r>
      <w:r w:rsidR="0037758D" w:rsidRPr="00A9681B">
        <w:rPr>
          <w:rFonts w:ascii="Times New Roman" w:hAnsi="Times New Roman"/>
          <w:szCs w:val="24"/>
        </w:rPr>
        <w:t xml:space="preserve"> </w:t>
      </w:r>
      <w:r w:rsidR="0037758D" w:rsidRPr="00A9681B">
        <w:rPr>
          <w:rFonts w:eastAsia="Times New Roman"/>
          <w:lang w:eastAsia="fr-FR"/>
        </w:rPr>
        <w:t>companies</w:t>
      </w:r>
      <w:r w:rsidR="00A9681B" w:rsidRPr="00A9681B">
        <w:rPr>
          <w:rFonts w:eastAsia="Times New Roman"/>
          <w:lang w:eastAsia="fr-FR"/>
        </w:rPr>
        <w:t>’</w:t>
      </w:r>
      <w:r w:rsidR="00F624F4" w:rsidRPr="00A9681B">
        <w:rPr>
          <w:rFonts w:ascii="Times New Roman" w:hAnsi="Times New Roman"/>
          <w:szCs w:val="24"/>
        </w:rPr>
        <w:t xml:space="preserve"> business </w:t>
      </w:r>
      <w:r w:rsidR="00772A82" w:rsidRPr="00A9681B">
        <w:rPr>
          <w:rFonts w:ascii="Times New Roman" w:hAnsi="Times New Roman"/>
          <w:szCs w:val="24"/>
        </w:rPr>
        <w:t xml:space="preserve">was not alleviated by any positive measures </w:t>
      </w:r>
      <w:r w:rsidR="007F6679" w:rsidRPr="00A9681B">
        <w:rPr>
          <w:rFonts w:ascii="Times New Roman" w:hAnsi="Times New Roman"/>
          <w:szCs w:val="24"/>
        </w:rPr>
        <w:t xml:space="preserve">proposed by </w:t>
      </w:r>
      <w:r w:rsidR="005B55F9" w:rsidRPr="00A9681B">
        <w:rPr>
          <w:rFonts w:ascii="Times New Roman" w:hAnsi="Times New Roman"/>
          <w:szCs w:val="24"/>
        </w:rPr>
        <w:t>the State</w:t>
      </w:r>
      <w:r w:rsidR="00772A82" w:rsidRPr="00A9681B">
        <w:rPr>
          <w:rFonts w:ascii="Times New Roman" w:hAnsi="Times New Roman"/>
          <w:szCs w:val="24"/>
        </w:rPr>
        <w:t>.</w:t>
      </w:r>
      <w:r w:rsidR="00522250" w:rsidRPr="00A9681B">
        <w:rPr>
          <w:rFonts w:ascii="Times New Roman" w:hAnsi="Times New Roman"/>
          <w:szCs w:val="24"/>
        </w:rPr>
        <w:t xml:space="preserve"> Moreover, the i</w:t>
      </w:r>
      <w:r w:rsidR="0068130A" w:rsidRPr="00A9681B">
        <w:rPr>
          <w:rFonts w:ascii="Times New Roman" w:hAnsi="Times New Roman"/>
          <w:szCs w:val="24"/>
        </w:rPr>
        <w:t xml:space="preserve">ntervention concerned a business activity </w:t>
      </w:r>
      <w:r w:rsidR="00522250" w:rsidRPr="00A9681B">
        <w:rPr>
          <w:rFonts w:ascii="Times New Roman" w:hAnsi="Times New Roman"/>
          <w:szCs w:val="24"/>
        </w:rPr>
        <w:t>that was not subject to previous regulation</w:t>
      </w:r>
      <w:r w:rsidR="007F5700" w:rsidRPr="00A9681B">
        <w:rPr>
          <w:rFonts w:ascii="Times New Roman" w:hAnsi="Times New Roman"/>
          <w:szCs w:val="24"/>
        </w:rPr>
        <w:t>s</w:t>
      </w:r>
      <w:r w:rsidR="006666E2" w:rsidRPr="00A9681B">
        <w:rPr>
          <w:rFonts w:ascii="Times New Roman" w:hAnsi="Times New Roman"/>
          <w:szCs w:val="24"/>
        </w:rPr>
        <w:t xml:space="preserve"> and was</w:t>
      </w:r>
      <w:r w:rsidR="0068130A" w:rsidRPr="00A9681B">
        <w:rPr>
          <w:rFonts w:ascii="Times New Roman" w:hAnsi="Times New Roman"/>
          <w:szCs w:val="24"/>
        </w:rPr>
        <w:t xml:space="preserve"> </w:t>
      </w:r>
      <w:r w:rsidR="00522250" w:rsidRPr="00A9681B">
        <w:rPr>
          <w:rFonts w:ascii="Times New Roman" w:hAnsi="Times New Roman"/>
          <w:szCs w:val="24"/>
        </w:rPr>
        <w:t>not in any sense dangerous, and the applicant</w:t>
      </w:r>
      <w:r w:rsidR="006666E2" w:rsidRPr="00A9681B">
        <w:rPr>
          <w:rFonts w:ascii="Times New Roman" w:hAnsi="Times New Roman"/>
          <w:szCs w:val="24"/>
        </w:rPr>
        <w:t xml:space="preserve"> companies</w:t>
      </w:r>
      <w:r w:rsidR="00522250" w:rsidRPr="00A9681B">
        <w:rPr>
          <w:rFonts w:ascii="Times New Roman" w:hAnsi="Times New Roman"/>
          <w:szCs w:val="24"/>
        </w:rPr>
        <w:t xml:space="preserve"> were not expected to assume that the</w:t>
      </w:r>
      <w:r w:rsidR="006666E2" w:rsidRPr="00A9681B">
        <w:rPr>
          <w:rFonts w:ascii="Times New Roman" w:hAnsi="Times New Roman"/>
          <w:szCs w:val="24"/>
        </w:rPr>
        <w:t>ir</w:t>
      </w:r>
      <w:r w:rsidR="00522250" w:rsidRPr="00A9681B">
        <w:rPr>
          <w:rFonts w:ascii="Times New Roman" w:hAnsi="Times New Roman"/>
          <w:szCs w:val="24"/>
        </w:rPr>
        <w:t xml:space="preserve"> business </w:t>
      </w:r>
      <w:r w:rsidR="006666E2" w:rsidRPr="00A9681B">
        <w:rPr>
          <w:rFonts w:ascii="Times New Roman" w:hAnsi="Times New Roman"/>
          <w:szCs w:val="24"/>
        </w:rPr>
        <w:t xml:space="preserve">would </w:t>
      </w:r>
      <w:r w:rsidR="00522250" w:rsidRPr="00A9681B">
        <w:rPr>
          <w:rFonts w:ascii="Times New Roman" w:hAnsi="Times New Roman"/>
          <w:szCs w:val="24"/>
        </w:rPr>
        <w:t xml:space="preserve">be </w:t>
      </w:r>
      <w:r w:rsidR="00522250" w:rsidRPr="00A9681B">
        <w:rPr>
          <w:rFonts w:ascii="Times New Roman" w:hAnsi="Times New Roman"/>
          <w:i/>
          <w:szCs w:val="24"/>
        </w:rPr>
        <w:t>de facto</w:t>
      </w:r>
      <w:r w:rsidR="007F5700" w:rsidRPr="00A9681B">
        <w:rPr>
          <w:rFonts w:ascii="Times New Roman" w:hAnsi="Times New Roman"/>
          <w:szCs w:val="24"/>
        </w:rPr>
        <w:t xml:space="preserve"> monopolised by the S</w:t>
      </w:r>
      <w:r w:rsidR="00522250" w:rsidRPr="00A9681B">
        <w:rPr>
          <w:rFonts w:ascii="Times New Roman" w:hAnsi="Times New Roman"/>
          <w:szCs w:val="24"/>
        </w:rPr>
        <w:t>tate (see</w:t>
      </w:r>
      <w:r w:rsidR="001C2AE8" w:rsidRPr="00A9681B">
        <w:rPr>
          <w:i/>
        </w:rPr>
        <w:t xml:space="preserve"> </w:t>
      </w:r>
      <w:r w:rsidR="00433572" w:rsidRPr="00A9681B">
        <w:rPr>
          <w:i/>
        </w:rPr>
        <w:t>Oklešen and Pokopališko Pogrebne Storitve Leopold Oklešen S.P.</w:t>
      </w:r>
      <w:r w:rsidR="006666E2" w:rsidRPr="00A9681B">
        <w:t>, and contrast</w:t>
      </w:r>
      <w:r w:rsidR="00522250" w:rsidRPr="00A9681B">
        <w:rPr>
          <w:rFonts w:ascii="Times New Roman" w:hAnsi="Times New Roman"/>
          <w:szCs w:val="24"/>
        </w:rPr>
        <w:t xml:space="preserve"> </w:t>
      </w:r>
      <w:r w:rsidR="00522250" w:rsidRPr="00A9681B">
        <w:rPr>
          <w:rFonts w:ascii="Times New Roman" w:hAnsi="Times New Roman"/>
          <w:i/>
          <w:szCs w:val="24"/>
        </w:rPr>
        <w:t>Pinnacl</w:t>
      </w:r>
      <w:r w:rsidR="00712716" w:rsidRPr="00A9681B">
        <w:rPr>
          <w:rFonts w:ascii="Times New Roman" w:hAnsi="Times New Roman"/>
          <w:i/>
          <w:szCs w:val="24"/>
        </w:rPr>
        <w:t>e Meat Processors Company and 8 </w:t>
      </w:r>
      <w:r w:rsidR="00522250" w:rsidRPr="00A9681B">
        <w:rPr>
          <w:rFonts w:ascii="Times New Roman" w:hAnsi="Times New Roman"/>
          <w:i/>
          <w:szCs w:val="24"/>
        </w:rPr>
        <w:t>Others</w:t>
      </w:r>
      <w:r w:rsidR="00E51C3A" w:rsidRPr="00A9681B">
        <w:rPr>
          <w:rFonts w:ascii="Times New Roman" w:hAnsi="Times New Roman"/>
          <w:szCs w:val="24"/>
        </w:rPr>
        <w:t xml:space="preserve">; </w:t>
      </w:r>
      <w:r w:rsidR="00522250" w:rsidRPr="00A9681B">
        <w:rPr>
          <w:rFonts w:ascii="Times New Roman" w:hAnsi="Times New Roman"/>
          <w:i/>
          <w:szCs w:val="24"/>
        </w:rPr>
        <w:t>Ian Edgar (Liverpool) Ltd</w:t>
      </w:r>
      <w:r w:rsidR="006666E2" w:rsidRPr="00A9681B">
        <w:rPr>
          <w:rFonts w:ascii="Times New Roman" w:hAnsi="Times New Roman"/>
          <w:szCs w:val="24"/>
        </w:rPr>
        <w:t>;</w:t>
      </w:r>
      <w:r w:rsidR="000A4053" w:rsidRPr="00A9681B">
        <w:rPr>
          <w:rFonts w:ascii="Times New Roman" w:hAnsi="Times New Roman"/>
          <w:szCs w:val="24"/>
        </w:rPr>
        <w:t xml:space="preserve"> </w:t>
      </w:r>
      <w:r w:rsidR="0068130A" w:rsidRPr="00A9681B">
        <w:t xml:space="preserve">and </w:t>
      </w:r>
      <w:r w:rsidR="0068130A" w:rsidRPr="00A9681B">
        <w:rPr>
          <w:i/>
        </w:rPr>
        <w:t>Tipp 24</w:t>
      </w:r>
      <w:r w:rsidR="00124B5F" w:rsidRPr="00A9681B">
        <w:rPr>
          <w:i/>
        </w:rPr>
        <w:t xml:space="preserve"> AG</w:t>
      </w:r>
      <w:r w:rsidR="0068130A" w:rsidRPr="00A9681B">
        <w:t>,</w:t>
      </w:r>
      <w:r w:rsidR="00522250" w:rsidRPr="00A9681B">
        <w:rPr>
          <w:rFonts w:ascii="Times New Roman" w:hAnsi="Times New Roman"/>
          <w:i/>
          <w:szCs w:val="24"/>
        </w:rPr>
        <w:t xml:space="preserve"> </w:t>
      </w:r>
      <w:r w:rsidR="00522250" w:rsidRPr="00A9681B">
        <w:rPr>
          <w:rFonts w:ascii="Times New Roman" w:hAnsi="Times New Roman"/>
          <w:szCs w:val="24"/>
        </w:rPr>
        <w:t>all cited above</w:t>
      </w:r>
      <w:r w:rsidR="0068130A" w:rsidRPr="00A9681B">
        <w:rPr>
          <w:rFonts w:ascii="Times New Roman" w:hAnsi="Times New Roman"/>
          <w:szCs w:val="24"/>
        </w:rPr>
        <w:t>)</w:t>
      </w:r>
      <w:r w:rsidR="00522250" w:rsidRPr="00A9681B">
        <w:rPr>
          <w:rFonts w:ascii="Times New Roman" w:hAnsi="Times New Roman"/>
          <w:szCs w:val="24"/>
        </w:rPr>
        <w:t>.</w:t>
      </w:r>
    </w:p>
    <w:bookmarkStart w:id="14" w:name="T8"/>
    <w:p w:rsidR="009D3C69" w:rsidRPr="00A9681B" w:rsidRDefault="00CE0EB3" w:rsidP="00A9681B">
      <w:pPr>
        <w:pStyle w:val="ECHRPara"/>
      </w:pPr>
      <w:r w:rsidRPr="00A9681B">
        <w:lastRenderedPageBreak/>
        <w:fldChar w:fldCharType="begin"/>
      </w:r>
      <w:r w:rsidRPr="00A9681B">
        <w:instrText xml:space="preserve"> SEQ level0 \*arabic </w:instrText>
      </w:r>
      <w:r w:rsidRPr="00A9681B">
        <w:fldChar w:fldCharType="separate"/>
      </w:r>
      <w:r w:rsidR="00A9681B" w:rsidRPr="00A9681B">
        <w:rPr>
          <w:noProof/>
        </w:rPr>
        <w:t>59</w:t>
      </w:r>
      <w:r w:rsidRPr="00A9681B">
        <w:fldChar w:fldCharType="end"/>
      </w:r>
      <w:bookmarkEnd w:id="14"/>
      <w:r w:rsidR="00014566" w:rsidRPr="00A9681B">
        <w:t>.  </w:t>
      </w:r>
      <w:r w:rsidR="003D32B6" w:rsidRPr="00A9681B">
        <w:t xml:space="preserve">Having regard to </w:t>
      </w:r>
      <w:r w:rsidR="00282111" w:rsidRPr="00A9681B">
        <w:t xml:space="preserve">(i) </w:t>
      </w:r>
      <w:r w:rsidR="003D32B6" w:rsidRPr="00A9681B">
        <w:t xml:space="preserve">the </w:t>
      </w:r>
      <w:r w:rsidR="00B974DE" w:rsidRPr="00A9681B">
        <w:t xml:space="preserve">eighteen-month </w:t>
      </w:r>
      <w:r w:rsidR="00C723ED" w:rsidRPr="00A9681B">
        <w:t xml:space="preserve">transitional period, </w:t>
      </w:r>
      <w:r w:rsidR="00282111" w:rsidRPr="00A9681B">
        <w:t xml:space="preserve">(ii) </w:t>
      </w:r>
      <w:r w:rsidR="00B974DE" w:rsidRPr="00A9681B">
        <w:t>the fact that the applicant</w:t>
      </w:r>
      <w:r w:rsidR="000A4053" w:rsidRPr="00A9681B">
        <w:t xml:space="preserve"> companie</w:t>
      </w:r>
      <w:r w:rsidR="00B974DE" w:rsidRPr="00A9681B">
        <w:t xml:space="preserve">s were </w:t>
      </w:r>
      <w:r w:rsidR="00282111" w:rsidRPr="00A9681B">
        <w:t>never</w:t>
      </w:r>
      <w:r w:rsidR="00B974DE" w:rsidRPr="00A9681B">
        <w:t xml:space="preserve"> invited </w:t>
      </w:r>
      <w:r w:rsidR="00682AC5" w:rsidRPr="00A9681B">
        <w:t xml:space="preserve">by Könyvtárellátó </w:t>
      </w:r>
      <w:r w:rsidR="00B974DE" w:rsidRPr="00A9681B">
        <w:t xml:space="preserve">to </w:t>
      </w:r>
      <w:r w:rsidR="006666E2" w:rsidRPr="00A9681B">
        <w:t xml:space="preserve">participate in </w:t>
      </w:r>
      <w:r w:rsidR="00B974DE" w:rsidRPr="00A9681B">
        <w:t>any closed tender</w:t>
      </w:r>
      <w:r w:rsidR="00682AC5" w:rsidRPr="00A9681B">
        <w:t>s after the entry into force of the New Regulations</w:t>
      </w:r>
      <w:r w:rsidR="003B21B7" w:rsidRPr="00A9681B">
        <w:t xml:space="preserve"> and that </w:t>
      </w:r>
      <w:r w:rsidR="000A4053" w:rsidRPr="00A9681B">
        <w:t>they</w:t>
      </w:r>
      <w:r w:rsidR="003B21B7" w:rsidRPr="00A9681B">
        <w:t xml:space="preserve"> were </w:t>
      </w:r>
      <w:r w:rsidR="003B21B7" w:rsidRPr="00A9681B">
        <w:rPr>
          <w:i/>
        </w:rPr>
        <w:t>de facto</w:t>
      </w:r>
      <w:r w:rsidR="003B21B7" w:rsidRPr="00A9681B">
        <w:t xml:space="preserve"> excluded from the schoolbook distribution contracts as of the 2013/14 school year</w:t>
      </w:r>
      <w:r w:rsidR="004A5108" w:rsidRPr="00A9681B">
        <w:t xml:space="preserve">, </w:t>
      </w:r>
      <w:r w:rsidR="00282111" w:rsidRPr="00A9681B">
        <w:t xml:space="preserve">(iii) the fact </w:t>
      </w:r>
      <w:r w:rsidR="004A5108" w:rsidRPr="00A9681B">
        <w:t xml:space="preserve">that </w:t>
      </w:r>
      <w:r w:rsidR="00282111" w:rsidRPr="00A9681B">
        <w:t>no</w:t>
      </w:r>
      <w:r w:rsidR="004A5108" w:rsidRPr="00A9681B">
        <w:t xml:space="preserve"> </w:t>
      </w:r>
      <w:r w:rsidR="00282111" w:rsidRPr="00A9681B">
        <w:t>measures were put in place to protect the applicant</w:t>
      </w:r>
      <w:r w:rsidR="000A4053" w:rsidRPr="00A9681B">
        <w:t xml:space="preserve"> companies</w:t>
      </w:r>
      <w:r w:rsidR="00282111" w:rsidRPr="00A9681B">
        <w:t xml:space="preserve"> from arbitrariness or </w:t>
      </w:r>
      <w:r w:rsidR="00271CD8" w:rsidRPr="00A9681B">
        <w:t>to offer</w:t>
      </w:r>
      <w:r w:rsidR="00282111" w:rsidRPr="00A9681B">
        <w:t xml:space="preserve"> them redress in terms of compensation, (iv) </w:t>
      </w:r>
      <w:r w:rsidR="00C723ED" w:rsidRPr="00A9681B">
        <w:t xml:space="preserve">the </w:t>
      </w:r>
      <w:r w:rsidR="006666E2" w:rsidRPr="00A9681B">
        <w:t>fact that it was impossible for</w:t>
      </w:r>
      <w:r w:rsidR="00C723ED" w:rsidRPr="00A9681B">
        <w:t xml:space="preserve"> the applicant</w:t>
      </w:r>
      <w:r w:rsidR="000A4053" w:rsidRPr="00A9681B">
        <w:t xml:space="preserve"> companie</w:t>
      </w:r>
      <w:r w:rsidR="00C723ED" w:rsidRPr="00A9681B">
        <w:t xml:space="preserve">s to continue or reconstitute their business outside the </w:t>
      </w:r>
      <w:r w:rsidR="006666E2" w:rsidRPr="00A9681B">
        <w:t xml:space="preserve">sphere of </w:t>
      </w:r>
      <w:r w:rsidR="00C723ED" w:rsidRPr="00A9681B">
        <w:t>schoolbook distribution</w:t>
      </w:r>
      <w:r w:rsidR="00FC6F60" w:rsidRPr="00A9681B">
        <w:t>,</w:t>
      </w:r>
      <w:r w:rsidR="00C723ED" w:rsidRPr="00A9681B">
        <w:t xml:space="preserve"> and </w:t>
      </w:r>
      <w:r w:rsidR="00282111" w:rsidRPr="00A9681B">
        <w:t xml:space="preserve">(v) </w:t>
      </w:r>
      <w:r w:rsidR="00C723ED" w:rsidRPr="00A9681B">
        <w:t xml:space="preserve">the absence of </w:t>
      </w:r>
      <w:r w:rsidR="006666E2" w:rsidRPr="00A9681B">
        <w:t xml:space="preserve">any </w:t>
      </w:r>
      <w:r w:rsidR="00C723ED" w:rsidRPr="00A9681B">
        <w:t>real bene</w:t>
      </w:r>
      <w:r w:rsidR="00B974DE" w:rsidRPr="00A9681B">
        <w:t xml:space="preserve">fits for the parents or pupils, </w:t>
      </w:r>
      <w:r w:rsidR="00014566" w:rsidRPr="00A9681B">
        <w:t>the Court conclude</w:t>
      </w:r>
      <w:r w:rsidR="00C723ED" w:rsidRPr="00A9681B">
        <w:t>s</w:t>
      </w:r>
      <w:r w:rsidR="00014566" w:rsidRPr="00A9681B">
        <w:t xml:space="preserve"> that </w:t>
      </w:r>
      <w:r w:rsidR="009D3C69" w:rsidRPr="00A9681B">
        <w:t>the interference with the applicant</w:t>
      </w:r>
      <w:r w:rsidR="0037758D" w:rsidRPr="00A9681B">
        <w:t xml:space="preserve"> </w:t>
      </w:r>
      <w:r w:rsidR="0037758D" w:rsidRPr="00A9681B">
        <w:rPr>
          <w:rFonts w:eastAsia="Times New Roman"/>
          <w:lang w:eastAsia="fr-FR"/>
        </w:rPr>
        <w:t>companies</w:t>
      </w:r>
      <w:r w:rsidR="00A9681B" w:rsidRPr="00A9681B">
        <w:rPr>
          <w:rFonts w:eastAsia="Times New Roman"/>
          <w:lang w:eastAsia="fr-FR"/>
        </w:rPr>
        <w:t>’</w:t>
      </w:r>
      <w:r w:rsidR="009D3C69" w:rsidRPr="00A9681B">
        <w:t xml:space="preserve"> right was disproportionate to the aim pursued</w:t>
      </w:r>
      <w:r w:rsidR="007F6679" w:rsidRPr="00A9681B">
        <w:t>,</w:t>
      </w:r>
      <w:r w:rsidR="009D3C69" w:rsidRPr="00A9681B">
        <w:t xml:space="preserve"> in that they had to bear an individual and excessive burden</w:t>
      </w:r>
      <w:r w:rsidR="00A960C2" w:rsidRPr="00A9681B">
        <w:t xml:space="preserve">. </w:t>
      </w:r>
      <w:r w:rsidR="009D3C69" w:rsidRPr="00A9681B">
        <w:t xml:space="preserve">Therefore, </w:t>
      </w:r>
      <w:r w:rsidR="00C723ED" w:rsidRPr="00A9681B">
        <w:t>it</w:t>
      </w:r>
      <w:r w:rsidR="009D3C69" w:rsidRPr="00A9681B">
        <w:t xml:space="preserve"> finds that there has been a violation of Article 1 of Protocol No. 1 to the Convention.</w:t>
      </w:r>
    </w:p>
    <w:p w:rsidR="00014566" w:rsidRPr="00A9681B" w:rsidRDefault="00156213" w:rsidP="00A9681B">
      <w:pPr>
        <w:pStyle w:val="ECHRHeading1"/>
      </w:pPr>
      <w:r w:rsidRPr="00A9681B">
        <w:t>II</w:t>
      </w:r>
      <w:r w:rsidR="00B062F8" w:rsidRPr="00A9681B">
        <w:t>.  </w:t>
      </w:r>
      <w:r w:rsidR="0045411D" w:rsidRPr="00A9681B">
        <w:t xml:space="preserve">OTHER </w:t>
      </w:r>
      <w:r w:rsidR="00CE7ED9" w:rsidRPr="00A9681B">
        <w:t>ALLEGED VIOLATION</w:t>
      </w:r>
      <w:r w:rsidR="00F33685" w:rsidRPr="00A9681B">
        <w:t>S</w:t>
      </w:r>
      <w:r w:rsidR="00CE7ED9" w:rsidRPr="00A9681B">
        <w:t xml:space="preserve"> OF </w:t>
      </w:r>
      <w:r w:rsidR="0045411D" w:rsidRPr="00A9681B">
        <w:t>THE CONVENTION</w:t>
      </w:r>
    </w:p>
    <w:p w:rsidR="00014566" w:rsidRPr="00A9681B" w:rsidRDefault="003C6B66"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60</w:t>
      </w:r>
      <w:r w:rsidRPr="00A9681B">
        <w:fldChar w:fldCharType="end"/>
      </w:r>
      <w:r w:rsidRPr="00A9681B">
        <w:t>.  </w:t>
      </w:r>
      <w:r w:rsidR="00106EAB" w:rsidRPr="00A9681B">
        <w:t>The applicant</w:t>
      </w:r>
      <w:r w:rsidR="0037758D" w:rsidRPr="00A9681B">
        <w:t xml:space="preserve"> </w:t>
      </w:r>
      <w:r w:rsidR="0037758D" w:rsidRPr="00A9681B">
        <w:rPr>
          <w:rFonts w:eastAsia="Times New Roman"/>
          <w:lang w:eastAsia="fr-FR"/>
        </w:rPr>
        <w:t>companies</w:t>
      </w:r>
      <w:r w:rsidR="00106EAB" w:rsidRPr="00A9681B">
        <w:t xml:space="preserve"> complained that t</w:t>
      </w:r>
      <w:r w:rsidR="00AC6366" w:rsidRPr="00A9681B">
        <w:t>he implementation of the New R</w:t>
      </w:r>
      <w:r w:rsidR="00106EAB" w:rsidRPr="00A9681B">
        <w:t>egulations and the introduction of a completely new schoolbook management system by the State</w:t>
      </w:r>
      <w:r w:rsidR="007F6679" w:rsidRPr="00A9681B">
        <w:t>,</w:t>
      </w:r>
      <w:r w:rsidR="00106EAB" w:rsidRPr="00A9681B">
        <w:t xml:space="preserve"> without providing </w:t>
      </w:r>
      <w:r w:rsidR="00AC6366" w:rsidRPr="00A9681B">
        <w:t xml:space="preserve">any </w:t>
      </w:r>
      <w:r w:rsidR="00106EAB" w:rsidRPr="00A9681B">
        <w:t xml:space="preserve">opportunity </w:t>
      </w:r>
      <w:r w:rsidR="00F33685" w:rsidRPr="00A9681B">
        <w:t xml:space="preserve">for them </w:t>
      </w:r>
      <w:r w:rsidR="00106EAB" w:rsidRPr="00A9681B">
        <w:t xml:space="preserve">to seek judicial </w:t>
      </w:r>
      <w:r w:rsidR="006666E2" w:rsidRPr="00A9681B">
        <w:t xml:space="preserve">review </w:t>
      </w:r>
      <w:r w:rsidR="00106EAB" w:rsidRPr="00A9681B">
        <w:t xml:space="preserve">or </w:t>
      </w:r>
      <w:r w:rsidR="006666E2" w:rsidRPr="00A9681B">
        <w:t>redress</w:t>
      </w:r>
      <w:r w:rsidR="007F6679" w:rsidRPr="00A9681B">
        <w:t>,</w:t>
      </w:r>
      <w:r w:rsidR="00106EAB" w:rsidRPr="00A9681B">
        <w:t xml:space="preserve"> amounted to violation</w:t>
      </w:r>
      <w:r w:rsidR="00F33685" w:rsidRPr="00A9681B">
        <w:t>s</w:t>
      </w:r>
      <w:r w:rsidR="00106EAB" w:rsidRPr="00A9681B">
        <w:t xml:space="preserve"> of their rights under Article 6</w:t>
      </w:r>
      <w:r w:rsidR="00AC6366" w:rsidRPr="00A9681B">
        <w:t>,</w:t>
      </w:r>
      <w:r w:rsidR="00106EAB" w:rsidRPr="00A9681B">
        <w:t xml:space="preserve"> as well as </w:t>
      </w:r>
      <w:r w:rsidR="009B75D7" w:rsidRPr="00A9681B">
        <w:t xml:space="preserve">under </w:t>
      </w:r>
      <w:r w:rsidR="00106EAB" w:rsidRPr="00A9681B">
        <w:t xml:space="preserve">Article 13 </w:t>
      </w:r>
      <w:r w:rsidR="00C515F7" w:rsidRPr="00A9681B">
        <w:t xml:space="preserve">of the Convention </w:t>
      </w:r>
      <w:r w:rsidR="00106EAB" w:rsidRPr="00A9681B">
        <w:t>read in conjunction with Article</w:t>
      </w:r>
      <w:r w:rsidR="00F33685" w:rsidRPr="00A9681B">
        <w:t> </w:t>
      </w:r>
      <w:r w:rsidR="0045411D" w:rsidRPr="00A9681B">
        <w:t>1</w:t>
      </w:r>
      <w:r w:rsidR="00106EAB" w:rsidRPr="00A9681B">
        <w:t xml:space="preserve"> of </w:t>
      </w:r>
      <w:r w:rsidR="0045411D" w:rsidRPr="00A9681B">
        <w:t>Protocol No. 1</w:t>
      </w:r>
      <w:r w:rsidR="00106EAB" w:rsidRPr="00A9681B">
        <w:t>.</w:t>
      </w:r>
    </w:p>
    <w:p w:rsidR="0045411D" w:rsidRPr="00A9681B" w:rsidRDefault="005B55F9"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61</w:t>
      </w:r>
      <w:r w:rsidRPr="00A9681B">
        <w:fldChar w:fldCharType="end"/>
      </w:r>
      <w:r w:rsidRPr="00A9681B">
        <w:t>.  </w:t>
      </w:r>
      <w:r w:rsidR="0045411D" w:rsidRPr="00A9681B">
        <w:t xml:space="preserve">They further alleged that, </w:t>
      </w:r>
      <w:r w:rsidR="003C24F3" w:rsidRPr="00A9681B">
        <w:t xml:space="preserve">through </w:t>
      </w:r>
      <w:r w:rsidR="0045411D" w:rsidRPr="00A9681B">
        <w:t xml:space="preserve">the New Regulations, the </w:t>
      </w:r>
      <w:r w:rsidR="006666E2" w:rsidRPr="00A9681B">
        <w:t xml:space="preserve">legislature </w:t>
      </w:r>
      <w:r w:rsidR="0045411D" w:rsidRPr="00A9681B">
        <w:t xml:space="preserve">had created a monopolised schoolbook distribution market in favour of the State-owned Könyvtárellátó, which had </w:t>
      </w:r>
      <w:r w:rsidR="007F6679" w:rsidRPr="00A9681B">
        <w:t xml:space="preserve">previously only </w:t>
      </w:r>
      <w:r w:rsidR="0045411D" w:rsidRPr="00A9681B">
        <w:t>been one of the market players. In their view, this course of action was discriminatory</w:t>
      </w:r>
      <w:r w:rsidR="007F6679" w:rsidRPr="00A9681B">
        <w:t>,</w:t>
      </w:r>
      <w:r w:rsidR="0045411D" w:rsidRPr="00A9681B">
        <w:t xml:space="preserve"> in breach of Article 14 </w:t>
      </w:r>
      <w:r w:rsidR="009B75D7" w:rsidRPr="00A9681B">
        <w:t xml:space="preserve">of the Convention </w:t>
      </w:r>
      <w:r w:rsidR="0045411D" w:rsidRPr="00A9681B">
        <w:t>read in conjunction</w:t>
      </w:r>
      <w:r w:rsidR="0043347A" w:rsidRPr="00A9681B">
        <w:t xml:space="preserve"> with Article 1 of Protocol No. </w:t>
      </w:r>
      <w:r w:rsidR="0045411D" w:rsidRPr="00A9681B">
        <w:t>1.</w:t>
      </w:r>
    </w:p>
    <w:p w:rsidR="00F33685" w:rsidRPr="00A9681B" w:rsidRDefault="0045411D"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62</w:t>
      </w:r>
      <w:r w:rsidRPr="00A9681B">
        <w:fldChar w:fldCharType="end"/>
      </w:r>
      <w:r w:rsidRPr="00A9681B">
        <w:t>.  </w:t>
      </w:r>
      <w:r w:rsidR="00106EAB" w:rsidRPr="00A9681B">
        <w:t xml:space="preserve">The Court reiterates that </w:t>
      </w:r>
      <w:r w:rsidR="00F33685" w:rsidRPr="00A9681B">
        <w:t>Article 13 does not go so far as to guarantee a remedy allowing a Contracting State</w:t>
      </w:r>
      <w:r w:rsidR="00A9681B" w:rsidRPr="00A9681B">
        <w:t>’</w:t>
      </w:r>
      <w:r w:rsidR="00F33685" w:rsidRPr="00A9681B">
        <w:t>s laws as such to be challenged before a national authority on the ground</w:t>
      </w:r>
      <w:r w:rsidR="00035B85" w:rsidRPr="00A9681B">
        <w:t>s</w:t>
      </w:r>
      <w:r w:rsidR="00F33685" w:rsidRPr="00A9681B">
        <w:t xml:space="preserve"> of being contrary to the Convention (see, among other authorities,</w:t>
      </w:r>
      <w:r w:rsidR="00F33685" w:rsidRPr="00A9681B">
        <w:rPr>
          <w:bCs/>
          <w:i/>
          <w:color w:val="000000"/>
        </w:rPr>
        <w:t xml:space="preserve"> </w:t>
      </w:r>
      <w:r w:rsidR="00424704" w:rsidRPr="00A9681B">
        <w:rPr>
          <w:i/>
        </w:rPr>
        <w:t>Magyar Keresztény Mennonita Egyház and Others</w:t>
      </w:r>
      <w:r w:rsidR="00424704" w:rsidRPr="00A9681B">
        <w:t xml:space="preserve"> </w:t>
      </w:r>
      <w:r w:rsidR="00424704" w:rsidRPr="00A9681B">
        <w:rPr>
          <w:i/>
        </w:rPr>
        <w:t>v. Hungary</w:t>
      </w:r>
      <w:r w:rsidR="00424704" w:rsidRPr="00A9681B">
        <w:t xml:space="preserve">, nos. 70945/11 and 8 others, § 124, ECHR 2014 (extracts), </w:t>
      </w:r>
      <w:r w:rsidR="00F33685" w:rsidRPr="00A9681B">
        <w:t xml:space="preserve">and </w:t>
      </w:r>
      <w:r w:rsidR="00F33685" w:rsidRPr="00A9681B">
        <w:rPr>
          <w:i/>
        </w:rPr>
        <w:t>Paksas v. Lithuania</w:t>
      </w:r>
      <w:r w:rsidR="00721C74" w:rsidRPr="00A9681B">
        <w:t xml:space="preserve"> [GC], no. </w:t>
      </w:r>
      <w:r w:rsidR="00F33685" w:rsidRPr="00A9681B">
        <w:t>34932/04, § 114, ECHR 2011). In the instant case, the applicant</w:t>
      </w:r>
      <w:r w:rsidR="0037758D" w:rsidRPr="00A9681B">
        <w:t xml:space="preserve"> </w:t>
      </w:r>
      <w:r w:rsidR="0037758D" w:rsidRPr="00A9681B">
        <w:rPr>
          <w:rFonts w:eastAsia="Times New Roman"/>
          <w:lang w:eastAsia="fr-FR"/>
        </w:rPr>
        <w:t>companies</w:t>
      </w:r>
      <w:r w:rsidR="00A9681B" w:rsidRPr="00A9681B">
        <w:rPr>
          <w:rFonts w:eastAsia="Times New Roman"/>
          <w:lang w:eastAsia="fr-FR"/>
        </w:rPr>
        <w:t>’</w:t>
      </w:r>
      <w:r w:rsidR="00697D41" w:rsidRPr="00A9681B">
        <w:t xml:space="preserve"> complaint under Article </w:t>
      </w:r>
      <w:r w:rsidR="00F33685" w:rsidRPr="00A9681B">
        <w:t>13 is at odds with this principle. Consequently, this complaint is manifestly ill-founded and as such must be declared inadmissible</w:t>
      </w:r>
      <w:r w:rsidR="007E658C" w:rsidRPr="00A9681B">
        <w:t>,</w:t>
      </w:r>
      <w:r w:rsidR="00F33685" w:rsidRPr="00A9681B">
        <w:t xml:space="preserve"> i</w:t>
      </w:r>
      <w:r w:rsidR="0043347A" w:rsidRPr="00A9681B">
        <w:t>n accordance with Article 35 §§ 3 </w:t>
      </w:r>
      <w:r w:rsidR="00F33685" w:rsidRPr="00A9681B">
        <w:t>(a) and 4 of the Convention.</w:t>
      </w:r>
    </w:p>
    <w:p w:rsidR="00106EAB" w:rsidRPr="00A9681B" w:rsidRDefault="00106EAB"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63</w:t>
      </w:r>
      <w:r w:rsidRPr="00A9681B">
        <w:fldChar w:fldCharType="end"/>
      </w:r>
      <w:r w:rsidRPr="00A9681B">
        <w:t>.  </w:t>
      </w:r>
      <w:r w:rsidR="00F33685" w:rsidRPr="00A9681B">
        <w:t>Furthermore, the Court considers that, in the light of its findings concerning Article 1 of Protocol No. 1 (</w:t>
      </w:r>
      <w:r w:rsidR="000A7F70" w:rsidRPr="00A9681B">
        <w:t xml:space="preserve">see </w:t>
      </w:r>
      <w:r w:rsidR="002D6719" w:rsidRPr="00A9681B">
        <w:t xml:space="preserve">paragraph </w:t>
      </w:r>
      <w:r w:rsidR="00682AC5" w:rsidRPr="00A9681B">
        <w:fldChar w:fldCharType="begin"/>
      </w:r>
      <w:r w:rsidR="00682AC5" w:rsidRPr="00A9681B">
        <w:instrText xml:space="preserve"> REF T8 \h </w:instrText>
      </w:r>
      <w:r w:rsidR="00E06CE1" w:rsidRPr="00A9681B">
        <w:instrText xml:space="preserve"> \* MERGEFORMAT </w:instrText>
      </w:r>
      <w:r w:rsidR="00682AC5" w:rsidRPr="00A9681B">
        <w:fldChar w:fldCharType="separate"/>
      </w:r>
      <w:r w:rsidR="00A9681B" w:rsidRPr="00A9681B">
        <w:rPr>
          <w:noProof/>
        </w:rPr>
        <w:t>59</w:t>
      </w:r>
      <w:r w:rsidR="00682AC5" w:rsidRPr="00A9681B">
        <w:fldChar w:fldCharType="end"/>
      </w:r>
      <w:r w:rsidR="00F33685" w:rsidRPr="00A9681B">
        <w:t xml:space="preserve"> above), it is not necessary to examine separately either the admissibility or the merits of th</w:t>
      </w:r>
      <w:r w:rsidR="0045411D" w:rsidRPr="00A9681B">
        <w:t xml:space="preserve">e complaints raised under Article 6 of the Convention and Article 14 of the Convention read in conjunction with Article 1 of Protocol No. 1 </w:t>
      </w:r>
      <w:r w:rsidR="00F33685" w:rsidRPr="00A9681B">
        <w:t>(see</w:t>
      </w:r>
      <w:r w:rsidR="00035B85" w:rsidRPr="00A9681B">
        <w:t>,</w:t>
      </w:r>
      <w:r w:rsidR="00F33685" w:rsidRPr="00A9681B">
        <w:t xml:space="preserve"> </w:t>
      </w:r>
      <w:r w:rsidR="0045411D" w:rsidRPr="00A9681B">
        <w:rPr>
          <w:i/>
        </w:rPr>
        <w:lastRenderedPageBreak/>
        <w:t>mutatis mutandis</w:t>
      </w:r>
      <w:r w:rsidR="00035B85" w:rsidRPr="00A9681B">
        <w:t>,</w:t>
      </w:r>
      <w:r w:rsidR="0045411D" w:rsidRPr="00A9681B">
        <w:t xml:space="preserve"> </w:t>
      </w:r>
      <w:r w:rsidR="000A4053" w:rsidRPr="00A9681B">
        <w:rPr>
          <w:i/>
        </w:rPr>
        <w:t>Magyar Keresztény Mennonita Egyház and Others</w:t>
      </w:r>
      <w:r w:rsidR="00F33685" w:rsidRPr="00A9681B">
        <w:t>, cited above, §</w:t>
      </w:r>
      <w:r w:rsidR="0045411D" w:rsidRPr="00A9681B">
        <w:t>§</w:t>
      </w:r>
      <w:r w:rsidR="00F33685" w:rsidRPr="00A9681B">
        <w:t xml:space="preserve"> </w:t>
      </w:r>
      <w:r w:rsidR="0045411D" w:rsidRPr="00A9681B">
        <w:t xml:space="preserve">121 and </w:t>
      </w:r>
      <w:r w:rsidR="00F33685" w:rsidRPr="00A9681B">
        <w:t>123).</w:t>
      </w:r>
    </w:p>
    <w:p w:rsidR="00014566" w:rsidRPr="00A9681B" w:rsidRDefault="0045411D" w:rsidP="00A9681B">
      <w:pPr>
        <w:pStyle w:val="ECHRHeading1"/>
      </w:pPr>
      <w:r w:rsidRPr="00A9681B">
        <w:t>II</w:t>
      </w:r>
      <w:r w:rsidR="00B062F8" w:rsidRPr="00A9681B">
        <w:t>I</w:t>
      </w:r>
      <w:r w:rsidR="00014566" w:rsidRPr="00A9681B">
        <w:t>.  APPLICATION OF ARTICLE 41 OF THE CONVENTION</w:t>
      </w:r>
    </w:p>
    <w:p w:rsidR="00014566" w:rsidRPr="00A9681B" w:rsidRDefault="00CE0EB3" w:rsidP="00A9681B">
      <w:pPr>
        <w:pStyle w:val="ECHRPara"/>
        <w:keepNext/>
        <w:keepLines/>
      </w:pPr>
      <w:r w:rsidRPr="00A9681B">
        <w:fldChar w:fldCharType="begin"/>
      </w:r>
      <w:r w:rsidRPr="00A9681B">
        <w:instrText xml:space="preserve"> SEQ level0 \*arabic </w:instrText>
      </w:r>
      <w:r w:rsidRPr="00A9681B">
        <w:fldChar w:fldCharType="separate"/>
      </w:r>
      <w:r w:rsidR="00A9681B" w:rsidRPr="00A9681B">
        <w:rPr>
          <w:noProof/>
        </w:rPr>
        <w:t>64</w:t>
      </w:r>
      <w:r w:rsidRPr="00A9681B">
        <w:fldChar w:fldCharType="end"/>
      </w:r>
      <w:r w:rsidR="00014566" w:rsidRPr="00A9681B">
        <w:t>.  Article 41 of the Convention provides:</w:t>
      </w:r>
    </w:p>
    <w:p w:rsidR="00014566" w:rsidRPr="00A9681B" w:rsidRDefault="00014566" w:rsidP="00A9681B">
      <w:pPr>
        <w:pStyle w:val="ECHRParaQuote"/>
        <w:keepNext/>
        <w:keepLines/>
      </w:pPr>
      <w:r w:rsidRPr="00A9681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3978B2" w:rsidRPr="00A9681B" w:rsidRDefault="00703A56"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65</w:t>
      </w:r>
      <w:r w:rsidRPr="00A9681B">
        <w:fldChar w:fldCharType="end"/>
      </w:r>
      <w:r w:rsidRPr="00A9681B">
        <w:t>.  </w:t>
      </w:r>
      <w:r w:rsidR="00014566" w:rsidRPr="00A9681B">
        <w:t xml:space="preserve">The </w:t>
      </w:r>
      <w:r w:rsidRPr="00A9681B">
        <w:t xml:space="preserve">first </w:t>
      </w:r>
      <w:r w:rsidR="00014566" w:rsidRPr="00A9681B">
        <w:t>applicant</w:t>
      </w:r>
      <w:r w:rsidR="0037758D" w:rsidRPr="00A9681B">
        <w:t xml:space="preserve"> company</w:t>
      </w:r>
      <w:r w:rsidR="00014566" w:rsidRPr="00A9681B">
        <w:t xml:space="preserve"> claimed </w:t>
      </w:r>
      <w:r w:rsidR="003F297B" w:rsidRPr="00A9681B">
        <w:t>159,000,000 Hungarian forints (HUF</w:t>
      </w:r>
      <w:r w:rsidR="00562AAC" w:rsidRPr="00A9681B">
        <w:t xml:space="preserve"> –</w:t>
      </w:r>
      <w:r w:rsidR="003F297B" w:rsidRPr="00A9681B">
        <w:t xml:space="preserve"> approximately 521,000</w:t>
      </w:r>
      <w:r w:rsidR="00014566" w:rsidRPr="00A9681B">
        <w:t xml:space="preserve"> euros (EUR)</w:t>
      </w:r>
      <w:r w:rsidR="00340409" w:rsidRPr="00A9681B">
        <w:t>)</w:t>
      </w:r>
      <w:r w:rsidR="00014566" w:rsidRPr="00A9681B">
        <w:t xml:space="preserve"> in respect of pecuniary damage.</w:t>
      </w:r>
      <w:r w:rsidR="003F297B" w:rsidRPr="00A9681B">
        <w:t xml:space="preserve"> The second applicant </w:t>
      </w:r>
      <w:r w:rsidR="0037758D" w:rsidRPr="00A9681B">
        <w:t xml:space="preserve">company </w:t>
      </w:r>
      <w:r w:rsidR="003F297B" w:rsidRPr="00A9681B">
        <w:t>claimed HUF 575,000,000</w:t>
      </w:r>
      <w:r w:rsidR="00340409" w:rsidRPr="00A9681B">
        <w:t xml:space="preserve"> (</w:t>
      </w:r>
      <w:r w:rsidR="003F297B" w:rsidRPr="00A9681B">
        <w:t>approximately EUR</w:t>
      </w:r>
      <w:r w:rsidR="003978B2" w:rsidRPr="00A9681B">
        <w:t> </w:t>
      </w:r>
      <w:r w:rsidR="003F297B" w:rsidRPr="00A9681B">
        <w:t>1,885,000</w:t>
      </w:r>
      <w:r w:rsidR="00340409" w:rsidRPr="00A9681B">
        <w:t>)</w:t>
      </w:r>
      <w:r w:rsidR="003F297B" w:rsidRPr="00A9681B">
        <w:t xml:space="preserve"> in respect of pecuniary damage. The third applicant </w:t>
      </w:r>
      <w:r w:rsidR="0037758D" w:rsidRPr="00A9681B">
        <w:t xml:space="preserve">company </w:t>
      </w:r>
      <w:r w:rsidR="003F297B" w:rsidRPr="00A9681B">
        <w:t>cl</w:t>
      </w:r>
      <w:r w:rsidR="00340409" w:rsidRPr="00A9681B">
        <w:t>aimed HUF 14,500,000 (</w:t>
      </w:r>
      <w:r w:rsidR="003F297B" w:rsidRPr="00A9681B">
        <w:t>approximately EUR 47,500</w:t>
      </w:r>
      <w:r w:rsidR="00340409" w:rsidRPr="00A9681B">
        <w:t>)</w:t>
      </w:r>
      <w:r w:rsidR="003F297B" w:rsidRPr="00A9681B">
        <w:t xml:space="preserve"> in respect of pecuniary damage. </w:t>
      </w:r>
      <w:r w:rsidR="003978B2" w:rsidRPr="00A9681B">
        <w:t>These figures represent the decrease of the companies</w:t>
      </w:r>
      <w:r w:rsidR="00A9681B" w:rsidRPr="00A9681B">
        <w:t>’</w:t>
      </w:r>
      <w:r w:rsidR="003978B2" w:rsidRPr="00A9681B">
        <w:t xml:space="preserve"> equity values, as per an audit report, </w:t>
      </w:r>
      <w:r w:rsidR="006D7399" w:rsidRPr="00A9681B">
        <w:t xml:space="preserve">as a result of </w:t>
      </w:r>
      <w:r w:rsidR="003978B2" w:rsidRPr="00A9681B">
        <w:t>the violation suffered.</w:t>
      </w:r>
    </w:p>
    <w:p w:rsidR="00C27053" w:rsidRPr="00A9681B" w:rsidRDefault="003F297B" w:rsidP="00A9681B">
      <w:pPr>
        <w:pStyle w:val="ECHRPara"/>
      </w:pPr>
      <w:r w:rsidRPr="00A9681B">
        <w:t>The</w:t>
      </w:r>
      <w:r w:rsidR="003978B2" w:rsidRPr="00A9681B">
        <w:t xml:space="preserve">y made </w:t>
      </w:r>
      <w:r w:rsidRPr="00A9681B">
        <w:t>no claims in respect of non-pecuniary damage.</w:t>
      </w:r>
    </w:p>
    <w:p w:rsidR="00014566" w:rsidRPr="00A9681B" w:rsidRDefault="00C27053"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66</w:t>
      </w:r>
      <w:r w:rsidRPr="00A9681B">
        <w:fldChar w:fldCharType="end"/>
      </w:r>
      <w:r w:rsidRPr="00A9681B">
        <w:t>.  </w:t>
      </w:r>
      <w:r w:rsidR="006D7399" w:rsidRPr="00A9681B">
        <w:t>T</w:t>
      </w:r>
      <w:r w:rsidRPr="00A9681B">
        <w:t xml:space="preserve">he first applicant </w:t>
      </w:r>
      <w:r w:rsidR="0037758D" w:rsidRPr="00A9681B">
        <w:t xml:space="preserve">company </w:t>
      </w:r>
      <w:r w:rsidR="006D7399" w:rsidRPr="00A9681B">
        <w:t xml:space="preserve">also </w:t>
      </w:r>
      <w:r w:rsidRPr="00A9681B">
        <w:t>claimed EUR 25,000 plus value</w:t>
      </w:r>
      <w:r w:rsidR="006666E2" w:rsidRPr="00A9681B">
        <w:t>-</w:t>
      </w:r>
      <w:r w:rsidRPr="00A9681B">
        <w:t xml:space="preserve"> added tax (VAT) for legal fees</w:t>
      </w:r>
      <w:r w:rsidR="006D7399" w:rsidRPr="00A9681B">
        <w:t>,</w:t>
      </w:r>
      <w:r w:rsidRPr="00A9681B">
        <w:t xml:space="preserve"> and EUR 3,125 plus VAT for expert fees incurred before the Court. The second applicant </w:t>
      </w:r>
      <w:r w:rsidR="0037758D" w:rsidRPr="00A9681B">
        <w:t xml:space="preserve">company </w:t>
      </w:r>
      <w:r w:rsidR="004355D9" w:rsidRPr="00A9681B">
        <w:t>claimed EUR </w:t>
      </w:r>
      <w:r w:rsidRPr="00A9681B">
        <w:t>5,750 plus VAT</w:t>
      </w:r>
      <w:r w:rsidR="006D7399" w:rsidRPr="00A9681B">
        <w:t>,</w:t>
      </w:r>
      <w:r w:rsidRPr="00A9681B">
        <w:t xml:space="preserve"> and the third applicant </w:t>
      </w:r>
      <w:r w:rsidR="0037758D" w:rsidRPr="00A9681B">
        <w:t xml:space="preserve">company </w:t>
      </w:r>
      <w:r w:rsidR="004355D9" w:rsidRPr="00A9681B">
        <w:t>claimed HUF </w:t>
      </w:r>
      <w:r w:rsidRPr="00A9681B">
        <w:t>590,551 (approximately EUR 1,940) plus VAT for expert fees.</w:t>
      </w:r>
    </w:p>
    <w:p w:rsidR="003F297B" w:rsidRPr="00A9681B" w:rsidRDefault="00CE0EB3"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67</w:t>
      </w:r>
      <w:r w:rsidRPr="00A9681B">
        <w:fldChar w:fldCharType="end"/>
      </w:r>
      <w:r w:rsidR="00014566" w:rsidRPr="00A9681B">
        <w:t>.  </w:t>
      </w:r>
      <w:r w:rsidR="003F297B" w:rsidRPr="00A9681B">
        <w:t>The Government contested these claims as excessive</w:t>
      </w:r>
      <w:r w:rsidR="003978B2" w:rsidRPr="00A9681B">
        <w:t>.</w:t>
      </w:r>
    </w:p>
    <w:p w:rsidR="00C27053" w:rsidRPr="00A9681B" w:rsidRDefault="00C27053"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68</w:t>
      </w:r>
      <w:r w:rsidRPr="00A9681B">
        <w:fldChar w:fldCharType="end"/>
      </w:r>
      <w:r w:rsidRPr="00A9681B">
        <w:t>.  The Court considers that the questio</w:t>
      </w:r>
      <w:r w:rsidR="004355D9" w:rsidRPr="00A9681B">
        <w:t>n of the application of Article </w:t>
      </w:r>
      <w:r w:rsidRPr="00A9681B">
        <w:t>41 is not ready for decision. It i</w:t>
      </w:r>
      <w:r w:rsidR="003978B2" w:rsidRPr="00A9681B">
        <w:t>s therefore necessary to reserve</w:t>
      </w:r>
      <w:r w:rsidRPr="00A9681B">
        <w:t xml:space="preserve"> the matter, due regard being had to the possibility of an agreement between the respondent State and the applicant</w:t>
      </w:r>
      <w:r w:rsidR="0037758D" w:rsidRPr="00A9681B">
        <w:t xml:space="preserve"> companies</w:t>
      </w:r>
      <w:r w:rsidRPr="00A9681B">
        <w:t xml:space="preserve"> (Rule 75 §§ 1 and 4 of the Rules of Court).</w:t>
      </w:r>
    </w:p>
    <w:p w:rsidR="00C27053" w:rsidRPr="00A9681B" w:rsidRDefault="002D0B08" w:rsidP="00A9681B">
      <w:pPr>
        <w:pStyle w:val="ECHRPara"/>
      </w:pPr>
      <w:r w:rsidRPr="00A9681B">
        <w:fldChar w:fldCharType="begin"/>
      </w:r>
      <w:r w:rsidRPr="00A9681B">
        <w:instrText xml:space="preserve"> SEQ level0 \*arabic </w:instrText>
      </w:r>
      <w:r w:rsidRPr="00A9681B">
        <w:fldChar w:fldCharType="separate"/>
      </w:r>
      <w:r w:rsidR="00A9681B" w:rsidRPr="00A9681B">
        <w:rPr>
          <w:noProof/>
        </w:rPr>
        <w:t>69</w:t>
      </w:r>
      <w:r w:rsidRPr="00A9681B">
        <w:fldChar w:fldCharType="end"/>
      </w:r>
      <w:r w:rsidRPr="00A9681B">
        <w:t>.  </w:t>
      </w:r>
      <w:r w:rsidR="00C27053" w:rsidRPr="00A9681B">
        <w:t>Accordingly, the Court reserves th</w:t>
      </w:r>
      <w:r w:rsidR="006D7399" w:rsidRPr="00A9681B">
        <w:t>is</w:t>
      </w:r>
      <w:r w:rsidR="00C27053" w:rsidRPr="00A9681B">
        <w:t xml:space="preserve"> question and invites the Government and the applicant</w:t>
      </w:r>
      <w:r w:rsidR="0037758D" w:rsidRPr="00A9681B">
        <w:t xml:space="preserve"> companies</w:t>
      </w:r>
      <w:r w:rsidR="00C27053" w:rsidRPr="00A9681B">
        <w:t xml:space="preserve"> to notify it, within three months from the date on which the judgment becomes final in accordance with Article 44 § 2 of the Convention, of any agreement that they may reach.</w:t>
      </w:r>
    </w:p>
    <w:p w:rsidR="00014566" w:rsidRPr="00A9681B" w:rsidRDefault="00BB5883" w:rsidP="00A9681B">
      <w:pPr>
        <w:pStyle w:val="ECHRTitle1"/>
      </w:pPr>
      <w:r w:rsidRPr="00A9681B">
        <w:t>FOR THESE REASONS, THE COURT</w:t>
      </w:r>
    </w:p>
    <w:p w:rsidR="00B637B9" w:rsidRPr="00A9681B" w:rsidRDefault="00B637B9" w:rsidP="00A9681B">
      <w:pPr>
        <w:pStyle w:val="JuList"/>
      </w:pPr>
      <w:r w:rsidRPr="00A9681B">
        <w:t>1.  </w:t>
      </w:r>
      <w:r w:rsidRPr="00A9681B">
        <w:rPr>
          <w:i/>
        </w:rPr>
        <w:t>Declares</w:t>
      </w:r>
      <w:r w:rsidR="00CE0EB3" w:rsidRPr="00A9681B">
        <w:t>,</w:t>
      </w:r>
      <w:r w:rsidR="002D0B08" w:rsidRPr="00A9681B">
        <w:t xml:space="preserve"> </w:t>
      </w:r>
      <w:r w:rsidR="00CE0EB3" w:rsidRPr="00A9681B">
        <w:t>unanimously,</w:t>
      </w:r>
      <w:r w:rsidRPr="00A9681B">
        <w:t xml:space="preserve"> the complaint concerning </w:t>
      </w:r>
      <w:r w:rsidR="0045411D" w:rsidRPr="00A9681B">
        <w:t>Article 1 of Protocol No. 1</w:t>
      </w:r>
      <w:r w:rsidRPr="00A9681B">
        <w:t xml:space="preserve"> </w:t>
      </w:r>
      <w:r w:rsidR="00721C74" w:rsidRPr="00A9681B">
        <w:t xml:space="preserve">to the Convention </w:t>
      </w:r>
      <w:r w:rsidRPr="00A9681B">
        <w:t>admissible;</w:t>
      </w:r>
    </w:p>
    <w:p w:rsidR="0045411D" w:rsidRPr="00A9681B" w:rsidRDefault="0045411D" w:rsidP="00A9681B">
      <w:pPr>
        <w:pStyle w:val="JuList"/>
      </w:pPr>
    </w:p>
    <w:p w:rsidR="0045411D" w:rsidRPr="00A9681B" w:rsidRDefault="0045411D" w:rsidP="00A9681B">
      <w:pPr>
        <w:pStyle w:val="JuList"/>
      </w:pPr>
      <w:r w:rsidRPr="00A9681B">
        <w:t>2.  </w:t>
      </w:r>
      <w:r w:rsidRPr="00A9681B">
        <w:rPr>
          <w:i/>
        </w:rPr>
        <w:t>Declares</w:t>
      </w:r>
      <w:r w:rsidRPr="00A9681B">
        <w:t xml:space="preserve">, </w:t>
      </w:r>
      <w:r w:rsidR="002D0B08" w:rsidRPr="00A9681B">
        <w:t>unanimously,</w:t>
      </w:r>
      <w:r w:rsidRPr="00A9681B">
        <w:t xml:space="preserve"> the complaint concerning Article 13 of the Convention</w:t>
      </w:r>
      <w:r w:rsidR="006D7399" w:rsidRPr="00A9681B">
        <w:t>,</w:t>
      </w:r>
      <w:r w:rsidRPr="00A9681B">
        <w:t xml:space="preserve"> read in conjunction with Article 1 of Protocol No. 1</w:t>
      </w:r>
      <w:r w:rsidR="006D7399" w:rsidRPr="00A9681B">
        <w:t>,</w:t>
      </w:r>
      <w:r w:rsidRPr="00A9681B">
        <w:t xml:space="preserve"> inadmissible;</w:t>
      </w:r>
    </w:p>
    <w:p w:rsidR="00014566" w:rsidRPr="00A9681B" w:rsidRDefault="00014566" w:rsidP="00A9681B">
      <w:pPr>
        <w:pStyle w:val="JuList"/>
        <w:ind w:left="0" w:firstLine="0"/>
      </w:pPr>
    </w:p>
    <w:p w:rsidR="0045411D" w:rsidRPr="00A9681B" w:rsidRDefault="0045411D" w:rsidP="00A9681B">
      <w:pPr>
        <w:pStyle w:val="JuList"/>
      </w:pPr>
      <w:r w:rsidRPr="00A9681B">
        <w:lastRenderedPageBreak/>
        <w:t>3</w:t>
      </w:r>
      <w:r w:rsidR="00014566" w:rsidRPr="00A9681B">
        <w:t>.  </w:t>
      </w:r>
      <w:r w:rsidR="00014566" w:rsidRPr="00A9681B">
        <w:rPr>
          <w:i/>
        </w:rPr>
        <w:t>Holds</w:t>
      </w:r>
      <w:r w:rsidR="00CE0EB3" w:rsidRPr="00A9681B">
        <w:t>, unanimously,</w:t>
      </w:r>
      <w:r w:rsidR="00014566" w:rsidRPr="00A9681B">
        <w:rPr>
          <w:color w:val="000000"/>
        </w:rPr>
        <w:t xml:space="preserve"> </w:t>
      </w:r>
      <w:r w:rsidR="00014566" w:rsidRPr="00A9681B">
        <w:t xml:space="preserve">that </w:t>
      </w:r>
      <w:r w:rsidRPr="00A9681B">
        <w:t xml:space="preserve">there is no need to examine separately the admissibility or the merits </w:t>
      </w:r>
      <w:r w:rsidR="0043347A" w:rsidRPr="00A9681B">
        <w:t xml:space="preserve">of the complaints under Article </w:t>
      </w:r>
      <w:r w:rsidRPr="00A9681B">
        <w:t>6 § 1 of the Convention</w:t>
      </w:r>
      <w:r w:rsidR="00DD34F3" w:rsidRPr="00A9681B">
        <w:t xml:space="preserve"> and Article 14 read in conjunction with Article 1 of Protocol No. 1</w:t>
      </w:r>
      <w:r w:rsidRPr="00A9681B">
        <w:t>;</w:t>
      </w:r>
    </w:p>
    <w:p w:rsidR="00014566" w:rsidRPr="00A9681B" w:rsidRDefault="00014566" w:rsidP="00A9681B">
      <w:pPr>
        <w:pStyle w:val="JuList"/>
      </w:pPr>
    </w:p>
    <w:p w:rsidR="00014566" w:rsidRPr="00A9681B" w:rsidRDefault="00DD34F3" w:rsidP="00A9681B">
      <w:pPr>
        <w:pStyle w:val="JuList"/>
      </w:pPr>
      <w:r w:rsidRPr="00A9681B">
        <w:t>4</w:t>
      </w:r>
      <w:r w:rsidR="00014566" w:rsidRPr="00A9681B">
        <w:t>.  </w:t>
      </w:r>
      <w:r w:rsidR="00014566" w:rsidRPr="00A9681B">
        <w:rPr>
          <w:i/>
        </w:rPr>
        <w:t>Holds</w:t>
      </w:r>
      <w:r w:rsidR="00CE0EB3" w:rsidRPr="00A9681B">
        <w:t xml:space="preserve">, by </w:t>
      </w:r>
      <w:r w:rsidR="002D0B08" w:rsidRPr="00A9681B">
        <w:t xml:space="preserve">six </w:t>
      </w:r>
      <w:r w:rsidR="00CE0EB3" w:rsidRPr="00A9681B">
        <w:t xml:space="preserve">votes to </w:t>
      </w:r>
      <w:r w:rsidR="002D0B08" w:rsidRPr="00A9681B">
        <w:t>one,</w:t>
      </w:r>
      <w:r w:rsidR="00014566" w:rsidRPr="00A9681B">
        <w:rPr>
          <w:color w:val="000000"/>
        </w:rPr>
        <w:t xml:space="preserve"> </w:t>
      </w:r>
      <w:r w:rsidR="00014566" w:rsidRPr="00A9681B">
        <w:t xml:space="preserve">that there has been a violation of </w:t>
      </w:r>
      <w:r w:rsidRPr="00A9681B">
        <w:t xml:space="preserve">Article 1 of Protocol No. 1 </w:t>
      </w:r>
      <w:r w:rsidR="000A4053" w:rsidRPr="00A9681B">
        <w:t>to</w:t>
      </w:r>
      <w:r w:rsidR="00014566" w:rsidRPr="00A9681B">
        <w:t xml:space="preserve"> the Convention;</w:t>
      </w:r>
    </w:p>
    <w:p w:rsidR="00014566" w:rsidRPr="00A9681B" w:rsidRDefault="00014566" w:rsidP="00A9681B">
      <w:pPr>
        <w:pStyle w:val="JuList"/>
      </w:pPr>
    </w:p>
    <w:p w:rsidR="00DD34F3" w:rsidRPr="00A9681B" w:rsidRDefault="00DD34F3" w:rsidP="00A9681B">
      <w:pPr>
        <w:pStyle w:val="JuList"/>
        <w:ind w:left="284" w:hanging="284"/>
      </w:pPr>
      <w:r w:rsidRPr="00A9681B">
        <w:t>5.  </w:t>
      </w:r>
      <w:r w:rsidR="002D0B08" w:rsidRPr="00A9681B">
        <w:rPr>
          <w:i/>
        </w:rPr>
        <w:t>Holds</w:t>
      </w:r>
      <w:r w:rsidRPr="00A9681B">
        <w:t xml:space="preserve">, by </w:t>
      </w:r>
      <w:r w:rsidR="002D0B08" w:rsidRPr="00A9681B">
        <w:t>six</w:t>
      </w:r>
      <w:r w:rsidRPr="00A9681B">
        <w:t xml:space="preserve"> votes to </w:t>
      </w:r>
      <w:r w:rsidR="002D0B08" w:rsidRPr="00A9681B">
        <w:t>one</w:t>
      </w:r>
      <w:r w:rsidRPr="00A9681B">
        <w:t>, that the question of the application of Article</w:t>
      </w:r>
      <w:r w:rsidR="002D0B08" w:rsidRPr="00A9681B">
        <w:t> </w:t>
      </w:r>
      <w:r w:rsidRPr="00A9681B">
        <w:t xml:space="preserve">41 is not ready for decision; </w:t>
      </w:r>
      <w:r w:rsidR="009E38D6" w:rsidRPr="00A9681B">
        <w:t xml:space="preserve">and </w:t>
      </w:r>
      <w:r w:rsidRPr="00A9681B">
        <w:t>accordingly,</w:t>
      </w:r>
    </w:p>
    <w:p w:rsidR="00DD34F3" w:rsidRPr="00A9681B" w:rsidRDefault="00DD34F3" w:rsidP="00A9681B">
      <w:pPr>
        <w:pStyle w:val="JuLista"/>
      </w:pPr>
      <w:r w:rsidRPr="00A9681B">
        <w:t>(a)  </w:t>
      </w:r>
      <w:r w:rsidRPr="00A9681B">
        <w:rPr>
          <w:i/>
        </w:rPr>
        <w:t>reserves</w:t>
      </w:r>
      <w:r w:rsidRPr="00A9681B">
        <w:t xml:space="preserve"> the said question in whole;</w:t>
      </w:r>
    </w:p>
    <w:p w:rsidR="00DD34F3" w:rsidRPr="00A9681B" w:rsidRDefault="00DD34F3" w:rsidP="00A9681B">
      <w:pPr>
        <w:pStyle w:val="JuLista"/>
      </w:pPr>
      <w:r w:rsidRPr="00A9681B">
        <w:t>(b)  </w:t>
      </w:r>
      <w:r w:rsidRPr="00A9681B">
        <w:rPr>
          <w:i/>
        </w:rPr>
        <w:t>invites</w:t>
      </w:r>
      <w:r w:rsidRPr="00A9681B">
        <w:t xml:space="preserve"> the Government and the applicant</w:t>
      </w:r>
      <w:r w:rsidR="0037758D" w:rsidRPr="00A9681B">
        <w:t xml:space="preserve"> companies</w:t>
      </w:r>
      <w:r w:rsidRPr="00A9681B">
        <w:t xml:space="preserve"> to notify the Court, within three months from the date on which the judgment becomes final in accordance with Article 44 § 2 of the Convention, of any agreement that they may reach;</w:t>
      </w:r>
    </w:p>
    <w:p w:rsidR="00DD34F3" w:rsidRPr="00A9681B" w:rsidRDefault="00DD34F3" w:rsidP="00A9681B">
      <w:pPr>
        <w:pStyle w:val="JuLista"/>
      </w:pPr>
      <w:r w:rsidRPr="00A9681B">
        <w:t>(c)  </w:t>
      </w:r>
      <w:r w:rsidRPr="00A9681B">
        <w:rPr>
          <w:i/>
        </w:rPr>
        <w:t>reserves</w:t>
      </w:r>
      <w:r w:rsidRPr="00A9681B">
        <w:t xml:space="preserve"> the further procedure and delegates to the President of the Chamber the power to fix the same if need be.</w:t>
      </w:r>
    </w:p>
    <w:p w:rsidR="00014566" w:rsidRPr="00A9681B" w:rsidRDefault="00014566" w:rsidP="00A9681B">
      <w:pPr>
        <w:pStyle w:val="JuParaLast"/>
      </w:pPr>
      <w:r w:rsidRPr="00A9681B">
        <w:t xml:space="preserve">Done in English, and notified in writing on </w:t>
      </w:r>
      <w:r w:rsidR="00766713" w:rsidRPr="00A9681B">
        <w:t>16 October 2018</w:t>
      </w:r>
      <w:r w:rsidRPr="00A9681B">
        <w:t>, pursuant to Rule 77 §§ 2 and 3 of the Rules of Court.</w:t>
      </w:r>
    </w:p>
    <w:p w:rsidR="00014566" w:rsidRPr="00A9681B" w:rsidRDefault="00014566" w:rsidP="00A9681B">
      <w:pPr>
        <w:pStyle w:val="JuSigned"/>
        <w:rPr>
          <w:lang w:val="pt-PT"/>
        </w:rPr>
      </w:pPr>
      <w:r w:rsidRPr="00A9681B">
        <w:tab/>
      </w:r>
      <w:r w:rsidR="00CE0EB3" w:rsidRPr="00A9681B">
        <w:rPr>
          <w:lang w:val="pt-PT"/>
        </w:rPr>
        <w:t>Marialena Tsirli</w:t>
      </w:r>
      <w:r w:rsidRPr="00A9681B">
        <w:rPr>
          <w:lang w:val="pt-PT"/>
        </w:rPr>
        <w:tab/>
      </w:r>
      <w:r w:rsidR="00721C74" w:rsidRPr="00A9681B">
        <w:rPr>
          <w:szCs w:val="24"/>
          <w:lang w:val="pt-PT"/>
        </w:rPr>
        <w:t>Vincent A. D</w:t>
      </w:r>
      <w:r w:rsidR="00CE0EB3" w:rsidRPr="00A9681B">
        <w:rPr>
          <w:szCs w:val="24"/>
          <w:lang w:val="pt-PT"/>
        </w:rPr>
        <w:t>e Gaetano</w:t>
      </w:r>
      <w:r w:rsidR="00E1557C" w:rsidRPr="00A9681B">
        <w:rPr>
          <w:szCs w:val="24"/>
          <w:lang w:val="pt-PT"/>
        </w:rPr>
        <w:br/>
      </w:r>
      <w:r w:rsidRPr="00A9681B">
        <w:rPr>
          <w:lang w:val="pt-PT"/>
        </w:rPr>
        <w:tab/>
      </w:r>
      <w:r w:rsidR="00CE0EB3" w:rsidRPr="00A9681B">
        <w:rPr>
          <w:iCs/>
          <w:lang w:val="pt-PT"/>
        </w:rPr>
        <w:t>Registrar</w:t>
      </w:r>
      <w:r w:rsidRPr="00A9681B">
        <w:rPr>
          <w:lang w:val="pt-PT"/>
        </w:rPr>
        <w:tab/>
        <w:t>President</w:t>
      </w:r>
    </w:p>
    <w:p w:rsidR="00003C7A" w:rsidRPr="00A9681B" w:rsidRDefault="00003C7A" w:rsidP="00A9681B">
      <w:pPr>
        <w:pStyle w:val="JuParaLast"/>
        <w:rPr>
          <w:lang w:val="pt-PT"/>
        </w:rPr>
      </w:pPr>
    </w:p>
    <w:p w:rsidR="00EA5943" w:rsidRPr="00A9681B" w:rsidRDefault="00EA5943" w:rsidP="00A9681B">
      <w:pPr>
        <w:pStyle w:val="JuParaLast"/>
      </w:pPr>
      <w:r w:rsidRPr="00A9681B">
        <w:t>In accordance with Article 45 § 2 of the Convention and Rule 74 § 2 of the Rules of Court, the following separate opinions are annexed to this judgment:</w:t>
      </w:r>
    </w:p>
    <w:p w:rsidR="00EA5943" w:rsidRPr="00A9681B" w:rsidRDefault="00EA5943" w:rsidP="00A9681B">
      <w:pPr>
        <w:pStyle w:val="ECHRPara"/>
      </w:pPr>
      <w:r w:rsidRPr="00A9681B">
        <w:t>(a)  </w:t>
      </w:r>
      <w:r w:rsidR="00EF716E" w:rsidRPr="00A9681B">
        <w:t>c</w:t>
      </w:r>
      <w:r w:rsidR="00845E17" w:rsidRPr="00A9681B">
        <w:t>oncurring</w:t>
      </w:r>
      <w:r w:rsidRPr="00A9681B">
        <w:t xml:space="preserve"> opinion of Judge </w:t>
      </w:r>
      <w:r w:rsidR="00845E17" w:rsidRPr="00A9681B">
        <w:t>Pinto de Albuquerque</w:t>
      </w:r>
      <w:r w:rsidRPr="00A9681B">
        <w:t>;</w:t>
      </w:r>
    </w:p>
    <w:p w:rsidR="00EA5943" w:rsidRPr="00A9681B" w:rsidRDefault="00EA5943" w:rsidP="00A9681B">
      <w:pPr>
        <w:pStyle w:val="ECHRPara"/>
      </w:pPr>
      <w:r w:rsidRPr="00A9681B">
        <w:t>(b)  </w:t>
      </w:r>
      <w:r w:rsidR="00EF716E" w:rsidRPr="00A9681B">
        <w:t>concurring opinion of</w:t>
      </w:r>
      <w:r w:rsidRPr="00A9681B">
        <w:t xml:space="preserve"> </w:t>
      </w:r>
      <w:r w:rsidR="00EF716E" w:rsidRPr="00A9681B">
        <w:t>Judge Kūris</w:t>
      </w:r>
      <w:r w:rsidR="007E56C2" w:rsidRPr="00A9681B">
        <w:t>;</w:t>
      </w:r>
    </w:p>
    <w:p w:rsidR="007E56C2" w:rsidRPr="00A9681B" w:rsidRDefault="007E56C2" w:rsidP="00A9681B">
      <w:pPr>
        <w:pStyle w:val="ECHRPara"/>
      </w:pPr>
      <w:r w:rsidRPr="00A9681B">
        <w:t>(c)  </w:t>
      </w:r>
      <w:r w:rsidR="00EF716E" w:rsidRPr="00A9681B">
        <w:t>dissenting opinion</w:t>
      </w:r>
      <w:r w:rsidRPr="00A9681B">
        <w:t xml:space="preserve"> </w:t>
      </w:r>
      <w:r w:rsidR="00EF716E" w:rsidRPr="00A9681B">
        <w:t>of Judge Wojtyczek.</w:t>
      </w:r>
    </w:p>
    <w:p w:rsidR="003C54C0" w:rsidRPr="00A9681B" w:rsidRDefault="003C54C0" w:rsidP="00A9681B">
      <w:pPr>
        <w:pStyle w:val="ECHRPara"/>
      </w:pPr>
    </w:p>
    <w:p w:rsidR="00FB7FD5" w:rsidRPr="00A9681B" w:rsidRDefault="00EA5943" w:rsidP="00A9681B">
      <w:pPr>
        <w:pStyle w:val="JuInitialled"/>
      </w:pPr>
      <w:r w:rsidRPr="00A9681B">
        <w:t>V</w:t>
      </w:r>
      <w:r w:rsidR="00E96AA4" w:rsidRPr="00A9681B">
        <w:t>.</w:t>
      </w:r>
      <w:r w:rsidRPr="00A9681B">
        <w:t>D</w:t>
      </w:r>
      <w:r w:rsidR="00E96AA4" w:rsidRPr="00A9681B">
        <w:t>.</w:t>
      </w:r>
      <w:r w:rsidRPr="00A9681B">
        <w:t>G</w:t>
      </w:r>
      <w:r w:rsidR="00E96AA4" w:rsidRPr="00A9681B">
        <w:t>.</w:t>
      </w:r>
      <w:r w:rsidRPr="00A9681B">
        <w:br/>
        <w:t>M</w:t>
      </w:r>
      <w:r w:rsidR="00E96AA4" w:rsidRPr="00A9681B">
        <w:t>.</w:t>
      </w:r>
      <w:r w:rsidRPr="00A9681B">
        <w:t>T</w:t>
      </w:r>
      <w:r w:rsidR="00E96AA4" w:rsidRPr="00A9681B">
        <w:t>.</w:t>
      </w:r>
      <w:bookmarkStart w:id="15" w:name="MoreOpi"/>
    </w:p>
    <w:bookmarkEnd w:id="15"/>
    <w:p w:rsidR="00FB7FD5" w:rsidRPr="00A9681B" w:rsidRDefault="00FB7FD5" w:rsidP="00A9681B">
      <w:pPr>
        <w:pStyle w:val="JuInitialled"/>
        <w:sectPr w:rsidR="00FB7FD5" w:rsidRPr="00A9681B" w:rsidSect="00766713">
          <w:headerReference w:type="even" r:id="rId15"/>
          <w:headerReference w:type="default" r:id="rId16"/>
          <w:footnotePr>
            <w:numRestart w:val="eachSect"/>
          </w:footnotePr>
          <w:pgSz w:w="11906" w:h="16838" w:code="9"/>
          <w:pgMar w:top="2274" w:right="2274" w:bottom="1843" w:left="2274" w:header="1701" w:footer="720" w:gutter="0"/>
          <w:pgNumType w:start="1"/>
          <w:cols w:space="720"/>
          <w:docGrid w:linePitch="326"/>
        </w:sectPr>
      </w:pPr>
    </w:p>
    <w:p w:rsidR="00003C7A" w:rsidRPr="00A9681B" w:rsidRDefault="00003C7A" w:rsidP="00A9681B">
      <w:pPr>
        <w:pStyle w:val="ECHRTitleCentre1"/>
      </w:pPr>
      <w:r w:rsidRPr="00A9681B">
        <w:lastRenderedPageBreak/>
        <w:t>CONCURRING OPINION OF JUDGE PINTO DE ALBUQUERQUE</w:t>
      </w:r>
    </w:p>
    <w:p w:rsidR="00003C7A" w:rsidRPr="00A9681B" w:rsidRDefault="00824BC9" w:rsidP="00A9681B">
      <w:pPr>
        <w:pStyle w:val="OpiPara"/>
      </w:pPr>
      <w:r w:rsidRPr="00A9681B">
        <w:t>1</w:t>
      </w:r>
      <w:r w:rsidR="00003C7A" w:rsidRPr="00A9681B">
        <w:t>.  </w:t>
      </w:r>
      <w:r w:rsidR="00003C7A" w:rsidRPr="00A9681B">
        <w:rPr>
          <w:i/>
        </w:rPr>
        <w:t>Könyv-Tár Kft and Others v. Hungary</w:t>
      </w:r>
      <w:r w:rsidR="00003C7A" w:rsidRPr="00A9681B">
        <w:t xml:space="preserve"> is a remarkable case for various reasons. It deals for the first time with the creation of a </w:t>
      </w:r>
      <w:r w:rsidR="00003C7A" w:rsidRPr="00A9681B">
        <w:rPr>
          <w:i/>
        </w:rPr>
        <w:t>de facto</w:t>
      </w:r>
      <w:r w:rsidR="00003C7A" w:rsidRPr="00A9681B">
        <w:t xml:space="preserve"> State monopoly in a delicate, profitable economic area, that of schoolbook distribution, in the context of successive State interventions in a particularly sensitive social and political area, that of public school management. Ultimately, what is at stake in this case, and remained unnoticed in the majority judgment, is also the freedom of choice for schools and teachers in Hungary to decide what is taught and how it should be taught. This alone would have prompted me to write separately. But there are additional reasons for me to do so, which relate to the nature of the State</w:t>
      </w:r>
      <w:r w:rsidR="00A9681B" w:rsidRPr="00A9681B">
        <w:t>’</w:t>
      </w:r>
      <w:r w:rsidR="00003C7A" w:rsidRPr="00A9681B">
        <w:t>s intervention in this case and the width of its margin of appreciation.</w:t>
      </w:r>
    </w:p>
    <w:p w:rsidR="00003C7A" w:rsidRPr="00A9681B" w:rsidRDefault="00824BC9" w:rsidP="00A9681B">
      <w:pPr>
        <w:pStyle w:val="OpiPara"/>
      </w:pPr>
      <w:r w:rsidRPr="00A9681B">
        <w:t>2</w:t>
      </w:r>
      <w:r w:rsidR="00003C7A" w:rsidRPr="00A9681B">
        <w:t>.  I agree with the majority that the Government</w:t>
      </w:r>
      <w:r w:rsidR="00A9681B" w:rsidRPr="00A9681B">
        <w:t>’</w:t>
      </w:r>
      <w:r w:rsidR="00003C7A" w:rsidRPr="00A9681B">
        <w:t>s New Regulations</w:t>
      </w:r>
      <w:r w:rsidR="00003C7A" w:rsidRPr="00A9681B">
        <w:rPr>
          <w:vertAlign w:val="superscript"/>
        </w:rPr>
        <w:footnoteReference w:id="1"/>
      </w:r>
      <w:r w:rsidR="00003C7A" w:rsidRPr="00A9681B">
        <w:rPr>
          <w:vertAlign w:val="superscript"/>
        </w:rPr>
        <w:t xml:space="preserve"> </w:t>
      </w:r>
      <w:r w:rsidR="00003C7A" w:rsidRPr="00A9681B">
        <w:t>amounted to a violation of Article 1 of Protocol No. 1 to the Convention. However, I write separately to argue that this legislation amounted to a calculated measure of deprivation of a possession (the applicant companies</w:t>
      </w:r>
      <w:r w:rsidR="00A9681B" w:rsidRPr="00A9681B">
        <w:t>’</w:t>
      </w:r>
      <w:r w:rsidR="00003C7A" w:rsidRPr="00A9681B">
        <w:t xml:space="preserve"> clientele) and not a mere measure of control of the use of their possession. From this perspective, I am of the view that the margin of appreciation afforded to the first of these two forms of State intervention in the economy is narrower than the one accorded to the second, and that the case-law on compensation was directly applicable to the case at hand.</w:t>
      </w:r>
    </w:p>
    <w:p w:rsidR="00003C7A" w:rsidRPr="00A9681B" w:rsidRDefault="00003C7A" w:rsidP="00A9681B">
      <w:pPr>
        <w:pStyle w:val="OpiH1"/>
      </w:pPr>
      <w:r w:rsidRPr="00A9681B">
        <w:t>Deprivation or regulation of the use of a possession?</w:t>
      </w:r>
    </w:p>
    <w:p w:rsidR="00003C7A" w:rsidRPr="00A9681B" w:rsidRDefault="00824BC9" w:rsidP="00A9681B">
      <w:pPr>
        <w:pStyle w:val="OpiPara"/>
      </w:pPr>
      <w:r w:rsidRPr="00A9681B">
        <w:t>3</w:t>
      </w:r>
      <w:r w:rsidR="00003C7A" w:rsidRPr="00A9681B">
        <w:t xml:space="preserve">.  Article 1 of Protocol No. 1 provides for two forms of interference with possessions: control and deprivation. Deprivation is the transfer </w:t>
      </w:r>
      <w:r w:rsidR="00003C7A" w:rsidRPr="00A9681B">
        <w:rPr>
          <w:i/>
        </w:rPr>
        <w:t>de jure</w:t>
      </w:r>
      <w:r w:rsidR="00003C7A" w:rsidRPr="00A9681B">
        <w:t xml:space="preserve"> or </w:t>
      </w:r>
      <w:r w:rsidR="00003C7A" w:rsidRPr="00A9681B">
        <w:rPr>
          <w:i/>
        </w:rPr>
        <w:t>de facto</w:t>
      </w:r>
      <w:r w:rsidR="00003C7A" w:rsidRPr="00A9681B">
        <w:t xml:space="preserve"> of the possession away from its owner to the State or a third party, or its destruction. Control involves no transfer: the owner retains his possession, but is restricted in his use of it.</w:t>
      </w:r>
    </w:p>
    <w:p w:rsidR="00003C7A" w:rsidRPr="00A9681B" w:rsidRDefault="00824BC9" w:rsidP="00A9681B">
      <w:pPr>
        <w:pStyle w:val="OpiPara"/>
      </w:pPr>
      <w:r w:rsidRPr="00A9681B">
        <w:t>4</w:t>
      </w:r>
      <w:r w:rsidR="00003C7A" w:rsidRPr="00A9681B">
        <w:t xml:space="preserve">.  Yet in </w:t>
      </w:r>
      <w:r w:rsidR="00003C7A" w:rsidRPr="00A9681B">
        <w:rPr>
          <w:i/>
        </w:rPr>
        <w:t>Sporrong and Lönnroth</w:t>
      </w:r>
      <w:r w:rsidR="00003C7A" w:rsidRPr="00A9681B">
        <w:t xml:space="preserve"> the Court identified a new type of interference: “interference with the substance of ownership”</w:t>
      </w:r>
      <w:r w:rsidR="00003C7A" w:rsidRPr="00A9681B">
        <w:rPr>
          <w:vertAlign w:val="superscript"/>
        </w:rPr>
        <w:footnoteReference w:id="2"/>
      </w:r>
      <w:r w:rsidR="00003C7A" w:rsidRPr="00A9681B">
        <w:t>, based on the first sentence of Article 1 of the Protocol. This form of interference, said to be of a general nature, allows the Court to review all situations not falling under the other two forms (deprivation or control of use). What qualifies a measure as incompatible with the substance of the right to the peaceful enjoyment of property remains fairly unclear. In any event, the Court has not yet considered that the loss of clientele falls into this category.</w:t>
      </w:r>
    </w:p>
    <w:p w:rsidR="00003C7A" w:rsidRPr="00A9681B" w:rsidRDefault="00824BC9" w:rsidP="00A9681B">
      <w:pPr>
        <w:pStyle w:val="OpiPara"/>
      </w:pPr>
      <w:r w:rsidRPr="00A9681B">
        <w:t>5</w:t>
      </w:r>
      <w:r w:rsidR="00003C7A" w:rsidRPr="00A9681B">
        <w:t xml:space="preserve">.  According to the case-law of the Court, the concept of deprivation of property implies a transfer of ownership, like expropriation or nationalisation. This does not mean, however, that the applicants have been formally deprived of their property. There are some cases where the Court </w:t>
      </w:r>
      <w:r w:rsidR="00003C7A" w:rsidRPr="00A9681B">
        <w:lastRenderedPageBreak/>
        <w:t xml:space="preserve">has characterised </w:t>
      </w:r>
      <w:r w:rsidR="00003C7A" w:rsidRPr="00A9681B">
        <w:rPr>
          <w:i/>
        </w:rPr>
        <w:t>de facto</w:t>
      </w:r>
      <w:r w:rsidR="00003C7A" w:rsidRPr="00A9681B">
        <w:t xml:space="preserve"> expropriation</w:t>
      </w:r>
      <w:r w:rsidR="00003C7A" w:rsidRPr="00A9681B">
        <w:rPr>
          <w:vertAlign w:val="superscript"/>
        </w:rPr>
        <w:footnoteReference w:id="3"/>
      </w:r>
      <w:r w:rsidR="00003C7A" w:rsidRPr="00A9681B">
        <w:t xml:space="preserve"> as deprivation of a possession. However, in all those cases the good was something tangible. Since a clientele is not something tangible of which the applicant has physical possession, the Court has been reluctant to consider the loss of clientele as a form of deprivation of possessions.</w:t>
      </w:r>
    </w:p>
    <w:p w:rsidR="00003C7A" w:rsidRPr="00A9681B" w:rsidRDefault="00824BC9" w:rsidP="00A9681B">
      <w:pPr>
        <w:pStyle w:val="OpiPara"/>
      </w:pPr>
      <w:r w:rsidRPr="00A9681B">
        <w:t>6</w:t>
      </w:r>
      <w:r w:rsidR="00003C7A" w:rsidRPr="00A9681B">
        <w:t>.  The case-law of the Court has not yet precisely defined what constitutes regulation of the use of a possession. But it refers to cases where there was no transfer of ownership and in which the national authorities sought to limit or control the use of the possession, such as restrictions on freedom of contract in respect of tenancies</w:t>
      </w:r>
      <w:r w:rsidR="00003C7A" w:rsidRPr="00A9681B">
        <w:rPr>
          <w:vertAlign w:val="superscript"/>
        </w:rPr>
        <w:footnoteReference w:id="4"/>
      </w:r>
      <w:r w:rsidR="00003C7A" w:rsidRPr="00A9681B">
        <w:t>. However, the Court has also considered that confiscation falls under the regulation of the use of property, if it is provided for by law and pursues an aim in the general interest</w:t>
      </w:r>
      <w:r w:rsidR="00003C7A" w:rsidRPr="00A9681B">
        <w:rPr>
          <w:vertAlign w:val="superscript"/>
        </w:rPr>
        <w:footnoteReference w:id="5"/>
      </w:r>
      <w:r w:rsidR="00003C7A" w:rsidRPr="00A9681B">
        <w:t>.</w:t>
      </w:r>
    </w:p>
    <w:p w:rsidR="00003C7A" w:rsidRPr="00A9681B" w:rsidRDefault="00003C7A" w:rsidP="00A9681B">
      <w:pPr>
        <w:pStyle w:val="OpiH1"/>
      </w:pPr>
      <w:r w:rsidRPr="00A9681B">
        <w:t>Loss of clientele as deprivation of a possession</w:t>
      </w:r>
    </w:p>
    <w:p w:rsidR="00003C7A" w:rsidRPr="00A9681B" w:rsidRDefault="00824BC9" w:rsidP="00A9681B">
      <w:pPr>
        <w:pStyle w:val="OpiPara"/>
      </w:pPr>
      <w:r w:rsidRPr="00A9681B">
        <w:t>7</w:t>
      </w:r>
      <w:r w:rsidR="00003C7A" w:rsidRPr="00A9681B">
        <w:t>.  The loss of clientele has also been included among the forms of regulation of the use of a possession, for example when it resulted from a prohibition on the possession of handguns</w:t>
      </w:r>
      <w:r w:rsidR="00003C7A" w:rsidRPr="00A9681B">
        <w:rPr>
          <w:vertAlign w:val="superscript"/>
        </w:rPr>
        <w:footnoteReference w:id="6"/>
      </w:r>
      <w:r w:rsidR="00003C7A" w:rsidRPr="00A9681B">
        <w:t xml:space="preserve"> or a prohibition on the online intermediation of games of chance</w:t>
      </w:r>
      <w:r w:rsidR="00003C7A" w:rsidRPr="00A9681B">
        <w:rPr>
          <w:vertAlign w:val="superscript"/>
        </w:rPr>
        <w:footnoteReference w:id="7"/>
      </w:r>
      <w:r w:rsidR="00003C7A" w:rsidRPr="00A9681B">
        <w:t>, from a refusal to register someone as a registered accountant</w:t>
      </w:r>
      <w:r w:rsidR="00003C7A" w:rsidRPr="00A9681B">
        <w:rPr>
          <w:vertAlign w:val="superscript"/>
        </w:rPr>
        <w:footnoteReference w:id="8"/>
      </w:r>
      <w:r w:rsidR="00003C7A" w:rsidRPr="00A9681B">
        <w:t>, removal from the Bar</w:t>
      </w:r>
      <w:r w:rsidR="00003C7A" w:rsidRPr="00A9681B">
        <w:rPr>
          <w:vertAlign w:val="superscript"/>
        </w:rPr>
        <w:footnoteReference w:id="9"/>
      </w:r>
      <w:r w:rsidR="00003C7A" w:rsidRPr="00A9681B">
        <w:t>, annulment of registration with the Bar</w:t>
      </w:r>
      <w:r w:rsidR="00003C7A" w:rsidRPr="00A9681B">
        <w:rPr>
          <w:vertAlign w:val="superscript"/>
        </w:rPr>
        <w:footnoteReference w:id="10"/>
      </w:r>
      <w:r w:rsidR="00003C7A" w:rsidRPr="00A9681B">
        <w:t xml:space="preserve"> or annulment of exclusive rights of audience in courts of appeal</w:t>
      </w:r>
      <w:r w:rsidR="00003C7A" w:rsidRPr="00A9681B">
        <w:rPr>
          <w:vertAlign w:val="superscript"/>
        </w:rPr>
        <w:footnoteReference w:id="11"/>
      </w:r>
      <w:r w:rsidR="00003C7A" w:rsidRPr="00A9681B">
        <w:t>.</w:t>
      </w:r>
    </w:p>
    <w:p w:rsidR="00003C7A" w:rsidRPr="00A9681B" w:rsidRDefault="00824BC9" w:rsidP="00A9681B">
      <w:pPr>
        <w:pStyle w:val="OpiPara"/>
      </w:pPr>
      <w:r w:rsidRPr="00A9681B">
        <w:t>8</w:t>
      </w:r>
      <w:r w:rsidR="00003C7A" w:rsidRPr="00A9681B">
        <w:t>.  Basically, these cases refer to dangerous business activities which warrant State licensing (like selling guns or providing games of chance) or professions which require some form of public regulation, like those of lawyer or accountant. Restrictions placed on the registration, licences or permits connected to such businesses or professions are to be considered as forms of State regulation of the economy. This is particularly the case when such measures are designed to promote the “general interest” by structuring a profession that is important to the entire economic sector and by providing the public with guarantees as to the competence of those who carry on that profession</w:t>
      </w:r>
      <w:r w:rsidR="00003C7A" w:rsidRPr="00A9681B">
        <w:rPr>
          <w:vertAlign w:val="superscript"/>
        </w:rPr>
        <w:footnoteReference w:id="12"/>
      </w:r>
      <w:r w:rsidR="00003C7A" w:rsidRPr="00A9681B">
        <w:t>.</w:t>
      </w:r>
    </w:p>
    <w:p w:rsidR="00003C7A" w:rsidRPr="00A9681B" w:rsidRDefault="00824BC9" w:rsidP="00A9681B">
      <w:pPr>
        <w:pStyle w:val="OpiPara"/>
      </w:pPr>
      <w:r w:rsidRPr="00A9681B">
        <w:lastRenderedPageBreak/>
        <w:t>9</w:t>
      </w:r>
      <w:r w:rsidR="00003C7A" w:rsidRPr="00A9681B">
        <w:t>.  The case at hand is different from the above cases. In Hungary, prior to the New Regulations, schools were able to select the publisher and schoolbook distributor in a highly competitive, open market</w:t>
      </w:r>
      <w:r w:rsidR="00003C7A" w:rsidRPr="00A9681B">
        <w:rPr>
          <w:vertAlign w:val="superscript"/>
        </w:rPr>
        <w:footnoteReference w:id="13"/>
      </w:r>
      <w:r w:rsidR="00003C7A" w:rsidRPr="00A9681B">
        <w:t>. The schoolbook distributors needed no specific registration, licence or permit to enter and operate in the market of schoolbook distribution, since they were established and operated in accordance with general civil law</w:t>
      </w:r>
      <w:r w:rsidR="00003C7A" w:rsidRPr="00A9681B">
        <w:rPr>
          <w:vertAlign w:val="superscript"/>
        </w:rPr>
        <w:footnoteReference w:id="14"/>
      </w:r>
      <w:r w:rsidR="00003C7A" w:rsidRPr="00A9681B">
        <w:t>. The distributors</w:t>
      </w:r>
      <w:r w:rsidR="00A9681B" w:rsidRPr="00A9681B">
        <w:t>’</w:t>
      </w:r>
      <w:r w:rsidR="00003C7A" w:rsidRPr="00A9681B">
        <w:t xml:space="preserve"> activity included not only the provision of logistical services but also the execution of the orders, the management of customised billing and the handling of returns of products resulting from over-ordering. Moreover, they also financed the distribution of the schoolbooks as they either purchased the books or obtained them on a consignment basis. In addition, their activity also required them to either own or lease warehouses and delivery vehicles for the purposes of distributing the schoolbooks, and they maintained office premises in order to keep in contact with their upstream and downstream business partners (the schools and the publishers). The applicant companies had, by dint of their continuous work in this unregulated market, gained a clientele. They enjoyed “goodwill” in their professional practice, namely the advantage which had arisen over many years of practice from their own reputation and connections.</w:t>
      </w:r>
    </w:p>
    <w:p w:rsidR="00003C7A" w:rsidRPr="00A9681B" w:rsidRDefault="00824BC9" w:rsidP="00A9681B">
      <w:pPr>
        <w:pStyle w:val="OpiPara"/>
      </w:pPr>
      <w:r w:rsidRPr="00A9681B">
        <w:t>10</w:t>
      </w:r>
      <w:r w:rsidR="00003C7A" w:rsidRPr="00A9681B">
        <w:t>.</w:t>
      </w:r>
      <w:r w:rsidR="00003C7A" w:rsidRPr="00A9681B">
        <w:rPr>
          <w:i/>
        </w:rPr>
        <w:t>  </w:t>
      </w:r>
      <w:r w:rsidR="00003C7A" w:rsidRPr="00A9681B">
        <w:t xml:space="preserve">The case of </w:t>
      </w:r>
      <w:r w:rsidR="00003C7A" w:rsidRPr="00A9681B">
        <w:rPr>
          <w:i/>
        </w:rPr>
        <w:t>Oklešen and Pokopališko Pogrebne Storitve Leopold Oklešen S.P</w:t>
      </w:r>
      <w:r w:rsidR="00003C7A" w:rsidRPr="00A9681B">
        <w:t>.</w:t>
      </w:r>
      <w:r w:rsidR="00003C7A" w:rsidRPr="00A9681B">
        <w:rPr>
          <w:vertAlign w:val="superscript"/>
        </w:rPr>
        <w:footnoteReference w:id="15"/>
      </w:r>
      <w:r w:rsidR="00003C7A" w:rsidRPr="00A9681B">
        <w:t xml:space="preserve"> is the closest to the present case. There, the Court found that the applicant company had an existing possession (a clientele) for the provision of funeral services during a period of legal vacuum, but did not have a reasonable expectation of continuing to provide those services after they were entrusted to the municipal enterprise under the 2000 Decree and the 2002 Amendment. Significantly enough, the Court did not qualify the width of the State</w:t>
      </w:r>
      <w:r w:rsidR="00A9681B" w:rsidRPr="00A9681B">
        <w:t>’</w:t>
      </w:r>
      <w:r w:rsidR="00003C7A" w:rsidRPr="00A9681B">
        <w:t>s margin of appreciation, despite acknowledging that the full nationalisation or municipalisation of funeral services appeared to be a rare occurrence in the member States.</w:t>
      </w:r>
    </w:p>
    <w:p w:rsidR="00003C7A" w:rsidRPr="00A9681B" w:rsidRDefault="00824BC9" w:rsidP="00A9681B">
      <w:pPr>
        <w:pStyle w:val="OpiPara"/>
      </w:pPr>
      <w:r w:rsidRPr="00A9681B">
        <w:t>11</w:t>
      </w:r>
      <w:r w:rsidR="00003C7A" w:rsidRPr="00A9681B">
        <w:t>.  There is however a crucial difference between the Slovenian and Hungarian cases. When the Slovenian company obtained its craft licence, the provision of funeral services had already been designated as a public utility, by law. That is why the Court attached decisive importance to the fact, undisputed by the applicant Mr Oklešen, that throughout the entire period during which he provided funeral services, he had been aware that this was only a temporary solution pending the implementation of the national legislation requiring the municipality to regulate the provision of funeral services as a public utility. Nothing of the sort happened in the schoolbook distribution market in Hungary, since the applicant companies started to operate, and continued to operate for over twenty years</w:t>
      </w:r>
      <w:r w:rsidR="00003C7A" w:rsidRPr="00A9681B">
        <w:rPr>
          <w:vertAlign w:val="superscript"/>
        </w:rPr>
        <w:footnoteReference w:id="16"/>
      </w:r>
      <w:r w:rsidR="00003C7A" w:rsidRPr="00A9681B">
        <w:t>, in an unregulated market which the legislature had not classified as a public</w:t>
      </w:r>
      <w:r w:rsidR="00003C7A" w:rsidRPr="00A9681B">
        <w:noBreakHyphen/>
        <w:t>utility sector of the economy. In the Slovenian case the applicant</w:t>
      </w:r>
      <w:r w:rsidR="00A9681B" w:rsidRPr="00A9681B">
        <w:t>’</w:t>
      </w:r>
      <w:r w:rsidR="00003C7A" w:rsidRPr="00A9681B">
        <w:t xml:space="preserve">s </w:t>
      </w:r>
      <w:r w:rsidR="00003C7A" w:rsidRPr="00A9681B">
        <w:rPr>
          <w:i/>
        </w:rPr>
        <w:t>de facto</w:t>
      </w:r>
      <w:r w:rsidR="00003C7A" w:rsidRPr="00A9681B">
        <w:t xml:space="preserve"> possibility to provide funeral services over the period of seven years, which ceased </w:t>
      </w:r>
      <w:r w:rsidR="00003C7A" w:rsidRPr="00A9681B">
        <w:rPr>
          <w:i/>
        </w:rPr>
        <w:t>de jure</w:t>
      </w:r>
      <w:r w:rsidR="00003C7A" w:rsidRPr="00A9681B">
        <w:t xml:space="preserve"> following the implementation of the 2002 Amendment, was from the beginning of an obviously transitional nature. Not so in the Hungarian case, where the applicant companies worked, invested and grew with a legitimate expectation of being able to continue their business activity.</w:t>
      </w:r>
    </w:p>
    <w:p w:rsidR="00003C7A" w:rsidRPr="00A9681B" w:rsidRDefault="00824BC9" w:rsidP="00A9681B">
      <w:pPr>
        <w:pStyle w:val="OpiPara"/>
      </w:pPr>
      <w:r w:rsidRPr="00A9681B">
        <w:t>12</w:t>
      </w:r>
      <w:r w:rsidR="00003C7A" w:rsidRPr="00A9681B">
        <w:t>.  In Hungary, the State intervened by way of legislative acts in the schoolbook distribution market, reserving this profitable business for itself. It did so by means of a two-step procedure. First, by way of the 2012 Act</w:t>
      </w:r>
      <w:r w:rsidR="00003C7A" w:rsidRPr="00A9681B">
        <w:rPr>
          <w:vertAlign w:val="superscript"/>
        </w:rPr>
        <w:footnoteReference w:id="17"/>
      </w:r>
      <w:r w:rsidR="00003C7A" w:rsidRPr="00A9681B">
        <w:t xml:space="preserve">, the State excluded </w:t>
      </w:r>
      <w:r w:rsidR="00003C7A" w:rsidRPr="00A9681B">
        <w:rPr>
          <w:i/>
        </w:rPr>
        <w:t>de facto</w:t>
      </w:r>
      <w:r w:rsidR="00003C7A" w:rsidRPr="00A9681B">
        <w:t xml:space="preserve"> the applicant companies from schoolbook distribution contracts, allowing companies to apply in order to enter into an agreement with the State-run company within the framework of the public procurement procedures, but limiting the tenders to certain partial activities such as logistics and packaging, to certain parts of Hungary and only to invited participants, which did not include the applicant companies</w:t>
      </w:r>
      <w:r w:rsidR="00003C7A" w:rsidRPr="00A9681B">
        <w:rPr>
          <w:vertAlign w:val="superscript"/>
        </w:rPr>
        <w:footnoteReference w:id="18"/>
      </w:r>
      <w:r w:rsidR="00003C7A" w:rsidRPr="00A9681B">
        <w:t>. Afterwards, by way of the 2013 Act</w:t>
      </w:r>
      <w:r w:rsidR="00003C7A" w:rsidRPr="00A9681B">
        <w:rPr>
          <w:vertAlign w:val="superscript"/>
        </w:rPr>
        <w:footnoteReference w:id="19"/>
      </w:r>
      <w:r w:rsidR="00003C7A" w:rsidRPr="00A9681B">
        <w:t xml:space="preserve">, it excluded them </w:t>
      </w:r>
      <w:r w:rsidR="00003C7A" w:rsidRPr="00A9681B">
        <w:rPr>
          <w:i/>
        </w:rPr>
        <w:t>de jure</w:t>
      </w:r>
      <w:r w:rsidR="00003C7A" w:rsidRPr="00A9681B">
        <w:t xml:space="preserve"> from that market altogether.</w:t>
      </w:r>
    </w:p>
    <w:p w:rsidR="00003C7A" w:rsidRPr="00A9681B" w:rsidRDefault="00824BC9" w:rsidP="00A9681B">
      <w:pPr>
        <w:pStyle w:val="OpiPara"/>
      </w:pPr>
      <w:r w:rsidRPr="00A9681B">
        <w:t>13</w:t>
      </w:r>
      <w:r w:rsidR="00003C7A" w:rsidRPr="00A9681B">
        <w:t xml:space="preserve">.  In the case of </w:t>
      </w:r>
      <w:r w:rsidR="00003C7A" w:rsidRPr="00A9681B">
        <w:rPr>
          <w:i/>
        </w:rPr>
        <w:t>Sporrong and Lönnroth</w:t>
      </w:r>
      <w:r w:rsidR="00003C7A" w:rsidRPr="00A9681B">
        <w:t>, cited above, the Court considered that the national authorities had not actually expropriated the applicants</w:t>
      </w:r>
      <w:r w:rsidR="00A9681B" w:rsidRPr="00A9681B">
        <w:t>’</w:t>
      </w:r>
      <w:r w:rsidR="00003C7A" w:rsidRPr="00A9681B">
        <w:t xml:space="preserve"> buildings and that there had been no transfer of ownership, but decided to look beyond appearances and analysed the reality of the contentious situation complained of. The Court held that the expropriation permits were not intended to limit or control the use of the property, but since they were an initial step in a procedure that ultimately led to a deprivation of possessions, they would be assessed under the first paragraph of Article 1 of Protocol No. 1. In that case, the Court ultimately found that the interference had not been proportionate.</w:t>
      </w:r>
    </w:p>
    <w:p w:rsidR="00003C7A" w:rsidRPr="00A9681B" w:rsidRDefault="00824BC9" w:rsidP="00A9681B">
      <w:pPr>
        <w:pStyle w:val="OpiPara"/>
      </w:pPr>
      <w:r w:rsidRPr="00A9681B">
        <w:t>14</w:t>
      </w:r>
      <w:r w:rsidR="00003C7A" w:rsidRPr="00A9681B">
        <w:t>.  Likewise, in the present case, the Court had a duty to go beyond appearances and evaluate the applicant companies</w:t>
      </w:r>
      <w:r w:rsidR="00A9681B" w:rsidRPr="00A9681B">
        <w:t>’</w:t>
      </w:r>
      <w:r w:rsidR="00003C7A" w:rsidRPr="00A9681B">
        <w:t xml:space="preserve"> situation as whole, considering the different steps in a procedure that ultimately led to the loss of their business activity and of their clientele in the schoolbook distribution market. There is no doubt that in the present case the State pursued a deliberate policy to monopolise the schoolbook distribution market from the outset. As of the 2013/14 school year the applicant companies were suffocated by the omnipresent State-run company in the schoolbook distribution market. What this policy did, in effect, was to centralise the profits from the schoolbook distribution market in the hands of the State-run company (with a margin of 20% guaranteed to the State-owned schoolbook distributor</w:t>
      </w:r>
      <w:r w:rsidR="00003C7A" w:rsidRPr="00A9681B">
        <w:rPr>
          <w:vertAlign w:val="superscript"/>
        </w:rPr>
        <w:footnoteReference w:id="20"/>
      </w:r>
      <w:r w:rsidR="00003C7A" w:rsidRPr="00A9681B">
        <w:t>).</w:t>
      </w:r>
    </w:p>
    <w:p w:rsidR="00003C7A" w:rsidRPr="00A9681B" w:rsidRDefault="00824BC9" w:rsidP="00A9681B">
      <w:pPr>
        <w:pStyle w:val="OpiPara"/>
      </w:pPr>
      <w:r w:rsidRPr="00A9681B">
        <w:t>15.  </w:t>
      </w:r>
      <w:r w:rsidR="00003C7A" w:rsidRPr="00A9681B">
        <w:t>The Court cannot turn a blind eye to the market reality; otherwise, the Convention protection of the right to property would be virtual and ineffective. Given the above considerations, this case amounts to “deprivation of a possession”, because the applicants effectively lost their clientele as of the 2013/14 school year, an asset that they had garnered over twenty years of work in an open and unregulated market.</w:t>
      </w:r>
    </w:p>
    <w:p w:rsidR="00003C7A" w:rsidRPr="00A9681B" w:rsidRDefault="00003C7A" w:rsidP="00A9681B">
      <w:pPr>
        <w:pStyle w:val="OpiH1"/>
      </w:pPr>
      <w:r w:rsidRPr="00A9681B">
        <w:t>The legitimacy of the purpose of the deprivation measure</w:t>
      </w:r>
    </w:p>
    <w:p w:rsidR="00003C7A" w:rsidRPr="00A9681B" w:rsidRDefault="00824BC9" w:rsidP="00A9681B">
      <w:pPr>
        <w:pStyle w:val="OpiPara"/>
      </w:pPr>
      <w:r w:rsidRPr="00A9681B">
        <w:t>16</w:t>
      </w:r>
      <w:r w:rsidR="00003C7A" w:rsidRPr="00A9681B">
        <w:t>.  The Government argue that the purpose of the impugned legislation was “to strengthen the schoolbook procurer</w:t>
      </w:r>
      <w:r w:rsidR="00A9681B" w:rsidRPr="00A9681B">
        <w:t>’</w:t>
      </w:r>
      <w:r w:rsidR="00003C7A" w:rsidRPr="00A9681B">
        <w:t>s position by the uniform and centralised procurement of schoolbooks ... and ... to make schoolbook distribution more transparent by generating competition in a stronger position, that of the procurer”, because “the centralised procurement of schoolbooks is more appropriate to ensure both efficiency of budgetary spending and prevalence of educational aspects in the selection of schoolbooks”</w:t>
      </w:r>
      <w:r w:rsidR="00003C7A" w:rsidRPr="00A9681B">
        <w:rPr>
          <w:vertAlign w:val="superscript"/>
        </w:rPr>
        <w:footnoteReference w:id="21"/>
      </w:r>
      <w:r w:rsidR="00003C7A" w:rsidRPr="00A9681B">
        <w:t>. In their submissions, the Government add that the centralisation measure “served the purpose of ensuring a more efficient spending of public funds (including the purchase price paid by parents)”</w:t>
      </w:r>
      <w:r w:rsidR="00003C7A" w:rsidRPr="00A9681B">
        <w:rPr>
          <w:vertAlign w:val="superscript"/>
        </w:rPr>
        <w:footnoteReference w:id="22"/>
      </w:r>
      <w:r w:rsidR="00003C7A" w:rsidRPr="00A9681B">
        <w:t>.</w:t>
      </w:r>
    </w:p>
    <w:p w:rsidR="00003C7A" w:rsidRPr="00A9681B" w:rsidRDefault="00824BC9" w:rsidP="00A9681B">
      <w:pPr>
        <w:pStyle w:val="OpiPara"/>
      </w:pPr>
      <w:r w:rsidRPr="00A9681B">
        <w:t>17</w:t>
      </w:r>
      <w:r w:rsidR="00003C7A" w:rsidRPr="00A9681B">
        <w:t>.  I share the majority</w:t>
      </w:r>
      <w:r w:rsidR="00A9681B" w:rsidRPr="00A9681B">
        <w:t>’</w:t>
      </w:r>
      <w:r w:rsidR="00003C7A" w:rsidRPr="00A9681B">
        <w:t>s doubts that the real purpose of the new legislation was to protect the interests of the end-users</w:t>
      </w:r>
      <w:r w:rsidR="00003C7A" w:rsidRPr="00A9681B">
        <w:rPr>
          <w:vertAlign w:val="superscript"/>
        </w:rPr>
        <w:footnoteReference w:id="23"/>
      </w:r>
      <w:r w:rsidR="00003C7A" w:rsidRPr="00A9681B">
        <w:t>. I can accept that the New Regulations were aimed at more efficient budgetary spending on schoolbooks in the case of purchases subsidised by the State, which corresponded at the relevant time to a 40% share of end-users according to the Government</w:t>
      </w:r>
      <w:r w:rsidR="00003C7A" w:rsidRPr="00A9681B">
        <w:rPr>
          <w:vertAlign w:val="superscript"/>
        </w:rPr>
        <w:footnoteReference w:id="24"/>
      </w:r>
      <w:r w:rsidR="00003C7A" w:rsidRPr="00A9681B">
        <w:t>. But I doubt that the centralised procurement of schoolbooks was aimed at benefiting the non-subsidised end-users. I will return to this point later.</w:t>
      </w:r>
    </w:p>
    <w:p w:rsidR="00003C7A" w:rsidRPr="00A9681B" w:rsidRDefault="00824BC9" w:rsidP="00A9681B">
      <w:pPr>
        <w:pStyle w:val="OpiPara"/>
      </w:pPr>
      <w:r w:rsidRPr="00A9681B">
        <w:t>18</w:t>
      </w:r>
      <w:r w:rsidR="00003C7A" w:rsidRPr="00A9681B">
        <w:t>.  I also doubt that the New Regulations could contribute to the “prevalence of educational aspects in the selection of schoolbooks”. I fail to see how the monopolisation of schoolbook distribution can pursue educational aims or improve the quality of the public education system. It is no</w:t>
      </w:r>
      <w:r w:rsidRPr="00A9681B">
        <w:t xml:space="preserve">t </w:t>
      </w:r>
      <w:r w:rsidR="00003C7A" w:rsidRPr="00A9681B">
        <w:t>a valid argument to assert that “market distortions were exacerbated by discounts and bonuses provided by publishers and distributors to schools whose decision on the selection of textbooks was therefore, unethically, often influenced by considerations other than professional educational standards (or price sensitivity of end-users)”</w:t>
      </w:r>
      <w:r w:rsidR="00003C7A" w:rsidRPr="00A9681B">
        <w:rPr>
          <w:vertAlign w:val="superscript"/>
        </w:rPr>
        <w:footnoteReference w:id="25"/>
      </w:r>
      <w:r w:rsidR="00003C7A" w:rsidRPr="00A9681B">
        <w:t>. Firstly, the Government assume unethical conduct on the part of schools and teachers that is not proven in the file. In fact, such unethical behaviour could even constitute criminal conduct</w:t>
      </w:r>
      <w:r w:rsidR="00003C7A" w:rsidRPr="00A9681B">
        <w:rPr>
          <w:vertAlign w:val="superscript"/>
        </w:rPr>
        <w:footnoteReference w:id="26"/>
      </w:r>
      <w:r w:rsidR="00003C7A" w:rsidRPr="00A9681B">
        <w:t>. No evidence was provided that the applicant companies or their representatives or any other schoolbook distributors or their representatives were ever charged, let alone found guilty, of any unlawful or improper conduct with respect to their professional activities in the schoolbook distribution market. More generally, no statistical or other evidence was produced to demonstrate that such a practice existed and, if so, its real impact on the schoolbook distribution market in Hungary. Secondly, the Government</w:t>
      </w:r>
      <w:r w:rsidR="00A9681B" w:rsidRPr="00A9681B">
        <w:t>’</w:t>
      </w:r>
      <w:r w:rsidR="00003C7A" w:rsidRPr="00A9681B">
        <w:t>s line of reasoning does not exclude the possibility that the same unethical conduct might occur with the State-run company, which might take decisions, or influence the taking of decisions by others, strictly on the basis of a cost-effectiveness analysis and not on the basis of professional educational standards. In other words, the Government</w:t>
      </w:r>
      <w:r w:rsidR="00A9681B" w:rsidRPr="00A9681B">
        <w:t>’</w:t>
      </w:r>
      <w:r w:rsidR="00003C7A" w:rsidRPr="00A9681B">
        <w:t>s argument is nothing but a scaremongering fallacy, an appeal to fear, without any factual substantiation whatsoever.</w:t>
      </w:r>
    </w:p>
    <w:p w:rsidR="00003C7A" w:rsidRPr="00A9681B" w:rsidRDefault="00824BC9" w:rsidP="00A9681B">
      <w:pPr>
        <w:pStyle w:val="OpiPara"/>
      </w:pPr>
      <w:r w:rsidRPr="00A9681B">
        <w:t>19</w:t>
      </w:r>
      <w:r w:rsidR="00003C7A" w:rsidRPr="00A9681B">
        <w:t>.  The applicant companies argue, and the Government do not dispute, that any schoolbook distributed by them had been approved by the Government decision-making body responsible for the quality inspection, approval and registration of all schoolbooks. Obtaining approval from the respondent State</w:t>
      </w:r>
      <w:r w:rsidR="00A9681B" w:rsidRPr="00A9681B">
        <w:t>’</w:t>
      </w:r>
      <w:r w:rsidR="00003C7A" w:rsidRPr="00A9681B">
        <w:t>s relevant decision-making body is a precondition for the classification of a book as an “official schoolbook” which can then be ordered by the schools. Accordingly, any schoolbook distributed by the applicants was previously inspected and approved by the Government</w:t>
      </w:r>
      <w:r w:rsidR="00003C7A" w:rsidRPr="00A9681B">
        <w:rPr>
          <w:vertAlign w:val="superscript"/>
        </w:rPr>
        <w:footnoteReference w:id="27"/>
      </w:r>
      <w:r w:rsidR="00003C7A" w:rsidRPr="00A9681B">
        <w:t>. Since from the Government</w:t>
      </w:r>
      <w:r w:rsidR="00A9681B" w:rsidRPr="00A9681B">
        <w:t>’</w:t>
      </w:r>
      <w:r w:rsidR="00003C7A" w:rsidRPr="00A9681B">
        <w:t>s perspective all “official schoolbooks” available on the market satisfy educational standards, the argument cannot be made that the schools</w:t>
      </w:r>
      <w:r w:rsidR="00A9681B" w:rsidRPr="00A9681B">
        <w:t>’</w:t>
      </w:r>
      <w:r w:rsidR="00003C7A" w:rsidRPr="00A9681B">
        <w:t xml:space="preserve"> and teachers</w:t>
      </w:r>
      <w:r w:rsidR="00A9681B" w:rsidRPr="00A9681B">
        <w:t>’</w:t>
      </w:r>
      <w:r w:rsidR="00003C7A" w:rsidRPr="00A9681B">
        <w:t xml:space="preserve"> freedom to select schoolbooks could harm educational standards.</w:t>
      </w:r>
    </w:p>
    <w:p w:rsidR="00003C7A" w:rsidRPr="00A9681B" w:rsidRDefault="00824BC9" w:rsidP="00A9681B">
      <w:pPr>
        <w:pStyle w:val="OpiPara"/>
      </w:pPr>
      <w:r w:rsidRPr="00A9681B">
        <w:t>20</w:t>
      </w:r>
      <w:r w:rsidR="00003C7A" w:rsidRPr="00A9681B">
        <w:t>.  More importantly, the monopolisation of the distribution of schoolbooks must be seen against the general background of the Government</w:t>
      </w:r>
      <w:r w:rsidR="00A9681B" w:rsidRPr="00A9681B">
        <w:t>’</w:t>
      </w:r>
      <w:r w:rsidR="00003C7A" w:rsidRPr="00A9681B">
        <w:t>s wider plan to centralise the management of the national educational system, which includes the monopolisation of the market in both the publishing and distribution of schoolbooks</w:t>
      </w:r>
      <w:r w:rsidR="00003C7A" w:rsidRPr="00A9681B">
        <w:rPr>
          <w:vertAlign w:val="superscript"/>
        </w:rPr>
        <w:footnoteReference w:id="28"/>
      </w:r>
      <w:r w:rsidR="00003C7A" w:rsidRPr="00A9681B">
        <w:t>. As the applicant companies argue and the Government do not contest, the New Regulations were part of a policy which included “the designation of one or a very limited number of official schoolbooks which and [</w:t>
      </w:r>
      <w:r w:rsidR="00003C7A" w:rsidRPr="00A9681B">
        <w:rPr>
          <w:i/>
        </w:rPr>
        <w:t>sic</w:t>
      </w:r>
      <w:r w:rsidR="00003C7A" w:rsidRPr="00A9681B">
        <w:t>] shall be used by the public schools (as opposed to the several dozens from which teachers and parents may currently choose)”</w:t>
      </w:r>
      <w:r w:rsidR="00003C7A" w:rsidRPr="00A9681B">
        <w:rPr>
          <w:vertAlign w:val="superscript"/>
        </w:rPr>
        <w:footnoteReference w:id="29"/>
      </w:r>
      <w:r w:rsidR="00003C7A" w:rsidRPr="00A9681B">
        <w:t>.</w:t>
      </w:r>
    </w:p>
    <w:p w:rsidR="00003C7A" w:rsidRPr="00A9681B" w:rsidRDefault="00824BC9" w:rsidP="00A9681B">
      <w:pPr>
        <w:pStyle w:val="OpiPara"/>
      </w:pPr>
      <w:r w:rsidRPr="00A9681B">
        <w:t>21</w:t>
      </w:r>
      <w:r w:rsidR="00003C7A" w:rsidRPr="00A9681B">
        <w:t>.  I see a danger here, and it is my duty to name it. The one</w:t>
      </w:r>
      <w:r w:rsidR="00003C7A" w:rsidRPr="00A9681B">
        <w:noBreakHyphen/>
        <w:t>line</w:t>
      </w:r>
      <w:r w:rsidR="00003C7A" w:rsidRPr="00A9681B">
        <w:noBreakHyphen/>
        <w:t>of</w:t>
      </w:r>
      <w:r w:rsidR="00003C7A" w:rsidRPr="00A9681B">
        <w:noBreakHyphen/>
        <w:t>thought school, which to me closely resembles a feature of an authoritarian regime, is dangerous for Hungarian society, particularly when the Government themselves assert that their centralisation policy is “a means for the State to monitor and control what textbooks are ordered by the schools”</w:t>
      </w:r>
      <w:r w:rsidR="00003C7A" w:rsidRPr="00A9681B">
        <w:rPr>
          <w:vertAlign w:val="superscript"/>
        </w:rPr>
        <w:footnoteReference w:id="30"/>
      </w:r>
      <w:r w:rsidR="00003C7A" w:rsidRPr="00A9681B">
        <w:t xml:space="preserve">. The Government is walking a fine line here. There is a fine line between such a “centralised”, “uniform” school management system and entrapping pupils in a governmental </w:t>
      </w:r>
      <w:r w:rsidR="00003C7A" w:rsidRPr="00A9681B">
        <w:rPr>
          <w:i/>
        </w:rPr>
        <w:t>Weltanschauung</w:t>
      </w:r>
      <w:r w:rsidR="00003C7A" w:rsidRPr="00A9681B">
        <w:t>. There is an even finer line between such a system of controlling schoolbooks supply (publishing and distribution) and State thought control. I have pleaded in another case for the four university freedoms</w:t>
      </w:r>
      <w:r w:rsidR="00003C7A" w:rsidRPr="00A9681B">
        <w:rPr>
          <w:vertAlign w:val="superscript"/>
        </w:rPr>
        <w:footnoteReference w:id="31"/>
      </w:r>
      <w:r w:rsidR="00003C7A" w:rsidRPr="00A9681B">
        <w:t>. Today I am pleading for the freedom of school teachers to choose what they want to teach and how they want to teach it. I am not insensitive to the Government</w:t>
      </w:r>
      <w:r w:rsidR="00A9681B" w:rsidRPr="00A9681B">
        <w:t>’</w:t>
      </w:r>
      <w:r w:rsidR="00003C7A" w:rsidRPr="00A9681B">
        <w:t>s concern about possible shortcomings in the public education management system that may eventually reinforce social inequalities between pupils coming from well-off and poor families, create regional inequalities between urban and rural areas and hinder mobility in the public education system</w:t>
      </w:r>
      <w:r w:rsidR="00003C7A" w:rsidRPr="00A9681B">
        <w:rPr>
          <w:vertAlign w:val="superscript"/>
        </w:rPr>
        <w:footnoteReference w:id="32"/>
      </w:r>
      <w:r w:rsidR="00003C7A" w:rsidRPr="00A9681B">
        <w:t>. The public education system has an important role in levelling the playing field between pupils coming from well-off and poor families and between pupils coming from urban and rural areas. But I do not accept that a management system that affords autonomy to teachers in the determination of the curriculum and the selection and distribution of schoolbooks will necessarily contribute to the reinforcement of social and regional inequalities, as the Government assume</w:t>
      </w:r>
      <w:r w:rsidR="00003C7A" w:rsidRPr="00A9681B">
        <w:rPr>
          <w:vertAlign w:val="superscript"/>
        </w:rPr>
        <w:footnoteReference w:id="33"/>
      </w:r>
      <w:r w:rsidR="00003C7A" w:rsidRPr="00A9681B">
        <w:t>. At least in the file of this case, the Government did not put forward any hard evidence of such a correlation, either in general terms or in the specific case of Hungary. I am thus led to conclude that such a correlation is more a political assumption than a scientifically proven fact.</w:t>
      </w:r>
    </w:p>
    <w:p w:rsidR="00003C7A" w:rsidRPr="00A9681B" w:rsidRDefault="00003C7A" w:rsidP="00A9681B">
      <w:pPr>
        <w:pStyle w:val="OpiH1"/>
      </w:pPr>
      <w:r w:rsidRPr="00A9681B">
        <w:t>The proportionality of the deprivation measure</w:t>
      </w:r>
    </w:p>
    <w:p w:rsidR="00003C7A" w:rsidRPr="00A9681B" w:rsidRDefault="00824BC9" w:rsidP="00A9681B">
      <w:pPr>
        <w:pStyle w:val="OpiPara"/>
      </w:pPr>
      <w:r w:rsidRPr="00A9681B">
        <w:t>22</w:t>
      </w:r>
      <w:r w:rsidR="00003C7A" w:rsidRPr="00A9681B">
        <w:t>.  Even assuming, for the sake of exhaustiveness, that there was a “public interest” in the State intervention and the purpose of the State</w:t>
      </w:r>
      <w:r w:rsidR="00A9681B" w:rsidRPr="00A9681B">
        <w:t>’</w:t>
      </w:r>
      <w:r w:rsidR="00003C7A" w:rsidRPr="00A9681B">
        <w:t>s intervention was therefore legitimate, it was not proportionate. I agree with the majority</w:t>
      </w:r>
      <w:r w:rsidR="00A9681B" w:rsidRPr="00A9681B">
        <w:t>’</w:t>
      </w:r>
      <w:r w:rsidR="00003C7A" w:rsidRPr="00A9681B">
        <w:t>s assessment of the proportionality factors</w:t>
      </w:r>
      <w:r w:rsidR="00003C7A" w:rsidRPr="00A9681B">
        <w:rPr>
          <w:vertAlign w:val="superscript"/>
        </w:rPr>
        <w:footnoteReference w:id="34"/>
      </w:r>
      <w:r w:rsidR="00003C7A" w:rsidRPr="00A9681B">
        <w:t>, but I would like to elaborate further on some particularly important points in this regard.</w:t>
      </w:r>
    </w:p>
    <w:p w:rsidR="00003C7A" w:rsidRPr="00A9681B" w:rsidRDefault="00824BC9" w:rsidP="00A9681B">
      <w:pPr>
        <w:pStyle w:val="OpiPara"/>
      </w:pPr>
      <w:r w:rsidRPr="00A9681B">
        <w:t>23</w:t>
      </w:r>
      <w:r w:rsidR="00003C7A" w:rsidRPr="00A9681B">
        <w:t xml:space="preserve">.  In this context, the test of proportionality has two prongs: the test of necessity and the test of proportionality </w:t>
      </w:r>
      <w:r w:rsidR="00003C7A" w:rsidRPr="00A9681B">
        <w:rPr>
          <w:i/>
        </w:rPr>
        <w:t>strictu sensu</w:t>
      </w:r>
      <w:r w:rsidR="00003C7A" w:rsidRPr="00A9681B">
        <w:t xml:space="preserve">. The test of necessity assesses whether the State interference with the right to property adequately advances the “public interest” pursued and whether it extends no further than necessary in order to meet the said “interest”. This means that the Court must ascertain whether there is a “rational connection” between the State interference and the “public interest”, by establishing a plausible instrumental relationship between them, and whether there is an equally effective but less restrictive means available by which to further the same “public interest”. The test of proportionality </w:t>
      </w:r>
      <w:r w:rsidR="00003C7A" w:rsidRPr="00A9681B">
        <w:rPr>
          <w:i/>
        </w:rPr>
        <w:t>strictu sensu</w:t>
      </w:r>
      <w:r w:rsidR="00003C7A" w:rsidRPr="00A9681B">
        <w:t xml:space="preserve"> assesses whether a fair balancing of the right to property and the competing “public interest” has been achieved, whilst ensuring that the essence (or minimum core) of the former is respected</w:t>
      </w:r>
      <w:r w:rsidR="00003C7A" w:rsidRPr="00A9681B">
        <w:rPr>
          <w:vertAlign w:val="superscript"/>
        </w:rPr>
        <w:footnoteReference w:id="35"/>
      </w:r>
      <w:r w:rsidR="00003C7A" w:rsidRPr="00A9681B">
        <w:t>.</w:t>
      </w:r>
    </w:p>
    <w:p w:rsidR="00003C7A" w:rsidRPr="00A9681B" w:rsidRDefault="00824BC9" w:rsidP="00A9681B">
      <w:pPr>
        <w:pStyle w:val="OpiPara"/>
      </w:pPr>
      <w:r w:rsidRPr="00A9681B">
        <w:t>24</w:t>
      </w:r>
      <w:r w:rsidR="00003C7A" w:rsidRPr="00A9681B">
        <w:t>.  In this regard, I would argue that the margin of appreciation afforded to the most intensive form of State intervention in the economy (deprivation of a possession) is narrower than the one accorded to lesser forms of State intervention, encompassed in the regulation of the use of the possession. This idea coalesces with the principle that the scope of the margin of appreciation depends on the extent of the intrusion into the applicant</w:t>
      </w:r>
      <w:r w:rsidR="00A9681B" w:rsidRPr="00A9681B">
        <w:t>’</w:t>
      </w:r>
      <w:r w:rsidR="00003C7A" w:rsidRPr="00A9681B">
        <w:t>s sphere of interests</w:t>
      </w:r>
      <w:r w:rsidR="00003C7A" w:rsidRPr="00A9681B">
        <w:rPr>
          <w:vertAlign w:val="superscript"/>
        </w:rPr>
        <w:footnoteReference w:id="36"/>
      </w:r>
      <w:r w:rsidR="00003C7A" w:rsidRPr="00A9681B">
        <w:t xml:space="preserve">. This is also in line with the fact that deprivation of a possession is, in the literal terms of Protocol No. 1, prohibited “except in the public interest”, while regulation (control of use) measures are not </w:t>
      </w:r>
      <w:r w:rsidR="00003C7A" w:rsidRPr="00A9681B">
        <w:rPr>
          <w:i/>
        </w:rPr>
        <w:t>per se</w:t>
      </w:r>
      <w:r w:rsidR="00003C7A" w:rsidRPr="00A9681B">
        <w:t xml:space="preserve"> prohibited, but are a “right of the State to enforce such laws”. The strict language of the second sentence of paragraph 1 of Article 1 of Protocol No. 1 indicates clearly that the State does not have </w:t>
      </w:r>
      <w:r w:rsidR="00003C7A" w:rsidRPr="00A9681B">
        <w:rPr>
          <w:i/>
        </w:rPr>
        <w:t>per se</w:t>
      </w:r>
      <w:r w:rsidR="00003C7A" w:rsidRPr="00A9681B">
        <w:t xml:space="preserve"> a “right” to deprive people of their possessions. Hence, such highly intrusive State action must be submitted to an enhanced standard of judicial review by this Court. </w:t>
      </w:r>
      <w:r w:rsidR="00003C7A" w:rsidRPr="00A9681B">
        <w:rPr>
          <w:i/>
        </w:rPr>
        <w:t>A fortiori</w:t>
      </w:r>
      <w:r w:rsidR="00003C7A" w:rsidRPr="00A9681B">
        <w:t>, the State</w:t>
      </w:r>
      <w:r w:rsidR="00A9681B" w:rsidRPr="00A9681B">
        <w:t>’</w:t>
      </w:r>
      <w:r w:rsidR="00003C7A" w:rsidRPr="00A9681B">
        <w:t>s margin is even narrower when it intervenes in an unregulated business area, where freedom of enterprise and the right to peaceful enjoyment of one</w:t>
      </w:r>
      <w:r w:rsidR="00A9681B" w:rsidRPr="00A9681B">
        <w:t>’</w:t>
      </w:r>
      <w:r w:rsidR="00003C7A" w:rsidRPr="00A9681B">
        <w:t>s possessions prevail.</w:t>
      </w:r>
    </w:p>
    <w:p w:rsidR="00003C7A" w:rsidRPr="00A9681B" w:rsidRDefault="00824BC9" w:rsidP="00A9681B">
      <w:pPr>
        <w:pStyle w:val="OpiPara"/>
      </w:pPr>
      <w:r w:rsidRPr="00A9681B">
        <w:t>25</w:t>
      </w:r>
      <w:r w:rsidR="00003C7A" w:rsidRPr="00A9681B">
        <w:t>.  In the case at hand, it is questionable that the State interference with the applicant companies</w:t>
      </w:r>
      <w:r w:rsidR="00A9681B" w:rsidRPr="00A9681B">
        <w:t>’</w:t>
      </w:r>
      <w:r w:rsidR="00003C7A" w:rsidRPr="00A9681B">
        <w:t xml:space="preserve"> respective clientele adequately advanced the “public interests” pursued, namely less public spending, cheaper books paid for by the parents, more transparency in the schoolbook distribution market, and selection of schoolbooks strictly on the basis of professional educational standards. In fact, it caused the opposite result, since it practically closed down the schoolbook distribution market</w:t>
      </w:r>
      <w:r w:rsidR="00003C7A" w:rsidRPr="00A9681B">
        <w:rPr>
          <w:vertAlign w:val="superscript"/>
        </w:rPr>
        <w:footnoteReference w:id="37"/>
      </w:r>
      <w:r w:rsidR="00003C7A" w:rsidRPr="00A9681B">
        <w:t xml:space="preserve"> and promoted less transparency, less efficiency and more public spending, to the point where the government even contemplated the possibility of involving the police in the chaotic process that ensued from the radical legal change</w:t>
      </w:r>
      <w:r w:rsidR="00003C7A" w:rsidRPr="00A9681B">
        <w:rPr>
          <w:vertAlign w:val="superscript"/>
        </w:rPr>
        <w:footnoteReference w:id="38"/>
      </w:r>
      <w:r w:rsidR="00003C7A" w:rsidRPr="00A9681B">
        <w:t>.</w:t>
      </w:r>
    </w:p>
    <w:p w:rsidR="00003C7A" w:rsidRPr="00A9681B" w:rsidRDefault="00824BC9" w:rsidP="00A9681B">
      <w:pPr>
        <w:pStyle w:val="OpiPara"/>
      </w:pPr>
      <w:r w:rsidRPr="00A9681B">
        <w:t>26</w:t>
      </w:r>
      <w:r w:rsidR="00003C7A" w:rsidRPr="00A9681B">
        <w:t>.  Furthermore, there is no evidence in the file that the new State monopoly-based distribution policy impacted positively on the selection of schoolbooks, let alone that it benefited the non-subsidised end-users, and in particular that the higher margin guaranteed to the State-run company was used to decrease the purchase price charged to the non-subsidised end-users. In fact, it appears that the net average price of schoolbooks has increased and that the new system even resulted in the first year of operation in an additional cost to the State budget</w:t>
      </w:r>
      <w:r w:rsidR="00003C7A" w:rsidRPr="00A9681B">
        <w:rPr>
          <w:vertAlign w:val="superscript"/>
        </w:rPr>
        <w:footnoteReference w:id="39"/>
      </w:r>
      <w:r w:rsidR="00003C7A" w:rsidRPr="00A9681B">
        <w:t>.</w:t>
      </w:r>
    </w:p>
    <w:p w:rsidR="00DE2585" w:rsidRPr="00A9681B" w:rsidRDefault="00824BC9" w:rsidP="00A9681B">
      <w:pPr>
        <w:pStyle w:val="OpiPara"/>
      </w:pPr>
      <w:r w:rsidRPr="00A9681B">
        <w:t>27</w:t>
      </w:r>
      <w:r w:rsidR="00003C7A" w:rsidRPr="00A9681B">
        <w:t>.  To answer the question whether the State intervention extended no further than necessary in order to meet the said “public interests”, it must be taken into consideration that at the time the New Regulations were introduced the Government already had a significant degree of control over the schoolbook market and could deter any price abuse by the publishers and distributors, even in the areas where only one or a limited number of distributors undertook to provide services, because the maximum prices of schoolbooks were set by the Government themselves. Hence, the amount of public spending on subsidised schoolbooks and private spending on non-subsidised schoolbooks was already, to a certain extent, dependent on a decision of the Government themselves.</w:t>
      </w:r>
    </w:p>
    <w:p w:rsidR="00003C7A" w:rsidRPr="00A9681B" w:rsidRDefault="00824BC9" w:rsidP="00A9681B">
      <w:pPr>
        <w:pStyle w:val="OpiPara"/>
      </w:pPr>
      <w:r w:rsidRPr="00A9681B">
        <w:t>28</w:t>
      </w:r>
      <w:r w:rsidR="00003C7A" w:rsidRPr="00A9681B">
        <w:t>.  Worse still, no less restrictive means were sought in order to attenuate the negative impact of the interference on the distributors already in the market and no balancing of the right to property and the competing “public interest” was achieved. The applicant companies were not compensated, in any shape or form, for the deprivation of their possessions, in spite of the fact, known to the Government, that it was impossible for them to reconstitute their business outside the sphere of schoolbook distribution, which was their exclusive or major field of activity</w:t>
      </w:r>
      <w:r w:rsidR="00003C7A" w:rsidRPr="00A9681B">
        <w:rPr>
          <w:vertAlign w:val="superscript"/>
        </w:rPr>
        <w:footnoteReference w:id="40"/>
      </w:r>
      <w:r w:rsidR="00003C7A" w:rsidRPr="00A9681B">
        <w:t>. The provision of an eighteen-month transitional period is in this regard manifestly insufficient to enable the applicant companies to change their field of activity entirely and to prevent an individual and excessive burden from being imposed on them. Finally, this is not a case in which special considerations would justify nationalisation of a certain asset without any compensation</w:t>
      </w:r>
      <w:r w:rsidR="00003C7A" w:rsidRPr="00A9681B">
        <w:rPr>
          <w:vertAlign w:val="superscript"/>
        </w:rPr>
        <w:footnoteReference w:id="41"/>
      </w:r>
      <w:r w:rsidR="00003C7A" w:rsidRPr="00A9681B">
        <w:t>.</w:t>
      </w:r>
    </w:p>
    <w:p w:rsidR="00003C7A" w:rsidRPr="00A9681B" w:rsidRDefault="00824BC9" w:rsidP="00A9681B">
      <w:pPr>
        <w:pStyle w:val="OpiPara"/>
      </w:pPr>
      <w:r w:rsidRPr="00A9681B">
        <w:t>29</w:t>
      </w:r>
      <w:r w:rsidR="00003C7A" w:rsidRPr="00A9681B">
        <w:t>.  At this juncture, it is important to note that the proportionality assessment must include the entrepreneurial risk associated with the applicants</w:t>
      </w:r>
      <w:r w:rsidR="00A9681B" w:rsidRPr="00A9681B">
        <w:t>’</w:t>
      </w:r>
      <w:r w:rsidR="00003C7A" w:rsidRPr="00A9681B">
        <w:t xml:space="preserve"> business. The Court has considered such risks in the context of businesses dependent on discretionary permits issued by the administrative authorities, in cases concerning matters such as the loss of a construction permit</w:t>
      </w:r>
      <w:r w:rsidR="00003C7A" w:rsidRPr="00A9681B">
        <w:rPr>
          <w:vertAlign w:val="superscript"/>
        </w:rPr>
        <w:footnoteReference w:id="42"/>
      </w:r>
      <w:r w:rsidR="00003C7A" w:rsidRPr="00A9681B">
        <w:t xml:space="preserve"> or the revocation of a permit to extract gravel</w:t>
      </w:r>
      <w:r w:rsidR="00003C7A" w:rsidRPr="00A9681B">
        <w:rPr>
          <w:vertAlign w:val="superscript"/>
        </w:rPr>
        <w:footnoteReference w:id="43"/>
      </w:r>
      <w:r w:rsidR="00003C7A" w:rsidRPr="00A9681B">
        <w:t>. It has also taken into account the risk inherent in the conclusion of transnational contracts</w:t>
      </w:r>
      <w:r w:rsidR="00003C7A" w:rsidRPr="00A9681B">
        <w:rPr>
          <w:vertAlign w:val="superscript"/>
        </w:rPr>
        <w:footnoteReference w:id="44"/>
      </w:r>
      <w:r w:rsidR="00003C7A" w:rsidRPr="00A9681B">
        <w:t xml:space="preserve"> and the risk in transnational activities of penalties being imposed by other jurisdictions</w:t>
      </w:r>
      <w:r w:rsidR="00003C7A" w:rsidRPr="00A9681B">
        <w:rPr>
          <w:vertAlign w:val="superscript"/>
        </w:rPr>
        <w:footnoteReference w:id="45"/>
      </w:r>
      <w:r w:rsidR="00003C7A" w:rsidRPr="00A9681B">
        <w:t>. This is not the case here. Since the applicant companies</w:t>
      </w:r>
      <w:r w:rsidR="00A9681B" w:rsidRPr="00A9681B">
        <w:t>’</w:t>
      </w:r>
      <w:r w:rsidR="00003C7A" w:rsidRPr="00A9681B">
        <w:t xml:space="preserve"> business activity was limited to the confines of the national market and this was an open, unregulated market, it did not involve any special risk which should be taken into account in the proportionality test.</w:t>
      </w:r>
    </w:p>
    <w:p w:rsidR="00003C7A" w:rsidRPr="00A9681B" w:rsidRDefault="00824BC9" w:rsidP="00A9681B">
      <w:pPr>
        <w:pStyle w:val="OpiPara"/>
      </w:pPr>
      <w:r w:rsidRPr="00A9681B">
        <w:t>30</w:t>
      </w:r>
      <w:r w:rsidR="00003C7A" w:rsidRPr="00A9681B">
        <w:t>.  To my mind, a full-blown restriction of entrepreneurial freedom carries with it a strong presumption against its Convention validity. That presumption is even stronger in the field of education. In the instant case, the respondent Government did not satisfy the burden of showing that the imposition of such a drastic change in the schoolbook distribution market, without any remedies and any compensation, was justified.</w:t>
      </w:r>
    </w:p>
    <w:p w:rsidR="00FB7FD5" w:rsidRPr="00A9681B" w:rsidRDefault="00FB7FD5" w:rsidP="00A9681B">
      <w:pPr>
        <w:pStyle w:val="ECHRPara"/>
        <w:sectPr w:rsidR="00FB7FD5" w:rsidRPr="00A9681B" w:rsidSect="00FB7FD5">
          <w:headerReference w:type="even" r:id="rId17"/>
          <w:headerReference w:type="default" r:id="rId18"/>
          <w:footnotePr>
            <w:numRestart w:val="eachSect"/>
          </w:footnotePr>
          <w:pgSz w:w="11906" w:h="16838" w:code="9"/>
          <w:pgMar w:top="2274" w:right="2274" w:bottom="1843" w:left="2274" w:header="1701" w:footer="720" w:gutter="0"/>
          <w:cols w:space="720"/>
          <w:docGrid w:linePitch="326"/>
        </w:sectPr>
      </w:pPr>
    </w:p>
    <w:p w:rsidR="00C86BE5" w:rsidRPr="00A9681B" w:rsidRDefault="00C86BE5" w:rsidP="00A9681B">
      <w:pPr>
        <w:pStyle w:val="ECHRTitleCentre1"/>
      </w:pPr>
      <w:r w:rsidRPr="00A9681B">
        <w:t>CONCURRING OPINION OF JUDGE K</w:t>
      </w:r>
      <w:r w:rsidRPr="00A9681B">
        <w:rPr>
          <w:rFonts w:cstheme="majorHAnsi"/>
        </w:rPr>
        <w:t>Ū</w:t>
      </w:r>
      <w:r w:rsidRPr="00A9681B">
        <w:t>RIS</w:t>
      </w:r>
    </w:p>
    <w:p w:rsidR="00C86BE5" w:rsidRPr="00A9681B" w:rsidRDefault="00C86BE5" w:rsidP="00A9681B">
      <w:pPr>
        <w:pStyle w:val="OpiPara"/>
      </w:pPr>
      <w:r w:rsidRPr="00A9681B">
        <w:t xml:space="preserve">1.  In essence, I agree with the arguments expounded in the separate opinion of Judge Wojtyczek, in particular those pertaining to the obscurity of the notion of clientele, as employed in the judgment; the unwillingness of the majority to openly recognise that prior to the adoption of the impugned legislative measures the Hungarian schoolbook market was distorted; and the reproaching of the respondent State for the </w:t>
      </w:r>
      <w:r w:rsidRPr="00A9681B">
        <w:rPr>
          <w:i/>
        </w:rPr>
        <w:t>de facto</w:t>
      </w:r>
      <w:r w:rsidRPr="00A9681B">
        <w:t xml:space="preserve"> monopolisation of the schoolbook market without acknowledgment of the fact that that market was already – also </w:t>
      </w:r>
      <w:r w:rsidRPr="00A9681B">
        <w:rPr>
          <w:i/>
        </w:rPr>
        <w:t>de facto</w:t>
      </w:r>
      <w:r w:rsidRPr="00A9681B">
        <w:t xml:space="preserve"> – monopolised by some “players”, including the applicant companies (see especially paragraph 11 of the judgment). To give just one example, the judgment states that “the schoolbook market </w:t>
      </w:r>
      <w:r w:rsidR="00541D7E" w:rsidRPr="00A9681B">
        <w:t xml:space="preserve">did </w:t>
      </w:r>
      <w:r w:rsidRPr="00A9681B">
        <w:t>indeed ha</w:t>
      </w:r>
      <w:r w:rsidR="00541D7E" w:rsidRPr="00A9681B">
        <w:t>ve</w:t>
      </w:r>
      <w:r w:rsidRPr="00A9681B">
        <w:t xml:space="preserve"> some special attributes”, but then it adds that “these did not </w:t>
      </w:r>
      <w:r w:rsidR="00541D7E" w:rsidRPr="00A9681B">
        <w:t xml:space="preserve">give rise to </w:t>
      </w:r>
      <w:r w:rsidRPr="00A9681B">
        <w:t xml:space="preserve">any special or privileged market </w:t>
      </w:r>
      <w:r w:rsidR="00541D7E" w:rsidRPr="00A9681B">
        <w:t xml:space="preserve">conditions </w:t>
      </w:r>
      <w:r w:rsidRPr="00A9681B">
        <w:t xml:space="preserve">for the applicant companies </w:t>
      </w:r>
      <w:r w:rsidR="00541D7E" w:rsidRPr="00A9681B">
        <w:t>such as to</w:t>
      </w:r>
      <w:r w:rsidRPr="00A9681B">
        <w:t xml:space="preserve"> justif</w:t>
      </w:r>
      <w:r w:rsidR="00541D7E" w:rsidRPr="00A9681B">
        <w:t>y</w:t>
      </w:r>
      <w:r w:rsidRPr="00A9681B">
        <w:t xml:space="preserve"> in itself the State intervention</w:t>
      </w:r>
      <w:r w:rsidR="00541D7E" w:rsidRPr="00A9681B">
        <w:t xml:space="preserve"> complained of in the present case</w:t>
      </w:r>
      <w:r w:rsidRPr="00A9681B">
        <w:t>” (see paragraph 53). “Special attributes” is nothing but a euphemism; it covers not only the “unusual” character of the textbook market as such (see paragraph</w:t>
      </w:r>
      <w:r w:rsidR="00315176" w:rsidRPr="00A9681B">
        <w:t> </w:t>
      </w:r>
      <w:r w:rsidRPr="00A9681B">
        <w:t>52), but also its factual monopolisation by some of the existing “players”.</w:t>
      </w:r>
    </w:p>
    <w:p w:rsidR="00C86BE5" w:rsidRPr="00A9681B" w:rsidRDefault="00AE259C" w:rsidP="00A9681B">
      <w:pPr>
        <w:pStyle w:val="OpiPara"/>
      </w:pPr>
      <w:r w:rsidRPr="00A9681B">
        <w:t>2</w:t>
      </w:r>
      <w:r w:rsidR="00C86BE5" w:rsidRPr="00A9681B">
        <w:t>.  The judgment is not only business-friendly (as Judge Wojtyczek points out and rightly welcomes), but is also permeated with unfriendliness towards State regulation of certain markets (and maybe not only the schoolbook market). Some of the expressions used and the flow of reasoning as a whole create an impression that the introduction of State regulation of specific markets is an unwelcome enterprise under the Convention, even where the insufficiency or complete absence of regulation has resulted in market distortion and the factual impossibility for new competitors to enter the market – with all the negative consequences for the end-users. For instance, in paragraph</w:t>
      </w:r>
      <w:r w:rsidR="006C79A2" w:rsidRPr="00A9681B">
        <w:t>s 52 and</w:t>
      </w:r>
      <w:r w:rsidR="00C86BE5" w:rsidRPr="00A9681B">
        <w:t xml:space="preserve"> 56 of the judgment, the impugned legislative intervention is held to be not “justified </w:t>
      </w:r>
      <w:r w:rsidR="00C86BE5" w:rsidRPr="00A9681B">
        <w:rPr>
          <w:i/>
        </w:rPr>
        <w:t>in itself</w:t>
      </w:r>
      <w:r w:rsidR="00C86BE5" w:rsidRPr="00A9681B">
        <w:t xml:space="preserve">” (emphasis added) and “arbitrary”; the latter label is also present in paragraph 59, which concludes the reasoning. In paragraph 58 this intervention is stamped as “drastic”. This is much too much. How can one speak of a measure </w:t>
      </w:r>
      <w:r w:rsidR="00C86BE5" w:rsidRPr="00A9681B">
        <w:rPr>
          <w:i/>
        </w:rPr>
        <w:t>as such</w:t>
      </w:r>
      <w:r w:rsidR="00C86BE5" w:rsidRPr="00A9681B">
        <w:t xml:space="preserve"> being “arbitrary” or “drastic”, if the situation commands legislative intervention on the part of the State? To continue, in paragraph 59, the majority uncritically accept the applicant companies</w:t>
      </w:r>
      <w:r w:rsidR="00A9681B" w:rsidRPr="00A9681B">
        <w:t>’</w:t>
      </w:r>
      <w:r w:rsidR="00C86BE5" w:rsidRPr="00A9681B">
        <w:t xml:space="preserve"> assertion that the impugned measures brought no “real benefits for the parents or pupils”. On this point, I refer to Judge Wojtyczek</w:t>
      </w:r>
      <w:r w:rsidR="00A9681B" w:rsidRPr="00A9681B">
        <w:t>’</w:t>
      </w:r>
      <w:r w:rsidR="00C86BE5" w:rsidRPr="00A9681B">
        <w:t>s insistence on not ignoring the broader context when introducing an economic rationality analysis into the proportionality assessment under Article 1 of Protocol No. 1.</w:t>
      </w:r>
    </w:p>
    <w:p w:rsidR="00C86BE5" w:rsidRPr="00A9681B" w:rsidRDefault="00C86BE5" w:rsidP="00A9681B">
      <w:pPr>
        <w:pStyle w:val="OpiPara"/>
      </w:pPr>
      <w:r w:rsidRPr="00A9681B">
        <w:t>3.  My approach is different from that of my prominent colleague only in so far as I, like the majority, consider that the legislative measures complained of were rather abrupt and not supported by a proper transitional period and/or certain other “positive” schemes, which would have allowed the applicant companies to adjust to the new regulations. There is no doubt that the Hungarian schoolbook market was distorted before the State intervened, and that the applicant companies benefited from this distortion. However, it was not the companies (or other such “players”) who were at the root of that distortion – they only made use (most likely, quite legitimately) of the absence of relevant legal regulation. They should not therefore bear all the burden of the State</w:t>
      </w:r>
      <w:r w:rsidR="00A9681B" w:rsidRPr="00A9681B">
        <w:t>’</w:t>
      </w:r>
      <w:r w:rsidRPr="00A9681B">
        <w:t>s intervention, the aim of which, as the Government asserted, was to straighten out something that had become crooked. Consequently, I voted with the majority in favour of finding a violation of Article 1 of Protocol No. 1.</w:t>
      </w:r>
    </w:p>
    <w:p w:rsidR="00C86BE5" w:rsidRPr="00A9681B" w:rsidRDefault="00C86BE5" w:rsidP="00A9681B">
      <w:pPr>
        <w:pStyle w:val="OpiPara"/>
      </w:pPr>
      <w:r w:rsidRPr="00A9681B">
        <w:t>4.  The majority state that “[e]ven assuming that [the impugned] reform was aimed at ensuring a more efficient spending of public funds, the Court is not convinced that this aim consisted in protecting the end-users</w:t>
      </w:r>
      <w:r w:rsidR="00A9681B" w:rsidRPr="00A9681B">
        <w:t>’</w:t>
      </w:r>
      <w:r w:rsidRPr="00A9681B">
        <w:t xml:space="preserve"> ... interests, given that the prices of schoolbooks were and remained State-regulated” and magnanimously concede that there </w:t>
      </w:r>
      <w:r w:rsidRPr="00A9681B">
        <w:rPr>
          <w:i/>
        </w:rPr>
        <w:t>might</w:t>
      </w:r>
      <w:r w:rsidRPr="00A9681B">
        <w:t xml:space="preserve"> have been </w:t>
      </w:r>
      <w:r w:rsidRPr="00A9681B">
        <w:rPr>
          <w:i/>
        </w:rPr>
        <w:t>some</w:t>
      </w:r>
      <w:r w:rsidRPr="00A9681B">
        <w:t xml:space="preserve"> “legitimate aim pursued by those measures” (see paragraphs 46 and 47 of the judgment). The “even assuming” clause allows the majority to conclude that there is no “need to determine whether the implementation of the impugned reform pursued a legitimate aim” (see paragraph 46). I cannot agree with such an approach. There </w:t>
      </w:r>
      <w:r w:rsidRPr="00A9681B">
        <w:rPr>
          <w:i/>
        </w:rPr>
        <w:t>is</w:t>
      </w:r>
      <w:r w:rsidRPr="00A9681B">
        <w:t xml:space="preserve"> such a need! And a legitimate aim </w:t>
      </w:r>
      <w:r w:rsidRPr="00A9681B">
        <w:rPr>
          <w:i/>
        </w:rPr>
        <w:t>was</w:t>
      </w:r>
      <w:r w:rsidRPr="00A9681B">
        <w:t xml:space="preserve"> pursued by the respondent State, even if the measures implemented appeared to be disproportionate. By resourcefully avoiding to acknowledge that there was such an aim, that is to say, that the impugned measures were prompted by the already existing distortion of the schoolbook market, the judgment uses Article 1 of Protocol No. 1 as a tool for favouring one extreme version of economic liberalism against those versions which do not turn a blind eye to markets</w:t>
      </w:r>
      <w:r w:rsidR="00A9681B" w:rsidRPr="00A9681B">
        <w:t>’</w:t>
      </w:r>
      <w:r w:rsidRPr="00A9681B">
        <w:t xml:space="preserve"> social dimension(s). Throughout the whole text of the judgment, the promotion of this approach is not even camouflaged.</w:t>
      </w:r>
    </w:p>
    <w:p w:rsidR="00C86BE5" w:rsidRPr="00A9681B" w:rsidRDefault="00C86BE5" w:rsidP="00A9681B">
      <w:pPr>
        <w:pStyle w:val="OpiPara"/>
      </w:pPr>
      <w:r w:rsidRPr="00A9681B">
        <w:t>5.  One last remark – an optimistic one. In paragraph 26 of the judgment it is stated that the Court will not address the “question as to whether in general a constitutional complaint to the Hungarian Constitutional Court is an effective remedy for the purposes of Article 35 § 1 of the Convention”. This stance is a step forward from the disdainful disqualification, in a number of the Court</w:t>
      </w:r>
      <w:r w:rsidR="00A9681B" w:rsidRPr="00A9681B">
        <w:t>’</w:t>
      </w:r>
      <w:r w:rsidRPr="00A9681B">
        <w:t>s previous (even recent) judgments, of Hungary</w:t>
      </w:r>
      <w:r w:rsidR="00A9681B" w:rsidRPr="00A9681B">
        <w:t>’</w:t>
      </w:r>
      <w:r w:rsidRPr="00A9681B">
        <w:t xml:space="preserve">s Constitutional Court as something not relevant to the protection of human rights (I refer to my dissenting opinion in </w:t>
      </w:r>
      <w:r w:rsidRPr="00A9681B">
        <w:rPr>
          <w:i/>
        </w:rPr>
        <w:t>Király and Dömötör v. Hungary</w:t>
      </w:r>
      <w:r w:rsidRPr="00A9681B">
        <w:t xml:space="preserve">, no. 10851/13, 17 January 2017). The instant case was last deliberated on by the Chamber on 12 June 2018, but (for organisational reasons) the time span between the adoption of the judgment and its delivery turned out to be quite lengthy. In the meantime, the Court has delivered its decision in </w:t>
      </w:r>
      <w:r w:rsidRPr="00A9681B">
        <w:rPr>
          <w:i/>
        </w:rPr>
        <w:t>Mendrei v. Hungary</w:t>
      </w:r>
      <w:r w:rsidRPr="00A9681B">
        <w:t xml:space="preserve"> ((dec.), no. 54927/15, 19 June 2018), in which it has been acknowledged (at last!) that a complaint to Hungary</w:t>
      </w:r>
      <w:r w:rsidR="00A9681B" w:rsidRPr="00A9681B">
        <w:t>’</w:t>
      </w:r>
      <w:r w:rsidRPr="00A9681B">
        <w:t xml:space="preserve">s Constitutional Court </w:t>
      </w:r>
      <w:r w:rsidRPr="00A9681B">
        <w:rPr>
          <w:i/>
        </w:rPr>
        <w:t>is</w:t>
      </w:r>
      <w:r w:rsidRPr="00A9681B">
        <w:t xml:space="preserve"> such an effective remedy. I hope that the present judgment is the last one to bear a slight trace of the previous distrust of the most important national constitutional instrument of this particular respondent State.</w:t>
      </w:r>
    </w:p>
    <w:p w:rsidR="00FB7FD5" w:rsidRPr="00A9681B" w:rsidRDefault="00FB7FD5" w:rsidP="00A9681B">
      <w:pPr>
        <w:pStyle w:val="ECHRPara"/>
        <w:ind w:firstLine="0"/>
        <w:rPr>
          <w:rStyle w:val="Tekstzastpczy"/>
          <w:shd w:val="clear" w:color="auto" w:fill="auto"/>
        </w:rPr>
      </w:pPr>
    </w:p>
    <w:p w:rsidR="00FB7FD5" w:rsidRPr="00A9681B" w:rsidRDefault="00FB7FD5" w:rsidP="00A9681B">
      <w:pPr>
        <w:pStyle w:val="ECHRPara"/>
        <w:sectPr w:rsidR="00FB7FD5" w:rsidRPr="00A9681B" w:rsidSect="00FB7FD5">
          <w:headerReference w:type="even" r:id="rId19"/>
          <w:headerReference w:type="default" r:id="rId20"/>
          <w:footnotePr>
            <w:numRestart w:val="eachSect"/>
          </w:footnotePr>
          <w:pgSz w:w="11906" w:h="16838" w:code="9"/>
          <w:pgMar w:top="2274" w:right="2274" w:bottom="1843" w:left="2274" w:header="1701" w:footer="720" w:gutter="0"/>
          <w:cols w:space="720"/>
          <w:docGrid w:linePitch="326"/>
        </w:sectPr>
      </w:pPr>
    </w:p>
    <w:p w:rsidR="000F06F3" w:rsidRPr="00A9681B" w:rsidRDefault="000F06F3" w:rsidP="00A9681B">
      <w:pPr>
        <w:pStyle w:val="ECHRTitleCentre1"/>
      </w:pPr>
      <w:r w:rsidRPr="00A9681B">
        <w:t>DISSENTING OPINION OF JUDGE WOJTYCZEK</w:t>
      </w:r>
    </w:p>
    <w:p w:rsidR="00DE2585" w:rsidRPr="00A9681B" w:rsidRDefault="00AE259C" w:rsidP="00A9681B">
      <w:pPr>
        <w:pStyle w:val="OpiPara"/>
      </w:pPr>
      <w:r w:rsidRPr="00A9681B">
        <w:t>1.  </w:t>
      </w:r>
      <w:r w:rsidR="000F06F3" w:rsidRPr="00A9681B">
        <w:t>I respectfully disagree with the view of the majority that in the instant case there has been a violation of Article 1 of Protocol No. 1 to the European Convention on Human Rights. The majority made a genuine attempt to develop the interpretation of the Convention in a business-friendly manner. I welcome this general approach but the detailed methodology applied by the majority and expounded in the reasoning prompts a series of objections. In my view, the case reveals all the weakness of the approach adopted by the Court towards economic liberty.</w:t>
      </w:r>
    </w:p>
    <w:p w:rsidR="00DE2585" w:rsidRPr="00A9681B" w:rsidRDefault="00AE259C" w:rsidP="00A9681B">
      <w:pPr>
        <w:pStyle w:val="OpiPara"/>
      </w:pPr>
      <w:r w:rsidRPr="00A9681B">
        <w:t>2.  </w:t>
      </w:r>
      <w:r w:rsidR="000F06F3" w:rsidRPr="00A9681B">
        <w:t>Article 1 of Protocol No. 1 guarantees every natural and legal person the “peaceful enjoyment of his possessions” (“</w:t>
      </w:r>
      <w:r w:rsidR="000F06F3" w:rsidRPr="00A9681B">
        <w:rPr>
          <w:i/>
        </w:rPr>
        <w:t>respect de ses biens</w:t>
      </w:r>
      <w:r w:rsidR="000F06F3" w:rsidRPr="00A9681B">
        <w:t>”). The Court has explained the meaning of this provision in the following terms:</w:t>
      </w:r>
    </w:p>
    <w:p w:rsidR="00DE2585" w:rsidRPr="00A9681B" w:rsidRDefault="000F06F3" w:rsidP="00A9681B">
      <w:pPr>
        <w:pStyle w:val="OpiQuot"/>
      </w:pPr>
      <w:r w:rsidRPr="00A9681B">
        <w:t xml:space="preserve">“By recognising that everyone has the right to the peaceful enjoyment of his possessions, Article 1 is in substance guaranteeing the right of property. This is the clear impression left by the words </w:t>
      </w:r>
      <w:r w:rsidR="00A9681B" w:rsidRPr="00A9681B">
        <w:t>‘</w:t>
      </w:r>
      <w:r w:rsidRPr="00A9681B">
        <w:t>possessions</w:t>
      </w:r>
      <w:r w:rsidR="00A9681B" w:rsidRPr="00A9681B">
        <w:t>’</w:t>
      </w:r>
      <w:r w:rsidRPr="00A9681B">
        <w:t xml:space="preserve"> and </w:t>
      </w:r>
      <w:r w:rsidR="00A9681B" w:rsidRPr="00A9681B">
        <w:t>‘</w:t>
      </w:r>
      <w:r w:rsidRPr="00A9681B">
        <w:t>use of property</w:t>
      </w:r>
      <w:r w:rsidR="00A9681B" w:rsidRPr="00A9681B">
        <w:t>’</w:t>
      </w:r>
      <w:r w:rsidRPr="00A9681B">
        <w:t xml:space="preserve"> (in French: </w:t>
      </w:r>
      <w:r w:rsidR="00A9681B" w:rsidRPr="00A9681B">
        <w:t>‘</w:t>
      </w:r>
      <w:r w:rsidRPr="00A9681B">
        <w:rPr>
          <w:i/>
        </w:rPr>
        <w:t>biens</w:t>
      </w:r>
      <w:r w:rsidR="00A9681B" w:rsidRPr="00A9681B">
        <w:t>’</w:t>
      </w:r>
      <w:r w:rsidRPr="00A9681B">
        <w:t xml:space="preserve">, </w:t>
      </w:r>
      <w:r w:rsidR="00A9681B" w:rsidRPr="00A9681B">
        <w:t>‘</w:t>
      </w:r>
      <w:r w:rsidRPr="00A9681B">
        <w:rPr>
          <w:i/>
        </w:rPr>
        <w:t>propriété</w:t>
      </w:r>
      <w:r w:rsidR="00A9681B" w:rsidRPr="00A9681B">
        <w:t>’</w:t>
      </w:r>
      <w:r w:rsidRPr="00A9681B">
        <w:t xml:space="preserve">, </w:t>
      </w:r>
      <w:r w:rsidR="00A9681B" w:rsidRPr="00A9681B">
        <w:t>‘</w:t>
      </w:r>
      <w:r w:rsidRPr="00A9681B">
        <w:rPr>
          <w:i/>
        </w:rPr>
        <w:t>usage des biens</w:t>
      </w:r>
      <w:r w:rsidR="00A9681B" w:rsidRPr="00A9681B">
        <w:t>’</w:t>
      </w:r>
      <w:r w:rsidRPr="00A9681B">
        <w:t xml:space="preserve">); the </w:t>
      </w:r>
      <w:r w:rsidR="00A9681B" w:rsidRPr="00A9681B">
        <w:t>‘</w:t>
      </w:r>
      <w:r w:rsidRPr="00A9681B">
        <w:rPr>
          <w:i/>
        </w:rPr>
        <w:t>travaux préparatoires</w:t>
      </w:r>
      <w:r w:rsidR="00A9681B" w:rsidRPr="00A9681B">
        <w:t>’</w:t>
      </w:r>
      <w:r w:rsidRPr="00A9681B">
        <w:t xml:space="preserve">, for their part, confirm this unequivocally: the drafters continually spoke of </w:t>
      </w:r>
      <w:r w:rsidR="00A9681B" w:rsidRPr="00A9681B">
        <w:t>‘</w:t>
      </w:r>
      <w:r w:rsidRPr="00A9681B">
        <w:t>right of property</w:t>
      </w:r>
      <w:r w:rsidR="00A9681B" w:rsidRPr="00A9681B">
        <w:t>’</w:t>
      </w:r>
      <w:r w:rsidRPr="00A9681B">
        <w:t xml:space="preserve"> or </w:t>
      </w:r>
      <w:r w:rsidR="00A9681B" w:rsidRPr="00A9681B">
        <w:t>‘</w:t>
      </w:r>
      <w:r w:rsidRPr="00A9681B">
        <w:t>right to property</w:t>
      </w:r>
      <w:r w:rsidR="00A9681B" w:rsidRPr="00A9681B">
        <w:t>’</w:t>
      </w:r>
      <w:r w:rsidRPr="00A9681B">
        <w:t xml:space="preserve"> to describe the subject-matter of the successive drafts which were the forerunners of the present Article 1. Indeed, the right to dispose of one</w:t>
      </w:r>
      <w:r w:rsidR="00A9681B" w:rsidRPr="00A9681B">
        <w:t>’</w:t>
      </w:r>
      <w:r w:rsidRPr="00A9681B">
        <w:t xml:space="preserve">s property constitutes a traditional and fundamental aspect of the right of property (cf. the Handyside judgment of 7 December 1976, Series A no. 24, p. 29, </w:t>
      </w:r>
      <w:r w:rsidRPr="00A9681B">
        <w:rPr>
          <w:lang w:val="en-US"/>
        </w:rPr>
        <w:t>§</w:t>
      </w:r>
      <w:r w:rsidRPr="00A9681B">
        <w:t xml:space="preserve"> 62).” (</w:t>
      </w:r>
      <w:r w:rsidRPr="00A9681B">
        <w:rPr>
          <w:i/>
        </w:rPr>
        <w:t>Marckx v. Belgium</w:t>
      </w:r>
      <w:r w:rsidRPr="00A9681B">
        <w:t xml:space="preserve">, </w:t>
      </w:r>
      <w:r w:rsidRPr="00A9681B">
        <w:rPr>
          <w:lang w:val="en-US"/>
        </w:rPr>
        <w:t>13 June 1979, § 63, Series A no. 31</w:t>
      </w:r>
      <w:r w:rsidRPr="00A9681B">
        <w:t>)</w:t>
      </w:r>
    </w:p>
    <w:p w:rsidR="00DE2585" w:rsidRPr="00A9681B" w:rsidRDefault="000F06F3" w:rsidP="00A9681B">
      <w:pPr>
        <w:pStyle w:val="OpiPara"/>
      </w:pPr>
      <w:r w:rsidRPr="00A9681B">
        <w:t>The content of the right in question has been summarised as follows:</w:t>
      </w:r>
    </w:p>
    <w:p w:rsidR="00DE2585" w:rsidRPr="00A9681B" w:rsidRDefault="000F06F3" w:rsidP="00A9681B">
      <w:pPr>
        <w:pStyle w:val="OpiQuot"/>
      </w:pPr>
      <w:r w:rsidRPr="00A9681B">
        <w:t>“... in addition to possession of the property (</w:t>
      </w:r>
      <w:r w:rsidRPr="00A9681B">
        <w:rPr>
          <w:i/>
        </w:rPr>
        <w:t>usus</w:t>
      </w:r>
      <w:r w:rsidRPr="00A9681B">
        <w:t>), ownership also implies the right to dispose of the property and receive income from it (</w:t>
      </w:r>
      <w:r w:rsidRPr="00A9681B">
        <w:rPr>
          <w:i/>
        </w:rPr>
        <w:t>abusus</w:t>
      </w:r>
      <w:r w:rsidRPr="00A9681B">
        <w:t xml:space="preserve"> and </w:t>
      </w:r>
      <w:r w:rsidRPr="00A9681B">
        <w:rPr>
          <w:i/>
        </w:rPr>
        <w:t>fructus</w:t>
      </w:r>
      <w:r w:rsidRPr="00A9681B">
        <w:t>).” (</w:t>
      </w:r>
      <w:r w:rsidRPr="00A9681B">
        <w:rPr>
          <w:i/>
        </w:rPr>
        <w:t>Hirschhorn v. Romania</w:t>
      </w:r>
      <w:r w:rsidRPr="00A9681B">
        <w:t xml:space="preserve">, no. 29294/02, </w:t>
      </w:r>
      <w:r w:rsidRPr="00A9681B">
        <w:rPr>
          <w:lang w:val="en-US"/>
        </w:rPr>
        <w:t xml:space="preserve">§ </w:t>
      </w:r>
      <w:r w:rsidRPr="00A9681B">
        <w:t xml:space="preserve">57, 26 July 2007; see also </w:t>
      </w:r>
      <w:r w:rsidRPr="00A9681B">
        <w:rPr>
          <w:i/>
        </w:rPr>
        <w:t>Mosteanu and Others v. Romania</w:t>
      </w:r>
      <w:r w:rsidRPr="00A9681B">
        <w:t>, no. 33176/96, § 61, 26 November 2002)</w:t>
      </w:r>
    </w:p>
    <w:p w:rsidR="00DE2585" w:rsidRPr="00A9681B" w:rsidRDefault="000F06F3" w:rsidP="00A9681B">
      <w:pPr>
        <w:pStyle w:val="OpiPara"/>
      </w:pPr>
      <w:r w:rsidRPr="00A9681B">
        <w:t xml:space="preserve">Moreover, in numerous cases the Court has found that undue restrictions on the ability to use and dispose of possessions amounted to a breach of Article 1 of Protocol No. 1 (see, for instance, </w:t>
      </w:r>
      <w:r w:rsidRPr="00A9681B">
        <w:rPr>
          <w:i/>
        </w:rPr>
        <w:t>Papamichalopoulos and Others v. Greece</w:t>
      </w:r>
      <w:r w:rsidRPr="00A9681B">
        <w:t>, 24 June 1993, Series A no. 260</w:t>
      </w:r>
      <w:r w:rsidRPr="00A9681B">
        <w:noBreakHyphen/>
        <w:t xml:space="preserve">B). Similarly, in many cases restrictions on the possibility of receiving income from possessions have led to a finding of a violation of Article 1 of Protocol No. 1 (see, for instance, </w:t>
      </w:r>
      <w:r w:rsidRPr="00A9681B">
        <w:rPr>
          <w:i/>
        </w:rPr>
        <w:t>Hutten-Czapska v. Poland</w:t>
      </w:r>
      <w:r w:rsidRPr="00A9681B">
        <w:t xml:space="preserve"> [GC], no. 35014/97, ECHR 2006</w:t>
      </w:r>
      <w:r w:rsidRPr="00A9681B">
        <w:noBreakHyphen/>
        <w:t>VIII).</w:t>
      </w:r>
    </w:p>
    <w:p w:rsidR="00DE2585" w:rsidRPr="00A9681B" w:rsidRDefault="000F06F3" w:rsidP="00A9681B">
      <w:pPr>
        <w:pStyle w:val="OpiPara"/>
      </w:pPr>
      <w:r w:rsidRPr="00A9681B">
        <w:t xml:space="preserve">It is clear that Article 1 of Protocol No. 1, by protecting </w:t>
      </w:r>
      <w:r w:rsidRPr="00A9681B">
        <w:rPr>
          <w:i/>
        </w:rPr>
        <w:t xml:space="preserve">ius abutendi </w:t>
      </w:r>
      <w:r w:rsidRPr="00A9681B">
        <w:t xml:space="preserve">and </w:t>
      </w:r>
      <w:r w:rsidRPr="00A9681B">
        <w:rPr>
          <w:i/>
        </w:rPr>
        <w:t>ius fruendi</w:t>
      </w:r>
      <w:r w:rsidRPr="00A9681B">
        <w:t xml:space="preserve">, encompasses the freedom to conclude contracts concerning possessions, that is to say, contractual freedom. By protecting </w:t>
      </w:r>
      <w:r w:rsidRPr="00A9681B">
        <w:rPr>
          <w:i/>
        </w:rPr>
        <w:t>ius utendi</w:t>
      </w:r>
      <w:r w:rsidRPr="00A9681B">
        <w:t xml:space="preserve">, it protects </w:t>
      </w:r>
      <w:r w:rsidRPr="00A9681B">
        <w:rPr>
          <w:i/>
        </w:rPr>
        <w:t>inter alia</w:t>
      </w:r>
      <w:r w:rsidRPr="00A9681B">
        <w:t xml:space="preserve"> the freedom to use possessions for the purpose of developing income-earning activities. More generally, it encompasses the freedom to conduct business activities upon the economic basis of possessions. As a result, the right of ownership enshrined in Article 1 of Protocol No. 1 implies as an inherent element the freedom to conduct business activities.</w:t>
      </w:r>
    </w:p>
    <w:p w:rsidR="00DE2585" w:rsidRPr="00A9681B" w:rsidRDefault="000F06F3" w:rsidP="00A9681B">
      <w:pPr>
        <w:pStyle w:val="OpiPara"/>
      </w:pPr>
      <w:r w:rsidRPr="00A9681B">
        <w:t xml:space="preserve">Economic liberty is indeed a human right of fundamental importance for the enjoyment and protection of all the other rights guaranteed in the Convention. There is neither freedom nor democracy, nor the rule of law, without economic liberty. First and foremost, there is no prosperity without economic liberty. There cannot be meaningful social rights without economic liberty as a </w:t>
      </w:r>
      <w:r w:rsidRPr="00A9681B">
        <w:rPr>
          <w:i/>
        </w:rPr>
        <w:t>conditio sine qua non</w:t>
      </w:r>
      <w:r w:rsidRPr="00A9681B">
        <w:t xml:space="preserve"> for creating wealth. The freedom to create and conduct one</w:t>
      </w:r>
      <w:r w:rsidR="00A9681B" w:rsidRPr="00A9681B">
        <w:t>’</w:t>
      </w:r>
      <w:r w:rsidRPr="00A9681B">
        <w:t>s own business is also an essential element of personal self-fulfilment and happiness. Effective legal protection of economic liberty is particularly important for physical persons conducting business activities individually, for micro-enterprises, for family enterprises and for small enterprises, that is, for the types of businesses which are crucial for economic development but which – unlike big companies – often lack the capacity to successfully lobby for a favourable legislative framework and advantageous administrative measures.</w:t>
      </w:r>
    </w:p>
    <w:p w:rsidR="000F06F3" w:rsidRPr="00A9681B" w:rsidRDefault="000F06F3" w:rsidP="00A9681B">
      <w:pPr>
        <w:pStyle w:val="OpiPara"/>
      </w:pPr>
      <w:r w:rsidRPr="00A9681B">
        <w:t>Moreover, economic liberty is part of the</w:t>
      </w:r>
      <w:r w:rsidRPr="00A9681B">
        <w:rPr>
          <w:i/>
        </w:rPr>
        <w:t xml:space="preserve"> </w:t>
      </w:r>
      <w:r w:rsidRPr="00A9681B">
        <w:t>“common heritage of political traditions, ideals, freedom and the rule of law” referred to in the Preamble to the Convention. The Charter of Paris for a New Europe, adopted on 21 November 1990 by the States participating in the Conference on Security and Co-operation in Europe – a group of States even broader than the Council of Europe – expressed this common heritage in the following terms:</w:t>
      </w:r>
    </w:p>
    <w:p w:rsidR="000F06F3" w:rsidRPr="00A9681B" w:rsidRDefault="000F06F3" w:rsidP="00A9681B">
      <w:pPr>
        <w:pStyle w:val="OpiQuot"/>
      </w:pPr>
      <w:r w:rsidRPr="00A9681B">
        <w:t>“Economic liberty, social justice and environmental responsibility are indispensable for prosperity.</w:t>
      </w:r>
    </w:p>
    <w:p w:rsidR="00DE2585" w:rsidRPr="00A9681B" w:rsidRDefault="000F06F3" w:rsidP="00A9681B">
      <w:pPr>
        <w:pStyle w:val="OpiQuot"/>
      </w:pPr>
      <w:r w:rsidRPr="00A9681B">
        <w:t>The free will of the individual, exercised in democracy and protected by the rule of law, forms the necessary basis for successful economic and social development. We will promote economic activity which respects and upholds human dignity.”</w:t>
      </w:r>
    </w:p>
    <w:p w:rsidR="00DE2585" w:rsidRPr="00A9681B" w:rsidRDefault="000F06F3" w:rsidP="00A9681B">
      <w:pPr>
        <w:pStyle w:val="OpiPara"/>
      </w:pPr>
      <w:r w:rsidRPr="00A9681B">
        <w:t>Economic liberty has been reaffirmed several times by the Conference on Security and Co-operation in Europe and, later, by the Organization for Security and Co-operation in Europe, for instance in 1992 in the Helsinki Document and in 1999 in the Istanbul Document.</w:t>
      </w:r>
    </w:p>
    <w:p w:rsidR="00DE2585" w:rsidRPr="00A9681B" w:rsidRDefault="000F06F3" w:rsidP="00A9681B">
      <w:pPr>
        <w:pStyle w:val="OpiPara"/>
      </w:pPr>
      <w:r w:rsidRPr="00A9681B">
        <w:t xml:space="preserve">It is a pity that the Court – for ideological reasons – was and still is reluctant to draw the obvious conclusion from the wording of the Convention and the Protocols thereto by overtly recognising economic liberty as a fundamental human right encompassed by the guarantees of Article 1 of Protocol No. 1. Instead, it has preferred and still prefers to resort to subterfuge to protect certain elements of economic liberty by using the concepts of </w:t>
      </w:r>
      <w:r w:rsidRPr="00A9681B">
        <w:rPr>
          <w:i/>
        </w:rPr>
        <w:t>clientele</w:t>
      </w:r>
      <w:r w:rsidRPr="00A9681B">
        <w:t xml:space="preserve"> and </w:t>
      </w:r>
      <w:r w:rsidRPr="00A9681B">
        <w:rPr>
          <w:i/>
        </w:rPr>
        <w:t>goodwill.</w:t>
      </w:r>
    </w:p>
    <w:p w:rsidR="00DE2585" w:rsidRPr="00A9681B" w:rsidRDefault="00AE259C" w:rsidP="00A9681B">
      <w:pPr>
        <w:pStyle w:val="OpiPara"/>
      </w:pPr>
      <w:r w:rsidRPr="00A9681B">
        <w:t>3.  </w:t>
      </w:r>
      <w:r w:rsidR="000F06F3" w:rsidRPr="00A9681B">
        <w:t>It has to be added that Article 1 of Protocol No. 1 empowers States to control the use of property in accordance with the general interest. It is therefore obvious that this provision, while protecting economic freedom, entitles States to set clear rules for business activities, provided that such rules are necessary to protect the general interest. Economic liberty means freedom from unnecessary restrictions. Restrictions on economic liberty may be justified by the necessity to protect fundamental values such as, in particular, human dignity, the rights and freedoms of others, national security or the environment. The State is also entitled to intervene in order to correct the detrimental effects of market distortions. The higher the level of such distortions, the stronger the entitlement to interfere. The closer the market to the perfect competition pattern, the stronger the justification required for the interference. In exceptional circumstances – in particular, in the case of severe and unavoidable market distortions – the State may decide to establish a State monopoly.</w:t>
      </w:r>
    </w:p>
    <w:p w:rsidR="00DE2585" w:rsidRPr="00A9681B" w:rsidRDefault="000F06F3" w:rsidP="00A9681B">
      <w:pPr>
        <w:pStyle w:val="OpiPara"/>
      </w:pPr>
      <w:r w:rsidRPr="00A9681B">
        <w:t>In any event, business activities are carried out in a quickly changing world and require incessant innovation and adaptation to the changing environment. The free market eliminates companies which are not able to adapt and constantly reinvent their business. Furthermore, technical progress and social changes may justify changes to legislation regulating business activities. All those factors limit the legitimacy of the entrepreneurs</w:t>
      </w:r>
      <w:r w:rsidR="00A9681B" w:rsidRPr="00A9681B">
        <w:t>’</w:t>
      </w:r>
      <w:r w:rsidRPr="00A9681B">
        <w:t xml:space="preserve"> expectation that the existing regulations will remain unchanged.</w:t>
      </w:r>
    </w:p>
    <w:p w:rsidR="00DE2585" w:rsidRPr="00A9681B" w:rsidRDefault="00AE259C" w:rsidP="00A9681B">
      <w:pPr>
        <w:pStyle w:val="OpiPara"/>
        <w:rPr>
          <w:i/>
        </w:rPr>
      </w:pPr>
      <w:r w:rsidRPr="00A9681B">
        <w:t>4.  </w:t>
      </w:r>
      <w:r w:rsidR="000F06F3" w:rsidRPr="00A9681B">
        <w:t xml:space="preserve">The Court, as mentioned above, has often apprehended economic freedom through the notions of </w:t>
      </w:r>
      <w:r w:rsidR="000F06F3" w:rsidRPr="00A9681B">
        <w:rPr>
          <w:i/>
        </w:rPr>
        <w:t>clientele</w:t>
      </w:r>
      <w:r w:rsidR="000F06F3" w:rsidRPr="00A9681B">
        <w:t xml:space="preserve"> and </w:t>
      </w:r>
      <w:r w:rsidR="000F06F3" w:rsidRPr="00A9681B">
        <w:rPr>
          <w:i/>
        </w:rPr>
        <w:t>goodwill.</w:t>
      </w:r>
    </w:p>
    <w:p w:rsidR="000F06F3" w:rsidRPr="00A9681B" w:rsidRDefault="000F06F3" w:rsidP="00A9681B">
      <w:pPr>
        <w:pStyle w:val="OpiPara"/>
        <w:rPr>
          <w:i/>
        </w:rPr>
      </w:pPr>
      <w:r w:rsidRPr="00A9681B">
        <w:t xml:space="preserve">In the case of </w:t>
      </w:r>
      <w:r w:rsidRPr="00A9681B">
        <w:rPr>
          <w:i/>
        </w:rPr>
        <w:t>Van Marle and Others v. the Netherlands</w:t>
      </w:r>
      <w:r w:rsidRPr="00A9681B">
        <w:t>, the Court held that “by dint of their own work, the applicants had built up a clientèle; this had in many respects the nature of a private right and constituted an asset and, hence, a possession within the meaning o</w:t>
      </w:r>
      <w:r w:rsidR="00315176" w:rsidRPr="00A9681B">
        <w:t>f the first sentence of Article </w:t>
      </w:r>
      <w:r w:rsidRPr="00A9681B">
        <w:t>1”</w:t>
      </w:r>
      <w:r w:rsidRPr="00A9681B">
        <w:rPr>
          <w:i/>
        </w:rPr>
        <w:t xml:space="preserve"> </w:t>
      </w:r>
      <w:r w:rsidRPr="00A9681B">
        <w:t>(see</w:t>
      </w:r>
      <w:r w:rsidRPr="00A9681B">
        <w:rPr>
          <w:i/>
        </w:rPr>
        <w:t xml:space="preserve"> Van Marle and Others v. the Netherlands</w:t>
      </w:r>
      <w:r w:rsidRPr="00A9681B">
        <w:t>, 26 June 1986,</w:t>
      </w:r>
      <w:r w:rsidRPr="00A9681B">
        <w:rPr>
          <w:i/>
        </w:rPr>
        <w:t xml:space="preserve"> </w:t>
      </w:r>
      <w:r w:rsidR="00315176" w:rsidRPr="00A9681B">
        <w:t>§ </w:t>
      </w:r>
      <w:r w:rsidRPr="00A9681B">
        <w:t>41,</w:t>
      </w:r>
      <w:r w:rsidRPr="00A9681B">
        <w:rPr>
          <w:i/>
          <w:sz w:val="22"/>
        </w:rPr>
        <w:t xml:space="preserve"> </w:t>
      </w:r>
      <w:r w:rsidR="00315176" w:rsidRPr="00A9681B">
        <w:t>Series </w:t>
      </w:r>
      <w:r w:rsidRPr="00A9681B">
        <w:t>A no. 101).</w:t>
      </w:r>
    </w:p>
    <w:p w:rsidR="00DE2585" w:rsidRPr="00A9681B" w:rsidRDefault="000F06F3" w:rsidP="00A9681B">
      <w:pPr>
        <w:pStyle w:val="OpiPara"/>
      </w:pPr>
      <w:r w:rsidRPr="00A9681B">
        <w:t>In another case it expressed the following views:</w:t>
      </w:r>
    </w:p>
    <w:p w:rsidR="00DE2585" w:rsidRPr="00A9681B" w:rsidRDefault="000F06F3" w:rsidP="00A9681B">
      <w:pPr>
        <w:pStyle w:val="OpiQuot"/>
      </w:pPr>
      <w:r w:rsidRPr="00A9681B">
        <w:t>“The Court has previously considered that rights akin to property rights existed in cases concerning professional practices where by dint of their own work, the applicants concerned had built up a clientele.” (</w:t>
      </w:r>
      <w:r w:rsidRPr="00A9681B">
        <w:rPr>
          <w:i/>
        </w:rPr>
        <w:t>Malik</w:t>
      </w:r>
      <w:r w:rsidRPr="00A9681B">
        <w:t xml:space="preserve"> </w:t>
      </w:r>
      <w:r w:rsidRPr="00A9681B">
        <w:rPr>
          <w:i/>
        </w:rPr>
        <w:t>v. the United Kingdom</w:t>
      </w:r>
      <w:r w:rsidRPr="00A9681B">
        <w:t>, no. 23780/08, § 90, 13 March 2012)</w:t>
      </w:r>
    </w:p>
    <w:p w:rsidR="000F06F3" w:rsidRPr="00A9681B" w:rsidRDefault="000F06F3" w:rsidP="00A9681B">
      <w:pPr>
        <w:pStyle w:val="OpiQuot"/>
        <w:rPr>
          <w:i/>
        </w:rPr>
      </w:pPr>
      <w:r w:rsidRPr="00A9681B">
        <w:t>“The Court reiterates that in cases involving professional practices, it has viewed restrictions on applicants</w:t>
      </w:r>
      <w:r w:rsidR="00A9681B" w:rsidRPr="00A9681B">
        <w:t>’</w:t>
      </w:r>
      <w:r w:rsidRPr="00A9681B">
        <w:t xml:space="preserve"> rights to practise the profession concerned as an interference where the restriction significantly affected the conditions of their professional activities and reduced the scope of those activities and where, as a consequence of the restriction, the applicant</w:t>
      </w:r>
      <w:r w:rsidR="00A9681B" w:rsidRPr="00A9681B">
        <w:t>’</w:t>
      </w:r>
      <w:r w:rsidRPr="00A9681B">
        <w:t>s income and the value of his clientele and business fell (see paragraph 90 above).” (ibid., § 105)</w:t>
      </w:r>
    </w:p>
    <w:p w:rsidR="000F06F3" w:rsidRPr="00A9681B" w:rsidRDefault="000F06F3" w:rsidP="00A9681B">
      <w:pPr>
        <w:pStyle w:val="OpiPara"/>
      </w:pPr>
      <w:r w:rsidRPr="00A9681B">
        <w:t>The approach of the Court has been summarised in the following way:</w:t>
      </w:r>
    </w:p>
    <w:p w:rsidR="00DE2585" w:rsidRPr="00A9681B" w:rsidRDefault="000F06F3" w:rsidP="00A9681B">
      <w:pPr>
        <w:pStyle w:val="OpiQuot"/>
      </w:pPr>
      <w:r w:rsidRPr="00A9681B">
        <w:t xml:space="preserve">“The applicability of Article 1 of Protocol No. 1 ... extends also to professional practices and their clientele, as these are entities of a certain worth that have in many respects the nature of private rights, and thus constitute assets (see among many authorities, </w:t>
      </w:r>
      <w:r w:rsidRPr="00A9681B">
        <w:rPr>
          <w:i/>
        </w:rPr>
        <w:t>Van Marle and Others v. the Netherlands</w:t>
      </w:r>
      <w:r w:rsidRPr="00A9681B">
        <w:t xml:space="preserve">, 26 June 1986, § 41, Series A no. 101, and </w:t>
      </w:r>
      <w:r w:rsidRPr="00A9681B">
        <w:rPr>
          <w:i/>
        </w:rPr>
        <w:t>Buzescu v. Romania</w:t>
      </w:r>
      <w:r w:rsidRPr="00A9681B">
        <w:t>, no. 61302/00, § 81, 24 May 2005).” (</w:t>
      </w:r>
      <w:r w:rsidRPr="00A9681B">
        <w:rPr>
          <w:i/>
        </w:rPr>
        <w:t>Oklešen and Pokopališko Pogrebne Storitve Leopold Oklešen S.P. v. Slovenia</w:t>
      </w:r>
      <w:r w:rsidRPr="00A9681B">
        <w:t>, no. 35264/04, § 54, 30 November 2010)</w:t>
      </w:r>
    </w:p>
    <w:p w:rsidR="00DE2585" w:rsidRPr="00A9681B" w:rsidRDefault="000F06F3" w:rsidP="00A9681B">
      <w:pPr>
        <w:pStyle w:val="OpiPara"/>
      </w:pPr>
      <w:r w:rsidRPr="00A9681B">
        <w:t xml:space="preserve">The case-law also affirms that </w:t>
      </w:r>
      <w:r w:rsidRPr="00A9681B">
        <w:rPr>
          <w:i/>
        </w:rPr>
        <w:t xml:space="preserve">goodwill </w:t>
      </w:r>
      <w:r w:rsidRPr="00A9681B">
        <w:t xml:space="preserve">is to be protected as a possession within the meaning of Article of Protocol No. 1 (see, for instance, </w:t>
      </w:r>
      <w:r w:rsidRPr="00A9681B">
        <w:rPr>
          <w:i/>
        </w:rPr>
        <w:t>Buzescu</w:t>
      </w:r>
      <w:r w:rsidRPr="00A9681B">
        <w:t>, cited above, § 83).</w:t>
      </w:r>
    </w:p>
    <w:p w:rsidR="000F06F3" w:rsidRPr="00A9681B" w:rsidRDefault="00AE259C" w:rsidP="00A9681B">
      <w:pPr>
        <w:pStyle w:val="OpiPara"/>
      </w:pPr>
      <w:r w:rsidRPr="00A9681B">
        <w:t>5.  </w:t>
      </w:r>
      <w:r w:rsidR="000F06F3" w:rsidRPr="00A9681B">
        <w:t>In the instant case, the Court, following one existing line of case-law, apprehends economic freedom through the concept of clientele. Under this approach, clientele acquired through a business activity is considered a possession protected by Article of Protocol No. 1. It is true that interference with economic liberty often affects an entrepreneur</w:t>
      </w:r>
      <w:r w:rsidR="00A9681B" w:rsidRPr="00A9681B">
        <w:t>’</w:t>
      </w:r>
      <w:r w:rsidR="000F06F3" w:rsidRPr="00A9681B">
        <w:t>s clientele (in every sense of the word). Loss of clientele may be an important indication of interference with economic liberty. There is therefore no doubt that effects on clientele have to be taken into account for the purpose of assessing the permissibility of measures affecting business activities. However, an approach consisting in using clientele as the main criterion for identifying the existence of interference with possessions in the sphere of economic liberty prompts several objections.</w:t>
      </w:r>
    </w:p>
    <w:p w:rsidR="00DE2585" w:rsidRPr="00A9681B" w:rsidRDefault="000F06F3" w:rsidP="00A9681B">
      <w:pPr>
        <w:pStyle w:val="OpiPara"/>
      </w:pPr>
      <w:r w:rsidRPr="00A9681B">
        <w:t>Firstly, the terms “clientele” in English and “</w:t>
      </w:r>
      <w:r w:rsidRPr="00A9681B">
        <w:rPr>
          <w:i/>
        </w:rPr>
        <w:t>clientèle</w:t>
      </w:r>
      <w:r w:rsidRPr="00A9681B">
        <w:t xml:space="preserve">” in French may be used in different meanings. In everyday language they usually mean the set of current clients. They may also refer to both current clients and potential future clients. Or they may designate the capacity to attract and retain clients. The Court does not explain the exact meaning of the term “clientele/ </w:t>
      </w:r>
      <w:r w:rsidRPr="00A9681B">
        <w:rPr>
          <w:i/>
        </w:rPr>
        <w:t>clientèle</w:t>
      </w:r>
      <w:r w:rsidRPr="00A9681B">
        <w:t xml:space="preserve">” but the reference in the reasoning of certain judgments to the </w:t>
      </w:r>
      <w:r w:rsidRPr="00A9681B">
        <w:rPr>
          <w:i/>
        </w:rPr>
        <w:t>building up</w:t>
      </w:r>
      <w:r w:rsidRPr="00A9681B">
        <w:t xml:space="preserve"> of clientele over a period of years (see, for instance, </w:t>
      </w:r>
      <w:r w:rsidRPr="00A9681B">
        <w:rPr>
          <w:i/>
        </w:rPr>
        <w:t>Iatridis v. Greece</w:t>
      </w:r>
      <w:r w:rsidRPr="00A9681B">
        <w:t xml:space="preserve"> [GC], no. 31107/96, § 54, ECHR 1999</w:t>
      </w:r>
      <w:r w:rsidRPr="00A9681B">
        <w:noBreakHyphen/>
        <w:t>II) may suggest that it pertains to the current set of regular customers rather than to occasional clients or potential future clients. This raises the question whether protection through the instrument of clientele extends to businesses relying mainly on one-time clients. In any event, in the absence of a clear explanation, no one knows exactly what the Convention protects, what the obligations of the State are or what current and potential entrepreneurs may legitimately expect from the public authorities.</w:t>
      </w:r>
    </w:p>
    <w:p w:rsidR="00DE2585" w:rsidRPr="00A9681B" w:rsidRDefault="000F06F3" w:rsidP="00A9681B">
      <w:pPr>
        <w:pStyle w:val="OpiPara"/>
      </w:pPr>
      <w:r w:rsidRPr="00A9681B">
        <w:t xml:space="preserve">Secondly, the Court has often stressed that a claim may qualify as a possession only if it is sufficiently established to be enforceable (see, for instance, </w:t>
      </w:r>
      <w:r w:rsidRPr="00A9681B">
        <w:rPr>
          <w:i/>
        </w:rPr>
        <w:t>Polacek and Polackova v. the Czech Republic</w:t>
      </w:r>
      <w:r w:rsidRPr="00A9681B">
        <w:t xml:space="preserve"> (dec.) [GC], no. 38645/97, 10 July 2002). I note in this context that clientele is a matter of fact. It may take years to build up and maintain a clientele, while it may take moments to lose it. Legal scholars have expressed strong scepticism about the idea that clientele may be the object of a subjective right (see, for instance, P. Roubier, </w:t>
      </w:r>
      <w:r w:rsidRPr="00A9681B">
        <w:rPr>
          <w:i/>
        </w:rPr>
        <w:t>Droits subjectifs et situations juridiques</w:t>
      </w:r>
      <w:r w:rsidRPr="00A9681B">
        <w:t>, Dalloz, Paris 2015, p. 352). In many European States it is neither a subjective right nor a possession. In those systems there is no enforceable claim to have one</w:t>
      </w:r>
      <w:r w:rsidR="00A9681B" w:rsidRPr="00A9681B">
        <w:t>’</w:t>
      </w:r>
      <w:r w:rsidRPr="00A9681B">
        <w:t>s clientele protected. The mere assertion in the Court</w:t>
      </w:r>
      <w:r w:rsidR="00A9681B" w:rsidRPr="00A9681B">
        <w:t>’</w:t>
      </w:r>
      <w:r w:rsidRPr="00A9681B">
        <w:t>s case-law that clientele “has in many respects the nature of private rights”, not based upon any reasoning, is devoid of any persuasive force. The Court, while admitting that clientele does not have the nature of private rights in all respects, does not explain what the common features of both clientele and private rights are and why the similarities prevail over the differences.</w:t>
      </w:r>
    </w:p>
    <w:p w:rsidR="00DE2585" w:rsidRPr="00A9681B" w:rsidRDefault="000F06F3" w:rsidP="00A9681B">
      <w:pPr>
        <w:pStyle w:val="OpiPara"/>
      </w:pPr>
      <w:r w:rsidRPr="00A9681B">
        <w:t>More importantly, the concept of clientele as used by the Court protects the established entrepreneurs who have operated on the market for some time and who might already have not only recovered the sums invested but also made a substantial profit. It leaves outside the scope of protection those who are just about to enter a specific market or have just entered it without having had the time to build up their clientele. Such entrepreneurs might have invested considerable sums over several years preparing to enter an existing market, relying upon the assumption that the existing regulations will be maintained. Yet the recourse to the notion of clientele will leave them outside the scope of any Convention protection. The approach adopted by the Court is therefore fundamentally unjust because it protects only the established market operators, and may even protect those operators to the detriment of newcomers. Under the approach adopted, rent-suppressing and market-restoring measures, which by their very nature affect established clientele, require special justification whereas the opposite should apply: the preservation of existing market distortions should require justification under the Convention. If for instance, a State decides to abolish certain import taxes and this decision affects the clientele of domestic companies, according to the existing case-law the State has to justify this “interference” under the Convention and demonstrate that it complies with the principle of proportionality.</w:t>
      </w:r>
    </w:p>
    <w:p w:rsidR="00DE2585" w:rsidRPr="00A9681B" w:rsidRDefault="000F06F3" w:rsidP="00A9681B">
      <w:pPr>
        <w:pStyle w:val="OpiPara"/>
      </w:pPr>
      <w:r w:rsidRPr="00A9681B">
        <w:t>Moreover, clientele may be acquired through different means. Clientele may be acquired through fair competition in an undistorted market. It may be acquired through unfair practices or as result of market distortions. It is highly problematic to protect clientele without looking at the way it was acquired.</w:t>
      </w:r>
    </w:p>
    <w:p w:rsidR="000F06F3" w:rsidRPr="00A9681B" w:rsidRDefault="000F06F3" w:rsidP="00A9681B">
      <w:pPr>
        <w:pStyle w:val="OpiPara"/>
      </w:pPr>
      <w:r w:rsidRPr="00A9681B">
        <w:t xml:space="preserve">By the way, in the instant case, the following inconsistency has to be pointed out. The majority found that the applicant companies were deprived of their clientele, viewing this as a possession (see paragraphs 32 and 43 of the judgment). Yet they characterise the interference not as a deprivation of possessions for the purposes of the second sentence of the first paragraph of Article 1 of Protocol No. 1, but as a control of the use of property referred to in Article 1 § 2 (see paragraph 43 </w:t>
      </w:r>
      <w:r w:rsidRPr="00A9681B">
        <w:rPr>
          <w:i/>
        </w:rPr>
        <w:t>in fine</w:t>
      </w:r>
      <w:r w:rsidRPr="00A9681B">
        <w:t xml:space="preserve"> of the judgment).</w:t>
      </w:r>
    </w:p>
    <w:p w:rsidR="00DE2585" w:rsidRPr="00A9681B" w:rsidRDefault="000F06F3" w:rsidP="00A9681B">
      <w:pPr>
        <w:pStyle w:val="OpiPara"/>
      </w:pPr>
      <w:r w:rsidRPr="00A9681B">
        <w:t>For all the reasons set out above, it would be preferable if the case-law of the Court under Article 1 of Protocol No. 1 in respect of business activities, instead of focusing on the protection of clientele, finally started to recognise economic liberty overtly and to protect it effectively as a fundamental human right.</w:t>
      </w:r>
    </w:p>
    <w:p w:rsidR="00DE2585" w:rsidRPr="00A9681B" w:rsidRDefault="00AE259C" w:rsidP="00A9681B">
      <w:pPr>
        <w:pStyle w:val="OpiPara"/>
      </w:pPr>
      <w:r w:rsidRPr="00A9681B">
        <w:t>6.  </w:t>
      </w:r>
      <w:r w:rsidR="000F06F3" w:rsidRPr="00A9681B">
        <w:t>The majority rightly recognise certain specificities of the textbook market (see paragraphs 52-53 of the judgment).</w:t>
      </w:r>
    </w:p>
    <w:p w:rsidR="00DE2585" w:rsidRPr="00A9681B" w:rsidRDefault="000F06F3" w:rsidP="00A9681B">
      <w:pPr>
        <w:pStyle w:val="OpiPara"/>
      </w:pPr>
      <w:r w:rsidRPr="00A9681B">
        <w:t>As attending school is an obligation and schoolbooks are indispensable to fulfil this obligation, parents have no other option but to buy the schoolbooks chosen either by the State or by the schools. The parents who pay for the product neither decide whether to buy or not to buy it, nor can they choose between competing products. It may be debatable whether the sum paid by the parents for the schoolbooks is the price of a product or rather a fee for accessing educational services.</w:t>
      </w:r>
    </w:p>
    <w:p w:rsidR="00DE2585" w:rsidRPr="00A9681B" w:rsidRDefault="000F06F3" w:rsidP="00A9681B">
      <w:pPr>
        <w:pStyle w:val="OpiPara"/>
      </w:pPr>
      <w:r w:rsidRPr="00A9681B">
        <w:t>The main specificity of the Hungarian schoolbook market was that the main distribution channel was through schools. The schools chose not only the textbooks to be bought by the parents but also their distributors, while the pupils</w:t>
      </w:r>
      <w:r w:rsidR="00A9681B" w:rsidRPr="00A9681B">
        <w:t>’</w:t>
      </w:r>
      <w:r w:rsidRPr="00A9681B">
        <w:t xml:space="preserve"> parents had to pay for the schoolbooks. The final price for the consumer played only a limited role in the choice of the product. However, according to the submissions of the parties, the legislation in force imposed a predetermined price for schoolbooks which was lower than in retail trade in bookshops. At the same time, the mass scale of distribution through schools enabled the providers to generate profits within the economic margin of manoeuvre left by the predetermined price.</w:t>
      </w:r>
    </w:p>
    <w:p w:rsidR="00DE2585" w:rsidRPr="00A9681B" w:rsidRDefault="000F06F3" w:rsidP="00A9681B">
      <w:pPr>
        <w:pStyle w:val="OpiPara"/>
      </w:pPr>
      <w:r w:rsidRPr="00A9681B">
        <w:t>In such a market, schoolbook distributors have strong incentives to influence school headteachers and teachers, who in return do not have to bear any economic costs as a result of their choices and therefore do not have any motivation to care about the final price of the products. There is a very strong incentive to offer different types of advantages, not only to the schools as institutions but also to school staff members personally. Such practices, if they develop, further increase the economic burden which ultimately always shifts onto those who pay for the product and indirectly impacts on schoolbook prices, even if they are regulated.</w:t>
      </w:r>
    </w:p>
    <w:p w:rsidR="00DE2585" w:rsidRPr="00A9681B" w:rsidRDefault="000F06F3" w:rsidP="00A9681B">
      <w:pPr>
        <w:pStyle w:val="OpiPara"/>
      </w:pPr>
      <w:r w:rsidRPr="00A9681B">
        <w:t>I note in this context that, according to the applicant companies</w:t>
      </w:r>
      <w:r w:rsidR="00A9681B" w:rsidRPr="00A9681B">
        <w:t>’</w:t>
      </w:r>
      <w:r w:rsidRPr="00A9681B">
        <w:t xml:space="preserve"> submissions (document dated 16 May 2017, p. 3, paragraph 8), not only schools as such but also “school referents” were paid a commission for their services (ibid., p. 3, paragraph 9, and p. 8, paragraph 30). Moreover, the owners and managers of the applicant companies have all worked or are still working as teachers (ibid., p. 3, paragraph 8). In any event, the applicant companies recognised that “the competition between the schoolbook distributors ... had no effect on the schoolbook prices”</w:t>
      </w:r>
      <w:r w:rsidRPr="00A9681B">
        <w:rPr>
          <w:i/>
        </w:rPr>
        <w:t xml:space="preserve"> </w:t>
      </w:r>
      <w:r w:rsidRPr="00A9681B">
        <w:t>(ibid., p. 6, paragraph 19).</w:t>
      </w:r>
      <w:r w:rsidRPr="00A9681B">
        <w:rPr>
          <w:i/>
        </w:rPr>
        <w:t xml:space="preserve"> </w:t>
      </w:r>
      <w:r w:rsidRPr="00A9681B">
        <w:t>It did not contribute to bringing the schoolbook prices down below the maximum price set by the authorities.</w:t>
      </w:r>
    </w:p>
    <w:p w:rsidR="00DE2585" w:rsidRPr="00A9681B" w:rsidRDefault="00AE259C" w:rsidP="00A9681B">
      <w:pPr>
        <w:pStyle w:val="OpiPara"/>
      </w:pPr>
      <w:r w:rsidRPr="00A9681B">
        <w:t>7.  </w:t>
      </w:r>
      <w:r w:rsidR="000F06F3" w:rsidRPr="00A9681B">
        <w:t>These features are not the only relevant ones. Firstly, Article 2 of Protocol No. 1 to the Convention provides:</w:t>
      </w:r>
    </w:p>
    <w:p w:rsidR="000F06F3" w:rsidRPr="00A9681B" w:rsidRDefault="000F06F3" w:rsidP="00A9681B">
      <w:pPr>
        <w:pStyle w:val="OpiQuot"/>
      </w:pPr>
      <w:r w:rsidRPr="00A9681B">
        <w:t>“No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w:t>
      </w:r>
    </w:p>
    <w:p w:rsidR="00DE2585" w:rsidRPr="00A9681B" w:rsidRDefault="000F06F3" w:rsidP="00A9681B">
      <w:pPr>
        <w:pStyle w:val="OpiPara"/>
      </w:pPr>
      <w:r w:rsidRPr="00A9681B">
        <w:t xml:space="preserve">Schoolbooks are an essential instrument of the education provided to children. The State has the obligation to set up a school system providing high-level educational services </w:t>
      </w:r>
      <w:r w:rsidRPr="00A9681B">
        <w:rPr>
          <w:i/>
        </w:rPr>
        <w:t>in conformity with the religious and philosophical convictions of parents</w:t>
      </w:r>
      <w:r w:rsidRPr="00A9681B">
        <w:t xml:space="preserve"> and to ensure effective access to appropriate textbooks. These aims justify State interference in the schoolbook market even in the absence of any market distortions, provided it respects the right to education in conformity with the parents</w:t>
      </w:r>
      <w:r w:rsidR="00A9681B" w:rsidRPr="00A9681B">
        <w:t>’</w:t>
      </w:r>
      <w:r w:rsidRPr="00A9681B">
        <w:t xml:space="preserve"> religious and philosophical convictions. In particular, the State should create mechanisms ensuring that poor families can have all the schoolbooks necessary for their children.</w:t>
      </w:r>
    </w:p>
    <w:p w:rsidR="00DE2585" w:rsidRPr="00A9681B" w:rsidRDefault="000F06F3" w:rsidP="00A9681B">
      <w:pPr>
        <w:pStyle w:val="OpiPara"/>
      </w:pPr>
      <w:r w:rsidRPr="00A9681B">
        <w:t>Secondly, the facts established by the Court show that the textbook market had been monopolised by the second applicant company in six counties or regions (see paragraph 11 of the judgment). The Court has not tried to establish a broader picture of the market, but the fragmentary information shows the formation of regional monopolies which further affected the operation of the market. The sample data available in the instant case constitute a strong indication that such monopolies might also have existed in other regions. The applicant companies stated that “market shares were relatively stable and it was unlikely that a new competitor could successfully enter the market from one day to another” (see the applicant companies</w:t>
      </w:r>
      <w:r w:rsidR="00A9681B" w:rsidRPr="00A9681B">
        <w:t>’</w:t>
      </w:r>
      <w:r w:rsidRPr="00A9681B">
        <w:t xml:space="preserve"> submissions dated 16 May 2017, p. 5, paragraph 16). It appears that the schoolbook market was based more on market sharing than on competition.</w:t>
      </w:r>
    </w:p>
    <w:p w:rsidR="00DE2585" w:rsidRPr="00A9681B" w:rsidRDefault="000F06F3" w:rsidP="00A9681B">
      <w:pPr>
        <w:pStyle w:val="OpiPara"/>
      </w:pPr>
      <w:r w:rsidRPr="00A9681B">
        <w:t>Thirdly, even if the conduct of the business was not dependent upon typical public orders placed and financed by public agencies, it was dependent upon the schools</w:t>
      </w:r>
      <w:r w:rsidR="00A9681B" w:rsidRPr="00A9681B">
        <w:t>’</w:t>
      </w:r>
      <w:r w:rsidRPr="00A9681B">
        <w:t xml:space="preserve"> choices of their business partners. The legislature has not only the power but also the duty to regulate such choices for the sake of the common good, striking an appropriate balance between the different private and public interests at stake.</w:t>
      </w:r>
    </w:p>
    <w:p w:rsidR="00DE2585" w:rsidRPr="00A9681B" w:rsidRDefault="000F06F3" w:rsidP="00A9681B">
      <w:pPr>
        <w:pStyle w:val="OpiPara"/>
      </w:pPr>
      <w:r w:rsidRPr="00A9681B">
        <w:t>Fourthly, the applicant companies alleged that they conducted only a seasonal business. Their activities slackened off during a substantial portion of the year. In other words, the applicant companies</w:t>
      </w:r>
      <w:r w:rsidR="00A9681B" w:rsidRPr="00A9681B">
        <w:t>’</w:t>
      </w:r>
      <w:r w:rsidRPr="00A9681B">
        <w:t xml:space="preserve"> business capacity was left unexploited for many months during the year. Prima facie, this choice of the companies</w:t>
      </w:r>
      <w:r w:rsidR="00A9681B" w:rsidRPr="00A9681B">
        <w:t>’</w:t>
      </w:r>
      <w:r w:rsidRPr="00A9681B">
        <w:t xml:space="preserve"> respective managers may be seen as surprising. It is not clear why the managers chose not to try to diversify the companies</w:t>
      </w:r>
      <w:r w:rsidR="00A9681B" w:rsidRPr="00A9681B">
        <w:t>’</w:t>
      </w:r>
      <w:r w:rsidRPr="00A9681B">
        <w:t xml:space="preserve"> activities, especially during the low season.</w:t>
      </w:r>
    </w:p>
    <w:p w:rsidR="00DE2585" w:rsidRPr="00A9681B" w:rsidRDefault="000F06F3" w:rsidP="00A9681B">
      <w:pPr>
        <w:pStyle w:val="OpiPara"/>
      </w:pPr>
      <w:r w:rsidRPr="00A9681B">
        <w:t>Fifthly, there are numerous other parameters which shape the textbook market, such as the frequency of changes to official school curricula, the frequency with which the publishers released revised editions and, in connection with this, the possibility of working in classes with second-hand books and their availability to parents. These aspects have not been examined in the proceedings before the Court.</w:t>
      </w:r>
    </w:p>
    <w:p w:rsidR="00DE2585" w:rsidRPr="00A9681B" w:rsidRDefault="00AE259C" w:rsidP="00A9681B">
      <w:pPr>
        <w:pStyle w:val="OpiPara"/>
      </w:pPr>
      <w:r w:rsidRPr="00A9681B">
        <w:t>8.  </w:t>
      </w:r>
      <w:r w:rsidR="000F06F3" w:rsidRPr="00A9681B">
        <w:t>There is no doubt that the textbook market was a distorted market. The parties did not submit any evidence as to how those distortions could have affected the number of companies active on the market and their profitability, but it would be difficult to conclude that the broken character of the market and the creation of monopolies in many regions did not contribute to increasing profits (in contrast to the view of the majority as expressed in paragraph 53 of the judgment). Whether the whole situation could be characterised as economic rent is a different question.</w:t>
      </w:r>
    </w:p>
    <w:p w:rsidR="000F06F3" w:rsidRPr="00A9681B" w:rsidRDefault="000F06F3" w:rsidP="00A9681B">
      <w:pPr>
        <w:pStyle w:val="OpiPara"/>
      </w:pPr>
      <w:r w:rsidRPr="00A9681B">
        <w:t>Moreover, the clientele of the schoolbook providers was very different from the clientele in other Article 1 of Protocol No. 1 cases decided by the Court. Neither the pupils</w:t>
      </w:r>
      <w:r w:rsidR="00A9681B" w:rsidRPr="00A9681B">
        <w:t>’</w:t>
      </w:r>
      <w:r w:rsidRPr="00A9681B">
        <w:t xml:space="preserve"> parents nor the schools can be regarded as a clientele acquired through free competition on the market. The parents constituted a “captive” clientele acquired not through the attractiveness of the conditions offered to them by the distributors but as a result of choices made by other persons. Is this captive clientele a possession protected under the Convention? Does the Convention entrench this captivity?</w:t>
      </w:r>
    </w:p>
    <w:p w:rsidR="00DE2585" w:rsidRPr="00A9681B" w:rsidRDefault="000F06F3" w:rsidP="00A9681B">
      <w:pPr>
        <w:pStyle w:val="OpiPara"/>
      </w:pPr>
      <w:r w:rsidRPr="00A9681B">
        <w:t>Turning to the relations between distributors and schools, one has to stress that the underlying assumption in a democratic State ruled by law is that public institutions will permanently endeavour to lower the economic and social costs of the goods and services they contract. They always have the duty to find alternative, cheaper and better providers or, if the common good so requires, to completely reshape the regulation of the market segment concerned. In a public procurement market, nothing is guaranteed for the future. The distributors could not have had any legitimate expectation that schools would remain their clientele. They had to expect that the public authorities would always try to find better business partners.</w:t>
      </w:r>
    </w:p>
    <w:p w:rsidR="00DE2585" w:rsidRPr="00A9681B" w:rsidRDefault="000F06F3" w:rsidP="00A9681B">
      <w:pPr>
        <w:pStyle w:val="OpiPara"/>
      </w:pPr>
      <w:r w:rsidRPr="00A9681B">
        <w:t>In the circumstances explained above, although the entrepreneurs active in the schoolbook market in Hungary could legitimately expect that the existing business regulations would not be changed without sufficient reasons, they should not have been surprised by far-reaching State intervention in this market. In particular, the applicant companies, being aware of market distortions, which are a sufficient justification for changes to market regulations, could not reasonably expect that the State would preserve such distortions.</w:t>
      </w:r>
    </w:p>
    <w:p w:rsidR="00DE2585" w:rsidRPr="00A9681B" w:rsidRDefault="00AE259C" w:rsidP="00A9681B">
      <w:pPr>
        <w:pStyle w:val="OpiPara"/>
      </w:pPr>
      <w:r w:rsidRPr="00A9681B">
        <w:t>9.  </w:t>
      </w:r>
      <w:r w:rsidR="000F06F3" w:rsidRPr="00A9681B">
        <w:t xml:space="preserve">The Hungarian legislation passed in December 2011 and July 2012 (see paragraph 6 of the judgment) obliges schools to order schoolbooks for pupils through the newly created State-owned company. It </w:t>
      </w:r>
      <w:r w:rsidR="000F06F3" w:rsidRPr="00A9681B">
        <w:rPr>
          <w:i/>
        </w:rPr>
        <w:t>de facto</w:t>
      </w:r>
      <w:r w:rsidR="000F06F3" w:rsidRPr="00A9681B">
        <w:t xml:space="preserve"> closed the most significant channel of textbook distribution to the applicant companies and guaranteed a privileged position to the official distributor by ensuring its monopoly over this distribution channel. As a result, the new State-owned distributor seized control of almost the whole textbook market. There can be no doubt that this legislative change adversely affected the conditions in which the applicant companies operated. Such types of legislative reforms may be excluded by bilateral treaties for the protection of foreign investments if they affect entrepreneurs from the other State party to the treaty, even if the measures pertain to distorted markets.</w:t>
      </w:r>
    </w:p>
    <w:p w:rsidR="00DE2585" w:rsidRPr="00A9681B" w:rsidRDefault="000F06F3" w:rsidP="00A9681B">
      <w:pPr>
        <w:pStyle w:val="OpiPara"/>
      </w:pPr>
      <w:r w:rsidRPr="00A9681B">
        <w:t>On the other hand, the legislative reforms did not legally close the schoolbook market to the applicant companies. The applicant companies are free to provide schoolbooks to bookshops, parents or private schools and to distribute schoolbooks through any other channels. All those channels of distribution were left untouched, but in the Hungarian context they were of minor economic importance as parents preferred to buy books ordered by the schools.</w:t>
      </w:r>
    </w:p>
    <w:p w:rsidR="00DE2585" w:rsidRPr="00A9681B" w:rsidRDefault="000F06F3" w:rsidP="00A9681B">
      <w:pPr>
        <w:pStyle w:val="OpiPara"/>
      </w:pPr>
      <w:r w:rsidRPr="00A9681B">
        <w:t>Moreover, the impugned measures started to produce their effects in September 2013 (see paragraph 6 of the judgment), more than twenty months after their publication. The applicant companies therefore had a relatively long period to adapt and reinvent their business. In particular, they could have used for this purpose the long periods when their activities slowed down. No obstacles to the diversification of their business activities have been demonstrated.</w:t>
      </w:r>
    </w:p>
    <w:p w:rsidR="000F06F3" w:rsidRPr="00A9681B" w:rsidRDefault="000F06F3" w:rsidP="00A9681B">
      <w:pPr>
        <w:pStyle w:val="OpiPara"/>
      </w:pPr>
      <w:r w:rsidRPr="00A9681B">
        <w:t>The majority point to the fact that the reform did not envisage any compensation for the companies affected (see paragraphs 51 and 57 of the judgment). In my view, in certain circumstances, past profits made in a distorted market may be seen as anticipated compensation for subsequent changes to legislation adversely affecting business conditions.</w:t>
      </w:r>
    </w:p>
    <w:p w:rsidR="00DE2585" w:rsidRPr="00A9681B" w:rsidRDefault="00AE259C" w:rsidP="00A9681B">
      <w:pPr>
        <w:pStyle w:val="OpiPara"/>
      </w:pPr>
      <w:r w:rsidRPr="00A9681B">
        <w:t>10.  </w:t>
      </w:r>
      <w:r w:rsidR="000F06F3" w:rsidRPr="00A9681B">
        <w:t>The majority rely on the data provided by the applicant companies, which allege that their margins were lower that the margin guaranteed legally to the State-owned distributor (see paragraph 46 of the judgment). This is indeed a relevant factor which has to be taken into account. I welcome the fact that the Court decided to introduce an economic rationality analysis as part of the proportionality assessment under Article 1 of Protocol 1. It is a major and positive development in human rights adjudication. Economically irrational interference with economic liberty cannot be justified under the Convention. At the same time, I consider that the concrete argument put forward is not decisive. Firstly, the economic rationality analysis should be carried out in a broader context; otherwise the balancing exercise becomes irrational. The Government argued that the reform measures had resulted in a broader group of parents having access to schoolbooks financed by the State. This element and other elements of the reform seen as a whole should also have been examined by the Court for the purpose of the proportionality assessment. Secondly, it is not clear whether the methodology of determining the maximum schoolbook prices has changed with the reform. The Court should also have established the actual pricing policy applied by the new distributor, and whether the margin guaranteed by law to the new State-owned distributor was effectively applied in practice or whether the newly created company provided schoolbooks to parents below the maximum price. Thirdly, before the reform the distributors offered a commission to schools in exchange for certain services (see paragraph 39 of the judgment). It is not clear to what extent the reform enabled the schools to get rid of these burdensome tasks and allocate the corresponding resources for educational purposes.</w:t>
      </w:r>
    </w:p>
    <w:p w:rsidR="00DE2585" w:rsidRPr="00A9681B" w:rsidRDefault="000F06F3" w:rsidP="00A9681B">
      <w:pPr>
        <w:pStyle w:val="OpiPara"/>
      </w:pPr>
      <w:r w:rsidRPr="00A9681B">
        <w:t xml:space="preserve">It has to be added here that the Court has established that the books went from the publishers to the parents through at least two distributors (see paragraph 8 </w:t>
      </w:r>
      <w:r w:rsidRPr="00A9681B">
        <w:rPr>
          <w:i/>
        </w:rPr>
        <w:t>in fine</w:t>
      </w:r>
      <w:r w:rsidRPr="00A9681B">
        <w:t>). According to the submissions of the applicant companies (as summarised in paragraph 39 of the judgment), the publishers granted the distributors a margin of 11</w:t>
      </w:r>
      <w:r w:rsidR="00804D7A" w:rsidRPr="00A9681B">
        <w:t>%</w:t>
      </w:r>
      <w:r w:rsidRPr="00A9681B">
        <w:t xml:space="preserve"> to 16%. It is not clear how this margin was divided between the subsequent distributors of the same product.</w:t>
      </w:r>
    </w:p>
    <w:p w:rsidR="00DE2585" w:rsidRPr="00A9681B" w:rsidRDefault="000F06F3" w:rsidP="00A9681B">
      <w:pPr>
        <w:pStyle w:val="OpiPara"/>
      </w:pPr>
      <w:r w:rsidRPr="00A9681B">
        <w:t>It is also important to take into account the following aspect in this context. The higher the margin legally guaranteed to the State-owned company, the greater the possibility for private distributors, operating with a lower margin, to creatively develop alternative channels for the distribution of schoolbooks, outplaying the official distributor.</w:t>
      </w:r>
    </w:p>
    <w:p w:rsidR="00DE2585" w:rsidRPr="00A9681B" w:rsidRDefault="00AE259C" w:rsidP="00A9681B">
      <w:pPr>
        <w:pStyle w:val="OpiPara"/>
      </w:pPr>
      <w:r w:rsidRPr="00A9681B">
        <w:t>11.  </w:t>
      </w:r>
      <w:r w:rsidR="000F06F3" w:rsidRPr="00A9681B">
        <w:t>In the instant case – as already mentioned above – the Government have convincingly shown that the schoolbook market in Hungary was distorted, although they have not been able either to present a detailed picture of the way the market operated or to establish the exact impact of those distortions on the business results of the applicant companies. My preference would have been for the Court to establish those elements of its own motion, and to assess the reform as a whole with all its costs and benefits. All those elements are relevant for the assessment of proportionality in the instant case, but they have not been established with sufficient clarity to decide the case. The Court could have commissioned expert opinions on those matters.</w:t>
      </w:r>
    </w:p>
    <w:p w:rsidR="00DE2585" w:rsidRPr="00A9681B" w:rsidRDefault="00AE259C" w:rsidP="00A9681B">
      <w:pPr>
        <w:pStyle w:val="OpiPara"/>
      </w:pPr>
      <w:r w:rsidRPr="00A9681B">
        <w:t>12.  </w:t>
      </w:r>
      <w:r w:rsidR="000F06F3" w:rsidRPr="00A9681B">
        <w:t>In conclusion, I would like to underline that protection of economic liberty is essential for preserving freedom as such. I fully share the majority</w:t>
      </w:r>
      <w:r w:rsidR="00A9681B" w:rsidRPr="00A9681B">
        <w:t>’</w:t>
      </w:r>
      <w:r w:rsidR="000F06F3" w:rsidRPr="00A9681B">
        <w:t>s reluctance to accept State economic monopolies, and I respect their endeavour to give economic liberty a more prominent place in international human rights law. However, in view of the high level of obscurity concerning important factual elements of the instant case, the benefit of the doubt concerning the economic rationality of the reform – considered as a whole – has to be given to the respondent Government, who are, after all, accountable to the nation for the conduct of State economic and social policy.</w:t>
      </w:r>
    </w:p>
    <w:p w:rsidR="00FB7FD5" w:rsidRPr="00A9681B" w:rsidRDefault="000F06F3" w:rsidP="00A9681B">
      <w:pPr>
        <w:pStyle w:val="OpiPara"/>
      </w:pPr>
      <w:r w:rsidRPr="00A9681B">
        <w:t>Although the new legislation adversely affected the conditions in which the applicant companies operated, I do not see any direct interference with the applicant companies</w:t>
      </w:r>
      <w:r w:rsidR="00A9681B" w:rsidRPr="00A9681B">
        <w:t>’</w:t>
      </w:r>
      <w:r w:rsidRPr="00A9681B">
        <w:t xml:space="preserve"> possessions or with any of their legitimate expectations. At the same time, there are no sufficient grounds to conclude that the indirect interference with economic liberty was really disproportionate. The fragmentary factual findings made by the Court do not enable me to conclude that the impugned measures, taken in reaction to market distortions, violated Article 1 of Protocol No. 1 to</w:t>
      </w:r>
      <w:r w:rsidR="00315176" w:rsidRPr="00A9681B">
        <w:t xml:space="preserve"> the Convention.</w:t>
      </w:r>
    </w:p>
    <w:sectPr w:rsidR="00FB7FD5" w:rsidRPr="00A9681B" w:rsidSect="00FB7FD5">
      <w:headerReference w:type="even" r:id="rId21"/>
      <w:headerReference w:type="default" r:id="rId22"/>
      <w:footnotePr>
        <w:numRestart w:val="eachSect"/>
      </w:footnotePr>
      <w:pgSz w:w="11906" w:h="16838" w:code="9"/>
      <w:pgMar w:top="2274" w:right="2274" w:bottom="1843"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48E" w:rsidRPr="00535BB8" w:rsidRDefault="0029748E" w:rsidP="00014566">
      <w:r w:rsidRPr="00535BB8">
        <w:separator/>
      </w:r>
    </w:p>
  </w:endnote>
  <w:endnote w:type="continuationSeparator" w:id="0">
    <w:p w:rsidR="0029748E" w:rsidRPr="00535BB8" w:rsidRDefault="0029748E" w:rsidP="00014566">
      <w:r w:rsidRPr="00535B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NewRomanPSMT">
    <w:altName w:val="MS Mincho"/>
    <w:panose1 w:val="00000000000000000000"/>
    <w:charset w:val="00"/>
    <w:family w:val="roman"/>
    <w:notTrueType/>
    <w:pitch w:val="default"/>
    <w:sig w:usb0="00000000" w:usb1="08070000" w:usb2="00000010" w:usb3="00000000" w:csb0="00020001"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Pr="00150BFA" w:rsidRDefault="00940D21" w:rsidP="00003C7A">
    <w:pPr>
      <w:jc w:val="center"/>
    </w:pPr>
    <w:r>
      <w:rPr>
        <w:noProof/>
        <w:lang w:val="pl-PL" w:eastAsia="pl-PL"/>
      </w:rPr>
      <w:drawing>
        <wp:inline distT="0" distB="0" distL="0" distR="0" wp14:anchorId="6B9C2C89" wp14:editId="61656BB2">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40D21" w:rsidRDefault="00940D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48E" w:rsidRPr="00535BB8" w:rsidRDefault="0029748E" w:rsidP="00014566">
      <w:r w:rsidRPr="00535BB8">
        <w:separator/>
      </w:r>
    </w:p>
  </w:footnote>
  <w:footnote w:type="continuationSeparator" w:id="0">
    <w:p w:rsidR="0029748E" w:rsidRPr="00535BB8" w:rsidRDefault="0029748E" w:rsidP="00014566">
      <w:r w:rsidRPr="00535BB8">
        <w:continuationSeparator/>
      </w:r>
    </w:p>
  </w:footnote>
  <w:footnote w:id="1">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Judgment, </w:t>
      </w:r>
      <w:r>
        <w:rPr>
          <w:rFonts w:ascii="Times New Roman" w:hAnsi="Times New Roman" w:cs="Times New Roman"/>
        </w:rPr>
        <w:t>paragraph</w:t>
      </w:r>
      <w:r w:rsidRPr="009C1F5F">
        <w:rPr>
          <w:rFonts w:ascii="Times New Roman" w:hAnsi="Times New Roman" w:cs="Times New Roman"/>
        </w:rPr>
        <w:t xml:space="preserve"> 6.</w:t>
      </w:r>
    </w:p>
  </w:footnote>
  <w:footnote w:id="2">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Sporrong and Lönnroth v. Sweden</w:t>
      </w:r>
      <w:r w:rsidRPr="009C1F5F">
        <w:rPr>
          <w:rFonts w:ascii="Times New Roman" w:hAnsi="Times New Roman" w:cs="Times New Roman"/>
        </w:rPr>
        <w:t>, 23 September 1982, § 61, Series A no. 52</w:t>
      </w:r>
      <w:r>
        <w:rPr>
          <w:rFonts w:ascii="Times New Roman" w:hAnsi="Times New Roman" w:cs="Times New Roman"/>
        </w:rPr>
        <w:t>.</w:t>
      </w:r>
    </w:p>
  </w:footnote>
  <w:footnote w:id="3">
    <w:p w:rsidR="00940D21" w:rsidRPr="009C1F5F" w:rsidRDefault="00940D21" w:rsidP="00003C7A">
      <w:pPr>
        <w:pStyle w:val="Tekstprzypisudolnego"/>
        <w:jc w:val="left"/>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Sarıca and Dilaver v. Turkey</w:t>
      </w:r>
      <w:r w:rsidRPr="009C1F5F">
        <w:rPr>
          <w:rFonts w:ascii="Times New Roman" w:hAnsi="Times New Roman" w:cs="Times New Roman"/>
        </w:rPr>
        <w:t>, no. 11765/05,</w:t>
      </w:r>
      <w:r>
        <w:rPr>
          <w:rFonts w:ascii="Times New Roman" w:hAnsi="Times New Roman" w:cs="Times New Roman"/>
        </w:rPr>
        <w:t xml:space="preserve"> </w:t>
      </w:r>
      <w:r w:rsidRPr="009C1F5F">
        <w:rPr>
          <w:rFonts w:ascii="Times New Roman" w:hAnsi="Times New Roman" w:cs="Times New Roman"/>
        </w:rPr>
        <w:t xml:space="preserve">27 May 2010. </w:t>
      </w:r>
    </w:p>
  </w:footnote>
  <w:footnote w:id="4">
    <w:p w:rsidR="00940D21" w:rsidRPr="006124D9" w:rsidRDefault="00940D21" w:rsidP="00003C7A">
      <w:pPr>
        <w:pStyle w:val="Tekstprzypisudolnego"/>
        <w:rPr>
          <w:rFonts w:ascii="Times New Roman" w:hAnsi="Times New Roman" w:cs="Times New Roman"/>
          <w:lang w:val="pl-PL"/>
        </w:rPr>
      </w:pPr>
      <w:r w:rsidRPr="009C1F5F">
        <w:rPr>
          <w:rStyle w:val="Odwoanieprzypisudolnego"/>
          <w:rFonts w:ascii="Times New Roman" w:hAnsi="Times New Roman" w:cs="Times New Roman"/>
        </w:rPr>
        <w:footnoteRef/>
      </w:r>
      <w:r w:rsidRPr="006124D9">
        <w:rPr>
          <w:rFonts w:ascii="Times New Roman" w:hAnsi="Times New Roman" w:cs="Times New Roman"/>
          <w:lang w:val="pl-PL"/>
        </w:rPr>
        <w:t xml:space="preserve"> </w:t>
      </w:r>
      <w:r w:rsidRPr="006124D9">
        <w:rPr>
          <w:rFonts w:ascii="Times New Roman" w:hAnsi="Times New Roman" w:cs="Times New Roman"/>
          <w:i/>
          <w:lang w:val="pl-PL"/>
        </w:rPr>
        <w:t xml:space="preserve">Hutten-Czapska v. Poland </w:t>
      </w:r>
      <w:r w:rsidRPr="006124D9">
        <w:rPr>
          <w:rFonts w:ascii="Times New Roman" w:hAnsi="Times New Roman" w:cs="Times New Roman"/>
          <w:lang w:val="pl-PL"/>
        </w:rPr>
        <w:t>[GC], no. 35014/97, ECHR 20006-VIII.</w:t>
      </w:r>
    </w:p>
  </w:footnote>
  <w:footnote w:id="5">
    <w:p w:rsidR="00940D21" w:rsidRPr="009C1F5F" w:rsidRDefault="00940D21" w:rsidP="00003C7A">
      <w:pPr>
        <w:rPr>
          <w:rFonts w:ascii="Times New Roman" w:hAnsi="Times New Roman" w:cs="Times New Roman"/>
          <w:sz w:val="20"/>
          <w:szCs w:val="20"/>
        </w:rPr>
      </w:pPr>
      <w:r w:rsidRPr="009C1F5F">
        <w:rPr>
          <w:rStyle w:val="Odwoanieprzypisudolnego"/>
          <w:rFonts w:ascii="Times New Roman" w:hAnsi="Times New Roman" w:cs="Times New Roman"/>
          <w:sz w:val="20"/>
          <w:szCs w:val="20"/>
        </w:rPr>
        <w:footnoteRef/>
      </w:r>
      <w:r w:rsidRPr="009C1F5F">
        <w:rPr>
          <w:rFonts w:ascii="Times New Roman" w:hAnsi="Times New Roman" w:cs="Times New Roman"/>
          <w:sz w:val="20"/>
          <w:szCs w:val="20"/>
        </w:rPr>
        <w:t xml:space="preserve"> </w:t>
      </w:r>
      <w:r w:rsidRPr="009C1F5F">
        <w:rPr>
          <w:rFonts w:ascii="Times New Roman" w:hAnsi="Times New Roman" w:cs="Times New Roman"/>
          <w:i/>
          <w:sz w:val="20"/>
          <w:szCs w:val="20"/>
        </w:rPr>
        <w:t>AGOSI v. the United Kingdom</w:t>
      </w:r>
      <w:r w:rsidRPr="009C1F5F">
        <w:rPr>
          <w:rFonts w:ascii="Times New Roman" w:hAnsi="Times New Roman" w:cs="Times New Roman"/>
          <w:sz w:val="20"/>
          <w:szCs w:val="20"/>
        </w:rPr>
        <w:t xml:space="preserve">, 24 October 1986, Series A no. 108; </w:t>
      </w:r>
      <w:r w:rsidRPr="009C1F5F">
        <w:rPr>
          <w:rFonts w:ascii="Times New Roman" w:hAnsi="Times New Roman" w:cs="Times New Roman"/>
          <w:i/>
          <w:sz w:val="20"/>
          <w:szCs w:val="20"/>
        </w:rPr>
        <w:t>Raimondo v. Italy</w:t>
      </w:r>
      <w:r w:rsidRPr="009C1F5F">
        <w:rPr>
          <w:rFonts w:ascii="Times New Roman" w:hAnsi="Times New Roman" w:cs="Times New Roman"/>
          <w:sz w:val="20"/>
          <w:szCs w:val="20"/>
        </w:rPr>
        <w:t>, 22</w:t>
      </w:r>
      <w:r>
        <w:rPr>
          <w:rFonts w:ascii="Times New Roman" w:hAnsi="Times New Roman" w:cs="Times New Roman"/>
          <w:sz w:val="20"/>
          <w:szCs w:val="20"/>
        </w:rPr>
        <w:t> </w:t>
      </w:r>
      <w:r w:rsidRPr="009C1F5F">
        <w:rPr>
          <w:rFonts w:ascii="Times New Roman" w:hAnsi="Times New Roman" w:cs="Times New Roman"/>
          <w:sz w:val="20"/>
          <w:szCs w:val="20"/>
        </w:rPr>
        <w:t>February 1994, Series A no. 281</w:t>
      </w:r>
      <w:r w:rsidRPr="009C1F5F">
        <w:rPr>
          <w:rFonts w:ascii="Times New Roman" w:hAnsi="Times New Roman" w:cs="Times New Roman"/>
          <w:sz w:val="20"/>
          <w:szCs w:val="20"/>
        </w:rPr>
        <w:noBreakHyphen/>
        <w:t xml:space="preserve">A; </w:t>
      </w:r>
      <w:r w:rsidRPr="009C1F5F">
        <w:rPr>
          <w:rFonts w:ascii="Times New Roman" w:hAnsi="Times New Roman" w:cs="Times New Roman"/>
          <w:i/>
          <w:sz w:val="20"/>
          <w:szCs w:val="20"/>
        </w:rPr>
        <w:t>Air Canada v. the United Kingdom</w:t>
      </w:r>
      <w:r w:rsidRPr="009C1F5F">
        <w:rPr>
          <w:rFonts w:ascii="Times New Roman" w:hAnsi="Times New Roman" w:cs="Times New Roman"/>
          <w:sz w:val="20"/>
          <w:szCs w:val="20"/>
        </w:rPr>
        <w:t>, 5 May 1995, Series A no. 316</w:t>
      </w:r>
      <w:r w:rsidRPr="009C1F5F">
        <w:rPr>
          <w:rFonts w:ascii="Times New Roman" w:hAnsi="Times New Roman" w:cs="Times New Roman"/>
          <w:sz w:val="20"/>
          <w:szCs w:val="20"/>
        </w:rPr>
        <w:noBreakHyphen/>
        <w:t xml:space="preserve">A; </w:t>
      </w:r>
      <w:r>
        <w:rPr>
          <w:rFonts w:ascii="Times New Roman" w:hAnsi="Times New Roman" w:cs="Times New Roman"/>
          <w:sz w:val="20"/>
          <w:szCs w:val="20"/>
        </w:rPr>
        <w:t xml:space="preserve">and </w:t>
      </w:r>
      <w:r w:rsidRPr="009C1F5F">
        <w:rPr>
          <w:rFonts w:ascii="Times New Roman" w:hAnsi="Times New Roman" w:cs="Times New Roman"/>
          <w:i/>
          <w:sz w:val="20"/>
          <w:szCs w:val="20"/>
        </w:rPr>
        <w:t>Bowler International Unit v. France</w:t>
      </w:r>
      <w:r w:rsidRPr="009C1F5F">
        <w:rPr>
          <w:rFonts w:ascii="Times New Roman" w:hAnsi="Times New Roman" w:cs="Times New Roman"/>
          <w:sz w:val="20"/>
          <w:szCs w:val="20"/>
        </w:rPr>
        <w:t>, no. 1946/06</w:t>
      </w:r>
      <w:r w:rsidRPr="009C1F5F">
        <w:rPr>
          <w:rFonts w:ascii="Times New Roman" w:hAnsi="Times New Roman" w:cs="Times New Roman"/>
          <w:snapToGrid w:val="0"/>
          <w:sz w:val="20"/>
          <w:szCs w:val="20"/>
        </w:rPr>
        <w:t xml:space="preserve">, 23 July 2009. </w:t>
      </w:r>
    </w:p>
  </w:footnote>
  <w:footnote w:id="6">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813BB">
        <w:rPr>
          <w:i/>
        </w:rPr>
        <w:t xml:space="preserve">Ian Edgar </w:t>
      </w:r>
      <w:r w:rsidRPr="009813BB">
        <w:t>(</w:t>
      </w:r>
      <w:r w:rsidRPr="009C1F5F">
        <w:rPr>
          <w:rFonts w:ascii="Times New Roman" w:hAnsi="Times New Roman" w:cs="Times New Roman"/>
          <w:i/>
        </w:rPr>
        <w:t xml:space="preserve">Liverpool) Ltd v. the United Kingdom </w:t>
      </w:r>
      <w:r w:rsidRPr="00DB2D68">
        <w:rPr>
          <w:rFonts w:ascii="Times New Roman" w:hAnsi="Times New Roman" w:cs="Times New Roman"/>
        </w:rPr>
        <w:t>(dec.)</w:t>
      </w:r>
      <w:r w:rsidRPr="009C1F5F">
        <w:rPr>
          <w:rFonts w:ascii="Times New Roman" w:hAnsi="Times New Roman" w:cs="Times New Roman"/>
        </w:rPr>
        <w:t>, no. 37683/97, ECHR 2000</w:t>
      </w:r>
      <w:r w:rsidRPr="009C1F5F">
        <w:rPr>
          <w:rFonts w:ascii="MS Mincho" w:eastAsia="MS Mincho" w:hAnsi="MS Mincho" w:cs="MS Mincho" w:hint="eastAsia"/>
        </w:rPr>
        <w:t>‑</w:t>
      </w:r>
      <w:r w:rsidRPr="009C1F5F">
        <w:rPr>
          <w:rFonts w:ascii="Times New Roman" w:hAnsi="Times New Roman" w:cs="Times New Roman"/>
        </w:rPr>
        <w:t>I</w:t>
      </w:r>
      <w:r>
        <w:rPr>
          <w:rFonts w:ascii="Times New Roman" w:hAnsi="Times New Roman" w:cs="Times New Roman"/>
        </w:rPr>
        <w:t>,</w:t>
      </w:r>
      <w:r w:rsidRPr="009C1F5F">
        <w:rPr>
          <w:rFonts w:ascii="Times New Roman" w:hAnsi="Times New Roman" w:cs="Times New Roman"/>
        </w:rPr>
        <w:t xml:space="preserve"> and </w:t>
      </w:r>
      <w:r w:rsidRPr="009C1F5F">
        <w:rPr>
          <w:rFonts w:ascii="Times New Roman" w:hAnsi="Times New Roman" w:cs="Times New Roman"/>
          <w:i/>
        </w:rPr>
        <w:t>Denimark L</w:t>
      </w:r>
      <w:r>
        <w:rPr>
          <w:rFonts w:ascii="Times New Roman" w:hAnsi="Times New Roman" w:cs="Times New Roman"/>
          <w:i/>
        </w:rPr>
        <w:t>imi</w:t>
      </w:r>
      <w:r w:rsidRPr="009C1F5F">
        <w:rPr>
          <w:rFonts w:ascii="Times New Roman" w:hAnsi="Times New Roman" w:cs="Times New Roman"/>
          <w:i/>
        </w:rPr>
        <w:t>t</w:t>
      </w:r>
      <w:r>
        <w:rPr>
          <w:rFonts w:ascii="Times New Roman" w:hAnsi="Times New Roman" w:cs="Times New Roman"/>
          <w:i/>
        </w:rPr>
        <w:t>e</w:t>
      </w:r>
      <w:r w:rsidRPr="009C1F5F">
        <w:rPr>
          <w:rFonts w:ascii="Times New Roman" w:hAnsi="Times New Roman" w:cs="Times New Roman"/>
          <w:i/>
        </w:rPr>
        <w:t xml:space="preserve">d and </w:t>
      </w:r>
      <w:r>
        <w:rPr>
          <w:rFonts w:ascii="Times New Roman" w:hAnsi="Times New Roman" w:cs="Times New Roman"/>
          <w:i/>
        </w:rPr>
        <w:t xml:space="preserve">11 </w:t>
      </w:r>
      <w:r w:rsidRPr="009C1F5F">
        <w:rPr>
          <w:rFonts w:ascii="Times New Roman" w:hAnsi="Times New Roman" w:cs="Times New Roman"/>
          <w:i/>
        </w:rPr>
        <w:t xml:space="preserve">Others v. the United Kingdom </w:t>
      </w:r>
      <w:r w:rsidRPr="00DB2D68">
        <w:rPr>
          <w:rFonts w:ascii="Times New Roman" w:hAnsi="Times New Roman" w:cs="Times New Roman"/>
        </w:rPr>
        <w:t>(dec.)</w:t>
      </w:r>
      <w:r w:rsidRPr="009C1F5F">
        <w:rPr>
          <w:rFonts w:ascii="Times New Roman" w:hAnsi="Times New Roman" w:cs="Times New Roman"/>
        </w:rPr>
        <w:t>, no. 37660/97, 26</w:t>
      </w:r>
      <w:r>
        <w:rPr>
          <w:rFonts w:ascii="Times New Roman" w:hAnsi="Times New Roman" w:cs="Times New Roman"/>
        </w:rPr>
        <w:t> </w:t>
      </w:r>
      <w:r w:rsidRPr="009C1F5F">
        <w:rPr>
          <w:rFonts w:ascii="Times New Roman" w:hAnsi="Times New Roman" w:cs="Times New Roman"/>
        </w:rPr>
        <w:t>September 2000.</w:t>
      </w:r>
    </w:p>
  </w:footnote>
  <w:footnote w:id="7">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 xml:space="preserve">Tipp 24 AG v. Germany </w:t>
      </w:r>
      <w:r w:rsidRPr="00DB2D68">
        <w:rPr>
          <w:rFonts w:ascii="Times New Roman" w:hAnsi="Times New Roman" w:cs="Times New Roman"/>
        </w:rPr>
        <w:t>(dec.)</w:t>
      </w:r>
      <w:r w:rsidRPr="009C1F5F">
        <w:rPr>
          <w:rFonts w:ascii="Times New Roman" w:hAnsi="Times New Roman" w:cs="Times New Roman"/>
        </w:rPr>
        <w:t>, no. 21252/09, 27 November 2012.</w:t>
      </w:r>
    </w:p>
  </w:footnote>
  <w:footnote w:id="8">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Van Marle and Others v. the Netherlands</w:t>
      </w:r>
      <w:r w:rsidRPr="009C1F5F">
        <w:rPr>
          <w:rFonts w:ascii="Times New Roman" w:hAnsi="Times New Roman" w:cs="Times New Roman"/>
        </w:rPr>
        <w:t>, 26 June 1986, Series A no. 101.</w:t>
      </w:r>
    </w:p>
  </w:footnote>
  <w:footnote w:id="9">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 xml:space="preserve">Olbertz v. Germany </w:t>
      </w:r>
      <w:r w:rsidRPr="00DB2D68">
        <w:rPr>
          <w:rFonts w:ascii="Times New Roman" w:hAnsi="Times New Roman" w:cs="Times New Roman"/>
        </w:rPr>
        <w:t>(dec.)</w:t>
      </w:r>
      <w:r w:rsidRPr="009C1F5F">
        <w:rPr>
          <w:rFonts w:ascii="Times New Roman" w:hAnsi="Times New Roman" w:cs="Times New Roman"/>
        </w:rPr>
        <w:t xml:space="preserve">, no. 37592/97, </w:t>
      </w:r>
      <w:r w:rsidRPr="009813BB">
        <w:t>ECHR 1999</w:t>
      </w:r>
      <w:r w:rsidRPr="009813BB">
        <w:noBreakHyphen/>
        <w:t>V</w:t>
      </w:r>
      <w:r>
        <w:rPr>
          <w:rFonts w:ascii="Times New Roman" w:hAnsi="Times New Roman" w:cs="Times New Roman"/>
        </w:rPr>
        <w:t>,</w:t>
      </w:r>
      <w:r w:rsidRPr="009C1F5F">
        <w:rPr>
          <w:rFonts w:ascii="Times New Roman" w:hAnsi="Times New Roman" w:cs="Times New Roman"/>
        </w:rPr>
        <w:t xml:space="preserve"> </w:t>
      </w:r>
      <w:r>
        <w:rPr>
          <w:rFonts w:ascii="Times New Roman" w:hAnsi="Times New Roman" w:cs="Times New Roman"/>
        </w:rPr>
        <w:t xml:space="preserve">and </w:t>
      </w:r>
      <w:r w:rsidRPr="009C1F5F">
        <w:rPr>
          <w:rFonts w:ascii="Times New Roman" w:hAnsi="Times New Roman" w:cs="Times New Roman"/>
          <w:i/>
        </w:rPr>
        <w:t xml:space="preserve">Döring v. Germany </w:t>
      </w:r>
      <w:r w:rsidRPr="00DB2D68">
        <w:rPr>
          <w:rFonts w:ascii="Times New Roman" w:hAnsi="Times New Roman" w:cs="Times New Roman"/>
        </w:rPr>
        <w:t>(dec.)</w:t>
      </w:r>
      <w:r w:rsidRPr="009C1F5F">
        <w:rPr>
          <w:rFonts w:ascii="Times New Roman" w:hAnsi="Times New Roman" w:cs="Times New Roman"/>
        </w:rPr>
        <w:t xml:space="preserve">, no. 37595/97, </w:t>
      </w:r>
      <w:r w:rsidRPr="009813BB">
        <w:t>ECHR 1999</w:t>
      </w:r>
      <w:r w:rsidRPr="009813BB">
        <w:noBreakHyphen/>
        <w:t>VIII</w:t>
      </w:r>
      <w:r w:rsidRPr="009C1F5F">
        <w:rPr>
          <w:rFonts w:ascii="Times New Roman" w:hAnsi="Times New Roman" w:cs="Times New Roman"/>
        </w:rPr>
        <w:t>.</w:t>
      </w:r>
    </w:p>
  </w:footnote>
  <w:footnote w:id="10">
    <w:p w:rsidR="00940D21" w:rsidRPr="009C1F5F" w:rsidRDefault="00940D21" w:rsidP="00003C7A">
      <w:pPr>
        <w:pStyle w:val="Tekstprzypisudolnego"/>
        <w:rPr>
          <w:rFonts w:ascii="Times New Roman" w:hAnsi="Times New Roman" w:cs="Times New Roman"/>
          <w:lang w:val="pt-BR"/>
        </w:rPr>
      </w:pPr>
      <w:r w:rsidRPr="009C1F5F">
        <w:rPr>
          <w:rStyle w:val="Odwoanieprzypisudolnego"/>
          <w:rFonts w:ascii="Times New Roman" w:hAnsi="Times New Roman" w:cs="Times New Roman"/>
        </w:rPr>
        <w:footnoteRef/>
      </w:r>
      <w:r w:rsidRPr="009C1F5F">
        <w:rPr>
          <w:rFonts w:ascii="Times New Roman" w:hAnsi="Times New Roman" w:cs="Times New Roman"/>
          <w:lang w:val="pt-BR"/>
        </w:rPr>
        <w:t xml:space="preserve"> </w:t>
      </w:r>
      <w:r w:rsidRPr="009C1F5F">
        <w:rPr>
          <w:rFonts w:ascii="Times New Roman" w:hAnsi="Times New Roman" w:cs="Times New Roman"/>
          <w:i/>
          <w:lang w:val="pt-BR"/>
        </w:rPr>
        <w:t>Buzescu v. Romania</w:t>
      </w:r>
      <w:r w:rsidRPr="009C1F5F">
        <w:rPr>
          <w:rFonts w:ascii="Times New Roman" w:hAnsi="Times New Roman" w:cs="Times New Roman"/>
          <w:lang w:val="pt-BR"/>
        </w:rPr>
        <w:t>, no. 61302/00, 24 May 2005.</w:t>
      </w:r>
    </w:p>
  </w:footnote>
  <w:footnote w:id="11">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 xml:space="preserve">Wendenburg and Others v. Germany </w:t>
      </w:r>
      <w:r w:rsidRPr="00DB2D68">
        <w:rPr>
          <w:rFonts w:ascii="Times New Roman" w:hAnsi="Times New Roman" w:cs="Times New Roman"/>
        </w:rPr>
        <w:t>(dec.)</w:t>
      </w:r>
      <w:r w:rsidRPr="009C1F5F">
        <w:rPr>
          <w:rFonts w:ascii="Times New Roman" w:hAnsi="Times New Roman" w:cs="Times New Roman"/>
        </w:rPr>
        <w:t>, no. 71630/01, ECHR 2003-II.</w:t>
      </w:r>
    </w:p>
  </w:footnote>
  <w:footnote w:id="12">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Van Marle and Others</w:t>
      </w:r>
      <w:r w:rsidRPr="009C1F5F">
        <w:rPr>
          <w:rFonts w:ascii="Times New Roman" w:hAnsi="Times New Roman" w:cs="Times New Roman"/>
        </w:rPr>
        <w:t>, cited above, § 43.</w:t>
      </w:r>
    </w:p>
  </w:footnote>
  <w:footnote w:id="13">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Judgment, </w:t>
      </w:r>
      <w:r>
        <w:rPr>
          <w:rFonts w:ascii="Times New Roman" w:hAnsi="Times New Roman" w:cs="Times New Roman"/>
        </w:rPr>
        <w:t>paragraph</w:t>
      </w:r>
      <w:r w:rsidRPr="009C1F5F">
        <w:rPr>
          <w:rFonts w:ascii="Times New Roman" w:hAnsi="Times New Roman" w:cs="Times New Roman"/>
        </w:rPr>
        <w:t xml:space="preserve"> 7.</w:t>
      </w:r>
    </w:p>
  </w:footnote>
  <w:footnote w:id="14">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the applicants’ submissions of 20 March 2014, page 16: “The Applicants did not have a formal licence from any authority, but their </w:t>
      </w:r>
      <w:r>
        <w:rPr>
          <w:rFonts w:ascii="Times New Roman" w:hAnsi="Times New Roman" w:cs="Times New Roman"/>
        </w:rPr>
        <w:t>‘</w:t>
      </w:r>
      <w:r w:rsidRPr="009C1F5F">
        <w:rPr>
          <w:rFonts w:ascii="Times New Roman" w:hAnsi="Times New Roman" w:cs="Times New Roman"/>
        </w:rPr>
        <w:t>licence</w:t>
      </w:r>
      <w:r>
        <w:rPr>
          <w:rFonts w:ascii="Times New Roman" w:hAnsi="Times New Roman" w:cs="Times New Roman"/>
        </w:rPr>
        <w:t>’</w:t>
      </w:r>
      <w:r w:rsidRPr="009C1F5F">
        <w:rPr>
          <w:rFonts w:ascii="Times New Roman" w:hAnsi="Times New Roman" w:cs="Times New Roman"/>
        </w:rPr>
        <w:t xml:space="preserve"> to carry out their original business derived from the concept of free market.” The Government agree: “</w:t>
      </w:r>
      <w:r>
        <w:rPr>
          <w:rFonts w:ascii="Times New Roman" w:hAnsi="Times New Roman" w:cs="Times New Roman"/>
        </w:rPr>
        <w:t xml:space="preserve">… </w:t>
      </w:r>
      <w:r w:rsidRPr="009C1F5F">
        <w:rPr>
          <w:rFonts w:ascii="Times New Roman" w:hAnsi="Times New Roman" w:cs="Times New Roman"/>
        </w:rPr>
        <w:t>the applicants had not provided any services to the public education system solely by virtue of law, their services had been procured under specific civil-law contracts” (submissions of 17</w:t>
      </w:r>
      <w:r>
        <w:rPr>
          <w:rFonts w:ascii="Times New Roman" w:hAnsi="Times New Roman" w:cs="Times New Roman"/>
        </w:rPr>
        <w:t> </w:t>
      </w:r>
      <w:r w:rsidRPr="009C1F5F">
        <w:rPr>
          <w:rFonts w:ascii="Times New Roman" w:hAnsi="Times New Roman" w:cs="Times New Roman"/>
        </w:rPr>
        <w:t>May 2017)</w:t>
      </w:r>
      <w:r>
        <w:rPr>
          <w:rFonts w:ascii="Times New Roman" w:hAnsi="Times New Roman" w:cs="Times New Roman"/>
        </w:rPr>
        <w:t>.</w:t>
      </w:r>
    </w:p>
  </w:footnote>
  <w:footnote w:id="15">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Oklešen and Pokopališko Pogrebne Storitve Leopold Oklešen S.P. v. Slovenia</w:t>
      </w:r>
      <w:r w:rsidRPr="009C1F5F">
        <w:rPr>
          <w:rFonts w:ascii="Times New Roman" w:hAnsi="Times New Roman" w:cs="Times New Roman"/>
        </w:rPr>
        <w:t>, no. 35264/04</w:t>
      </w:r>
      <w:r w:rsidRPr="009C1F5F">
        <w:rPr>
          <w:rFonts w:ascii="Times New Roman" w:hAnsi="Times New Roman" w:cs="Times New Roman"/>
          <w:snapToGrid w:val="0"/>
          <w:szCs w:val="24"/>
        </w:rPr>
        <w:t>, § 54, 30 November 2010.</w:t>
      </w:r>
    </w:p>
  </w:footnote>
  <w:footnote w:id="16">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the applicants’ submission</w:t>
      </w:r>
      <w:r>
        <w:rPr>
          <w:rFonts w:ascii="Times New Roman" w:hAnsi="Times New Roman" w:cs="Times New Roman"/>
        </w:rPr>
        <w:t>s</w:t>
      </w:r>
      <w:r w:rsidRPr="009C1F5F">
        <w:rPr>
          <w:rFonts w:ascii="Times New Roman" w:hAnsi="Times New Roman" w:cs="Times New Roman"/>
        </w:rPr>
        <w:t xml:space="preserve"> of 17 May 2017 (not contested by </w:t>
      </w:r>
      <w:r>
        <w:rPr>
          <w:rFonts w:ascii="Times New Roman" w:hAnsi="Times New Roman" w:cs="Times New Roman"/>
        </w:rPr>
        <w:t xml:space="preserve">the </w:t>
      </w:r>
      <w:r w:rsidRPr="009C1F5F">
        <w:rPr>
          <w:rFonts w:ascii="Times New Roman" w:hAnsi="Times New Roman" w:cs="Times New Roman"/>
        </w:rPr>
        <w:t xml:space="preserve">Government on this point). </w:t>
      </w:r>
    </w:p>
  </w:footnote>
  <w:footnote w:id="17">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Judgment, </w:t>
      </w:r>
      <w:r>
        <w:rPr>
          <w:rFonts w:ascii="Times New Roman" w:hAnsi="Times New Roman" w:cs="Times New Roman"/>
        </w:rPr>
        <w:t>paragraph</w:t>
      </w:r>
      <w:r w:rsidRPr="009C1F5F">
        <w:rPr>
          <w:rFonts w:ascii="Times New Roman" w:hAnsi="Times New Roman" w:cs="Times New Roman"/>
        </w:rPr>
        <w:t xml:space="preserve"> 18.</w:t>
      </w:r>
    </w:p>
  </w:footnote>
  <w:footnote w:id="18">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Judgment, </w:t>
      </w:r>
      <w:r>
        <w:rPr>
          <w:rFonts w:ascii="Times New Roman" w:hAnsi="Times New Roman" w:cs="Times New Roman"/>
        </w:rPr>
        <w:t>paragraphs</w:t>
      </w:r>
      <w:r w:rsidRPr="009C1F5F">
        <w:rPr>
          <w:rFonts w:ascii="Times New Roman" w:hAnsi="Times New Roman" w:cs="Times New Roman"/>
        </w:rPr>
        <w:t xml:space="preserve"> 38 and 55.</w:t>
      </w:r>
    </w:p>
  </w:footnote>
  <w:footnote w:id="19">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Judgment, </w:t>
      </w:r>
      <w:r>
        <w:rPr>
          <w:rFonts w:ascii="Times New Roman" w:hAnsi="Times New Roman" w:cs="Times New Roman"/>
        </w:rPr>
        <w:t>paragraph</w:t>
      </w:r>
      <w:r w:rsidRPr="009C1F5F">
        <w:rPr>
          <w:rFonts w:ascii="Times New Roman" w:hAnsi="Times New Roman" w:cs="Times New Roman"/>
        </w:rPr>
        <w:t xml:space="preserve"> 19.</w:t>
      </w:r>
    </w:p>
  </w:footnote>
  <w:footnote w:id="20">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Judgment, </w:t>
      </w:r>
      <w:r>
        <w:rPr>
          <w:rFonts w:ascii="Times New Roman" w:hAnsi="Times New Roman" w:cs="Times New Roman"/>
        </w:rPr>
        <w:t>paragraph</w:t>
      </w:r>
      <w:r w:rsidRPr="009C1F5F">
        <w:rPr>
          <w:rFonts w:ascii="Times New Roman" w:hAnsi="Times New Roman" w:cs="Times New Roman"/>
        </w:rPr>
        <w:t xml:space="preserve"> 15.</w:t>
      </w:r>
    </w:p>
  </w:footnote>
  <w:footnote w:id="21">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the Government’s submissions of 5 February 2014, page 2. </w:t>
      </w:r>
    </w:p>
  </w:footnote>
  <w:footnote w:id="22">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the Government’s submissions of 5 February 2014, page 9.</w:t>
      </w:r>
    </w:p>
  </w:footnote>
  <w:footnote w:id="23">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Judgment, </w:t>
      </w:r>
      <w:r>
        <w:rPr>
          <w:rFonts w:ascii="Times New Roman" w:hAnsi="Times New Roman" w:cs="Times New Roman"/>
        </w:rPr>
        <w:t>paragraph</w:t>
      </w:r>
      <w:r w:rsidRPr="009C1F5F">
        <w:rPr>
          <w:rFonts w:ascii="Times New Roman" w:hAnsi="Times New Roman" w:cs="Times New Roman"/>
        </w:rPr>
        <w:t xml:space="preserve"> 46.</w:t>
      </w:r>
    </w:p>
  </w:footnote>
  <w:footnote w:id="24">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Ibid. The Government later updated that </w:t>
      </w:r>
      <w:r>
        <w:rPr>
          <w:rFonts w:ascii="Times New Roman" w:hAnsi="Times New Roman" w:cs="Times New Roman"/>
        </w:rPr>
        <w:t>figure</w:t>
      </w:r>
      <w:r w:rsidRPr="009C1F5F">
        <w:rPr>
          <w:rFonts w:ascii="Times New Roman" w:hAnsi="Times New Roman" w:cs="Times New Roman"/>
        </w:rPr>
        <w:t>, saying that in 2016/17 the percentage of subsidi</w:t>
      </w:r>
      <w:r>
        <w:rPr>
          <w:rFonts w:ascii="Times New Roman" w:hAnsi="Times New Roman" w:cs="Times New Roman"/>
        </w:rPr>
        <w:t>s</w:t>
      </w:r>
      <w:r w:rsidRPr="009C1F5F">
        <w:rPr>
          <w:rFonts w:ascii="Times New Roman" w:hAnsi="Times New Roman" w:cs="Times New Roman"/>
        </w:rPr>
        <w:t xml:space="preserve">ed pupils was now 67% </w:t>
      </w:r>
      <w:r>
        <w:rPr>
          <w:rFonts w:ascii="Times New Roman" w:hAnsi="Times New Roman" w:cs="Times New Roman"/>
        </w:rPr>
        <w:t xml:space="preserve">as </w:t>
      </w:r>
      <w:r w:rsidRPr="009C1F5F">
        <w:rPr>
          <w:rFonts w:ascii="Times New Roman" w:hAnsi="Times New Roman" w:cs="Times New Roman"/>
        </w:rPr>
        <w:t>against 33 % non-subsidi</w:t>
      </w:r>
      <w:r>
        <w:rPr>
          <w:rFonts w:ascii="Times New Roman" w:hAnsi="Times New Roman" w:cs="Times New Roman"/>
        </w:rPr>
        <w:t>s</w:t>
      </w:r>
      <w:r w:rsidRPr="009C1F5F">
        <w:rPr>
          <w:rFonts w:ascii="Times New Roman" w:hAnsi="Times New Roman" w:cs="Times New Roman"/>
        </w:rPr>
        <w:t xml:space="preserve">ed (submissions of 17 May 2017). </w:t>
      </w:r>
    </w:p>
  </w:footnote>
  <w:footnote w:id="25">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the Government’s submissions of 5 February 2014, page 10.</w:t>
      </w:r>
    </w:p>
  </w:footnote>
  <w:footnote w:id="26">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The applicant companies note that the Government portray them as “fraudsters” (see the applicants’ submissions of 20 March 2014, page 3).  </w:t>
      </w:r>
    </w:p>
  </w:footnote>
  <w:footnote w:id="27">
    <w:p w:rsidR="00940D21" w:rsidRPr="009C1F5F" w:rsidRDefault="00940D21" w:rsidP="00003C7A">
      <w:pPr>
        <w:pStyle w:val="Tekstprzypisudolnego"/>
        <w:rPr>
          <w:rFonts w:ascii="Times New Roman" w:hAnsi="Times New Roman" w:cs="Times New Roman"/>
          <w:lang w:val="pt-BR"/>
        </w:rPr>
      </w:pPr>
      <w:r w:rsidRPr="009C1F5F">
        <w:rPr>
          <w:rStyle w:val="Odwoanieprzypisudolnego"/>
          <w:rFonts w:ascii="Times New Roman" w:hAnsi="Times New Roman" w:cs="Times New Roman"/>
        </w:rPr>
        <w:footnoteRef/>
      </w:r>
      <w:r w:rsidRPr="009C1F5F">
        <w:rPr>
          <w:rFonts w:ascii="Times New Roman" w:hAnsi="Times New Roman" w:cs="Times New Roman"/>
          <w:lang w:val="pt-BR"/>
        </w:rPr>
        <w:t xml:space="preserve"> Ibid</w:t>
      </w:r>
      <w:r>
        <w:rPr>
          <w:rFonts w:ascii="Times New Roman" w:hAnsi="Times New Roman" w:cs="Times New Roman"/>
          <w:lang w:val="pt-BR"/>
        </w:rPr>
        <w:t>.</w:t>
      </w:r>
      <w:r w:rsidRPr="009C1F5F">
        <w:rPr>
          <w:rFonts w:ascii="Times New Roman" w:hAnsi="Times New Roman" w:cs="Times New Roman"/>
          <w:lang w:val="pt-BR"/>
        </w:rPr>
        <w:t>, page 9.</w:t>
      </w:r>
    </w:p>
  </w:footnote>
  <w:footnote w:id="28">
    <w:p w:rsidR="00940D21" w:rsidRPr="009C1F5F" w:rsidRDefault="00940D21" w:rsidP="00003C7A">
      <w:pPr>
        <w:pStyle w:val="Tekstprzypisudolnego"/>
        <w:rPr>
          <w:rFonts w:ascii="Times New Roman" w:hAnsi="Times New Roman" w:cs="Times New Roman"/>
          <w:lang w:val="pt-BR"/>
        </w:rPr>
      </w:pPr>
      <w:r w:rsidRPr="009C1F5F">
        <w:rPr>
          <w:rStyle w:val="Odwoanieprzypisudolnego"/>
          <w:rFonts w:ascii="Times New Roman" w:hAnsi="Times New Roman" w:cs="Times New Roman"/>
        </w:rPr>
        <w:footnoteRef/>
      </w:r>
      <w:r w:rsidRPr="009C1F5F">
        <w:rPr>
          <w:rFonts w:ascii="Times New Roman" w:hAnsi="Times New Roman" w:cs="Times New Roman"/>
          <w:lang w:val="pt-BR"/>
        </w:rPr>
        <w:t xml:space="preserve"> Ibid</w:t>
      </w:r>
      <w:r>
        <w:rPr>
          <w:rFonts w:ascii="Times New Roman" w:hAnsi="Times New Roman" w:cs="Times New Roman"/>
          <w:lang w:val="pt-BR"/>
        </w:rPr>
        <w:t>.</w:t>
      </w:r>
      <w:r w:rsidRPr="009C1F5F">
        <w:rPr>
          <w:rFonts w:ascii="Times New Roman" w:hAnsi="Times New Roman" w:cs="Times New Roman"/>
          <w:lang w:val="pt-BR"/>
        </w:rPr>
        <w:t xml:space="preserve">, page 3. </w:t>
      </w:r>
    </w:p>
  </w:footnote>
  <w:footnote w:id="29">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lang w:val="pt-BR"/>
        </w:rPr>
        <w:t xml:space="preserve"> Ibid</w:t>
      </w:r>
      <w:r>
        <w:rPr>
          <w:rFonts w:ascii="Times New Roman" w:hAnsi="Times New Roman" w:cs="Times New Roman"/>
          <w:lang w:val="pt-BR"/>
        </w:rPr>
        <w:t>.</w:t>
      </w:r>
      <w:r w:rsidRPr="009C1F5F">
        <w:rPr>
          <w:rFonts w:ascii="Times New Roman" w:hAnsi="Times New Roman" w:cs="Times New Roman"/>
          <w:lang w:val="pt-BR"/>
        </w:rPr>
        <w:t xml:space="preserve">, page 4. </w:t>
      </w:r>
      <w:r w:rsidRPr="009C1F5F">
        <w:rPr>
          <w:rFonts w:ascii="Times New Roman" w:hAnsi="Times New Roman" w:cs="Times New Roman"/>
        </w:rPr>
        <w:t>See also the applicants’ submissions of 16 May 2017, pages 4 and 13.</w:t>
      </w:r>
    </w:p>
  </w:footnote>
  <w:footnote w:id="30">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the Government’s submissions of 17 May 2017, page 2.</w:t>
      </w:r>
    </w:p>
  </w:footnote>
  <w:footnote w:id="31">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my opinion in </w:t>
      </w:r>
      <w:r w:rsidRPr="009C1F5F">
        <w:rPr>
          <w:rFonts w:ascii="Times New Roman" w:hAnsi="Times New Roman" w:cs="Times New Roman"/>
          <w:i/>
        </w:rPr>
        <w:t>Tarantino and Others v. Italy</w:t>
      </w:r>
      <w:r w:rsidRPr="009C1F5F">
        <w:rPr>
          <w:rFonts w:ascii="Times New Roman" w:hAnsi="Times New Roman" w:cs="Times New Roman"/>
        </w:rPr>
        <w:t>, nos.</w:t>
      </w:r>
      <w:r>
        <w:rPr>
          <w:rFonts w:ascii="Times New Roman" w:hAnsi="Times New Roman" w:cs="Times New Roman"/>
        </w:rPr>
        <w:t xml:space="preserve"> </w:t>
      </w:r>
      <w:r w:rsidRPr="009C1F5F">
        <w:rPr>
          <w:rFonts w:ascii="Times New Roman" w:hAnsi="Times New Roman" w:cs="Times New Roman"/>
        </w:rPr>
        <w:t>25851/09</w:t>
      </w:r>
      <w:r>
        <w:rPr>
          <w:rFonts w:ascii="Times New Roman" w:hAnsi="Times New Roman" w:cs="Times New Roman"/>
        </w:rPr>
        <w:t xml:space="preserve"> and 2 others</w:t>
      </w:r>
      <w:r w:rsidRPr="009C1F5F">
        <w:rPr>
          <w:rFonts w:ascii="Times New Roman" w:hAnsi="Times New Roman" w:cs="Times New Roman"/>
        </w:rPr>
        <w:t xml:space="preserve">, </w:t>
      </w:r>
      <w:r>
        <w:rPr>
          <w:rFonts w:ascii="Times New Roman" w:hAnsi="Times New Roman" w:cs="Times New Roman"/>
        </w:rPr>
        <w:t>ECHR </w:t>
      </w:r>
      <w:r w:rsidRPr="009C1F5F">
        <w:rPr>
          <w:rFonts w:ascii="Times New Roman" w:hAnsi="Times New Roman" w:cs="Times New Roman"/>
        </w:rPr>
        <w:t>2013.</w:t>
      </w:r>
    </w:p>
  </w:footnote>
  <w:footnote w:id="32">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the Government’s submissions of 5 February 2014, page 1.</w:t>
      </w:r>
    </w:p>
  </w:footnote>
  <w:footnote w:id="33">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Ibid.</w:t>
      </w:r>
    </w:p>
  </w:footnote>
  <w:footnote w:id="34">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Judgment, </w:t>
      </w:r>
      <w:r>
        <w:rPr>
          <w:rFonts w:ascii="Times New Roman" w:hAnsi="Times New Roman" w:cs="Times New Roman"/>
        </w:rPr>
        <w:t>paragraph</w:t>
      </w:r>
      <w:r w:rsidRPr="009C1F5F">
        <w:rPr>
          <w:rFonts w:ascii="Times New Roman" w:hAnsi="Times New Roman" w:cs="Times New Roman"/>
        </w:rPr>
        <w:t xml:space="preserve"> 49.</w:t>
      </w:r>
    </w:p>
  </w:footnote>
  <w:footnote w:id="35">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In my separate opinions, I have referred to the specific features of the proportionality test in the context of an Article 2 case (</w:t>
      </w:r>
      <w:r w:rsidRPr="009C1F5F">
        <w:rPr>
          <w:rFonts w:ascii="Times New Roman" w:hAnsi="Times New Roman" w:cs="Times New Roman"/>
          <w:i/>
        </w:rPr>
        <w:t xml:space="preserve">Lopes de Sousa Fernandes v. Portugal </w:t>
      </w:r>
      <w:r w:rsidRPr="00DB2D68">
        <w:rPr>
          <w:rFonts w:ascii="Times New Roman" w:hAnsi="Times New Roman" w:cs="Times New Roman"/>
        </w:rPr>
        <w:t>(</w:t>
      </w:r>
      <w:r>
        <w:rPr>
          <w:rFonts w:ascii="Times New Roman" w:hAnsi="Times New Roman" w:cs="Times New Roman"/>
        </w:rPr>
        <w:t>[</w:t>
      </w:r>
      <w:r w:rsidRPr="00DB2D68">
        <w:rPr>
          <w:rFonts w:ascii="Times New Roman" w:hAnsi="Times New Roman" w:cs="Times New Roman"/>
        </w:rPr>
        <w:t>GC</w:t>
      </w:r>
      <w:r>
        <w:rPr>
          <w:rFonts w:ascii="Times New Roman" w:hAnsi="Times New Roman" w:cs="Times New Roman"/>
        </w:rPr>
        <w:t>]</w:t>
      </w:r>
      <w:r w:rsidRPr="009C1F5F">
        <w:rPr>
          <w:rFonts w:ascii="Times New Roman" w:hAnsi="Times New Roman" w:cs="Times New Roman"/>
        </w:rPr>
        <w:t>, no. 56080/13, 19 December 2017), an Article 8 case (</w:t>
      </w:r>
      <w:r w:rsidRPr="009C1F5F">
        <w:rPr>
          <w:rFonts w:ascii="Times New Roman" w:hAnsi="Times New Roman" w:cs="Times New Roman"/>
          <w:i/>
        </w:rPr>
        <w:t>Szab</w:t>
      </w:r>
      <w:r>
        <w:rPr>
          <w:rFonts w:ascii="Times New Roman" w:hAnsi="Times New Roman" w:cs="Times New Roman"/>
          <w:i/>
        </w:rPr>
        <w:t>óet</w:t>
      </w:r>
      <w:r w:rsidRPr="009C1F5F">
        <w:rPr>
          <w:rFonts w:ascii="Times New Roman" w:hAnsi="Times New Roman" w:cs="Times New Roman"/>
          <w:i/>
        </w:rPr>
        <w:t xml:space="preserve"> and Vissy v. Hungary</w:t>
      </w:r>
      <w:r w:rsidRPr="009C1F5F">
        <w:rPr>
          <w:rFonts w:ascii="Times New Roman" w:hAnsi="Times New Roman" w:cs="Times New Roman"/>
        </w:rPr>
        <w:t xml:space="preserve">, no. 37138/14, 12 January 2016), and </w:t>
      </w:r>
      <w:r>
        <w:rPr>
          <w:rFonts w:ascii="Times New Roman" w:hAnsi="Times New Roman" w:cs="Times New Roman"/>
        </w:rPr>
        <w:t xml:space="preserve">an </w:t>
      </w:r>
      <w:r w:rsidRPr="009C1F5F">
        <w:rPr>
          <w:rFonts w:ascii="Times New Roman" w:hAnsi="Times New Roman" w:cs="Times New Roman"/>
        </w:rPr>
        <w:t>Article 10</w:t>
      </w:r>
      <w:r>
        <w:rPr>
          <w:rFonts w:ascii="Times New Roman" w:hAnsi="Times New Roman" w:cs="Times New Roman"/>
        </w:rPr>
        <w:t xml:space="preserve"> case</w:t>
      </w:r>
      <w:r w:rsidRPr="009C1F5F">
        <w:rPr>
          <w:rFonts w:ascii="Times New Roman" w:hAnsi="Times New Roman" w:cs="Times New Roman"/>
        </w:rPr>
        <w:t xml:space="preserve"> (</w:t>
      </w:r>
      <w:r w:rsidRPr="009C1F5F">
        <w:rPr>
          <w:rFonts w:ascii="Times New Roman" w:hAnsi="Times New Roman" w:cs="Times New Roman"/>
          <w:i/>
        </w:rPr>
        <w:t xml:space="preserve">Mouvement Raëlien Suisse v. Switzerland </w:t>
      </w:r>
      <w:r w:rsidRPr="005A594B">
        <w:rPr>
          <w:rFonts w:ascii="Times New Roman" w:hAnsi="Times New Roman" w:cs="Times New Roman"/>
        </w:rPr>
        <w:t>(</w:t>
      </w:r>
      <w:r w:rsidRPr="00DB2D68">
        <w:rPr>
          <w:rFonts w:ascii="Times New Roman" w:hAnsi="Times New Roman" w:cs="Times New Roman"/>
        </w:rPr>
        <w:t>[GC]</w:t>
      </w:r>
      <w:r w:rsidRPr="009C1F5F">
        <w:rPr>
          <w:rFonts w:ascii="Times New Roman" w:hAnsi="Times New Roman" w:cs="Times New Roman"/>
        </w:rPr>
        <w:t>, no. 16354/06, ECHR 2012).</w:t>
      </w:r>
    </w:p>
  </w:footnote>
  <w:footnote w:id="36">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 xml:space="preserve">Hatton and others v. the United Kingdom </w:t>
      </w:r>
      <w:r w:rsidRPr="00DB2D68">
        <w:rPr>
          <w:rFonts w:ascii="Times New Roman" w:hAnsi="Times New Roman" w:cs="Times New Roman"/>
        </w:rPr>
        <w:t>[GC]</w:t>
      </w:r>
      <w:r w:rsidRPr="009C1F5F">
        <w:rPr>
          <w:rFonts w:ascii="Times New Roman" w:hAnsi="Times New Roman" w:cs="Times New Roman"/>
          <w:i/>
        </w:rPr>
        <w:t>,</w:t>
      </w:r>
      <w:r w:rsidRPr="009C1F5F">
        <w:rPr>
          <w:rFonts w:ascii="Times New Roman" w:hAnsi="Times New Roman" w:cs="Times New Roman"/>
        </w:rPr>
        <w:t xml:space="preserve"> no. 36022/97, §§ 103 and 123</w:t>
      </w:r>
      <w:r>
        <w:rPr>
          <w:rFonts w:ascii="Times New Roman" w:hAnsi="Times New Roman" w:cs="Times New Roman"/>
        </w:rPr>
        <w:t xml:space="preserve">, </w:t>
      </w:r>
      <w:r w:rsidRPr="009C1F5F">
        <w:rPr>
          <w:rFonts w:ascii="Times New Roman" w:hAnsi="Times New Roman" w:cs="Times New Roman"/>
        </w:rPr>
        <w:t>ECHR 2003-</w:t>
      </w:r>
      <w:r>
        <w:rPr>
          <w:rFonts w:ascii="Times New Roman" w:hAnsi="Times New Roman" w:cs="Times New Roman"/>
        </w:rPr>
        <w:t>VIII.</w:t>
      </w:r>
    </w:p>
  </w:footnote>
  <w:footnote w:id="37">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With the negligible exception of children schooled in the private education system and home-schooled children, which constituted an irrelevant, minimal percentage of the entire market.</w:t>
      </w:r>
    </w:p>
  </w:footnote>
  <w:footnote w:id="38">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the applicants’ submissions of 20 March 2014, page 10, and</w:t>
      </w:r>
      <w:r>
        <w:rPr>
          <w:rFonts w:ascii="Times New Roman" w:hAnsi="Times New Roman" w:cs="Times New Roman"/>
        </w:rPr>
        <w:t xml:space="preserve"> their</w:t>
      </w:r>
      <w:r w:rsidRPr="009C1F5F">
        <w:rPr>
          <w:rFonts w:ascii="Times New Roman" w:hAnsi="Times New Roman" w:cs="Times New Roman"/>
        </w:rPr>
        <w:t xml:space="preserve"> submissions of</w:t>
      </w:r>
      <w:r>
        <w:rPr>
          <w:rFonts w:ascii="Times New Roman" w:hAnsi="Times New Roman" w:cs="Times New Roman"/>
        </w:rPr>
        <w:t xml:space="preserve"> </w:t>
      </w:r>
      <w:r w:rsidRPr="009C1F5F">
        <w:rPr>
          <w:rFonts w:ascii="Times New Roman" w:hAnsi="Times New Roman" w:cs="Times New Roman"/>
        </w:rPr>
        <w:t>17</w:t>
      </w:r>
      <w:r>
        <w:rPr>
          <w:rFonts w:ascii="Times New Roman" w:hAnsi="Times New Roman" w:cs="Times New Roman"/>
        </w:rPr>
        <w:t> </w:t>
      </w:r>
      <w:r w:rsidRPr="009C1F5F">
        <w:rPr>
          <w:rFonts w:ascii="Times New Roman" w:hAnsi="Times New Roman" w:cs="Times New Roman"/>
        </w:rPr>
        <w:t>May 2017, pages 11 and 12 (both points not contested by the Government).</w:t>
      </w:r>
    </w:p>
  </w:footnote>
  <w:footnote w:id="39">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See the applicants’ submissions of 20 March 2014, page 9 (not specifically contested by the Government). The Government’s position is that “the volume of public savings resulting specifically therefrom cannot be calculated” (submissions of 17 May 2017, page 4).  </w:t>
      </w:r>
    </w:p>
  </w:footnote>
  <w:footnote w:id="40">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Judgment, </w:t>
      </w:r>
      <w:r>
        <w:rPr>
          <w:rFonts w:ascii="Times New Roman" w:hAnsi="Times New Roman" w:cs="Times New Roman"/>
        </w:rPr>
        <w:t>paragraphs</w:t>
      </w:r>
      <w:r w:rsidRPr="009C1F5F">
        <w:rPr>
          <w:rFonts w:ascii="Times New Roman" w:hAnsi="Times New Roman" w:cs="Times New Roman"/>
        </w:rPr>
        <w:t xml:space="preserve"> 15 and 59.</w:t>
      </w:r>
    </w:p>
  </w:footnote>
  <w:footnote w:id="41">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Pr>
          <w:rFonts w:ascii="Times New Roman" w:hAnsi="Times New Roman" w:cs="Times New Roman"/>
        </w:rPr>
        <w:t>See, conversely</w:t>
      </w:r>
      <w:r w:rsidRPr="009C1F5F">
        <w:rPr>
          <w:rFonts w:ascii="Times New Roman" w:hAnsi="Times New Roman" w:cs="Times New Roman"/>
        </w:rPr>
        <w:t xml:space="preserve">, </w:t>
      </w:r>
      <w:r w:rsidRPr="009C1F5F">
        <w:rPr>
          <w:rFonts w:ascii="Times New Roman" w:hAnsi="Times New Roman" w:cs="Times New Roman"/>
          <w:i/>
        </w:rPr>
        <w:t xml:space="preserve">Jahn and Others v. Germany </w:t>
      </w:r>
      <w:r w:rsidRPr="00DB2D68">
        <w:rPr>
          <w:rFonts w:ascii="Times New Roman" w:hAnsi="Times New Roman" w:cs="Times New Roman"/>
        </w:rPr>
        <w:t>[GC]</w:t>
      </w:r>
      <w:r w:rsidRPr="009C1F5F">
        <w:rPr>
          <w:rFonts w:ascii="Times New Roman" w:hAnsi="Times New Roman" w:cs="Times New Roman"/>
        </w:rPr>
        <w:t>, nos. 46720/99</w:t>
      </w:r>
      <w:r>
        <w:rPr>
          <w:rFonts w:ascii="Times New Roman" w:hAnsi="Times New Roman" w:cs="Times New Roman"/>
        </w:rPr>
        <w:t xml:space="preserve"> and 2 others</w:t>
      </w:r>
      <w:r w:rsidRPr="009C1F5F">
        <w:rPr>
          <w:rFonts w:ascii="Times New Roman" w:hAnsi="Times New Roman" w:cs="Times New Roman"/>
        </w:rPr>
        <w:t>, § 117, ECHR 2005</w:t>
      </w:r>
      <w:r w:rsidRPr="009C1F5F">
        <w:rPr>
          <w:rFonts w:ascii="Times New Roman" w:hAnsi="Times New Roman" w:cs="Times New Roman"/>
        </w:rPr>
        <w:noBreakHyphen/>
        <w:t>VI.</w:t>
      </w:r>
    </w:p>
  </w:footnote>
  <w:footnote w:id="42">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Pine Valley Developments Ltd and Others v. Ireland</w:t>
      </w:r>
      <w:r>
        <w:rPr>
          <w:rFonts w:ascii="Times New Roman" w:hAnsi="Times New Roman" w:cs="Times New Roman"/>
        </w:rPr>
        <w:t>,</w:t>
      </w:r>
      <w:r w:rsidRPr="009C1F5F">
        <w:rPr>
          <w:rFonts w:ascii="Times New Roman" w:hAnsi="Times New Roman" w:cs="Times New Roman"/>
        </w:rPr>
        <w:t xml:space="preserve"> 29 November 1991, Series A no.</w:t>
      </w:r>
      <w:r>
        <w:rPr>
          <w:rFonts w:ascii="Times New Roman" w:hAnsi="Times New Roman" w:cs="Times New Roman"/>
        </w:rPr>
        <w:t> </w:t>
      </w:r>
      <w:r w:rsidRPr="009C1F5F">
        <w:rPr>
          <w:rFonts w:ascii="Times New Roman" w:hAnsi="Times New Roman" w:cs="Times New Roman"/>
        </w:rPr>
        <w:t>222.</w:t>
      </w:r>
    </w:p>
  </w:footnote>
  <w:footnote w:id="43">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Fredin v. Sweden (no. 1)</w:t>
      </w:r>
      <w:r w:rsidRPr="009C1F5F">
        <w:rPr>
          <w:rFonts w:ascii="Times New Roman" w:hAnsi="Times New Roman" w:cs="Times New Roman"/>
        </w:rPr>
        <w:t>, 18 February 1991, Series A no. 192.</w:t>
      </w:r>
    </w:p>
  </w:footnote>
  <w:footnote w:id="44">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Gasus Dosier- und Fördertechnik GmbH v. the Netherlands</w:t>
      </w:r>
      <w:r>
        <w:rPr>
          <w:rFonts w:ascii="Times New Roman" w:hAnsi="Times New Roman" w:cs="Times New Roman"/>
        </w:rPr>
        <w:t>,</w:t>
      </w:r>
      <w:r w:rsidRPr="009C1F5F">
        <w:rPr>
          <w:rFonts w:ascii="Times New Roman" w:hAnsi="Times New Roman" w:cs="Times New Roman"/>
        </w:rPr>
        <w:t xml:space="preserve"> 23 February 1995, Series A no. 306-B.</w:t>
      </w:r>
    </w:p>
  </w:footnote>
  <w:footnote w:id="45">
    <w:p w:rsidR="00940D21" w:rsidRPr="009C1F5F" w:rsidRDefault="00940D21" w:rsidP="00003C7A">
      <w:pPr>
        <w:pStyle w:val="Tekstprzypisudolnego"/>
        <w:rPr>
          <w:rFonts w:ascii="Times New Roman" w:hAnsi="Times New Roman" w:cs="Times New Roman"/>
        </w:rPr>
      </w:pPr>
      <w:r w:rsidRPr="009C1F5F">
        <w:rPr>
          <w:rStyle w:val="Odwoanieprzypisudolnego"/>
          <w:rFonts w:ascii="Times New Roman" w:hAnsi="Times New Roman" w:cs="Times New Roman"/>
        </w:rPr>
        <w:footnoteRef/>
      </w:r>
      <w:r w:rsidRPr="009C1F5F">
        <w:rPr>
          <w:rFonts w:ascii="Times New Roman" w:hAnsi="Times New Roman" w:cs="Times New Roman"/>
        </w:rPr>
        <w:t xml:space="preserve"> </w:t>
      </w:r>
      <w:r w:rsidRPr="009C1F5F">
        <w:rPr>
          <w:rFonts w:ascii="Times New Roman" w:hAnsi="Times New Roman" w:cs="Times New Roman"/>
          <w:i/>
        </w:rPr>
        <w:t>Air Canada v. the United Kingdom</w:t>
      </w:r>
      <w:r w:rsidRPr="009C1F5F">
        <w:rPr>
          <w:rFonts w:ascii="Times New Roman" w:hAnsi="Times New Roman" w:cs="Times New Roman"/>
        </w:rPr>
        <w:t>, 5 May 1995, Series A no. 316</w:t>
      </w:r>
      <w:r w:rsidRPr="009C1F5F">
        <w:rPr>
          <w:rFonts w:ascii="Times New Roman" w:hAnsi="Times New Roman" w:cs="Times New Roman"/>
        </w:rPr>
        <w:noBreakHyphen/>
        <w:t>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Pr="00766713" w:rsidRDefault="00940D21" w:rsidP="0076671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Pr="00A45145" w:rsidRDefault="00940D21" w:rsidP="00003C7A">
    <w:pPr>
      <w:jc w:val="center"/>
    </w:pPr>
    <w:r>
      <w:rPr>
        <w:noProof/>
        <w:lang w:val="pl-PL" w:eastAsia="pl-PL"/>
      </w:rPr>
      <w:drawing>
        <wp:inline distT="0" distB="0" distL="0" distR="0" wp14:anchorId="1616CC4D" wp14:editId="03A8539C">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40D21" w:rsidRDefault="00940D2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Pr="00535BB8" w:rsidRDefault="00940D21"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0D5333">
      <w:rPr>
        <w:rStyle w:val="Numerstrony"/>
        <w:noProof/>
        <w:szCs w:val="18"/>
      </w:rPr>
      <w:t>18</w:t>
    </w:r>
    <w:r>
      <w:rPr>
        <w:rStyle w:val="Numerstrony"/>
        <w:szCs w:val="18"/>
      </w:rPr>
      <w:fldChar w:fldCharType="end"/>
    </w:r>
    <w:r w:rsidRPr="00535BB8">
      <w:tab/>
    </w:r>
    <w:r>
      <w:t>KÖNYV-TÁR KFT AND OTHERS v. HUNGARY (MERITS)</w:t>
    </w:r>
    <w:r w:rsidRPr="00535BB8">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Pr="00535BB8" w:rsidRDefault="00940D21" w:rsidP="00D60D87">
    <w:pPr>
      <w:pStyle w:val="ECHRHeader"/>
    </w:pPr>
    <w:r w:rsidRPr="00535BB8">
      <w:tab/>
    </w:r>
    <w:r>
      <w:t>KÖNYV-TÁR KFT AND OTHERS v. HUNGARY (MERITS)</w:t>
    </w:r>
    <w:r w:rsidRPr="00535BB8">
      <w:t xml:space="preserve"> </w:t>
    </w:r>
    <w:r>
      <w:t>JUDGMENT</w:t>
    </w:r>
    <w:r w:rsidRPr="00535BB8">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0D5333">
      <w:rPr>
        <w:rStyle w:val="Numerstrony"/>
        <w:noProof/>
        <w:szCs w:val="18"/>
      </w:rPr>
      <w:t>17</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Pr="00535BB8" w:rsidRDefault="00940D21" w:rsidP="00FB7FD5">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0D5333">
      <w:rPr>
        <w:rStyle w:val="Numerstrony"/>
        <w:noProof/>
        <w:szCs w:val="18"/>
      </w:rPr>
      <w:t>20</w:t>
    </w:r>
    <w:r>
      <w:rPr>
        <w:rStyle w:val="Numerstrony"/>
        <w:szCs w:val="18"/>
      </w:rPr>
      <w:fldChar w:fldCharType="end"/>
    </w:r>
    <w:r w:rsidRPr="00535BB8">
      <w:tab/>
    </w:r>
    <w:r>
      <w:t>KÖNYV-TÁR KFT AND OTHERS v. HUNGARY (MERITS)</w:t>
    </w:r>
    <w:r w:rsidRPr="00535BB8">
      <w:t xml:space="preserve"> </w:t>
    </w:r>
    <w:r>
      <w:t xml:space="preserve">JUDGMENT </w:t>
    </w:r>
    <w:r>
      <w:tab/>
    </w:r>
    <w:r>
      <w:tab/>
      <w:t>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Default="00940D21" w:rsidP="00C86BE5">
    <w:pPr>
      <w:pStyle w:val="JuHeaderLandscape"/>
      <w:tabs>
        <w:tab w:val="clear" w:pos="6146"/>
        <w:tab w:val="left" w:pos="851"/>
        <w:tab w:val="center" w:pos="7088"/>
      </w:tabs>
      <w:jc w:val="center"/>
    </w:pPr>
    <w:r>
      <w:tab/>
      <w:t>KÖNYV-TÁR KFT AND OTHERS v. HUNGARY (MERITS)</w:t>
    </w:r>
    <w:r w:rsidRPr="00535BB8">
      <w:t xml:space="preserve"> </w:t>
    </w:r>
    <w:r>
      <w:t>JUDGMENT</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0D5333">
      <w:rPr>
        <w:rStyle w:val="Numerstrony"/>
        <w:noProof/>
        <w:szCs w:val="18"/>
      </w:rPr>
      <w:t>19</w:t>
    </w:r>
    <w:r>
      <w:rPr>
        <w:rStyle w:val="Numerstrony"/>
        <w:szCs w:val="18"/>
      </w:rPr>
      <w:fldChar w:fldCharType="end"/>
    </w:r>
  </w:p>
  <w:p w:rsidR="00940D21" w:rsidRPr="00535BB8" w:rsidRDefault="00940D21" w:rsidP="00C86BE5">
    <w:pPr>
      <w:pStyle w:val="JuHeaderLandscape"/>
      <w:tabs>
        <w:tab w:val="clear" w:pos="6146"/>
        <w:tab w:val="left" w:pos="2694"/>
        <w:tab w:val="center" w:pos="7371"/>
      </w:tabs>
      <w:ind w:right="-13"/>
    </w:pPr>
    <w:r>
      <w:tab/>
      <w:t>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Default="00940D21" w:rsidP="00FB7FD5">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A9681B">
      <w:rPr>
        <w:rStyle w:val="Numerstrony"/>
        <w:noProof/>
        <w:szCs w:val="18"/>
      </w:rPr>
      <w:t>30</w:t>
    </w:r>
    <w:r>
      <w:rPr>
        <w:rStyle w:val="Numerstrony"/>
        <w:szCs w:val="18"/>
      </w:rPr>
      <w:fldChar w:fldCharType="end"/>
    </w:r>
    <w:r w:rsidRPr="00535BB8">
      <w:tab/>
    </w:r>
    <w:r>
      <w:t>KÖNYV-TÁR KFT AND OTHERS v. HUNGARY (MERITS)</w:t>
    </w:r>
    <w:r w:rsidRPr="00535BB8">
      <w:t xml:space="preserve"> </w:t>
    </w:r>
    <w:r>
      <w:t xml:space="preserve">JUDGMENT </w:t>
    </w:r>
  </w:p>
  <w:p w:rsidR="00940D21" w:rsidRPr="00535BB8" w:rsidRDefault="00940D21" w:rsidP="00FB7FD5">
    <w:pPr>
      <w:pStyle w:val="ECHRHeader"/>
      <w:tabs>
        <w:tab w:val="clear" w:pos="3686"/>
        <w:tab w:val="clear" w:pos="7371"/>
        <w:tab w:val="center" w:pos="3685"/>
      </w:tabs>
    </w:pPr>
    <w:r>
      <w:tab/>
      <w:t>SEPARATE OPINIONS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Default="00940D21" w:rsidP="00FB7FD5">
    <w:pPr>
      <w:pStyle w:val="ECHRHeader"/>
      <w:tabs>
        <w:tab w:val="clear" w:pos="3686"/>
        <w:tab w:val="clear" w:pos="7371"/>
        <w:tab w:val="center" w:pos="3685"/>
        <w:tab w:val="right" w:pos="7370"/>
      </w:tabs>
    </w:pPr>
    <w:r w:rsidRPr="00535BB8">
      <w:tab/>
    </w:r>
    <w:r>
      <w:t>KÖNYV-TÁR KFT AND OTHERS v. HUNGARY (MERITS)</w:t>
    </w:r>
    <w:r w:rsidRPr="00535BB8">
      <w:t xml:space="preserve"> </w:t>
    </w:r>
    <w:r>
      <w:t xml:space="preserve">JUDGMENT </w:t>
    </w:r>
    <w:r w:rsidRPr="00535BB8">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A9681B">
      <w:rPr>
        <w:rStyle w:val="Numerstrony"/>
        <w:noProof/>
        <w:szCs w:val="18"/>
      </w:rPr>
      <w:t>29</w:t>
    </w:r>
    <w:r>
      <w:rPr>
        <w:rStyle w:val="Numerstrony"/>
        <w:szCs w:val="18"/>
      </w:rPr>
      <w:fldChar w:fldCharType="end"/>
    </w:r>
  </w:p>
  <w:p w:rsidR="00940D21" w:rsidRPr="00535BB8" w:rsidRDefault="00940D21" w:rsidP="00FB7FD5">
    <w:pPr>
      <w:pStyle w:val="ECHRHeader"/>
      <w:tabs>
        <w:tab w:val="clear" w:pos="3686"/>
        <w:tab w:val="clear" w:pos="7371"/>
        <w:tab w:val="center" w:pos="3685"/>
        <w:tab w:val="right" w:pos="7370"/>
      </w:tabs>
    </w:pPr>
    <w:r>
      <w:tab/>
      <w:t>SEPARATE OPINIONS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Default="00940D21" w:rsidP="00FB7FD5">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A9681B">
      <w:rPr>
        <w:rStyle w:val="Numerstrony"/>
        <w:noProof/>
        <w:szCs w:val="18"/>
      </w:rPr>
      <w:t>40</w:t>
    </w:r>
    <w:r>
      <w:rPr>
        <w:rStyle w:val="Numerstrony"/>
        <w:szCs w:val="18"/>
      </w:rPr>
      <w:fldChar w:fldCharType="end"/>
    </w:r>
    <w:r w:rsidRPr="00535BB8">
      <w:tab/>
    </w:r>
    <w:r>
      <w:t>KÖNYV-TÁR KFT AND OTHERS v. HUNGARY (MERITS)</w:t>
    </w:r>
    <w:r w:rsidRPr="00535BB8">
      <w:t xml:space="preserve"> </w:t>
    </w:r>
    <w:r>
      <w:t>JUDGMENT</w:t>
    </w:r>
  </w:p>
  <w:p w:rsidR="00940D21" w:rsidRPr="00535BB8" w:rsidRDefault="00940D21" w:rsidP="00FB7FD5">
    <w:pPr>
      <w:pStyle w:val="ECHRHeader"/>
      <w:tabs>
        <w:tab w:val="clear" w:pos="3686"/>
        <w:tab w:val="clear" w:pos="7371"/>
        <w:tab w:val="center" w:pos="3685"/>
      </w:tabs>
    </w:pPr>
    <w:r>
      <w:tab/>
      <w:t>SEPARATE OPINIONS</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21" w:rsidRDefault="00940D21" w:rsidP="003452C5">
    <w:pPr>
      <w:pStyle w:val="ECHRHeader"/>
      <w:tabs>
        <w:tab w:val="clear" w:pos="3686"/>
        <w:tab w:val="clear" w:pos="7371"/>
        <w:tab w:val="center" w:pos="3685"/>
        <w:tab w:val="right" w:pos="7370"/>
      </w:tabs>
    </w:pPr>
    <w:r w:rsidRPr="00535BB8">
      <w:tab/>
    </w:r>
    <w:r>
      <w:t>KÖNYV-TÁR KFT AND OTHERS v. HUNGARY (MERITS)</w:t>
    </w:r>
    <w:r w:rsidRPr="00535BB8">
      <w:t xml:space="preserve"> </w:t>
    </w:r>
    <w:r>
      <w:t xml:space="preserve">JUDGMENT </w:t>
    </w:r>
    <w:r w:rsidRPr="00535BB8">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A9681B">
      <w:rPr>
        <w:rStyle w:val="Numerstrony"/>
        <w:noProof/>
        <w:szCs w:val="18"/>
      </w:rPr>
      <w:t>39</w:t>
    </w:r>
    <w:r>
      <w:rPr>
        <w:rStyle w:val="Numerstrony"/>
        <w:szCs w:val="18"/>
      </w:rPr>
      <w:fldChar w:fldCharType="end"/>
    </w:r>
  </w:p>
  <w:p w:rsidR="00940D21" w:rsidRPr="00535BB8" w:rsidRDefault="00940D21" w:rsidP="003452C5">
    <w:pPr>
      <w:pStyle w:val="ECHRHeader"/>
      <w:tabs>
        <w:tab w:val="clear" w:pos="3686"/>
        <w:tab w:val="clear" w:pos="7371"/>
        <w:tab w:val="center" w:pos="3685"/>
        <w:tab w:val="right" w:pos="7370"/>
      </w:tabs>
    </w:pPr>
    <w:r>
      <w:tab/>
      <w:t>SEPARATE OPINIONS</w:t>
    </w:r>
  </w:p>
  <w:p w:rsidR="00940D21" w:rsidRPr="00535BB8" w:rsidRDefault="00940D21" w:rsidP="00FB7FD5">
    <w:pPr>
      <w:pStyle w:val="ECHRHeader"/>
      <w:tabs>
        <w:tab w:val="clear" w:pos="3686"/>
        <w:tab w:val="clear" w:pos="7371"/>
        <w:tab w:val="center" w:pos="3685"/>
        <w:tab w:val="right" w:pos="737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AA600F5"/>
    <w:multiLevelType w:val="hybridMultilevel"/>
    <w:tmpl w:val="C66A794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E0EB3"/>
    <w:rsid w:val="00000067"/>
    <w:rsid w:val="0000026A"/>
    <w:rsid w:val="000010ED"/>
    <w:rsid w:val="00003C7A"/>
    <w:rsid w:val="000041F8"/>
    <w:rsid w:val="000042A8"/>
    <w:rsid w:val="00004308"/>
    <w:rsid w:val="00005BF0"/>
    <w:rsid w:val="00007154"/>
    <w:rsid w:val="000101B7"/>
    <w:rsid w:val="000103AE"/>
    <w:rsid w:val="00011D69"/>
    <w:rsid w:val="00012AD3"/>
    <w:rsid w:val="00014566"/>
    <w:rsid w:val="00014F59"/>
    <w:rsid w:val="00015C2D"/>
    <w:rsid w:val="00015F00"/>
    <w:rsid w:val="00017FAA"/>
    <w:rsid w:val="000202CC"/>
    <w:rsid w:val="00022C1D"/>
    <w:rsid w:val="0002670B"/>
    <w:rsid w:val="00027559"/>
    <w:rsid w:val="00030651"/>
    <w:rsid w:val="00034987"/>
    <w:rsid w:val="00034CE5"/>
    <w:rsid w:val="000350E3"/>
    <w:rsid w:val="0003520C"/>
    <w:rsid w:val="00035B85"/>
    <w:rsid w:val="00035D85"/>
    <w:rsid w:val="00055873"/>
    <w:rsid w:val="00055E1B"/>
    <w:rsid w:val="00057CE0"/>
    <w:rsid w:val="000602DF"/>
    <w:rsid w:val="00060980"/>
    <w:rsid w:val="00061B05"/>
    <w:rsid w:val="00062973"/>
    <w:rsid w:val="00062D5D"/>
    <w:rsid w:val="000632D5"/>
    <w:rsid w:val="00064346"/>
    <w:rsid w:val="000644EE"/>
    <w:rsid w:val="00064C8A"/>
    <w:rsid w:val="000670CF"/>
    <w:rsid w:val="00071ABC"/>
    <w:rsid w:val="00081339"/>
    <w:rsid w:val="000856D7"/>
    <w:rsid w:val="00086CA8"/>
    <w:rsid w:val="000925AD"/>
    <w:rsid w:val="00094192"/>
    <w:rsid w:val="00096197"/>
    <w:rsid w:val="000A24EB"/>
    <w:rsid w:val="000A2D26"/>
    <w:rsid w:val="000A2F90"/>
    <w:rsid w:val="000A4053"/>
    <w:rsid w:val="000A6B51"/>
    <w:rsid w:val="000A7F70"/>
    <w:rsid w:val="000B296C"/>
    <w:rsid w:val="000B2E0A"/>
    <w:rsid w:val="000B2E3E"/>
    <w:rsid w:val="000B381F"/>
    <w:rsid w:val="000B6923"/>
    <w:rsid w:val="000B7D5A"/>
    <w:rsid w:val="000C033C"/>
    <w:rsid w:val="000C1A81"/>
    <w:rsid w:val="000C5F3C"/>
    <w:rsid w:val="000C6DCC"/>
    <w:rsid w:val="000D1AE0"/>
    <w:rsid w:val="000D2442"/>
    <w:rsid w:val="000D4103"/>
    <w:rsid w:val="000D47AA"/>
    <w:rsid w:val="000D5333"/>
    <w:rsid w:val="000D6089"/>
    <w:rsid w:val="000D721F"/>
    <w:rsid w:val="000E069B"/>
    <w:rsid w:val="000E0D22"/>
    <w:rsid w:val="000E0E82"/>
    <w:rsid w:val="000E165C"/>
    <w:rsid w:val="000E1DC5"/>
    <w:rsid w:val="000E223F"/>
    <w:rsid w:val="000E35AC"/>
    <w:rsid w:val="000E6E81"/>
    <w:rsid w:val="000E7D45"/>
    <w:rsid w:val="000F06F3"/>
    <w:rsid w:val="000F1540"/>
    <w:rsid w:val="000F7851"/>
    <w:rsid w:val="000F7A3A"/>
    <w:rsid w:val="00101EF2"/>
    <w:rsid w:val="00104E23"/>
    <w:rsid w:val="00106EAB"/>
    <w:rsid w:val="001111D0"/>
    <w:rsid w:val="001116DC"/>
    <w:rsid w:val="0011176C"/>
    <w:rsid w:val="00111B0C"/>
    <w:rsid w:val="00117186"/>
    <w:rsid w:val="00120D6C"/>
    <w:rsid w:val="00124B5F"/>
    <w:rsid w:val="001257EC"/>
    <w:rsid w:val="0013005C"/>
    <w:rsid w:val="00132C6A"/>
    <w:rsid w:val="00133D33"/>
    <w:rsid w:val="00134D64"/>
    <w:rsid w:val="00135A30"/>
    <w:rsid w:val="0013612C"/>
    <w:rsid w:val="0013699A"/>
    <w:rsid w:val="00137FF6"/>
    <w:rsid w:val="001403B5"/>
    <w:rsid w:val="00140696"/>
    <w:rsid w:val="00141650"/>
    <w:rsid w:val="00145E23"/>
    <w:rsid w:val="00145F90"/>
    <w:rsid w:val="00156158"/>
    <w:rsid w:val="00156213"/>
    <w:rsid w:val="00160B21"/>
    <w:rsid w:val="00162A12"/>
    <w:rsid w:val="0016341A"/>
    <w:rsid w:val="00166530"/>
    <w:rsid w:val="00170076"/>
    <w:rsid w:val="00172C52"/>
    <w:rsid w:val="0017412E"/>
    <w:rsid w:val="00174DA0"/>
    <w:rsid w:val="00176DFA"/>
    <w:rsid w:val="00176E0E"/>
    <w:rsid w:val="001832BD"/>
    <w:rsid w:val="001839BF"/>
    <w:rsid w:val="001933B0"/>
    <w:rsid w:val="00193560"/>
    <w:rsid w:val="001943B5"/>
    <w:rsid w:val="00195134"/>
    <w:rsid w:val="001A145B"/>
    <w:rsid w:val="001A674C"/>
    <w:rsid w:val="001B0774"/>
    <w:rsid w:val="001B2834"/>
    <w:rsid w:val="001B31D2"/>
    <w:rsid w:val="001B3B24"/>
    <w:rsid w:val="001B6C4C"/>
    <w:rsid w:val="001C0F98"/>
    <w:rsid w:val="001C25B3"/>
    <w:rsid w:val="001C2A42"/>
    <w:rsid w:val="001C2AE8"/>
    <w:rsid w:val="001C5A6A"/>
    <w:rsid w:val="001D0281"/>
    <w:rsid w:val="001D2481"/>
    <w:rsid w:val="001D34C9"/>
    <w:rsid w:val="001D63ED"/>
    <w:rsid w:val="001D66AB"/>
    <w:rsid w:val="001D7348"/>
    <w:rsid w:val="001E01B3"/>
    <w:rsid w:val="001E021E"/>
    <w:rsid w:val="001E035B"/>
    <w:rsid w:val="001E0961"/>
    <w:rsid w:val="001E2AC3"/>
    <w:rsid w:val="001E3EAE"/>
    <w:rsid w:val="001E5348"/>
    <w:rsid w:val="001E6F32"/>
    <w:rsid w:val="001E769F"/>
    <w:rsid w:val="001F2145"/>
    <w:rsid w:val="001F5176"/>
    <w:rsid w:val="001F6262"/>
    <w:rsid w:val="001F67B0"/>
    <w:rsid w:val="001F7B3D"/>
    <w:rsid w:val="0020280D"/>
    <w:rsid w:val="00205F9F"/>
    <w:rsid w:val="00210338"/>
    <w:rsid w:val="002115FC"/>
    <w:rsid w:val="002133F8"/>
    <w:rsid w:val="0021423C"/>
    <w:rsid w:val="00216D3C"/>
    <w:rsid w:val="0022140F"/>
    <w:rsid w:val="002259CC"/>
    <w:rsid w:val="00230D00"/>
    <w:rsid w:val="00231DF7"/>
    <w:rsid w:val="00231FD1"/>
    <w:rsid w:val="00232524"/>
    <w:rsid w:val="002328C4"/>
    <w:rsid w:val="00233623"/>
    <w:rsid w:val="002339E0"/>
    <w:rsid w:val="00233CF8"/>
    <w:rsid w:val="0023455D"/>
    <w:rsid w:val="0023575D"/>
    <w:rsid w:val="002368C8"/>
    <w:rsid w:val="00237148"/>
    <w:rsid w:val="0024222D"/>
    <w:rsid w:val="00244B0E"/>
    <w:rsid w:val="00244F6C"/>
    <w:rsid w:val="00250759"/>
    <w:rsid w:val="0025234D"/>
    <w:rsid w:val="002532C5"/>
    <w:rsid w:val="0025332D"/>
    <w:rsid w:val="002535AD"/>
    <w:rsid w:val="00254862"/>
    <w:rsid w:val="00260C03"/>
    <w:rsid w:val="00264CC7"/>
    <w:rsid w:val="0026540E"/>
    <w:rsid w:val="00271837"/>
    <w:rsid w:val="00271CD8"/>
    <w:rsid w:val="002721DA"/>
    <w:rsid w:val="0027225C"/>
    <w:rsid w:val="00274598"/>
    <w:rsid w:val="00274727"/>
    <w:rsid w:val="00275123"/>
    <w:rsid w:val="00282111"/>
    <w:rsid w:val="00282240"/>
    <w:rsid w:val="0028572A"/>
    <w:rsid w:val="0029083B"/>
    <w:rsid w:val="002921B6"/>
    <w:rsid w:val="002948AD"/>
    <w:rsid w:val="00294C05"/>
    <w:rsid w:val="00294C92"/>
    <w:rsid w:val="0029748E"/>
    <w:rsid w:val="002A01CC"/>
    <w:rsid w:val="002A1EFC"/>
    <w:rsid w:val="002A61B1"/>
    <w:rsid w:val="002A663C"/>
    <w:rsid w:val="002B1E6C"/>
    <w:rsid w:val="002B444B"/>
    <w:rsid w:val="002B5887"/>
    <w:rsid w:val="002B6BF8"/>
    <w:rsid w:val="002C0692"/>
    <w:rsid w:val="002C0E27"/>
    <w:rsid w:val="002C2C87"/>
    <w:rsid w:val="002C3040"/>
    <w:rsid w:val="002C3267"/>
    <w:rsid w:val="002C3A76"/>
    <w:rsid w:val="002C6388"/>
    <w:rsid w:val="002C72D9"/>
    <w:rsid w:val="002C7ED2"/>
    <w:rsid w:val="002D022D"/>
    <w:rsid w:val="002D0B08"/>
    <w:rsid w:val="002D18A0"/>
    <w:rsid w:val="002D24BB"/>
    <w:rsid w:val="002D40D8"/>
    <w:rsid w:val="002D47AD"/>
    <w:rsid w:val="002D6719"/>
    <w:rsid w:val="002D6A39"/>
    <w:rsid w:val="002E1F90"/>
    <w:rsid w:val="002E7435"/>
    <w:rsid w:val="002F2AF7"/>
    <w:rsid w:val="002F7E1C"/>
    <w:rsid w:val="0030146F"/>
    <w:rsid w:val="00301A75"/>
    <w:rsid w:val="003022AA"/>
    <w:rsid w:val="00302F70"/>
    <w:rsid w:val="0030336F"/>
    <w:rsid w:val="0030375E"/>
    <w:rsid w:val="00304443"/>
    <w:rsid w:val="00307A23"/>
    <w:rsid w:val="00307C86"/>
    <w:rsid w:val="003129CF"/>
    <w:rsid w:val="00312A30"/>
    <w:rsid w:val="00312C32"/>
    <w:rsid w:val="00315176"/>
    <w:rsid w:val="00316F38"/>
    <w:rsid w:val="00320F72"/>
    <w:rsid w:val="0032463E"/>
    <w:rsid w:val="003254AB"/>
    <w:rsid w:val="003256F2"/>
    <w:rsid w:val="00326224"/>
    <w:rsid w:val="0032676F"/>
    <w:rsid w:val="0032739E"/>
    <w:rsid w:val="00332AC7"/>
    <w:rsid w:val="003356FC"/>
    <w:rsid w:val="00337EE4"/>
    <w:rsid w:val="00340409"/>
    <w:rsid w:val="00340FFD"/>
    <w:rsid w:val="00343EB6"/>
    <w:rsid w:val="003452C5"/>
    <w:rsid w:val="00347DC1"/>
    <w:rsid w:val="003506B1"/>
    <w:rsid w:val="003527D8"/>
    <w:rsid w:val="00355BE9"/>
    <w:rsid w:val="00356AC7"/>
    <w:rsid w:val="0035718E"/>
    <w:rsid w:val="00360054"/>
    <w:rsid w:val="003603BE"/>
    <w:rsid w:val="003609FA"/>
    <w:rsid w:val="00365A68"/>
    <w:rsid w:val="003710C8"/>
    <w:rsid w:val="00371AD4"/>
    <w:rsid w:val="003750BE"/>
    <w:rsid w:val="0037758D"/>
    <w:rsid w:val="003807CD"/>
    <w:rsid w:val="0038505D"/>
    <w:rsid w:val="00385925"/>
    <w:rsid w:val="00387B9D"/>
    <w:rsid w:val="0039364F"/>
    <w:rsid w:val="00395E6F"/>
    <w:rsid w:val="00396686"/>
    <w:rsid w:val="0039778E"/>
    <w:rsid w:val="003978B2"/>
    <w:rsid w:val="003A441D"/>
    <w:rsid w:val="003A4CAA"/>
    <w:rsid w:val="003B0CF8"/>
    <w:rsid w:val="003B166D"/>
    <w:rsid w:val="003B21B7"/>
    <w:rsid w:val="003B4941"/>
    <w:rsid w:val="003B5906"/>
    <w:rsid w:val="003B643B"/>
    <w:rsid w:val="003B7010"/>
    <w:rsid w:val="003C021B"/>
    <w:rsid w:val="003C0DDA"/>
    <w:rsid w:val="003C106D"/>
    <w:rsid w:val="003C24F3"/>
    <w:rsid w:val="003C54C0"/>
    <w:rsid w:val="003C5714"/>
    <w:rsid w:val="003C6B66"/>
    <w:rsid w:val="003C6B9F"/>
    <w:rsid w:val="003C6E2A"/>
    <w:rsid w:val="003D0299"/>
    <w:rsid w:val="003D32B6"/>
    <w:rsid w:val="003D5F5B"/>
    <w:rsid w:val="003E6D80"/>
    <w:rsid w:val="003F05FA"/>
    <w:rsid w:val="003F1E33"/>
    <w:rsid w:val="003F244A"/>
    <w:rsid w:val="003F297B"/>
    <w:rsid w:val="003F30B8"/>
    <w:rsid w:val="003F4C45"/>
    <w:rsid w:val="003F5F7B"/>
    <w:rsid w:val="003F7D64"/>
    <w:rsid w:val="0040162A"/>
    <w:rsid w:val="00414300"/>
    <w:rsid w:val="00417E10"/>
    <w:rsid w:val="004228D2"/>
    <w:rsid w:val="00424704"/>
    <w:rsid w:val="00425C67"/>
    <w:rsid w:val="00425DAD"/>
    <w:rsid w:val="004262EC"/>
    <w:rsid w:val="00427E7A"/>
    <w:rsid w:val="0043347A"/>
    <w:rsid w:val="00433572"/>
    <w:rsid w:val="00434267"/>
    <w:rsid w:val="004355D9"/>
    <w:rsid w:val="00436307"/>
    <w:rsid w:val="00436C49"/>
    <w:rsid w:val="00440B1D"/>
    <w:rsid w:val="00441E19"/>
    <w:rsid w:val="00445366"/>
    <w:rsid w:val="00447F5B"/>
    <w:rsid w:val="0045411D"/>
    <w:rsid w:val="004557AA"/>
    <w:rsid w:val="00461DB0"/>
    <w:rsid w:val="00463926"/>
    <w:rsid w:val="00463C5E"/>
    <w:rsid w:val="004646E0"/>
    <w:rsid w:val="00464C9A"/>
    <w:rsid w:val="00472B67"/>
    <w:rsid w:val="00474F3D"/>
    <w:rsid w:val="00477E3A"/>
    <w:rsid w:val="004809C5"/>
    <w:rsid w:val="004819E2"/>
    <w:rsid w:val="00483D9E"/>
    <w:rsid w:val="00483E5F"/>
    <w:rsid w:val="004858C7"/>
    <w:rsid w:val="00485FF9"/>
    <w:rsid w:val="004861A5"/>
    <w:rsid w:val="00487E3D"/>
    <w:rsid w:val="004907F0"/>
    <w:rsid w:val="0049140B"/>
    <w:rsid w:val="004923A5"/>
    <w:rsid w:val="00492A5A"/>
    <w:rsid w:val="00495555"/>
    <w:rsid w:val="00495E18"/>
    <w:rsid w:val="00496BFB"/>
    <w:rsid w:val="004978DA"/>
    <w:rsid w:val="00497904"/>
    <w:rsid w:val="00497CBB"/>
    <w:rsid w:val="004A1363"/>
    <w:rsid w:val="004A15C7"/>
    <w:rsid w:val="004A324B"/>
    <w:rsid w:val="004A5108"/>
    <w:rsid w:val="004A69D2"/>
    <w:rsid w:val="004B013B"/>
    <w:rsid w:val="004B112B"/>
    <w:rsid w:val="004B15FF"/>
    <w:rsid w:val="004B58C3"/>
    <w:rsid w:val="004B63A6"/>
    <w:rsid w:val="004B6847"/>
    <w:rsid w:val="004C01E4"/>
    <w:rsid w:val="004C086C"/>
    <w:rsid w:val="004C1F56"/>
    <w:rsid w:val="004C27BC"/>
    <w:rsid w:val="004C6B5B"/>
    <w:rsid w:val="004D15F3"/>
    <w:rsid w:val="004D32C3"/>
    <w:rsid w:val="004D33A0"/>
    <w:rsid w:val="004D4322"/>
    <w:rsid w:val="004D5311"/>
    <w:rsid w:val="004D5DCC"/>
    <w:rsid w:val="004E71FD"/>
    <w:rsid w:val="004F10AF"/>
    <w:rsid w:val="004F11A4"/>
    <w:rsid w:val="004F2389"/>
    <w:rsid w:val="004F2ADD"/>
    <w:rsid w:val="004F304D"/>
    <w:rsid w:val="004F3733"/>
    <w:rsid w:val="004F61BE"/>
    <w:rsid w:val="004F66B1"/>
    <w:rsid w:val="004F6B56"/>
    <w:rsid w:val="004F7733"/>
    <w:rsid w:val="005003C3"/>
    <w:rsid w:val="00501808"/>
    <w:rsid w:val="0050778D"/>
    <w:rsid w:val="00511C07"/>
    <w:rsid w:val="005173A6"/>
    <w:rsid w:val="005207A2"/>
    <w:rsid w:val="00520BAA"/>
    <w:rsid w:val="00522250"/>
    <w:rsid w:val="00525208"/>
    <w:rsid w:val="005257A5"/>
    <w:rsid w:val="005264C0"/>
    <w:rsid w:val="00526A8A"/>
    <w:rsid w:val="00531DF2"/>
    <w:rsid w:val="00532A5B"/>
    <w:rsid w:val="005341F7"/>
    <w:rsid w:val="00535BB8"/>
    <w:rsid w:val="0053777A"/>
    <w:rsid w:val="00541D7E"/>
    <w:rsid w:val="005442EE"/>
    <w:rsid w:val="00547353"/>
    <w:rsid w:val="005474E7"/>
    <w:rsid w:val="00547F1B"/>
    <w:rsid w:val="00547FD0"/>
    <w:rsid w:val="005512A3"/>
    <w:rsid w:val="00552330"/>
    <w:rsid w:val="00556559"/>
    <w:rsid w:val="005578CE"/>
    <w:rsid w:val="00562781"/>
    <w:rsid w:val="00562AAC"/>
    <w:rsid w:val="00563CD6"/>
    <w:rsid w:val="00563E83"/>
    <w:rsid w:val="00564607"/>
    <w:rsid w:val="0057271C"/>
    <w:rsid w:val="00572845"/>
    <w:rsid w:val="0057546B"/>
    <w:rsid w:val="00587160"/>
    <w:rsid w:val="00591CCC"/>
    <w:rsid w:val="00592772"/>
    <w:rsid w:val="0059574A"/>
    <w:rsid w:val="005A1B9B"/>
    <w:rsid w:val="005A4A3A"/>
    <w:rsid w:val="005A5EB7"/>
    <w:rsid w:val="005A6751"/>
    <w:rsid w:val="005B092E"/>
    <w:rsid w:val="005B0F30"/>
    <w:rsid w:val="005B14A9"/>
    <w:rsid w:val="005B152C"/>
    <w:rsid w:val="005B1EE0"/>
    <w:rsid w:val="005B237B"/>
    <w:rsid w:val="005B2B24"/>
    <w:rsid w:val="005B3C19"/>
    <w:rsid w:val="005B4425"/>
    <w:rsid w:val="005B4B94"/>
    <w:rsid w:val="005B55F9"/>
    <w:rsid w:val="005C3EE8"/>
    <w:rsid w:val="005C41B6"/>
    <w:rsid w:val="005D2F2E"/>
    <w:rsid w:val="005D34F9"/>
    <w:rsid w:val="005D4190"/>
    <w:rsid w:val="005D4E73"/>
    <w:rsid w:val="005D67A3"/>
    <w:rsid w:val="005D6AB1"/>
    <w:rsid w:val="005E2988"/>
    <w:rsid w:val="005E2A43"/>
    <w:rsid w:val="005E3085"/>
    <w:rsid w:val="005E36E5"/>
    <w:rsid w:val="005E438A"/>
    <w:rsid w:val="005E4446"/>
    <w:rsid w:val="005E52DE"/>
    <w:rsid w:val="005E5E10"/>
    <w:rsid w:val="005F51E1"/>
    <w:rsid w:val="006043D7"/>
    <w:rsid w:val="00611C01"/>
    <w:rsid w:val="00611C80"/>
    <w:rsid w:val="00617C65"/>
    <w:rsid w:val="00620692"/>
    <w:rsid w:val="0062083E"/>
    <w:rsid w:val="006217FF"/>
    <w:rsid w:val="006242CA"/>
    <w:rsid w:val="00624A35"/>
    <w:rsid w:val="00626C7B"/>
    <w:rsid w:val="00627507"/>
    <w:rsid w:val="00633717"/>
    <w:rsid w:val="006344E1"/>
    <w:rsid w:val="006430E8"/>
    <w:rsid w:val="00644A92"/>
    <w:rsid w:val="00645D02"/>
    <w:rsid w:val="006545C4"/>
    <w:rsid w:val="0066142A"/>
    <w:rsid w:val="00661971"/>
    <w:rsid w:val="00661CE8"/>
    <w:rsid w:val="006623D9"/>
    <w:rsid w:val="006640CF"/>
    <w:rsid w:val="0066550C"/>
    <w:rsid w:val="006666E2"/>
    <w:rsid w:val="0066797D"/>
    <w:rsid w:val="006716F2"/>
    <w:rsid w:val="0068130A"/>
    <w:rsid w:val="00682AC5"/>
    <w:rsid w:val="00682BF2"/>
    <w:rsid w:val="006846F8"/>
    <w:rsid w:val="006859CE"/>
    <w:rsid w:val="0069068D"/>
    <w:rsid w:val="00691270"/>
    <w:rsid w:val="00694BA8"/>
    <w:rsid w:val="00697D41"/>
    <w:rsid w:val="00697DF6"/>
    <w:rsid w:val="006A037C"/>
    <w:rsid w:val="006A36F4"/>
    <w:rsid w:val="006A406F"/>
    <w:rsid w:val="006A4ACC"/>
    <w:rsid w:val="006A5D3A"/>
    <w:rsid w:val="006A6107"/>
    <w:rsid w:val="006B5760"/>
    <w:rsid w:val="006B64A9"/>
    <w:rsid w:val="006C23D4"/>
    <w:rsid w:val="006C2BD3"/>
    <w:rsid w:val="006C32C6"/>
    <w:rsid w:val="006C5A69"/>
    <w:rsid w:val="006C5D9C"/>
    <w:rsid w:val="006C79A2"/>
    <w:rsid w:val="006C7BB0"/>
    <w:rsid w:val="006D3237"/>
    <w:rsid w:val="006D387C"/>
    <w:rsid w:val="006D4F16"/>
    <w:rsid w:val="006D7399"/>
    <w:rsid w:val="006E0762"/>
    <w:rsid w:val="006E2E37"/>
    <w:rsid w:val="006E3CF1"/>
    <w:rsid w:val="006E6B9B"/>
    <w:rsid w:val="006E7E80"/>
    <w:rsid w:val="006F1DF9"/>
    <w:rsid w:val="006F24DB"/>
    <w:rsid w:val="006F2995"/>
    <w:rsid w:val="006F459D"/>
    <w:rsid w:val="006F48CA"/>
    <w:rsid w:val="006F492D"/>
    <w:rsid w:val="006F64DD"/>
    <w:rsid w:val="00700A2E"/>
    <w:rsid w:val="00700DEC"/>
    <w:rsid w:val="00703093"/>
    <w:rsid w:val="00703A56"/>
    <w:rsid w:val="00712716"/>
    <w:rsid w:val="00715127"/>
    <w:rsid w:val="00715E8E"/>
    <w:rsid w:val="00721C74"/>
    <w:rsid w:val="00723580"/>
    <w:rsid w:val="00723755"/>
    <w:rsid w:val="00725859"/>
    <w:rsid w:val="00730271"/>
    <w:rsid w:val="0073136C"/>
    <w:rsid w:val="00731F0F"/>
    <w:rsid w:val="00733250"/>
    <w:rsid w:val="00741404"/>
    <w:rsid w:val="00741FF4"/>
    <w:rsid w:val="007449E5"/>
    <w:rsid w:val="00746B07"/>
    <w:rsid w:val="00746C5A"/>
    <w:rsid w:val="00746FF8"/>
    <w:rsid w:val="00747FF0"/>
    <w:rsid w:val="00752AC7"/>
    <w:rsid w:val="00764D4E"/>
    <w:rsid w:val="00765A1F"/>
    <w:rsid w:val="00766713"/>
    <w:rsid w:val="00772A82"/>
    <w:rsid w:val="007733C6"/>
    <w:rsid w:val="00773C8B"/>
    <w:rsid w:val="00775B6D"/>
    <w:rsid w:val="00776D68"/>
    <w:rsid w:val="007850EE"/>
    <w:rsid w:val="00785B95"/>
    <w:rsid w:val="00790E96"/>
    <w:rsid w:val="0079283E"/>
    <w:rsid w:val="00793366"/>
    <w:rsid w:val="007A716F"/>
    <w:rsid w:val="007B270A"/>
    <w:rsid w:val="007B6519"/>
    <w:rsid w:val="007C0695"/>
    <w:rsid w:val="007C1DD7"/>
    <w:rsid w:val="007C419A"/>
    <w:rsid w:val="007C4CC8"/>
    <w:rsid w:val="007C5426"/>
    <w:rsid w:val="007C5798"/>
    <w:rsid w:val="007C75E9"/>
    <w:rsid w:val="007C7FE3"/>
    <w:rsid w:val="007D2AED"/>
    <w:rsid w:val="007D2ECB"/>
    <w:rsid w:val="007D4832"/>
    <w:rsid w:val="007D502E"/>
    <w:rsid w:val="007D5DEB"/>
    <w:rsid w:val="007D729D"/>
    <w:rsid w:val="007E0A32"/>
    <w:rsid w:val="007E21B2"/>
    <w:rsid w:val="007E2C4E"/>
    <w:rsid w:val="007E4785"/>
    <w:rsid w:val="007E56C2"/>
    <w:rsid w:val="007E658C"/>
    <w:rsid w:val="007E7DF8"/>
    <w:rsid w:val="007F0481"/>
    <w:rsid w:val="007F0ACD"/>
    <w:rsid w:val="007F1905"/>
    <w:rsid w:val="007F5700"/>
    <w:rsid w:val="007F6679"/>
    <w:rsid w:val="007F6D07"/>
    <w:rsid w:val="0080031F"/>
    <w:rsid w:val="0080048F"/>
    <w:rsid w:val="008005AC"/>
    <w:rsid w:val="00801300"/>
    <w:rsid w:val="00802206"/>
    <w:rsid w:val="00802C64"/>
    <w:rsid w:val="008034E8"/>
    <w:rsid w:val="00804D7A"/>
    <w:rsid w:val="00805E52"/>
    <w:rsid w:val="008061D0"/>
    <w:rsid w:val="00807084"/>
    <w:rsid w:val="00807B77"/>
    <w:rsid w:val="00810B38"/>
    <w:rsid w:val="00812D1A"/>
    <w:rsid w:val="00813EAB"/>
    <w:rsid w:val="008165B6"/>
    <w:rsid w:val="008204C7"/>
    <w:rsid w:val="00820992"/>
    <w:rsid w:val="0082224F"/>
    <w:rsid w:val="008231AA"/>
    <w:rsid w:val="00823602"/>
    <w:rsid w:val="00824BC9"/>
    <w:rsid w:val="008255F5"/>
    <w:rsid w:val="008274DE"/>
    <w:rsid w:val="00827671"/>
    <w:rsid w:val="00827A72"/>
    <w:rsid w:val="0083014E"/>
    <w:rsid w:val="0083214A"/>
    <w:rsid w:val="00834220"/>
    <w:rsid w:val="008345AA"/>
    <w:rsid w:val="00836AE1"/>
    <w:rsid w:val="008414BC"/>
    <w:rsid w:val="00841F01"/>
    <w:rsid w:val="00845723"/>
    <w:rsid w:val="00845E17"/>
    <w:rsid w:val="00851B7E"/>
    <w:rsid w:val="00851EF9"/>
    <w:rsid w:val="008572AB"/>
    <w:rsid w:val="008577FD"/>
    <w:rsid w:val="00860B03"/>
    <w:rsid w:val="00862833"/>
    <w:rsid w:val="0086352E"/>
    <w:rsid w:val="0086497A"/>
    <w:rsid w:val="00864AD8"/>
    <w:rsid w:val="008656C1"/>
    <w:rsid w:val="00867593"/>
    <w:rsid w:val="008713A1"/>
    <w:rsid w:val="00871598"/>
    <w:rsid w:val="008737AA"/>
    <w:rsid w:val="008754AB"/>
    <w:rsid w:val="00877698"/>
    <w:rsid w:val="0088060C"/>
    <w:rsid w:val="008826CE"/>
    <w:rsid w:val="00884A4E"/>
    <w:rsid w:val="00893576"/>
    <w:rsid w:val="00893E73"/>
    <w:rsid w:val="00896E89"/>
    <w:rsid w:val="008A10F8"/>
    <w:rsid w:val="008A43C4"/>
    <w:rsid w:val="008A71ED"/>
    <w:rsid w:val="008B02DC"/>
    <w:rsid w:val="008B57CE"/>
    <w:rsid w:val="008B659F"/>
    <w:rsid w:val="008C00C2"/>
    <w:rsid w:val="008C0B86"/>
    <w:rsid w:val="008C141B"/>
    <w:rsid w:val="008C222D"/>
    <w:rsid w:val="008C26DE"/>
    <w:rsid w:val="008D220D"/>
    <w:rsid w:val="008D2225"/>
    <w:rsid w:val="008D318E"/>
    <w:rsid w:val="008D4752"/>
    <w:rsid w:val="008D552A"/>
    <w:rsid w:val="008E271C"/>
    <w:rsid w:val="008E3E74"/>
    <w:rsid w:val="008E418E"/>
    <w:rsid w:val="008E5BC6"/>
    <w:rsid w:val="008E6A25"/>
    <w:rsid w:val="008F2839"/>
    <w:rsid w:val="008F5193"/>
    <w:rsid w:val="008F7A3C"/>
    <w:rsid w:val="009013A7"/>
    <w:rsid w:val="009017FB"/>
    <w:rsid w:val="009017FC"/>
    <w:rsid w:val="00903B43"/>
    <w:rsid w:val="00903D3A"/>
    <w:rsid w:val="0090506B"/>
    <w:rsid w:val="009050C9"/>
    <w:rsid w:val="009066FC"/>
    <w:rsid w:val="0091342C"/>
    <w:rsid w:val="009140A3"/>
    <w:rsid w:val="009144A2"/>
    <w:rsid w:val="0091510C"/>
    <w:rsid w:val="009169DF"/>
    <w:rsid w:val="00925080"/>
    <w:rsid w:val="009259AC"/>
    <w:rsid w:val="00926F38"/>
    <w:rsid w:val="00931F84"/>
    <w:rsid w:val="00931F98"/>
    <w:rsid w:val="009323AE"/>
    <w:rsid w:val="00934301"/>
    <w:rsid w:val="00936CD1"/>
    <w:rsid w:val="00940D21"/>
    <w:rsid w:val="00941747"/>
    <w:rsid w:val="00941EFB"/>
    <w:rsid w:val="00944182"/>
    <w:rsid w:val="009448A2"/>
    <w:rsid w:val="00946A04"/>
    <w:rsid w:val="0094731D"/>
    <w:rsid w:val="00947AFB"/>
    <w:rsid w:val="00951D7D"/>
    <w:rsid w:val="00952C12"/>
    <w:rsid w:val="009547ED"/>
    <w:rsid w:val="00961E5C"/>
    <w:rsid w:val="009630C7"/>
    <w:rsid w:val="009723A2"/>
    <w:rsid w:val="00972B55"/>
    <w:rsid w:val="009741B1"/>
    <w:rsid w:val="009743B7"/>
    <w:rsid w:val="00977D3F"/>
    <w:rsid w:val="0098228B"/>
    <w:rsid w:val="009828DA"/>
    <w:rsid w:val="00982E2D"/>
    <w:rsid w:val="00985A19"/>
    <w:rsid w:val="00985BAB"/>
    <w:rsid w:val="00990A92"/>
    <w:rsid w:val="00997F03"/>
    <w:rsid w:val="009A0D9B"/>
    <w:rsid w:val="009A3FEE"/>
    <w:rsid w:val="009A4103"/>
    <w:rsid w:val="009A46DF"/>
    <w:rsid w:val="009A69F9"/>
    <w:rsid w:val="009B1B5F"/>
    <w:rsid w:val="009B274C"/>
    <w:rsid w:val="009B2EC2"/>
    <w:rsid w:val="009B3DF1"/>
    <w:rsid w:val="009B6277"/>
    <w:rsid w:val="009B6673"/>
    <w:rsid w:val="009B75D7"/>
    <w:rsid w:val="009B7F56"/>
    <w:rsid w:val="009C01F7"/>
    <w:rsid w:val="009C187E"/>
    <w:rsid w:val="009C191B"/>
    <w:rsid w:val="009C2631"/>
    <w:rsid w:val="009C2BD6"/>
    <w:rsid w:val="009C4673"/>
    <w:rsid w:val="009D3C69"/>
    <w:rsid w:val="009D53C6"/>
    <w:rsid w:val="009D7758"/>
    <w:rsid w:val="009E173B"/>
    <w:rsid w:val="009E1F32"/>
    <w:rsid w:val="009E38D6"/>
    <w:rsid w:val="009E5829"/>
    <w:rsid w:val="009E776C"/>
    <w:rsid w:val="009F057F"/>
    <w:rsid w:val="00A10A0F"/>
    <w:rsid w:val="00A10FFC"/>
    <w:rsid w:val="00A1321D"/>
    <w:rsid w:val="00A1726E"/>
    <w:rsid w:val="00A204CF"/>
    <w:rsid w:val="00A2323D"/>
    <w:rsid w:val="00A23D49"/>
    <w:rsid w:val="00A258DF"/>
    <w:rsid w:val="00A27004"/>
    <w:rsid w:val="00A30C29"/>
    <w:rsid w:val="00A31937"/>
    <w:rsid w:val="00A3280C"/>
    <w:rsid w:val="00A34DD6"/>
    <w:rsid w:val="00A36819"/>
    <w:rsid w:val="00A36989"/>
    <w:rsid w:val="00A43628"/>
    <w:rsid w:val="00A54192"/>
    <w:rsid w:val="00A6035E"/>
    <w:rsid w:val="00A6144C"/>
    <w:rsid w:val="00A66617"/>
    <w:rsid w:val="00A671F8"/>
    <w:rsid w:val="00A673A4"/>
    <w:rsid w:val="00A724AE"/>
    <w:rsid w:val="00A72A99"/>
    <w:rsid w:val="00A73329"/>
    <w:rsid w:val="00A77068"/>
    <w:rsid w:val="00A82359"/>
    <w:rsid w:val="00A8385E"/>
    <w:rsid w:val="00A85FB4"/>
    <w:rsid w:val="00A86295"/>
    <w:rsid w:val="00A865D2"/>
    <w:rsid w:val="00A86C2B"/>
    <w:rsid w:val="00A94C20"/>
    <w:rsid w:val="00A960C2"/>
    <w:rsid w:val="00A9681B"/>
    <w:rsid w:val="00A96ED6"/>
    <w:rsid w:val="00AA1D66"/>
    <w:rsid w:val="00AA227F"/>
    <w:rsid w:val="00AA3BC7"/>
    <w:rsid w:val="00AA754A"/>
    <w:rsid w:val="00AB099E"/>
    <w:rsid w:val="00AB3745"/>
    <w:rsid w:val="00AB4328"/>
    <w:rsid w:val="00AB5FA0"/>
    <w:rsid w:val="00AC3EA8"/>
    <w:rsid w:val="00AC5D89"/>
    <w:rsid w:val="00AC6239"/>
    <w:rsid w:val="00AC6366"/>
    <w:rsid w:val="00AD00D5"/>
    <w:rsid w:val="00AD0525"/>
    <w:rsid w:val="00AD146E"/>
    <w:rsid w:val="00AE0A2E"/>
    <w:rsid w:val="00AE24F1"/>
    <w:rsid w:val="00AE259C"/>
    <w:rsid w:val="00AE354C"/>
    <w:rsid w:val="00AF4B07"/>
    <w:rsid w:val="00AF50E9"/>
    <w:rsid w:val="00AF5F57"/>
    <w:rsid w:val="00AF6186"/>
    <w:rsid w:val="00AF6B34"/>
    <w:rsid w:val="00AF7A3A"/>
    <w:rsid w:val="00B0210C"/>
    <w:rsid w:val="00B03F1E"/>
    <w:rsid w:val="00B0489A"/>
    <w:rsid w:val="00B062F8"/>
    <w:rsid w:val="00B06EB5"/>
    <w:rsid w:val="00B13389"/>
    <w:rsid w:val="00B160DB"/>
    <w:rsid w:val="00B20836"/>
    <w:rsid w:val="00B22B94"/>
    <w:rsid w:val="00B235BB"/>
    <w:rsid w:val="00B24083"/>
    <w:rsid w:val="00B255B0"/>
    <w:rsid w:val="00B267CA"/>
    <w:rsid w:val="00B26A31"/>
    <w:rsid w:val="00B27A44"/>
    <w:rsid w:val="00B307E1"/>
    <w:rsid w:val="00B30BBF"/>
    <w:rsid w:val="00B31458"/>
    <w:rsid w:val="00B31BB3"/>
    <w:rsid w:val="00B33C03"/>
    <w:rsid w:val="00B42C01"/>
    <w:rsid w:val="00B43531"/>
    <w:rsid w:val="00B44E56"/>
    <w:rsid w:val="00B46543"/>
    <w:rsid w:val="00B46DBF"/>
    <w:rsid w:val="00B47D33"/>
    <w:rsid w:val="00B50A87"/>
    <w:rsid w:val="00B52BE0"/>
    <w:rsid w:val="00B54133"/>
    <w:rsid w:val="00B579BC"/>
    <w:rsid w:val="00B637B9"/>
    <w:rsid w:val="00B6382E"/>
    <w:rsid w:val="00B64741"/>
    <w:rsid w:val="00B701ED"/>
    <w:rsid w:val="00B712E2"/>
    <w:rsid w:val="00B721AA"/>
    <w:rsid w:val="00B8086C"/>
    <w:rsid w:val="00B8251E"/>
    <w:rsid w:val="00B842A6"/>
    <w:rsid w:val="00B861B4"/>
    <w:rsid w:val="00B8646F"/>
    <w:rsid w:val="00B86D34"/>
    <w:rsid w:val="00B86DFE"/>
    <w:rsid w:val="00B90990"/>
    <w:rsid w:val="00B909CE"/>
    <w:rsid w:val="00B922FF"/>
    <w:rsid w:val="00B9281E"/>
    <w:rsid w:val="00B93925"/>
    <w:rsid w:val="00B95187"/>
    <w:rsid w:val="00B974DE"/>
    <w:rsid w:val="00BA2D55"/>
    <w:rsid w:val="00BA71B1"/>
    <w:rsid w:val="00BB0637"/>
    <w:rsid w:val="00BB345F"/>
    <w:rsid w:val="00BB495B"/>
    <w:rsid w:val="00BB5883"/>
    <w:rsid w:val="00BB68EA"/>
    <w:rsid w:val="00BC0988"/>
    <w:rsid w:val="00BC1057"/>
    <w:rsid w:val="00BC18D5"/>
    <w:rsid w:val="00BC1C27"/>
    <w:rsid w:val="00BC6BBF"/>
    <w:rsid w:val="00BD0ADE"/>
    <w:rsid w:val="00BD1026"/>
    <w:rsid w:val="00BD1572"/>
    <w:rsid w:val="00BD214E"/>
    <w:rsid w:val="00BD5C7A"/>
    <w:rsid w:val="00BE14E3"/>
    <w:rsid w:val="00BE21EF"/>
    <w:rsid w:val="00BE3774"/>
    <w:rsid w:val="00BE41E5"/>
    <w:rsid w:val="00BF0BBB"/>
    <w:rsid w:val="00BF11E2"/>
    <w:rsid w:val="00BF4109"/>
    <w:rsid w:val="00BF4CC3"/>
    <w:rsid w:val="00C02AD6"/>
    <w:rsid w:val="00C054C7"/>
    <w:rsid w:val="00C057B5"/>
    <w:rsid w:val="00C10198"/>
    <w:rsid w:val="00C146E0"/>
    <w:rsid w:val="00C22687"/>
    <w:rsid w:val="00C25AA7"/>
    <w:rsid w:val="00C27053"/>
    <w:rsid w:val="00C32E4D"/>
    <w:rsid w:val="00C333A0"/>
    <w:rsid w:val="00C3369D"/>
    <w:rsid w:val="00C35B83"/>
    <w:rsid w:val="00C36A81"/>
    <w:rsid w:val="00C41974"/>
    <w:rsid w:val="00C447AD"/>
    <w:rsid w:val="00C45CF3"/>
    <w:rsid w:val="00C515F7"/>
    <w:rsid w:val="00C52F93"/>
    <w:rsid w:val="00C5309E"/>
    <w:rsid w:val="00C53F4A"/>
    <w:rsid w:val="00C54125"/>
    <w:rsid w:val="00C55B54"/>
    <w:rsid w:val="00C57504"/>
    <w:rsid w:val="00C6098E"/>
    <w:rsid w:val="00C614E9"/>
    <w:rsid w:val="00C6152C"/>
    <w:rsid w:val="00C621C2"/>
    <w:rsid w:val="00C723ED"/>
    <w:rsid w:val="00C74810"/>
    <w:rsid w:val="00C74E74"/>
    <w:rsid w:val="00C86BE5"/>
    <w:rsid w:val="00C86C76"/>
    <w:rsid w:val="00C90632"/>
    <w:rsid w:val="00C90D68"/>
    <w:rsid w:val="00C9232B"/>
    <w:rsid w:val="00C939FE"/>
    <w:rsid w:val="00C9428C"/>
    <w:rsid w:val="00CA13CF"/>
    <w:rsid w:val="00CA2E25"/>
    <w:rsid w:val="00CA4BDA"/>
    <w:rsid w:val="00CB1746"/>
    <w:rsid w:val="00CB1F66"/>
    <w:rsid w:val="00CB2951"/>
    <w:rsid w:val="00CB53F2"/>
    <w:rsid w:val="00CC0CB3"/>
    <w:rsid w:val="00CC5F65"/>
    <w:rsid w:val="00CC688B"/>
    <w:rsid w:val="00CD282B"/>
    <w:rsid w:val="00CD4C35"/>
    <w:rsid w:val="00CD7369"/>
    <w:rsid w:val="00CE0B0E"/>
    <w:rsid w:val="00CE0EB3"/>
    <w:rsid w:val="00CE3831"/>
    <w:rsid w:val="00CE6781"/>
    <w:rsid w:val="00CE7ED9"/>
    <w:rsid w:val="00CF0E0A"/>
    <w:rsid w:val="00CF6C2E"/>
    <w:rsid w:val="00D00ABB"/>
    <w:rsid w:val="00D02EEC"/>
    <w:rsid w:val="00D03551"/>
    <w:rsid w:val="00D05413"/>
    <w:rsid w:val="00D06A63"/>
    <w:rsid w:val="00D07E0E"/>
    <w:rsid w:val="00D11478"/>
    <w:rsid w:val="00D11685"/>
    <w:rsid w:val="00D14C7A"/>
    <w:rsid w:val="00D15ED0"/>
    <w:rsid w:val="00D17578"/>
    <w:rsid w:val="00D17998"/>
    <w:rsid w:val="00D210B2"/>
    <w:rsid w:val="00D21743"/>
    <w:rsid w:val="00D21B3E"/>
    <w:rsid w:val="00D21FED"/>
    <w:rsid w:val="00D24251"/>
    <w:rsid w:val="00D343E2"/>
    <w:rsid w:val="00D361A2"/>
    <w:rsid w:val="00D37D9C"/>
    <w:rsid w:val="00D445A1"/>
    <w:rsid w:val="00D44C2E"/>
    <w:rsid w:val="00D45414"/>
    <w:rsid w:val="00D51FE6"/>
    <w:rsid w:val="00D53195"/>
    <w:rsid w:val="00D5354E"/>
    <w:rsid w:val="00D53C0F"/>
    <w:rsid w:val="00D566BD"/>
    <w:rsid w:val="00D57A4D"/>
    <w:rsid w:val="00D60AA7"/>
    <w:rsid w:val="00D60D87"/>
    <w:rsid w:val="00D62CA7"/>
    <w:rsid w:val="00D6435F"/>
    <w:rsid w:val="00D669CD"/>
    <w:rsid w:val="00D66C2C"/>
    <w:rsid w:val="00D67973"/>
    <w:rsid w:val="00D737E9"/>
    <w:rsid w:val="00D73F89"/>
    <w:rsid w:val="00D75E28"/>
    <w:rsid w:val="00D772C2"/>
    <w:rsid w:val="00D8008E"/>
    <w:rsid w:val="00D81708"/>
    <w:rsid w:val="00D82C45"/>
    <w:rsid w:val="00D835EA"/>
    <w:rsid w:val="00D83BE7"/>
    <w:rsid w:val="00D908A8"/>
    <w:rsid w:val="00D92D9B"/>
    <w:rsid w:val="00D9764D"/>
    <w:rsid w:val="00D977B6"/>
    <w:rsid w:val="00DA4A31"/>
    <w:rsid w:val="00DA61F2"/>
    <w:rsid w:val="00DA7B04"/>
    <w:rsid w:val="00DB03F5"/>
    <w:rsid w:val="00DB047D"/>
    <w:rsid w:val="00DB36C2"/>
    <w:rsid w:val="00DB3A86"/>
    <w:rsid w:val="00DB7196"/>
    <w:rsid w:val="00DC169B"/>
    <w:rsid w:val="00DC2AB9"/>
    <w:rsid w:val="00DC5D42"/>
    <w:rsid w:val="00DC63F0"/>
    <w:rsid w:val="00DD34F3"/>
    <w:rsid w:val="00DD5706"/>
    <w:rsid w:val="00DD6EE5"/>
    <w:rsid w:val="00DE1252"/>
    <w:rsid w:val="00DE1B8E"/>
    <w:rsid w:val="00DE2585"/>
    <w:rsid w:val="00DE32CE"/>
    <w:rsid w:val="00DE386C"/>
    <w:rsid w:val="00DE4D35"/>
    <w:rsid w:val="00DE58FD"/>
    <w:rsid w:val="00DF0549"/>
    <w:rsid w:val="00DF098B"/>
    <w:rsid w:val="00DF11C4"/>
    <w:rsid w:val="00DF210C"/>
    <w:rsid w:val="00DF4B6A"/>
    <w:rsid w:val="00E012A7"/>
    <w:rsid w:val="00E02C09"/>
    <w:rsid w:val="00E04D59"/>
    <w:rsid w:val="00E06CE1"/>
    <w:rsid w:val="00E0787F"/>
    <w:rsid w:val="00E07DA1"/>
    <w:rsid w:val="00E10576"/>
    <w:rsid w:val="00E123CB"/>
    <w:rsid w:val="00E12BA9"/>
    <w:rsid w:val="00E12E42"/>
    <w:rsid w:val="00E1557C"/>
    <w:rsid w:val="00E2092C"/>
    <w:rsid w:val="00E20E13"/>
    <w:rsid w:val="00E21769"/>
    <w:rsid w:val="00E21DBC"/>
    <w:rsid w:val="00E275D7"/>
    <w:rsid w:val="00E27B90"/>
    <w:rsid w:val="00E27DBE"/>
    <w:rsid w:val="00E3103E"/>
    <w:rsid w:val="00E32AB1"/>
    <w:rsid w:val="00E36C71"/>
    <w:rsid w:val="00E36F17"/>
    <w:rsid w:val="00E40404"/>
    <w:rsid w:val="00E44E00"/>
    <w:rsid w:val="00E459C6"/>
    <w:rsid w:val="00E47589"/>
    <w:rsid w:val="00E51C3A"/>
    <w:rsid w:val="00E52D9C"/>
    <w:rsid w:val="00E62AE3"/>
    <w:rsid w:val="00E64915"/>
    <w:rsid w:val="00E661D4"/>
    <w:rsid w:val="00E670FA"/>
    <w:rsid w:val="00E70091"/>
    <w:rsid w:val="00E720F5"/>
    <w:rsid w:val="00E76D47"/>
    <w:rsid w:val="00E827C4"/>
    <w:rsid w:val="00E849F7"/>
    <w:rsid w:val="00E86F36"/>
    <w:rsid w:val="00E90302"/>
    <w:rsid w:val="00E9597F"/>
    <w:rsid w:val="00E96AA4"/>
    <w:rsid w:val="00E97396"/>
    <w:rsid w:val="00EA185E"/>
    <w:rsid w:val="00EA29F7"/>
    <w:rsid w:val="00EA2A74"/>
    <w:rsid w:val="00EA3A24"/>
    <w:rsid w:val="00EA57DC"/>
    <w:rsid w:val="00EA592A"/>
    <w:rsid w:val="00EA5943"/>
    <w:rsid w:val="00EB14E4"/>
    <w:rsid w:val="00EB32A5"/>
    <w:rsid w:val="00EB34ED"/>
    <w:rsid w:val="00EB4DB8"/>
    <w:rsid w:val="00EB7BE0"/>
    <w:rsid w:val="00EC28CB"/>
    <w:rsid w:val="00EC315E"/>
    <w:rsid w:val="00ED077C"/>
    <w:rsid w:val="00ED1190"/>
    <w:rsid w:val="00ED1D00"/>
    <w:rsid w:val="00ED35DC"/>
    <w:rsid w:val="00ED3A05"/>
    <w:rsid w:val="00ED632E"/>
    <w:rsid w:val="00ED6544"/>
    <w:rsid w:val="00ED673C"/>
    <w:rsid w:val="00EE0277"/>
    <w:rsid w:val="00EE1DA9"/>
    <w:rsid w:val="00EE2985"/>
    <w:rsid w:val="00EE3E00"/>
    <w:rsid w:val="00EE3E6F"/>
    <w:rsid w:val="00EE4A09"/>
    <w:rsid w:val="00EE5DD2"/>
    <w:rsid w:val="00EE662E"/>
    <w:rsid w:val="00EF3E27"/>
    <w:rsid w:val="00EF41F1"/>
    <w:rsid w:val="00EF4F08"/>
    <w:rsid w:val="00EF573B"/>
    <w:rsid w:val="00EF58C9"/>
    <w:rsid w:val="00EF6E8A"/>
    <w:rsid w:val="00EF716E"/>
    <w:rsid w:val="00EF7B33"/>
    <w:rsid w:val="00F0044A"/>
    <w:rsid w:val="00F00A79"/>
    <w:rsid w:val="00F00E86"/>
    <w:rsid w:val="00F00F8B"/>
    <w:rsid w:val="00F07C1E"/>
    <w:rsid w:val="00F105DB"/>
    <w:rsid w:val="00F1085C"/>
    <w:rsid w:val="00F12CCD"/>
    <w:rsid w:val="00F13287"/>
    <w:rsid w:val="00F132BC"/>
    <w:rsid w:val="00F13D80"/>
    <w:rsid w:val="00F16452"/>
    <w:rsid w:val="00F169FD"/>
    <w:rsid w:val="00F16AAA"/>
    <w:rsid w:val="00F21161"/>
    <w:rsid w:val="00F218EF"/>
    <w:rsid w:val="00F21BC7"/>
    <w:rsid w:val="00F21D2E"/>
    <w:rsid w:val="00F252E8"/>
    <w:rsid w:val="00F266A2"/>
    <w:rsid w:val="00F3085C"/>
    <w:rsid w:val="00F32269"/>
    <w:rsid w:val="00F33685"/>
    <w:rsid w:val="00F36517"/>
    <w:rsid w:val="00F36D5C"/>
    <w:rsid w:val="00F42F46"/>
    <w:rsid w:val="00F43A23"/>
    <w:rsid w:val="00F4457E"/>
    <w:rsid w:val="00F56A6F"/>
    <w:rsid w:val="00F5709C"/>
    <w:rsid w:val="00F61F53"/>
    <w:rsid w:val="00F624F4"/>
    <w:rsid w:val="00F64443"/>
    <w:rsid w:val="00F64EF1"/>
    <w:rsid w:val="00F72886"/>
    <w:rsid w:val="00F741FA"/>
    <w:rsid w:val="00F82BF4"/>
    <w:rsid w:val="00F8326C"/>
    <w:rsid w:val="00F8765F"/>
    <w:rsid w:val="00F90767"/>
    <w:rsid w:val="00F916D8"/>
    <w:rsid w:val="00FA23C8"/>
    <w:rsid w:val="00FA3A27"/>
    <w:rsid w:val="00FA3DDE"/>
    <w:rsid w:val="00FA685B"/>
    <w:rsid w:val="00FA74B5"/>
    <w:rsid w:val="00FB0C01"/>
    <w:rsid w:val="00FB0CF9"/>
    <w:rsid w:val="00FB761C"/>
    <w:rsid w:val="00FB7FD5"/>
    <w:rsid w:val="00FC18F2"/>
    <w:rsid w:val="00FC30E3"/>
    <w:rsid w:val="00FC39E5"/>
    <w:rsid w:val="00FC3A78"/>
    <w:rsid w:val="00FC5FFE"/>
    <w:rsid w:val="00FC62C9"/>
    <w:rsid w:val="00FC6F60"/>
    <w:rsid w:val="00FD1005"/>
    <w:rsid w:val="00FD17E1"/>
    <w:rsid w:val="00FD3180"/>
    <w:rsid w:val="00FD4526"/>
    <w:rsid w:val="00FD6C75"/>
    <w:rsid w:val="00FD6D16"/>
    <w:rsid w:val="00FE39CC"/>
    <w:rsid w:val="00FE429A"/>
    <w:rsid w:val="00FE4562"/>
    <w:rsid w:val="00FE4CCB"/>
    <w:rsid w:val="00FE71B3"/>
    <w:rsid w:val="00FF1F25"/>
    <w:rsid w:val="00FF313A"/>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64346"/>
    <w:pPr>
      <w:jc w:val="both"/>
    </w:pPr>
    <w:rPr>
      <w:rFonts w:eastAsiaTheme="minorEastAsia"/>
      <w:sz w:val="24"/>
      <w:lang w:val="en-GB"/>
    </w:rPr>
  </w:style>
  <w:style w:type="paragraph" w:styleId="Nagwek1">
    <w:name w:val="heading 1"/>
    <w:basedOn w:val="Normalny"/>
    <w:next w:val="Normalny"/>
    <w:link w:val="Nagwek1Znak"/>
    <w:uiPriority w:val="99"/>
    <w:semiHidden/>
    <w:rsid w:val="0006434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6434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6434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6434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6434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6434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6434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6434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6434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64346"/>
    <w:rPr>
      <w:rFonts w:ascii="Tahoma" w:hAnsi="Tahoma" w:cs="Tahoma"/>
      <w:sz w:val="16"/>
      <w:szCs w:val="16"/>
    </w:rPr>
  </w:style>
  <w:style w:type="character" w:customStyle="1" w:styleId="TekstdymkaZnak">
    <w:name w:val="Tekst dymka Znak"/>
    <w:basedOn w:val="Domylnaczcionkaakapitu"/>
    <w:link w:val="Tekstdymka"/>
    <w:uiPriority w:val="99"/>
    <w:semiHidden/>
    <w:rsid w:val="00064346"/>
    <w:rPr>
      <w:rFonts w:ascii="Tahoma" w:eastAsiaTheme="minorEastAsia" w:hAnsi="Tahoma" w:cs="Tahoma"/>
      <w:sz w:val="16"/>
      <w:szCs w:val="16"/>
      <w:lang w:val="en-GB"/>
    </w:rPr>
  </w:style>
  <w:style w:type="character" w:styleId="Tytuksiki">
    <w:name w:val="Book Title"/>
    <w:uiPriority w:val="99"/>
    <w:semiHidden/>
    <w:qFormat/>
    <w:rsid w:val="00064346"/>
    <w:rPr>
      <w:i/>
      <w:iCs/>
      <w:smallCaps/>
      <w:spacing w:val="5"/>
    </w:rPr>
  </w:style>
  <w:style w:type="paragraph" w:customStyle="1" w:styleId="ECHRHeader">
    <w:name w:val="ECHR_Header"/>
    <w:aliases w:val="Ju_Header"/>
    <w:basedOn w:val="Nagwek"/>
    <w:uiPriority w:val="4"/>
    <w:qFormat/>
    <w:rsid w:val="0006434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64346"/>
    <w:pPr>
      <w:jc w:val="left"/>
    </w:pPr>
    <w:rPr>
      <w:sz w:val="8"/>
    </w:rPr>
  </w:style>
  <w:style w:type="character" w:styleId="Pogrubienie">
    <w:name w:val="Strong"/>
    <w:uiPriority w:val="99"/>
    <w:semiHidden/>
    <w:qFormat/>
    <w:rsid w:val="00064346"/>
    <w:rPr>
      <w:b/>
      <w:bCs/>
    </w:rPr>
  </w:style>
  <w:style w:type="paragraph" w:styleId="Bezodstpw">
    <w:name w:val="No Spacing"/>
    <w:basedOn w:val="Normalny"/>
    <w:link w:val="BezodstpwZnak"/>
    <w:semiHidden/>
    <w:qFormat/>
    <w:rsid w:val="00064346"/>
    <w:rPr>
      <w:sz w:val="22"/>
      <w:lang w:val="en-US"/>
    </w:rPr>
  </w:style>
  <w:style w:type="character" w:customStyle="1" w:styleId="BezodstpwZnak">
    <w:name w:val="Bez odstępów Znak"/>
    <w:basedOn w:val="Domylnaczcionkaakapitu"/>
    <w:link w:val="Bezodstpw"/>
    <w:semiHidden/>
    <w:rsid w:val="00064346"/>
    <w:rPr>
      <w:rFonts w:eastAsiaTheme="minorEastAsia"/>
    </w:rPr>
  </w:style>
  <w:style w:type="paragraph" w:customStyle="1" w:styleId="ECHRFooterLine">
    <w:name w:val="ECHR_Footer_Line"/>
    <w:aliases w:val="Footer_Line"/>
    <w:basedOn w:val="Normalny"/>
    <w:next w:val="ECHRFooter"/>
    <w:uiPriority w:val="57"/>
    <w:semiHidden/>
    <w:rsid w:val="0006434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64346"/>
  </w:style>
  <w:style w:type="paragraph" w:customStyle="1" w:styleId="DecList">
    <w:name w:val="Dec_List"/>
    <w:basedOn w:val="Normalny"/>
    <w:uiPriority w:val="9"/>
    <w:semiHidden/>
    <w:qFormat/>
    <w:rsid w:val="00064346"/>
    <w:pPr>
      <w:spacing w:before="240"/>
      <w:ind w:left="284"/>
    </w:pPr>
  </w:style>
  <w:style w:type="paragraph" w:customStyle="1" w:styleId="DummyStyle">
    <w:name w:val="Dummy_Style"/>
    <w:basedOn w:val="Normalny"/>
    <w:semiHidden/>
    <w:qFormat/>
    <w:rsid w:val="00064346"/>
    <w:rPr>
      <w:color w:val="00B050"/>
    </w:rPr>
  </w:style>
  <w:style w:type="paragraph" w:customStyle="1" w:styleId="ECHRTitleCentre3">
    <w:name w:val="ECHR_Title_Centre_3"/>
    <w:aliases w:val="Ju_H_Article"/>
    <w:basedOn w:val="Normalny"/>
    <w:next w:val="ECHRParaQuote"/>
    <w:uiPriority w:val="27"/>
    <w:qFormat/>
    <w:rsid w:val="0006434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6434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64346"/>
    <w:pPr>
      <w:numPr>
        <w:numId w:val="31"/>
      </w:numPr>
      <w:jc w:val="left"/>
    </w:pPr>
    <w:rPr>
      <w:b/>
    </w:rPr>
  </w:style>
  <w:style w:type="paragraph" w:customStyle="1" w:styleId="JuCourt">
    <w:name w:val="Ju_Court"/>
    <w:basedOn w:val="Normalny"/>
    <w:next w:val="Normalny"/>
    <w:uiPriority w:val="16"/>
    <w:qFormat/>
    <w:rsid w:val="0006434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6434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64346"/>
    <w:pPr>
      <w:spacing w:after="240"/>
      <w:jc w:val="center"/>
      <w:outlineLvl w:val="0"/>
    </w:pPr>
    <w:rPr>
      <w:rFonts w:asciiTheme="majorHAnsi" w:hAnsiTheme="majorHAnsi"/>
    </w:rPr>
  </w:style>
  <w:style w:type="paragraph" w:customStyle="1" w:styleId="JuInitialled">
    <w:name w:val="Ju_Initialled"/>
    <w:basedOn w:val="Normalny"/>
    <w:uiPriority w:val="31"/>
    <w:qFormat/>
    <w:rsid w:val="00064346"/>
    <w:pPr>
      <w:tabs>
        <w:tab w:val="center" w:pos="6407"/>
      </w:tabs>
      <w:spacing w:before="720"/>
      <w:jc w:val="right"/>
    </w:pPr>
  </w:style>
  <w:style w:type="paragraph" w:styleId="Tytu">
    <w:name w:val="Title"/>
    <w:basedOn w:val="Normalny"/>
    <w:next w:val="Normalny"/>
    <w:link w:val="TytuZnak"/>
    <w:uiPriority w:val="99"/>
    <w:semiHidden/>
    <w:qFormat/>
    <w:rsid w:val="0006434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6434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6434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6434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6434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6434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64346"/>
    <w:pPr>
      <w:keepNext/>
      <w:keepLines/>
      <w:spacing w:before="240" w:after="120"/>
      <w:ind w:left="1236"/>
    </w:pPr>
    <w:rPr>
      <w:sz w:val="20"/>
      <w:lang w:val="en-GB"/>
    </w:rPr>
  </w:style>
  <w:style w:type="character" w:customStyle="1" w:styleId="JuITMark">
    <w:name w:val="Ju_ITMark"/>
    <w:basedOn w:val="Domylnaczcionkaakapitu"/>
    <w:uiPriority w:val="38"/>
    <w:qFormat/>
    <w:rsid w:val="00064346"/>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064346"/>
    <w:pPr>
      <w:ind w:left="794"/>
    </w:pPr>
  </w:style>
  <w:style w:type="character" w:customStyle="1" w:styleId="JUNAMES">
    <w:name w:val="JU_NAMES"/>
    <w:uiPriority w:val="17"/>
    <w:qFormat/>
    <w:rsid w:val="00064346"/>
    <w:rPr>
      <w:caps w:val="0"/>
      <w:smallCaps/>
    </w:rPr>
  </w:style>
  <w:style w:type="paragraph" w:styleId="Nagwek">
    <w:name w:val="header"/>
    <w:basedOn w:val="Normalny"/>
    <w:link w:val="NagwekZnak"/>
    <w:uiPriority w:val="57"/>
    <w:semiHidden/>
    <w:rsid w:val="0006434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64346"/>
    <w:rPr>
      <w:sz w:val="24"/>
      <w:lang w:val="en-GB"/>
    </w:rPr>
  </w:style>
  <w:style w:type="character" w:customStyle="1" w:styleId="Nagwek1Znak">
    <w:name w:val="Nagłówek 1 Znak"/>
    <w:basedOn w:val="Domylnaczcionkaakapitu"/>
    <w:link w:val="Nagwek1"/>
    <w:uiPriority w:val="99"/>
    <w:semiHidden/>
    <w:rsid w:val="0006434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6434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6434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64346"/>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064346"/>
    <w:pPr>
      <w:ind w:left="284"/>
    </w:pPr>
  </w:style>
  <w:style w:type="paragraph" w:customStyle="1" w:styleId="JuCase">
    <w:name w:val="Ju_Case"/>
    <w:basedOn w:val="Normalny"/>
    <w:next w:val="ECHRPara"/>
    <w:uiPriority w:val="10"/>
    <w:rsid w:val="00064346"/>
    <w:pPr>
      <w:ind w:firstLine="284"/>
    </w:pPr>
    <w:rPr>
      <w:b/>
    </w:rPr>
  </w:style>
  <w:style w:type="character" w:customStyle="1" w:styleId="Nagwek3Znak">
    <w:name w:val="Nagłówek 3 Znak"/>
    <w:basedOn w:val="Domylnaczcionkaakapitu"/>
    <w:link w:val="Nagwek3"/>
    <w:uiPriority w:val="99"/>
    <w:semiHidden/>
    <w:rsid w:val="0006434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6434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64346"/>
    <w:rPr>
      <w:rFonts w:asciiTheme="majorHAnsi" w:eastAsiaTheme="majorEastAsia" w:hAnsiTheme="majorHAnsi" w:cstheme="majorBidi"/>
      <w:b/>
      <w:bCs/>
      <w:color w:val="808080"/>
    </w:rPr>
  </w:style>
  <w:style w:type="character" w:styleId="Wyrnieniedelikatne">
    <w:name w:val="Subtle Emphasis"/>
    <w:uiPriority w:val="99"/>
    <w:semiHidden/>
    <w:qFormat/>
    <w:rsid w:val="0006434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64346"/>
    <w:pPr>
      <w:keepNext/>
      <w:keepLines/>
      <w:spacing w:before="720" w:after="240"/>
      <w:outlineLvl w:val="0"/>
    </w:pPr>
    <w:rPr>
      <w:rFonts w:asciiTheme="majorHAnsi" w:hAnsiTheme="majorHAnsi"/>
      <w:sz w:val="28"/>
    </w:rPr>
  </w:style>
  <w:style w:type="character" w:styleId="Uwydatnienie">
    <w:name w:val="Emphasis"/>
    <w:uiPriority w:val="99"/>
    <w:semiHidden/>
    <w:qFormat/>
    <w:rsid w:val="00064346"/>
    <w:rPr>
      <w:b/>
      <w:bCs/>
      <w:i/>
      <w:iCs/>
      <w:spacing w:val="10"/>
      <w:bdr w:val="none" w:sz="0" w:space="0" w:color="auto"/>
      <w:shd w:val="clear" w:color="auto" w:fill="auto"/>
    </w:rPr>
  </w:style>
  <w:style w:type="paragraph" w:styleId="Stopka">
    <w:name w:val="footer"/>
    <w:basedOn w:val="Normalny"/>
    <w:link w:val="StopkaZnak"/>
    <w:uiPriority w:val="57"/>
    <w:semiHidden/>
    <w:rsid w:val="0006434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64346"/>
    <w:rPr>
      <w:sz w:val="24"/>
      <w:lang w:val="en-GB"/>
    </w:rPr>
  </w:style>
  <w:style w:type="character" w:styleId="Odwoanieprzypisudolnego">
    <w:name w:val="footnote reference"/>
    <w:basedOn w:val="Domylnaczcionkaakapitu"/>
    <w:uiPriority w:val="99"/>
    <w:semiHidden/>
    <w:rsid w:val="00064346"/>
    <w:rPr>
      <w:vertAlign w:val="superscript"/>
    </w:rPr>
  </w:style>
  <w:style w:type="paragraph" w:styleId="Tekstprzypisudolnego">
    <w:name w:val="footnote text"/>
    <w:basedOn w:val="Normalny"/>
    <w:link w:val="TekstprzypisudolnegoZnak"/>
    <w:uiPriority w:val="99"/>
    <w:semiHidden/>
    <w:rsid w:val="00064346"/>
    <w:rPr>
      <w:sz w:val="20"/>
      <w:szCs w:val="20"/>
    </w:rPr>
  </w:style>
  <w:style w:type="character" w:customStyle="1" w:styleId="TekstprzypisudolnegoZnak">
    <w:name w:val="Tekst przypisu dolnego Znak"/>
    <w:basedOn w:val="Domylnaczcionkaakapitu"/>
    <w:link w:val="Tekstprzypisudolnego"/>
    <w:uiPriority w:val="99"/>
    <w:semiHidden/>
    <w:rsid w:val="00064346"/>
    <w:rPr>
      <w:rFonts w:eastAsiaTheme="minorEastAsia"/>
      <w:sz w:val="20"/>
      <w:szCs w:val="20"/>
      <w:lang w:val="en-GB"/>
    </w:rPr>
  </w:style>
  <w:style w:type="character" w:customStyle="1" w:styleId="Nagwek6Znak">
    <w:name w:val="Nagłówek 6 Znak"/>
    <w:basedOn w:val="Domylnaczcionkaakapitu"/>
    <w:link w:val="Nagwek6"/>
    <w:uiPriority w:val="99"/>
    <w:semiHidden/>
    <w:rsid w:val="0006434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6434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6434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6434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64346"/>
    <w:rPr>
      <w:color w:val="0072BC" w:themeColor="hyperlink"/>
      <w:u w:val="single"/>
    </w:rPr>
  </w:style>
  <w:style w:type="character" w:styleId="Wyrnienieintensywne">
    <w:name w:val="Intense Emphasis"/>
    <w:uiPriority w:val="99"/>
    <w:semiHidden/>
    <w:qFormat/>
    <w:rsid w:val="00064346"/>
    <w:rPr>
      <w:b/>
      <w:bCs/>
    </w:rPr>
  </w:style>
  <w:style w:type="paragraph" w:styleId="Cytatintensywny">
    <w:name w:val="Intense Quote"/>
    <w:basedOn w:val="Normalny"/>
    <w:next w:val="Normalny"/>
    <w:link w:val="CytatintensywnyZnak"/>
    <w:uiPriority w:val="99"/>
    <w:semiHidden/>
    <w:qFormat/>
    <w:rsid w:val="0006434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64346"/>
    <w:rPr>
      <w:rFonts w:eastAsiaTheme="minorEastAsia"/>
      <w:b/>
      <w:bCs/>
      <w:i/>
      <w:iCs/>
      <w:lang w:bidi="en-US"/>
    </w:rPr>
  </w:style>
  <w:style w:type="character" w:styleId="Odwoanieintensywne">
    <w:name w:val="Intense Reference"/>
    <w:uiPriority w:val="99"/>
    <w:semiHidden/>
    <w:qFormat/>
    <w:rsid w:val="00064346"/>
    <w:rPr>
      <w:smallCaps/>
      <w:spacing w:val="5"/>
      <w:u w:val="single"/>
    </w:rPr>
  </w:style>
  <w:style w:type="paragraph" w:styleId="Akapitzlist">
    <w:name w:val="List Paragraph"/>
    <w:basedOn w:val="Normalny"/>
    <w:uiPriority w:val="99"/>
    <w:semiHidden/>
    <w:qFormat/>
    <w:rsid w:val="0006434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6434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64346"/>
    <w:rPr>
      <w:rFonts w:eastAsiaTheme="minorEastAsia"/>
      <w:i/>
      <w:iCs/>
      <w:lang w:bidi="en-US"/>
    </w:rPr>
  </w:style>
  <w:style w:type="character" w:styleId="Odwoaniedelikatne">
    <w:name w:val="Subtle Reference"/>
    <w:uiPriority w:val="99"/>
    <w:semiHidden/>
    <w:qFormat/>
    <w:rsid w:val="00064346"/>
    <w:rPr>
      <w:smallCaps/>
    </w:rPr>
  </w:style>
  <w:style w:type="table" w:styleId="Tabela-Siatka">
    <w:name w:val="Table Grid"/>
    <w:basedOn w:val="Standardowy"/>
    <w:uiPriority w:val="59"/>
    <w:semiHidden/>
    <w:rsid w:val="0006434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6434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6434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6434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6434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6434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6434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6434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64346"/>
    <w:pPr>
      <w:spacing w:before="120" w:after="120"/>
      <w:ind w:left="425" w:firstLine="142"/>
    </w:pPr>
    <w:rPr>
      <w:sz w:val="20"/>
    </w:rPr>
  </w:style>
  <w:style w:type="paragraph" w:customStyle="1" w:styleId="ECHRPara">
    <w:name w:val="ECHR_Para"/>
    <w:aliases w:val="Ju_Para"/>
    <w:basedOn w:val="Normalny"/>
    <w:link w:val="ECHRParaChar"/>
    <w:qFormat/>
    <w:rsid w:val="0006434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6434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6434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064346"/>
    <w:pPr>
      <w:ind w:left="340" w:hanging="340"/>
    </w:pPr>
  </w:style>
  <w:style w:type="paragraph" w:customStyle="1" w:styleId="JuSigned">
    <w:name w:val="Ju_Signed"/>
    <w:basedOn w:val="Normalny"/>
    <w:next w:val="JuParaLast"/>
    <w:uiPriority w:val="32"/>
    <w:qFormat/>
    <w:rsid w:val="00064346"/>
    <w:pPr>
      <w:tabs>
        <w:tab w:val="center" w:pos="851"/>
        <w:tab w:val="center" w:pos="6407"/>
      </w:tabs>
      <w:spacing w:before="720"/>
      <w:jc w:val="left"/>
    </w:pPr>
  </w:style>
  <w:style w:type="paragraph" w:customStyle="1" w:styleId="JuParaLast">
    <w:name w:val="Ju_Para_Last"/>
    <w:basedOn w:val="Normalny"/>
    <w:next w:val="ECHRPara"/>
    <w:uiPriority w:val="30"/>
    <w:qFormat/>
    <w:rsid w:val="00064346"/>
    <w:pPr>
      <w:keepNext/>
      <w:keepLines/>
      <w:spacing w:before="240"/>
      <w:ind w:firstLine="284"/>
    </w:pPr>
  </w:style>
  <w:style w:type="paragraph" w:customStyle="1" w:styleId="JuQuotSub">
    <w:name w:val="Ju_Quot_Sub"/>
    <w:basedOn w:val="ECHRParaQuote"/>
    <w:uiPriority w:val="15"/>
    <w:qFormat/>
    <w:rsid w:val="00064346"/>
    <w:pPr>
      <w:ind w:left="567"/>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64346"/>
    <w:pPr>
      <w:ind w:left="346" w:firstLine="0"/>
    </w:pPr>
  </w:style>
  <w:style w:type="paragraph" w:customStyle="1" w:styleId="JuTitle">
    <w:name w:val="Ju_Title"/>
    <w:basedOn w:val="Normalny"/>
    <w:next w:val="ECHRPara"/>
    <w:uiPriority w:val="3"/>
    <w:semiHidden/>
    <w:qFormat/>
    <w:rsid w:val="00064346"/>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64346"/>
    <w:rPr>
      <w:vertAlign w:val="superscript"/>
    </w:rPr>
  </w:style>
  <w:style w:type="paragraph" w:styleId="Tekstprzypisukocowego">
    <w:name w:val="endnote text"/>
    <w:basedOn w:val="Normalny"/>
    <w:link w:val="TekstprzypisukocowegoZnak"/>
    <w:uiPriority w:val="99"/>
    <w:semiHidden/>
    <w:rsid w:val="00064346"/>
    <w:rPr>
      <w:sz w:val="20"/>
      <w:szCs w:val="20"/>
    </w:rPr>
  </w:style>
  <w:style w:type="character" w:customStyle="1" w:styleId="TekstprzypisukocowegoZnak">
    <w:name w:val="Tekst przypisu końcowego Znak"/>
    <w:basedOn w:val="Domylnaczcionkaakapitu"/>
    <w:link w:val="Tekstprzypisukocowego"/>
    <w:uiPriority w:val="99"/>
    <w:semiHidden/>
    <w:rsid w:val="0006434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064346"/>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064346"/>
    <w:pPr>
      <w:ind w:left="833" w:hanging="357"/>
      <w:outlineLvl w:val="3"/>
    </w:pPr>
    <w:rPr>
      <w:b/>
      <w:i w:val="0"/>
      <w:sz w:val="20"/>
    </w:rPr>
  </w:style>
  <w:style w:type="paragraph" w:styleId="Podtytu">
    <w:name w:val="Subtitle"/>
    <w:basedOn w:val="Normalny"/>
    <w:next w:val="Normalny"/>
    <w:link w:val="PodtytuZnak"/>
    <w:uiPriority w:val="99"/>
    <w:semiHidden/>
    <w:qFormat/>
    <w:rsid w:val="0006434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6434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rsid w:val="0006434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6434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6434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064346"/>
    <w:pPr>
      <w:tabs>
        <w:tab w:val="clear" w:pos="357"/>
      </w:tabs>
      <w:outlineLvl w:val="1"/>
    </w:pPr>
    <w:rPr>
      <w:b/>
    </w:rPr>
  </w:style>
  <w:style w:type="paragraph" w:customStyle="1" w:styleId="OpiHi">
    <w:name w:val="Opi_H_i"/>
    <w:basedOn w:val="ECHRHeading4"/>
    <w:uiPriority w:val="44"/>
    <w:qFormat/>
    <w:rsid w:val="00064346"/>
    <w:pPr>
      <w:ind w:left="1037" w:hanging="357"/>
      <w:outlineLvl w:val="4"/>
    </w:pPr>
    <w:rPr>
      <w:b w:val="0"/>
      <w:i/>
    </w:rPr>
  </w:style>
  <w:style w:type="paragraph" w:customStyle="1" w:styleId="OpiPara">
    <w:name w:val="Opi_Para"/>
    <w:basedOn w:val="ECHRPara"/>
    <w:uiPriority w:val="46"/>
    <w:qFormat/>
    <w:rsid w:val="00064346"/>
  </w:style>
  <w:style w:type="paragraph" w:customStyle="1" w:styleId="OpiParaSub">
    <w:name w:val="Opi_Para_Sub"/>
    <w:basedOn w:val="JuParaSub"/>
    <w:uiPriority w:val="47"/>
    <w:qFormat/>
    <w:rsid w:val="00064346"/>
  </w:style>
  <w:style w:type="paragraph" w:customStyle="1" w:styleId="OpiQuot">
    <w:name w:val="Opi_Quot"/>
    <w:basedOn w:val="ECHRParaQuote"/>
    <w:uiPriority w:val="48"/>
    <w:qFormat/>
    <w:rsid w:val="00064346"/>
  </w:style>
  <w:style w:type="paragraph" w:customStyle="1" w:styleId="OpiQuotSub">
    <w:name w:val="Opi_Quot_Sub"/>
    <w:basedOn w:val="JuQuotSub"/>
    <w:uiPriority w:val="49"/>
    <w:qFormat/>
    <w:rsid w:val="00064346"/>
  </w:style>
  <w:style w:type="paragraph" w:customStyle="1" w:styleId="OpiTranslation">
    <w:name w:val="Opi_Translation"/>
    <w:basedOn w:val="Normalny"/>
    <w:next w:val="OpiPara"/>
    <w:uiPriority w:val="40"/>
    <w:qFormat/>
    <w:rsid w:val="00064346"/>
    <w:pPr>
      <w:jc w:val="center"/>
      <w:outlineLvl w:val="0"/>
    </w:pPr>
    <w:rPr>
      <w:i/>
    </w:rPr>
  </w:style>
  <w:style w:type="table" w:customStyle="1" w:styleId="UGTable1">
    <w:name w:val="UG_Table1"/>
    <w:basedOn w:val="Standardowy"/>
    <w:uiPriority w:val="99"/>
    <w:rsid w:val="00877698"/>
    <w:rPr>
      <w:rFonts w:eastAsia="Times New Roman"/>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ECHRParaChar">
    <w:name w:val="ECHR_Para Char"/>
    <w:aliases w:val="Ju_Para Char"/>
    <w:link w:val="ECHRPara"/>
    <w:uiPriority w:val="12"/>
    <w:rsid w:val="006043D7"/>
    <w:rPr>
      <w:rFonts w:eastAsiaTheme="minorEastAsia"/>
      <w:sz w:val="24"/>
      <w:lang w:val="en-GB"/>
    </w:rPr>
  </w:style>
  <w:style w:type="character" w:customStyle="1" w:styleId="JuListChar">
    <w:name w:val="Ju_List Char"/>
    <w:link w:val="JuList"/>
    <w:uiPriority w:val="28"/>
    <w:rsid w:val="0045411D"/>
    <w:rPr>
      <w:rFonts w:eastAsiaTheme="minorEastAsia"/>
      <w:sz w:val="24"/>
      <w:lang w:val="en-GB"/>
    </w:rPr>
  </w:style>
  <w:style w:type="paragraph" w:customStyle="1" w:styleId="jupara">
    <w:name w:val="jupara"/>
    <w:basedOn w:val="Normalny"/>
    <w:rsid w:val="00944182"/>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44182"/>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64346"/>
    <w:pPr>
      <w:jc w:val="both"/>
    </w:pPr>
    <w:rPr>
      <w:rFonts w:eastAsiaTheme="minorEastAsia"/>
      <w:sz w:val="24"/>
      <w:lang w:val="en-GB"/>
    </w:rPr>
  </w:style>
  <w:style w:type="paragraph" w:styleId="Nagwek1">
    <w:name w:val="heading 1"/>
    <w:basedOn w:val="Normalny"/>
    <w:next w:val="Normalny"/>
    <w:link w:val="Nagwek1Znak"/>
    <w:uiPriority w:val="99"/>
    <w:semiHidden/>
    <w:rsid w:val="0006434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6434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6434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6434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6434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6434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6434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6434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6434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64346"/>
    <w:rPr>
      <w:rFonts w:ascii="Tahoma" w:hAnsi="Tahoma" w:cs="Tahoma"/>
      <w:sz w:val="16"/>
      <w:szCs w:val="16"/>
    </w:rPr>
  </w:style>
  <w:style w:type="character" w:customStyle="1" w:styleId="TekstdymkaZnak">
    <w:name w:val="Tekst dymka Znak"/>
    <w:basedOn w:val="Domylnaczcionkaakapitu"/>
    <w:link w:val="Tekstdymka"/>
    <w:uiPriority w:val="99"/>
    <w:semiHidden/>
    <w:rsid w:val="00064346"/>
    <w:rPr>
      <w:rFonts w:ascii="Tahoma" w:eastAsiaTheme="minorEastAsia" w:hAnsi="Tahoma" w:cs="Tahoma"/>
      <w:sz w:val="16"/>
      <w:szCs w:val="16"/>
      <w:lang w:val="en-GB"/>
    </w:rPr>
  </w:style>
  <w:style w:type="character" w:styleId="Tytuksiki">
    <w:name w:val="Book Title"/>
    <w:uiPriority w:val="99"/>
    <w:semiHidden/>
    <w:qFormat/>
    <w:rsid w:val="00064346"/>
    <w:rPr>
      <w:i/>
      <w:iCs/>
      <w:smallCaps/>
      <w:spacing w:val="5"/>
    </w:rPr>
  </w:style>
  <w:style w:type="paragraph" w:customStyle="1" w:styleId="ECHRHeader">
    <w:name w:val="ECHR_Header"/>
    <w:aliases w:val="Ju_Header"/>
    <w:basedOn w:val="Nagwek"/>
    <w:uiPriority w:val="4"/>
    <w:qFormat/>
    <w:rsid w:val="0006434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64346"/>
    <w:pPr>
      <w:jc w:val="left"/>
    </w:pPr>
    <w:rPr>
      <w:sz w:val="8"/>
    </w:rPr>
  </w:style>
  <w:style w:type="character" w:styleId="Pogrubienie">
    <w:name w:val="Strong"/>
    <w:uiPriority w:val="99"/>
    <w:semiHidden/>
    <w:qFormat/>
    <w:rsid w:val="00064346"/>
    <w:rPr>
      <w:b/>
      <w:bCs/>
    </w:rPr>
  </w:style>
  <w:style w:type="paragraph" w:styleId="Bezodstpw">
    <w:name w:val="No Spacing"/>
    <w:basedOn w:val="Normalny"/>
    <w:link w:val="BezodstpwZnak"/>
    <w:semiHidden/>
    <w:qFormat/>
    <w:rsid w:val="00064346"/>
    <w:rPr>
      <w:sz w:val="22"/>
      <w:lang w:val="en-US"/>
    </w:rPr>
  </w:style>
  <w:style w:type="character" w:customStyle="1" w:styleId="BezodstpwZnak">
    <w:name w:val="Bez odstępów Znak"/>
    <w:basedOn w:val="Domylnaczcionkaakapitu"/>
    <w:link w:val="Bezodstpw"/>
    <w:semiHidden/>
    <w:rsid w:val="00064346"/>
    <w:rPr>
      <w:rFonts w:eastAsiaTheme="minorEastAsia"/>
    </w:rPr>
  </w:style>
  <w:style w:type="paragraph" w:customStyle="1" w:styleId="ECHRFooterLine">
    <w:name w:val="ECHR_Footer_Line"/>
    <w:aliases w:val="Footer_Line"/>
    <w:basedOn w:val="Normalny"/>
    <w:next w:val="ECHRFooter"/>
    <w:uiPriority w:val="57"/>
    <w:semiHidden/>
    <w:rsid w:val="0006434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64346"/>
  </w:style>
  <w:style w:type="paragraph" w:customStyle="1" w:styleId="DecList">
    <w:name w:val="Dec_List"/>
    <w:basedOn w:val="Normalny"/>
    <w:uiPriority w:val="9"/>
    <w:semiHidden/>
    <w:qFormat/>
    <w:rsid w:val="00064346"/>
    <w:pPr>
      <w:spacing w:before="240"/>
      <w:ind w:left="284"/>
    </w:pPr>
  </w:style>
  <w:style w:type="paragraph" w:customStyle="1" w:styleId="DummyStyle">
    <w:name w:val="Dummy_Style"/>
    <w:basedOn w:val="Normalny"/>
    <w:semiHidden/>
    <w:qFormat/>
    <w:rsid w:val="00064346"/>
    <w:rPr>
      <w:color w:val="00B050"/>
    </w:rPr>
  </w:style>
  <w:style w:type="paragraph" w:customStyle="1" w:styleId="ECHRTitleCentre3">
    <w:name w:val="ECHR_Title_Centre_3"/>
    <w:aliases w:val="Ju_H_Article"/>
    <w:basedOn w:val="Normalny"/>
    <w:next w:val="ECHRParaQuote"/>
    <w:uiPriority w:val="27"/>
    <w:qFormat/>
    <w:rsid w:val="0006434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6434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64346"/>
    <w:pPr>
      <w:numPr>
        <w:numId w:val="31"/>
      </w:numPr>
      <w:jc w:val="left"/>
    </w:pPr>
    <w:rPr>
      <w:b/>
    </w:rPr>
  </w:style>
  <w:style w:type="paragraph" w:customStyle="1" w:styleId="JuCourt">
    <w:name w:val="Ju_Court"/>
    <w:basedOn w:val="Normalny"/>
    <w:next w:val="Normalny"/>
    <w:uiPriority w:val="16"/>
    <w:qFormat/>
    <w:rsid w:val="0006434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6434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64346"/>
    <w:pPr>
      <w:spacing w:after="240"/>
      <w:jc w:val="center"/>
      <w:outlineLvl w:val="0"/>
    </w:pPr>
    <w:rPr>
      <w:rFonts w:asciiTheme="majorHAnsi" w:hAnsiTheme="majorHAnsi"/>
    </w:rPr>
  </w:style>
  <w:style w:type="paragraph" w:customStyle="1" w:styleId="JuInitialled">
    <w:name w:val="Ju_Initialled"/>
    <w:basedOn w:val="Normalny"/>
    <w:uiPriority w:val="31"/>
    <w:qFormat/>
    <w:rsid w:val="00064346"/>
    <w:pPr>
      <w:tabs>
        <w:tab w:val="center" w:pos="6407"/>
      </w:tabs>
      <w:spacing w:before="720"/>
      <w:jc w:val="right"/>
    </w:pPr>
  </w:style>
  <w:style w:type="paragraph" w:styleId="Tytu">
    <w:name w:val="Title"/>
    <w:basedOn w:val="Normalny"/>
    <w:next w:val="Normalny"/>
    <w:link w:val="TytuZnak"/>
    <w:uiPriority w:val="99"/>
    <w:semiHidden/>
    <w:qFormat/>
    <w:rsid w:val="0006434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6434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6434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6434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6434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6434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64346"/>
    <w:pPr>
      <w:keepNext/>
      <w:keepLines/>
      <w:spacing w:before="240" w:after="120"/>
      <w:ind w:left="1236"/>
    </w:pPr>
    <w:rPr>
      <w:sz w:val="20"/>
      <w:lang w:val="en-GB"/>
    </w:rPr>
  </w:style>
  <w:style w:type="character" w:customStyle="1" w:styleId="JuITMark">
    <w:name w:val="Ju_ITMark"/>
    <w:basedOn w:val="Domylnaczcionkaakapitu"/>
    <w:uiPriority w:val="38"/>
    <w:qFormat/>
    <w:rsid w:val="00064346"/>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064346"/>
    <w:pPr>
      <w:ind w:left="794"/>
    </w:pPr>
  </w:style>
  <w:style w:type="character" w:customStyle="1" w:styleId="JUNAMES">
    <w:name w:val="JU_NAMES"/>
    <w:uiPriority w:val="17"/>
    <w:qFormat/>
    <w:rsid w:val="00064346"/>
    <w:rPr>
      <w:caps w:val="0"/>
      <w:smallCaps/>
    </w:rPr>
  </w:style>
  <w:style w:type="paragraph" w:styleId="Nagwek">
    <w:name w:val="header"/>
    <w:basedOn w:val="Normalny"/>
    <w:link w:val="NagwekZnak"/>
    <w:uiPriority w:val="57"/>
    <w:semiHidden/>
    <w:rsid w:val="0006434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64346"/>
    <w:rPr>
      <w:sz w:val="24"/>
      <w:lang w:val="en-GB"/>
    </w:rPr>
  </w:style>
  <w:style w:type="character" w:customStyle="1" w:styleId="Nagwek1Znak">
    <w:name w:val="Nagłówek 1 Znak"/>
    <w:basedOn w:val="Domylnaczcionkaakapitu"/>
    <w:link w:val="Nagwek1"/>
    <w:uiPriority w:val="99"/>
    <w:semiHidden/>
    <w:rsid w:val="0006434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6434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6434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64346"/>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064346"/>
    <w:pPr>
      <w:ind w:left="284"/>
    </w:pPr>
  </w:style>
  <w:style w:type="paragraph" w:customStyle="1" w:styleId="JuCase">
    <w:name w:val="Ju_Case"/>
    <w:basedOn w:val="Normalny"/>
    <w:next w:val="ECHRPara"/>
    <w:uiPriority w:val="10"/>
    <w:rsid w:val="00064346"/>
    <w:pPr>
      <w:ind w:firstLine="284"/>
    </w:pPr>
    <w:rPr>
      <w:b/>
    </w:rPr>
  </w:style>
  <w:style w:type="character" w:customStyle="1" w:styleId="Nagwek3Znak">
    <w:name w:val="Nagłówek 3 Znak"/>
    <w:basedOn w:val="Domylnaczcionkaakapitu"/>
    <w:link w:val="Nagwek3"/>
    <w:uiPriority w:val="99"/>
    <w:semiHidden/>
    <w:rsid w:val="0006434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6434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64346"/>
    <w:rPr>
      <w:rFonts w:asciiTheme="majorHAnsi" w:eastAsiaTheme="majorEastAsia" w:hAnsiTheme="majorHAnsi" w:cstheme="majorBidi"/>
      <w:b/>
      <w:bCs/>
      <w:color w:val="808080"/>
    </w:rPr>
  </w:style>
  <w:style w:type="character" w:styleId="Wyrnieniedelikatne">
    <w:name w:val="Subtle Emphasis"/>
    <w:uiPriority w:val="99"/>
    <w:semiHidden/>
    <w:qFormat/>
    <w:rsid w:val="0006434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64346"/>
    <w:pPr>
      <w:keepNext/>
      <w:keepLines/>
      <w:spacing w:before="720" w:after="240"/>
      <w:outlineLvl w:val="0"/>
    </w:pPr>
    <w:rPr>
      <w:rFonts w:asciiTheme="majorHAnsi" w:hAnsiTheme="majorHAnsi"/>
      <w:sz w:val="28"/>
    </w:rPr>
  </w:style>
  <w:style w:type="character" w:styleId="Uwydatnienie">
    <w:name w:val="Emphasis"/>
    <w:uiPriority w:val="99"/>
    <w:semiHidden/>
    <w:qFormat/>
    <w:rsid w:val="00064346"/>
    <w:rPr>
      <w:b/>
      <w:bCs/>
      <w:i/>
      <w:iCs/>
      <w:spacing w:val="10"/>
      <w:bdr w:val="none" w:sz="0" w:space="0" w:color="auto"/>
      <w:shd w:val="clear" w:color="auto" w:fill="auto"/>
    </w:rPr>
  </w:style>
  <w:style w:type="paragraph" w:styleId="Stopka">
    <w:name w:val="footer"/>
    <w:basedOn w:val="Normalny"/>
    <w:link w:val="StopkaZnak"/>
    <w:uiPriority w:val="57"/>
    <w:semiHidden/>
    <w:rsid w:val="0006434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64346"/>
    <w:rPr>
      <w:sz w:val="24"/>
      <w:lang w:val="en-GB"/>
    </w:rPr>
  </w:style>
  <w:style w:type="character" w:styleId="Odwoanieprzypisudolnego">
    <w:name w:val="footnote reference"/>
    <w:basedOn w:val="Domylnaczcionkaakapitu"/>
    <w:uiPriority w:val="99"/>
    <w:semiHidden/>
    <w:rsid w:val="00064346"/>
    <w:rPr>
      <w:vertAlign w:val="superscript"/>
    </w:rPr>
  </w:style>
  <w:style w:type="paragraph" w:styleId="Tekstprzypisudolnego">
    <w:name w:val="footnote text"/>
    <w:basedOn w:val="Normalny"/>
    <w:link w:val="TekstprzypisudolnegoZnak"/>
    <w:uiPriority w:val="99"/>
    <w:semiHidden/>
    <w:rsid w:val="00064346"/>
    <w:rPr>
      <w:sz w:val="20"/>
      <w:szCs w:val="20"/>
    </w:rPr>
  </w:style>
  <w:style w:type="character" w:customStyle="1" w:styleId="TekstprzypisudolnegoZnak">
    <w:name w:val="Tekst przypisu dolnego Znak"/>
    <w:basedOn w:val="Domylnaczcionkaakapitu"/>
    <w:link w:val="Tekstprzypisudolnego"/>
    <w:uiPriority w:val="99"/>
    <w:semiHidden/>
    <w:rsid w:val="00064346"/>
    <w:rPr>
      <w:rFonts w:eastAsiaTheme="minorEastAsia"/>
      <w:sz w:val="20"/>
      <w:szCs w:val="20"/>
      <w:lang w:val="en-GB"/>
    </w:rPr>
  </w:style>
  <w:style w:type="character" w:customStyle="1" w:styleId="Nagwek6Znak">
    <w:name w:val="Nagłówek 6 Znak"/>
    <w:basedOn w:val="Domylnaczcionkaakapitu"/>
    <w:link w:val="Nagwek6"/>
    <w:uiPriority w:val="99"/>
    <w:semiHidden/>
    <w:rsid w:val="0006434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6434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6434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6434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64346"/>
    <w:rPr>
      <w:color w:val="0072BC" w:themeColor="hyperlink"/>
      <w:u w:val="single"/>
    </w:rPr>
  </w:style>
  <w:style w:type="character" w:styleId="Wyrnienieintensywne">
    <w:name w:val="Intense Emphasis"/>
    <w:uiPriority w:val="99"/>
    <w:semiHidden/>
    <w:qFormat/>
    <w:rsid w:val="00064346"/>
    <w:rPr>
      <w:b/>
      <w:bCs/>
    </w:rPr>
  </w:style>
  <w:style w:type="paragraph" w:styleId="Cytatintensywny">
    <w:name w:val="Intense Quote"/>
    <w:basedOn w:val="Normalny"/>
    <w:next w:val="Normalny"/>
    <w:link w:val="CytatintensywnyZnak"/>
    <w:uiPriority w:val="99"/>
    <w:semiHidden/>
    <w:qFormat/>
    <w:rsid w:val="0006434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64346"/>
    <w:rPr>
      <w:rFonts w:eastAsiaTheme="minorEastAsia"/>
      <w:b/>
      <w:bCs/>
      <w:i/>
      <w:iCs/>
      <w:lang w:bidi="en-US"/>
    </w:rPr>
  </w:style>
  <w:style w:type="character" w:styleId="Odwoanieintensywne">
    <w:name w:val="Intense Reference"/>
    <w:uiPriority w:val="99"/>
    <w:semiHidden/>
    <w:qFormat/>
    <w:rsid w:val="00064346"/>
    <w:rPr>
      <w:smallCaps/>
      <w:spacing w:val="5"/>
      <w:u w:val="single"/>
    </w:rPr>
  </w:style>
  <w:style w:type="paragraph" w:styleId="Akapitzlist">
    <w:name w:val="List Paragraph"/>
    <w:basedOn w:val="Normalny"/>
    <w:uiPriority w:val="99"/>
    <w:semiHidden/>
    <w:qFormat/>
    <w:rsid w:val="0006434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6434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64346"/>
    <w:rPr>
      <w:rFonts w:eastAsiaTheme="minorEastAsia"/>
      <w:i/>
      <w:iCs/>
      <w:lang w:bidi="en-US"/>
    </w:rPr>
  </w:style>
  <w:style w:type="character" w:styleId="Odwoaniedelikatne">
    <w:name w:val="Subtle Reference"/>
    <w:uiPriority w:val="99"/>
    <w:semiHidden/>
    <w:qFormat/>
    <w:rsid w:val="00064346"/>
    <w:rPr>
      <w:smallCaps/>
    </w:rPr>
  </w:style>
  <w:style w:type="table" w:styleId="Tabela-Siatka">
    <w:name w:val="Table Grid"/>
    <w:basedOn w:val="Standardowy"/>
    <w:uiPriority w:val="59"/>
    <w:semiHidden/>
    <w:rsid w:val="0006434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6434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6434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6434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6434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6434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6434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6434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64346"/>
    <w:pPr>
      <w:spacing w:before="120" w:after="120"/>
      <w:ind w:left="425" w:firstLine="142"/>
    </w:pPr>
    <w:rPr>
      <w:sz w:val="20"/>
    </w:rPr>
  </w:style>
  <w:style w:type="paragraph" w:customStyle="1" w:styleId="ECHRPara">
    <w:name w:val="ECHR_Para"/>
    <w:aliases w:val="Ju_Para"/>
    <w:basedOn w:val="Normalny"/>
    <w:link w:val="ECHRParaChar"/>
    <w:qFormat/>
    <w:rsid w:val="0006434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6434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6434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064346"/>
    <w:pPr>
      <w:ind w:left="340" w:hanging="340"/>
    </w:pPr>
  </w:style>
  <w:style w:type="paragraph" w:customStyle="1" w:styleId="JuSigned">
    <w:name w:val="Ju_Signed"/>
    <w:basedOn w:val="Normalny"/>
    <w:next w:val="JuParaLast"/>
    <w:uiPriority w:val="32"/>
    <w:qFormat/>
    <w:rsid w:val="00064346"/>
    <w:pPr>
      <w:tabs>
        <w:tab w:val="center" w:pos="851"/>
        <w:tab w:val="center" w:pos="6407"/>
      </w:tabs>
      <w:spacing w:before="720"/>
      <w:jc w:val="left"/>
    </w:pPr>
  </w:style>
  <w:style w:type="paragraph" w:customStyle="1" w:styleId="JuParaLast">
    <w:name w:val="Ju_Para_Last"/>
    <w:basedOn w:val="Normalny"/>
    <w:next w:val="ECHRPara"/>
    <w:uiPriority w:val="30"/>
    <w:qFormat/>
    <w:rsid w:val="00064346"/>
    <w:pPr>
      <w:keepNext/>
      <w:keepLines/>
      <w:spacing w:before="240"/>
      <w:ind w:firstLine="284"/>
    </w:pPr>
  </w:style>
  <w:style w:type="paragraph" w:customStyle="1" w:styleId="JuQuotSub">
    <w:name w:val="Ju_Quot_Sub"/>
    <w:basedOn w:val="ECHRParaQuote"/>
    <w:uiPriority w:val="15"/>
    <w:qFormat/>
    <w:rsid w:val="00064346"/>
    <w:pPr>
      <w:ind w:left="567"/>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64346"/>
    <w:pPr>
      <w:ind w:left="346" w:firstLine="0"/>
    </w:pPr>
  </w:style>
  <w:style w:type="paragraph" w:customStyle="1" w:styleId="JuTitle">
    <w:name w:val="Ju_Title"/>
    <w:basedOn w:val="Normalny"/>
    <w:next w:val="ECHRPara"/>
    <w:uiPriority w:val="3"/>
    <w:semiHidden/>
    <w:qFormat/>
    <w:rsid w:val="00064346"/>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64346"/>
    <w:rPr>
      <w:vertAlign w:val="superscript"/>
    </w:rPr>
  </w:style>
  <w:style w:type="paragraph" w:styleId="Tekstprzypisukocowego">
    <w:name w:val="endnote text"/>
    <w:basedOn w:val="Normalny"/>
    <w:link w:val="TekstprzypisukocowegoZnak"/>
    <w:uiPriority w:val="99"/>
    <w:semiHidden/>
    <w:rsid w:val="00064346"/>
    <w:rPr>
      <w:sz w:val="20"/>
      <w:szCs w:val="20"/>
    </w:rPr>
  </w:style>
  <w:style w:type="character" w:customStyle="1" w:styleId="TekstprzypisukocowegoZnak">
    <w:name w:val="Tekst przypisu końcowego Znak"/>
    <w:basedOn w:val="Domylnaczcionkaakapitu"/>
    <w:link w:val="Tekstprzypisukocowego"/>
    <w:uiPriority w:val="99"/>
    <w:semiHidden/>
    <w:rsid w:val="0006434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064346"/>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064346"/>
    <w:pPr>
      <w:ind w:left="833" w:hanging="357"/>
      <w:outlineLvl w:val="3"/>
    </w:pPr>
    <w:rPr>
      <w:b/>
      <w:i w:val="0"/>
      <w:sz w:val="20"/>
    </w:rPr>
  </w:style>
  <w:style w:type="paragraph" w:styleId="Podtytu">
    <w:name w:val="Subtitle"/>
    <w:basedOn w:val="Normalny"/>
    <w:next w:val="Normalny"/>
    <w:link w:val="PodtytuZnak"/>
    <w:uiPriority w:val="99"/>
    <w:semiHidden/>
    <w:qFormat/>
    <w:rsid w:val="0006434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6434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rsid w:val="0006434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6434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6434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064346"/>
    <w:pPr>
      <w:tabs>
        <w:tab w:val="clear" w:pos="357"/>
      </w:tabs>
      <w:outlineLvl w:val="1"/>
    </w:pPr>
    <w:rPr>
      <w:b/>
    </w:rPr>
  </w:style>
  <w:style w:type="paragraph" w:customStyle="1" w:styleId="OpiHi">
    <w:name w:val="Opi_H_i"/>
    <w:basedOn w:val="ECHRHeading4"/>
    <w:uiPriority w:val="44"/>
    <w:qFormat/>
    <w:rsid w:val="00064346"/>
    <w:pPr>
      <w:ind w:left="1037" w:hanging="357"/>
      <w:outlineLvl w:val="4"/>
    </w:pPr>
    <w:rPr>
      <w:b w:val="0"/>
      <w:i/>
    </w:rPr>
  </w:style>
  <w:style w:type="paragraph" w:customStyle="1" w:styleId="OpiPara">
    <w:name w:val="Opi_Para"/>
    <w:basedOn w:val="ECHRPara"/>
    <w:uiPriority w:val="46"/>
    <w:qFormat/>
    <w:rsid w:val="00064346"/>
  </w:style>
  <w:style w:type="paragraph" w:customStyle="1" w:styleId="OpiParaSub">
    <w:name w:val="Opi_Para_Sub"/>
    <w:basedOn w:val="JuParaSub"/>
    <w:uiPriority w:val="47"/>
    <w:qFormat/>
    <w:rsid w:val="00064346"/>
  </w:style>
  <w:style w:type="paragraph" w:customStyle="1" w:styleId="OpiQuot">
    <w:name w:val="Opi_Quot"/>
    <w:basedOn w:val="ECHRParaQuote"/>
    <w:uiPriority w:val="48"/>
    <w:qFormat/>
    <w:rsid w:val="00064346"/>
  </w:style>
  <w:style w:type="paragraph" w:customStyle="1" w:styleId="OpiQuotSub">
    <w:name w:val="Opi_Quot_Sub"/>
    <w:basedOn w:val="JuQuotSub"/>
    <w:uiPriority w:val="49"/>
    <w:qFormat/>
    <w:rsid w:val="00064346"/>
  </w:style>
  <w:style w:type="paragraph" w:customStyle="1" w:styleId="OpiTranslation">
    <w:name w:val="Opi_Translation"/>
    <w:basedOn w:val="Normalny"/>
    <w:next w:val="OpiPara"/>
    <w:uiPriority w:val="40"/>
    <w:qFormat/>
    <w:rsid w:val="00064346"/>
    <w:pPr>
      <w:jc w:val="center"/>
      <w:outlineLvl w:val="0"/>
    </w:pPr>
    <w:rPr>
      <w:i/>
    </w:rPr>
  </w:style>
  <w:style w:type="table" w:customStyle="1" w:styleId="UGTable1">
    <w:name w:val="UG_Table1"/>
    <w:basedOn w:val="Standardowy"/>
    <w:uiPriority w:val="99"/>
    <w:rsid w:val="00877698"/>
    <w:rPr>
      <w:rFonts w:eastAsia="Times New Roman"/>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ECHRParaChar">
    <w:name w:val="ECHR_Para Char"/>
    <w:aliases w:val="Ju_Para Char"/>
    <w:link w:val="ECHRPara"/>
    <w:uiPriority w:val="12"/>
    <w:rsid w:val="006043D7"/>
    <w:rPr>
      <w:rFonts w:eastAsiaTheme="minorEastAsia"/>
      <w:sz w:val="24"/>
      <w:lang w:val="en-GB"/>
    </w:rPr>
  </w:style>
  <w:style w:type="character" w:customStyle="1" w:styleId="JuListChar">
    <w:name w:val="Ju_List Char"/>
    <w:link w:val="JuList"/>
    <w:uiPriority w:val="28"/>
    <w:rsid w:val="0045411D"/>
    <w:rPr>
      <w:rFonts w:eastAsiaTheme="minorEastAsia"/>
      <w:sz w:val="24"/>
      <w:lang w:val="en-GB"/>
    </w:rPr>
  </w:style>
  <w:style w:type="paragraph" w:customStyle="1" w:styleId="jupara">
    <w:name w:val="jupara"/>
    <w:basedOn w:val="Normalny"/>
    <w:rsid w:val="00944182"/>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44182"/>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104572">
      <w:bodyDiv w:val="1"/>
      <w:marLeft w:val="0"/>
      <w:marRight w:val="0"/>
      <w:marTop w:val="0"/>
      <w:marBottom w:val="0"/>
      <w:divBdr>
        <w:top w:val="none" w:sz="0" w:space="0" w:color="auto"/>
        <w:left w:val="none" w:sz="0" w:space="0" w:color="auto"/>
        <w:bottom w:val="none" w:sz="0" w:space="0" w:color="auto"/>
        <w:right w:val="none" w:sz="0" w:space="0" w:color="auto"/>
      </w:divBdr>
      <w:divsChild>
        <w:div w:id="1107847610">
          <w:marLeft w:val="0"/>
          <w:marRight w:val="0"/>
          <w:marTop w:val="0"/>
          <w:marBottom w:val="0"/>
          <w:divBdr>
            <w:top w:val="none" w:sz="0" w:space="0" w:color="auto"/>
            <w:left w:val="none" w:sz="0" w:space="0" w:color="auto"/>
            <w:bottom w:val="none" w:sz="0" w:space="0" w:color="auto"/>
            <w:right w:val="none" w:sz="0" w:space="0" w:color="auto"/>
          </w:divBdr>
          <w:divsChild>
            <w:div w:id="931201519">
              <w:marLeft w:val="0"/>
              <w:marRight w:val="0"/>
              <w:marTop w:val="0"/>
              <w:marBottom w:val="0"/>
              <w:divBdr>
                <w:top w:val="none" w:sz="0" w:space="0" w:color="auto"/>
                <w:left w:val="none" w:sz="0" w:space="0" w:color="auto"/>
                <w:bottom w:val="none" w:sz="0" w:space="0" w:color="auto"/>
                <w:right w:val="none" w:sz="0" w:space="0" w:color="auto"/>
              </w:divBdr>
              <w:divsChild>
                <w:div w:id="78455171">
                  <w:marLeft w:val="0"/>
                  <w:marRight w:val="0"/>
                  <w:marTop w:val="0"/>
                  <w:marBottom w:val="0"/>
                  <w:divBdr>
                    <w:top w:val="none" w:sz="0" w:space="0" w:color="auto"/>
                    <w:left w:val="none" w:sz="0" w:space="0" w:color="auto"/>
                    <w:bottom w:val="none" w:sz="0" w:space="0" w:color="auto"/>
                    <w:right w:val="none" w:sz="0" w:space="0" w:color="auto"/>
                  </w:divBdr>
                  <w:divsChild>
                    <w:div w:id="302664516">
                      <w:marLeft w:val="0"/>
                      <w:marRight w:val="0"/>
                      <w:marTop w:val="0"/>
                      <w:marBottom w:val="0"/>
                      <w:divBdr>
                        <w:top w:val="none" w:sz="0" w:space="0" w:color="auto"/>
                        <w:left w:val="none" w:sz="0" w:space="0" w:color="auto"/>
                        <w:bottom w:val="none" w:sz="0" w:space="0" w:color="auto"/>
                        <w:right w:val="none" w:sz="0" w:space="0" w:color="auto"/>
                      </w:divBdr>
                      <w:divsChild>
                        <w:div w:id="1154877674">
                          <w:marLeft w:val="0"/>
                          <w:marRight w:val="0"/>
                          <w:marTop w:val="0"/>
                          <w:marBottom w:val="0"/>
                          <w:divBdr>
                            <w:top w:val="none" w:sz="0" w:space="0" w:color="auto"/>
                            <w:left w:val="none" w:sz="0" w:space="0" w:color="auto"/>
                            <w:bottom w:val="none" w:sz="0" w:space="0" w:color="auto"/>
                            <w:right w:val="none" w:sz="0" w:space="0" w:color="auto"/>
                          </w:divBdr>
                          <w:divsChild>
                            <w:div w:id="133044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384257521">
      <w:bodyDiv w:val="1"/>
      <w:marLeft w:val="0"/>
      <w:marRight w:val="0"/>
      <w:marTop w:val="0"/>
      <w:marBottom w:val="0"/>
      <w:divBdr>
        <w:top w:val="none" w:sz="0" w:space="0" w:color="auto"/>
        <w:left w:val="none" w:sz="0" w:space="0" w:color="auto"/>
        <w:bottom w:val="none" w:sz="0" w:space="0" w:color="auto"/>
        <w:right w:val="none" w:sz="0" w:space="0" w:color="auto"/>
      </w:divBdr>
    </w:div>
    <w:div w:id="1400639122">
      <w:bodyDiv w:val="1"/>
      <w:marLeft w:val="0"/>
      <w:marRight w:val="0"/>
      <w:marTop w:val="0"/>
      <w:marBottom w:val="0"/>
      <w:divBdr>
        <w:top w:val="none" w:sz="0" w:space="0" w:color="auto"/>
        <w:left w:val="none" w:sz="0" w:space="0" w:color="auto"/>
        <w:bottom w:val="none" w:sz="0" w:space="0" w:color="auto"/>
        <w:right w:val="none" w:sz="0" w:space="0" w:color="auto"/>
      </w:divBdr>
      <w:divsChild>
        <w:div w:id="1939436868">
          <w:marLeft w:val="0"/>
          <w:marRight w:val="0"/>
          <w:marTop w:val="0"/>
          <w:marBottom w:val="0"/>
          <w:divBdr>
            <w:top w:val="none" w:sz="0" w:space="0" w:color="auto"/>
            <w:left w:val="none" w:sz="0" w:space="0" w:color="auto"/>
            <w:bottom w:val="none" w:sz="0" w:space="0" w:color="auto"/>
            <w:right w:val="none" w:sz="0" w:space="0" w:color="auto"/>
          </w:divBdr>
          <w:divsChild>
            <w:div w:id="1308439118">
              <w:marLeft w:val="0"/>
              <w:marRight w:val="0"/>
              <w:marTop w:val="0"/>
              <w:marBottom w:val="0"/>
              <w:divBdr>
                <w:top w:val="none" w:sz="0" w:space="0" w:color="auto"/>
                <w:left w:val="none" w:sz="0" w:space="0" w:color="auto"/>
                <w:bottom w:val="none" w:sz="0" w:space="0" w:color="auto"/>
                <w:right w:val="none" w:sz="0" w:space="0" w:color="auto"/>
              </w:divBdr>
              <w:divsChild>
                <w:div w:id="1675495980">
                  <w:marLeft w:val="0"/>
                  <w:marRight w:val="0"/>
                  <w:marTop w:val="0"/>
                  <w:marBottom w:val="0"/>
                  <w:divBdr>
                    <w:top w:val="none" w:sz="0" w:space="0" w:color="auto"/>
                    <w:left w:val="none" w:sz="0" w:space="0" w:color="auto"/>
                    <w:bottom w:val="none" w:sz="0" w:space="0" w:color="auto"/>
                    <w:right w:val="none" w:sz="0" w:space="0" w:color="auto"/>
                  </w:divBdr>
                  <w:divsChild>
                    <w:div w:id="1658260593">
                      <w:marLeft w:val="0"/>
                      <w:marRight w:val="0"/>
                      <w:marTop w:val="0"/>
                      <w:marBottom w:val="0"/>
                      <w:divBdr>
                        <w:top w:val="none" w:sz="0" w:space="0" w:color="auto"/>
                        <w:left w:val="none" w:sz="0" w:space="0" w:color="auto"/>
                        <w:bottom w:val="none" w:sz="0" w:space="0" w:color="auto"/>
                        <w:right w:val="none" w:sz="0" w:space="0" w:color="auto"/>
                      </w:divBdr>
                      <w:divsChild>
                        <w:div w:id="110903096">
                          <w:marLeft w:val="0"/>
                          <w:marRight w:val="0"/>
                          <w:marTop w:val="0"/>
                          <w:marBottom w:val="0"/>
                          <w:divBdr>
                            <w:top w:val="none" w:sz="0" w:space="0" w:color="auto"/>
                            <w:left w:val="none" w:sz="0" w:space="0" w:color="auto"/>
                            <w:bottom w:val="none" w:sz="0" w:space="0" w:color="auto"/>
                            <w:right w:val="none" w:sz="0" w:space="0" w:color="auto"/>
                          </w:divBdr>
                          <w:divsChild>
                            <w:div w:id="40175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518031">
      <w:bodyDiv w:val="1"/>
      <w:marLeft w:val="0"/>
      <w:marRight w:val="0"/>
      <w:marTop w:val="0"/>
      <w:marBottom w:val="0"/>
      <w:divBdr>
        <w:top w:val="none" w:sz="0" w:space="0" w:color="auto"/>
        <w:left w:val="none" w:sz="0" w:space="0" w:color="auto"/>
        <w:bottom w:val="none" w:sz="0" w:space="0" w:color="auto"/>
        <w:right w:val="none" w:sz="0" w:space="0" w:color="auto"/>
      </w:divBdr>
      <w:divsChild>
        <w:div w:id="728721801">
          <w:marLeft w:val="0"/>
          <w:marRight w:val="0"/>
          <w:marTop w:val="0"/>
          <w:marBottom w:val="0"/>
          <w:divBdr>
            <w:top w:val="none" w:sz="0" w:space="0" w:color="auto"/>
            <w:left w:val="none" w:sz="0" w:space="0" w:color="auto"/>
            <w:bottom w:val="none" w:sz="0" w:space="0" w:color="auto"/>
            <w:right w:val="none" w:sz="0" w:space="0" w:color="auto"/>
          </w:divBdr>
          <w:divsChild>
            <w:div w:id="1403135053">
              <w:marLeft w:val="0"/>
              <w:marRight w:val="0"/>
              <w:marTop w:val="0"/>
              <w:marBottom w:val="0"/>
              <w:divBdr>
                <w:top w:val="none" w:sz="0" w:space="0" w:color="auto"/>
                <w:left w:val="none" w:sz="0" w:space="0" w:color="auto"/>
                <w:bottom w:val="none" w:sz="0" w:space="0" w:color="auto"/>
                <w:right w:val="none" w:sz="0" w:space="0" w:color="auto"/>
              </w:divBdr>
              <w:divsChild>
                <w:div w:id="1309745146">
                  <w:marLeft w:val="0"/>
                  <w:marRight w:val="0"/>
                  <w:marTop w:val="0"/>
                  <w:marBottom w:val="0"/>
                  <w:divBdr>
                    <w:top w:val="none" w:sz="0" w:space="0" w:color="auto"/>
                    <w:left w:val="none" w:sz="0" w:space="0" w:color="auto"/>
                    <w:bottom w:val="none" w:sz="0" w:space="0" w:color="auto"/>
                    <w:right w:val="none" w:sz="0" w:space="0" w:color="auto"/>
                  </w:divBdr>
                  <w:divsChild>
                    <w:div w:id="1301614578">
                      <w:marLeft w:val="0"/>
                      <w:marRight w:val="0"/>
                      <w:marTop w:val="0"/>
                      <w:marBottom w:val="0"/>
                      <w:divBdr>
                        <w:top w:val="none" w:sz="0" w:space="0" w:color="auto"/>
                        <w:left w:val="none" w:sz="0" w:space="0" w:color="auto"/>
                        <w:bottom w:val="none" w:sz="0" w:space="0" w:color="auto"/>
                        <w:right w:val="none" w:sz="0" w:space="0" w:color="auto"/>
                      </w:divBdr>
                      <w:divsChild>
                        <w:div w:id="1785268263">
                          <w:marLeft w:val="0"/>
                          <w:marRight w:val="0"/>
                          <w:marTop w:val="0"/>
                          <w:marBottom w:val="0"/>
                          <w:divBdr>
                            <w:top w:val="none" w:sz="0" w:space="0" w:color="auto"/>
                            <w:left w:val="none" w:sz="0" w:space="0" w:color="auto"/>
                            <w:bottom w:val="none" w:sz="0" w:space="0" w:color="auto"/>
                            <w:right w:val="none" w:sz="0" w:space="0" w:color="auto"/>
                          </w:divBdr>
                          <w:divsChild>
                            <w:div w:id="51311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017429">
      <w:bodyDiv w:val="1"/>
      <w:marLeft w:val="0"/>
      <w:marRight w:val="0"/>
      <w:marTop w:val="0"/>
      <w:marBottom w:val="0"/>
      <w:divBdr>
        <w:top w:val="none" w:sz="0" w:space="0" w:color="auto"/>
        <w:left w:val="none" w:sz="0" w:space="0" w:color="auto"/>
        <w:bottom w:val="none" w:sz="0" w:space="0" w:color="auto"/>
        <w:right w:val="none" w:sz="0" w:space="0" w:color="auto"/>
      </w:divBdr>
      <w:divsChild>
        <w:div w:id="1024944048">
          <w:marLeft w:val="0"/>
          <w:marRight w:val="0"/>
          <w:marTop w:val="0"/>
          <w:marBottom w:val="0"/>
          <w:divBdr>
            <w:top w:val="none" w:sz="0" w:space="0" w:color="auto"/>
            <w:left w:val="none" w:sz="0" w:space="0" w:color="auto"/>
            <w:bottom w:val="none" w:sz="0" w:space="0" w:color="auto"/>
            <w:right w:val="none" w:sz="0" w:space="0" w:color="auto"/>
          </w:divBdr>
          <w:divsChild>
            <w:div w:id="1685474064">
              <w:marLeft w:val="0"/>
              <w:marRight w:val="0"/>
              <w:marTop w:val="0"/>
              <w:marBottom w:val="0"/>
              <w:divBdr>
                <w:top w:val="none" w:sz="0" w:space="0" w:color="auto"/>
                <w:left w:val="none" w:sz="0" w:space="0" w:color="auto"/>
                <w:bottom w:val="none" w:sz="0" w:space="0" w:color="auto"/>
                <w:right w:val="none" w:sz="0" w:space="0" w:color="auto"/>
              </w:divBdr>
              <w:divsChild>
                <w:div w:id="1904367718">
                  <w:marLeft w:val="0"/>
                  <w:marRight w:val="0"/>
                  <w:marTop w:val="0"/>
                  <w:marBottom w:val="0"/>
                  <w:divBdr>
                    <w:top w:val="none" w:sz="0" w:space="0" w:color="auto"/>
                    <w:left w:val="none" w:sz="0" w:space="0" w:color="auto"/>
                    <w:bottom w:val="none" w:sz="0" w:space="0" w:color="auto"/>
                    <w:right w:val="none" w:sz="0" w:space="0" w:color="auto"/>
                  </w:divBdr>
                  <w:divsChild>
                    <w:div w:id="129596845">
                      <w:marLeft w:val="0"/>
                      <w:marRight w:val="0"/>
                      <w:marTop w:val="0"/>
                      <w:marBottom w:val="0"/>
                      <w:divBdr>
                        <w:top w:val="none" w:sz="0" w:space="0" w:color="auto"/>
                        <w:left w:val="none" w:sz="0" w:space="0" w:color="auto"/>
                        <w:bottom w:val="none" w:sz="0" w:space="0" w:color="auto"/>
                        <w:right w:val="none" w:sz="0" w:space="0" w:color="auto"/>
                      </w:divBdr>
                      <w:divsChild>
                        <w:div w:id="1111121506">
                          <w:marLeft w:val="0"/>
                          <w:marRight w:val="0"/>
                          <w:marTop w:val="0"/>
                          <w:marBottom w:val="0"/>
                          <w:divBdr>
                            <w:top w:val="none" w:sz="0" w:space="0" w:color="auto"/>
                            <w:left w:val="none" w:sz="0" w:space="0" w:color="auto"/>
                            <w:bottom w:val="none" w:sz="0" w:space="0" w:color="auto"/>
                            <w:right w:val="none" w:sz="0" w:space="0" w:color="auto"/>
                          </w:divBdr>
                          <w:divsChild>
                            <w:div w:id="2865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9.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10.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98C1E-FCB3-4674-9DF6-EDFEA9732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7060745-8F50-4AEC-9ADA-E786E23BC1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10D28F-4F6B-4F82-9643-E26D56A8A0D3}">
  <ds:schemaRefs>
    <ds:schemaRef ds:uri="http://schemas.microsoft.com/sharepoint/v3/contenttype/forms"/>
  </ds:schemaRefs>
</ds:datastoreItem>
</file>

<file path=customXml/itemProps4.xml><?xml version="1.0" encoding="utf-8"?>
<ds:datastoreItem xmlns:ds="http://schemas.openxmlformats.org/officeDocument/2006/customXml" ds:itemID="{F1FD2499-CFE8-4242-A6EA-BE296CDEF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16169</Words>
  <Characters>97014</Characters>
  <Application>Microsoft Office Word</Application>
  <DocSecurity>0</DocSecurity>
  <Lines>808</Lines>
  <Paragraphs>225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2018-04-24T07:52:00Z</cp:lastPrinted>
  <dcterms:created xsi:type="dcterms:W3CDTF">2019-06-12T13:39:00Z</dcterms:created>
  <dcterms:modified xsi:type="dcterms:W3CDTF">2019-06-12T13:39:00Z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21623/13</vt:lpwstr>
  </property>
  <property fmtid="{D5CDD505-2E9C-101B-9397-08002B2CF9AE}" pid="4" name="CASEID">
    <vt:lpwstr>872181</vt:lpwstr>
  </property>
  <property fmtid="{D5CDD505-2E9C-101B-9397-08002B2CF9AE}" pid="5" name="ContentTypeId">
    <vt:lpwstr>0x010100558EB02BDB9E204AB350EDD385B68E10</vt:lpwstr>
  </property>
</Properties>
</file>