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9EDC65" w14:textId="77777777" w:rsidR="0061289C" w:rsidRDefault="0061289C" w:rsidP="0061289C">
      <w:pPr>
        <w:pStyle w:val="s746c8714"/>
        <w:tabs>
          <w:tab w:val="left" w:pos="6804"/>
        </w:tabs>
        <w:spacing w:beforeAutospacing="0" w:after="120" w:afterAutospacing="0"/>
        <w:ind w:left="284" w:right="566"/>
        <w:jc w:val="both"/>
        <w:rPr>
          <w:rFonts w:ascii="Arial" w:hAnsi="Arial" w:cs="Arial"/>
          <w:sz w:val="20"/>
          <w:szCs w:val="20"/>
          <w:lang w:val="en-US"/>
        </w:rPr>
      </w:pPr>
      <w:bookmarkStart w:id="0" w:name="_GoBack"/>
      <w:bookmarkEnd w:id="0"/>
      <w:r>
        <w:rPr>
          <w:rStyle w:val="s4f807e54"/>
          <w:rFonts w:ascii="Arial" w:eastAsia="MS Mincho" w:hAnsi="Arial" w:cs="Arial"/>
          <w:sz w:val="20"/>
          <w:szCs w:val="20"/>
          <w:lang w:val="en-US"/>
        </w:rPr>
        <w:t xml:space="preserve">© </w:t>
      </w:r>
      <w:r>
        <w:rPr>
          <w:rStyle w:val="s4f807e54"/>
          <w:rFonts w:ascii="Arial" w:eastAsia="MS Gothic" w:hAnsi="Arial" w:cs="Arial"/>
          <w:color w:val="000000"/>
          <w:sz w:val="20"/>
          <w:szCs w:val="20"/>
          <w:lang w:val="en-GB"/>
        </w:rPr>
        <w:t>Prokurator Generalny – Minister Sprawiedliwości</w:t>
      </w:r>
      <w:r>
        <w:rPr>
          <w:rStyle w:val="s4f807e54"/>
          <w:rFonts w:ascii="Arial" w:eastAsia="MS Mincho" w:hAnsi="Arial" w:cs="Arial"/>
          <w:color w:val="000000"/>
          <w:sz w:val="20"/>
          <w:szCs w:val="20"/>
          <w:lang w:val="en-GB"/>
        </w:rPr>
        <w:t>,</w:t>
      </w:r>
      <w:r>
        <w:rPr>
          <w:rStyle w:val="s4f807e54"/>
          <w:rFonts w:ascii="Arial" w:eastAsia="MS Mincho" w:hAnsi="Arial" w:cs="Arial"/>
          <w:sz w:val="20"/>
          <w:szCs w:val="20"/>
          <w:lang w:val="en-US"/>
        </w:rPr>
        <w:t xml:space="preserve"> </w:t>
      </w:r>
      <w:hyperlink r:id="rId12" w:history="1">
        <w:r>
          <w:rPr>
            <w:rStyle w:val="Hipercze"/>
            <w:rFonts w:ascii="Arial" w:eastAsia="MS Gothic" w:hAnsi="Arial" w:cs="Arial"/>
            <w:sz w:val="20"/>
            <w:szCs w:val="22"/>
            <w:lang w:val="en-GB"/>
          </w:rPr>
          <w:t>www.pk.gov.pl</w:t>
        </w:r>
      </w:hyperlink>
      <w:r>
        <w:rPr>
          <w:lang w:val="en-GB"/>
        </w:rPr>
        <w:t xml:space="preserve"> </w:t>
      </w:r>
      <w:r>
        <w:rPr>
          <w:rFonts w:ascii="Arial" w:hAnsi="Arial" w:cs="Arial"/>
          <w:color w:val="000000"/>
          <w:sz w:val="20"/>
          <w:szCs w:val="20"/>
          <w:lang w:val="en-US"/>
        </w:rPr>
        <w:t xml:space="preserve">[Translation already published on the official websites of the </w:t>
      </w:r>
      <w:r>
        <w:rPr>
          <w:rStyle w:val="s4f807e54"/>
          <w:rFonts w:ascii="Arial" w:eastAsia="MS Gothic" w:hAnsi="Arial" w:cs="Arial"/>
          <w:sz w:val="20"/>
          <w:szCs w:val="20"/>
          <w:lang w:val="en-US"/>
        </w:rPr>
        <w:t>Polish National Prosecutor’s Office and the Ministry of Justice</w:t>
      </w:r>
      <w:r>
        <w:rPr>
          <w:rFonts w:ascii="Arial" w:hAnsi="Arial" w:cs="Arial"/>
          <w:color w:val="000000"/>
          <w:sz w:val="20"/>
          <w:szCs w:val="20"/>
          <w:lang w:val="en-US"/>
        </w:rPr>
        <w:t>]</w:t>
      </w:r>
    </w:p>
    <w:p w14:paraId="7879F21E" w14:textId="77777777" w:rsidR="0061289C" w:rsidRDefault="0061289C" w:rsidP="0061289C">
      <w:pPr>
        <w:pStyle w:val="s6e50bd9a"/>
        <w:tabs>
          <w:tab w:val="left" w:pos="6804"/>
        </w:tabs>
        <w:spacing w:before="0" w:beforeAutospacing="0" w:afterAutospacing="0"/>
        <w:ind w:left="284" w:right="566"/>
        <w:jc w:val="both"/>
        <w:rPr>
          <w:rFonts w:ascii="Arial" w:hAnsi="Arial" w:cs="Arial"/>
          <w:sz w:val="20"/>
          <w:szCs w:val="20"/>
          <w:lang w:val="en-US"/>
        </w:rPr>
      </w:pPr>
      <w:r>
        <w:rPr>
          <w:rStyle w:val="s4f807e54"/>
          <w:rFonts w:ascii="Arial" w:eastAsia="MS Mincho" w:hAnsi="Arial" w:cs="Arial"/>
          <w:sz w:val="20"/>
          <w:szCs w:val="20"/>
          <w:lang w:val="en-US"/>
        </w:rPr>
        <w:t xml:space="preserve">Permission to re-publish this translation has been granted by the </w:t>
      </w:r>
      <w:r>
        <w:rPr>
          <w:rStyle w:val="s4f807e54"/>
          <w:rFonts w:ascii="Arial" w:eastAsia="MS Gothic" w:hAnsi="Arial" w:cs="Arial"/>
          <w:sz w:val="20"/>
          <w:szCs w:val="20"/>
          <w:lang w:val="en-US"/>
        </w:rPr>
        <w:t xml:space="preserve">Polish Prosecutor General </w:t>
      </w:r>
      <w:r>
        <w:rPr>
          <w:rStyle w:val="s4f807e54"/>
          <w:rFonts w:ascii="Arial" w:eastAsia="MS Mincho" w:hAnsi="Arial" w:cs="Arial"/>
          <w:sz w:val="20"/>
          <w:szCs w:val="20"/>
          <w:lang w:val="en-US"/>
        </w:rPr>
        <w:t>for the sole purpose of its inclusion in the Court’s database HUDOC</w:t>
      </w:r>
    </w:p>
    <w:p w14:paraId="794A6A85" w14:textId="77777777" w:rsidR="0061289C" w:rsidRDefault="0061289C" w:rsidP="0061289C">
      <w:pPr>
        <w:pStyle w:val="s6e50bd9a"/>
        <w:tabs>
          <w:tab w:val="left" w:pos="6804"/>
        </w:tabs>
        <w:spacing w:beforeAutospacing="0" w:after="120" w:afterAutospacing="0"/>
        <w:ind w:left="284" w:right="566"/>
        <w:jc w:val="both"/>
      </w:pPr>
      <w:r>
        <w:rPr>
          <w:rStyle w:val="s4f807e54"/>
          <w:rFonts w:ascii="Arial" w:eastAsia="MS Mincho" w:hAnsi="Arial" w:cs="Arial"/>
          <w:color w:val="000000"/>
          <w:sz w:val="20"/>
          <w:szCs w:val="20"/>
        </w:rPr>
        <w:t xml:space="preserve">© </w:t>
      </w:r>
      <w:r>
        <w:rPr>
          <w:rStyle w:val="s4f807e54"/>
          <w:rFonts w:ascii="Arial" w:eastAsia="MS Gothic" w:hAnsi="Arial" w:cs="Arial"/>
          <w:color w:val="000000"/>
          <w:sz w:val="20"/>
          <w:szCs w:val="20"/>
        </w:rPr>
        <w:t>Prokurator Generalny – Minister Sprawiedliwości</w:t>
      </w:r>
      <w:r>
        <w:rPr>
          <w:rStyle w:val="s4f807e54"/>
          <w:rFonts w:ascii="Arial" w:eastAsia="MS Mincho" w:hAnsi="Arial" w:cs="Arial"/>
          <w:color w:val="000000"/>
          <w:sz w:val="20"/>
          <w:szCs w:val="20"/>
        </w:rPr>
        <w:t xml:space="preserve">, </w:t>
      </w:r>
      <w:hyperlink r:id="rId13" w:history="1">
        <w:r>
          <w:rPr>
            <w:rStyle w:val="Hipercze"/>
            <w:rFonts w:ascii="Arial" w:eastAsia="MS Gothic" w:hAnsi="Arial" w:cs="Arial"/>
            <w:sz w:val="20"/>
            <w:szCs w:val="22"/>
          </w:rPr>
          <w:t>www.pk.gov.pl</w:t>
        </w:r>
      </w:hyperlink>
      <w:r>
        <w:t xml:space="preserve"> </w:t>
      </w:r>
      <w:r>
        <w:rPr>
          <w:rStyle w:val="s4f807e54"/>
          <w:rFonts w:ascii="Arial" w:eastAsia="MS Mincho" w:hAnsi="Arial" w:cs="Arial"/>
          <w:color w:val="000000"/>
          <w:sz w:val="20"/>
          <w:szCs w:val="20"/>
        </w:rPr>
        <w:t xml:space="preserve">[Tłumaczenie zostało już opublikowane na oficjalnej stronie </w:t>
      </w:r>
      <w:r>
        <w:rPr>
          <w:rStyle w:val="s4f807e54"/>
          <w:rFonts w:ascii="Arial" w:eastAsia="MS Gothic" w:hAnsi="Arial" w:cs="Arial"/>
          <w:color w:val="000000"/>
          <w:sz w:val="20"/>
          <w:szCs w:val="20"/>
        </w:rPr>
        <w:t>Prokuratury Krajowej i Ministerstwa Sprawiedliwości]</w:t>
      </w:r>
    </w:p>
    <w:p w14:paraId="36E579A9" w14:textId="77777777" w:rsidR="0061289C" w:rsidRPr="00677286" w:rsidRDefault="0061289C" w:rsidP="00677286">
      <w:pPr>
        <w:pStyle w:val="s6e50bd9a"/>
        <w:tabs>
          <w:tab w:val="left" w:pos="6804"/>
        </w:tabs>
        <w:spacing w:beforeAutospacing="0" w:after="120" w:afterAutospacing="0"/>
        <w:ind w:left="284" w:right="566"/>
        <w:jc w:val="both"/>
        <w:rPr>
          <w:rStyle w:val="s4f807e54"/>
          <w:rFonts w:ascii="Arial" w:eastAsia="MS Gothic" w:hAnsi="Arial" w:cs="Arial"/>
          <w:color w:val="000000"/>
          <w:sz w:val="20"/>
          <w:szCs w:val="20"/>
        </w:rPr>
      </w:pPr>
      <w:r w:rsidRPr="00677286">
        <w:rPr>
          <w:rStyle w:val="s4f807e54"/>
          <w:rFonts w:ascii="Arial" w:eastAsia="MS Gothic" w:hAnsi="Arial" w:cs="Arial"/>
          <w:color w:val="000000"/>
          <w:sz w:val="20"/>
          <w:szCs w:val="20"/>
        </w:rPr>
        <w:t>Zezwolenie na publikację tego tłumaczenia zostało udzielone przez</w:t>
      </w:r>
      <w:r w:rsidR="004E1CB9">
        <w:rPr>
          <w:rStyle w:val="s4f807e54"/>
          <w:rFonts w:ascii="Arial" w:eastAsia="MS Gothic" w:hAnsi="Arial" w:cs="Arial"/>
          <w:color w:val="000000"/>
          <w:sz w:val="20"/>
          <w:szCs w:val="20"/>
        </w:rPr>
        <w:t> </w:t>
      </w:r>
      <w:r w:rsidRPr="00677286">
        <w:rPr>
          <w:rStyle w:val="s4f807e54"/>
          <w:rFonts w:ascii="Arial" w:eastAsia="MS Gothic" w:hAnsi="Arial" w:cs="Arial"/>
          <w:color w:val="000000"/>
          <w:sz w:val="20"/>
          <w:szCs w:val="20"/>
        </w:rPr>
        <w:t xml:space="preserve">Prokuratora </w:t>
      </w:r>
      <w:r>
        <w:rPr>
          <w:rStyle w:val="s4f807e54"/>
          <w:rFonts w:ascii="Arial" w:eastAsia="MS Gothic" w:hAnsi="Arial" w:cs="Arial"/>
          <w:color w:val="000000"/>
          <w:sz w:val="20"/>
          <w:szCs w:val="20"/>
        </w:rPr>
        <w:t xml:space="preserve">Generalnego </w:t>
      </w:r>
      <w:r w:rsidRPr="00677286">
        <w:rPr>
          <w:rStyle w:val="s4f807e54"/>
          <w:rFonts w:ascii="Arial" w:eastAsia="MS Gothic" w:hAnsi="Arial" w:cs="Arial"/>
          <w:color w:val="000000"/>
          <w:sz w:val="20"/>
          <w:szCs w:val="20"/>
        </w:rPr>
        <w:t>wyłącznie w celu zamieszczenia w bazie Trybunału HUDOC</w:t>
      </w:r>
    </w:p>
    <w:p w14:paraId="1C79204A" w14:textId="77777777" w:rsidR="0061289C" w:rsidRDefault="0061289C" w:rsidP="0061289C">
      <w:pPr>
        <w:jc w:val="center"/>
      </w:pPr>
    </w:p>
    <w:p w14:paraId="6DD86CD4" w14:textId="77777777" w:rsidR="00802C80" w:rsidRPr="00076546" w:rsidRDefault="0061289C" w:rsidP="00802C80">
      <w:pPr>
        <w:jc w:val="center"/>
      </w:pPr>
      <w:r>
        <w:t>EUROPEJSKI TRYBUNAŁ PRAW CZŁOWIEKA</w:t>
      </w:r>
    </w:p>
    <w:p w14:paraId="22D3F8D4" w14:textId="77777777" w:rsidR="00802C80" w:rsidRPr="00076546" w:rsidRDefault="00802C80" w:rsidP="00802C80">
      <w:pPr>
        <w:jc w:val="center"/>
      </w:pPr>
    </w:p>
    <w:p w14:paraId="38FDA193" w14:textId="77777777" w:rsidR="00802C80" w:rsidRPr="00082846" w:rsidRDefault="00802C80" w:rsidP="00802C80">
      <w:pPr>
        <w:jc w:val="center"/>
      </w:pPr>
      <w:r w:rsidRPr="00082846">
        <w:t>SEKCJA CZWARTA</w:t>
      </w:r>
    </w:p>
    <w:p w14:paraId="752C65F5" w14:textId="77777777" w:rsidR="00802C80" w:rsidRPr="003D7F25" w:rsidRDefault="00802C80" w:rsidP="00802C80">
      <w:pPr>
        <w:jc w:val="center"/>
      </w:pPr>
    </w:p>
    <w:p w14:paraId="435054E0" w14:textId="77777777" w:rsidR="00802C80" w:rsidRPr="001C5F9D" w:rsidRDefault="00802C80" w:rsidP="00802C80">
      <w:pPr>
        <w:jc w:val="center"/>
      </w:pPr>
    </w:p>
    <w:p w14:paraId="7BD4EC5D" w14:textId="77777777" w:rsidR="00802C80" w:rsidRPr="00D00246" w:rsidRDefault="00802C80" w:rsidP="00802C80">
      <w:pPr>
        <w:jc w:val="center"/>
        <w:rPr>
          <w:b/>
        </w:rPr>
      </w:pPr>
      <w:bookmarkStart w:id="1" w:name="To"/>
      <w:r w:rsidRPr="00D00246">
        <w:rPr>
          <w:b/>
        </w:rPr>
        <w:t xml:space="preserve">SPRAWA </w:t>
      </w:r>
      <w:bookmarkEnd w:id="1"/>
      <w:r w:rsidR="00076546">
        <w:rPr>
          <w:b/>
        </w:rPr>
        <w:t>J. I INNI przeciwko</w:t>
      </w:r>
      <w:r w:rsidRPr="00D00246">
        <w:rPr>
          <w:b/>
        </w:rPr>
        <w:t xml:space="preserve"> AUSTRII</w:t>
      </w:r>
    </w:p>
    <w:p w14:paraId="327CA791" w14:textId="77777777" w:rsidR="00802C80" w:rsidRPr="00D00246" w:rsidRDefault="00802C80" w:rsidP="00802C80">
      <w:pPr>
        <w:jc w:val="center"/>
      </w:pPr>
    </w:p>
    <w:p w14:paraId="73354236" w14:textId="77777777" w:rsidR="00802C80" w:rsidRPr="00D00246" w:rsidRDefault="00802C80" w:rsidP="00802C80">
      <w:pPr>
        <w:jc w:val="center"/>
        <w:rPr>
          <w:i/>
        </w:rPr>
      </w:pPr>
      <w:r w:rsidRPr="00D00246">
        <w:rPr>
          <w:i/>
        </w:rPr>
        <w:t>(Skarga nr 58216/12)</w:t>
      </w:r>
    </w:p>
    <w:p w14:paraId="5D39F7F8" w14:textId="77777777" w:rsidR="00802C80" w:rsidRPr="00D00246" w:rsidRDefault="00802C80" w:rsidP="00802C80">
      <w:pPr>
        <w:jc w:val="center"/>
      </w:pPr>
    </w:p>
    <w:p w14:paraId="13EAC395" w14:textId="77777777" w:rsidR="00802C80" w:rsidRPr="00D00246" w:rsidRDefault="00802C80" w:rsidP="00802C80">
      <w:pPr>
        <w:jc w:val="center"/>
      </w:pPr>
    </w:p>
    <w:p w14:paraId="305DE07B" w14:textId="77777777" w:rsidR="00802C80" w:rsidRPr="00D00246" w:rsidRDefault="00802C80" w:rsidP="00802C80">
      <w:pPr>
        <w:jc w:val="center"/>
        <w:rPr>
          <w:szCs w:val="24"/>
        </w:rPr>
      </w:pPr>
      <w:r w:rsidRPr="00D00246">
        <w:t>WYROK</w:t>
      </w:r>
    </w:p>
    <w:p w14:paraId="1C798EC0" w14:textId="77777777" w:rsidR="00802C80" w:rsidRPr="00D00246" w:rsidRDefault="00802C80" w:rsidP="00802C80">
      <w:pPr>
        <w:rPr>
          <w:sz w:val="22"/>
          <w:szCs w:val="24"/>
        </w:rPr>
      </w:pPr>
    </w:p>
    <w:p w14:paraId="7E661AD6" w14:textId="77777777" w:rsidR="00802C80" w:rsidRPr="00D00246" w:rsidRDefault="00802C80" w:rsidP="00802C80">
      <w:pPr>
        <w:pStyle w:val="JuCase"/>
        <w:ind w:firstLine="0"/>
        <w:jc w:val="center"/>
        <w:rPr>
          <w:b w:val="0"/>
        </w:rPr>
      </w:pPr>
    </w:p>
    <w:p w14:paraId="2E2081B3" w14:textId="77777777" w:rsidR="00802C80" w:rsidRPr="00D00246" w:rsidRDefault="00802C80" w:rsidP="00802C80">
      <w:pPr>
        <w:pStyle w:val="JuCase"/>
        <w:ind w:firstLine="0"/>
        <w:jc w:val="center"/>
        <w:rPr>
          <w:b w:val="0"/>
        </w:rPr>
      </w:pPr>
      <w:r w:rsidRPr="00D00246">
        <w:rPr>
          <w:b w:val="0"/>
        </w:rPr>
        <w:t>STRASBURG</w:t>
      </w:r>
    </w:p>
    <w:p w14:paraId="301C708B" w14:textId="77777777" w:rsidR="00802C80" w:rsidRPr="00D00246" w:rsidRDefault="00802C80" w:rsidP="00802C80">
      <w:pPr>
        <w:pStyle w:val="JuCase"/>
        <w:ind w:firstLine="0"/>
        <w:jc w:val="center"/>
        <w:rPr>
          <w:b w:val="0"/>
        </w:rPr>
      </w:pPr>
    </w:p>
    <w:p w14:paraId="4E164708" w14:textId="77777777" w:rsidR="00802C80" w:rsidRPr="00D00246" w:rsidRDefault="00802C80" w:rsidP="00802C80">
      <w:pPr>
        <w:pStyle w:val="JuCase"/>
        <w:ind w:firstLine="0"/>
        <w:jc w:val="center"/>
        <w:rPr>
          <w:b w:val="0"/>
        </w:rPr>
      </w:pPr>
      <w:r w:rsidRPr="00D00246">
        <w:rPr>
          <w:b w:val="0"/>
        </w:rPr>
        <w:t>dnia 17 stycznia 2017 r.</w:t>
      </w:r>
    </w:p>
    <w:p w14:paraId="47AFE322" w14:textId="77777777" w:rsidR="00802C80" w:rsidRPr="00D00246" w:rsidRDefault="00802C80" w:rsidP="00802C80">
      <w:pPr>
        <w:pStyle w:val="JuCase"/>
        <w:ind w:firstLine="0"/>
        <w:jc w:val="center"/>
        <w:rPr>
          <w:b w:val="0"/>
        </w:rPr>
      </w:pPr>
    </w:p>
    <w:p w14:paraId="41A97867" w14:textId="77777777" w:rsidR="00802C80" w:rsidRPr="00D00246" w:rsidRDefault="00802C80" w:rsidP="00802C80">
      <w:pPr>
        <w:pStyle w:val="ECHRPara"/>
      </w:pPr>
    </w:p>
    <w:p w14:paraId="1D7CD439" w14:textId="77777777" w:rsidR="00802C80" w:rsidRPr="00D00246" w:rsidRDefault="00802C80" w:rsidP="00802C80">
      <w:pPr>
        <w:pStyle w:val="jucase0"/>
        <w:ind w:firstLine="0"/>
        <w:jc w:val="center"/>
        <w:rPr>
          <w:sz w:val="28"/>
          <w:szCs w:val="28"/>
          <w:u w:val="single"/>
        </w:rPr>
      </w:pPr>
      <w:r w:rsidRPr="00D00246">
        <w:rPr>
          <w:color w:val="FF0000"/>
          <w:sz w:val="28"/>
          <w:szCs w:val="28"/>
          <w:u w:val="single"/>
        </w:rPr>
        <w:t>WYROK OSTATECZNY</w:t>
      </w:r>
    </w:p>
    <w:p w14:paraId="58E64926" w14:textId="77777777" w:rsidR="00802C80" w:rsidRPr="00D00246" w:rsidRDefault="00802C80" w:rsidP="00802C80">
      <w:pPr>
        <w:pStyle w:val="jupara"/>
        <w:tabs>
          <w:tab w:val="left" w:pos="4650"/>
        </w:tabs>
        <w:ind w:firstLine="0"/>
        <w:jc w:val="center"/>
        <w:rPr>
          <w:sz w:val="28"/>
          <w:szCs w:val="28"/>
        </w:rPr>
      </w:pPr>
    </w:p>
    <w:p w14:paraId="15912AB9" w14:textId="7456A628" w:rsidR="00033C78" w:rsidRPr="005F47D9" w:rsidRDefault="00033C78" w:rsidP="00033C78">
      <w:pPr>
        <w:pStyle w:val="jupara"/>
        <w:ind w:firstLine="0"/>
        <w:jc w:val="center"/>
        <w:rPr>
          <w:color w:val="FF0000"/>
          <w:sz w:val="28"/>
          <w:szCs w:val="28"/>
        </w:rPr>
      </w:pPr>
      <w:r w:rsidRPr="005F47D9">
        <w:rPr>
          <w:color w:val="FF0000"/>
          <w:sz w:val="28"/>
          <w:szCs w:val="28"/>
        </w:rPr>
        <w:t>17/04/2017</w:t>
      </w:r>
    </w:p>
    <w:p w14:paraId="7D20AE9B" w14:textId="77777777" w:rsidR="00802C80" w:rsidRPr="00D00246" w:rsidRDefault="00802C80" w:rsidP="00802C80">
      <w:pPr>
        <w:pStyle w:val="jupara"/>
        <w:ind w:firstLine="0"/>
        <w:jc w:val="center"/>
      </w:pPr>
    </w:p>
    <w:p w14:paraId="69D76160" w14:textId="77777777" w:rsidR="00802C80" w:rsidRPr="00D00246" w:rsidRDefault="00802C80" w:rsidP="00802C80">
      <w:pPr>
        <w:pStyle w:val="jupara"/>
        <w:ind w:firstLine="0"/>
        <w:jc w:val="center"/>
      </w:pPr>
    </w:p>
    <w:p w14:paraId="06BF7D77" w14:textId="77777777" w:rsidR="00802C80" w:rsidRPr="00D00246" w:rsidRDefault="00802C80" w:rsidP="0096762D">
      <w:pPr>
        <w:pStyle w:val="ECHRPara"/>
        <w:ind w:firstLine="0"/>
        <w:jc w:val="center"/>
        <w:rPr>
          <w:i/>
          <w:iCs/>
          <w:sz w:val="22"/>
        </w:rPr>
      </w:pPr>
      <w:r w:rsidRPr="00D00246">
        <w:rPr>
          <w:i/>
          <w:iCs/>
          <w:sz w:val="22"/>
        </w:rPr>
        <w:t xml:space="preserve">Wyrok ten stał się ostateczny na podstawie art. 44 ust. 2 Konwencji. </w:t>
      </w:r>
      <w:r w:rsidRPr="00D00246">
        <w:rPr>
          <w:i/>
          <w:iCs/>
          <w:sz w:val="22"/>
        </w:rPr>
        <w:br/>
        <w:t>Wyrok może podlegać korekcie wydawniczej.</w:t>
      </w:r>
    </w:p>
    <w:p w14:paraId="7B3CECAF" w14:textId="77777777" w:rsidR="00802C80" w:rsidRPr="00D00246" w:rsidRDefault="00802C80" w:rsidP="0096762D">
      <w:pPr>
        <w:pStyle w:val="ECHRPara"/>
        <w:ind w:firstLine="0"/>
        <w:sectPr w:rsidR="00802C80" w:rsidRPr="00D00246" w:rsidSect="00E13E15">
          <w:headerReference w:type="even" r:id="rId14"/>
          <w:headerReference w:type="default" r:id="rId15"/>
          <w:footerReference w:type="even" r:id="rId16"/>
          <w:footerReference w:type="default" r:id="rId17"/>
          <w:headerReference w:type="first" r:id="rId18"/>
          <w:footerReference w:type="first" r:id="rId19"/>
          <w:footnotePr>
            <w:numRestart w:val="eachPage"/>
          </w:footnotePr>
          <w:pgSz w:w="11906" w:h="16838" w:code="9"/>
          <w:pgMar w:top="2274" w:right="2274" w:bottom="2274" w:left="2274" w:header="1701" w:footer="720" w:gutter="0"/>
          <w:pgNumType w:start="1"/>
          <w:cols w:space="720"/>
          <w:titlePg/>
          <w:docGrid w:linePitch="326"/>
        </w:sectPr>
      </w:pPr>
    </w:p>
    <w:p w14:paraId="6B50E717" w14:textId="77777777" w:rsidR="00802C80" w:rsidRPr="00D00246" w:rsidRDefault="00802C80" w:rsidP="00802C80">
      <w:pPr>
        <w:pStyle w:val="JuCase"/>
        <w:rPr>
          <w:bCs/>
        </w:rPr>
      </w:pPr>
      <w:r w:rsidRPr="00D00246">
        <w:lastRenderedPageBreak/>
        <w:t>Sprawa J. i Inni p-ko Austrii</w:t>
      </w:r>
    </w:p>
    <w:p w14:paraId="19BE3E64" w14:textId="77777777" w:rsidR="00802C80" w:rsidRPr="00D00246" w:rsidRDefault="00802C80" w:rsidP="00802C80">
      <w:pPr>
        <w:pStyle w:val="ECHRPara"/>
      </w:pPr>
      <w:r w:rsidRPr="00D00246">
        <w:t>Europejski Trybunał Praw Człowieka (Sekcja Czwarta), zasiadając jako Izba w składzie:</w:t>
      </w:r>
    </w:p>
    <w:p w14:paraId="326C3E7F" w14:textId="77777777" w:rsidR="00802C80" w:rsidRPr="00D00246" w:rsidRDefault="00802C80" w:rsidP="00802C80">
      <w:pPr>
        <w:pStyle w:val="ECHRDecisionBody"/>
      </w:pPr>
      <w:r w:rsidRPr="00D00246">
        <w:tab/>
        <w:t>András Sajó,</w:t>
      </w:r>
      <w:r w:rsidRPr="00D00246">
        <w:rPr>
          <w:i/>
        </w:rPr>
        <w:t xml:space="preserve"> Przewodniczący,</w:t>
      </w:r>
      <w:r w:rsidRPr="00D00246">
        <w:rPr>
          <w:i/>
        </w:rPr>
        <w:br/>
      </w:r>
      <w:r w:rsidRPr="00D00246">
        <w:tab/>
        <w:t>Vincent A. De Gaetano,</w:t>
      </w:r>
      <w:r w:rsidRPr="00D00246">
        <w:rPr>
          <w:i/>
        </w:rPr>
        <w:br/>
      </w:r>
      <w:r w:rsidRPr="00D00246">
        <w:tab/>
        <w:t>Nona Tsotsoria,</w:t>
      </w:r>
      <w:r w:rsidRPr="00D00246">
        <w:rPr>
          <w:i/>
        </w:rPr>
        <w:br/>
      </w:r>
      <w:r w:rsidRPr="00D00246">
        <w:tab/>
        <w:t>Paulo Pinto de Albuquerque,</w:t>
      </w:r>
      <w:r w:rsidRPr="00D00246">
        <w:rPr>
          <w:i/>
        </w:rPr>
        <w:br/>
      </w:r>
      <w:r w:rsidRPr="00D00246">
        <w:tab/>
        <w:t>Krzysztof Wojtyczek,</w:t>
      </w:r>
      <w:r w:rsidRPr="00D00246">
        <w:rPr>
          <w:i/>
        </w:rPr>
        <w:br/>
      </w:r>
      <w:r w:rsidRPr="00D00246">
        <w:tab/>
        <w:t>Gabriele Kucsko-Stadlmayer,</w:t>
      </w:r>
      <w:r w:rsidRPr="00D00246">
        <w:rPr>
          <w:i/>
        </w:rPr>
        <w:br/>
      </w:r>
      <w:r w:rsidRPr="00D00246">
        <w:tab/>
        <w:t>Marko Bošnjak,</w:t>
      </w:r>
      <w:r w:rsidRPr="00D00246">
        <w:rPr>
          <w:i/>
        </w:rPr>
        <w:t xml:space="preserve"> sędziowie,</w:t>
      </w:r>
      <w:r w:rsidRPr="00D00246">
        <w:br/>
      </w:r>
      <w:r w:rsidR="00B517CD" w:rsidRPr="00D00246">
        <w:t>oraz</w:t>
      </w:r>
      <w:r w:rsidRPr="00D00246">
        <w:t xml:space="preserve"> Marialena Tsirli, </w:t>
      </w:r>
      <w:r w:rsidRPr="00D00246">
        <w:rPr>
          <w:i/>
        </w:rPr>
        <w:t>Kanclerz Sekcji,</w:t>
      </w:r>
    </w:p>
    <w:p w14:paraId="7DA66281" w14:textId="77777777" w:rsidR="00802C80" w:rsidRPr="00D00246" w:rsidRDefault="00802C80" w:rsidP="00802C80">
      <w:pPr>
        <w:pStyle w:val="ECHRPara"/>
      </w:pPr>
      <w:r w:rsidRPr="00D00246">
        <w:t>obradując na posiedzeniu niejawnym w dniu 6 grudnia 2016 r.,</w:t>
      </w:r>
    </w:p>
    <w:p w14:paraId="731DDCEE" w14:textId="77777777" w:rsidR="00802C80" w:rsidRPr="00D00246" w:rsidRDefault="00802C80" w:rsidP="00802C80">
      <w:pPr>
        <w:pStyle w:val="ECHRPara"/>
      </w:pPr>
      <w:r w:rsidRPr="00D00246">
        <w:t>wydaje następujący wyrok, który w tym dniu został przyjęty:</w:t>
      </w:r>
    </w:p>
    <w:p w14:paraId="5BB19038" w14:textId="77777777" w:rsidR="00802C80" w:rsidRPr="00D00246" w:rsidRDefault="00802C80" w:rsidP="00802C80">
      <w:pPr>
        <w:pStyle w:val="ECHRTitle1"/>
      </w:pPr>
      <w:r w:rsidRPr="00D00246">
        <w:t>POSTĘPOWANIE</w:t>
      </w:r>
    </w:p>
    <w:p w14:paraId="45F694A0" w14:textId="273D2309" w:rsidR="00802C80" w:rsidRPr="003D7F25" w:rsidRDefault="00AF2421" w:rsidP="00802C80">
      <w:pPr>
        <w:pStyle w:val="ECHRPara"/>
      </w:pPr>
      <w:r>
        <w:rPr>
          <w:noProof/>
        </w:rPr>
        <w:t>1</w:t>
      </w:r>
      <w:r w:rsidR="00802C80" w:rsidRPr="00082846">
        <w:t>.</w:t>
      </w:r>
      <w:r w:rsidR="005F47D9">
        <w:t xml:space="preserve"> </w:t>
      </w:r>
      <w:r w:rsidR="00802C80" w:rsidRPr="00082846">
        <w:t>Sprawa wywodzi się ze skargi (nr 58216/12) przeciwko Republice Austrii wniesionej do Trybunału dnia 4 września 2012 r. na podstawie art. 34 Konwencji o ochronie praw człowieka i podstawowych wolności („Konwencja”) przez trzy obywatelki filipińskie („skarżące”) — p. J. („pierwsza skarżąca”), p. G. („druga skarżąca”) i p. C („trzecia skarżąca”). Przewodn</w:t>
      </w:r>
      <w:r w:rsidR="00802C80" w:rsidRPr="003D7F25">
        <w:t>iczący Sekcji uwzględnił wniosek skarżących o nieujawnianie ich tożsamości (Reguła 47 § 4 Regulaminu Trybunału).</w:t>
      </w:r>
    </w:p>
    <w:p w14:paraId="1FB0A7A0" w14:textId="185594D9" w:rsidR="00802C80" w:rsidRPr="003D7F25" w:rsidRDefault="00AF2421" w:rsidP="00802C80">
      <w:pPr>
        <w:pStyle w:val="ECHRPara"/>
      </w:pPr>
      <w:r>
        <w:rPr>
          <w:noProof/>
        </w:rPr>
        <w:t>2</w:t>
      </w:r>
      <w:r w:rsidR="00802C80" w:rsidRPr="00082846">
        <w:t>.</w:t>
      </w:r>
      <w:r w:rsidR="005F47D9">
        <w:t xml:space="preserve"> </w:t>
      </w:r>
      <w:r w:rsidR="00802C80" w:rsidRPr="00082846">
        <w:t xml:space="preserve">Skarżące reprezentowane były przez p. Adama Weissa, Dyrektora Prawnego Centrum AIRE — organizacji pozarządowej z siedzibą w Londynie. Rząd austriacki („Rząd”) reprezentował jego Pełnomocnik, p. H. Tichy, Dyrektor Departamentu Prawa Międzynarodowego </w:t>
      </w:r>
      <w:r w:rsidR="00802C80" w:rsidRPr="00036045">
        <w:t>w związkowym</w:t>
      </w:r>
      <w:r w:rsidR="00802C80" w:rsidRPr="00082846">
        <w:t xml:space="preserve"> Ministerstwie Spraw Europejskich, Integracji i Spraw Zagranicznych.</w:t>
      </w:r>
    </w:p>
    <w:p w14:paraId="571B755F" w14:textId="68E6165E" w:rsidR="00802C80" w:rsidRPr="00082846" w:rsidRDefault="00AF2421" w:rsidP="00802C80">
      <w:pPr>
        <w:pStyle w:val="ECHRPara"/>
      </w:pPr>
      <w:r>
        <w:rPr>
          <w:noProof/>
        </w:rPr>
        <w:t>3</w:t>
      </w:r>
      <w:r w:rsidR="00802C80" w:rsidRPr="00082846">
        <w:t>.</w:t>
      </w:r>
      <w:r w:rsidR="005F47D9">
        <w:t xml:space="preserve"> </w:t>
      </w:r>
      <w:r w:rsidR="00802C80" w:rsidRPr="00082846">
        <w:t>Skarżące zarzuciły władzom austriackim nieprzeprowadzenie skutecznych i wyczerpujących dochodzeń w sprawie ich twierdzeń, że są ofiarami handlu ludźmi.</w:t>
      </w:r>
    </w:p>
    <w:p w14:paraId="5372ABF5" w14:textId="18BC9030" w:rsidR="00802C80" w:rsidRPr="003D7F25" w:rsidRDefault="00AF2421" w:rsidP="00802C80">
      <w:pPr>
        <w:pStyle w:val="ECHRPara"/>
      </w:pPr>
      <w:r>
        <w:rPr>
          <w:noProof/>
        </w:rPr>
        <w:t>4</w:t>
      </w:r>
      <w:r w:rsidR="00802C80" w:rsidRPr="00082846">
        <w:t>.</w:t>
      </w:r>
      <w:r w:rsidR="005F47D9">
        <w:t xml:space="preserve"> </w:t>
      </w:r>
      <w:r w:rsidR="00802C80" w:rsidRPr="00082846">
        <w:t xml:space="preserve">Dnia 10 czerwca 2014 r. zarzuty wywodzone z art. 3, 4 i 8 Konwencji zostały </w:t>
      </w:r>
      <w:r w:rsidR="00B517CD" w:rsidRPr="00082846">
        <w:t xml:space="preserve">zakomunikowane </w:t>
      </w:r>
      <w:r w:rsidR="00802C80" w:rsidRPr="00082846">
        <w:t xml:space="preserve">Rządowi, </w:t>
      </w:r>
      <w:r w:rsidR="00082846" w:rsidRPr="00082846">
        <w:t xml:space="preserve">a </w:t>
      </w:r>
      <w:r w:rsidR="00802C80" w:rsidRPr="00082846">
        <w:t>pozostała część skargi — uznana za niedopuszczalną zgodnie z Regułą 54 § 3.</w:t>
      </w:r>
    </w:p>
    <w:p w14:paraId="713BA5CD" w14:textId="77777777" w:rsidR="00802C80" w:rsidRPr="003D7F25" w:rsidRDefault="00802C80" w:rsidP="00802C80">
      <w:pPr>
        <w:pStyle w:val="ECHRTitle1"/>
      </w:pPr>
      <w:r w:rsidRPr="003D7F25">
        <w:lastRenderedPageBreak/>
        <w:t>FAKTY</w:t>
      </w:r>
    </w:p>
    <w:p w14:paraId="18549479" w14:textId="77777777" w:rsidR="00802C80" w:rsidRPr="001F0818" w:rsidRDefault="00802C80" w:rsidP="00802C80">
      <w:pPr>
        <w:pStyle w:val="ECHRHeading1"/>
      </w:pPr>
      <w:r w:rsidRPr="001C5F9D">
        <w:t>I. OKOLICZNOŚCI SPRAWY</w:t>
      </w:r>
    </w:p>
    <w:p w14:paraId="7FD0A81D" w14:textId="798D306F" w:rsidR="00802C80" w:rsidRPr="003D7F25" w:rsidRDefault="00AF2421" w:rsidP="00802C80">
      <w:pPr>
        <w:pStyle w:val="ECHRPara"/>
      </w:pPr>
      <w:r>
        <w:rPr>
          <w:noProof/>
        </w:rPr>
        <w:t>5</w:t>
      </w:r>
      <w:r w:rsidR="00802C80" w:rsidRPr="00082846">
        <w:t>.</w:t>
      </w:r>
      <w:r w:rsidR="005F47D9">
        <w:t xml:space="preserve"> </w:t>
      </w:r>
      <w:r w:rsidR="00802C80" w:rsidRPr="00082846">
        <w:t>Pierwsza i druga skarżące urodziły się odpowiednio w 1984 i 1982 r., zamieszkują w Wiedniu. Trzecia skarżąca urodziła się w 1972 r. i mieszka w Szwajcarii.</w:t>
      </w:r>
    </w:p>
    <w:p w14:paraId="02CE6FA7" w14:textId="546CF71F" w:rsidR="00802C80" w:rsidRPr="00082846" w:rsidRDefault="00AF2421" w:rsidP="00802C80">
      <w:pPr>
        <w:pStyle w:val="ECHRPara"/>
      </w:pPr>
      <w:r>
        <w:rPr>
          <w:noProof/>
        </w:rPr>
        <w:t>6</w:t>
      </w:r>
      <w:r w:rsidR="00802C80" w:rsidRPr="00082846">
        <w:t>.</w:t>
      </w:r>
      <w:r w:rsidR="005F47D9">
        <w:t xml:space="preserve"> </w:t>
      </w:r>
      <w:r w:rsidR="00802C80" w:rsidRPr="00082846">
        <w:t>Poniższe przedstawienie kontekstu sprawy i wydarzeń w Austrii opiera się na stanowiskach skarżących. Sprawozdanie z dochodzenia przeprowadzonego w Austrii oparto na stanowiskach obydwu stron.</w:t>
      </w:r>
    </w:p>
    <w:p w14:paraId="449E0A99" w14:textId="77777777" w:rsidR="00802C80" w:rsidRPr="003D7F25" w:rsidRDefault="00802C80" w:rsidP="00802C80">
      <w:pPr>
        <w:pStyle w:val="ECHRHeading2"/>
      </w:pPr>
      <w:r w:rsidRPr="003D7F25">
        <w:t>A. Kontekst sprawy</w:t>
      </w:r>
    </w:p>
    <w:p w14:paraId="7E095A82" w14:textId="0E542770" w:rsidR="00802C80" w:rsidRPr="001C5F9D" w:rsidRDefault="00AF2421" w:rsidP="00802C80">
      <w:pPr>
        <w:pStyle w:val="ECHRPara"/>
      </w:pPr>
      <w:r>
        <w:rPr>
          <w:noProof/>
        </w:rPr>
        <w:t>7</w:t>
      </w:r>
      <w:r w:rsidR="00802C80" w:rsidRPr="00082846">
        <w:t>.</w:t>
      </w:r>
      <w:r w:rsidR="005F47D9">
        <w:t xml:space="preserve"> </w:t>
      </w:r>
      <w:r w:rsidR="00802C80" w:rsidRPr="00082846">
        <w:t>Wszystkie skarżące są obywatelkami Filipin. Pierwsza i trzecia zostały odpowiednio w 2006 i 2009 r. zaangażowane przez agencję zatrudnienia w Manili do pracy jako pokojówki lub opiekunki do dzieci w Dubaju (Zjednoczone Emiraty Arabskie). Druga skarżąca wyruszyła w tym samym celu do Dubaju w grudniu 2008 r. za namową pierwszej</w:t>
      </w:r>
      <w:r w:rsidR="00D94432">
        <w:t xml:space="preserve"> skarżącej</w:t>
      </w:r>
      <w:r w:rsidR="00802C80" w:rsidRPr="00082846">
        <w:t xml:space="preserve">, nie za pośrednictwem agencji. Wszystkim zostały przez pracodawców odebrane paszporty. Zgodnie z </w:t>
      </w:r>
      <w:r w:rsidR="00802C80" w:rsidRPr="003D7F25">
        <w:t>ich twierdzeniami w trakcie pracy w Dubaju były źle traktowane i wykorzystywane przez pracodawców, którzy nie zapłacili im umówionego wynagrodzenia i zmuszali je do pracy w skrajnie długim wymiarze, pod groźbą dalszego złego traktowania.</w:t>
      </w:r>
    </w:p>
    <w:p w14:paraId="47E236A5" w14:textId="4D79BDF1" w:rsidR="00802C80" w:rsidRPr="001F0818" w:rsidRDefault="00802C80" w:rsidP="00802C80">
      <w:pPr>
        <w:pStyle w:val="ECHRHeading3"/>
      </w:pPr>
      <w:r w:rsidRPr="001F0818">
        <w:t>1.</w:t>
      </w:r>
      <w:r w:rsidR="005F47D9">
        <w:t xml:space="preserve"> </w:t>
      </w:r>
      <w:r w:rsidRPr="001F0818">
        <w:t>Pierwsza skarżąca</w:t>
      </w:r>
    </w:p>
    <w:p w14:paraId="4C5736BA" w14:textId="78B68D9C" w:rsidR="00802C80" w:rsidRPr="00D00246" w:rsidRDefault="00AF2421" w:rsidP="00802C80">
      <w:pPr>
        <w:pStyle w:val="ECHRPara"/>
      </w:pPr>
      <w:r>
        <w:rPr>
          <w:noProof/>
        </w:rPr>
        <w:t>8</w:t>
      </w:r>
      <w:r w:rsidR="00802C80" w:rsidRPr="00082846">
        <w:t>.</w:t>
      </w:r>
      <w:r w:rsidR="005F47D9">
        <w:t xml:space="preserve"> </w:t>
      </w:r>
      <w:r w:rsidR="00802C80" w:rsidRPr="00082846">
        <w:t>Pod koniec 2006 r. pierwsza skarżąca skontaktowała się z agencją w Manili w celu znalezienia pracy za granicą. Jest ona samotną matką jednej, wówczas ośmiomiesięcznej</w:t>
      </w:r>
      <w:r w:rsidR="00D94432">
        <w:t>,</w:t>
      </w:r>
      <w:r w:rsidR="00802C80" w:rsidRPr="00082846">
        <w:t xml:space="preserve"> córki. Podpisała umowę, w której zobowiązała się do świadczenia pracy na rzecz rodziny w Dubaju przez okres dwóch lat — od grudnia 2006 r. do grudnia 2008 r. Umowa przewidywała także </w:t>
      </w:r>
      <w:r w:rsidR="00802C80" w:rsidRPr="001C5F9D">
        <w:t xml:space="preserve">wynagrodzenie </w:t>
      </w:r>
      <w:r w:rsidR="00B517CD" w:rsidRPr="001F0818">
        <w:t xml:space="preserve">na jej rzecz </w:t>
      </w:r>
      <w:r w:rsidR="00802C80" w:rsidRPr="001F0818">
        <w:t>w kwocie miesięcznej 700 dirhamów ZAE (AED — wówczas około 150 euro (EUR)) za pracę w wymiarz</w:t>
      </w:r>
      <w:r w:rsidR="00802C80" w:rsidRPr="008A47A5">
        <w:t>e ośmiu godzin dziennie. Po przybyciu do Dubaju pierwsza skarżąca została zabrana do pracodawczyń, którymi były dwie siostry bądź szwagierki, wspólnie zajmujące jedną, dużą rezydencję wraz z rodzinami. Jedna z nich zabrała jej paszport.</w:t>
      </w:r>
    </w:p>
    <w:p w14:paraId="48DB4ECB" w14:textId="0DFCAA4E" w:rsidR="00802C80" w:rsidRPr="00D00246" w:rsidRDefault="00AF2421" w:rsidP="00802C80">
      <w:pPr>
        <w:pStyle w:val="ECHRPara"/>
      </w:pPr>
      <w:r>
        <w:rPr>
          <w:noProof/>
        </w:rPr>
        <w:t>9</w:t>
      </w:r>
      <w:r w:rsidR="00802C80" w:rsidRPr="00082846">
        <w:t>.</w:t>
      </w:r>
      <w:r w:rsidR="005F47D9">
        <w:t xml:space="preserve"> </w:t>
      </w:r>
      <w:r w:rsidR="00802C80" w:rsidRPr="00082846">
        <w:t xml:space="preserve">Przez większą część pierwszego okresu dwuletniego </w:t>
      </w:r>
      <w:r w:rsidR="00743027" w:rsidRPr="00082846">
        <w:t xml:space="preserve">pracodawczynie nie znęcały się </w:t>
      </w:r>
      <w:r w:rsidR="00743027" w:rsidRPr="003D7F25">
        <w:t>fizycznie nad pierwszą skarżącą</w:t>
      </w:r>
      <w:r w:rsidR="00B517CD" w:rsidRPr="003D7F25">
        <w:t xml:space="preserve"> </w:t>
      </w:r>
      <w:r w:rsidR="00802C80" w:rsidRPr="003D7F25">
        <w:t xml:space="preserve">ani </w:t>
      </w:r>
      <w:r w:rsidR="00743027" w:rsidRPr="003D7F25">
        <w:t xml:space="preserve">nie kierowały wobec niej </w:t>
      </w:r>
      <w:r w:rsidR="00802C80" w:rsidRPr="001C5F9D">
        <w:t>bezpośredni</w:t>
      </w:r>
      <w:r w:rsidR="00743027" w:rsidRPr="001F0818">
        <w:t>ch</w:t>
      </w:r>
      <w:r w:rsidR="00802C80" w:rsidRPr="001F0818">
        <w:t xml:space="preserve"> gr</w:t>
      </w:r>
      <w:r w:rsidR="00743027" w:rsidRPr="001F0818">
        <w:t>ó</w:t>
      </w:r>
      <w:r w:rsidR="00802C80" w:rsidRPr="001F0818">
        <w:t>źb wyrządzenia jej krzywdy, wynagrodzenie zaś otrzymywała regularnie.</w:t>
      </w:r>
      <w:r w:rsidR="005F47D9">
        <w:t xml:space="preserve"> </w:t>
      </w:r>
      <w:r w:rsidR="00802C80" w:rsidRPr="001F0818">
        <w:t xml:space="preserve">Musiała jednak w tym okresie pracować od </w:t>
      </w:r>
      <w:r w:rsidR="00B517CD" w:rsidRPr="008A47A5">
        <w:t xml:space="preserve">godz. </w:t>
      </w:r>
      <w:r w:rsidR="00802C80" w:rsidRPr="008A47A5">
        <w:t>5</w:t>
      </w:r>
      <w:r w:rsidR="00082846" w:rsidRPr="008A47A5">
        <w:t>.00</w:t>
      </w:r>
      <w:r w:rsidR="00802C80" w:rsidRPr="008A47A5">
        <w:t xml:space="preserve"> </w:t>
      </w:r>
      <w:r w:rsidR="00082846" w:rsidRPr="008A47A5">
        <w:t xml:space="preserve">nad ranem </w:t>
      </w:r>
      <w:r w:rsidR="00802C80" w:rsidRPr="008A47A5">
        <w:t>do północy. Jej obowiązki obejmowały</w:t>
      </w:r>
      <w:r w:rsidR="00802C80" w:rsidRPr="00D00246">
        <w:t xml:space="preserve"> zajmowanie się dziećmi pracodawczyń, przygotowywanie posiłków, sprzątanie, pranie oraz </w:t>
      </w:r>
      <w:r w:rsidR="00B517CD" w:rsidRPr="00D00246">
        <w:t xml:space="preserve">wykonywanie </w:t>
      </w:r>
      <w:r w:rsidR="00802C80" w:rsidRPr="00D00246">
        <w:t>wiel</w:t>
      </w:r>
      <w:r w:rsidR="00B517CD" w:rsidRPr="00D00246">
        <w:t>u</w:t>
      </w:r>
      <w:r w:rsidR="00802C80" w:rsidRPr="00D00246">
        <w:t xml:space="preserve"> innych prac w domu i ogrodzie. W </w:t>
      </w:r>
      <w:r w:rsidR="00B517CD" w:rsidRPr="00D00246">
        <w:t xml:space="preserve">okresie </w:t>
      </w:r>
      <w:r w:rsidR="00802C80" w:rsidRPr="00D00246">
        <w:t xml:space="preserve">pierwszych </w:t>
      </w:r>
      <w:r w:rsidR="00802C80" w:rsidRPr="00D00246">
        <w:lastRenderedPageBreak/>
        <w:t xml:space="preserve">dziewięciu miesięcy wymagano od niej wykonywania tej pracy bez ani jednego dnia wolnego i nie wolno jej było opuszczać domu bez nadzoru. Nie było jej wolno mieć własnego telefonu, </w:t>
      </w:r>
      <w:r w:rsidR="00D94432">
        <w:t xml:space="preserve">a </w:t>
      </w:r>
      <w:r w:rsidR="00802C80" w:rsidRPr="00D00246">
        <w:t xml:space="preserve">telefonować do rodziny na Filipinach wolno jej było jedynie raz w miesiącu, przy czym koszty tych połączeń potrącano jej z wynagrodzenia. Pierwszej skarżącej zabroniono ponadto rozmawiać z kimkolwiek spośród innych pracowników z Filipin w ich języku ojczystym. Stale odczuwała głód, jako że </w:t>
      </w:r>
      <w:r w:rsidR="00B517CD" w:rsidRPr="00D00246">
        <w:t>zazwyczaj</w:t>
      </w:r>
      <w:r w:rsidR="00802C80" w:rsidRPr="00D00246">
        <w:t xml:space="preserve"> otrzymywała jedynie to, co zostało z pożywienia rodziny. Jedynie kiedy towarzyszyła rodzinie do supermarketu</w:t>
      </w:r>
      <w:r w:rsidR="00B517CD" w:rsidRPr="00D00246">
        <w:t xml:space="preserve">, co miało miejsce około </w:t>
      </w:r>
      <w:r w:rsidR="00802C80" w:rsidRPr="00D00246">
        <w:t xml:space="preserve">raz </w:t>
      </w:r>
      <w:r w:rsidR="00A65A99">
        <w:t>w </w:t>
      </w:r>
      <w:r w:rsidR="00802C80" w:rsidRPr="00D00246">
        <w:t>miesiąc</w:t>
      </w:r>
      <w:r w:rsidR="00B517CD" w:rsidRPr="00D00246">
        <w:t>u,</w:t>
      </w:r>
      <w:r w:rsidR="00802C80" w:rsidRPr="00D00246">
        <w:t xml:space="preserve"> wolno jej było kupić jakieś podstawowe pożywienie dla siebie samej.</w:t>
      </w:r>
    </w:p>
    <w:p w14:paraId="206A97B1" w14:textId="6E833860" w:rsidR="00802C80" w:rsidRPr="00082846" w:rsidRDefault="00AF2421" w:rsidP="00802C80">
      <w:pPr>
        <w:pStyle w:val="ECHRPara"/>
      </w:pPr>
      <w:r>
        <w:rPr>
          <w:noProof/>
        </w:rPr>
        <w:t>10</w:t>
      </w:r>
      <w:r w:rsidR="00802C80" w:rsidRPr="00082846">
        <w:t>.</w:t>
      </w:r>
      <w:r w:rsidR="005F47D9">
        <w:t xml:space="preserve"> </w:t>
      </w:r>
      <w:r w:rsidR="00802C80" w:rsidRPr="00082846">
        <w:t>Po około dziewięciu miesiącach pierwsza skarżąca doświadczyła pierwszych kar ze strony pracodawczy</w:t>
      </w:r>
      <w:r w:rsidR="00A65A99">
        <w:t>ń. Gdy odkryto, że rozmawiała z </w:t>
      </w:r>
      <w:r w:rsidR="00802C80" w:rsidRPr="00082846">
        <w:t>innym pracownikiem z Filipin w języku ojczystym, została zmuszona do spania na podłodze. Gdy z powodu spania na podłodze rozchorowała się, pracodawczynie uniemożliwiły jej kupno leków i kontakt z lekarzem — zamiast tego musiała dalej pracować w tym samym wymiarze.</w:t>
      </w:r>
    </w:p>
    <w:p w14:paraId="344A21E4" w14:textId="5D5BCA9C" w:rsidR="00802C80" w:rsidRPr="00D00246" w:rsidRDefault="00AF2421" w:rsidP="00802C80">
      <w:pPr>
        <w:pStyle w:val="ECHRPara"/>
      </w:pPr>
      <w:r>
        <w:rPr>
          <w:noProof/>
        </w:rPr>
        <w:t>11</w:t>
      </w:r>
      <w:r w:rsidR="00802C80" w:rsidRPr="00082846">
        <w:t>.</w:t>
      </w:r>
      <w:r w:rsidR="005F47D9">
        <w:t xml:space="preserve"> </w:t>
      </w:r>
      <w:r w:rsidR="00802C80" w:rsidRPr="00082846">
        <w:t xml:space="preserve">Pod koniec dwuletniego </w:t>
      </w:r>
      <w:r w:rsidR="00B517CD" w:rsidRPr="00082846">
        <w:t xml:space="preserve">okresu obowiązywania </w:t>
      </w:r>
      <w:r w:rsidR="00802C80" w:rsidRPr="00082846">
        <w:t>umowy pracodawczynie pierwszej skarżącej poinformowały ją, że pragną, aby została, oferując jej lepsze wynagrodzenie</w:t>
      </w:r>
      <w:r w:rsidR="00A65A99">
        <w:t>, więcej dni wolnych od pracy i </w:t>
      </w:r>
      <w:r w:rsidR="00802C80" w:rsidRPr="00082846">
        <w:t xml:space="preserve">własny telefon, jak również zgodę na odwiedzanie rodziny pod warunkiem, że znajdzie kogoś, kto </w:t>
      </w:r>
      <w:r w:rsidR="00F91219">
        <w:t xml:space="preserve">w </w:t>
      </w:r>
      <w:r w:rsidR="00802C80" w:rsidRPr="00082846">
        <w:t>tym czasie za</w:t>
      </w:r>
      <w:r w:rsidR="00802C80" w:rsidRPr="003D7F25">
        <w:t xml:space="preserve">stąpi ją w pracy. Ostatecznie </w:t>
      </w:r>
      <w:r w:rsidR="007817B5" w:rsidRPr="003D7F25">
        <w:t xml:space="preserve">pierwsza </w:t>
      </w:r>
      <w:r w:rsidR="00743027" w:rsidRPr="001C5F9D">
        <w:t>s</w:t>
      </w:r>
      <w:r w:rsidR="00743027" w:rsidRPr="001F0818">
        <w:t xml:space="preserve">karżąca </w:t>
      </w:r>
      <w:r w:rsidR="00802C80" w:rsidRPr="001F0818">
        <w:t>wyraził</w:t>
      </w:r>
      <w:r w:rsidR="00A65A99">
        <w:t>a zgodę na przedłużenie umowy i </w:t>
      </w:r>
      <w:r w:rsidR="00802C80" w:rsidRPr="001F0818">
        <w:t>wróciła na trzy miesiące na Fi</w:t>
      </w:r>
      <w:r w:rsidR="00802C80" w:rsidRPr="008A47A5">
        <w:t>lip</w:t>
      </w:r>
      <w:r w:rsidR="00743027" w:rsidRPr="008A47A5">
        <w:t>in</w:t>
      </w:r>
      <w:r w:rsidR="00802C80" w:rsidRPr="008A47A5">
        <w:t>y. Ze względu na przedstawione zachęty i perspektywę polepszenia warunków p</w:t>
      </w:r>
      <w:r w:rsidR="00A65A99">
        <w:t>racy poprosiła drugą skarżącą o </w:t>
      </w:r>
      <w:r w:rsidR="00802C80" w:rsidRPr="008A47A5">
        <w:t>przejęcie jej roli w Dubaju</w:t>
      </w:r>
      <w:r w:rsidR="00802C80" w:rsidRPr="00D00246">
        <w:t xml:space="preserve"> pod jej nieobecność.</w:t>
      </w:r>
    </w:p>
    <w:p w14:paraId="1B02F156" w14:textId="22DEF3CF" w:rsidR="00802C80" w:rsidRPr="00082846" w:rsidRDefault="00A3591C" w:rsidP="00802C80">
      <w:pPr>
        <w:pStyle w:val="ECHRPara"/>
      </w:pPr>
      <w:r>
        <w:t>12</w:t>
      </w:r>
      <w:r w:rsidR="00802C80" w:rsidRPr="00082846">
        <w:t>.</w:t>
      </w:r>
      <w:r w:rsidR="005F47D9">
        <w:t xml:space="preserve"> </w:t>
      </w:r>
      <w:r w:rsidR="00802C80" w:rsidRPr="00082846">
        <w:t xml:space="preserve">W trakcie pobytu na Filipinach </w:t>
      </w:r>
      <w:r w:rsidR="00082846">
        <w:t xml:space="preserve">pierwsza skarżąca </w:t>
      </w:r>
      <w:r w:rsidR="00802C80" w:rsidRPr="00082846">
        <w:t>otrzymała od pracodawczyń pogróżki, że jeżeli nie wróci do Dubaju do pracy, w ogóle zakażą jej powrotu, a druga skarżąca zostanie poddana złemu traktowaniu. Wróciła zatem do Dubaju w kwietniu 2009 r.</w:t>
      </w:r>
    </w:p>
    <w:p w14:paraId="5AF12AFC" w14:textId="43F0E64A" w:rsidR="00802C80" w:rsidRPr="00082846" w:rsidRDefault="00A3591C" w:rsidP="00802C80">
      <w:pPr>
        <w:pStyle w:val="ECHRPara"/>
      </w:pPr>
      <w:r>
        <w:rPr>
          <w:noProof/>
        </w:rPr>
        <w:t>13</w:t>
      </w:r>
      <w:r w:rsidR="00802C80" w:rsidRPr="00082846">
        <w:t>.</w:t>
      </w:r>
      <w:r w:rsidR="005F47D9">
        <w:t xml:space="preserve"> </w:t>
      </w:r>
      <w:r w:rsidR="00802C80" w:rsidRPr="00082846">
        <w:t xml:space="preserve">Po powrocie </w:t>
      </w:r>
      <w:r w:rsidR="00082846">
        <w:t>pierwszą skarżącą wysłano na naukę jazdy samochodem</w:t>
      </w:r>
      <w:r w:rsidR="00802C80" w:rsidRPr="00082846">
        <w:t xml:space="preserve">. Gdy nie zaliczyła pierwszego egzaminu, zmuszono ją do opłacenia </w:t>
      </w:r>
      <w:r w:rsidR="00743027" w:rsidRPr="00082846">
        <w:t xml:space="preserve">kolejnych </w:t>
      </w:r>
      <w:r w:rsidR="00802C80" w:rsidRPr="00082846">
        <w:t>lekcji i egzaminów z własne</w:t>
      </w:r>
      <w:r w:rsidR="00743027" w:rsidRPr="00082846">
        <w:t>go</w:t>
      </w:r>
      <w:r w:rsidR="00802C80" w:rsidRPr="00082846">
        <w:t xml:space="preserve"> </w:t>
      </w:r>
      <w:r w:rsidR="00743027" w:rsidRPr="00082846">
        <w:t>wynagrodzenia</w:t>
      </w:r>
      <w:r w:rsidR="00802C80" w:rsidRPr="00082846">
        <w:t xml:space="preserve">, przy czym koszt każdego z czterech kolejnych egzaminów wynosił 700 AED — </w:t>
      </w:r>
      <w:r w:rsidR="007817B5" w:rsidRPr="00082846">
        <w:t xml:space="preserve">równowartość </w:t>
      </w:r>
      <w:r w:rsidR="00802C80" w:rsidRPr="00082846">
        <w:t>miesięczn</w:t>
      </w:r>
      <w:r w:rsidR="007817B5" w:rsidRPr="00082846">
        <w:t>ego</w:t>
      </w:r>
      <w:r w:rsidR="00802C80" w:rsidRPr="00082846">
        <w:t xml:space="preserve"> </w:t>
      </w:r>
      <w:r w:rsidR="007817B5" w:rsidRPr="00082846">
        <w:t>wynagrodzenia pierwszej skarżącej</w:t>
      </w:r>
      <w:r w:rsidR="00802C80" w:rsidRPr="00082846">
        <w:t>. Przy kilku okazjach, gdy</w:t>
      </w:r>
      <w:r w:rsidR="007817B5" w:rsidRPr="00082846">
        <w:t xml:space="preserve"> pierwsza</w:t>
      </w:r>
      <w:r w:rsidR="00802C80" w:rsidRPr="00082846">
        <w:t xml:space="preserve"> </w:t>
      </w:r>
      <w:r w:rsidR="007817B5" w:rsidRPr="00082846">
        <w:t xml:space="preserve">skarżąca </w:t>
      </w:r>
      <w:r w:rsidR="00802C80" w:rsidRPr="00082846">
        <w:t>prowadziła pojazd, jedna z pracodawczyń uderzała ją w ramię, aby zmusić do przyjęcia większej prędkości. Pracodawczyni zaczęła również regularnie bić ją bez większego powodu</w:t>
      </w:r>
      <w:r w:rsidR="00F91219">
        <w:t>,</w:t>
      </w:r>
      <w:r w:rsidR="00802C80" w:rsidRPr="00082846">
        <w:t xml:space="preserve"> bądź w ogóle bez powodu. Wielokrotnie groziła także, że pozwoli bić ją swojemu mężowi w razie niewypełniania jej poleceń bądź </w:t>
      </w:r>
      <w:r w:rsidR="007817B5" w:rsidRPr="00082846">
        <w:t xml:space="preserve">popełnienia </w:t>
      </w:r>
      <w:r w:rsidR="00802C80" w:rsidRPr="00082846">
        <w:t>jakichkolwiek błędów.</w:t>
      </w:r>
    </w:p>
    <w:p w14:paraId="710AEEF8" w14:textId="4B36DED9" w:rsidR="00802C80" w:rsidRPr="00D00246" w:rsidRDefault="00A3591C" w:rsidP="00802C80">
      <w:pPr>
        <w:pStyle w:val="ECHRPara"/>
      </w:pPr>
      <w:r>
        <w:rPr>
          <w:noProof/>
        </w:rPr>
        <w:t>14</w:t>
      </w:r>
      <w:r w:rsidR="00802C80" w:rsidRPr="00082846">
        <w:t>.</w:t>
      </w:r>
      <w:r w:rsidR="005F47D9">
        <w:t xml:space="preserve"> </w:t>
      </w:r>
      <w:r w:rsidR="00802C80" w:rsidRPr="00082846">
        <w:t xml:space="preserve">Pierwsza skarżąca towarzyszyła swoim pracodawczyniom </w:t>
      </w:r>
      <w:r w:rsidR="007817B5" w:rsidRPr="003D7F25">
        <w:t xml:space="preserve">podczas podróży </w:t>
      </w:r>
      <w:r w:rsidR="00802C80" w:rsidRPr="003D7F25">
        <w:t xml:space="preserve">do Europy, Australii, Singapuru i Omanu, przez </w:t>
      </w:r>
      <w:r w:rsidR="007817B5" w:rsidRPr="001F0818">
        <w:t xml:space="preserve">większość </w:t>
      </w:r>
      <w:r w:rsidR="00802C80" w:rsidRPr="001F0818">
        <w:t>czas</w:t>
      </w:r>
      <w:r w:rsidR="007817B5" w:rsidRPr="001F0818">
        <w:t>u</w:t>
      </w:r>
      <w:r w:rsidR="00802C80" w:rsidRPr="001F0818">
        <w:t xml:space="preserve"> przebywając w zamknięciu w pokojach hotelowych lub pod ścisłym </w:t>
      </w:r>
      <w:r w:rsidR="00802C80" w:rsidRPr="001F0818">
        <w:lastRenderedPageBreak/>
        <w:t>nadzorem pracodawczyń. Jedynie w jednej z ambasad musiała stawić się</w:t>
      </w:r>
      <w:r w:rsidR="00802C80" w:rsidRPr="008A47A5">
        <w:t xml:space="preserve"> osobiście w celu uzyskania dokumentów wjazdowych, a było to w związku z wyjazdem do Londynu, przy której to okazji pracodawczynie poleciły jej </w:t>
      </w:r>
      <w:r w:rsidR="007817B5" w:rsidRPr="008A47A5">
        <w:t>s</w:t>
      </w:r>
      <w:r w:rsidR="00802C80" w:rsidRPr="008A47A5">
        <w:t>kłamać na temat warunków zatrudni</w:t>
      </w:r>
      <w:r w:rsidR="00A65A99">
        <w:t>enia. Po przybyciu do Londynu w </w:t>
      </w:r>
      <w:r w:rsidR="00802C80" w:rsidRPr="008A47A5">
        <w:t>żadnym momencie nie pozwolono jej na opuszczen</w:t>
      </w:r>
      <w:r w:rsidR="00A65A99">
        <w:t>ie apartamentu, w </w:t>
      </w:r>
      <w:r w:rsidR="00802C80" w:rsidRPr="00D00246">
        <w:t>którym przebywa</w:t>
      </w:r>
      <w:r w:rsidR="007817B5" w:rsidRPr="00D00246">
        <w:t>ły</w:t>
      </w:r>
      <w:r w:rsidR="00802C80" w:rsidRPr="00D00246">
        <w:t>.</w:t>
      </w:r>
    </w:p>
    <w:p w14:paraId="4B7E8FBD" w14:textId="130FF4F0" w:rsidR="00802C80" w:rsidRPr="00D00246" w:rsidRDefault="00802C80" w:rsidP="00802C80">
      <w:pPr>
        <w:pStyle w:val="ECHRHeading3"/>
      </w:pPr>
      <w:r w:rsidRPr="00D00246">
        <w:t>2.</w:t>
      </w:r>
      <w:r w:rsidR="005F47D9">
        <w:t xml:space="preserve"> </w:t>
      </w:r>
      <w:r w:rsidRPr="00D00246">
        <w:t>Druga skarżąca</w:t>
      </w:r>
    </w:p>
    <w:p w14:paraId="515D11DD" w14:textId="036C56E3" w:rsidR="00802C80" w:rsidRPr="00D00246" w:rsidRDefault="00A3591C" w:rsidP="00802C80">
      <w:pPr>
        <w:pStyle w:val="ECHRPara"/>
      </w:pPr>
      <w:r>
        <w:rPr>
          <w:noProof/>
        </w:rPr>
        <w:t>15</w:t>
      </w:r>
      <w:r w:rsidR="00802C80" w:rsidRPr="00082846">
        <w:t>.</w:t>
      </w:r>
      <w:r w:rsidR="005F47D9">
        <w:t xml:space="preserve"> </w:t>
      </w:r>
      <w:r w:rsidR="00802C80" w:rsidRPr="00082846">
        <w:t xml:space="preserve">Druga skarżąca była na Filipinach mężatką z trojgiem małych dzieci. Jej mąż nie miał stałego zatrudnienia. Ponieważ spodziewała się lepszej płacy w Dubaju, zgodziła się pracować dla tych samych pracodawczyń, co pierwsza skarżąca. Pracodawczynie w Dubaju </w:t>
      </w:r>
      <w:r w:rsidR="007817B5" w:rsidRPr="003D7F25">
        <w:t xml:space="preserve">podstępem </w:t>
      </w:r>
      <w:r w:rsidR="00802C80" w:rsidRPr="003D7F25">
        <w:t>załatwiły dla niej wizę uprawniającą do odwiedzin</w:t>
      </w:r>
      <w:r w:rsidR="00802C80" w:rsidRPr="001F0818">
        <w:t xml:space="preserve">. </w:t>
      </w:r>
      <w:r w:rsidR="007817B5" w:rsidRPr="001F0818">
        <w:t>Z tego względu</w:t>
      </w:r>
      <w:r w:rsidR="00802C80" w:rsidRPr="008A47A5">
        <w:t xml:space="preserve"> </w:t>
      </w:r>
      <w:r w:rsidR="007817B5" w:rsidRPr="008A47A5">
        <w:t xml:space="preserve">druga skarżąca </w:t>
      </w:r>
      <w:r w:rsidR="00802C80" w:rsidRPr="008A47A5">
        <w:t xml:space="preserve">nie kontaktowała się z agencją zatrudnienia na Filipinach ani nie miała </w:t>
      </w:r>
      <w:r w:rsidR="00A65A99">
        <w:t>z </w:t>
      </w:r>
      <w:r w:rsidR="00802C80" w:rsidRPr="00D00246">
        <w:t xml:space="preserve">pracodawczyniami pisemnej umowy. W jej </w:t>
      </w:r>
      <w:r w:rsidR="007817B5" w:rsidRPr="00D00246">
        <w:t xml:space="preserve">mniemaniu </w:t>
      </w:r>
      <w:r w:rsidR="00802C80" w:rsidRPr="00D00246">
        <w:t xml:space="preserve">miała otrzymywać </w:t>
      </w:r>
      <w:r w:rsidR="007817B5" w:rsidRPr="00D00246">
        <w:t xml:space="preserve">kwotę </w:t>
      </w:r>
      <w:r w:rsidR="00802C80" w:rsidRPr="00D00246">
        <w:t>700 AED miesięcznie, wypłacan</w:t>
      </w:r>
      <w:r w:rsidR="007817B5" w:rsidRPr="00D00246">
        <w:t>ą</w:t>
      </w:r>
      <w:r w:rsidR="00802C80" w:rsidRPr="00D00246">
        <w:t xml:space="preserve"> bezpośrednio jej rodzinie na Filipinach.</w:t>
      </w:r>
    </w:p>
    <w:p w14:paraId="7A831AB5" w14:textId="3DD8A7A2" w:rsidR="00802C80" w:rsidRPr="00D00246" w:rsidRDefault="00A3591C" w:rsidP="00802C80">
      <w:pPr>
        <w:pStyle w:val="ECHRPara"/>
      </w:pPr>
      <w:r>
        <w:rPr>
          <w:noProof/>
        </w:rPr>
        <w:t>16</w:t>
      </w:r>
      <w:r w:rsidR="00802C80" w:rsidRPr="00082846">
        <w:t>.</w:t>
      </w:r>
      <w:r w:rsidR="005F47D9">
        <w:t xml:space="preserve"> </w:t>
      </w:r>
      <w:r w:rsidR="00802C80" w:rsidRPr="00082846">
        <w:t xml:space="preserve">W grudniu 2008 r. </w:t>
      </w:r>
      <w:r w:rsidR="007817B5" w:rsidRPr="00082846">
        <w:t xml:space="preserve">druga skarżąca </w:t>
      </w:r>
      <w:r w:rsidR="00802C80" w:rsidRPr="00082846">
        <w:t>rozpoczęła pracę w Dubaju. Po powrocie pierwszej skarżącej na Filipiny na trzy miesiące w 2009 r. (</w:t>
      </w:r>
      <w:r w:rsidR="008A47A5">
        <w:t xml:space="preserve">zob. </w:t>
      </w:r>
      <w:r w:rsidR="00802C80" w:rsidRPr="00082846">
        <w:t xml:space="preserve">paragraf 11 powyżej), pracodawczynie znacząco zmieniły sposób postępowania w stosunku do drugiej skarżącej. Zagroziły, że nie będą płacić jej rodzinie, jeżeli popełni jakiekolwiek błędy. Nie </w:t>
      </w:r>
      <w:r w:rsidR="007817B5" w:rsidRPr="003D7F25">
        <w:t xml:space="preserve">pozwoliły </w:t>
      </w:r>
      <w:r w:rsidR="00802C80" w:rsidRPr="003D7F25">
        <w:t>jej na opuszcz</w:t>
      </w:r>
      <w:r w:rsidR="007817B5" w:rsidRPr="001C5F9D">
        <w:t>e</w:t>
      </w:r>
      <w:r w:rsidR="00802C80" w:rsidRPr="001F0818">
        <w:t>nie Dubaju, w tym odmawiając zwrotu jej paszportu i nakazując jej zwrot kosztów podróży i związanych z tym wydatków. Oznajmiły jej także, że w razie ucieczki bą</w:t>
      </w:r>
      <w:r w:rsidR="00802C80" w:rsidRPr="008A47A5">
        <w:t xml:space="preserve">dź kontaktu z władzami w Dubaju </w:t>
      </w:r>
      <w:r w:rsidR="007817B5" w:rsidRPr="00D00246">
        <w:t xml:space="preserve">druga skarżąca trafi </w:t>
      </w:r>
      <w:r w:rsidR="00802C80" w:rsidRPr="00D00246">
        <w:t xml:space="preserve">do więzienia. Znęcały się nad nią fizycznie i </w:t>
      </w:r>
      <w:r w:rsidR="007817B5" w:rsidRPr="00D00246">
        <w:t>psychicznie</w:t>
      </w:r>
      <w:r w:rsidR="00802C80" w:rsidRPr="00D00246">
        <w:t xml:space="preserve">, miał też miejsce jeden incydent, w trakcie którego jedna z pracodawczyń uderzyła ją w ramię z użyciem znacznej siły. Zmuszano ją także do pracy od około </w:t>
      </w:r>
      <w:r w:rsidR="00165638" w:rsidRPr="00D00246">
        <w:t xml:space="preserve">godz. </w:t>
      </w:r>
      <w:r w:rsidR="00802C80" w:rsidRPr="00D00246">
        <w:t>5</w:t>
      </w:r>
      <w:r w:rsidR="00165638" w:rsidRPr="00D00246">
        <w:t>.00</w:t>
      </w:r>
      <w:r w:rsidR="00802C80" w:rsidRPr="00D00246">
        <w:t xml:space="preserve"> lub 6</w:t>
      </w:r>
      <w:r w:rsidR="00165638" w:rsidRPr="00D00246">
        <w:t>.00</w:t>
      </w:r>
      <w:r w:rsidR="00802C80" w:rsidRPr="00D00246">
        <w:t xml:space="preserve"> rano do północy lub </w:t>
      </w:r>
      <w:r w:rsidR="007817B5" w:rsidRPr="00D00246">
        <w:t xml:space="preserve">godz. </w:t>
      </w:r>
      <w:r w:rsidR="00802C80" w:rsidRPr="00D00246">
        <w:t>1</w:t>
      </w:r>
      <w:r w:rsidR="00165638" w:rsidRPr="00D00246">
        <w:t>.00</w:t>
      </w:r>
      <w:r w:rsidR="00802C80" w:rsidRPr="00D00246">
        <w:t xml:space="preserve"> następnego dnia.</w:t>
      </w:r>
    </w:p>
    <w:p w14:paraId="12A48047" w14:textId="12887C7B" w:rsidR="00802C80" w:rsidRPr="003D7F25" w:rsidRDefault="00A3591C" w:rsidP="00802C80">
      <w:pPr>
        <w:pStyle w:val="ECHRPara"/>
      </w:pPr>
      <w:r>
        <w:rPr>
          <w:noProof/>
        </w:rPr>
        <w:t>17</w:t>
      </w:r>
      <w:r w:rsidR="00802C80" w:rsidRPr="00082846">
        <w:t>.</w:t>
      </w:r>
      <w:r w:rsidR="005F47D9">
        <w:t xml:space="preserve"> </w:t>
      </w:r>
      <w:r w:rsidR="00802C80" w:rsidRPr="00082846">
        <w:t>W okresie od kwietnia 2009 r.</w:t>
      </w:r>
      <w:r w:rsidR="00A65A99">
        <w:t xml:space="preserve"> do czerwca 2010 r. gwałtowne i </w:t>
      </w:r>
      <w:r w:rsidR="00802C80" w:rsidRPr="00082846">
        <w:t xml:space="preserve">zagrażające zachowania pracodawczyń nasiliły się. </w:t>
      </w:r>
      <w:r w:rsidR="00082846">
        <w:t>Raz d</w:t>
      </w:r>
      <w:r w:rsidR="00802C80" w:rsidRPr="00082846">
        <w:t xml:space="preserve">ruga skarżąca została uderzona przez </w:t>
      </w:r>
      <w:r w:rsidR="00165638" w:rsidRPr="00082846">
        <w:t xml:space="preserve">jedną </w:t>
      </w:r>
      <w:r w:rsidR="00802C80" w:rsidRPr="00082846">
        <w:t xml:space="preserve">z pracodawczyń pięścią, </w:t>
      </w:r>
      <w:r w:rsidR="00165638" w:rsidRPr="00082846">
        <w:t>innym razem</w:t>
      </w:r>
      <w:r w:rsidR="00802C80" w:rsidRPr="00082846">
        <w:t xml:space="preserve"> pracodawczyni zamierzyła się, aby silnie ją spoliczkować, jednak zamiast tego uderzyła ją w ramię.</w:t>
      </w:r>
    </w:p>
    <w:p w14:paraId="4BD9D445" w14:textId="191C338F" w:rsidR="00802C80" w:rsidRPr="001F0818" w:rsidRDefault="00802C80" w:rsidP="00802C80">
      <w:pPr>
        <w:pStyle w:val="ECHRHeading3"/>
      </w:pPr>
      <w:r w:rsidRPr="001C5F9D">
        <w:t>3.</w:t>
      </w:r>
      <w:r w:rsidR="005F47D9">
        <w:t xml:space="preserve"> </w:t>
      </w:r>
      <w:r w:rsidRPr="001C5F9D">
        <w:t>Trzecia skarżąca</w:t>
      </w:r>
    </w:p>
    <w:p w14:paraId="7EB148E8" w14:textId="1C6DD832" w:rsidR="00802C80" w:rsidRPr="003D7F25" w:rsidRDefault="00A3591C" w:rsidP="00802C80">
      <w:pPr>
        <w:pStyle w:val="ECHRPara"/>
      </w:pPr>
      <w:r>
        <w:rPr>
          <w:noProof/>
        </w:rPr>
        <w:t>18</w:t>
      </w:r>
      <w:r w:rsidR="00802C80" w:rsidRPr="00082846">
        <w:t>.</w:t>
      </w:r>
      <w:r w:rsidR="005F47D9">
        <w:t xml:space="preserve"> </w:t>
      </w:r>
      <w:r w:rsidR="00802C80" w:rsidRPr="00082846">
        <w:t xml:space="preserve">Rodzina trzeciej skarżącej bardzo potrzebowała pieniędzy na </w:t>
      </w:r>
      <w:r w:rsidR="00165638" w:rsidRPr="003D7F25">
        <w:t xml:space="preserve">pokrycie </w:t>
      </w:r>
      <w:r w:rsidR="00802C80" w:rsidRPr="003D7F25">
        <w:t>niezbędne</w:t>
      </w:r>
      <w:r w:rsidR="00165638" w:rsidRPr="003D7F25">
        <w:t>go</w:t>
      </w:r>
      <w:r w:rsidR="00802C80" w:rsidRPr="003D7F25">
        <w:t xml:space="preserve"> leczeni</w:t>
      </w:r>
      <w:r w:rsidR="00165638" w:rsidRPr="003D7F25">
        <w:t>a</w:t>
      </w:r>
      <w:r w:rsidR="00802C80" w:rsidRPr="003D7F25">
        <w:t xml:space="preserve"> jej brata. Z tego powodu w 2009 r. skontaktowała się z agencją zatrudnienia na Filipinach, w której zaoferowano jej pracę pokojówki w</w:t>
      </w:r>
      <w:r w:rsidR="00802C80" w:rsidRPr="001C5F9D">
        <w:t xml:space="preserve"> Dubaju. Została poinformowana, że będzie zarabiać między 800 a 1000 AED miesięcznie (wówczas około 160-200 EUR)</w:t>
      </w:r>
      <w:r w:rsidR="00802C80" w:rsidRPr="001F0818">
        <w:t xml:space="preserve"> — w przybliżeniu dwukrotność </w:t>
      </w:r>
      <w:r w:rsidR="00165638" w:rsidRPr="001F0818">
        <w:t xml:space="preserve">wynagrodzenia, jakie otrzymywała </w:t>
      </w:r>
      <w:r w:rsidR="00802C80" w:rsidRPr="001F0818">
        <w:t xml:space="preserve">na Filipinach. Po przybyciu do Dubaju w 2009 r. musiała </w:t>
      </w:r>
      <w:r w:rsidR="00802C80" w:rsidRPr="001F0818">
        <w:lastRenderedPageBreak/>
        <w:t>oddać paszport</w:t>
      </w:r>
      <w:r w:rsidR="00802C80" w:rsidRPr="008A47A5">
        <w:t xml:space="preserve"> i telefon komórkowy komuś, kto </w:t>
      </w:r>
      <w:r w:rsidR="00802C80" w:rsidRPr="00082846">
        <w:t>podobno pracował dla jej agencji. Powiedziano jej, że rzeczy zostaną zwró</w:t>
      </w:r>
      <w:r w:rsidR="00802C80" w:rsidRPr="003D7F25">
        <w:t>cone po zakończeniu pracy w Dubaju.</w:t>
      </w:r>
    </w:p>
    <w:p w14:paraId="7246F76C" w14:textId="05C50FBE" w:rsidR="00802C80" w:rsidRPr="003D7F25" w:rsidRDefault="00A3591C" w:rsidP="00802C80">
      <w:pPr>
        <w:pStyle w:val="ECHRPara"/>
      </w:pPr>
      <w:r>
        <w:rPr>
          <w:noProof/>
        </w:rPr>
        <w:t>19</w:t>
      </w:r>
      <w:r w:rsidR="00802C80" w:rsidRPr="00082846">
        <w:t>.</w:t>
      </w:r>
      <w:r w:rsidR="005F47D9">
        <w:t xml:space="preserve"> </w:t>
      </w:r>
      <w:r w:rsidR="00165638" w:rsidRPr="00082846">
        <w:t>Trzecia skarżąca świadczyła p</w:t>
      </w:r>
      <w:r w:rsidR="00802C80" w:rsidRPr="00082846">
        <w:t>rac</w:t>
      </w:r>
      <w:r w:rsidR="00165638" w:rsidRPr="00082846">
        <w:t>ę</w:t>
      </w:r>
      <w:r w:rsidR="00802C80" w:rsidRPr="00082846">
        <w:t xml:space="preserve"> </w:t>
      </w:r>
      <w:r w:rsidR="00165638" w:rsidRPr="00082846">
        <w:t xml:space="preserve">na rzecz </w:t>
      </w:r>
      <w:r w:rsidR="00802C80" w:rsidRPr="00082846">
        <w:t xml:space="preserve">członka rodziny pracodawczyń pierwszej i drugiej skarżącej. Skarżące miały okazję się poznać, jako że obie rodziny spotykały się co </w:t>
      </w:r>
      <w:r w:rsidR="00802C80" w:rsidRPr="003D7F25">
        <w:t>piątek. Potajemnie dzieliły się wówczas swoimi doświadczeniami.</w:t>
      </w:r>
    </w:p>
    <w:p w14:paraId="278ECFEA" w14:textId="5D67404E" w:rsidR="00802C80" w:rsidRPr="00082846" w:rsidRDefault="00A3591C" w:rsidP="00802C80">
      <w:pPr>
        <w:pStyle w:val="ECHRPara"/>
        <w:keepNext/>
        <w:keepLines/>
      </w:pPr>
      <w:r>
        <w:rPr>
          <w:noProof/>
        </w:rPr>
        <w:t>20</w:t>
      </w:r>
      <w:r w:rsidR="00802C80" w:rsidRPr="00082846">
        <w:t>.</w:t>
      </w:r>
      <w:r w:rsidR="005F47D9">
        <w:t xml:space="preserve"> </w:t>
      </w:r>
      <w:r w:rsidR="00802C80" w:rsidRPr="00082846">
        <w:t xml:space="preserve">Również trzecią skarżącą obowiązywały godziny pracy od </w:t>
      </w:r>
      <w:r w:rsidR="00082846">
        <w:t xml:space="preserve">godz. </w:t>
      </w:r>
      <w:r w:rsidR="00802C80" w:rsidRPr="00082846">
        <w:t>6</w:t>
      </w:r>
      <w:r w:rsidR="00082846">
        <w:t>.00</w:t>
      </w:r>
      <w:r w:rsidR="00802C80" w:rsidRPr="00082846">
        <w:t xml:space="preserve"> rano do północy. Pracodawczyni zmuszała ją do czyszczenia samochodu w słońcu i nieznośnie wysokiej temperaturze, nie wolno jej było również </w:t>
      </w:r>
      <w:r w:rsidR="005C42C1" w:rsidRPr="00082846">
        <w:t xml:space="preserve">wyjść do toalety </w:t>
      </w:r>
      <w:r w:rsidR="00802C80" w:rsidRPr="00082846">
        <w:t xml:space="preserve">bez poinformowania pracodawczyni. Dzwonić do rodziny na Filipinach mogła tylko raz na miesiąc i jedynie w obecności pracodawczyni. Za pierwsze trzy miesiące pracy w ogóle nie otrzymała wynagrodzenia. Później otrzymywała jedynie 750 AED miesięcznie — mniej niż </w:t>
      </w:r>
      <w:r w:rsidR="00D67AB7" w:rsidRPr="00082846">
        <w:t>uzgodniono</w:t>
      </w:r>
      <w:r w:rsidR="00802C80" w:rsidRPr="00082846">
        <w:t xml:space="preserve">. </w:t>
      </w:r>
      <w:r w:rsidR="00D67AB7" w:rsidRPr="00082846">
        <w:t>Raz</w:t>
      </w:r>
      <w:r w:rsidR="00802C80" w:rsidRPr="00082846">
        <w:t xml:space="preserve"> została przez pracodawczynię uderzona, </w:t>
      </w:r>
      <w:r w:rsidR="00D67AB7" w:rsidRPr="00082846">
        <w:t xml:space="preserve">innym razem </w:t>
      </w:r>
      <w:r w:rsidR="00802C80" w:rsidRPr="00082846">
        <w:t xml:space="preserve">była świadkiem </w:t>
      </w:r>
      <w:r w:rsidR="00082846">
        <w:t>uderzenia</w:t>
      </w:r>
      <w:r w:rsidR="00082846" w:rsidRPr="00082846">
        <w:t xml:space="preserve"> </w:t>
      </w:r>
      <w:r w:rsidR="00802C80" w:rsidRPr="00082846">
        <w:t>inne</w:t>
      </w:r>
      <w:r w:rsidR="00D67AB7" w:rsidRPr="00082846">
        <w:t>go</w:t>
      </w:r>
      <w:r w:rsidR="00802C80" w:rsidRPr="00082846">
        <w:t xml:space="preserve"> prac</w:t>
      </w:r>
      <w:r w:rsidR="00D67AB7" w:rsidRPr="00082846">
        <w:t xml:space="preserve">ownika </w:t>
      </w:r>
      <w:r w:rsidR="00082846">
        <w:t xml:space="preserve">w </w:t>
      </w:r>
      <w:r w:rsidR="00082846" w:rsidRPr="00082846">
        <w:t>głow</w:t>
      </w:r>
      <w:r w:rsidR="00082846">
        <w:t>ę</w:t>
      </w:r>
      <w:r w:rsidR="00802C80" w:rsidRPr="00082846">
        <w:t>.</w:t>
      </w:r>
    </w:p>
    <w:p w14:paraId="2CCB0A38" w14:textId="6BE422D0" w:rsidR="00802C80" w:rsidRPr="00D00246" w:rsidRDefault="00A3591C" w:rsidP="00802C80">
      <w:pPr>
        <w:pStyle w:val="ECHRPara"/>
      </w:pPr>
      <w:r>
        <w:rPr>
          <w:noProof/>
        </w:rPr>
        <w:t>21</w:t>
      </w:r>
      <w:r w:rsidR="00802C80" w:rsidRPr="00082846">
        <w:t>.</w:t>
      </w:r>
      <w:r w:rsidR="005F47D9">
        <w:t xml:space="preserve"> </w:t>
      </w:r>
      <w:r w:rsidR="00802C80" w:rsidRPr="00082846">
        <w:t xml:space="preserve">Gdy </w:t>
      </w:r>
      <w:r w:rsidR="00D67AB7" w:rsidRPr="00082846">
        <w:t xml:space="preserve">trzecia skarżąca </w:t>
      </w:r>
      <w:r w:rsidR="00802C80" w:rsidRPr="00082846">
        <w:t xml:space="preserve">poinformowała pracodawczynię, że chce wrócić na Filipiny, usłyszała, że będzie </w:t>
      </w:r>
      <w:r w:rsidR="00D67AB7" w:rsidRPr="003D7F25">
        <w:t xml:space="preserve">musiała pokryć </w:t>
      </w:r>
      <w:r w:rsidR="00D67AB7" w:rsidRPr="001F0818">
        <w:t xml:space="preserve">koszty </w:t>
      </w:r>
      <w:r w:rsidR="00A65A99">
        <w:t>przelotu i </w:t>
      </w:r>
      <w:r w:rsidR="00802C80" w:rsidRPr="001F0818">
        <w:t xml:space="preserve">opłat agencyjnych, na co </w:t>
      </w:r>
      <w:r w:rsidR="00802C80" w:rsidRPr="008A47A5">
        <w:t xml:space="preserve">trzeciej skarżącej nie </w:t>
      </w:r>
      <w:r w:rsidR="00D67AB7" w:rsidRPr="008A47A5">
        <w:t xml:space="preserve">było </w:t>
      </w:r>
      <w:r w:rsidR="00802C80" w:rsidRPr="008A47A5">
        <w:t>stać</w:t>
      </w:r>
      <w:r w:rsidR="00D67AB7" w:rsidRPr="008A47A5">
        <w:t>, o czym pracodawczyni wiedziała</w:t>
      </w:r>
      <w:r w:rsidR="00802C80" w:rsidRPr="008A47A5">
        <w:t>. Pracodawczyni również jasno postawiła sprawę, że tak czy owak nie zostanie jej zwrócony paszpo</w:t>
      </w:r>
      <w:r w:rsidR="00802C80" w:rsidRPr="00D00246">
        <w:t xml:space="preserve">rt do czasu, aż przepracuje przynajmniej dziewięć miesięcy w Dubaju. Po tym </w:t>
      </w:r>
      <w:r w:rsidR="00D67AB7" w:rsidRPr="00D00246">
        <w:t xml:space="preserve">trzecia skarżąca </w:t>
      </w:r>
      <w:r w:rsidR="00802C80" w:rsidRPr="00D00246">
        <w:t xml:space="preserve">była już zbyt przestraszona, aby ponownie prosić o możliwość wyjazdu, </w:t>
      </w:r>
      <w:r w:rsidR="00D67AB7" w:rsidRPr="00D00246">
        <w:t>gdyż obawiała się</w:t>
      </w:r>
      <w:r w:rsidR="00802C80" w:rsidRPr="00D00246">
        <w:t>, że pracodawczyni odbierze jej zarobki bądź odmówi zwrotu paszportu przez jeszcze dłuższy czas.</w:t>
      </w:r>
    </w:p>
    <w:p w14:paraId="0453C164" w14:textId="2A187D4D" w:rsidR="00802C80" w:rsidRPr="00D00246" w:rsidRDefault="00802C80" w:rsidP="00802C80">
      <w:pPr>
        <w:pStyle w:val="ECHRHeading2"/>
      </w:pPr>
      <w:r w:rsidRPr="00D00246">
        <w:t>B.</w:t>
      </w:r>
      <w:r w:rsidR="005F47D9">
        <w:t xml:space="preserve"> </w:t>
      </w:r>
      <w:r w:rsidRPr="00D00246">
        <w:t>Wydarzenia w Austrii</w:t>
      </w:r>
    </w:p>
    <w:p w14:paraId="1C2ED1E7" w14:textId="720449DC" w:rsidR="00802C80" w:rsidRPr="00082846" w:rsidRDefault="00A3591C" w:rsidP="00802C80">
      <w:pPr>
        <w:pStyle w:val="ECHRPara"/>
      </w:pPr>
      <w:r>
        <w:rPr>
          <w:noProof/>
        </w:rPr>
        <w:t>22</w:t>
      </w:r>
      <w:r w:rsidR="00802C80" w:rsidRPr="00082846">
        <w:t>.</w:t>
      </w:r>
      <w:r w:rsidR="005F47D9">
        <w:t xml:space="preserve"> </w:t>
      </w:r>
      <w:r w:rsidR="009B3B99">
        <w:t>W dniu</w:t>
      </w:r>
      <w:r w:rsidR="00802C80" w:rsidRPr="00082846">
        <w:t xml:space="preserve"> 2 lipca 2010 r. pracodawczynie skarżących zabrały je ze sobą na krótki wyjazd wypoczynkowy do Austrii. Wszystkie skarżące przebywały w tym samym hotelu </w:t>
      </w:r>
      <w:r w:rsidR="00A70B2F">
        <w:t>w centrum Wiednia</w:t>
      </w:r>
      <w:r w:rsidR="00A65A99">
        <w:t>. Spały w </w:t>
      </w:r>
      <w:r w:rsidR="00802C80" w:rsidRPr="00082846">
        <w:t>odrębnym apartamencie wraz z dziewczynkami. Chłopcy spali w tym samym apartamencie, co rodzice</w:t>
      </w:r>
      <w:r w:rsidR="00802C80" w:rsidRPr="003D7F25">
        <w:t xml:space="preserve">. Podobnie jak w Dubaju, skarżące musiały zajmować się wszystkimi dziećmi pracodawczyń i wykonywać różne inne prace domowe. W dalszym ciągu musiały pracować od około </w:t>
      </w:r>
      <w:r w:rsidR="00D67AB7" w:rsidRPr="003D7F25">
        <w:t xml:space="preserve">godz. </w:t>
      </w:r>
      <w:r w:rsidR="00802C80" w:rsidRPr="003D7F25">
        <w:t>5</w:t>
      </w:r>
      <w:r w:rsidR="00D67AB7" w:rsidRPr="003D7F25">
        <w:t>.00</w:t>
      </w:r>
      <w:r w:rsidR="00802C80" w:rsidRPr="003D7F25">
        <w:t>-6</w:t>
      </w:r>
      <w:r w:rsidR="00D67AB7" w:rsidRPr="003D7F25">
        <w:t>.00</w:t>
      </w:r>
      <w:r w:rsidR="00802C80" w:rsidRPr="003D7F25">
        <w:t xml:space="preserve"> rano do północy albo i </w:t>
      </w:r>
      <w:r w:rsidR="00D67AB7" w:rsidRPr="001F0818">
        <w:t>dłużej</w:t>
      </w:r>
      <w:r w:rsidR="00802C80" w:rsidRPr="001F0818">
        <w:t>. Trzecia skarżąca regularnie spotykała się ze strony pracodawczyni z krzykiem, na przykład gdy nie udało jej się przygotować dzieci co dzień wcześnie rano. Dodatkowo pra</w:t>
      </w:r>
      <w:r w:rsidR="00802C80" w:rsidRPr="008A47A5">
        <w:t xml:space="preserve">codawczynie budziły pierwszą skarżącą około 2 rano i zmuszały do przyrządzania dla nich jedzenia. Ponadto </w:t>
      </w:r>
      <w:r w:rsidR="00D67AB7" w:rsidRPr="008A47A5">
        <w:t xml:space="preserve">pierwsza skarżąca została </w:t>
      </w:r>
      <w:r w:rsidR="00802C80" w:rsidRPr="008A47A5">
        <w:t xml:space="preserve">zmuszona </w:t>
      </w:r>
      <w:r w:rsidR="00D67AB7" w:rsidRPr="008A47A5">
        <w:t>do wniesienia do hotelu</w:t>
      </w:r>
      <w:r w:rsidR="00D67AB7" w:rsidRPr="00D00246">
        <w:t xml:space="preserve"> – </w:t>
      </w:r>
      <w:r w:rsidR="00802C80" w:rsidRPr="00D00246">
        <w:t xml:space="preserve">bez </w:t>
      </w:r>
      <w:r w:rsidR="00D67AB7" w:rsidRPr="00D00246">
        <w:t xml:space="preserve">żadnej </w:t>
      </w:r>
      <w:r w:rsidR="00802C80" w:rsidRPr="00D00246">
        <w:t xml:space="preserve">pomocy </w:t>
      </w:r>
      <w:r w:rsidR="00D67AB7" w:rsidRPr="00D00246">
        <w:t>–</w:t>
      </w:r>
      <w:r w:rsidR="005C42C1">
        <w:t xml:space="preserve"> </w:t>
      </w:r>
      <w:r w:rsidR="00802C80" w:rsidRPr="00D00246">
        <w:t>dw</w:t>
      </w:r>
      <w:r w:rsidR="00D67AB7" w:rsidRPr="00D00246">
        <w:t>u</w:t>
      </w:r>
      <w:r w:rsidR="00802C80" w:rsidRPr="00D00246">
        <w:t>dzie</w:t>
      </w:r>
      <w:r w:rsidR="00D67AB7" w:rsidRPr="00D00246">
        <w:t>stu</w:t>
      </w:r>
      <w:r w:rsidR="00802C80" w:rsidRPr="00D00246">
        <w:t xml:space="preserve"> walizek należących do pracodawczyń. W trakcie pobytu skarżących w Austrii ich paszporty znajdowały się u pracodawczyń. W hotelu w Wiedniu, w którym się </w:t>
      </w:r>
      <w:r w:rsidR="00802C80" w:rsidRPr="00D00246">
        <w:lastRenderedPageBreak/>
        <w:t xml:space="preserve">zatrzymały, poznały N., pracownicę hotelu władającą </w:t>
      </w:r>
      <w:r w:rsidR="00082846">
        <w:t>językiem tagalskim</w:t>
      </w:r>
      <w:r w:rsidR="00082846" w:rsidRPr="00082846">
        <w:t xml:space="preserve"> </w:t>
      </w:r>
      <w:r w:rsidR="00802C80" w:rsidRPr="00082846">
        <w:t>— językiem ojczystym pierwszej skarżącej.</w:t>
      </w:r>
    </w:p>
    <w:p w14:paraId="4B3743B7" w14:textId="0EA576A4" w:rsidR="00802C80" w:rsidRPr="00D00246" w:rsidRDefault="00A3591C" w:rsidP="00802C80">
      <w:pPr>
        <w:pStyle w:val="ECHRPara"/>
      </w:pPr>
      <w:r>
        <w:rPr>
          <w:noProof/>
        </w:rPr>
        <w:t>23</w:t>
      </w:r>
      <w:r w:rsidR="00802C80" w:rsidRPr="00082846">
        <w:t>.</w:t>
      </w:r>
      <w:r w:rsidR="005F47D9">
        <w:t xml:space="preserve"> </w:t>
      </w:r>
      <w:r w:rsidR="00802C80" w:rsidRPr="00082846">
        <w:t xml:space="preserve">Gdy skarżące, dzień lub dwa po przybyciu do Austrii, towarzyszyły pracodawczyniom </w:t>
      </w:r>
      <w:r w:rsidR="00D67AB7" w:rsidRPr="00082846">
        <w:t>podczas wycieczki do</w:t>
      </w:r>
      <w:r w:rsidR="00802C80" w:rsidRPr="00082846">
        <w:t xml:space="preserve"> zoo, jedno z dzieci na pewien czas się zgubiło. Jedna z pracodawczyń zaczęła na pierwszą i trzecią skarżącą krzyczeć w sposó</w:t>
      </w:r>
      <w:r w:rsidR="00802C80" w:rsidRPr="003D7F25">
        <w:t xml:space="preserve">b, z </w:t>
      </w:r>
      <w:r w:rsidR="00D67AB7" w:rsidRPr="003D7F25">
        <w:t xml:space="preserve">jakim </w:t>
      </w:r>
      <w:r w:rsidR="00802C80" w:rsidRPr="003D7F25">
        <w:t xml:space="preserve">nie miały do czynienia wcześniej. Pierwsza skarżąca odebrała poziom werbalnej agresji jako skrajny, co było dla niej doświadczeniem szczególnie przykrym i upokarzającym. Pracodawczyni groziła </w:t>
      </w:r>
      <w:r w:rsidR="00802C80" w:rsidRPr="001C5F9D">
        <w:t>trzeciej skarżącej</w:t>
      </w:r>
      <w:r w:rsidR="00D67AB7" w:rsidRPr="001F0818">
        <w:t xml:space="preserve"> pobiciem i</w:t>
      </w:r>
      <w:r w:rsidR="00802C80" w:rsidRPr="001F0818">
        <w:t xml:space="preserve"> s</w:t>
      </w:r>
      <w:r w:rsidR="00802C80" w:rsidRPr="008A47A5">
        <w:t xml:space="preserve">twierdziła, że stanie się </w:t>
      </w:r>
      <w:r w:rsidR="00D67AB7" w:rsidRPr="008A47A5">
        <w:t xml:space="preserve">jej </w:t>
      </w:r>
      <w:r w:rsidR="00802C80" w:rsidRPr="008A47A5">
        <w:t xml:space="preserve">„coś złego”, jeżeli dziecko nie odnajdzie się </w:t>
      </w:r>
      <w:r w:rsidR="00D67AB7" w:rsidRPr="00D00246">
        <w:t>całe i zdrowe</w:t>
      </w:r>
      <w:r w:rsidR="00802C80" w:rsidRPr="00D00246">
        <w:t xml:space="preserve">. Na tym etapie trzecia skarżąca </w:t>
      </w:r>
      <w:r w:rsidR="00BA1A39" w:rsidRPr="00D00246">
        <w:t xml:space="preserve">doznała </w:t>
      </w:r>
      <w:r w:rsidR="00802C80" w:rsidRPr="00D00246">
        <w:t xml:space="preserve">wrażenie, że ta pracodawczyni, z powodu </w:t>
      </w:r>
      <w:r w:rsidR="008D0CC6" w:rsidRPr="00D00246">
        <w:t xml:space="preserve">której </w:t>
      </w:r>
      <w:r w:rsidR="00802C80" w:rsidRPr="00D00246">
        <w:t xml:space="preserve">żyła w </w:t>
      </w:r>
      <w:r w:rsidR="00BA1A39" w:rsidRPr="00D00246">
        <w:t xml:space="preserve">ciągłym </w:t>
      </w:r>
      <w:r w:rsidR="00802C80" w:rsidRPr="00D00246">
        <w:t xml:space="preserve">strachu, jest osobą niebezpieczną, która może próbować bardzo ją skrzywdzić. W jej odczuciu zachodziło prawdopodobieństwo eskalacji skierowanej przeciwko niej przemocy. Uznała więc, że jeżeli pozostanie z tą rodziną, spotka ją coś złego. Podobnie pierwsza skarżąca uznała, że nie jest w stanie dłużej znosić warunków pracy, nie chciała ryzykować czekania, co się wydarzy, jeżeli wraz z pracodawczyniami udadzą się one do Londynu, tak jak to było zaplanowane. Skarżące </w:t>
      </w:r>
      <w:r w:rsidR="00A65A99">
        <w:t>zdecydowały się zatem pomówić z </w:t>
      </w:r>
      <w:r w:rsidR="00802C80" w:rsidRPr="00D00246">
        <w:t xml:space="preserve">N., </w:t>
      </w:r>
      <w:r w:rsidR="008D0CC6" w:rsidRPr="00D00246">
        <w:t xml:space="preserve">pracownicą hotelu </w:t>
      </w:r>
      <w:r w:rsidR="00802C80" w:rsidRPr="00D00246">
        <w:t xml:space="preserve">mówiącą w </w:t>
      </w:r>
      <w:r w:rsidR="006B74A2">
        <w:t>języku tagalskim</w:t>
      </w:r>
      <w:r w:rsidR="00802C80" w:rsidRPr="00D00246">
        <w:t>, aby zobaczyć, czy będzie mogła im pomóc.</w:t>
      </w:r>
    </w:p>
    <w:p w14:paraId="222D912F" w14:textId="313706C0" w:rsidR="00802C80" w:rsidRPr="003D7F25" w:rsidRDefault="00A3591C" w:rsidP="00802C80">
      <w:pPr>
        <w:pStyle w:val="ECHRPara"/>
      </w:pPr>
      <w:r>
        <w:rPr>
          <w:noProof/>
        </w:rPr>
        <w:t>24</w:t>
      </w:r>
      <w:r w:rsidR="00802C80" w:rsidRPr="00082846">
        <w:t>.</w:t>
      </w:r>
      <w:r w:rsidR="005F47D9">
        <w:t xml:space="preserve"> </w:t>
      </w:r>
      <w:r w:rsidR="00802C80" w:rsidRPr="00082846">
        <w:t>W noc po zdarzeniu — czyli dwa do trzech dni po przybyciu do Austrii — skarżące opuściły hotel z pomocą N., która załatwiła samochód mający je odebrać z przecznicy przy hotelu i zabrać w bezpieczne miejsce. Skarżące następnie uzyskały wsparcie lokal</w:t>
      </w:r>
      <w:r w:rsidR="00A65A99">
        <w:t>nej społeczności filipińskiej w </w:t>
      </w:r>
      <w:r w:rsidR="00802C80" w:rsidRPr="00082846">
        <w:t>Wiedniu.</w:t>
      </w:r>
    </w:p>
    <w:p w14:paraId="49277969" w14:textId="270AD23D" w:rsidR="00802C80" w:rsidRPr="003D7F25" w:rsidRDefault="00802C80" w:rsidP="00802C80">
      <w:pPr>
        <w:pStyle w:val="ECHRHeading2"/>
      </w:pPr>
      <w:r w:rsidRPr="003D7F25">
        <w:t>C.</w:t>
      </w:r>
      <w:r w:rsidR="005F47D9">
        <w:t xml:space="preserve"> </w:t>
      </w:r>
      <w:r w:rsidRPr="003D7F25">
        <w:t>Postępowanie w Austrii</w:t>
      </w:r>
    </w:p>
    <w:p w14:paraId="0A6999F9" w14:textId="65302382" w:rsidR="00802C80" w:rsidRPr="001C5F9D" w:rsidRDefault="00802C80" w:rsidP="00802C80">
      <w:pPr>
        <w:pStyle w:val="ECHRHeading3"/>
      </w:pPr>
      <w:r w:rsidRPr="001C5F9D">
        <w:t>1.</w:t>
      </w:r>
      <w:r w:rsidR="005F47D9">
        <w:t xml:space="preserve"> </w:t>
      </w:r>
      <w:r w:rsidRPr="001C5F9D">
        <w:t>Postępowanie karne przeciwko pracodawczyniom skarżących</w:t>
      </w:r>
    </w:p>
    <w:p w14:paraId="10449D5B" w14:textId="5DF1A41F" w:rsidR="00802C80" w:rsidRPr="00D00246" w:rsidRDefault="00A3591C" w:rsidP="00802C80">
      <w:pPr>
        <w:pStyle w:val="ECHRPara"/>
      </w:pPr>
      <w:r>
        <w:rPr>
          <w:noProof/>
        </w:rPr>
        <w:t>25</w:t>
      </w:r>
      <w:r w:rsidR="00802C80" w:rsidRPr="00082846">
        <w:t>.</w:t>
      </w:r>
      <w:r w:rsidR="005F47D9">
        <w:t xml:space="preserve"> </w:t>
      </w:r>
      <w:r w:rsidR="00802C80" w:rsidRPr="00082846">
        <w:t xml:space="preserve">W kwietniu bądź maju 2011 r., w </w:t>
      </w:r>
      <w:r w:rsidR="00A74F03" w:rsidRPr="00082846">
        <w:t xml:space="preserve">jakieś </w:t>
      </w:r>
      <w:r w:rsidR="00802C80" w:rsidRPr="00082846">
        <w:t>dziewięć miesięcy po opuszczeniu pracodawczyń, skarżące skontaktowały się z lokalną organizacją pozarządową o nazwie „LEFÖ”, aby uzyskać pomoc w celu zgłoszenia</w:t>
      </w:r>
      <w:r w:rsidR="005F47D9">
        <w:t xml:space="preserve"> policji</w:t>
      </w:r>
      <w:r w:rsidR="00802C80" w:rsidRPr="00082846">
        <w:t xml:space="preserve"> </w:t>
      </w:r>
      <w:r w:rsidR="00A74F03" w:rsidRPr="003D7F25">
        <w:t>znęcania się</w:t>
      </w:r>
      <w:r w:rsidR="00802C80" w:rsidRPr="003D7F25">
        <w:t>, nadużyć i wykorzystywania, którym były poddawane. Organizacja ta aktywnie angażuje się w walkę z handlem ludźmi w Austrii. Jest ona fina</w:t>
      </w:r>
      <w:r w:rsidR="00A65A99">
        <w:t>nsowana ze środków rządowych, w </w:t>
      </w:r>
      <w:r w:rsidR="00802C80" w:rsidRPr="003D7F25">
        <w:t>szczególności przeznaczonych na pomoc ofiarom handlu ludźmi. W lipcu 2011 r. skarżące podjęły decyzję, aby zwrócić się do policji austriackiej i</w:t>
      </w:r>
      <w:r w:rsidR="00802C80" w:rsidRPr="001C5F9D">
        <w:t xml:space="preserve"> złożyć zawiadomienie o popełnieniu przestępstwa (</w:t>
      </w:r>
      <w:r w:rsidR="00802C80" w:rsidRPr="001F0818">
        <w:rPr>
          <w:i/>
        </w:rPr>
        <w:t>Strafanzeige</w:t>
      </w:r>
      <w:r w:rsidR="00802C80" w:rsidRPr="001F0818">
        <w:t>) przeciwko pracodawczyniom. Wyjaśniły, że są ofiara</w:t>
      </w:r>
      <w:r w:rsidR="00A65A99">
        <w:t>mi handlu ludźmi. W dniach 11 i </w:t>
      </w:r>
      <w:r w:rsidR="00802C80" w:rsidRPr="001F0818">
        <w:t xml:space="preserve">21 lipca oraz 17 sierpnia 2011 r. zostały w obecności przedstawicieli LEFÖ </w:t>
      </w:r>
      <w:r w:rsidR="00A74F03" w:rsidRPr="008A47A5">
        <w:t xml:space="preserve">szczegółowo </w:t>
      </w:r>
      <w:r w:rsidR="00802C80" w:rsidRPr="008A47A5">
        <w:t>przesłuchane przez f</w:t>
      </w:r>
      <w:r w:rsidR="00A65A99">
        <w:t>unkcjonariuszy Biura do Walki z </w:t>
      </w:r>
      <w:r w:rsidR="00802C80" w:rsidRPr="008A47A5">
        <w:t>Handlem Ludźmi (</w:t>
      </w:r>
      <w:r w:rsidR="00802C80" w:rsidRPr="00D00246">
        <w:rPr>
          <w:i/>
        </w:rPr>
        <w:t>Büro für Bekämpfung des Menschenhandels</w:t>
      </w:r>
      <w:r w:rsidR="00802C80" w:rsidRPr="00D00246">
        <w:t xml:space="preserve">) </w:t>
      </w:r>
      <w:r w:rsidR="00802C80" w:rsidRPr="00036045">
        <w:lastRenderedPageBreak/>
        <w:t>Związkowej</w:t>
      </w:r>
      <w:r w:rsidR="00802C80" w:rsidRPr="00D00246">
        <w:t xml:space="preserve"> Służby Śledczej (</w:t>
      </w:r>
      <w:r w:rsidR="00802C80" w:rsidRPr="00D00246">
        <w:rPr>
          <w:i/>
        </w:rPr>
        <w:t>Bundeskriminalamt</w:t>
      </w:r>
      <w:r w:rsidR="00802C80" w:rsidRPr="00D00246">
        <w:t>). W raporcie funkcjonariusze stwierdzili, że czyny zostały dokonane za granicą.</w:t>
      </w:r>
    </w:p>
    <w:p w14:paraId="335572DE" w14:textId="0DBD7901" w:rsidR="00802C80" w:rsidRPr="001C5F9D" w:rsidRDefault="00A3591C" w:rsidP="00802C80">
      <w:pPr>
        <w:pStyle w:val="ECHRPara"/>
      </w:pPr>
      <w:r>
        <w:rPr>
          <w:noProof/>
        </w:rPr>
        <w:t>26</w:t>
      </w:r>
      <w:r w:rsidR="00802C80" w:rsidRPr="00082846">
        <w:t>.</w:t>
      </w:r>
      <w:r w:rsidR="005F47D9">
        <w:t xml:space="preserve"> </w:t>
      </w:r>
      <w:r w:rsidR="00802C80" w:rsidRPr="00082846">
        <w:t>Skarżące poinformowano, że pracodawczynie również wysunęły wobec nich zarzuty, w tym m.in. kradzieży pieniędzy i telefonu komórkowego na ich szkodę przy uciecz</w:t>
      </w:r>
      <w:r w:rsidR="00A74F03" w:rsidRPr="003D7F25">
        <w:t>c</w:t>
      </w:r>
      <w:r w:rsidR="00802C80" w:rsidRPr="003D7F25">
        <w:t xml:space="preserve">e z hotelu. Zarzuty te zostały następnie oficjalnie uznane przez władze austriackie za nieprawdziwe. </w:t>
      </w:r>
      <w:r w:rsidR="00A74F03" w:rsidRPr="003D7F25">
        <w:t>Wszystkie s</w:t>
      </w:r>
      <w:r w:rsidR="00802C80" w:rsidRPr="003D7F25">
        <w:t>karżące wyraziły gotowość do aktywnej współpracy z organami i udziału w postępowaniu karnym przeciwko pracodawczyniom.</w:t>
      </w:r>
    </w:p>
    <w:p w14:paraId="70247B13" w14:textId="74F1BD6D" w:rsidR="00802C80" w:rsidRPr="00D00246" w:rsidRDefault="00A3591C" w:rsidP="00802C80">
      <w:pPr>
        <w:pStyle w:val="ECHRPara"/>
      </w:pPr>
      <w:r>
        <w:rPr>
          <w:noProof/>
        </w:rPr>
        <w:t>27</w:t>
      </w:r>
      <w:r w:rsidR="00802C80" w:rsidRPr="00082846">
        <w:t>.</w:t>
      </w:r>
      <w:r w:rsidR="005F47D9">
        <w:t xml:space="preserve"> </w:t>
      </w:r>
      <w:r w:rsidR="00355BD4">
        <w:t xml:space="preserve">W dniu </w:t>
      </w:r>
      <w:r w:rsidR="00802C80" w:rsidRPr="00082846">
        <w:t>4 listopada 2011 r. prokuratura w Wiedniu (</w:t>
      </w:r>
      <w:r w:rsidR="00802C80" w:rsidRPr="00082846">
        <w:rPr>
          <w:i/>
        </w:rPr>
        <w:t>Staatsanwaltschaft Wien</w:t>
      </w:r>
      <w:r w:rsidR="00802C80" w:rsidRPr="003D7F25">
        <w:t xml:space="preserve">) umorzyła postępowanie </w:t>
      </w:r>
      <w:r w:rsidR="00A74F03" w:rsidRPr="003D7F25">
        <w:t xml:space="preserve">prowadzone na gruncie </w:t>
      </w:r>
      <w:r w:rsidR="00802C80" w:rsidRPr="003D7F25">
        <w:t xml:space="preserve">art. 104A </w:t>
      </w:r>
      <w:r w:rsidR="005F47D9" w:rsidRPr="003D7F25">
        <w:t xml:space="preserve">Kodeksu </w:t>
      </w:r>
      <w:r w:rsidR="00802C80" w:rsidRPr="003D7F25">
        <w:t>karnego (</w:t>
      </w:r>
      <w:r w:rsidR="00802C80" w:rsidRPr="003D7F25">
        <w:rPr>
          <w:i/>
        </w:rPr>
        <w:t>Strafgesetzbuch</w:t>
      </w:r>
      <w:r w:rsidR="00802C80" w:rsidRPr="003D7F25">
        <w:t xml:space="preserve"> — dalej: „k.k.”) w przedmiocie handlu ludźmi (</w:t>
      </w:r>
      <w:r w:rsidR="008A47A5">
        <w:t xml:space="preserve">zob. </w:t>
      </w:r>
      <w:r w:rsidR="00802C80" w:rsidRPr="001F0818">
        <w:t xml:space="preserve">paragraf 35 poniżej) w trybie art. 190 § 1 </w:t>
      </w:r>
      <w:r w:rsidR="005F47D9" w:rsidRPr="001F0818">
        <w:t xml:space="preserve">Kodeksu </w:t>
      </w:r>
      <w:r w:rsidR="00802C80" w:rsidRPr="001F0818">
        <w:t>postępowania karnego (</w:t>
      </w:r>
      <w:r w:rsidR="00802C80" w:rsidRPr="008A47A5">
        <w:rPr>
          <w:i/>
        </w:rPr>
        <w:t>Strafprozessordnung</w:t>
      </w:r>
      <w:r w:rsidR="00802C80" w:rsidRPr="008A47A5">
        <w:t xml:space="preserve"> — dalej: „k.p.k.” — </w:t>
      </w:r>
      <w:r w:rsidR="00B857D9" w:rsidRPr="008A47A5">
        <w:t>Vide</w:t>
      </w:r>
      <w:r w:rsidR="00A74F03" w:rsidRPr="008A47A5">
        <w:t xml:space="preserve"> </w:t>
      </w:r>
      <w:r w:rsidR="00802C80" w:rsidRPr="008A47A5">
        <w:t xml:space="preserve">paragraf 36 poniżej). </w:t>
      </w:r>
      <w:r w:rsidR="00355BD4">
        <w:t>W dniu</w:t>
      </w:r>
      <w:r w:rsidR="00802C80" w:rsidRPr="008A47A5">
        <w:t xml:space="preserve"> 14 listopada 2011 r. prokurator wydał pisemne postanowienie </w:t>
      </w:r>
      <w:r w:rsidR="00A74F03" w:rsidRPr="00D00246">
        <w:t xml:space="preserve">o umorzeniu postepowania </w:t>
      </w:r>
      <w:r w:rsidR="00802C80" w:rsidRPr="00D00246">
        <w:t xml:space="preserve">z krótkim uzasadnieniem. W ocenie prokuratora czyn został popełniony za granicą przez cudzoziemców </w:t>
      </w:r>
      <w:r w:rsidR="00A65A99">
        <w:t>i </w:t>
      </w:r>
      <w:r w:rsidR="00A74F03" w:rsidRPr="00D00246">
        <w:t>nie dotyczył</w:t>
      </w:r>
      <w:r w:rsidR="00802C80" w:rsidRPr="00D00246">
        <w:t xml:space="preserve"> austriackich interesów w rozumieniu art. 64 § 1 ust. 4 k.k.</w:t>
      </w:r>
    </w:p>
    <w:p w14:paraId="42926C3B" w14:textId="6E32806F" w:rsidR="00802C80" w:rsidRPr="003D7F25" w:rsidRDefault="00A3591C" w:rsidP="00802C80">
      <w:pPr>
        <w:pStyle w:val="ECHRPara"/>
      </w:pPr>
      <w:r>
        <w:rPr>
          <w:noProof/>
        </w:rPr>
        <w:t>28</w:t>
      </w:r>
      <w:r w:rsidR="00802C80" w:rsidRPr="00082846">
        <w:t>.</w:t>
      </w:r>
      <w:r w:rsidR="005F47D9">
        <w:t xml:space="preserve"> </w:t>
      </w:r>
      <w:r w:rsidR="00355BD4">
        <w:t>W dniu</w:t>
      </w:r>
      <w:r w:rsidR="00802C80" w:rsidRPr="00082846">
        <w:t xml:space="preserve"> 30 listopada 2011 r. skarżące złożyły wniosek o podjęcie postępowania przygotowawczego (</w:t>
      </w:r>
      <w:r w:rsidR="00802C80" w:rsidRPr="00082846">
        <w:rPr>
          <w:i/>
        </w:rPr>
        <w:t>Fortsetzungsantrag</w:t>
      </w:r>
      <w:r w:rsidR="00802C80" w:rsidRPr="00082846">
        <w:t xml:space="preserve">) </w:t>
      </w:r>
      <w:r w:rsidR="005F47D9">
        <w:t>do Okręgowego</w:t>
      </w:r>
      <w:r w:rsidR="00802C80" w:rsidRPr="00082846">
        <w:t xml:space="preserve"> Sąd</w:t>
      </w:r>
      <w:r w:rsidR="005F47D9">
        <w:t>u</w:t>
      </w:r>
      <w:r w:rsidR="00802C80" w:rsidRPr="00082846">
        <w:t xml:space="preserve"> Karn</w:t>
      </w:r>
      <w:r w:rsidR="005F47D9">
        <w:t>ego</w:t>
      </w:r>
      <w:r w:rsidR="00802C80" w:rsidRPr="003D7F25">
        <w:t xml:space="preserve"> w Wiedniu (</w:t>
      </w:r>
      <w:r w:rsidR="00802C80" w:rsidRPr="003D7F25">
        <w:rPr>
          <w:i/>
        </w:rPr>
        <w:t>Straflandesgericht Wien</w:t>
      </w:r>
      <w:r w:rsidR="00802C80" w:rsidRPr="003D7F25">
        <w:t xml:space="preserve">). Podniosły, że </w:t>
      </w:r>
      <w:r w:rsidR="00A74F03" w:rsidRPr="003D7F25">
        <w:t xml:space="preserve">sprawa dotyczy </w:t>
      </w:r>
      <w:r w:rsidR="00802C80" w:rsidRPr="003D7F25">
        <w:t xml:space="preserve">interesów austriackich, </w:t>
      </w:r>
      <w:r w:rsidR="00A74F03" w:rsidRPr="003D7F25">
        <w:t xml:space="preserve">a </w:t>
      </w:r>
      <w:r w:rsidR="00802C80" w:rsidRPr="001C5F9D">
        <w:t>pracodawc</w:t>
      </w:r>
      <w:r w:rsidR="00A65A99">
        <w:t>zynie dalej wykorzystywały je i </w:t>
      </w:r>
      <w:r w:rsidR="00802C80" w:rsidRPr="001C5F9D">
        <w:t xml:space="preserve">znęcały się nad nimi w Austrii. W ich ocenie </w:t>
      </w:r>
      <w:r w:rsidR="00A74F03" w:rsidRPr="001F0818">
        <w:t xml:space="preserve">doszło do </w:t>
      </w:r>
      <w:r w:rsidR="00082846">
        <w:t>realizacji</w:t>
      </w:r>
      <w:r w:rsidR="00A74F03" w:rsidRPr="00082846">
        <w:t xml:space="preserve"> ustawowych znamion </w:t>
      </w:r>
      <w:r w:rsidR="00802C80" w:rsidRPr="00082846">
        <w:t xml:space="preserve">przestępstwa </w:t>
      </w:r>
      <w:r w:rsidR="00A74F03" w:rsidRPr="00082846">
        <w:t>zagrożonego karą z</w:t>
      </w:r>
      <w:r w:rsidR="00802C80" w:rsidRPr="00082846">
        <w:t xml:space="preserve"> art. 104a § 1 </w:t>
      </w:r>
      <w:r w:rsidR="00082846">
        <w:t>pkt</w:t>
      </w:r>
      <w:r w:rsidR="00802C80" w:rsidRPr="00082846">
        <w:t xml:space="preserve"> 2 k.k.</w:t>
      </w:r>
      <w:r w:rsidR="00802C80" w:rsidRPr="003D7F25">
        <w:t>.</w:t>
      </w:r>
    </w:p>
    <w:p w14:paraId="064EF5AB" w14:textId="24435E67" w:rsidR="00802C80" w:rsidRPr="00D00246" w:rsidRDefault="00A3591C" w:rsidP="00802C80">
      <w:pPr>
        <w:pStyle w:val="ECHRPara"/>
      </w:pPr>
      <w:r>
        <w:rPr>
          <w:noProof/>
        </w:rPr>
        <w:t>29</w:t>
      </w:r>
      <w:r w:rsidR="00802C80" w:rsidRPr="00082846">
        <w:t>.</w:t>
      </w:r>
      <w:r w:rsidR="005F47D9">
        <w:t xml:space="preserve"> </w:t>
      </w:r>
      <w:r w:rsidR="00802C80" w:rsidRPr="00082846">
        <w:t xml:space="preserve">Wówczas wiedeńska prokuratura przedstawiła sądowi swoje stanowisko ze wskazaniem </w:t>
      </w:r>
      <w:r w:rsidR="00A74F03" w:rsidRPr="00082846">
        <w:t xml:space="preserve">przyczyn </w:t>
      </w:r>
      <w:r w:rsidR="00802C80" w:rsidRPr="00082846">
        <w:t xml:space="preserve">umorzenia postępowania przygotowawczego. </w:t>
      </w:r>
      <w:r w:rsidR="00A74F03" w:rsidRPr="003D7F25">
        <w:t xml:space="preserve">Z </w:t>
      </w:r>
      <w:r w:rsidR="00802C80" w:rsidRPr="003D7F25">
        <w:t>akt</w:t>
      </w:r>
      <w:r w:rsidR="00A74F03" w:rsidRPr="003D7F25">
        <w:t xml:space="preserve"> sprawy nie wynikało</w:t>
      </w:r>
      <w:r w:rsidR="00802C80" w:rsidRPr="003D7F25">
        <w:t xml:space="preserve">, jakoby stanowiące czyn zabroniony zachowania </w:t>
      </w:r>
      <w:r w:rsidR="00916463" w:rsidRPr="003D7F25">
        <w:t xml:space="preserve">enumeratywnie </w:t>
      </w:r>
      <w:r w:rsidR="00A74F03" w:rsidRPr="001C5F9D">
        <w:t xml:space="preserve">wymienione </w:t>
      </w:r>
      <w:r w:rsidR="00802C80" w:rsidRPr="001F0818">
        <w:t>w art. 104a k.k. miały miejsce w Austrii, w szczególności poni</w:t>
      </w:r>
      <w:r w:rsidR="00A65A99">
        <w:t xml:space="preserve">eważ czyn został już </w:t>
      </w:r>
      <w:r w:rsidR="00A65A99" w:rsidRPr="00036045">
        <w:t>dokonany</w:t>
      </w:r>
      <w:r w:rsidR="00A65A99">
        <w:t xml:space="preserve"> w </w:t>
      </w:r>
      <w:r w:rsidR="00802C80" w:rsidRPr="001F0818">
        <w:t>Dubaju (</w:t>
      </w:r>
      <w:r w:rsidR="00802C80" w:rsidRPr="001F0818">
        <w:rPr>
          <w:i/>
        </w:rPr>
        <w:t>zumal das Delikt bereits in Dubai vollendet wurde</w:t>
      </w:r>
      <w:r w:rsidR="00802C80" w:rsidRPr="008A47A5">
        <w:t xml:space="preserve">), zaś </w:t>
      </w:r>
      <w:r w:rsidR="00A74F03" w:rsidRPr="008A47A5">
        <w:t>sprawcy</w:t>
      </w:r>
      <w:r w:rsidR="00802C80" w:rsidRPr="008A47A5">
        <w:t xml:space="preserve"> nie są obywatelami austriackimi. Nadto z oświadcz</w:t>
      </w:r>
      <w:r w:rsidR="00802C80" w:rsidRPr="00D00246">
        <w:t>eń skarżących (opieka nad dziećmi, pranie, przyrządzanie jedzenia) nie wynika, jakoby były one wykorzystywane w Austrii, szczególnie że udało im się opuścić pracodawczynie zaledwie dwa do trzech dni po przybyciu do Wiednia.</w:t>
      </w:r>
    </w:p>
    <w:p w14:paraId="1E33599F" w14:textId="7AD212EF" w:rsidR="00802C80" w:rsidRPr="003D7F25" w:rsidRDefault="00A3591C" w:rsidP="00802C80">
      <w:pPr>
        <w:pStyle w:val="ECHRPara"/>
      </w:pPr>
      <w:r>
        <w:rPr>
          <w:noProof/>
        </w:rPr>
        <w:t>30</w:t>
      </w:r>
      <w:r w:rsidR="00802C80" w:rsidRPr="00082846">
        <w:t>.</w:t>
      </w:r>
      <w:r w:rsidR="005F47D9">
        <w:t xml:space="preserve"> </w:t>
      </w:r>
      <w:r w:rsidR="00802C80" w:rsidRPr="00082846">
        <w:t xml:space="preserve">Dnia 16 marca 2012 r. Okręgowy Sąd Karny w Wiedniu oddalił wniosek skarżących. W istotnym częściach postanowienia czytamy (tłumaczenie z </w:t>
      </w:r>
      <w:r w:rsidR="00A74F03" w:rsidRPr="003D7F25">
        <w:t xml:space="preserve">języka </w:t>
      </w:r>
      <w:r w:rsidR="00802C80" w:rsidRPr="003D7F25">
        <w:t>niemieckiego):</w:t>
      </w:r>
    </w:p>
    <w:p w14:paraId="3301DA97" w14:textId="77777777" w:rsidR="00802C80" w:rsidRPr="00D00246" w:rsidRDefault="00802C80" w:rsidP="00802C80">
      <w:pPr>
        <w:pStyle w:val="ECHRParaQuote"/>
      </w:pPr>
      <w:r w:rsidRPr="001C5F9D">
        <w:t xml:space="preserve">„Postanowienie o umorzeniu [postępowania karnego] wymaga — w drodze implikacji — </w:t>
      </w:r>
      <w:r w:rsidR="00A74F03" w:rsidRPr="001F0818">
        <w:t xml:space="preserve">dostatecznego wyjaśnienia </w:t>
      </w:r>
      <w:r w:rsidRPr="001F0818">
        <w:t>stan</w:t>
      </w:r>
      <w:r w:rsidR="00A74F03" w:rsidRPr="001F0818">
        <w:t>u</w:t>
      </w:r>
      <w:r w:rsidRPr="001F0818">
        <w:t xml:space="preserve"> faktyczn</w:t>
      </w:r>
      <w:r w:rsidR="00A74F03" w:rsidRPr="001F0818">
        <w:t>ego</w:t>
      </w:r>
      <w:r w:rsidRPr="001F0818">
        <w:t xml:space="preserve"> sprawy </w:t>
      </w:r>
      <w:r w:rsidRPr="008A47A5">
        <w:t>bądź brak</w:t>
      </w:r>
      <w:r w:rsidR="00A40E49" w:rsidRPr="008A47A5">
        <w:t>u</w:t>
      </w:r>
      <w:r w:rsidRPr="008A47A5">
        <w:t xml:space="preserve"> wskazań, że postępowanie przygotowawcze będzi</w:t>
      </w:r>
      <w:r w:rsidRPr="00D00246">
        <w:t>e owocne.</w:t>
      </w:r>
    </w:p>
    <w:p w14:paraId="692BA4AD" w14:textId="682D5F72" w:rsidR="00802C80" w:rsidRPr="001C5F9D" w:rsidRDefault="00802C80" w:rsidP="00802C80">
      <w:pPr>
        <w:pStyle w:val="ECHRParaQuote"/>
      </w:pPr>
      <w:r w:rsidRPr="00D00246">
        <w:t xml:space="preserve">Nie ma </w:t>
      </w:r>
      <w:r w:rsidR="003D7F25" w:rsidRPr="00D00246">
        <w:t>po</w:t>
      </w:r>
      <w:r w:rsidR="003D7F25">
        <w:t>dstaw</w:t>
      </w:r>
      <w:r w:rsidR="003D7F25" w:rsidRPr="003D7F25">
        <w:t xml:space="preserve"> </w:t>
      </w:r>
      <w:r w:rsidRPr="003D7F25">
        <w:t>do dalszego ścigania, jeżeli na podstawie (…) wyników</w:t>
      </w:r>
      <w:r w:rsidR="005F47D9">
        <w:t xml:space="preserve"> śledztwa</w:t>
      </w:r>
      <w:r w:rsidRPr="003D7F25">
        <w:t xml:space="preserve"> skazanie nie jest bardziej prawdopodobne niż uniewinnienie (…).</w:t>
      </w:r>
    </w:p>
    <w:p w14:paraId="4A59682C" w14:textId="0C108AC6" w:rsidR="00802C80" w:rsidRPr="001F0818" w:rsidRDefault="00802C80" w:rsidP="00802C80">
      <w:pPr>
        <w:pStyle w:val="ECHRParaQuote"/>
      </w:pPr>
      <w:r w:rsidRPr="001F0818">
        <w:lastRenderedPageBreak/>
        <w:t xml:space="preserve">Stosownie do art. 64 § 1 </w:t>
      </w:r>
      <w:r w:rsidR="00A40E49" w:rsidRPr="001F0818">
        <w:t>pkt</w:t>
      </w:r>
      <w:r w:rsidRPr="001F0818">
        <w:t xml:space="preserve"> 4 k.k., jeżeli czyn </w:t>
      </w:r>
      <w:r w:rsidRPr="003D7F25">
        <w:t>wyrządził szkodę interesom austriackim bądź ekstradycja sprawcy nie jest możliwa, austriackie przepisy karne stosuj</w:t>
      </w:r>
      <w:r w:rsidR="00A40E49" w:rsidRPr="003D7F25">
        <w:t>e</w:t>
      </w:r>
      <w:r w:rsidRPr="003D7F25">
        <w:t xml:space="preserve"> się niezależnie od przepisów karnych miejsca popełnienia czynu, na przykład w przypadku przestępstwa uprowadzenia dla okupu z art. 104a k.k.</w:t>
      </w:r>
      <w:r w:rsidRPr="001C5F9D">
        <w:t xml:space="preserve"> Ponieważ skarżące spędziły w Wiedniu około trzech dni, </w:t>
      </w:r>
      <w:r w:rsidR="00A40E49" w:rsidRPr="001F0818">
        <w:t xml:space="preserve">nie </w:t>
      </w:r>
      <w:r w:rsidR="00A40E49" w:rsidRPr="00036045">
        <w:t xml:space="preserve">doszło do </w:t>
      </w:r>
      <w:r w:rsidR="003D7F25">
        <w:t>realizacji</w:t>
      </w:r>
      <w:r w:rsidR="00A40E49" w:rsidRPr="003D7F25">
        <w:t xml:space="preserve"> ustawowych znamion</w:t>
      </w:r>
      <w:r w:rsidRPr="003D7F25">
        <w:t xml:space="preserve"> przestępstwa z art. 104a § 1 </w:t>
      </w:r>
      <w:r w:rsidR="00A40E49" w:rsidRPr="003D7F25">
        <w:t>pkt</w:t>
      </w:r>
      <w:r w:rsidRPr="003D7F25">
        <w:t xml:space="preserve"> 2 k.k., </w:t>
      </w:r>
      <w:r w:rsidR="00A40E49" w:rsidRPr="003D7F25">
        <w:t xml:space="preserve">bowiem </w:t>
      </w:r>
      <w:r w:rsidR="00A65A99">
        <w:t>zachowania związane z </w:t>
      </w:r>
      <w:r w:rsidRPr="003D7F25">
        <w:t xml:space="preserve">wykorzystywaniem pracy muszą </w:t>
      </w:r>
      <w:r w:rsidR="00A40E49" w:rsidRPr="003D7F25">
        <w:t xml:space="preserve">być </w:t>
      </w:r>
      <w:r w:rsidRPr="003D7F25">
        <w:t>realizowa</w:t>
      </w:r>
      <w:r w:rsidR="00A40E49" w:rsidRPr="003D7F25">
        <w:t xml:space="preserve">ne </w:t>
      </w:r>
      <w:r w:rsidRPr="003D7F25">
        <w:t xml:space="preserve">w dłuższym odcinku czasowym; </w:t>
      </w:r>
      <w:r w:rsidR="00A40E49" w:rsidRPr="003D7F25">
        <w:t xml:space="preserve">należy zatem wykluczyć </w:t>
      </w:r>
      <w:r w:rsidRPr="001C5F9D">
        <w:t>popełnienie przestępstwa w Austrii</w:t>
      </w:r>
      <w:r w:rsidRPr="001F0818">
        <w:t>.</w:t>
      </w:r>
    </w:p>
    <w:p w14:paraId="62FE4C54" w14:textId="77777777" w:rsidR="00802C80" w:rsidRPr="001F0818" w:rsidRDefault="00802C80" w:rsidP="00802C80">
      <w:pPr>
        <w:pStyle w:val="ECHRParaQuote"/>
      </w:pPr>
      <w:r w:rsidRPr="003D7F25">
        <w:t xml:space="preserve">Jurysdykcji austriackich organów ścigania nie można również wywieść z art. 64 § 1 </w:t>
      </w:r>
      <w:r w:rsidR="00A40E49" w:rsidRPr="001C5F9D">
        <w:t>pk</w:t>
      </w:r>
      <w:r w:rsidR="00A40E49" w:rsidRPr="001F0818">
        <w:t>t</w:t>
      </w:r>
      <w:r w:rsidRPr="001F0818">
        <w:t xml:space="preserve"> 4 k.k.</w:t>
      </w:r>
    </w:p>
    <w:p w14:paraId="50C32561" w14:textId="77777777" w:rsidR="00802C80" w:rsidRPr="001F0818" w:rsidRDefault="00A40E49" w:rsidP="00802C80">
      <w:pPr>
        <w:pStyle w:val="ECHRParaQuote"/>
      </w:pPr>
      <w:r w:rsidRPr="008A47A5">
        <w:t xml:space="preserve">Do </w:t>
      </w:r>
      <w:r w:rsidR="003D7F25">
        <w:t>naruszenia</w:t>
      </w:r>
      <w:r w:rsidRPr="003D7F25">
        <w:t xml:space="preserve"> i</w:t>
      </w:r>
      <w:r w:rsidR="00802C80" w:rsidRPr="003D7F25">
        <w:t>nteres</w:t>
      </w:r>
      <w:r w:rsidRPr="003D7F25">
        <w:t>ów</w:t>
      </w:r>
      <w:r w:rsidR="00802C80" w:rsidRPr="003D7F25">
        <w:t xml:space="preserve"> austriacki</w:t>
      </w:r>
      <w:r w:rsidRPr="003D7F25">
        <w:t>ch dochodzi wówczas</w:t>
      </w:r>
      <w:r w:rsidR="00802C80" w:rsidRPr="003D7F25">
        <w:t xml:space="preserve">, gdy </w:t>
      </w:r>
      <w:r w:rsidRPr="001C5F9D">
        <w:t xml:space="preserve">pokrzywdzony </w:t>
      </w:r>
      <w:r w:rsidR="00802C80" w:rsidRPr="001F0818">
        <w:t xml:space="preserve">lub sprawca </w:t>
      </w:r>
      <w:r w:rsidRPr="001F0818">
        <w:t xml:space="preserve">są obywatelami </w:t>
      </w:r>
      <w:r w:rsidR="00802C80" w:rsidRPr="008A47A5">
        <w:t>austriacki</w:t>
      </w:r>
      <w:r w:rsidRPr="008A47A5">
        <w:t>mi</w:t>
      </w:r>
      <w:r w:rsidR="00802C80" w:rsidRPr="008A47A5">
        <w:t>, gdy czyny zabr</w:t>
      </w:r>
      <w:r w:rsidR="00A65A99">
        <w:t>onione mają konkretny łącznik z </w:t>
      </w:r>
      <w:r w:rsidR="00802C80" w:rsidRPr="008A47A5">
        <w:t xml:space="preserve">Austrią lub gdy obowiązek ścigania </w:t>
      </w:r>
      <w:r w:rsidRPr="00D00246">
        <w:t xml:space="preserve">określonych </w:t>
      </w:r>
      <w:r w:rsidR="00802C80" w:rsidRPr="00D00246">
        <w:t>przestęp</w:t>
      </w:r>
      <w:r w:rsidRPr="00D00246">
        <w:t>st</w:t>
      </w:r>
      <w:r w:rsidR="00802C80" w:rsidRPr="00D00246">
        <w:t xml:space="preserve">w wynika z prawa międzynarodowego. Do </w:t>
      </w:r>
      <w:r w:rsidR="003D7F25">
        <w:t>naruszenia</w:t>
      </w:r>
      <w:r w:rsidR="003D7F25" w:rsidRPr="003D7F25">
        <w:t xml:space="preserve"> </w:t>
      </w:r>
      <w:r w:rsidR="00802C80" w:rsidRPr="003D7F25">
        <w:t>interesów austriackich tak czy owak dochodzi, gdy przestępstwo z art. 102, 103, 104 lub 217 k.k. zostaje popełnione na szkodę obywatela austriackiego bądź gdy środki austriackie lub austriackie papiery wartościowe (</w:t>
      </w:r>
      <w:r w:rsidR="00802C80" w:rsidRPr="001C5F9D">
        <w:rPr>
          <w:i/>
        </w:rPr>
        <w:t>Wertpapiere</w:t>
      </w:r>
      <w:r w:rsidR="00802C80" w:rsidRPr="001F0818">
        <w:t>) stają się przedmiotem czynów</w:t>
      </w:r>
      <w:r w:rsidR="00A65A99">
        <w:t xml:space="preserve"> z art. 232 lub z art. 237 w </w:t>
      </w:r>
      <w:r w:rsidR="00802C80" w:rsidRPr="001F0818">
        <w:t xml:space="preserve">zw. z </w:t>
      </w:r>
      <w:r w:rsidRPr="001F0818">
        <w:t xml:space="preserve">art. </w:t>
      </w:r>
      <w:r w:rsidR="00802C80" w:rsidRPr="001F0818">
        <w:t>232 k.k.</w:t>
      </w:r>
    </w:p>
    <w:p w14:paraId="697DE589" w14:textId="77777777" w:rsidR="00802C80" w:rsidRPr="00D00246" w:rsidRDefault="00802C80" w:rsidP="00802C80">
      <w:pPr>
        <w:pStyle w:val="ECHRParaQuote"/>
      </w:pPr>
      <w:r w:rsidRPr="008A47A5">
        <w:t xml:space="preserve">Zatem argument skarżących </w:t>
      </w:r>
      <w:r w:rsidR="00A40E49" w:rsidRPr="008A47A5">
        <w:t>polegający na tym</w:t>
      </w:r>
      <w:r w:rsidRPr="008A47A5">
        <w:t xml:space="preserve">, że </w:t>
      </w:r>
      <w:r w:rsidR="00A40E49" w:rsidRPr="008A47A5">
        <w:t xml:space="preserve">ustawowe znamiona </w:t>
      </w:r>
      <w:r w:rsidRPr="00D00246">
        <w:t xml:space="preserve">przestępstwa z art. 104a k.k. zostały </w:t>
      </w:r>
      <w:r w:rsidRPr="003D7F25">
        <w:t>zrealizowane również w Austrii</w:t>
      </w:r>
      <w:r w:rsidR="005F47D9">
        <w:t>,</w:t>
      </w:r>
      <w:r w:rsidRPr="003D7F25">
        <w:t xml:space="preserve"> </w:t>
      </w:r>
      <w:r w:rsidR="00A40E49" w:rsidRPr="001C5F9D">
        <w:t>nie zasługuje na aprobatę</w:t>
      </w:r>
      <w:r w:rsidRPr="001F0818">
        <w:t xml:space="preserve">, a stanowisko, zgodnie z którym domniemane czyny popełnione przez pracodawczynie na ich szkodę w Dubaju (…) miałyby prowadzić do zobowiązania po stronie Austrii na </w:t>
      </w:r>
      <w:r w:rsidR="00A40E49" w:rsidRPr="008A47A5">
        <w:t xml:space="preserve">gruncie </w:t>
      </w:r>
      <w:r w:rsidRPr="008A47A5">
        <w:t>prawa międzynarodowego</w:t>
      </w:r>
      <w:r w:rsidR="005F47D9">
        <w:t>,</w:t>
      </w:r>
      <w:r w:rsidRPr="008A47A5">
        <w:t xml:space="preserve"> jest </w:t>
      </w:r>
      <w:r w:rsidR="00A40E49" w:rsidRPr="00D00246">
        <w:t xml:space="preserve">równie mało </w:t>
      </w:r>
      <w:r w:rsidRPr="00D00246">
        <w:t xml:space="preserve">przekonujące. W związku z niniejszą sprawą [ten drugi argument] nie daje się również wywnioskować z przytoczonego wyroku [Sądu Najwyższego] o sygn. 11 Os 161/81, w którym stwierdzono, że </w:t>
      </w:r>
      <w:r w:rsidR="00A40E49" w:rsidRPr="00D00246">
        <w:t xml:space="preserve">doszło do naruszenia </w:t>
      </w:r>
      <w:r w:rsidRPr="00D00246">
        <w:t>austriacki</w:t>
      </w:r>
      <w:r w:rsidR="00A40E49" w:rsidRPr="00D00246">
        <w:t>ch</w:t>
      </w:r>
      <w:r w:rsidRPr="00D00246">
        <w:t xml:space="preserve"> interes</w:t>
      </w:r>
      <w:r w:rsidR="00A40E49" w:rsidRPr="00D00246">
        <w:t>ów</w:t>
      </w:r>
      <w:r w:rsidRPr="00D00246">
        <w:t xml:space="preserve"> w wyniku </w:t>
      </w:r>
      <w:r w:rsidR="00A40E49" w:rsidRPr="00D00246">
        <w:t xml:space="preserve">wwozu </w:t>
      </w:r>
      <w:r w:rsidRPr="00D00246">
        <w:t xml:space="preserve">do Austrii dużej ilości narkotyków </w:t>
      </w:r>
      <w:r w:rsidR="00A40E49" w:rsidRPr="00D00246">
        <w:t>celem przewozu</w:t>
      </w:r>
      <w:r w:rsidRPr="00D00246">
        <w:t xml:space="preserve"> (…).</w:t>
      </w:r>
    </w:p>
    <w:p w14:paraId="1DDB96CF" w14:textId="77777777" w:rsidR="00802C80" w:rsidRPr="00D00246" w:rsidRDefault="00802C80" w:rsidP="00802C80">
      <w:pPr>
        <w:pStyle w:val="ECHRPara"/>
      </w:pPr>
      <w:r w:rsidRPr="00D00246">
        <w:t>Postanowienie to zostało doręczone pełnomocnikom skarżących dnia 23 marca 2012 r.</w:t>
      </w:r>
    </w:p>
    <w:p w14:paraId="0C35351B" w14:textId="2FB385BC" w:rsidR="00802C80" w:rsidRPr="00D00246" w:rsidRDefault="00802C80" w:rsidP="00802C80">
      <w:pPr>
        <w:pStyle w:val="ECHRHeading3"/>
      </w:pPr>
      <w:r w:rsidRPr="00D00246">
        <w:t>2.</w:t>
      </w:r>
      <w:r w:rsidR="005F47D9">
        <w:t xml:space="preserve"> </w:t>
      </w:r>
      <w:r w:rsidRPr="00D00246">
        <w:t>Postępowanie cywilne przeciwko pracodawczyniom skarżących</w:t>
      </w:r>
    </w:p>
    <w:p w14:paraId="7042FF3C" w14:textId="4815CA7B" w:rsidR="00802C80" w:rsidRPr="00D00246" w:rsidRDefault="00A3591C" w:rsidP="00A3591C">
      <w:pPr>
        <w:pStyle w:val="ECHRPara"/>
        <w:rPr>
          <w:noProof/>
        </w:rPr>
      </w:pPr>
      <w:r>
        <w:rPr>
          <w:noProof/>
        </w:rPr>
        <w:t>31</w:t>
      </w:r>
      <w:r w:rsidR="00802C80" w:rsidRPr="00082846">
        <w:t>.</w:t>
      </w:r>
      <w:r w:rsidR="005F47D9">
        <w:t xml:space="preserve"> </w:t>
      </w:r>
      <w:r w:rsidR="00802C80" w:rsidRPr="00082846">
        <w:t xml:space="preserve">W styczniu 2013 r. dwie z trzech skarżących </w:t>
      </w:r>
      <w:r w:rsidR="00A40E49" w:rsidRPr="003D7F25">
        <w:t>wystąpiły z</w:t>
      </w:r>
      <w:r w:rsidR="00A65A99">
        <w:t> </w:t>
      </w:r>
      <w:r w:rsidR="00802C80" w:rsidRPr="003D7F25">
        <w:t>powództw</w:t>
      </w:r>
      <w:r w:rsidR="00A40E49" w:rsidRPr="003D7F25">
        <w:t>em</w:t>
      </w:r>
      <w:r w:rsidR="00802C80" w:rsidRPr="003D7F25">
        <w:t xml:space="preserve"> cywiln</w:t>
      </w:r>
      <w:r w:rsidR="00A40E49" w:rsidRPr="003D7F25">
        <w:t>ym</w:t>
      </w:r>
      <w:r w:rsidR="00802C80" w:rsidRPr="003D7F25">
        <w:t xml:space="preserve"> przeciwko pracodawczyniom </w:t>
      </w:r>
      <w:r w:rsidR="00A40E49" w:rsidRPr="001C5F9D">
        <w:t xml:space="preserve">do </w:t>
      </w:r>
      <w:r w:rsidR="00A40E49" w:rsidRPr="001F0818">
        <w:t xml:space="preserve">Sądu </w:t>
      </w:r>
      <w:r w:rsidR="00A65A99">
        <w:t>Pracy i </w:t>
      </w:r>
      <w:r w:rsidR="00467DE6" w:rsidRPr="001F0818">
        <w:t xml:space="preserve">Ubezpieczeń Społecznych </w:t>
      </w:r>
      <w:r w:rsidR="00802C80" w:rsidRPr="001F0818">
        <w:t>w Wiedniu (</w:t>
      </w:r>
      <w:r w:rsidR="00802C80" w:rsidRPr="008A47A5">
        <w:rPr>
          <w:i/>
        </w:rPr>
        <w:t>Arbeits</w:t>
      </w:r>
      <w:r w:rsidR="00802C80" w:rsidRPr="008A47A5">
        <w:rPr>
          <w:i/>
        </w:rPr>
        <w:noBreakHyphen/>
        <w:t>und Sozialgericht</w:t>
      </w:r>
      <w:r w:rsidR="00802C80" w:rsidRPr="008A47A5">
        <w:t>)</w:t>
      </w:r>
      <w:r w:rsidR="00467DE6" w:rsidRPr="008A47A5">
        <w:t>, dochodząc</w:t>
      </w:r>
      <w:r w:rsidR="00802C80" w:rsidRPr="008A47A5">
        <w:t xml:space="preserve"> wynagrodzeni</w:t>
      </w:r>
      <w:r w:rsidR="00467DE6" w:rsidRPr="00D00246">
        <w:t>a</w:t>
      </w:r>
      <w:r w:rsidR="00802C80" w:rsidRPr="00D00246">
        <w:t xml:space="preserve"> za pracę. Twierdzą jednak, że</w:t>
      </w:r>
      <w:r w:rsidR="00467DE6" w:rsidRPr="00D00246">
        <w:t xml:space="preserve"> cofnęły powództwo</w:t>
      </w:r>
      <w:r w:rsidR="00802C80" w:rsidRPr="00D00246">
        <w:t xml:space="preserve"> ze względu na wysokie ryzyko konieczności uiszczenia kosztów postępowania ze względu na b</w:t>
      </w:r>
      <w:r w:rsidR="00A65A99">
        <w:t>rak zamieszkania pracodawczyń w </w:t>
      </w:r>
      <w:r w:rsidR="00802C80" w:rsidRPr="00D00246">
        <w:t>Austrii.</w:t>
      </w:r>
    </w:p>
    <w:p w14:paraId="55468400" w14:textId="0705B398" w:rsidR="00802C80" w:rsidRPr="00D00246" w:rsidRDefault="00802C80" w:rsidP="00802C80">
      <w:pPr>
        <w:pStyle w:val="ECHRHeading3"/>
      </w:pPr>
      <w:r w:rsidRPr="00D00246">
        <w:t>3.</w:t>
      </w:r>
      <w:r w:rsidR="005F47D9">
        <w:t xml:space="preserve"> </w:t>
      </w:r>
      <w:r w:rsidRPr="00D00246">
        <w:t>Postępowanie w przedmiocie pozwoleń na pobyt skarżących</w:t>
      </w:r>
    </w:p>
    <w:p w14:paraId="0D42E0B9" w14:textId="7F6E6ADA" w:rsidR="00802C80" w:rsidRPr="001C5F9D" w:rsidRDefault="00A3591C" w:rsidP="00802C80">
      <w:pPr>
        <w:pStyle w:val="ECHRPara"/>
      </w:pPr>
      <w:r>
        <w:rPr>
          <w:noProof/>
        </w:rPr>
        <w:t>32</w:t>
      </w:r>
      <w:r w:rsidR="00802C80" w:rsidRPr="00082846">
        <w:t>.</w:t>
      </w:r>
      <w:r w:rsidR="005F47D9">
        <w:t xml:space="preserve"> </w:t>
      </w:r>
      <w:r w:rsidR="00802C80" w:rsidRPr="00082846">
        <w:t xml:space="preserve">Organizacja pozarządowa LEFÖ nie tylko pomogła skarżącym </w:t>
      </w:r>
      <w:r w:rsidR="00802C80" w:rsidRPr="003D7F25">
        <w:t>złoż</w:t>
      </w:r>
      <w:r w:rsidR="00467DE6" w:rsidRPr="003D7F25">
        <w:t xml:space="preserve">yć </w:t>
      </w:r>
      <w:r w:rsidR="00802C80" w:rsidRPr="003D7F25">
        <w:t>zawiadomieni</w:t>
      </w:r>
      <w:r w:rsidR="00467DE6" w:rsidRPr="003D7F25">
        <w:t>e</w:t>
      </w:r>
      <w:r w:rsidR="00802C80" w:rsidRPr="003D7F25">
        <w:t xml:space="preserve"> o przestępstwie przeciwko pracodawczyniom, lecz także udzieliła im wsparcia przy ubieganiu się w Austrii o</w:t>
      </w:r>
      <w:r w:rsidR="00802C80" w:rsidRPr="001C5F9D">
        <w:t xml:space="preserve"> specjalne pozwolenie na pobyt dla ofiar handlu ludźmi w trybie dawnego art. 69a </w:t>
      </w:r>
      <w:r w:rsidR="00467DE6" w:rsidRPr="001C5F9D">
        <w:t>u</w:t>
      </w:r>
      <w:r w:rsidR="00802C80" w:rsidRPr="001C5F9D">
        <w:t>stawy o pobycie (</w:t>
      </w:r>
      <w:r w:rsidR="00802C80" w:rsidRPr="001C5F9D">
        <w:rPr>
          <w:i/>
        </w:rPr>
        <w:t>Niederlassungs- und Aufenthaltsgesetz</w:t>
      </w:r>
      <w:r w:rsidR="00802C80" w:rsidRPr="001C5F9D">
        <w:t xml:space="preserve"> – </w:t>
      </w:r>
      <w:r w:rsidR="008A47A5">
        <w:t xml:space="preserve">zob. </w:t>
      </w:r>
      <w:r w:rsidR="00802C80" w:rsidRPr="001C5F9D">
        <w:t>paragraf 46 poniżej).</w:t>
      </w:r>
    </w:p>
    <w:p w14:paraId="59B3E230" w14:textId="6956475B" w:rsidR="00802C80" w:rsidRPr="00D00246" w:rsidRDefault="00A3591C" w:rsidP="00802C80">
      <w:pPr>
        <w:pStyle w:val="ECHRPara"/>
      </w:pPr>
      <w:r>
        <w:rPr>
          <w:noProof/>
        </w:rPr>
        <w:lastRenderedPageBreak/>
        <w:t>33</w:t>
      </w:r>
      <w:r w:rsidR="00802C80" w:rsidRPr="00082846">
        <w:t>.</w:t>
      </w:r>
      <w:r w:rsidR="005F47D9">
        <w:t xml:space="preserve"> </w:t>
      </w:r>
      <w:r w:rsidR="00802C80" w:rsidRPr="00082846">
        <w:t>Wszystkim trzem skarżącym udzielon</w:t>
      </w:r>
      <w:r w:rsidR="00467DE6" w:rsidRPr="00082846">
        <w:t>o</w:t>
      </w:r>
      <w:r w:rsidR="00802C80" w:rsidRPr="00082846">
        <w:t xml:space="preserve"> pozwoleni</w:t>
      </w:r>
      <w:r w:rsidR="00467DE6" w:rsidRPr="00082846">
        <w:t>a</w:t>
      </w:r>
      <w:r w:rsidR="00802C80" w:rsidRPr="00082846">
        <w:t xml:space="preserve"> na pobyt na potrzeby </w:t>
      </w:r>
      <w:r w:rsidR="00467DE6" w:rsidRPr="003D7F25">
        <w:t xml:space="preserve">zapewnienia </w:t>
      </w:r>
      <w:r w:rsidR="00802C80" w:rsidRPr="003D7F25">
        <w:t xml:space="preserve">szczególnej ochrony w styczniu 2012 r., </w:t>
      </w:r>
      <w:r w:rsidR="00467DE6" w:rsidRPr="003D7F25">
        <w:t xml:space="preserve">które początkowo </w:t>
      </w:r>
      <w:r w:rsidR="00467DE6" w:rsidRPr="001C5F9D">
        <w:t>miało obowiązywać przez okres</w:t>
      </w:r>
      <w:r w:rsidR="00802C80" w:rsidRPr="001F0818">
        <w:t xml:space="preserve"> </w:t>
      </w:r>
      <w:r w:rsidR="00467DE6" w:rsidRPr="008A47A5">
        <w:t xml:space="preserve">jednego </w:t>
      </w:r>
      <w:r w:rsidR="00802C80" w:rsidRPr="008A47A5">
        <w:t>rok</w:t>
      </w:r>
      <w:r w:rsidR="00467DE6" w:rsidRPr="008A47A5">
        <w:t>u</w:t>
      </w:r>
      <w:r w:rsidR="00802C80" w:rsidRPr="008A47A5">
        <w:t xml:space="preserve">. Następnie, ze względu na ich postępującą integrację, </w:t>
      </w:r>
      <w:r w:rsidR="00467DE6" w:rsidRPr="00D00246">
        <w:t>skarżącym</w:t>
      </w:r>
      <w:r w:rsidR="00802C80" w:rsidRPr="00D00246">
        <w:t xml:space="preserve"> udzielan</w:t>
      </w:r>
      <w:r w:rsidR="00467DE6" w:rsidRPr="00D00246">
        <w:t>o</w:t>
      </w:r>
      <w:r w:rsidR="00802C80" w:rsidRPr="00D00246">
        <w:t xml:space="preserve"> inne</w:t>
      </w:r>
      <w:r w:rsidR="00467DE6" w:rsidRPr="00D00246">
        <w:t>go</w:t>
      </w:r>
      <w:r w:rsidR="00802C80" w:rsidRPr="00D00246">
        <w:t xml:space="preserve"> </w:t>
      </w:r>
      <w:r w:rsidR="00467DE6" w:rsidRPr="00D00246">
        <w:t xml:space="preserve">rodzaju </w:t>
      </w:r>
      <w:r w:rsidR="00802C80" w:rsidRPr="00D00246">
        <w:t>pozwoleń na pobyt, z dłuższymi okresami ważności.</w:t>
      </w:r>
    </w:p>
    <w:p w14:paraId="64F92221" w14:textId="5FA3CF85" w:rsidR="00802C80" w:rsidRPr="001F0818" w:rsidRDefault="00A3591C" w:rsidP="00802C80">
      <w:pPr>
        <w:pStyle w:val="ECHRPara"/>
      </w:pPr>
      <w:r>
        <w:rPr>
          <w:noProof/>
        </w:rPr>
        <w:t>34</w:t>
      </w:r>
      <w:r w:rsidR="00802C80" w:rsidRPr="00082846">
        <w:t>.</w:t>
      </w:r>
      <w:r w:rsidR="005F47D9">
        <w:t xml:space="preserve"> </w:t>
      </w:r>
      <w:r w:rsidR="00802C80" w:rsidRPr="00082846">
        <w:t>Skarżące zostały urzędowo zarejestrowane w Centralnej Ewidencji (</w:t>
      </w:r>
      <w:r w:rsidR="00802C80" w:rsidRPr="00082846">
        <w:rPr>
          <w:i/>
        </w:rPr>
        <w:t>Melderegister</w:t>
      </w:r>
      <w:r w:rsidR="00802C80" w:rsidRPr="00082846">
        <w:t xml:space="preserve">) od chwili, w której rozpoczęło się wsparcie ze strony LEFÖ. Dla zapewnienia </w:t>
      </w:r>
      <w:r w:rsidR="00802C80" w:rsidRPr="003D7F25">
        <w:t xml:space="preserve">ochrony </w:t>
      </w:r>
      <w:r w:rsidR="00467DE6" w:rsidRPr="003D7F25">
        <w:t xml:space="preserve">skarżącym </w:t>
      </w:r>
      <w:r w:rsidR="00802C80" w:rsidRPr="003D7F25">
        <w:t>na Centralną Ewidencję nałożono zakaz udostępniania danych osobowych, tak aby miejsce pobytu skarżących nie było możliwe do ustalenia</w:t>
      </w:r>
      <w:r w:rsidR="005F47D9">
        <w:t xml:space="preserve"> </w:t>
      </w:r>
      <w:r w:rsidR="00467DE6" w:rsidRPr="001C5F9D">
        <w:t>przez osoby trzecie</w:t>
      </w:r>
      <w:r w:rsidR="00802C80" w:rsidRPr="001F0818">
        <w:t>.</w:t>
      </w:r>
    </w:p>
    <w:p w14:paraId="449F2BE6" w14:textId="2A5D166E" w:rsidR="00802C80" w:rsidRPr="008A47A5" w:rsidRDefault="00802C80" w:rsidP="0096762D">
      <w:pPr>
        <w:pStyle w:val="ECHRHeading1"/>
        <w:tabs>
          <w:tab w:val="clear" w:pos="357"/>
        </w:tabs>
        <w:ind w:left="426" w:hanging="426"/>
      </w:pPr>
      <w:r w:rsidRPr="008A47A5">
        <w:t>II.</w:t>
      </w:r>
      <w:r w:rsidR="005F47D9">
        <w:t xml:space="preserve"> </w:t>
      </w:r>
      <w:r w:rsidRPr="008A47A5">
        <w:t>ISTOTNE PRZEPI</w:t>
      </w:r>
      <w:r w:rsidR="00A65A99">
        <w:t>SY i PRAKTYKA PRAWA KRAJOWEGO I </w:t>
      </w:r>
      <w:r w:rsidRPr="008A47A5">
        <w:t>MIĘDZYNARODOWEGO</w:t>
      </w:r>
    </w:p>
    <w:p w14:paraId="2963DD37" w14:textId="50325021" w:rsidR="00802C80" w:rsidRPr="00D00246" w:rsidRDefault="00802C80" w:rsidP="00802C80">
      <w:pPr>
        <w:pStyle w:val="ECHRHeading2"/>
      </w:pPr>
      <w:r w:rsidRPr="00D00246">
        <w:t>A.</w:t>
      </w:r>
      <w:r w:rsidR="005F47D9">
        <w:t xml:space="preserve"> </w:t>
      </w:r>
      <w:r w:rsidRPr="00D00246">
        <w:t>Przepisy i praktyka krajowe</w:t>
      </w:r>
    </w:p>
    <w:p w14:paraId="772A4578" w14:textId="60AF6D30" w:rsidR="00802C80" w:rsidRPr="00082846" w:rsidRDefault="00A3591C" w:rsidP="00802C80">
      <w:pPr>
        <w:pStyle w:val="ECHRPara"/>
      </w:pPr>
      <w:r>
        <w:rPr>
          <w:noProof/>
        </w:rPr>
        <w:t>35</w:t>
      </w:r>
      <w:r w:rsidR="00802C80" w:rsidRPr="00082846">
        <w:t>.</w:t>
      </w:r>
      <w:r w:rsidR="005F47D9">
        <w:t xml:space="preserve"> </w:t>
      </w:r>
      <w:r w:rsidR="00802C80" w:rsidRPr="00082846">
        <w:t>W art. 104a k.k., zatytułowanym „Handel ludźmi”, w brzmieniu obowiązującym w czasie istotnym</w:t>
      </w:r>
      <w:r w:rsidR="00467DE6" w:rsidRPr="00082846">
        <w:t xml:space="preserve"> dla sprawy</w:t>
      </w:r>
      <w:r w:rsidR="00802C80" w:rsidRPr="00082846">
        <w:t>, czytamy:</w:t>
      </w:r>
    </w:p>
    <w:p w14:paraId="2BB7F92B" w14:textId="44FCACAB" w:rsidR="00802C80" w:rsidRPr="008A47A5" w:rsidRDefault="00802C80" w:rsidP="00802C80">
      <w:pPr>
        <w:pStyle w:val="ECHRParaQuote"/>
      </w:pPr>
      <w:r w:rsidRPr="003D7F25">
        <w:t>„(1)</w:t>
      </w:r>
      <w:r w:rsidR="005F47D9">
        <w:t xml:space="preserve"> </w:t>
      </w:r>
      <w:r w:rsidRPr="003D7F25">
        <w:t xml:space="preserve">Kto werbuje, przyjmuje w domu bądź w inny sposób </w:t>
      </w:r>
      <w:r w:rsidR="00467DE6" w:rsidRPr="003D7F25">
        <w:t xml:space="preserve">zapewnia </w:t>
      </w:r>
      <w:r w:rsidR="00467DE6" w:rsidRPr="001C5F9D">
        <w:t>za</w:t>
      </w:r>
      <w:r w:rsidR="00467DE6" w:rsidRPr="001F0818">
        <w:t>kwaterowanie</w:t>
      </w:r>
      <w:r w:rsidRPr="001F0818">
        <w:t xml:space="preserve">, przewozi bądź oferuje albo przekazuje </w:t>
      </w:r>
      <w:r w:rsidR="00467DE6" w:rsidRPr="001F0818">
        <w:t xml:space="preserve">osobie </w:t>
      </w:r>
      <w:r w:rsidRPr="008A47A5">
        <w:t>trzeciej:</w:t>
      </w:r>
    </w:p>
    <w:p w14:paraId="4BDEA1BD" w14:textId="2C78FAFB" w:rsidR="00802C80" w:rsidRPr="00D00246" w:rsidRDefault="00802C80" w:rsidP="00802C80">
      <w:pPr>
        <w:pStyle w:val="JuQuotSub"/>
      </w:pPr>
      <w:r w:rsidRPr="00D00246">
        <w:tab/>
        <w:t>1.</w:t>
      </w:r>
      <w:r w:rsidR="005F47D9">
        <w:t xml:space="preserve"> </w:t>
      </w:r>
      <w:r w:rsidRPr="00D00246">
        <w:t>osobę nieletnią (poniżej 18 roku życia); bądź</w:t>
      </w:r>
    </w:p>
    <w:p w14:paraId="36EFB590" w14:textId="38414760" w:rsidR="00802C80" w:rsidRPr="00D00246" w:rsidRDefault="00802C80" w:rsidP="00802C80">
      <w:pPr>
        <w:pStyle w:val="JuQuotSub"/>
      </w:pPr>
      <w:r w:rsidRPr="00D00246">
        <w:tab/>
        <w:t>2.</w:t>
      </w:r>
      <w:r w:rsidR="005F47D9">
        <w:t xml:space="preserve"> </w:t>
      </w:r>
      <w:r w:rsidRPr="00D00246">
        <w:t>osobę dorosłą, posługując się w stosunku do niej nieuczciwymi środkami (§ 2);</w:t>
      </w:r>
    </w:p>
    <w:p w14:paraId="2515305A" w14:textId="77777777" w:rsidR="00802C80" w:rsidRPr="00D00246" w:rsidRDefault="00B52BCC" w:rsidP="00802C80">
      <w:pPr>
        <w:pStyle w:val="ECHRParaQuote"/>
      </w:pPr>
      <w:r w:rsidRPr="00D00246">
        <w:t>z</w:t>
      </w:r>
      <w:r w:rsidR="00802C80" w:rsidRPr="00D00246">
        <w:t xml:space="preserve"> </w:t>
      </w:r>
      <w:r w:rsidRPr="00D00246">
        <w:t xml:space="preserve">zamiarem </w:t>
      </w:r>
      <w:r w:rsidR="00802C80" w:rsidRPr="00D00246">
        <w:t>wykorzystania jej seksualnie, wykorzystania w celu przeszczepu organu bądź wyzysku pracy, podlega karze pozbawienia wolności do lat trzech.</w:t>
      </w:r>
    </w:p>
    <w:p w14:paraId="38ECBAC5" w14:textId="3B5BFFB3" w:rsidR="00802C80" w:rsidRPr="003D7F25" w:rsidRDefault="00802C80" w:rsidP="00802C80">
      <w:pPr>
        <w:pStyle w:val="ECHRParaQuote"/>
      </w:pPr>
      <w:r w:rsidRPr="00D00246">
        <w:t>(2)</w:t>
      </w:r>
      <w:r w:rsidR="005F47D9">
        <w:t xml:space="preserve"> </w:t>
      </w:r>
      <w:r w:rsidRPr="00D00246">
        <w:t xml:space="preserve">Nieuczciwe środki definiuje się jako: </w:t>
      </w:r>
      <w:r w:rsidR="00B52BCC" w:rsidRPr="00D00246">
        <w:t xml:space="preserve">wprowadzenie w błąd </w:t>
      </w:r>
      <w:r w:rsidRPr="00D00246">
        <w:t xml:space="preserve">co do okoliczności faktycznych; </w:t>
      </w:r>
      <w:r w:rsidR="00B52BCC" w:rsidRPr="00D00246">
        <w:t>nadużycie stosunku zależności</w:t>
      </w:r>
      <w:r w:rsidRPr="00D00246">
        <w:t xml:space="preserve">, </w:t>
      </w:r>
      <w:r w:rsidR="00B52BCC" w:rsidRPr="00D00246">
        <w:t xml:space="preserve">wykorzystanie krytycznego </w:t>
      </w:r>
      <w:r w:rsidRPr="00D00246">
        <w:t xml:space="preserve">położenia, choroby psychicznej lub umysłowej bądź </w:t>
      </w:r>
      <w:r w:rsidR="00B52BCC" w:rsidRPr="00D00246">
        <w:t>innego stanu bezradności</w:t>
      </w:r>
      <w:r w:rsidRPr="00D00246">
        <w:t xml:space="preserve">; zastraszenie; udzielenie bądź przyjęcie korzyści w zamian za przekazanie </w:t>
      </w:r>
      <w:r w:rsidRPr="003D7F25">
        <w:t>kontroli nad osobą.</w:t>
      </w:r>
    </w:p>
    <w:p w14:paraId="6CC5FBBE" w14:textId="77777777" w:rsidR="00802C80" w:rsidRPr="00D00246" w:rsidRDefault="00802C80" w:rsidP="00802C80">
      <w:pPr>
        <w:pStyle w:val="ECHRParaQuote"/>
      </w:pPr>
      <w:r w:rsidRPr="001C5F9D">
        <w:t xml:space="preserve">(3) Kto dopuszcza się </w:t>
      </w:r>
      <w:r w:rsidRPr="001F0818">
        <w:t xml:space="preserve">czynu </w:t>
      </w:r>
      <w:r w:rsidR="00B52BCC" w:rsidRPr="001F0818">
        <w:t xml:space="preserve">zabronionego </w:t>
      </w:r>
      <w:r w:rsidRPr="001F0818">
        <w:t xml:space="preserve">z wykorzystaniem przemocy bądź poważnych gróźb podlega karze pozbawienia wolności od sześciu miesięcy do </w:t>
      </w:r>
      <w:r w:rsidR="00B52BCC" w:rsidRPr="008A47A5">
        <w:t xml:space="preserve">lat </w:t>
      </w:r>
      <w:r w:rsidRPr="00D00246">
        <w:t>pięciu.</w:t>
      </w:r>
    </w:p>
    <w:p w14:paraId="0257A29C" w14:textId="77777777" w:rsidR="00802C80" w:rsidRPr="00D00246" w:rsidRDefault="00802C80" w:rsidP="00802C80">
      <w:pPr>
        <w:pStyle w:val="ECHRParaQuote"/>
      </w:pPr>
      <w:r w:rsidRPr="00D00246">
        <w:t>(4) (…)”.</w:t>
      </w:r>
    </w:p>
    <w:p w14:paraId="7705F470" w14:textId="73EFD47A" w:rsidR="00802C80" w:rsidRPr="00082846" w:rsidRDefault="00A3591C" w:rsidP="00802C80">
      <w:pPr>
        <w:pStyle w:val="ECHRPara"/>
      </w:pPr>
      <w:r>
        <w:rPr>
          <w:noProof/>
        </w:rPr>
        <w:t>36</w:t>
      </w:r>
      <w:r w:rsidR="00802C80" w:rsidRPr="00082846">
        <w:t>.</w:t>
      </w:r>
      <w:r w:rsidR="005F47D9">
        <w:t xml:space="preserve"> </w:t>
      </w:r>
      <w:r w:rsidR="00802C80" w:rsidRPr="00082846">
        <w:t>Art</w:t>
      </w:r>
      <w:r w:rsidR="00B25512">
        <w:t>.</w:t>
      </w:r>
      <w:r w:rsidR="00802C80" w:rsidRPr="00082846">
        <w:t xml:space="preserve"> 190 k.p.k. w istotnych </w:t>
      </w:r>
      <w:r w:rsidR="00B52BCC" w:rsidRPr="00082846">
        <w:t xml:space="preserve">częściach </w:t>
      </w:r>
      <w:r w:rsidR="00802C80" w:rsidRPr="00082846">
        <w:t>stanowi:</w:t>
      </w:r>
    </w:p>
    <w:p w14:paraId="3A7F6E9E" w14:textId="77777777" w:rsidR="00802C80" w:rsidRPr="001F0818" w:rsidRDefault="00802C80" w:rsidP="00802C80">
      <w:pPr>
        <w:pStyle w:val="ECHRParaQuote"/>
      </w:pPr>
      <w:r w:rsidRPr="003D7F25">
        <w:t>„</w:t>
      </w:r>
      <w:r w:rsidR="00B52BCC" w:rsidRPr="003D7F25">
        <w:t>Prokurator</w:t>
      </w:r>
      <w:r w:rsidRPr="003D7F25">
        <w:t xml:space="preserve"> </w:t>
      </w:r>
      <w:r w:rsidR="00B52BCC" w:rsidRPr="003D7F25">
        <w:t xml:space="preserve">odstępuje od </w:t>
      </w:r>
      <w:r w:rsidRPr="003D7F25">
        <w:t xml:space="preserve">ścigania czynu i </w:t>
      </w:r>
      <w:r w:rsidR="00B52BCC" w:rsidRPr="001C5F9D">
        <w:t xml:space="preserve">umarza </w:t>
      </w:r>
      <w:r w:rsidRPr="001C5F9D">
        <w:t>postępowanie przygotowawcze, jeżeli:</w:t>
      </w:r>
    </w:p>
    <w:p w14:paraId="45C36C74" w14:textId="77777777" w:rsidR="00802C80" w:rsidRPr="00D00246" w:rsidRDefault="00802C80" w:rsidP="00802C80">
      <w:pPr>
        <w:pStyle w:val="JuQuotSub"/>
      </w:pPr>
      <w:r w:rsidRPr="008A47A5">
        <w:t xml:space="preserve">1. </w:t>
      </w:r>
      <w:r w:rsidR="003228D4" w:rsidRPr="008A47A5">
        <w:t>czyn będący przedmiotem postępowania</w:t>
      </w:r>
      <w:r w:rsidRPr="00D00246">
        <w:t xml:space="preserve"> nie </w:t>
      </w:r>
      <w:r w:rsidR="003228D4" w:rsidRPr="00D00246">
        <w:t>jest zagrożony</w:t>
      </w:r>
      <w:r w:rsidRPr="00D00246">
        <w:t xml:space="preserve"> kar</w:t>
      </w:r>
      <w:r w:rsidR="003228D4" w:rsidRPr="00D00246">
        <w:t>ą</w:t>
      </w:r>
      <w:r w:rsidRPr="00D00246">
        <w:t xml:space="preserve"> na </w:t>
      </w:r>
      <w:r w:rsidR="00B52BCC" w:rsidRPr="00D00246">
        <w:t xml:space="preserve">gruncie </w:t>
      </w:r>
      <w:r w:rsidRPr="00D00246">
        <w:t>prawa karnego bądź jeżeli dalsze ściganie osk</w:t>
      </w:r>
      <w:r w:rsidR="00A65A99">
        <w:t>arżonego jest niedopuszczalne z </w:t>
      </w:r>
      <w:r w:rsidRPr="00D00246">
        <w:t>przyczyn prawnych” (…).</w:t>
      </w:r>
    </w:p>
    <w:p w14:paraId="75247BCC" w14:textId="227B2898" w:rsidR="00802C80" w:rsidRPr="00082846" w:rsidRDefault="00A3591C" w:rsidP="00802C80">
      <w:pPr>
        <w:pStyle w:val="ECHRPara"/>
      </w:pPr>
      <w:r>
        <w:rPr>
          <w:noProof/>
        </w:rPr>
        <w:t>37</w:t>
      </w:r>
      <w:r w:rsidR="00802C80" w:rsidRPr="00082846">
        <w:t>.</w:t>
      </w:r>
      <w:r w:rsidR="005F47D9">
        <w:t xml:space="preserve"> </w:t>
      </w:r>
      <w:r w:rsidR="00802C80" w:rsidRPr="00082846">
        <w:t>Art</w:t>
      </w:r>
      <w:r w:rsidR="00B25512">
        <w:t>.</w:t>
      </w:r>
      <w:r w:rsidR="00802C80" w:rsidRPr="00082846">
        <w:t xml:space="preserve"> 193 § 2 k.p.k. w istotnych </w:t>
      </w:r>
      <w:r w:rsidR="00B52BCC" w:rsidRPr="00082846">
        <w:t xml:space="preserve">częściach </w:t>
      </w:r>
      <w:r w:rsidR="00802C80" w:rsidRPr="00082846">
        <w:t>stanowi:</w:t>
      </w:r>
    </w:p>
    <w:p w14:paraId="13AE4343" w14:textId="77777777" w:rsidR="00802C80" w:rsidRPr="00D00246" w:rsidRDefault="00802C80" w:rsidP="00802C80">
      <w:pPr>
        <w:pStyle w:val="ECHRParaQuote"/>
      </w:pPr>
      <w:r w:rsidRPr="003D7F25">
        <w:t xml:space="preserve">„(2) </w:t>
      </w:r>
      <w:r w:rsidR="003228D4" w:rsidRPr="003D7F25">
        <w:t>Prokurator</w:t>
      </w:r>
      <w:r w:rsidRPr="003D7F25">
        <w:t xml:space="preserve"> może </w:t>
      </w:r>
      <w:r w:rsidR="003228D4" w:rsidRPr="003D7F25">
        <w:t>wydać postanowienie o</w:t>
      </w:r>
      <w:r w:rsidRPr="003D7F25">
        <w:t xml:space="preserve"> podjęci</w:t>
      </w:r>
      <w:r w:rsidR="003228D4" w:rsidRPr="001C5F9D">
        <w:t>e</w:t>
      </w:r>
      <w:r w:rsidRPr="001F0818">
        <w:t xml:space="preserve"> </w:t>
      </w:r>
      <w:r w:rsidR="003228D4" w:rsidRPr="001F0818">
        <w:t xml:space="preserve">na nowo </w:t>
      </w:r>
      <w:r w:rsidRPr="001F0818">
        <w:t xml:space="preserve">postępowania przygotowawczego umorzonego na podstawie art. 190 lub 191 [k.p.k.], </w:t>
      </w:r>
      <w:r w:rsidR="003228D4" w:rsidRPr="008A47A5">
        <w:t>jeżeli</w:t>
      </w:r>
      <w:r w:rsidRPr="008A47A5">
        <w:t xml:space="preserve"> nie </w:t>
      </w:r>
      <w:r w:rsidR="003228D4" w:rsidRPr="008A47A5">
        <w:t xml:space="preserve">nastąpiło </w:t>
      </w:r>
      <w:r w:rsidRPr="00D00246">
        <w:t>przedawni</w:t>
      </w:r>
      <w:r w:rsidR="003228D4" w:rsidRPr="00D00246">
        <w:t>enie karalności za dany czyn oraz jeżeli</w:t>
      </w:r>
    </w:p>
    <w:p w14:paraId="1F572873" w14:textId="77777777" w:rsidR="00802C80" w:rsidRPr="00D00246" w:rsidRDefault="00802C80" w:rsidP="00802C80">
      <w:pPr>
        <w:pStyle w:val="JuQuotSub"/>
      </w:pPr>
      <w:r w:rsidRPr="00D00246">
        <w:lastRenderedPageBreak/>
        <w:t xml:space="preserve">1. oskarżony nie był w </w:t>
      </w:r>
      <w:r w:rsidR="003228D4" w:rsidRPr="00D00246">
        <w:t>związku z</w:t>
      </w:r>
      <w:r w:rsidRPr="00D00246">
        <w:t xml:space="preserve"> </w:t>
      </w:r>
      <w:r w:rsidR="003228D4" w:rsidRPr="00D00246">
        <w:t xml:space="preserve">tym </w:t>
      </w:r>
      <w:r w:rsidRPr="00D00246">
        <w:t>czyn</w:t>
      </w:r>
      <w:r w:rsidR="003228D4" w:rsidRPr="00D00246">
        <w:t>em</w:t>
      </w:r>
      <w:r w:rsidRPr="00D00246">
        <w:t xml:space="preserve"> przesłuchiwany (…) ani nie podjęto w stosunku do niego żadnych środków </w:t>
      </w:r>
      <w:r w:rsidR="003228D4" w:rsidRPr="00D00246">
        <w:t>przymusu</w:t>
      </w:r>
      <w:r w:rsidRPr="00D00246">
        <w:t>” (…).</w:t>
      </w:r>
    </w:p>
    <w:p w14:paraId="6DB785B6" w14:textId="13E6F63E" w:rsidR="00802C80" w:rsidRPr="00082846" w:rsidRDefault="00A3591C" w:rsidP="00802C80">
      <w:pPr>
        <w:pStyle w:val="ECHRPara"/>
      </w:pPr>
      <w:r>
        <w:rPr>
          <w:noProof/>
        </w:rPr>
        <w:t>38</w:t>
      </w:r>
      <w:r w:rsidR="00802C80" w:rsidRPr="00082846">
        <w:t>.</w:t>
      </w:r>
      <w:r w:rsidR="005F47D9">
        <w:t xml:space="preserve"> </w:t>
      </w:r>
      <w:r w:rsidR="00802C80" w:rsidRPr="00082846">
        <w:t>Art</w:t>
      </w:r>
      <w:r w:rsidR="00B25512">
        <w:t>.</w:t>
      </w:r>
      <w:r w:rsidR="00B25512" w:rsidRPr="00082846">
        <w:t xml:space="preserve"> </w:t>
      </w:r>
      <w:r w:rsidR="00802C80" w:rsidRPr="00082846">
        <w:t>197 ust. 1 k.p.k. stanowi:</w:t>
      </w:r>
    </w:p>
    <w:p w14:paraId="34919154" w14:textId="77777777" w:rsidR="00802C80" w:rsidRPr="00D00246" w:rsidRDefault="00802C80" w:rsidP="00802C80">
      <w:pPr>
        <w:pStyle w:val="ECHRParaQuote"/>
      </w:pPr>
      <w:r w:rsidRPr="003D7F25">
        <w:t xml:space="preserve">„Jeżeli oskarżony zbiegł bądź miejsce jego pobytu jest nieznane, postępowanie przygotowawcze </w:t>
      </w:r>
      <w:r w:rsidR="003228D4" w:rsidRPr="003D7F25">
        <w:t xml:space="preserve">prowadzi się w dalszym toku, o ile jest to niezbędne dla </w:t>
      </w:r>
      <w:r w:rsidRPr="001C5F9D">
        <w:t>zabezpieczenia śladów i dowodów. W takim przypadku c</w:t>
      </w:r>
      <w:r w:rsidRPr="001F0818">
        <w:t xml:space="preserve">zynności dochodzeniowo-śledcze, w których oskarżony ma prawo uczestniczyć, (…) mogą być przedsiębrane nawet w jego nieobecności. Może zostać wydane postanowienie w przedmiocie ustalenia miejsca pobytu oskarżonego bądź jego </w:t>
      </w:r>
      <w:r w:rsidR="003228D4" w:rsidRPr="008A47A5">
        <w:t>zatrzymania</w:t>
      </w:r>
      <w:r w:rsidRPr="008A47A5">
        <w:t xml:space="preserve">. Następnie </w:t>
      </w:r>
      <w:r w:rsidR="003228D4" w:rsidRPr="008A47A5">
        <w:t>prokurator</w:t>
      </w:r>
      <w:r w:rsidRPr="008A47A5">
        <w:t xml:space="preserve"> </w:t>
      </w:r>
      <w:r w:rsidR="003228D4" w:rsidRPr="00D00246">
        <w:t xml:space="preserve">zawiesza </w:t>
      </w:r>
      <w:r w:rsidRPr="00D00246">
        <w:t xml:space="preserve">postępowanie przygotowawcze i </w:t>
      </w:r>
      <w:r w:rsidR="003228D4" w:rsidRPr="00D00246">
        <w:t xml:space="preserve">podejmuje </w:t>
      </w:r>
      <w:r w:rsidRPr="00D00246">
        <w:t xml:space="preserve">je </w:t>
      </w:r>
      <w:r w:rsidR="003228D4" w:rsidRPr="00D00246">
        <w:t xml:space="preserve">na nowo </w:t>
      </w:r>
      <w:r w:rsidRPr="00D00246">
        <w:t>dopiero po ustaleniu miejsca pobytu oskarżonego”.</w:t>
      </w:r>
    </w:p>
    <w:p w14:paraId="4F8100E2" w14:textId="56C46977" w:rsidR="00802C80" w:rsidRPr="00D00246" w:rsidRDefault="00A3591C" w:rsidP="00802C80">
      <w:pPr>
        <w:pStyle w:val="ECHRPara"/>
      </w:pPr>
      <w:r>
        <w:rPr>
          <w:noProof/>
        </w:rPr>
        <w:t>39</w:t>
      </w:r>
      <w:r w:rsidR="00802C80" w:rsidRPr="00082846">
        <w:t>.</w:t>
      </w:r>
      <w:r w:rsidR="005F47D9">
        <w:t xml:space="preserve"> </w:t>
      </w:r>
      <w:r w:rsidR="00802C80" w:rsidRPr="00082846">
        <w:t>Art</w:t>
      </w:r>
      <w:r w:rsidR="00B25512">
        <w:t>.</w:t>
      </w:r>
      <w:r w:rsidR="00802C80" w:rsidRPr="00082846">
        <w:t xml:space="preserve"> 210 k.p.k. stanowi, że jeżeli na podstawie </w:t>
      </w:r>
      <w:r w:rsidR="003228D4" w:rsidRPr="003D7F25">
        <w:t xml:space="preserve">dostatecznie </w:t>
      </w:r>
      <w:r w:rsidR="00802C80" w:rsidRPr="003D7F25">
        <w:t xml:space="preserve">wyjaśnionego stanu faktycznego zachodzi prawdopodobieństwo wydania wyroku skazującego i nie zachodzą podstawy do umorzenia postępowania bądź </w:t>
      </w:r>
      <w:r w:rsidR="003228D4" w:rsidRPr="001C5F9D">
        <w:t xml:space="preserve">odstąpienia od </w:t>
      </w:r>
      <w:r w:rsidR="00802C80" w:rsidRPr="001F0818">
        <w:t xml:space="preserve">ścigania, </w:t>
      </w:r>
      <w:r w:rsidR="003228D4" w:rsidRPr="008A47A5">
        <w:t>prokurator</w:t>
      </w:r>
      <w:r w:rsidR="00802C80" w:rsidRPr="008A47A5">
        <w:t xml:space="preserve"> ma obowiązek wnieść akt oskarżenia (</w:t>
      </w:r>
      <w:r w:rsidR="00802C80" w:rsidRPr="008A47A5">
        <w:rPr>
          <w:i/>
          <w:iCs/>
        </w:rPr>
        <w:t>Anklage e</w:t>
      </w:r>
      <w:r w:rsidR="00802C80" w:rsidRPr="00D00246">
        <w:rPr>
          <w:i/>
          <w:iCs/>
        </w:rPr>
        <w:t>inbringen</w:t>
      </w:r>
      <w:r w:rsidR="00802C80" w:rsidRPr="00D00246">
        <w:t xml:space="preserve">) </w:t>
      </w:r>
      <w:r w:rsidR="003228D4" w:rsidRPr="00D00246">
        <w:t xml:space="preserve">do </w:t>
      </w:r>
      <w:r w:rsidR="00802C80" w:rsidRPr="00D00246">
        <w:t>właściw</w:t>
      </w:r>
      <w:r w:rsidR="003228D4" w:rsidRPr="00D00246">
        <w:t>ego</w:t>
      </w:r>
      <w:r w:rsidR="00802C80" w:rsidRPr="00D00246">
        <w:t xml:space="preserve"> sąd</w:t>
      </w:r>
      <w:r w:rsidR="003228D4" w:rsidRPr="00D00246">
        <w:t>u</w:t>
      </w:r>
      <w:r w:rsidR="00802C80" w:rsidRPr="00D00246">
        <w:t>.</w:t>
      </w:r>
    </w:p>
    <w:p w14:paraId="230BAEE0" w14:textId="41E726EF" w:rsidR="00802C80" w:rsidRPr="003D7F25" w:rsidRDefault="00A3591C" w:rsidP="00802C80">
      <w:pPr>
        <w:pStyle w:val="ECHRPara"/>
      </w:pPr>
      <w:r>
        <w:rPr>
          <w:noProof/>
        </w:rPr>
        <w:t>40</w:t>
      </w:r>
      <w:r w:rsidR="00802C80" w:rsidRPr="00082846">
        <w:t>.</w:t>
      </w:r>
      <w:r w:rsidR="005F47D9">
        <w:t xml:space="preserve"> </w:t>
      </w:r>
      <w:r w:rsidR="00802C80" w:rsidRPr="00082846">
        <w:t>Art</w:t>
      </w:r>
      <w:r w:rsidR="00B25512">
        <w:t>.</w:t>
      </w:r>
      <w:r w:rsidR="00802C80" w:rsidRPr="00082846">
        <w:t xml:space="preserve"> 64 k.k.</w:t>
      </w:r>
      <w:r w:rsidR="003228D4" w:rsidRPr="00082846">
        <w:t>,</w:t>
      </w:r>
      <w:r w:rsidR="00802C80" w:rsidRPr="00082846">
        <w:t xml:space="preserve"> w brzmieniu obowiązującym w czasie istotnym </w:t>
      </w:r>
      <w:r w:rsidR="003228D4" w:rsidRPr="00082846">
        <w:t xml:space="preserve">dla sprawy, </w:t>
      </w:r>
      <w:r w:rsidR="00802C80" w:rsidRPr="003D7F25">
        <w:t>przewidywał karalność na podstawie prawa austriackiego przestępstw popełnionych za granicą przy spełnieniu m.in. następujących warunków:</w:t>
      </w:r>
    </w:p>
    <w:p w14:paraId="124099E0" w14:textId="77777777" w:rsidR="00802C80" w:rsidRPr="001F0818" w:rsidRDefault="00802C80" w:rsidP="00802C80">
      <w:pPr>
        <w:pStyle w:val="ECHRParaQuote"/>
      </w:pPr>
      <w:r w:rsidRPr="001C5F9D">
        <w:t xml:space="preserve">„(1) Prawo austriackie znajduje zastosowanie niezależnie od prawa </w:t>
      </w:r>
      <w:r w:rsidR="0058162A" w:rsidRPr="001C5F9D">
        <w:t xml:space="preserve">obowiązującego w </w:t>
      </w:r>
      <w:r w:rsidRPr="001F0818">
        <w:t xml:space="preserve">kraju popełnienia </w:t>
      </w:r>
      <w:r w:rsidR="0058162A" w:rsidRPr="001F0818">
        <w:t xml:space="preserve">przestępstwa </w:t>
      </w:r>
      <w:r w:rsidRPr="001F0818">
        <w:t>w stosunku do następujących przestępstw:</w:t>
      </w:r>
    </w:p>
    <w:p w14:paraId="535BD953" w14:textId="77777777" w:rsidR="00802C80" w:rsidRPr="008A47A5" w:rsidRDefault="00802C80" w:rsidP="00802C80">
      <w:pPr>
        <w:pStyle w:val="ECHRParaQuote"/>
      </w:pPr>
      <w:r w:rsidRPr="008A47A5">
        <w:t>(…)</w:t>
      </w:r>
    </w:p>
    <w:p w14:paraId="05AD32C7" w14:textId="5BCD7DC2" w:rsidR="00802C80" w:rsidRPr="00082846" w:rsidRDefault="00802C80" w:rsidP="00802C80">
      <w:pPr>
        <w:pStyle w:val="JuQuotSub"/>
      </w:pPr>
      <w:r w:rsidRPr="00D00246">
        <w:t>4.</w:t>
      </w:r>
      <w:r w:rsidR="005F47D9">
        <w:t xml:space="preserve"> </w:t>
      </w:r>
      <w:r w:rsidRPr="00D00246">
        <w:t xml:space="preserve">(…) niewolnictwa (art. 104), handlu ludźmi (art. 104a), (…) jeżeli czyn </w:t>
      </w:r>
      <w:r w:rsidR="003D7F25">
        <w:t xml:space="preserve">narusza </w:t>
      </w:r>
      <w:r w:rsidRPr="00082846">
        <w:t>interesy austriackie bądź jeżeli ekstradycja sprawcy nie jest możliwa”.</w:t>
      </w:r>
    </w:p>
    <w:p w14:paraId="6081A5CD" w14:textId="755E5AA2" w:rsidR="00802C80" w:rsidRPr="003D7F25" w:rsidRDefault="00802C80" w:rsidP="00802C80">
      <w:pPr>
        <w:pStyle w:val="ECHRPara"/>
      </w:pPr>
      <w:r w:rsidRPr="003D7F25">
        <w:t xml:space="preserve">Zgodnie z praktyką austriacką </w:t>
      </w:r>
      <w:r w:rsidR="0058162A" w:rsidRPr="003D7F25">
        <w:t xml:space="preserve">do </w:t>
      </w:r>
      <w:r w:rsidR="003D7F25">
        <w:t>naruszenia</w:t>
      </w:r>
      <w:r w:rsidR="0058162A" w:rsidRPr="003D7F25">
        <w:t xml:space="preserve"> </w:t>
      </w:r>
      <w:r w:rsidRPr="003D7F25">
        <w:t>austriacki</w:t>
      </w:r>
      <w:r w:rsidR="0058162A" w:rsidRPr="003D7F25">
        <w:t>ch</w:t>
      </w:r>
      <w:r w:rsidRPr="003D7F25">
        <w:t xml:space="preserve"> interes</w:t>
      </w:r>
      <w:r w:rsidR="0058162A" w:rsidRPr="003D7F25">
        <w:t>ów</w:t>
      </w:r>
      <w:r w:rsidRPr="003D7F25">
        <w:t xml:space="preserve"> </w:t>
      </w:r>
      <w:r w:rsidR="0058162A" w:rsidRPr="003D7F25">
        <w:t>dochodzi wówczas</w:t>
      </w:r>
      <w:r w:rsidRPr="003D7F25">
        <w:t>, gdy sprawca</w:t>
      </w:r>
      <w:r w:rsidR="005F47D9">
        <w:t xml:space="preserve"> </w:t>
      </w:r>
      <w:r w:rsidR="0058162A" w:rsidRPr="003D7F25">
        <w:t>lub pokrzywdzo</w:t>
      </w:r>
      <w:r w:rsidR="0058162A" w:rsidRPr="001C5F9D">
        <w:t>ny</w:t>
      </w:r>
      <w:r w:rsidRPr="001C5F9D">
        <w:t xml:space="preserve"> są obywatelami austriackimi, gdy przestępstwo ma łącznik z Austrią bądź gdy zobowiązanie takie wynika z prawa międzynarodowego (</w:t>
      </w:r>
      <w:r w:rsidR="008A47A5">
        <w:t xml:space="preserve">zob. </w:t>
      </w:r>
      <w:r w:rsidR="00A65A99">
        <w:t>wyroki Sądu Najwyższego z </w:t>
      </w:r>
      <w:r w:rsidR="0058162A" w:rsidRPr="003D7F25">
        <w:t xml:space="preserve">dnia </w:t>
      </w:r>
      <w:r w:rsidRPr="003D7F25">
        <w:t>24 września 200</w:t>
      </w:r>
      <w:r w:rsidRPr="001C5F9D">
        <w:t>3 r.</w:t>
      </w:r>
      <w:r w:rsidR="0058162A" w:rsidRPr="001C5F9D">
        <w:t>, sygn. akt</w:t>
      </w:r>
      <w:r w:rsidRPr="001F0818">
        <w:t xml:space="preserve"> 13 OS 105/03</w:t>
      </w:r>
      <w:r w:rsidR="0058162A" w:rsidRPr="001F0818">
        <w:t>,</w:t>
      </w:r>
      <w:r w:rsidRPr="001F0818">
        <w:t xml:space="preserve"> </w:t>
      </w:r>
      <w:r w:rsidR="0058162A" w:rsidRPr="001F0818">
        <w:t>oraz</w:t>
      </w:r>
      <w:r w:rsidRPr="001F0818">
        <w:t xml:space="preserve"> z </w:t>
      </w:r>
      <w:r w:rsidR="0058162A" w:rsidRPr="001F0818">
        <w:t xml:space="preserve">dnia </w:t>
      </w:r>
      <w:r w:rsidRPr="001F0818">
        <w:t>27 marca 2003 r.</w:t>
      </w:r>
      <w:r w:rsidR="0058162A" w:rsidRPr="001F0818">
        <w:t>, sygn. ak</w:t>
      </w:r>
      <w:r w:rsidR="0058162A" w:rsidRPr="008A47A5">
        <w:t>t</w:t>
      </w:r>
      <w:r w:rsidRPr="008A47A5">
        <w:t xml:space="preserve"> 15 Os 37/03). Dnia 9 grudnia 1981 r. austriacki Sąd Najwyższy orzekł w sprawie </w:t>
      </w:r>
      <w:r w:rsidR="0058162A" w:rsidRPr="008A47A5">
        <w:t xml:space="preserve">o sygn. akt </w:t>
      </w:r>
      <w:r w:rsidRPr="008A47A5">
        <w:t xml:space="preserve">11 Os 161/81, która dotyczyła przewozu i </w:t>
      </w:r>
      <w:r w:rsidR="0058162A" w:rsidRPr="008A47A5">
        <w:t xml:space="preserve">wwozu </w:t>
      </w:r>
      <w:r w:rsidRPr="00D00246">
        <w:t xml:space="preserve">narkotyków </w:t>
      </w:r>
      <w:r w:rsidR="0058162A" w:rsidRPr="00D00246">
        <w:t>do</w:t>
      </w:r>
      <w:r w:rsidRPr="00D00246">
        <w:t xml:space="preserve"> Austrii, że </w:t>
      </w:r>
      <w:r w:rsidR="003D7F25">
        <w:t xml:space="preserve">tak czy owak do naruszenia </w:t>
      </w:r>
      <w:r w:rsidRPr="003D7F25">
        <w:t>interes</w:t>
      </w:r>
      <w:r w:rsidR="003D7F25">
        <w:t>ów</w:t>
      </w:r>
      <w:r w:rsidRPr="003D7F25">
        <w:t xml:space="preserve"> austriacki</w:t>
      </w:r>
      <w:r w:rsidR="003D7F25">
        <w:t>ch</w:t>
      </w:r>
      <w:r w:rsidRPr="003D7F25">
        <w:t xml:space="preserve"> </w:t>
      </w:r>
      <w:r w:rsidR="003D7F25">
        <w:t xml:space="preserve">dochodzi </w:t>
      </w:r>
      <w:r w:rsidRPr="003D7F25">
        <w:t xml:space="preserve">w </w:t>
      </w:r>
      <w:r w:rsidR="003D7F25">
        <w:t>przypadku</w:t>
      </w:r>
      <w:r w:rsidR="0058162A" w:rsidRPr="003D7F25">
        <w:t xml:space="preserve"> wwozu </w:t>
      </w:r>
      <w:r w:rsidRPr="003D7F25">
        <w:t xml:space="preserve">narkotyków </w:t>
      </w:r>
      <w:r w:rsidR="0058162A" w:rsidRPr="003D7F25">
        <w:t>do</w:t>
      </w:r>
      <w:r w:rsidRPr="003D7F25">
        <w:t xml:space="preserve"> Austrii nawet na krótki czas. Sąd Najwyższ</w:t>
      </w:r>
      <w:r w:rsidR="00A65A99">
        <w:t>y nadto wskazał na wynikające z </w:t>
      </w:r>
      <w:r w:rsidRPr="003D7F25">
        <w:t>prawa międzynarodowego zobowiązanie do przeciwdziałania przewozowi narkotyków.</w:t>
      </w:r>
    </w:p>
    <w:p w14:paraId="68C29B70" w14:textId="73D8B4C8" w:rsidR="00802C80" w:rsidRPr="00082846" w:rsidRDefault="00A3591C" w:rsidP="00802C80">
      <w:pPr>
        <w:pStyle w:val="ECHRPara"/>
      </w:pPr>
      <w:r>
        <w:rPr>
          <w:noProof/>
        </w:rPr>
        <w:t>41</w:t>
      </w:r>
      <w:r w:rsidR="00802C80" w:rsidRPr="00082846">
        <w:t>.</w:t>
      </w:r>
      <w:r w:rsidR="005F47D9">
        <w:t xml:space="preserve"> </w:t>
      </w:r>
      <w:r w:rsidR="00802C80" w:rsidRPr="00082846">
        <w:t>Art. 363a k.p.k., pod nagłówkiem „wznowienie postępowania karnego” (</w:t>
      </w:r>
      <w:r w:rsidR="00802C80" w:rsidRPr="00082846">
        <w:rPr>
          <w:i/>
        </w:rPr>
        <w:t>Erneuerung des Strafverfahrens</w:t>
      </w:r>
      <w:r w:rsidR="00802C80" w:rsidRPr="00082846">
        <w:t>), stanowi:</w:t>
      </w:r>
    </w:p>
    <w:p w14:paraId="0CD1FC18" w14:textId="162DB1EB" w:rsidR="00802C80" w:rsidRPr="00D00246" w:rsidRDefault="00802C80" w:rsidP="00802C80">
      <w:pPr>
        <w:pStyle w:val="ECHRParaQuote"/>
      </w:pPr>
      <w:r w:rsidRPr="003D7F25">
        <w:t>„1.</w:t>
      </w:r>
      <w:r w:rsidR="005F47D9">
        <w:t xml:space="preserve"> </w:t>
      </w:r>
      <w:r w:rsidRPr="003D7F25">
        <w:t>W razie ustalenia wyrokiem Europejskiego</w:t>
      </w:r>
      <w:r w:rsidR="00A65A99">
        <w:t xml:space="preserve"> Trybunału Praw Człowieka, że w </w:t>
      </w:r>
      <w:r w:rsidRPr="003D7F25">
        <w:t xml:space="preserve">wyniku wyroku albo postanowienia sądu karnego doszło do naruszenia Konwencji o </w:t>
      </w:r>
      <w:r w:rsidR="0058162A" w:rsidRPr="001C5F9D">
        <w:t>o</w:t>
      </w:r>
      <w:r w:rsidRPr="001F0818">
        <w:t xml:space="preserve">chronie </w:t>
      </w:r>
      <w:r w:rsidR="0058162A" w:rsidRPr="001F0818">
        <w:t>p</w:t>
      </w:r>
      <w:r w:rsidRPr="001F0818">
        <w:t xml:space="preserve">raw </w:t>
      </w:r>
      <w:r w:rsidR="0058162A" w:rsidRPr="001F0818">
        <w:t>c</w:t>
      </w:r>
      <w:r w:rsidRPr="001F0818">
        <w:t xml:space="preserve">złowieka i </w:t>
      </w:r>
      <w:r w:rsidR="0058162A" w:rsidRPr="001F0818">
        <w:t>p</w:t>
      </w:r>
      <w:r w:rsidRPr="001F0818">
        <w:t xml:space="preserve">odstawowych </w:t>
      </w:r>
      <w:r w:rsidR="0058162A" w:rsidRPr="001F0818">
        <w:t>w</w:t>
      </w:r>
      <w:r w:rsidRPr="001F0818">
        <w:t>olności (Dziennik Ustaw [</w:t>
      </w:r>
      <w:r w:rsidRPr="008A47A5">
        <w:rPr>
          <w:i/>
        </w:rPr>
        <w:t>Bundesgesetzblatt</w:t>
      </w:r>
      <w:r w:rsidRPr="008A47A5">
        <w:t xml:space="preserve">] nr 210/1958) albo jednego z </w:t>
      </w:r>
      <w:r w:rsidR="00CD7D91" w:rsidRPr="008A47A5">
        <w:t xml:space="preserve">Protokołów </w:t>
      </w:r>
      <w:r w:rsidRPr="008A47A5">
        <w:t xml:space="preserve">do niej, postępowanie </w:t>
      </w:r>
      <w:r w:rsidRPr="008A47A5">
        <w:lastRenderedPageBreak/>
        <w:t xml:space="preserve">wznawia się na </w:t>
      </w:r>
      <w:r w:rsidR="0058162A" w:rsidRPr="00D00246">
        <w:t>wniosek</w:t>
      </w:r>
      <w:r w:rsidRPr="00D00246">
        <w:t xml:space="preserve">, </w:t>
      </w:r>
      <w:r w:rsidR="0058162A" w:rsidRPr="00D00246">
        <w:t>jeżeli nie można</w:t>
      </w:r>
      <w:r w:rsidRPr="00D00246">
        <w:t xml:space="preserve"> wyklucz</w:t>
      </w:r>
      <w:r w:rsidR="0058162A" w:rsidRPr="00D00246">
        <w:t>yć</w:t>
      </w:r>
      <w:r w:rsidRPr="00D00246">
        <w:t>, że naruszenie mogło wywrzeć ujemny dla zainteresowanej osoby wpływ na treść rozstrzygnięcia.</w:t>
      </w:r>
    </w:p>
    <w:p w14:paraId="6EC0E77A" w14:textId="720F4B8D" w:rsidR="00802C80" w:rsidRPr="00D00246" w:rsidRDefault="00802C80" w:rsidP="00802C80">
      <w:pPr>
        <w:pStyle w:val="ECHRParaQuote"/>
      </w:pPr>
      <w:r w:rsidRPr="00D00246">
        <w:t>2.</w:t>
      </w:r>
      <w:r w:rsidR="005F47D9">
        <w:t xml:space="preserve"> </w:t>
      </w:r>
      <w:r w:rsidRPr="00D00246">
        <w:t xml:space="preserve">W przedmiocie skarg o wznowienie postępowania orzeka Sąd Najwyższy. Skargę może </w:t>
      </w:r>
      <w:r w:rsidR="0058162A" w:rsidRPr="00D00246">
        <w:t>wnieść pokrzywdzony</w:t>
      </w:r>
      <w:r w:rsidRPr="00D00246">
        <w:t xml:space="preserve"> lub </w:t>
      </w:r>
      <w:r w:rsidR="00BE2CDA" w:rsidRPr="00D00246">
        <w:t xml:space="preserve">Prokurator </w:t>
      </w:r>
      <w:r w:rsidRPr="00D00246">
        <w:t>Generaln</w:t>
      </w:r>
      <w:r w:rsidR="00BE2CDA" w:rsidRPr="00D00246">
        <w:t>y</w:t>
      </w:r>
      <w:r w:rsidRPr="00D00246">
        <w:t xml:space="preserve">; art. 282 § 1 stosuje się odpowiednio. Skargę wnosi się </w:t>
      </w:r>
      <w:r w:rsidR="0058162A" w:rsidRPr="00D00246">
        <w:t xml:space="preserve">do </w:t>
      </w:r>
      <w:r w:rsidRPr="00D00246">
        <w:t>Sąd</w:t>
      </w:r>
      <w:r w:rsidR="0058162A" w:rsidRPr="00D00246">
        <w:t>u</w:t>
      </w:r>
      <w:r w:rsidRPr="00D00246">
        <w:t xml:space="preserve"> Najwyższ</w:t>
      </w:r>
      <w:r w:rsidR="0058162A" w:rsidRPr="00D00246">
        <w:t>ego</w:t>
      </w:r>
      <w:r w:rsidRPr="00D00246">
        <w:t xml:space="preserve">. Jeżeli skargę </w:t>
      </w:r>
      <w:r w:rsidR="00BE2CDA" w:rsidRPr="00D00246">
        <w:t xml:space="preserve">wniósł Prokurator </w:t>
      </w:r>
      <w:r w:rsidRPr="00D00246">
        <w:t>Generaln</w:t>
      </w:r>
      <w:r w:rsidR="00BE2CDA" w:rsidRPr="00D00246">
        <w:t>y</w:t>
      </w:r>
      <w:r w:rsidRPr="00D00246">
        <w:t xml:space="preserve">, należy wysłuchać </w:t>
      </w:r>
      <w:r w:rsidR="0058162A" w:rsidRPr="00D00246">
        <w:t>pokrzywdzonego</w:t>
      </w:r>
      <w:r w:rsidRPr="00D00246">
        <w:t>; jeżeli skargę</w:t>
      </w:r>
      <w:r w:rsidR="0058162A" w:rsidRPr="00D00246">
        <w:t xml:space="preserve"> wniósł pokrzywdzony</w:t>
      </w:r>
      <w:r w:rsidRPr="00D00246">
        <w:t xml:space="preserve">, należy wysłuchać </w:t>
      </w:r>
      <w:r w:rsidR="00BE2CDA" w:rsidRPr="00D00246">
        <w:t xml:space="preserve">Prokuratora </w:t>
      </w:r>
      <w:r w:rsidRPr="00D00246">
        <w:t>Generalne</w:t>
      </w:r>
      <w:r w:rsidR="00BE2CDA" w:rsidRPr="00D00246">
        <w:t>go</w:t>
      </w:r>
      <w:r w:rsidRPr="00D00246">
        <w:t>; art. 35 § 1 stosuje się odpowiednio”.</w:t>
      </w:r>
    </w:p>
    <w:p w14:paraId="797D2D73" w14:textId="52406492" w:rsidR="00802C80" w:rsidRPr="003D7F25" w:rsidRDefault="00A3591C" w:rsidP="00802C80">
      <w:pPr>
        <w:pStyle w:val="ECHRPara"/>
      </w:pPr>
      <w:r>
        <w:rPr>
          <w:noProof/>
        </w:rPr>
        <w:t>42</w:t>
      </w:r>
      <w:r w:rsidR="00802C80" w:rsidRPr="00082846">
        <w:t>.</w:t>
      </w:r>
      <w:r w:rsidR="005F47D9">
        <w:t xml:space="preserve"> </w:t>
      </w:r>
      <w:r w:rsidR="00802C80" w:rsidRPr="00082846">
        <w:t>Dnia 1 sierpnia 2007 r. (w sprawie o sygn. akt. 13 Os 135/06m) Sąd Najwyższy uwzględnił skargę o wznowienie postępowania karnego w trybie art. 363a k.p.k. w sytuacji, gdy skarżący nie</w:t>
      </w:r>
      <w:r w:rsidR="00A65A99">
        <w:t xml:space="preserve"> wystąpił uprzednio ze skargą o </w:t>
      </w:r>
      <w:r w:rsidR="00802C80" w:rsidRPr="00082846">
        <w:t>naruszenie praw człowieka do Trybunału. W relewantnym zakresie Sąd Najwyższy stwierdził:</w:t>
      </w:r>
    </w:p>
    <w:p w14:paraId="524597D3" w14:textId="154F1180" w:rsidR="00802C80" w:rsidRPr="00D00246" w:rsidRDefault="00802C80" w:rsidP="00802C80">
      <w:pPr>
        <w:pStyle w:val="ECHRParaQuote"/>
      </w:pPr>
      <w:r w:rsidRPr="001C5F9D">
        <w:t xml:space="preserve">„Biorąc pod uwagę, że art. 13 Konwencji wymaga od </w:t>
      </w:r>
      <w:r w:rsidR="00CD7D91" w:rsidRPr="001C5F9D">
        <w:t xml:space="preserve">Układającego </w:t>
      </w:r>
      <w:r w:rsidRPr="001C5F9D">
        <w:t>się Państwa zapew</w:t>
      </w:r>
      <w:r w:rsidRPr="001F0818">
        <w:t xml:space="preserve">nienia każdej osobie, która </w:t>
      </w:r>
      <w:r w:rsidR="00BE2CDA" w:rsidRPr="008A47A5">
        <w:t>odpowiednio uprawdopodobni</w:t>
      </w:r>
      <w:r w:rsidRPr="008A47A5">
        <w:t xml:space="preserve">, że doszło do naruszenia jej praw na podstawie Konwencji </w:t>
      </w:r>
      <w:r w:rsidR="00CD7D91">
        <w:t>i Protokołów do niej, skutecznego środka odwoławczego</w:t>
      </w:r>
      <w:r w:rsidRPr="00D00246">
        <w:t>, a innymi słowy istnienia na poziomie krajowym sądu badającego kwestie naruszeń praw konwencyjnych — art. 363 § 1 k.p.k</w:t>
      </w:r>
      <w:r w:rsidR="00E55B22">
        <w:t>. nie może być interpretowany w </w:t>
      </w:r>
      <w:r w:rsidRPr="00D00246">
        <w:t>sposób dopuszczający skargę o wznowienie postępowania karnego jedynie w tych przypadkach, w których Europejski Trybunał Praw Człowieka wydał już wyrok stwierdzający naruszenie Konwencji”.</w:t>
      </w:r>
    </w:p>
    <w:p w14:paraId="52DE6E04" w14:textId="77777777" w:rsidR="00802C80" w:rsidRPr="003D7F25" w:rsidRDefault="00802C80" w:rsidP="00802C80">
      <w:pPr>
        <w:pStyle w:val="ECHRPara"/>
      </w:pPr>
      <w:r w:rsidRPr="00D00246">
        <w:t xml:space="preserve">Obszerne streszczenie wyroku Sądu Najwyższego </w:t>
      </w:r>
      <w:r w:rsidR="00BE2CDA" w:rsidRPr="00D00246">
        <w:t xml:space="preserve">znajduje się w </w:t>
      </w:r>
      <w:r w:rsidRPr="00076546">
        <w:rPr>
          <w:i/>
        </w:rPr>
        <w:t>ATV Privatfernseh-GmbH p-ko Austrii</w:t>
      </w:r>
      <w:r w:rsidRPr="00082846">
        <w:t xml:space="preserve"> (</w:t>
      </w:r>
      <w:r w:rsidR="00BE2CDA" w:rsidRPr="00082846">
        <w:t xml:space="preserve">dec.), nr 58842/09, </w:t>
      </w:r>
      <w:r w:rsidR="00BE2CDA" w:rsidRPr="00076546">
        <w:t xml:space="preserve">§ 19, </w:t>
      </w:r>
      <w:r w:rsidRPr="00082846">
        <w:t>6 października 2015 r.</w:t>
      </w:r>
      <w:r w:rsidRPr="003D7F25">
        <w:t>).</w:t>
      </w:r>
    </w:p>
    <w:p w14:paraId="3A2F6CAA" w14:textId="7A6CA2E3" w:rsidR="00802C80" w:rsidRPr="003D7F25" w:rsidRDefault="00A3591C" w:rsidP="00802C80">
      <w:pPr>
        <w:pStyle w:val="ECHRPara"/>
      </w:pPr>
      <w:r>
        <w:rPr>
          <w:noProof/>
        </w:rPr>
        <w:t>43</w:t>
      </w:r>
      <w:r w:rsidR="00802C80" w:rsidRPr="00082846">
        <w:t>.</w:t>
      </w:r>
      <w:r w:rsidR="005F47D9">
        <w:t xml:space="preserve"> </w:t>
      </w:r>
      <w:r w:rsidR="00802C80" w:rsidRPr="00082846">
        <w:t xml:space="preserve">W wyroku z dnia 16 grudnia 2010 r. (w sprawie </w:t>
      </w:r>
      <w:r w:rsidR="00BE2CDA" w:rsidRPr="00082846">
        <w:t>o sygn. akt</w:t>
      </w:r>
      <w:r w:rsidR="00802C80" w:rsidRPr="00082846">
        <w:t xml:space="preserve"> 13 Os 130/10g) dotyczącym skargi w trybie art. 363a k.p.k. Sąd Najwyższy wyjaśnił:</w:t>
      </w:r>
    </w:p>
    <w:p w14:paraId="48688E19" w14:textId="24A72FAA" w:rsidR="00802C80" w:rsidRPr="00D00246" w:rsidRDefault="00802C80" w:rsidP="00802C80">
      <w:pPr>
        <w:pStyle w:val="ECHRParaQuote"/>
      </w:pPr>
      <w:r w:rsidRPr="001C5F9D">
        <w:t xml:space="preserve">Zgodnie z utrwalonym orzecznictwem wyrok Europejskiego Trybunału Praw Człowieka nie </w:t>
      </w:r>
      <w:r w:rsidRPr="001F0818">
        <w:t xml:space="preserve">jest wymagany do wniesienia skargi o wznowienie postępowania karnego w trybie art. 363a § 1 k.p.k. Osoby, które uprawdopodobnią, że wyrok sądu karnego w ostatniej instancji naruszył ich prawa podstawowe bądź </w:t>
      </w:r>
      <w:r w:rsidRPr="008A47A5">
        <w:t>że w dalszym ciągu pozostają one ofiarami narusz</w:t>
      </w:r>
      <w:r w:rsidRPr="00D00246">
        <w:t xml:space="preserve">enia praw człowieka popełnianego przez Departament Dochodzeniowo-Śledczy, </w:t>
      </w:r>
      <w:r w:rsidR="00BE2CDA" w:rsidRPr="00D00246">
        <w:t>prokuratora</w:t>
      </w:r>
      <w:r w:rsidRPr="00D00246">
        <w:t xml:space="preserve"> bądź sąd</w:t>
      </w:r>
      <w:r w:rsidR="00CD7D91">
        <w:t>,</w:t>
      </w:r>
      <w:r w:rsidRPr="00D00246">
        <w:t xml:space="preserve"> mimo wyczerpania wszystkich dostępnych </w:t>
      </w:r>
      <w:r w:rsidR="00CD7D91" w:rsidRPr="00D00246">
        <w:t xml:space="preserve">krajowych </w:t>
      </w:r>
      <w:r w:rsidRPr="00D00246">
        <w:t>środków</w:t>
      </w:r>
      <w:r w:rsidR="00CD7D91">
        <w:t xml:space="preserve"> odwoławczych</w:t>
      </w:r>
      <w:r w:rsidRPr="00D00246">
        <w:t xml:space="preserve"> są uprawnione do wniesienia takiej skargi (…).</w:t>
      </w:r>
    </w:p>
    <w:p w14:paraId="6E2034D7" w14:textId="77777777" w:rsidR="00802C80" w:rsidRPr="00D00246" w:rsidRDefault="00802C80" w:rsidP="00802C80">
      <w:pPr>
        <w:pStyle w:val="ECHRParaQuote"/>
      </w:pPr>
      <w:r w:rsidRPr="00D00246">
        <w:t xml:space="preserve">Osobom dotkniętym naruszeniem Konwencji w charakterze oskarżycieli [prywatnych] (…) prawo do wniesienia skargi o wznowienie postępowania karnego nie przysługuje. W świetle tej intencji pierwotnych autorów ustawy i zakresu ochrony, to samo musi odnosić się do </w:t>
      </w:r>
      <w:r w:rsidR="00BE2CDA" w:rsidRPr="00D00246">
        <w:t xml:space="preserve">pokrzywdzonych </w:t>
      </w:r>
      <w:r w:rsidRPr="00D00246">
        <w:t>(art. 65 k.p.k.), któr</w:t>
      </w:r>
      <w:r w:rsidR="00BE2CDA" w:rsidRPr="00D00246">
        <w:t>zy</w:t>
      </w:r>
      <w:r w:rsidR="00E55B22">
        <w:t xml:space="preserve"> znajdują się w </w:t>
      </w:r>
      <w:r w:rsidRPr="00D00246">
        <w:t xml:space="preserve">takim położeniu. Ich interesy są </w:t>
      </w:r>
      <w:r w:rsidR="00BE2CDA" w:rsidRPr="00D00246">
        <w:t xml:space="preserve">dostatecznie </w:t>
      </w:r>
      <w:r w:rsidRPr="00D00246">
        <w:t>chronione</w:t>
      </w:r>
      <w:r w:rsidR="00BE2CDA" w:rsidRPr="00D00246">
        <w:t xml:space="preserve"> ze względu na</w:t>
      </w:r>
      <w:r w:rsidRPr="00D00246">
        <w:t xml:space="preserve"> możliwość złożenia wniosku o podjęcie postępowania karnego (art. 195 k.p.k.)” (…).</w:t>
      </w:r>
    </w:p>
    <w:p w14:paraId="6497FB30" w14:textId="6DF9F185" w:rsidR="00802C80" w:rsidRPr="001F0818" w:rsidRDefault="00A3591C" w:rsidP="00802C80">
      <w:pPr>
        <w:pStyle w:val="ECHRPara"/>
      </w:pPr>
      <w:r>
        <w:rPr>
          <w:noProof/>
        </w:rPr>
        <w:t>44</w:t>
      </w:r>
      <w:r w:rsidR="00802C80" w:rsidRPr="00082846">
        <w:t>.</w:t>
      </w:r>
      <w:r w:rsidR="005F47D9">
        <w:t xml:space="preserve"> </w:t>
      </w:r>
      <w:r w:rsidR="00802C80" w:rsidRPr="00082846">
        <w:t xml:space="preserve">W kolejnych wyrokach Sąd Najwyższy potwierdził, że </w:t>
      </w:r>
      <w:r w:rsidR="00BE2CDA" w:rsidRPr="003D7F25">
        <w:t xml:space="preserve">pokrzywdzonym </w:t>
      </w:r>
      <w:r w:rsidR="00802C80" w:rsidRPr="003D7F25">
        <w:t xml:space="preserve">w rozumieniu art. 65 k.p.k. nie przysługuje prawo do wniesienia skargi o wznowienie postępowania karnego w trybie art. 363a k.p.k. (wyroki z dnia 15 maja </w:t>
      </w:r>
      <w:r w:rsidR="00802C80" w:rsidRPr="001C5F9D">
        <w:t>2012 r.</w:t>
      </w:r>
      <w:r w:rsidR="00BE2CDA" w:rsidRPr="001C5F9D">
        <w:t xml:space="preserve">, sygn. akt </w:t>
      </w:r>
      <w:r w:rsidR="00BE2CDA" w:rsidRPr="001F0818">
        <w:t>1</w:t>
      </w:r>
      <w:r w:rsidR="00802C80" w:rsidRPr="001F0818">
        <w:t>4 Os 37/12s</w:t>
      </w:r>
      <w:r w:rsidR="00BE2CDA" w:rsidRPr="001F0818">
        <w:t>, oraz</w:t>
      </w:r>
      <w:r w:rsidR="00802C80" w:rsidRPr="001F0818">
        <w:t xml:space="preserve"> z dnia 19 lutego 2014 r.</w:t>
      </w:r>
      <w:r w:rsidR="00BE2CDA" w:rsidRPr="001F0818">
        <w:t>, sygn. akt</w:t>
      </w:r>
      <w:r w:rsidR="00802C80" w:rsidRPr="001F0818">
        <w:t xml:space="preserve"> 15 Os 177/13p). Art. 65</w:t>
      </w:r>
      <w:r w:rsidR="00BE2CDA" w:rsidRPr="001F0818">
        <w:t xml:space="preserve"> </w:t>
      </w:r>
      <w:r w:rsidR="00BE2CDA" w:rsidRPr="00076546">
        <w:t>§ 1 l</w:t>
      </w:r>
      <w:r w:rsidR="00BE2CDA" w:rsidRPr="00082846">
        <w:t xml:space="preserve">it. </w:t>
      </w:r>
      <w:r w:rsidR="00802C80" w:rsidRPr="00082846">
        <w:t>a</w:t>
      </w:r>
      <w:r w:rsidR="0013325B">
        <w:t>)</w:t>
      </w:r>
      <w:r w:rsidR="00CD7D91" w:rsidRPr="00CD7D91">
        <w:t xml:space="preserve"> </w:t>
      </w:r>
      <w:r w:rsidR="00CD7D91" w:rsidRPr="003D7F25">
        <w:t xml:space="preserve">k.p.k. </w:t>
      </w:r>
      <w:r w:rsidR="00802C80" w:rsidRPr="00082846">
        <w:t xml:space="preserve">definiuje </w:t>
      </w:r>
      <w:r w:rsidR="00802C80" w:rsidRPr="00082846">
        <w:lastRenderedPageBreak/>
        <w:t>„</w:t>
      </w:r>
      <w:r w:rsidR="00BE2CDA" w:rsidRPr="003D7F25">
        <w:t>pokrzywdzonego</w:t>
      </w:r>
      <w:r w:rsidR="00802C80" w:rsidRPr="003D7F25">
        <w:t>” jako osobę, która mogła zostać poddana przemocy bądź niebezpiecznej groźbie bądź której wolność seksual</w:t>
      </w:r>
      <w:r w:rsidR="00802C80" w:rsidRPr="001C5F9D">
        <w:t>na mogła doznać naruszenia w wyniku umyślnie popełnionego czynu zabronionego.</w:t>
      </w:r>
    </w:p>
    <w:p w14:paraId="358C4D9C" w14:textId="05E76DE7" w:rsidR="00802C80" w:rsidRPr="00D00246" w:rsidRDefault="00A3591C" w:rsidP="00802C80">
      <w:pPr>
        <w:pStyle w:val="ECHRPara"/>
      </w:pPr>
      <w:r>
        <w:rPr>
          <w:noProof/>
        </w:rPr>
        <w:t>45</w:t>
      </w:r>
      <w:r w:rsidR="00802C80" w:rsidRPr="00082846">
        <w:t>.</w:t>
      </w:r>
      <w:r w:rsidR="005F47D9">
        <w:t xml:space="preserve"> </w:t>
      </w:r>
      <w:r w:rsidR="00802C80" w:rsidRPr="00082846">
        <w:t>Art. 66 k.p.k.</w:t>
      </w:r>
      <w:r w:rsidR="00BE2CDA" w:rsidRPr="00082846">
        <w:t>,</w:t>
      </w:r>
      <w:r w:rsidR="00802C80" w:rsidRPr="00082846">
        <w:t xml:space="preserve"> w brzmieniu obowiązującym w czasie istotnym</w:t>
      </w:r>
      <w:r w:rsidR="00BE2CDA" w:rsidRPr="00082846">
        <w:t xml:space="preserve"> dla sprawy,</w:t>
      </w:r>
      <w:r w:rsidR="00802C80" w:rsidRPr="003D7F25">
        <w:t xml:space="preserve"> </w:t>
      </w:r>
      <w:r w:rsidR="00BE2CDA" w:rsidRPr="003D7F25">
        <w:t xml:space="preserve">określa </w:t>
      </w:r>
      <w:r w:rsidR="00802C80" w:rsidRPr="003D7F25">
        <w:t xml:space="preserve">prawa </w:t>
      </w:r>
      <w:r w:rsidR="00BE2CDA" w:rsidRPr="003D7F25">
        <w:t xml:space="preserve">pokrzywdzonych </w:t>
      </w:r>
      <w:r w:rsidR="00802C80" w:rsidRPr="003D7F25">
        <w:t xml:space="preserve">w postępowaniu karnym, </w:t>
      </w:r>
      <w:r w:rsidR="00BE2CDA" w:rsidRPr="001F0818">
        <w:t>m.in.</w:t>
      </w:r>
      <w:r w:rsidR="00802C80" w:rsidRPr="001F0818">
        <w:t xml:space="preserve"> prawo do bycia reprezentowanym przez profesjon</w:t>
      </w:r>
      <w:r w:rsidR="00802C80" w:rsidRPr="008A47A5">
        <w:t xml:space="preserve">alnego pełnomocnika, </w:t>
      </w:r>
      <w:r w:rsidR="00BE2CDA" w:rsidRPr="008A47A5">
        <w:t xml:space="preserve">prawo </w:t>
      </w:r>
      <w:r w:rsidR="00802C80" w:rsidRPr="008A47A5">
        <w:t xml:space="preserve">do zapoznania się z aktami sądowymi, </w:t>
      </w:r>
      <w:r w:rsidR="00BE2CDA" w:rsidRPr="00D00246">
        <w:t xml:space="preserve">prawo do </w:t>
      </w:r>
      <w:r w:rsidR="00802C80" w:rsidRPr="00D00246">
        <w:t xml:space="preserve">otrzymywania informacji o </w:t>
      </w:r>
      <w:r w:rsidR="00BE2CDA" w:rsidRPr="00D00246">
        <w:t xml:space="preserve">postępach w sprawie oraz </w:t>
      </w:r>
      <w:r w:rsidR="00802C80" w:rsidRPr="00D00246">
        <w:t>do złożenia wniosku o podjęcie postępowania umorzonego przez oskarżyciela publicznego.</w:t>
      </w:r>
    </w:p>
    <w:p w14:paraId="628A2619" w14:textId="508EACBC" w:rsidR="00802C80" w:rsidRPr="008A47A5" w:rsidRDefault="00A3591C" w:rsidP="00802C80">
      <w:pPr>
        <w:pStyle w:val="ECHRPara"/>
      </w:pPr>
      <w:r>
        <w:rPr>
          <w:noProof/>
        </w:rPr>
        <w:t>46</w:t>
      </w:r>
      <w:r w:rsidR="00802C80" w:rsidRPr="00082846">
        <w:t>.</w:t>
      </w:r>
      <w:r w:rsidR="005F47D9">
        <w:t xml:space="preserve"> </w:t>
      </w:r>
      <w:r w:rsidR="00802C80" w:rsidRPr="00082846">
        <w:t xml:space="preserve">Pod nagłówkiem „ochrona </w:t>
      </w:r>
      <w:r w:rsidR="00BE2CDA" w:rsidRPr="00082846">
        <w:t>szczególna</w:t>
      </w:r>
      <w:r w:rsidR="00802C80" w:rsidRPr="00082846">
        <w:t xml:space="preserve">” </w:t>
      </w:r>
      <w:r w:rsidR="00830099" w:rsidRPr="00082846">
        <w:t xml:space="preserve">przepis </w:t>
      </w:r>
      <w:r w:rsidR="00802C80" w:rsidRPr="00082846">
        <w:t xml:space="preserve">art. 69a </w:t>
      </w:r>
      <w:r w:rsidR="00BE2CDA" w:rsidRPr="003D7F25">
        <w:t>u</w:t>
      </w:r>
      <w:r w:rsidR="00E55B22">
        <w:t>stawy o </w:t>
      </w:r>
      <w:r w:rsidR="00802C80" w:rsidRPr="003D7F25">
        <w:t>pobycie (</w:t>
      </w:r>
      <w:r w:rsidR="00802C80" w:rsidRPr="003D7F25">
        <w:rPr>
          <w:i/>
        </w:rPr>
        <w:t>Niederlassungs- und Aufenthaltsgesetz</w:t>
      </w:r>
      <w:r w:rsidR="00802C80" w:rsidRPr="003D7F25">
        <w:t>)</w:t>
      </w:r>
      <w:r w:rsidR="00BE2CDA" w:rsidRPr="003D7F25">
        <w:t>,</w:t>
      </w:r>
      <w:r w:rsidR="00802C80" w:rsidRPr="003D7F25">
        <w:t xml:space="preserve"> w brzmieniu obowiązującym w czasie istotnym </w:t>
      </w:r>
      <w:r w:rsidR="00BE2CDA" w:rsidRPr="001C5F9D">
        <w:t xml:space="preserve">dla sprawy, </w:t>
      </w:r>
      <w:r w:rsidR="00802C80" w:rsidRPr="001F0818">
        <w:t>umożliwia ofiarom handlu lud</w:t>
      </w:r>
      <w:r w:rsidR="00802C80" w:rsidRPr="008A47A5">
        <w:t>źmi uzyskanie pozwolenia na pobyt.</w:t>
      </w:r>
    </w:p>
    <w:p w14:paraId="68E47169" w14:textId="0C859818" w:rsidR="00802C80" w:rsidRPr="00D00246" w:rsidRDefault="00802C80" w:rsidP="00802C80">
      <w:pPr>
        <w:pStyle w:val="ECHRHeading2"/>
      </w:pPr>
      <w:r w:rsidRPr="00D00246">
        <w:t>B.</w:t>
      </w:r>
      <w:r w:rsidR="005F47D9">
        <w:t xml:space="preserve"> </w:t>
      </w:r>
      <w:r w:rsidRPr="00D00246">
        <w:t xml:space="preserve">Istotne </w:t>
      </w:r>
      <w:r w:rsidR="00830099" w:rsidRPr="00D00246">
        <w:t xml:space="preserve">umowy </w:t>
      </w:r>
      <w:r w:rsidRPr="00D00246">
        <w:t>i inne akty międzynarodowe</w:t>
      </w:r>
    </w:p>
    <w:p w14:paraId="1EDFAB4E" w14:textId="7C28847E" w:rsidR="00802C80" w:rsidRPr="00D00246" w:rsidRDefault="00802C80" w:rsidP="00802C80">
      <w:pPr>
        <w:pStyle w:val="ECHRHeading3"/>
      </w:pPr>
      <w:r w:rsidRPr="00D00246">
        <w:t>1.</w:t>
      </w:r>
      <w:r w:rsidR="005F47D9">
        <w:t xml:space="preserve"> </w:t>
      </w:r>
      <w:r w:rsidRPr="00D00246">
        <w:t>Protokół z Palermo</w:t>
      </w:r>
    </w:p>
    <w:p w14:paraId="05BB80DE" w14:textId="10E88AC7" w:rsidR="00802C80" w:rsidRPr="001F0818" w:rsidRDefault="00A3591C" w:rsidP="00802C80">
      <w:pPr>
        <w:pStyle w:val="ECHRPara"/>
        <w:rPr>
          <w:rFonts w:eastAsia="Times New Roman"/>
        </w:rPr>
      </w:pPr>
      <w:r>
        <w:rPr>
          <w:rFonts w:eastAsia="Times New Roman"/>
        </w:rPr>
        <w:t>47</w:t>
      </w:r>
      <w:r w:rsidR="00802C80" w:rsidRPr="00082846">
        <w:t>.</w:t>
      </w:r>
      <w:r w:rsidR="005F47D9">
        <w:t xml:space="preserve"> </w:t>
      </w:r>
      <w:r w:rsidR="00802C80" w:rsidRPr="00082846">
        <w:t xml:space="preserve">Protokół o zapobieganiu, zwalczaniu oraz karaniu za handel ludźmi, w szczególności kobietami i dziećmi („Protokół z Palermo”) uzupełniający Konwencję Narodów Zjednoczonych przeciwko międzynarodowej przestępczości zorganizowanej z 2000 r. został przyjęty </w:t>
      </w:r>
      <w:r w:rsidR="00830099" w:rsidRPr="003D7F25">
        <w:t xml:space="preserve">dnia </w:t>
      </w:r>
      <w:r w:rsidR="00802C80" w:rsidRPr="003D7F25">
        <w:t xml:space="preserve">15 listopada 2000 r. i wszedł w życie </w:t>
      </w:r>
      <w:r w:rsidR="00830099" w:rsidRPr="001C5F9D">
        <w:t xml:space="preserve">z dniem </w:t>
      </w:r>
      <w:r w:rsidR="00CD7D91">
        <w:t>25 grudnia 2003 r. Został on</w:t>
      </w:r>
      <w:r w:rsidR="00802C80" w:rsidRPr="001C5F9D">
        <w:t xml:space="preserve"> r</w:t>
      </w:r>
      <w:r w:rsidR="00CD7D91">
        <w:t>atyfikowany</w:t>
      </w:r>
      <w:r w:rsidR="00802C80" w:rsidRPr="001F0818">
        <w:t xml:space="preserve"> przez Austrię dnia 15 września 2005 r. </w:t>
      </w:r>
      <w:r w:rsidR="00830099" w:rsidRPr="001F0818">
        <w:t>Je</w:t>
      </w:r>
      <w:r w:rsidR="0013325B">
        <w:t>go</w:t>
      </w:r>
      <w:r w:rsidR="00830099" w:rsidRPr="0013325B">
        <w:t xml:space="preserve"> istotne</w:t>
      </w:r>
      <w:r w:rsidR="00802C80" w:rsidRPr="0013325B">
        <w:t xml:space="preserve"> postanowienia </w:t>
      </w:r>
      <w:r w:rsidR="00830099" w:rsidRPr="001C5F9D">
        <w:t>przytoczone są</w:t>
      </w:r>
      <w:r w:rsidR="00802C80" w:rsidRPr="001F0818">
        <w:t xml:space="preserve"> w kolejnych paragrafach.</w:t>
      </w:r>
    </w:p>
    <w:p w14:paraId="054B7A9A" w14:textId="0E0F2F60" w:rsidR="00802C80" w:rsidRPr="00082846" w:rsidRDefault="00A3591C" w:rsidP="00802C80">
      <w:pPr>
        <w:pStyle w:val="ECHRPara"/>
        <w:rPr>
          <w:rFonts w:eastAsia="Times New Roman"/>
        </w:rPr>
      </w:pPr>
      <w:r>
        <w:rPr>
          <w:rFonts w:eastAsia="Times New Roman"/>
        </w:rPr>
        <w:t>48</w:t>
      </w:r>
      <w:r w:rsidR="00802C80" w:rsidRPr="00082846">
        <w:t>.</w:t>
      </w:r>
      <w:r w:rsidR="005F47D9">
        <w:t xml:space="preserve"> </w:t>
      </w:r>
      <w:r w:rsidR="00802C80" w:rsidRPr="00082846">
        <w:t>Art</w:t>
      </w:r>
      <w:r w:rsidR="00B25512">
        <w:t>.</w:t>
      </w:r>
      <w:r w:rsidR="00802C80" w:rsidRPr="00082846">
        <w:t xml:space="preserve"> 3</w:t>
      </w:r>
      <w:r w:rsidR="00CD7D91">
        <w:t xml:space="preserve"> lit. a</w:t>
      </w:r>
      <w:r w:rsidR="00802C80" w:rsidRPr="00082846">
        <w:t xml:space="preserve"> definiuje „handel ludźmi” jako:</w:t>
      </w:r>
    </w:p>
    <w:p w14:paraId="3BAB1108" w14:textId="77777777" w:rsidR="00802C80" w:rsidRPr="00D00246" w:rsidRDefault="00802C80" w:rsidP="00802C80">
      <w:pPr>
        <w:pStyle w:val="ECHRParaQuote"/>
      </w:pPr>
      <w:r w:rsidRPr="003D7F25">
        <w:t>„Werbowanie, transport, przekazywanie, przecho</w:t>
      </w:r>
      <w:r w:rsidR="00E55B22">
        <w:t>wywanie lub przyjmowanie osób z </w:t>
      </w:r>
      <w:r w:rsidRPr="003D7F25">
        <w:t xml:space="preserve">zastosowaniem gróźb </w:t>
      </w:r>
      <w:r w:rsidRPr="001C5F9D">
        <w:t>lub użyciem siły lub też z wykorzystaniem innej formy przymusu, uprowadzenia, oszustwa, wprowadzenia w błąd, nadużycia władzy lub wykorzystania słabości, wręczenia lub przyjęcia płat</w:t>
      </w:r>
      <w:r w:rsidRPr="001F0818">
        <w:t>ności lub korzyści dla uzyskania zgody osoby mającej k</w:t>
      </w:r>
      <w:r w:rsidRPr="008A47A5">
        <w:t>ontrolę nad inną osobą, w celu wykorzystania. Wykorzystanie obejmuje, jako minimum, wykorzysta</w:t>
      </w:r>
      <w:r w:rsidRPr="00D00246">
        <w:t>nie prostytucji innych osób lub inne formy wykorzystania seksualnego, pracę lub usługi o charakterze przymusowym, niewolnictwo lub praktyki podobne do niewolnictwa, zniewolenie albo usunięcie organów”.</w:t>
      </w:r>
    </w:p>
    <w:p w14:paraId="2CB92464" w14:textId="7CD462DE" w:rsidR="00802C80" w:rsidRPr="003D7F25" w:rsidRDefault="00A3591C" w:rsidP="00802C80">
      <w:pPr>
        <w:pStyle w:val="ECHRPara"/>
      </w:pPr>
      <w:r>
        <w:rPr>
          <w:noProof/>
        </w:rPr>
        <w:t>49</w:t>
      </w:r>
      <w:r w:rsidR="00802C80" w:rsidRPr="00082846">
        <w:t>.</w:t>
      </w:r>
      <w:r w:rsidR="005F47D9">
        <w:t xml:space="preserve"> </w:t>
      </w:r>
      <w:r w:rsidR="00802C80" w:rsidRPr="00082846">
        <w:t>Art</w:t>
      </w:r>
      <w:r w:rsidR="00B25512">
        <w:t>.</w:t>
      </w:r>
      <w:r w:rsidR="00802C80" w:rsidRPr="00082846">
        <w:t xml:space="preserve"> 3 lit. b stanowi, że zgoda ofiary handlu ludźmi na zamierzone wykorzystanie nie ma znaczenia, jeżeli posłużono się którąkolwiek z metod, o których mowa w art. 3 lit. </w:t>
      </w:r>
      <w:r w:rsidR="0013325B">
        <w:t>a</w:t>
      </w:r>
      <w:r w:rsidR="00802C80" w:rsidRPr="003D7F25">
        <w:t>.</w:t>
      </w:r>
    </w:p>
    <w:p w14:paraId="55B5EAEA" w14:textId="4D948CE2" w:rsidR="00802C80" w:rsidRPr="00D00246" w:rsidRDefault="00A3591C" w:rsidP="00802C80">
      <w:pPr>
        <w:pStyle w:val="ECHRPara"/>
      </w:pPr>
      <w:r>
        <w:rPr>
          <w:noProof/>
        </w:rPr>
        <w:t>50</w:t>
      </w:r>
      <w:r w:rsidR="00802C80" w:rsidRPr="00082846">
        <w:t>.</w:t>
      </w:r>
      <w:r w:rsidR="005F47D9">
        <w:t xml:space="preserve"> </w:t>
      </w:r>
      <w:r w:rsidR="00802C80" w:rsidRPr="00082846">
        <w:t>Art</w:t>
      </w:r>
      <w:r w:rsidR="00B25512">
        <w:t>.</w:t>
      </w:r>
      <w:r w:rsidR="00802C80" w:rsidRPr="00082846">
        <w:t xml:space="preserve"> 4 określa</w:t>
      </w:r>
      <w:r w:rsidR="003247CA">
        <w:t>, że Protokół</w:t>
      </w:r>
      <w:r w:rsidR="00802C80" w:rsidRPr="00082846">
        <w:t xml:space="preserve"> z Palermo </w:t>
      </w:r>
      <w:r w:rsidR="003247CA">
        <w:t>ma zastosowanie do „zapobiegania</w:t>
      </w:r>
      <w:r w:rsidR="00802C80" w:rsidRPr="00082846">
        <w:t xml:space="preserve">, jak i </w:t>
      </w:r>
      <w:r w:rsidR="00830099" w:rsidRPr="003D7F25">
        <w:t xml:space="preserve">postępowań </w:t>
      </w:r>
      <w:r w:rsidR="00802C80" w:rsidRPr="003D7F25">
        <w:t>przygotowawcz</w:t>
      </w:r>
      <w:r w:rsidR="00830099" w:rsidRPr="003D7F25">
        <w:t>ych</w:t>
      </w:r>
      <w:r w:rsidR="00802C80" w:rsidRPr="003D7F25">
        <w:t xml:space="preserve"> i </w:t>
      </w:r>
      <w:r w:rsidR="00830099" w:rsidRPr="001C5F9D">
        <w:t xml:space="preserve">postępowań </w:t>
      </w:r>
      <w:r w:rsidR="00802C80" w:rsidRPr="001F0818">
        <w:t>sądow</w:t>
      </w:r>
      <w:r w:rsidR="00830099" w:rsidRPr="001F0818">
        <w:t>ych</w:t>
      </w:r>
      <w:r w:rsidR="00802C80" w:rsidRPr="001F0818">
        <w:t xml:space="preserve"> w sprawach czynów uznanych za przestępstwa zg</w:t>
      </w:r>
      <w:r w:rsidR="00E55B22">
        <w:t>odnie z </w:t>
      </w:r>
      <w:r w:rsidR="00802C80" w:rsidRPr="008A47A5">
        <w:t>art</w:t>
      </w:r>
      <w:r w:rsidR="00B25512">
        <w:t>.</w:t>
      </w:r>
      <w:r w:rsidR="00802C80" w:rsidRPr="008A47A5">
        <w:t xml:space="preserve"> 5 niniejszego protokołu, jeżeli mają one charakter międzynarodowy i zostały popełnione z udziałem zorganiz</w:t>
      </w:r>
      <w:r w:rsidR="00802C80" w:rsidRPr="00D00246">
        <w:t>owanej grupy przestępczej, jak również (…) ochron</w:t>
      </w:r>
      <w:r w:rsidR="00830099" w:rsidRPr="00D00246">
        <w:t>y</w:t>
      </w:r>
      <w:r w:rsidR="00802C80" w:rsidRPr="00D00246">
        <w:t xml:space="preserve"> ofiar takich przestępstw”.</w:t>
      </w:r>
    </w:p>
    <w:p w14:paraId="3F020400" w14:textId="5133F5DA" w:rsidR="00802C80" w:rsidRPr="003D7F25" w:rsidRDefault="00A3591C" w:rsidP="00802C80">
      <w:pPr>
        <w:pStyle w:val="ECHRPara"/>
      </w:pPr>
      <w:r>
        <w:rPr>
          <w:noProof/>
        </w:rPr>
        <w:lastRenderedPageBreak/>
        <w:t>51</w:t>
      </w:r>
      <w:r w:rsidR="00802C80" w:rsidRPr="00082846">
        <w:t>.</w:t>
      </w:r>
      <w:r w:rsidR="005F47D9">
        <w:t xml:space="preserve"> </w:t>
      </w:r>
      <w:r w:rsidR="00802C80" w:rsidRPr="00082846">
        <w:t>Art</w:t>
      </w:r>
      <w:r w:rsidR="00B25512">
        <w:t>.</w:t>
      </w:r>
      <w:r w:rsidR="00802C80" w:rsidRPr="00082846">
        <w:t xml:space="preserve"> 5 ust. 1 stanowi, że „każde Państwo-Strona podejmie takie ustawodawcze i inne działania, jakie mogą okazać się konieczne dla uznania za przestępstwa czynów, o których mowa w artykule 3 niniejszego </w:t>
      </w:r>
      <w:r w:rsidR="00830099" w:rsidRPr="003D7F25">
        <w:t>p</w:t>
      </w:r>
      <w:r w:rsidR="00802C80" w:rsidRPr="003D7F25">
        <w:t>rotokołu, jeżeli zostały popełnione umyślnie”.</w:t>
      </w:r>
    </w:p>
    <w:p w14:paraId="4B604A8B" w14:textId="29C49688" w:rsidR="00802C80" w:rsidRPr="003D7F25" w:rsidRDefault="00A3591C" w:rsidP="00802C80">
      <w:pPr>
        <w:pStyle w:val="ECHRPara"/>
        <w:rPr>
          <w:rFonts w:eastAsiaTheme="minorHAnsi"/>
        </w:rPr>
      </w:pPr>
      <w:r>
        <w:rPr>
          <w:rFonts w:eastAsiaTheme="minorHAnsi"/>
        </w:rPr>
        <w:t>52</w:t>
      </w:r>
      <w:r w:rsidR="00802C80" w:rsidRPr="00082846">
        <w:t>.</w:t>
      </w:r>
      <w:r w:rsidR="005F47D9">
        <w:t xml:space="preserve"> </w:t>
      </w:r>
      <w:r w:rsidR="00802C80" w:rsidRPr="00082846">
        <w:t>Art</w:t>
      </w:r>
      <w:r w:rsidR="00B25512">
        <w:t>.</w:t>
      </w:r>
      <w:r w:rsidR="00802C80" w:rsidRPr="00082846">
        <w:t xml:space="preserve"> 6 odnosi się do pomocy </w:t>
      </w:r>
      <w:r w:rsidR="00830099" w:rsidRPr="00082846">
        <w:t xml:space="preserve">na rzecz </w:t>
      </w:r>
      <w:r w:rsidR="00802C80" w:rsidRPr="00082846">
        <w:t>ofiar handlu ludźmi i ich ochrony, a w relewantnym zakresie stanowi:</w:t>
      </w:r>
    </w:p>
    <w:p w14:paraId="48188878" w14:textId="75CFAC48" w:rsidR="00802C80" w:rsidRPr="001F0818" w:rsidRDefault="00802C80" w:rsidP="00802C80">
      <w:pPr>
        <w:pStyle w:val="ECHRParaQuote"/>
        <w:rPr>
          <w:rFonts w:eastAsiaTheme="minorHAnsi"/>
        </w:rPr>
      </w:pPr>
      <w:r w:rsidRPr="001C5F9D">
        <w:t>„2.</w:t>
      </w:r>
      <w:r w:rsidR="005F47D9">
        <w:t xml:space="preserve"> </w:t>
      </w:r>
      <w:r w:rsidRPr="001C5F9D">
        <w:t>Każde Państwo-Strona zapewni w swym krajowym porządku prawnym środki umożliwiające, w stosownych przypadkach, udzielanie ofiarom handlu ludźmi:</w:t>
      </w:r>
    </w:p>
    <w:p w14:paraId="7038327E" w14:textId="3B112DEF" w:rsidR="00802C80" w:rsidRPr="008A47A5" w:rsidRDefault="00802C80" w:rsidP="00802C80">
      <w:pPr>
        <w:pStyle w:val="ECHRParaQuote"/>
        <w:rPr>
          <w:rFonts w:eastAsiaTheme="minorHAnsi"/>
        </w:rPr>
      </w:pPr>
      <w:r w:rsidRPr="008A47A5">
        <w:t>a)</w:t>
      </w:r>
      <w:r w:rsidR="005F47D9">
        <w:t xml:space="preserve"> </w:t>
      </w:r>
      <w:r w:rsidRPr="008A47A5">
        <w:t>informacji o dotyczących ich postępowaniach sądowym i administracyjnym;</w:t>
      </w:r>
    </w:p>
    <w:p w14:paraId="36F5EFE1" w14:textId="1D1BF355" w:rsidR="00802C80" w:rsidRPr="00D00246" w:rsidRDefault="00802C80" w:rsidP="00802C80">
      <w:pPr>
        <w:pStyle w:val="ECHRParaQuote"/>
        <w:rPr>
          <w:rFonts w:eastAsiaTheme="minorHAnsi"/>
        </w:rPr>
      </w:pPr>
      <w:r w:rsidRPr="00D00246">
        <w:t>b)</w:t>
      </w:r>
      <w:r w:rsidR="005F47D9">
        <w:t xml:space="preserve"> </w:t>
      </w:r>
      <w:r w:rsidRPr="00D00246">
        <w:t>pomocy mającej na celu umożliwienie im p</w:t>
      </w:r>
      <w:r w:rsidR="00E55B22">
        <w:t>rzedstawienia swoich poglądów i </w:t>
      </w:r>
      <w:r w:rsidRPr="00D00246">
        <w:t>wątpliwości na odpowiednim etapie postępowania karnego, w sposób nienaruszający prawa do obrony”.</w:t>
      </w:r>
    </w:p>
    <w:p w14:paraId="140057FE" w14:textId="5452BE9F" w:rsidR="00802C80" w:rsidRPr="00D00246" w:rsidRDefault="00802C80" w:rsidP="00802C80">
      <w:pPr>
        <w:pStyle w:val="ECHRHeading3"/>
      </w:pPr>
      <w:r w:rsidRPr="00D00246">
        <w:t>2.</w:t>
      </w:r>
      <w:r w:rsidR="005F47D9">
        <w:t xml:space="preserve"> </w:t>
      </w:r>
      <w:r w:rsidRPr="00D00246">
        <w:t>Konwencja Rady Europy w sprawie działań przeciwko handlowi ludźmi</w:t>
      </w:r>
    </w:p>
    <w:p w14:paraId="6C3C6929" w14:textId="78B7D1B7" w:rsidR="00802C80" w:rsidRPr="008A47A5" w:rsidRDefault="00A3591C" w:rsidP="00802C80">
      <w:pPr>
        <w:pStyle w:val="ECHRPara"/>
      </w:pPr>
      <w:r>
        <w:rPr>
          <w:noProof/>
        </w:rPr>
        <w:t>53</w:t>
      </w:r>
      <w:r w:rsidR="00802C80" w:rsidRPr="00082846">
        <w:t>.</w:t>
      </w:r>
      <w:r w:rsidR="005F47D9">
        <w:t xml:space="preserve"> </w:t>
      </w:r>
      <w:r w:rsidR="00802C80" w:rsidRPr="00082846">
        <w:t xml:space="preserve">Konwencja Rady Europy w sprawie działań przeciwko handlowi ludźmi („Konwencja przeciwko handlowi ludźmi”) została przyjęta przez Komitet Ministrów Rady Europy dnia 3 maja 2005 r. i weszła w życie </w:t>
      </w:r>
      <w:r w:rsidR="00E55B22">
        <w:t>z </w:t>
      </w:r>
      <w:r w:rsidR="00802C80" w:rsidRPr="003D7F25">
        <w:t>dni</w:t>
      </w:r>
      <w:r w:rsidR="00830099" w:rsidRPr="003D7F25">
        <w:t>em</w:t>
      </w:r>
      <w:r w:rsidR="00802C80" w:rsidRPr="003D7F25">
        <w:t xml:space="preserve"> 1 lutego 2008 r. Konwencja przeciwko handlowi ludźmi została ratyfikowana przez Austrię dnia 12 października 2006 r. </w:t>
      </w:r>
      <w:r w:rsidR="00830099" w:rsidRPr="001C5F9D">
        <w:t>Jej i</w:t>
      </w:r>
      <w:r w:rsidR="00802C80" w:rsidRPr="001F0818">
        <w:t xml:space="preserve">stotne </w:t>
      </w:r>
      <w:r w:rsidR="00802C80" w:rsidRPr="008A47A5">
        <w:t>postanowienia przyt</w:t>
      </w:r>
      <w:r w:rsidR="00830099" w:rsidRPr="008A47A5">
        <w:t xml:space="preserve">oczono </w:t>
      </w:r>
      <w:r w:rsidR="00802C80" w:rsidRPr="008A47A5">
        <w:t>w kolejnych paragrafach.</w:t>
      </w:r>
    </w:p>
    <w:p w14:paraId="649B4B72" w14:textId="5632C20C" w:rsidR="00802C80" w:rsidRPr="003D7F25" w:rsidRDefault="00A3591C" w:rsidP="00802C80">
      <w:pPr>
        <w:pStyle w:val="ECHRPara"/>
        <w:rPr>
          <w:rFonts w:eastAsiaTheme="minorHAnsi"/>
        </w:rPr>
      </w:pPr>
      <w:r>
        <w:rPr>
          <w:noProof/>
        </w:rPr>
        <w:t>54</w:t>
      </w:r>
      <w:r w:rsidR="00802C80" w:rsidRPr="00082846">
        <w:t>.</w:t>
      </w:r>
      <w:r w:rsidR="005F47D9">
        <w:t xml:space="preserve"> </w:t>
      </w:r>
      <w:r w:rsidR="00802C80" w:rsidRPr="00082846">
        <w:t>Art</w:t>
      </w:r>
      <w:r w:rsidR="00B25512">
        <w:t>.</w:t>
      </w:r>
      <w:r w:rsidR="00802C80" w:rsidRPr="00082846">
        <w:t xml:space="preserve"> 2 określa zakres </w:t>
      </w:r>
      <w:r w:rsidR="00830099" w:rsidRPr="00082846">
        <w:t xml:space="preserve">zastosowania </w:t>
      </w:r>
      <w:r w:rsidR="00802C80" w:rsidRPr="00082846">
        <w:t>Konwencji przeciwko handlowi ludźmi, stanowiąc, że stosuje się ją „do wszystkich form handlu ludźmi, zarówno krajowego, jak i międzynarodowego, związanego albo niezwiązanego z przes</w:t>
      </w:r>
      <w:r w:rsidR="00802C80" w:rsidRPr="003D7F25">
        <w:t>tępczością zorganizowaną”.</w:t>
      </w:r>
    </w:p>
    <w:p w14:paraId="34AA3080" w14:textId="463BC690" w:rsidR="00802C80" w:rsidRPr="0013325B" w:rsidRDefault="00A3591C" w:rsidP="00802C80">
      <w:pPr>
        <w:pStyle w:val="ECHRPara"/>
      </w:pPr>
      <w:r>
        <w:rPr>
          <w:noProof/>
        </w:rPr>
        <w:t>55</w:t>
      </w:r>
      <w:r w:rsidR="00802C80" w:rsidRPr="00082846">
        <w:t>.</w:t>
      </w:r>
      <w:r w:rsidR="005F47D9">
        <w:t xml:space="preserve"> </w:t>
      </w:r>
      <w:r w:rsidR="00802C80" w:rsidRPr="00082846">
        <w:t>Art</w:t>
      </w:r>
      <w:r w:rsidR="00B25512">
        <w:t>.</w:t>
      </w:r>
      <w:r w:rsidR="00802C80" w:rsidRPr="00082846">
        <w:t xml:space="preserve"> 4 lit. a przyjmuje definicję „handlu ludźmi”, którą znaleźć można w Protokole z Palermo, i powtarza postanowienie jego art. 3 lit. b</w:t>
      </w:r>
      <w:r w:rsidR="00802C80" w:rsidRPr="003D7F25">
        <w:t xml:space="preserve"> co do braku znaczenia zgody ofiary handlu ludźmi na wykorzystanie (</w:t>
      </w:r>
      <w:r w:rsidR="008A47A5">
        <w:t xml:space="preserve">zob. </w:t>
      </w:r>
      <w:r w:rsidR="00802C80" w:rsidRPr="0013325B">
        <w:t>paragrafy 48 i 49 powyżej).</w:t>
      </w:r>
    </w:p>
    <w:p w14:paraId="00138169" w14:textId="6A82EA24" w:rsidR="00802C80" w:rsidRPr="003D7F25" w:rsidRDefault="00A3591C" w:rsidP="00802C80">
      <w:pPr>
        <w:pStyle w:val="ECHRPara"/>
      </w:pPr>
      <w:r>
        <w:rPr>
          <w:noProof/>
        </w:rPr>
        <w:t>56</w:t>
      </w:r>
      <w:r w:rsidR="00802C80" w:rsidRPr="00082846">
        <w:t>.</w:t>
      </w:r>
      <w:r w:rsidR="005F47D9">
        <w:t xml:space="preserve"> </w:t>
      </w:r>
      <w:r w:rsidR="00802C80" w:rsidRPr="00082846">
        <w:t>Art</w:t>
      </w:r>
      <w:r w:rsidR="00B25512">
        <w:t>.</w:t>
      </w:r>
      <w:r w:rsidR="00802C80" w:rsidRPr="00082846">
        <w:t xml:space="preserve"> 10 odnosi się do identyfikacji ofiar i w relewantnym zakresie</w:t>
      </w:r>
      <w:r w:rsidR="00830099" w:rsidRPr="003D7F25">
        <w:t xml:space="preserve"> stanowi</w:t>
      </w:r>
      <w:r w:rsidR="00802C80" w:rsidRPr="003D7F25">
        <w:t>:</w:t>
      </w:r>
    </w:p>
    <w:p w14:paraId="075843A2" w14:textId="3B5D651C" w:rsidR="00802C80" w:rsidRPr="00D00246" w:rsidRDefault="00802C80" w:rsidP="00802C80">
      <w:pPr>
        <w:pStyle w:val="ECHRParaQuote"/>
      </w:pPr>
      <w:bookmarkStart w:id="2" w:name="P220_15156"/>
      <w:bookmarkEnd w:id="2"/>
      <w:r w:rsidRPr="001C5F9D">
        <w:t>„1.</w:t>
      </w:r>
      <w:r w:rsidR="005F47D9">
        <w:t xml:space="preserve"> </w:t>
      </w:r>
      <w:r w:rsidRPr="001C5F9D">
        <w:t xml:space="preserve">Każda </w:t>
      </w:r>
      <w:r w:rsidR="00830099" w:rsidRPr="001C5F9D">
        <w:t>S</w:t>
      </w:r>
      <w:r w:rsidRPr="001F0818">
        <w:t>trona zapewni obecność w składzie właściwych organów osób wykwalifikowanych i wyspecjaliz</w:t>
      </w:r>
      <w:r w:rsidRPr="008A47A5">
        <w:t>owanych w zapobieganiu i zwalczaniu handlu ludźmi, w identyfikowaniu i pomaganiu ofiarom, w tym dzieciom, oraz zapewni, że różne organy nawiążą współpracę między sobą, jak również z odpowiednimi instytucjami wspierającymi, w celu zapewnienia, że proces ide</w:t>
      </w:r>
      <w:r w:rsidRPr="00D00246">
        <w:t>ntyfikacji ofiar będzie następował z należytym poszanowaniem szczególnej sytuacji kobiet i dzieci będących ofiarami, a w odpowiednich wypadkach, ofiarom będą wydawane pozwolenia na pobyt na warunkach określonych w artykule 14 niniejszej Konwencji.</w:t>
      </w:r>
    </w:p>
    <w:p w14:paraId="602750F4" w14:textId="08FCAA95" w:rsidR="00802C80" w:rsidRPr="00D00246" w:rsidRDefault="00802C80" w:rsidP="00802C80">
      <w:pPr>
        <w:pStyle w:val="ECHRParaQuote"/>
      </w:pPr>
      <w:r w:rsidRPr="00D00246">
        <w:t>2.</w:t>
      </w:r>
      <w:r w:rsidR="005F47D9">
        <w:t xml:space="preserve"> </w:t>
      </w:r>
      <w:r w:rsidRPr="00D00246">
        <w:t xml:space="preserve">Każda Strona podejmie takie działania ustawodawcze lub inne, jakie mogą okazać się konieczne dla identyfikacji ofiar, stosownie do okoliczności we współpracy z innymi Stronami i odpowiednimi organizacjami wspierającymi. Każda ze Stron zapewni, że w wypadku, jeżeli właściwe organy mają uzasadnione podstawy, aby przypuszczać, że dana osoba jest ofiarą handlu ludźmi, to osoba ta nie zostanie wydalona z jej terytorium, dopóki proces jej identyfikacji jako ofiary przestępstwa, </w:t>
      </w:r>
      <w:r w:rsidRPr="00D00246">
        <w:lastRenderedPageBreak/>
        <w:t>określonego w artykule 18 niniejszej Konwencji, nie zostanie zakończony przez właściwe organy i zapewni także, że osoba ta będzie korzystać z pomocy przewidzianej w artykule 12 ustęp 1 i 2”.</w:t>
      </w:r>
    </w:p>
    <w:p w14:paraId="5F59837D" w14:textId="38EB32C7" w:rsidR="00802C80" w:rsidRPr="00082846" w:rsidRDefault="00A3591C" w:rsidP="00802C80">
      <w:pPr>
        <w:pStyle w:val="ECHRPara"/>
      </w:pPr>
      <w:r>
        <w:rPr>
          <w:noProof/>
        </w:rPr>
        <w:t>57</w:t>
      </w:r>
      <w:r w:rsidR="00802C80" w:rsidRPr="00082846">
        <w:t>.</w:t>
      </w:r>
      <w:r w:rsidR="005F47D9">
        <w:t xml:space="preserve"> </w:t>
      </w:r>
      <w:r w:rsidR="00802C80" w:rsidRPr="00082846">
        <w:t>Art</w:t>
      </w:r>
      <w:r w:rsidR="00B25512">
        <w:t>.</w:t>
      </w:r>
      <w:r w:rsidR="00802C80" w:rsidRPr="00082846">
        <w:t xml:space="preserve"> 18 zobowiązuje Strony do:</w:t>
      </w:r>
    </w:p>
    <w:p w14:paraId="08163ACA" w14:textId="77777777" w:rsidR="00802C80" w:rsidRPr="001F0818" w:rsidRDefault="00E62FC5" w:rsidP="00802C80">
      <w:pPr>
        <w:pStyle w:val="ECHRParaQuote"/>
        <w:rPr>
          <w:rFonts w:cstheme="minorHAnsi"/>
          <w:szCs w:val="20"/>
        </w:rPr>
      </w:pPr>
      <w:r w:rsidRPr="003D7F25">
        <w:t>„</w:t>
      </w:r>
      <w:r w:rsidR="00802C80" w:rsidRPr="003D7F25">
        <w:t xml:space="preserve">(…) podjęcia takich działań ustawodawczych lub innych, jakie mogą okazać się konieczne </w:t>
      </w:r>
      <w:r w:rsidR="00802C80" w:rsidRPr="001C5F9D">
        <w:t>dla uznania za przestępstwa czyn</w:t>
      </w:r>
      <w:r w:rsidR="00E55B22">
        <w:t>ów, o których mowa w artykule 4 </w:t>
      </w:r>
      <w:r w:rsidR="00802C80" w:rsidRPr="001C5F9D">
        <w:t>niniejszej Konwencji, jeżeli zostały popełnione umyślnie”.</w:t>
      </w:r>
    </w:p>
    <w:p w14:paraId="57DA0BD5" w14:textId="36B2478B" w:rsidR="00802C80" w:rsidRPr="003D7F25" w:rsidRDefault="00A3591C" w:rsidP="00802C80">
      <w:pPr>
        <w:pStyle w:val="ECHRPara"/>
      </w:pPr>
      <w:r>
        <w:rPr>
          <w:noProof/>
        </w:rPr>
        <w:t>58</w:t>
      </w:r>
      <w:r w:rsidR="00802C80" w:rsidRPr="00082846">
        <w:t>.</w:t>
      </w:r>
      <w:r w:rsidR="005F47D9">
        <w:t xml:space="preserve"> </w:t>
      </w:r>
      <w:r w:rsidR="00802C80" w:rsidRPr="00082846">
        <w:t>Art</w:t>
      </w:r>
      <w:r w:rsidR="00B25512">
        <w:t>.</w:t>
      </w:r>
      <w:r w:rsidR="00802C80" w:rsidRPr="00082846">
        <w:t xml:space="preserve"> 27 odnosi się do wszczęcia postępowania na wniosek strony i z urzędu, stanowiąc:</w:t>
      </w:r>
    </w:p>
    <w:p w14:paraId="6304C9E9" w14:textId="706F70A4" w:rsidR="00802C80" w:rsidRPr="008A47A5" w:rsidRDefault="00802C80" w:rsidP="00802C80">
      <w:pPr>
        <w:pStyle w:val="ECHRParaQuote"/>
        <w:rPr>
          <w:rFonts w:eastAsia="Times New Roman"/>
        </w:rPr>
      </w:pPr>
      <w:r w:rsidRPr="001C5F9D">
        <w:t>„1.</w:t>
      </w:r>
      <w:r w:rsidR="005F47D9">
        <w:t xml:space="preserve"> </w:t>
      </w:r>
      <w:r w:rsidRPr="001C5F9D">
        <w:t xml:space="preserve">Każda Strona </w:t>
      </w:r>
      <w:r w:rsidRPr="001F0818">
        <w:t>zapewni, że wszczęcie postępowania przygotowawczego lub sądowego w stosunku do czynów uznanych za przestępstwa zgodnie Konwencją nie będzie uzależnione od wniesienia przez ofiarę skargi</w:t>
      </w:r>
      <w:r w:rsidR="00E55B22">
        <w:t xml:space="preserve"> lub oskarżenia, przynajmniej w </w:t>
      </w:r>
      <w:r w:rsidRPr="001F0818">
        <w:t xml:space="preserve">sytuacji, gdy przestępstwo zostało </w:t>
      </w:r>
      <w:r w:rsidRPr="008A47A5">
        <w:t>dokonane w całości lub w części na jej terytorium.</w:t>
      </w:r>
    </w:p>
    <w:p w14:paraId="49C2E030" w14:textId="7E4138EA" w:rsidR="00802C80" w:rsidRPr="00D00246" w:rsidRDefault="00802C80" w:rsidP="00802C80">
      <w:pPr>
        <w:pStyle w:val="ECHRParaQuote"/>
        <w:rPr>
          <w:rFonts w:eastAsia="Times New Roman"/>
        </w:rPr>
      </w:pPr>
      <w:r w:rsidRPr="00D00246">
        <w:t>2.</w:t>
      </w:r>
      <w:r w:rsidR="005F47D9">
        <w:t xml:space="preserve"> </w:t>
      </w:r>
      <w:r w:rsidRPr="00D00246">
        <w:t>Każda Strona zapewni, aby ofiary przestępstwa popełnionego na terytorium innej Strony niż ta, gdzie przebywają, mogły wnieść skargę do właściwych władz Państwa ich pobytu. Właściwy organ, do którego wniesiono skargę, o ile sam nie ma kompetencji w tym względzie, przekaże skargę bezzwłocznie do właściwego organu Strony, na terytorium której przestępstwo zostało popełnione. Skarga zostanie rozpatrzona zgodnie z prawem wewnętrznym Strony, na terytorium której przestępstwo zostało popełnione.</w:t>
      </w:r>
    </w:p>
    <w:p w14:paraId="541F6488" w14:textId="2731543B" w:rsidR="00802C80" w:rsidRPr="00D00246" w:rsidRDefault="00802C80" w:rsidP="00802C80">
      <w:pPr>
        <w:pStyle w:val="ECHRParaQuote"/>
        <w:rPr>
          <w:rFonts w:eastAsia="Times New Roman"/>
        </w:rPr>
      </w:pPr>
      <w:r w:rsidRPr="00D00246">
        <w:t>3.</w:t>
      </w:r>
      <w:r w:rsidR="005F47D9">
        <w:t xml:space="preserve"> </w:t>
      </w:r>
      <w:r w:rsidRPr="00D00246">
        <w:t>Każda Strona zapewni, poprzez działania u</w:t>
      </w:r>
      <w:r w:rsidR="00E55B22">
        <w:t>stawodawcze lub inne, zgodnie z </w:t>
      </w:r>
      <w:r w:rsidRPr="00D00246">
        <w:t>warunkami przewidzianymi w jej prawie wewnętrznym, każdej grupie, fundacji, stowarzyszeniu lub organizacjom pozarządowym, których celem jest zwalczanie handlu ludźmi, bądź ochrona praw człowieka, możliwość udzielenia ofierze za jej zgodą pomocy i wsparcia w trakcie trwających postępowań karnych dotyczących popełnienia czynu uznanego za przestępstwo zgodnie z artykułem 18 niniejszej Konwencji”.</w:t>
      </w:r>
    </w:p>
    <w:p w14:paraId="5360A01A" w14:textId="46A72AC5" w:rsidR="00802C80" w:rsidRPr="003D7F25" w:rsidRDefault="00A3591C" w:rsidP="00802C80">
      <w:pPr>
        <w:pStyle w:val="ECHRPara"/>
        <w:rPr>
          <w:rFonts w:eastAsia="Times New Roman"/>
        </w:rPr>
      </w:pPr>
      <w:r>
        <w:rPr>
          <w:rFonts w:eastAsia="Times New Roman"/>
        </w:rPr>
        <w:t>59</w:t>
      </w:r>
      <w:r w:rsidR="00802C80" w:rsidRPr="00082846">
        <w:t>.</w:t>
      </w:r>
      <w:r w:rsidR="005F47D9">
        <w:t xml:space="preserve"> </w:t>
      </w:r>
      <w:r w:rsidR="00802C80" w:rsidRPr="00082846">
        <w:t>Art</w:t>
      </w:r>
      <w:r w:rsidR="00B25512">
        <w:t>.</w:t>
      </w:r>
      <w:r w:rsidR="00802C80" w:rsidRPr="00082846">
        <w:t xml:space="preserve"> 31 ust. 1 odnosi się do jurysdykcji krajowej i wymaga od Państw przyjęcia takich środków ustawodawczych lub innych, jakie mogą okazać się konieczne dla ustanowienia swej jurysdykcji wobec każdego czynu uznanego za przestęps</w:t>
      </w:r>
      <w:r w:rsidR="00802C80" w:rsidRPr="003D7F25">
        <w:t>two zgodnie z niniejszą Konwencją, gdy to przestępstwo zostało popełnione:</w:t>
      </w:r>
    </w:p>
    <w:p w14:paraId="3CEAF876" w14:textId="1620AEAC" w:rsidR="00802C80" w:rsidRPr="001C5F9D" w:rsidRDefault="00802C80" w:rsidP="00802C80">
      <w:pPr>
        <w:pStyle w:val="ECHRParaQuote"/>
        <w:rPr>
          <w:rFonts w:eastAsia="Times New Roman"/>
        </w:rPr>
      </w:pPr>
      <w:r w:rsidRPr="001C5F9D">
        <w:t>„a)</w:t>
      </w:r>
      <w:r w:rsidR="005F47D9">
        <w:t xml:space="preserve"> </w:t>
      </w:r>
      <w:r w:rsidRPr="001C5F9D">
        <w:t>na terytorium Strony, lub</w:t>
      </w:r>
    </w:p>
    <w:p w14:paraId="1D4A99BE" w14:textId="7ED9AD8F" w:rsidR="00802C80" w:rsidRPr="001F0818" w:rsidRDefault="00802C80" w:rsidP="00802C80">
      <w:pPr>
        <w:pStyle w:val="ECHRParaQuote"/>
        <w:rPr>
          <w:rFonts w:eastAsia="Times New Roman"/>
        </w:rPr>
      </w:pPr>
      <w:r w:rsidRPr="001F0818">
        <w:t>b)</w:t>
      </w:r>
      <w:r w:rsidR="005F47D9">
        <w:t xml:space="preserve"> </w:t>
      </w:r>
      <w:r w:rsidRPr="001F0818">
        <w:t>na pokładzie okrętu pływającego pod banderą tejże Strony, lub</w:t>
      </w:r>
    </w:p>
    <w:p w14:paraId="51F8BD74" w14:textId="7FE4462D" w:rsidR="00802C80" w:rsidRPr="008A47A5" w:rsidRDefault="00802C80" w:rsidP="00802C80">
      <w:pPr>
        <w:pStyle w:val="ECHRParaQuote"/>
        <w:rPr>
          <w:rFonts w:eastAsia="Times New Roman"/>
        </w:rPr>
      </w:pPr>
      <w:r w:rsidRPr="008A47A5">
        <w:t>c)</w:t>
      </w:r>
      <w:r w:rsidR="005F47D9">
        <w:t xml:space="preserve"> </w:t>
      </w:r>
      <w:r w:rsidRPr="008A47A5">
        <w:t>na pokładzie samolotu zarejestrowanego na podstawie prawa tejże Strony; lub</w:t>
      </w:r>
    </w:p>
    <w:p w14:paraId="4E88E428" w14:textId="736516AB" w:rsidR="00802C80" w:rsidRPr="00D00246" w:rsidRDefault="00802C80" w:rsidP="00802C80">
      <w:pPr>
        <w:pStyle w:val="ECHRParaQuote"/>
        <w:rPr>
          <w:rFonts w:eastAsia="Times New Roman"/>
        </w:rPr>
      </w:pPr>
      <w:r w:rsidRPr="00D00246">
        <w:t>d)</w:t>
      </w:r>
      <w:r w:rsidR="005F47D9">
        <w:t xml:space="preserve"> </w:t>
      </w:r>
      <w:r w:rsidRPr="00D00246">
        <w:t>przez jednego z jej obywateli lub przez bezpaństwowca, który posiada swoje zwykłe miejsce zamieszkania na jej terytorium, jeżeli przestępstwo to jest karalne według prawa karnego miejsca jego popełnienia lub jeżeli zostało popełnione poza obszarem jurysdykcji terytorialnej jakiegokolwiek Państwa,</w:t>
      </w:r>
    </w:p>
    <w:p w14:paraId="74A5A446" w14:textId="082394BC" w:rsidR="00802C80" w:rsidRPr="00D00246" w:rsidRDefault="00802C80" w:rsidP="00802C80">
      <w:pPr>
        <w:pStyle w:val="ECHRParaQuote"/>
        <w:rPr>
          <w:rFonts w:eastAsia="Times New Roman"/>
        </w:rPr>
      </w:pPr>
      <w:r w:rsidRPr="00D00246">
        <w:t>e)</w:t>
      </w:r>
      <w:r w:rsidR="005F47D9">
        <w:t xml:space="preserve"> </w:t>
      </w:r>
      <w:r w:rsidRPr="00D00246">
        <w:t>przeciwko obywatelowi Strony”.</w:t>
      </w:r>
    </w:p>
    <w:p w14:paraId="119C1827" w14:textId="216A10E9" w:rsidR="00802C80" w:rsidRPr="003D7F25" w:rsidRDefault="00A3591C" w:rsidP="00802C80">
      <w:pPr>
        <w:pStyle w:val="ECHRPara"/>
      </w:pPr>
      <w:r>
        <w:rPr>
          <w:noProof/>
        </w:rPr>
        <w:t>60</w:t>
      </w:r>
      <w:r w:rsidR="00802C80" w:rsidRPr="00082846">
        <w:t>.</w:t>
      </w:r>
      <w:r w:rsidR="005F47D9">
        <w:t xml:space="preserve"> </w:t>
      </w:r>
      <w:r w:rsidR="00802C80" w:rsidRPr="00082846">
        <w:t xml:space="preserve">W odniesieniu do art. 31 ust. 1 lit. a towarzyszące Konwencji przeciwko handlowi ludźmi sprawozdanie wyjaśniające </w:t>
      </w:r>
      <w:r w:rsidR="00E62FC5" w:rsidRPr="003D7F25">
        <w:t>stanowi</w:t>
      </w:r>
      <w:r w:rsidR="00802C80" w:rsidRPr="003D7F25">
        <w:t>:</w:t>
      </w:r>
    </w:p>
    <w:p w14:paraId="2C575A46" w14:textId="0B161D7E" w:rsidR="00802C80" w:rsidRPr="001F0818" w:rsidRDefault="00802C80" w:rsidP="00802C80">
      <w:pPr>
        <w:pStyle w:val="ECHRParaQuote"/>
      </w:pPr>
      <w:r w:rsidRPr="001C5F9D">
        <w:lastRenderedPageBreak/>
        <w:t>„328.</w:t>
      </w:r>
      <w:r w:rsidR="005F47D9">
        <w:t xml:space="preserve"> </w:t>
      </w:r>
      <w:r w:rsidRPr="001C5F9D">
        <w:t>Ust</w:t>
      </w:r>
      <w:r w:rsidR="00D95F11">
        <w:t>.</w:t>
      </w:r>
      <w:r w:rsidRPr="001F0818">
        <w:t xml:space="preserve"> 1 lit. a opiera się na zasadzie terytorialności. Każda ze </w:t>
      </w:r>
      <w:r w:rsidR="00D95F11" w:rsidRPr="001F0818">
        <w:t xml:space="preserve">Stron </w:t>
      </w:r>
      <w:r w:rsidRPr="001F0818">
        <w:t>jest zobowiązana do karania przestępstw ustanowionych Konwencją, gdy zostały one po</w:t>
      </w:r>
      <w:r w:rsidRPr="008A47A5">
        <w:t xml:space="preserve">pełnione na jej terytorium. </w:t>
      </w:r>
      <w:r w:rsidR="00E62FC5" w:rsidRPr="008A47A5">
        <w:t>Przykładowo</w:t>
      </w:r>
      <w:r w:rsidRPr="008A47A5">
        <w:t xml:space="preserve"> Strona, na której </w:t>
      </w:r>
      <w:r w:rsidR="00D95F11" w:rsidRPr="008A47A5">
        <w:t>terytorium</w:t>
      </w:r>
      <w:r w:rsidRPr="008A47A5">
        <w:t xml:space="preserve"> </w:t>
      </w:r>
      <w:r w:rsidR="00E62FC5" w:rsidRPr="00D00246">
        <w:t xml:space="preserve">osoba </w:t>
      </w:r>
      <w:r w:rsidRPr="00D00246">
        <w:t>został</w:t>
      </w:r>
      <w:r w:rsidR="00E62FC5" w:rsidRPr="00D00246">
        <w:t>a</w:t>
      </w:r>
      <w:r w:rsidRPr="00D00246">
        <w:t xml:space="preserve"> zwerbowan</w:t>
      </w:r>
      <w:r w:rsidR="00E62FC5" w:rsidRPr="00D00246">
        <w:t>a</w:t>
      </w:r>
      <w:r w:rsidRPr="00D00246">
        <w:t xml:space="preserve"> za pomocą jednego ze środków i na potrzeby jednego z celów wykorzystania, o których mowa w art. 4 lit. a</w:t>
      </w:r>
      <w:r w:rsidRPr="0013325B">
        <w:t xml:space="preserve">, </w:t>
      </w:r>
      <w:r w:rsidR="00E62FC5" w:rsidRPr="0013325B">
        <w:t>jest właściwa do przeprowadzenia postępowania w sprawie</w:t>
      </w:r>
      <w:r w:rsidRPr="001C5F9D">
        <w:t xml:space="preserve"> przestępstwa określonego w art. 18. To samo odnosi się do Stron, </w:t>
      </w:r>
      <w:r w:rsidRPr="001F0818">
        <w:t>przez których terytorium bądź na których terytorium osobę tę transportowano”.</w:t>
      </w:r>
    </w:p>
    <w:p w14:paraId="2E2EFB8F" w14:textId="6A761136" w:rsidR="00802C80" w:rsidRPr="008A47A5" w:rsidRDefault="00802C80" w:rsidP="00802C80">
      <w:pPr>
        <w:pStyle w:val="ECHRHeading3"/>
      </w:pPr>
      <w:r w:rsidRPr="008A47A5">
        <w:t>3.</w:t>
      </w:r>
      <w:r w:rsidR="005F47D9">
        <w:t xml:space="preserve"> </w:t>
      </w:r>
      <w:r w:rsidRPr="008A47A5">
        <w:rPr>
          <w:rStyle w:val="Pogrubienie"/>
          <w:b w:val="0"/>
          <w:bCs/>
        </w:rPr>
        <w:t>Grupa Ekspertów do spraw działań przeciwko handlowi ludźmi</w:t>
      </w:r>
    </w:p>
    <w:p w14:paraId="5B756567" w14:textId="7ECB9425" w:rsidR="00802C80" w:rsidRPr="001C5F9D" w:rsidRDefault="00A3591C" w:rsidP="00802C80">
      <w:pPr>
        <w:pStyle w:val="ECHRPara"/>
        <w:rPr>
          <w:rStyle w:val="Pogrubienie"/>
          <w:b w:val="0"/>
        </w:rPr>
      </w:pPr>
      <w:r>
        <w:rPr>
          <w:noProof/>
        </w:rPr>
        <w:t>61</w:t>
      </w:r>
      <w:r w:rsidR="00802C80" w:rsidRPr="00082846">
        <w:t>.</w:t>
      </w:r>
      <w:r w:rsidR="005F47D9">
        <w:t xml:space="preserve"> </w:t>
      </w:r>
      <w:r w:rsidR="00802C80" w:rsidRPr="00082846">
        <w:t xml:space="preserve">W swoim „Raporcie </w:t>
      </w:r>
      <w:r w:rsidR="00E62FC5" w:rsidRPr="00082846">
        <w:t>z wdrażania</w:t>
      </w:r>
      <w:r w:rsidR="00802C80" w:rsidRPr="00082846">
        <w:t xml:space="preserve"> Konwencji Rady Europy w spraw dz</w:t>
      </w:r>
      <w:r w:rsidR="00802C80" w:rsidRPr="003D7F25">
        <w:t xml:space="preserve">iałań przeciwko handlowi ludźmi przez Austrię, </w:t>
      </w:r>
      <w:r w:rsidR="00E62FC5" w:rsidRPr="003D7F25">
        <w:t>p</w:t>
      </w:r>
      <w:r w:rsidR="00802C80" w:rsidRPr="003D7F25">
        <w:t>ierwsz</w:t>
      </w:r>
      <w:r w:rsidR="00E62FC5" w:rsidRPr="003D7F25">
        <w:t>y</w:t>
      </w:r>
      <w:r w:rsidR="00802C80" w:rsidRPr="003D7F25">
        <w:t xml:space="preserve"> </w:t>
      </w:r>
      <w:r w:rsidR="00E62FC5" w:rsidRPr="003D7F25">
        <w:t>etap o</w:t>
      </w:r>
      <w:r w:rsidR="00802C80" w:rsidRPr="003D7F25">
        <w:t xml:space="preserve">ceny” (GRETA(2011)10, 15 września 2011 r.) </w:t>
      </w:r>
      <w:r w:rsidR="00802C80" w:rsidRPr="001C5F9D">
        <w:rPr>
          <w:rStyle w:val="Pogrubienie"/>
          <w:b w:val="0"/>
        </w:rPr>
        <w:t>Grupa Ekspertów do spraw działań przeciwko handlowi ludźmi (dalej: „GRETA”) ustaliła, co następuje:</w:t>
      </w:r>
    </w:p>
    <w:p w14:paraId="41C0130F" w14:textId="77777777" w:rsidR="00802C80" w:rsidRPr="00D00246" w:rsidRDefault="00802C80" w:rsidP="00802C80">
      <w:pPr>
        <w:pStyle w:val="ECHRParaQuote"/>
        <w:rPr>
          <w:rFonts w:eastAsiaTheme="minorHAnsi"/>
        </w:rPr>
      </w:pPr>
      <w:r w:rsidRPr="001F0818">
        <w:rPr>
          <w:rStyle w:val="Pogrubienie"/>
          <w:b w:val="0"/>
        </w:rPr>
        <w:t>„</w:t>
      </w:r>
      <w:r w:rsidRPr="001F0818">
        <w:t xml:space="preserve">W ostatnich latach władze austriackie podjęły </w:t>
      </w:r>
      <w:r w:rsidR="00E62FC5" w:rsidRPr="001F0818">
        <w:t xml:space="preserve">szereg </w:t>
      </w:r>
      <w:r w:rsidRPr="001F0818">
        <w:t xml:space="preserve">znaczących działań mających na celu zwalczanie handlu ludźmi (HL) </w:t>
      </w:r>
      <w:r w:rsidR="00E62FC5" w:rsidRPr="008A47A5">
        <w:t>we wszystkich aspektach</w:t>
      </w:r>
      <w:r w:rsidRPr="00D00246">
        <w:t>: zapobiegani</w:t>
      </w:r>
      <w:r w:rsidR="00E62FC5" w:rsidRPr="00D00246">
        <w:t>e</w:t>
      </w:r>
      <w:r w:rsidRPr="00D00246">
        <w:t>, ochron</w:t>
      </w:r>
      <w:r w:rsidR="00E62FC5" w:rsidRPr="00D00246">
        <w:t>a</w:t>
      </w:r>
      <w:r w:rsidRPr="00D00246">
        <w:t xml:space="preserve"> ofiar i ścigani</w:t>
      </w:r>
      <w:r w:rsidR="00E62FC5" w:rsidRPr="00D00246">
        <w:t>e</w:t>
      </w:r>
      <w:r w:rsidRPr="00D00246">
        <w:t xml:space="preserve"> handlarzy (…).</w:t>
      </w:r>
    </w:p>
    <w:p w14:paraId="00A7FCD9" w14:textId="779C5EE4" w:rsidR="00802C80" w:rsidRPr="00D00246" w:rsidRDefault="00E62FC5" w:rsidP="00802C80">
      <w:pPr>
        <w:pStyle w:val="ECHRParaQuote"/>
        <w:rPr>
          <w:rFonts w:eastAsiaTheme="minorHAnsi"/>
        </w:rPr>
      </w:pPr>
      <w:r w:rsidRPr="00D00246">
        <w:t>W</w:t>
      </w:r>
      <w:r w:rsidR="00802C80" w:rsidRPr="00D00246">
        <w:t xml:space="preserve">ładze austriackie we współpracy z organizacjami poza- i międzyrządowymi </w:t>
      </w:r>
      <w:r w:rsidRPr="00D00246">
        <w:t xml:space="preserve">podjęły </w:t>
      </w:r>
      <w:r w:rsidR="00802C80" w:rsidRPr="00D00246">
        <w:t>szereg działań mających na celu zwiększenie świadomości HL i przeszkolenie stosownych specjalistów. GRETA z zadowoleniem przyjmuje wprowadzenie w 2009 r. specjalnych procedur zapobiegających HL na potrzeby służby domowej w gospodarstwach domowych przedstawicieli dyplomatycznych.</w:t>
      </w:r>
      <w:r w:rsidR="005F47D9">
        <w:t xml:space="preserve"> </w:t>
      </w:r>
      <w:r w:rsidR="00802C80" w:rsidRPr="00D00246">
        <w:t xml:space="preserve">GRETA </w:t>
      </w:r>
      <w:r w:rsidR="00C17EF4" w:rsidRPr="00D00246">
        <w:t>jest jednak zdania</w:t>
      </w:r>
      <w:r w:rsidR="00802C80" w:rsidRPr="00D00246">
        <w:t>, że władze austriackie powinny podjąć dalsze działania w celu zwiększenia świadomości problemu HL</w:t>
      </w:r>
      <w:r w:rsidR="00D95F11">
        <w:t>,</w:t>
      </w:r>
      <w:r w:rsidR="00802C80" w:rsidRPr="00D00246">
        <w:t xml:space="preserve"> w szczególności w zakre</w:t>
      </w:r>
      <w:r w:rsidR="00E55B22">
        <w:t>sie dotyczącym handlu dziećmi i </w:t>
      </w:r>
      <w:r w:rsidR="00802C80" w:rsidRPr="00D00246">
        <w:t xml:space="preserve">handlu mającego za cel wyzysk pracy. Potrzebne są dalsze badania rzucające światło na zakres tych form handlu ludźmi i </w:t>
      </w:r>
      <w:r w:rsidR="00D95F11">
        <w:t>stanowiące wskazówkę dla władz</w:t>
      </w:r>
      <w:r w:rsidR="00802C80" w:rsidRPr="00D00246">
        <w:t xml:space="preserve"> </w:t>
      </w:r>
      <w:r w:rsidR="00D95F11">
        <w:t>przy rozwijaniu</w:t>
      </w:r>
      <w:r w:rsidR="00802C80" w:rsidRPr="00D00246">
        <w:t xml:space="preserve"> regulacji je zwalczających. (…)</w:t>
      </w:r>
    </w:p>
    <w:p w14:paraId="479BAE81" w14:textId="77777777" w:rsidR="00802C80" w:rsidRPr="00D00246" w:rsidRDefault="00C17EF4" w:rsidP="00802C80">
      <w:pPr>
        <w:pStyle w:val="ECHRParaQuote"/>
        <w:keepNext/>
        <w:keepLines/>
        <w:rPr>
          <w:rFonts w:eastAsiaTheme="minorHAnsi"/>
        </w:rPr>
      </w:pPr>
      <w:r w:rsidRPr="00D00246">
        <w:t>W odniesieniu do</w:t>
      </w:r>
      <w:r w:rsidR="00802C80" w:rsidRPr="00D00246">
        <w:t xml:space="preserve"> działań mających na celu pomoc ofiarom HL i ich ochronę, władze austriackie we współdziałaniu ze społeczeństwem obywatelskim uruchomiły obiekty i usługi dostosowane przede wszystkim do potrzeb ofiar płci żeńskiej. Związkowe Ministerstwo Spraw Wewnętrznych zarządzeniem wewnętrznym </w:t>
      </w:r>
      <w:r w:rsidRPr="00D00246">
        <w:t xml:space="preserve">wprowadziło </w:t>
      </w:r>
      <w:r w:rsidR="00802C80" w:rsidRPr="00D00246">
        <w:t>wynoszący minimum 30 dni okres rekonwalescencji i refleksji dla domniemanych ofiar handlu ludźmi, w trakcie którego to okresu danej osoby nie powinno się wydalać z Austrii. Jednakże liczba osób, które z takiego okresu skorzystały, jest bardzo niewielka. (…) Dostęp dla ofiar HL do rekompensat pozostaje w Austrii ograniczony, między innymi ze względu na niską liczbę ścigań i skazań handlarzy. (…)</w:t>
      </w:r>
    </w:p>
    <w:p w14:paraId="3A826202" w14:textId="77777777" w:rsidR="00802C80" w:rsidRPr="00D00246" w:rsidRDefault="00C17EF4" w:rsidP="00802C80">
      <w:pPr>
        <w:pStyle w:val="ECHRParaQuote"/>
        <w:rPr>
          <w:rFonts w:eastAsiaTheme="minorHAnsi"/>
        </w:rPr>
      </w:pPr>
      <w:r w:rsidRPr="00D00246">
        <w:t>Wreszcie</w:t>
      </w:r>
      <w:r w:rsidR="00802C80" w:rsidRPr="00D00246">
        <w:t xml:space="preserve"> GRETA </w:t>
      </w:r>
      <w:r w:rsidRPr="00D00246">
        <w:t>jest zdania</w:t>
      </w:r>
      <w:r w:rsidR="00802C80" w:rsidRPr="00D00246">
        <w:t xml:space="preserve">, że władze austriackie powinny </w:t>
      </w:r>
      <w:r w:rsidRPr="00D00246">
        <w:t>dokonać przeglądu</w:t>
      </w:r>
      <w:r w:rsidR="00802C80" w:rsidRPr="00D00246">
        <w:t xml:space="preserve"> aktualnych przepisów kryminalizujących HL </w:t>
      </w:r>
      <w:r w:rsidRPr="00D00246">
        <w:t>pod kątem</w:t>
      </w:r>
      <w:r w:rsidR="00802C80" w:rsidRPr="00D00246">
        <w:t xml:space="preserve"> ustosunkowania się do ewentualnych kolizji i zapewnienia </w:t>
      </w:r>
      <w:r w:rsidRPr="00D00246">
        <w:t xml:space="preserve">skutku odstraszającego </w:t>
      </w:r>
      <w:r w:rsidR="00802C80" w:rsidRPr="00D00246">
        <w:t xml:space="preserve">przewidzianych kar w celu </w:t>
      </w:r>
      <w:r w:rsidRPr="00D00246">
        <w:t xml:space="preserve">uwzględnienia </w:t>
      </w:r>
      <w:r w:rsidR="00802C80" w:rsidRPr="00D00246">
        <w:t xml:space="preserve">faktu, że HL stanowi poważne naruszenie praw człowieka. Dodatkowo ofiary handlu ludźmi powinny być lepiej chronione zarówno w trakcie postępowań prawnych przeciwko handlarzom jak i </w:t>
      </w:r>
      <w:r w:rsidRPr="00D00246">
        <w:t>po ich zakończeniu</w:t>
      </w:r>
      <w:r w:rsidR="00802C80" w:rsidRPr="00D00246">
        <w:t>, w szczególności z pełnym wykorzystaniem programu ochrony świadków w stosunku do tych ofiar. (…)</w:t>
      </w:r>
    </w:p>
    <w:p w14:paraId="36F6AF2F" w14:textId="77777777" w:rsidR="00802C80" w:rsidRPr="00D00246" w:rsidRDefault="00802C80" w:rsidP="00802C80">
      <w:pPr>
        <w:pStyle w:val="ECHRParaQuote"/>
        <w:rPr>
          <w:rFonts w:eastAsiaTheme="minorHAnsi"/>
        </w:rPr>
      </w:pPr>
      <w:r w:rsidRPr="00D00246">
        <w:t xml:space="preserve">W czynnościach dochodzeniowo-śledczych w przedmiocie HL i przemytu migrantów specjalizuje się specjalna Jednostka Centralna w Związkowej Służbie Wywiadu Kryminalnego w strukturach Związkowego Ministerstwa Spraw Wewnętrznych. Jednostka ta jest </w:t>
      </w:r>
      <w:r w:rsidR="00C17EF4" w:rsidRPr="00D00246">
        <w:t>właściwa</w:t>
      </w:r>
      <w:r w:rsidRPr="00D00246">
        <w:t xml:space="preserve"> do prowadzenia postępowań przygotowawczych i pozostaje w regularnym kontakcie z jednostkami regionalnych służb wywiadu kryminalnego specjalizującymi się w zwalczaniu HL i innej poważnej </w:t>
      </w:r>
      <w:r w:rsidRPr="00D00246">
        <w:lastRenderedPageBreak/>
        <w:t xml:space="preserve">działalności przestępczej. Dodatkowo odgrywa ona rolę pośrednika między policją austriacką a organami ścigania innych państw </w:t>
      </w:r>
      <w:r w:rsidR="00211D00" w:rsidRPr="00D00246">
        <w:t xml:space="preserve">w zakresie </w:t>
      </w:r>
      <w:r w:rsidRPr="00D00246">
        <w:t xml:space="preserve">wymiany informacji, udziału we </w:t>
      </w:r>
      <w:r w:rsidR="00211D00" w:rsidRPr="00D00246">
        <w:t xml:space="preserve">wspólnie prowadzonych </w:t>
      </w:r>
      <w:r w:rsidRPr="00D00246">
        <w:t>operacjach itd. (…)</w:t>
      </w:r>
    </w:p>
    <w:p w14:paraId="30AB6A5A" w14:textId="77777777" w:rsidR="00802C80" w:rsidRPr="00D00246" w:rsidRDefault="00802C80" w:rsidP="00802C80">
      <w:pPr>
        <w:pStyle w:val="ECHRParaQuote"/>
        <w:rPr>
          <w:rFonts w:eastAsiaTheme="minorHAnsi"/>
        </w:rPr>
      </w:pPr>
      <w:r w:rsidRPr="00D00246">
        <w:t xml:space="preserve">LEFÖ-IBF cieszy się szczególną pozycją w porównaniu do innych </w:t>
      </w:r>
      <w:r w:rsidR="00211D00" w:rsidRPr="00D00246">
        <w:t xml:space="preserve">organizacji pozarządowych </w:t>
      </w:r>
      <w:r w:rsidRPr="00D00246">
        <w:t xml:space="preserve">zaangażowanych w walkę z handlem ludźmi w Austrii. Działa ona na podstawie zawartej z </w:t>
      </w:r>
      <w:r w:rsidR="00211D00" w:rsidRPr="00D00246">
        <w:t>r</w:t>
      </w:r>
      <w:r w:rsidRPr="00D00246">
        <w:t xml:space="preserve">ządem umowy i jest finansowana </w:t>
      </w:r>
      <w:r w:rsidR="00211D00" w:rsidRPr="00D00246">
        <w:t>z</w:t>
      </w:r>
      <w:r w:rsidR="00E55B22">
        <w:t xml:space="preserve"> funduszy rządowych, w </w:t>
      </w:r>
      <w:r w:rsidRPr="00D00246">
        <w:t xml:space="preserve">szczególności przeznaczonych na świadczenie pomocy </w:t>
      </w:r>
      <w:r w:rsidR="00211D00" w:rsidRPr="00D00246">
        <w:t xml:space="preserve">na rzecz </w:t>
      </w:r>
      <w:r w:rsidRPr="00D00246">
        <w:t>ofiar HL” (…).</w:t>
      </w:r>
    </w:p>
    <w:p w14:paraId="3B1BD517" w14:textId="44F13C46" w:rsidR="00802C80" w:rsidRPr="00D00246" w:rsidRDefault="00802C80" w:rsidP="00802C80">
      <w:pPr>
        <w:pStyle w:val="ECHRHeading3"/>
      </w:pPr>
      <w:r w:rsidRPr="00D00246">
        <w:t>4.</w:t>
      </w:r>
      <w:r w:rsidR="005F47D9">
        <w:t xml:space="preserve"> </w:t>
      </w:r>
      <w:r w:rsidRPr="00D00246">
        <w:t>Konwencja MOP o pracy przymusowej</w:t>
      </w:r>
    </w:p>
    <w:p w14:paraId="35CA9764" w14:textId="6AED402E" w:rsidR="00802C80" w:rsidRPr="001F0818" w:rsidRDefault="00A3591C" w:rsidP="00802C80">
      <w:pPr>
        <w:pStyle w:val="ECHRPara"/>
      </w:pPr>
      <w:r>
        <w:rPr>
          <w:noProof/>
        </w:rPr>
        <w:t>62</w:t>
      </w:r>
      <w:r w:rsidR="00802C80" w:rsidRPr="00082846">
        <w:t>.</w:t>
      </w:r>
      <w:r w:rsidR="005F47D9">
        <w:t xml:space="preserve"> </w:t>
      </w:r>
      <w:r w:rsidR="00802C80" w:rsidRPr="00082846">
        <w:t>Konwencja dotycząca pracy przymusowej lub obowiązkowej, przyjęta w Genewie dnia 28 czerwca 1930 r. przez Konferencję Ogólną Międzynarodowej Organizacji Pracy (dalej: „MOP”)</w:t>
      </w:r>
      <w:r w:rsidR="00211D00" w:rsidRPr="00082846">
        <w:t>,</w:t>
      </w:r>
      <w:r w:rsidR="00802C80" w:rsidRPr="00082846">
        <w:t xml:space="preserve"> weszła w życie </w:t>
      </w:r>
      <w:r w:rsidR="00211D00" w:rsidRPr="00082846">
        <w:t xml:space="preserve">z </w:t>
      </w:r>
      <w:r w:rsidR="00802C80" w:rsidRPr="003D7F25">
        <w:t>dni</w:t>
      </w:r>
      <w:r w:rsidR="00211D00" w:rsidRPr="003D7F25">
        <w:t>em</w:t>
      </w:r>
      <w:r w:rsidR="00802C80" w:rsidRPr="003D7F25">
        <w:t xml:space="preserve"> 1 maja 1932 r. Została ona ra</w:t>
      </w:r>
      <w:r w:rsidR="009C2CB9">
        <w:t>tyfikowana przez Austrię dnia 7 </w:t>
      </w:r>
      <w:r w:rsidR="00802C80" w:rsidRPr="003D7F25">
        <w:t>czerwca 1960 r. Stosownie do art. 1 „Każdy Członek Międzynarodowej Organizacji Pracy, który ratyfikuje niniejszą konwencję, zobowiązuje się do zniesienia stosowa</w:t>
      </w:r>
      <w:r w:rsidR="00802C80" w:rsidRPr="001C5F9D">
        <w:t>nia pracy przymusowej lub obowiązkowej we wszelkich jej postaciach, w możliwie najszybszym czasie”.</w:t>
      </w:r>
    </w:p>
    <w:p w14:paraId="381EAE78" w14:textId="16E0D6B8" w:rsidR="00802C80" w:rsidRPr="003D7F25" w:rsidRDefault="00A3591C" w:rsidP="00802C80">
      <w:pPr>
        <w:pStyle w:val="ECHRPara"/>
      </w:pPr>
      <w:r>
        <w:rPr>
          <w:noProof/>
        </w:rPr>
        <w:t>63</w:t>
      </w:r>
      <w:r w:rsidR="00802C80" w:rsidRPr="00082846">
        <w:t>.</w:t>
      </w:r>
      <w:r w:rsidR="005F47D9">
        <w:t xml:space="preserve"> </w:t>
      </w:r>
      <w:r w:rsidR="00802C80" w:rsidRPr="00082846">
        <w:t>Art</w:t>
      </w:r>
      <w:r w:rsidR="00B25512">
        <w:t>.</w:t>
      </w:r>
      <w:r w:rsidR="00802C80" w:rsidRPr="00082846">
        <w:t xml:space="preserve"> 2 ust. 1 definiuje „pracę przymusową lub obowiązkową” jako:</w:t>
      </w:r>
    </w:p>
    <w:p w14:paraId="0C1814F4" w14:textId="4A9A175A" w:rsidR="00802C80" w:rsidRPr="001F0818" w:rsidRDefault="00802C80" w:rsidP="00802C80">
      <w:pPr>
        <w:pStyle w:val="ECHRParaQuote"/>
      </w:pPr>
      <w:r w:rsidRPr="001C5F9D">
        <w:t>„wszelką pracę lub usługi wymagane od jakiejś osoby pod groźbą jakiejkolwiek kary i do których dana osoba nie zgłosi</w:t>
      </w:r>
      <w:r w:rsidRPr="001F0818">
        <w:t>ła się dobrowolnie”</w:t>
      </w:r>
      <w:r w:rsidR="008F2F1E">
        <w:t>.</w:t>
      </w:r>
    </w:p>
    <w:p w14:paraId="12E88293" w14:textId="76A4835D" w:rsidR="00802C80" w:rsidRPr="00082846" w:rsidRDefault="00A3591C" w:rsidP="00802C80">
      <w:pPr>
        <w:pStyle w:val="ECHRPara"/>
      </w:pPr>
      <w:r>
        <w:rPr>
          <w:noProof/>
        </w:rPr>
        <w:t>64</w:t>
      </w:r>
      <w:r w:rsidR="00802C80" w:rsidRPr="00082846">
        <w:t>.</w:t>
      </w:r>
      <w:r w:rsidR="005F47D9">
        <w:t xml:space="preserve"> </w:t>
      </w:r>
      <w:r w:rsidR="00802C80" w:rsidRPr="00082846">
        <w:t>Art</w:t>
      </w:r>
      <w:r w:rsidR="00B25512">
        <w:t>.</w:t>
      </w:r>
      <w:r w:rsidR="00802C80" w:rsidRPr="00082846">
        <w:t xml:space="preserve"> 25 stanowi:</w:t>
      </w:r>
    </w:p>
    <w:p w14:paraId="7CE60223" w14:textId="77777777" w:rsidR="00802C80" w:rsidRPr="001C5F9D" w:rsidRDefault="00802C80" w:rsidP="00802C80">
      <w:pPr>
        <w:pStyle w:val="ECHRParaQuote"/>
      </w:pPr>
      <w:r w:rsidRPr="003D7F25">
        <w:t>„Fakt nieprzerwanego wymuszania pracy przymusowej lub obowiązkowej będzie podlegał sankcjom karnym, a każdy Członek ratyfikujący niniejszą konwencję będzie obowiązany do upewnienia się, że sankcje nakładane ustawowo s</w:t>
      </w:r>
      <w:r w:rsidRPr="001C5F9D">
        <w:t>ą rzeczywiście skuteczne i ściśle stosowane”.</w:t>
      </w:r>
    </w:p>
    <w:p w14:paraId="1EECF686" w14:textId="20508F28" w:rsidR="00802C80" w:rsidRPr="001F0818" w:rsidRDefault="00802C80" w:rsidP="00802C80">
      <w:pPr>
        <w:pStyle w:val="ECHRHeading2"/>
      </w:pPr>
      <w:r w:rsidRPr="001F0818">
        <w:t>C.</w:t>
      </w:r>
      <w:r w:rsidR="005F47D9">
        <w:t xml:space="preserve"> </w:t>
      </w:r>
      <w:r w:rsidRPr="001F0818">
        <w:t>Prawo Unii Europejskiej</w:t>
      </w:r>
    </w:p>
    <w:p w14:paraId="03BA2543" w14:textId="4D90BB7C" w:rsidR="00802C80" w:rsidRPr="008A47A5" w:rsidRDefault="00802C80" w:rsidP="00802C80">
      <w:pPr>
        <w:pStyle w:val="ECHRHeading3"/>
      </w:pPr>
      <w:r w:rsidRPr="008A47A5">
        <w:t>1.</w:t>
      </w:r>
      <w:r w:rsidR="005F47D9">
        <w:t xml:space="preserve"> </w:t>
      </w:r>
      <w:r w:rsidRPr="008A47A5">
        <w:t>Karta Praw Podstawowych UE</w:t>
      </w:r>
    </w:p>
    <w:p w14:paraId="17341FC2" w14:textId="673AACA4" w:rsidR="00802C80" w:rsidRPr="003D7F25" w:rsidRDefault="00A3591C" w:rsidP="00802C80">
      <w:pPr>
        <w:pStyle w:val="ECHRPara"/>
        <w:keepNext/>
        <w:keepLines/>
      </w:pPr>
      <w:r>
        <w:rPr>
          <w:noProof/>
        </w:rPr>
        <w:t>65</w:t>
      </w:r>
      <w:r w:rsidR="00802C80" w:rsidRPr="00082846">
        <w:t>.</w:t>
      </w:r>
      <w:r w:rsidR="005F47D9">
        <w:t xml:space="preserve"> </w:t>
      </w:r>
      <w:r w:rsidR="00802C80" w:rsidRPr="00082846">
        <w:t>Jako państwo członkowskie Unii Europejskiej (dalej: „UE”) od dnia 1 stycznia 1995 r. Austria zobowiązana jest przy transpozycji bądź stosowaniu prawa UE do przestrzegania praw zagwarantowanych w Karcie Praw Podstawowych UE. Art. 5 Karty stanowi:</w:t>
      </w:r>
    </w:p>
    <w:p w14:paraId="45B31398" w14:textId="77777777" w:rsidR="00802C80" w:rsidRPr="001C5F9D" w:rsidRDefault="00802C80" w:rsidP="00802C80">
      <w:pPr>
        <w:pStyle w:val="ECHRTitleCentre3"/>
      </w:pPr>
      <w:r w:rsidRPr="001C5F9D">
        <w:t>Zakaz niewolnictwa i pracy przymusowej</w:t>
      </w:r>
    </w:p>
    <w:p w14:paraId="020377F4" w14:textId="50FE0178" w:rsidR="00802C80" w:rsidRPr="001F0818" w:rsidRDefault="00802C80" w:rsidP="00802C80">
      <w:pPr>
        <w:pStyle w:val="ECHRParaQuote"/>
      </w:pPr>
      <w:r w:rsidRPr="001F0818">
        <w:t>„1.</w:t>
      </w:r>
      <w:r w:rsidR="005F47D9">
        <w:t xml:space="preserve"> </w:t>
      </w:r>
      <w:r w:rsidRPr="001F0818">
        <w:t>Nikt nie może być trzymany w niewoli lub w poddaństwie.</w:t>
      </w:r>
    </w:p>
    <w:p w14:paraId="5A1D74ED" w14:textId="3B8B3608" w:rsidR="00802C80" w:rsidRPr="00D00246" w:rsidRDefault="00802C80" w:rsidP="00802C80">
      <w:pPr>
        <w:pStyle w:val="ECHRParaQuote"/>
      </w:pPr>
      <w:r w:rsidRPr="008A47A5">
        <w:t>2.</w:t>
      </w:r>
      <w:r w:rsidR="005F47D9">
        <w:t xml:space="preserve"> </w:t>
      </w:r>
      <w:r w:rsidRPr="008A47A5">
        <w:t>Nikt nie może być zmuszony do świadczenia pracy przymusowej lub obowiązkowej.</w:t>
      </w:r>
    </w:p>
    <w:p w14:paraId="371B8529" w14:textId="66A497C9" w:rsidR="00802C80" w:rsidRPr="00D00246" w:rsidRDefault="00802C80" w:rsidP="00802C80">
      <w:pPr>
        <w:pStyle w:val="ECHRParaQuote"/>
      </w:pPr>
      <w:r w:rsidRPr="00D00246">
        <w:t>3.</w:t>
      </w:r>
      <w:r w:rsidR="005F47D9">
        <w:t xml:space="preserve"> </w:t>
      </w:r>
      <w:r w:rsidRPr="00D00246">
        <w:t>Handel ludźmi jest zakazany”.</w:t>
      </w:r>
    </w:p>
    <w:p w14:paraId="35D0574D" w14:textId="535FF3C7" w:rsidR="00802C80" w:rsidRPr="00D00246" w:rsidRDefault="00802C80" w:rsidP="00802C80">
      <w:pPr>
        <w:pStyle w:val="ECHRHeading3"/>
      </w:pPr>
      <w:r w:rsidRPr="00D00246">
        <w:lastRenderedPageBreak/>
        <w:t>2.</w:t>
      </w:r>
      <w:r w:rsidR="005F47D9">
        <w:t xml:space="preserve"> </w:t>
      </w:r>
      <w:r w:rsidRPr="00D00246">
        <w:t>Dyrektywa UE w sprawie zapobiegania handlowi ludźmi</w:t>
      </w:r>
    </w:p>
    <w:p w14:paraId="14B203E9" w14:textId="69CB8607" w:rsidR="00802C80" w:rsidRPr="003D7F25" w:rsidRDefault="00A3591C" w:rsidP="00802C80">
      <w:pPr>
        <w:pStyle w:val="ECHRPara"/>
      </w:pPr>
      <w:r>
        <w:rPr>
          <w:noProof/>
        </w:rPr>
        <w:t>66</w:t>
      </w:r>
      <w:r w:rsidR="00802C80" w:rsidRPr="00082846">
        <w:t>.</w:t>
      </w:r>
      <w:r w:rsidR="005F47D9">
        <w:t xml:space="preserve"> </w:t>
      </w:r>
      <w:r w:rsidR="00802C80" w:rsidRPr="00082846">
        <w:t>Istotne części art. 2 Dyrektywy Parlamentu Europejskiego i Rady 2011/36/UE z dnia 5 kwietnia 2011 r. w sprawie zapobiegania handlowi ludźmi i zwalczania tego procederu oraz ochrony ofiar stanowią:</w:t>
      </w:r>
    </w:p>
    <w:p w14:paraId="0C4CBA72" w14:textId="3FE1B547" w:rsidR="00802C80" w:rsidRPr="001F0818" w:rsidRDefault="00802C80" w:rsidP="00802C80">
      <w:pPr>
        <w:pStyle w:val="JuQuotSub"/>
      </w:pPr>
      <w:r w:rsidRPr="001C5F9D">
        <w:t>„1.</w:t>
      </w:r>
      <w:r w:rsidR="005F47D9">
        <w:t xml:space="preserve"> </w:t>
      </w:r>
      <w:r w:rsidRPr="001C5F9D">
        <w:t>Państwa członkowskie podejmują środki niezbędne do zapewnienia karalności następujących czynów umyślnych:</w:t>
      </w:r>
    </w:p>
    <w:p w14:paraId="76994EC0" w14:textId="77777777" w:rsidR="00802C80" w:rsidRPr="00D00246" w:rsidRDefault="00802C80" w:rsidP="00802C80">
      <w:pPr>
        <w:pStyle w:val="JuQuotSub"/>
      </w:pPr>
      <w:r w:rsidRPr="008A47A5">
        <w:t>Werbowanie, transport, przekazywanie, przechowywanie lub przyjmowanie osób, w tym wymiana lub przekazanie kontroli nad tymi osobami, z zastosowaniem groźby</w:t>
      </w:r>
      <w:r w:rsidRPr="00D00246">
        <w:t xml:space="preserve"> lub przemocy bądź innych form przymusu, uprowadzenia, oszustwa, podstępu, poprzez nadużycie uprawnień lub wykorzystanie sytuacji bezbronności, lub też wręczenie lub przyjęcie płatności lub korzyści dla uzyskania zgody osoby sprawującej kontrolę nad inną osobą, w celu wyzysku.</w:t>
      </w:r>
    </w:p>
    <w:p w14:paraId="726F0373" w14:textId="50F42C80" w:rsidR="00802C80" w:rsidRPr="00D00246" w:rsidRDefault="00802C80" w:rsidP="00802C80">
      <w:pPr>
        <w:pStyle w:val="JuQuotSub"/>
      </w:pPr>
      <w:r w:rsidRPr="00D00246">
        <w:t>2.</w:t>
      </w:r>
      <w:r w:rsidR="005F47D9">
        <w:t xml:space="preserve"> </w:t>
      </w:r>
      <w:r w:rsidRPr="00D00246">
        <w:t>Sytuacja bezbronności zachodzi wówczas, gdy dana osoba nie ma innego – realnego lub możliwego do zaakceptowania – wyboru niż poddanie się nadużyciu.</w:t>
      </w:r>
    </w:p>
    <w:p w14:paraId="27E43B9B" w14:textId="425BFDD2" w:rsidR="00802C80" w:rsidRPr="00D00246" w:rsidRDefault="00802C80" w:rsidP="00802C80">
      <w:pPr>
        <w:pStyle w:val="JuQuotSub"/>
      </w:pPr>
      <w:r w:rsidRPr="00D00246">
        <w:t>3.</w:t>
      </w:r>
      <w:r w:rsidR="005F47D9">
        <w:t xml:space="preserve"> </w:t>
      </w:r>
      <w:r w:rsidRPr="00D00246">
        <w:t>Wyzysk obejmuje, w szczególności, wyzyskanie innych osób do prostytucji lub innych form wykorzystywania seksualnego, przymusową pracę lub służbę, w tym żebractwo, niewolnictwo lub praktyki podobne do niewolnictwa, zniewolenie, wyzyskiwanie do działalności przestępczej lub usunięcie organów.</w:t>
      </w:r>
    </w:p>
    <w:p w14:paraId="79CF6147" w14:textId="5E253A87" w:rsidR="00802C80" w:rsidRPr="00D00246" w:rsidRDefault="00802C80" w:rsidP="00802C80">
      <w:pPr>
        <w:pStyle w:val="JuQuotSub"/>
      </w:pPr>
      <w:r w:rsidRPr="00D00246">
        <w:t>4.</w:t>
      </w:r>
      <w:r w:rsidR="005F47D9">
        <w:t xml:space="preserve"> </w:t>
      </w:r>
      <w:r w:rsidRPr="00D00246">
        <w:t>Zgoda ofiary handlu ludźmi na wyzysk, niezależnie od tego, czy zamierzony lub rzeczywisty, nie ma znaczenia, jeżeli posłużono się którymkolwiek ze środków określonych w ust. 1”</w:t>
      </w:r>
    </w:p>
    <w:p w14:paraId="23D3D4EF" w14:textId="77777777" w:rsidR="00802C80" w:rsidRPr="00D00246" w:rsidRDefault="00802C80" w:rsidP="00802C80">
      <w:pPr>
        <w:pStyle w:val="JuQuotSub"/>
      </w:pPr>
      <w:r w:rsidRPr="00D00246">
        <w:t>(…).</w:t>
      </w:r>
    </w:p>
    <w:p w14:paraId="109C9D22" w14:textId="70E9A99F" w:rsidR="00802C80" w:rsidRPr="003D7F25" w:rsidRDefault="00A3591C" w:rsidP="00802C80">
      <w:pPr>
        <w:pStyle w:val="ECHRPara"/>
      </w:pPr>
      <w:r>
        <w:rPr>
          <w:noProof/>
        </w:rPr>
        <w:t>67</w:t>
      </w:r>
      <w:r w:rsidR="00802C80" w:rsidRPr="00082846">
        <w:t>.</w:t>
      </w:r>
      <w:r w:rsidR="005F47D9">
        <w:t xml:space="preserve"> </w:t>
      </w:r>
      <w:r w:rsidR="00802C80" w:rsidRPr="00082846">
        <w:t>Art</w:t>
      </w:r>
      <w:r w:rsidR="00B25512">
        <w:t>.</w:t>
      </w:r>
      <w:r w:rsidR="00802C80" w:rsidRPr="00082846">
        <w:t xml:space="preserve"> 10 Dyrektywy odnosi się do </w:t>
      </w:r>
      <w:r w:rsidR="009C2CB9">
        <w:t>identyfikacji ofiar i stanowi w </w:t>
      </w:r>
      <w:r w:rsidR="00802C80" w:rsidRPr="00082846">
        <w:t>relewantnym zakresie:</w:t>
      </w:r>
    </w:p>
    <w:p w14:paraId="6344DFB1" w14:textId="4F1D20B0" w:rsidR="00802C80" w:rsidRPr="008A47A5" w:rsidRDefault="00802C80" w:rsidP="00802C80">
      <w:pPr>
        <w:pStyle w:val="ECHRParaQuote"/>
      </w:pPr>
      <w:r w:rsidRPr="001C5F9D">
        <w:t>„1.</w:t>
      </w:r>
      <w:r w:rsidR="005F47D9">
        <w:t xml:space="preserve"> </w:t>
      </w:r>
      <w:r w:rsidRPr="001C5F9D">
        <w:t>Państwa członkowskie podejmują środki niezbędne do ustalenia swojej jurys</w:t>
      </w:r>
      <w:r w:rsidRPr="001F0818">
        <w:t>dykcji w odniesieniu do przestępstw, o których mowa w art. 2 i 3, w przypadku gdy:</w:t>
      </w:r>
    </w:p>
    <w:p w14:paraId="644667EF" w14:textId="2B7BD761" w:rsidR="00802C80" w:rsidRPr="00D00246" w:rsidRDefault="00802C80" w:rsidP="00802C80">
      <w:pPr>
        <w:pStyle w:val="JuQuotSub"/>
      </w:pPr>
      <w:r w:rsidRPr="00D00246">
        <w:t>a)</w:t>
      </w:r>
      <w:r w:rsidR="005F47D9">
        <w:t xml:space="preserve"> </w:t>
      </w:r>
      <w:r w:rsidRPr="00D00246">
        <w:t>przestępstwo zostało popełnione w całości lub w części na jego terytorium; lub</w:t>
      </w:r>
    </w:p>
    <w:p w14:paraId="7C0E2578" w14:textId="49027D1A" w:rsidR="00802C80" w:rsidRPr="00D00246" w:rsidRDefault="00802C80" w:rsidP="00802C80">
      <w:pPr>
        <w:pStyle w:val="JuQuotSub"/>
      </w:pPr>
      <w:r w:rsidRPr="00D00246">
        <w:t>b)</w:t>
      </w:r>
      <w:r w:rsidR="005F47D9">
        <w:t xml:space="preserve"> </w:t>
      </w:r>
      <w:r w:rsidRPr="00D00246">
        <w:t>sprawca jest obywatelem tego państwa”</w:t>
      </w:r>
    </w:p>
    <w:p w14:paraId="45C07124" w14:textId="77777777" w:rsidR="00802C80" w:rsidRPr="00D00246" w:rsidRDefault="00802C80" w:rsidP="00802C80">
      <w:pPr>
        <w:pStyle w:val="ECHRParaQuote"/>
      </w:pPr>
      <w:r w:rsidRPr="00D00246">
        <w:t>(…).</w:t>
      </w:r>
    </w:p>
    <w:p w14:paraId="02C1585C" w14:textId="77777777" w:rsidR="00802C80" w:rsidRPr="00D00246" w:rsidRDefault="00802C80" w:rsidP="00802C80">
      <w:pPr>
        <w:pStyle w:val="ECHRTitle1"/>
      </w:pPr>
      <w:r w:rsidRPr="006B4336">
        <w:t>PRAWO</w:t>
      </w:r>
    </w:p>
    <w:p w14:paraId="4E677293" w14:textId="7F86389D" w:rsidR="00802C80" w:rsidRPr="00D00246" w:rsidRDefault="00802C80" w:rsidP="00802C80">
      <w:pPr>
        <w:pStyle w:val="ECHRHeading1"/>
      </w:pPr>
      <w:r w:rsidRPr="00D00246">
        <w:t>I.</w:t>
      </w:r>
      <w:r w:rsidR="005F47D9">
        <w:t xml:space="preserve"> </w:t>
      </w:r>
      <w:r w:rsidR="009B6C86">
        <w:t>ZASTOSOWANIE</w:t>
      </w:r>
      <w:r w:rsidRPr="00D00246">
        <w:t xml:space="preserve"> ART. 37 UST. 1 KONWENCJI</w:t>
      </w:r>
    </w:p>
    <w:p w14:paraId="71A3513C" w14:textId="65553F5A" w:rsidR="00802C80" w:rsidRPr="001C5F9D" w:rsidRDefault="00A3591C" w:rsidP="00802C80">
      <w:pPr>
        <w:pStyle w:val="ECHRPara"/>
      </w:pPr>
      <w:r>
        <w:rPr>
          <w:noProof/>
        </w:rPr>
        <w:t>68</w:t>
      </w:r>
      <w:r w:rsidR="00802C80" w:rsidRPr="00082846">
        <w:t>.</w:t>
      </w:r>
      <w:r w:rsidR="005F47D9">
        <w:t xml:space="preserve"> </w:t>
      </w:r>
      <w:r w:rsidR="00802C80" w:rsidRPr="00082846">
        <w:t xml:space="preserve">Zgodnie z art. 37 ust. 1 Konwencji Trybunał może w każdej fazie postępowania </w:t>
      </w:r>
      <w:r w:rsidR="00802C80" w:rsidRPr="003D7F25">
        <w:t>zdecydować o skreśleniu skargi z listy spraw, jeżeli okoliczności prowadzą do wniosku, że:</w:t>
      </w:r>
    </w:p>
    <w:p w14:paraId="217067DB" w14:textId="77777777" w:rsidR="00802C80" w:rsidRPr="001F0818" w:rsidRDefault="00802C80" w:rsidP="00802C80">
      <w:pPr>
        <w:pStyle w:val="ECHRParaQuote"/>
      </w:pPr>
      <w:r w:rsidRPr="001F0818">
        <w:t>„a) skarżący nie podtrzymuje swej skargi lub</w:t>
      </w:r>
    </w:p>
    <w:p w14:paraId="704CF62D" w14:textId="77777777" w:rsidR="00802C80" w:rsidRPr="008A47A5" w:rsidRDefault="00802C80" w:rsidP="00802C80">
      <w:pPr>
        <w:pStyle w:val="ECHRParaQuote"/>
      </w:pPr>
      <w:r w:rsidRPr="008A47A5">
        <w:t>b) spór został już rozstrzygnięty, lub</w:t>
      </w:r>
    </w:p>
    <w:p w14:paraId="538D1056" w14:textId="77777777" w:rsidR="00802C80" w:rsidRPr="00D00246" w:rsidRDefault="00802C80" w:rsidP="00802C80">
      <w:pPr>
        <w:pStyle w:val="ECHRParaQuote"/>
      </w:pPr>
      <w:r w:rsidRPr="00D00246">
        <w:lastRenderedPageBreak/>
        <w:t>c) z jakiejkolwiek innej przyczyny ustalonej przez Trybunał nie jest uzasadnione dalsze rozpatrywanie skargi.</w:t>
      </w:r>
    </w:p>
    <w:p w14:paraId="65B893F9" w14:textId="77777777" w:rsidR="00802C80" w:rsidRPr="00D00246" w:rsidRDefault="00802C80" w:rsidP="00802C80">
      <w:pPr>
        <w:pStyle w:val="ECHRParaQuote"/>
      </w:pPr>
      <w:r w:rsidRPr="00D00246">
        <w:t>Jednakże Trybunał kontynuuje rozpatrywanie skargi, jeśli wymaga tego poszanowanie praw człowieka w rozumieniu niniejszej konwencji i jej protokołów”</w:t>
      </w:r>
    </w:p>
    <w:p w14:paraId="7511A466" w14:textId="77777777" w:rsidR="00802C80" w:rsidRPr="00D00246" w:rsidRDefault="00802C80" w:rsidP="00802C80">
      <w:pPr>
        <w:pStyle w:val="ECHRParaQuote"/>
      </w:pPr>
      <w:r w:rsidRPr="00D00246">
        <w:t>(…).</w:t>
      </w:r>
    </w:p>
    <w:p w14:paraId="40DCE14E" w14:textId="61A7F7BC" w:rsidR="00802C80" w:rsidRPr="00082846" w:rsidRDefault="00A3591C" w:rsidP="00802C80">
      <w:pPr>
        <w:pStyle w:val="ECHRPara"/>
      </w:pPr>
      <w:r>
        <w:rPr>
          <w:noProof/>
        </w:rPr>
        <w:t>69</w:t>
      </w:r>
      <w:r w:rsidR="00802C80" w:rsidRPr="00082846">
        <w:t>.</w:t>
      </w:r>
      <w:r w:rsidR="005F47D9">
        <w:t xml:space="preserve"> </w:t>
      </w:r>
      <w:r w:rsidR="00802C80" w:rsidRPr="00082846">
        <w:t>Pismem z dnia 30 stycznia 2015 r. przedstawiciel skarżących poinformował Trybunał, że nie ma już kontaktu z trzecią skarżącą. Jego zdaniem przeniosła się ona do Szwajcarii, jednak nie był w stanie uzyskać jej instrukcji co do uwag Rządu.</w:t>
      </w:r>
    </w:p>
    <w:p w14:paraId="74BC37BD" w14:textId="0A40E90D" w:rsidR="00802C80" w:rsidRPr="00082846" w:rsidRDefault="00A3591C" w:rsidP="00802C80">
      <w:pPr>
        <w:pStyle w:val="ECHRPara"/>
      </w:pPr>
      <w:r>
        <w:rPr>
          <w:noProof/>
        </w:rPr>
        <w:t>70</w:t>
      </w:r>
      <w:r w:rsidR="00802C80" w:rsidRPr="00082846">
        <w:t>.</w:t>
      </w:r>
      <w:r w:rsidR="005F47D9">
        <w:t xml:space="preserve"> </w:t>
      </w:r>
      <w:r w:rsidR="00802C80" w:rsidRPr="00082846">
        <w:t xml:space="preserve">Rząd nie </w:t>
      </w:r>
      <w:r w:rsidR="002C527F" w:rsidRPr="00082846">
        <w:t>ustosunkował się do tej kwestii</w:t>
      </w:r>
      <w:r w:rsidR="00802C80" w:rsidRPr="00082846">
        <w:t>.</w:t>
      </w:r>
    </w:p>
    <w:p w14:paraId="73B335A8" w14:textId="6AE46242" w:rsidR="00802C80" w:rsidRPr="003D7F25" w:rsidRDefault="00A3591C" w:rsidP="00802C80">
      <w:pPr>
        <w:pStyle w:val="ECHRPara"/>
      </w:pPr>
      <w:r>
        <w:rPr>
          <w:noProof/>
        </w:rPr>
        <w:t>71</w:t>
      </w:r>
      <w:r w:rsidR="00802C80" w:rsidRPr="00082846">
        <w:t>.</w:t>
      </w:r>
      <w:r w:rsidR="005F47D9">
        <w:t xml:space="preserve"> </w:t>
      </w:r>
      <w:r w:rsidR="00802C80" w:rsidRPr="00082846">
        <w:t xml:space="preserve">Zdaniem Trybunału brak poinformowania przez trzecią skarżącą </w:t>
      </w:r>
      <w:r w:rsidR="002C527F" w:rsidRPr="003D7F25">
        <w:t xml:space="preserve">jej </w:t>
      </w:r>
      <w:r w:rsidR="00802C80" w:rsidRPr="003D7F25">
        <w:t xml:space="preserve">przedstawiciela o miejscu pobytu traktować należy jako wskazujący na utratę zainteresowania popieraniem skargi. </w:t>
      </w:r>
      <w:r w:rsidR="002C527F" w:rsidRPr="001C5F9D">
        <w:t>Wprawdzie</w:t>
      </w:r>
      <w:r w:rsidR="00802C80" w:rsidRPr="001F0818">
        <w:t xml:space="preserve"> upoważniła ona Centrum AIRE do reprezentowania jej w po</w:t>
      </w:r>
      <w:r w:rsidR="00802C80" w:rsidRPr="008A47A5">
        <w:t>stępowaniu przed Trybunałem, Trybunał uważa</w:t>
      </w:r>
      <w:r w:rsidR="002C527F" w:rsidRPr="008A47A5">
        <w:t xml:space="preserve"> jednak</w:t>
      </w:r>
      <w:r w:rsidR="00802C80" w:rsidRPr="00D00246">
        <w:t xml:space="preserve">, że upoważnienie samo w sobie nie </w:t>
      </w:r>
      <w:r w:rsidR="002C527F" w:rsidRPr="00D00246">
        <w:t xml:space="preserve">uzasadnia </w:t>
      </w:r>
      <w:r w:rsidR="00802C80" w:rsidRPr="00D00246">
        <w:t xml:space="preserve">dalszego badania jej skargi. Z uwagi na niemożność nawiązania przez przedstawiciela </w:t>
      </w:r>
      <w:r w:rsidR="002C527F" w:rsidRPr="00D00246">
        <w:t xml:space="preserve">jakiegokolwiek kontaktu </w:t>
      </w:r>
      <w:r w:rsidR="00802C80" w:rsidRPr="00D00246">
        <w:t xml:space="preserve">z trzecią skarżącą Trybunał uznaje, że Centrum AIRE nie może </w:t>
      </w:r>
      <w:r w:rsidR="002C527F" w:rsidRPr="00D00246">
        <w:t xml:space="preserve">w sposób konstruktywny </w:t>
      </w:r>
      <w:r w:rsidR="00802C80" w:rsidRPr="00D00246">
        <w:t>uczestniczyć w postępowaniu (</w:t>
      </w:r>
      <w:r w:rsidR="001C5F9D" w:rsidRPr="00076546">
        <w:t>zob.</w:t>
      </w:r>
      <w:r w:rsidR="001C5F9D">
        <w:rPr>
          <w:i/>
        </w:rPr>
        <w:t xml:space="preserve"> </w:t>
      </w:r>
      <w:r w:rsidR="00802C80" w:rsidRPr="0013325B">
        <w:rPr>
          <w:i/>
        </w:rPr>
        <w:t xml:space="preserve">V.M. i Inni </w:t>
      </w:r>
      <w:r w:rsidR="00802C80" w:rsidRPr="00036045">
        <w:rPr>
          <w:i/>
        </w:rPr>
        <w:t>p-ko Belgii</w:t>
      </w:r>
      <w:r w:rsidR="00802C80" w:rsidRPr="0013325B">
        <w:t xml:space="preserve"> [W</w:t>
      </w:r>
      <w:r w:rsidR="002C527F" w:rsidRPr="0013325B">
        <w:t>I</w:t>
      </w:r>
      <w:r w:rsidR="00802C80" w:rsidRPr="0013325B">
        <w:t xml:space="preserve">], nr 60125/11, </w:t>
      </w:r>
      <w:r w:rsidR="002C527F" w:rsidRPr="00076546" w:rsidDel="00C91ACE">
        <w:t>§</w:t>
      </w:r>
      <w:r w:rsidR="00802C80" w:rsidRPr="00082846">
        <w:t xml:space="preserve"> 36, 17 listopada 2016 r.</w:t>
      </w:r>
      <w:r w:rsidR="002C527F" w:rsidRPr="00082846">
        <w:t>,</w:t>
      </w:r>
      <w:r w:rsidR="00802C80" w:rsidRPr="00082846">
        <w:t xml:space="preserve"> z dalszymi odniesieniami).</w:t>
      </w:r>
    </w:p>
    <w:p w14:paraId="3D1E72BB" w14:textId="7EFBC70F" w:rsidR="00802C80" w:rsidRPr="001C5F9D" w:rsidRDefault="00A3591C" w:rsidP="00802C80">
      <w:pPr>
        <w:pStyle w:val="ECHRPara"/>
      </w:pPr>
      <w:r>
        <w:rPr>
          <w:noProof/>
        </w:rPr>
        <w:t>72</w:t>
      </w:r>
      <w:r w:rsidR="00802C80" w:rsidRPr="00082846">
        <w:t>.</w:t>
      </w:r>
      <w:r w:rsidR="005F47D9">
        <w:t xml:space="preserve"> </w:t>
      </w:r>
      <w:r w:rsidR="00802C80" w:rsidRPr="00082846">
        <w:t xml:space="preserve">W tym stanie rzeczy Trybunał </w:t>
      </w:r>
      <w:r w:rsidR="002C527F" w:rsidRPr="00082846">
        <w:t>stwierdza</w:t>
      </w:r>
      <w:r w:rsidR="00802C80" w:rsidRPr="00082846">
        <w:t>, że dalsze badanie skargi trzeciej skarżącej nie jest uzasadnione. W związku z tym Trybunał konkluduje, że trzecią skarżącą należy traktować jako niezain</w:t>
      </w:r>
      <w:r w:rsidR="00802C80" w:rsidRPr="003D7F25">
        <w:t xml:space="preserve">teresowaną </w:t>
      </w:r>
      <w:r w:rsidR="00442A97" w:rsidRPr="001C5F9D">
        <w:t xml:space="preserve">dłużej </w:t>
      </w:r>
      <w:r w:rsidR="00802C80" w:rsidRPr="001C5F9D">
        <w:t xml:space="preserve">popieraniem wniesionej przez </w:t>
      </w:r>
      <w:r w:rsidR="00442A97" w:rsidRPr="001F0818">
        <w:t xml:space="preserve">nią </w:t>
      </w:r>
      <w:r w:rsidR="00802C80" w:rsidRPr="001F0818">
        <w:t xml:space="preserve">skargi w rozumieniu art. 37 ust. 1 </w:t>
      </w:r>
      <w:r w:rsidR="00442A97" w:rsidRPr="001F0818">
        <w:t xml:space="preserve">lit. a </w:t>
      </w:r>
      <w:r w:rsidR="00802C80" w:rsidRPr="001F0818">
        <w:t>Konwencji (</w:t>
      </w:r>
      <w:r w:rsidR="001C5F9D">
        <w:t>zob.</w:t>
      </w:r>
      <w:r w:rsidR="00442A97" w:rsidRPr="0013325B">
        <w:t xml:space="preserve">, </w:t>
      </w:r>
      <w:r w:rsidR="00442A97" w:rsidRPr="00076546">
        <w:rPr>
          <w:i/>
        </w:rPr>
        <w:t>mutatis mutandis,</w:t>
      </w:r>
      <w:r w:rsidR="00802C80" w:rsidRPr="00082846">
        <w:t xml:space="preserve"> </w:t>
      </w:r>
      <w:r w:rsidR="00802C80" w:rsidRPr="003D7F25">
        <w:rPr>
          <w:i/>
        </w:rPr>
        <w:t>Chirino p-ko Niderlandom</w:t>
      </w:r>
      <w:r w:rsidR="00802C80" w:rsidRPr="003D7F25">
        <w:t xml:space="preserve"> (</w:t>
      </w:r>
      <w:r w:rsidR="00442A97" w:rsidRPr="003D7F25">
        <w:t>dec.</w:t>
      </w:r>
      <w:r w:rsidR="00802C80" w:rsidRPr="003D7F25">
        <w:t>), nr 31898/04, 4 maja 2006 r.,</w:t>
      </w:r>
      <w:r w:rsidR="00802C80" w:rsidRPr="003D7F25">
        <w:rPr>
          <w:i/>
        </w:rPr>
        <w:t xml:space="preserve"> </w:t>
      </w:r>
      <w:r w:rsidR="00442A97" w:rsidRPr="003D7F25">
        <w:t>oraz</w:t>
      </w:r>
      <w:r w:rsidR="00802C80" w:rsidRPr="003D7F25">
        <w:t xml:space="preserve"> </w:t>
      </w:r>
      <w:r w:rsidR="00802C80" w:rsidRPr="001C5F9D">
        <w:rPr>
          <w:i/>
        </w:rPr>
        <w:t>Noor Mohammed p-ko Niderlandom</w:t>
      </w:r>
      <w:r w:rsidR="00802C80" w:rsidRPr="001C5F9D">
        <w:t xml:space="preserve"> (</w:t>
      </w:r>
      <w:r w:rsidR="00442A97" w:rsidRPr="001C5F9D">
        <w:t>dec.</w:t>
      </w:r>
      <w:r w:rsidR="00802C80" w:rsidRPr="001C5F9D">
        <w:t>), nr 14029/04, 27 marca 2008 r.).</w:t>
      </w:r>
    </w:p>
    <w:p w14:paraId="54243DC8" w14:textId="0DC12833" w:rsidR="00802C80" w:rsidRPr="00082846" w:rsidRDefault="00A3591C" w:rsidP="00802C80">
      <w:pPr>
        <w:pStyle w:val="ECHRPara"/>
        <w:keepNext/>
        <w:keepLines/>
      </w:pPr>
      <w:r>
        <w:rPr>
          <w:noProof/>
        </w:rPr>
        <w:t>73</w:t>
      </w:r>
      <w:r w:rsidR="00802C80" w:rsidRPr="00082846">
        <w:t>.</w:t>
      </w:r>
      <w:r w:rsidR="005F47D9">
        <w:t xml:space="preserve"> </w:t>
      </w:r>
      <w:r w:rsidR="00802C80" w:rsidRPr="00082846">
        <w:t xml:space="preserve">Trybunał zauważa również, że trzecia skarżąca </w:t>
      </w:r>
      <w:r w:rsidR="00442A97" w:rsidRPr="00082846">
        <w:t xml:space="preserve">przytoczyła </w:t>
      </w:r>
      <w:r w:rsidR="00802C80" w:rsidRPr="003D7F25">
        <w:t xml:space="preserve">te same zarzuty, co pozostałe dwie skarżące w niniejszej sprawie, które to zarzuty Trybunał zbada poniżej. Stosownie zatem do art. 37 ust. 1 </w:t>
      </w:r>
      <w:r w:rsidR="00802C80" w:rsidRPr="003D7F25">
        <w:rPr>
          <w:i/>
        </w:rPr>
        <w:t>in fine</w:t>
      </w:r>
      <w:r w:rsidR="00802C80" w:rsidRPr="003D7F25">
        <w:t xml:space="preserve"> Trybunał nie</w:t>
      </w:r>
      <w:r w:rsidR="00802C80" w:rsidRPr="001C5F9D">
        <w:t xml:space="preserve"> dostrzega powodów odnoszących się do przestrzegania praw człowieka</w:t>
      </w:r>
      <w:r w:rsidR="00442A97" w:rsidRPr="001F0818">
        <w:t xml:space="preserve"> na gruncie</w:t>
      </w:r>
      <w:r w:rsidR="00802C80" w:rsidRPr="001F0818">
        <w:t xml:space="preserve"> Konwencji i </w:t>
      </w:r>
      <w:r w:rsidR="00442A97" w:rsidRPr="001F0818">
        <w:t>jej p</w:t>
      </w:r>
      <w:r w:rsidR="00802C80" w:rsidRPr="001F0818">
        <w:t>rotokoł</w:t>
      </w:r>
      <w:r w:rsidR="009B6C86">
        <w:t>ów</w:t>
      </w:r>
      <w:r w:rsidR="00802C80" w:rsidRPr="001F0818">
        <w:t xml:space="preserve">, które </w:t>
      </w:r>
      <w:r w:rsidR="00442A97" w:rsidRPr="008A47A5">
        <w:t xml:space="preserve">zobowiązywałyby Trybunał do </w:t>
      </w:r>
      <w:r w:rsidR="00802C80" w:rsidRPr="008A47A5">
        <w:t>dalszego badania skargi (</w:t>
      </w:r>
      <w:r w:rsidR="001C5F9D" w:rsidRPr="00076546">
        <w:t>zob</w:t>
      </w:r>
      <w:r w:rsidR="001C5F9D">
        <w:rPr>
          <w:i/>
        </w:rPr>
        <w:t xml:space="preserve">. </w:t>
      </w:r>
      <w:r w:rsidR="00802C80" w:rsidRPr="0013325B">
        <w:rPr>
          <w:i/>
        </w:rPr>
        <w:t>Denizci i Inni p-ko Cyprowi</w:t>
      </w:r>
      <w:r w:rsidR="00802C80" w:rsidRPr="0013325B">
        <w:t xml:space="preserve">, nr 25316-25321/94 </w:t>
      </w:r>
      <w:r w:rsidR="00442A97" w:rsidRPr="0013325B">
        <w:t>oraz</w:t>
      </w:r>
      <w:r w:rsidR="00802C80" w:rsidRPr="001C5F9D">
        <w:t xml:space="preserve"> 27207/95, </w:t>
      </w:r>
      <w:r w:rsidR="00442A97" w:rsidRPr="00076546">
        <w:t>§</w:t>
      </w:r>
      <w:r w:rsidR="00802C80" w:rsidRPr="00082846">
        <w:t xml:space="preserve"> 369, </w:t>
      </w:r>
      <w:r w:rsidR="00442A97" w:rsidRPr="00082846">
        <w:t xml:space="preserve">ETPCz </w:t>
      </w:r>
      <w:r w:rsidR="00802C80" w:rsidRPr="00082846">
        <w:t>2001</w:t>
      </w:r>
      <w:r w:rsidR="00802C80" w:rsidRPr="00082846">
        <w:noBreakHyphen/>
        <w:t>V).</w:t>
      </w:r>
    </w:p>
    <w:p w14:paraId="0D63174C" w14:textId="391570FB" w:rsidR="00802C80" w:rsidRPr="001F0818" w:rsidRDefault="00A3591C" w:rsidP="00802C80">
      <w:pPr>
        <w:pStyle w:val="ECHRPara"/>
      </w:pPr>
      <w:r>
        <w:rPr>
          <w:noProof/>
        </w:rPr>
        <w:t>74</w:t>
      </w:r>
      <w:r w:rsidR="00802C80" w:rsidRPr="00082846">
        <w:t>.</w:t>
      </w:r>
      <w:r w:rsidR="005F47D9">
        <w:t xml:space="preserve"> </w:t>
      </w:r>
      <w:r w:rsidR="00802C80" w:rsidRPr="00082846">
        <w:t xml:space="preserve">W związku z powyższym </w:t>
      </w:r>
      <w:r w:rsidR="00442A97" w:rsidRPr="00082846">
        <w:t>T</w:t>
      </w:r>
      <w:r w:rsidR="00802C80" w:rsidRPr="00082846">
        <w:t>rybunał postan</w:t>
      </w:r>
      <w:r w:rsidR="00442A97" w:rsidRPr="00082846">
        <w:t>a</w:t>
      </w:r>
      <w:r w:rsidR="00802C80" w:rsidRPr="00082846">
        <w:t>wi</w:t>
      </w:r>
      <w:r w:rsidR="00442A97" w:rsidRPr="00082846">
        <w:t>a</w:t>
      </w:r>
      <w:r w:rsidR="00802C80" w:rsidRPr="00082846">
        <w:t xml:space="preserve"> skreślić skargę trzeciej skarżącej z listy spraw. W kolejnych częściach niniejszego wyroku </w:t>
      </w:r>
      <w:r w:rsidR="00442A97" w:rsidRPr="003D7F25">
        <w:t xml:space="preserve">przez </w:t>
      </w:r>
      <w:r w:rsidR="00802C80" w:rsidRPr="003D7F25">
        <w:t xml:space="preserve">wyrażenie „skarżące” należy </w:t>
      </w:r>
      <w:r w:rsidR="00442A97" w:rsidRPr="003D7F25">
        <w:t>rozumieć wyłącznie</w:t>
      </w:r>
      <w:r w:rsidR="00802C80" w:rsidRPr="003D7F25">
        <w:t xml:space="preserve"> pierwsz</w:t>
      </w:r>
      <w:r w:rsidR="00442A97" w:rsidRPr="001C5F9D">
        <w:t>ą</w:t>
      </w:r>
      <w:r w:rsidR="00802C80" w:rsidRPr="001F0818">
        <w:t xml:space="preserve"> i </w:t>
      </w:r>
      <w:r w:rsidR="00442A97" w:rsidRPr="001F0818">
        <w:t xml:space="preserve">drugą </w:t>
      </w:r>
      <w:r w:rsidR="00802C80" w:rsidRPr="001F0818">
        <w:t>skarżąc</w:t>
      </w:r>
      <w:r w:rsidR="00442A97" w:rsidRPr="001F0818">
        <w:t>ą</w:t>
      </w:r>
      <w:r w:rsidR="00802C80" w:rsidRPr="001F0818">
        <w:t>.</w:t>
      </w:r>
    </w:p>
    <w:p w14:paraId="2D8178D5" w14:textId="069C15A5" w:rsidR="00802C80" w:rsidRPr="008A47A5" w:rsidRDefault="00802C80" w:rsidP="00802C80">
      <w:pPr>
        <w:pStyle w:val="ECHRHeading1"/>
      </w:pPr>
      <w:r w:rsidRPr="008A47A5">
        <w:t>II.</w:t>
      </w:r>
      <w:r w:rsidR="005F47D9">
        <w:t xml:space="preserve"> </w:t>
      </w:r>
      <w:r w:rsidR="00EA3610">
        <w:t>ZARZUC</w:t>
      </w:r>
      <w:r w:rsidRPr="008A47A5">
        <w:t>ANE NARUSZENIE ART. 4 KONWENCJI</w:t>
      </w:r>
    </w:p>
    <w:p w14:paraId="5B053C06" w14:textId="1AE8A7F4" w:rsidR="00802C80" w:rsidRPr="00082846" w:rsidRDefault="00A3591C" w:rsidP="00802C80">
      <w:pPr>
        <w:pStyle w:val="ECHRPara"/>
      </w:pPr>
      <w:r>
        <w:rPr>
          <w:noProof/>
        </w:rPr>
        <w:t>75</w:t>
      </w:r>
      <w:r w:rsidR="00802C80" w:rsidRPr="00082846">
        <w:t>.</w:t>
      </w:r>
      <w:r w:rsidR="005F47D9">
        <w:t xml:space="preserve"> </w:t>
      </w:r>
      <w:r w:rsidR="00802C80" w:rsidRPr="00082846">
        <w:t xml:space="preserve">Skarżące zarzucają, że były poddane pracy przymusowej i handlowi ludźmi oraz że władze austriackie nie wywiązały się ze swoich </w:t>
      </w:r>
      <w:r w:rsidR="00802C80" w:rsidRPr="00082846">
        <w:lastRenderedPageBreak/>
        <w:t xml:space="preserve">pozytywnych obowiązków wynikających z proceduralnej </w:t>
      </w:r>
      <w:r w:rsidR="00442A97" w:rsidRPr="00082846">
        <w:t xml:space="preserve">części </w:t>
      </w:r>
      <w:r w:rsidR="00802C80" w:rsidRPr="00082846">
        <w:t>art. 4 Konwencji.</w:t>
      </w:r>
    </w:p>
    <w:p w14:paraId="72DC984E" w14:textId="4B8066FD" w:rsidR="00802C80" w:rsidRPr="00082846" w:rsidRDefault="00A3591C" w:rsidP="00802C80">
      <w:pPr>
        <w:pStyle w:val="ECHRPara"/>
      </w:pPr>
      <w:r>
        <w:rPr>
          <w:noProof/>
        </w:rPr>
        <w:t>76</w:t>
      </w:r>
      <w:r w:rsidR="00802C80" w:rsidRPr="00082846">
        <w:t>.</w:t>
      </w:r>
      <w:r w:rsidR="005F47D9">
        <w:t xml:space="preserve"> </w:t>
      </w:r>
      <w:r w:rsidR="00802C80" w:rsidRPr="00082846">
        <w:t>Istotne części art. 4 stanowią:</w:t>
      </w:r>
    </w:p>
    <w:p w14:paraId="13CBD848" w14:textId="17FBDB45" w:rsidR="00802C80" w:rsidRPr="003D7F25" w:rsidRDefault="00802C80" w:rsidP="00802C80">
      <w:pPr>
        <w:pStyle w:val="ECHRParaQuote"/>
      </w:pPr>
      <w:r w:rsidRPr="003D7F25">
        <w:t>„1.</w:t>
      </w:r>
      <w:r w:rsidR="005F47D9">
        <w:t xml:space="preserve"> </w:t>
      </w:r>
      <w:r w:rsidRPr="003D7F25">
        <w:t>Nikt nie może być trzymany w niewoli lub w poddaństwie.</w:t>
      </w:r>
    </w:p>
    <w:p w14:paraId="0E3503DF" w14:textId="34179400" w:rsidR="00802C80" w:rsidRPr="001F0818" w:rsidRDefault="00802C80" w:rsidP="00802C80">
      <w:pPr>
        <w:pStyle w:val="ECHRParaQuote"/>
      </w:pPr>
      <w:r w:rsidRPr="001C5F9D">
        <w:t>2.</w:t>
      </w:r>
      <w:r w:rsidR="005F47D9">
        <w:t xml:space="preserve"> </w:t>
      </w:r>
      <w:r w:rsidRPr="001C5F9D">
        <w:t>Nikt nie może być zmuszony do świadczenia pracy przy</w:t>
      </w:r>
      <w:r w:rsidRPr="001F0818">
        <w:t>musowej lub obowiązkowej”</w:t>
      </w:r>
    </w:p>
    <w:p w14:paraId="22E240F4" w14:textId="77777777" w:rsidR="00802C80" w:rsidRPr="008A47A5" w:rsidRDefault="00802C80" w:rsidP="00802C80">
      <w:pPr>
        <w:pStyle w:val="ECHRParaQuote"/>
      </w:pPr>
      <w:r w:rsidRPr="008A47A5">
        <w:t>(…).</w:t>
      </w:r>
    </w:p>
    <w:p w14:paraId="5CE29A4B" w14:textId="079584BE" w:rsidR="00802C80" w:rsidRPr="00D00246" w:rsidRDefault="00802C80" w:rsidP="00802C80">
      <w:pPr>
        <w:pStyle w:val="ECHRHeading2"/>
      </w:pPr>
      <w:r w:rsidRPr="00D00246">
        <w:t>A.</w:t>
      </w:r>
      <w:r w:rsidR="005F47D9">
        <w:t xml:space="preserve"> </w:t>
      </w:r>
      <w:r w:rsidRPr="00D00246">
        <w:t>Dopuszczalność</w:t>
      </w:r>
    </w:p>
    <w:p w14:paraId="7C461E49" w14:textId="0E121E1B" w:rsidR="00802C80" w:rsidRPr="00D00246" w:rsidRDefault="00802C80" w:rsidP="00802C80">
      <w:pPr>
        <w:pStyle w:val="ECHRHeading3"/>
      </w:pPr>
      <w:r w:rsidRPr="00D00246">
        <w:t>1.</w:t>
      </w:r>
      <w:r w:rsidR="005F47D9">
        <w:t xml:space="preserve"> </w:t>
      </w:r>
      <w:r w:rsidRPr="00D00246">
        <w:t>Stanowiska stron</w:t>
      </w:r>
    </w:p>
    <w:p w14:paraId="2904DE11" w14:textId="6819A44F" w:rsidR="00802C80" w:rsidRPr="00D00246" w:rsidRDefault="00802C80" w:rsidP="00802C80">
      <w:pPr>
        <w:pStyle w:val="ECHRHeading4"/>
      </w:pPr>
      <w:r w:rsidRPr="00D00246">
        <w:t>a)</w:t>
      </w:r>
      <w:r w:rsidR="005F47D9">
        <w:t xml:space="preserve"> </w:t>
      </w:r>
      <w:r w:rsidRPr="00D00246">
        <w:t>Rząd</w:t>
      </w:r>
    </w:p>
    <w:p w14:paraId="3AC7FC48" w14:textId="64196B63" w:rsidR="00802C80" w:rsidRPr="001C5F9D" w:rsidRDefault="00A3591C" w:rsidP="00802C80">
      <w:pPr>
        <w:pStyle w:val="ECHRPara"/>
      </w:pPr>
      <w:r>
        <w:rPr>
          <w:noProof/>
        </w:rPr>
        <w:t>77</w:t>
      </w:r>
      <w:r w:rsidR="00802C80" w:rsidRPr="00082846">
        <w:t>.</w:t>
      </w:r>
      <w:r w:rsidR="005F47D9">
        <w:t xml:space="preserve"> </w:t>
      </w:r>
      <w:r w:rsidR="00442A97" w:rsidRPr="00082846">
        <w:t>W</w:t>
      </w:r>
      <w:r w:rsidR="00802C80" w:rsidRPr="00082846">
        <w:t xml:space="preserve"> pierwszej kolejności </w:t>
      </w:r>
      <w:r w:rsidR="00442A97" w:rsidRPr="00082846">
        <w:t xml:space="preserve">Rząd </w:t>
      </w:r>
      <w:r w:rsidR="00802C80" w:rsidRPr="00082846">
        <w:t xml:space="preserve">podniósł, że wydaje się, jakoby skarżące nie dochowały sześciomiesięcznego terminu wynikającego z art. 35 ust. 1 Konwencji. </w:t>
      </w:r>
      <w:r w:rsidR="00442A97" w:rsidRPr="003D7F25">
        <w:t>S</w:t>
      </w:r>
      <w:r w:rsidR="00802C80" w:rsidRPr="003D7F25">
        <w:t>twierdził</w:t>
      </w:r>
      <w:r w:rsidR="00442A97" w:rsidRPr="003D7F25">
        <w:t xml:space="preserve"> on</w:t>
      </w:r>
      <w:r w:rsidR="00802C80" w:rsidRPr="003D7F25">
        <w:t xml:space="preserve">, że </w:t>
      </w:r>
      <w:r w:rsidR="00442A97" w:rsidRPr="003D7F25">
        <w:t xml:space="preserve">prawomocne </w:t>
      </w:r>
      <w:r w:rsidR="00802C80" w:rsidRPr="001C5F9D">
        <w:t>orzeczenie krajowe zostało wydane przez Sąd Okręgowy w Wiedniu dnia 16 marca 2012 r. (</w:t>
      </w:r>
      <w:r w:rsidR="001C5F9D">
        <w:t xml:space="preserve">zob. </w:t>
      </w:r>
      <w:r w:rsidR="00802C80" w:rsidRPr="0013325B">
        <w:t xml:space="preserve">paragraf 30 powyżej), zaś skarga do Trybunału </w:t>
      </w:r>
      <w:r w:rsidR="00442A97" w:rsidRPr="001C5F9D">
        <w:t xml:space="preserve">opatrzona była datą </w:t>
      </w:r>
      <w:r w:rsidR="00802C80" w:rsidRPr="001C5F9D">
        <w:t>2 listopada 2012 r. Dochowanie terminu jest zatem wątpliwe.</w:t>
      </w:r>
    </w:p>
    <w:p w14:paraId="25262249" w14:textId="777EBA5D" w:rsidR="00802C80" w:rsidRPr="0013325B" w:rsidRDefault="00A3591C" w:rsidP="00802C80">
      <w:pPr>
        <w:pStyle w:val="ECHRPara"/>
      </w:pPr>
      <w:r>
        <w:rPr>
          <w:noProof/>
        </w:rPr>
        <w:t>78</w:t>
      </w:r>
      <w:r w:rsidR="00802C80" w:rsidRPr="00082846">
        <w:t>.</w:t>
      </w:r>
      <w:r w:rsidR="005F47D9">
        <w:t xml:space="preserve"> </w:t>
      </w:r>
      <w:r w:rsidR="00802C80" w:rsidRPr="00082846">
        <w:t xml:space="preserve">W drugiej kolejności Rząd </w:t>
      </w:r>
      <w:r w:rsidR="00442A97" w:rsidRPr="00082846">
        <w:t>podniósł</w:t>
      </w:r>
      <w:r w:rsidR="00802C80" w:rsidRPr="00082846">
        <w:t xml:space="preserve">, że sprawa powinna być uznana za niedopuszczalną ze względu na brak wyczerpania krajowych </w:t>
      </w:r>
      <w:r w:rsidR="002C442C" w:rsidRPr="00082846">
        <w:t xml:space="preserve">środków </w:t>
      </w:r>
      <w:r w:rsidR="002C442C">
        <w:t xml:space="preserve">odwoławczych, </w:t>
      </w:r>
      <w:r w:rsidR="00802C80" w:rsidRPr="00082846">
        <w:t>jako że skarżące nie wystąpiły w trybie art. 363</w:t>
      </w:r>
      <w:r w:rsidR="00442A97" w:rsidRPr="003D7F25">
        <w:t>a</w:t>
      </w:r>
      <w:r w:rsidR="00802C80" w:rsidRPr="003D7F25">
        <w:t xml:space="preserve"> k.p.k. (</w:t>
      </w:r>
      <w:r w:rsidR="008A47A5">
        <w:t xml:space="preserve">zob. </w:t>
      </w:r>
      <w:r w:rsidR="00802C80" w:rsidRPr="0013325B">
        <w:t>paragraf 41 powyżej) ze skargą o wznowienie postępowania karnego zakończonego wyrokiem Okręgowego Sądu Karnego w Wiedniu z dnia 16 marca 2012 r.</w:t>
      </w:r>
    </w:p>
    <w:p w14:paraId="42FE12FA" w14:textId="1A4AA40A" w:rsidR="00802C80" w:rsidRPr="00D00246" w:rsidRDefault="00A3591C" w:rsidP="00802C80">
      <w:pPr>
        <w:pStyle w:val="ECHRPara"/>
      </w:pPr>
      <w:r>
        <w:rPr>
          <w:noProof/>
        </w:rPr>
        <w:t>79</w:t>
      </w:r>
      <w:r w:rsidR="00802C80" w:rsidRPr="00082846">
        <w:t>.</w:t>
      </w:r>
      <w:r w:rsidR="005F47D9">
        <w:t xml:space="preserve"> </w:t>
      </w:r>
      <w:r w:rsidR="00802C80" w:rsidRPr="00082846">
        <w:t xml:space="preserve">Odnosząc się do utrwalonego orzecznictwa Sądu Najwyższego, począwszy od orzeczenia z dnia 1 sierpnia 2007 r. (sygn. </w:t>
      </w:r>
      <w:r w:rsidR="00442A97" w:rsidRPr="00082846">
        <w:t xml:space="preserve">akt </w:t>
      </w:r>
      <w:r w:rsidR="00802C80" w:rsidRPr="00082846">
        <w:t xml:space="preserve">13 Os 135/06m — </w:t>
      </w:r>
      <w:r w:rsidR="001C5F9D">
        <w:t xml:space="preserve">zob. </w:t>
      </w:r>
      <w:r w:rsidR="00802C80" w:rsidRPr="003D7F25">
        <w:t xml:space="preserve">paragraf 42 powyżej), </w:t>
      </w:r>
      <w:r w:rsidR="009C2CB9">
        <w:t>Rząd wywodził, że skarga o </w:t>
      </w:r>
      <w:r w:rsidR="00802C80" w:rsidRPr="003D7F25">
        <w:t>wznowienie postępowania w trybie art. 363</w:t>
      </w:r>
      <w:r w:rsidR="00802C80" w:rsidRPr="001C5F9D">
        <w:t xml:space="preserve">a k.p.k. stanowi skuteczny środek </w:t>
      </w:r>
      <w:r w:rsidR="00442A97" w:rsidRPr="001C5F9D">
        <w:t>krajowy</w:t>
      </w:r>
      <w:r w:rsidR="00802C80" w:rsidRPr="001C5F9D">
        <w:t xml:space="preserve"> w rozumieniu art. 13 Konwencji. Skarżące mogły podnieść zarz</w:t>
      </w:r>
      <w:r w:rsidR="00802C80" w:rsidRPr="001F0818">
        <w:t>ut naruszenia praw konwencyjnych i wnieść</w:t>
      </w:r>
      <w:r w:rsidR="00442A97" w:rsidRPr="001F0818">
        <w:t xml:space="preserve"> do</w:t>
      </w:r>
      <w:r w:rsidR="00802C80" w:rsidRPr="001F0818">
        <w:t xml:space="preserve"> Sąd</w:t>
      </w:r>
      <w:r w:rsidR="00442A97" w:rsidRPr="001F0818">
        <w:t>u</w:t>
      </w:r>
      <w:r w:rsidR="00802C80" w:rsidRPr="001F0818">
        <w:t xml:space="preserve"> Najwyższ</w:t>
      </w:r>
      <w:r w:rsidR="00442A97" w:rsidRPr="008A47A5">
        <w:t>ego o</w:t>
      </w:r>
      <w:r w:rsidR="009C2CB9">
        <w:t> </w:t>
      </w:r>
      <w:r w:rsidR="00442A97" w:rsidRPr="008A47A5">
        <w:t xml:space="preserve">nakazanie dalszego prowadzenia </w:t>
      </w:r>
      <w:r w:rsidR="00802C80" w:rsidRPr="00D00246">
        <w:t xml:space="preserve">postępowania przygotowawczego. Złożenie takiej skargi doprowadziłoby do wszechstronnego zbadania zgodności </w:t>
      </w:r>
      <w:r w:rsidR="00FC3620" w:rsidRPr="00D00246">
        <w:t xml:space="preserve">orzeczenia </w:t>
      </w:r>
      <w:r w:rsidR="00802C80" w:rsidRPr="00D00246">
        <w:t xml:space="preserve">z prawami konwencyjnymi, mogąc </w:t>
      </w:r>
      <w:r w:rsidR="00FC3620" w:rsidRPr="00D00246">
        <w:t>do</w:t>
      </w:r>
      <w:r w:rsidR="00802C80" w:rsidRPr="00D00246">
        <w:t>prowadzić do wznowienia postępowania, a w konsekwencji do wydania nowego orzeczenia.</w:t>
      </w:r>
    </w:p>
    <w:p w14:paraId="282ACD19" w14:textId="2A0F4597" w:rsidR="00802C80" w:rsidRPr="001C5F9D" w:rsidRDefault="00A3591C" w:rsidP="00802C80">
      <w:pPr>
        <w:pStyle w:val="ECHRPara"/>
      </w:pPr>
      <w:r>
        <w:rPr>
          <w:noProof/>
        </w:rPr>
        <w:t>80</w:t>
      </w:r>
      <w:r w:rsidR="00802C80" w:rsidRPr="00082846">
        <w:t>.</w:t>
      </w:r>
      <w:r w:rsidR="005F47D9">
        <w:t xml:space="preserve"> </w:t>
      </w:r>
      <w:r w:rsidR="00802C80" w:rsidRPr="00082846">
        <w:t>Orzeczenie Sądu Najwyższego z dnia 1 sierpnia 2007 r., w którym Sąd ten uznał, że skarga o wznowienie postępowania w trybie art. 363a k.p.k. może zostać wniesiona nawet przed orzeczeniem Trybunału</w:t>
      </w:r>
      <w:r w:rsidR="00FC3620" w:rsidRPr="00082846">
        <w:t>,</w:t>
      </w:r>
      <w:r w:rsidR="00802C80" w:rsidRPr="00082846">
        <w:t xml:space="preserve"> było szeroko rozpowszechniane i omawiane</w:t>
      </w:r>
      <w:r w:rsidR="00802C80" w:rsidRPr="003D7F25">
        <w:t xml:space="preserve"> nie tylko wśród przedstawicieli doktryny, lecz również w p</w:t>
      </w:r>
      <w:r w:rsidR="00802C80" w:rsidRPr="0013325B">
        <w:t xml:space="preserve">rasie. </w:t>
      </w:r>
      <w:r w:rsidR="00FC3620" w:rsidRPr="0013325B">
        <w:t xml:space="preserve">Nadto ze </w:t>
      </w:r>
      <w:r w:rsidR="00FC3620" w:rsidRPr="001C5F9D">
        <w:t>s</w:t>
      </w:r>
      <w:r w:rsidR="00802C80" w:rsidRPr="001C5F9D">
        <w:t xml:space="preserve">tatystyk </w:t>
      </w:r>
      <w:r w:rsidR="00FC3620" w:rsidRPr="001C5F9D">
        <w:t>wynika</w:t>
      </w:r>
      <w:r w:rsidR="00802C80" w:rsidRPr="001C5F9D">
        <w:t xml:space="preserve">, że </w:t>
      </w:r>
      <w:r w:rsidR="00FC3620" w:rsidRPr="001C5F9D">
        <w:t>po ten</w:t>
      </w:r>
      <w:r w:rsidR="00802C80" w:rsidRPr="001F0818">
        <w:t xml:space="preserve"> </w:t>
      </w:r>
      <w:r w:rsidR="00FC3620" w:rsidRPr="001F0818">
        <w:t>środek faktycznie sięgnięto</w:t>
      </w:r>
      <w:r w:rsidR="00802C80" w:rsidRPr="001F0818">
        <w:t xml:space="preserve">: 37 razy w </w:t>
      </w:r>
      <w:r w:rsidR="009C2CB9">
        <w:t>2011 r. i 40 razy odpowiednio w </w:t>
      </w:r>
      <w:r w:rsidR="001C5F9D">
        <w:t xml:space="preserve">latach </w:t>
      </w:r>
      <w:r w:rsidR="00802C80" w:rsidRPr="001C5F9D">
        <w:t>2012 i 2013.</w:t>
      </w:r>
    </w:p>
    <w:p w14:paraId="0D0B0E7A" w14:textId="0079EFD5" w:rsidR="00802C80" w:rsidRPr="001C5F9D" w:rsidRDefault="00A3591C" w:rsidP="00802C80">
      <w:pPr>
        <w:pStyle w:val="ECHRPara"/>
      </w:pPr>
      <w:r>
        <w:rPr>
          <w:noProof/>
        </w:rPr>
        <w:lastRenderedPageBreak/>
        <w:t>81</w:t>
      </w:r>
      <w:r w:rsidR="00802C80" w:rsidRPr="00082846">
        <w:t>.</w:t>
      </w:r>
      <w:r w:rsidR="005F47D9">
        <w:t xml:space="preserve"> </w:t>
      </w:r>
      <w:r w:rsidR="00802C80" w:rsidRPr="00082846">
        <w:t xml:space="preserve">Nadto orzeczenie Sądu Najwyższego z </w:t>
      </w:r>
      <w:r w:rsidR="002C442C">
        <w:t xml:space="preserve">dnia </w:t>
      </w:r>
      <w:r w:rsidR="00802C80" w:rsidRPr="00082846">
        <w:t xml:space="preserve">16 grudnia 2010 r. (sygn. akt 13 Os 130/10g — </w:t>
      </w:r>
      <w:r w:rsidR="001C5F9D">
        <w:t xml:space="preserve">zob. </w:t>
      </w:r>
      <w:r w:rsidR="00802C80" w:rsidRPr="00082846">
        <w:t xml:space="preserve">paragraf 43 powyżej) nie ogranicza prawa skarżących do wniesienia skargi o wznowienie postępowania, jako że odnosiło się ono jedynie do praw </w:t>
      </w:r>
      <w:r w:rsidR="00FC3620" w:rsidRPr="003D7F25">
        <w:t xml:space="preserve">pokrzywdzonych </w:t>
      </w:r>
      <w:r w:rsidR="00802C80" w:rsidRPr="003D7F25">
        <w:t>w rozumieniu art. 66 § 1 k.p.k., nie zaś do domniemanych naruszeń Konwencji.</w:t>
      </w:r>
    </w:p>
    <w:p w14:paraId="7C37225A" w14:textId="60F27F44" w:rsidR="00802C80" w:rsidRPr="001C5F9D" w:rsidRDefault="00802C80" w:rsidP="00802C80">
      <w:pPr>
        <w:pStyle w:val="ECHRHeading4"/>
      </w:pPr>
      <w:r w:rsidRPr="001C5F9D">
        <w:t>b)</w:t>
      </w:r>
      <w:r w:rsidR="005F47D9">
        <w:t xml:space="preserve"> </w:t>
      </w:r>
      <w:r w:rsidRPr="001C5F9D">
        <w:t>Skarżące</w:t>
      </w:r>
    </w:p>
    <w:p w14:paraId="6A2DD433" w14:textId="0D7E3FD1" w:rsidR="00802C80" w:rsidRPr="001C5F9D" w:rsidRDefault="00A3591C" w:rsidP="00802C80">
      <w:pPr>
        <w:pStyle w:val="ECHRPara"/>
      </w:pPr>
      <w:r>
        <w:rPr>
          <w:noProof/>
        </w:rPr>
        <w:t>82</w:t>
      </w:r>
      <w:r w:rsidR="00802C80" w:rsidRPr="00082846">
        <w:t>.</w:t>
      </w:r>
      <w:r w:rsidR="005F47D9">
        <w:t xml:space="preserve"> </w:t>
      </w:r>
      <w:r w:rsidR="00FC3620" w:rsidRPr="00082846">
        <w:t>W zakresie</w:t>
      </w:r>
      <w:r w:rsidR="00802C80" w:rsidRPr="00082846">
        <w:t xml:space="preserve"> sześciomiesięcznego</w:t>
      </w:r>
      <w:r w:rsidR="00FC3620" w:rsidRPr="00082846">
        <w:t xml:space="preserve"> terminu</w:t>
      </w:r>
      <w:r w:rsidR="00802C80" w:rsidRPr="00082846">
        <w:t xml:space="preserve"> skarżące podnoszą, że wątpliwości Rządu są błędnie umotywowane</w:t>
      </w:r>
      <w:r w:rsidR="00802C80" w:rsidRPr="00036045">
        <w:t xml:space="preserve">. </w:t>
      </w:r>
      <w:r w:rsidR="002C442C" w:rsidRPr="00036045">
        <w:t>List z zapowiedzią</w:t>
      </w:r>
      <w:r w:rsidR="00FC3620" w:rsidRPr="003D7F25">
        <w:t xml:space="preserve"> </w:t>
      </w:r>
      <w:r w:rsidR="009C2CB9">
        <w:t>nadały dnia 4 </w:t>
      </w:r>
      <w:r w:rsidR="00802C80" w:rsidRPr="003D7F25">
        <w:t>września 2012 r. Formularz skargi został przesłany faksem i poc</w:t>
      </w:r>
      <w:r w:rsidR="009C2CB9">
        <w:t>ztą dnia 5 </w:t>
      </w:r>
      <w:r w:rsidR="00802C80" w:rsidRPr="001C5F9D">
        <w:t>listopada 2012 r. zgodnie z terminem wyznaczonym przez Trybunał. Termin wynikający z art. 35 ust. 1 Konwencji został zatem zachowany.</w:t>
      </w:r>
    </w:p>
    <w:p w14:paraId="7B328BF4" w14:textId="6089FF4A" w:rsidR="00802C80" w:rsidRPr="00D00246" w:rsidRDefault="00A3591C" w:rsidP="00802C80">
      <w:pPr>
        <w:pStyle w:val="ECHRPara"/>
      </w:pPr>
      <w:r>
        <w:rPr>
          <w:noProof/>
        </w:rPr>
        <w:t>83</w:t>
      </w:r>
      <w:r w:rsidR="00802C80" w:rsidRPr="00082846">
        <w:t>.</w:t>
      </w:r>
      <w:r w:rsidR="005F47D9">
        <w:t xml:space="preserve"> </w:t>
      </w:r>
      <w:r w:rsidR="00FC3620" w:rsidRPr="00082846">
        <w:t>W zakresie</w:t>
      </w:r>
      <w:r w:rsidR="00802C80" w:rsidRPr="00082846">
        <w:t xml:space="preserve"> wyczerpania </w:t>
      </w:r>
      <w:r w:rsidR="002C442C" w:rsidRPr="00082846">
        <w:t xml:space="preserve">krajowych </w:t>
      </w:r>
      <w:r w:rsidR="00802C80" w:rsidRPr="00082846">
        <w:t>środków</w:t>
      </w:r>
      <w:r w:rsidR="002C442C">
        <w:t xml:space="preserve"> odwoławczych</w:t>
      </w:r>
      <w:r w:rsidR="00802C80" w:rsidRPr="00082846">
        <w:t xml:space="preserve"> skarżące wskazują na</w:t>
      </w:r>
      <w:r w:rsidR="00802C80" w:rsidRPr="003D7F25">
        <w:t xml:space="preserve"> wyrok Sądu Okręgowego w Wiedniu z </w:t>
      </w:r>
      <w:r w:rsidR="00FC3620" w:rsidRPr="003D7F25">
        <w:t xml:space="preserve">dnia </w:t>
      </w:r>
      <w:r w:rsidR="00802C80" w:rsidRPr="003D7F25">
        <w:t>16 marca 2012 r. (</w:t>
      </w:r>
      <w:r w:rsidR="001C5F9D">
        <w:t xml:space="preserve">zob. </w:t>
      </w:r>
      <w:r w:rsidR="00802C80" w:rsidRPr="001C5F9D">
        <w:t xml:space="preserve">paragraf 30 powyżej), w którym wyraźnie </w:t>
      </w:r>
      <w:r w:rsidR="00FC3620" w:rsidRPr="001C5F9D">
        <w:t>uznano</w:t>
      </w:r>
      <w:r w:rsidR="00802C80" w:rsidRPr="001C5F9D">
        <w:t xml:space="preserve">, że zgodnie z art. 196 § 3 k.p.k. </w:t>
      </w:r>
      <w:r w:rsidR="00FC3620" w:rsidRPr="001C5F9D">
        <w:t>od tego orzeczenia nie służy żaden</w:t>
      </w:r>
      <w:r w:rsidR="00802C80" w:rsidRPr="001C5F9D">
        <w:t xml:space="preserve"> </w:t>
      </w:r>
      <w:r w:rsidR="00FC3620" w:rsidRPr="001F0818">
        <w:t>środek zaskarżenia</w:t>
      </w:r>
      <w:r w:rsidR="00802C80" w:rsidRPr="008A47A5">
        <w:t xml:space="preserve">. Wskazuje to na wyczerpanie </w:t>
      </w:r>
      <w:r w:rsidR="00FC3620" w:rsidRPr="00D00246">
        <w:t>krajowych środków odwoławczych</w:t>
      </w:r>
      <w:r w:rsidR="00802C80" w:rsidRPr="00D00246">
        <w:t>.</w:t>
      </w:r>
    </w:p>
    <w:p w14:paraId="5D301144" w14:textId="72D146F1" w:rsidR="00802C80" w:rsidRPr="003D7F25" w:rsidRDefault="00A3591C" w:rsidP="00802C80">
      <w:pPr>
        <w:pStyle w:val="ECHRPara"/>
      </w:pPr>
      <w:r>
        <w:rPr>
          <w:noProof/>
        </w:rPr>
        <w:t>84</w:t>
      </w:r>
      <w:r w:rsidR="00802C80" w:rsidRPr="00082846">
        <w:t>.</w:t>
      </w:r>
      <w:r w:rsidR="005F47D9">
        <w:t xml:space="preserve"> </w:t>
      </w:r>
      <w:r w:rsidR="00802C80" w:rsidRPr="00082846">
        <w:t>Skarżące wywodziły, że skarga o wznowienie postępowania karnego w trybie art. 363a k.p.k. (</w:t>
      </w:r>
      <w:r w:rsidR="001C5F9D">
        <w:t xml:space="preserve">zob. </w:t>
      </w:r>
      <w:r w:rsidR="00802C80" w:rsidRPr="00082846">
        <w:t>paragraf 41 powyżej) nie stanowi skutecznego środka. Rząd nie wykazał, że proponowany środek był zarówno skuteczny jak i dostępny w teorii i praktyce w odnośnym czasie.</w:t>
      </w:r>
    </w:p>
    <w:p w14:paraId="181340B0" w14:textId="619B71D4" w:rsidR="00802C80" w:rsidRPr="001C5F9D" w:rsidRDefault="00802C80" w:rsidP="00802C80">
      <w:pPr>
        <w:pStyle w:val="ECHRHeading3"/>
      </w:pPr>
      <w:r w:rsidRPr="001C5F9D">
        <w:t>2.</w:t>
      </w:r>
      <w:r w:rsidR="005F47D9">
        <w:t xml:space="preserve"> </w:t>
      </w:r>
      <w:r w:rsidRPr="001C5F9D">
        <w:t>Ocena Trybunału</w:t>
      </w:r>
    </w:p>
    <w:p w14:paraId="35A55164" w14:textId="4DF9861C" w:rsidR="00802C80" w:rsidRPr="00D00246" w:rsidRDefault="00A3591C" w:rsidP="00802C80">
      <w:pPr>
        <w:pStyle w:val="ECHRPara"/>
      </w:pPr>
      <w:r>
        <w:t>85</w:t>
      </w:r>
      <w:r w:rsidR="00802C80" w:rsidRPr="00082846">
        <w:t>.</w:t>
      </w:r>
      <w:r w:rsidR="005F47D9">
        <w:t xml:space="preserve"> </w:t>
      </w:r>
      <w:r w:rsidR="00FC3620" w:rsidRPr="00082846">
        <w:t>W zakresie</w:t>
      </w:r>
      <w:r w:rsidR="00802C80" w:rsidRPr="00082846">
        <w:t xml:space="preserve"> twierdzenia Rządu, że skarga została wniesiona po upływie terminu przewidzianego w art. 35 ust. 1 Konwencji (</w:t>
      </w:r>
      <w:r w:rsidR="008A47A5">
        <w:t xml:space="preserve">zob. </w:t>
      </w:r>
      <w:r w:rsidR="00802C80" w:rsidRPr="003D7F25">
        <w:t>paragraf 77 powyżej), Trybunał zauważa, że pierwsza zapowiedź skargi</w:t>
      </w:r>
      <w:r w:rsidR="00FC3620" w:rsidRPr="001C5F9D">
        <w:t xml:space="preserve">, która </w:t>
      </w:r>
      <w:r w:rsidR="009C2CB9">
        <w:t>w </w:t>
      </w:r>
      <w:r w:rsidR="00802C80" w:rsidRPr="001F0818">
        <w:t xml:space="preserve">chwili wniesienia </w:t>
      </w:r>
      <w:r w:rsidR="00FC3620" w:rsidRPr="001F0818">
        <w:t>była wyst</w:t>
      </w:r>
      <w:r w:rsidR="00FC3620" w:rsidRPr="008A47A5">
        <w:t xml:space="preserve">arczająca </w:t>
      </w:r>
      <w:r w:rsidR="00802C80" w:rsidRPr="008A47A5">
        <w:t>do przerwania biegu sześciomiesięcznego terminu</w:t>
      </w:r>
      <w:r w:rsidR="00FC3620" w:rsidRPr="008A47A5">
        <w:t>,</w:t>
      </w:r>
      <w:r w:rsidR="00802C80" w:rsidRPr="008A47A5">
        <w:t xml:space="preserve"> wpłynęła do</w:t>
      </w:r>
      <w:r w:rsidR="009C2CB9">
        <w:t xml:space="preserve"> Trybunału dnia 4 września 2012 </w:t>
      </w:r>
      <w:r w:rsidR="00802C80" w:rsidRPr="008A47A5">
        <w:t>r. Ostatnie orzeczenie krajowe w sprawie doręczono pełnomocnikowi skarżących dnia 23 marca 2012 r. (</w:t>
      </w:r>
      <w:r w:rsidR="008A47A5">
        <w:t xml:space="preserve">zob. </w:t>
      </w:r>
      <w:r w:rsidR="00802C80" w:rsidRPr="008A47A5">
        <w:t xml:space="preserve">paragraf 30 </w:t>
      </w:r>
      <w:r w:rsidR="00802C80" w:rsidRPr="008A47A5">
        <w:rPr>
          <w:i/>
        </w:rPr>
        <w:t>in fine</w:t>
      </w:r>
      <w:r w:rsidR="00802C80" w:rsidRPr="008A47A5">
        <w:t xml:space="preserve"> powyżej), </w:t>
      </w:r>
      <w:r w:rsidR="009C2CB9">
        <w:t>a </w:t>
      </w:r>
      <w:r w:rsidR="00802C80" w:rsidRPr="008A47A5">
        <w:t xml:space="preserve">zatem mniej niż sześć miesięcy przed tą datą. Trybunał zatem jest przekonany, że kryterium dopuszczalności wynikające z art. 35 ust. 1 </w:t>
      </w:r>
      <w:r w:rsidR="00802C80" w:rsidRPr="00D00246">
        <w:rPr>
          <w:i/>
        </w:rPr>
        <w:t>in fine</w:t>
      </w:r>
      <w:r w:rsidR="00802C80" w:rsidRPr="00D00246">
        <w:t xml:space="preserve"> zostało </w:t>
      </w:r>
      <w:r w:rsidR="00FC3620" w:rsidRPr="00D00246">
        <w:t>spełnione</w:t>
      </w:r>
      <w:r w:rsidR="00802C80" w:rsidRPr="00D00246">
        <w:t>.</w:t>
      </w:r>
    </w:p>
    <w:p w14:paraId="22303EAC" w14:textId="641548CB" w:rsidR="00802C80" w:rsidRPr="00D00246" w:rsidRDefault="00A3591C" w:rsidP="00802C80">
      <w:pPr>
        <w:pStyle w:val="ECHRPara"/>
      </w:pPr>
      <w:r>
        <w:rPr>
          <w:noProof/>
        </w:rPr>
        <w:t>86</w:t>
      </w:r>
      <w:r w:rsidR="00802C80" w:rsidRPr="00082846">
        <w:t>.</w:t>
      </w:r>
      <w:r w:rsidR="005F47D9">
        <w:t xml:space="preserve"> </w:t>
      </w:r>
      <w:r w:rsidR="00802C80" w:rsidRPr="00082846">
        <w:t xml:space="preserve">Odnosząc się do zarzutu Rządu o niewyczerpaniu </w:t>
      </w:r>
      <w:r w:rsidR="00FC3620" w:rsidRPr="00082846">
        <w:t xml:space="preserve">krajowych </w:t>
      </w:r>
      <w:r w:rsidR="00FC3620" w:rsidRPr="003D7F25">
        <w:t xml:space="preserve">środków odwoławczych </w:t>
      </w:r>
      <w:r w:rsidR="00802C80" w:rsidRPr="003D7F25">
        <w:t>(</w:t>
      </w:r>
      <w:r w:rsidR="001C5F9D">
        <w:t xml:space="preserve">zob. </w:t>
      </w:r>
      <w:r w:rsidR="00802C80" w:rsidRPr="003D7F25">
        <w:t xml:space="preserve">paragrafy 78-81 powyżej), Trybunał zauważa, że w sprawie </w:t>
      </w:r>
      <w:r w:rsidR="00802C80" w:rsidRPr="001C5F9D">
        <w:rPr>
          <w:i/>
        </w:rPr>
        <w:t>ATV Privatfernseh-GmbH p-ko Austri</w:t>
      </w:r>
      <w:r w:rsidR="00802C80" w:rsidRPr="001C5F9D">
        <w:rPr>
          <w:i/>
          <w:iCs/>
        </w:rPr>
        <w:t>i</w:t>
      </w:r>
      <w:r w:rsidR="00802C80" w:rsidRPr="001C5F9D">
        <w:t xml:space="preserve"> (</w:t>
      </w:r>
      <w:r w:rsidR="00FC3620" w:rsidRPr="001C5F9D">
        <w:t xml:space="preserve">dec.), </w:t>
      </w:r>
      <w:r w:rsidR="00802C80" w:rsidRPr="001C5F9D">
        <w:t xml:space="preserve">nr 58842/09, </w:t>
      </w:r>
      <w:r w:rsidR="007E0E24" w:rsidRPr="00076546">
        <w:t>§§ 32-37,</w:t>
      </w:r>
      <w:r w:rsidR="007E0E24" w:rsidRPr="00082846">
        <w:t xml:space="preserve"> </w:t>
      </w:r>
      <w:r w:rsidR="00802C80" w:rsidRPr="00082846">
        <w:t xml:space="preserve">6 października 2015 r.) poddał on </w:t>
      </w:r>
      <w:r w:rsidR="007E0E24" w:rsidRPr="003D7F25">
        <w:t xml:space="preserve">szczegółowej </w:t>
      </w:r>
      <w:r w:rsidR="007E0E24" w:rsidRPr="001C5F9D">
        <w:t xml:space="preserve">analizie </w:t>
      </w:r>
      <w:r w:rsidR="00802C80" w:rsidRPr="001C5F9D">
        <w:t>kwestię, czy art. 363a k</w:t>
      </w:r>
      <w:r w:rsidR="001C5F9D">
        <w:t>.</w:t>
      </w:r>
      <w:r w:rsidR="00802C80" w:rsidRPr="001C5F9D">
        <w:t xml:space="preserve">p.k. stanowi środek </w:t>
      </w:r>
      <w:r w:rsidR="007E0E24" w:rsidRPr="001C5F9D">
        <w:t xml:space="preserve">łatwo </w:t>
      </w:r>
      <w:r w:rsidR="009C2CB9">
        <w:t>dostępny i </w:t>
      </w:r>
      <w:r w:rsidR="00802C80" w:rsidRPr="001C5F9D">
        <w:t xml:space="preserve">wystarczający do </w:t>
      </w:r>
      <w:r w:rsidR="007E0E24" w:rsidRPr="001C5F9D">
        <w:t xml:space="preserve">zrekompensowania </w:t>
      </w:r>
      <w:r w:rsidR="00802C80" w:rsidRPr="001F0818">
        <w:t>domnieman</w:t>
      </w:r>
      <w:r w:rsidR="007E0E24" w:rsidRPr="001F0818">
        <w:t>ego</w:t>
      </w:r>
      <w:r w:rsidR="00802C80" w:rsidRPr="001F0818">
        <w:t xml:space="preserve"> </w:t>
      </w:r>
      <w:r w:rsidR="007E0E24" w:rsidRPr="008A47A5">
        <w:t xml:space="preserve">naruszenia </w:t>
      </w:r>
      <w:r w:rsidR="00802C80" w:rsidRPr="008A47A5">
        <w:t xml:space="preserve">praw z art. 10 Konwencji w postępowaniu </w:t>
      </w:r>
      <w:r w:rsidR="007E0E24" w:rsidRPr="00D00246">
        <w:t xml:space="preserve">odszkodowawczym </w:t>
      </w:r>
      <w:r w:rsidR="00802C80" w:rsidRPr="00D00246">
        <w:t xml:space="preserve">z art. 7 </w:t>
      </w:r>
      <w:r w:rsidR="007E0E24" w:rsidRPr="00D00246">
        <w:t>u</w:t>
      </w:r>
      <w:r w:rsidR="009C2CB9">
        <w:t>stawy o </w:t>
      </w:r>
      <w:r w:rsidR="00802C80" w:rsidRPr="00D00246">
        <w:t xml:space="preserve">mediach. Trybunał uznał, że w okolicznościach owej sprawy skarga w trybie art. 363a k.p.k. stanowiła skuteczny i wystarczający środek, z którego skarżący miał obowiązek skorzystać. Z orzecznictwa Sądu Najwyższego wynika jednak, że pokrzywdzeni i oskarżyciele prywatni (posiłkowi), </w:t>
      </w:r>
      <w:r w:rsidR="00802C80" w:rsidRPr="00D00246">
        <w:lastRenderedPageBreak/>
        <w:t>podobnie jak oskarżyciele publiczni, nie są do tego środka uprawnieni (</w:t>
      </w:r>
      <w:r w:rsidR="001C5F9D">
        <w:t xml:space="preserve">zob. </w:t>
      </w:r>
      <w:r w:rsidR="00802C80" w:rsidRPr="001C5F9D">
        <w:rPr>
          <w:i/>
        </w:rPr>
        <w:t>Fürst-Pfeifer p-ko Austrii</w:t>
      </w:r>
      <w:r w:rsidR="00802C80" w:rsidRPr="001C5F9D">
        <w:t xml:space="preserve">, nr 33677/10 i 52340/10, </w:t>
      </w:r>
      <w:r w:rsidR="007E0E24" w:rsidRPr="00076546">
        <w:t xml:space="preserve">§ </w:t>
      </w:r>
      <w:r w:rsidR="00802C80" w:rsidRPr="00082846">
        <w:t xml:space="preserve">31, 17 maja 2016 r., </w:t>
      </w:r>
      <w:r w:rsidR="007E0E24" w:rsidRPr="00082846">
        <w:t>oraz</w:t>
      </w:r>
      <w:r w:rsidR="00802C80" w:rsidRPr="00082846">
        <w:t xml:space="preserve"> wyrok Sądu Najwyższego z dnia 10 grudnia 2010 r</w:t>
      </w:r>
      <w:r w:rsidR="00802C80" w:rsidRPr="003D7F25">
        <w:t>.,</w:t>
      </w:r>
      <w:r w:rsidR="007E0E24" w:rsidRPr="003D7F25">
        <w:t xml:space="preserve"> sygn. akt </w:t>
      </w:r>
      <w:r w:rsidR="009C2CB9">
        <w:t>13 Os </w:t>
      </w:r>
      <w:r w:rsidR="00802C80" w:rsidRPr="003D7F25">
        <w:t xml:space="preserve">130/10g, cyt. w paragrafie 43 powyżej). Rząd nie przedstawił dowodów </w:t>
      </w:r>
      <w:r w:rsidR="007E0E24" w:rsidRPr="001C5F9D">
        <w:t>świadczących o tym</w:t>
      </w:r>
      <w:r w:rsidR="00802C80" w:rsidRPr="001C5F9D">
        <w:t xml:space="preserve">, że dostępność tego środka rozciąga się również </w:t>
      </w:r>
      <w:r w:rsidR="00802C80" w:rsidRPr="001F0818">
        <w:t xml:space="preserve">na tę grupę osób. Wynika stąd, że </w:t>
      </w:r>
      <w:r w:rsidR="007E0E24" w:rsidRPr="001F0818">
        <w:t xml:space="preserve">przytoczony </w:t>
      </w:r>
      <w:r w:rsidR="00802C80" w:rsidRPr="001F0818">
        <w:t>przez Rząd zarzut niewyczerpania</w:t>
      </w:r>
      <w:r w:rsidR="00802C80" w:rsidRPr="008A47A5">
        <w:t xml:space="preserve"> drogi krajowej </w:t>
      </w:r>
      <w:r w:rsidR="007E0E24" w:rsidRPr="008A47A5">
        <w:t xml:space="preserve">nie </w:t>
      </w:r>
      <w:r w:rsidR="00802C80" w:rsidRPr="008A47A5">
        <w:t xml:space="preserve">zasługuje na </w:t>
      </w:r>
      <w:r w:rsidR="007E0E24" w:rsidRPr="00D00246">
        <w:t>uwzględnienie</w:t>
      </w:r>
      <w:r w:rsidR="00802C80" w:rsidRPr="00D00246">
        <w:t>.</w:t>
      </w:r>
    </w:p>
    <w:p w14:paraId="2FE1220E" w14:textId="6B35CB4C" w:rsidR="00802C80" w:rsidRPr="003D7F25" w:rsidRDefault="00A3591C" w:rsidP="00802C80">
      <w:pPr>
        <w:pStyle w:val="ECHRPara"/>
      </w:pPr>
      <w:r>
        <w:rPr>
          <w:noProof/>
        </w:rPr>
        <w:t>87</w:t>
      </w:r>
      <w:r w:rsidR="00802C80" w:rsidRPr="00082846">
        <w:t>.</w:t>
      </w:r>
      <w:r w:rsidR="005F47D9">
        <w:t xml:space="preserve"> </w:t>
      </w:r>
      <w:r w:rsidR="00802C80" w:rsidRPr="00082846">
        <w:t>Trybunał zauważa, że skarga niniejsza nie jest w sposób oczywisty nieuzasadniona w rozumieniu art. 35 ust. 3 lit. a Konwencji. Nadto Trybunał zauważa, że nie jest ona niedopuszczalna na żadnej innej podstawie. Należy ją zatem uznać za dopuszczalną.</w:t>
      </w:r>
    </w:p>
    <w:p w14:paraId="6AE43732" w14:textId="09C50FC9" w:rsidR="00802C80" w:rsidRPr="001C5F9D" w:rsidRDefault="00802C80" w:rsidP="00802C80">
      <w:pPr>
        <w:pStyle w:val="ECHRHeading2"/>
      </w:pPr>
      <w:r w:rsidRPr="001C5F9D">
        <w:t>B.</w:t>
      </w:r>
      <w:r w:rsidR="005F47D9">
        <w:t xml:space="preserve"> </w:t>
      </w:r>
      <w:r w:rsidRPr="001C5F9D">
        <w:t>Przedmiot skargi</w:t>
      </w:r>
    </w:p>
    <w:p w14:paraId="50265746" w14:textId="67FB3828" w:rsidR="00802C80" w:rsidRPr="001F0818" w:rsidRDefault="00802C80" w:rsidP="00802C80">
      <w:pPr>
        <w:pStyle w:val="ECHRHeading3"/>
      </w:pPr>
      <w:r w:rsidRPr="001F0818">
        <w:t>1.</w:t>
      </w:r>
      <w:r w:rsidR="005F47D9">
        <w:t xml:space="preserve"> </w:t>
      </w:r>
      <w:r w:rsidRPr="001F0818">
        <w:t>Stanowiska stron</w:t>
      </w:r>
    </w:p>
    <w:p w14:paraId="69EEF7A9" w14:textId="2BA641D5" w:rsidR="00802C80" w:rsidRPr="008A47A5" w:rsidRDefault="00802C80" w:rsidP="00802C80">
      <w:pPr>
        <w:pStyle w:val="ECHRHeading4"/>
      </w:pPr>
      <w:r w:rsidRPr="008A47A5">
        <w:t>a)</w:t>
      </w:r>
      <w:r w:rsidR="005F47D9">
        <w:t xml:space="preserve"> </w:t>
      </w:r>
      <w:r w:rsidRPr="008A47A5">
        <w:t>Skarżący</w:t>
      </w:r>
    </w:p>
    <w:p w14:paraId="0FA0096E" w14:textId="1CFE0AFE" w:rsidR="00802C80" w:rsidRPr="008A47A5" w:rsidRDefault="00A3591C" w:rsidP="00802C80">
      <w:pPr>
        <w:pStyle w:val="ECHRPara"/>
      </w:pPr>
      <w:r>
        <w:rPr>
          <w:noProof/>
        </w:rPr>
        <w:t>88</w:t>
      </w:r>
      <w:r w:rsidR="00802C80" w:rsidRPr="00082846">
        <w:t>.</w:t>
      </w:r>
      <w:r w:rsidR="005F47D9">
        <w:t xml:space="preserve"> </w:t>
      </w:r>
      <w:r w:rsidR="00802C80" w:rsidRPr="00082846">
        <w:t xml:space="preserve">Skarżące podnoszą, że wiarygodność ich zarzutów podkreśla fakt, że władze austriackie nie </w:t>
      </w:r>
      <w:r w:rsidR="00802C80" w:rsidRPr="001C5F9D">
        <w:t>uwzględniły zarzutów kradzieży</w:t>
      </w:r>
      <w:r w:rsidR="00802C80" w:rsidRPr="00082846">
        <w:t xml:space="preserve"> zgłaszanych przeciwko nim przez pracodawczynie po tym, jak funkcjonariusze policji mieli możliwość przesłuchania skarżących (</w:t>
      </w:r>
      <w:r w:rsidR="001C5F9D">
        <w:t xml:space="preserve">zob. </w:t>
      </w:r>
      <w:r w:rsidR="00802C80" w:rsidRPr="003D7F25">
        <w:t xml:space="preserve">paragraf 26 powyżej). Podkreślają one przyjęcie przez organy, że </w:t>
      </w:r>
      <w:r w:rsidR="007E0E24" w:rsidRPr="001C5F9D">
        <w:t>znęcanie się nad nimi</w:t>
      </w:r>
      <w:r w:rsidR="00802C80" w:rsidRPr="001C5F9D">
        <w:t xml:space="preserve"> </w:t>
      </w:r>
      <w:r w:rsidR="007E0E24" w:rsidRPr="001C5F9D">
        <w:t>mieściło się w definicji</w:t>
      </w:r>
      <w:r w:rsidR="00802C80" w:rsidRPr="001C5F9D">
        <w:t xml:space="preserve"> handlu ludźmi zawart</w:t>
      </w:r>
      <w:r w:rsidR="007E0E24" w:rsidRPr="001C5F9D">
        <w:t>ej</w:t>
      </w:r>
      <w:r w:rsidR="00802C80" w:rsidRPr="001C5F9D">
        <w:t xml:space="preserve"> w art. 4 i 10 Konwencji Rady Europy w sprawie</w:t>
      </w:r>
      <w:r w:rsidR="00802C80" w:rsidRPr="001F0818">
        <w:t xml:space="preserve"> działań przeciwko handlowi ludźmi oraz w wyroku Trybunału w sprawie </w:t>
      </w:r>
      <w:r w:rsidR="00802C80" w:rsidRPr="001F0818">
        <w:rPr>
          <w:i/>
        </w:rPr>
        <w:t>Rantsev p-ko Cyprowi i Rosji</w:t>
      </w:r>
      <w:r w:rsidR="00802C80" w:rsidRPr="001F0818">
        <w:t xml:space="preserve"> (nr 25965/04, </w:t>
      </w:r>
      <w:r w:rsidR="007E0E24" w:rsidRPr="008A47A5">
        <w:t xml:space="preserve">ETPCz </w:t>
      </w:r>
      <w:r w:rsidR="00802C80" w:rsidRPr="008A47A5">
        <w:t>2010 (wyciągi)).</w:t>
      </w:r>
    </w:p>
    <w:p w14:paraId="09967E2E" w14:textId="18F37F11" w:rsidR="00802C80" w:rsidRPr="001C5F9D" w:rsidRDefault="00A3591C" w:rsidP="00802C80">
      <w:pPr>
        <w:pStyle w:val="ECHRPara"/>
      </w:pPr>
      <w:r>
        <w:rPr>
          <w:noProof/>
        </w:rPr>
        <w:t>89</w:t>
      </w:r>
      <w:r w:rsidR="00802C80" w:rsidRPr="00082846">
        <w:t>.</w:t>
      </w:r>
      <w:r w:rsidR="005F47D9">
        <w:t xml:space="preserve"> </w:t>
      </w:r>
      <w:r w:rsidR="00802C80" w:rsidRPr="00082846">
        <w:t xml:space="preserve">Nadto </w:t>
      </w:r>
      <w:r w:rsidR="00802C80" w:rsidRPr="00036045">
        <w:t>oskarżyciel publiczn</w:t>
      </w:r>
      <w:r w:rsidR="009C2CB9" w:rsidRPr="00036045">
        <w:t>y</w:t>
      </w:r>
      <w:r w:rsidR="009C2CB9">
        <w:t xml:space="preserve"> oraz Sąd Okręgowy w Wiedniu w </w:t>
      </w:r>
      <w:r w:rsidR="00802C80" w:rsidRPr="00082846">
        <w:t xml:space="preserve">żadnym momencie nie kwestionowali prawdziwości zarzutów </w:t>
      </w:r>
      <w:r w:rsidR="007E0E24" w:rsidRPr="00082846">
        <w:t xml:space="preserve">dotyczących </w:t>
      </w:r>
      <w:r w:rsidR="00802C80" w:rsidRPr="003D7F25">
        <w:t xml:space="preserve">pracy przymusowej i handlu ludźmi, </w:t>
      </w:r>
      <w:r w:rsidR="007E0E24" w:rsidRPr="003D7F25">
        <w:t>a jedynie</w:t>
      </w:r>
      <w:r w:rsidR="00802C80" w:rsidRPr="003D7F25">
        <w:t xml:space="preserve"> stwierdzili, że zdarzenia, które miały mieć miejsce na terytorium Austrii, trwały zbyt krótko, aby </w:t>
      </w:r>
      <w:r w:rsidR="001C5F9D">
        <w:t>doszło do naruszenia</w:t>
      </w:r>
      <w:r w:rsidR="001C5F9D" w:rsidRPr="003D7F25">
        <w:t xml:space="preserve"> </w:t>
      </w:r>
      <w:r w:rsidR="00802C80" w:rsidRPr="003D7F25">
        <w:t>interes</w:t>
      </w:r>
      <w:r w:rsidR="001C5F9D">
        <w:t>ów</w:t>
      </w:r>
      <w:r w:rsidR="00802C80" w:rsidRPr="003D7F25">
        <w:t xml:space="preserve"> austriacki</w:t>
      </w:r>
      <w:r w:rsidR="001C5F9D">
        <w:t>ch</w:t>
      </w:r>
      <w:r w:rsidR="00802C80" w:rsidRPr="003D7F25">
        <w:t xml:space="preserve"> </w:t>
      </w:r>
      <w:r w:rsidR="00802C80" w:rsidRPr="001C5F9D">
        <w:t xml:space="preserve">na potrzeby uzyskania jurysdykcji </w:t>
      </w:r>
      <w:r w:rsidR="001C5F9D">
        <w:t>w związku z</w:t>
      </w:r>
      <w:r w:rsidR="001C5F9D" w:rsidRPr="001C5F9D">
        <w:t xml:space="preserve"> </w:t>
      </w:r>
      <w:r w:rsidR="00802C80" w:rsidRPr="001C5F9D">
        <w:t>przestępstwem.</w:t>
      </w:r>
      <w:r w:rsidR="00802C80" w:rsidRPr="00082846">
        <w:t xml:space="preserve"> Wynika stąd, że zdarzenia, które miały miejsce poza terytorium Austrii, również zostały uznane za wiarygodne. </w:t>
      </w:r>
      <w:r w:rsidR="007E0E24" w:rsidRPr="003D7F25">
        <w:t>Zdarzeń</w:t>
      </w:r>
      <w:r w:rsidR="00802C80" w:rsidRPr="003D7F25">
        <w:t xml:space="preserve">, które miały miejsce na terytorium Austrii — </w:t>
      </w:r>
      <w:r w:rsidR="001C5F9D">
        <w:t>których</w:t>
      </w:r>
      <w:r w:rsidR="00802C80" w:rsidRPr="003D7F25">
        <w:t xml:space="preserve"> Rząd w żadnym momencie</w:t>
      </w:r>
      <w:r w:rsidR="001C5F9D">
        <w:t xml:space="preserve"> nie zakwestionował</w:t>
      </w:r>
      <w:r w:rsidR="00802C80" w:rsidRPr="003D7F25">
        <w:t xml:space="preserve"> — nie </w:t>
      </w:r>
      <w:r w:rsidR="007E0E24" w:rsidRPr="001C5F9D">
        <w:t>należy</w:t>
      </w:r>
      <w:r w:rsidR="00802C80" w:rsidRPr="001C5F9D">
        <w:t xml:space="preserve"> </w:t>
      </w:r>
      <w:r w:rsidR="007E0E24" w:rsidRPr="001C5F9D">
        <w:t xml:space="preserve">postrzegać </w:t>
      </w:r>
      <w:r w:rsidR="001C5F9D">
        <w:t>odrębnie</w:t>
      </w:r>
      <w:r w:rsidR="00802C80" w:rsidRPr="001C5F9D">
        <w:t xml:space="preserve">, jako że stanowiły </w:t>
      </w:r>
      <w:r w:rsidR="007E0E24" w:rsidRPr="001C5F9D">
        <w:t xml:space="preserve">one </w:t>
      </w:r>
      <w:r w:rsidR="00802C80" w:rsidRPr="001C5F9D">
        <w:t xml:space="preserve">część ciągłego sposobu traktowania skarżących. </w:t>
      </w:r>
      <w:r w:rsidR="00BB7E31">
        <w:t xml:space="preserve">W istocie </w:t>
      </w:r>
      <w:r w:rsidR="00802C80" w:rsidRPr="001C5F9D">
        <w:t>zdarzenia poprzedzające przybycie skarżących do Austrii stanowiły część łańcucha handlu ludźmi istotną dla odnośnej sytuacji w Austrii</w:t>
      </w:r>
      <w:r w:rsidR="00BB7E31">
        <w:t xml:space="preserve"> i </w:t>
      </w:r>
      <w:r w:rsidR="00802C80" w:rsidRPr="001C5F9D">
        <w:t xml:space="preserve">należy je </w:t>
      </w:r>
      <w:r w:rsidR="007E0E24" w:rsidRPr="001C5F9D">
        <w:t xml:space="preserve">oceniać </w:t>
      </w:r>
      <w:r w:rsidR="007E0E24" w:rsidRPr="001F0818">
        <w:t xml:space="preserve">przez pryzmat obowiązków </w:t>
      </w:r>
      <w:r w:rsidR="00802C80" w:rsidRPr="001F0818">
        <w:t xml:space="preserve">proceduralnych </w:t>
      </w:r>
      <w:r w:rsidR="007E0E24" w:rsidRPr="008A47A5">
        <w:t xml:space="preserve">pozwanego </w:t>
      </w:r>
      <w:r w:rsidR="00B25512" w:rsidRPr="008A47A5">
        <w:t xml:space="preserve">Państwa </w:t>
      </w:r>
      <w:r w:rsidR="00802C80" w:rsidRPr="008A47A5">
        <w:t xml:space="preserve">(skarżące wskazują na </w:t>
      </w:r>
      <w:r w:rsidR="00802C80" w:rsidRPr="008A47A5">
        <w:rPr>
          <w:i/>
          <w:iCs/>
        </w:rPr>
        <w:t>Rantsev</w:t>
      </w:r>
      <w:r w:rsidR="00802C80" w:rsidRPr="008A47A5">
        <w:t xml:space="preserve">, </w:t>
      </w:r>
      <w:r w:rsidR="007E0E24" w:rsidRPr="00076546">
        <w:rPr>
          <w:i/>
        </w:rPr>
        <w:t>op. cit</w:t>
      </w:r>
      <w:r w:rsidR="007E0E24" w:rsidRPr="00082846">
        <w:t>.</w:t>
      </w:r>
      <w:r w:rsidR="00802C80" w:rsidRPr="00082846">
        <w:t>, paragraf 307)</w:t>
      </w:r>
      <w:r w:rsidR="00802C80" w:rsidRPr="00082846">
        <w:rPr>
          <w:i/>
          <w:iCs/>
        </w:rPr>
        <w:t>.</w:t>
      </w:r>
      <w:r w:rsidR="00802C80" w:rsidRPr="00082846">
        <w:t xml:space="preserve"> </w:t>
      </w:r>
      <w:r w:rsidR="001C5F9D">
        <w:t>Skoro</w:t>
      </w:r>
      <w:r w:rsidR="001C5F9D" w:rsidRPr="00082846">
        <w:t xml:space="preserve"> </w:t>
      </w:r>
      <w:r w:rsidR="00802C80" w:rsidRPr="00082846">
        <w:t xml:space="preserve">skarżące zostały w Austrii uznane za ofiary handlu ludźmi, </w:t>
      </w:r>
      <w:r w:rsidR="001C5F9D">
        <w:t xml:space="preserve">to należy </w:t>
      </w:r>
      <w:r w:rsidR="00802C80" w:rsidRPr="00082846">
        <w:t xml:space="preserve">zbadać ogniwa łańcucha poprzedzające ich przybycie do Austrii, tj. rozgrywające się na Filipinach (a </w:t>
      </w:r>
      <w:r w:rsidR="006E39C5" w:rsidRPr="003D7F25">
        <w:t xml:space="preserve">co najmniej </w:t>
      </w:r>
      <w:r w:rsidR="00802C80" w:rsidRPr="003D7F25">
        <w:t xml:space="preserve">werbunek, wprowadzenie w błąd i przewóz) </w:t>
      </w:r>
      <w:r w:rsidR="007E0E24" w:rsidRPr="003D7F25">
        <w:t>oraz</w:t>
      </w:r>
      <w:r w:rsidR="00802C80" w:rsidRPr="003D7F25">
        <w:t xml:space="preserve"> w Zjednoczonych Emiratach </w:t>
      </w:r>
      <w:r w:rsidR="00802C80" w:rsidRPr="003D7F25">
        <w:lastRenderedPageBreak/>
        <w:t xml:space="preserve">Arabskich (a </w:t>
      </w:r>
      <w:r w:rsidR="006E39C5" w:rsidRPr="001C5F9D">
        <w:t xml:space="preserve">co najmniej </w:t>
      </w:r>
      <w:r w:rsidR="00802C80" w:rsidRPr="001C5F9D">
        <w:t xml:space="preserve">wykorzystanie i przewóz). Postrzeganie </w:t>
      </w:r>
      <w:r w:rsidR="001C5F9D">
        <w:t>odrębnie</w:t>
      </w:r>
      <w:r w:rsidR="00802C80" w:rsidRPr="001C5F9D">
        <w:t xml:space="preserve"> zdarzeń, jakie rozegrały się w Austrii w ciągu trzech </w:t>
      </w:r>
      <w:r w:rsidR="006E39C5" w:rsidRPr="001C5F9D">
        <w:t xml:space="preserve">odnośnych </w:t>
      </w:r>
      <w:r w:rsidR="00802C80" w:rsidRPr="001C5F9D">
        <w:t xml:space="preserve">dni, </w:t>
      </w:r>
      <w:r w:rsidR="006E39C5" w:rsidRPr="001C5F9D">
        <w:t xml:space="preserve">stanowiłoby nieuprawnione zawężenie </w:t>
      </w:r>
      <w:r w:rsidR="00802C80" w:rsidRPr="001C5F9D">
        <w:t>zakres</w:t>
      </w:r>
      <w:r w:rsidR="006E39C5" w:rsidRPr="001C5F9D">
        <w:t>u</w:t>
      </w:r>
      <w:r w:rsidR="00802C80" w:rsidRPr="001C5F9D">
        <w:t xml:space="preserve"> badania </w:t>
      </w:r>
      <w:r w:rsidR="006E39C5" w:rsidRPr="001C5F9D">
        <w:t>i nie znajdowało</w:t>
      </w:r>
      <w:r w:rsidR="006E39C5" w:rsidRPr="001F0818">
        <w:t xml:space="preserve"> </w:t>
      </w:r>
      <w:r w:rsidR="00802C80" w:rsidRPr="001F0818">
        <w:t>oparcia w autorytatywnych źródłach i zdrowym rozsądku. Ograniczając swoje podejście do obowiązku wyjaśnienia i ścigania zdarzeń</w:t>
      </w:r>
      <w:r w:rsidR="006E39C5" w:rsidRPr="008A47A5">
        <w:t>, które miały miejsce w Wiedniu</w:t>
      </w:r>
      <w:r w:rsidR="00802C80" w:rsidRPr="008A47A5">
        <w:t>, Rząd pominął fakt, że pozytywna identyfikacja osoby jako ofiary handlu ludźmi wysta</w:t>
      </w:r>
      <w:r w:rsidR="00802C80" w:rsidRPr="00D00246">
        <w:t xml:space="preserve">rcza do </w:t>
      </w:r>
      <w:r w:rsidR="001C5F9D">
        <w:t>zaktualizowania się</w:t>
      </w:r>
      <w:r w:rsidR="006E39C5" w:rsidRPr="001C5F9D">
        <w:t xml:space="preserve"> </w:t>
      </w:r>
      <w:r w:rsidR="00802C80" w:rsidRPr="001C5F9D">
        <w:t>prawnomiędzynarodowego obowiązku przeprowadzenia postępowania przygotowawczego również w stosunku do zdarzeń, które zaistniały za granicą.</w:t>
      </w:r>
    </w:p>
    <w:p w14:paraId="6D736D8B" w14:textId="150CD4C6" w:rsidR="00802C80" w:rsidRPr="00D433C9" w:rsidRDefault="00A3591C" w:rsidP="00802C80">
      <w:pPr>
        <w:pStyle w:val="ECHRPara"/>
      </w:pPr>
      <w:r>
        <w:rPr>
          <w:snapToGrid w:val="0"/>
        </w:rPr>
        <w:t>90</w:t>
      </w:r>
      <w:r w:rsidR="00802C80" w:rsidRPr="00082846">
        <w:rPr>
          <w:snapToGrid w:val="0"/>
        </w:rPr>
        <w:t>.</w:t>
      </w:r>
      <w:r w:rsidR="005F47D9">
        <w:rPr>
          <w:snapToGrid w:val="0"/>
        </w:rPr>
        <w:t xml:space="preserve"> </w:t>
      </w:r>
      <w:r w:rsidR="00802C80" w:rsidRPr="00082846">
        <w:rPr>
          <w:snapToGrid w:val="0"/>
        </w:rPr>
        <w:t xml:space="preserve">Skarżące podnoszą, że istnieje różnica między obowiązkiem identyfikacji i zapewnienia realnej pomocy i wsparcia ofiarom handlu ludźmi a </w:t>
      </w:r>
      <w:r w:rsidR="00802C80" w:rsidRPr="00D433C9">
        <w:rPr>
          <w:snapToGrid w:val="0"/>
        </w:rPr>
        <w:t xml:space="preserve">obowiązkiem proceduralnym </w:t>
      </w:r>
      <w:r w:rsidR="006E39C5" w:rsidRPr="00D433C9">
        <w:rPr>
          <w:snapToGrid w:val="0"/>
        </w:rPr>
        <w:t xml:space="preserve">polegającym na </w:t>
      </w:r>
      <w:r w:rsidR="00802C80" w:rsidRPr="00D433C9">
        <w:rPr>
          <w:snapToGrid w:val="0"/>
        </w:rPr>
        <w:t>przeprowadzeni</w:t>
      </w:r>
      <w:r w:rsidR="006E39C5" w:rsidRPr="00D433C9">
        <w:rPr>
          <w:snapToGrid w:val="0"/>
        </w:rPr>
        <w:t>u</w:t>
      </w:r>
      <w:r w:rsidR="00802C80" w:rsidRPr="00D433C9">
        <w:rPr>
          <w:snapToGrid w:val="0"/>
        </w:rPr>
        <w:t xml:space="preserve"> postępowania przygotowawczego</w:t>
      </w:r>
      <w:r w:rsidR="006E39C5" w:rsidRPr="00D433C9">
        <w:rPr>
          <w:snapToGrid w:val="0"/>
        </w:rPr>
        <w:t>,</w:t>
      </w:r>
      <w:r w:rsidR="00802C80" w:rsidRPr="00D433C9">
        <w:rPr>
          <w:snapToGrid w:val="0"/>
        </w:rPr>
        <w:t xml:space="preserve"> wynikającym z prawa międzynarodowego i unijnego. </w:t>
      </w:r>
      <w:r w:rsidR="006E39C5" w:rsidRPr="00D433C9">
        <w:rPr>
          <w:snapToGrid w:val="0"/>
        </w:rPr>
        <w:t>Wprawdzie Rząd</w:t>
      </w:r>
      <w:r w:rsidR="00802C80" w:rsidRPr="00D433C9">
        <w:rPr>
          <w:snapToGrid w:val="0"/>
        </w:rPr>
        <w:t xml:space="preserve"> omówił szereg środków zastosowanych w sprawie skarżących względem pierwszego z tych obowiązków (</w:t>
      </w:r>
      <w:r w:rsidR="001C5F9D" w:rsidRPr="00D433C9">
        <w:rPr>
          <w:snapToGrid w:val="0"/>
        </w:rPr>
        <w:t xml:space="preserve">zob. </w:t>
      </w:r>
      <w:r w:rsidR="00802C80" w:rsidRPr="00D433C9">
        <w:rPr>
          <w:snapToGrid w:val="0"/>
        </w:rPr>
        <w:t xml:space="preserve">paragrafy </w:t>
      </w:r>
      <w:r w:rsidR="00802C80" w:rsidRPr="00D433C9">
        <w:t>98</w:t>
      </w:r>
      <w:r w:rsidR="00802C80" w:rsidRPr="00D433C9">
        <w:rPr>
          <w:snapToGrid w:val="0"/>
        </w:rPr>
        <w:t>-</w:t>
      </w:r>
      <w:r w:rsidR="00802C80" w:rsidRPr="00D433C9">
        <w:t>100</w:t>
      </w:r>
      <w:r w:rsidR="00802C80" w:rsidRPr="00D433C9">
        <w:rPr>
          <w:snapToGrid w:val="0"/>
        </w:rPr>
        <w:t xml:space="preserve"> poniżej), </w:t>
      </w:r>
      <w:r w:rsidR="006E39C5" w:rsidRPr="00D433C9">
        <w:rPr>
          <w:snapToGrid w:val="0"/>
        </w:rPr>
        <w:t>jednak</w:t>
      </w:r>
      <w:r w:rsidR="00802C80" w:rsidRPr="00D433C9">
        <w:rPr>
          <w:snapToGrid w:val="0"/>
        </w:rPr>
        <w:t xml:space="preserve"> nie wywiązał się</w:t>
      </w:r>
      <w:r w:rsidR="009C2CB9" w:rsidRPr="00D433C9">
        <w:rPr>
          <w:snapToGrid w:val="0"/>
        </w:rPr>
        <w:t xml:space="preserve"> z </w:t>
      </w:r>
      <w:r w:rsidR="006E39C5" w:rsidRPr="00D433C9">
        <w:rPr>
          <w:snapToGrid w:val="0"/>
        </w:rPr>
        <w:t>drugiego z nich</w:t>
      </w:r>
      <w:r w:rsidR="00802C80" w:rsidRPr="00D433C9">
        <w:rPr>
          <w:snapToGrid w:val="0"/>
        </w:rPr>
        <w:t xml:space="preserve">. </w:t>
      </w:r>
      <w:r w:rsidR="00802C80" w:rsidRPr="00D433C9">
        <w:t xml:space="preserve">Postępowanie przygotowawcze w niniejszej sprawie było na tyle nieadekwatne, </w:t>
      </w:r>
      <w:r w:rsidR="001C5F9D" w:rsidRPr="00D433C9">
        <w:t xml:space="preserve">aby </w:t>
      </w:r>
      <w:r w:rsidR="006E39C5" w:rsidRPr="00D433C9">
        <w:t>doprowadzi</w:t>
      </w:r>
      <w:r w:rsidR="001C5F9D" w:rsidRPr="00D433C9">
        <w:t>ć</w:t>
      </w:r>
      <w:r w:rsidR="006E39C5" w:rsidRPr="00D433C9">
        <w:t xml:space="preserve"> do </w:t>
      </w:r>
      <w:r w:rsidR="00802C80" w:rsidRPr="00D433C9">
        <w:t>narusz</w:t>
      </w:r>
      <w:r w:rsidR="006E39C5" w:rsidRPr="00D433C9">
        <w:t>enia</w:t>
      </w:r>
      <w:r w:rsidR="005F47D9" w:rsidRPr="00D433C9">
        <w:t xml:space="preserve"> </w:t>
      </w:r>
      <w:r w:rsidR="00802C80" w:rsidRPr="00D433C9">
        <w:t xml:space="preserve">art. 4 Konwencji. Obowiązek przeprowadzenia postępowania przygotowawczego zaktualizował się w momencie wykazania przez skarżące </w:t>
      </w:r>
      <w:r w:rsidR="006E39C5" w:rsidRPr="00D433C9">
        <w:t>przesłanek wystarczających do</w:t>
      </w:r>
      <w:r w:rsidR="00802C80" w:rsidRPr="00D433C9">
        <w:t xml:space="preserve"> </w:t>
      </w:r>
      <w:r w:rsidR="006E39C5" w:rsidRPr="00D433C9">
        <w:t xml:space="preserve">powzięcia uzasadnionego </w:t>
      </w:r>
      <w:r w:rsidR="00802C80" w:rsidRPr="00D433C9">
        <w:t>podejrzeni</w:t>
      </w:r>
      <w:r w:rsidR="006E39C5" w:rsidRPr="00D433C9">
        <w:t>a</w:t>
      </w:r>
      <w:r w:rsidR="00802C80" w:rsidRPr="00D433C9">
        <w:t xml:space="preserve"> handlu ludźmi. W sprawie </w:t>
      </w:r>
      <w:r w:rsidR="00802C80" w:rsidRPr="00D433C9">
        <w:rPr>
          <w:i/>
        </w:rPr>
        <w:t>C.N. p-ko Zjednoczonemu Królestwu</w:t>
      </w:r>
      <w:r w:rsidR="00802C80" w:rsidRPr="00D433C9">
        <w:t xml:space="preserve"> (nr 4239/08</w:t>
      </w:r>
      <w:r w:rsidR="00802C80" w:rsidRPr="00D433C9">
        <w:rPr>
          <w:snapToGrid w:val="0"/>
        </w:rPr>
        <w:t xml:space="preserve">, </w:t>
      </w:r>
      <w:r w:rsidR="006E39C5" w:rsidRPr="00D433C9">
        <w:rPr>
          <w:snapToGrid w:val="0"/>
        </w:rPr>
        <w:t>§</w:t>
      </w:r>
      <w:r w:rsidR="00802C80" w:rsidRPr="00D433C9">
        <w:rPr>
          <w:snapToGrid w:val="0"/>
        </w:rPr>
        <w:t xml:space="preserve"> 72, 13 listopada 2012 r.) Trybunał orzekł, że „fakt przeprowadzenia przez władze krajowe jakiegokolwiek postępowania przygotowawczego dotyczącego zarzutów podnoszonych przez skarżącego </w:t>
      </w:r>
      <w:r w:rsidR="006E39C5" w:rsidRPr="00D433C9">
        <w:rPr>
          <w:snapToGrid w:val="0"/>
        </w:rPr>
        <w:t xml:space="preserve">dobitnie </w:t>
      </w:r>
      <w:r w:rsidR="009C2CB9" w:rsidRPr="00D433C9">
        <w:rPr>
          <w:snapToGrid w:val="0"/>
        </w:rPr>
        <w:t>świadczy o </w:t>
      </w:r>
      <w:r w:rsidR="006E39C5" w:rsidRPr="00D433C9">
        <w:rPr>
          <w:snapToGrid w:val="0"/>
        </w:rPr>
        <w:t>tym</w:t>
      </w:r>
      <w:r w:rsidR="00802C80" w:rsidRPr="00D433C9">
        <w:rPr>
          <w:snapToGrid w:val="0"/>
        </w:rPr>
        <w:t xml:space="preserve">, że przynajmniej </w:t>
      </w:r>
      <w:r w:rsidR="00802C80" w:rsidRPr="00D433C9">
        <w:rPr>
          <w:i/>
          <w:iCs/>
          <w:snapToGrid w:val="0"/>
        </w:rPr>
        <w:t xml:space="preserve">prima facie </w:t>
      </w:r>
      <w:r w:rsidR="00802C80" w:rsidRPr="00D433C9">
        <w:t xml:space="preserve">zarzuty te nie były </w:t>
      </w:r>
      <w:r w:rsidR="00AD76EA" w:rsidRPr="00D433C9">
        <w:t xml:space="preserve">z </w:t>
      </w:r>
      <w:r w:rsidR="00BB7E31" w:rsidRPr="00D433C9">
        <w:t>natury</w:t>
      </w:r>
      <w:r w:rsidR="00AD76EA" w:rsidRPr="00D433C9">
        <w:t xml:space="preserve"> </w:t>
      </w:r>
      <w:r w:rsidR="00802C80" w:rsidRPr="00D433C9">
        <w:t>nieprawdopodobne”</w:t>
      </w:r>
      <w:r w:rsidR="00802C80" w:rsidRPr="00D433C9">
        <w:rPr>
          <w:snapToGrid w:val="0"/>
        </w:rPr>
        <w:t xml:space="preserve">. Skarżące twierdzą, że ustalenie to miało zastosowanie w ich sprawie, bowiem oskarżyciel publiczny nie potraktował ich </w:t>
      </w:r>
      <w:r w:rsidR="006E39C5" w:rsidRPr="00D433C9">
        <w:rPr>
          <w:snapToGrid w:val="0"/>
        </w:rPr>
        <w:t xml:space="preserve">zawiadomień </w:t>
      </w:r>
      <w:r w:rsidR="00802C80" w:rsidRPr="00D433C9">
        <w:rPr>
          <w:snapToGrid w:val="0"/>
        </w:rPr>
        <w:t xml:space="preserve">jako niewiarygodnych czy też nieprawdopodobnych, </w:t>
      </w:r>
      <w:r w:rsidR="00AD76EA" w:rsidRPr="00D433C9">
        <w:rPr>
          <w:snapToGrid w:val="0"/>
        </w:rPr>
        <w:t xml:space="preserve">a jedynie </w:t>
      </w:r>
      <w:r w:rsidR="00802C80" w:rsidRPr="00D433C9">
        <w:rPr>
          <w:snapToGrid w:val="0"/>
        </w:rPr>
        <w:t xml:space="preserve">umorzył postępowanie z przyczyn </w:t>
      </w:r>
      <w:r w:rsidR="00AD76EA" w:rsidRPr="00D433C9">
        <w:rPr>
          <w:snapToGrid w:val="0"/>
        </w:rPr>
        <w:t>formalnych</w:t>
      </w:r>
      <w:r w:rsidR="00802C80" w:rsidRPr="00D433C9">
        <w:rPr>
          <w:snapToGrid w:val="0"/>
        </w:rPr>
        <w:t>.</w:t>
      </w:r>
    </w:p>
    <w:p w14:paraId="003E6E9A" w14:textId="6FF4D5A8" w:rsidR="00802C80" w:rsidRPr="00D433C9" w:rsidRDefault="00A3591C" w:rsidP="00802C80">
      <w:pPr>
        <w:pStyle w:val="ECHRPara"/>
      </w:pPr>
      <w:r>
        <w:rPr>
          <w:noProof/>
        </w:rPr>
        <w:t>91</w:t>
      </w:r>
      <w:r w:rsidR="00802C80" w:rsidRPr="00D433C9">
        <w:t>.</w:t>
      </w:r>
      <w:r w:rsidR="005F47D9" w:rsidRPr="00D433C9">
        <w:t xml:space="preserve"> </w:t>
      </w:r>
      <w:r w:rsidR="00802C80" w:rsidRPr="00D433C9">
        <w:t xml:space="preserve">Na tym tle skarżące wywodzą, że odnośne artykuły k.k. poddane zostały w ich sprawie nadmiernie ścisłej i zawężającej wykładni, </w:t>
      </w:r>
      <w:r w:rsidR="00AD76EA" w:rsidRPr="00D433C9">
        <w:t>ewentualnie</w:t>
      </w:r>
      <w:r w:rsidR="00802C80" w:rsidRPr="00D433C9">
        <w:t>, że były one w ogóle zbyt wąsko sformułowane, dając podstawę do naruszenia art. 4 Konwencji.</w:t>
      </w:r>
    </w:p>
    <w:p w14:paraId="7625BC38" w14:textId="7E9B6390" w:rsidR="00802C80" w:rsidRPr="00D00246" w:rsidRDefault="00A3591C" w:rsidP="00802C80">
      <w:pPr>
        <w:pStyle w:val="ECHRPara"/>
      </w:pPr>
      <w:r>
        <w:rPr>
          <w:noProof/>
        </w:rPr>
        <w:t>92</w:t>
      </w:r>
      <w:r w:rsidR="00802C80" w:rsidRPr="00D433C9">
        <w:t>.</w:t>
      </w:r>
      <w:r w:rsidR="005F47D9" w:rsidRPr="00D433C9">
        <w:t xml:space="preserve"> </w:t>
      </w:r>
      <w:r w:rsidR="00802C80" w:rsidRPr="00D433C9">
        <w:t xml:space="preserve">Skarżące podnoszą, że </w:t>
      </w:r>
      <w:r w:rsidR="00AD76EA" w:rsidRPr="00D433C9">
        <w:t xml:space="preserve">spoczywający na </w:t>
      </w:r>
      <w:r w:rsidR="00E85B87" w:rsidRPr="00D433C9">
        <w:t>pozwanym P</w:t>
      </w:r>
      <w:r w:rsidR="00802C80" w:rsidRPr="00D433C9">
        <w:t>aństw</w:t>
      </w:r>
      <w:r w:rsidR="00AD76EA" w:rsidRPr="00D433C9">
        <w:t>ie</w:t>
      </w:r>
      <w:r w:rsidR="00802C80" w:rsidRPr="00D433C9">
        <w:t xml:space="preserve"> </w:t>
      </w:r>
      <w:r w:rsidR="00AD76EA" w:rsidRPr="00D433C9">
        <w:t>obowiązek</w:t>
      </w:r>
      <w:r w:rsidR="005F47D9" w:rsidRPr="00D433C9">
        <w:t xml:space="preserve"> </w:t>
      </w:r>
      <w:r w:rsidR="00802C80" w:rsidRPr="00D433C9">
        <w:t>przeprowadzenia postępowania przygotowawczego zaktualizował się w lipcu 2011 r. (</w:t>
      </w:r>
      <w:r w:rsidR="001C5F9D" w:rsidRPr="00D433C9">
        <w:t xml:space="preserve">zob. </w:t>
      </w:r>
      <w:r w:rsidR="00802C80" w:rsidRPr="00D433C9">
        <w:t>paragraf 25 powyżej), gdy zwróciły się one do funkcjonariuszy policji. Obowiązek ten wypływa z art. 27 i 31</w:t>
      </w:r>
      <w:r w:rsidR="00802C80" w:rsidRPr="001C5F9D">
        <w:t xml:space="preserve"> Konwencji przeciwko handlowi ludźmi (</w:t>
      </w:r>
      <w:r w:rsidR="001C5F9D">
        <w:t xml:space="preserve">zob. </w:t>
      </w:r>
      <w:r w:rsidR="00802C80" w:rsidRPr="001C5F9D">
        <w:t xml:space="preserve">paragrafy 58 i 59 powyżej) oraz </w:t>
      </w:r>
      <w:r w:rsidR="00AD76EA" w:rsidRPr="001C5F9D">
        <w:t xml:space="preserve">z </w:t>
      </w:r>
      <w:r w:rsidR="00802C80" w:rsidRPr="001C5F9D">
        <w:t>art. 4, 5 i 6 Protokołu z Palermo (</w:t>
      </w:r>
      <w:r w:rsidR="001C5F9D">
        <w:t xml:space="preserve">zob. </w:t>
      </w:r>
      <w:r w:rsidR="00802C80" w:rsidRPr="001C5F9D">
        <w:t xml:space="preserve">paragrafy 50-52 powyżej). Umarzając na tak wczesnym etapie </w:t>
      </w:r>
      <w:r w:rsidR="00802C80" w:rsidRPr="001F0818">
        <w:t>postępowanie przygotowawcze przeciwko pracodawczyniom skarżących, władze austriackie nie zrealizowały k</w:t>
      </w:r>
      <w:r w:rsidR="00802C80" w:rsidRPr="008A47A5">
        <w:t xml:space="preserve">luczowych </w:t>
      </w:r>
      <w:r w:rsidR="00AD76EA" w:rsidRPr="008A47A5">
        <w:t xml:space="preserve">celów </w:t>
      </w:r>
      <w:r w:rsidR="00802C80" w:rsidRPr="00D00246">
        <w:t xml:space="preserve">międzynarodowych </w:t>
      </w:r>
      <w:r w:rsidR="00E85B87">
        <w:t>obowiązków P</w:t>
      </w:r>
      <w:r w:rsidR="00802C80" w:rsidRPr="00D00246">
        <w:t xml:space="preserve">aństwa </w:t>
      </w:r>
      <w:r w:rsidR="00802C80" w:rsidRPr="00D00246">
        <w:lastRenderedPageBreak/>
        <w:t xml:space="preserve">w </w:t>
      </w:r>
      <w:r w:rsidR="00802C80" w:rsidRPr="00D433C9">
        <w:t xml:space="preserve">odniesieniu do handlu ludźmi, w tym </w:t>
      </w:r>
      <w:r w:rsidR="00AD76EA" w:rsidRPr="00D433C9">
        <w:t xml:space="preserve">obowiązku </w:t>
      </w:r>
      <w:r w:rsidR="00802C80" w:rsidRPr="00D433C9">
        <w:t>zapewnienia skutecznego postępowania przygotowawczego i ścigania sprawców przestępstw</w:t>
      </w:r>
      <w:r w:rsidR="00802C80" w:rsidRPr="00D00246">
        <w:t xml:space="preserve"> </w:t>
      </w:r>
      <w:r w:rsidR="00AD76EA" w:rsidRPr="00D00246">
        <w:t xml:space="preserve">popełnionych wobec </w:t>
      </w:r>
      <w:r w:rsidR="00802C80" w:rsidRPr="00D00246">
        <w:t>skarżący</w:t>
      </w:r>
      <w:r w:rsidR="00AD76EA" w:rsidRPr="00D00246">
        <w:t>ch</w:t>
      </w:r>
      <w:r w:rsidR="00802C80" w:rsidRPr="00D00246">
        <w:t>.</w:t>
      </w:r>
    </w:p>
    <w:p w14:paraId="20B2ABFB" w14:textId="2A478BD1" w:rsidR="00802C80" w:rsidRPr="00D00246" w:rsidRDefault="00802C80" w:rsidP="00802C80">
      <w:pPr>
        <w:pStyle w:val="ECHRHeading4"/>
      </w:pPr>
      <w:r w:rsidRPr="00D00246">
        <w:t>b)</w:t>
      </w:r>
      <w:r w:rsidR="005F47D9">
        <w:t xml:space="preserve"> </w:t>
      </w:r>
      <w:r w:rsidRPr="00D00246">
        <w:t>Rząd</w:t>
      </w:r>
    </w:p>
    <w:p w14:paraId="017C72CF" w14:textId="3E9A12F3" w:rsidR="00802C80" w:rsidRPr="001F0818" w:rsidRDefault="00A3591C" w:rsidP="00802C80">
      <w:pPr>
        <w:pStyle w:val="ECHRPara"/>
      </w:pPr>
      <w:r>
        <w:rPr>
          <w:noProof/>
        </w:rPr>
        <w:t>93</w:t>
      </w:r>
      <w:r w:rsidR="00802C80" w:rsidRPr="00082846">
        <w:t>.</w:t>
      </w:r>
      <w:r w:rsidR="005F47D9">
        <w:t xml:space="preserve"> </w:t>
      </w:r>
      <w:r w:rsidR="00AD76EA" w:rsidRPr="00082846">
        <w:t xml:space="preserve">Na wstępie </w:t>
      </w:r>
      <w:r w:rsidR="00802C80" w:rsidRPr="00082846">
        <w:t xml:space="preserve">Rząd </w:t>
      </w:r>
      <w:r w:rsidR="00802C80" w:rsidRPr="00036045">
        <w:t>podkreśl</w:t>
      </w:r>
      <w:r w:rsidR="00AD76EA" w:rsidRPr="00036045">
        <w:t>i</w:t>
      </w:r>
      <w:r w:rsidR="00802C80" w:rsidRPr="00036045">
        <w:t>ł brak</w:t>
      </w:r>
      <w:r w:rsidR="00802C80" w:rsidRPr="00082846">
        <w:t xml:space="preserve"> po swojej stronie </w:t>
      </w:r>
      <w:r w:rsidR="00AD76EA" w:rsidRPr="003D7F25">
        <w:t xml:space="preserve">dostępnych </w:t>
      </w:r>
      <w:r w:rsidR="00802C80" w:rsidRPr="003D7F25">
        <w:t xml:space="preserve">dowodów na to, czy i w jakim zakresie </w:t>
      </w:r>
      <w:r w:rsidR="00AD76EA" w:rsidRPr="003D7F25">
        <w:t xml:space="preserve">doszło do </w:t>
      </w:r>
      <w:r w:rsidR="00AD76EA" w:rsidRPr="001C5F9D">
        <w:t xml:space="preserve">zdarzeń </w:t>
      </w:r>
      <w:r w:rsidR="009C2CB9">
        <w:t>na Filipinach i w </w:t>
      </w:r>
      <w:r w:rsidR="00802C80" w:rsidRPr="001F0818">
        <w:t xml:space="preserve">Zjednoczonych Emiratach Arabskich, </w:t>
      </w:r>
      <w:r w:rsidR="00920498" w:rsidRPr="008A47A5">
        <w:t>zgodnie z tym, co twierdzą</w:t>
      </w:r>
      <w:r w:rsidR="00802C80" w:rsidRPr="008A47A5">
        <w:t xml:space="preserve"> skarżące</w:t>
      </w:r>
      <w:r w:rsidR="00802C80" w:rsidRPr="00D00246">
        <w:t xml:space="preserve">. </w:t>
      </w:r>
      <w:r w:rsidR="00920498" w:rsidRPr="00D00246">
        <w:t xml:space="preserve">Bezsporne </w:t>
      </w:r>
      <w:r w:rsidR="00802C80" w:rsidRPr="00D00246">
        <w:t>pozostają jedynie zdarzenia i postępowanie</w:t>
      </w:r>
      <w:r w:rsidR="001F0818">
        <w:t>, które miały miejsce</w:t>
      </w:r>
      <w:r w:rsidR="00802C80" w:rsidRPr="001F0818">
        <w:t xml:space="preserve"> w Austrii.</w:t>
      </w:r>
    </w:p>
    <w:p w14:paraId="1E4D32A3" w14:textId="0BFEF135" w:rsidR="00802C80" w:rsidRPr="00D00246" w:rsidRDefault="00A3591C" w:rsidP="00802C80">
      <w:pPr>
        <w:pStyle w:val="ECHRPara"/>
      </w:pPr>
      <w:r>
        <w:rPr>
          <w:noProof/>
        </w:rPr>
        <w:t>94</w:t>
      </w:r>
      <w:r w:rsidR="00802C80" w:rsidRPr="00082846">
        <w:t>.</w:t>
      </w:r>
      <w:r w:rsidR="005F47D9">
        <w:t xml:space="preserve"> </w:t>
      </w:r>
      <w:r w:rsidR="00920498" w:rsidRPr="00082846">
        <w:t>W zakresie</w:t>
      </w:r>
      <w:r w:rsidR="00802C80" w:rsidRPr="00082846">
        <w:t xml:space="preserve"> środków ogólnych i legislacyjnych podjętych przez Austrię w c</w:t>
      </w:r>
      <w:r w:rsidR="00802C80" w:rsidRPr="003D7F25">
        <w:t xml:space="preserve">elu zwalczania handlu ludźmi i wyzysku pracy, Rząd podnosi, że jest ona Państwem-Stroną wszystkich istotnych aktów międzynarodowych </w:t>
      </w:r>
      <w:r w:rsidR="00920498" w:rsidRPr="003D7F25">
        <w:t>m.in.</w:t>
      </w:r>
      <w:r w:rsidR="00802C80" w:rsidRPr="003D7F25">
        <w:t xml:space="preserve"> Konwencj</w:t>
      </w:r>
      <w:r w:rsidR="00920498" w:rsidRPr="003D7F25">
        <w:t>i</w:t>
      </w:r>
      <w:r w:rsidR="00802C80" w:rsidRPr="003D7F25">
        <w:t xml:space="preserve"> Rady Europy w sprawie działań przeciwko handlowi ludźmi, Konwencj</w:t>
      </w:r>
      <w:r w:rsidR="00BB7E31">
        <w:t>i</w:t>
      </w:r>
      <w:r w:rsidR="00802C80" w:rsidRPr="001F0818">
        <w:t xml:space="preserve"> Narodów Zjednoczonych przeciwko międzynarodowej przestępczości zorganizowanej </w:t>
      </w:r>
      <w:r w:rsidR="00920498" w:rsidRPr="001F0818">
        <w:t>oraz</w:t>
      </w:r>
      <w:r w:rsidR="00802C80" w:rsidRPr="001F0818">
        <w:t xml:space="preserve"> </w:t>
      </w:r>
      <w:r w:rsidR="00920498" w:rsidRPr="008A47A5">
        <w:t xml:space="preserve">Protokołu </w:t>
      </w:r>
      <w:r w:rsidR="00802C80" w:rsidRPr="008A47A5">
        <w:t xml:space="preserve">z Palermo. Pierwszy austriacki „Krajowy plan działań przeciwko handlowi ludźmi” został opracowany w </w:t>
      </w:r>
      <w:r w:rsidR="00920498" w:rsidRPr="00D00246">
        <w:t xml:space="preserve">ścisłej współpracy </w:t>
      </w:r>
      <w:r w:rsidR="00802C80" w:rsidRPr="00D00246">
        <w:t>z organizacjami społeczeństwa obywatelskiego i przyjęty przez austriacką Radę Ministrów (</w:t>
      </w:r>
      <w:r w:rsidR="00802C80" w:rsidRPr="00D00246">
        <w:rPr>
          <w:i/>
          <w:iCs/>
        </w:rPr>
        <w:t>Ministerrat</w:t>
      </w:r>
      <w:r w:rsidR="00802C80" w:rsidRPr="00D00246">
        <w:t xml:space="preserve">) w marcu 2007 r. na okres trzyletni. Od tego czasu </w:t>
      </w:r>
      <w:r w:rsidR="00920498" w:rsidRPr="00D00246">
        <w:t xml:space="preserve">przyjęto </w:t>
      </w:r>
      <w:r w:rsidR="00802C80" w:rsidRPr="00D00246">
        <w:t xml:space="preserve">kolejne plany. W </w:t>
      </w:r>
      <w:r w:rsidR="00920498" w:rsidRPr="00D00246">
        <w:t>latach</w:t>
      </w:r>
      <w:r w:rsidR="00802C80" w:rsidRPr="00D00246">
        <w:t xml:space="preserve"> 2010-2011 Austria </w:t>
      </w:r>
      <w:r w:rsidR="00920498" w:rsidRPr="00D00246">
        <w:t>była jednym z</w:t>
      </w:r>
      <w:r w:rsidR="00802C80" w:rsidRPr="00D00246">
        <w:t xml:space="preserve"> pierwszych państw członkowskich Rady Europy </w:t>
      </w:r>
      <w:r w:rsidR="00920498" w:rsidRPr="00D00246">
        <w:t>podlegających ocenie ze strony</w:t>
      </w:r>
      <w:r w:rsidR="00802C80" w:rsidRPr="00D00246">
        <w:t xml:space="preserve"> Grup</w:t>
      </w:r>
      <w:r w:rsidR="00920498" w:rsidRPr="00D00246">
        <w:t>y</w:t>
      </w:r>
      <w:r w:rsidR="00802C80" w:rsidRPr="00D00246">
        <w:t xml:space="preserve"> Ekspertów (GRETA) (</w:t>
      </w:r>
      <w:r w:rsidR="001F0818">
        <w:t xml:space="preserve">zob. </w:t>
      </w:r>
      <w:r w:rsidR="00802C80" w:rsidRPr="001F0818">
        <w:t xml:space="preserve">paragraf 61 powyżej), której zalecenia, przyjęte dnia 26 września 2011 r. przez Komitet Układających się Stron Konwencji przeciwko handlowi ludźmi, zostały uwzględnione i wdrożone w ramach Krajowego planu działań </w:t>
      </w:r>
      <w:r w:rsidR="00920498" w:rsidRPr="008A47A5">
        <w:t xml:space="preserve">na lata </w:t>
      </w:r>
      <w:r w:rsidR="00802C80" w:rsidRPr="008A47A5">
        <w:t>2012-2014, w szczególn</w:t>
      </w:r>
      <w:r w:rsidR="00802C80" w:rsidRPr="00D00246">
        <w:t xml:space="preserve">ości w zakresie dotyczącym wyzysku służby domowej. Austria w pełni wywiązała się ze swojego zobowiązania do zapewnienia </w:t>
      </w:r>
      <w:r w:rsidR="009C2CB9">
        <w:t>ochrony ofiarom handlu ludźmi i </w:t>
      </w:r>
      <w:r w:rsidR="00802C80" w:rsidRPr="00D00246">
        <w:t xml:space="preserve">pracy przymusowej, w szczególności </w:t>
      </w:r>
      <w:r w:rsidR="00920498" w:rsidRPr="00D00246">
        <w:t xml:space="preserve">dzięki wsparciu ze strony </w:t>
      </w:r>
      <w:r w:rsidR="00802C80" w:rsidRPr="00D00246">
        <w:t>LEFÖ (</w:t>
      </w:r>
      <w:r w:rsidR="00920498" w:rsidRPr="00D00246">
        <w:t xml:space="preserve">ośrodka </w:t>
      </w:r>
      <w:r w:rsidR="00802C80" w:rsidRPr="00D00246">
        <w:t>interwencyjn</w:t>
      </w:r>
      <w:r w:rsidR="00920498" w:rsidRPr="00D00246">
        <w:t>ego</w:t>
      </w:r>
      <w:r w:rsidR="00802C80" w:rsidRPr="00D00246">
        <w:t xml:space="preserve">, który wspierał skarżące w </w:t>
      </w:r>
      <w:r w:rsidR="00920498" w:rsidRPr="00D00246">
        <w:t xml:space="preserve">ramach </w:t>
      </w:r>
      <w:r w:rsidR="00802C80" w:rsidRPr="00D00246">
        <w:t xml:space="preserve">postępowań krajowych — </w:t>
      </w:r>
      <w:r w:rsidR="001F0818">
        <w:t xml:space="preserve">zob. </w:t>
      </w:r>
      <w:r w:rsidR="00802C80" w:rsidRPr="001F0818">
        <w:t>paragraf 25 powyżej), organizacj</w:t>
      </w:r>
      <w:r w:rsidR="00920498" w:rsidRPr="001F0818">
        <w:t>i</w:t>
      </w:r>
      <w:r w:rsidR="00802C80" w:rsidRPr="001F0818">
        <w:t xml:space="preserve"> działając</w:t>
      </w:r>
      <w:r w:rsidR="00920498" w:rsidRPr="001F0818">
        <w:t>ej</w:t>
      </w:r>
      <w:r w:rsidR="00802C80" w:rsidRPr="001F0818">
        <w:t xml:space="preserve"> na całym terytorium Austrii z ramienia Ministerstwa Spraw Wewnętrznych (</w:t>
      </w:r>
      <w:r w:rsidR="00802C80" w:rsidRPr="008A47A5">
        <w:rPr>
          <w:i/>
        </w:rPr>
        <w:t>Bundesministerium für Inneres</w:t>
      </w:r>
      <w:r w:rsidR="00802C80" w:rsidRPr="008A47A5">
        <w:t>) oraz Ministerstwa Edukacji i Kobiet (</w:t>
      </w:r>
      <w:r w:rsidR="00802C80" w:rsidRPr="00D00246">
        <w:rPr>
          <w:i/>
        </w:rPr>
        <w:t>Bundesministerium für Bildung und Frauen</w:t>
      </w:r>
      <w:r w:rsidR="00802C80" w:rsidRPr="00D00246">
        <w:t>).</w:t>
      </w:r>
    </w:p>
    <w:p w14:paraId="129C5CFA" w14:textId="732FCF14" w:rsidR="00802C80" w:rsidRPr="00D00246" w:rsidRDefault="00A3591C" w:rsidP="00802C80">
      <w:pPr>
        <w:pStyle w:val="ECHRPara"/>
      </w:pPr>
      <w:r>
        <w:rPr>
          <w:noProof/>
        </w:rPr>
        <w:t>95</w:t>
      </w:r>
      <w:r w:rsidR="00802C80" w:rsidRPr="00082846">
        <w:t>.</w:t>
      </w:r>
      <w:r w:rsidR="005F47D9">
        <w:t xml:space="preserve"> </w:t>
      </w:r>
      <w:r w:rsidR="00802C80" w:rsidRPr="00082846">
        <w:t xml:space="preserve">Rząd wskazał, że Austria </w:t>
      </w:r>
      <w:r w:rsidR="00920498" w:rsidRPr="00076546">
        <w:rPr>
          <w:i/>
        </w:rPr>
        <w:t>ipso facto</w:t>
      </w:r>
      <w:r w:rsidR="00920498" w:rsidRPr="00082846">
        <w:t xml:space="preserve"> </w:t>
      </w:r>
      <w:r w:rsidR="00802C80" w:rsidRPr="00082846">
        <w:t xml:space="preserve">w pełni </w:t>
      </w:r>
      <w:r w:rsidR="001F0818" w:rsidRPr="00082846">
        <w:t>wywiąz</w:t>
      </w:r>
      <w:r w:rsidR="001F0818">
        <w:t>ała</w:t>
      </w:r>
      <w:r w:rsidR="001F0818" w:rsidRPr="00082846">
        <w:t xml:space="preserve"> </w:t>
      </w:r>
      <w:r w:rsidR="00802C80" w:rsidRPr="00082846">
        <w:t>się z</w:t>
      </w:r>
      <w:r w:rsidR="009C2CB9">
        <w:t> </w:t>
      </w:r>
      <w:r w:rsidR="00920498" w:rsidRPr="003D7F25">
        <w:t xml:space="preserve">ciążących na niej </w:t>
      </w:r>
      <w:r w:rsidR="00802C80" w:rsidRPr="003D7F25">
        <w:t>zobowiązań prawnomiędzynarodowych. Art. 104a k.k. (</w:t>
      </w:r>
      <w:r w:rsidR="001F0818">
        <w:t xml:space="preserve">zob. </w:t>
      </w:r>
      <w:r w:rsidR="00802C80" w:rsidRPr="001F0818">
        <w:t>paragraf 35 powyżej)</w:t>
      </w:r>
      <w:r w:rsidR="00920498" w:rsidRPr="001F0818">
        <w:t>,</w:t>
      </w:r>
      <w:r w:rsidR="00802C80" w:rsidRPr="001F0818">
        <w:t xml:space="preserve"> w brzmieniu obowiązującym od 2010 r., stanowi adekwatną i skuteczną podstawę prawną ścigania i karania handlu ludźmi. Zgodnie z art. 64 k.k. (</w:t>
      </w:r>
      <w:r w:rsidR="001F0818">
        <w:t xml:space="preserve">zob. </w:t>
      </w:r>
      <w:r w:rsidR="00802C80" w:rsidRPr="001F0818">
        <w:t xml:space="preserve">paragraf 40 powyżej) czyny popełnione za granicą </w:t>
      </w:r>
      <w:r w:rsidR="00920498" w:rsidRPr="001F0818">
        <w:t>są zagrożone karą</w:t>
      </w:r>
      <w:r w:rsidR="00802C80" w:rsidRPr="001F0818">
        <w:t xml:space="preserve"> nawet w zakresie </w:t>
      </w:r>
      <w:r w:rsidR="00920498" w:rsidRPr="001F0818">
        <w:t xml:space="preserve">wykraczającym </w:t>
      </w:r>
      <w:r w:rsidR="00920498" w:rsidRPr="008A47A5">
        <w:t xml:space="preserve">poza zakres </w:t>
      </w:r>
      <w:r w:rsidR="00802C80" w:rsidRPr="008A47A5">
        <w:t>wymagany przez art.</w:t>
      </w:r>
      <w:r w:rsidR="00920498" w:rsidRPr="008A47A5">
        <w:t xml:space="preserve"> </w:t>
      </w:r>
      <w:r w:rsidR="00802C80" w:rsidRPr="008A47A5">
        <w:t xml:space="preserve">31 Konwencji Rady Europy w sprawie działań przeciwko handlowi ludźmi, </w:t>
      </w:r>
      <w:r w:rsidR="00920498" w:rsidRPr="00D00246">
        <w:t xml:space="preserve">a </w:t>
      </w:r>
      <w:r w:rsidR="00802C80" w:rsidRPr="00D00246">
        <w:t xml:space="preserve">mianowicie niezależnie </w:t>
      </w:r>
      <w:r w:rsidR="00920498" w:rsidRPr="00D00246">
        <w:t xml:space="preserve">od </w:t>
      </w:r>
      <w:r w:rsidR="00802C80" w:rsidRPr="00D00246">
        <w:t xml:space="preserve">tego, czy stanowią przestępstwa w kraju ich popełnienia. </w:t>
      </w:r>
      <w:r w:rsidR="00920498" w:rsidRPr="00D00246">
        <w:t xml:space="preserve">Obok </w:t>
      </w:r>
      <w:r w:rsidR="00802C80" w:rsidRPr="00D00246">
        <w:t xml:space="preserve">jurysdykcji terytorialnej oraz </w:t>
      </w:r>
      <w:r w:rsidR="00920498" w:rsidRPr="00D00246">
        <w:t xml:space="preserve">rozszerzonej zasady narodowości podmiotowej </w:t>
      </w:r>
      <w:r w:rsidR="00802C80" w:rsidRPr="00D00246">
        <w:t xml:space="preserve">czynnej </w:t>
      </w:r>
      <w:r w:rsidR="00802C80" w:rsidRPr="00D00246">
        <w:lastRenderedPageBreak/>
        <w:t>i</w:t>
      </w:r>
      <w:r w:rsidR="009C2CB9">
        <w:t> </w:t>
      </w:r>
      <w:r w:rsidR="00802C80" w:rsidRPr="00D00246">
        <w:t xml:space="preserve">biernej, przepisy austriackie </w:t>
      </w:r>
      <w:r w:rsidR="00916463" w:rsidRPr="00D00246">
        <w:t>przyjęły</w:t>
      </w:r>
      <w:r w:rsidR="00920498" w:rsidRPr="00D00246">
        <w:t xml:space="preserve"> </w:t>
      </w:r>
      <w:r w:rsidR="00802C80" w:rsidRPr="00D00246">
        <w:t xml:space="preserve">również szerszą interpretację zasady </w:t>
      </w:r>
      <w:r w:rsidR="00802C80" w:rsidRPr="00D00246">
        <w:rPr>
          <w:i/>
        </w:rPr>
        <w:t>aut dedere aut iudicare</w:t>
      </w:r>
      <w:r w:rsidR="00802C80" w:rsidRPr="00D00246">
        <w:t>. Austria przyjęł</w:t>
      </w:r>
      <w:r w:rsidR="009C2CB9">
        <w:t>a swoją jurysdykcję nie tylko w </w:t>
      </w:r>
      <w:r w:rsidR="00802C80" w:rsidRPr="00D00246">
        <w:t xml:space="preserve">przypadku </w:t>
      </w:r>
      <w:r w:rsidR="00916463" w:rsidRPr="00D00246">
        <w:t xml:space="preserve">odmowy wydania </w:t>
      </w:r>
      <w:r w:rsidR="00802C80" w:rsidRPr="00D00246">
        <w:t xml:space="preserve">sprawcy ze względu na </w:t>
      </w:r>
      <w:r w:rsidR="00916463" w:rsidRPr="00D00246">
        <w:t>obywatelstwo</w:t>
      </w:r>
      <w:r w:rsidR="00802C80" w:rsidRPr="00D00246">
        <w:t xml:space="preserve">, lecz także w </w:t>
      </w:r>
      <w:r w:rsidR="00916463" w:rsidRPr="00D00246">
        <w:t>przypadku</w:t>
      </w:r>
      <w:r w:rsidR="007C3EC5">
        <w:t>,</w:t>
      </w:r>
      <w:r w:rsidR="00916463" w:rsidRPr="00D00246">
        <w:t xml:space="preserve"> gdy przestępstwo skierowane jest przeciwko interesom Austrii</w:t>
      </w:r>
      <w:r w:rsidR="00802C80" w:rsidRPr="00D00246">
        <w:t xml:space="preserve"> (</w:t>
      </w:r>
      <w:r w:rsidR="008A47A5">
        <w:t xml:space="preserve">zob. </w:t>
      </w:r>
      <w:r w:rsidR="00802C80" w:rsidRPr="008A47A5">
        <w:t xml:space="preserve">art. 64 k.k.). Rząd podkreślił, że Konwencja przeciwko handlowi ludźmi nie wymaga od Państw-Stron ustanowienia jurysdykcji uniwersalnej </w:t>
      </w:r>
      <w:r w:rsidR="00916463" w:rsidRPr="00D00246">
        <w:t xml:space="preserve">w odniesieniu </w:t>
      </w:r>
      <w:r w:rsidR="00802C80" w:rsidRPr="00D00246">
        <w:t>do zwalczania handlu ludźmi i pracy przymusowej.</w:t>
      </w:r>
    </w:p>
    <w:p w14:paraId="13A7A5EC" w14:textId="7B5BEBD3" w:rsidR="00802C80" w:rsidRPr="001C5F9D" w:rsidRDefault="00A3591C" w:rsidP="00802C80">
      <w:pPr>
        <w:pStyle w:val="ECHRPara"/>
      </w:pPr>
      <w:r>
        <w:rPr>
          <w:noProof/>
        </w:rPr>
        <w:t>96</w:t>
      </w:r>
      <w:r w:rsidR="00802C80" w:rsidRPr="00082846">
        <w:t>.</w:t>
      </w:r>
      <w:r w:rsidR="005F47D9">
        <w:t xml:space="preserve"> </w:t>
      </w:r>
      <w:r w:rsidR="00802C80" w:rsidRPr="00082846">
        <w:t xml:space="preserve">Rząd podkreślił, że </w:t>
      </w:r>
      <w:r w:rsidR="00916463" w:rsidRPr="00082846">
        <w:t xml:space="preserve">przepisy </w:t>
      </w:r>
      <w:r w:rsidR="00802C80" w:rsidRPr="00082846">
        <w:t>i ś</w:t>
      </w:r>
      <w:r w:rsidR="009C2CB9">
        <w:t>rodki opisane powyżej zostały w </w:t>
      </w:r>
      <w:r w:rsidR="00802C80" w:rsidRPr="00082846">
        <w:t xml:space="preserve">sprawie </w:t>
      </w:r>
      <w:r w:rsidR="00802C80" w:rsidRPr="003D7F25">
        <w:t>skarżących zastosowane, zaś działania podjęte przez władze austriackie były w pełni zgodne z Konwencją.</w:t>
      </w:r>
    </w:p>
    <w:p w14:paraId="21950852" w14:textId="71CEBDCF" w:rsidR="00802C80" w:rsidRPr="00D00246" w:rsidRDefault="00A3591C" w:rsidP="00802C80">
      <w:pPr>
        <w:pStyle w:val="ECHRPara"/>
      </w:pPr>
      <w:r>
        <w:rPr>
          <w:noProof/>
        </w:rPr>
        <w:t>97</w:t>
      </w:r>
      <w:r w:rsidR="00802C80" w:rsidRPr="00082846">
        <w:t>.</w:t>
      </w:r>
      <w:r w:rsidR="005F47D9">
        <w:t xml:space="preserve"> </w:t>
      </w:r>
      <w:r w:rsidR="00802C80" w:rsidRPr="00082846">
        <w:t xml:space="preserve">Opisane przez skarżące zdarzenia z udziałem ich </w:t>
      </w:r>
      <w:r w:rsidR="00916463" w:rsidRPr="003D7F25">
        <w:t xml:space="preserve">byłych </w:t>
      </w:r>
      <w:r w:rsidR="00802C80" w:rsidRPr="003D7F25">
        <w:t>pracodawczyń w trakcie pobytu wypoc</w:t>
      </w:r>
      <w:r w:rsidR="009C2CB9">
        <w:t>zynkowego w Austrii nastąpiły w </w:t>
      </w:r>
      <w:r w:rsidR="00802C80" w:rsidRPr="003D7F25">
        <w:t xml:space="preserve">ciągu trzech dni lipca 2010 r. Skarżące </w:t>
      </w:r>
      <w:r w:rsidR="00916463" w:rsidRPr="001C5F9D">
        <w:t>zgłosiły się</w:t>
      </w:r>
      <w:r w:rsidR="00802C80" w:rsidRPr="001F0818">
        <w:t xml:space="preserve"> </w:t>
      </w:r>
      <w:r w:rsidR="00916463" w:rsidRPr="001F0818">
        <w:t xml:space="preserve">na </w:t>
      </w:r>
      <w:r w:rsidR="00802C80" w:rsidRPr="008A47A5">
        <w:t xml:space="preserve">policję dopiero </w:t>
      </w:r>
      <w:r w:rsidR="00916463" w:rsidRPr="008A47A5">
        <w:t>jakiś</w:t>
      </w:r>
      <w:r w:rsidR="00802C80" w:rsidRPr="008A47A5">
        <w:t xml:space="preserve"> rok później. </w:t>
      </w:r>
      <w:r w:rsidR="00916463" w:rsidRPr="008A47A5">
        <w:t xml:space="preserve">Wprawdzie </w:t>
      </w:r>
      <w:r w:rsidR="00802C80" w:rsidRPr="008A47A5">
        <w:t xml:space="preserve">nie można </w:t>
      </w:r>
      <w:r w:rsidR="00916463" w:rsidRPr="00D00246">
        <w:t xml:space="preserve">skarżących winić </w:t>
      </w:r>
      <w:r w:rsidR="00802C80" w:rsidRPr="00D00246">
        <w:t xml:space="preserve">z tego powodu, </w:t>
      </w:r>
      <w:r w:rsidR="00916463" w:rsidRPr="00D00246">
        <w:t xml:space="preserve">to jednak </w:t>
      </w:r>
      <w:r w:rsidR="00802C80" w:rsidRPr="00D00246">
        <w:t xml:space="preserve">spowodowało to dodatkowe trudności w </w:t>
      </w:r>
      <w:r w:rsidR="00916463" w:rsidRPr="00D00246">
        <w:t xml:space="preserve">prowadzeniu </w:t>
      </w:r>
      <w:r w:rsidR="00802C80" w:rsidRPr="00D00246">
        <w:t>postępowani</w:t>
      </w:r>
      <w:r w:rsidR="00916463" w:rsidRPr="00D00246">
        <w:t>a</w:t>
      </w:r>
      <w:r w:rsidR="00802C80" w:rsidRPr="00D00246">
        <w:t xml:space="preserve"> w ich sprawie. W związku z początkowo prowadzonym postępowaniem przygotowawczym przeciwko skarżącym w sprawie kradzieży zgłoszonej przez pracodawczynie, władze uznały, że skarżące dawno już opuściły Austrię i nie mogły być przesłuchiwane w </w:t>
      </w:r>
      <w:r w:rsidR="00916463" w:rsidRPr="00D00246">
        <w:t xml:space="preserve">drodze </w:t>
      </w:r>
      <w:r w:rsidR="00802C80" w:rsidRPr="00D00246">
        <w:t>wniosków rekwizycyjnych (</w:t>
      </w:r>
      <w:r w:rsidR="00802C80" w:rsidRPr="00D00246">
        <w:rPr>
          <w:i/>
        </w:rPr>
        <w:t>Rechtshilfeersuchen</w:t>
      </w:r>
      <w:r w:rsidR="00802C80" w:rsidRPr="00D00246">
        <w:t xml:space="preserve">) kierowanych przez organy </w:t>
      </w:r>
      <w:r w:rsidR="00802C80" w:rsidRPr="00036045">
        <w:t xml:space="preserve">emirackie. </w:t>
      </w:r>
      <w:r w:rsidR="00A14C5B" w:rsidRPr="00036045">
        <w:t>W</w:t>
      </w:r>
      <w:r w:rsidR="00A14C5B" w:rsidRPr="00D00246">
        <w:t xml:space="preserve"> świetle</w:t>
      </w:r>
      <w:r w:rsidR="00802C80" w:rsidRPr="00D00246">
        <w:t xml:space="preserve"> </w:t>
      </w:r>
      <w:r w:rsidR="00A14C5B" w:rsidRPr="00D00246">
        <w:t xml:space="preserve">ogólnego </w:t>
      </w:r>
      <w:r w:rsidR="00802C80" w:rsidRPr="00D00246">
        <w:t>doświadczeni</w:t>
      </w:r>
      <w:r w:rsidR="00A14C5B" w:rsidRPr="00D00246">
        <w:t>a</w:t>
      </w:r>
      <w:r w:rsidR="00802C80" w:rsidRPr="00D00246">
        <w:t xml:space="preserve"> zdarzeń opisanych przez skarżące jako zaistniałe w hotelu w Wiedniu (opieka nad dziećmi, gotowanie i pranie w nietypowych i </w:t>
      </w:r>
      <w:r w:rsidR="00A14C5B" w:rsidRPr="00D00246">
        <w:t xml:space="preserve">ponadnormatywnych </w:t>
      </w:r>
      <w:r w:rsidR="00802C80" w:rsidRPr="00D00246">
        <w:t>godzinach, zastraszające zachowanie pracodaw</w:t>
      </w:r>
      <w:r w:rsidR="009C2CB9">
        <w:t>czyń i odebranie paszportów), w </w:t>
      </w:r>
      <w:r w:rsidR="00802C80" w:rsidRPr="00D00246">
        <w:t xml:space="preserve">szczególności zaś sceny, jaka rozegrała się w bardzo popularnym zoo, nie można było ustalić </w:t>
      </w:r>
      <w:r w:rsidR="007C3EC5" w:rsidRPr="00D00246">
        <w:t xml:space="preserve">ponad rok później </w:t>
      </w:r>
      <w:r w:rsidR="00802C80" w:rsidRPr="00D00246">
        <w:t>na poziomie pewności wymaganym w postępowaniu karnym. Nie można zatem już było ocenić, czy traktowanie skarżących rzeczywiście si</w:t>
      </w:r>
      <w:r w:rsidR="00A14C5B" w:rsidRPr="00D00246">
        <w:t>ę</w:t>
      </w:r>
      <w:r w:rsidR="00802C80" w:rsidRPr="00D00246">
        <w:t xml:space="preserve">gnęło </w:t>
      </w:r>
      <w:r w:rsidR="00A14C5B" w:rsidRPr="00D00246">
        <w:t xml:space="preserve">poziomu </w:t>
      </w:r>
      <w:r w:rsidR="00802C80" w:rsidRPr="00D00246">
        <w:t>wymagan</w:t>
      </w:r>
      <w:r w:rsidR="00A14C5B" w:rsidRPr="00D00246">
        <w:t>ego</w:t>
      </w:r>
      <w:r w:rsidR="00802C80" w:rsidRPr="00D00246">
        <w:t xml:space="preserve"> do zakwalifikowania go jako wyzysku pracy w rozumieniu art. 4 czy też poniżającego traktowania w rozumieniu art. 3 Konwencji.</w:t>
      </w:r>
      <w:r w:rsidR="00A14C5B" w:rsidRPr="00D00246">
        <w:t xml:space="preserve"> Zeznania</w:t>
      </w:r>
      <w:r w:rsidR="00802C80" w:rsidRPr="00D00246">
        <w:t xml:space="preserve"> złożone w trakcie przesłuchania trzech domniemanych ofiar handlu ludźmi oraz recepcjonistki hotelowej będącej bezpośrednim świadkiem jedynie części zdarzeń, nie wydawały się wystarczające do uzasadnienia tak poważnych zarzutów karnych.</w:t>
      </w:r>
    </w:p>
    <w:p w14:paraId="6D6CE8BF" w14:textId="698699DB" w:rsidR="00802C80" w:rsidRPr="008A47A5" w:rsidRDefault="00A3591C" w:rsidP="00802C80">
      <w:pPr>
        <w:pStyle w:val="ECHRPara"/>
      </w:pPr>
      <w:r>
        <w:rPr>
          <w:noProof/>
        </w:rPr>
        <w:t>98</w:t>
      </w:r>
      <w:r w:rsidR="00802C80" w:rsidRPr="00082846">
        <w:t>.</w:t>
      </w:r>
      <w:r w:rsidR="005F47D9">
        <w:t xml:space="preserve"> </w:t>
      </w:r>
      <w:r w:rsidR="00802C80" w:rsidRPr="00082846">
        <w:t xml:space="preserve">Skarżące korzystały ze wsparcia początkowo innych osób narodowości filipińskiej, od 2011 r. zaś również organizacji pozarządowej LEFÖ. Po opuszczeniu pracodawczyń nie znajdowały się już w sytuacji </w:t>
      </w:r>
      <w:r w:rsidR="00D92EFD" w:rsidRPr="003D7F25">
        <w:t xml:space="preserve">wyzysku </w:t>
      </w:r>
      <w:r w:rsidR="00802C80" w:rsidRPr="003D7F25">
        <w:t xml:space="preserve">ani </w:t>
      </w:r>
      <w:r w:rsidR="00A14C5B" w:rsidRPr="003D7F25">
        <w:t>realnej</w:t>
      </w:r>
      <w:r w:rsidR="00802C80" w:rsidRPr="003D7F25">
        <w:t xml:space="preserve"> groźby </w:t>
      </w:r>
      <w:r w:rsidR="00D92EFD" w:rsidRPr="003D7F25">
        <w:t>wyzysku</w:t>
      </w:r>
      <w:r w:rsidR="00A14C5B" w:rsidRPr="003D7F25">
        <w:t xml:space="preserve"> </w:t>
      </w:r>
      <w:r w:rsidR="00802C80" w:rsidRPr="003D7F25">
        <w:t xml:space="preserve">w przyszłości. Wprost przeciwnie, dzięki pomocy </w:t>
      </w:r>
      <w:r w:rsidR="00B25512" w:rsidRPr="003D7F25">
        <w:t xml:space="preserve">Państwa </w:t>
      </w:r>
      <w:r w:rsidR="00802C80" w:rsidRPr="003D7F25">
        <w:t>austriackiego mogły</w:t>
      </w:r>
      <w:r w:rsidR="00802C80" w:rsidRPr="001C5F9D">
        <w:t xml:space="preserve"> zgodnie z prawem przebywać w tym kraju. Od momentu, w którym zwróciły się do LEFÖ — instytucji finansowanej ze środków publicznych — korzystały z </w:t>
      </w:r>
      <w:r w:rsidR="00A14C5B" w:rsidRPr="001F0818">
        <w:t xml:space="preserve">pomocy </w:t>
      </w:r>
      <w:r w:rsidR="00802C80" w:rsidRPr="001F0818">
        <w:t xml:space="preserve">prawnej, pomocy proceduralnej i ułatwień </w:t>
      </w:r>
      <w:r w:rsidR="00A14C5B" w:rsidRPr="008A47A5">
        <w:t xml:space="preserve">w zakresie </w:t>
      </w:r>
      <w:r w:rsidR="00802C80" w:rsidRPr="008A47A5">
        <w:t>integracji w Austrii.</w:t>
      </w:r>
    </w:p>
    <w:p w14:paraId="0629DD5D" w14:textId="27BA6C83" w:rsidR="00802C80" w:rsidRPr="001F0818" w:rsidRDefault="00A3591C" w:rsidP="00802C80">
      <w:pPr>
        <w:pStyle w:val="ECHRPara"/>
      </w:pPr>
      <w:r>
        <w:rPr>
          <w:noProof/>
        </w:rPr>
        <w:lastRenderedPageBreak/>
        <w:t>99</w:t>
      </w:r>
      <w:r w:rsidR="00802C80" w:rsidRPr="00082846">
        <w:t>.</w:t>
      </w:r>
      <w:r w:rsidR="005F47D9">
        <w:t xml:space="preserve"> </w:t>
      </w:r>
      <w:r w:rsidR="00802C80" w:rsidRPr="00082846">
        <w:t>Zgodnie z art. 10 Konwencji przeciwko handlowi ludźmi (</w:t>
      </w:r>
      <w:r w:rsidR="00EB2200">
        <w:t>zob. </w:t>
      </w:r>
      <w:r w:rsidR="00802C80" w:rsidRPr="003D7F25">
        <w:t xml:space="preserve">paragraf 56 powyżej) skarżące były przesłuchiwane nie przez zwykłych funkcjonariuszy policji, lecz </w:t>
      </w:r>
      <w:r w:rsidR="00D92EFD" w:rsidRPr="001C5F9D">
        <w:t xml:space="preserve">przez funkcjonariuszy </w:t>
      </w:r>
      <w:r w:rsidR="00EB2200">
        <w:t>przeszkolonych i </w:t>
      </w:r>
      <w:r w:rsidR="00802C80" w:rsidRPr="001F0818">
        <w:t>doświadczonych w sprawach transgranicznego handlu ludźmi i wyzysku pracy. W trakcie przesłuchań towarzyszyli im przedstawiciele LEFÖ (</w:t>
      </w:r>
      <w:r w:rsidR="001F0818">
        <w:t xml:space="preserve">zob. </w:t>
      </w:r>
      <w:r w:rsidR="00802C80" w:rsidRPr="001F0818">
        <w:t xml:space="preserve">paragraf 25 powyżej). Skarżące nie zostały wydalone do kraju pochodzenia, nie podjęto też żadnych innych środków w celu zakończenia ich pobytu w Austrii. Przeciwnie, przyznano im </w:t>
      </w:r>
      <w:r w:rsidR="00D92EFD" w:rsidRPr="001F0818">
        <w:t xml:space="preserve">szczególną </w:t>
      </w:r>
      <w:r w:rsidR="00802C80" w:rsidRPr="001F0818">
        <w:t xml:space="preserve">ochronę w trybie art. 69a </w:t>
      </w:r>
      <w:r w:rsidR="00D92EFD" w:rsidRPr="001F0818">
        <w:t>u</w:t>
      </w:r>
      <w:r w:rsidR="00802C80" w:rsidRPr="001F0818">
        <w:t xml:space="preserve">stawy </w:t>
      </w:r>
      <w:r w:rsidR="00D92EFD" w:rsidRPr="001F0818">
        <w:t xml:space="preserve">o pobycie </w:t>
      </w:r>
      <w:r w:rsidR="00802C80" w:rsidRPr="001F0818">
        <w:t>(</w:t>
      </w:r>
      <w:r w:rsidR="001F0818">
        <w:t xml:space="preserve">zob. </w:t>
      </w:r>
      <w:r w:rsidR="00802C80" w:rsidRPr="001F0818">
        <w:t>paragraf 46 powyżej), co umożliwiło zgodny z prawem pobyt w Austrii. Skarżące zatem nie tylko traktowane były w sposób wykraczający poza zakres zobowiązań Austrii z art. 10 Konwencji przeciwko handlowi ludźmi, lecz również otrzymały możliwość pracy i zapew</w:t>
      </w:r>
      <w:r w:rsidR="00EB2200">
        <w:t>nienia sobie środków do życia w </w:t>
      </w:r>
      <w:r w:rsidR="00802C80" w:rsidRPr="001F0818">
        <w:t xml:space="preserve">Austrii. Ponadto na Centralną Ewidencję został nałożony zakaz udostępniania danych osobowych, tak aby uniemożliwić </w:t>
      </w:r>
      <w:r w:rsidR="00D92EFD" w:rsidRPr="001F0818">
        <w:t xml:space="preserve">ustalenie </w:t>
      </w:r>
      <w:r w:rsidR="00802C80" w:rsidRPr="001F0818">
        <w:t xml:space="preserve">ich miejsca pobytu przez </w:t>
      </w:r>
      <w:r w:rsidR="00D92EFD" w:rsidRPr="001F0818">
        <w:t>osoby trzecie</w:t>
      </w:r>
      <w:r w:rsidR="00802C80" w:rsidRPr="001F0818">
        <w:t xml:space="preserve"> (</w:t>
      </w:r>
      <w:r w:rsidR="001F0818">
        <w:t xml:space="preserve">zob. </w:t>
      </w:r>
      <w:r w:rsidR="00802C80" w:rsidRPr="001F0818">
        <w:t>paragraf 34 powyżej).</w:t>
      </w:r>
    </w:p>
    <w:p w14:paraId="0F1DFF25" w14:textId="2E89112B" w:rsidR="00802C80" w:rsidRPr="00D00246" w:rsidRDefault="00A3591C" w:rsidP="00802C80">
      <w:pPr>
        <w:pStyle w:val="ECHRPara"/>
      </w:pPr>
      <w:r>
        <w:rPr>
          <w:noProof/>
        </w:rPr>
        <w:t>100</w:t>
      </w:r>
      <w:r w:rsidR="00802C80" w:rsidRPr="00082846">
        <w:t>.</w:t>
      </w:r>
      <w:r w:rsidR="005F47D9">
        <w:t xml:space="preserve"> </w:t>
      </w:r>
      <w:r w:rsidR="00802C80" w:rsidRPr="00082846">
        <w:t xml:space="preserve">Rząd </w:t>
      </w:r>
      <w:r w:rsidR="00D92EFD" w:rsidRPr="00082846">
        <w:t>wskazuje</w:t>
      </w:r>
      <w:r w:rsidR="00802C80" w:rsidRPr="00082846">
        <w:t>, że władze austriackie wywiązały się również ze swoich zobowiązań wynikających z art. 28 Konwencji przeciwko handlowi ludźmi (</w:t>
      </w:r>
      <w:r w:rsidR="001F0818">
        <w:t xml:space="preserve">zob. </w:t>
      </w:r>
      <w:r w:rsidR="00802C80" w:rsidRPr="003D7F25">
        <w:t>paragraf 58 powyżej). Jak omówiono wyżej, skarżące</w:t>
      </w:r>
      <w:r w:rsidR="00802C80" w:rsidRPr="001C5F9D">
        <w:t xml:space="preserve"> korzystały ze wsparcia LEFÖ przed organami policyjnymi w rozumieniu art. 27 ust. 3, a także profesjonalnych pełnomocników </w:t>
      </w:r>
      <w:r w:rsidR="00802C80" w:rsidRPr="001F0818">
        <w:t>przed wiedeńską prokuraturą. Nie było możliwe wszczęcie postępowania w terminie wcześniejszym, bowi</w:t>
      </w:r>
      <w:r w:rsidR="00802C80" w:rsidRPr="008A47A5">
        <w:t>em zarzuty skarżących względem ich byłych pracodawczyń zostały zgłoszone władzom dopiero w lipcu 2011 r.</w:t>
      </w:r>
    </w:p>
    <w:p w14:paraId="0CD1F76D" w14:textId="726E4E03" w:rsidR="00802C80" w:rsidRPr="00D00246" w:rsidRDefault="00A3591C" w:rsidP="00802C80">
      <w:pPr>
        <w:pStyle w:val="ECHRPara"/>
        <w:rPr>
          <w:i/>
        </w:rPr>
      </w:pPr>
      <w:r>
        <w:t>101</w:t>
      </w:r>
      <w:r w:rsidR="00802C80" w:rsidRPr="00082846">
        <w:t>.</w:t>
      </w:r>
      <w:r w:rsidR="005F47D9">
        <w:t xml:space="preserve"> </w:t>
      </w:r>
      <w:r w:rsidR="00802C80" w:rsidRPr="00082846">
        <w:t>Rząd podniósł, że sytuacja skarżących różniła się zatem znacząco od sytuacji skarżących w poprzedni</w:t>
      </w:r>
      <w:r w:rsidR="00EB2200">
        <w:t>ch sprawach przed Trybunałem, w </w:t>
      </w:r>
      <w:r w:rsidR="00802C80" w:rsidRPr="00082846">
        <w:t>których wymagane byłoby niezwłoczne wszczęcie i intensywne prowadzenie postępowania przygotowawczego (Rząd wskazał m.in. na</w:t>
      </w:r>
      <w:r w:rsidR="00802C80" w:rsidRPr="003D7F25">
        <w:rPr>
          <w:i/>
        </w:rPr>
        <w:t xml:space="preserve"> Rantsev</w:t>
      </w:r>
      <w:r w:rsidR="00802C80" w:rsidRPr="003D7F25">
        <w:t xml:space="preserve">, </w:t>
      </w:r>
      <w:r w:rsidR="00D92EFD" w:rsidRPr="00076546">
        <w:rPr>
          <w:i/>
        </w:rPr>
        <w:t>op. cit</w:t>
      </w:r>
      <w:r w:rsidR="00D92EFD" w:rsidRPr="00082846">
        <w:t>.</w:t>
      </w:r>
      <w:r w:rsidR="00802C80" w:rsidRPr="00082846">
        <w:t>, paragraf 289). W</w:t>
      </w:r>
      <w:r w:rsidR="007C3EC5">
        <w:t>ydaje się, że w</w:t>
      </w:r>
      <w:r w:rsidR="00802C80" w:rsidRPr="00082846">
        <w:t xml:space="preserve"> sprawie takiej jak niniejsza brak </w:t>
      </w:r>
      <w:r w:rsidR="007C3EC5">
        <w:t xml:space="preserve">było </w:t>
      </w:r>
      <w:r w:rsidR="00802C80" w:rsidRPr="00082846">
        <w:t>obowiązku współdziałania z właściwymi władzami innego zainteresow</w:t>
      </w:r>
      <w:r w:rsidR="00802C80" w:rsidRPr="003D7F25">
        <w:t xml:space="preserve">anego </w:t>
      </w:r>
      <w:r w:rsidR="0084073C">
        <w:t>P</w:t>
      </w:r>
      <w:r w:rsidR="00802C80" w:rsidRPr="001F0818">
        <w:t xml:space="preserve">aństwa (tu: Zjednoczonych Emiratów Arabskich) w celu wyjaśnienia zdarzeń, które miały w nim miejsce (powołano się </w:t>
      </w:r>
      <w:r w:rsidR="00802C80" w:rsidRPr="001F0818">
        <w:rPr>
          <w:i/>
        </w:rPr>
        <w:t xml:space="preserve">mutatis mutandis </w:t>
      </w:r>
      <w:r w:rsidR="00802C80" w:rsidRPr="001F0818">
        <w:t xml:space="preserve">na </w:t>
      </w:r>
      <w:r w:rsidR="00802C80" w:rsidRPr="008A47A5">
        <w:rPr>
          <w:i/>
        </w:rPr>
        <w:t>Rantsev</w:t>
      </w:r>
      <w:r w:rsidR="00802C80" w:rsidRPr="008A47A5">
        <w:t>,</w:t>
      </w:r>
      <w:r w:rsidR="00802C80" w:rsidRPr="008A47A5">
        <w:rPr>
          <w:i/>
        </w:rPr>
        <w:t xml:space="preserve"> loc. cit.</w:t>
      </w:r>
      <w:r w:rsidR="00802C80" w:rsidRPr="008A47A5">
        <w:t>). Uzyskanie ze strony Zjednoczonych Emiratów Arabskich pomoc</w:t>
      </w:r>
      <w:r w:rsidR="00802C80" w:rsidRPr="00D00246">
        <w:t xml:space="preserve">y prawnej niezbędnej do przeprowadzenia postępowania przygotowawczego przeciwko byłym pracodawczyniom skarżących nie było możliwe, ponieważ nie istniała wówczas jeszcze żadna umowa o wzajemnej pomocy prawnej między Austrią a Zjednoczonymi Emiratami Arabskimi. Nawet proste wnioski o pomoc prawną </w:t>
      </w:r>
      <w:r w:rsidR="00EB2200">
        <w:t>były w </w:t>
      </w:r>
      <w:r w:rsidR="00802C80" w:rsidRPr="00D00246">
        <w:t xml:space="preserve">przeszłości </w:t>
      </w:r>
      <w:r w:rsidR="00D92EFD" w:rsidRPr="00D00246">
        <w:t xml:space="preserve">wielokrotnie </w:t>
      </w:r>
      <w:r w:rsidR="00802C80" w:rsidRPr="00D00246">
        <w:t xml:space="preserve">odrzucane </w:t>
      </w:r>
      <w:r w:rsidR="00D92EFD" w:rsidRPr="00D00246">
        <w:t>z niezrozumiałych przyczyn</w:t>
      </w:r>
      <w:r w:rsidR="00802C80" w:rsidRPr="00D00246">
        <w:t xml:space="preserve">. </w:t>
      </w:r>
      <w:r w:rsidR="00D92EFD" w:rsidRPr="00D00246">
        <w:t xml:space="preserve">Brak było również przesłanek wskazujących na to, że </w:t>
      </w:r>
      <w:r w:rsidR="00802C80" w:rsidRPr="00D00246">
        <w:t xml:space="preserve">byłe pracodawczynie skarżących wciąż przebywały w </w:t>
      </w:r>
      <w:r w:rsidR="00D92EFD" w:rsidRPr="00D00246">
        <w:t>Wielkiej Brytanii</w:t>
      </w:r>
      <w:r w:rsidR="00802C80" w:rsidRPr="00D00246">
        <w:t xml:space="preserve">, gdzie </w:t>
      </w:r>
      <w:r w:rsidR="00D92EFD" w:rsidRPr="00D00246">
        <w:t xml:space="preserve">jakoby miały </w:t>
      </w:r>
      <w:r w:rsidR="00802C80" w:rsidRPr="00D00246">
        <w:t xml:space="preserve">udać się po zakończeniu pobytu w Wiedniu. Dla dalszych czynności dochodzeniowo-śledczych zaś niezbędne byłoby poinformowanie byłych pracodawczyń o wniesionych przeciwko nim zarzutach i </w:t>
      </w:r>
      <w:r w:rsidR="002A53D9" w:rsidRPr="00D00246">
        <w:t xml:space="preserve">umożliwienie im </w:t>
      </w:r>
      <w:r w:rsidR="002A53D9" w:rsidRPr="00D00246">
        <w:lastRenderedPageBreak/>
        <w:t>przedstawienia stanowiska</w:t>
      </w:r>
      <w:r w:rsidR="00802C80" w:rsidRPr="00D00246">
        <w:t xml:space="preserve">. </w:t>
      </w:r>
      <w:r w:rsidR="002A53D9" w:rsidRPr="00D00246">
        <w:t>P</w:t>
      </w:r>
      <w:r w:rsidR="00802C80" w:rsidRPr="00D00246">
        <w:t>raw</w:t>
      </w:r>
      <w:r w:rsidR="002A53D9" w:rsidRPr="00D00246">
        <w:t>o</w:t>
      </w:r>
      <w:r w:rsidR="00802C80" w:rsidRPr="00D00246">
        <w:t xml:space="preserve"> austriacki</w:t>
      </w:r>
      <w:r w:rsidR="002A53D9" w:rsidRPr="00D00246">
        <w:t>e</w:t>
      </w:r>
      <w:r w:rsidR="00802C80" w:rsidRPr="00D00246">
        <w:t xml:space="preserve"> nie </w:t>
      </w:r>
      <w:r w:rsidR="002A53D9" w:rsidRPr="00D00246">
        <w:t>zezwala na</w:t>
      </w:r>
      <w:r w:rsidR="00802C80" w:rsidRPr="00D00246">
        <w:t xml:space="preserve"> prowadzenie postępowania mającego na celu ustalenie </w:t>
      </w:r>
      <w:r w:rsidR="002A53D9" w:rsidRPr="00D00246">
        <w:t xml:space="preserve">okoliczności </w:t>
      </w:r>
      <w:r w:rsidR="00802C80" w:rsidRPr="00D00246">
        <w:t>przestępstw</w:t>
      </w:r>
      <w:r w:rsidR="002A53D9" w:rsidRPr="00D00246">
        <w:t>a</w:t>
      </w:r>
      <w:r w:rsidR="00802C80" w:rsidRPr="00D00246">
        <w:t xml:space="preserve"> pod nieobecność oskarżonego.</w:t>
      </w:r>
    </w:p>
    <w:p w14:paraId="6E0DC0ED" w14:textId="2413E7E7" w:rsidR="00802C80" w:rsidRPr="00082846" w:rsidRDefault="00A3591C" w:rsidP="00802C80">
      <w:pPr>
        <w:pStyle w:val="ECHRPara"/>
      </w:pPr>
      <w:r>
        <w:rPr>
          <w:noProof/>
        </w:rPr>
        <w:t>102</w:t>
      </w:r>
      <w:r w:rsidR="00802C80" w:rsidRPr="00082846">
        <w:t>.</w:t>
      </w:r>
      <w:r w:rsidR="005F47D9">
        <w:t xml:space="preserve"> </w:t>
      </w:r>
      <w:r w:rsidR="00802C80" w:rsidRPr="00082846">
        <w:t xml:space="preserve">Rząd </w:t>
      </w:r>
      <w:r w:rsidR="00802C80" w:rsidRPr="00036045">
        <w:t>stwierdz</w:t>
      </w:r>
      <w:r w:rsidR="00036045" w:rsidRPr="00036045">
        <w:t>ił w konkluzji</w:t>
      </w:r>
      <w:r w:rsidR="00802C80" w:rsidRPr="00082846">
        <w:t>, że nie doszło do naruszenia art. 4 Konwencji, bowiem ogólne zobowiązanie do podjęcia czynności operacyjnych, szczegółowo omówion</w:t>
      </w:r>
      <w:r w:rsidR="002A53D9" w:rsidRPr="003D7F25">
        <w:t>ych</w:t>
      </w:r>
      <w:r w:rsidR="00802C80" w:rsidRPr="003D7F25">
        <w:t xml:space="preserve"> </w:t>
      </w:r>
      <w:r w:rsidR="002A53D9" w:rsidRPr="003D7F25">
        <w:t>po</w:t>
      </w:r>
      <w:r w:rsidR="00802C80" w:rsidRPr="003D7F25">
        <w:t>wyżej, nie nakłada na władze niemożliwego ani nieproporcjonalnego ciężaru, lecz wymaga</w:t>
      </w:r>
      <w:r w:rsidR="00802C80" w:rsidRPr="001C5F9D">
        <w:t xml:space="preserve"> od nich podjęcia starań o zapewn</w:t>
      </w:r>
      <w:r w:rsidR="00802C80" w:rsidRPr="001F0818">
        <w:t>ienie fizycznego bezpieczeństwa ofiar handlu ludźmi, co też uczyniły (Rząd wskazał</w:t>
      </w:r>
      <w:r w:rsidR="002A53D9" w:rsidRPr="001F0818">
        <w:t xml:space="preserve">, </w:t>
      </w:r>
      <w:r w:rsidR="00802C80" w:rsidRPr="001F0818">
        <w:rPr>
          <w:i/>
        </w:rPr>
        <w:t>mutatis mutandis</w:t>
      </w:r>
      <w:r w:rsidR="002A53D9" w:rsidRPr="001F0818">
        <w:rPr>
          <w:i/>
        </w:rPr>
        <w:t>,</w:t>
      </w:r>
      <w:r w:rsidR="00802C80" w:rsidRPr="001F0818">
        <w:t xml:space="preserve"> na </w:t>
      </w:r>
      <w:r w:rsidR="00802C80" w:rsidRPr="001F0818">
        <w:rPr>
          <w:i/>
        </w:rPr>
        <w:t>Rantsev</w:t>
      </w:r>
      <w:r w:rsidR="00802C80" w:rsidRPr="001F0818">
        <w:t xml:space="preserve">, </w:t>
      </w:r>
      <w:r w:rsidR="002A53D9" w:rsidRPr="00076546">
        <w:rPr>
          <w:i/>
        </w:rPr>
        <w:t>op. cit</w:t>
      </w:r>
      <w:r w:rsidR="002A53D9" w:rsidRPr="00082846">
        <w:t>.</w:t>
      </w:r>
      <w:r w:rsidR="00802C80" w:rsidRPr="00082846">
        <w:t xml:space="preserve">, </w:t>
      </w:r>
      <w:r w:rsidR="001F0818">
        <w:t>§</w:t>
      </w:r>
      <w:r w:rsidR="00802C80" w:rsidRPr="00082846">
        <w:t xml:space="preserve"> 287).</w:t>
      </w:r>
    </w:p>
    <w:p w14:paraId="20AF2402" w14:textId="2AB44EC1" w:rsidR="00802C80" w:rsidRPr="003D7F25" w:rsidRDefault="00802C80" w:rsidP="00802C80">
      <w:pPr>
        <w:pStyle w:val="ECHRHeading3"/>
      </w:pPr>
      <w:r w:rsidRPr="003D7F25">
        <w:t>2.</w:t>
      </w:r>
      <w:r w:rsidR="005F47D9">
        <w:t xml:space="preserve"> </w:t>
      </w:r>
      <w:r w:rsidRPr="003D7F25">
        <w:t>Ocena Trybunału</w:t>
      </w:r>
    </w:p>
    <w:p w14:paraId="7A052761" w14:textId="623E00AD" w:rsidR="00802C80" w:rsidRPr="001C5F9D" w:rsidRDefault="00802C80" w:rsidP="00802C80">
      <w:pPr>
        <w:pStyle w:val="ECHRHeading4"/>
      </w:pPr>
      <w:r w:rsidRPr="001C5F9D">
        <w:t>a)</w:t>
      </w:r>
      <w:r w:rsidR="005F47D9">
        <w:t xml:space="preserve"> </w:t>
      </w:r>
      <w:r w:rsidRPr="001C5F9D">
        <w:t>Ogólne zasady</w:t>
      </w:r>
    </w:p>
    <w:p w14:paraId="32C4BF75" w14:textId="2F927C9B" w:rsidR="00802C80" w:rsidRPr="001F0818" w:rsidRDefault="00A3591C" w:rsidP="00802C80">
      <w:pPr>
        <w:pStyle w:val="ECHRPara"/>
      </w:pPr>
      <w:r>
        <w:rPr>
          <w:noProof/>
        </w:rPr>
        <w:t>103</w:t>
      </w:r>
      <w:r w:rsidR="00802C80" w:rsidRPr="00082846">
        <w:t>.</w:t>
      </w:r>
      <w:r w:rsidR="005F47D9">
        <w:t xml:space="preserve"> </w:t>
      </w:r>
      <w:r w:rsidR="00802C80" w:rsidRPr="00082846">
        <w:t xml:space="preserve">Trybunał wskazuje na swoje </w:t>
      </w:r>
      <w:r w:rsidR="002A53D9" w:rsidRPr="00082846">
        <w:t xml:space="preserve">odnośne </w:t>
      </w:r>
      <w:r w:rsidR="00802C80" w:rsidRPr="00082846">
        <w:t xml:space="preserve">orzecznictwo dotyczące zasad ogólnych regulujących </w:t>
      </w:r>
      <w:r w:rsidR="00EB2200">
        <w:t>zastosowanie art. 4 Konwencji w </w:t>
      </w:r>
      <w:r w:rsidR="00F861B0">
        <w:t>szczególn</w:t>
      </w:r>
      <w:r w:rsidR="00802C80" w:rsidRPr="00082846">
        <w:t xml:space="preserve">ym kontekście handlu ludźmi i pracy </w:t>
      </w:r>
      <w:r w:rsidR="00DB0393" w:rsidRPr="00082846">
        <w:t xml:space="preserve">przymusowej </w:t>
      </w:r>
      <w:r w:rsidR="00802C80" w:rsidRPr="00082846">
        <w:t>(</w:t>
      </w:r>
      <w:r w:rsidR="00EB2200">
        <w:t>zob. </w:t>
      </w:r>
      <w:r w:rsidR="00802C80" w:rsidRPr="003D7F25">
        <w:rPr>
          <w:i/>
        </w:rPr>
        <w:t>Rantsev</w:t>
      </w:r>
      <w:r w:rsidR="00802C80" w:rsidRPr="003D7F25">
        <w:t xml:space="preserve">, </w:t>
      </w:r>
      <w:r w:rsidR="002A53D9" w:rsidRPr="00076546">
        <w:rPr>
          <w:i/>
        </w:rPr>
        <w:t>op. cit</w:t>
      </w:r>
      <w:r w:rsidR="002A53D9" w:rsidRPr="00082846">
        <w:t>.</w:t>
      </w:r>
      <w:r w:rsidR="00802C80" w:rsidRPr="00082846">
        <w:t xml:space="preserve">, </w:t>
      </w:r>
      <w:r w:rsidR="001F0818">
        <w:t>§§</w:t>
      </w:r>
      <w:r w:rsidR="00802C80" w:rsidRPr="00082846">
        <w:t xml:space="preserve"> 272-289). Trybunał przypomina, że art. 4 gwarantuje jedną z podstawowych wartości demokratycznych społeczeństw. Pierwszy ustęp tego artykułu nie przewiduje wyjątków, nie jest też </w:t>
      </w:r>
      <w:r w:rsidR="00EB2200">
        <w:t>w </w:t>
      </w:r>
      <w:r w:rsidR="00802C80" w:rsidRPr="003D7F25">
        <w:t xml:space="preserve">żadnym zakresie </w:t>
      </w:r>
      <w:r w:rsidR="002A53D9" w:rsidRPr="003D7F25">
        <w:t xml:space="preserve">możliwe </w:t>
      </w:r>
      <w:r w:rsidR="00DB0393">
        <w:t xml:space="preserve">uchylenie zobowiązań wynikających z tego postanowienia </w:t>
      </w:r>
      <w:r w:rsidR="00802C80" w:rsidRPr="001F0818">
        <w:t xml:space="preserve">na </w:t>
      </w:r>
      <w:r w:rsidR="002A53D9" w:rsidRPr="001F0818">
        <w:t xml:space="preserve">gruncie </w:t>
      </w:r>
      <w:r w:rsidR="00802C80" w:rsidRPr="001F0818">
        <w:t xml:space="preserve">art. 15 ust. 2, nawet w przypadku </w:t>
      </w:r>
      <w:r w:rsidR="00DB0393">
        <w:t>stanu niebezpieczeństwa publicznego zagrażającego</w:t>
      </w:r>
      <w:r w:rsidR="0084073C">
        <w:t xml:space="preserve"> </w:t>
      </w:r>
      <w:r w:rsidR="00DB0393">
        <w:t>życiu narodu</w:t>
      </w:r>
      <w:r w:rsidR="00802C80" w:rsidRPr="001F0818">
        <w:t xml:space="preserve"> (</w:t>
      </w:r>
      <w:r w:rsidR="001F0818">
        <w:t xml:space="preserve">zob. </w:t>
      </w:r>
      <w:r w:rsidR="00802C80" w:rsidRPr="001F0818">
        <w:rPr>
          <w:i/>
        </w:rPr>
        <w:t xml:space="preserve">C.N. p-ko </w:t>
      </w:r>
      <w:r w:rsidR="00802C80" w:rsidRPr="0096762D">
        <w:rPr>
          <w:i/>
        </w:rPr>
        <w:t>Zjednoczonemu Królestwu</w:t>
      </w:r>
      <w:r w:rsidR="00802C80" w:rsidRPr="001F0818">
        <w:t>, nr 4239/08</w:t>
      </w:r>
      <w:r w:rsidR="00802C80" w:rsidRPr="001F0818">
        <w:rPr>
          <w:snapToGrid w:val="0"/>
        </w:rPr>
        <w:t xml:space="preserve">, </w:t>
      </w:r>
      <w:r w:rsidR="002A53D9" w:rsidRPr="001F0818">
        <w:rPr>
          <w:snapToGrid w:val="0"/>
        </w:rPr>
        <w:t>§</w:t>
      </w:r>
      <w:r w:rsidR="00EB2200">
        <w:rPr>
          <w:snapToGrid w:val="0"/>
        </w:rPr>
        <w:t> </w:t>
      </w:r>
      <w:r w:rsidR="00802C80" w:rsidRPr="001F0818">
        <w:rPr>
          <w:snapToGrid w:val="0"/>
        </w:rPr>
        <w:t>65, 13 listopada 2012 r.</w:t>
      </w:r>
      <w:r w:rsidR="00802C80" w:rsidRPr="001F0818">
        <w:t>).</w:t>
      </w:r>
    </w:p>
    <w:p w14:paraId="40F1B1B6" w14:textId="4EAC3E6A" w:rsidR="00802C80" w:rsidRPr="001F0818" w:rsidRDefault="00A3591C" w:rsidP="00802C80">
      <w:pPr>
        <w:pStyle w:val="ECHRPara"/>
        <w:rPr>
          <w:rFonts w:cstheme="minorHAnsi"/>
        </w:rPr>
      </w:pPr>
      <w:r>
        <w:rPr>
          <w:noProof/>
        </w:rPr>
        <w:t>104</w:t>
      </w:r>
      <w:r w:rsidR="00802C80" w:rsidRPr="00082846">
        <w:t>.</w:t>
      </w:r>
      <w:r w:rsidR="005F47D9">
        <w:t xml:space="preserve"> </w:t>
      </w:r>
      <w:r w:rsidR="00802C80" w:rsidRPr="00082846">
        <w:t xml:space="preserve">W sprawie </w:t>
      </w:r>
      <w:r w:rsidR="00802C80" w:rsidRPr="00082846">
        <w:rPr>
          <w:i/>
        </w:rPr>
        <w:t xml:space="preserve">Rantsev </w:t>
      </w:r>
      <w:r w:rsidR="00802C80" w:rsidRPr="00082846">
        <w:t>Trybunał zauważył, że handel ludźmi często opisywany jest jako współcz</w:t>
      </w:r>
      <w:r w:rsidR="00900C6A">
        <w:t>esna forma niewolnictwa, zajmuje</w:t>
      </w:r>
      <w:r w:rsidR="00802C80" w:rsidRPr="00082846">
        <w:t xml:space="preserve"> w związku z tym stanowisko, że jest on sam w sobie obrazą godności ludzkiej </w:t>
      </w:r>
      <w:r w:rsidR="002A53D9" w:rsidRPr="001C5F9D">
        <w:t xml:space="preserve">niedającą się </w:t>
      </w:r>
      <w:r w:rsidR="002A53D9" w:rsidRPr="001F0818">
        <w:t xml:space="preserve">pogodzić </w:t>
      </w:r>
      <w:r w:rsidR="00802C80" w:rsidRPr="001F0818">
        <w:t>z wartościami demokratycznymi i konwencyjnym</w:t>
      </w:r>
      <w:r w:rsidR="002A53D9" w:rsidRPr="008A47A5">
        <w:t>i</w:t>
      </w:r>
      <w:r w:rsidR="00802C80" w:rsidRPr="008A47A5">
        <w:t>, zatem mieści się w ramach zakazu w art. 4 bez potrzeby klas</w:t>
      </w:r>
      <w:r w:rsidR="00802C80" w:rsidRPr="00D00246">
        <w:t xml:space="preserve">yfikacji jako „niewolnictwa”, „poddaństwa” lub „pracy przymusowej”. </w:t>
      </w:r>
      <w:r w:rsidR="002A53D9" w:rsidRPr="00D00246">
        <w:t>Ustalone znamiona</w:t>
      </w:r>
      <w:r w:rsidR="00802C80" w:rsidRPr="00D00246">
        <w:t xml:space="preserve"> handlu ludźmi — traktowanie osób ludzkich jak towarów, ścisły nadzór, ograniczenie możliwości przemieszczania się, stosowanie przemocy i </w:t>
      </w:r>
      <w:r w:rsidR="00802C80" w:rsidRPr="007113FD">
        <w:t xml:space="preserve">gróźb, </w:t>
      </w:r>
      <w:r w:rsidR="007113FD" w:rsidRPr="007113FD">
        <w:t>zł</w:t>
      </w:r>
      <w:r w:rsidR="00802C80" w:rsidRPr="007113FD">
        <w:t>e warunki życia i pracy oraz brak zapłaty bądź niewielka zapłata — zahaczają o te trzy kategorie (</w:t>
      </w:r>
      <w:r w:rsidR="001F0818" w:rsidRPr="007113FD">
        <w:t xml:space="preserve">zob. </w:t>
      </w:r>
      <w:r w:rsidR="00802C80" w:rsidRPr="007113FD">
        <w:rPr>
          <w:i/>
        </w:rPr>
        <w:t>Rantsev</w:t>
      </w:r>
      <w:r w:rsidR="00802C80" w:rsidRPr="007113FD">
        <w:t xml:space="preserve">, </w:t>
      </w:r>
      <w:r w:rsidR="002A53D9" w:rsidRPr="007113FD">
        <w:rPr>
          <w:i/>
        </w:rPr>
        <w:t>op. cit</w:t>
      </w:r>
      <w:r w:rsidR="002A53D9" w:rsidRPr="007113FD">
        <w:t>.</w:t>
      </w:r>
      <w:r w:rsidR="00802C80" w:rsidRPr="007113FD">
        <w:t xml:space="preserve">, </w:t>
      </w:r>
      <w:r w:rsidR="001F0818" w:rsidRPr="007113FD">
        <w:t>§§</w:t>
      </w:r>
      <w:r w:rsidR="00802C80" w:rsidRPr="007113FD">
        <w:t xml:space="preserve"> 279-282). Trybunał orzekał, że handel ludźmi</w:t>
      </w:r>
      <w:r w:rsidR="002A53D9" w:rsidRPr="007113FD">
        <w:t>,</w:t>
      </w:r>
      <w:r w:rsidR="00802C80" w:rsidRPr="007113FD">
        <w:t xml:space="preserve"> z </w:t>
      </w:r>
      <w:r w:rsidR="002A53D9" w:rsidRPr="007113FD">
        <w:t>założenia</w:t>
      </w:r>
      <w:r w:rsidR="00802C80" w:rsidRPr="007113FD">
        <w:t xml:space="preserve"> i </w:t>
      </w:r>
      <w:r w:rsidR="002A53D9" w:rsidRPr="007113FD">
        <w:t>z uwagi na cel wyzysku, sprowadza się do</w:t>
      </w:r>
      <w:r w:rsidR="00802C80" w:rsidRPr="007113FD">
        <w:t xml:space="preserve"> wykonywani</w:t>
      </w:r>
      <w:r w:rsidR="002A53D9" w:rsidRPr="007113FD">
        <w:t>a</w:t>
      </w:r>
      <w:r w:rsidR="00802C80" w:rsidRPr="007113FD">
        <w:t xml:space="preserve"> uprawnień wynikających z prawa własności. </w:t>
      </w:r>
      <w:r w:rsidR="002A53D9" w:rsidRPr="007113FD">
        <w:t>I</w:t>
      </w:r>
      <w:r w:rsidR="00802C80" w:rsidRPr="007113FD">
        <w:t xml:space="preserve">stoty ludzkie </w:t>
      </w:r>
      <w:r w:rsidR="002A53D9" w:rsidRPr="007113FD">
        <w:t xml:space="preserve">traktowane są </w:t>
      </w:r>
      <w:r w:rsidR="00802C80" w:rsidRPr="007113FD">
        <w:t>ja</w:t>
      </w:r>
      <w:r w:rsidR="00EB2200" w:rsidRPr="007113FD">
        <w:t>k towary, które można nabywać i </w:t>
      </w:r>
      <w:r w:rsidR="00802C80" w:rsidRPr="007113FD">
        <w:t>sprzedawać oraz wykorzystywać do pracy</w:t>
      </w:r>
      <w:r w:rsidR="00900C6A" w:rsidRPr="007113FD">
        <w:t xml:space="preserve"> przymusowej</w:t>
      </w:r>
      <w:r w:rsidR="00802C80" w:rsidRPr="007113FD">
        <w:t xml:space="preserve">, </w:t>
      </w:r>
      <w:r w:rsidR="002A53D9" w:rsidRPr="007113FD">
        <w:t xml:space="preserve">nierzadko </w:t>
      </w:r>
      <w:r w:rsidR="00802C80" w:rsidRPr="007113FD">
        <w:t xml:space="preserve">za żadne lub niewielkie wynagrodzenie, zazwyczaj w branży usług seksualnych, lecz nie wyłącznie. </w:t>
      </w:r>
      <w:r w:rsidR="002A53D9" w:rsidRPr="007113FD">
        <w:t>Polega na</w:t>
      </w:r>
      <w:r w:rsidR="00802C80" w:rsidRPr="007113FD">
        <w:t xml:space="preserve"> </w:t>
      </w:r>
      <w:r w:rsidR="002A53D9" w:rsidRPr="007113FD">
        <w:t xml:space="preserve">sprawowaniu </w:t>
      </w:r>
      <w:r w:rsidR="00802C80" w:rsidRPr="007113FD">
        <w:t>ścisł</w:t>
      </w:r>
      <w:r w:rsidR="002A53D9" w:rsidRPr="007113FD">
        <w:t>ego</w:t>
      </w:r>
      <w:r w:rsidR="00802C80" w:rsidRPr="007113FD">
        <w:t xml:space="preserve"> </w:t>
      </w:r>
      <w:r w:rsidR="002A53D9" w:rsidRPr="007113FD">
        <w:t xml:space="preserve">nadzoru </w:t>
      </w:r>
      <w:r w:rsidR="00802C80" w:rsidRPr="007113FD">
        <w:t xml:space="preserve">nad działaniami ofiar, których swoboda poruszania się często jest ograniczana. Wiąże się z nim stosowanie przemocy i </w:t>
      </w:r>
      <w:r w:rsidR="00196170" w:rsidRPr="007113FD">
        <w:t xml:space="preserve">kierowanie </w:t>
      </w:r>
      <w:r w:rsidR="00802C80" w:rsidRPr="007113FD">
        <w:t xml:space="preserve">gróźb </w:t>
      </w:r>
      <w:r w:rsidR="00196170" w:rsidRPr="007113FD">
        <w:t xml:space="preserve">w stosunku do </w:t>
      </w:r>
      <w:r w:rsidR="00802C80" w:rsidRPr="007113FD">
        <w:t xml:space="preserve">ofiar, </w:t>
      </w:r>
      <w:r w:rsidR="00196170" w:rsidRPr="007113FD">
        <w:t xml:space="preserve">które </w:t>
      </w:r>
      <w:r w:rsidR="00802C80" w:rsidRPr="007113FD">
        <w:t xml:space="preserve">żyją i </w:t>
      </w:r>
      <w:r w:rsidR="00196170" w:rsidRPr="007113FD">
        <w:t xml:space="preserve">pracują </w:t>
      </w:r>
      <w:r w:rsidR="00802C80" w:rsidRPr="007113FD">
        <w:t xml:space="preserve">w </w:t>
      </w:r>
      <w:r w:rsidR="007113FD" w:rsidRPr="007113FD">
        <w:t>zły</w:t>
      </w:r>
      <w:r w:rsidR="00802C80" w:rsidRPr="007113FD">
        <w:t>ch warunkach</w:t>
      </w:r>
      <w:r w:rsidR="00802C80" w:rsidRPr="00D00246">
        <w:t xml:space="preserve"> (</w:t>
      </w:r>
      <w:r w:rsidR="00802C80" w:rsidRPr="00D00246">
        <w:rPr>
          <w:i/>
          <w:iCs/>
        </w:rPr>
        <w:t>ibid.</w:t>
      </w:r>
      <w:r w:rsidR="00802C80" w:rsidRPr="00D00246">
        <w:t xml:space="preserve">, </w:t>
      </w:r>
      <w:r w:rsidR="00196170" w:rsidRPr="00D00246">
        <w:t>§</w:t>
      </w:r>
      <w:r w:rsidR="00802C80" w:rsidRPr="00D00246">
        <w:t xml:space="preserve"> 281; </w:t>
      </w:r>
      <w:r w:rsidR="001F0818">
        <w:t xml:space="preserve">zob. </w:t>
      </w:r>
      <w:r w:rsidR="00802C80" w:rsidRPr="001F0818">
        <w:lastRenderedPageBreak/>
        <w:t xml:space="preserve">również </w:t>
      </w:r>
      <w:r w:rsidR="00802C80" w:rsidRPr="001F0818">
        <w:rPr>
          <w:i/>
        </w:rPr>
        <w:t>M. i Inni p-ko Włochom i Bułgarii</w:t>
      </w:r>
      <w:r w:rsidR="00802C80" w:rsidRPr="001F0818">
        <w:t>, nr 40020/03</w:t>
      </w:r>
      <w:r w:rsidR="00802C80" w:rsidRPr="001F0818">
        <w:rPr>
          <w:snapToGrid w:val="0"/>
        </w:rPr>
        <w:t xml:space="preserve">, </w:t>
      </w:r>
      <w:r w:rsidR="00196170" w:rsidRPr="001F0818">
        <w:rPr>
          <w:snapToGrid w:val="0"/>
        </w:rPr>
        <w:t>§</w:t>
      </w:r>
      <w:r w:rsidR="00802C80" w:rsidRPr="001F0818">
        <w:rPr>
          <w:snapToGrid w:val="0"/>
        </w:rPr>
        <w:t xml:space="preserve"> 151, 31 lipca 2012 r.</w:t>
      </w:r>
      <w:r w:rsidR="00802C80" w:rsidRPr="001F0818">
        <w:t>).</w:t>
      </w:r>
    </w:p>
    <w:p w14:paraId="133B7487" w14:textId="2C50D46B" w:rsidR="00802C80" w:rsidRPr="00082846" w:rsidRDefault="00A3591C" w:rsidP="00802C80">
      <w:pPr>
        <w:pStyle w:val="ECHRPara"/>
        <w:rPr>
          <w:rFonts w:cstheme="minorHAnsi"/>
        </w:rPr>
      </w:pPr>
      <w:r>
        <w:rPr>
          <w:rFonts w:cstheme="minorHAnsi"/>
        </w:rPr>
        <w:t>105</w:t>
      </w:r>
      <w:r w:rsidR="00802C80" w:rsidRPr="00082846">
        <w:t>.</w:t>
      </w:r>
      <w:r w:rsidR="005F47D9">
        <w:t xml:space="preserve"> </w:t>
      </w:r>
      <w:r w:rsidR="00802C80" w:rsidRPr="00082846">
        <w:t>Handel ludźmi to problem</w:t>
      </w:r>
      <w:r w:rsidR="00196170" w:rsidRPr="00082846">
        <w:t>, który</w:t>
      </w:r>
      <w:r w:rsidR="00802C80" w:rsidRPr="00082846">
        <w:t xml:space="preserve"> często nie</w:t>
      </w:r>
      <w:r w:rsidR="00196170" w:rsidRPr="00082846">
        <w:t xml:space="preserve"> </w:t>
      </w:r>
      <w:r w:rsidR="00802C80" w:rsidRPr="00082846">
        <w:t xml:space="preserve">ogranicza się do </w:t>
      </w:r>
      <w:r w:rsidR="001F0818">
        <w:t>jednego kraju</w:t>
      </w:r>
      <w:r w:rsidR="00802C80" w:rsidRPr="00082846">
        <w:t>. Gdy osoba jest przekazywana z jednego pań</w:t>
      </w:r>
      <w:r w:rsidR="00802C80" w:rsidRPr="003D7F25">
        <w:t xml:space="preserve">stwa do innego, przestępstwa związane z handlem ludźmi mogą zaistnieć w </w:t>
      </w:r>
      <w:r w:rsidR="00452E9C">
        <w:t>p</w:t>
      </w:r>
      <w:r w:rsidR="00452E9C" w:rsidRPr="003D7F25">
        <w:t xml:space="preserve">aństwie </w:t>
      </w:r>
      <w:r w:rsidR="00452E9C">
        <w:t>pochodzenia</w:t>
      </w:r>
      <w:r w:rsidR="00452E9C" w:rsidRPr="003D7F25">
        <w:t>, dowolnym państwie tranzytu i państwie przez</w:t>
      </w:r>
      <w:r w:rsidR="00802C80" w:rsidRPr="003D7F25">
        <w:t>naczenia. Istotne dowody i świadkowie mo</w:t>
      </w:r>
      <w:r w:rsidR="0084073C">
        <w:t xml:space="preserve">gą znajdować się we wszystkich </w:t>
      </w:r>
      <w:r w:rsidR="00B25512">
        <w:t>p</w:t>
      </w:r>
      <w:r w:rsidR="00B25512" w:rsidRPr="003D7F25">
        <w:t>aństwach</w:t>
      </w:r>
      <w:r w:rsidR="00802C80" w:rsidRPr="003D7F25">
        <w:t xml:space="preserve">. </w:t>
      </w:r>
      <w:r w:rsidR="00196170" w:rsidRPr="001C5F9D">
        <w:t xml:space="preserve">Chociaż </w:t>
      </w:r>
      <w:r w:rsidR="00802C80" w:rsidRPr="001F0818">
        <w:t>Protokół z Palermo (</w:t>
      </w:r>
      <w:r w:rsidR="001F0818">
        <w:t xml:space="preserve">zob. </w:t>
      </w:r>
      <w:r w:rsidR="00802C80" w:rsidRPr="001F0818">
        <w:t xml:space="preserve">paragrafy 47-52 powyżej) </w:t>
      </w:r>
      <w:r w:rsidR="00196170" w:rsidRPr="001F0818">
        <w:t xml:space="preserve">milczy </w:t>
      </w:r>
      <w:r w:rsidR="00EB2200">
        <w:t>w </w:t>
      </w:r>
      <w:r w:rsidR="00802C80" w:rsidRPr="001F0818">
        <w:t xml:space="preserve">kwestii jurysdykcji, </w:t>
      </w:r>
      <w:r w:rsidR="00196170" w:rsidRPr="001F0818">
        <w:t xml:space="preserve">to </w:t>
      </w:r>
      <w:r w:rsidR="00802C80" w:rsidRPr="001F0818">
        <w:t>Konwencja przeciwko handlowi ludźmi (</w:t>
      </w:r>
      <w:r w:rsidR="00EB2200">
        <w:t>zob. </w:t>
      </w:r>
      <w:r w:rsidR="00802C80" w:rsidRPr="001F0818">
        <w:t>paragrafy 53-59 powyż</w:t>
      </w:r>
      <w:r w:rsidR="0084073C">
        <w:t>ej) wyraźnie zobowiązuje każde P</w:t>
      </w:r>
      <w:r w:rsidR="00802C80" w:rsidRPr="001F0818">
        <w:t xml:space="preserve">aństwo członkowskie do </w:t>
      </w:r>
      <w:r w:rsidR="00196170" w:rsidRPr="001F0818">
        <w:t xml:space="preserve">przyjęcia </w:t>
      </w:r>
      <w:r w:rsidR="00802C80" w:rsidRPr="001F0818">
        <w:t xml:space="preserve">jurysdykcji </w:t>
      </w:r>
      <w:r w:rsidR="00196170" w:rsidRPr="001F0818">
        <w:t xml:space="preserve">w stosunku do </w:t>
      </w:r>
      <w:r w:rsidR="00196170" w:rsidRPr="008A47A5">
        <w:t xml:space="preserve">każdego </w:t>
      </w:r>
      <w:r w:rsidR="00802C80" w:rsidRPr="008A47A5">
        <w:t>przestępstw</w:t>
      </w:r>
      <w:r w:rsidR="00196170" w:rsidRPr="008A47A5">
        <w:t>a</w:t>
      </w:r>
      <w:r w:rsidR="00802C80" w:rsidRPr="008A47A5">
        <w:t xml:space="preserve"> handlu ludźmi popełnion</w:t>
      </w:r>
      <w:r w:rsidR="00196170" w:rsidRPr="008A47A5">
        <w:t>ego</w:t>
      </w:r>
      <w:r w:rsidR="00802C80" w:rsidRPr="008A47A5">
        <w:t xml:space="preserve"> na </w:t>
      </w:r>
      <w:r w:rsidR="00196170" w:rsidRPr="00D00246">
        <w:t xml:space="preserve">jego </w:t>
      </w:r>
      <w:r w:rsidR="00802C80" w:rsidRPr="00D00246">
        <w:t xml:space="preserve">terytorium. </w:t>
      </w:r>
      <w:r w:rsidR="00196170" w:rsidRPr="00D00246">
        <w:t>W</w:t>
      </w:r>
      <w:r w:rsidR="00802C80" w:rsidRPr="00D00246">
        <w:t xml:space="preserve"> ocenie Trybunału</w:t>
      </w:r>
      <w:r w:rsidR="00196170" w:rsidRPr="00D00246">
        <w:t xml:space="preserve"> podejście to jest</w:t>
      </w:r>
      <w:r w:rsidR="00802C80" w:rsidRPr="00D00246">
        <w:t xml:space="preserve"> </w:t>
      </w:r>
      <w:r w:rsidR="00196170" w:rsidRPr="00D00246">
        <w:t xml:space="preserve">logiczne jedynie </w:t>
      </w:r>
      <w:r w:rsidR="00802C80" w:rsidRPr="00D00246">
        <w:t xml:space="preserve">w świetle </w:t>
      </w:r>
      <w:r w:rsidR="00196170" w:rsidRPr="00D00246">
        <w:t xml:space="preserve">spoczywającego </w:t>
      </w:r>
      <w:r w:rsidR="0053264A">
        <w:t>na wszystkich P</w:t>
      </w:r>
      <w:r w:rsidR="00802C80" w:rsidRPr="00D00246">
        <w:t xml:space="preserve">aństwach pozytywnego obowiązku z art. 4 Konwencji przeprowadzenia postępowania przygotowawczego w </w:t>
      </w:r>
      <w:r w:rsidR="00196170" w:rsidRPr="00D00246">
        <w:t xml:space="preserve">związku ze zgłaszanymi </w:t>
      </w:r>
      <w:r w:rsidR="00802C80" w:rsidRPr="00D00246">
        <w:t>przestępstw</w:t>
      </w:r>
      <w:r w:rsidR="00196170" w:rsidRPr="00D00246">
        <w:t>ami</w:t>
      </w:r>
      <w:r w:rsidR="00802C80" w:rsidRPr="00D00246">
        <w:t xml:space="preserve"> tego rodzaju. </w:t>
      </w:r>
      <w:r w:rsidR="00196170" w:rsidRPr="00D00246">
        <w:t>W</w:t>
      </w:r>
      <w:r w:rsidR="00802C80" w:rsidRPr="00D00246">
        <w:t xml:space="preserve"> sprawach transgranicznego handlu ludźmi </w:t>
      </w:r>
      <w:r w:rsidR="0053264A">
        <w:t>na P</w:t>
      </w:r>
      <w:r w:rsidR="00196170" w:rsidRPr="00D00246">
        <w:t xml:space="preserve">aństwach członkowskich ciąży </w:t>
      </w:r>
      <w:r w:rsidR="00802C80" w:rsidRPr="00D00246">
        <w:t>ob</w:t>
      </w:r>
      <w:r w:rsidR="00EB2200">
        <w:t>owiązek skutecznej współpracy z </w:t>
      </w:r>
      <w:r w:rsidR="00900C6A">
        <w:t xml:space="preserve">właściwymi </w:t>
      </w:r>
      <w:r w:rsidR="00802C80" w:rsidRPr="00D00246">
        <w:t xml:space="preserve">władzami innych państw </w:t>
      </w:r>
      <w:r w:rsidR="00802C80" w:rsidRPr="00036045">
        <w:t>zainteresowanych postępowani</w:t>
      </w:r>
      <w:r w:rsidR="00196170" w:rsidRPr="00036045">
        <w:t>em</w:t>
      </w:r>
      <w:r w:rsidR="00802C80" w:rsidRPr="00D00246">
        <w:t xml:space="preserve"> w sprawie zdarzeń mających miejsce poza ich terytorium (</w:t>
      </w:r>
      <w:r w:rsidR="001F0818">
        <w:t xml:space="preserve">zob. </w:t>
      </w:r>
      <w:r w:rsidR="00802C80" w:rsidRPr="001F0818">
        <w:rPr>
          <w:i/>
        </w:rPr>
        <w:t>Rantsev</w:t>
      </w:r>
      <w:r w:rsidR="00802C80" w:rsidRPr="001F0818">
        <w:t xml:space="preserve">, </w:t>
      </w:r>
      <w:r w:rsidR="00196170" w:rsidRPr="00076546">
        <w:rPr>
          <w:i/>
        </w:rPr>
        <w:t>op. cit</w:t>
      </w:r>
      <w:r w:rsidR="00196170" w:rsidRPr="00082846">
        <w:t>.</w:t>
      </w:r>
      <w:r w:rsidR="00802C80" w:rsidRPr="00082846">
        <w:t xml:space="preserve">, </w:t>
      </w:r>
      <w:r w:rsidR="00196170" w:rsidRPr="00082846">
        <w:t>§</w:t>
      </w:r>
      <w:r w:rsidR="00802C80" w:rsidRPr="00082846">
        <w:t xml:space="preserve"> 289).</w:t>
      </w:r>
    </w:p>
    <w:p w14:paraId="6AF2179D" w14:textId="616EEE53" w:rsidR="00802C80" w:rsidRPr="003D7F25" w:rsidRDefault="00A3591C" w:rsidP="00802C80">
      <w:pPr>
        <w:pStyle w:val="ECHRPara"/>
        <w:rPr>
          <w:szCs w:val="24"/>
        </w:rPr>
      </w:pPr>
      <w:r>
        <w:rPr>
          <w:noProof/>
        </w:rPr>
        <w:t>106</w:t>
      </w:r>
      <w:r w:rsidR="00802C80" w:rsidRPr="00082846">
        <w:t>.</w:t>
      </w:r>
      <w:r w:rsidR="005F47D9">
        <w:t xml:space="preserve"> </w:t>
      </w:r>
      <w:r w:rsidR="00802C80" w:rsidRPr="00082846">
        <w:t>Trybunał st</w:t>
      </w:r>
      <w:r w:rsidR="00196170" w:rsidRPr="00082846">
        <w:t>oi</w:t>
      </w:r>
      <w:r w:rsidR="00802C80" w:rsidRPr="00082846">
        <w:t xml:space="preserve"> na stanowi</w:t>
      </w:r>
      <w:r w:rsidR="0053264A">
        <w:t>sku, że P</w:t>
      </w:r>
      <w:r w:rsidR="00802C80" w:rsidRPr="00082846">
        <w:t>aństwo może zostać pociągnięte do odpowiedzialności na podstawie art. 4 Konwencji nie tylko za własne bezpośrednie działania, lecz także za brak zapewnienia skutecznej ochrony ofiarom niewolnictwa, poddaństwa bądź prac</w:t>
      </w:r>
      <w:r w:rsidR="00802C80" w:rsidRPr="003D7F25">
        <w:t xml:space="preserve">y przymusowej lub obowiązkowej ze względu na swoje zobowiązania pozytywne i brak przeprowadzenia wszechstronnego </w:t>
      </w:r>
      <w:r w:rsidR="00196170" w:rsidRPr="003D7F25">
        <w:t>postępowania przygotowawczego</w:t>
      </w:r>
      <w:r w:rsidR="00802C80" w:rsidRPr="001C5F9D">
        <w:t xml:space="preserve"> (</w:t>
      </w:r>
      <w:r w:rsidR="00EB2200">
        <w:t>zob. </w:t>
      </w:r>
      <w:r w:rsidR="00802C80" w:rsidRPr="001F0818">
        <w:rPr>
          <w:i/>
          <w:szCs w:val="24"/>
        </w:rPr>
        <w:t>Siliadin p-ko Francji</w:t>
      </w:r>
      <w:r w:rsidR="00802C80" w:rsidRPr="001F0818">
        <w:t xml:space="preserve">, nr 73316/01, </w:t>
      </w:r>
      <w:r w:rsidR="00196170" w:rsidRPr="001F0818">
        <w:t>§§</w:t>
      </w:r>
      <w:r w:rsidR="00802C80" w:rsidRPr="001F0818">
        <w:t xml:space="preserve"> 89 i 112, </w:t>
      </w:r>
      <w:r w:rsidR="00196170" w:rsidRPr="001F0818">
        <w:t xml:space="preserve">ETPCz </w:t>
      </w:r>
      <w:r w:rsidR="00802C80" w:rsidRPr="001F0818">
        <w:t>2005</w:t>
      </w:r>
      <w:r w:rsidR="00802C80" w:rsidRPr="001F0818">
        <w:noBreakHyphen/>
        <w:t xml:space="preserve">VII). </w:t>
      </w:r>
      <w:r w:rsidR="00EB2200">
        <w:t>Z </w:t>
      </w:r>
      <w:r w:rsidR="00196170" w:rsidRPr="00A87024">
        <w:t>powyższego w</w:t>
      </w:r>
      <w:r w:rsidR="00802C80" w:rsidRPr="00A87024">
        <w:t>ynika</w:t>
      </w:r>
      <w:r w:rsidR="0053264A">
        <w:t>, że P</w:t>
      </w:r>
      <w:r w:rsidR="00802C80" w:rsidRPr="008A47A5">
        <w:t xml:space="preserve">aństwa mają również obowiązek wdrożenia ram ustawodawczych i administracyjnych </w:t>
      </w:r>
      <w:r w:rsidR="00196170" w:rsidRPr="008A47A5">
        <w:t>mających na</w:t>
      </w:r>
      <w:r w:rsidR="00802C80" w:rsidRPr="008A47A5">
        <w:t xml:space="preserve"> celu zakazani</w:t>
      </w:r>
      <w:r w:rsidR="00196170" w:rsidRPr="008A47A5">
        <w:t>e</w:t>
      </w:r>
      <w:r w:rsidR="00802C80" w:rsidRPr="008A47A5">
        <w:t xml:space="preserve"> i karani</w:t>
      </w:r>
      <w:r w:rsidR="00196170" w:rsidRPr="008A47A5">
        <w:t>e</w:t>
      </w:r>
      <w:r w:rsidR="00802C80" w:rsidRPr="008A47A5">
        <w:t xml:space="preserve"> handlu ludźmi, jak również podjęcia środków mając</w:t>
      </w:r>
      <w:r w:rsidR="00802C80" w:rsidRPr="00D00246">
        <w:t xml:space="preserve">ych na celu ochronę ofiar, w tym zapewnienie wszechstronnego podejścia do </w:t>
      </w:r>
      <w:r w:rsidR="00196170" w:rsidRPr="00D00246">
        <w:t>sprawy</w:t>
      </w:r>
      <w:r w:rsidR="00802C80" w:rsidRPr="00D00246">
        <w:t>, czego wymagają Protokół z Palermo i Konwencja przeciwko handlowi ludźmi (</w:t>
      </w:r>
      <w:r w:rsidR="00A87024">
        <w:t xml:space="preserve">zob. </w:t>
      </w:r>
      <w:r w:rsidR="00802C80" w:rsidRPr="00A87024">
        <w:rPr>
          <w:i/>
          <w:iCs/>
        </w:rPr>
        <w:t>Rantsev</w:t>
      </w:r>
      <w:r w:rsidR="00802C80" w:rsidRPr="00A87024">
        <w:t xml:space="preserve">, </w:t>
      </w:r>
      <w:r w:rsidR="00196170" w:rsidRPr="00076546">
        <w:rPr>
          <w:i/>
        </w:rPr>
        <w:t>op. cit</w:t>
      </w:r>
      <w:r w:rsidR="00196170" w:rsidRPr="00082846">
        <w:t>.,</w:t>
      </w:r>
      <w:r w:rsidR="00802C80" w:rsidRPr="00082846">
        <w:t xml:space="preserve"> </w:t>
      </w:r>
      <w:r w:rsidR="00196170" w:rsidRPr="00082846">
        <w:t xml:space="preserve">§ </w:t>
      </w:r>
      <w:r w:rsidR="00802C80" w:rsidRPr="00082846">
        <w:t xml:space="preserve">285). Państwa są również zobowiązane do zapewnienia swoim funkcjonariuszom organów </w:t>
      </w:r>
      <w:r w:rsidR="00802C80" w:rsidRPr="003D7F25">
        <w:t>ścigania i imigracyjnych odpowiednich szkoleń (</w:t>
      </w:r>
      <w:r w:rsidR="00802C80" w:rsidRPr="003D7F25">
        <w:rPr>
          <w:i/>
          <w:iCs/>
        </w:rPr>
        <w:t>ibid.</w:t>
      </w:r>
      <w:r w:rsidR="00802C80" w:rsidRPr="003D7F25">
        <w:t xml:space="preserve">, </w:t>
      </w:r>
      <w:r w:rsidR="00196170" w:rsidRPr="003D7F25">
        <w:t>§</w:t>
      </w:r>
      <w:r w:rsidR="00802C80" w:rsidRPr="003D7F25">
        <w:t xml:space="preserve"> 287).</w:t>
      </w:r>
    </w:p>
    <w:p w14:paraId="6480C131" w14:textId="386DBCD7" w:rsidR="00802C80" w:rsidRPr="00A87024" w:rsidRDefault="00A3591C" w:rsidP="00802C80">
      <w:pPr>
        <w:pStyle w:val="ECHRPara"/>
      </w:pPr>
      <w:r>
        <w:rPr>
          <w:noProof/>
        </w:rPr>
        <w:t>107</w:t>
      </w:r>
      <w:r w:rsidR="00802C80" w:rsidRPr="00082846">
        <w:t>.</w:t>
      </w:r>
      <w:r w:rsidR="005F47D9">
        <w:t xml:space="preserve"> </w:t>
      </w:r>
      <w:r w:rsidR="00802C80" w:rsidRPr="00082846">
        <w:t xml:space="preserve">Podobnie jak w przypadku art. 2 i 3 </w:t>
      </w:r>
      <w:r w:rsidR="00802C80" w:rsidRPr="00036045">
        <w:t>pozytywne zobowiązanie</w:t>
      </w:r>
      <w:r w:rsidR="00802C80" w:rsidRPr="00082846">
        <w:t xml:space="preserve"> do przeprowadzenia postępowania przygotowawczego aktualizuje się</w:t>
      </w:r>
      <w:r w:rsidR="00196170" w:rsidRPr="003D7F25">
        <w:t xml:space="preserve"> z chwilą powzięcia przez organy stosownej informacji o sprawie</w:t>
      </w:r>
      <w:r w:rsidR="00802C80" w:rsidRPr="001C5F9D">
        <w:t xml:space="preserve">; postępowanie </w:t>
      </w:r>
      <w:r w:rsidR="00EE6D9B" w:rsidRPr="001C5F9D">
        <w:t xml:space="preserve">przygotowawcze </w:t>
      </w:r>
      <w:r w:rsidR="00802C80" w:rsidRPr="001F0818">
        <w:t xml:space="preserve">musi </w:t>
      </w:r>
      <w:r w:rsidR="00EE6D9B" w:rsidRPr="008A47A5">
        <w:t xml:space="preserve">czynić zadość </w:t>
      </w:r>
      <w:r w:rsidR="00802C80" w:rsidRPr="008A47A5">
        <w:t>wymog</w:t>
      </w:r>
      <w:r w:rsidR="00EE6D9B" w:rsidRPr="008A47A5">
        <w:t>om</w:t>
      </w:r>
      <w:r w:rsidR="00EB2200">
        <w:t xml:space="preserve"> niezawisłości i </w:t>
      </w:r>
      <w:r w:rsidR="00802C80" w:rsidRPr="008A47A5">
        <w:t xml:space="preserve">bezstronności, </w:t>
      </w:r>
      <w:r w:rsidR="00EE6D9B" w:rsidRPr="00D00246">
        <w:t xml:space="preserve">szybkości </w:t>
      </w:r>
      <w:r w:rsidR="00802C80" w:rsidRPr="00D00246">
        <w:t xml:space="preserve">i rozsądnego czasu trwania, a także pilności wtedy, gdy istnieje możliwość </w:t>
      </w:r>
      <w:r w:rsidR="00EE6D9B" w:rsidRPr="00D00246">
        <w:t>zagrożenia wobec</w:t>
      </w:r>
      <w:r w:rsidR="00802C80" w:rsidRPr="00D00246">
        <w:t xml:space="preserve"> osoby zainteresowanej. Postępowanie </w:t>
      </w:r>
      <w:r w:rsidR="00802C80" w:rsidRPr="00036045">
        <w:t xml:space="preserve">musi również </w:t>
      </w:r>
      <w:r w:rsidR="006C0F68" w:rsidRPr="00036045">
        <w:t xml:space="preserve">umożliwiać </w:t>
      </w:r>
      <w:r w:rsidR="006C0F68">
        <w:t>wykrycie i ukaranie</w:t>
      </w:r>
      <w:r w:rsidR="00802C80" w:rsidRPr="00D00246">
        <w:t xml:space="preserve"> osób odpowiedzialnych — zobowiązanie to dotyczy środków do zastosowania, nie zaś rezultatów do osiągnięcia (</w:t>
      </w:r>
      <w:r w:rsidR="00802C80" w:rsidRPr="00D00246">
        <w:rPr>
          <w:i/>
          <w:iCs/>
        </w:rPr>
        <w:t>ibid.</w:t>
      </w:r>
      <w:r w:rsidR="00802C80" w:rsidRPr="00D00246">
        <w:t xml:space="preserve">, </w:t>
      </w:r>
      <w:r w:rsidR="00EE6D9B" w:rsidRPr="00D00246">
        <w:t xml:space="preserve">§ </w:t>
      </w:r>
      <w:r w:rsidR="00802C80" w:rsidRPr="00D00246">
        <w:t xml:space="preserve">288). Dodatkowo władze muszą </w:t>
      </w:r>
      <w:r w:rsidR="00802C80" w:rsidRPr="00D00246">
        <w:lastRenderedPageBreak/>
        <w:t xml:space="preserve">podjąć wszystkie dostępne </w:t>
      </w:r>
      <w:r w:rsidR="00EE6D9B" w:rsidRPr="00D00246">
        <w:t xml:space="preserve">im </w:t>
      </w:r>
      <w:r w:rsidR="00802C80" w:rsidRPr="00D00246">
        <w:t xml:space="preserve">rozsądne środki </w:t>
      </w:r>
      <w:r w:rsidR="00EE6D9B" w:rsidRPr="00D00246">
        <w:t xml:space="preserve">celem </w:t>
      </w:r>
      <w:r w:rsidR="00802C80" w:rsidRPr="00D00246">
        <w:t>zabezpieczenia dowodów dotyczących zdarzenia (</w:t>
      </w:r>
      <w:r w:rsidR="00A87024">
        <w:t xml:space="preserve">zob. </w:t>
      </w:r>
      <w:r w:rsidR="00802C80" w:rsidRPr="00A87024">
        <w:t xml:space="preserve">w odniesieniu do art. 3 Konwencji </w:t>
      </w:r>
      <w:r w:rsidR="00802C80" w:rsidRPr="00A87024">
        <w:rPr>
          <w:i/>
        </w:rPr>
        <w:t>Nikolay Dimitrov p-ko Bu</w:t>
      </w:r>
      <w:r w:rsidR="00802C80" w:rsidRPr="00A87024">
        <w:rPr>
          <w:i/>
          <w:iCs/>
        </w:rPr>
        <w:t>łgarii</w:t>
      </w:r>
      <w:r w:rsidR="00802C80" w:rsidRPr="00A87024">
        <w:t xml:space="preserve">, nr 72663/01, </w:t>
      </w:r>
      <w:r w:rsidR="00EE6D9B" w:rsidRPr="00A87024">
        <w:t>§</w:t>
      </w:r>
      <w:r w:rsidR="00802C80" w:rsidRPr="00A87024">
        <w:t xml:space="preserve"> 69, 27 września 2007 r.). </w:t>
      </w:r>
      <w:r w:rsidR="00EE6D9B" w:rsidRPr="00A87024">
        <w:t>Wreszcie,</w:t>
      </w:r>
      <w:r w:rsidR="00802C80" w:rsidRPr="00A87024">
        <w:t xml:space="preserve"> zobowiązani</w:t>
      </w:r>
      <w:r w:rsidR="00EE6D9B" w:rsidRPr="00A87024">
        <w:t>a</w:t>
      </w:r>
      <w:r w:rsidR="00802C80" w:rsidRPr="00A87024">
        <w:t xml:space="preserve"> pozytywne</w:t>
      </w:r>
      <w:r w:rsidR="00EE6D9B" w:rsidRPr="008A47A5">
        <w:t>go</w:t>
      </w:r>
      <w:r w:rsidR="00802C80" w:rsidRPr="008A47A5">
        <w:t xml:space="preserve"> nie </w:t>
      </w:r>
      <w:r w:rsidR="00EE6D9B" w:rsidRPr="008A47A5">
        <w:t>należy interpretować jako</w:t>
      </w:r>
      <w:r w:rsidR="00802C80" w:rsidRPr="008A47A5">
        <w:t xml:space="preserve"> nak</w:t>
      </w:r>
      <w:r w:rsidR="00802C80" w:rsidRPr="00D00246">
        <w:t>ładając</w:t>
      </w:r>
      <w:r w:rsidR="006C0F68">
        <w:t>ego</w:t>
      </w:r>
      <w:r w:rsidR="00802C80" w:rsidRPr="00D00246">
        <w:t xml:space="preserve"> na władze niemożliwy bądź nieproporcjonalny ciężar (</w:t>
      </w:r>
      <w:r w:rsidR="00A87024">
        <w:t>zob.</w:t>
      </w:r>
      <w:r w:rsidR="00EA047F">
        <w:t> </w:t>
      </w:r>
      <w:r w:rsidR="00802C80" w:rsidRPr="00A87024">
        <w:rPr>
          <w:i/>
        </w:rPr>
        <w:t>mutatis mutandis</w:t>
      </w:r>
      <w:r w:rsidR="00802C80" w:rsidRPr="00A87024">
        <w:t xml:space="preserve"> i w odniesieniu do art. 2 Konwencji </w:t>
      </w:r>
      <w:r w:rsidR="00802C80" w:rsidRPr="00A87024">
        <w:rPr>
          <w:i/>
        </w:rPr>
        <w:t>Maiorano i Inni p-ko Włochom</w:t>
      </w:r>
      <w:r w:rsidR="00802C80" w:rsidRPr="00A87024">
        <w:t>, nr 28634/06</w:t>
      </w:r>
      <w:r w:rsidR="00802C80" w:rsidRPr="00A87024">
        <w:rPr>
          <w:snapToGrid w:val="0"/>
        </w:rPr>
        <w:t xml:space="preserve">, </w:t>
      </w:r>
      <w:r w:rsidR="00EE6D9B" w:rsidRPr="00A87024">
        <w:rPr>
          <w:snapToGrid w:val="0"/>
        </w:rPr>
        <w:t>§</w:t>
      </w:r>
      <w:r w:rsidR="00802C80" w:rsidRPr="00A87024">
        <w:rPr>
          <w:snapToGrid w:val="0"/>
        </w:rPr>
        <w:t xml:space="preserve"> 105, 15 grudnia 2009 r.)</w:t>
      </w:r>
      <w:r w:rsidR="00802C80" w:rsidRPr="00A87024">
        <w:t>.</w:t>
      </w:r>
    </w:p>
    <w:p w14:paraId="3A8068DE" w14:textId="64F243DE" w:rsidR="00802C80" w:rsidRPr="008A47A5" w:rsidRDefault="00802C80" w:rsidP="00802C80">
      <w:pPr>
        <w:pStyle w:val="ECHRHeading4"/>
      </w:pPr>
      <w:r w:rsidRPr="008A47A5">
        <w:t>b)</w:t>
      </w:r>
      <w:r w:rsidR="005F47D9">
        <w:t xml:space="preserve"> </w:t>
      </w:r>
      <w:r w:rsidRPr="008A47A5">
        <w:t>Zastosowanie tych zasad w niniejszej sprawie</w:t>
      </w:r>
    </w:p>
    <w:p w14:paraId="6B43CDFC" w14:textId="715207EE" w:rsidR="00802C80" w:rsidRPr="001F0818" w:rsidRDefault="00A3591C" w:rsidP="00802C80">
      <w:pPr>
        <w:pStyle w:val="ECHRPara"/>
        <w:rPr>
          <w:rFonts w:cstheme="minorHAnsi"/>
        </w:rPr>
      </w:pPr>
      <w:r>
        <w:rPr>
          <w:rFonts w:cstheme="minorHAnsi"/>
        </w:rPr>
        <w:t>108</w:t>
      </w:r>
      <w:r w:rsidR="00802C80" w:rsidRPr="00082846">
        <w:t>.</w:t>
      </w:r>
      <w:r w:rsidR="005F47D9">
        <w:t xml:space="preserve"> </w:t>
      </w:r>
      <w:r w:rsidR="00EE6D9B" w:rsidRPr="00082846">
        <w:t>W pierwszej kolejności</w:t>
      </w:r>
      <w:r w:rsidR="00802C80" w:rsidRPr="00082846">
        <w:t xml:space="preserve"> Trybunał uznaje, że zarzuty skarżących mieszczą się w zakresie art. 4 Konwencji wynikającym </w:t>
      </w:r>
      <w:r w:rsidR="00EE6D9B" w:rsidRPr="003D7F25">
        <w:t>z</w:t>
      </w:r>
      <w:r w:rsidR="00EA047F">
        <w:t xml:space="preserve"> orzecznictwa w </w:t>
      </w:r>
      <w:r w:rsidR="00802C80" w:rsidRPr="003D7F25">
        <w:t xml:space="preserve">tym </w:t>
      </w:r>
      <w:r w:rsidR="00EE6D9B" w:rsidRPr="001C5F9D">
        <w:t xml:space="preserve">względzie </w:t>
      </w:r>
      <w:r w:rsidR="00802C80" w:rsidRPr="001F0818">
        <w:t>(</w:t>
      </w:r>
      <w:r w:rsidR="00A87024">
        <w:t xml:space="preserve">zob. </w:t>
      </w:r>
      <w:r w:rsidR="00802C80" w:rsidRPr="001F0818">
        <w:t xml:space="preserve">m.in. </w:t>
      </w:r>
      <w:r w:rsidR="00802C80" w:rsidRPr="001F0818">
        <w:rPr>
          <w:i/>
          <w:iCs/>
        </w:rPr>
        <w:t>Siliadin</w:t>
      </w:r>
      <w:r w:rsidR="00802C80" w:rsidRPr="001F0818">
        <w:t xml:space="preserve">, </w:t>
      </w:r>
      <w:r w:rsidR="00EE6D9B" w:rsidRPr="00076546">
        <w:rPr>
          <w:i/>
        </w:rPr>
        <w:t>op. cit</w:t>
      </w:r>
      <w:r w:rsidR="00EE6D9B" w:rsidRPr="00082846">
        <w:t>.</w:t>
      </w:r>
      <w:r w:rsidR="00802C80" w:rsidRPr="00082846">
        <w:t xml:space="preserve">, i </w:t>
      </w:r>
      <w:r w:rsidR="00802C80" w:rsidRPr="00082846">
        <w:rPr>
          <w:i/>
          <w:iCs/>
        </w:rPr>
        <w:t>Rantsev</w:t>
      </w:r>
      <w:r w:rsidR="00802C80" w:rsidRPr="00082846">
        <w:t xml:space="preserve">, </w:t>
      </w:r>
      <w:r w:rsidR="00EE6D9B" w:rsidRPr="00076546">
        <w:rPr>
          <w:i/>
        </w:rPr>
        <w:t>op. cit</w:t>
      </w:r>
      <w:r w:rsidR="00EE6D9B" w:rsidRPr="00082846">
        <w:t>.</w:t>
      </w:r>
      <w:r w:rsidR="00802C80" w:rsidRPr="00082846">
        <w:t xml:space="preserve">). Zarzucane traktowanie zakazane </w:t>
      </w:r>
      <w:r w:rsidR="00EE6D9B" w:rsidRPr="003D7F25">
        <w:t xml:space="preserve">przez </w:t>
      </w:r>
      <w:r w:rsidR="00802C80" w:rsidRPr="003D7F25">
        <w:t>art</w:t>
      </w:r>
      <w:r w:rsidR="0053264A">
        <w:t>. 4 przypisuje się nie organom P</w:t>
      </w:r>
      <w:r w:rsidR="00802C80" w:rsidRPr="003D7F25">
        <w:t>aństwa austriackiego, lecz osobom prywatnym, mianowicie pracodawczyniom skarżących, w okresie kilku lat w Dubaju i dwóch do trze</w:t>
      </w:r>
      <w:r w:rsidR="00802C80" w:rsidRPr="001C5F9D">
        <w:t>ch dni w Austrii. Niniejsze postępowanie zatem dotyczy zobowiązań pozytywnych wynikających z tego przepisu, nie zaś zobowiązań negatyw</w:t>
      </w:r>
      <w:r w:rsidR="00802C80" w:rsidRPr="001F0818">
        <w:t>nych.</w:t>
      </w:r>
    </w:p>
    <w:p w14:paraId="23422560" w14:textId="3033B2AE" w:rsidR="00802C80" w:rsidRPr="001F0818" w:rsidRDefault="00A3591C" w:rsidP="00802C80">
      <w:pPr>
        <w:pStyle w:val="ECHRPara"/>
      </w:pPr>
      <w:r>
        <w:rPr>
          <w:noProof/>
        </w:rPr>
        <w:t>109</w:t>
      </w:r>
      <w:r w:rsidR="00802C80" w:rsidRPr="00082846">
        <w:t>.</w:t>
      </w:r>
      <w:r w:rsidR="005F47D9">
        <w:t xml:space="preserve"> </w:t>
      </w:r>
      <w:r w:rsidR="00802C80" w:rsidRPr="00082846">
        <w:t>Trybunał z</w:t>
      </w:r>
      <w:r w:rsidR="00F861B0">
        <w:t>au</w:t>
      </w:r>
      <w:r w:rsidR="00802C80" w:rsidRPr="00082846">
        <w:t>waż</w:t>
      </w:r>
      <w:r w:rsidR="006C0F68">
        <w:t>a</w:t>
      </w:r>
      <w:r w:rsidR="00802C80" w:rsidRPr="00082846">
        <w:t xml:space="preserve">, że w niniejszym postępowaniu zasadniczo rysują się dwie kwestie: czy władze austriackie wywiązały się z pozytywnego obowiązku </w:t>
      </w:r>
      <w:r w:rsidR="004B018C" w:rsidRPr="003D7F25">
        <w:t>identyfikacji</w:t>
      </w:r>
      <w:r w:rsidR="00EE6D9B" w:rsidRPr="003D7F25">
        <w:t xml:space="preserve"> </w:t>
      </w:r>
      <w:r w:rsidR="00802C80" w:rsidRPr="003D7F25">
        <w:t xml:space="preserve">i wsparcia skarżących jako (potencjalnych) ofiar handlu ludźmi oraz czy wywiązały się one z pozytywnego obowiązku przeprowadzenia </w:t>
      </w:r>
      <w:r w:rsidR="00802C80" w:rsidRPr="00D433C9">
        <w:t>postępowania przygotowawczego w</w:t>
      </w:r>
      <w:r w:rsidR="00802C80" w:rsidRPr="003D7F25">
        <w:t xml:space="preserve"> sprawi</w:t>
      </w:r>
      <w:r w:rsidR="00802C80" w:rsidRPr="001C5F9D">
        <w:t>e domniemanych przestępstw.</w:t>
      </w:r>
    </w:p>
    <w:p w14:paraId="3BA08BD9" w14:textId="4A5A7F13" w:rsidR="00802C80" w:rsidRPr="00D00246" w:rsidRDefault="00802C80" w:rsidP="0096762D">
      <w:pPr>
        <w:pStyle w:val="ECHRHeading5"/>
        <w:tabs>
          <w:tab w:val="clear" w:pos="1191"/>
        </w:tabs>
      </w:pPr>
      <w:r w:rsidRPr="008A47A5">
        <w:t>(i)</w:t>
      </w:r>
      <w:r w:rsidR="005F47D9">
        <w:t xml:space="preserve"> </w:t>
      </w:r>
      <w:r w:rsidRPr="008A47A5">
        <w:t xml:space="preserve">Czy </w:t>
      </w:r>
      <w:r w:rsidR="004B018C" w:rsidRPr="008A47A5">
        <w:t>dopełniono</w:t>
      </w:r>
      <w:r w:rsidR="00EE6D9B" w:rsidRPr="008A47A5">
        <w:t xml:space="preserve"> </w:t>
      </w:r>
      <w:r w:rsidRPr="008A47A5">
        <w:t>pozytywne</w:t>
      </w:r>
      <w:r w:rsidR="00EE6D9B" w:rsidRPr="008A47A5">
        <w:t>go</w:t>
      </w:r>
      <w:r w:rsidRPr="008A47A5">
        <w:t xml:space="preserve"> </w:t>
      </w:r>
      <w:r w:rsidR="00EE6D9B" w:rsidRPr="008A47A5">
        <w:t>obowiązku</w:t>
      </w:r>
      <w:r w:rsidRPr="008A47A5">
        <w:t xml:space="preserve"> </w:t>
      </w:r>
      <w:r w:rsidR="004B018C" w:rsidRPr="00D00246">
        <w:t>identyfikacji</w:t>
      </w:r>
      <w:r w:rsidR="00EE6D9B" w:rsidRPr="00D00246">
        <w:t xml:space="preserve"> </w:t>
      </w:r>
      <w:r w:rsidRPr="00D00246">
        <w:t>i wsparcia skarżących jako ofiar handlu ludźmi</w:t>
      </w:r>
    </w:p>
    <w:p w14:paraId="1921D19C" w14:textId="0C4715F9" w:rsidR="00802C80" w:rsidRPr="00A87024" w:rsidRDefault="00A3591C" w:rsidP="00802C80">
      <w:pPr>
        <w:pStyle w:val="ECHRPara"/>
      </w:pPr>
      <w:r>
        <w:rPr>
          <w:noProof/>
        </w:rPr>
        <w:t>110</w:t>
      </w:r>
      <w:r w:rsidR="00802C80" w:rsidRPr="00082846">
        <w:t>.</w:t>
      </w:r>
      <w:r w:rsidR="005F47D9">
        <w:t xml:space="preserve"> </w:t>
      </w:r>
      <w:r w:rsidR="00EE6D9B" w:rsidRPr="00082846">
        <w:t>W zakresie</w:t>
      </w:r>
      <w:r w:rsidR="00802C80" w:rsidRPr="00082846">
        <w:t xml:space="preserve"> pierwszego pytania, odnosząc się do </w:t>
      </w:r>
      <w:r w:rsidR="00EE6D9B" w:rsidRPr="003D7F25">
        <w:t xml:space="preserve">zeznań </w:t>
      </w:r>
      <w:r w:rsidR="00802C80" w:rsidRPr="003D7F25">
        <w:t>skarżących złożonych na policji (</w:t>
      </w:r>
      <w:r w:rsidR="00A87024">
        <w:t xml:space="preserve">zob. </w:t>
      </w:r>
      <w:r w:rsidR="00802C80" w:rsidRPr="003D7F25">
        <w:t xml:space="preserve">paragraf 25 powyżej), Trybunał zauważa, że władze najwyraźniej uznały twierdzenia skarżących za wiarygodne. </w:t>
      </w:r>
      <w:r w:rsidR="00EA047F">
        <w:t>Od </w:t>
      </w:r>
      <w:r w:rsidR="00EE6D9B" w:rsidRPr="001F0818">
        <w:t>chwili</w:t>
      </w:r>
      <w:r w:rsidR="00802C80" w:rsidRPr="001F0818">
        <w:t xml:space="preserve"> </w:t>
      </w:r>
      <w:r w:rsidR="00EE6D9B" w:rsidRPr="008A47A5">
        <w:t xml:space="preserve">skontaktowania </w:t>
      </w:r>
      <w:r w:rsidR="00802C80" w:rsidRPr="008A47A5">
        <w:t>się z policją</w:t>
      </w:r>
      <w:r w:rsidR="00EE6D9B" w:rsidRPr="008A47A5">
        <w:t xml:space="preserve"> skarżące</w:t>
      </w:r>
      <w:r w:rsidR="00802C80" w:rsidRPr="008A47A5">
        <w:t xml:space="preserve"> traktowane były jako (potencjal</w:t>
      </w:r>
      <w:r w:rsidR="00802C80" w:rsidRPr="00D00246">
        <w:t xml:space="preserve">ne) ofiary handlu ludźmi. Zostały również przesłuchane przez przeszkolonych </w:t>
      </w:r>
      <w:r w:rsidR="00EE6D9B" w:rsidRPr="00D00246">
        <w:t xml:space="preserve">do tego celu </w:t>
      </w:r>
      <w:r w:rsidR="00802C80" w:rsidRPr="00D00246">
        <w:t>funkcjonariuszy policji (</w:t>
      </w:r>
      <w:r w:rsidR="00A87024">
        <w:t xml:space="preserve">zob. </w:t>
      </w:r>
      <w:r w:rsidR="00802C80" w:rsidRPr="00A87024">
        <w:t xml:space="preserve">paragrafy 25 i 99 powyżej), otrzymały pozwolenia na pobyt i pracę w celu </w:t>
      </w:r>
      <w:r w:rsidR="00EE6D9B" w:rsidRPr="00A87024">
        <w:t xml:space="preserve">zalegalizowania </w:t>
      </w:r>
      <w:r w:rsidR="00802C80" w:rsidRPr="00A87024">
        <w:t>pobytu w Austrii (</w:t>
      </w:r>
      <w:r w:rsidR="00A87024">
        <w:t xml:space="preserve">zob. </w:t>
      </w:r>
      <w:r w:rsidR="00802C80" w:rsidRPr="00A87024">
        <w:t>paragrafy 32-33 powyżej</w:t>
      </w:r>
      <w:r w:rsidR="00EE6D9B" w:rsidRPr="00A87024">
        <w:t>),</w:t>
      </w:r>
      <w:r w:rsidR="00802C80" w:rsidRPr="00A87024">
        <w:t xml:space="preserve"> </w:t>
      </w:r>
      <w:r w:rsidR="00EE6D9B" w:rsidRPr="00A87024">
        <w:t>a</w:t>
      </w:r>
      <w:r w:rsidR="00802C80" w:rsidRPr="00A87024">
        <w:t xml:space="preserve"> na Centralną Ewidencję nałożon</w:t>
      </w:r>
      <w:r w:rsidR="00EE6D9B" w:rsidRPr="00A87024">
        <w:t>o</w:t>
      </w:r>
      <w:r w:rsidR="00802C80" w:rsidRPr="00A87024">
        <w:t xml:space="preserve"> zakaz udostępniania </w:t>
      </w:r>
      <w:r w:rsidR="006C0F68">
        <w:t xml:space="preserve">ich </w:t>
      </w:r>
      <w:r w:rsidR="00802C80" w:rsidRPr="00A87024">
        <w:t>danych osobowych, tak aby uni</w:t>
      </w:r>
      <w:r w:rsidR="00802C80" w:rsidRPr="008A47A5">
        <w:t xml:space="preserve">emożliwić </w:t>
      </w:r>
      <w:r w:rsidR="00EE6D9B" w:rsidRPr="00D00246">
        <w:t>ustalenie</w:t>
      </w:r>
      <w:r w:rsidR="00802C80" w:rsidRPr="00D00246">
        <w:t xml:space="preserve"> ich miejsca pobytu przez </w:t>
      </w:r>
      <w:r w:rsidR="00EE6D9B" w:rsidRPr="00D00246">
        <w:t>osoby trzecie</w:t>
      </w:r>
      <w:r w:rsidR="00802C80" w:rsidRPr="00D00246">
        <w:t xml:space="preserve"> (</w:t>
      </w:r>
      <w:r w:rsidR="00A87024">
        <w:t xml:space="preserve">zob. </w:t>
      </w:r>
      <w:r w:rsidR="00EA047F">
        <w:t>paragraf 34). W </w:t>
      </w:r>
      <w:r w:rsidR="00802C80" w:rsidRPr="00A87024">
        <w:t xml:space="preserve">trakcie postępowania krajowego </w:t>
      </w:r>
      <w:r w:rsidR="00EE6D9B" w:rsidRPr="00A87024">
        <w:t xml:space="preserve">skarżące </w:t>
      </w:r>
      <w:r w:rsidR="00802C80" w:rsidRPr="00A87024">
        <w:t>korzystały ze wsparcia LEFÖ, organizacji pozarządowej finansowanej przez Rząd w szczególności w celu świa</w:t>
      </w:r>
      <w:r w:rsidR="00802C80" w:rsidRPr="008A47A5">
        <w:t>dczenia pomocy o</w:t>
      </w:r>
      <w:r w:rsidR="00EA047F">
        <w:t>fiarom handlu ludźmi. Zgodnie z </w:t>
      </w:r>
      <w:r w:rsidR="00802C80" w:rsidRPr="008A47A5">
        <w:t>niekwestionowanymi twierdzeniami Rządu (</w:t>
      </w:r>
      <w:r w:rsidR="00A87024">
        <w:t xml:space="preserve">zob. </w:t>
      </w:r>
      <w:r w:rsidR="00802C80" w:rsidRPr="00A87024">
        <w:t>paragraf 98 powyżej), skarżące otrzymały pomoc prawną i</w:t>
      </w:r>
      <w:r w:rsidR="00EA047F">
        <w:t xml:space="preserve"> </w:t>
      </w:r>
      <w:r w:rsidR="006C0F68" w:rsidRPr="00036045">
        <w:t>wskazówki proceduralne</w:t>
      </w:r>
      <w:r w:rsidR="00EA047F">
        <w:t xml:space="preserve"> oraz ułatwienia w </w:t>
      </w:r>
      <w:r w:rsidR="004B018C" w:rsidRPr="00A87024">
        <w:t xml:space="preserve">zakresie </w:t>
      </w:r>
      <w:r w:rsidR="00802C80" w:rsidRPr="00A87024">
        <w:t>integracji w Austrii.</w:t>
      </w:r>
    </w:p>
    <w:p w14:paraId="417315FA" w14:textId="05372718" w:rsidR="00802C80" w:rsidRPr="00D00246" w:rsidRDefault="00A3591C" w:rsidP="00802C80">
      <w:pPr>
        <w:pStyle w:val="ECHRPara"/>
      </w:pPr>
      <w:r>
        <w:rPr>
          <w:noProof/>
        </w:rPr>
        <w:t>111</w:t>
      </w:r>
      <w:r w:rsidR="00802C80" w:rsidRPr="00082846">
        <w:t>.</w:t>
      </w:r>
      <w:r w:rsidR="005F47D9">
        <w:t xml:space="preserve"> </w:t>
      </w:r>
      <w:r w:rsidR="00802C80" w:rsidRPr="00082846">
        <w:t xml:space="preserve">Dla celów art. 4 Konwencji </w:t>
      </w:r>
      <w:r w:rsidR="004B018C" w:rsidRPr="00082846">
        <w:t xml:space="preserve">zasadnicze </w:t>
      </w:r>
      <w:r w:rsidR="00802C80" w:rsidRPr="00082846">
        <w:t xml:space="preserve">znaczenie ma fakt, że twierdzenia skarżących jako całość potraktowano poważnie i zastosowano </w:t>
      </w:r>
      <w:r w:rsidR="00802C80" w:rsidRPr="00082846">
        <w:lastRenderedPageBreak/>
        <w:t xml:space="preserve">odnośne ramy prawne </w:t>
      </w:r>
      <w:r w:rsidR="004B018C" w:rsidRPr="003D7F25">
        <w:t>stosownie do</w:t>
      </w:r>
      <w:r w:rsidR="00802C80" w:rsidRPr="003D7F25">
        <w:t xml:space="preserve"> </w:t>
      </w:r>
      <w:r w:rsidR="004B018C" w:rsidRPr="001C5F9D">
        <w:t xml:space="preserve">zobowiązań </w:t>
      </w:r>
      <w:r w:rsidR="00452E9C" w:rsidRPr="001F0818">
        <w:t xml:space="preserve">Państwa </w:t>
      </w:r>
      <w:r w:rsidR="004B018C" w:rsidRPr="001F0818">
        <w:t xml:space="preserve">wynikających </w:t>
      </w:r>
      <w:r w:rsidR="00EA047F">
        <w:t>z </w:t>
      </w:r>
      <w:r w:rsidR="00802C80" w:rsidRPr="001F0818">
        <w:t>Konwencji. Z tej perspektywy Trybunał uznaje, że funk</w:t>
      </w:r>
      <w:r w:rsidR="00EA047F">
        <w:t>cjonujące w </w:t>
      </w:r>
      <w:r w:rsidR="00802C80" w:rsidRPr="008A47A5">
        <w:t xml:space="preserve">Austrii ramy prawne i administracyjne dotyczące ochrony (potencjalnych) ofiar </w:t>
      </w:r>
      <w:r w:rsidR="00802C80" w:rsidRPr="00D00246">
        <w:t xml:space="preserve">handlu ludźmi wydają się być wystarczające, zaś władze austriackie podjęły wszystkie kroki, jakich rozsądnie można byłoby oczekiwać w danej sytuacji. </w:t>
      </w:r>
      <w:r w:rsidR="004B018C" w:rsidRPr="00D00246">
        <w:t xml:space="preserve">Skarżące nie kwestionowały powyższego </w:t>
      </w:r>
      <w:r w:rsidR="00802C80" w:rsidRPr="00D00246">
        <w:t>ustaleni</w:t>
      </w:r>
      <w:r w:rsidR="004B018C" w:rsidRPr="00D00246">
        <w:t>a</w:t>
      </w:r>
      <w:r w:rsidR="00802C80" w:rsidRPr="00D00246">
        <w:t xml:space="preserve">. Trybunał jest zatem przekonany, że </w:t>
      </w:r>
      <w:r w:rsidR="004B018C" w:rsidRPr="00D00246">
        <w:t xml:space="preserve">władze dopełniły obowiązku </w:t>
      </w:r>
      <w:r w:rsidR="00802C80" w:rsidRPr="00D00246">
        <w:t>identyfikacji, ochrony i wsparcia skarżących jako (potencjalnych) ofiar handlu ludźmi.</w:t>
      </w:r>
    </w:p>
    <w:p w14:paraId="771EFC85" w14:textId="2FE36D15" w:rsidR="00802C80" w:rsidRPr="00D00246" w:rsidRDefault="00802C80" w:rsidP="00802C80">
      <w:pPr>
        <w:pStyle w:val="ECHRHeading5"/>
      </w:pPr>
      <w:r w:rsidRPr="00D00246">
        <w:t>(ii)</w:t>
      </w:r>
      <w:r w:rsidR="005F47D9">
        <w:t xml:space="preserve"> </w:t>
      </w:r>
      <w:r w:rsidRPr="00D00246">
        <w:t xml:space="preserve">Czy </w:t>
      </w:r>
      <w:r w:rsidR="004B018C" w:rsidRPr="00D00246">
        <w:t xml:space="preserve">dopełniono </w:t>
      </w:r>
      <w:r w:rsidRPr="00D00246">
        <w:t>pozytywne</w:t>
      </w:r>
      <w:r w:rsidR="004B018C" w:rsidRPr="00D00246">
        <w:t>go</w:t>
      </w:r>
      <w:r w:rsidRPr="00D00246">
        <w:t xml:space="preserve"> </w:t>
      </w:r>
      <w:r w:rsidR="004B018C" w:rsidRPr="00D00246">
        <w:t>obowiązku</w:t>
      </w:r>
      <w:r w:rsidRPr="00D00246">
        <w:t xml:space="preserve"> przeprowadzenia postępowania przygotowawczego</w:t>
      </w:r>
      <w:r w:rsidR="00654D50">
        <w:t xml:space="preserve"> </w:t>
      </w:r>
      <w:r w:rsidRPr="00D00246">
        <w:t>w sprawie zarzutów handlu ludźmi</w:t>
      </w:r>
    </w:p>
    <w:p w14:paraId="7ACA7F50" w14:textId="0C102E53" w:rsidR="00802C80" w:rsidRPr="00A87024" w:rsidRDefault="00A3591C" w:rsidP="00802C80">
      <w:pPr>
        <w:pStyle w:val="ECHRPara"/>
      </w:pPr>
      <w:r>
        <w:rPr>
          <w:noProof/>
        </w:rPr>
        <w:t>112</w:t>
      </w:r>
      <w:r w:rsidR="00802C80" w:rsidRPr="00082846">
        <w:t>.</w:t>
      </w:r>
      <w:r w:rsidR="005F47D9">
        <w:t xml:space="preserve"> </w:t>
      </w:r>
      <w:r w:rsidR="004B018C" w:rsidRPr="00082846">
        <w:t>W zakresie</w:t>
      </w:r>
      <w:r w:rsidR="00802C80" w:rsidRPr="00082846">
        <w:t xml:space="preserve"> drugiej kwestii, mianowicie spoczywającego na władzach austriackich </w:t>
      </w:r>
      <w:r w:rsidR="00802C80" w:rsidRPr="003D7F25">
        <w:t xml:space="preserve">proceduralnego </w:t>
      </w:r>
      <w:r w:rsidR="004B018C" w:rsidRPr="003D7F25">
        <w:t xml:space="preserve">obowiązku </w:t>
      </w:r>
      <w:r w:rsidR="00802C80" w:rsidRPr="001C5F9D">
        <w:t>przeprowadzeni</w:t>
      </w:r>
      <w:r w:rsidR="00802C80" w:rsidRPr="001F0818">
        <w:t>a postępowania przygotowawczego w sprawie podnoszonych przez skarżące zarzutów i ścigania przypadków handlu ludźmi, Trybunał zauważa, że skarżącym stworzono możliwość opisania w sposób szczegółowy teg</w:t>
      </w:r>
      <w:r w:rsidR="00802C80" w:rsidRPr="008A47A5">
        <w:t xml:space="preserve">o, co im się </w:t>
      </w:r>
      <w:r w:rsidR="007E0D84" w:rsidRPr="008A47A5">
        <w:t>przytrafiło</w:t>
      </w:r>
      <w:r w:rsidR="00802C80" w:rsidRPr="008A47A5">
        <w:t xml:space="preserve"> oraz sposobu, w jaki były traktowane przez pracodawczynie. </w:t>
      </w:r>
      <w:r w:rsidR="007E0D84" w:rsidRPr="00D00246">
        <w:t xml:space="preserve">Prokurator wszczął </w:t>
      </w:r>
      <w:r w:rsidR="00802C80" w:rsidRPr="00D00246">
        <w:t xml:space="preserve">postępowanie </w:t>
      </w:r>
      <w:r w:rsidR="007E0D84" w:rsidRPr="00D00246">
        <w:t xml:space="preserve">przygotowawcze </w:t>
      </w:r>
      <w:r w:rsidR="00802C80" w:rsidRPr="00D00246">
        <w:t xml:space="preserve">po złożeniu przez skarżące </w:t>
      </w:r>
      <w:r w:rsidR="007E0D84" w:rsidRPr="00D00246">
        <w:t xml:space="preserve">zeznań </w:t>
      </w:r>
      <w:r w:rsidR="00802C80" w:rsidRPr="00D00246">
        <w:t xml:space="preserve">na policji w lipcu i sierpniu 2011 r. </w:t>
      </w:r>
      <w:r w:rsidR="007E0D84" w:rsidRPr="00D00246">
        <w:t>W</w:t>
      </w:r>
      <w:r w:rsidR="00802C80" w:rsidRPr="00D00246">
        <w:t xml:space="preserve">szczęcie postępowania przygotowawczego </w:t>
      </w:r>
      <w:r w:rsidR="007E0D84" w:rsidRPr="00D00246">
        <w:t xml:space="preserve">na </w:t>
      </w:r>
      <w:r w:rsidR="00802C80" w:rsidRPr="00D00246">
        <w:t>wcześniej</w:t>
      </w:r>
      <w:r w:rsidR="007E0D84" w:rsidRPr="00D00246">
        <w:t>szym etapie nie było możliwe</w:t>
      </w:r>
      <w:r w:rsidR="00802C80" w:rsidRPr="00D00246">
        <w:t xml:space="preserve">, bowiem skarżące zdecydowały się na kontakt z policją </w:t>
      </w:r>
      <w:r w:rsidR="00654D50">
        <w:t>około</w:t>
      </w:r>
      <w:r w:rsidR="00802C80" w:rsidRPr="00D00246">
        <w:t xml:space="preserve"> rok</w:t>
      </w:r>
      <w:r w:rsidR="00654D50">
        <w:t>u</w:t>
      </w:r>
      <w:r w:rsidR="00802C80" w:rsidRPr="00D00246">
        <w:t xml:space="preserve"> po opuszczeniu pracodawczyń. </w:t>
      </w:r>
      <w:r w:rsidR="007E0D84" w:rsidRPr="00D00246">
        <w:t>J</w:t>
      </w:r>
      <w:r w:rsidR="00802C80" w:rsidRPr="00D00246">
        <w:t xml:space="preserve">ednak w listopadzie 2011 r. </w:t>
      </w:r>
      <w:r w:rsidR="007E0D84" w:rsidRPr="00D00246">
        <w:t xml:space="preserve">postępowanie przygotowawcze </w:t>
      </w:r>
      <w:r w:rsidR="00802C80" w:rsidRPr="00D00246">
        <w:t>umorzon</w:t>
      </w:r>
      <w:r w:rsidR="007E0D84" w:rsidRPr="00D00246">
        <w:t>o</w:t>
      </w:r>
      <w:r w:rsidR="00802C80" w:rsidRPr="00D00246">
        <w:t xml:space="preserve">, jako że </w:t>
      </w:r>
      <w:r w:rsidR="007E0D84" w:rsidRPr="00D00246">
        <w:t>zdaniem prokuratora zarzucane</w:t>
      </w:r>
      <w:r w:rsidR="00802C80" w:rsidRPr="00D00246">
        <w:t xml:space="preserve"> pracodawczy</w:t>
      </w:r>
      <w:r w:rsidR="007E0D84" w:rsidRPr="00D00246">
        <w:t>niom</w:t>
      </w:r>
      <w:r w:rsidR="00802C80" w:rsidRPr="00D00246">
        <w:t xml:space="preserve"> skarżących </w:t>
      </w:r>
      <w:r w:rsidR="007E0D84" w:rsidRPr="00D00246">
        <w:t xml:space="preserve">czyny popełnione </w:t>
      </w:r>
      <w:r w:rsidR="00802C80" w:rsidRPr="00D00246">
        <w:t>na terytorium Austrii nie wy</w:t>
      </w:r>
      <w:r w:rsidR="00E426FC">
        <w:t>czerpały</w:t>
      </w:r>
      <w:r w:rsidR="00802C80" w:rsidRPr="00D00246">
        <w:t xml:space="preserve"> znamion </w:t>
      </w:r>
      <w:r w:rsidR="007E0D84" w:rsidRPr="00D00246">
        <w:t xml:space="preserve">z </w:t>
      </w:r>
      <w:r w:rsidR="00802C80" w:rsidRPr="00D00246">
        <w:t xml:space="preserve">art. 104a k.k. Co się tyczy zdarzeń zaistniałych za granicą, </w:t>
      </w:r>
      <w:r w:rsidR="007E0D84" w:rsidRPr="00D00246">
        <w:t>prokurator</w:t>
      </w:r>
      <w:r w:rsidR="00802C80" w:rsidRPr="00D00246">
        <w:t xml:space="preserve"> stwierdził, że domniemane przestępstwo handlu ludźmi zosta</w:t>
      </w:r>
      <w:r w:rsidR="00533411">
        <w:t>ło popełnione za</w:t>
      </w:r>
      <w:r w:rsidR="00654D50">
        <w:t xml:space="preserve"> </w:t>
      </w:r>
      <w:r w:rsidR="00802C80" w:rsidRPr="00D00246">
        <w:t>granicą, oskarżeni nie są obywatelami Austrii</w:t>
      </w:r>
      <w:r w:rsidR="007E0D84" w:rsidRPr="00D00246">
        <w:t xml:space="preserve"> i nie doszło do </w:t>
      </w:r>
      <w:r w:rsidR="00A87024">
        <w:t>naruszenia</w:t>
      </w:r>
      <w:r w:rsidR="00802C80" w:rsidRPr="00A87024">
        <w:t xml:space="preserve"> interes</w:t>
      </w:r>
      <w:r w:rsidR="00A87024">
        <w:t>ów</w:t>
      </w:r>
      <w:r w:rsidR="007E0D84" w:rsidRPr="00A87024">
        <w:t xml:space="preserve"> </w:t>
      </w:r>
      <w:r w:rsidR="00A87024">
        <w:t>austriackich</w:t>
      </w:r>
      <w:r w:rsidR="00802C80" w:rsidRPr="00A87024">
        <w:t xml:space="preserve"> (</w:t>
      </w:r>
      <w:r w:rsidR="00A87024">
        <w:t xml:space="preserve">zob. </w:t>
      </w:r>
      <w:r w:rsidR="00802C80" w:rsidRPr="00A87024">
        <w:t xml:space="preserve">paragraf 27 powyżej). </w:t>
      </w:r>
      <w:r w:rsidR="007E0D84" w:rsidRPr="00A87024">
        <w:t>W grudniu 2011 r. p</w:t>
      </w:r>
      <w:r w:rsidR="00802C80" w:rsidRPr="00A87024">
        <w:t xml:space="preserve">ostanowienie o umorzeniu postępowania zostało </w:t>
      </w:r>
      <w:r w:rsidR="007E0D84" w:rsidRPr="00A87024">
        <w:t xml:space="preserve">utrzymane w mocy </w:t>
      </w:r>
      <w:r w:rsidR="00802C80" w:rsidRPr="00A87024">
        <w:t xml:space="preserve">przez Okręgowy Sąd Karny w Wiedniu, który dodał, że nie ma podstaw do ścigania, jeżeli </w:t>
      </w:r>
      <w:r w:rsidR="007E0D84" w:rsidRPr="00A87024">
        <w:t xml:space="preserve">wyniki </w:t>
      </w:r>
      <w:r w:rsidR="00802C80" w:rsidRPr="00A87024">
        <w:t xml:space="preserve">postępowania przygotowawczego </w:t>
      </w:r>
      <w:r w:rsidR="007E0D84" w:rsidRPr="00A87024">
        <w:t xml:space="preserve">nie wskazują na większe prawdopodobieństwo </w:t>
      </w:r>
      <w:r w:rsidR="00802C80" w:rsidRPr="00A87024">
        <w:t>skazani</w:t>
      </w:r>
      <w:r w:rsidR="00A87024">
        <w:t>a</w:t>
      </w:r>
      <w:r w:rsidR="00802C80" w:rsidRPr="00A87024">
        <w:t xml:space="preserve"> niż uniewinnieni</w:t>
      </w:r>
      <w:r w:rsidR="00A87024">
        <w:t>a</w:t>
      </w:r>
      <w:r w:rsidR="00802C80" w:rsidRPr="00A87024">
        <w:t xml:space="preserve">. Zdaniem </w:t>
      </w:r>
      <w:r w:rsidR="007E0D84" w:rsidRPr="00A87024">
        <w:t xml:space="preserve">tego </w:t>
      </w:r>
      <w:r w:rsidR="00802C80" w:rsidRPr="00A87024">
        <w:t xml:space="preserve">sądu nie zachodziło </w:t>
      </w:r>
      <w:r w:rsidR="00654D50">
        <w:t xml:space="preserve">też </w:t>
      </w:r>
      <w:r w:rsidR="00802C80" w:rsidRPr="00A87024">
        <w:t xml:space="preserve">zobowiązanie wynikające z </w:t>
      </w:r>
      <w:r w:rsidR="00802C80" w:rsidRPr="008A47A5">
        <w:t xml:space="preserve">prawa międzynarodowego do dalszego prowadzenia postępowania przygotowawczego w </w:t>
      </w:r>
      <w:r w:rsidR="00654D50">
        <w:t xml:space="preserve">odniesieniu do </w:t>
      </w:r>
      <w:r w:rsidR="00802C80" w:rsidRPr="008A47A5">
        <w:t>zdarze</w:t>
      </w:r>
      <w:r w:rsidR="00654D50">
        <w:t>ń</w:t>
      </w:r>
      <w:r w:rsidR="007E0D84" w:rsidRPr="008A47A5">
        <w:t>, które</w:t>
      </w:r>
      <w:r w:rsidR="00802C80" w:rsidRPr="008A47A5">
        <w:t xml:space="preserve"> </w:t>
      </w:r>
      <w:r w:rsidR="00802C80" w:rsidRPr="00D00246">
        <w:t xml:space="preserve">rzekomo </w:t>
      </w:r>
      <w:r w:rsidR="007E0D84" w:rsidRPr="00D00246">
        <w:t xml:space="preserve">miały </w:t>
      </w:r>
      <w:r w:rsidR="00533411">
        <w:t>miejsce za</w:t>
      </w:r>
      <w:r w:rsidR="00654D50">
        <w:t xml:space="preserve"> </w:t>
      </w:r>
      <w:r w:rsidR="00802C80" w:rsidRPr="00D00246">
        <w:t>granicą (</w:t>
      </w:r>
      <w:r w:rsidR="00A87024">
        <w:t xml:space="preserve">zob. </w:t>
      </w:r>
      <w:r w:rsidR="00802C80" w:rsidRPr="00A87024">
        <w:t>paragraf 30 powyżej). W swoich</w:t>
      </w:r>
      <w:r w:rsidR="00654D50">
        <w:t xml:space="preserve"> obserwacjach</w:t>
      </w:r>
      <w:r w:rsidR="00802C80" w:rsidRPr="00A87024">
        <w:t xml:space="preserve"> </w:t>
      </w:r>
      <w:r w:rsidR="007E0D84" w:rsidRPr="00A87024">
        <w:t>Rząd</w:t>
      </w:r>
      <w:r w:rsidR="00802C80" w:rsidRPr="00A87024">
        <w:t xml:space="preserve"> dodał, że w przeszłości Zjednoczone Emiraty Arabskie wielokrotnie </w:t>
      </w:r>
      <w:r w:rsidR="00874954" w:rsidRPr="008A47A5">
        <w:t xml:space="preserve">odrzucały wnioski o pomoc prawną </w:t>
      </w:r>
      <w:r w:rsidR="00874954" w:rsidRPr="00D00246">
        <w:t>z niezrozumiałych przyczyn</w:t>
      </w:r>
      <w:r w:rsidR="00802C80" w:rsidRPr="00D00246">
        <w:t xml:space="preserve">, sugerując, że wniosek taki byłby w niniejszej sprawie </w:t>
      </w:r>
      <w:r w:rsidR="00874954" w:rsidRPr="00D00246">
        <w:t xml:space="preserve">bezcelowy </w:t>
      </w:r>
      <w:r w:rsidR="00802C80" w:rsidRPr="00D00246">
        <w:t>(</w:t>
      </w:r>
      <w:r w:rsidR="00A87024">
        <w:t xml:space="preserve">zob. </w:t>
      </w:r>
      <w:r w:rsidR="00802C80" w:rsidRPr="00A87024">
        <w:t>paragraf 101 powyżej).</w:t>
      </w:r>
    </w:p>
    <w:p w14:paraId="458309C9" w14:textId="6A764EEB" w:rsidR="00802C80" w:rsidRPr="001C5F9D" w:rsidRDefault="00A3591C" w:rsidP="00802C80">
      <w:pPr>
        <w:pStyle w:val="ECHRPara"/>
      </w:pPr>
      <w:r>
        <w:rPr>
          <w:noProof/>
        </w:rPr>
        <w:t>113</w:t>
      </w:r>
      <w:r w:rsidR="00802C80" w:rsidRPr="00082846">
        <w:t>.</w:t>
      </w:r>
      <w:r w:rsidR="005F47D9">
        <w:t xml:space="preserve"> </w:t>
      </w:r>
      <w:r w:rsidR="00802C80" w:rsidRPr="00082846">
        <w:t>Trybunał uznaje, że na tle z</w:t>
      </w:r>
      <w:r w:rsidR="00EA047F">
        <w:t>obowiązań pozytywnych Austrii w </w:t>
      </w:r>
      <w:r w:rsidR="00802C80" w:rsidRPr="00082846">
        <w:t xml:space="preserve">niniejszej sprawie rysuje się kwestia, czy Austrię obciążał obowiązek przeprowadzenia postępowania przygotowawczego w sprawie przestępstw </w:t>
      </w:r>
      <w:r w:rsidR="00802C80" w:rsidRPr="00082846">
        <w:lastRenderedPageBreak/>
        <w:t xml:space="preserve">rzekomo popełnionych za granicą oraz czy postępowanie przygotowawcze </w:t>
      </w:r>
      <w:r w:rsidR="00874954" w:rsidRPr="003D7F25">
        <w:t xml:space="preserve">przeprowadzone </w:t>
      </w:r>
      <w:r w:rsidR="00802C80" w:rsidRPr="003D7F25">
        <w:t xml:space="preserve">w </w:t>
      </w:r>
      <w:r w:rsidR="00874954" w:rsidRPr="003D7F25">
        <w:t>związku ze</w:t>
      </w:r>
      <w:r w:rsidR="00802C80" w:rsidRPr="003D7F25">
        <w:t xml:space="preserve"> zdarze</w:t>
      </w:r>
      <w:r w:rsidR="00874954" w:rsidRPr="003D7F25">
        <w:t>niami</w:t>
      </w:r>
      <w:r w:rsidR="00802C80" w:rsidRPr="003D7F25">
        <w:t xml:space="preserve"> w Austrii było wystarczające.</w:t>
      </w:r>
    </w:p>
    <w:p w14:paraId="4F1B493F" w14:textId="57BE77D8" w:rsidR="00802C80" w:rsidRPr="001F0818" w:rsidRDefault="00802C80" w:rsidP="00802C80">
      <w:pPr>
        <w:pStyle w:val="ECHRHeading6"/>
      </w:pPr>
      <w:r w:rsidRPr="001F0818">
        <w:t>α)</w:t>
      </w:r>
      <w:r w:rsidR="005F47D9">
        <w:t xml:space="preserve"> </w:t>
      </w:r>
      <w:r w:rsidRPr="001F0818">
        <w:t>Domniemane zdarzenia za granicą</w:t>
      </w:r>
    </w:p>
    <w:p w14:paraId="64D5DEEF" w14:textId="7CE047FF" w:rsidR="00802C80" w:rsidRPr="00D00246" w:rsidRDefault="00A3591C" w:rsidP="00802C80">
      <w:pPr>
        <w:pStyle w:val="ECHRPara"/>
      </w:pPr>
      <w:r>
        <w:rPr>
          <w:noProof/>
        </w:rPr>
        <w:t>114</w:t>
      </w:r>
      <w:r w:rsidR="00802C80" w:rsidRPr="00082846">
        <w:t>.</w:t>
      </w:r>
      <w:r w:rsidR="005F47D9">
        <w:t xml:space="preserve"> </w:t>
      </w:r>
      <w:r w:rsidR="00874954" w:rsidRPr="00082846">
        <w:t>W zakresie</w:t>
      </w:r>
      <w:r w:rsidR="00802C80" w:rsidRPr="00082846">
        <w:t xml:space="preserve"> zdarzeń</w:t>
      </w:r>
      <w:r w:rsidR="00874954" w:rsidRPr="00082846">
        <w:t>, które rzekomo miały mie</w:t>
      </w:r>
      <w:r w:rsidR="00874954" w:rsidRPr="003D7F25">
        <w:t>jsce</w:t>
      </w:r>
      <w:r w:rsidR="00EA047F">
        <w:t xml:space="preserve"> w </w:t>
      </w:r>
      <w:r w:rsidR="00802C80" w:rsidRPr="003D7F25">
        <w:t xml:space="preserve">Zjednoczonych Emiratach Arabskich, Trybunał zważył, że art. 4 Konwencji w swej proceduralnej </w:t>
      </w:r>
      <w:r w:rsidR="00874954" w:rsidRPr="001F0818">
        <w:t xml:space="preserve">części </w:t>
      </w:r>
      <w:r w:rsidR="00533411">
        <w:t>nie wymaga od P</w:t>
      </w:r>
      <w:r w:rsidR="00802C80" w:rsidRPr="001F0818">
        <w:t xml:space="preserve">aństw ustanowienia jurysdykcji uniwersalnej </w:t>
      </w:r>
      <w:r w:rsidR="00874954" w:rsidRPr="008A47A5">
        <w:t xml:space="preserve">w odniesieniu do </w:t>
      </w:r>
      <w:r w:rsidR="00802C80" w:rsidRPr="008A47A5">
        <w:t xml:space="preserve">przestępstw handlu ludźmi </w:t>
      </w:r>
      <w:r w:rsidR="00874954" w:rsidRPr="00D00246">
        <w:t xml:space="preserve">popełnionych </w:t>
      </w:r>
      <w:r w:rsidR="00802C80" w:rsidRPr="00D00246">
        <w:t xml:space="preserve">za granicą (por. </w:t>
      </w:r>
      <w:r w:rsidR="00802C80" w:rsidRPr="00D00246">
        <w:rPr>
          <w:i/>
          <w:iCs/>
        </w:rPr>
        <w:t>Rantsev</w:t>
      </w:r>
      <w:r w:rsidR="00802C80" w:rsidRPr="00D00246">
        <w:t xml:space="preserve">, </w:t>
      </w:r>
      <w:r w:rsidR="00874954" w:rsidRPr="00076546">
        <w:rPr>
          <w:i/>
        </w:rPr>
        <w:t>op. cit</w:t>
      </w:r>
      <w:r w:rsidR="00874954" w:rsidRPr="00082846">
        <w:t>.</w:t>
      </w:r>
      <w:r w:rsidR="00802C80" w:rsidRPr="00082846">
        <w:t xml:space="preserve">, </w:t>
      </w:r>
      <w:r w:rsidR="00874954" w:rsidRPr="00082846">
        <w:t>§</w:t>
      </w:r>
      <w:r w:rsidR="00802C80" w:rsidRPr="00082846">
        <w:t xml:space="preserve"> 244, w odniesieniu do art. 2 Konwencji). Protokół z Palermo milczy w kwestii jurysdykcji, zaś Konwencja przeciwko handlowi ludźmi zobowiązuje Państwa-Strony jedynie do ustanowienia jurysdykcji </w:t>
      </w:r>
      <w:r w:rsidR="00874954" w:rsidRPr="001C5F9D">
        <w:t xml:space="preserve">w odniesieniu do </w:t>
      </w:r>
      <w:r w:rsidR="00802C80" w:rsidRPr="001F0818">
        <w:t xml:space="preserve">przestępstw handlu ludźmi </w:t>
      </w:r>
      <w:r w:rsidR="00874954" w:rsidRPr="008A47A5">
        <w:t xml:space="preserve">popełnionych </w:t>
      </w:r>
      <w:r w:rsidR="00802C80" w:rsidRPr="008A47A5">
        <w:t>na ich własnym terytorium przez obywatela bądź przeciwko obywatelowi (</w:t>
      </w:r>
      <w:r w:rsidR="00802C80" w:rsidRPr="00D00246">
        <w:rPr>
          <w:i/>
          <w:iCs/>
        </w:rPr>
        <w:t>ibid.</w:t>
      </w:r>
      <w:r w:rsidR="00802C80" w:rsidRPr="00D00246">
        <w:t xml:space="preserve">, </w:t>
      </w:r>
      <w:r w:rsidR="00874954" w:rsidRPr="00D00246">
        <w:t>§</w:t>
      </w:r>
      <w:r w:rsidR="00802C80" w:rsidRPr="00D00246">
        <w:t xml:space="preserve"> 289 — </w:t>
      </w:r>
      <w:r w:rsidR="00A87024">
        <w:t xml:space="preserve">zob. </w:t>
      </w:r>
      <w:r w:rsidR="00802C80" w:rsidRPr="00A87024">
        <w:t xml:space="preserve">paragraf 105 powyżej). </w:t>
      </w:r>
      <w:r w:rsidR="000F3D60" w:rsidRPr="00A87024">
        <w:t>W</w:t>
      </w:r>
      <w:r w:rsidR="00EA047F">
        <w:t> </w:t>
      </w:r>
      <w:r w:rsidR="00802C80" w:rsidRPr="00A87024">
        <w:t xml:space="preserve">niniejszej sprawie </w:t>
      </w:r>
      <w:r w:rsidR="000F3D60" w:rsidRPr="00A87024">
        <w:t xml:space="preserve">Trybunał może zatem </w:t>
      </w:r>
      <w:r w:rsidR="00802C80" w:rsidRPr="00A87024">
        <w:t>przyjąć jedy</w:t>
      </w:r>
      <w:r w:rsidR="00802C80" w:rsidRPr="008A47A5">
        <w:t>nie taką konkluzję, że na podstawie Konwencji Austria nie miała obowiązku przeprowadzenia postępowania przygotowawczego w sprawie werbunku skarżących na Filipin</w:t>
      </w:r>
      <w:r w:rsidR="00802C80" w:rsidRPr="00D00246">
        <w:t xml:space="preserve">ach ani ich </w:t>
      </w:r>
      <w:r w:rsidR="000F3D60" w:rsidRPr="00D00246">
        <w:t xml:space="preserve">rzekomego wyzysku </w:t>
      </w:r>
      <w:r w:rsidR="00802C80" w:rsidRPr="00D00246">
        <w:t>w Zjednoczonych Emiratach Arabskich.</w:t>
      </w:r>
    </w:p>
    <w:p w14:paraId="7BD669FC" w14:textId="4336FCAB" w:rsidR="00802C80" w:rsidRPr="00D00246" w:rsidRDefault="00802C80" w:rsidP="00802C80">
      <w:pPr>
        <w:pStyle w:val="ECHRHeading6"/>
      </w:pPr>
      <w:r w:rsidRPr="00D00246">
        <w:t xml:space="preserve"> (β)</w:t>
      </w:r>
      <w:r w:rsidR="005F47D9">
        <w:t xml:space="preserve"> </w:t>
      </w:r>
      <w:r w:rsidRPr="00D00246">
        <w:t>Wydarzenia w Austrii</w:t>
      </w:r>
    </w:p>
    <w:p w14:paraId="6BACEFB7" w14:textId="11D4EEF9" w:rsidR="00802C80" w:rsidRPr="008A47A5" w:rsidRDefault="00A3591C" w:rsidP="00802C80">
      <w:pPr>
        <w:pStyle w:val="ECHRPara"/>
      </w:pPr>
      <w:r>
        <w:rPr>
          <w:noProof/>
        </w:rPr>
        <w:t>115</w:t>
      </w:r>
      <w:r w:rsidR="00802C80" w:rsidRPr="00082846">
        <w:t>.</w:t>
      </w:r>
      <w:r w:rsidR="005F47D9">
        <w:t xml:space="preserve"> </w:t>
      </w:r>
      <w:r w:rsidR="00802C80" w:rsidRPr="00082846">
        <w:t xml:space="preserve">Skarżące wywodziły, że władze austriackie przyjęły, iż są one ofiarami handlu ludźmi przez traktowanie </w:t>
      </w:r>
      <w:r w:rsidR="000F3D60" w:rsidRPr="00082846">
        <w:t xml:space="preserve">ich w ten sposób </w:t>
      </w:r>
      <w:r w:rsidR="00802C80" w:rsidRPr="003D7F25">
        <w:t>(</w:t>
      </w:r>
      <w:r w:rsidR="00A87024">
        <w:t xml:space="preserve">zob. </w:t>
      </w:r>
      <w:r w:rsidR="00802C80" w:rsidRPr="003D7F25">
        <w:t>paragrafy 88-91 powyżej). Trybunał nie uznaje</w:t>
      </w:r>
      <w:r w:rsidR="000F3D60" w:rsidRPr="003D7F25">
        <w:t xml:space="preserve"> jednak</w:t>
      </w:r>
      <w:r w:rsidR="00802C80" w:rsidRPr="001C5F9D">
        <w:t xml:space="preserve">, że </w:t>
      </w:r>
      <w:r w:rsidR="000F3D60" w:rsidRPr="001F0818">
        <w:t xml:space="preserve">do </w:t>
      </w:r>
      <w:r w:rsidR="00A87024">
        <w:t>realizacji</w:t>
      </w:r>
      <w:r w:rsidR="000F3D60" w:rsidRPr="001F0818">
        <w:t xml:space="preserve"> znamion </w:t>
      </w:r>
      <w:r w:rsidR="00802C80" w:rsidRPr="001F0818">
        <w:t xml:space="preserve">przestępstwa handlu ludźmi </w:t>
      </w:r>
      <w:r w:rsidR="000F3D60" w:rsidRPr="00A87024">
        <w:t xml:space="preserve">doszło </w:t>
      </w:r>
      <w:r w:rsidR="00802C80" w:rsidRPr="00A87024">
        <w:t>jedynie dlatego, że władze austriackie traktowały skarżące jako (potencjalne) ofiary handlu ludźmi (</w:t>
      </w:r>
      <w:r w:rsidR="00A87024">
        <w:t xml:space="preserve">zob. </w:t>
      </w:r>
      <w:r w:rsidR="00802C80" w:rsidRPr="00A87024">
        <w:t xml:space="preserve">paragrafy 110-111 powyżej). Takie specjalne traktowanie nie zakładało </w:t>
      </w:r>
      <w:r w:rsidR="000F3D60" w:rsidRPr="00A87024">
        <w:t xml:space="preserve">urzędowego </w:t>
      </w:r>
      <w:r w:rsidR="00802C80" w:rsidRPr="00A87024">
        <w:t>potwierdzenia, że ustalon</w:t>
      </w:r>
      <w:r w:rsidR="000F3D60" w:rsidRPr="00A87024">
        <w:t>o</w:t>
      </w:r>
      <w:r w:rsidR="00802C80" w:rsidRPr="00A87024">
        <w:t xml:space="preserve"> popełnienie przestępstwa, a także pozostawało niezależne od </w:t>
      </w:r>
      <w:r w:rsidR="000F3D60" w:rsidRPr="008A47A5">
        <w:t>obowiązku</w:t>
      </w:r>
      <w:r w:rsidR="00654D50">
        <w:t xml:space="preserve"> władz</w:t>
      </w:r>
      <w:r w:rsidR="00802C80" w:rsidRPr="008A47A5">
        <w:t xml:space="preserve"> przeprowadzenia postępowania przygotowawczego. </w:t>
      </w:r>
      <w:r w:rsidR="000F3D60" w:rsidRPr="00D00246">
        <w:t>Jest tak, że</w:t>
      </w:r>
      <w:r w:rsidR="00802C80" w:rsidRPr="00D00246">
        <w:t xml:space="preserve"> (potencjalne) ofiary potrzebują wsparcia </w:t>
      </w:r>
      <w:r w:rsidR="000F3D60" w:rsidRPr="00D00246">
        <w:t xml:space="preserve">jeszcze </w:t>
      </w:r>
      <w:r w:rsidR="00802C80" w:rsidRPr="00D00246">
        <w:t xml:space="preserve">przed </w:t>
      </w:r>
      <w:r w:rsidR="000F3D60" w:rsidRPr="00D00246">
        <w:t xml:space="preserve">urzędowym </w:t>
      </w:r>
      <w:r w:rsidR="00802C80" w:rsidRPr="00D00246">
        <w:t xml:space="preserve">stwierdzeniem </w:t>
      </w:r>
      <w:r w:rsidR="000F3D60" w:rsidRPr="00D00246">
        <w:t xml:space="preserve">popełnienia </w:t>
      </w:r>
      <w:r w:rsidR="00802C80" w:rsidRPr="00D00246">
        <w:t xml:space="preserve">przestępstwa handlu ludźmi; przeciwna sytuacja udaremniałaby cel ochrony </w:t>
      </w:r>
      <w:r w:rsidR="00654D50">
        <w:t xml:space="preserve">ofiar </w:t>
      </w:r>
      <w:r w:rsidR="00802C80" w:rsidRPr="00D00246">
        <w:t xml:space="preserve">w takich sprawach. Kwestia tego, czy </w:t>
      </w:r>
      <w:r w:rsidR="000F3D60" w:rsidRPr="00D00246">
        <w:t xml:space="preserve">doszło do </w:t>
      </w:r>
      <w:r w:rsidR="00A87024">
        <w:t>realizacji</w:t>
      </w:r>
      <w:r w:rsidR="000F3D60" w:rsidRPr="00A87024">
        <w:t xml:space="preserve"> znamion</w:t>
      </w:r>
      <w:r w:rsidR="00802C80" w:rsidRPr="00A87024">
        <w:t xml:space="preserve"> przestępstwa, wymagałaby odpowiedzi w dalszym </w:t>
      </w:r>
      <w:r w:rsidR="000F3D60" w:rsidRPr="00A87024">
        <w:t xml:space="preserve">toku </w:t>
      </w:r>
      <w:r w:rsidR="00802C80" w:rsidRPr="00A87024">
        <w:t>postępowani</w:t>
      </w:r>
      <w:r w:rsidR="000F3D60" w:rsidRPr="00A87024">
        <w:t>a</w:t>
      </w:r>
      <w:r w:rsidR="00802C80" w:rsidRPr="00A87024">
        <w:t xml:space="preserve"> </w:t>
      </w:r>
      <w:r w:rsidR="000F3D60" w:rsidRPr="008A47A5">
        <w:t>karnego</w:t>
      </w:r>
      <w:r w:rsidR="00802C80" w:rsidRPr="008A47A5">
        <w:t>.</w:t>
      </w:r>
    </w:p>
    <w:p w14:paraId="64753365" w14:textId="040A9174" w:rsidR="00802C80" w:rsidRPr="00D00246" w:rsidRDefault="00A3591C" w:rsidP="00802C80">
      <w:pPr>
        <w:pStyle w:val="ECHRPara"/>
      </w:pPr>
      <w:r>
        <w:rPr>
          <w:noProof/>
        </w:rPr>
        <w:t>116</w:t>
      </w:r>
      <w:r w:rsidR="00802C80" w:rsidRPr="00082846">
        <w:t>.</w:t>
      </w:r>
      <w:r w:rsidR="005F47D9">
        <w:t xml:space="preserve"> </w:t>
      </w:r>
      <w:r w:rsidR="00802C80" w:rsidRPr="00082846">
        <w:t xml:space="preserve">Trybunał podkreśla, że </w:t>
      </w:r>
      <w:r w:rsidR="000F3D60" w:rsidRPr="00082846">
        <w:t xml:space="preserve">skarżące miały możliwość </w:t>
      </w:r>
      <w:r w:rsidR="000F3D60" w:rsidRPr="003D7F25">
        <w:t xml:space="preserve">zdania </w:t>
      </w:r>
      <w:r w:rsidR="00802C80" w:rsidRPr="003D7F25">
        <w:t xml:space="preserve">szczegółowej relacji </w:t>
      </w:r>
      <w:r w:rsidR="000F3D60" w:rsidRPr="003D7F25">
        <w:t xml:space="preserve">na temat </w:t>
      </w:r>
      <w:r w:rsidR="000F3D60" w:rsidRPr="001F0818">
        <w:t xml:space="preserve">zdarzeń </w:t>
      </w:r>
      <w:r w:rsidR="00802C80" w:rsidRPr="001F0818">
        <w:t xml:space="preserve">przeszkolonym </w:t>
      </w:r>
      <w:r w:rsidR="000F3D60" w:rsidRPr="001F0818">
        <w:t xml:space="preserve">do tego celu </w:t>
      </w:r>
      <w:r w:rsidR="00802C80" w:rsidRPr="008A47A5">
        <w:t>funkcjonariuszom. Policja sporządziła ponad</w:t>
      </w:r>
      <w:r w:rsidR="00EA047F">
        <w:t xml:space="preserve"> trzydzieści stron protokołów z </w:t>
      </w:r>
      <w:r w:rsidR="00802C80" w:rsidRPr="008A47A5">
        <w:t xml:space="preserve">zeznań. W oparciu o przedstawione opisy </w:t>
      </w:r>
      <w:r w:rsidR="000F3D60" w:rsidRPr="008A47A5">
        <w:t xml:space="preserve">organy </w:t>
      </w:r>
      <w:r w:rsidR="00802C80" w:rsidRPr="008A47A5">
        <w:t xml:space="preserve">doszły do </w:t>
      </w:r>
      <w:r w:rsidR="000F3D60" w:rsidRPr="00D00246">
        <w:t>wniosku</w:t>
      </w:r>
      <w:r w:rsidR="00802C80" w:rsidRPr="00D00246">
        <w:t xml:space="preserve">, że — </w:t>
      </w:r>
      <w:r w:rsidR="000F3D60" w:rsidRPr="00D00246">
        <w:t>stosownie do opisów</w:t>
      </w:r>
      <w:r w:rsidR="00802C80" w:rsidRPr="00D00246">
        <w:t xml:space="preserve"> skarżąc</w:t>
      </w:r>
      <w:r w:rsidR="000F3D60" w:rsidRPr="00D00246">
        <w:t>ych</w:t>
      </w:r>
      <w:r w:rsidR="00802C80" w:rsidRPr="00D00246">
        <w:t xml:space="preserve"> — </w:t>
      </w:r>
      <w:r w:rsidR="000F3D60" w:rsidRPr="00D00246">
        <w:t xml:space="preserve">zdarzenia, które miały miejsce </w:t>
      </w:r>
      <w:r w:rsidR="00802C80" w:rsidRPr="00D00246">
        <w:t xml:space="preserve">w ciągu </w:t>
      </w:r>
      <w:r w:rsidR="000F3D60" w:rsidRPr="00D00246">
        <w:t xml:space="preserve">nie więcej niż </w:t>
      </w:r>
      <w:r w:rsidR="00802C80" w:rsidRPr="00D00246">
        <w:t>trzech dni w Wiedniu</w:t>
      </w:r>
      <w:r w:rsidR="005366E0">
        <w:t>,</w:t>
      </w:r>
      <w:r w:rsidR="00802C80" w:rsidRPr="00D00246">
        <w:t xml:space="preserve"> same w sobie </w:t>
      </w:r>
      <w:r w:rsidR="000F3D60" w:rsidRPr="00D00246">
        <w:t xml:space="preserve">nie stanowiły </w:t>
      </w:r>
      <w:r w:rsidR="00802C80" w:rsidRPr="00D00246">
        <w:t xml:space="preserve">czynów zabronionych enumeratywnie </w:t>
      </w:r>
      <w:r w:rsidR="000F3D60" w:rsidRPr="00D00246">
        <w:t xml:space="preserve">wymienionych </w:t>
      </w:r>
      <w:r w:rsidR="00802C80" w:rsidRPr="00D00246">
        <w:t>w art. 104a k.k. (</w:t>
      </w:r>
      <w:r w:rsidR="00EA047F">
        <w:t>zob. </w:t>
      </w:r>
      <w:r w:rsidR="00802C80" w:rsidRPr="00A87024">
        <w:t xml:space="preserve">paragrafy 29-30 powyżej). Skarżące nie </w:t>
      </w:r>
      <w:r w:rsidR="000F3D60" w:rsidRPr="00A87024">
        <w:t xml:space="preserve">złożyły zawiadomienia </w:t>
      </w:r>
      <w:r w:rsidR="00EA047F">
        <w:t>w </w:t>
      </w:r>
      <w:r w:rsidR="004038D2" w:rsidRPr="008A47A5">
        <w:t>związku z przestępstwem znęcania się</w:t>
      </w:r>
      <w:r w:rsidR="00802C80" w:rsidRPr="008A47A5">
        <w:t xml:space="preserve"> w</w:t>
      </w:r>
      <w:r w:rsidR="00EA047F">
        <w:t xml:space="preserve"> Austrii. Trybunał</w:t>
      </w:r>
      <w:r w:rsidR="005366E0">
        <w:t xml:space="preserve"> uważa</w:t>
      </w:r>
      <w:r w:rsidR="00EA047F">
        <w:t>, że w </w:t>
      </w:r>
      <w:r w:rsidR="00802C80" w:rsidRPr="008A47A5">
        <w:t xml:space="preserve">świetle </w:t>
      </w:r>
      <w:r w:rsidR="004038D2" w:rsidRPr="00D00246">
        <w:t xml:space="preserve">okoliczności faktycznych </w:t>
      </w:r>
      <w:r w:rsidR="00802C80" w:rsidRPr="00D00246">
        <w:t xml:space="preserve">sprawy i </w:t>
      </w:r>
      <w:r w:rsidR="004038D2" w:rsidRPr="00D00246">
        <w:t>zgromadzonych przez organy</w:t>
      </w:r>
      <w:r w:rsidR="00802C80" w:rsidRPr="00D00246">
        <w:t xml:space="preserve"> </w:t>
      </w:r>
      <w:r w:rsidR="00802C80" w:rsidRPr="00D00246">
        <w:lastRenderedPageBreak/>
        <w:t>dowodów ocena</w:t>
      </w:r>
      <w:r w:rsidR="005366E0">
        <w:t xml:space="preserve">, że nie zostały wyczerpane </w:t>
      </w:r>
      <w:r w:rsidR="004038D2" w:rsidRPr="00D00246">
        <w:t>znamion</w:t>
      </w:r>
      <w:r w:rsidR="005366E0">
        <w:t>a przestępstwa</w:t>
      </w:r>
      <w:r w:rsidR="004038D2" w:rsidRPr="00D00246">
        <w:t xml:space="preserve"> z</w:t>
      </w:r>
      <w:r w:rsidR="00802C80" w:rsidRPr="00D00246">
        <w:t xml:space="preserve"> art. 104a k.k. w stosunku do zdarzeń w Austrii</w:t>
      </w:r>
      <w:r w:rsidR="005366E0">
        <w:t>,</w:t>
      </w:r>
      <w:r w:rsidR="00802C80" w:rsidRPr="00D00246">
        <w:t xml:space="preserve"> nie</w:t>
      </w:r>
      <w:r w:rsidR="005F47D9">
        <w:t xml:space="preserve"> </w:t>
      </w:r>
      <w:r w:rsidR="005366E0">
        <w:t xml:space="preserve">wydaje </w:t>
      </w:r>
      <w:r w:rsidR="00802C80" w:rsidRPr="00D00246">
        <w:t xml:space="preserve">się </w:t>
      </w:r>
      <w:r w:rsidR="005366E0">
        <w:t>nieuzasadniona</w:t>
      </w:r>
      <w:r w:rsidR="00802C80" w:rsidRPr="00D00246">
        <w:t>.</w:t>
      </w:r>
    </w:p>
    <w:p w14:paraId="7F418387" w14:textId="6EBF06E5" w:rsidR="00802C80" w:rsidRPr="00D00246" w:rsidRDefault="00A3591C" w:rsidP="00802C80">
      <w:pPr>
        <w:pStyle w:val="ECHRPara"/>
      </w:pPr>
      <w:r>
        <w:rPr>
          <w:noProof/>
        </w:rPr>
        <w:t>117</w:t>
      </w:r>
      <w:r w:rsidR="00802C80" w:rsidRPr="00082846">
        <w:t>.</w:t>
      </w:r>
      <w:r w:rsidR="005F47D9">
        <w:t xml:space="preserve"> </w:t>
      </w:r>
      <w:r w:rsidR="004038D2" w:rsidRPr="00082846">
        <w:t xml:space="preserve">W dalszej kolejności </w:t>
      </w:r>
      <w:r w:rsidR="00802C80" w:rsidRPr="00082846">
        <w:t xml:space="preserve">Trybunał rozważy </w:t>
      </w:r>
      <w:r w:rsidR="005366E0">
        <w:t>twierdzenie</w:t>
      </w:r>
      <w:r w:rsidR="004038D2" w:rsidRPr="003D7F25">
        <w:t xml:space="preserve"> </w:t>
      </w:r>
      <w:r w:rsidR="00802C80" w:rsidRPr="003D7F25">
        <w:t>skarżących</w:t>
      </w:r>
      <w:r w:rsidR="004038D2" w:rsidRPr="003D7F25">
        <w:t>, że zdarzeń, które miały</w:t>
      </w:r>
      <w:r w:rsidR="00EA047F">
        <w:t xml:space="preserve"> miejsce na Filipinach, w </w:t>
      </w:r>
      <w:r w:rsidR="00802C80" w:rsidRPr="001F0818">
        <w:t>Zjednoczonych Emiratach Arabskich i Austrii</w:t>
      </w:r>
      <w:r w:rsidR="004038D2" w:rsidRPr="001F0818">
        <w:t>,</w:t>
      </w:r>
      <w:r w:rsidR="00802C80" w:rsidRPr="001F0818">
        <w:t xml:space="preserve"> nie </w:t>
      </w:r>
      <w:r w:rsidR="004038D2" w:rsidRPr="001F0818">
        <w:t>należy</w:t>
      </w:r>
      <w:r w:rsidR="00802C80" w:rsidRPr="001F0818">
        <w:t xml:space="preserve"> postrzega</w:t>
      </w:r>
      <w:r w:rsidR="00A87024">
        <w:t>ć</w:t>
      </w:r>
      <w:r w:rsidR="00802C80" w:rsidRPr="001F0818">
        <w:t xml:space="preserve"> </w:t>
      </w:r>
      <w:r w:rsidR="00A87024">
        <w:t>odrębnie</w:t>
      </w:r>
      <w:r w:rsidR="004038D2" w:rsidRPr="001F0818">
        <w:t xml:space="preserve"> </w:t>
      </w:r>
      <w:r w:rsidR="00802C80" w:rsidRPr="00A87024">
        <w:t>(</w:t>
      </w:r>
      <w:r w:rsidR="00A87024">
        <w:t xml:space="preserve">zob. </w:t>
      </w:r>
      <w:r w:rsidR="00802C80" w:rsidRPr="00A87024">
        <w:t xml:space="preserve">paragraf 89 powyżej). </w:t>
      </w:r>
      <w:r w:rsidR="004038D2" w:rsidRPr="00A87024">
        <w:t>Jednak n</w:t>
      </w:r>
      <w:r w:rsidR="00802C80" w:rsidRPr="00A87024">
        <w:t xml:space="preserve">awet </w:t>
      </w:r>
      <w:r w:rsidR="004038D2" w:rsidRPr="00A87024">
        <w:t>gdyby</w:t>
      </w:r>
      <w:r w:rsidR="00802C80" w:rsidRPr="00A87024">
        <w:t xml:space="preserve"> powyższe zdarzenia </w:t>
      </w:r>
      <w:r w:rsidR="004038D2" w:rsidRPr="00A87024">
        <w:t>ująć całościowo</w:t>
      </w:r>
      <w:r w:rsidR="00802C80" w:rsidRPr="00A87024">
        <w:t xml:space="preserve">, z </w:t>
      </w:r>
      <w:r w:rsidR="004038D2" w:rsidRPr="00A87024">
        <w:t>przytoczonych po</w:t>
      </w:r>
      <w:r w:rsidR="005366E0">
        <w:t>ni</w:t>
      </w:r>
      <w:r w:rsidR="00802C80" w:rsidRPr="008A47A5">
        <w:t xml:space="preserve">żej </w:t>
      </w:r>
      <w:r w:rsidR="004038D2" w:rsidRPr="008A47A5">
        <w:t xml:space="preserve">względów </w:t>
      </w:r>
      <w:r w:rsidR="00802C80" w:rsidRPr="008A47A5">
        <w:t xml:space="preserve">Trybunał uznaje, że </w:t>
      </w:r>
      <w:r w:rsidR="00742E67" w:rsidRPr="008A47A5">
        <w:t>nic nie wskazuje na to</w:t>
      </w:r>
      <w:r w:rsidR="00802C80" w:rsidRPr="00D00246">
        <w:t>, ja</w:t>
      </w:r>
      <w:r w:rsidR="00EA047F">
        <w:t>koby władze nie wywiązały się z </w:t>
      </w:r>
      <w:r w:rsidR="00802C80" w:rsidRPr="00D00246">
        <w:t>obowiązku przeprowadzenia postępowania przygotowawczego. Władze austriackie zostały zawiadomione dopiero rok po zdarzeniach w Wiedniu, gdy pracodawczynie skarżący</w:t>
      </w:r>
      <w:r w:rsidR="00EA047F">
        <w:t>ch dawno już opuściły Austrię i </w:t>
      </w:r>
      <w:r w:rsidR="00742E67" w:rsidRPr="00D00246">
        <w:t>prawdopodobnie</w:t>
      </w:r>
      <w:r w:rsidR="00802C80" w:rsidRPr="00D00246">
        <w:t xml:space="preserve"> wróciły do Dubaju. </w:t>
      </w:r>
      <w:r w:rsidR="00742E67" w:rsidRPr="00D00246">
        <w:t>W tej sytuacji j</w:t>
      </w:r>
      <w:r w:rsidR="00802C80" w:rsidRPr="00D00246">
        <w:t xml:space="preserve">edynymi dalszymi krokami, jakie władze mogły ewentualnie podjąć, </w:t>
      </w:r>
      <w:r w:rsidR="00742E67" w:rsidRPr="00D00246">
        <w:t>to</w:t>
      </w:r>
      <w:r w:rsidR="00802C80" w:rsidRPr="00D00246">
        <w:t xml:space="preserve">: </w:t>
      </w:r>
      <w:r w:rsidR="00EA047F">
        <w:t>wystąpienie z </w:t>
      </w:r>
      <w:r w:rsidR="00742E67" w:rsidRPr="00D00246">
        <w:t>wnioskiem</w:t>
      </w:r>
      <w:r w:rsidR="00802C80" w:rsidRPr="00D00246">
        <w:t xml:space="preserve"> o pomoc prawną do Zjednoczonych </w:t>
      </w:r>
      <w:r w:rsidR="00742E67" w:rsidRPr="00D00246">
        <w:t>E</w:t>
      </w:r>
      <w:r w:rsidR="00802C80" w:rsidRPr="00D00246">
        <w:t xml:space="preserve">miratów Arabskich, podjęcie próby przesłuchania pracodawczyń skarżących </w:t>
      </w:r>
      <w:r w:rsidR="00742E67" w:rsidRPr="00D00246">
        <w:t>na podstawie</w:t>
      </w:r>
      <w:r w:rsidR="00802C80" w:rsidRPr="00D00246">
        <w:t xml:space="preserve"> wniosków rekwizycyjnych, stwarzając im tym samym możliwość obron</w:t>
      </w:r>
      <w:r w:rsidR="00742E67" w:rsidRPr="00D00246">
        <w:t>y</w:t>
      </w:r>
      <w:r w:rsidR="00802C80" w:rsidRPr="00D00246">
        <w:t>, oraz wydanie postanowienia nakazującego ustalenie ich miejsca pobytu (</w:t>
      </w:r>
      <w:r w:rsidR="00EA047F">
        <w:rPr>
          <w:i/>
        </w:rPr>
        <w:t>zur </w:t>
      </w:r>
      <w:r w:rsidR="00802C80" w:rsidRPr="00D00246">
        <w:rPr>
          <w:i/>
        </w:rPr>
        <w:t>Aufenthaltsbestimmung ausschreiben</w:t>
      </w:r>
      <w:r w:rsidR="00802C80" w:rsidRPr="00D00246">
        <w:t>) w trybie art. 197 k.p.k. (</w:t>
      </w:r>
      <w:r w:rsidR="00EA047F">
        <w:t>zob. </w:t>
      </w:r>
      <w:r w:rsidR="00802C80" w:rsidRPr="00A87024">
        <w:t>paragraf 38 powyżej). Na podstawie przedstawionych informacji Trybunał uzna</w:t>
      </w:r>
      <w:r w:rsidR="005366E0">
        <w:t>je</w:t>
      </w:r>
      <w:r w:rsidR="00802C80" w:rsidRPr="00A87024">
        <w:t xml:space="preserve">, że władze nie mogły żywić </w:t>
      </w:r>
      <w:r w:rsidR="00742E67" w:rsidRPr="008A47A5">
        <w:t>żadnych zasadnych</w:t>
      </w:r>
      <w:r w:rsidR="00802C80" w:rsidRPr="008A47A5">
        <w:t xml:space="preserve"> oczekiwań co do możliwości choćby </w:t>
      </w:r>
      <w:r w:rsidR="00802C80" w:rsidRPr="00D00246">
        <w:t>skonfronto</w:t>
      </w:r>
      <w:r w:rsidR="00EA047F">
        <w:t>wania pracodawczyń skarżących z </w:t>
      </w:r>
      <w:r w:rsidR="00802C80" w:rsidRPr="00D00246">
        <w:t>wysuwanymi przeciwko nim oskarżeniami</w:t>
      </w:r>
      <w:r w:rsidR="00742E67" w:rsidRPr="00D00246">
        <w:t xml:space="preserve"> z uwagi na brak jakiejkolwiek</w:t>
      </w:r>
      <w:r w:rsidR="005F47D9">
        <w:t xml:space="preserve"> </w:t>
      </w:r>
      <w:r w:rsidR="00802C80" w:rsidRPr="00D00246">
        <w:t>umow</w:t>
      </w:r>
      <w:r w:rsidR="00742E67" w:rsidRPr="00D00246">
        <w:t>y</w:t>
      </w:r>
      <w:r w:rsidR="00802C80" w:rsidRPr="00D00246">
        <w:t xml:space="preserve"> o wzajemnej pomocy prawnej między Austrią a Zjednoczonymi Emiratami Arabskimi. W tym zakresie Rząd odwołał się do swojego doświadczenia, zgodnie z którym nawet proste wnioski o pomoc prawną spotykały się w przeszłości z odmową </w:t>
      </w:r>
      <w:r w:rsidR="00742E67" w:rsidRPr="00D00246">
        <w:t>z niezrozumiałych przyczyn</w:t>
      </w:r>
      <w:r w:rsidR="00802C80" w:rsidRPr="00D00246">
        <w:t xml:space="preserve"> (</w:t>
      </w:r>
      <w:r w:rsidR="00EA047F">
        <w:t>zob. </w:t>
      </w:r>
      <w:r w:rsidR="00802C80" w:rsidRPr="00A87024">
        <w:t xml:space="preserve">paragraf 101 powyżej). </w:t>
      </w:r>
      <w:r w:rsidR="005366E0">
        <w:t>Nie w</w:t>
      </w:r>
      <w:r w:rsidR="00802C80" w:rsidRPr="00A87024">
        <w:t xml:space="preserve">ydaje się, </w:t>
      </w:r>
      <w:r w:rsidR="00742E67" w:rsidRPr="00A87024">
        <w:t xml:space="preserve">że </w:t>
      </w:r>
      <w:r w:rsidR="00802C80" w:rsidRPr="00A87024">
        <w:t xml:space="preserve">opisane wyżej próby, jakkolwiek możliwe w teorii, mogły </w:t>
      </w:r>
      <w:r w:rsidR="00297F6E" w:rsidRPr="008A47A5">
        <w:t xml:space="preserve">mieć </w:t>
      </w:r>
      <w:r w:rsidR="005366E0">
        <w:t>racjonalne</w:t>
      </w:r>
      <w:r w:rsidR="00802C80" w:rsidRPr="008A47A5">
        <w:t xml:space="preserve"> szans</w:t>
      </w:r>
      <w:r w:rsidR="005366E0">
        <w:t>e</w:t>
      </w:r>
      <w:r w:rsidR="00802C80" w:rsidRPr="008A47A5">
        <w:t xml:space="preserve"> powodzenia, co powodowałoby obowiązek ich podjęcia. Dodatkowo Trybunał podkreśla, że na </w:t>
      </w:r>
      <w:r w:rsidR="00297F6E" w:rsidRPr="00D00246">
        <w:t xml:space="preserve">gruncie </w:t>
      </w:r>
      <w:r w:rsidR="00802C80" w:rsidRPr="00D00246">
        <w:t xml:space="preserve">prawa austriackiego </w:t>
      </w:r>
      <w:r w:rsidR="00297F6E" w:rsidRPr="00D00246">
        <w:t>prokuratorowi</w:t>
      </w:r>
      <w:r w:rsidR="00802C80" w:rsidRPr="00D00246">
        <w:t xml:space="preserve"> przysługuje pewien </w:t>
      </w:r>
      <w:r w:rsidR="00297F6E" w:rsidRPr="00D00246">
        <w:t xml:space="preserve">margines </w:t>
      </w:r>
      <w:r w:rsidR="00802C80" w:rsidRPr="00D00246">
        <w:t xml:space="preserve">oceny — w oparciu o zasadę proporcjonalności — </w:t>
      </w:r>
      <w:r w:rsidR="00297F6E" w:rsidRPr="00D00246">
        <w:t>w zakresie prowadzenia bądź umarzania spraw</w:t>
      </w:r>
      <w:r w:rsidR="00EA047F">
        <w:t xml:space="preserve"> (art. </w:t>
      </w:r>
      <w:r w:rsidR="00802C80" w:rsidRPr="00D00246">
        <w:t xml:space="preserve">210 k.p.k., </w:t>
      </w:r>
      <w:r w:rsidR="00A87024">
        <w:t xml:space="preserve">zob. </w:t>
      </w:r>
      <w:r w:rsidR="00802C80" w:rsidRPr="00A87024">
        <w:t>paragraf 39 powyżej). Ponadto zgodnie z art. 197 k.p.k. (</w:t>
      </w:r>
      <w:r w:rsidR="00A87024">
        <w:t xml:space="preserve">zob. </w:t>
      </w:r>
      <w:r w:rsidR="00802C80" w:rsidRPr="00A87024">
        <w:t xml:space="preserve">paragraf 38 powyżej) nie jest możliwe prowadzenie postępowania karnego pod nieobecność oskarżonego. </w:t>
      </w:r>
      <w:r w:rsidR="00297F6E" w:rsidRPr="00A87024">
        <w:t>Wreszcie,</w:t>
      </w:r>
      <w:r w:rsidR="00802C80" w:rsidRPr="00A87024">
        <w:t xml:space="preserve"> zgodnie z art. 193 § 2 k.p.k. (</w:t>
      </w:r>
      <w:r w:rsidR="00A87024">
        <w:t xml:space="preserve">zob. </w:t>
      </w:r>
      <w:r w:rsidR="00802C80" w:rsidRPr="00A87024">
        <w:t xml:space="preserve">paragraf 37 powyżej) oskarżyciel publiczny może — </w:t>
      </w:r>
      <w:r w:rsidR="00297F6E" w:rsidRPr="00A87024">
        <w:t>przed upływem</w:t>
      </w:r>
      <w:r w:rsidR="00802C80" w:rsidRPr="00A87024">
        <w:t xml:space="preserve"> przedawnienia — </w:t>
      </w:r>
      <w:r w:rsidR="00297F6E" w:rsidRPr="008A47A5">
        <w:t xml:space="preserve">wznowić </w:t>
      </w:r>
      <w:r w:rsidR="00802C80" w:rsidRPr="008A47A5">
        <w:t>i dalej prowadzić postępowanie przygotowawcze</w:t>
      </w:r>
      <w:r w:rsidR="00297F6E" w:rsidRPr="00D00246">
        <w:t xml:space="preserve"> w zakresie</w:t>
      </w:r>
      <w:r w:rsidR="00802C80" w:rsidRPr="00D00246">
        <w:t xml:space="preserve"> zarzutów skarżących w razie </w:t>
      </w:r>
      <w:r w:rsidR="00297F6E" w:rsidRPr="00D00246">
        <w:t xml:space="preserve">zaistnienia ku </w:t>
      </w:r>
      <w:r w:rsidR="00802C80" w:rsidRPr="00D00246">
        <w:t xml:space="preserve">temu </w:t>
      </w:r>
      <w:r w:rsidR="00297F6E" w:rsidRPr="00D00246">
        <w:t xml:space="preserve">podstawy faktycznej </w:t>
      </w:r>
      <w:r w:rsidR="00802C80" w:rsidRPr="00D00246">
        <w:t xml:space="preserve">i </w:t>
      </w:r>
      <w:r w:rsidR="00297F6E" w:rsidRPr="00D00246">
        <w:t>prawnej</w:t>
      </w:r>
      <w:r w:rsidR="00802C80" w:rsidRPr="00D00246">
        <w:t xml:space="preserve">. Powyższe rozważania </w:t>
      </w:r>
      <w:r w:rsidR="00297F6E" w:rsidRPr="00D00246">
        <w:t xml:space="preserve">pozwalają </w:t>
      </w:r>
      <w:r w:rsidR="00802C80" w:rsidRPr="00D00246">
        <w:t xml:space="preserve">Trybunałowi </w:t>
      </w:r>
      <w:r w:rsidR="00297F6E" w:rsidRPr="00D00246">
        <w:t>przyjąć</w:t>
      </w:r>
      <w:r w:rsidR="00802C80" w:rsidRPr="00D00246">
        <w:t>, że postępowanie przygotowawcze przeprowadzone przez władze austriackie w sprawie skarżących było wystarczające na potrzeby art. 4 Konwencji.</w:t>
      </w:r>
    </w:p>
    <w:p w14:paraId="0F5FCA15" w14:textId="31788012" w:rsidR="00802C80" w:rsidRPr="00D00246" w:rsidRDefault="00802C80" w:rsidP="00802C80">
      <w:pPr>
        <w:pStyle w:val="ECHRHeading5"/>
      </w:pPr>
      <w:r w:rsidRPr="00D00246">
        <w:lastRenderedPageBreak/>
        <w:t>(iii)</w:t>
      </w:r>
      <w:r w:rsidR="005F47D9">
        <w:t xml:space="preserve"> </w:t>
      </w:r>
      <w:r w:rsidRPr="00D00246">
        <w:t>Konkluzja Trybunału</w:t>
      </w:r>
    </w:p>
    <w:p w14:paraId="68D83AA7" w14:textId="0952DD32" w:rsidR="00802C80" w:rsidRPr="00D00246" w:rsidRDefault="00A3591C" w:rsidP="00802C80">
      <w:pPr>
        <w:pStyle w:val="ECHRPara"/>
      </w:pPr>
      <w:r>
        <w:rPr>
          <w:noProof/>
        </w:rPr>
        <w:t>118</w:t>
      </w:r>
      <w:r w:rsidR="00802C80" w:rsidRPr="00082846">
        <w:t>.</w:t>
      </w:r>
      <w:r w:rsidR="005F47D9">
        <w:t xml:space="preserve"> </w:t>
      </w:r>
      <w:r w:rsidR="00802C80" w:rsidRPr="00082846">
        <w:t xml:space="preserve">W świetle powyższego Trybunał uznaje, że władze austriackie wywiązały się z obowiązku ochrony skarżących jako (potencjalnych) ofiar handlu ludźmi. </w:t>
      </w:r>
      <w:r w:rsidR="00297F6E" w:rsidRPr="00082846">
        <w:t>Przyjmując</w:t>
      </w:r>
      <w:r w:rsidR="00802C80" w:rsidRPr="00082846">
        <w:t xml:space="preserve">, że nie mają jurysdykcji krajowej </w:t>
      </w:r>
      <w:r w:rsidR="00297F6E" w:rsidRPr="003D7F25">
        <w:t xml:space="preserve">w zakresie rzekomych </w:t>
      </w:r>
      <w:r w:rsidR="00802C80" w:rsidRPr="003D7F25">
        <w:t>przestępstw popełniony</w:t>
      </w:r>
      <w:r w:rsidR="00297F6E" w:rsidRPr="001C5F9D">
        <w:t>ch</w:t>
      </w:r>
      <w:r w:rsidR="00802C80" w:rsidRPr="001F0818">
        <w:t xml:space="preserve"> za granicą</w:t>
      </w:r>
      <w:r w:rsidR="003731EE">
        <w:t>,</w:t>
      </w:r>
      <w:r w:rsidR="00802C80" w:rsidRPr="001F0818">
        <w:t xml:space="preserve"> i </w:t>
      </w:r>
      <w:r w:rsidR="00297F6E" w:rsidRPr="001F0818">
        <w:t xml:space="preserve">wydając postanowienie </w:t>
      </w:r>
      <w:r w:rsidR="00EA047F">
        <w:t>o </w:t>
      </w:r>
      <w:r w:rsidR="00802C80" w:rsidRPr="001F0818">
        <w:t>umorzeniu sprawy skarżących dotyczącej zdarzeń w Austrii</w:t>
      </w:r>
      <w:r w:rsidR="00297F6E" w:rsidRPr="008A47A5">
        <w:t>,</w:t>
      </w:r>
      <w:r w:rsidR="00802C80" w:rsidRPr="008A47A5">
        <w:t xml:space="preserve"> nie naruszyły pozytywnego </w:t>
      </w:r>
      <w:r w:rsidR="00297F6E" w:rsidRPr="00D00246">
        <w:t xml:space="preserve">obowiązku wynikającego </w:t>
      </w:r>
      <w:r w:rsidR="00802C80" w:rsidRPr="00D00246">
        <w:t xml:space="preserve">z proceduralnej </w:t>
      </w:r>
      <w:r w:rsidR="00297F6E" w:rsidRPr="00D00246">
        <w:t xml:space="preserve">części </w:t>
      </w:r>
      <w:r w:rsidR="00802C80" w:rsidRPr="00D00246">
        <w:t>art. 4 Konwencji.</w:t>
      </w:r>
    </w:p>
    <w:p w14:paraId="4A4F0D42" w14:textId="77777777" w:rsidR="00802C80" w:rsidRPr="00D00246" w:rsidRDefault="00802C80" w:rsidP="00802C80">
      <w:pPr>
        <w:pStyle w:val="ECHRPara"/>
      </w:pPr>
      <w:r w:rsidRPr="00D00246">
        <w:t xml:space="preserve">Nie doszło zatem do naruszenia tego </w:t>
      </w:r>
      <w:r w:rsidR="00297F6E" w:rsidRPr="00D00246">
        <w:t>postanowienia</w:t>
      </w:r>
      <w:r w:rsidRPr="00D00246">
        <w:t>.</w:t>
      </w:r>
    </w:p>
    <w:p w14:paraId="55BC68BA" w14:textId="4AFC728C" w:rsidR="00802C80" w:rsidRPr="00D00246" w:rsidRDefault="00802C80" w:rsidP="00802C80">
      <w:pPr>
        <w:pStyle w:val="ECHRHeading1"/>
      </w:pPr>
      <w:r w:rsidRPr="00D00246">
        <w:t>III.</w:t>
      </w:r>
      <w:r w:rsidR="005F47D9">
        <w:t xml:space="preserve"> </w:t>
      </w:r>
      <w:r w:rsidR="003731EE">
        <w:t>ZARZUC</w:t>
      </w:r>
      <w:r w:rsidRPr="00D00246">
        <w:t>ANE NARUSZENIE ART. 3 KONWENCJI</w:t>
      </w:r>
    </w:p>
    <w:p w14:paraId="380A99E9" w14:textId="277DB504" w:rsidR="00802C80" w:rsidRPr="00D00246" w:rsidRDefault="00A3591C" w:rsidP="00802C80">
      <w:pPr>
        <w:pStyle w:val="ECHRPara"/>
      </w:pPr>
      <w:r>
        <w:rPr>
          <w:noProof/>
        </w:rPr>
        <w:t>119</w:t>
      </w:r>
      <w:r w:rsidR="00802C80" w:rsidRPr="00082846">
        <w:t>.</w:t>
      </w:r>
      <w:r w:rsidR="005F47D9">
        <w:t xml:space="preserve"> </w:t>
      </w:r>
      <w:r w:rsidR="00802C80" w:rsidRPr="00082846">
        <w:t xml:space="preserve">Skarżące nadto podniosły, że traktowanie, któremu zostały poddane, </w:t>
      </w:r>
      <w:r w:rsidR="00A6020D" w:rsidRPr="003D7F25">
        <w:t>sięgnęło</w:t>
      </w:r>
      <w:r w:rsidR="00802C80" w:rsidRPr="003D7F25">
        <w:t xml:space="preserve"> minimaln</w:t>
      </w:r>
      <w:r w:rsidR="00A6020D" w:rsidRPr="003D7F25">
        <w:t>ego</w:t>
      </w:r>
      <w:r w:rsidR="00802C80" w:rsidRPr="003D7F25">
        <w:t xml:space="preserve"> pr</w:t>
      </w:r>
      <w:r w:rsidR="00A6020D" w:rsidRPr="003D7F25">
        <w:t>ogu</w:t>
      </w:r>
      <w:r w:rsidR="00802C80" w:rsidRPr="003D7F25">
        <w:t xml:space="preserve"> dotkliwości z art. 3 Konwencji, </w:t>
      </w:r>
      <w:r w:rsidR="00CB48B0">
        <w:t>a w </w:t>
      </w:r>
      <w:r w:rsidR="00A6020D" w:rsidRPr="001F0818">
        <w:t xml:space="preserve">konsekwencji </w:t>
      </w:r>
      <w:r w:rsidR="00802C80" w:rsidRPr="001F0818">
        <w:t xml:space="preserve">doszło do naruszenia </w:t>
      </w:r>
      <w:r w:rsidR="00A6020D" w:rsidRPr="001F0818">
        <w:t xml:space="preserve">przez </w:t>
      </w:r>
      <w:r w:rsidR="00A6020D" w:rsidRPr="008A47A5">
        <w:t xml:space="preserve">pozwane </w:t>
      </w:r>
      <w:r w:rsidR="00B25512" w:rsidRPr="008A47A5">
        <w:t xml:space="preserve">Państwo </w:t>
      </w:r>
      <w:r w:rsidR="00156CEE">
        <w:t xml:space="preserve">proceduralnego </w:t>
      </w:r>
      <w:r w:rsidR="00A6020D" w:rsidRPr="008A47A5">
        <w:t xml:space="preserve">obowiązku </w:t>
      </w:r>
      <w:r w:rsidR="00802C80" w:rsidRPr="008A47A5">
        <w:t xml:space="preserve">przeprowadzenia </w:t>
      </w:r>
      <w:r w:rsidR="00A6020D" w:rsidRPr="00D00246">
        <w:t xml:space="preserve">rzetelnego </w:t>
      </w:r>
      <w:r w:rsidR="00802C80" w:rsidRPr="00D00246">
        <w:t>postępowania przygotowawczego w sprawie. Art. 3 stanowi:</w:t>
      </w:r>
    </w:p>
    <w:p w14:paraId="09BF6088" w14:textId="77777777" w:rsidR="00802C80" w:rsidRPr="00D00246" w:rsidRDefault="00802C80" w:rsidP="00802C80">
      <w:pPr>
        <w:pStyle w:val="ECHRParaQuote"/>
      </w:pPr>
      <w:r w:rsidRPr="00D00246">
        <w:t>„Nikt nie może być poddany torturom ani nieludzkiemu lub poniżającemu traktowaniu albo karaniu”.</w:t>
      </w:r>
    </w:p>
    <w:p w14:paraId="0DE6EF91" w14:textId="44284F0E" w:rsidR="00802C80" w:rsidRPr="001F0818" w:rsidRDefault="00A3591C" w:rsidP="00802C80">
      <w:pPr>
        <w:pStyle w:val="ECHRPara"/>
      </w:pPr>
      <w:r>
        <w:rPr>
          <w:noProof/>
        </w:rPr>
        <w:t>120</w:t>
      </w:r>
      <w:r w:rsidR="00802C80" w:rsidRPr="00082846">
        <w:t>.</w:t>
      </w:r>
      <w:r w:rsidR="005F47D9">
        <w:t xml:space="preserve"> </w:t>
      </w:r>
      <w:r w:rsidR="00802C80" w:rsidRPr="00082846">
        <w:t xml:space="preserve">Trybunał zauważa, że zarzut ten </w:t>
      </w:r>
      <w:r w:rsidR="00A6020D" w:rsidRPr="00082846">
        <w:t>ma związek</w:t>
      </w:r>
      <w:r w:rsidR="00802C80" w:rsidRPr="00082846">
        <w:t xml:space="preserve"> z zarzutem rozpatrzonym powyżej</w:t>
      </w:r>
      <w:r w:rsidR="00A6020D" w:rsidRPr="003D7F25">
        <w:t xml:space="preserve">, </w:t>
      </w:r>
      <w:r w:rsidR="00A87024">
        <w:t xml:space="preserve">a co za tym idzie </w:t>
      </w:r>
      <w:r w:rsidR="00A6020D" w:rsidRPr="003D7F25">
        <w:t xml:space="preserve">należy go również </w:t>
      </w:r>
      <w:r w:rsidR="00A6020D" w:rsidRPr="001F0818">
        <w:t xml:space="preserve">uznać </w:t>
      </w:r>
      <w:r w:rsidR="00802C80" w:rsidRPr="001F0818">
        <w:t>za dopuszczalny.</w:t>
      </w:r>
    </w:p>
    <w:p w14:paraId="6F813CF4" w14:textId="12B7FA59" w:rsidR="00802C80" w:rsidRPr="001F0818" w:rsidRDefault="00A3591C" w:rsidP="00802C80">
      <w:pPr>
        <w:pStyle w:val="ECHRPara"/>
      </w:pPr>
      <w:r>
        <w:rPr>
          <w:noProof/>
        </w:rPr>
        <w:t>121</w:t>
      </w:r>
      <w:r w:rsidR="00802C80" w:rsidRPr="00082846">
        <w:t>.</w:t>
      </w:r>
      <w:r w:rsidR="005F47D9">
        <w:t xml:space="preserve"> </w:t>
      </w:r>
      <w:r w:rsidR="00802C80" w:rsidRPr="00082846">
        <w:t xml:space="preserve">W swoich </w:t>
      </w:r>
      <w:r w:rsidR="00156CEE">
        <w:t>obserwacjach</w:t>
      </w:r>
      <w:r w:rsidR="00802C80" w:rsidRPr="00082846">
        <w:t xml:space="preserve"> skarżące podniosły, że, ściśle rzecz biorąc, </w:t>
      </w:r>
      <w:r w:rsidR="00A6020D" w:rsidRPr="003D7F25">
        <w:t xml:space="preserve">przy badaniu przez Trybunał naruszenia art. 4 Konwencji </w:t>
      </w:r>
      <w:r w:rsidR="00A6020D" w:rsidRPr="001F0818">
        <w:t xml:space="preserve">ocena </w:t>
      </w:r>
      <w:r w:rsidR="00802C80" w:rsidRPr="001F0818">
        <w:t>tego samego stanu faktycznego w świetle art. 3</w:t>
      </w:r>
      <w:r w:rsidR="00A6020D" w:rsidRPr="001F0818">
        <w:t xml:space="preserve"> byłaby bezcelowa</w:t>
      </w:r>
      <w:r w:rsidR="00802C80" w:rsidRPr="001F0818">
        <w:t>.</w:t>
      </w:r>
    </w:p>
    <w:p w14:paraId="4C0C4E15" w14:textId="5F410BBF" w:rsidR="00802C80" w:rsidRPr="003D7F25" w:rsidRDefault="00A3591C" w:rsidP="00802C80">
      <w:pPr>
        <w:pStyle w:val="ECHRPara"/>
      </w:pPr>
      <w:r>
        <w:rPr>
          <w:noProof/>
        </w:rPr>
        <w:t>122</w:t>
      </w:r>
      <w:r w:rsidR="00802C80" w:rsidRPr="00082846">
        <w:t>.</w:t>
      </w:r>
      <w:r w:rsidR="005F47D9">
        <w:t xml:space="preserve"> </w:t>
      </w:r>
      <w:r w:rsidR="00A6020D" w:rsidRPr="00082846">
        <w:t>W</w:t>
      </w:r>
      <w:r w:rsidR="00802C80" w:rsidRPr="00082846">
        <w:t xml:space="preserve"> odniesieniu do zarzutów skarżących z art. 3 i 4 Konwencji </w:t>
      </w:r>
      <w:r w:rsidR="00A6020D" w:rsidRPr="003D7F25">
        <w:t xml:space="preserve">Rząd zasadniczo przedstawił te same uwagi </w:t>
      </w:r>
      <w:r w:rsidR="00802C80" w:rsidRPr="003D7F25">
        <w:t>(</w:t>
      </w:r>
      <w:r w:rsidR="00A87024">
        <w:t xml:space="preserve">zob. </w:t>
      </w:r>
      <w:r w:rsidR="00802C80" w:rsidRPr="003D7F25">
        <w:t>paragrafy 78-102 powyżej).</w:t>
      </w:r>
    </w:p>
    <w:p w14:paraId="0F1C559F" w14:textId="4F9C88DA" w:rsidR="00802C80" w:rsidRPr="004429C3" w:rsidRDefault="00A3591C" w:rsidP="00802C80">
      <w:pPr>
        <w:pStyle w:val="ECHRPara"/>
      </w:pPr>
      <w:r>
        <w:rPr>
          <w:noProof/>
        </w:rPr>
        <w:t>123</w:t>
      </w:r>
      <w:r w:rsidR="00802C80" w:rsidRPr="00082846">
        <w:t>.</w:t>
      </w:r>
      <w:r w:rsidR="005F47D9">
        <w:t xml:space="preserve"> </w:t>
      </w:r>
      <w:r w:rsidR="00802C80" w:rsidRPr="00082846">
        <w:t xml:space="preserve">Zgodnie ze stanowiskami skarżących, Trybunał uznaje, że kryterium badania zobowiązań pozytywnych Państwa </w:t>
      </w:r>
      <w:r w:rsidR="00A6020D" w:rsidRPr="00082846">
        <w:t xml:space="preserve">wynikających </w:t>
      </w:r>
      <w:r w:rsidR="00CB48B0">
        <w:t>z </w:t>
      </w:r>
      <w:r w:rsidR="00802C80" w:rsidRPr="00082846">
        <w:t>proceduralne</w:t>
      </w:r>
      <w:r w:rsidR="00156CEE">
        <w:t>go</w:t>
      </w:r>
      <w:r w:rsidR="00802C80" w:rsidRPr="00082846">
        <w:t xml:space="preserve"> </w:t>
      </w:r>
      <w:r w:rsidR="00156CEE">
        <w:t xml:space="preserve">aspektu </w:t>
      </w:r>
      <w:r w:rsidR="00802C80" w:rsidRPr="003D7F25">
        <w:t xml:space="preserve">art. 3 Konwencji jest bardzo podobne do tego z art. 4, </w:t>
      </w:r>
      <w:r w:rsidR="00802C80" w:rsidRPr="003D7F25">
        <w:rPr>
          <w:snapToGrid w:val="0"/>
        </w:rPr>
        <w:t>które zostało wszechstronnie rozpatrzone powyżej</w:t>
      </w:r>
      <w:r w:rsidR="00802C80" w:rsidRPr="001C5F9D">
        <w:t xml:space="preserve"> (por. np.</w:t>
      </w:r>
      <w:r w:rsidR="00802C80" w:rsidRPr="001F0818">
        <w:t xml:space="preserve"> </w:t>
      </w:r>
      <w:r w:rsidR="00802C80" w:rsidRPr="001F0818">
        <w:rPr>
          <w:i/>
        </w:rPr>
        <w:t xml:space="preserve">Jeronovičs p-ko Łotwie </w:t>
      </w:r>
      <w:r w:rsidR="00802C80" w:rsidRPr="008A47A5">
        <w:t>[W</w:t>
      </w:r>
      <w:r w:rsidR="00A6020D" w:rsidRPr="008A47A5">
        <w:t>I</w:t>
      </w:r>
      <w:r w:rsidR="00802C80" w:rsidRPr="008A47A5">
        <w:t>], nr 44898/10</w:t>
      </w:r>
      <w:r w:rsidR="00802C80" w:rsidRPr="008A47A5">
        <w:rPr>
          <w:snapToGrid w:val="0"/>
        </w:rPr>
        <w:t xml:space="preserve">, </w:t>
      </w:r>
      <w:r w:rsidR="00A6020D" w:rsidRPr="008A47A5">
        <w:rPr>
          <w:snapToGrid w:val="0"/>
        </w:rPr>
        <w:t>§</w:t>
      </w:r>
      <w:r w:rsidR="00802C80" w:rsidRPr="008A47A5">
        <w:rPr>
          <w:snapToGrid w:val="0"/>
        </w:rPr>
        <w:t xml:space="preserve"> 107, 5 lipca 2016 r.</w:t>
      </w:r>
      <w:r w:rsidR="005F47D9">
        <w:rPr>
          <w:snapToGrid w:val="0"/>
        </w:rPr>
        <w:t xml:space="preserve"> </w:t>
      </w:r>
      <w:r w:rsidR="00802C80" w:rsidRPr="008A47A5">
        <w:t>w odniesieniu do art. 2 i 3</w:t>
      </w:r>
      <w:r w:rsidR="00A6020D" w:rsidRPr="008A47A5">
        <w:t>,</w:t>
      </w:r>
      <w:r w:rsidR="00802C80" w:rsidRPr="008A47A5">
        <w:rPr>
          <w:snapToGrid w:val="0"/>
        </w:rPr>
        <w:t xml:space="preserve"> oraz </w:t>
      </w:r>
      <w:r w:rsidR="00802C80" w:rsidRPr="008A47A5">
        <w:rPr>
          <w:i/>
          <w:snapToGrid w:val="0"/>
        </w:rPr>
        <w:t>Rantsev</w:t>
      </w:r>
      <w:r w:rsidR="00802C80" w:rsidRPr="008A47A5">
        <w:rPr>
          <w:snapToGrid w:val="0"/>
        </w:rPr>
        <w:t xml:space="preserve">, </w:t>
      </w:r>
      <w:r w:rsidR="00A6020D" w:rsidRPr="00076546">
        <w:rPr>
          <w:i/>
          <w:snapToGrid w:val="0"/>
        </w:rPr>
        <w:t>op. cit</w:t>
      </w:r>
      <w:r w:rsidR="00A6020D" w:rsidRPr="00082846">
        <w:rPr>
          <w:snapToGrid w:val="0"/>
        </w:rPr>
        <w:t>.</w:t>
      </w:r>
      <w:r w:rsidR="00802C80" w:rsidRPr="00082846">
        <w:rPr>
          <w:snapToGrid w:val="0"/>
        </w:rPr>
        <w:t xml:space="preserve">, </w:t>
      </w:r>
      <w:r w:rsidR="00A6020D" w:rsidRPr="00082846">
        <w:rPr>
          <w:snapToGrid w:val="0"/>
        </w:rPr>
        <w:t>§§</w:t>
      </w:r>
      <w:r w:rsidR="00802C80" w:rsidRPr="00082846">
        <w:rPr>
          <w:snapToGrid w:val="0"/>
        </w:rPr>
        <w:t xml:space="preserve">232, 288-89 </w:t>
      </w:r>
      <w:r w:rsidR="00A6020D" w:rsidRPr="00082846">
        <w:rPr>
          <w:snapToGrid w:val="0"/>
        </w:rPr>
        <w:t>oraz</w:t>
      </w:r>
      <w:r w:rsidR="00802C80" w:rsidRPr="00082846">
        <w:rPr>
          <w:snapToGrid w:val="0"/>
        </w:rPr>
        <w:t xml:space="preserve"> 299-300 w odniesieniu do art. 4)</w:t>
      </w:r>
      <w:r w:rsidR="00802C80" w:rsidRPr="003D7F25">
        <w:t xml:space="preserve">. Z zasadniczo tych samych </w:t>
      </w:r>
      <w:r w:rsidR="00A6020D" w:rsidRPr="001C5F9D">
        <w:t>wz</w:t>
      </w:r>
      <w:r w:rsidR="00A6020D" w:rsidRPr="001F0818">
        <w:t xml:space="preserve">ględów </w:t>
      </w:r>
      <w:r w:rsidR="00802C80" w:rsidRPr="001F0818">
        <w:t>(</w:t>
      </w:r>
      <w:r w:rsidR="004429C3">
        <w:t xml:space="preserve">zob. </w:t>
      </w:r>
      <w:r w:rsidR="00802C80" w:rsidRPr="001F0818">
        <w:t>paragrafy 112</w:t>
      </w:r>
      <w:r w:rsidR="00802C80" w:rsidRPr="001F0818">
        <w:noBreakHyphen/>
        <w:t xml:space="preserve">18 powyżej) Trybunał konkluduje, że nie doszło do naruszenia zobowiązań pozytywnych </w:t>
      </w:r>
      <w:r w:rsidR="00452E9C" w:rsidRPr="004429C3">
        <w:t xml:space="preserve">Państwa </w:t>
      </w:r>
      <w:r w:rsidR="00A6020D" w:rsidRPr="004429C3">
        <w:t xml:space="preserve">wynikających </w:t>
      </w:r>
      <w:r w:rsidR="00802C80" w:rsidRPr="004429C3">
        <w:t>z art. 3 Konwencji.</w:t>
      </w:r>
    </w:p>
    <w:p w14:paraId="4D0D6E02" w14:textId="4905A886" w:rsidR="00802C80" w:rsidRPr="008A47A5" w:rsidRDefault="00802C80" w:rsidP="00802C80">
      <w:pPr>
        <w:pStyle w:val="ECHRHeading1"/>
      </w:pPr>
      <w:r w:rsidRPr="008A47A5">
        <w:t>IV.</w:t>
      </w:r>
      <w:r w:rsidR="005F47D9">
        <w:t xml:space="preserve"> </w:t>
      </w:r>
      <w:r w:rsidRPr="008A47A5">
        <w:t xml:space="preserve">INNE </w:t>
      </w:r>
      <w:r w:rsidR="00156CEE">
        <w:t>ZARZUC</w:t>
      </w:r>
      <w:r w:rsidRPr="008A47A5">
        <w:t>ANE NARUSZENIA KONWENCJI</w:t>
      </w:r>
    </w:p>
    <w:p w14:paraId="174213E0" w14:textId="3AC96A81" w:rsidR="00802C80" w:rsidRPr="004429C3" w:rsidRDefault="00A3591C" w:rsidP="00802C80">
      <w:pPr>
        <w:pStyle w:val="ECHRPara"/>
      </w:pPr>
      <w:r>
        <w:rPr>
          <w:noProof/>
        </w:rPr>
        <w:t>124</w:t>
      </w:r>
      <w:r w:rsidR="00802C80" w:rsidRPr="00082846">
        <w:t>.</w:t>
      </w:r>
      <w:r w:rsidR="005F47D9">
        <w:t xml:space="preserve"> </w:t>
      </w:r>
      <w:r w:rsidR="00802C80" w:rsidRPr="00082846">
        <w:t xml:space="preserve">Skarżące podnosiły, że </w:t>
      </w:r>
      <w:r w:rsidR="00A6020D" w:rsidRPr="00082846">
        <w:t xml:space="preserve">nawet jeżeli </w:t>
      </w:r>
      <w:r w:rsidR="00802C80" w:rsidRPr="00082846">
        <w:t xml:space="preserve">w ich konkretnym przypadku zostały </w:t>
      </w:r>
      <w:r w:rsidR="00802C80" w:rsidRPr="003D7F25">
        <w:t xml:space="preserve">zidentyfikowane </w:t>
      </w:r>
      <w:r w:rsidR="00A6020D" w:rsidRPr="003D7F25">
        <w:t xml:space="preserve">przez Austrię </w:t>
      </w:r>
      <w:r w:rsidR="00802C80" w:rsidRPr="003D7F25">
        <w:t xml:space="preserve">jako ofiary handlu ludźmi, </w:t>
      </w:r>
      <w:r w:rsidR="00A6020D" w:rsidRPr="001C5F9D">
        <w:t xml:space="preserve">to </w:t>
      </w:r>
      <w:r w:rsidR="00802C80" w:rsidRPr="001F0818">
        <w:t xml:space="preserve">brak </w:t>
      </w:r>
      <w:r w:rsidR="00802C80" w:rsidRPr="001F0818">
        <w:lastRenderedPageBreak/>
        <w:t xml:space="preserve">systemu formalnego </w:t>
      </w:r>
      <w:r w:rsidR="00156CEE">
        <w:t>uznania</w:t>
      </w:r>
      <w:r w:rsidR="00156CEE" w:rsidRPr="001F0818">
        <w:t xml:space="preserve"> </w:t>
      </w:r>
      <w:r w:rsidR="00802C80" w:rsidRPr="001F0818">
        <w:t xml:space="preserve">sam w sobie mógł </w:t>
      </w:r>
      <w:r w:rsidR="00A6020D" w:rsidRPr="004429C3">
        <w:t xml:space="preserve">doprowadzić do </w:t>
      </w:r>
      <w:r w:rsidR="00802C80" w:rsidRPr="004429C3">
        <w:t>naruszeni</w:t>
      </w:r>
      <w:r w:rsidR="00A6020D" w:rsidRPr="004429C3">
        <w:t>a</w:t>
      </w:r>
      <w:r w:rsidR="00802C80" w:rsidRPr="004429C3">
        <w:t xml:space="preserve"> art. 8 Konwencji.</w:t>
      </w:r>
    </w:p>
    <w:p w14:paraId="5D014759" w14:textId="2B6699D8" w:rsidR="00802C80" w:rsidRPr="00D00246" w:rsidRDefault="00A3591C" w:rsidP="00802C80">
      <w:pPr>
        <w:pStyle w:val="ECHRPara"/>
      </w:pPr>
      <w:r>
        <w:rPr>
          <w:noProof/>
        </w:rPr>
        <w:t>125</w:t>
      </w:r>
      <w:r w:rsidR="00802C80" w:rsidRPr="00082846">
        <w:t>.</w:t>
      </w:r>
      <w:r w:rsidR="005F47D9">
        <w:t xml:space="preserve"> </w:t>
      </w:r>
      <w:r w:rsidR="00802C80" w:rsidRPr="00082846">
        <w:t xml:space="preserve">Jak Trybunał </w:t>
      </w:r>
      <w:r w:rsidR="00A6020D" w:rsidRPr="00082846">
        <w:t xml:space="preserve">wyłuszczył </w:t>
      </w:r>
      <w:r w:rsidR="00802C80" w:rsidRPr="00082846">
        <w:t>w ustaleniach dotyczących art. 4 Konwencji, jest pr</w:t>
      </w:r>
      <w:r w:rsidR="00802C80" w:rsidRPr="003D7F25">
        <w:t>zekonany, że skarżące były traktowane jako (potencjalne) ofiary handlu ludźmi zgodni</w:t>
      </w:r>
      <w:r w:rsidR="00CB48B0">
        <w:t>e ze zobowiązaniami krajowymi i </w:t>
      </w:r>
      <w:r w:rsidR="00802C80" w:rsidRPr="003D7F25">
        <w:t>międzynarodowymi Austrii (</w:t>
      </w:r>
      <w:r w:rsidR="004429C3">
        <w:t xml:space="preserve">zob. </w:t>
      </w:r>
      <w:r w:rsidR="00802C80" w:rsidRPr="003D7F25">
        <w:t>paragrafy 110-111 powyżej). W świetle całokształtu posiadanego przez siebie materiału i w zakresie,</w:t>
      </w:r>
      <w:r w:rsidR="00802C80" w:rsidRPr="001C5F9D">
        <w:t xml:space="preserve"> w jakim kwestie objęte skargą mieszczą się w zakresie jego właściwości, Trybunał nie </w:t>
      </w:r>
      <w:r w:rsidR="00885E1E" w:rsidRPr="001F0818">
        <w:t xml:space="preserve">dopatruje się </w:t>
      </w:r>
      <w:r w:rsidR="00802C80" w:rsidRPr="001F0818">
        <w:t>w niniejszej skardze naruszenia praw i wolności okr</w:t>
      </w:r>
      <w:r w:rsidR="00802C80" w:rsidRPr="008A47A5">
        <w:t xml:space="preserve">eślonych w Konwencji i Protokołach do niej. Skarga musi zatem zostać uznana za </w:t>
      </w:r>
      <w:r w:rsidR="00802C80" w:rsidRPr="00D00246">
        <w:t>niedopuszczalną na podstawie art. 35 ust. 3 i 4 Konwencji.</w:t>
      </w:r>
    </w:p>
    <w:p w14:paraId="151B0C68" w14:textId="77777777" w:rsidR="00802C80" w:rsidRPr="00D00246" w:rsidRDefault="00802C80" w:rsidP="00802C80">
      <w:pPr>
        <w:pStyle w:val="ECHRTitle1"/>
      </w:pPr>
      <w:r w:rsidRPr="00D00246">
        <w:t>Z TYCH PRZYCZYN TRYBUNAŁ JEDNOGŁOŚNIE</w:t>
      </w:r>
    </w:p>
    <w:p w14:paraId="49B7BAE9" w14:textId="01ABC3D6" w:rsidR="00802C80" w:rsidRPr="00D00246" w:rsidRDefault="00802C80" w:rsidP="00802C80">
      <w:pPr>
        <w:pStyle w:val="JuList"/>
      </w:pPr>
      <w:r w:rsidRPr="00D00246">
        <w:t>1.</w:t>
      </w:r>
      <w:r w:rsidR="005F47D9">
        <w:t xml:space="preserve"> </w:t>
      </w:r>
      <w:r w:rsidR="00156CEE" w:rsidRPr="00D00246">
        <w:rPr>
          <w:i/>
          <w:iCs/>
        </w:rPr>
        <w:t>Postanawia</w:t>
      </w:r>
      <w:r w:rsidR="00156CEE" w:rsidRPr="00D00246">
        <w:t xml:space="preserve"> </w:t>
      </w:r>
      <w:r w:rsidRPr="00D00246">
        <w:t>skreślić skargę wniesioną przez trzecią skarżącą z listy spraw;</w:t>
      </w:r>
    </w:p>
    <w:p w14:paraId="288A6146" w14:textId="77777777" w:rsidR="00802C80" w:rsidRPr="00076546" w:rsidRDefault="00802C80" w:rsidP="00802C80">
      <w:pPr>
        <w:pStyle w:val="JuList"/>
        <w:ind w:left="0" w:firstLine="0"/>
      </w:pPr>
    </w:p>
    <w:p w14:paraId="5FC29218" w14:textId="385EE511" w:rsidR="00802C80" w:rsidRPr="001C5F9D" w:rsidRDefault="00802C80" w:rsidP="00802C80">
      <w:pPr>
        <w:pStyle w:val="JuList"/>
      </w:pPr>
      <w:r w:rsidRPr="00082846">
        <w:t>2.</w:t>
      </w:r>
      <w:r w:rsidR="005F47D9">
        <w:t xml:space="preserve"> </w:t>
      </w:r>
      <w:r w:rsidR="00156CEE" w:rsidRPr="00082846">
        <w:rPr>
          <w:i/>
          <w:iCs/>
        </w:rPr>
        <w:t>Uznaje</w:t>
      </w:r>
      <w:r w:rsidR="00156CEE" w:rsidRPr="00082846">
        <w:t xml:space="preserve"> </w:t>
      </w:r>
      <w:r w:rsidRPr="00082846">
        <w:t>skargi złożone przez pierwszą i d</w:t>
      </w:r>
      <w:r w:rsidR="00CB48B0">
        <w:t>rugą skarżącą na podstawie art. </w:t>
      </w:r>
      <w:r w:rsidRPr="00082846">
        <w:t xml:space="preserve">3 i 4 Konwencji za dopuszczalne, zaś pozostałą część </w:t>
      </w:r>
      <w:r w:rsidRPr="003D7F25">
        <w:t>skargi za niedopuszczalną;</w:t>
      </w:r>
    </w:p>
    <w:p w14:paraId="466B907D" w14:textId="77777777" w:rsidR="00802C80" w:rsidRPr="00076546" w:rsidRDefault="00802C80" w:rsidP="00802C80">
      <w:pPr>
        <w:pStyle w:val="JuList"/>
      </w:pPr>
    </w:p>
    <w:p w14:paraId="2792E939" w14:textId="63A19A0A" w:rsidR="00802C80" w:rsidRPr="00082846" w:rsidRDefault="00802C80" w:rsidP="00802C80">
      <w:pPr>
        <w:pStyle w:val="JuList"/>
      </w:pPr>
      <w:r w:rsidRPr="00082846">
        <w:t>3.</w:t>
      </w:r>
      <w:r w:rsidR="005F47D9">
        <w:t xml:space="preserve"> </w:t>
      </w:r>
      <w:r w:rsidR="00156CEE" w:rsidRPr="00082846">
        <w:rPr>
          <w:i/>
          <w:iCs/>
        </w:rPr>
        <w:t>Uznaje</w:t>
      </w:r>
      <w:r w:rsidRPr="00082846">
        <w:t>, że nie doszło do naruszenia art. 4 Konwencji;</w:t>
      </w:r>
    </w:p>
    <w:p w14:paraId="4A09F311" w14:textId="77777777" w:rsidR="00802C80" w:rsidRPr="00076546" w:rsidRDefault="00802C80" w:rsidP="00802C80">
      <w:pPr>
        <w:pStyle w:val="JuList"/>
      </w:pPr>
    </w:p>
    <w:p w14:paraId="7ABEB853" w14:textId="022D0F75" w:rsidR="00802C80" w:rsidRPr="00082846" w:rsidRDefault="00802C80" w:rsidP="00802C80">
      <w:pPr>
        <w:pStyle w:val="JuList"/>
      </w:pPr>
      <w:r w:rsidRPr="00082846">
        <w:t>4.</w:t>
      </w:r>
      <w:r w:rsidR="005F47D9">
        <w:t xml:space="preserve"> </w:t>
      </w:r>
      <w:r w:rsidR="00156CEE" w:rsidRPr="00082846">
        <w:rPr>
          <w:i/>
          <w:iCs/>
        </w:rPr>
        <w:t>Uznaje</w:t>
      </w:r>
      <w:r w:rsidRPr="00082846">
        <w:t>, że nie doszło do naruszenia art. 3 Konwencji.</w:t>
      </w:r>
    </w:p>
    <w:p w14:paraId="01B2509A" w14:textId="77777777" w:rsidR="00802C80" w:rsidRPr="003D7F25" w:rsidRDefault="00802C80" w:rsidP="00802C80">
      <w:pPr>
        <w:pStyle w:val="JuParaLast"/>
      </w:pPr>
      <w:r w:rsidRPr="003D7F25">
        <w:t xml:space="preserve">Sporządzono w języku angielskim </w:t>
      </w:r>
      <w:r w:rsidR="00CB48B0">
        <w:t>i obwieszczono pisemnie dnia 17 </w:t>
      </w:r>
      <w:r w:rsidRPr="003D7F25">
        <w:t xml:space="preserve">stycznia 2017 r., zgodnie z </w:t>
      </w:r>
      <w:r w:rsidR="00885E1E" w:rsidRPr="003D7F25">
        <w:t>R</w:t>
      </w:r>
      <w:r w:rsidRPr="003D7F25">
        <w:t>egułą 77 § 2 i § 3 Regulaminu Trybunału.</w:t>
      </w:r>
    </w:p>
    <w:p w14:paraId="30CACE95" w14:textId="77777777" w:rsidR="00802C80" w:rsidRPr="001F0818" w:rsidRDefault="00802C80" w:rsidP="00802C80">
      <w:pPr>
        <w:pStyle w:val="JuSigned"/>
      </w:pPr>
      <w:r w:rsidRPr="001C5F9D">
        <w:tab/>
        <w:t>Marialena Tsirli</w:t>
      </w:r>
      <w:r w:rsidRPr="001C5F9D">
        <w:tab/>
        <w:t>András Sajó</w:t>
      </w:r>
      <w:r w:rsidRPr="001C5F9D">
        <w:br/>
      </w:r>
      <w:r w:rsidRPr="001C5F9D">
        <w:tab/>
        <w:t>Kanclerz</w:t>
      </w:r>
      <w:r w:rsidRPr="001C5F9D">
        <w:tab/>
        <w:t>Przewodniczący</w:t>
      </w:r>
    </w:p>
    <w:p w14:paraId="6F63EB2B" w14:textId="77777777" w:rsidR="00802C80" w:rsidRPr="00D00246" w:rsidRDefault="00802C80" w:rsidP="00802C80">
      <w:pPr>
        <w:pStyle w:val="JuParaLast"/>
        <w:spacing w:before="360"/>
      </w:pPr>
      <w:r w:rsidRPr="008A47A5">
        <w:t>Zgodnie z art. 45 ust. 2 Konwencji i Regułą 74 § 2 Regulaminu Trybunału do wyroku załączono zgodną opinię odrębną sędziego Pinto de Albuquerque, do której przyłączył się sędzia Tsotsoria.</w:t>
      </w:r>
    </w:p>
    <w:p w14:paraId="6741B493" w14:textId="1B10741F" w:rsidR="00802C80" w:rsidRPr="00D00246" w:rsidRDefault="00802C80" w:rsidP="0096762D">
      <w:pPr>
        <w:pStyle w:val="JuInitialled"/>
        <w:sectPr w:rsidR="00802C80" w:rsidRPr="00D00246" w:rsidSect="001B25E4">
          <w:headerReference w:type="even" r:id="rId20"/>
          <w:headerReference w:type="default" r:id="rId21"/>
          <w:headerReference w:type="first" r:id="rId22"/>
          <w:footerReference w:type="first" r:id="rId23"/>
          <w:footnotePr>
            <w:numRestart w:val="eachPage"/>
          </w:footnotePr>
          <w:pgSz w:w="11906" w:h="16838" w:code="9"/>
          <w:pgMar w:top="2274" w:right="2274" w:bottom="2274" w:left="2274" w:header="1701" w:footer="720" w:gutter="0"/>
          <w:pgNumType w:start="1"/>
          <w:cols w:space="720"/>
          <w:titlePg/>
          <w:docGrid w:linePitch="326"/>
        </w:sectPr>
      </w:pPr>
      <w:r w:rsidRPr="00D00246">
        <w:t>A.S.</w:t>
      </w:r>
      <w:r w:rsidRPr="00D00246">
        <w:br/>
        <w:t>M.T.</w:t>
      </w:r>
    </w:p>
    <w:p w14:paraId="5EB95114" w14:textId="77777777" w:rsidR="00802C80" w:rsidRPr="00D00246" w:rsidRDefault="00802C80" w:rsidP="00802C80">
      <w:pPr>
        <w:pStyle w:val="ECHRTitleCentre1"/>
      </w:pPr>
      <w:r w:rsidRPr="00D00246">
        <w:lastRenderedPageBreak/>
        <w:t xml:space="preserve">OPINIA ODRĘBNA </w:t>
      </w:r>
      <w:r w:rsidR="00B61750">
        <w:br/>
      </w:r>
      <w:r w:rsidRPr="00D00246">
        <w:t xml:space="preserve">SĘDZIEGO PINTO DE ALBUQUERQUE, </w:t>
      </w:r>
      <w:r w:rsidR="00B61750">
        <w:br/>
      </w:r>
      <w:r w:rsidRPr="00D00246">
        <w:t>DO KTÓREJ PRZYŁĄCZYŁ SIĘ SĘDZIA TSOTSORIA</w:t>
      </w:r>
    </w:p>
    <w:p w14:paraId="066858C4" w14:textId="77777777" w:rsidR="00802C80" w:rsidRPr="00D00246" w:rsidRDefault="00802C80" w:rsidP="00802C80">
      <w:pPr>
        <w:pStyle w:val="OpiPara"/>
        <w:ind w:firstLine="720"/>
      </w:pPr>
      <w:r w:rsidRPr="00D00246">
        <w:t>Spis treści</w:t>
      </w:r>
    </w:p>
    <w:p w14:paraId="6C220B47" w14:textId="77777777" w:rsidR="00802C80" w:rsidRPr="00076546" w:rsidRDefault="00802C80" w:rsidP="00802C80">
      <w:pPr>
        <w:pStyle w:val="OpiPara"/>
        <w:rPr>
          <w:b/>
        </w:rPr>
      </w:pPr>
    </w:p>
    <w:p w14:paraId="711785D8" w14:textId="614386DA" w:rsidR="00AE4B13" w:rsidRDefault="00802C80">
      <w:pPr>
        <w:pStyle w:val="Spistreci2"/>
        <w:rPr>
          <w:noProof/>
          <w:lang w:eastAsia="pl-PL"/>
        </w:rPr>
      </w:pPr>
      <w:r w:rsidRPr="00082846">
        <w:rPr>
          <w:b/>
        </w:rPr>
        <w:fldChar w:fldCharType="begin"/>
      </w:r>
      <w:r w:rsidRPr="00D00246">
        <w:rPr>
          <w:b/>
        </w:rPr>
        <w:instrText xml:space="preserve"> TOC \h \b Table \* MERGEFORMAT </w:instrText>
      </w:r>
      <w:r w:rsidRPr="00082846">
        <w:rPr>
          <w:b/>
        </w:rPr>
        <w:fldChar w:fldCharType="separate"/>
      </w:r>
      <w:hyperlink w:anchor="_Toc535852137" w:history="1">
        <w:r w:rsidR="00AE4B13" w:rsidRPr="005F4D97">
          <w:rPr>
            <w:rStyle w:val="Hipercze"/>
            <w:noProof/>
          </w:rPr>
          <w:t>I.</w:t>
        </w:r>
        <w:r w:rsidR="005F47D9">
          <w:rPr>
            <w:rStyle w:val="Hipercze"/>
            <w:noProof/>
          </w:rPr>
          <w:t xml:space="preserve"> </w:t>
        </w:r>
        <w:r w:rsidR="00AE4B13" w:rsidRPr="005F4D97">
          <w:rPr>
            <w:rStyle w:val="Hipercze"/>
            <w:noProof/>
          </w:rPr>
          <w:t>Wprowadzenie (§ 1)</w:t>
        </w:r>
        <w:r w:rsidR="00AE4B13">
          <w:rPr>
            <w:noProof/>
          </w:rPr>
          <w:tab/>
        </w:r>
        <w:r w:rsidR="00AE4B13">
          <w:rPr>
            <w:noProof/>
          </w:rPr>
          <w:fldChar w:fldCharType="begin"/>
        </w:r>
        <w:r w:rsidR="00AE4B13">
          <w:rPr>
            <w:noProof/>
          </w:rPr>
          <w:instrText xml:space="preserve"> PAGEREF _Toc535852137 \h </w:instrText>
        </w:r>
        <w:r w:rsidR="00AE4B13">
          <w:rPr>
            <w:noProof/>
          </w:rPr>
        </w:r>
        <w:r w:rsidR="00AE4B13">
          <w:rPr>
            <w:noProof/>
          </w:rPr>
          <w:fldChar w:fldCharType="separate"/>
        </w:r>
        <w:r w:rsidR="00B61750">
          <w:rPr>
            <w:noProof/>
          </w:rPr>
          <w:t>35</w:t>
        </w:r>
        <w:r w:rsidR="00AE4B13">
          <w:rPr>
            <w:noProof/>
          </w:rPr>
          <w:fldChar w:fldCharType="end"/>
        </w:r>
      </w:hyperlink>
    </w:p>
    <w:p w14:paraId="2E76B49E" w14:textId="77777777" w:rsidR="00AE4B13" w:rsidRDefault="001017A1">
      <w:pPr>
        <w:pStyle w:val="Spistreci2"/>
        <w:rPr>
          <w:noProof/>
          <w:lang w:eastAsia="pl-PL"/>
        </w:rPr>
      </w:pPr>
      <w:hyperlink w:anchor="_Toc535852138" w:history="1">
        <w:r w:rsidR="00AE4B13" w:rsidRPr="005F4D97">
          <w:rPr>
            <w:rStyle w:val="Hipercze"/>
            <w:noProof/>
          </w:rPr>
          <w:t>Część pierwsza (paragrafy 2-40)</w:t>
        </w:r>
        <w:r w:rsidR="00AE4B13">
          <w:rPr>
            <w:noProof/>
          </w:rPr>
          <w:tab/>
        </w:r>
        <w:r w:rsidR="00AE4B13">
          <w:rPr>
            <w:noProof/>
          </w:rPr>
          <w:fldChar w:fldCharType="begin"/>
        </w:r>
        <w:r w:rsidR="00AE4B13">
          <w:rPr>
            <w:noProof/>
          </w:rPr>
          <w:instrText xml:space="preserve"> PAGEREF _Toc535852138 \h </w:instrText>
        </w:r>
        <w:r w:rsidR="00AE4B13">
          <w:rPr>
            <w:noProof/>
          </w:rPr>
        </w:r>
        <w:r w:rsidR="00AE4B13">
          <w:rPr>
            <w:noProof/>
          </w:rPr>
          <w:fldChar w:fldCharType="separate"/>
        </w:r>
        <w:r w:rsidR="00B61750">
          <w:rPr>
            <w:noProof/>
          </w:rPr>
          <w:t>36</w:t>
        </w:r>
        <w:r w:rsidR="00AE4B13">
          <w:rPr>
            <w:noProof/>
          </w:rPr>
          <w:fldChar w:fldCharType="end"/>
        </w:r>
      </w:hyperlink>
    </w:p>
    <w:p w14:paraId="1AFBE2B3" w14:textId="76993EDF" w:rsidR="00AE4B13" w:rsidRDefault="001017A1">
      <w:pPr>
        <w:pStyle w:val="Spistreci2"/>
        <w:rPr>
          <w:noProof/>
          <w:lang w:eastAsia="pl-PL"/>
        </w:rPr>
      </w:pPr>
      <w:hyperlink w:anchor="_Toc535852139" w:history="1">
        <w:r w:rsidR="00AE4B13" w:rsidRPr="005F4D97">
          <w:rPr>
            <w:rStyle w:val="Hipercze"/>
            <w:noProof/>
          </w:rPr>
          <w:t>II.</w:t>
        </w:r>
        <w:r w:rsidR="005F47D9">
          <w:rPr>
            <w:rStyle w:val="Hipercze"/>
            <w:noProof/>
          </w:rPr>
          <w:t xml:space="preserve"> </w:t>
        </w:r>
        <w:r w:rsidR="00AE4B13" w:rsidRPr="005F4D97">
          <w:rPr>
            <w:rStyle w:val="Hipercze"/>
            <w:noProof/>
          </w:rPr>
          <w:t>Światowa reakcja na pracę przymusową i prowadzony w jej celu handel ludźmi (paragrafy 2-21)</w:t>
        </w:r>
        <w:r w:rsidR="00AE4B13">
          <w:rPr>
            <w:noProof/>
          </w:rPr>
          <w:tab/>
        </w:r>
        <w:r w:rsidR="00AE4B13">
          <w:rPr>
            <w:noProof/>
          </w:rPr>
          <w:fldChar w:fldCharType="begin"/>
        </w:r>
        <w:r w:rsidR="00AE4B13">
          <w:rPr>
            <w:noProof/>
          </w:rPr>
          <w:instrText xml:space="preserve"> PAGEREF _Toc535852139 \h </w:instrText>
        </w:r>
        <w:r w:rsidR="00AE4B13">
          <w:rPr>
            <w:noProof/>
          </w:rPr>
        </w:r>
        <w:r w:rsidR="00AE4B13">
          <w:rPr>
            <w:noProof/>
          </w:rPr>
          <w:fldChar w:fldCharType="separate"/>
        </w:r>
        <w:r w:rsidR="00B61750">
          <w:rPr>
            <w:noProof/>
          </w:rPr>
          <w:t>36</w:t>
        </w:r>
        <w:r w:rsidR="00AE4B13">
          <w:rPr>
            <w:noProof/>
          </w:rPr>
          <w:fldChar w:fldCharType="end"/>
        </w:r>
      </w:hyperlink>
    </w:p>
    <w:p w14:paraId="4C34A393" w14:textId="700DDD81" w:rsidR="00AE4B13" w:rsidRDefault="001017A1">
      <w:pPr>
        <w:pStyle w:val="Spistreci3"/>
        <w:rPr>
          <w:noProof/>
          <w:sz w:val="22"/>
          <w:lang w:eastAsia="pl-PL"/>
        </w:rPr>
      </w:pPr>
      <w:hyperlink w:anchor="_Toc535852140" w:history="1">
        <w:r w:rsidR="00AE4B13" w:rsidRPr="005F4D97">
          <w:rPr>
            <w:rStyle w:val="Hipercze"/>
            <w:noProof/>
          </w:rPr>
          <w:t>A.</w:t>
        </w:r>
        <w:r w:rsidR="005F47D9">
          <w:rPr>
            <w:rStyle w:val="Hipercze"/>
            <w:noProof/>
          </w:rPr>
          <w:t xml:space="preserve"> </w:t>
        </w:r>
        <w:r w:rsidR="00AE4B13" w:rsidRPr="005F4D97">
          <w:rPr>
            <w:rStyle w:val="Hipercze"/>
            <w:noProof/>
          </w:rPr>
          <w:t>Międzynarodowe prawo praw człowieka (paragrafy 2-8)</w:t>
        </w:r>
        <w:r w:rsidR="00AE4B13">
          <w:rPr>
            <w:noProof/>
          </w:rPr>
          <w:tab/>
        </w:r>
        <w:r w:rsidR="00AE4B13">
          <w:rPr>
            <w:noProof/>
          </w:rPr>
          <w:fldChar w:fldCharType="begin"/>
        </w:r>
        <w:r w:rsidR="00AE4B13">
          <w:rPr>
            <w:noProof/>
          </w:rPr>
          <w:instrText xml:space="preserve"> PAGEREF _Toc535852140 \h </w:instrText>
        </w:r>
        <w:r w:rsidR="00AE4B13">
          <w:rPr>
            <w:noProof/>
          </w:rPr>
        </w:r>
        <w:r w:rsidR="00AE4B13">
          <w:rPr>
            <w:noProof/>
          </w:rPr>
          <w:fldChar w:fldCharType="separate"/>
        </w:r>
        <w:r w:rsidR="00B61750">
          <w:rPr>
            <w:noProof/>
          </w:rPr>
          <w:t>36</w:t>
        </w:r>
        <w:r w:rsidR="00AE4B13">
          <w:rPr>
            <w:noProof/>
          </w:rPr>
          <w:fldChar w:fldCharType="end"/>
        </w:r>
      </w:hyperlink>
    </w:p>
    <w:p w14:paraId="1A74213C" w14:textId="5EF79EAA" w:rsidR="00AE4B13" w:rsidRDefault="001017A1">
      <w:pPr>
        <w:pStyle w:val="Spistreci3"/>
        <w:rPr>
          <w:noProof/>
          <w:sz w:val="22"/>
          <w:lang w:eastAsia="pl-PL"/>
        </w:rPr>
      </w:pPr>
      <w:hyperlink w:anchor="_Toc535852141" w:history="1">
        <w:r w:rsidR="00AE4B13" w:rsidRPr="005F4D97">
          <w:rPr>
            <w:rStyle w:val="Hipercze"/>
            <w:noProof/>
          </w:rPr>
          <w:t>B.</w:t>
        </w:r>
        <w:r w:rsidR="005F47D9">
          <w:rPr>
            <w:rStyle w:val="Hipercze"/>
            <w:noProof/>
          </w:rPr>
          <w:t xml:space="preserve"> </w:t>
        </w:r>
        <w:r w:rsidR="00AE4B13" w:rsidRPr="005F4D97">
          <w:rPr>
            <w:rStyle w:val="Hipercze"/>
            <w:noProof/>
          </w:rPr>
          <w:t>Międzynarodowe prawo pracy (paragrafy 9-13)</w:t>
        </w:r>
        <w:r w:rsidR="00AE4B13">
          <w:rPr>
            <w:noProof/>
          </w:rPr>
          <w:tab/>
        </w:r>
        <w:r w:rsidR="00AE4B13">
          <w:rPr>
            <w:noProof/>
          </w:rPr>
          <w:fldChar w:fldCharType="begin"/>
        </w:r>
        <w:r w:rsidR="00AE4B13">
          <w:rPr>
            <w:noProof/>
          </w:rPr>
          <w:instrText xml:space="preserve"> PAGEREF _Toc535852141 \h </w:instrText>
        </w:r>
        <w:r w:rsidR="00AE4B13">
          <w:rPr>
            <w:noProof/>
          </w:rPr>
        </w:r>
        <w:r w:rsidR="00AE4B13">
          <w:rPr>
            <w:noProof/>
          </w:rPr>
          <w:fldChar w:fldCharType="separate"/>
        </w:r>
        <w:r w:rsidR="00B61750">
          <w:rPr>
            <w:noProof/>
          </w:rPr>
          <w:t>43</w:t>
        </w:r>
        <w:r w:rsidR="00AE4B13">
          <w:rPr>
            <w:noProof/>
          </w:rPr>
          <w:fldChar w:fldCharType="end"/>
        </w:r>
      </w:hyperlink>
    </w:p>
    <w:p w14:paraId="742BC4AC" w14:textId="5C8EC2E3" w:rsidR="00AE4B13" w:rsidRDefault="001017A1">
      <w:pPr>
        <w:pStyle w:val="Spistreci3"/>
        <w:rPr>
          <w:noProof/>
          <w:sz w:val="22"/>
          <w:lang w:eastAsia="pl-PL"/>
        </w:rPr>
      </w:pPr>
      <w:hyperlink w:anchor="_Toc535852142" w:history="1">
        <w:r w:rsidR="00AE4B13" w:rsidRPr="005F4D97">
          <w:rPr>
            <w:rStyle w:val="Hipercze"/>
            <w:noProof/>
          </w:rPr>
          <w:t>C.</w:t>
        </w:r>
        <w:r w:rsidR="005F47D9">
          <w:rPr>
            <w:rStyle w:val="Hipercze"/>
            <w:noProof/>
          </w:rPr>
          <w:t xml:space="preserve"> </w:t>
        </w:r>
        <w:r w:rsidR="00AE4B13" w:rsidRPr="005F4D97">
          <w:rPr>
            <w:rStyle w:val="Hipercze"/>
            <w:noProof/>
          </w:rPr>
          <w:t>Międzynarodowe prawo karne i humanitarne (paragrafy 14-21)</w:t>
        </w:r>
        <w:r w:rsidR="00AE4B13">
          <w:rPr>
            <w:noProof/>
          </w:rPr>
          <w:tab/>
        </w:r>
        <w:r w:rsidR="00AE4B13">
          <w:rPr>
            <w:noProof/>
          </w:rPr>
          <w:fldChar w:fldCharType="begin"/>
        </w:r>
        <w:r w:rsidR="00AE4B13">
          <w:rPr>
            <w:noProof/>
          </w:rPr>
          <w:instrText xml:space="preserve"> PAGEREF _Toc535852142 \h </w:instrText>
        </w:r>
        <w:r w:rsidR="00AE4B13">
          <w:rPr>
            <w:noProof/>
          </w:rPr>
        </w:r>
        <w:r w:rsidR="00AE4B13">
          <w:rPr>
            <w:noProof/>
          </w:rPr>
          <w:fldChar w:fldCharType="separate"/>
        </w:r>
        <w:r w:rsidR="00B61750">
          <w:rPr>
            <w:noProof/>
          </w:rPr>
          <w:t>46</w:t>
        </w:r>
        <w:r w:rsidR="00AE4B13">
          <w:rPr>
            <w:noProof/>
          </w:rPr>
          <w:fldChar w:fldCharType="end"/>
        </w:r>
      </w:hyperlink>
    </w:p>
    <w:p w14:paraId="4E24FE6F" w14:textId="77777777" w:rsidR="00AE4B13" w:rsidRDefault="001017A1">
      <w:pPr>
        <w:pStyle w:val="Spistreci2"/>
        <w:rPr>
          <w:noProof/>
          <w:lang w:eastAsia="pl-PL"/>
        </w:rPr>
      </w:pPr>
      <w:hyperlink w:anchor="_Toc535852143" w:history="1">
        <w:r w:rsidR="00AE4B13" w:rsidRPr="005F4D97">
          <w:rPr>
            <w:rStyle w:val="Hipercze"/>
            <w:noProof/>
          </w:rPr>
          <w:t>III. Regionalna reakcja na pracę przymusową i prowadzony w jej celu handel ludźmi (paragrafy 22-40)</w:t>
        </w:r>
        <w:r w:rsidR="00AE4B13">
          <w:rPr>
            <w:noProof/>
          </w:rPr>
          <w:tab/>
        </w:r>
        <w:r w:rsidR="00AE4B13">
          <w:rPr>
            <w:noProof/>
          </w:rPr>
          <w:fldChar w:fldCharType="begin"/>
        </w:r>
        <w:r w:rsidR="00AE4B13">
          <w:rPr>
            <w:noProof/>
          </w:rPr>
          <w:instrText xml:space="preserve"> PAGEREF _Toc535852143 \h </w:instrText>
        </w:r>
        <w:r w:rsidR="00AE4B13">
          <w:rPr>
            <w:noProof/>
          </w:rPr>
        </w:r>
        <w:r w:rsidR="00AE4B13">
          <w:rPr>
            <w:noProof/>
          </w:rPr>
          <w:fldChar w:fldCharType="separate"/>
        </w:r>
        <w:r w:rsidR="00B61750">
          <w:rPr>
            <w:noProof/>
          </w:rPr>
          <w:t>53</w:t>
        </w:r>
        <w:r w:rsidR="00AE4B13">
          <w:rPr>
            <w:noProof/>
          </w:rPr>
          <w:fldChar w:fldCharType="end"/>
        </w:r>
      </w:hyperlink>
    </w:p>
    <w:p w14:paraId="7C41BD37" w14:textId="6BD76437" w:rsidR="00AE4B13" w:rsidRDefault="001017A1">
      <w:pPr>
        <w:pStyle w:val="Spistreci3"/>
        <w:rPr>
          <w:noProof/>
          <w:sz w:val="22"/>
          <w:lang w:eastAsia="pl-PL"/>
        </w:rPr>
      </w:pPr>
      <w:hyperlink w:anchor="_Toc535852144" w:history="1">
        <w:r w:rsidR="00AE4B13" w:rsidRPr="005F4D97">
          <w:rPr>
            <w:rStyle w:val="Hipercze"/>
            <w:noProof/>
          </w:rPr>
          <w:t>A.</w:t>
        </w:r>
        <w:r w:rsidR="005F47D9">
          <w:rPr>
            <w:rStyle w:val="Hipercze"/>
            <w:noProof/>
          </w:rPr>
          <w:t xml:space="preserve"> </w:t>
        </w:r>
        <w:r w:rsidR="00AE4B13" w:rsidRPr="005F4D97">
          <w:rPr>
            <w:rStyle w:val="Hipercze"/>
            <w:noProof/>
          </w:rPr>
          <w:t>Zarys ogólny (§§ 22-26)</w:t>
        </w:r>
        <w:r w:rsidR="00AE4B13">
          <w:rPr>
            <w:noProof/>
          </w:rPr>
          <w:tab/>
        </w:r>
        <w:r w:rsidR="00AE4B13">
          <w:rPr>
            <w:noProof/>
          </w:rPr>
          <w:fldChar w:fldCharType="begin"/>
        </w:r>
        <w:r w:rsidR="00AE4B13">
          <w:rPr>
            <w:noProof/>
          </w:rPr>
          <w:instrText xml:space="preserve"> PAGEREF _Toc535852144 \h </w:instrText>
        </w:r>
        <w:r w:rsidR="00AE4B13">
          <w:rPr>
            <w:noProof/>
          </w:rPr>
        </w:r>
        <w:r w:rsidR="00AE4B13">
          <w:rPr>
            <w:noProof/>
          </w:rPr>
          <w:fldChar w:fldCharType="separate"/>
        </w:r>
        <w:r w:rsidR="00B61750">
          <w:rPr>
            <w:noProof/>
          </w:rPr>
          <w:t>53</w:t>
        </w:r>
        <w:r w:rsidR="00AE4B13">
          <w:rPr>
            <w:noProof/>
          </w:rPr>
          <w:fldChar w:fldCharType="end"/>
        </w:r>
      </w:hyperlink>
    </w:p>
    <w:p w14:paraId="0104DF78" w14:textId="412C8572" w:rsidR="00AE4B13" w:rsidRDefault="001017A1">
      <w:pPr>
        <w:pStyle w:val="Spistreci3"/>
        <w:rPr>
          <w:noProof/>
          <w:sz w:val="22"/>
          <w:lang w:eastAsia="pl-PL"/>
        </w:rPr>
      </w:pPr>
      <w:hyperlink w:anchor="_Toc535852145" w:history="1">
        <w:r w:rsidR="00AE4B13" w:rsidRPr="005F4D97">
          <w:rPr>
            <w:rStyle w:val="Hipercze"/>
            <w:noProof/>
          </w:rPr>
          <w:t>B.</w:t>
        </w:r>
        <w:r w:rsidR="005F47D9">
          <w:rPr>
            <w:rStyle w:val="Hipercze"/>
            <w:noProof/>
          </w:rPr>
          <w:t xml:space="preserve"> </w:t>
        </w:r>
        <w:r w:rsidR="00AE4B13" w:rsidRPr="005F4D97">
          <w:rPr>
            <w:rStyle w:val="Hipercze"/>
            <w:noProof/>
          </w:rPr>
          <w:t>W ramach Unii Europejskiej (paragrafy 27-31)</w:t>
        </w:r>
        <w:r w:rsidR="00AE4B13">
          <w:rPr>
            <w:noProof/>
          </w:rPr>
          <w:tab/>
        </w:r>
        <w:r w:rsidR="00AE4B13">
          <w:rPr>
            <w:noProof/>
          </w:rPr>
          <w:fldChar w:fldCharType="begin"/>
        </w:r>
        <w:r w:rsidR="00AE4B13">
          <w:rPr>
            <w:noProof/>
          </w:rPr>
          <w:instrText xml:space="preserve"> PAGEREF _Toc535852145 \h </w:instrText>
        </w:r>
        <w:r w:rsidR="00AE4B13">
          <w:rPr>
            <w:noProof/>
          </w:rPr>
        </w:r>
        <w:r w:rsidR="00AE4B13">
          <w:rPr>
            <w:noProof/>
          </w:rPr>
          <w:fldChar w:fldCharType="separate"/>
        </w:r>
        <w:r w:rsidR="00B61750">
          <w:rPr>
            <w:noProof/>
          </w:rPr>
          <w:t>55</w:t>
        </w:r>
        <w:r w:rsidR="00AE4B13">
          <w:rPr>
            <w:noProof/>
          </w:rPr>
          <w:fldChar w:fldCharType="end"/>
        </w:r>
      </w:hyperlink>
    </w:p>
    <w:p w14:paraId="32FDB511" w14:textId="64083CCE" w:rsidR="00AE4B13" w:rsidRDefault="001017A1">
      <w:pPr>
        <w:pStyle w:val="Spistreci3"/>
        <w:rPr>
          <w:noProof/>
          <w:sz w:val="22"/>
          <w:lang w:eastAsia="pl-PL"/>
        </w:rPr>
      </w:pPr>
      <w:hyperlink w:anchor="_Toc535852146" w:history="1">
        <w:r w:rsidR="00AE4B13" w:rsidRPr="005F4D97">
          <w:rPr>
            <w:rStyle w:val="Hipercze"/>
            <w:noProof/>
          </w:rPr>
          <w:t>C.</w:t>
        </w:r>
        <w:r w:rsidR="005F47D9">
          <w:rPr>
            <w:rStyle w:val="Hipercze"/>
            <w:noProof/>
          </w:rPr>
          <w:t xml:space="preserve"> </w:t>
        </w:r>
        <w:r w:rsidR="00AE4B13" w:rsidRPr="005F4D97">
          <w:rPr>
            <w:rStyle w:val="Hipercze"/>
            <w:noProof/>
          </w:rPr>
          <w:t>W ramach Rady Europy (paragrafy 32-40)</w:t>
        </w:r>
        <w:r w:rsidR="00AE4B13">
          <w:rPr>
            <w:noProof/>
          </w:rPr>
          <w:tab/>
        </w:r>
        <w:r w:rsidR="00AE4B13">
          <w:rPr>
            <w:noProof/>
          </w:rPr>
          <w:fldChar w:fldCharType="begin"/>
        </w:r>
        <w:r w:rsidR="00AE4B13">
          <w:rPr>
            <w:noProof/>
          </w:rPr>
          <w:instrText xml:space="preserve"> PAGEREF _Toc535852146 \h </w:instrText>
        </w:r>
        <w:r w:rsidR="00AE4B13">
          <w:rPr>
            <w:noProof/>
          </w:rPr>
        </w:r>
        <w:r w:rsidR="00AE4B13">
          <w:rPr>
            <w:noProof/>
          </w:rPr>
          <w:fldChar w:fldCharType="separate"/>
        </w:r>
        <w:r w:rsidR="00B61750">
          <w:rPr>
            <w:noProof/>
          </w:rPr>
          <w:t>58</w:t>
        </w:r>
        <w:r w:rsidR="00AE4B13">
          <w:rPr>
            <w:noProof/>
          </w:rPr>
          <w:fldChar w:fldCharType="end"/>
        </w:r>
      </w:hyperlink>
    </w:p>
    <w:p w14:paraId="4A18290A" w14:textId="77777777" w:rsidR="00AE4B13" w:rsidRDefault="001017A1">
      <w:pPr>
        <w:pStyle w:val="Spistreci2"/>
        <w:rPr>
          <w:noProof/>
          <w:lang w:eastAsia="pl-PL"/>
        </w:rPr>
      </w:pPr>
      <w:hyperlink w:anchor="_Toc535852147" w:history="1">
        <w:r w:rsidR="00AE4B13" w:rsidRPr="005F4D97">
          <w:rPr>
            <w:rStyle w:val="Hipercze"/>
            <w:noProof/>
          </w:rPr>
          <w:t>Część druga (paragrafy 41-59)</w:t>
        </w:r>
        <w:r w:rsidR="00AE4B13">
          <w:rPr>
            <w:noProof/>
          </w:rPr>
          <w:tab/>
        </w:r>
        <w:r w:rsidR="00AE4B13">
          <w:rPr>
            <w:noProof/>
          </w:rPr>
          <w:fldChar w:fldCharType="begin"/>
        </w:r>
        <w:r w:rsidR="00AE4B13">
          <w:rPr>
            <w:noProof/>
          </w:rPr>
          <w:instrText xml:space="preserve"> PAGEREF _Toc535852147 \h </w:instrText>
        </w:r>
        <w:r w:rsidR="00AE4B13">
          <w:rPr>
            <w:noProof/>
          </w:rPr>
        </w:r>
        <w:r w:rsidR="00AE4B13">
          <w:rPr>
            <w:noProof/>
          </w:rPr>
          <w:fldChar w:fldCharType="separate"/>
        </w:r>
        <w:r w:rsidR="00B61750">
          <w:rPr>
            <w:noProof/>
          </w:rPr>
          <w:t>66</w:t>
        </w:r>
        <w:r w:rsidR="00AE4B13">
          <w:rPr>
            <w:noProof/>
          </w:rPr>
          <w:fldChar w:fldCharType="end"/>
        </w:r>
      </w:hyperlink>
    </w:p>
    <w:p w14:paraId="1BEB3E23" w14:textId="2B11953C" w:rsidR="00AE4B13" w:rsidRDefault="001017A1">
      <w:pPr>
        <w:pStyle w:val="Spistreci2"/>
        <w:rPr>
          <w:noProof/>
          <w:lang w:eastAsia="pl-PL"/>
        </w:rPr>
      </w:pPr>
      <w:hyperlink w:anchor="_Toc535852148" w:history="1">
        <w:r w:rsidR="00AE4B13" w:rsidRPr="005F4D97">
          <w:rPr>
            <w:rStyle w:val="Hipercze"/>
            <w:noProof/>
          </w:rPr>
          <w:t>IV.</w:t>
        </w:r>
        <w:r w:rsidR="005F47D9">
          <w:rPr>
            <w:rStyle w:val="Hipercze"/>
            <w:noProof/>
          </w:rPr>
          <w:t xml:space="preserve"> </w:t>
        </w:r>
        <w:r w:rsidR="00AE4B13" w:rsidRPr="005F4D97">
          <w:rPr>
            <w:rStyle w:val="Hipercze"/>
            <w:noProof/>
          </w:rPr>
          <w:t>Obowiązki pozwanego Państwa (paragrafy 41-52)</w:t>
        </w:r>
        <w:r w:rsidR="00AE4B13">
          <w:rPr>
            <w:noProof/>
          </w:rPr>
          <w:tab/>
        </w:r>
        <w:r w:rsidR="00AE4B13">
          <w:rPr>
            <w:noProof/>
          </w:rPr>
          <w:fldChar w:fldCharType="begin"/>
        </w:r>
        <w:r w:rsidR="00AE4B13">
          <w:rPr>
            <w:noProof/>
          </w:rPr>
          <w:instrText xml:space="preserve"> PAGEREF _Toc535852148 \h </w:instrText>
        </w:r>
        <w:r w:rsidR="00AE4B13">
          <w:rPr>
            <w:noProof/>
          </w:rPr>
        </w:r>
        <w:r w:rsidR="00AE4B13">
          <w:rPr>
            <w:noProof/>
          </w:rPr>
          <w:fldChar w:fldCharType="separate"/>
        </w:r>
        <w:r w:rsidR="00B61750">
          <w:rPr>
            <w:noProof/>
          </w:rPr>
          <w:t>66</w:t>
        </w:r>
        <w:r w:rsidR="00AE4B13">
          <w:rPr>
            <w:noProof/>
          </w:rPr>
          <w:fldChar w:fldCharType="end"/>
        </w:r>
      </w:hyperlink>
    </w:p>
    <w:p w14:paraId="2ABB8A40" w14:textId="5C96F5F0" w:rsidR="00AE4B13" w:rsidRDefault="001017A1">
      <w:pPr>
        <w:pStyle w:val="Spistreci3"/>
        <w:rPr>
          <w:noProof/>
          <w:sz w:val="22"/>
          <w:lang w:eastAsia="pl-PL"/>
        </w:rPr>
      </w:pPr>
      <w:hyperlink w:anchor="_Toc535852149" w:history="1">
        <w:r w:rsidR="00AE4B13" w:rsidRPr="005F4D97">
          <w:rPr>
            <w:rStyle w:val="Hipercze"/>
            <w:noProof/>
          </w:rPr>
          <w:t>A.</w:t>
        </w:r>
        <w:r w:rsidR="005F47D9">
          <w:rPr>
            <w:rStyle w:val="Hipercze"/>
            <w:noProof/>
          </w:rPr>
          <w:t xml:space="preserve"> </w:t>
        </w:r>
        <w:r w:rsidR="00AE4B13" w:rsidRPr="005F4D97">
          <w:rPr>
            <w:rStyle w:val="Hipercze"/>
            <w:noProof/>
          </w:rPr>
          <w:t>Międzynarodowy obowiązek kryminalizacji i ścigania pracy przymusowej (paragrafy 41-42)</w:t>
        </w:r>
        <w:r w:rsidR="00AE4B13">
          <w:rPr>
            <w:noProof/>
          </w:rPr>
          <w:tab/>
        </w:r>
        <w:r w:rsidR="00AE4B13">
          <w:rPr>
            <w:noProof/>
          </w:rPr>
          <w:fldChar w:fldCharType="begin"/>
        </w:r>
        <w:r w:rsidR="00AE4B13">
          <w:rPr>
            <w:noProof/>
          </w:rPr>
          <w:instrText xml:space="preserve"> PAGEREF _Toc535852149 \h </w:instrText>
        </w:r>
        <w:r w:rsidR="00AE4B13">
          <w:rPr>
            <w:noProof/>
          </w:rPr>
        </w:r>
        <w:r w:rsidR="00AE4B13">
          <w:rPr>
            <w:noProof/>
          </w:rPr>
          <w:fldChar w:fldCharType="separate"/>
        </w:r>
        <w:r w:rsidR="00B61750">
          <w:rPr>
            <w:noProof/>
          </w:rPr>
          <w:t>66</w:t>
        </w:r>
        <w:r w:rsidR="00AE4B13">
          <w:rPr>
            <w:noProof/>
          </w:rPr>
          <w:fldChar w:fldCharType="end"/>
        </w:r>
      </w:hyperlink>
    </w:p>
    <w:p w14:paraId="77B3824D" w14:textId="2665DB8B" w:rsidR="00AE4B13" w:rsidRDefault="001017A1">
      <w:pPr>
        <w:pStyle w:val="Spistreci3"/>
        <w:rPr>
          <w:noProof/>
          <w:sz w:val="22"/>
          <w:lang w:eastAsia="pl-PL"/>
        </w:rPr>
      </w:pPr>
      <w:hyperlink w:anchor="_Toc535852150" w:history="1">
        <w:r w:rsidR="00AE4B13" w:rsidRPr="005F4D97">
          <w:rPr>
            <w:rStyle w:val="Hipercze"/>
            <w:noProof/>
          </w:rPr>
          <w:t>B.</w:t>
        </w:r>
        <w:r w:rsidR="005F47D9">
          <w:rPr>
            <w:rStyle w:val="Hipercze"/>
            <w:noProof/>
          </w:rPr>
          <w:t xml:space="preserve"> </w:t>
        </w:r>
        <w:r w:rsidR="00AE4B13" w:rsidRPr="005F4D97">
          <w:rPr>
            <w:rStyle w:val="Hipercze"/>
            <w:noProof/>
          </w:rPr>
          <w:t>Międzynarodowy obowiązek kryminalizacji i ścigania handlu ludźmi (paragrafy 44-52)</w:t>
        </w:r>
        <w:r w:rsidR="00AE4B13">
          <w:rPr>
            <w:noProof/>
          </w:rPr>
          <w:tab/>
        </w:r>
        <w:r w:rsidR="00AE4B13">
          <w:rPr>
            <w:noProof/>
          </w:rPr>
          <w:fldChar w:fldCharType="begin"/>
        </w:r>
        <w:r w:rsidR="00AE4B13">
          <w:rPr>
            <w:noProof/>
          </w:rPr>
          <w:instrText xml:space="preserve"> PAGEREF _Toc535852150 \h </w:instrText>
        </w:r>
        <w:r w:rsidR="00AE4B13">
          <w:rPr>
            <w:noProof/>
          </w:rPr>
        </w:r>
        <w:r w:rsidR="00AE4B13">
          <w:rPr>
            <w:noProof/>
          </w:rPr>
          <w:fldChar w:fldCharType="separate"/>
        </w:r>
        <w:r w:rsidR="00B61750">
          <w:rPr>
            <w:noProof/>
          </w:rPr>
          <w:t>67</w:t>
        </w:r>
        <w:r w:rsidR="00AE4B13">
          <w:rPr>
            <w:noProof/>
          </w:rPr>
          <w:fldChar w:fldCharType="end"/>
        </w:r>
      </w:hyperlink>
    </w:p>
    <w:p w14:paraId="3C9AC7FF" w14:textId="2CA437CB" w:rsidR="00AE4B13" w:rsidRDefault="001017A1">
      <w:pPr>
        <w:pStyle w:val="Spistreci2"/>
        <w:rPr>
          <w:noProof/>
          <w:lang w:eastAsia="pl-PL"/>
        </w:rPr>
      </w:pPr>
      <w:hyperlink w:anchor="_Toc535852151" w:history="1">
        <w:r w:rsidR="00AE4B13" w:rsidRPr="005F4D97">
          <w:rPr>
            <w:rStyle w:val="Hipercze"/>
            <w:noProof/>
          </w:rPr>
          <w:t>V.</w:t>
        </w:r>
        <w:r w:rsidR="005F47D9">
          <w:rPr>
            <w:rStyle w:val="Hipercze"/>
            <w:noProof/>
          </w:rPr>
          <w:t xml:space="preserve"> </w:t>
        </w:r>
        <w:r w:rsidR="00AE4B13" w:rsidRPr="005F4D97">
          <w:rPr>
            <w:rStyle w:val="Hipercze"/>
            <w:noProof/>
          </w:rPr>
          <w:t>Zastosowanie ram prawnych do okoliczności faktycznych sprawy (paragrafy 53-59)</w:t>
        </w:r>
        <w:r w:rsidR="00AE4B13">
          <w:rPr>
            <w:noProof/>
          </w:rPr>
          <w:tab/>
        </w:r>
        <w:r w:rsidR="00AE4B13">
          <w:rPr>
            <w:noProof/>
          </w:rPr>
          <w:fldChar w:fldCharType="begin"/>
        </w:r>
        <w:r w:rsidR="00AE4B13">
          <w:rPr>
            <w:noProof/>
          </w:rPr>
          <w:instrText xml:space="preserve"> PAGEREF _Toc535852151 \h </w:instrText>
        </w:r>
        <w:r w:rsidR="00AE4B13">
          <w:rPr>
            <w:noProof/>
          </w:rPr>
        </w:r>
        <w:r w:rsidR="00AE4B13">
          <w:rPr>
            <w:noProof/>
          </w:rPr>
          <w:fldChar w:fldCharType="separate"/>
        </w:r>
        <w:r w:rsidR="00B61750">
          <w:rPr>
            <w:noProof/>
          </w:rPr>
          <w:t>72</w:t>
        </w:r>
        <w:r w:rsidR="00AE4B13">
          <w:rPr>
            <w:noProof/>
          </w:rPr>
          <w:fldChar w:fldCharType="end"/>
        </w:r>
      </w:hyperlink>
    </w:p>
    <w:p w14:paraId="18F75D6D" w14:textId="32FD277C" w:rsidR="00AE4B13" w:rsidRDefault="001017A1">
      <w:pPr>
        <w:pStyle w:val="Spistreci3"/>
        <w:rPr>
          <w:noProof/>
          <w:sz w:val="22"/>
          <w:lang w:eastAsia="pl-PL"/>
        </w:rPr>
      </w:pPr>
      <w:hyperlink w:anchor="_Toc535852152" w:history="1">
        <w:r w:rsidR="00AE4B13" w:rsidRPr="005F4D97">
          <w:rPr>
            <w:rStyle w:val="Hipercze"/>
            <w:noProof/>
          </w:rPr>
          <w:t>A.</w:t>
        </w:r>
        <w:r w:rsidR="005F47D9">
          <w:rPr>
            <w:rStyle w:val="Hipercze"/>
            <w:noProof/>
          </w:rPr>
          <w:t xml:space="preserve"> </w:t>
        </w:r>
        <w:r w:rsidR="00AE4B13" w:rsidRPr="005F4D97">
          <w:rPr>
            <w:rStyle w:val="Hipercze"/>
            <w:noProof/>
          </w:rPr>
          <w:t>Materialne przesłanki umorzenia (paragrafy 53-55)</w:t>
        </w:r>
        <w:r w:rsidR="00AE4B13">
          <w:rPr>
            <w:noProof/>
          </w:rPr>
          <w:tab/>
        </w:r>
        <w:r w:rsidR="00AE4B13">
          <w:rPr>
            <w:noProof/>
          </w:rPr>
          <w:fldChar w:fldCharType="begin"/>
        </w:r>
        <w:r w:rsidR="00AE4B13">
          <w:rPr>
            <w:noProof/>
          </w:rPr>
          <w:instrText xml:space="preserve"> PAGEREF _Toc535852152 \h </w:instrText>
        </w:r>
        <w:r w:rsidR="00AE4B13">
          <w:rPr>
            <w:noProof/>
          </w:rPr>
        </w:r>
        <w:r w:rsidR="00AE4B13">
          <w:rPr>
            <w:noProof/>
          </w:rPr>
          <w:fldChar w:fldCharType="separate"/>
        </w:r>
        <w:r w:rsidR="00B61750">
          <w:rPr>
            <w:noProof/>
          </w:rPr>
          <w:t>72</w:t>
        </w:r>
        <w:r w:rsidR="00AE4B13">
          <w:rPr>
            <w:noProof/>
          </w:rPr>
          <w:fldChar w:fldCharType="end"/>
        </w:r>
      </w:hyperlink>
    </w:p>
    <w:p w14:paraId="64C7E5A1" w14:textId="34E0977D" w:rsidR="00AE4B13" w:rsidRDefault="001017A1">
      <w:pPr>
        <w:pStyle w:val="Spistreci3"/>
        <w:rPr>
          <w:noProof/>
          <w:sz w:val="22"/>
          <w:lang w:eastAsia="pl-PL"/>
        </w:rPr>
      </w:pPr>
      <w:hyperlink w:anchor="_Toc535852153" w:history="1">
        <w:r w:rsidR="00AE4B13" w:rsidRPr="005F4D97">
          <w:rPr>
            <w:rStyle w:val="Hipercze"/>
            <w:noProof/>
          </w:rPr>
          <w:t>B.</w:t>
        </w:r>
        <w:r w:rsidR="005F47D9">
          <w:rPr>
            <w:rStyle w:val="Hipercze"/>
            <w:noProof/>
          </w:rPr>
          <w:t xml:space="preserve"> </w:t>
        </w:r>
        <w:r w:rsidR="00AE4B13" w:rsidRPr="005F4D97">
          <w:rPr>
            <w:rStyle w:val="Hipercze"/>
            <w:noProof/>
          </w:rPr>
          <w:t>Proceduralne przesłanki umorzenia (paragrafy 56-59)</w:t>
        </w:r>
        <w:r w:rsidR="00AE4B13">
          <w:rPr>
            <w:noProof/>
          </w:rPr>
          <w:tab/>
        </w:r>
        <w:r w:rsidR="00AE4B13">
          <w:rPr>
            <w:noProof/>
          </w:rPr>
          <w:fldChar w:fldCharType="begin"/>
        </w:r>
        <w:r w:rsidR="00AE4B13">
          <w:rPr>
            <w:noProof/>
          </w:rPr>
          <w:instrText xml:space="preserve"> PAGEREF _Toc535852153 \h </w:instrText>
        </w:r>
        <w:r w:rsidR="00AE4B13">
          <w:rPr>
            <w:noProof/>
          </w:rPr>
        </w:r>
        <w:r w:rsidR="00AE4B13">
          <w:rPr>
            <w:noProof/>
          </w:rPr>
          <w:fldChar w:fldCharType="separate"/>
        </w:r>
        <w:r w:rsidR="00B61750">
          <w:rPr>
            <w:noProof/>
          </w:rPr>
          <w:t>73</w:t>
        </w:r>
        <w:r w:rsidR="00AE4B13">
          <w:rPr>
            <w:noProof/>
          </w:rPr>
          <w:fldChar w:fldCharType="end"/>
        </w:r>
      </w:hyperlink>
    </w:p>
    <w:p w14:paraId="63C132D1" w14:textId="27206F47" w:rsidR="00AE4B13" w:rsidRDefault="001017A1">
      <w:pPr>
        <w:pStyle w:val="Spistreci2"/>
        <w:rPr>
          <w:noProof/>
          <w:lang w:eastAsia="pl-PL"/>
        </w:rPr>
      </w:pPr>
      <w:hyperlink w:anchor="_Toc535852154" w:history="1">
        <w:r w:rsidR="00AE4B13" w:rsidRPr="005F4D97">
          <w:rPr>
            <w:rStyle w:val="Hipercze"/>
            <w:noProof/>
          </w:rPr>
          <w:t>VI.</w:t>
        </w:r>
        <w:r w:rsidR="005F47D9">
          <w:rPr>
            <w:rStyle w:val="Hipercze"/>
            <w:noProof/>
          </w:rPr>
          <w:t xml:space="preserve"> </w:t>
        </w:r>
        <w:r w:rsidR="00AE4B13" w:rsidRPr="005F4D97">
          <w:rPr>
            <w:rStyle w:val="Hipercze"/>
            <w:noProof/>
          </w:rPr>
          <w:t>Konkluzja (paragrafy 60-61)</w:t>
        </w:r>
        <w:r w:rsidR="00AE4B13">
          <w:rPr>
            <w:noProof/>
          </w:rPr>
          <w:tab/>
        </w:r>
        <w:r w:rsidR="00AE4B13">
          <w:rPr>
            <w:noProof/>
          </w:rPr>
          <w:fldChar w:fldCharType="begin"/>
        </w:r>
        <w:r w:rsidR="00AE4B13">
          <w:rPr>
            <w:noProof/>
          </w:rPr>
          <w:instrText xml:space="preserve"> PAGEREF _Toc535852154 \h </w:instrText>
        </w:r>
        <w:r w:rsidR="00AE4B13">
          <w:rPr>
            <w:noProof/>
          </w:rPr>
        </w:r>
        <w:r w:rsidR="00AE4B13">
          <w:rPr>
            <w:noProof/>
          </w:rPr>
          <w:fldChar w:fldCharType="separate"/>
        </w:r>
        <w:r w:rsidR="00B61750">
          <w:rPr>
            <w:noProof/>
          </w:rPr>
          <w:t>74</w:t>
        </w:r>
        <w:r w:rsidR="00AE4B13">
          <w:rPr>
            <w:noProof/>
          </w:rPr>
          <w:fldChar w:fldCharType="end"/>
        </w:r>
      </w:hyperlink>
    </w:p>
    <w:p w14:paraId="05C77A42" w14:textId="77777777" w:rsidR="00802C80" w:rsidRPr="00082846" w:rsidRDefault="00802C80" w:rsidP="00802C80">
      <w:pPr>
        <w:pStyle w:val="OpiPara"/>
        <w:rPr>
          <w:b/>
          <w:sz w:val="16"/>
          <w:szCs w:val="16"/>
        </w:rPr>
      </w:pPr>
      <w:r w:rsidRPr="00082846">
        <w:rPr>
          <w:b/>
        </w:rPr>
        <w:fldChar w:fldCharType="end"/>
      </w:r>
    </w:p>
    <w:p w14:paraId="50A9F2E4" w14:textId="77777777" w:rsidR="00802C80" w:rsidRPr="003D7F25" w:rsidRDefault="00802C80" w:rsidP="00802C80">
      <w:pPr>
        <w:pStyle w:val="OpiPara"/>
        <w:rPr>
          <w:b/>
          <w:bCs/>
        </w:rPr>
      </w:pPr>
      <w:bookmarkStart w:id="3" w:name="Table"/>
    </w:p>
    <w:p w14:paraId="22D80885" w14:textId="1B9C63EC" w:rsidR="00802C80" w:rsidRPr="001F0818" w:rsidRDefault="00802C80" w:rsidP="00802C80">
      <w:pPr>
        <w:pStyle w:val="OpiHA0"/>
      </w:pPr>
      <w:bookmarkStart w:id="4" w:name="_Toc535852137"/>
      <w:r w:rsidRPr="001C5F9D">
        <w:t>I.</w:t>
      </w:r>
      <w:r w:rsidR="005F47D9">
        <w:t xml:space="preserve"> </w:t>
      </w:r>
      <w:r w:rsidRPr="001C5F9D">
        <w:t>Wprowadzenie (§ 1)</w:t>
      </w:r>
      <w:bookmarkEnd w:id="4"/>
    </w:p>
    <w:p w14:paraId="54CB9B2D" w14:textId="1E61EC3F" w:rsidR="00802C80" w:rsidRPr="00D00246" w:rsidRDefault="00802C80" w:rsidP="00802C80">
      <w:pPr>
        <w:pStyle w:val="OpiPara"/>
      </w:pPr>
      <w:r w:rsidRPr="008A47A5">
        <w:t>1.</w:t>
      </w:r>
      <w:r w:rsidR="005F47D9">
        <w:t xml:space="preserve"> </w:t>
      </w:r>
      <w:r w:rsidR="00885E1E" w:rsidRPr="008A47A5">
        <w:t xml:space="preserve">Chociaż zajmuję </w:t>
      </w:r>
      <w:r w:rsidRPr="008A47A5">
        <w:t xml:space="preserve">stanowisko zbieżne z Izbą, </w:t>
      </w:r>
      <w:r w:rsidR="00885E1E" w:rsidRPr="008A47A5">
        <w:t xml:space="preserve">to </w:t>
      </w:r>
      <w:r w:rsidRPr="008A47A5">
        <w:t xml:space="preserve">nie satysfakcjonuje mnie </w:t>
      </w:r>
      <w:r w:rsidRPr="00D00246">
        <w:t xml:space="preserve">uzasadnienie wyroku — z dwóch powodów. Po pierwsze nie </w:t>
      </w:r>
      <w:r w:rsidR="00885E1E" w:rsidRPr="00D00246">
        <w:t>zawierało</w:t>
      </w:r>
      <w:r w:rsidRPr="00D00246">
        <w:t xml:space="preserve"> ono </w:t>
      </w:r>
      <w:r w:rsidR="00885E1E" w:rsidRPr="00D00246">
        <w:t xml:space="preserve">odniesienia </w:t>
      </w:r>
      <w:r w:rsidRPr="00D00246">
        <w:t xml:space="preserve">do </w:t>
      </w:r>
      <w:r w:rsidR="00885E1E" w:rsidRPr="00D00246">
        <w:t xml:space="preserve">ustawowych znamion </w:t>
      </w:r>
      <w:r w:rsidRPr="00D00246">
        <w:t xml:space="preserve">przestępstwa handlu ludźmi </w:t>
      </w:r>
      <w:r w:rsidR="00885E1E" w:rsidRPr="00D00246">
        <w:t>ani</w:t>
      </w:r>
      <w:r w:rsidRPr="00D00246">
        <w:t xml:space="preserve"> cech odróżniających je od niewolnictwa, poddaństwa i pracy przymusowej. Po drugie nie poddało prawidłowej analizie zobowiązań międzynarodowych </w:t>
      </w:r>
      <w:r w:rsidR="00452E9C" w:rsidRPr="00D00246">
        <w:t xml:space="preserve">Państwa </w:t>
      </w:r>
      <w:r w:rsidRPr="00D00246">
        <w:t>w niniejszej sprawie. Opinia niniejsza wychodzi tym celom naprzeciw na tle kryt</w:t>
      </w:r>
      <w:r w:rsidR="0065635E">
        <w:t>ycznej refleksji nad globalną i </w:t>
      </w:r>
      <w:r w:rsidRPr="00D00246">
        <w:t xml:space="preserve">regionalną reakcją na plagę pracy przymusowej i prowadzonego w jej celu handlu ludźmi. Refleksja ta zostanie przeprowadzona na styku </w:t>
      </w:r>
      <w:r w:rsidRPr="00D00246">
        <w:lastRenderedPageBreak/>
        <w:t>międzynarodowego prawa praw człowieka, międzynarodowego prawa pracy oraz międzynarodowego prawa</w:t>
      </w:r>
      <w:r w:rsidR="0065635E">
        <w:t xml:space="preserve"> karnego i humanitarnego wraz z </w:t>
      </w:r>
      <w:r w:rsidRPr="00D00246">
        <w:t xml:space="preserve">towarzyszącym przeglądem systemów międzyamerykańskich, afrykańskich, azjatyckich, Unii Europejskiej i Rady Europy </w:t>
      </w:r>
      <w:r w:rsidR="00885E1E" w:rsidRPr="00D00246">
        <w:t xml:space="preserve">w zakresie </w:t>
      </w:r>
      <w:r w:rsidRPr="00D00246">
        <w:t>walki z handlem ludźmi.</w:t>
      </w:r>
    </w:p>
    <w:p w14:paraId="220CE46B" w14:textId="77777777" w:rsidR="00802C80" w:rsidRPr="00D00246" w:rsidRDefault="00802C80" w:rsidP="00802C80">
      <w:pPr>
        <w:pStyle w:val="OpiHA0"/>
      </w:pPr>
      <w:bookmarkStart w:id="5" w:name="_Toc535852138"/>
      <w:r w:rsidRPr="00D00246">
        <w:t>Część pierwsza (paragrafy 2-40)</w:t>
      </w:r>
      <w:bookmarkEnd w:id="5"/>
    </w:p>
    <w:p w14:paraId="63A392E4" w14:textId="2DB0FF02" w:rsidR="00802C80" w:rsidRPr="00D00246" w:rsidRDefault="00802C80" w:rsidP="00802C80">
      <w:pPr>
        <w:pStyle w:val="OpiHA0"/>
      </w:pPr>
      <w:bookmarkStart w:id="6" w:name="_Toc535852139"/>
      <w:r w:rsidRPr="00D00246">
        <w:t>II.</w:t>
      </w:r>
      <w:r w:rsidR="005F47D9">
        <w:t xml:space="preserve"> </w:t>
      </w:r>
      <w:r w:rsidRPr="00D00246">
        <w:t xml:space="preserve">Światowa </w:t>
      </w:r>
      <w:r w:rsidR="00885E1E" w:rsidRPr="00D00246">
        <w:t xml:space="preserve">reakcja </w:t>
      </w:r>
      <w:r w:rsidRPr="00D00246">
        <w:t>na pracę przymusową i prowadzony w jej celu handel ludźmi (paragrafy 2-21)</w:t>
      </w:r>
      <w:bookmarkEnd w:id="6"/>
      <w:r w:rsidRPr="00D00246">
        <w:t xml:space="preserve"> </w:t>
      </w:r>
    </w:p>
    <w:p w14:paraId="1547339C" w14:textId="7A33CC8F" w:rsidR="00802C80" w:rsidRPr="00D00246" w:rsidRDefault="00802C80" w:rsidP="00802C80">
      <w:pPr>
        <w:pStyle w:val="OpiH1"/>
      </w:pPr>
      <w:bookmarkStart w:id="7" w:name="_Toc535852140"/>
      <w:r w:rsidRPr="00D00246">
        <w:t>A.</w:t>
      </w:r>
      <w:r w:rsidR="005F47D9">
        <w:t xml:space="preserve"> </w:t>
      </w:r>
      <w:r w:rsidRPr="00D00246">
        <w:t>Międzynarodowe prawo praw człowieka (paragrafy 2-8)</w:t>
      </w:r>
      <w:bookmarkEnd w:id="7"/>
    </w:p>
    <w:p w14:paraId="6793A808" w14:textId="303B8C2D" w:rsidR="00802C80" w:rsidRPr="00082846" w:rsidRDefault="00802C80" w:rsidP="00802C80">
      <w:pPr>
        <w:pStyle w:val="OpiPara"/>
      </w:pPr>
      <w:r w:rsidRPr="00D00246">
        <w:t>2.</w:t>
      </w:r>
      <w:r w:rsidR="005F47D9">
        <w:t xml:space="preserve"> </w:t>
      </w:r>
      <w:r w:rsidRPr="00D00246">
        <w:t xml:space="preserve">Od początku </w:t>
      </w:r>
      <w:r w:rsidR="00885E1E" w:rsidRPr="00D00246">
        <w:t xml:space="preserve">XX </w:t>
      </w:r>
      <w:r w:rsidRPr="00D00246">
        <w:t>wieku praca przymusowa i prowadzony w jej celu handel ludźmi</w:t>
      </w:r>
      <w:r w:rsidRPr="00076546">
        <w:rPr>
          <w:vertAlign w:val="superscript"/>
        </w:rPr>
        <w:footnoteReference w:id="2"/>
      </w:r>
      <w:r w:rsidRPr="00082846">
        <w:t xml:space="preserve"> pozostają zakazane zgodnie ze stałą praktyką Stron zarówno w sferze wewnętrznej jak i międzynarodowej. Według Biura </w:t>
      </w:r>
      <w:r w:rsidR="00885E1E" w:rsidRPr="00082846">
        <w:t>O</w:t>
      </w:r>
      <w:r w:rsidR="0065635E">
        <w:t>NZ ds. </w:t>
      </w:r>
      <w:r w:rsidRPr="00082846">
        <w:t>narkotyków i przestępczości (UNODC) handel ludźmi stanowi czyn zabroniony w 146 krajach świata, wciąż jednak jest dwa miliardy osób pozbawionych pełnej ochrony prawnej przed tym przestępstwem</w:t>
      </w:r>
      <w:r w:rsidRPr="00076546">
        <w:rPr>
          <w:vertAlign w:val="superscript"/>
        </w:rPr>
        <w:footnoteReference w:id="3"/>
      </w:r>
      <w:r w:rsidRPr="00082846">
        <w:t>.</w:t>
      </w:r>
    </w:p>
    <w:p w14:paraId="26A23C3C" w14:textId="2EBBA072" w:rsidR="00802C80" w:rsidRPr="00082846" w:rsidRDefault="002040B4" w:rsidP="00802C80">
      <w:pPr>
        <w:pStyle w:val="OpiPara"/>
      </w:pPr>
      <w:r>
        <w:t>Międzynarodowy</w:t>
      </w:r>
      <w:r w:rsidR="00802C80" w:rsidRPr="00082846">
        <w:t xml:space="preserve"> </w:t>
      </w:r>
      <w:r w:rsidR="00704278" w:rsidRPr="00082846">
        <w:t>obowiązek</w:t>
      </w:r>
      <w:r>
        <w:t xml:space="preserve"> zakazu</w:t>
      </w:r>
      <w:r w:rsidR="00802C80" w:rsidRPr="00082846">
        <w:t xml:space="preserve">, kryminalizacji i karania niewolnictwa i pracy przymusowej oraz prowadzonego w tym celu handlu ludźmi określony został w Mandatach terytoriów </w:t>
      </w:r>
      <w:r w:rsidR="00704278" w:rsidRPr="00082846">
        <w:t>k</w:t>
      </w:r>
      <w:r w:rsidR="00802C80" w:rsidRPr="00082846">
        <w:t xml:space="preserve">las B i C systemu mandatowego Ligi Narodów na potrzeby administrowania </w:t>
      </w:r>
      <w:r w:rsidR="00704278" w:rsidRPr="00082846">
        <w:t xml:space="preserve">określonymi </w:t>
      </w:r>
      <w:r w:rsidR="00802C80" w:rsidRPr="003D7F25">
        <w:t>terytoriami pozaeuropejskimi; art. 6 Konwencji w sprawie zwalczania handlu niewolnikami i niewolnictwa („Konwencj</w:t>
      </w:r>
      <w:r w:rsidR="00704278" w:rsidRPr="003D7F25">
        <w:t>a</w:t>
      </w:r>
      <w:r w:rsidR="00802C80" w:rsidRPr="003D7F25">
        <w:t xml:space="preserve"> w sprawie </w:t>
      </w:r>
      <w:r w:rsidR="00802C80" w:rsidRPr="003D7F25">
        <w:lastRenderedPageBreak/>
        <w:t>niewolnictwa)”</w:t>
      </w:r>
      <w:r w:rsidR="00802C80" w:rsidRPr="00076546">
        <w:rPr>
          <w:vertAlign w:val="superscript"/>
        </w:rPr>
        <w:footnoteReference w:id="4"/>
      </w:r>
      <w:r w:rsidR="00802C80" w:rsidRPr="00082846">
        <w:t xml:space="preserve"> </w:t>
      </w:r>
      <w:r w:rsidR="00704278" w:rsidRPr="00082846">
        <w:t>oraz</w:t>
      </w:r>
      <w:r w:rsidR="00802C80" w:rsidRPr="00082846">
        <w:t xml:space="preserve"> art. 6 ust. 1 jej Konwencji uzupełniającej z 1956 r.</w:t>
      </w:r>
      <w:r w:rsidR="00802C80" w:rsidRPr="00076546">
        <w:rPr>
          <w:vertAlign w:val="superscript"/>
        </w:rPr>
        <w:footnoteReference w:id="5"/>
      </w:r>
      <w:r w:rsidR="00802C80" w:rsidRPr="00082846">
        <w:t>; art. 25 Konwencji Międzynarodowej Organizacji Pracy z 1930 r. dotyczącej pracy przymusowej lub obowiązkowej (nr 29)</w:t>
      </w:r>
      <w:r w:rsidR="00802C80" w:rsidRPr="00076546">
        <w:rPr>
          <w:vertAlign w:val="superscript"/>
        </w:rPr>
        <w:footnoteReference w:id="6"/>
      </w:r>
      <w:r w:rsidR="00802C80" w:rsidRPr="00082846">
        <w:t xml:space="preserve">; art. 6 lit. b i c Statutu Międzynarodowego Trybunału Wojskowego („Karta </w:t>
      </w:r>
      <w:r w:rsidR="00704278" w:rsidRPr="00082846">
        <w:t>norymberska</w:t>
      </w:r>
      <w:r w:rsidR="00802C80" w:rsidRPr="00082846">
        <w:t>”); art. 4 Powszechnej Deklaracji Praw Człowieka z 1948 r. (PDPC); art. 4 Europejskiej Konwencji Praw Człowieka z 1950 r. („Konwencja”); art. 6 Konwencji MOP z 1957 r. dotyczącej z</w:t>
      </w:r>
      <w:r w:rsidR="0065635E">
        <w:t>niesienia pracy przymusowej (nr </w:t>
      </w:r>
      <w:r w:rsidR="00802C80" w:rsidRPr="00082846">
        <w:t>105)</w:t>
      </w:r>
      <w:r w:rsidR="00802C80" w:rsidRPr="00076546">
        <w:rPr>
          <w:vertAlign w:val="superscript"/>
        </w:rPr>
        <w:footnoteReference w:id="7"/>
      </w:r>
      <w:r w:rsidR="00802C80" w:rsidRPr="00082846">
        <w:t>; art. 13 Konwencji z 1958 r. o morzu pełnym</w:t>
      </w:r>
      <w:r w:rsidR="00802C80" w:rsidRPr="00076546">
        <w:rPr>
          <w:vertAlign w:val="superscript"/>
        </w:rPr>
        <w:footnoteReference w:id="8"/>
      </w:r>
      <w:r w:rsidR="00802C80" w:rsidRPr="00082846">
        <w:t>; art. 8 Międzynarodowego Paktu Praw Obywatelskich i Politycznych z 1966 r. (MPPOiP); art. 6 Amerykańskiej Konwencji Praw Człowieka z 1969 r. (AKPC)</w:t>
      </w:r>
      <w:r w:rsidR="00802C80" w:rsidRPr="00076546">
        <w:rPr>
          <w:vertAlign w:val="superscript"/>
        </w:rPr>
        <w:footnoteReference w:id="9"/>
      </w:r>
      <w:r w:rsidR="00802C80" w:rsidRPr="00082846">
        <w:t>; art. 4 ust. 2 lit. f Dodatkowego protokołu II do konwencji genewskich</w:t>
      </w:r>
      <w:r w:rsidR="00802C80" w:rsidRPr="00076546">
        <w:rPr>
          <w:vertAlign w:val="superscript"/>
        </w:rPr>
        <w:footnoteReference w:id="10"/>
      </w:r>
      <w:r w:rsidR="00802C80" w:rsidRPr="00082846">
        <w:t>; art. 5 Afrykańskiej Karty Praw Człowieka i Ludów z 1981 r. (AKPCiL)</w:t>
      </w:r>
      <w:r w:rsidR="00802C80" w:rsidRPr="00076546">
        <w:rPr>
          <w:vertAlign w:val="superscript"/>
        </w:rPr>
        <w:footnoteReference w:id="11"/>
      </w:r>
      <w:r w:rsidR="00802C80" w:rsidRPr="00082846">
        <w:t>; art. 99 Konwencji z 1982 r. o prawie morza</w:t>
      </w:r>
      <w:r w:rsidR="00802C80" w:rsidRPr="00076546">
        <w:rPr>
          <w:vertAlign w:val="superscript"/>
        </w:rPr>
        <w:footnoteReference w:id="12"/>
      </w:r>
      <w:r w:rsidR="00802C80" w:rsidRPr="00082846">
        <w:t xml:space="preserve">; art. 32 i 36 </w:t>
      </w:r>
      <w:r w:rsidR="00802C80" w:rsidRPr="00082846">
        <w:lastRenderedPageBreak/>
        <w:t>Konwencji o Prawach Dziecka z 1989 r. (KoPD)</w:t>
      </w:r>
      <w:r w:rsidR="00802C80" w:rsidRPr="00076546">
        <w:rPr>
          <w:vertAlign w:val="superscript"/>
        </w:rPr>
        <w:footnoteReference w:id="13"/>
      </w:r>
      <w:r w:rsidR="00802C80" w:rsidRPr="00082846">
        <w:t>; art. 11 Międzynarodowej konwencji z 1990 r. o ochronie praw wszystkich pracowników migrujących i członków ich rodzin (MKoOPWPM)</w:t>
      </w:r>
      <w:r w:rsidR="00802C80" w:rsidRPr="00076546">
        <w:rPr>
          <w:vertAlign w:val="superscript"/>
        </w:rPr>
        <w:footnoteReference w:id="14"/>
      </w:r>
      <w:r w:rsidR="00802C80" w:rsidRPr="00082846">
        <w:t>; art. 15 Afrykańskiej Karty Praw i Dobra Dziecka z 1990 r. (AKPiDD)</w:t>
      </w:r>
      <w:r w:rsidR="00802C80" w:rsidRPr="00076546">
        <w:rPr>
          <w:vertAlign w:val="superscript"/>
        </w:rPr>
        <w:footnoteReference w:id="15"/>
      </w:r>
      <w:r w:rsidR="00802C80" w:rsidRPr="00082846">
        <w:t>; art. 5 lit. c Statutu Międzynarodowego Trybunału Karn</w:t>
      </w:r>
      <w:r w:rsidR="0065635E">
        <w:t>ego dla byłej Jugosławii z 1993 </w:t>
      </w:r>
      <w:r w:rsidR="00802C80" w:rsidRPr="00082846">
        <w:t xml:space="preserve">r. (MTKdbJ); art. 7 </w:t>
      </w:r>
      <w:r w:rsidR="0065635E">
        <w:t>Międzyamerykańskiej konwencji o </w:t>
      </w:r>
      <w:r w:rsidR="00802C80" w:rsidRPr="00082846">
        <w:t>międzynarodowym handlu nieletnimi z 1994 r.</w:t>
      </w:r>
      <w:r w:rsidR="00802C80" w:rsidRPr="00076546">
        <w:rPr>
          <w:vertAlign w:val="superscript"/>
        </w:rPr>
        <w:footnoteReference w:id="16"/>
      </w:r>
      <w:r w:rsidR="00802C80" w:rsidRPr="00082846">
        <w:t>; art. 3 lit. c Statutu Międzynarodowego Trybunału Karnego dla Rwandy (MTKdR); art. 4 Konwencji WNP z 1995 r. o prawach człowieka i podstawowych wolnościach („Konwencja WNP”)</w:t>
      </w:r>
      <w:r w:rsidR="00802C80" w:rsidRPr="00076546">
        <w:rPr>
          <w:vertAlign w:val="superscript"/>
        </w:rPr>
        <w:footnoteReference w:id="17"/>
      </w:r>
      <w:r w:rsidR="00802C80" w:rsidRPr="00082846">
        <w:t>; art. 7 ust. 2 lit. c Statutu Międzynarodowego Trybunału Karnego z 1998 r. („</w:t>
      </w:r>
      <w:r w:rsidR="00985297" w:rsidRPr="00082846">
        <w:t>Statut Rzymski</w:t>
      </w:r>
      <w:r w:rsidR="00802C80" w:rsidRPr="00082846">
        <w:t>”)</w:t>
      </w:r>
      <w:r w:rsidR="00802C80" w:rsidRPr="00076546">
        <w:rPr>
          <w:vertAlign w:val="superscript"/>
        </w:rPr>
        <w:footnoteReference w:id="18"/>
      </w:r>
      <w:r w:rsidR="00802C80" w:rsidRPr="00082846">
        <w:t xml:space="preserve">; art. 7 Konwencji MOP </w:t>
      </w:r>
      <w:r w:rsidR="006A4693" w:rsidRPr="006A4693">
        <w:t>dotycząc</w:t>
      </w:r>
      <w:r w:rsidR="006A4693">
        <w:t>ej</w:t>
      </w:r>
      <w:r w:rsidR="006A4693" w:rsidRPr="006A4693">
        <w:t xml:space="preserve"> zakazu i natychmiastowych działań na rzecz eliminowania najgorszych form pracy dzieci </w:t>
      </w:r>
      <w:r w:rsidR="00802C80" w:rsidRPr="00082846">
        <w:t>(nr 182)</w:t>
      </w:r>
      <w:r w:rsidR="00802C80" w:rsidRPr="00076546">
        <w:rPr>
          <w:vertAlign w:val="superscript"/>
        </w:rPr>
        <w:footnoteReference w:id="19"/>
      </w:r>
      <w:r w:rsidR="00802C80" w:rsidRPr="00082846">
        <w:t>; art. 5 Protokołu z 2000 r. zapobieganiu, zwalczaniu oraz karaniu handlu ludźmi, zwłaszcza kobietami i dziećmi („Protokół z Palermo”)</w:t>
      </w:r>
      <w:r w:rsidR="00802C80" w:rsidRPr="00076546">
        <w:rPr>
          <w:vertAlign w:val="superscript"/>
        </w:rPr>
        <w:footnoteReference w:id="20"/>
      </w:r>
      <w:r w:rsidR="00802C80" w:rsidRPr="00082846">
        <w:t xml:space="preserve">; art. 2 Protokołu fakultatywnego z 2000 r. do Konwencji praw dziecka </w:t>
      </w:r>
      <w:r w:rsidR="007D04F4">
        <w:t>w sprawie handlu dziećmi</w:t>
      </w:r>
      <w:r w:rsidR="00802C80" w:rsidRPr="00082846">
        <w:t xml:space="preserve">, dziecięcej </w:t>
      </w:r>
      <w:r w:rsidR="007D04F4" w:rsidRPr="00082846">
        <w:t xml:space="preserve">prostytucji </w:t>
      </w:r>
      <w:r w:rsidR="00802C80" w:rsidRPr="00082846">
        <w:t>i dziecięcej</w:t>
      </w:r>
      <w:r w:rsidR="007D04F4" w:rsidRPr="007D04F4">
        <w:t xml:space="preserve"> </w:t>
      </w:r>
      <w:r w:rsidR="007D04F4" w:rsidRPr="00082846">
        <w:t xml:space="preserve">pornografii </w:t>
      </w:r>
      <w:r w:rsidR="00802C80" w:rsidRPr="00076546">
        <w:rPr>
          <w:vertAlign w:val="superscript"/>
        </w:rPr>
        <w:footnoteReference w:id="21"/>
      </w:r>
      <w:r w:rsidR="00802C80" w:rsidRPr="00082846">
        <w:t>; art. 5 ust. 3 Karty Praw Podstawowych UE z 2000 r.</w:t>
      </w:r>
      <w:r w:rsidR="00802C80" w:rsidRPr="00076546">
        <w:rPr>
          <w:vertAlign w:val="superscript"/>
        </w:rPr>
        <w:footnoteReference w:id="22"/>
      </w:r>
      <w:r w:rsidR="00802C80" w:rsidRPr="00082846">
        <w:t xml:space="preserve">; art. 2 lit. c Statutu Sądu Specjalnego </w:t>
      </w:r>
      <w:r w:rsidR="00802C80" w:rsidRPr="00082846">
        <w:lastRenderedPageBreak/>
        <w:t>dla Sierra Leone; art. 1 Decyzji ramowej R</w:t>
      </w:r>
      <w:r w:rsidR="0065635E">
        <w:t>ady Unii Europejskiej z dnia 19 </w:t>
      </w:r>
      <w:r w:rsidR="00802C80" w:rsidRPr="00082846">
        <w:t>lipca 2002 r. w sprawie zwalczania handlu ludźmi; art. 10 Arabskiej Karty Praw Człowieka (AKPC)</w:t>
      </w:r>
      <w:r w:rsidR="00802C80" w:rsidRPr="00076546">
        <w:rPr>
          <w:vertAlign w:val="superscript"/>
        </w:rPr>
        <w:footnoteReference w:id="23"/>
      </w:r>
      <w:r w:rsidR="00802C80" w:rsidRPr="00082846">
        <w:t>; art. 19 Konwencji Rady Europy z 2005 r. w sprawie działań przeciwko handlowi ludźmi („Konwencja o zwalczaniu handlu ludźmi”)</w:t>
      </w:r>
      <w:r w:rsidR="00802C80" w:rsidRPr="00076546">
        <w:rPr>
          <w:vertAlign w:val="superscript"/>
        </w:rPr>
        <w:footnoteReference w:id="24"/>
      </w:r>
      <w:r w:rsidR="00802C80" w:rsidRPr="00082846">
        <w:t>; art. 27 ust. 2 Konwencji z 2006 r. o prawach osób niepełnosprawnych (KoPON)</w:t>
      </w:r>
      <w:r w:rsidR="00802C80" w:rsidRPr="00076546">
        <w:rPr>
          <w:vertAlign w:val="superscript"/>
        </w:rPr>
        <w:footnoteReference w:id="25"/>
      </w:r>
      <w:r w:rsidR="00802C80" w:rsidRPr="00082846">
        <w:t>; art. 9 ust. 1 lit. d Konwencji Unii Afrykańskiej na rzecz ochrony i pomocy osobom przesiedlanym wewnętrznie w Afryce</w:t>
      </w:r>
      <w:r w:rsidR="00802C80" w:rsidRPr="00076546">
        <w:rPr>
          <w:vertAlign w:val="superscript"/>
        </w:rPr>
        <w:footnoteReference w:id="26"/>
      </w:r>
      <w:r w:rsidR="00802C80" w:rsidRPr="00082846">
        <w:t>; art. 3 ust. 2 li</w:t>
      </w:r>
      <w:r w:rsidR="0065635E">
        <w:t>t. b Konwencji MOP z 2011 r.</w:t>
      </w:r>
      <w:r w:rsidR="005F47D9">
        <w:t xml:space="preserve"> </w:t>
      </w:r>
      <w:r w:rsidR="0065635E">
        <w:t>w </w:t>
      </w:r>
      <w:r w:rsidR="00802C80" w:rsidRPr="00082846">
        <w:t>sprawie godziwej pracy dla pracowników domowych (nr 189)</w:t>
      </w:r>
      <w:r w:rsidR="00802C80" w:rsidRPr="00076546">
        <w:rPr>
          <w:vertAlign w:val="superscript"/>
        </w:rPr>
        <w:footnoteReference w:id="27"/>
      </w:r>
      <w:r w:rsidR="00802C80" w:rsidRPr="00082846">
        <w:t>; art. 2 Dyrektywy Parlamentu Europejskiego i Rady 2011/36/UE z dnia 5 kwietnia 2011 r. w sprawie zapobiegania handlowi ludźmi i zwalczania tego procederu oraz ochrony ofiar; art. 5 Konwencji Stowarzyszenia Narodów Azji Południowo-Wschodniej (ASEAN) z 2015 r. przeciwko handlowi ludźmi, zwłaszcza kobietami i dziećmi</w:t>
      </w:r>
      <w:r w:rsidR="00802C80" w:rsidRPr="00076546">
        <w:rPr>
          <w:vertAlign w:val="superscript"/>
        </w:rPr>
        <w:footnoteReference w:id="28"/>
      </w:r>
      <w:r w:rsidR="00802C80" w:rsidRPr="00082846">
        <w:t>.</w:t>
      </w:r>
    </w:p>
    <w:p w14:paraId="38ED90E8" w14:textId="77777777" w:rsidR="00802C80" w:rsidRPr="00082846" w:rsidRDefault="00802C80" w:rsidP="00802C80">
      <w:pPr>
        <w:pStyle w:val="OpiPara"/>
      </w:pPr>
      <w:r w:rsidRPr="00082846">
        <w:t xml:space="preserve">3. </w:t>
      </w:r>
      <w:r w:rsidR="004429C3">
        <w:t>Po raz pierwszy k</w:t>
      </w:r>
      <w:r w:rsidRPr="00082846">
        <w:t xml:space="preserve">westia pracy przymusowej </w:t>
      </w:r>
      <w:r w:rsidR="00704278" w:rsidRPr="00082846">
        <w:t>po</w:t>
      </w:r>
      <w:r w:rsidR="004429C3">
        <w:t>jawiła się</w:t>
      </w:r>
      <w:r w:rsidR="00704278" w:rsidRPr="00082846">
        <w:t xml:space="preserve"> </w:t>
      </w:r>
      <w:r w:rsidRPr="00082846">
        <w:t xml:space="preserve">na forum międzynarodowym przy okazji przyjęcia w 1920 r. Paktu Ligi Narodów wraz z przewidzianym w nim systemem administrowania terytoriami pozaeuropejskimi oderwanymi od </w:t>
      </w:r>
      <w:r w:rsidR="0065635E">
        <w:t>dawnych imperiów niemieckiego i </w:t>
      </w:r>
      <w:r w:rsidRPr="00082846">
        <w:t>ottomańskiego. W art. 23 Paktu Ligi Narodów z 1920 r. państwa członkowskie podjęły starania o zapew</w:t>
      </w:r>
      <w:r w:rsidR="0065635E">
        <w:t>nienie i utrzymanie uczciwych i </w:t>
      </w:r>
      <w:r w:rsidRPr="00082846">
        <w:t xml:space="preserve">humanitarnych warunków pracy dla mężczyzn, kobiet i dzieci </w:t>
      </w:r>
      <w:r w:rsidR="00FF6C71" w:rsidRPr="003D7F25">
        <w:t xml:space="preserve">tak </w:t>
      </w:r>
      <w:r w:rsidRPr="003D7F25">
        <w:t>we własnych jak i we wszystkich innych</w:t>
      </w:r>
      <w:r w:rsidR="00FF6C71" w:rsidRPr="003D7F25">
        <w:t xml:space="preserve"> krajach</w:t>
      </w:r>
      <w:r w:rsidRPr="003D7F25">
        <w:t xml:space="preserve">, do których sięgały ich relacje handlowe i przemysłowe, </w:t>
      </w:r>
      <w:r w:rsidR="00FF6C71" w:rsidRPr="003D7F25">
        <w:t xml:space="preserve">a </w:t>
      </w:r>
      <w:r w:rsidRPr="003D7F25">
        <w:t>w tym celu o ustanowienie i utrzymanie niezbędnych organizacji międzynarodowych. Zobowiązały się również do zapewnienia sprawiedliwego traktowania rdzennych mieszkańców terytoriów znajdujących się pod ich kontrolą. Powierzyły nadto Lidze Narodów ogólny nadzór nad wykonaniem umów dotyczących handlu kobietami i dziećmi. Do</w:t>
      </w:r>
      <w:r w:rsidRPr="0013325B">
        <w:t xml:space="preserve">datkowo warunki mandatu dla terytoriów klasy B </w:t>
      </w:r>
      <w:r w:rsidRPr="0013325B">
        <w:lastRenderedPageBreak/>
        <w:t>przewidywały zakaz „wszelkich form pracy przymusowej lub obowiązkowej, z wyjątkiem niezbędnych prac i usług publicznych i jedynie za adekwatnym wynagrodzeniem”</w:t>
      </w:r>
      <w:r w:rsidRPr="00076546">
        <w:rPr>
          <w:vertAlign w:val="superscript"/>
        </w:rPr>
        <w:footnoteReference w:id="29"/>
      </w:r>
      <w:r w:rsidRPr="00082846">
        <w:t>. Podobny zakaz zawarto w mandacie dla terytoriów klasy C.</w:t>
      </w:r>
    </w:p>
    <w:p w14:paraId="0CDCD639" w14:textId="6F06F793" w:rsidR="00802C80" w:rsidRPr="001C5F9D" w:rsidRDefault="00802C80" w:rsidP="00802C80">
      <w:pPr>
        <w:pStyle w:val="OpiPara"/>
      </w:pPr>
      <w:r w:rsidRPr="00082846">
        <w:t xml:space="preserve">4. W 1926 r. art. 1 Konwencji w sprawie niewolnictwa zdefiniował je jako: „stan czy położenie jednostki[,] względem której stosowane jest postępowanie w całości lub w części wynikające z prawa własności”. Koncepcja ta obejmowała posiadanie </w:t>
      </w:r>
      <w:r w:rsidRPr="00082846">
        <w:rPr>
          <w:i/>
        </w:rPr>
        <w:t xml:space="preserve">de </w:t>
      </w:r>
      <w:r w:rsidR="00B53436">
        <w:rPr>
          <w:i/>
        </w:rPr>
        <w:t>i</w:t>
      </w:r>
      <w:r w:rsidRPr="00082846">
        <w:rPr>
          <w:i/>
        </w:rPr>
        <w:t>ure</w:t>
      </w:r>
      <w:r w:rsidRPr="00082846">
        <w:t xml:space="preserve"> bądź wykonywanie </w:t>
      </w:r>
      <w:r w:rsidR="00FF6C71" w:rsidRPr="00076546">
        <w:rPr>
          <w:i/>
        </w:rPr>
        <w:t xml:space="preserve">de facto </w:t>
      </w:r>
      <w:r w:rsidRPr="00082846">
        <w:t>praw w stosunku do osoby, jakie wynikają z prawa własności</w:t>
      </w:r>
      <w:r w:rsidRPr="00076546">
        <w:rPr>
          <w:vertAlign w:val="superscript"/>
        </w:rPr>
        <w:footnoteReference w:id="30"/>
      </w:r>
      <w:r w:rsidRPr="00082846">
        <w:t xml:space="preserve">. </w:t>
      </w:r>
      <w:r w:rsidR="00FF6C71" w:rsidRPr="00082846">
        <w:t>W art</w:t>
      </w:r>
      <w:r w:rsidRPr="00082846">
        <w:t xml:space="preserve">. 5 </w:t>
      </w:r>
      <w:r w:rsidR="00FF6C71" w:rsidRPr="00082846">
        <w:t>zastrzeżono</w:t>
      </w:r>
      <w:r w:rsidRPr="00082846">
        <w:t xml:space="preserve">, że zastosowanie pracy przymusowej może nieść za sobą poważne konsekwencje. Z tego powodu Wysokie Układające się Strony zobowiązały się do podjęcia wszelkich niezbędnych kroków </w:t>
      </w:r>
      <w:r w:rsidR="00FF6C71" w:rsidRPr="00082846">
        <w:t xml:space="preserve">mających na celu </w:t>
      </w:r>
      <w:r w:rsidRPr="00082846">
        <w:t>zapobieżeni</w:t>
      </w:r>
      <w:r w:rsidR="00FF6C71" w:rsidRPr="00082846">
        <w:t>e</w:t>
      </w:r>
      <w:r w:rsidRPr="003D7F25">
        <w:t xml:space="preserve"> rozwojowi pracy przymusowej lub obowiązkowej</w:t>
      </w:r>
      <w:r w:rsidR="0065635E">
        <w:t xml:space="preserve"> w </w:t>
      </w:r>
      <w:r w:rsidRPr="003D7F25">
        <w:t xml:space="preserve">kierunku warunków analogicznych do niewolnictwa. Dopuszczono jednak pracę przymusową </w:t>
      </w:r>
      <w:r w:rsidR="00FF6C71" w:rsidRPr="003D7F25">
        <w:t xml:space="preserve">wykonywaną </w:t>
      </w:r>
      <w:r w:rsidRPr="003D7F25">
        <w:t xml:space="preserve">na cele publiczne. Na terytoriach, na których </w:t>
      </w:r>
      <w:r w:rsidR="00FF6C71" w:rsidRPr="003D7F25">
        <w:t>utrzymywała się jeszcze</w:t>
      </w:r>
      <w:r w:rsidRPr="003D7F25">
        <w:t xml:space="preserve"> praca przymusowa lub obowiązkowa, Wysokie Układające się Strony miały stopniowo w najkrótszym możliwym czasie położyć jej kres. </w:t>
      </w:r>
      <w:r w:rsidR="00FF6C71" w:rsidRPr="003D7F25">
        <w:t>Do tego czasu tego rodzaju praca</w:t>
      </w:r>
      <w:r w:rsidRPr="0013325B">
        <w:t xml:space="preserve"> miała </w:t>
      </w:r>
      <w:r w:rsidR="00FF6C71" w:rsidRPr="0013325B">
        <w:t xml:space="preserve">mieć </w:t>
      </w:r>
      <w:r w:rsidRPr="0013325B">
        <w:t>bez</w:t>
      </w:r>
      <w:r w:rsidR="00FF6C71" w:rsidRPr="0013325B">
        <w:t>względnie</w:t>
      </w:r>
      <w:r w:rsidRPr="0013325B">
        <w:t xml:space="preserve"> charakter jedynie wyjątkowy, </w:t>
      </w:r>
      <w:r w:rsidR="00FF6C71" w:rsidRPr="001C5F9D">
        <w:t>każdorazowo wiązać się z</w:t>
      </w:r>
      <w:r w:rsidR="007D1446">
        <w:t> </w:t>
      </w:r>
      <w:r w:rsidRPr="001C5F9D">
        <w:t>wypłat</w:t>
      </w:r>
      <w:r w:rsidR="00FF6C71" w:rsidRPr="001C5F9D">
        <w:t>ą</w:t>
      </w:r>
      <w:r w:rsidRPr="001C5F9D">
        <w:t xml:space="preserve"> adekwatnego wynagrodzenia, a nigdy </w:t>
      </w:r>
      <w:r w:rsidR="00FF6C71" w:rsidRPr="001C5F9D">
        <w:t xml:space="preserve">ze </w:t>
      </w:r>
      <w:r w:rsidRPr="001C5F9D">
        <w:t>zmian</w:t>
      </w:r>
      <w:r w:rsidR="00FF6C71" w:rsidRPr="001C5F9D">
        <w:t>ą</w:t>
      </w:r>
      <w:r w:rsidRPr="001C5F9D">
        <w:t xml:space="preserve"> zwykłego miejsca zamieszkania pracowników. W art. 6 Wysokie Układające się Strony zobowiązały się do podjęcia niezbędnych środków dla zapewnienia surowych kar za naruszeni</w:t>
      </w:r>
      <w:r w:rsidR="00FF6C71" w:rsidRPr="001C5F9D">
        <w:t>e</w:t>
      </w:r>
      <w:r w:rsidRPr="001C5F9D">
        <w:t xml:space="preserve"> przepisów wydanych dla </w:t>
      </w:r>
      <w:r w:rsidR="00FF6C71" w:rsidRPr="001C5F9D">
        <w:t xml:space="preserve">realizacji </w:t>
      </w:r>
      <w:r w:rsidRPr="001C5F9D">
        <w:t>celów Konwencji.</w:t>
      </w:r>
    </w:p>
    <w:p w14:paraId="0F12F631" w14:textId="4036CE9C" w:rsidR="00802C80" w:rsidRPr="00082846" w:rsidRDefault="00802C80" w:rsidP="00802C80">
      <w:pPr>
        <w:pStyle w:val="OpiPara"/>
      </w:pPr>
      <w:r w:rsidRPr="001C5F9D">
        <w:t xml:space="preserve">5. </w:t>
      </w:r>
      <w:r w:rsidRPr="001F0818">
        <w:t>Art</w:t>
      </w:r>
      <w:r w:rsidR="00B25512">
        <w:t>.</w:t>
      </w:r>
      <w:r w:rsidRPr="001F0818">
        <w:t xml:space="preserve"> 4 PDPC stanowi: „Nie wolno nikogo czynić niewolnikiem ani nakładać na nikogo służebności; niewolnictwo i handel niewolnikami są zakazane we wszystkich swych postaciach”</w:t>
      </w:r>
      <w:r w:rsidRPr="00076546">
        <w:rPr>
          <w:vertAlign w:val="superscript"/>
        </w:rPr>
        <w:footnoteReference w:id="31"/>
      </w:r>
      <w:r w:rsidRPr="00082846">
        <w:t xml:space="preserve">. </w:t>
      </w:r>
      <w:r w:rsidR="00FF6C71" w:rsidRPr="00082846">
        <w:t>W a</w:t>
      </w:r>
      <w:r w:rsidRPr="00082846">
        <w:t>rt. 23 ust. 1 uzna</w:t>
      </w:r>
      <w:r w:rsidR="00FF6C71" w:rsidRPr="00082846">
        <w:t>no</w:t>
      </w:r>
      <w:r w:rsidRPr="00082846">
        <w:t xml:space="preserve">, że: „Każdy człowiek ma prawo do pracy, do swobodnego wyboru pracy, do odpowiednich i zadowalających warunków pracy oraz do ochrony przed bezrobociem”. </w:t>
      </w:r>
      <w:r w:rsidR="00A45C5F" w:rsidRPr="00082846">
        <w:t>Nie odniesiono się w nim do p</w:t>
      </w:r>
      <w:r w:rsidRPr="00082846">
        <w:t>racy przymusowej, ponieważ uważano ją za objętą pojęciem poddaństwa</w:t>
      </w:r>
      <w:r w:rsidRPr="00076546">
        <w:rPr>
          <w:vertAlign w:val="superscript"/>
        </w:rPr>
        <w:footnoteReference w:id="32"/>
      </w:r>
      <w:r w:rsidRPr="00082846">
        <w:t>.</w:t>
      </w:r>
    </w:p>
    <w:p w14:paraId="657B7317" w14:textId="6AE0C4D0" w:rsidR="00802C80" w:rsidRPr="00082846" w:rsidRDefault="00802C80" w:rsidP="00802C80">
      <w:pPr>
        <w:pStyle w:val="OpiPara"/>
      </w:pPr>
      <w:r w:rsidRPr="00082846">
        <w:lastRenderedPageBreak/>
        <w:t xml:space="preserve">6. W 1956 r. Państwa-Strony Konwencji z 1926 r., która </w:t>
      </w:r>
      <w:r w:rsidR="00A45C5F" w:rsidRPr="00082846">
        <w:t xml:space="preserve">nadal </w:t>
      </w:r>
      <w:r w:rsidRPr="00082846">
        <w:t>pozosta</w:t>
      </w:r>
      <w:r w:rsidR="00A45C5F" w:rsidRPr="00082846">
        <w:t>wa</w:t>
      </w:r>
      <w:r w:rsidRPr="00082846">
        <w:t xml:space="preserve">ła w mocy, </w:t>
      </w:r>
      <w:r w:rsidR="00A45C5F" w:rsidRPr="00082846">
        <w:t>postanowiły</w:t>
      </w:r>
      <w:r w:rsidRPr="00082846">
        <w:t xml:space="preserve">, że należy ją </w:t>
      </w:r>
      <w:r w:rsidR="00A45C5F" w:rsidRPr="003D7F25">
        <w:t xml:space="preserve">rozszerzyć przez </w:t>
      </w:r>
      <w:r w:rsidR="00C37459">
        <w:t xml:space="preserve">przyjęcie </w:t>
      </w:r>
      <w:r w:rsidRPr="003D7F25">
        <w:t xml:space="preserve">konwencji </w:t>
      </w:r>
      <w:r w:rsidR="00A45C5F" w:rsidRPr="003D7F25">
        <w:t>uzupełniającej zmierzającej do</w:t>
      </w:r>
      <w:r w:rsidRPr="003D7F25">
        <w:t xml:space="preserve"> </w:t>
      </w:r>
      <w:r w:rsidR="00A45C5F" w:rsidRPr="0013325B">
        <w:t xml:space="preserve">wzmożenia zarówno </w:t>
      </w:r>
      <w:r w:rsidRPr="0013325B">
        <w:t xml:space="preserve">krajowych </w:t>
      </w:r>
      <w:r w:rsidR="00A45C5F" w:rsidRPr="0013325B">
        <w:t xml:space="preserve">jak </w:t>
      </w:r>
      <w:r w:rsidRPr="0013325B">
        <w:t xml:space="preserve">i międzynarodowych </w:t>
      </w:r>
      <w:r w:rsidR="00A45C5F" w:rsidRPr="0013325B">
        <w:t>wysiłków w kierunku</w:t>
      </w:r>
      <w:r w:rsidRPr="001C5F9D">
        <w:t xml:space="preserve"> zniesieni</w:t>
      </w:r>
      <w:r w:rsidR="00A45C5F" w:rsidRPr="001C5F9D">
        <w:t>a</w:t>
      </w:r>
      <w:r w:rsidRPr="001C5F9D">
        <w:t xml:space="preserve"> niewolnictwa, handlu ludźmi oraz instytucji i praktyk </w:t>
      </w:r>
      <w:r w:rsidR="00A45C5F" w:rsidRPr="001C5F9D">
        <w:t xml:space="preserve">zbliżonych </w:t>
      </w:r>
      <w:r w:rsidRPr="001C5F9D">
        <w:t xml:space="preserve">do niewolnictwa. Art. 1 Uzupełniającej konwencji w sprawie zniesienia niewolnictwa, handlu niewolnikami oraz instytucji i praktyk zbliżonych do niewolnictwa z 1956 r. nałożył </w:t>
      </w:r>
      <w:r w:rsidR="00A45C5F" w:rsidRPr="001C5F9D">
        <w:t>obowiązek</w:t>
      </w:r>
      <w:r w:rsidRPr="001C5F9D">
        <w:t xml:space="preserve"> podjęcia („podejmie”) wszelkich możliwych i</w:t>
      </w:r>
      <w:r w:rsidR="007D1446">
        <w:t> </w:t>
      </w:r>
      <w:r w:rsidRPr="001C5F9D">
        <w:t>potrzebnych kroków, tak ustawodawczych, jak i innych, „by doprowadzić stopniowo i w jak najkrótszym czasie do całkowitego zniesienia lub uchylenia następujących instytucji i praktyk wszędzie ta</w:t>
      </w:r>
      <w:r w:rsidR="00C37459">
        <w:t>m</w:t>
      </w:r>
      <w:r w:rsidRPr="001C5F9D">
        <w:t>, gdzie one jeszcze istnieją”</w:t>
      </w:r>
      <w:r w:rsidRPr="00076546">
        <w:rPr>
          <w:vertAlign w:val="superscript"/>
        </w:rPr>
        <w:footnoteReference w:id="33"/>
      </w:r>
      <w:r w:rsidRPr="00082846">
        <w:t>: niewoli za długi</w:t>
      </w:r>
      <w:r w:rsidRPr="00076546">
        <w:rPr>
          <w:vertAlign w:val="superscript"/>
        </w:rPr>
        <w:footnoteReference w:id="34"/>
      </w:r>
      <w:r w:rsidRPr="00082846">
        <w:t>, pańszczyzny, służebnych form małżeństwa, sprzedaży bądź adopcji dziecka w celu wyzysku. Te zbliżone do niewolnictwa praktyki stanowią różne formy poddaństwa</w:t>
      </w:r>
      <w:r w:rsidRPr="00076546">
        <w:rPr>
          <w:vertAlign w:val="superscript"/>
        </w:rPr>
        <w:footnoteReference w:id="35"/>
      </w:r>
      <w:r w:rsidRPr="00082846">
        <w:t>. Art. 3 i 6 przewidują zobowiązanie do krymi</w:t>
      </w:r>
      <w:r w:rsidR="007D1446">
        <w:t>nalizacji handlu niewolnikami i </w:t>
      </w:r>
      <w:r w:rsidRPr="00082846">
        <w:t xml:space="preserve">niewolnictwa, co obejmuje „usiłowanie popełnienia tych czynów, jak również współudział w nich, albo uczestniczenie w spisku, zmierzającym do popełnienia jakiegokolwiek z tych czynów”. </w:t>
      </w:r>
      <w:r w:rsidR="000357E4" w:rsidRPr="00082846">
        <w:t>W a</w:t>
      </w:r>
      <w:r w:rsidRPr="00082846">
        <w:t xml:space="preserve">rt. 7 </w:t>
      </w:r>
      <w:r w:rsidR="000357E4" w:rsidRPr="00082846">
        <w:t xml:space="preserve">zdefiniowano </w:t>
      </w:r>
      <w:r w:rsidRPr="00082846">
        <w:t>niewolnictwo, stan poddaństwa i handel niewolnikami.</w:t>
      </w:r>
    </w:p>
    <w:p w14:paraId="4BFB2986" w14:textId="3EA3B198" w:rsidR="00802C80" w:rsidRPr="00082846" w:rsidRDefault="00802C80" w:rsidP="00802C80">
      <w:pPr>
        <w:pStyle w:val="OpiPara"/>
      </w:pPr>
      <w:r w:rsidRPr="00082846">
        <w:t xml:space="preserve">7. </w:t>
      </w:r>
      <w:r w:rsidR="000357E4" w:rsidRPr="00082846">
        <w:t>W a</w:t>
      </w:r>
      <w:r w:rsidRPr="003D7F25">
        <w:t xml:space="preserve">rt. 8 MPPOiP </w:t>
      </w:r>
      <w:r w:rsidR="000357E4" w:rsidRPr="003D7F25">
        <w:t xml:space="preserve">ustanowiono zakaz </w:t>
      </w:r>
      <w:r w:rsidRPr="003D7F25">
        <w:t>niewolnictwa, handlu niewolnikami, poddaństwa i pracy przymusowej lub obowiązkowej</w:t>
      </w:r>
      <w:r w:rsidRPr="00076546">
        <w:rPr>
          <w:vertAlign w:val="superscript"/>
        </w:rPr>
        <w:footnoteReference w:id="36"/>
      </w:r>
      <w:r w:rsidRPr="00082846">
        <w:t xml:space="preserve">. </w:t>
      </w:r>
      <w:r w:rsidR="000357E4" w:rsidRPr="00082846">
        <w:t>Odmiennie niż w</w:t>
      </w:r>
      <w:r w:rsidRPr="00082846">
        <w:t xml:space="preserve"> przypadku PDPC autorzy MPPOiP </w:t>
      </w:r>
      <w:r w:rsidR="000357E4" w:rsidRPr="00082846">
        <w:t xml:space="preserve">uznali </w:t>
      </w:r>
      <w:r w:rsidR="007D1446">
        <w:t>niewolnictwo i </w:t>
      </w:r>
      <w:r w:rsidRPr="00082846">
        <w:t xml:space="preserve">poddaństwo za dwa różne pojęcia, którym </w:t>
      </w:r>
      <w:r w:rsidR="000357E4" w:rsidRPr="00082846">
        <w:t xml:space="preserve">z tego względu </w:t>
      </w:r>
      <w:r w:rsidRPr="00082846">
        <w:t>należało poświęcić odrębne ustępy</w:t>
      </w:r>
      <w:r w:rsidRPr="00076546">
        <w:rPr>
          <w:vertAlign w:val="superscript"/>
        </w:rPr>
        <w:footnoteReference w:id="37"/>
      </w:r>
      <w:r w:rsidRPr="00082846">
        <w:t xml:space="preserve">. Zakaz nie wykluczał, w krajach przewidujących </w:t>
      </w:r>
      <w:r w:rsidR="000357E4" w:rsidRPr="00082846">
        <w:t xml:space="preserve">pozbawienie wolności z obowiązkiem wykonywania </w:t>
      </w:r>
      <w:r w:rsidRPr="00082846">
        <w:t>ciężki</w:t>
      </w:r>
      <w:r w:rsidR="000357E4" w:rsidRPr="00082846">
        <w:t>ch</w:t>
      </w:r>
      <w:r w:rsidRPr="00082846">
        <w:t xml:space="preserve"> </w:t>
      </w:r>
      <w:r w:rsidR="000357E4" w:rsidRPr="00082846">
        <w:t xml:space="preserve">robót </w:t>
      </w:r>
      <w:r w:rsidRPr="00082846">
        <w:t xml:space="preserve">jako karę za przestępstwo, </w:t>
      </w:r>
      <w:r w:rsidR="000357E4" w:rsidRPr="00082846">
        <w:t xml:space="preserve">możliwości </w:t>
      </w:r>
      <w:r w:rsidRPr="00082846">
        <w:t xml:space="preserve">wykonywanie </w:t>
      </w:r>
      <w:r w:rsidR="000357E4" w:rsidRPr="003D7F25">
        <w:t xml:space="preserve">takich robót </w:t>
      </w:r>
      <w:r w:rsidRPr="003D7F25">
        <w:t xml:space="preserve">na podstawie wyroku skazującego </w:t>
      </w:r>
      <w:r w:rsidR="000357E4" w:rsidRPr="003D7F25">
        <w:t>wydanego przez właściwy sąd</w:t>
      </w:r>
      <w:r w:rsidRPr="00076546">
        <w:rPr>
          <w:vertAlign w:val="superscript"/>
        </w:rPr>
        <w:footnoteReference w:id="38"/>
      </w:r>
      <w:r w:rsidR="007D1446">
        <w:t>. Z </w:t>
      </w:r>
      <w:r w:rsidRPr="00082846">
        <w:t>zakresu zakazu wyłączon</w:t>
      </w:r>
      <w:r w:rsidR="006F560A" w:rsidRPr="00082846">
        <w:t>o</w:t>
      </w:r>
      <w:r w:rsidRPr="00082846">
        <w:t xml:space="preserve"> ponadto inne formy pracy i usług</w:t>
      </w:r>
      <w:r w:rsidRPr="00076546">
        <w:rPr>
          <w:vertAlign w:val="superscript"/>
        </w:rPr>
        <w:footnoteReference w:id="39"/>
      </w:r>
      <w:r w:rsidRPr="00082846">
        <w:t xml:space="preserve">. Art. 4 ust. </w:t>
      </w:r>
      <w:r w:rsidRPr="00082846">
        <w:lastRenderedPageBreak/>
        <w:t xml:space="preserve">2 wyłączył jakąkolwiek </w:t>
      </w:r>
      <w:r w:rsidR="00C37459">
        <w:t xml:space="preserve">możliwość </w:t>
      </w:r>
      <w:r w:rsidR="00C37459" w:rsidRPr="00C37459">
        <w:t xml:space="preserve">zawieszenia stosowania </w:t>
      </w:r>
      <w:r w:rsidR="00C37459">
        <w:t xml:space="preserve">zobowiązań wynikających </w:t>
      </w:r>
      <w:r w:rsidR="00C37459" w:rsidRPr="00C37459">
        <w:t xml:space="preserve">postanowień </w:t>
      </w:r>
      <w:r w:rsidR="00C37459">
        <w:t xml:space="preserve">dotyczących </w:t>
      </w:r>
      <w:r w:rsidRPr="00082846">
        <w:t>zakazu niew</w:t>
      </w:r>
      <w:r w:rsidR="007D1446">
        <w:t>olnictwa, handlu niewolnikami i </w:t>
      </w:r>
      <w:r w:rsidRPr="00082846">
        <w:t>poddaństwa</w:t>
      </w:r>
      <w:r w:rsidRPr="00076546">
        <w:rPr>
          <w:vertAlign w:val="superscript"/>
        </w:rPr>
        <w:footnoteReference w:id="40"/>
      </w:r>
      <w:r w:rsidRPr="00082846">
        <w:t xml:space="preserve">. Komitet Praw Człowieka ONZ </w:t>
      </w:r>
      <w:r w:rsidR="006F560A" w:rsidRPr="00082846">
        <w:t>dokonał wykładni tego</w:t>
      </w:r>
      <w:r w:rsidRPr="00082846">
        <w:t xml:space="preserve"> postanowieni</w:t>
      </w:r>
      <w:r w:rsidR="006F560A" w:rsidRPr="00082846">
        <w:t>a</w:t>
      </w:r>
      <w:r w:rsidRPr="00082846">
        <w:t xml:space="preserve"> w </w:t>
      </w:r>
      <w:r w:rsidR="006F560A" w:rsidRPr="00082846">
        <w:t xml:space="preserve">świetle </w:t>
      </w:r>
      <w:r w:rsidRPr="00082846">
        <w:t xml:space="preserve">niedawnej kodyfikacji zbrodni przeciwko ludzkości w </w:t>
      </w:r>
      <w:r w:rsidR="00C37459" w:rsidRPr="00082846">
        <w:t>Statucie Rzymskim</w:t>
      </w:r>
      <w:r w:rsidRPr="00082846">
        <w:t xml:space="preserve">, przypisując </w:t>
      </w:r>
      <w:r w:rsidR="006F560A" w:rsidRPr="003D7F25">
        <w:t>nieder</w:t>
      </w:r>
      <w:r w:rsidR="00C37459">
        <w:t>o</w:t>
      </w:r>
      <w:r w:rsidR="006F560A" w:rsidRPr="003D7F25">
        <w:t xml:space="preserve">gowalny charakter </w:t>
      </w:r>
      <w:r w:rsidRPr="003D7F25">
        <w:t xml:space="preserve">zakazowi </w:t>
      </w:r>
      <w:r w:rsidR="00C37459">
        <w:t>czynów karalnych</w:t>
      </w:r>
      <w:r w:rsidR="006F560A" w:rsidRPr="003D7F25">
        <w:t xml:space="preserve"> </w:t>
      </w:r>
      <w:r w:rsidRPr="003D7F25">
        <w:t xml:space="preserve">na </w:t>
      </w:r>
      <w:r w:rsidR="006F560A" w:rsidRPr="003D7F25">
        <w:t xml:space="preserve">gruncie </w:t>
      </w:r>
      <w:r w:rsidR="00C37459" w:rsidRPr="003D7F25">
        <w:t xml:space="preserve">Statutu Rzymskiego </w:t>
      </w:r>
      <w:r w:rsidRPr="003D7F25">
        <w:t>jako zbrodnie przeciwko ludzkości, co obejmuje pracę przymusową jako formę zniewolenia</w:t>
      </w:r>
      <w:r w:rsidRPr="00076546">
        <w:rPr>
          <w:vertAlign w:val="superscript"/>
        </w:rPr>
        <w:footnoteReference w:id="41"/>
      </w:r>
      <w:r w:rsidRPr="00082846">
        <w:t>.</w:t>
      </w:r>
    </w:p>
    <w:p w14:paraId="7D74D04B" w14:textId="7787239C" w:rsidR="00802C80" w:rsidRPr="003D7F25" w:rsidRDefault="00802C80" w:rsidP="00802C80">
      <w:pPr>
        <w:pStyle w:val="OpiPara"/>
      </w:pPr>
      <w:r w:rsidRPr="00082846">
        <w:t>8. Art</w:t>
      </w:r>
      <w:r w:rsidR="00B25512">
        <w:t>.</w:t>
      </w:r>
      <w:r w:rsidRPr="00082846">
        <w:t xml:space="preserve"> 11 KoPD zobowiązał Układające się Strony do podjęcia środków zwalczających nielegalny transfer dzieci oraz ich nielegalny wywóz za granicę</w:t>
      </w:r>
      <w:r w:rsidRPr="00076546">
        <w:rPr>
          <w:vertAlign w:val="superscript"/>
        </w:rPr>
        <w:footnoteReference w:id="42"/>
      </w:r>
      <w:r w:rsidRPr="00082846">
        <w:t xml:space="preserve">. </w:t>
      </w:r>
      <w:r w:rsidR="006F560A" w:rsidRPr="00082846">
        <w:t>W a</w:t>
      </w:r>
      <w:r w:rsidRPr="00082846">
        <w:t xml:space="preserve">rt. 32 </w:t>
      </w:r>
      <w:r w:rsidR="006F560A" w:rsidRPr="00082846">
        <w:t xml:space="preserve">uznano </w:t>
      </w:r>
      <w:r w:rsidRPr="00082846">
        <w:t>„prawo dziecka do ochrony przed wyzyskiem ekonomicznym, przed wykonywaniem pracy, która może być niebezpieczna lub też może kolidować z kształceniem dziecka, bądź może być szkodliwa dla zdrowia dziecka lub jego rozwoju fizycznego, umysłowego, duchowego, moralnego lub społecznego”. Strony zobowiązały się podjąć „kroki ustawodawcze, administ</w:t>
      </w:r>
      <w:r w:rsidR="007D1446">
        <w:t>racyjne, socjalne oraz środki w </w:t>
      </w:r>
      <w:r w:rsidRPr="00082846">
        <w:t>dziedzinie oświaty dla zapewnienia” (…) wieku minimalnego dla podjęcia pracy, stosownej regulacji „wymiaru czasowego oraz warunków zatrudnienia” oraz stosownych kar i innych sankcji „dla zapewnienia skutecznego stosowania” tych zasad. Art. 34 poświęcon</w:t>
      </w:r>
      <w:r w:rsidR="006F560A" w:rsidRPr="003D7F25">
        <w:t>o</w:t>
      </w:r>
      <w:r w:rsidRPr="003D7F25">
        <w:t xml:space="preserve"> ochronie dzieci przed wszelkimi formami wykorzystania i nadużycia seksualnego, art. 35 — zapobieganiu </w:t>
      </w:r>
      <w:r w:rsidR="007D04F4">
        <w:t>uprowadzeniom,</w:t>
      </w:r>
      <w:r w:rsidRPr="003D7F25">
        <w:t xml:space="preserve"> sprzedaży </w:t>
      </w:r>
      <w:r w:rsidR="007D04F4">
        <w:t>bądź handlowi dziećmi dokonywanym dla jakichkolwiek celów i w jakiejkolwiek formie</w:t>
      </w:r>
      <w:r w:rsidRPr="003D7F25">
        <w:t>, zaś art. 36 — ochronie dzieci przed „wszelkimi innymi formami wyzysku, w jakimkolwiek aspekcie naruszającymi dobro dziecka”.</w:t>
      </w:r>
    </w:p>
    <w:p w14:paraId="0567CC8E" w14:textId="6591EE54" w:rsidR="00802C80" w:rsidRPr="00082846" w:rsidRDefault="00802C80" w:rsidP="00802C80">
      <w:pPr>
        <w:pStyle w:val="OpiPara"/>
      </w:pPr>
      <w:r w:rsidRPr="003D7F25">
        <w:t xml:space="preserve">Ramy te uzupełnił Protokół fakultatywny, zakazując sprzedaży dzieci, prostytucji dzieci i pornografii dziecięcej oraz nakładając na Państwa-Strony obowiązek kryminalizacji </w:t>
      </w:r>
      <w:r w:rsidR="006F560A" w:rsidRPr="003D7F25">
        <w:t>tego rodzaju czynów</w:t>
      </w:r>
      <w:r w:rsidRPr="003D7F25">
        <w:t xml:space="preserve">, niezależnie od tego, czy popełniono </w:t>
      </w:r>
      <w:r w:rsidR="004429C3">
        <w:t xml:space="preserve">je </w:t>
      </w:r>
      <w:r w:rsidR="006F560A" w:rsidRPr="0013325B">
        <w:t xml:space="preserve">na </w:t>
      </w:r>
      <w:r w:rsidRPr="0013325B">
        <w:t xml:space="preserve">terytorium państwa, czy </w:t>
      </w:r>
      <w:r w:rsidR="006F560A" w:rsidRPr="0013325B">
        <w:t xml:space="preserve">poza jego </w:t>
      </w:r>
      <w:r w:rsidRPr="0013325B">
        <w:t>granic</w:t>
      </w:r>
      <w:r w:rsidR="006F560A" w:rsidRPr="0013325B">
        <w:t>ami</w:t>
      </w:r>
      <w:r w:rsidR="002A7794">
        <w:t>, w </w:t>
      </w:r>
      <w:r w:rsidRPr="0013325B">
        <w:t xml:space="preserve">sposób zorganizowany czy indywidualnie. </w:t>
      </w:r>
      <w:r w:rsidR="00733A10">
        <w:t>Handel dziećmi</w:t>
      </w:r>
      <w:r w:rsidRPr="0013325B">
        <w:t xml:space="preserve"> </w:t>
      </w:r>
      <w:r w:rsidR="006F560A" w:rsidRPr="001C5F9D">
        <w:t xml:space="preserve">polega na </w:t>
      </w:r>
      <w:r w:rsidR="00733A10">
        <w:t xml:space="preserve">jakimkolwiek działaniu lub </w:t>
      </w:r>
      <w:r w:rsidRPr="001C5F9D">
        <w:t>transakcj</w:t>
      </w:r>
      <w:r w:rsidR="007117C3" w:rsidRPr="001C5F9D">
        <w:t>i</w:t>
      </w:r>
      <w:r w:rsidRPr="001C5F9D">
        <w:t xml:space="preserve">, </w:t>
      </w:r>
      <w:r w:rsidR="007117C3" w:rsidRPr="001C5F9D">
        <w:t>w</w:t>
      </w:r>
      <w:r w:rsidR="00733A10">
        <w:t xml:space="preserve"> drodze</w:t>
      </w:r>
      <w:r w:rsidR="007117C3" w:rsidRPr="001C5F9D">
        <w:t xml:space="preserve"> </w:t>
      </w:r>
      <w:r w:rsidRPr="001C5F9D">
        <w:t xml:space="preserve">której dziecko </w:t>
      </w:r>
      <w:r w:rsidR="00733A10">
        <w:t xml:space="preserve">przekazywane jest </w:t>
      </w:r>
      <w:r w:rsidRPr="001C5F9D">
        <w:t xml:space="preserve">przez </w:t>
      </w:r>
      <w:r w:rsidR="00733A10">
        <w:t xml:space="preserve">jakąkolwiek osobę lub grupę </w:t>
      </w:r>
      <w:r w:rsidRPr="001C5F9D">
        <w:t xml:space="preserve">osób innej </w:t>
      </w:r>
      <w:r w:rsidR="00733A10">
        <w:t xml:space="preserve">osobie lub grupie </w:t>
      </w:r>
      <w:r w:rsidRPr="001C5F9D">
        <w:t xml:space="preserve">za wynagrodzeniem </w:t>
      </w:r>
      <w:r w:rsidR="00733A10">
        <w:t>lub jakąkolwiek inną rekompensatą</w:t>
      </w:r>
      <w:r w:rsidRPr="001C5F9D">
        <w:t xml:space="preserve">. Międzynarodowe komercyjne macierzyństwo zastępcze z zamiarem </w:t>
      </w:r>
      <w:r w:rsidRPr="001C5F9D">
        <w:lastRenderedPageBreak/>
        <w:t xml:space="preserve">wykorzystania również </w:t>
      </w:r>
      <w:r w:rsidR="007117C3" w:rsidRPr="001F0818">
        <w:t>wpisuje się w</w:t>
      </w:r>
      <w:r w:rsidR="002A7794">
        <w:t> </w:t>
      </w:r>
      <w:r w:rsidRPr="001F0818">
        <w:t>międzynarodową definicję legalną sprzedaży dzieci</w:t>
      </w:r>
      <w:r w:rsidRPr="00076546">
        <w:rPr>
          <w:vertAlign w:val="superscript"/>
        </w:rPr>
        <w:footnoteReference w:id="43"/>
      </w:r>
      <w:r w:rsidRPr="00082846">
        <w:t>.</w:t>
      </w:r>
    </w:p>
    <w:p w14:paraId="7A1F0813" w14:textId="4A306C7C" w:rsidR="00802C80" w:rsidRPr="003D7F25" w:rsidRDefault="007117C3" w:rsidP="00802C80">
      <w:pPr>
        <w:pStyle w:val="OpiPara"/>
      </w:pPr>
      <w:r w:rsidRPr="00082846">
        <w:t>Wreszcie</w:t>
      </w:r>
      <w:r w:rsidR="00802C80" w:rsidRPr="00082846">
        <w:t xml:space="preserve"> w art. 27 ust. 2 KoPON Państwa-Strony zobowiązały się do zapewnienia, aby osoby niepełnosprawne nie były </w:t>
      </w:r>
      <w:r w:rsidR="005E6313">
        <w:t>u</w:t>
      </w:r>
      <w:r w:rsidR="00802C80" w:rsidRPr="00082846">
        <w:t>trzym</w:t>
      </w:r>
      <w:r w:rsidR="005E6313">
        <w:t>yw</w:t>
      </w:r>
      <w:r w:rsidR="00802C80" w:rsidRPr="00082846">
        <w:t xml:space="preserve">ane w </w:t>
      </w:r>
      <w:r w:rsidR="005E6313">
        <w:t>stanie niewolnictwa lub poddaństwa</w:t>
      </w:r>
      <w:r w:rsidR="00802C80" w:rsidRPr="00082846">
        <w:t xml:space="preserve">, a były </w:t>
      </w:r>
      <w:r w:rsidRPr="00082846">
        <w:t>chronione</w:t>
      </w:r>
      <w:r w:rsidR="005E6313">
        <w:t xml:space="preserve">, na zasadzie równości z innymi osobami, </w:t>
      </w:r>
      <w:r w:rsidR="00802C80" w:rsidRPr="00082846">
        <w:t>przed pracą przymusową lub obowiązkową.</w:t>
      </w:r>
    </w:p>
    <w:p w14:paraId="1385AC5A" w14:textId="3EBEBE84" w:rsidR="00802C80" w:rsidRPr="003D7F25" w:rsidRDefault="00802C80" w:rsidP="00802C80">
      <w:pPr>
        <w:pStyle w:val="OpiH1"/>
      </w:pPr>
      <w:bookmarkStart w:id="8" w:name="_Toc535852141"/>
      <w:r w:rsidRPr="003D7F25">
        <w:t>B.</w:t>
      </w:r>
      <w:r w:rsidR="005F47D9">
        <w:t xml:space="preserve"> </w:t>
      </w:r>
      <w:r w:rsidRPr="003D7F25">
        <w:t>Międzynarodowe prawo pracy (paragrafy 9-13)</w:t>
      </w:r>
      <w:bookmarkEnd w:id="8"/>
    </w:p>
    <w:p w14:paraId="0A31BE4F" w14:textId="281FAF76" w:rsidR="00802C80" w:rsidRPr="00082846" w:rsidRDefault="00802C80" w:rsidP="00802C80">
      <w:pPr>
        <w:pStyle w:val="OpiPara"/>
      </w:pPr>
      <w:r w:rsidRPr="003D7F25">
        <w:t>9. Formą wykorzystania (wyzysku) będącą szczególnym obszarem zainteresowania MOP jest praca przymusowa. Kluczowymi aktami MOP mającymi na celu zakazanie i wye</w:t>
      </w:r>
      <w:r w:rsidR="002A7794">
        <w:t>liminowanie pracy przymusowej i </w:t>
      </w:r>
      <w:r w:rsidRPr="003D7F25">
        <w:t xml:space="preserve">obowiązkowej są Konwencje nr 29 i 105. Stosownie do Deklaracji MOP dotyczącej podstawowych zasad i praw pracy z 1998 r. „wszyscy Członkowie, nawet jeśli nie ratyfikowali omawianych konwencji, mają (…) obowiązek poszanowania, promowania oraz realizacji” zasady „likwidacji wszelkich form pracy przymusowej lub obowiązkowej” oraz „skutecznej likwidacji pracy dzieci”. Prawo do niepodlegania pracy przymusowej lub obowiązkowej bądź pracy dzieci </w:t>
      </w:r>
      <w:r w:rsidR="007117C3" w:rsidRPr="0013325B">
        <w:t>przysługuje</w:t>
      </w:r>
      <w:r w:rsidRPr="0013325B">
        <w:t xml:space="preserve"> </w:t>
      </w:r>
      <w:r w:rsidR="007117C3" w:rsidRPr="0013325B">
        <w:t xml:space="preserve">wszystkim osobom </w:t>
      </w:r>
      <w:r w:rsidRPr="001C5F9D">
        <w:t>we wszystkich państwach, szczególnie zaś grup</w:t>
      </w:r>
      <w:r w:rsidR="00D773D6">
        <w:t>om</w:t>
      </w:r>
      <w:r w:rsidRPr="001C5F9D">
        <w:t xml:space="preserve"> o specjalnych potrzebach, taki</w:t>
      </w:r>
      <w:r w:rsidR="00D773D6">
        <w:t>m</w:t>
      </w:r>
      <w:r w:rsidRPr="001C5F9D">
        <w:t xml:space="preserve"> jak bezrobotni i pracownicy migrujący</w:t>
      </w:r>
      <w:r w:rsidRPr="00076546">
        <w:rPr>
          <w:vertAlign w:val="superscript"/>
        </w:rPr>
        <w:footnoteReference w:id="44"/>
      </w:r>
      <w:r w:rsidRPr="00082846">
        <w:t>.</w:t>
      </w:r>
    </w:p>
    <w:p w14:paraId="315E865C" w14:textId="5B5156A5" w:rsidR="00802C80" w:rsidRPr="00082846" w:rsidRDefault="00802C80" w:rsidP="00802C80">
      <w:pPr>
        <w:pStyle w:val="OpiPara"/>
      </w:pPr>
      <w:r w:rsidRPr="00082846">
        <w:t>Art</w:t>
      </w:r>
      <w:r w:rsidR="00B25512">
        <w:t>.</w:t>
      </w:r>
      <w:r w:rsidRPr="00082846">
        <w:t xml:space="preserve"> 2 Konwencji MOP dotyczącej pracy przymusowej lub obowiązkowej </w:t>
      </w:r>
      <w:r w:rsidR="007117C3" w:rsidRPr="00082846">
        <w:t>definiuje</w:t>
      </w:r>
      <w:r w:rsidRPr="00082846">
        <w:t xml:space="preserve"> </w:t>
      </w:r>
      <w:r w:rsidR="007117C3" w:rsidRPr="00082846">
        <w:t>tego rodzaju pracę jako</w:t>
      </w:r>
      <w:r w:rsidRPr="00082846">
        <w:t>: „wszelką pracę lub usługi wymagane od jakiejś osoby pod groźbą jakiejkolwiek kary i do których dana osoba nie zgłosiła się dobrowolnie”. Pewne formy pracy został</w:t>
      </w:r>
      <w:r w:rsidR="007117C3" w:rsidRPr="00082846">
        <w:t>y wyłączone</w:t>
      </w:r>
      <w:r w:rsidRPr="00082846">
        <w:t xml:space="preserve"> </w:t>
      </w:r>
      <w:r w:rsidR="007117C3" w:rsidRPr="003D7F25">
        <w:t>z pojęcia</w:t>
      </w:r>
      <w:r w:rsidRPr="003D7F25">
        <w:t xml:space="preserve"> „praca przymusowa”. </w:t>
      </w:r>
      <w:r w:rsidR="007117C3" w:rsidRPr="003D7F25">
        <w:t>W art</w:t>
      </w:r>
      <w:r w:rsidRPr="003D7F25">
        <w:t xml:space="preserve">. 20 i 21 </w:t>
      </w:r>
      <w:r w:rsidR="007117C3" w:rsidRPr="003D7F25">
        <w:t>zawarto bezwzględny zakaz</w:t>
      </w:r>
      <w:r w:rsidR="007117C3" w:rsidRPr="0013325B">
        <w:t xml:space="preserve"> stosowania </w:t>
      </w:r>
      <w:r w:rsidRPr="0013325B">
        <w:t>prac</w:t>
      </w:r>
      <w:r w:rsidR="007117C3" w:rsidRPr="0013325B">
        <w:t>y</w:t>
      </w:r>
      <w:r w:rsidRPr="0013325B">
        <w:t xml:space="preserve"> przymusow</w:t>
      </w:r>
      <w:r w:rsidR="007117C3" w:rsidRPr="0013325B">
        <w:t>ej</w:t>
      </w:r>
      <w:r w:rsidRPr="001C5F9D">
        <w:t xml:space="preserve"> jako form</w:t>
      </w:r>
      <w:r w:rsidR="00D773D6">
        <w:t>y</w:t>
      </w:r>
      <w:r w:rsidRPr="001C5F9D">
        <w:t xml:space="preserve"> kary zbiorowej i prac</w:t>
      </w:r>
      <w:r w:rsidR="00D773D6">
        <w:t>y</w:t>
      </w:r>
      <w:r w:rsidRPr="001C5F9D">
        <w:t xml:space="preserve"> przymusow</w:t>
      </w:r>
      <w:r w:rsidR="00D773D6">
        <w:t>ej</w:t>
      </w:r>
      <w:r w:rsidRPr="001C5F9D">
        <w:t xml:space="preserve"> w kopalniach podziemnych. Art. 25 sformułował obowiązek kryminalizacji nielegalnego </w:t>
      </w:r>
      <w:r w:rsidR="00FD7D48" w:rsidRPr="001C5F9D">
        <w:t xml:space="preserve">zmuszania do </w:t>
      </w:r>
      <w:r w:rsidRPr="001C5F9D">
        <w:t>pracy przymusowej lub obowiązkowej</w:t>
      </w:r>
      <w:r w:rsidRPr="00076546">
        <w:rPr>
          <w:vertAlign w:val="superscript"/>
        </w:rPr>
        <w:footnoteReference w:id="45"/>
      </w:r>
      <w:r w:rsidRPr="00082846">
        <w:t>.</w:t>
      </w:r>
    </w:p>
    <w:p w14:paraId="125550F7" w14:textId="6F64D26B" w:rsidR="00802C80" w:rsidRPr="00082846" w:rsidRDefault="00FD7D48" w:rsidP="00802C80">
      <w:pPr>
        <w:pStyle w:val="OpiPara"/>
      </w:pPr>
      <w:r w:rsidRPr="00082846">
        <w:t xml:space="preserve">O </w:t>
      </w:r>
      <w:r w:rsidR="00802C80" w:rsidRPr="00082846">
        <w:t xml:space="preserve">pracy przymusowej </w:t>
      </w:r>
      <w:r w:rsidRPr="00082846">
        <w:t>przesądza charakter stosunku istniejącego po</w:t>
      </w:r>
      <w:r w:rsidR="00802C80" w:rsidRPr="00082846">
        <w:t xml:space="preserve">między daną osobą a „pracodawcą”, nie zaś rodzaj wykonywanej działalności, jej zgodność czy </w:t>
      </w:r>
      <w:r w:rsidRPr="00082846">
        <w:t xml:space="preserve">sprzeczność </w:t>
      </w:r>
      <w:r w:rsidR="00802C80" w:rsidRPr="00082846">
        <w:t xml:space="preserve">z prawem krajowym bądź uznanie za „działalność gospodarczą”. </w:t>
      </w:r>
      <w:r w:rsidRPr="003D7F25">
        <w:t>Ten stosunek prawny c</w:t>
      </w:r>
      <w:r w:rsidR="00802C80" w:rsidRPr="003D7F25">
        <w:t xml:space="preserve">harakteryzuje </w:t>
      </w:r>
      <w:r w:rsidRPr="003D7F25">
        <w:lastRenderedPageBreak/>
        <w:t xml:space="preserve">zmuszanie do </w:t>
      </w:r>
      <w:r w:rsidR="00802C80" w:rsidRPr="003D7F25">
        <w:t>pracy pod groźbą kary</w:t>
      </w:r>
      <w:r w:rsidR="00802C80" w:rsidRPr="00076546">
        <w:rPr>
          <w:vertAlign w:val="superscript"/>
        </w:rPr>
        <w:footnoteReference w:id="46"/>
      </w:r>
      <w:r w:rsidR="00802C80" w:rsidRPr="00082846">
        <w:t>. Do pracy przymusowej zalicza się</w:t>
      </w:r>
      <w:r w:rsidRPr="00082846">
        <w:t xml:space="preserve"> zatem</w:t>
      </w:r>
      <w:r w:rsidR="00802C80" w:rsidRPr="00082846">
        <w:t xml:space="preserve">: </w:t>
      </w:r>
      <w:r w:rsidRPr="00082846">
        <w:t xml:space="preserve">zmuszanie do </w:t>
      </w:r>
      <w:r w:rsidR="00802C80" w:rsidRPr="00082846">
        <w:t>prostytucj</w:t>
      </w:r>
      <w:r w:rsidRPr="00082846">
        <w:t>i</w:t>
      </w:r>
      <w:r w:rsidR="00802C80" w:rsidRPr="003D7F25">
        <w:t xml:space="preserve">, zmuszanie do żebrania, zmuszanie do popełniania przestępstw, </w:t>
      </w:r>
      <w:r w:rsidRPr="003D7F25">
        <w:t>zmuszanie do udziału</w:t>
      </w:r>
      <w:r w:rsidR="00802C80" w:rsidRPr="003D7F25">
        <w:t xml:space="preserve"> w konflikcie zbrojnym, poddaństwo rytualne bądź ceremonialne, </w:t>
      </w:r>
      <w:r w:rsidR="00D773D6">
        <w:t>wy</w:t>
      </w:r>
      <w:r w:rsidRPr="003D7F25">
        <w:t>musz</w:t>
      </w:r>
      <w:r w:rsidR="00D773D6">
        <w:t>one</w:t>
      </w:r>
      <w:r w:rsidRPr="003D7F25">
        <w:t xml:space="preserve"> </w:t>
      </w:r>
      <w:r w:rsidR="00802C80" w:rsidRPr="003D7F25">
        <w:t>wykorzyst</w:t>
      </w:r>
      <w:r w:rsidRPr="003D7F25">
        <w:t>yw</w:t>
      </w:r>
      <w:r w:rsidR="00802C80" w:rsidRPr="003D7F25">
        <w:t>ani</w:t>
      </w:r>
      <w:r w:rsidR="00D773D6">
        <w:t>e</w:t>
      </w:r>
      <w:r w:rsidR="00802C80" w:rsidRPr="0013325B">
        <w:t xml:space="preserve"> kobiet jako matek zastępczych, wymuszon</w:t>
      </w:r>
      <w:r w:rsidR="004429C3">
        <w:t>ą</w:t>
      </w:r>
      <w:r w:rsidRPr="0013325B">
        <w:t xml:space="preserve"> </w:t>
      </w:r>
      <w:r w:rsidR="00802C80" w:rsidRPr="0013325B">
        <w:t>ciąż</w:t>
      </w:r>
      <w:r w:rsidRPr="0013325B">
        <w:t>ę</w:t>
      </w:r>
      <w:r w:rsidR="00802C80" w:rsidRPr="0013325B">
        <w:t xml:space="preserve"> </w:t>
      </w:r>
      <w:r w:rsidRPr="0013325B">
        <w:t>oraz</w:t>
      </w:r>
      <w:r w:rsidR="00802C80" w:rsidRPr="001C5F9D">
        <w:t xml:space="preserve"> nielegalne prowadzenie badań biomedycznych na danej osobie</w:t>
      </w:r>
      <w:r w:rsidR="00802C80" w:rsidRPr="00076546">
        <w:rPr>
          <w:vertAlign w:val="superscript"/>
        </w:rPr>
        <w:footnoteReference w:id="47"/>
      </w:r>
      <w:r w:rsidR="00802C80" w:rsidRPr="00082846">
        <w:t>.</w:t>
      </w:r>
    </w:p>
    <w:p w14:paraId="6E0FC987" w14:textId="77777777" w:rsidR="00802C80" w:rsidRPr="00082846" w:rsidRDefault="00802C80" w:rsidP="00802C80">
      <w:pPr>
        <w:pStyle w:val="OpiPara"/>
      </w:pPr>
      <w:r w:rsidRPr="00082846">
        <w:t xml:space="preserve">10. W art. 1 Konwencji MOP z 1957 r. w sprawie zniesienia pracy przymusowej Układające się Strony zobowiązały się „znieść pracę przymusową lub obowiązkową i nie korzystać z niej pod jakąkolwiek postacią a) jako środka nacisku lub wychowania politycznego albo jako sankcji w stosunku do osób mających lub wypowiadających pewne poglądy polityczne albo manifestujących opozycję ideologiczną wobec ustalonego ustroju politycznego, społecznego lub gospodarczego; b) jako metody mobilizowania albo wykorzystania siły roboczej dla celów rozwoju gospodarczego; c) jako środka dyscypliny </w:t>
      </w:r>
      <w:r w:rsidR="002A7794">
        <w:t>pracy; d) jako kary za udział w </w:t>
      </w:r>
      <w:r w:rsidRPr="00082846">
        <w:t>strajkach; e) jako środka dyskryminacji rasowej, społecznej, narodowej albo religijnej. Celem tego zobowiązania było zawężenie zakresu wyjątków z art. 2 ust. 2 Konwencji z 1930 r.</w:t>
      </w:r>
      <w:r w:rsidRPr="00076546">
        <w:rPr>
          <w:vertAlign w:val="superscript"/>
        </w:rPr>
        <w:footnoteReference w:id="48"/>
      </w:r>
      <w:r w:rsidRPr="00082846">
        <w:t>.</w:t>
      </w:r>
    </w:p>
    <w:p w14:paraId="6EB329EA" w14:textId="57025333" w:rsidR="00802C80" w:rsidRPr="00082846" w:rsidRDefault="00802C80" w:rsidP="00802C80">
      <w:pPr>
        <w:pStyle w:val="OpiPara"/>
      </w:pPr>
      <w:r w:rsidRPr="00082846">
        <w:t>11. Art</w:t>
      </w:r>
      <w:r w:rsidR="00B25512">
        <w:t>.</w:t>
      </w:r>
      <w:r w:rsidRPr="00082846">
        <w:t xml:space="preserve"> 7 Konwencji z 1999 r. dotyczącej </w:t>
      </w:r>
      <w:r w:rsidR="006A4693" w:rsidRPr="006A4693">
        <w:t>zakazu i natychmiastowych działań na rzecz eliminowania najgorszych form pracy dzieci</w:t>
      </w:r>
      <w:r w:rsidRPr="00082846">
        <w:t xml:space="preserve"> wprowadził obowiązek stosowania sankcji, mianowicie sankcji karnych, przeciwko najgorszym formom pracy dzieci, obejmującym następujące zachowania</w:t>
      </w:r>
      <w:r w:rsidRPr="00076546">
        <w:rPr>
          <w:vertAlign w:val="superscript"/>
        </w:rPr>
        <w:footnoteReference w:id="49"/>
      </w:r>
      <w:r w:rsidRPr="00082846">
        <w:t xml:space="preserve">: </w:t>
      </w:r>
      <w:r w:rsidRPr="00082846">
        <w:lastRenderedPageBreak/>
        <w:t>„a) wszystkie formy niewolnictwa lub praktyk podobnych do niewolnictwa, takich jak sprzedaż i handel dziećmi, niewolnictwo za długi i pańszczyzna lub praca przymusowa albo obowiązkowa, w tym przymusowe lub obowiązkowe rekrutowanie dzieci</w:t>
      </w:r>
      <w:r w:rsidR="005F47D9">
        <w:t xml:space="preserve"> </w:t>
      </w:r>
      <w:r w:rsidRPr="00082846">
        <w:t>do udziału w konflikcie zbrojnym; b) korzystanie, angażowanie lub proponowanie dziecka do prostytucji, produkcji pornografii lub przedstawień pornograficznych, c) korzystanie, angażowanie lub proponowanie dziecka do nielegalnych działalności, w szczególności do produkcji i handlu narkotyków, jak to określają stosowne traktaty międzynarodowe, d) pracę, która ze względu na swój charakter lub okoliczności, w których jest prowadzona, może zagrażać zdrowiu, bezpieczeństwu lub moralności dzieci”.</w:t>
      </w:r>
    </w:p>
    <w:p w14:paraId="6A5BE92C" w14:textId="77777777" w:rsidR="00802C80" w:rsidRPr="00082846" w:rsidRDefault="00802C80" w:rsidP="00802C80">
      <w:pPr>
        <w:pStyle w:val="OpiPara"/>
      </w:pPr>
      <w:r w:rsidRPr="00082846">
        <w:t>12. W art. 3 Konwencji MOP dotyczącej pracowników domowych Układające się Strony zobowiązały się do podjęcia środków zapewniających skuteczną ochronę, poszanowanie i propagowanie praw człowieka wszystkich pracowników domowych, mianowicie „poszanowania, propagowania i urzeczywistniania podsta</w:t>
      </w:r>
      <w:r w:rsidR="002A7794">
        <w:t>wowych zasad i praw w pracy”, w </w:t>
      </w:r>
      <w:r w:rsidRPr="00082846">
        <w:t>tym „eliminację wszyst</w:t>
      </w:r>
      <w:r w:rsidR="002A7794">
        <w:t>kich form pracy przymusowej lub </w:t>
      </w:r>
      <w:r w:rsidRPr="00082846">
        <w:t>obowiązkowej”.</w:t>
      </w:r>
    </w:p>
    <w:p w14:paraId="630D1DDD" w14:textId="73FE5A6D" w:rsidR="00802C80" w:rsidRPr="00082846" w:rsidRDefault="00802C80" w:rsidP="00802C80">
      <w:pPr>
        <w:pStyle w:val="OpiPara"/>
      </w:pPr>
      <w:r w:rsidRPr="00082846">
        <w:t>13. MOP opracowała sześć w</w:t>
      </w:r>
      <w:r w:rsidR="006A4693">
        <w:t>skaźników</w:t>
      </w:r>
      <w:r w:rsidRPr="00082846">
        <w:t xml:space="preserve"> pracy przymusowej stanowiących cenny punkt odniesienia przy </w:t>
      </w:r>
      <w:r w:rsidR="008D03D6" w:rsidRPr="00082846">
        <w:t xml:space="preserve">ustalaniu </w:t>
      </w:r>
      <w:r w:rsidRPr="003D7F25">
        <w:t>pracy przymusowej</w:t>
      </w:r>
      <w:r w:rsidRPr="00076546">
        <w:rPr>
          <w:vertAlign w:val="superscript"/>
        </w:rPr>
        <w:footnoteReference w:id="50"/>
      </w:r>
      <w:r w:rsidRPr="00082846">
        <w:t xml:space="preserve">. </w:t>
      </w:r>
      <w:r w:rsidR="008D03D6" w:rsidRPr="00082846">
        <w:t>Należą do nich</w:t>
      </w:r>
      <w:r w:rsidRPr="00082846">
        <w:t xml:space="preserve">: groźba bądź zastosowanie przemocy fizycznej przeciwko ofierze, ograniczenie możliwości przemieszczania się pracowników, niewola za długi, wstrzymywanie </w:t>
      </w:r>
      <w:r w:rsidR="008D03D6" w:rsidRPr="00082846">
        <w:t xml:space="preserve">wypłaty </w:t>
      </w:r>
      <w:r w:rsidRPr="00082846">
        <w:t>wynagrodze</w:t>
      </w:r>
      <w:r w:rsidR="008D03D6" w:rsidRPr="00082846">
        <w:t>nia</w:t>
      </w:r>
      <w:r w:rsidRPr="00082846">
        <w:t xml:space="preserve">, zatrzymywanie paszportów lub dokumentów tożsamości </w:t>
      </w:r>
      <w:r w:rsidR="008D03D6" w:rsidRPr="00082846">
        <w:t>oraz</w:t>
      </w:r>
      <w:r w:rsidRPr="00082846">
        <w:t xml:space="preserve"> groźba denuncjacji władzom w przypadku pracowników, </w:t>
      </w:r>
      <w:r w:rsidR="008D03D6" w:rsidRPr="003D7F25">
        <w:t xml:space="preserve">którzy nie mają uregulowanego </w:t>
      </w:r>
      <w:r w:rsidRPr="003D7F25">
        <w:t>status</w:t>
      </w:r>
      <w:r w:rsidR="008D03D6" w:rsidRPr="003D7F25">
        <w:t>u</w:t>
      </w:r>
      <w:r w:rsidRPr="003D7F25">
        <w:t xml:space="preserve"> imigracyjn</w:t>
      </w:r>
      <w:r w:rsidR="008D03D6" w:rsidRPr="003D7F25">
        <w:t>ego</w:t>
      </w:r>
      <w:r w:rsidRPr="003D7F25">
        <w:t xml:space="preserve">. </w:t>
      </w:r>
      <w:r w:rsidR="004429C3">
        <w:t>Z pozoru</w:t>
      </w:r>
      <w:r w:rsidR="004429C3" w:rsidRPr="003D7F25">
        <w:t xml:space="preserve"> </w:t>
      </w:r>
      <w:r w:rsidRPr="003D7F25">
        <w:t xml:space="preserve">„dobrowolna oferta” pracownika może być skutkiem manipulacji lub nie wynikać ze świadomej decyzji. Za pracę </w:t>
      </w:r>
      <w:r w:rsidRPr="003D7F25">
        <w:lastRenderedPageBreak/>
        <w:t>przymusową może być uznane ogranicz</w:t>
      </w:r>
      <w:r w:rsidR="002A7794">
        <w:t>enie możliwości zrezygnowania z </w:t>
      </w:r>
      <w:r w:rsidRPr="003D7F25">
        <w:t>pracy</w:t>
      </w:r>
      <w:r w:rsidR="006A4693">
        <w:t>,</w:t>
      </w:r>
      <w:r w:rsidRPr="003D7F25">
        <w:t xml:space="preserve"> </w:t>
      </w:r>
      <w:r w:rsidR="006A4693">
        <w:t xml:space="preserve">nawet </w:t>
      </w:r>
      <w:r w:rsidRPr="003D7F25">
        <w:t>po jej dobrowolnym podjęciu</w:t>
      </w:r>
      <w:r w:rsidRPr="00076546">
        <w:rPr>
          <w:vertAlign w:val="superscript"/>
        </w:rPr>
        <w:footnoteReference w:id="51"/>
      </w:r>
      <w:r w:rsidRPr="00082846">
        <w:t>.</w:t>
      </w:r>
    </w:p>
    <w:p w14:paraId="093FA22C" w14:textId="77777777" w:rsidR="00802C80" w:rsidRPr="00082846" w:rsidRDefault="00802C80" w:rsidP="00802C80">
      <w:pPr>
        <w:pStyle w:val="OpiPara"/>
      </w:pPr>
      <w:r w:rsidRPr="00082846">
        <w:t xml:space="preserve">MOP zaleca typizację handlu ludźmi jako czynu zabronionego niezależnie od ruchu transgranicznego i związków z przestępczością zorganizowaną, kryminalizację pracy przymusowej i zdefiniowane rodzajów stosowanego przymusu w przepisach o zwalczaniu handlu ludźmi, </w:t>
      </w:r>
      <w:r w:rsidR="006A4693">
        <w:t xml:space="preserve">oraz </w:t>
      </w:r>
      <w:r w:rsidRPr="00082846">
        <w:t xml:space="preserve">określenie okoliczności, w jakich zgoda nie ma znaczenia, </w:t>
      </w:r>
      <w:r w:rsidR="00E32741" w:rsidRPr="00082846">
        <w:t>a wreszcie</w:t>
      </w:r>
      <w:r w:rsidRPr="00082846">
        <w:t xml:space="preserve"> zaleca, aby ściganie prowadziło nie tylko do kryminalizacji [</w:t>
      </w:r>
      <w:r w:rsidRPr="00082846">
        <w:rPr>
          <w:i/>
          <w:iCs/>
        </w:rPr>
        <w:t>SIC</w:t>
      </w:r>
      <w:r w:rsidRPr="00082846">
        <w:t xml:space="preserve"> — przyp.</w:t>
      </w:r>
      <w:r w:rsidR="00E32741" w:rsidRPr="00082846">
        <w:t xml:space="preserve"> </w:t>
      </w:r>
      <w:r w:rsidRPr="00082846">
        <w:t xml:space="preserve">tłum.], lecz także do przywrócenia praw ofiary </w:t>
      </w:r>
      <w:r w:rsidRPr="003D7F25">
        <w:t xml:space="preserve">do stanu poprzedniego, rekompensaty finansowej, a co najważniejsze, do </w:t>
      </w:r>
      <w:r w:rsidR="00E32741" w:rsidRPr="003D7F25">
        <w:t>konfiskaty majątku</w:t>
      </w:r>
      <w:r w:rsidRPr="00076546">
        <w:rPr>
          <w:vertAlign w:val="superscript"/>
        </w:rPr>
        <w:footnoteReference w:id="52"/>
      </w:r>
      <w:r w:rsidRPr="00082846">
        <w:t xml:space="preserve">. </w:t>
      </w:r>
      <w:r w:rsidR="002A7794">
        <w:t>W </w:t>
      </w:r>
      <w:r w:rsidR="00E32741" w:rsidRPr="00082846">
        <w:t xml:space="preserve">szczególności </w:t>
      </w:r>
      <w:r w:rsidRPr="00082846">
        <w:t xml:space="preserve">w stosunku do pracowników domowych MOP zaleca ograniczenie godzin pracy domowej przez wprowadzenie: a) 40-godzinnego </w:t>
      </w:r>
      <w:r w:rsidR="00E32741" w:rsidRPr="00082846">
        <w:t xml:space="preserve">tygodnia </w:t>
      </w:r>
      <w:r w:rsidRPr="00082846">
        <w:t xml:space="preserve">pracy z adekwatnym wynagrodzeniem za godziny nadliczbowe; b) maksymalnej </w:t>
      </w:r>
      <w:r w:rsidR="00E32741" w:rsidRPr="00082846">
        <w:t>dobowej normy czasu pracy</w:t>
      </w:r>
      <w:r w:rsidRPr="00082846">
        <w:t xml:space="preserve">; c) </w:t>
      </w:r>
      <w:r w:rsidR="00E32741" w:rsidRPr="003D7F25">
        <w:t xml:space="preserve">stałego </w:t>
      </w:r>
      <w:r w:rsidRPr="003D7F25">
        <w:t xml:space="preserve">okresu nieprzerwanego wypoczynku, wynoszącego osiem godzin dziennie; d) ograniczenia godzin </w:t>
      </w:r>
      <w:r w:rsidR="00E32741" w:rsidRPr="003D7F25">
        <w:t xml:space="preserve">pozostawania </w:t>
      </w:r>
      <w:r w:rsidRPr="003D7F25">
        <w:t xml:space="preserve">„w gotowości”, z adekwatnym wynagrodzeniem za te godziny. Zagwarantowane powinny być właściwe procedury dotyczące </w:t>
      </w:r>
      <w:r w:rsidR="00E32741" w:rsidRPr="003D7F25">
        <w:t xml:space="preserve">rozwiązania </w:t>
      </w:r>
      <w:r w:rsidRPr="003D7F25">
        <w:t>stosunku pracy</w:t>
      </w:r>
      <w:r w:rsidRPr="00076546">
        <w:rPr>
          <w:vertAlign w:val="superscript"/>
        </w:rPr>
        <w:footnoteReference w:id="53"/>
      </w:r>
      <w:r w:rsidRPr="00082846">
        <w:t>.</w:t>
      </w:r>
    </w:p>
    <w:p w14:paraId="693D2143" w14:textId="7FDFFDFB" w:rsidR="00802C80" w:rsidRPr="00082846" w:rsidRDefault="00802C80" w:rsidP="00802C80">
      <w:pPr>
        <w:pStyle w:val="OpiH1"/>
      </w:pPr>
      <w:bookmarkStart w:id="9" w:name="_Toc535852142"/>
      <w:r w:rsidRPr="00082846">
        <w:t>C.</w:t>
      </w:r>
      <w:r w:rsidR="005F47D9">
        <w:t xml:space="preserve"> </w:t>
      </w:r>
      <w:r w:rsidRPr="00082846">
        <w:t>Międzynarodowe prawo karne i humanitarne (paragrafy 14-21)</w:t>
      </w:r>
      <w:bookmarkEnd w:id="9"/>
    </w:p>
    <w:p w14:paraId="6931F8C7" w14:textId="77777777" w:rsidR="00802C80" w:rsidRPr="00082846" w:rsidRDefault="00802C80" w:rsidP="00802C80">
      <w:pPr>
        <w:pStyle w:val="OpiPara"/>
      </w:pPr>
      <w:r w:rsidRPr="00082846">
        <w:t>14. „Deportacja na roboty p</w:t>
      </w:r>
      <w:r w:rsidR="002A7794">
        <w:t>rzymusowe” i „obracanie ludzi w </w:t>
      </w:r>
      <w:r w:rsidRPr="00082846">
        <w:t>niewolników” wymienione zostały odpo</w:t>
      </w:r>
      <w:r w:rsidR="002A7794">
        <w:t>wiednio jako zbrodnia wojenna i </w:t>
      </w:r>
      <w:r w:rsidRPr="00082846">
        <w:t xml:space="preserve">zbrodnia przeciwko ludzkości w art. 6 lit. b i c Karty Międzynarodowego Trybunału Wojskowego (w Norymberdze). Po zakończeniu </w:t>
      </w:r>
      <w:r w:rsidR="002902D3" w:rsidRPr="00082846">
        <w:t xml:space="preserve">II </w:t>
      </w:r>
      <w:r w:rsidRPr="00082846">
        <w:t xml:space="preserve">wojny światowej amerykański trybunał </w:t>
      </w:r>
      <w:r w:rsidR="002A7794">
        <w:t>wojskowy w Norymberdze orzekł w </w:t>
      </w:r>
      <w:r w:rsidRPr="00082846">
        <w:t xml:space="preserve">sprawie </w:t>
      </w:r>
      <w:r w:rsidRPr="00082846">
        <w:rPr>
          <w:i/>
          <w:iCs/>
        </w:rPr>
        <w:t>Pohl i inni</w:t>
      </w:r>
      <w:r w:rsidRPr="00082846">
        <w:t xml:space="preserve">, że więźniowie w nazistowskich obozach koncentracyjnych znajdowali się w stanie niewolnictwa, zaś odpowiedzialne za te obozy osoby są winne zbrodni wojennych i </w:t>
      </w:r>
      <w:r w:rsidR="002902D3" w:rsidRPr="00082846">
        <w:t xml:space="preserve">zbrodni </w:t>
      </w:r>
      <w:r w:rsidRPr="003D7F25">
        <w:t>przeciwko ludzkości</w:t>
      </w:r>
      <w:r w:rsidRPr="00076546">
        <w:rPr>
          <w:vertAlign w:val="superscript"/>
        </w:rPr>
        <w:footnoteReference w:id="54"/>
      </w:r>
      <w:r w:rsidRPr="00082846">
        <w:t>.</w:t>
      </w:r>
    </w:p>
    <w:p w14:paraId="3D21EAA5" w14:textId="16CBCD40" w:rsidR="00802C80" w:rsidRPr="00082846" w:rsidRDefault="00802C80" w:rsidP="00802C80">
      <w:pPr>
        <w:pStyle w:val="OpiPara"/>
      </w:pPr>
      <w:r w:rsidRPr="00082846">
        <w:t>Art</w:t>
      </w:r>
      <w:r w:rsidR="00B25512">
        <w:t>.</w:t>
      </w:r>
      <w:r w:rsidRPr="00082846">
        <w:t xml:space="preserve"> 52 </w:t>
      </w:r>
      <w:r w:rsidR="009E5256">
        <w:t xml:space="preserve">Trzeciej </w:t>
      </w:r>
      <w:r w:rsidR="001C5201" w:rsidRPr="00082846">
        <w:t xml:space="preserve">Konwencji </w:t>
      </w:r>
      <w:r w:rsidRPr="00082846">
        <w:t xml:space="preserve">genewskiej stanowi, że </w:t>
      </w:r>
      <w:r w:rsidR="002902D3" w:rsidRPr="00082846">
        <w:t xml:space="preserve">nie wolno zmuszać </w:t>
      </w:r>
      <w:r w:rsidRPr="00082846">
        <w:t>jeńców wojennych do wykonywania pracy szkodliwej dla zdrowia, niebezpiecznej lub upokarzające</w:t>
      </w:r>
      <w:r w:rsidR="009E5256">
        <w:t>j. Art. 4 ust. 2 lit. f Protokołu dodatkowego</w:t>
      </w:r>
      <w:r w:rsidRPr="00082846">
        <w:t xml:space="preserve"> II do</w:t>
      </w:r>
      <w:r w:rsidR="009E5256">
        <w:t xml:space="preserve"> konwencji genewskich zakazał</w:t>
      </w:r>
      <w:r w:rsidRPr="00082846">
        <w:t xml:space="preserve"> niewolnictwa i handlu niewolnikami we wszystkich formach,</w:t>
      </w:r>
      <w:r w:rsidRPr="003D7F25">
        <w:t xml:space="preserve"> w </w:t>
      </w:r>
      <w:r w:rsidR="00696C89" w:rsidRPr="003D7F25">
        <w:t xml:space="preserve">każdym </w:t>
      </w:r>
      <w:r w:rsidRPr="003D7F25">
        <w:t xml:space="preserve">czasie i miejscu w stosunku do osób, które nie biorą bezpośredniego udziału w działaniach wojennych bądź przestały brać </w:t>
      </w:r>
      <w:r w:rsidR="00696C89" w:rsidRPr="003D7F25">
        <w:t xml:space="preserve">w nich </w:t>
      </w:r>
      <w:r w:rsidRPr="003D7F25">
        <w:t>udział</w:t>
      </w:r>
      <w:r w:rsidRPr="00076546">
        <w:rPr>
          <w:vertAlign w:val="superscript"/>
        </w:rPr>
        <w:footnoteReference w:id="55"/>
      </w:r>
      <w:r w:rsidRPr="00082846">
        <w:t>.</w:t>
      </w:r>
    </w:p>
    <w:p w14:paraId="59339B8C" w14:textId="1499DA35" w:rsidR="00802C80" w:rsidRPr="00082846" w:rsidRDefault="00802C80" w:rsidP="00802C80">
      <w:pPr>
        <w:pStyle w:val="OpiPara"/>
      </w:pPr>
      <w:r w:rsidRPr="00082846">
        <w:t>15. Art</w:t>
      </w:r>
      <w:r w:rsidR="00B25512">
        <w:t>.</w:t>
      </w:r>
      <w:r w:rsidRPr="00082846">
        <w:t xml:space="preserve"> 5 lit. c Statutu MTKdbJ objął </w:t>
      </w:r>
      <w:r w:rsidR="00696C89" w:rsidRPr="00082846">
        <w:t xml:space="preserve">kognicją </w:t>
      </w:r>
      <w:r w:rsidRPr="00082846">
        <w:t xml:space="preserve">Trybunału obrócenie w niewolę jako zbrodnię przeciwko ludzkości w razie popełnienia tego czynu przeciwko jakiejkolwiek ludności cywilnej w trakcie konfliktu zbrojnego, niezależnie od jego charakteru międzynarodowego albo wewnętrznego. Art. 3 lit. </w:t>
      </w:r>
      <w:r w:rsidR="009F0889">
        <w:t>c</w:t>
      </w:r>
      <w:r w:rsidRPr="00082846">
        <w:t xml:space="preserve"> </w:t>
      </w:r>
      <w:r w:rsidR="009F0889">
        <w:t xml:space="preserve">Statutu </w:t>
      </w:r>
      <w:r w:rsidRPr="00082846">
        <w:t xml:space="preserve">MTKdR przewidywał ten sam wymiar kary za obrócenie w niewolę w razie popełnienia tego czynu w ramach szeroko zakrojonego bądź systematycznego </w:t>
      </w:r>
      <w:r w:rsidR="00696C89" w:rsidRPr="00082846">
        <w:t>zamachu na</w:t>
      </w:r>
      <w:r w:rsidRPr="003D7F25">
        <w:t xml:space="preserve"> </w:t>
      </w:r>
      <w:r w:rsidR="00696C89" w:rsidRPr="003D7F25">
        <w:t xml:space="preserve">jakąkolwiek ludność </w:t>
      </w:r>
      <w:r w:rsidRPr="003D7F25">
        <w:t>cywiln</w:t>
      </w:r>
      <w:r w:rsidR="00696C89" w:rsidRPr="003D7F25">
        <w:t>ą</w:t>
      </w:r>
      <w:r w:rsidRPr="003D7F25">
        <w:t xml:space="preserve"> w oparciu o kryteria przynależności narodowościowej, politycznej, etnicznej, rasowej lub religijnej</w:t>
      </w:r>
      <w:r w:rsidRPr="00076546">
        <w:rPr>
          <w:vertAlign w:val="superscript"/>
        </w:rPr>
        <w:footnoteReference w:id="56"/>
      </w:r>
      <w:r w:rsidRPr="00082846">
        <w:t>.</w:t>
      </w:r>
    </w:p>
    <w:p w14:paraId="2BE3415F" w14:textId="77777777" w:rsidR="00802C80" w:rsidRPr="00082846" w:rsidRDefault="00802C80" w:rsidP="00802C80">
      <w:pPr>
        <w:pStyle w:val="OpiPara"/>
      </w:pPr>
      <w:r w:rsidRPr="00082846">
        <w:t xml:space="preserve">W sprawie </w:t>
      </w:r>
      <w:r w:rsidRPr="00082846">
        <w:rPr>
          <w:i/>
        </w:rPr>
        <w:t>Kunarac i in.</w:t>
      </w:r>
      <w:r w:rsidRPr="00082846">
        <w:t xml:space="preserve"> Izba Procesowa MTKdbJ stwierdziła w lutym 2001 r., że: „w czasie istotnym dla oskarżenia </w:t>
      </w:r>
      <w:r w:rsidR="00696C89" w:rsidRPr="00082846">
        <w:t xml:space="preserve">jednym ze </w:t>
      </w:r>
      <w:r w:rsidRPr="00082846">
        <w:t xml:space="preserve">znamion obrócenia w niewolę jako zbrodni przeciwko ludzkości w zwyczajowym prawie międzynarodowym było </w:t>
      </w:r>
      <w:r w:rsidR="000E10E3" w:rsidRPr="00082846">
        <w:t xml:space="preserve">realizowanie </w:t>
      </w:r>
      <w:r w:rsidRPr="003D7F25">
        <w:t xml:space="preserve">w stosunku do osoby </w:t>
      </w:r>
      <w:r w:rsidR="000E10E3" w:rsidRPr="003D7F25">
        <w:t>niektórych lub wszystkich</w:t>
      </w:r>
      <w:r w:rsidRPr="003D7F25">
        <w:t xml:space="preserve"> uprawnień </w:t>
      </w:r>
      <w:r w:rsidR="000E10E3" w:rsidRPr="003D7F25">
        <w:t>związanych z</w:t>
      </w:r>
      <w:r w:rsidRPr="003D7F25">
        <w:t xml:space="preserve"> praw</w:t>
      </w:r>
      <w:r w:rsidR="000E10E3" w:rsidRPr="003D7F25">
        <w:t>em</w:t>
      </w:r>
      <w:r w:rsidRPr="003D7F25">
        <w:t xml:space="preserve"> własności”. Izba przyznała, że definicja ta: „może być szersza niż tradycyjne i czasami pozornie odmienne definicje czy to niewolnictwa, handlu </w:t>
      </w:r>
      <w:r w:rsidRPr="0013325B">
        <w:t xml:space="preserve">niewolnikami i poddaństwa, czy pracy przymusowej i obowiązkowej, jakie </w:t>
      </w:r>
      <w:r w:rsidR="00696C89" w:rsidRPr="0013325B">
        <w:t xml:space="preserve">można </w:t>
      </w:r>
      <w:r w:rsidRPr="0013325B">
        <w:t xml:space="preserve">znaleźć w innych obszarach prawa międzynarodowego”. W oparciu o rozmaite sprawy z </w:t>
      </w:r>
      <w:r w:rsidR="00696C89" w:rsidRPr="0013325B">
        <w:t xml:space="preserve">II </w:t>
      </w:r>
      <w:r w:rsidRPr="001C5F9D">
        <w:t>wojny światowej i dorobku Komisji Prawa Międzynarodowego Izba doszła do konkluzji, że praca przymusowa lub obowiązkowa powinna</w:t>
      </w:r>
      <w:r w:rsidR="009F0889">
        <w:t xml:space="preserve"> być</w:t>
      </w:r>
      <w:r w:rsidRPr="001C5F9D">
        <w:t xml:space="preserve"> </w:t>
      </w:r>
      <w:r w:rsidR="006363EF" w:rsidRPr="001C5F9D">
        <w:t>ujęta</w:t>
      </w:r>
      <w:r w:rsidRPr="001C5F9D">
        <w:t xml:space="preserve"> </w:t>
      </w:r>
      <w:r w:rsidR="002A7794">
        <w:t>w </w:t>
      </w:r>
      <w:r w:rsidR="000E10E3" w:rsidRPr="001C5F9D">
        <w:t>definicji „</w:t>
      </w:r>
      <w:r w:rsidRPr="001C5F9D">
        <w:t>obrócenia w niewolę jako zbrodni przeciwko ludzkości”.</w:t>
      </w:r>
      <w:r w:rsidRPr="00076546">
        <w:rPr>
          <w:vertAlign w:val="superscript"/>
        </w:rPr>
        <w:footnoteReference w:id="57"/>
      </w:r>
    </w:p>
    <w:p w14:paraId="484FA87C" w14:textId="2CBC6EEA" w:rsidR="00802C80" w:rsidRPr="003D7F25" w:rsidRDefault="00802C80" w:rsidP="00802C80">
      <w:pPr>
        <w:pStyle w:val="OpiPara"/>
      </w:pPr>
      <w:r w:rsidRPr="00082846">
        <w:t xml:space="preserve">16. </w:t>
      </w:r>
      <w:r w:rsidR="000E10E3" w:rsidRPr="00082846">
        <w:t>Stosownie do</w:t>
      </w:r>
      <w:r w:rsidRPr="00082846">
        <w:t xml:space="preserve"> art. 7 </w:t>
      </w:r>
      <w:r w:rsidR="009F0889">
        <w:t>ust.</w:t>
      </w:r>
      <w:r w:rsidRPr="00082846">
        <w:t xml:space="preserve"> 2 lit. c </w:t>
      </w:r>
      <w:r w:rsidR="009F0889" w:rsidRPr="00082846">
        <w:t xml:space="preserve">Statutu Rzymskiego </w:t>
      </w:r>
      <w:r w:rsidR="000E10E3" w:rsidRPr="00082846">
        <w:t>„</w:t>
      </w:r>
      <w:r w:rsidRPr="00082846">
        <w:t>niewolnictwo</w:t>
      </w:r>
      <w:r w:rsidR="000E10E3" w:rsidRPr="00082846">
        <w:t>”</w:t>
      </w:r>
      <w:r w:rsidRPr="00082846">
        <w:t xml:space="preserve"> oznacza: „realizowanie niektórych lub ws</w:t>
      </w:r>
      <w:r w:rsidR="002A7794">
        <w:t>zystkich uprawnień związanych z </w:t>
      </w:r>
      <w:r w:rsidRPr="00082846">
        <w:t>prawem własności w stosunku do człowieka oraz obejmuje realizację tych uprawnień w zakresie handlu ludźmi</w:t>
      </w:r>
      <w:r w:rsidR="002A7794">
        <w:t>, a w szczególności kobietami i </w:t>
      </w:r>
      <w:r w:rsidRPr="00082846">
        <w:t xml:space="preserve">dziećmi”. </w:t>
      </w:r>
      <w:r w:rsidR="000E10E3" w:rsidRPr="00082846">
        <w:t xml:space="preserve">W </w:t>
      </w:r>
      <w:r w:rsidRPr="003D7F25">
        <w:t>Element</w:t>
      </w:r>
      <w:r w:rsidR="000E10E3" w:rsidRPr="003D7F25">
        <w:t>ach</w:t>
      </w:r>
      <w:r w:rsidRPr="003D7F25">
        <w:t xml:space="preserve"> Definicji Zbrodni do </w:t>
      </w:r>
      <w:r w:rsidR="009F0889" w:rsidRPr="003D7F25">
        <w:t xml:space="preserve">Statutu Rzymskiego </w:t>
      </w:r>
      <w:r w:rsidR="000E10E3" w:rsidRPr="003D7F25">
        <w:t>doprecyzowano</w:t>
      </w:r>
      <w:r w:rsidRPr="003D7F25">
        <w:t>, że „realizowanie niektórych lub wszystkich uprawnień związanych z prawem własności w stosunku do człowieka” obejmuje:</w:t>
      </w:r>
    </w:p>
    <w:p w14:paraId="32FF881F" w14:textId="77777777" w:rsidR="00802C80" w:rsidRPr="001F0818" w:rsidRDefault="00802C80" w:rsidP="00802C80">
      <w:pPr>
        <w:pStyle w:val="OpiQuot"/>
      </w:pPr>
      <w:r w:rsidRPr="003D7F25">
        <w:t xml:space="preserve">„kupno, sprzedaż, użyczenie bądź zamianę takiej osoby albo takich osób bądź </w:t>
      </w:r>
      <w:r w:rsidR="000E10E3" w:rsidRPr="0013325B">
        <w:t>pozbawienie ich</w:t>
      </w:r>
      <w:r w:rsidRPr="0013325B">
        <w:t xml:space="preserve"> wolności</w:t>
      </w:r>
      <w:r w:rsidR="000E10E3" w:rsidRPr="0013325B">
        <w:t xml:space="preserve"> w podobny sposób</w:t>
      </w:r>
      <w:r w:rsidRPr="0013325B">
        <w:t xml:space="preserve">. (…) Rozumie się, że takie </w:t>
      </w:r>
      <w:r w:rsidR="000E10E3" w:rsidRPr="0013325B">
        <w:t xml:space="preserve">pozbawienie </w:t>
      </w:r>
      <w:r w:rsidRPr="0013325B">
        <w:t xml:space="preserve">wolności może w </w:t>
      </w:r>
      <w:r w:rsidR="000E10E3" w:rsidRPr="001C5F9D">
        <w:t xml:space="preserve">określonych </w:t>
      </w:r>
      <w:r w:rsidRPr="001C5F9D">
        <w:t xml:space="preserve">okolicznościach obejmować </w:t>
      </w:r>
      <w:r w:rsidR="000E10E3" w:rsidRPr="001C5F9D">
        <w:t xml:space="preserve">zmuszanie do </w:t>
      </w:r>
      <w:r w:rsidRPr="001C5F9D">
        <w:t xml:space="preserve">pracy przymusowej lub </w:t>
      </w:r>
      <w:r w:rsidR="000E10E3" w:rsidRPr="001C5F9D">
        <w:t>do</w:t>
      </w:r>
      <w:r w:rsidRPr="001C5F9D">
        <w:t>prowadzeni</w:t>
      </w:r>
      <w:r w:rsidR="000E10E3" w:rsidRPr="001C5F9D">
        <w:t>e</w:t>
      </w:r>
      <w:r w:rsidRPr="001C5F9D">
        <w:t xml:space="preserve"> osoby do stanu </w:t>
      </w:r>
      <w:r w:rsidR="000E10E3" w:rsidRPr="001C5F9D">
        <w:t xml:space="preserve">niewolnictwa w inny sposób </w:t>
      </w:r>
      <w:r w:rsidR="002A7794">
        <w:t>w </w:t>
      </w:r>
      <w:r w:rsidR="000E10E3" w:rsidRPr="001C5F9D">
        <w:t>rozumieniu</w:t>
      </w:r>
      <w:r w:rsidRPr="001C5F9D">
        <w:t xml:space="preserve"> Uzupełniającej konwencji w sprawie zniesienia niewolnictwa, handlu ludźmi oraz instytucji i praktyk zbliżonych do niewolnictwa z 1956 r. Rozumie się także, iż opisane w niniejszym </w:t>
      </w:r>
      <w:r w:rsidR="000E10E3" w:rsidRPr="001F0818">
        <w:t xml:space="preserve">elemencie </w:t>
      </w:r>
      <w:r w:rsidRPr="001F0818">
        <w:t>zachow</w:t>
      </w:r>
      <w:r w:rsidR="002A7794">
        <w:t>anie obejmuje handel osobami, w </w:t>
      </w:r>
      <w:r w:rsidRPr="001F0818">
        <w:t>szczególności kobietami i dziećmi”.</w:t>
      </w:r>
    </w:p>
    <w:p w14:paraId="1015D665" w14:textId="77777777" w:rsidR="00802C80" w:rsidRPr="00A87024" w:rsidRDefault="00FC575F" w:rsidP="00802C80">
      <w:pPr>
        <w:pStyle w:val="OpiPara"/>
      </w:pPr>
      <w:r w:rsidRPr="001F0818">
        <w:t>Dokonując porównania</w:t>
      </w:r>
      <w:r w:rsidR="00802C80" w:rsidRPr="001F0818">
        <w:t xml:space="preserve"> koncepcji niewolnictwa wyrażonych w prawie międzynarodowym w latach 1926, 1956 i 1998 i zastosowanych w 1947 r. w wyroku w sprawie </w:t>
      </w:r>
      <w:r w:rsidR="00802C80" w:rsidRPr="001F0818">
        <w:rPr>
          <w:i/>
        </w:rPr>
        <w:t xml:space="preserve">Pohl i in. </w:t>
      </w:r>
      <w:r w:rsidR="00802C80" w:rsidRPr="001F0818">
        <w:t xml:space="preserve">oraz pojęcia niewolnictwa ujęte w statucie rzymskim MTKdbJ i zastosowanego po raz pierwszy przez Izby Procesową i Odwoławczą w sprawie </w:t>
      </w:r>
      <w:r w:rsidR="00802C80" w:rsidRPr="001F0818">
        <w:rPr>
          <w:i/>
          <w:iCs/>
        </w:rPr>
        <w:t>Kunarac i in.</w:t>
      </w:r>
      <w:r w:rsidR="00802C80" w:rsidRPr="001F0818">
        <w:t xml:space="preserve"> wyróżnia się jeden</w:t>
      </w:r>
      <w:r w:rsidR="002A7C87">
        <w:t xml:space="preserve"> stały</w:t>
      </w:r>
      <w:r w:rsidR="00802C80" w:rsidRPr="001F0818">
        <w:t xml:space="preserve"> element: uprawnienia </w:t>
      </w:r>
      <w:r w:rsidRPr="001F0818">
        <w:t>związane z</w:t>
      </w:r>
      <w:r w:rsidR="00802C80" w:rsidRPr="001F0818">
        <w:t xml:space="preserve"> praw</w:t>
      </w:r>
      <w:r w:rsidRPr="001F0818">
        <w:t>em</w:t>
      </w:r>
      <w:r w:rsidR="00802C80" w:rsidRPr="001F0818">
        <w:t xml:space="preserve"> własności. Jest to </w:t>
      </w:r>
      <w:r w:rsidRPr="00A87024">
        <w:t xml:space="preserve">znamię </w:t>
      </w:r>
      <w:r w:rsidR="00802C80" w:rsidRPr="00A87024">
        <w:rPr>
          <w:i/>
        </w:rPr>
        <w:t>sine qua non</w:t>
      </w:r>
      <w:r w:rsidR="00802C80" w:rsidRPr="00A87024">
        <w:t xml:space="preserve"> pojęcia niewolnictwa (obrócenia w niewolę) w prawie międzynarodowym. Zarówno posiadanie </w:t>
      </w:r>
      <w:r w:rsidR="00802C80" w:rsidRPr="00A87024">
        <w:rPr>
          <w:i/>
        </w:rPr>
        <w:t>de jure</w:t>
      </w:r>
      <w:r w:rsidR="00802C80" w:rsidRPr="00A87024">
        <w:t xml:space="preserve"> jak i wykonywanie </w:t>
      </w:r>
      <w:r w:rsidR="00802C80" w:rsidRPr="00A87024">
        <w:rPr>
          <w:i/>
        </w:rPr>
        <w:t>de facto</w:t>
      </w:r>
      <w:r w:rsidR="00802C80" w:rsidRPr="00A87024">
        <w:t xml:space="preserve"> tych uprawnień wystarcza</w:t>
      </w:r>
      <w:r w:rsidRPr="00A87024">
        <w:t>ją</w:t>
      </w:r>
      <w:r w:rsidR="00802C80" w:rsidRPr="00A87024">
        <w:t xml:space="preserve"> do zdefiniowania tej koncepcji.</w:t>
      </w:r>
    </w:p>
    <w:p w14:paraId="30CE9EF5" w14:textId="77777777" w:rsidR="00802C80" w:rsidRPr="00082846" w:rsidRDefault="00802C80" w:rsidP="00802C80">
      <w:pPr>
        <w:pStyle w:val="OpiPara"/>
      </w:pPr>
      <w:r w:rsidRPr="00A87024">
        <w:t xml:space="preserve">17. Pierwszą uzgodnioną </w:t>
      </w:r>
      <w:r w:rsidR="00FC575F" w:rsidRPr="00A87024">
        <w:t xml:space="preserve">na szczeblu </w:t>
      </w:r>
      <w:r w:rsidRPr="00A87024">
        <w:t>międzynarodow</w:t>
      </w:r>
      <w:r w:rsidR="00FC575F" w:rsidRPr="00A87024">
        <w:t>ym</w:t>
      </w:r>
      <w:r w:rsidRPr="00A87024">
        <w:t xml:space="preserve"> definicję handlu ludźmi </w:t>
      </w:r>
      <w:r w:rsidR="00FC575F" w:rsidRPr="00A87024">
        <w:t xml:space="preserve">zawiera </w:t>
      </w:r>
      <w:r w:rsidRPr="00A87024">
        <w:t>Protokół z Palermo</w:t>
      </w:r>
      <w:r w:rsidRPr="00076546">
        <w:rPr>
          <w:vertAlign w:val="superscript"/>
        </w:rPr>
        <w:footnoteReference w:id="58"/>
      </w:r>
      <w:r w:rsidRPr="00082846">
        <w:t xml:space="preserve">. </w:t>
      </w:r>
      <w:r w:rsidR="00FC575F" w:rsidRPr="00082846">
        <w:t xml:space="preserve">Zgodnie z </w:t>
      </w:r>
      <w:r w:rsidRPr="00082846">
        <w:t>jego art. 5 kryminalizacji</w:t>
      </w:r>
      <w:r w:rsidR="00FC575F" w:rsidRPr="00082846">
        <w:t xml:space="preserve"> podlega</w:t>
      </w:r>
      <w:r w:rsidRPr="00082846">
        <w:t>: „werbowanie, transport, przekazywanie, przechowywanie lub przyjmowanie osób z zastosowaniem gróźb lub użyciem siły lub też z wykorzystaniem innej formy przymusu, uprowadzenia, oszustwa, wprowadzenia w błąd, nadużycia władzy lub wykorzystania słabości, wręczenia lub przyjęcia płatności lub korzyści dla uzyskania zgody osoby mającej kontrolę nad inną osobą, w celu wykorzystania”</w:t>
      </w:r>
      <w:r w:rsidRPr="00076546">
        <w:rPr>
          <w:vertAlign w:val="superscript"/>
        </w:rPr>
        <w:footnoteReference w:id="59"/>
      </w:r>
      <w:r w:rsidRPr="00082846">
        <w:t xml:space="preserve">. </w:t>
      </w:r>
      <w:r w:rsidR="00FC575F" w:rsidRPr="00082846">
        <w:t>W miejsce zdefiniowania</w:t>
      </w:r>
      <w:r w:rsidRPr="00082846">
        <w:t xml:space="preserve"> </w:t>
      </w:r>
      <w:r w:rsidR="00FC575F" w:rsidRPr="00082846">
        <w:t>terminu „</w:t>
      </w:r>
      <w:r w:rsidRPr="00082846">
        <w:t>wykorzystywani</w:t>
      </w:r>
      <w:r w:rsidR="00FC575F" w:rsidRPr="00082846">
        <w:t>e”</w:t>
      </w:r>
      <w:r w:rsidRPr="00082846">
        <w:t xml:space="preserve">, Protokół </w:t>
      </w:r>
      <w:r w:rsidR="00003CA1" w:rsidRPr="00082846">
        <w:t xml:space="preserve">zawiera </w:t>
      </w:r>
      <w:r w:rsidRPr="003D7F25">
        <w:t>listę związanych z nią form. „Wykorzystanie obejmuje, jako minimum</w:t>
      </w:r>
      <w:r w:rsidRPr="00076546">
        <w:rPr>
          <w:vertAlign w:val="superscript"/>
        </w:rPr>
        <w:footnoteReference w:id="60"/>
      </w:r>
      <w:r w:rsidRPr="00082846">
        <w:t>, wykorzystanie prostytucji innych osób lub inne formy wykorzystania seksualnego, pracę lub usługi o charakterze przymusowym</w:t>
      </w:r>
      <w:r w:rsidRPr="00076546">
        <w:rPr>
          <w:vertAlign w:val="superscript"/>
        </w:rPr>
        <w:footnoteReference w:id="61"/>
      </w:r>
      <w:r w:rsidRPr="00082846">
        <w:t>, niewolnictwo lub praktyki podobne do niewolnictwa, zniewolenie [poddaństwo — przyp. tłum.] albo usunięcie organów</w:t>
      </w:r>
      <w:r w:rsidRPr="00076546">
        <w:rPr>
          <w:vertAlign w:val="superscript"/>
        </w:rPr>
        <w:footnoteReference w:id="62"/>
      </w:r>
      <w:r w:rsidRPr="00082846">
        <w:t xml:space="preserve">”. </w:t>
      </w:r>
      <w:r w:rsidR="00113BB6">
        <w:t>Jak wynika to z </w:t>
      </w:r>
      <w:r w:rsidR="00003CA1" w:rsidRPr="00082846">
        <w:t>art. 14 Protokołu</w:t>
      </w:r>
      <w:r w:rsidR="00003CA1" w:rsidRPr="00082846" w:rsidDel="00003CA1">
        <w:t xml:space="preserve"> </w:t>
      </w:r>
      <w:r w:rsidR="00003CA1" w:rsidRPr="00082846">
        <w:t>p</w:t>
      </w:r>
      <w:r w:rsidRPr="00082846">
        <w:t>ojęcia te należy rozu</w:t>
      </w:r>
      <w:r w:rsidR="00113BB6">
        <w:t>mieć zgodnie z ich znaczeniem w </w:t>
      </w:r>
      <w:r w:rsidRPr="00082846">
        <w:t>prawie międzynarodowym. „Werbowanie, transport, przekazywanie, przechowywanie lub przyjmowanie dziecka celem jego wykorzystania uznawane jest za «handel ludźmi» nawet wówczas, gdy nie obejmuje żadnej z metod” wymienionych powyżej. „Zgoda ofiary handlu ludźmi na zamierzone wykorzystanie (…) nie ma znaczenia, jeżeli posłużono się którąkolwiek z powyższych</w:t>
      </w:r>
      <w:r w:rsidR="00003CA1" w:rsidRPr="00082846">
        <w:t xml:space="preserve"> metod”</w:t>
      </w:r>
      <w:r w:rsidRPr="00076546">
        <w:rPr>
          <w:vertAlign w:val="superscript"/>
        </w:rPr>
        <w:footnoteReference w:id="63"/>
      </w:r>
      <w:r w:rsidRPr="00082846">
        <w:t xml:space="preserve">. Zastosowanie niedopuszczalnych środków implikuje </w:t>
      </w:r>
      <w:r w:rsidR="00003CA1" w:rsidRPr="00082846">
        <w:t xml:space="preserve">brak dobrowolnego charakteru </w:t>
      </w:r>
      <w:r w:rsidR="00113BB6">
        <w:t>zachowania ofiary. W </w:t>
      </w:r>
      <w:r w:rsidR="00003CA1" w:rsidRPr="00082846">
        <w:t>tym względzie</w:t>
      </w:r>
      <w:r w:rsidRPr="00082846">
        <w:t xml:space="preserve"> handel ludźmi różni się od przestępstwa przemytu ludzi rozumianego jako bezprawny transgraniczny transport w celu uzyskania, bezpośrednio lub pośrednio, korzyści finansowej lub innej za zgodą osoby przemycanej</w:t>
      </w:r>
      <w:r w:rsidRPr="00076546">
        <w:rPr>
          <w:vertAlign w:val="superscript"/>
        </w:rPr>
        <w:footnoteReference w:id="64"/>
      </w:r>
      <w:r w:rsidRPr="00082846">
        <w:t>.</w:t>
      </w:r>
    </w:p>
    <w:p w14:paraId="01B4F4AD" w14:textId="77777777" w:rsidR="00802C80" w:rsidRPr="00082846" w:rsidRDefault="00802C80" w:rsidP="00802C80">
      <w:pPr>
        <w:pStyle w:val="OpiPara"/>
      </w:pPr>
      <w:r w:rsidRPr="00082846">
        <w:t xml:space="preserve">18. Stąd w międzynarodowym prawie karnym </w:t>
      </w:r>
      <w:r w:rsidR="00FA2BB3" w:rsidRPr="00082846">
        <w:t xml:space="preserve">wyróżnia się cztery zasadnicze znamiona </w:t>
      </w:r>
      <w:r w:rsidRPr="00082846">
        <w:t>przestępstw</w:t>
      </w:r>
      <w:r w:rsidR="00FA2BB3" w:rsidRPr="00082846">
        <w:t>a</w:t>
      </w:r>
      <w:r w:rsidRPr="00082846">
        <w:t xml:space="preserve"> handlu ludźmi</w:t>
      </w:r>
      <w:r w:rsidRPr="00076546">
        <w:rPr>
          <w:vertAlign w:val="superscript"/>
        </w:rPr>
        <w:footnoteReference w:id="65"/>
      </w:r>
      <w:r w:rsidRPr="00082846">
        <w:t>:</w:t>
      </w:r>
    </w:p>
    <w:p w14:paraId="161B31E5" w14:textId="77777777" w:rsidR="00802C80" w:rsidRPr="00082846" w:rsidRDefault="00D922B4" w:rsidP="00802C80">
      <w:pPr>
        <w:pStyle w:val="OpiPara"/>
      </w:pPr>
      <w:r w:rsidRPr="00082846">
        <w:t xml:space="preserve"> strona przedmiotowa (</w:t>
      </w:r>
      <w:r w:rsidR="00275FD3">
        <w:t>czynność sprawcza</w:t>
      </w:r>
      <w:r w:rsidRPr="00082846">
        <w:t>)</w:t>
      </w:r>
      <w:r w:rsidR="00802C80" w:rsidRPr="00082846">
        <w:t>: werbowanie, transport, przekazywanie, przechowywanie lub przyjmowanie osób;</w:t>
      </w:r>
    </w:p>
    <w:p w14:paraId="2C55D5A4" w14:textId="23B5602F" w:rsidR="00802C80" w:rsidRPr="00082846" w:rsidRDefault="00FA2BB3" w:rsidP="00802C80">
      <w:pPr>
        <w:pStyle w:val="OpiPara"/>
      </w:pPr>
      <w:r w:rsidRPr="00076546">
        <w:rPr>
          <w:i/>
        </w:rPr>
        <w:t>modus operandi</w:t>
      </w:r>
      <w:r w:rsidR="00802C80" w:rsidRPr="00082846">
        <w:t xml:space="preserve">: </w:t>
      </w:r>
      <w:r w:rsidR="000A30AA" w:rsidRPr="00082846">
        <w:t>zastosowanie groźby,</w:t>
      </w:r>
      <w:r w:rsidR="005F47D9">
        <w:t xml:space="preserve"> </w:t>
      </w:r>
      <w:r w:rsidR="00802C80" w:rsidRPr="00082846">
        <w:t>użycie siły lub</w:t>
      </w:r>
      <w:r w:rsidR="005F47D9">
        <w:t xml:space="preserve"> </w:t>
      </w:r>
      <w:r w:rsidR="00802C80" w:rsidRPr="00082846">
        <w:t>wykorzystanie innej formy przymusu</w:t>
      </w:r>
      <w:r w:rsidR="00802C80" w:rsidRPr="00076546">
        <w:rPr>
          <w:vertAlign w:val="superscript"/>
        </w:rPr>
        <w:footnoteReference w:id="66"/>
      </w:r>
      <w:r w:rsidR="00802C80" w:rsidRPr="00082846">
        <w:t>, uprowadzeni</w:t>
      </w:r>
      <w:r w:rsidR="002A7C87">
        <w:t>a</w:t>
      </w:r>
      <w:r w:rsidR="00802C80" w:rsidRPr="00082846">
        <w:t>, oszustw</w:t>
      </w:r>
      <w:r w:rsidR="002A7C87">
        <w:t>a</w:t>
      </w:r>
      <w:r w:rsidR="00802C80" w:rsidRPr="00076546">
        <w:rPr>
          <w:vertAlign w:val="superscript"/>
        </w:rPr>
        <w:footnoteReference w:id="67"/>
      </w:r>
      <w:r w:rsidR="00802C80" w:rsidRPr="00082846">
        <w:t>, wprowadzeni</w:t>
      </w:r>
      <w:r w:rsidR="002A7C87">
        <w:t>a</w:t>
      </w:r>
      <w:r w:rsidR="00802C80" w:rsidRPr="00082846">
        <w:t xml:space="preserve"> w błąd, nadużyci</w:t>
      </w:r>
      <w:r w:rsidR="002A7C87">
        <w:t>a</w:t>
      </w:r>
      <w:r w:rsidR="00802C80" w:rsidRPr="00082846">
        <w:t xml:space="preserve"> władzy lub wykorzystani</w:t>
      </w:r>
      <w:r w:rsidR="004F24F5">
        <w:t>a</w:t>
      </w:r>
      <w:r w:rsidR="00802C80" w:rsidRPr="00082846">
        <w:t xml:space="preserve"> słabości</w:t>
      </w:r>
      <w:r w:rsidR="00802C80" w:rsidRPr="00076546">
        <w:rPr>
          <w:vertAlign w:val="superscript"/>
        </w:rPr>
        <w:footnoteReference w:id="68"/>
      </w:r>
      <w:r w:rsidR="00802C80" w:rsidRPr="00082846">
        <w:t>, wręczeni</w:t>
      </w:r>
      <w:r w:rsidR="002A7C87">
        <w:t>a</w:t>
      </w:r>
      <w:r w:rsidR="00802C80" w:rsidRPr="00082846">
        <w:t xml:space="preserve"> lub przyjęci</w:t>
      </w:r>
      <w:r w:rsidR="002A7C87">
        <w:t>a</w:t>
      </w:r>
      <w:r w:rsidR="00802C80" w:rsidRPr="00082846">
        <w:t xml:space="preserve"> płatności lub korzyści </w:t>
      </w:r>
      <w:r w:rsidR="000A30AA" w:rsidRPr="00082846">
        <w:t xml:space="preserve">celem </w:t>
      </w:r>
      <w:r w:rsidR="00802C80" w:rsidRPr="00082846">
        <w:t>uzyskania zgody osoby mającej kontrolę nad inną osobą;</w:t>
      </w:r>
    </w:p>
    <w:p w14:paraId="73F1CEF0" w14:textId="0037ABBE" w:rsidR="00802C80" w:rsidRPr="00082846" w:rsidRDefault="00D922B4" w:rsidP="00802C80">
      <w:pPr>
        <w:pStyle w:val="OpiPara"/>
      </w:pPr>
      <w:r w:rsidRPr="00076546">
        <w:rPr>
          <w:i/>
        </w:rPr>
        <w:t>dolus generalis</w:t>
      </w:r>
      <w:r w:rsidR="00802C80" w:rsidRPr="00082846">
        <w:t xml:space="preserve"> — </w:t>
      </w:r>
      <w:r w:rsidR="002A7C87">
        <w:t>zamiar werbowania</w:t>
      </w:r>
      <w:r w:rsidR="00802C80" w:rsidRPr="00082846">
        <w:t>, transport</w:t>
      </w:r>
      <w:r w:rsidR="002A7C87">
        <w:t>u, przekazywania</w:t>
      </w:r>
      <w:r w:rsidR="00802C80" w:rsidRPr="00082846">
        <w:t>, przechowywa</w:t>
      </w:r>
      <w:r w:rsidR="002A7C87">
        <w:t>nia lub przyjmowania</w:t>
      </w:r>
      <w:r w:rsidR="00802C80" w:rsidRPr="00082846">
        <w:t xml:space="preserve"> osób;</w:t>
      </w:r>
    </w:p>
    <w:p w14:paraId="1E9CCFA4" w14:textId="77777777" w:rsidR="00802C80" w:rsidRPr="00082846" w:rsidRDefault="00D922B4" w:rsidP="00802C80">
      <w:pPr>
        <w:pStyle w:val="OpiPara"/>
      </w:pPr>
      <w:r w:rsidRPr="00076546">
        <w:rPr>
          <w:i/>
        </w:rPr>
        <w:t>dolus specialis</w:t>
      </w:r>
      <w:r w:rsidR="00802C80" w:rsidRPr="00082846">
        <w:t>: cel, jakim jest wykorzystanie.</w:t>
      </w:r>
    </w:p>
    <w:p w14:paraId="00D68333" w14:textId="72C44221" w:rsidR="00802C80" w:rsidRPr="001C5F9D" w:rsidRDefault="00802C80" w:rsidP="00802C80">
      <w:pPr>
        <w:pStyle w:val="OpiPara"/>
      </w:pPr>
      <w:r w:rsidRPr="00082846">
        <w:t xml:space="preserve">19. </w:t>
      </w:r>
      <w:r w:rsidR="003153AE" w:rsidRPr="00076546">
        <w:rPr>
          <w:iCs/>
        </w:rPr>
        <w:t>Stron</w:t>
      </w:r>
      <w:r w:rsidR="00275FD3">
        <w:rPr>
          <w:iCs/>
        </w:rPr>
        <w:t>ą</w:t>
      </w:r>
      <w:r w:rsidR="003153AE" w:rsidRPr="00076546">
        <w:rPr>
          <w:iCs/>
        </w:rPr>
        <w:t xml:space="preserve"> przedmiotow</w:t>
      </w:r>
      <w:r w:rsidR="003153AE" w:rsidRPr="00082846">
        <w:rPr>
          <w:iCs/>
        </w:rPr>
        <w:t>ą</w:t>
      </w:r>
      <w:r w:rsidRPr="00082846">
        <w:t xml:space="preserve"> musi </w:t>
      </w:r>
      <w:r w:rsidR="00275FD3">
        <w:t>być</w:t>
      </w:r>
      <w:r w:rsidR="00275FD3" w:rsidRPr="00082846">
        <w:t xml:space="preserve"> </w:t>
      </w:r>
      <w:r w:rsidRPr="00082846">
        <w:t>czyn lub zachowanie, któr</w:t>
      </w:r>
      <w:r w:rsidR="003153AE" w:rsidRPr="00082846">
        <w:t xml:space="preserve">e mogą być rozciągnięte </w:t>
      </w:r>
      <w:r w:rsidRPr="003D7F25">
        <w:t xml:space="preserve">w czasie (na przykład transport, przekazywanie, przechowywanie osoby). </w:t>
      </w:r>
      <w:r w:rsidR="003153AE" w:rsidRPr="003D7F25">
        <w:t>W swej rozciągłości</w:t>
      </w:r>
      <w:r w:rsidRPr="003D7F25">
        <w:t xml:space="preserve"> znamion</w:t>
      </w:r>
      <w:r w:rsidR="003153AE" w:rsidRPr="003D7F25">
        <w:t>a</w:t>
      </w:r>
      <w:r w:rsidRPr="003D7F25">
        <w:t xml:space="preserve"> </w:t>
      </w:r>
      <w:r w:rsidR="003153AE" w:rsidRPr="003D7F25">
        <w:t xml:space="preserve">te </w:t>
      </w:r>
      <w:r w:rsidRPr="003D7F25">
        <w:t>obejmuj</w:t>
      </w:r>
      <w:r w:rsidR="003153AE" w:rsidRPr="003D7F25">
        <w:t>ą</w:t>
      </w:r>
      <w:r w:rsidRPr="003D7F25">
        <w:t xml:space="preserve"> wszystkie etap</w:t>
      </w:r>
      <w:r w:rsidR="00AD4C7A">
        <w:t>y</w:t>
      </w:r>
      <w:r w:rsidRPr="003D7F25">
        <w:t xml:space="preserve"> procesu handlu ludźmi i rozciąga</w:t>
      </w:r>
      <w:r w:rsidR="003153AE" w:rsidRPr="0013325B">
        <w:t>ją</w:t>
      </w:r>
      <w:r w:rsidRPr="0013325B">
        <w:t xml:space="preserve"> penalizację na werbowników, pośredników, przewoźników, lecz także właścicieli, osoby sprawujące zarząd, nadzór lub kontrolę nad dowolnym miejscem eksploatacji, niezależnie od tego, czy osoby te zaangażowane są w</w:t>
      </w:r>
      <w:r w:rsidR="003153AE" w:rsidRPr="0013325B">
        <w:t xml:space="preserve"> prowadzący do niej</w:t>
      </w:r>
      <w:r w:rsidRPr="0013325B">
        <w:t xml:space="preserve"> łańcuch zaopatrzenia. Czyn </w:t>
      </w:r>
      <w:r w:rsidR="003153AE" w:rsidRPr="001C5F9D">
        <w:t xml:space="preserve">polegający na </w:t>
      </w:r>
      <w:r w:rsidRPr="001C5F9D">
        <w:t>handlu ludźmi nie obejmuje jednak sytuacji wykorzystania, w których końcowy wykorzystujący nie ingerował w proces handlu.</w:t>
      </w:r>
    </w:p>
    <w:p w14:paraId="4073ECFB" w14:textId="77777777" w:rsidR="00802C80" w:rsidRPr="00082846" w:rsidRDefault="00802C80" w:rsidP="00802C80">
      <w:pPr>
        <w:pStyle w:val="OpiPara"/>
      </w:pPr>
      <w:r w:rsidRPr="001C5F9D">
        <w:t>Zachowanie nieumyślne nie jest objęte penalizacją</w:t>
      </w:r>
      <w:r w:rsidRPr="00076546">
        <w:rPr>
          <w:vertAlign w:val="superscript"/>
        </w:rPr>
        <w:footnoteReference w:id="69"/>
      </w:r>
      <w:r w:rsidRPr="00082846">
        <w:t xml:space="preserve">. Błąd co do faktu stanowi podstawę wyłączenia odpowiedzialności karnej </w:t>
      </w:r>
      <w:r w:rsidR="003153AE" w:rsidRPr="00082846">
        <w:t>wyłącznie przy braku</w:t>
      </w:r>
      <w:r w:rsidRPr="00082846">
        <w:t xml:space="preserve"> element</w:t>
      </w:r>
      <w:r w:rsidR="003153AE" w:rsidRPr="00082846">
        <w:t>u</w:t>
      </w:r>
      <w:r w:rsidRPr="00082846">
        <w:t xml:space="preserve"> </w:t>
      </w:r>
      <w:r w:rsidR="003153AE" w:rsidRPr="00082846">
        <w:t xml:space="preserve">psychicznego </w:t>
      </w:r>
      <w:r w:rsidRPr="00082846">
        <w:t>wymagan</w:t>
      </w:r>
      <w:r w:rsidR="003153AE" w:rsidRPr="00082846">
        <w:t>ego</w:t>
      </w:r>
      <w:r w:rsidRPr="003D7F25">
        <w:t xml:space="preserve"> przez ten czyn zabroniony</w:t>
      </w:r>
      <w:r w:rsidRPr="00076546">
        <w:rPr>
          <w:vertAlign w:val="superscript"/>
        </w:rPr>
        <w:footnoteReference w:id="70"/>
      </w:r>
      <w:r w:rsidRPr="00082846">
        <w:t>. Jako że niewolnictwo, praca przymusowa i prowadzony w tych celach handel stanowią zbrodnie przeciwko ludzkości, błąd co do prawa w zakresie tego, czy dan</w:t>
      </w:r>
      <w:r w:rsidR="003153AE" w:rsidRPr="00082846">
        <w:t>e</w:t>
      </w:r>
      <w:r w:rsidRPr="00082846">
        <w:t xml:space="preserve"> zachowani</w:t>
      </w:r>
      <w:r w:rsidR="003153AE" w:rsidRPr="00082846">
        <w:t>e</w:t>
      </w:r>
      <w:r w:rsidRPr="00082846">
        <w:t xml:space="preserve"> stanowi czyn zabroniony, nie wyłącza elementu </w:t>
      </w:r>
      <w:r w:rsidR="003153AE" w:rsidRPr="00082846">
        <w:t xml:space="preserve">psychicznego </w:t>
      </w:r>
      <w:r w:rsidRPr="003D7F25">
        <w:t xml:space="preserve">wymaganego </w:t>
      </w:r>
      <w:r w:rsidR="003153AE" w:rsidRPr="003D7F25">
        <w:t>w przypadku tych</w:t>
      </w:r>
      <w:r w:rsidRPr="003D7F25">
        <w:t xml:space="preserve"> czyn</w:t>
      </w:r>
      <w:r w:rsidR="003153AE" w:rsidRPr="003D7F25">
        <w:t>ów</w:t>
      </w:r>
      <w:r w:rsidRPr="003D7F25">
        <w:t xml:space="preserve">, zaś wszelkie rozkazy mające za przedmiot popełnienie takich czynów są </w:t>
      </w:r>
      <w:r w:rsidR="003153AE" w:rsidRPr="003D7F25">
        <w:t xml:space="preserve">oczywiście </w:t>
      </w:r>
      <w:r w:rsidRPr="003D7F25">
        <w:t>bezprawne</w:t>
      </w:r>
      <w:r w:rsidRPr="00076546">
        <w:rPr>
          <w:vertAlign w:val="superscript"/>
        </w:rPr>
        <w:footnoteReference w:id="71"/>
      </w:r>
      <w:r w:rsidRPr="00082846">
        <w:t>.</w:t>
      </w:r>
    </w:p>
    <w:p w14:paraId="3A572E87" w14:textId="6E29EF56" w:rsidR="00802C80" w:rsidRPr="003D7F25" w:rsidRDefault="00802C80" w:rsidP="00802C80">
      <w:pPr>
        <w:pStyle w:val="OpiPara"/>
      </w:pPr>
      <w:r w:rsidRPr="00082846">
        <w:t xml:space="preserve">20. </w:t>
      </w:r>
      <w:r w:rsidR="003153AE" w:rsidRPr="00082846">
        <w:t>W</w:t>
      </w:r>
      <w:r w:rsidRPr="00082846">
        <w:t>ynikając</w:t>
      </w:r>
      <w:r w:rsidR="003153AE" w:rsidRPr="00082846">
        <w:t>y</w:t>
      </w:r>
      <w:r w:rsidRPr="00082846">
        <w:t xml:space="preserve"> z Protokołu </w:t>
      </w:r>
      <w:r w:rsidR="003153AE" w:rsidRPr="00082846">
        <w:t xml:space="preserve">obowiązek </w:t>
      </w:r>
      <w:r w:rsidRPr="00082846">
        <w:t xml:space="preserve">polega na kryminalizacji handlu ludźmi </w:t>
      </w:r>
      <w:r w:rsidR="006C79B5" w:rsidRPr="003D7F25">
        <w:t>przy kumulatywnej realizacji</w:t>
      </w:r>
      <w:r w:rsidRPr="003D7F25">
        <w:t xml:space="preserve"> </w:t>
      </w:r>
      <w:r w:rsidR="006C79B5" w:rsidRPr="003D7F25">
        <w:t>znamion ustawowych</w:t>
      </w:r>
      <w:r w:rsidRPr="003D7F25">
        <w:t xml:space="preserve">, nie zaś </w:t>
      </w:r>
      <w:r w:rsidR="006C79B5" w:rsidRPr="003D7F25">
        <w:t>poszczególnych</w:t>
      </w:r>
      <w:r w:rsidRPr="003D7F25">
        <w:t xml:space="preserve"> </w:t>
      </w:r>
      <w:r w:rsidR="006C79B5" w:rsidRPr="0013325B">
        <w:t>znamion</w:t>
      </w:r>
      <w:r w:rsidRPr="00076546">
        <w:rPr>
          <w:vertAlign w:val="superscript"/>
        </w:rPr>
        <w:footnoteReference w:id="72"/>
      </w:r>
      <w:r w:rsidRPr="00082846">
        <w:t xml:space="preserve">. Stopień </w:t>
      </w:r>
      <w:r w:rsidR="006C79B5" w:rsidRPr="00082846">
        <w:t>zawini</w:t>
      </w:r>
      <w:r w:rsidR="00D12C6C" w:rsidRPr="00082846">
        <w:t>e</w:t>
      </w:r>
      <w:r w:rsidR="006C79B5" w:rsidRPr="00082846">
        <w:t xml:space="preserve">nia </w:t>
      </w:r>
      <w:r w:rsidRPr="00082846">
        <w:t xml:space="preserve">i wymiar kary za przestępstwo handlu ludźmi winny odzwierciedlać powagę zastosowanych metod, zgodnie z art. 11 Konwencji ONZ przeciwko międzynarodowej przestępczości zorganizowanej, którą Protokół uzupełnia. </w:t>
      </w:r>
      <w:r w:rsidR="006C79B5" w:rsidRPr="00082846">
        <w:t>Z tego względu</w:t>
      </w:r>
      <w:r w:rsidRPr="003D7F25">
        <w:t>, gdy zastosowanie jednej z wymienionych niedopus</w:t>
      </w:r>
      <w:r w:rsidR="006C79B5" w:rsidRPr="003D7F25">
        <w:t>z</w:t>
      </w:r>
      <w:r w:rsidRPr="003D7F25">
        <w:t>czalnych metod</w:t>
      </w:r>
      <w:r w:rsidR="00007063">
        <w:t>, na </w:t>
      </w:r>
      <w:r w:rsidRPr="00082846">
        <w:t>przykład groźb</w:t>
      </w:r>
      <w:r w:rsidR="00275FD3">
        <w:t>y</w:t>
      </w:r>
      <w:r w:rsidRPr="00082846">
        <w:t xml:space="preserve"> lub </w:t>
      </w:r>
      <w:r w:rsidR="00275FD3">
        <w:t>przemocy</w:t>
      </w:r>
      <w:r w:rsidRPr="00082846">
        <w:t xml:space="preserve">, </w:t>
      </w:r>
      <w:r w:rsidR="00D12C6C" w:rsidRPr="00082846">
        <w:t xml:space="preserve">stanowi czyn zabroniony </w:t>
      </w:r>
      <w:r w:rsidR="00D12C6C" w:rsidRPr="00082846">
        <w:rPr>
          <w:i/>
        </w:rPr>
        <w:t xml:space="preserve">per </w:t>
      </w:r>
      <w:r w:rsidR="00D12C6C" w:rsidRPr="00275FD3">
        <w:rPr>
          <w:i/>
        </w:rPr>
        <w:t>se</w:t>
      </w:r>
      <w:r w:rsidR="00D12C6C" w:rsidRPr="00076546">
        <w:t xml:space="preserve">, </w:t>
      </w:r>
      <w:r w:rsidR="006C79B5" w:rsidRPr="00275FD3">
        <w:t xml:space="preserve">wówczas </w:t>
      </w:r>
      <w:r w:rsidR="00275FD3" w:rsidRPr="00076546">
        <w:t>przestępstwo</w:t>
      </w:r>
      <w:r w:rsidR="006C79B5" w:rsidRPr="00275FD3">
        <w:t xml:space="preserve"> </w:t>
      </w:r>
      <w:r w:rsidRPr="00275FD3">
        <w:t>handlu ludźmi co do zasady</w:t>
      </w:r>
      <w:r w:rsidR="00D12C6C" w:rsidRPr="00275FD3">
        <w:t xml:space="preserve"> obejmuje </w:t>
      </w:r>
      <w:r w:rsidR="00275FD3" w:rsidRPr="00076546">
        <w:t>czynność sprawczą</w:t>
      </w:r>
      <w:r w:rsidR="00D12C6C" w:rsidRPr="00076546">
        <w:t xml:space="preserve"> w postaci zastosowania określonej metody</w:t>
      </w:r>
      <w:r w:rsidRPr="00275FD3">
        <w:t xml:space="preserve">, zaś skuteczne karanie </w:t>
      </w:r>
      <w:r w:rsidR="00275FD3" w:rsidRPr="00076546">
        <w:t>przestępstwa</w:t>
      </w:r>
      <w:r w:rsidR="006C79B5" w:rsidRPr="00275FD3">
        <w:t xml:space="preserve"> </w:t>
      </w:r>
      <w:r w:rsidRPr="00275FD3">
        <w:t xml:space="preserve">handlu ludźmi nie uzasadnia </w:t>
      </w:r>
      <w:r w:rsidR="00D12C6C" w:rsidRPr="00076546">
        <w:t>współu</w:t>
      </w:r>
      <w:r w:rsidRPr="00275FD3">
        <w:t xml:space="preserve">karania </w:t>
      </w:r>
      <w:r w:rsidR="00D12C6C" w:rsidRPr="00076546">
        <w:t xml:space="preserve">za </w:t>
      </w:r>
      <w:r w:rsidRPr="00275FD3">
        <w:t>czyn</w:t>
      </w:r>
      <w:r w:rsidR="00D12C6C" w:rsidRPr="00076546">
        <w:t xml:space="preserve"> realizujący znamię</w:t>
      </w:r>
      <w:r w:rsidR="005F47D9">
        <w:t xml:space="preserve"> </w:t>
      </w:r>
      <w:r w:rsidR="00D12C6C" w:rsidRPr="00076546">
        <w:t>czynnościowe w postaci zastosowania określonej metody</w:t>
      </w:r>
      <w:r w:rsidRPr="00275FD3">
        <w:t>, chyba że</w:t>
      </w:r>
      <w:r w:rsidR="00D12C6C" w:rsidRPr="00076546">
        <w:t xml:space="preserve"> wymiar kary</w:t>
      </w:r>
      <w:r w:rsidRPr="00275FD3">
        <w:t xml:space="preserve"> </w:t>
      </w:r>
      <w:r w:rsidR="00D12C6C" w:rsidRPr="00076546">
        <w:t>przewidzianej za jego popełnienie jest</w:t>
      </w:r>
      <w:r w:rsidRPr="00275FD3">
        <w:t xml:space="preserve"> </w:t>
      </w:r>
      <w:r w:rsidR="00D12C6C" w:rsidRPr="00275FD3">
        <w:t>wyższ</w:t>
      </w:r>
      <w:r w:rsidR="00E643C3" w:rsidRPr="00076546">
        <w:t>y</w:t>
      </w:r>
      <w:r w:rsidR="00D12C6C" w:rsidRPr="00076546">
        <w:t xml:space="preserve"> niż</w:t>
      </w:r>
      <w:r w:rsidR="00D12C6C" w:rsidRPr="00275FD3">
        <w:t xml:space="preserve"> </w:t>
      </w:r>
      <w:r w:rsidR="00D12C6C" w:rsidRPr="00076546">
        <w:t>wymiar kary przewidziany za popełnienie</w:t>
      </w:r>
      <w:r w:rsidRPr="00275FD3">
        <w:t xml:space="preserve"> sam</w:t>
      </w:r>
      <w:r w:rsidR="00D12C6C" w:rsidRPr="00076546">
        <w:t>ego</w:t>
      </w:r>
      <w:r w:rsidRPr="00275FD3">
        <w:t xml:space="preserve"> </w:t>
      </w:r>
      <w:r w:rsidR="00275FD3" w:rsidRPr="00076546">
        <w:t>przestępstwa</w:t>
      </w:r>
      <w:r w:rsidRPr="00275FD3">
        <w:t xml:space="preserve"> handlu ludźmi. W takim przypadku </w:t>
      </w:r>
      <w:r w:rsidR="00275FD3">
        <w:t xml:space="preserve">karalny powinna być </w:t>
      </w:r>
      <w:r w:rsidRPr="00275FD3">
        <w:t xml:space="preserve">jedynie </w:t>
      </w:r>
      <w:r w:rsidR="00275FD3">
        <w:t>czynność sprawcza polegająca na</w:t>
      </w:r>
      <w:r w:rsidR="00D12C6C" w:rsidRPr="00076546">
        <w:t xml:space="preserve"> zastosowani</w:t>
      </w:r>
      <w:r w:rsidR="00275FD3">
        <w:t>u</w:t>
      </w:r>
      <w:r w:rsidR="00D12C6C" w:rsidRPr="00076546">
        <w:t xml:space="preserve"> określonej metody</w:t>
      </w:r>
      <w:r w:rsidRPr="00275FD3">
        <w:t xml:space="preserve">, aby uniknąć </w:t>
      </w:r>
      <w:r w:rsidR="00E643C3" w:rsidRPr="00275FD3">
        <w:t>zbędnego</w:t>
      </w:r>
      <w:r w:rsidR="00D12C6C" w:rsidRPr="00275FD3">
        <w:t xml:space="preserve">, </w:t>
      </w:r>
      <w:r w:rsidRPr="00275FD3">
        <w:t xml:space="preserve">podwójnego karania za </w:t>
      </w:r>
      <w:r w:rsidR="00D12C6C" w:rsidRPr="00275FD3">
        <w:t>ten sam bezprawny czyn</w:t>
      </w:r>
      <w:r w:rsidRPr="00275FD3">
        <w:t>.</w:t>
      </w:r>
    </w:p>
    <w:p w14:paraId="3DA0D213" w14:textId="77777777" w:rsidR="00802C80" w:rsidRPr="001C5F9D" w:rsidRDefault="00802C80" w:rsidP="00802C80">
      <w:pPr>
        <w:pStyle w:val="OpiPara"/>
      </w:pPr>
      <w:r w:rsidRPr="003D7F25">
        <w:t>Karalność nie jest warunkowana tym, czy do wykorzystania dochodzi</w:t>
      </w:r>
      <w:r w:rsidRPr="00076546">
        <w:rPr>
          <w:vertAlign w:val="superscript"/>
        </w:rPr>
        <w:footnoteReference w:id="73"/>
      </w:r>
      <w:r w:rsidRPr="00082846">
        <w:t xml:space="preserve">. Innymi słowy, </w:t>
      </w:r>
      <w:r w:rsidR="00E643C3" w:rsidRPr="00082846">
        <w:t xml:space="preserve">dla bytu </w:t>
      </w:r>
      <w:r w:rsidRPr="00082846">
        <w:t xml:space="preserve">tego </w:t>
      </w:r>
      <w:r w:rsidR="00E643C3" w:rsidRPr="00082846">
        <w:t xml:space="preserve">przestępstwa </w:t>
      </w:r>
      <w:r w:rsidRPr="00082846">
        <w:t xml:space="preserve">nie </w:t>
      </w:r>
      <w:r w:rsidR="00E643C3" w:rsidRPr="00082846">
        <w:t xml:space="preserve">jest </w:t>
      </w:r>
      <w:r w:rsidRPr="00082846">
        <w:t>wymaga</w:t>
      </w:r>
      <w:r w:rsidR="00E643C3" w:rsidRPr="00082846">
        <w:t>ne</w:t>
      </w:r>
      <w:r w:rsidRPr="00082846">
        <w:t xml:space="preserve">, aby ofiara handlu została </w:t>
      </w:r>
      <w:r w:rsidR="00EE0E4F">
        <w:t xml:space="preserve">faktycznie </w:t>
      </w:r>
      <w:r w:rsidRPr="00082846">
        <w:t>wykorzysta</w:t>
      </w:r>
      <w:r w:rsidR="00E643C3" w:rsidRPr="00082846">
        <w:t>na</w:t>
      </w:r>
      <w:r w:rsidRPr="003D7F25">
        <w:t xml:space="preserve">, tj. poddana wymuszonej prostytucji, pracy przymusowej, niewolnictwu, praktykom </w:t>
      </w:r>
      <w:r w:rsidR="00E643C3" w:rsidRPr="003D7F25">
        <w:t xml:space="preserve">zbliżonym </w:t>
      </w:r>
      <w:r w:rsidRPr="003D7F25">
        <w:t xml:space="preserve">do niego, poddaństwu czy usunięciu organów. W świetle powiązania instrumentalnego między handlem a wykorzystaniem, skuteczne karanie tego drugiego nie uzasadnia </w:t>
      </w:r>
      <w:r w:rsidR="00E643C3" w:rsidRPr="003D7F25">
        <w:t>współu</w:t>
      </w:r>
      <w:r w:rsidRPr="003D7F25">
        <w:t xml:space="preserve">karania </w:t>
      </w:r>
      <w:r w:rsidR="00E643C3" w:rsidRPr="003D7F25">
        <w:t xml:space="preserve">w związku z tym </w:t>
      </w:r>
      <w:r w:rsidR="00E643C3" w:rsidRPr="0013325B">
        <w:t>pierwszym</w:t>
      </w:r>
      <w:r w:rsidRPr="0013325B">
        <w:t>, chyba że konkretna forma wykorzystania sama w sobie stanowi czyn zabroniony (</w:t>
      </w:r>
      <w:r w:rsidR="00E643C3" w:rsidRPr="0013325B">
        <w:t>np.</w:t>
      </w:r>
      <w:r w:rsidRPr="0013325B">
        <w:t xml:space="preserve"> wymuszone usunięcie organów) </w:t>
      </w:r>
      <w:r w:rsidR="00E643C3" w:rsidRPr="001C5F9D">
        <w:t xml:space="preserve">zagrożony </w:t>
      </w:r>
      <w:r w:rsidRPr="001C5F9D">
        <w:t xml:space="preserve">karą </w:t>
      </w:r>
      <w:r w:rsidR="00E643C3" w:rsidRPr="001C5F9D">
        <w:t xml:space="preserve">niższą </w:t>
      </w:r>
      <w:r w:rsidRPr="001C5F9D">
        <w:t xml:space="preserve">niż handel ludźmi. W takim przypadku karać należy jedynie </w:t>
      </w:r>
      <w:r w:rsidR="00EE0E4F">
        <w:t>przestępstwo</w:t>
      </w:r>
      <w:r w:rsidRPr="001C5F9D">
        <w:t xml:space="preserve"> handlu, aby uniknąć </w:t>
      </w:r>
      <w:r w:rsidR="00E643C3" w:rsidRPr="001C5F9D">
        <w:t>zbędnego</w:t>
      </w:r>
      <w:r w:rsidRPr="001C5F9D">
        <w:t xml:space="preserve">, podwójnego karania za </w:t>
      </w:r>
      <w:r w:rsidR="00E643C3" w:rsidRPr="001C5F9D">
        <w:t>ten sam bezprawny czyn</w:t>
      </w:r>
      <w:r w:rsidRPr="001C5F9D">
        <w:t>.</w:t>
      </w:r>
    </w:p>
    <w:p w14:paraId="5DA8055B" w14:textId="2668103A" w:rsidR="00802C80" w:rsidRPr="00082846" w:rsidRDefault="00802C80" w:rsidP="00802C80">
      <w:pPr>
        <w:pStyle w:val="OpiPara"/>
      </w:pPr>
      <w:r w:rsidRPr="001C5F9D">
        <w:t xml:space="preserve">Obowiązek kryminalizacji rozciąga się także na </w:t>
      </w:r>
      <w:r w:rsidR="00E643C3" w:rsidRPr="001C5F9D">
        <w:t>pomocnictwo</w:t>
      </w:r>
      <w:r w:rsidRPr="001C5F9D">
        <w:t xml:space="preserve">, </w:t>
      </w:r>
      <w:r w:rsidR="00E643C3" w:rsidRPr="001C5F9D">
        <w:t>współsprawstwo kierownicze lub polecające</w:t>
      </w:r>
      <w:r w:rsidRPr="001F0818">
        <w:t xml:space="preserve"> oraz, z zastrzeżeniem podstawowych zasad danego systemu prawnego, usiłowanie popełnienia </w:t>
      </w:r>
      <w:r w:rsidR="00E643C3" w:rsidRPr="002E71A1">
        <w:t>przestępstwa</w:t>
      </w:r>
      <w:r w:rsidRPr="002E71A1">
        <w:t>. Obejmuje on zarówno osoby fizyczne, jaki i prawne, choć w</w:t>
      </w:r>
      <w:r w:rsidRPr="001F0818">
        <w:t xml:space="preserve"> tym drugim przypadku </w:t>
      </w:r>
      <w:r w:rsidR="002E71A1">
        <w:t>ustanowiona</w:t>
      </w:r>
      <w:r w:rsidRPr="001F0818">
        <w:t xml:space="preserve"> odpowiedzialność niekoniecznie</w:t>
      </w:r>
      <w:r w:rsidR="00E643C3" w:rsidRPr="001F0818">
        <w:t xml:space="preserve"> musi </w:t>
      </w:r>
      <w:r w:rsidRPr="001F0818">
        <w:t>być odpowiedzialnością „karną”. Zakres przedmiotowy Protokołu ogranicza obowiązek penalizacji do przypadków, w których handel ludźmi ma charakter transgraniczny i dotyczy zorganizowanej grupy przestępczej</w:t>
      </w:r>
      <w:r w:rsidRPr="00076546">
        <w:rPr>
          <w:vertAlign w:val="superscript"/>
        </w:rPr>
        <w:footnoteReference w:id="74"/>
      </w:r>
      <w:r w:rsidRPr="00082846">
        <w:t xml:space="preserve">. Jednak ani </w:t>
      </w:r>
      <w:r w:rsidR="001F4D4C" w:rsidRPr="00082846">
        <w:t>transgraniczny charakter</w:t>
      </w:r>
      <w:r w:rsidR="002E71A1">
        <w:t>,</w:t>
      </w:r>
      <w:r w:rsidRPr="00082846">
        <w:t xml:space="preserve"> ani udział w organizacji przestępczej nie należą do znamion czynu</w:t>
      </w:r>
      <w:r w:rsidRPr="00076546">
        <w:rPr>
          <w:vertAlign w:val="superscript"/>
        </w:rPr>
        <w:footnoteReference w:id="75"/>
      </w:r>
      <w:r w:rsidRPr="00082846">
        <w:t xml:space="preserve">. W przypadkach wykorzystania transgranicznego przy ocenie, czy dana sytuacja ma charakter wykorzystania, </w:t>
      </w:r>
      <w:r w:rsidR="00EB4E16" w:rsidRPr="00EB4E16">
        <w:t xml:space="preserve">należy wziąć pod uwagę </w:t>
      </w:r>
      <w:r w:rsidRPr="00082846">
        <w:t xml:space="preserve">standardy kraju goszczącego, nie zaś kraju pochodzenia; w przeciwnym razie pozostałaby zachęta do przestępstwa. Istnienie złych warunków życia lub pracy bądź naruszenie prawa pracy w kraju goszczącym </w:t>
      </w:r>
      <w:r w:rsidR="001F4D4C" w:rsidRPr="00082846">
        <w:t xml:space="preserve">zdecydowanie wskazuje </w:t>
      </w:r>
      <w:r w:rsidRPr="00082846">
        <w:t>na sytuację wykorzystania.</w:t>
      </w:r>
    </w:p>
    <w:p w14:paraId="11E267D3" w14:textId="014342DD" w:rsidR="00802C80" w:rsidRPr="00082846" w:rsidRDefault="00802C80" w:rsidP="00802C80">
      <w:pPr>
        <w:pStyle w:val="OpiPara"/>
      </w:pPr>
      <w:r w:rsidRPr="00082846">
        <w:t xml:space="preserve">21. Podsumowując, Protokół nie wymaga </w:t>
      </w:r>
      <w:r w:rsidR="001F4D4C" w:rsidRPr="003D7F25">
        <w:t xml:space="preserve">stypizowania </w:t>
      </w:r>
      <w:r w:rsidRPr="003D7F25">
        <w:t xml:space="preserve">wykorzystania </w:t>
      </w:r>
      <w:r w:rsidR="001F4D4C" w:rsidRPr="003D7F25">
        <w:t>jako przestępstwa</w:t>
      </w:r>
      <w:r w:rsidR="005F47D9">
        <w:t xml:space="preserve"> </w:t>
      </w:r>
      <w:r w:rsidR="009D0FC1">
        <w:t>samego w sobie</w:t>
      </w:r>
      <w:r w:rsidRPr="003D7F25">
        <w:t xml:space="preserve">. Nie nakłada on obowiązku kryminalizacji pracy przymusowej. W tym kontekście należy odnotować, że nie każda praca przymusowa jest </w:t>
      </w:r>
      <w:r w:rsidR="001F4D4C" w:rsidRPr="003D7F25">
        <w:t xml:space="preserve">konsekwencją </w:t>
      </w:r>
      <w:r w:rsidRPr="0013325B">
        <w:t xml:space="preserve">handlu ludźmi — według MOP </w:t>
      </w:r>
      <w:r w:rsidR="001F4D4C" w:rsidRPr="0013325B">
        <w:t xml:space="preserve">w </w:t>
      </w:r>
      <w:r w:rsidRPr="0013325B">
        <w:t>około 20% wszystkich przypadków</w:t>
      </w:r>
      <w:r w:rsidR="001F4D4C" w:rsidRPr="0013325B">
        <w:t xml:space="preserve"> praca przymusowa jest konsekwencją handlu ludźmi</w:t>
      </w:r>
      <w:r w:rsidRPr="0013325B">
        <w:t xml:space="preserve">. Przepisy zwalczające </w:t>
      </w:r>
      <w:r w:rsidRPr="001C5F9D">
        <w:t xml:space="preserve">wykorzystywanie ludzi w warunkach pracy przymusowej bądź </w:t>
      </w:r>
      <w:r w:rsidR="001F4D4C" w:rsidRPr="001C5F9D">
        <w:t xml:space="preserve">zbliżonych </w:t>
      </w:r>
      <w:r w:rsidRPr="001C5F9D">
        <w:t xml:space="preserve">do niewolnictwa jako autonomicznego czynu zabronionego </w:t>
      </w:r>
      <w:r w:rsidR="001F4D4C" w:rsidRPr="001C5F9D">
        <w:t xml:space="preserve">będą </w:t>
      </w:r>
      <w:r w:rsidRPr="001C5F9D">
        <w:t xml:space="preserve">zatem potrzebne niezależnie od sposobu, w jaki oni w tych warunkach się znajdą, tj. niezależnie od realizacji </w:t>
      </w:r>
      <w:r w:rsidR="001F4D4C" w:rsidRPr="001C5F9D">
        <w:t>pozostałych znamion</w:t>
      </w:r>
      <w:r w:rsidRPr="001C5F9D">
        <w:t xml:space="preserve"> czynu handlu ludźmi</w:t>
      </w:r>
      <w:r w:rsidRPr="00076546">
        <w:rPr>
          <w:vertAlign w:val="superscript"/>
        </w:rPr>
        <w:footnoteReference w:id="76"/>
      </w:r>
      <w:r w:rsidRPr="00082846">
        <w:t>. Wymagają tego również wspomniane wyżej akty prawa międzynarodowego z obszaru praw człowieka, jednoznacznie zakazujące stosowania niewolnictwa, praktyk podobnych do niego i pracy przymusowej.</w:t>
      </w:r>
    </w:p>
    <w:p w14:paraId="35B5D57B" w14:textId="77777777" w:rsidR="00802C80" w:rsidRPr="00082846" w:rsidRDefault="00802C80" w:rsidP="00802C80">
      <w:pPr>
        <w:pStyle w:val="OpiHA0"/>
      </w:pPr>
      <w:bookmarkStart w:id="10" w:name="_Toc535852143"/>
      <w:r w:rsidRPr="00082846">
        <w:t xml:space="preserve">III. Regionalna </w:t>
      </w:r>
      <w:r w:rsidR="001F4D4C" w:rsidRPr="00082846">
        <w:t xml:space="preserve">reakcja </w:t>
      </w:r>
      <w:r w:rsidRPr="00082846">
        <w:t>na pracę przymusową i prowadzony w jej celu handel ludźmi (paragrafy 22-40)</w:t>
      </w:r>
      <w:bookmarkEnd w:id="10"/>
    </w:p>
    <w:p w14:paraId="1BCBA2A2" w14:textId="0C68B7D5" w:rsidR="00802C80" w:rsidRPr="00082846" w:rsidRDefault="00802C80" w:rsidP="00802C80">
      <w:pPr>
        <w:pStyle w:val="OpiH1"/>
      </w:pPr>
      <w:bookmarkStart w:id="11" w:name="_Toc535852144"/>
      <w:r w:rsidRPr="00082846">
        <w:t>A.</w:t>
      </w:r>
      <w:r w:rsidR="005F47D9">
        <w:t xml:space="preserve"> </w:t>
      </w:r>
      <w:r w:rsidRPr="00082846">
        <w:t>Zarys ogólny (§§ 22-26)</w:t>
      </w:r>
      <w:bookmarkEnd w:id="11"/>
    </w:p>
    <w:p w14:paraId="6E2AD73F" w14:textId="28612BEA" w:rsidR="00802C80" w:rsidRPr="00082846" w:rsidRDefault="00802C80" w:rsidP="00802C80">
      <w:pPr>
        <w:pStyle w:val="OpiPara"/>
      </w:pPr>
      <w:r w:rsidRPr="00082846">
        <w:t>22. Art</w:t>
      </w:r>
      <w:r w:rsidR="00B25512">
        <w:t>.</w:t>
      </w:r>
      <w:r w:rsidRPr="003D7F25">
        <w:t xml:space="preserve"> 6 AKPC zakazuje wszystkich form niewolnictwa, handlu niewolnikami, niedobrowolnego poddaństwa, handlu niewolnikami, handlu kobietami oraz pracy przymusowej lub obowiązkowej. W krajach</w:t>
      </w:r>
      <w:r w:rsidR="00007063">
        <w:t>, w </w:t>
      </w:r>
      <w:r w:rsidRPr="003D7F25">
        <w:t xml:space="preserve">których </w:t>
      </w:r>
      <w:r w:rsidR="00EE0E4F" w:rsidRPr="003D7F25">
        <w:t>określone</w:t>
      </w:r>
      <w:r w:rsidR="001F4D4C" w:rsidRPr="003D7F25">
        <w:t xml:space="preserve"> </w:t>
      </w:r>
      <w:r w:rsidRPr="003D7F25">
        <w:t xml:space="preserve">przestępstwa zagrożone są </w:t>
      </w:r>
      <w:r w:rsidR="00EE0E4F">
        <w:t xml:space="preserve">karą </w:t>
      </w:r>
      <w:r w:rsidR="00EE0E4F" w:rsidRPr="003D7F25">
        <w:t>pozbawieni</w:t>
      </w:r>
      <w:r w:rsidR="00EE0E4F">
        <w:t>a</w:t>
      </w:r>
      <w:r w:rsidR="00EE0E4F" w:rsidRPr="003D7F25">
        <w:t xml:space="preserve"> </w:t>
      </w:r>
      <w:r w:rsidRPr="003D7F25">
        <w:t xml:space="preserve">wolności </w:t>
      </w:r>
      <w:r w:rsidR="001F4D4C" w:rsidRPr="0013325B">
        <w:t>z obowiązkiem wykonywania</w:t>
      </w:r>
      <w:r w:rsidRPr="0013325B">
        <w:t xml:space="preserve"> </w:t>
      </w:r>
      <w:r w:rsidR="001F4D4C" w:rsidRPr="0013325B">
        <w:t xml:space="preserve">ciężkich </w:t>
      </w:r>
      <w:r w:rsidRPr="0013325B">
        <w:t>rob</w:t>
      </w:r>
      <w:r w:rsidR="001F4D4C" w:rsidRPr="0013325B">
        <w:t>ót</w:t>
      </w:r>
      <w:r w:rsidRPr="001C5F9D">
        <w:t xml:space="preserve">, wykonanie takiej kary </w:t>
      </w:r>
      <w:r w:rsidR="001F4D4C" w:rsidRPr="001C5F9D">
        <w:t xml:space="preserve">orzeczonej w wyroku </w:t>
      </w:r>
      <w:r w:rsidRPr="001C5F9D">
        <w:t>właściwego sądu jest dozwolone, jednak „praca przymusowa nie może ujemnie wpływać na godność ani fizyczne lub intelektualne predyspozycje odbywającego karę”. Przepis ten wyłącza również pewne formy pracy lub usług z zakresu znaczeniowego pracy przymusowej lub obowiązkowej</w:t>
      </w:r>
      <w:r w:rsidRPr="00076546">
        <w:rPr>
          <w:vertAlign w:val="superscript"/>
        </w:rPr>
        <w:footnoteReference w:id="77"/>
      </w:r>
      <w:r w:rsidRPr="00082846">
        <w:t xml:space="preserve">. Art. 27 ust. 2 nie zezwala na żadne </w:t>
      </w:r>
      <w:r w:rsidR="00EE0E4F">
        <w:t>odstępstwo od</w:t>
      </w:r>
      <w:r w:rsidR="00EE0E4F" w:rsidRPr="00082846">
        <w:t xml:space="preserve"> </w:t>
      </w:r>
      <w:r w:rsidRPr="00082846">
        <w:t>tego zakazu, nawet w czasie wojny, zagrożenia publicznego czy innego zagrożenia dla niepodległości lub bezpieczeństwa Państwa-Strony.</w:t>
      </w:r>
    </w:p>
    <w:p w14:paraId="7C908724" w14:textId="77777777" w:rsidR="00802C80" w:rsidRPr="00A87024" w:rsidRDefault="00802C80" w:rsidP="00802C80">
      <w:pPr>
        <w:pStyle w:val="OpiPara"/>
      </w:pPr>
      <w:r w:rsidRPr="00082846">
        <w:t xml:space="preserve">23. W art. 7 Międzyamerykańskiej konwencji o handlu nieletnimi Państwa-Strony zobowiązały się do przyjęcia w prawie krajowym skutecznych środków </w:t>
      </w:r>
      <w:r w:rsidR="00440F43" w:rsidRPr="00082846">
        <w:t>mających na</w:t>
      </w:r>
      <w:r w:rsidRPr="00082846">
        <w:t xml:space="preserve"> celu prewencj</w:t>
      </w:r>
      <w:r w:rsidR="00440F43" w:rsidRPr="00082846">
        <w:t>ę</w:t>
      </w:r>
      <w:r w:rsidRPr="00082846">
        <w:t xml:space="preserve"> i surowe karani</w:t>
      </w:r>
      <w:r w:rsidR="00440F43" w:rsidRPr="00082846">
        <w:t>e</w:t>
      </w:r>
      <w:r w:rsidRPr="003D7F25">
        <w:t xml:space="preserve"> </w:t>
      </w:r>
      <w:r w:rsidR="00440F43" w:rsidRPr="003D7F25">
        <w:t xml:space="preserve">czynów polegających na </w:t>
      </w:r>
      <w:r w:rsidRPr="003D7F25">
        <w:t>porwani</w:t>
      </w:r>
      <w:r w:rsidR="00440F43" w:rsidRPr="003D7F25">
        <w:t>u</w:t>
      </w:r>
      <w:r w:rsidRPr="003D7F25">
        <w:t>, uprowadzeni</w:t>
      </w:r>
      <w:r w:rsidR="00440F43" w:rsidRPr="003D7F25">
        <w:t>u</w:t>
      </w:r>
      <w:r w:rsidRPr="003D7F25">
        <w:t xml:space="preserve"> lub </w:t>
      </w:r>
      <w:r w:rsidR="00440F43" w:rsidRPr="003D7F25">
        <w:t>prze</w:t>
      </w:r>
      <w:r w:rsidRPr="0013325B">
        <w:t>trzym</w:t>
      </w:r>
      <w:r w:rsidR="00440F43" w:rsidRPr="0013325B">
        <w:t>yw</w:t>
      </w:r>
      <w:r w:rsidRPr="0013325B">
        <w:t>ani</w:t>
      </w:r>
      <w:r w:rsidR="00440F43" w:rsidRPr="0013325B">
        <w:t>e</w:t>
      </w:r>
      <w:r w:rsidRPr="0013325B">
        <w:t xml:space="preserve"> </w:t>
      </w:r>
      <w:r w:rsidR="00440F43" w:rsidRPr="0013325B">
        <w:t>małoletniego</w:t>
      </w:r>
      <w:r w:rsidR="00440F43" w:rsidRPr="001C5F9D">
        <w:t xml:space="preserve"> </w:t>
      </w:r>
      <w:r w:rsidRPr="001C5F9D">
        <w:t xml:space="preserve">w bezprawnym celu bądź </w:t>
      </w:r>
      <w:r w:rsidR="00440F43" w:rsidRPr="001C5F9D">
        <w:t xml:space="preserve">przy zastosowaniu </w:t>
      </w:r>
      <w:r w:rsidRPr="001C5F9D">
        <w:t>bezprawny</w:t>
      </w:r>
      <w:r w:rsidR="00440F43" w:rsidRPr="001C5F9D">
        <w:t>ch</w:t>
      </w:r>
      <w:r w:rsidRPr="001C5F9D">
        <w:t xml:space="preserve"> metod, także w formie usiłowania. „Bezprawny cel” obejmuje między innymi prostytucję, wykorzystanie seksualne, poddaństwo lub dowolny inny cel </w:t>
      </w:r>
      <w:r w:rsidR="00440F43" w:rsidRPr="001C5F9D">
        <w:t xml:space="preserve">sprzeczny </w:t>
      </w:r>
      <w:r w:rsidRPr="001C5F9D">
        <w:t xml:space="preserve">z prawem czy to w państwie </w:t>
      </w:r>
      <w:r w:rsidR="00440F43" w:rsidRPr="001C5F9D">
        <w:t xml:space="preserve">zwykłego </w:t>
      </w:r>
      <w:r w:rsidRPr="001C5F9D">
        <w:t xml:space="preserve">pobytu </w:t>
      </w:r>
      <w:r w:rsidR="00440F43" w:rsidRPr="001C5F9D">
        <w:t>małoletniego</w:t>
      </w:r>
      <w:r w:rsidRPr="001C5F9D">
        <w:t xml:space="preserve"> czy </w:t>
      </w:r>
      <w:r w:rsidR="00440F43" w:rsidRPr="001F0818">
        <w:t xml:space="preserve">też </w:t>
      </w:r>
      <w:r w:rsidRPr="001F0818">
        <w:t xml:space="preserve">w państwie, w którym osoba ta </w:t>
      </w:r>
      <w:r w:rsidR="00440F43" w:rsidRPr="001F0818">
        <w:t>się znajduje</w:t>
      </w:r>
      <w:r w:rsidRPr="001F0818">
        <w:t xml:space="preserve">. „Bezprawne metody” obejmują między innymi porwanie, wyłudzenie bądź wymuszenie zgody, wręczenie lub otrzymanie </w:t>
      </w:r>
      <w:r w:rsidR="00440F43" w:rsidRPr="001F0818">
        <w:t xml:space="preserve">nieuprawnionych </w:t>
      </w:r>
      <w:r w:rsidRPr="001F0818">
        <w:t xml:space="preserve">płatności lub korzyści w celu uzyskania zgody rodziców, osób lub instytucji, pod których </w:t>
      </w:r>
      <w:r w:rsidR="00440F43" w:rsidRPr="001F0818">
        <w:t>pieczą dziecko pozostaje</w:t>
      </w:r>
      <w:r w:rsidRPr="001F0818">
        <w:t>, a także inne metody</w:t>
      </w:r>
      <w:r w:rsidR="00440F43" w:rsidRPr="001F0818">
        <w:t>, które są sprzeczne</w:t>
      </w:r>
      <w:r w:rsidR="00007063">
        <w:t xml:space="preserve"> z prawem czy to w </w:t>
      </w:r>
      <w:r w:rsidRPr="001F0818">
        <w:t xml:space="preserve">państwie </w:t>
      </w:r>
      <w:r w:rsidR="00440F43" w:rsidRPr="001F0818">
        <w:t xml:space="preserve">zwykłego </w:t>
      </w:r>
      <w:r w:rsidRPr="00A87024">
        <w:t xml:space="preserve">pobytu </w:t>
      </w:r>
      <w:r w:rsidR="00440F43" w:rsidRPr="00A87024">
        <w:t>małoletniego</w:t>
      </w:r>
      <w:r w:rsidR="00590381">
        <w:t>,</w:t>
      </w:r>
      <w:r w:rsidRPr="00A87024">
        <w:t xml:space="preserve"> czy </w:t>
      </w:r>
      <w:r w:rsidR="00440F43" w:rsidRPr="00A87024">
        <w:t xml:space="preserve">też </w:t>
      </w:r>
      <w:r w:rsidRPr="00A87024">
        <w:t xml:space="preserve">w państwie, w którym osoba ta </w:t>
      </w:r>
      <w:r w:rsidR="00440F43" w:rsidRPr="00A87024">
        <w:t>się znajduje</w:t>
      </w:r>
      <w:r w:rsidRPr="00A87024">
        <w:t>. Bezprawny cel ni</w:t>
      </w:r>
      <w:r w:rsidR="00007063">
        <w:t>e uzasadnia bezprawnych metod i </w:t>
      </w:r>
      <w:r w:rsidRPr="00A87024">
        <w:t>odwrotnie.</w:t>
      </w:r>
    </w:p>
    <w:p w14:paraId="4F9D68A3" w14:textId="32DE8491" w:rsidR="00802C80" w:rsidRPr="00082846" w:rsidRDefault="00802C80" w:rsidP="00802C80">
      <w:pPr>
        <w:pStyle w:val="OpiPara"/>
      </w:pPr>
      <w:r w:rsidRPr="00A87024">
        <w:t>24. Art</w:t>
      </w:r>
      <w:r w:rsidR="00B25512">
        <w:t>.</w:t>
      </w:r>
      <w:r w:rsidRPr="00A87024">
        <w:t xml:space="preserve"> 5 AKPCiL zakazuje ws</w:t>
      </w:r>
      <w:r w:rsidR="00007063">
        <w:t>zystkich form wykorzystywania i </w:t>
      </w:r>
      <w:r w:rsidRPr="00A87024">
        <w:t>poniżania człowieka, w szczególności niewolnictwa, handlu niewolnikami, tortur, nieludzkiego lub poniżającego karania i traktowania</w:t>
      </w:r>
      <w:r w:rsidRPr="00076546">
        <w:rPr>
          <w:vertAlign w:val="superscript"/>
        </w:rPr>
        <w:footnoteReference w:id="78"/>
      </w:r>
      <w:r w:rsidRPr="00082846">
        <w:t xml:space="preserve">. W wyroku dotyczącym praktyk zwyczajowych </w:t>
      </w:r>
      <w:r w:rsidRPr="00082846">
        <w:rPr>
          <w:i/>
        </w:rPr>
        <w:t>wahiya</w:t>
      </w:r>
      <w:r w:rsidRPr="00082846">
        <w:t xml:space="preserve"> lub </w:t>
      </w:r>
      <w:r w:rsidRPr="00082846">
        <w:rPr>
          <w:i/>
        </w:rPr>
        <w:t>sadaka</w:t>
      </w:r>
      <w:r w:rsidRPr="00082846">
        <w:t xml:space="preserve"> Trybunał Sprawiedliwości Wspólnoty Gospodarczej Państw Afryki Zachodniej (ECOWAS) stwierdził:</w:t>
      </w:r>
    </w:p>
    <w:p w14:paraId="64C41918" w14:textId="77777777" w:rsidR="00802C80" w:rsidRPr="00082846" w:rsidRDefault="00802C80" w:rsidP="00802C80">
      <w:pPr>
        <w:pStyle w:val="OpiQuot"/>
      </w:pPr>
      <w:r w:rsidRPr="00082846">
        <w:t>„W nigeryjskim prawie karnym, podobnie jak w a</w:t>
      </w:r>
      <w:r w:rsidR="00007063">
        <w:t>ktach międzynarodowych, zakaz i </w:t>
      </w:r>
      <w:r w:rsidRPr="00082846">
        <w:t xml:space="preserve">represja niewolnictwa mają charakter </w:t>
      </w:r>
      <w:r w:rsidR="00440F43" w:rsidRPr="00082846">
        <w:t xml:space="preserve">bezwzględny </w:t>
      </w:r>
      <w:r w:rsidRPr="00082846">
        <w:t xml:space="preserve">i są częścią porządku publicznego. Jak stwierdził Międzynarodowy Trybunał Sprawiedliwości w wyroku </w:t>
      </w:r>
      <w:r w:rsidRPr="00082846">
        <w:rPr>
          <w:i/>
        </w:rPr>
        <w:t>Barcelona Traction</w:t>
      </w:r>
      <w:r w:rsidRPr="003D7F25">
        <w:t xml:space="preserve"> (5 lutego 1970 r.), „delegalizacja niewolnictwa jest </w:t>
      </w:r>
      <w:r w:rsidR="00440F43" w:rsidRPr="003D7F25">
        <w:t xml:space="preserve">obowiązkiem </w:t>
      </w:r>
      <w:r w:rsidRPr="003D7F25">
        <w:t xml:space="preserve">skutecznym </w:t>
      </w:r>
      <w:r w:rsidRPr="003D7F25">
        <w:rPr>
          <w:i/>
        </w:rPr>
        <w:t>erga omnes</w:t>
      </w:r>
      <w:r w:rsidRPr="003D7F25">
        <w:t xml:space="preserve"> nałożonym na wszystkie organy państwa”</w:t>
      </w:r>
      <w:r w:rsidRPr="00076546">
        <w:rPr>
          <w:vertAlign w:val="superscript"/>
        </w:rPr>
        <w:footnoteReference w:id="79"/>
      </w:r>
      <w:r w:rsidRPr="00082846">
        <w:t>.</w:t>
      </w:r>
    </w:p>
    <w:p w14:paraId="52038C6D" w14:textId="1D9074A0" w:rsidR="00802C80" w:rsidRPr="00082846" w:rsidRDefault="00802C80" w:rsidP="00802C80">
      <w:pPr>
        <w:pStyle w:val="OpiPara"/>
      </w:pPr>
      <w:r w:rsidRPr="00082846">
        <w:t>Art</w:t>
      </w:r>
      <w:r w:rsidR="00B25512">
        <w:t>.</w:t>
      </w:r>
      <w:r w:rsidRPr="00082846">
        <w:t xml:space="preserve"> 15 AKPiDD chroni każde dziecko przed </w:t>
      </w:r>
      <w:r w:rsidR="00440F43" w:rsidRPr="00082846">
        <w:t xml:space="preserve">wszelkimi </w:t>
      </w:r>
      <w:r w:rsidRPr="00082846">
        <w:t>formami wyzysku ekonomicznego i wykonywaniem jakiejkolwiek pracy, która może być niebezpieczna lub też może kolidować z rozwojem fizycznym, umysłowym, duchowym, moralnym lub społecznym dziecka. N</w:t>
      </w:r>
      <w:r w:rsidR="00440F43" w:rsidRPr="00082846">
        <w:t>adto n</w:t>
      </w:r>
      <w:r w:rsidRPr="00082846">
        <w:t xml:space="preserve">akłada on </w:t>
      </w:r>
      <w:r w:rsidRPr="003D7F25">
        <w:t>na Państwa-Strony obowiązek podjęcia wszystkich stosownych środków legislacyjnych i administracyjnych w celu zapewnienia pełnej implementacji tego artykułu, z uwzględni</w:t>
      </w:r>
      <w:r w:rsidR="00007063">
        <w:t>eniem zarówno oficjalnych jak i </w:t>
      </w:r>
      <w:r w:rsidRPr="003D7F25">
        <w:t xml:space="preserve">nieoficjalnych sektorów zatrudnienia. Co się </w:t>
      </w:r>
      <w:r w:rsidR="00440F43" w:rsidRPr="003D7F25">
        <w:t xml:space="preserve">tyczy </w:t>
      </w:r>
      <w:r w:rsidRPr="003D7F25">
        <w:t>odnośnych postanowień aktów MOP odnoszących się</w:t>
      </w:r>
      <w:r w:rsidR="00007063">
        <w:t xml:space="preserve"> do dzieci, Państwa-Strony są w </w:t>
      </w:r>
      <w:r w:rsidRPr="003D7F25">
        <w:t xml:space="preserve">szczególności zobowiązane do: a) zapewnienia przepisami prawa minimalnego wieku wymaganego do dopuszczenia do pracy; b) stosownej regulacji godzin i warunków pracy; c) wprowadzenia odpowiednich kar lub innych sankcji, zapewniających skuteczne egzekwowanie artykułu; d) sprzyjania rozpowszechnianiu we wszystkich sektorach społeczności informacji na temat zagrożeń związanych z pracą dzieci. </w:t>
      </w:r>
      <w:r w:rsidR="006B25A8" w:rsidRPr="003D7F25">
        <w:t>Nowszy</w:t>
      </w:r>
      <w:r w:rsidRPr="003D7F25">
        <w:t xml:space="preserve"> art. 9 AKPC zakazuje handlu organami ludzkimi i handlu ludźmi na potrzeby eksperymentów medycznych, zaś a</w:t>
      </w:r>
      <w:r w:rsidRPr="0013325B">
        <w:t>rt. 10 zakazuje „wszystkich form niewolnictwa i handlu ludźmi”</w:t>
      </w:r>
      <w:r w:rsidRPr="00076546">
        <w:rPr>
          <w:vertAlign w:val="superscript"/>
        </w:rPr>
        <w:footnoteReference w:id="80"/>
      </w:r>
      <w:r w:rsidRPr="00082846">
        <w:t xml:space="preserve">. </w:t>
      </w:r>
      <w:r w:rsidR="006B25A8" w:rsidRPr="00082846">
        <w:t>Wreszcie</w:t>
      </w:r>
      <w:r w:rsidRPr="00082846">
        <w:t xml:space="preserve"> art. 9 ust. 1 lit. d Konwencji Unii Afrykańskiej na rzecz ochrony i pomocy osobom przesiedlanym wewnętrznie w Afryce chroni prawo tych osób do wolności od pracy przymusowej.</w:t>
      </w:r>
    </w:p>
    <w:p w14:paraId="6D2F2236" w14:textId="3CF0120F" w:rsidR="00802C80" w:rsidRPr="00082846" w:rsidRDefault="00802C80" w:rsidP="00802C80">
      <w:pPr>
        <w:pStyle w:val="OpiPara"/>
      </w:pPr>
      <w:r w:rsidRPr="00082846">
        <w:t>25. Art</w:t>
      </w:r>
      <w:r w:rsidR="00B25512">
        <w:t>.</w:t>
      </w:r>
      <w:r w:rsidRPr="00082846">
        <w:t xml:space="preserve"> 4 Konwencji WNP zaka</w:t>
      </w:r>
      <w:r w:rsidR="00007063">
        <w:t>zuje niewolnictwa, poddaństwa i </w:t>
      </w:r>
      <w:r w:rsidRPr="00082846">
        <w:t xml:space="preserve">pracy przymusowej lub obowiązkowej, wyłączając jednak z tego zakresu </w:t>
      </w:r>
      <w:r w:rsidR="006B25A8" w:rsidRPr="00082846">
        <w:t xml:space="preserve">niektóre </w:t>
      </w:r>
      <w:r w:rsidRPr="00082846">
        <w:t xml:space="preserve">formy pracy lub usług. Art. 35 nie zezwala na </w:t>
      </w:r>
      <w:r w:rsidR="006B25A8" w:rsidRPr="003D7F25">
        <w:t xml:space="preserve">żadne odstępstwo od zastosowania </w:t>
      </w:r>
      <w:r w:rsidRPr="003D7F25">
        <w:t>art. 4 (ust. 1) — zakazu tortur i poddaństwa. WNP zatwierdziła także Program Współpracy w Zwalczaniu Handlu Ludźmi na lata 2010-2012 i Modelowe przepisy WNP</w:t>
      </w:r>
      <w:r w:rsidRPr="00076546">
        <w:rPr>
          <w:vertAlign w:val="superscript"/>
        </w:rPr>
        <w:footnoteReference w:id="81"/>
      </w:r>
      <w:r w:rsidRPr="00082846">
        <w:t xml:space="preserve">. W kwietniu 2012 r. </w:t>
      </w:r>
      <w:r w:rsidR="00590381">
        <w:t>Rada Europy, Organizacja</w:t>
      </w:r>
      <w:r w:rsidRPr="00082846">
        <w:t xml:space="preserve"> Bezpieczeństwa i Współpracy w Europie (OBWE), Międzyparlamentarne Zgromadzenie WNP i Komitet Wykonawczy WNP </w:t>
      </w:r>
      <w:r w:rsidR="00590381">
        <w:t>wspólnie zorganizował</w:t>
      </w:r>
      <w:r w:rsidRPr="00082846">
        <w:t>y w Sankt Petersburgu w Federacji Rosyjskiej okrągły stół na temat zwalczania handlu ludźmi</w:t>
      </w:r>
      <w:r w:rsidRPr="00076546">
        <w:rPr>
          <w:vertAlign w:val="superscript"/>
        </w:rPr>
        <w:footnoteReference w:id="82"/>
      </w:r>
      <w:r w:rsidRPr="00082846">
        <w:t>. Stworzył on nową platformę dla rozwoju współpracy między Radą Europy, OBWE</w:t>
      </w:r>
      <w:r w:rsidR="00007063">
        <w:t xml:space="preserve"> i </w:t>
      </w:r>
      <w:r w:rsidRPr="00082846">
        <w:t>WNP, ukierunkowanej na gromadzenie i wymianę dobrych praktyk.</w:t>
      </w:r>
    </w:p>
    <w:p w14:paraId="4440720B" w14:textId="60F1AE9A" w:rsidR="00802C80" w:rsidRPr="00082846" w:rsidRDefault="00802C80" w:rsidP="00802C80">
      <w:pPr>
        <w:pStyle w:val="OpiPara"/>
      </w:pPr>
      <w:r w:rsidRPr="00082846">
        <w:t>Art</w:t>
      </w:r>
      <w:r w:rsidR="00B25512">
        <w:t>.</w:t>
      </w:r>
      <w:r w:rsidRPr="00082846">
        <w:t xml:space="preserve"> 5 Konwencji Stowarzyszenia Narodów Azji Południowo-Wschodniej przeciwko handlowi ludźmi, zwłaszcza kobietami i dziećmi, który jeszcze nie wszedł w życie, ustanawia obowiązek kryminalizacji handlu ludźmi, mający zakres taki sam jak w Protokole z Palermo</w:t>
      </w:r>
      <w:r w:rsidRPr="00076546">
        <w:rPr>
          <w:vertAlign w:val="superscript"/>
        </w:rPr>
        <w:footnoteReference w:id="83"/>
      </w:r>
      <w:r w:rsidRPr="00082846">
        <w:t>.</w:t>
      </w:r>
    </w:p>
    <w:p w14:paraId="7763F692" w14:textId="77777777" w:rsidR="00802C80" w:rsidRPr="00082846" w:rsidRDefault="00802C80" w:rsidP="00802C80">
      <w:pPr>
        <w:pStyle w:val="OpiPara"/>
      </w:pPr>
      <w:r w:rsidRPr="00082846">
        <w:t xml:space="preserve">26. Zobowiązania polityczne OBWE w zakresie zwalczania handlu ludźmi podjęte od 2000 r. przez konsensus na dorocznych posiedzeniach Rady Ministerialnej OBWE i uzgadniane przez uczestniczące państwa stanowią kompleksowe ramy działań </w:t>
      </w:r>
      <w:r w:rsidR="006B25A8" w:rsidRPr="00082846">
        <w:t xml:space="preserve">skierowanych </w:t>
      </w:r>
      <w:r w:rsidRPr="00082846">
        <w:t>przeciwko handlowi ludźmi</w:t>
      </w:r>
      <w:r w:rsidRPr="00076546">
        <w:rPr>
          <w:vertAlign w:val="superscript"/>
        </w:rPr>
        <w:footnoteReference w:id="84"/>
      </w:r>
      <w:r w:rsidRPr="00082846">
        <w:t>. W 2003 r. OBWE zatwierdziła Plan Działań w celu zwalczania handlu ludźmi oraz powołała Urząd i stanowisko Specjalnego Przedstawiciela i Koordynatora do spraw zwalczania handlu ludźmi w celu wspomagania państw członkowskich przy opracowywaniu i wdrażaniu skutecznych regulacji.</w:t>
      </w:r>
    </w:p>
    <w:p w14:paraId="50F7326E" w14:textId="32C42C07" w:rsidR="00802C80" w:rsidRPr="00082846" w:rsidRDefault="00802C80" w:rsidP="00802C80">
      <w:pPr>
        <w:pStyle w:val="OpiH1"/>
      </w:pPr>
      <w:bookmarkStart w:id="12" w:name="_Toc535852145"/>
      <w:r w:rsidRPr="00082846">
        <w:t>B.</w:t>
      </w:r>
      <w:r w:rsidR="005F47D9">
        <w:t xml:space="preserve"> </w:t>
      </w:r>
      <w:r w:rsidRPr="00082846">
        <w:t>W ramach Unii Europejskiej (paragrafy 27-31)</w:t>
      </w:r>
      <w:bookmarkEnd w:id="12"/>
    </w:p>
    <w:p w14:paraId="36567550" w14:textId="77777777" w:rsidR="00802C80" w:rsidRPr="00082846" w:rsidRDefault="00802C80" w:rsidP="00802C80">
      <w:pPr>
        <w:pStyle w:val="OpiPara"/>
      </w:pPr>
      <w:r w:rsidRPr="00082846">
        <w:t xml:space="preserve">27. Na terytorium Unii Europejskiej handel ludźmi </w:t>
      </w:r>
      <w:r w:rsidR="006B25A8" w:rsidRPr="00082846">
        <w:t xml:space="preserve">początkowo kojarzono </w:t>
      </w:r>
      <w:r w:rsidRPr="00082846">
        <w:t xml:space="preserve">ze zmuszaniem do prostytucji i wykorzystywaniem seksualnym </w:t>
      </w:r>
      <w:r w:rsidR="006B25A8" w:rsidRPr="003D7F25">
        <w:t>małoletnich</w:t>
      </w:r>
      <w:r w:rsidRPr="003D7F25">
        <w:t xml:space="preserve">. </w:t>
      </w:r>
      <w:r w:rsidR="006B25A8" w:rsidRPr="003D7F25">
        <w:t>Już z</w:t>
      </w:r>
      <w:r w:rsidRPr="003D7F25">
        <w:t>ałącznik do Konwencji o Europolu</w:t>
      </w:r>
      <w:r w:rsidRPr="00076546">
        <w:rPr>
          <w:vertAlign w:val="superscript"/>
        </w:rPr>
        <w:footnoteReference w:id="85"/>
      </w:r>
      <w:r w:rsidRPr="00082846">
        <w:t xml:space="preserve"> zawiera</w:t>
      </w:r>
      <w:r w:rsidR="006B25A8" w:rsidRPr="00082846">
        <w:t>ł</w:t>
      </w:r>
      <w:r w:rsidRPr="00082846">
        <w:t xml:space="preserve"> następującą definicję handlu ludźmi prowadzonego w celu wykorzystania seksualnego: „«handel ludźmi» oznacza podda</w:t>
      </w:r>
      <w:r w:rsidR="00007063">
        <w:t>nie danej osoby rzeczywistemu i </w:t>
      </w:r>
      <w:r w:rsidRPr="00082846">
        <w:t>nielegalnemu wywieraniu wpływu przez inne osoby w drodze stosowania siły lub groźby, względnie w drodze n</w:t>
      </w:r>
      <w:r w:rsidR="00007063">
        <w:t>adużycia władzy albo podstęp, w </w:t>
      </w:r>
      <w:r w:rsidRPr="00082846">
        <w:t>szczególności w związku z czerpaniem korzyści z prostytucji, z formami seksualnego wykorzystywania oraz naruszaniem nietykalności cielesnej małoletnich, lub handlem porzuconymi dziećmi”.</w:t>
      </w:r>
    </w:p>
    <w:p w14:paraId="2DDF3F40" w14:textId="77777777" w:rsidR="00802C80" w:rsidRPr="003D7F25" w:rsidRDefault="00802C80" w:rsidP="00802C80">
      <w:pPr>
        <w:pStyle w:val="OpiPara"/>
      </w:pPr>
      <w:r w:rsidRPr="00082846">
        <w:t xml:space="preserve">28. Dnia 18 </w:t>
      </w:r>
      <w:r w:rsidR="006B25A8" w:rsidRPr="003D7F25">
        <w:t xml:space="preserve">stycznia </w:t>
      </w:r>
      <w:r w:rsidRPr="003D7F25">
        <w:t>1996 r. Parlament</w:t>
      </w:r>
      <w:r w:rsidR="00007063">
        <w:t xml:space="preserve"> Europejski przyjął Rezolucję o </w:t>
      </w:r>
      <w:r w:rsidRPr="003D7F25">
        <w:t>handlu ludźmi. Rok później Rada Unii Europejskiej przyjęła wspólne działanie 97/154/WSiSW z dnia 24 lutego 1997 r., dotyczące działań mających na celu zwalczanie handlu ludźmi i seksualnego wykorzystywania dzieci, co odnosi się do: „jakiegokolwiek postępowania ułatwiającego</w:t>
      </w:r>
      <w:r w:rsidR="006B25A8" w:rsidRPr="003D7F25">
        <w:t xml:space="preserve"> </w:t>
      </w:r>
      <w:r w:rsidRPr="003D7F25">
        <w:t>wjazd, tranzyt, pobyt lub wyjazd z terytorium Państwa Członkowskiego” (…) „dla osiągnięcia</w:t>
      </w:r>
      <w:r w:rsidR="006B25A8" w:rsidRPr="003D7F25">
        <w:t xml:space="preserve"> </w:t>
      </w:r>
      <w:r w:rsidRPr="003D7F25">
        <w:t>korzyści materialnych, w celu ich wykorzystania seksualnego”.</w:t>
      </w:r>
    </w:p>
    <w:p w14:paraId="688A5523" w14:textId="77777777" w:rsidR="00802C80" w:rsidRPr="003D7F25" w:rsidRDefault="00802C80" w:rsidP="00802C80">
      <w:pPr>
        <w:pStyle w:val="OpiPara"/>
      </w:pPr>
      <w:r w:rsidRPr="0013325B">
        <w:t xml:space="preserve">29. W ślad za zakazem handlu ludźmi </w:t>
      </w:r>
      <w:r w:rsidR="006B25A8" w:rsidRPr="0013325B">
        <w:t xml:space="preserve">ustanowionym </w:t>
      </w:r>
      <w:r w:rsidRPr="0013325B">
        <w:t>w art. 5 ust. 3 Karty Praw Podstawowych UE</w:t>
      </w:r>
      <w:r w:rsidRPr="00076546">
        <w:rPr>
          <w:vertAlign w:val="superscript"/>
        </w:rPr>
        <w:footnoteReference w:id="86"/>
      </w:r>
      <w:r w:rsidRPr="00082846">
        <w:t xml:space="preserve"> Rada Unii Europejskiej zatwierdziła Decyzję ramową z dnia 19 lutego 2002 r. w sprawie zwalczania handlu ludźmi, która zastąpiła wspólne działanie</w:t>
      </w:r>
      <w:r w:rsidRPr="00076546">
        <w:rPr>
          <w:vertAlign w:val="superscript"/>
        </w:rPr>
        <w:footnoteReference w:id="87"/>
      </w:r>
      <w:r w:rsidRPr="00082846">
        <w:t xml:space="preserve">. Zobowiązanie do kryminalizacji handlu ludźmi </w:t>
      </w:r>
      <w:r w:rsidR="006B25A8" w:rsidRPr="00082846">
        <w:t xml:space="preserve">wzorowane </w:t>
      </w:r>
      <w:r w:rsidRPr="00082846">
        <w:t>jest na Protokole z Palermo, z następującymi istotnymi różnicami: sytuację bezbronności zdefiniowano</w:t>
      </w:r>
      <w:r w:rsidR="006B25A8" w:rsidRPr="00082846">
        <w:t xml:space="preserve"> następująco</w:t>
      </w:r>
      <w:r w:rsidRPr="00082846">
        <w:t xml:space="preserve">: „gdy dana osoba nie ma innego – realnego lub możliwego do zaakceptowania – wyboru niż poddanie się nadużyciu”; wyczerpująca lista celów działania obejmuje pracę przymusową i pornografię, lecz nie usunięcie organów, </w:t>
      </w:r>
      <w:r w:rsidR="006B25A8" w:rsidRPr="00082846">
        <w:t xml:space="preserve">dodano </w:t>
      </w:r>
      <w:r w:rsidRPr="00082846">
        <w:t xml:space="preserve">zasadę proporcjonalności i </w:t>
      </w:r>
      <w:r w:rsidR="00345EE4" w:rsidRPr="003D7F25">
        <w:t>odstraszający charakter</w:t>
      </w:r>
      <w:r w:rsidRPr="003D7F25">
        <w:t xml:space="preserve"> kar, przewidziano również typy kwalifikowane czynów zabronionych.</w:t>
      </w:r>
    </w:p>
    <w:p w14:paraId="1DF10638" w14:textId="02788AAB" w:rsidR="00802C80" w:rsidRPr="00082846" w:rsidRDefault="00802C80" w:rsidP="00802C80">
      <w:pPr>
        <w:pStyle w:val="OpiPara"/>
      </w:pPr>
      <w:r w:rsidRPr="003D7F25">
        <w:t>30. Kilka lat później Dyrektywa 2004/81/WE określiła ramy prawne udzielania zezwoleń na pobyt ofiarom handlu ludźmi spoza EU</w:t>
      </w:r>
      <w:r w:rsidRPr="00076546">
        <w:rPr>
          <w:vertAlign w:val="superscript"/>
        </w:rPr>
        <w:footnoteReference w:id="88"/>
      </w:r>
      <w:r w:rsidRPr="00082846">
        <w:t xml:space="preserve">, zaś Dyrektywa 2009/52/WE określiła ramy dla wymierzania przez </w:t>
      </w:r>
      <w:r w:rsidR="00452E9C" w:rsidRPr="00082846">
        <w:t xml:space="preserve">Państwa </w:t>
      </w:r>
      <w:r w:rsidRPr="00082846">
        <w:t xml:space="preserve">członkowskie sankcji </w:t>
      </w:r>
      <w:r w:rsidR="00345EE4" w:rsidRPr="00082846">
        <w:t xml:space="preserve">wobec pracodawców </w:t>
      </w:r>
      <w:r w:rsidRPr="00082846">
        <w:t>świadomie zatrudniający</w:t>
      </w:r>
      <w:r w:rsidR="00345EE4" w:rsidRPr="00082846">
        <w:t>ch</w:t>
      </w:r>
      <w:r w:rsidRPr="00082846">
        <w:t xml:space="preserve"> nielegalnie przebywających pracowników z krajów trzecich</w:t>
      </w:r>
      <w:r w:rsidRPr="00076546">
        <w:rPr>
          <w:vertAlign w:val="superscript"/>
        </w:rPr>
        <w:footnoteReference w:id="89"/>
      </w:r>
      <w:r w:rsidRPr="00082846">
        <w:t xml:space="preserve">. W 2010 r. Komisja Europejska powołała Koordynatora UE ds. przeciwdziałania handlowi ludźmi w celu usprawnienia koordynacji między instytucjami UE, jej agencjami, </w:t>
      </w:r>
      <w:r w:rsidR="00452E9C" w:rsidRPr="00082846">
        <w:t xml:space="preserve">Państwami </w:t>
      </w:r>
      <w:r w:rsidRPr="00082846">
        <w:t xml:space="preserve">członkowskimi i </w:t>
      </w:r>
      <w:r w:rsidR="00345EE4" w:rsidRPr="00082846">
        <w:t xml:space="preserve">podmiotami </w:t>
      </w:r>
      <w:r w:rsidRPr="00082846">
        <w:t xml:space="preserve">na arenie międzynarodowej przy wdrażaniu przepisów i regulacji unijnych </w:t>
      </w:r>
      <w:r w:rsidR="00345EE4" w:rsidRPr="00082846">
        <w:t xml:space="preserve">skierowanych </w:t>
      </w:r>
      <w:r w:rsidRPr="00082846">
        <w:t>przeciwko handlowi ludźmi, w odpowiedzi na wezwanie zawarte w zatwierdzonej w tym samym roku Rezolucji Parlamentu Europejskiego w sprawie zwalczania handlu ludźmi</w:t>
      </w:r>
      <w:r w:rsidRPr="00076546">
        <w:rPr>
          <w:vertAlign w:val="superscript"/>
        </w:rPr>
        <w:footnoteReference w:id="90"/>
      </w:r>
      <w:r w:rsidRPr="00082846">
        <w:t>.</w:t>
      </w:r>
    </w:p>
    <w:p w14:paraId="42885867" w14:textId="656C6CD4" w:rsidR="00802C80" w:rsidRPr="003D7F25" w:rsidRDefault="00802C80" w:rsidP="00802C80">
      <w:pPr>
        <w:pStyle w:val="OpiPara"/>
      </w:pPr>
      <w:r w:rsidRPr="00082846">
        <w:t xml:space="preserve">31. </w:t>
      </w:r>
      <w:r w:rsidR="00345EE4" w:rsidRPr="00082846">
        <w:t>Wreszcie</w:t>
      </w:r>
      <w:r w:rsidRPr="00082846">
        <w:t xml:space="preserve"> Dyrektywa Parlamentu Europejskiego i Rady 2011/36/UE z dnia 5 kwietnia 2011 r. w sprawie</w:t>
      </w:r>
      <w:r w:rsidR="00007063">
        <w:t xml:space="preserve"> zapobiegania handlowi ludźmi i </w:t>
      </w:r>
      <w:r w:rsidRPr="00082846">
        <w:t>zwalczania tego procederu oraz ochrony ofiar zastąpiła Decyzję ramową, przyjmując zintegrowane, holistyczne</w:t>
      </w:r>
      <w:r w:rsidR="00160EE7">
        <w:t>,</w:t>
      </w:r>
      <w:r w:rsidRPr="00082846">
        <w:t xml:space="preserve"> o niskim progu dostępności </w:t>
      </w:r>
      <w:r w:rsidR="00160EE7">
        <w:t xml:space="preserve">i </w:t>
      </w:r>
      <w:r w:rsidRPr="00082846">
        <w:t>oparte na prawach człowieka podejście do zwalczania handlu ludźmi oraz kontekstowe, uwzględniające kwestie płci i dzieci</w:t>
      </w:r>
      <w:r w:rsidR="0070041B">
        <w:t>,</w:t>
      </w:r>
      <w:r w:rsidRPr="00082846">
        <w:t xml:space="preserve"> rozumienie różnych form handlu, biorąc sobie za cel zapewnienie, aby każda z form była zwalczana najbardziej skutecznymi środkami</w:t>
      </w:r>
      <w:r w:rsidRPr="00076546">
        <w:rPr>
          <w:vertAlign w:val="superscript"/>
        </w:rPr>
        <w:footnoteReference w:id="91"/>
      </w:r>
      <w:r w:rsidRPr="00082846">
        <w:t>. Najważniejsz</w:t>
      </w:r>
      <w:r w:rsidR="00345EE4" w:rsidRPr="00082846">
        <w:t>ym</w:t>
      </w:r>
      <w:r w:rsidRPr="00082846">
        <w:t xml:space="preserve"> </w:t>
      </w:r>
      <w:r w:rsidR="00345EE4" w:rsidRPr="00076546">
        <w:rPr>
          <w:i/>
        </w:rPr>
        <w:t>novum</w:t>
      </w:r>
      <w:r w:rsidR="00345EE4" w:rsidRPr="00082846">
        <w:t xml:space="preserve"> </w:t>
      </w:r>
      <w:r w:rsidRPr="00082846">
        <w:t>w Dyrektywie jest szerzej zakrojone pojęcie handlu ludźmi w porównaniu do Decyzji ramowej, z uwzględnienie</w:t>
      </w:r>
      <w:r w:rsidR="00345EE4" w:rsidRPr="00082846">
        <w:t>m</w:t>
      </w:r>
      <w:r w:rsidRPr="00082846">
        <w:t xml:space="preserve"> form wykorzystania celowego takich jak zmuszanie do żebrania, do popełniania czynów zabronionych (</w:t>
      </w:r>
      <w:r w:rsidR="00345EE4" w:rsidRPr="00082846">
        <w:t>m.in.</w:t>
      </w:r>
      <w:r w:rsidR="00007063">
        <w:t> </w:t>
      </w:r>
      <w:r w:rsidR="00A44AC9">
        <w:t>kradzieży kieszonkowej</w:t>
      </w:r>
      <w:r w:rsidRPr="00082846">
        <w:t>, kradzieży sklepowych, handlu narkotykami i innych podobnych czynów zabronionych pod groźbą kary</w:t>
      </w:r>
      <w:r w:rsidR="00345EE4" w:rsidRPr="00082846">
        <w:t>,</w:t>
      </w:r>
      <w:r w:rsidRPr="00082846">
        <w:t xml:space="preserve"> a związanych z</w:t>
      </w:r>
      <w:r w:rsidR="00007063">
        <w:t> </w:t>
      </w:r>
      <w:r w:rsidR="00345EE4" w:rsidRPr="00082846">
        <w:t xml:space="preserve">korzyścią </w:t>
      </w:r>
      <w:r w:rsidR="00345EE4" w:rsidRPr="003D7F25">
        <w:t>finansową</w:t>
      </w:r>
      <w:r w:rsidRPr="003D7F25">
        <w:t>), wymuszone usuwanie organów, nielegalna adopcja, wymuszone małżeństwo. Niezwłocznie po ogłoszeniu Dyrektywy uruchomiono Strategię UE na rzecz wyeliminowania handlu ludźmi na lata 2012–2016.</w:t>
      </w:r>
    </w:p>
    <w:p w14:paraId="03B43AE4" w14:textId="0B97EF64" w:rsidR="00802C80" w:rsidRPr="003D7F25" w:rsidRDefault="00802C80" w:rsidP="00802C80">
      <w:pPr>
        <w:pStyle w:val="OpiH1"/>
      </w:pPr>
      <w:bookmarkStart w:id="13" w:name="_Toc535852146"/>
      <w:r w:rsidRPr="003D7F25">
        <w:t>C.</w:t>
      </w:r>
      <w:r w:rsidR="005F47D9">
        <w:t xml:space="preserve"> </w:t>
      </w:r>
      <w:r w:rsidRPr="003D7F25">
        <w:t>W ramach Rady Europy (paragrafy 32-40)</w:t>
      </w:r>
      <w:bookmarkEnd w:id="13"/>
    </w:p>
    <w:p w14:paraId="3443FDA4" w14:textId="77777777" w:rsidR="00802C80" w:rsidRPr="00082846" w:rsidRDefault="00802C80" w:rsidP="00802C80">
      <w:pPr>
        <w:pStyle w:val="OpiPara"/>
      </w:pPr>
      <w:r w:rsidRPr="003D7F25">
        <w:t>32. Konwencja zakazuje niewolnictwa i poddaństwa</w:t>
      </w:r>
      <w:r w:rsidRPr="00076546">
        <w:rPr>
          <w:vertAlign w:val="superscript"/>
        </w:rPr>
        <w:footnoteReference w:id="92"/>
      </w:r>
      <w:r w:rsidRPr="00082846">
        <w:t xml:space="preserve">. Zakazuje ona także pracy przymusowej i obowiązkowej, </w:t>
      </w:r>
      <w:r w:rsidR="00345EE4" w:rsidRPr="00082846">
        <w:t xml:space="preserve">jednocześnie </w:t>
      </w:r>
      <w:r w:rsidRPr="00082846">
        <w:t xml:space="preserve">wyłączając </w:t>
      </w:r>
      <w:r w:rsidR="00007063">
        <w:t>z </w:t>
      </w:r>
      <w:r w:rsidRPr="00082846">
        <w:t>zakresu tego pojęcia pewne formy pracy i usług</w:t>
      </w:r>
      <w:r w:rsidRPr="00076546">
        <w:rPr>
          <w:vertAlign w:val="superscript"/>
        </w:rPr>
        <w:footnoteReference w:id="93"/>
      </w:r>
      <w:r w:rsidRPr="00082846">
        <w:t xml:space="preserve">. W przełomowej sprawie </w:t>
      </w:r>
      <w:r w:rsidRPr="00082846">
        <w:rPr>
          <w:i/>
        </w:rPr>
        <w:t>Van der Mussele</w:t>
      </w:r>
      <w:r w:rsidRPr="00076546">
        <w:rPr>
          <w:vertAlign w:val="superscript"/>
        </w:rPr>
        <w:footnoteReference w:id="94"/>
      </w:r>
      <w:r w:rsidRPr="00082846">
        <w:t xml:space="preserve"> Trybunał </w:t>
      </w:r>
      <w:r w:rsidR="00345EE4" w:rsidRPr="00082846">
        <w:t>zważył</w:t>
      </w:r>
      <w:r w:rsidRPr="00082846">
        <w:t>, że ten paragraf</w:t>
      </w:r>
    </w:p>
    <w:p w14:paraId="2F665AFD" w14:textId="77777777" w:rsidR="00802C80" w:rsidRPr="00082846" w:rsidRDefault="00802C80" w:rsidP="00802C80">
      <w:pPr>
        <w:pStyle w:val="OpiQuot"/>
      </w:pPr>
      <w:r w:rsidRPr="00082846">
        <w:t>„nie ma na celu «ograniczenia» wykonywania prawa gwarantowanego przez ust. 2, lecz «wyznaczenie» samej treści tego prawa, bowiem tworzy ono jedną całość z ust. 2 i wskazuje, czego termin „przymusowa lub obowiązkowa” nie powinien obejmować. W takim stanie rzeczy ust. 3 służy jako pomoc interpretacyjna dla ust. 2. Cztery dalsze punkty ust. 3, mimo swej różnorodności, opierają się na dominujących ideach interesu powszechnego, solidarności społecznej i tego, co jest normalne w zwykłym toku spraw”.</w:t>
      </w:r>
    </w:p>
    <w:p w14:paraId="04BD70A8" w14:textId="77777777" w:rsidR="00802C80" w:rsidRPr="00082846" w:rsidRDefault="00802C80" w:rsidP="00802C80">
      <w:pPr>
        <w:pStyle w:val="OpiPara"/>
      </w:pPr>
      <w:r w:rsidRPr="00082846">
        <w:t xml:space="preserve">Trybunał uznał wpływ Konwencji </w:t>
      </w:r>
      <w:r w:rsidR="00007063">
        <w:t>MOP nr 29 na art. 4 Konwencji i </w:t>
      </w:r>
      <w:r w:rsidRPr="00082846">
        <w:t xml:space="preserve">zważył, że definicja pojęcia „praca przymusowa lub obowiązkowa” jako „wszelkiej pracy lub usług wymaganych od jakiejś osoby pod groźbą jakiejkolwiek kary i do których dana osoba nie zgłosiła się dobrowolnie” </w:t>
      </w:r>
      <w:r w:rsidR="00345EE4" w:rsidRPr="00082846">
        <w:t xml:space="preserve">może </w:t>
      </w:r>
      <w:r w:rsidRPr="003D7F25">
        <w:t>stanowić punkt wyjścia dla interpretacji art. 4 Konwencji</w:t>
      </w:r>
      <w:r w:rsidRPr="00076546">
        <w:rPr>
          <w:vertAlign w:val="superscript"/>
        </w:rPr>
        <w:footnoteReference w:id="95"/>
      </w:r>
      <w:r w:rsidRPr="00082846">
        <w:t>.</w:t>
      </w:r>
      <w:r w:rsidRPr="00082846">
        <w:rPr>
          <w:vertAlign w:val="superscript"/>
        </w:rPr>
        <w:t xml:space="preserve"> </w:t>
      </w:r>
      <w:r w:rsidR="00F50318" w:rsidRPr="00082846">
        <w:t>Przyznając</w:t>
      </w:r>
      <w:r w:rsidRPr="00082846">
        <w:t xml:space="preserve">, że praca </w:t>
      </w:r>
      <w:r w:rsidR="00F50318" w:rsidRPr="00082846">
        <w:t xml:space="preserve">w żadnym razie </w:t>
      </w:r>
      <w:r w:rsidRPr="00082846">
        <w:t>nie ogranicza się do pracy fizycznej</w:t>
      </w:r>
      <w:r w:rsidRPr="00076546">
        <w:rPr>
          <w:vertAlign w:val="superscript"/>
        </w:rPr>
        <w:footnoteReference w:id="96"/>
      </w:r>
      <w:r w:rsidRPr="00082846">
        <w:t>, Trybunał ocenił, czy doszło do pracy „p</w:t>
      </w:r>
      <w:r w:rsidR="00007063">
        <w:t>rzymusowej lub obowiązkowej”. W </w:t>
      </w:r>
      <w:r w:rsidRPr="00082846">
        <w:t>ocenie Trybunału</w:t>
      </w:r>
    </w:p>
    <w:p w14:paraId="7297A137" w14:textId="77777777" w:rsidR="00802C80" w:rsidRPr="00082846" w:rsidRDefault="00802C80" w:rsidP="00116B8E">
      <w:pPr>
        <w:pStyle w:val="OpiQuot"/>
        <w:rPr>
          <w:sz w:val="24"/>
          <w:vertAlign w:val="superscript"/>
        </w:rPr>
      </w:pPr>
      <w:r w:rsidRPr="00082846">
        <w:t>„Pierwszy z tych przymiotników przywodzi na myśl wyobrażenie przymusu fizycznego lub psychicznego — czynnika</w:t>
      </w:r>
      <w:r w:rsidR="00F50318" w:rsidRPr="00082846">
        <w:t>, z którym</w:t>
      </w:r>
      <w:r w:rsidRPr="00082846">
        <w:t xml:space="preserve"> z pewnością nie</w:t>
      </w:r>
      <w:r w:rsidR="00F50318" w:rsidRPr="00082846">
        <w:t xml:space="preserve"> mamy do czynienia</w:t>
      </w:r>
      <w:r w:rsidRPr="00082846">
        <w:t xml:space="preserve"> w niniejszej</w:t>
      </w:r>
      <w:r w:rsidR="00F50318" w:rsidRPr="00082846">
        <w:t xml:space="preserve"> sprawie</w:t>
      </w:r>
      <w:r w:rsidRPr="003D7F25">
        <w:t xml:space="preserve">. </w:t>
      </w:r>
      <w:r w:rsidR="00F50318" w:rsidRPr="003D7F25">
        <w:t xml:space="preserve">Drugi przymiotnik </w:t>
      </w:r>
      <w:r w:rsidRPr="003D7F25">
        <w:t xml:space="preserve">nie może odnosić się do całkowicie dowolnej formy prawnego przymusu lub zobowiązania. (…) </w:t>
      </w:r>
      <w:r w:rsidR="00F50318" w:rsidRPr="003D7F25">
        <w:t>Mu</w:t>
      </w:r>
      <w:r w:rsidR="00F50318" w:rsidRPr="0013325B">
        <w:t>si natomiast wystąpić</w:t>
      </w:r>
      <w:r w:rsidRPr="0013325B">
        <w:t xml:space="preserve"> praca «wymagana pod groźbą jakiejkolwiek kary» oraz wykonywana wbrew woli osoby zainteresowanej, do której to pracy osoba ta «nie zgłosiła się dobrowolnie»</w:t>
      </w:r>
      <w:r w:rsidRPr="00076546">
        <w:rPr>
          <w:sz w:val="24"/>
          <w:vertAlign w:val="superscript"/>
        </w:rPr>
        <w:footnoteReference w:id="97"/>
      </w:r>
      <w:r w:rsidRPr="00082846">
        <w:rPr>
          <w:sz w:val="24"/>
          <w:vertAlign w:val="superscript"/>
        </w:rPr>
        <w:t>.</w:t>
      </w:r>
    </w:p>
    <w:p w14:paraId="3E10A00F" w14:textId="77777777" w:rsidR="00802C80" w:rsidRPr="001C5F9D" w:rsidRDefault="00802C80" w:rsidP="00802C80">
      <w:pPr>
        <w:pStyle w:val="OpiPara"/>
      </w:pPr>
      <w:r w:rsidRPr="00082846">
        <w:t xml:space="preserve">W okolicznościach sprawy sam fakt uprzedniej zgody skarżącego nie uzasadniał </w:t>
      </w:r>
      <w:r w:rsidR="006F2F8C" w:rsidRPr="00082846">
        <w:t xml:space="preserve">przyjęcia </w:t>
      </w:r>
      <w:r w:rsidRPr="00082846">
        <w:t>wniosku, że spo</w:t>
      </w:r>
      <w:r w:rsidR="00007063">
        <w:t>czywające na nim zobowiązania w </w:t>
      </w:r>
      <w:r w:rsidRPr="00082846">
        <w:t xml:space="preserve">zakresie pomocy prawnej nie stanowią pracy przymusowej na cele art. 4 ust. 2 Konwencji. Zdaniem Trybunału niezbędne jest uwzględnienie innych czynników, w tym </w:t>
      </w:r>
      <w:r w:rsidR="006F2F8C" w:rsidRPr="00082846">
        <w:t xml:space="preserve">tego, </w:t>
      </w:r>
      <w:r w:rsidRPr="00082846">
        <w:t xml:space="preserve">czy nałożony na </w:t>
      </w:r>
      <w:r w:rsidR="006F2F8C" w:rsidRPr="00082846">
        <w:t xml:space="preserve">skarżącego </w:t>
      </w:r>
      <w:r w:rsidRPr="00082846">
        <w:t xml:space="preserve">ciężar był nieproporcjonalny. </w:t>
      </w:r>
      <w:r w:rsidR="006F2F8C" w:rsidRPr="003D7F25">
        <w:t xml:space="preserve">Chociaż </w:t>
      </w:r>
      <w:r w:rsidRPr="003D7F25">
        <w:t>prac</w:t>
      </w:r>
      <w:r w:rsidR="006F2F8C" w:rsidRPr="003D7F25">
        <w:t>ę</w:t>
      </w:r>
      <w:r w:rsidRPr="003D7F25">
        <w:t xml:space="preserve"> za wynagrodzeniem również moż</w:t>
      </w:r>
      <w:r w:rsidR="006F2F8C" w:rsidRPr="003D7F25">
        <w:t>na</w:t>
      </w:r>
      <w:r w:rsidRPr="003D7F25">
        <w:t xml:space="preserve"> </w:t>
      </w:r>
      <w:r w:rsidR="006F2F8C" w:rsidRPr="003D7F25">
        <w:t>za</w:t>
      </w:r>
      <w:r w:rsidRPr="003D7F25">
        <w:t>kwalifikować jako przymusow</w:t>
      </w:r>
      <w:r w:rsidR="006F2F8C" w:rsidRPr="0013325B">
        <w:t>ą</w:t>
      </w:r>
      <w:r w:rsidRPr="0013325B">
        <w:t xml:space="preserve"> lub obowiązkow</w:t>
      </w:r>
      <w:r w:rsidR="006F2F8C" w:rsidRPr="0013325B">
        <w:t>ą</w:t>
      </w:r>
      <w:r w:rsidRPr="0013325B">
        <w:t xml:space="preserve">, brak wynagrodzenia </w:t>
      </w:r>
      <w:r w:rsidR="00031C7E">
        <w:t>i </w:t>
      </w:r>
      <w:r w:rsidRPr="001C5F9D">
        <w:t xml:space="preserve">zwrotu kosztów stanowi relewantny czynnik w ocenie tego, co jest proporcjonalne. Taki test proporcjonalności nie miał swego odpowiednika w kryteriach zawartych w konwencji MOP z 1930 r. Mimo braku wynagrodzenia </w:t>
      </w:r>
      <w:r w:rsidR="006F2F8C" w:rsidRPr="001C5F9D">
        <w:t xml:space="preserve">i </w:t>
      </w:r>
      <w:r w:rsidRPr="001C5F9D">
        <w:t>zwrotu kosztów, Trybunał uznał, że prac</w:t>
      </w:r>
      <w:r w:rsidR="006F2F8C" w:rsidRPr="001C5F9D">
        <w:t>a</w:t>
      </w:r>
      <w:r w:rsidRPr="001C5F9D">
        <w:t xml:space="preserve"> przymusow</w:t>
      </w:r>
      <w:r w:rsidR="006F2F8C" w:rsidRPr="001C5F9D">
        <w:t>a nie miała miejsca</w:t>
      </w:r>
      <w:r w:rsidRPr="001C5F9D">
        <w:t xml:space="preserve"> z uwagi na ograniczony wymiar czasu pracy i nie odniósł się do kwestii, czy pojęcie „normalnych obowiązków obywatelskich” rozciąga się na obowiązki spoczywające na poszczególnych kategoriach obywateli ze względu na zajmowane przez nich stan</w:t>
      </w:r>
      <w:r w:rsidR="00031C7E">
        <w:t>owiska czy sprawowane funkcje w </w:t>
      </w:r>
      <w:r w:rsidRPr="001C5F9D">
        <w:t>społeczności.</w:t>
      </w:r>
    </w:p>
    <w:p w14:paraId="1ED93AA4" w14:textId="5EC788CC" w:rsidR="00802C80" w:rsidRPr="00082846" w:rsidRDefault="00802C80" w:rsidP="00802C80">
      <w:pPr>
        <w:pStyle w:val="OpiPara"/>
      </w:pPr>
      <w:r w:rsidRPr="001C5F9D">
        <w:t>33. Art</w:t>
      </w:r>
      <w:r w:rsidR="00B25512">
        <w:t>.</w:t>
      </w:r>
      <w:r w:rsidRPr="001F0818">
        <w:t xml:space="preserve"> 1 ust. 2 Europejskiej Karty Społecznej również zakazuje pracy przymusowej, w takim samym zakresie jak art. 4 Konwencji i art. 2 Konwencji MOP o pracy przymusowej</w:t>
      </w:r>
      <w:r w:rsidRPr="00076546">
        <w:rPr>
          <w:vertAlign w:val="superscript"/>
        </w:rPr>
        <w:footnoteReference w:id="98"/>
      </w:r>
      <w:r w:rsidRPr="00082846">
        <w:t xml:space="preserve">. Pracę przymusową rozumie się jako „zmuszenie jakiegokolwiek pracownika do wykonania pracy wbrew jego </w:t>
      </w:r>
      <w:r w:rsidR="006F2F8C" w:rsidRPr="00082846">
        <w:t xml:space="preserve">woli </w:t>
      </w:r>
      <w:r w:rsidRPr="00082846">
        <w:t xml:space="preserve">i </w:t>
      </w:r>
      <w:r w:rsidR="006F2F8C" w:rsidRPr="00082846">
        <w:t>w braku</w:t>
      </w:r>
      <w:r w:rsidRPr="00082846">
        <w:t xml:space="preserve"> swobodnie wyrażonej zgody”</w:t>
      </w:r>
      <w:r w:rsidRPr="00076546">
        <w:rPr>
          <w:vertAlign w:val="superscript"/>
        </w:rPr>
        <w:footnoteReference w:id="99"/>
      </w:r>
      <w:r w:rsidRPr="00082846">
        <w:t xml:space="preserve">. Wyrażony w Karcie zakaz pracy przymusowej lub obowiązkowej może zostać naruszony na przykład przez </w:t>
      </w:r>
      <w:r w:rsidR="006F2F8C" w:rsidRPr="00082846">
        <w:t>za</w:t>
      </w:r>
      <w:r w:rsidRPr="00082846">
        <w:t>stosowanie kary kryminalnej wobec marynarza, który opuścił posterunek, nawet gdy bezpieczeństwo statku ani życie lub zdrowie osób przebywających na pokładzie nie było zagrożone</w:t>
      </w:r>
      <w:r w:rsidRPr="00076546">
        <w:rPr>
          <w:vertAlign w:val="superscript"/>
        </w:rPr>
        <w:footnoteReference w:id="100"/>
      </w:r>
      <w:r w:rsidRPr="00082846">
        <w:t xml:space="preserve">; </w:t>
      </w:r>
      <w:r w:rsidR="006F2F8C" w:rsidRPr="00082846">
        <w:t>nakładanie na</w:t>
      </w:r>
      <w:r w:rsidRPr="00082846">
        <w:t xml:space="preserve"> zawodowych oficerów sił zbrojnych, którzy </w:t>
      </w:r>
      <w:r w:rsidR="006F2F8C" w:rsidRPr="00082846">
        <w:t>odbyli kilkumiesięczne szkolenie</w:t>
      </w:r>
      <w:r w:rsidRPr="00082846">
        <w:t xml:space="preserve">, </w:t>
      </w:r>
      <w:r w:rsidR="006F2F8C" w:rsidRPr="00082846">
        <w:t xml:space="preserve">obowiązku </w:t>
      </w:r>
      <w:r w:rsidRPr="00082846">
        <w:t xml:space="preserve">ukończenia służby obowiązkowej </w:t>
      </w:r>
      <w:r w:rsidR="006F2F8C" w:rsidRPr="00082846">
        <w:t xml:space="preserve">przez okres, który może trwać </w:t>
      </w:r>
      <w:r w:rsidRPr="003D7F25">
        <w:t>do dwudziestu pięciu lat</w:t>
      </w:r>
      <w:r w:rsidRPr="00076546">
        <w:rPr>
          <w:vertAlign w:val="superscript"/>
        </w:rPr>
        <w:footnoteReference w:id="101"/>
      </w:r>
      <w:r w:rsidRPr="00082846">
        <w:t xml:space="preserve"> bądź odmowa prawa do ubiegania się o przedterminowe zakończenie służby, jeżeli nie </w:t>
      </w:r>
      <w:r w:rsidR="006F2F8C" w:rsidRPr="00082846">
        <w:t xml:space="preserve">uiszczą </w:t>
      </w:r>
      <w:r w:rsidRPr="00082846">
        <w:t xml:space="preserve">na rzecz państwa </w:t>
      </w:r>
      <w:r w:rsidR="006F2F8C" w:rsidRPr="00082846">
        <w:t xml:space="preserve">co najmniej </w:t>
      </w:r>
      <w:r w:rsidRPr="00082846">
        <w:t>części koszt</w:t>
      </w:r>
      <w:r w:rsidR="006F2F8C" w:rsidRPr="00082846">
        <w:t>ów</w:t>
      </w:r>
      <w:r w:rsidRPr="00082846">
        <w:t xml:space="preserve"> wykształcenia i szkolenia</w:t>
      </w:r>
      <w:r w:rsidRPr="00076546">
        <w:rPr>
          <w:vertAlign w:val="superscript"/>
        </w:rPr>
        <w:footnoteReference w:id="102"/>
      </w:r>
      <w:r w:rsidRPr="00082846">
        <w:t>; zbyt szeroko zdefiniowane uprawnienie do mobilizacji osób cywilnych w stanie wyjątkowym, tj. „dowolnej sytuacji powodującej zakłócenie w gospodarce kraju i społeczeństwie”</w:t>
      </w:r>
      <w:r w:rsidRPr="00076546">
        <w:rPr>
          <w:vertAlign w:val="superscript"/>
        </w:rPr>
        <w:footnoteReference w:id="103"/>
      </w:r>
      <w:r w:rsidRPr="00082846">
        <w:t>; nierozsądnie długi okres służby zastępczej za służbę wojskową</w:t>
      </w:r>
      <w:r w:rsidRPr="00076546">
        <w:rPr>
          <w:vertAlign w:val="superscript"/>
        </w:rPr>
        <w:footnoteReference w:id="104"/>
      </w:r>
      <w:r w:rsidRPr="00082846">
        <w:t xml:space="preserve">; zatrudnianie przez prywatnych przedsiębiorców osób odbywających karę pozbawienia wolności bez ich zgody i w warunkach </w:t>
      </w:r>
      <w:r w:rsidR="006F2F8C" w:rsidRPr="00082846">
        <w:t xml:space="preserve">dalece </w:t>
      </w:r>
      <w:r w:rsidRPr="00082846">
        <w:t xml:space="preserve">odbiegających od </w:t>
      </w:r>
      <w:r w:rsidR="006F2F8C" w:rsidRPr="00082846">
        <w:t xml:space="preserve">tych, które są zwykle utożsamiane </w:t>
      </w:r>
      <w:r w:rsidR="00031C7E">
        <w:t>z </w:t>
      </w:r>
      <w:r w:rsidRPr="00082846">
        <w:t>prywatn</w:t>
      </w:r>
      <w:r w:rsidR="006F2F8C" w:rsidRPr="00082846">
        <w:t>oprawn</w:t>
      </w:r>
      <w:r w:rsidRPr="00082846">
        <w:t>ym stosunkiem pracy</w:t>
      </w:r>
      <w:r w:rsidRPr="00076546">
        <w:rPr>
          <w:vertAlign w:val="superscript"/>
        </w:rPr>
        <w:footnoteReference w:id="105"/>
      </w:r>
      <w:r w:rsidRPr="00082846">
        <w:t>; nakładanie obowiązku pracy bez wynagrodzenia na pracowników odmawiających wykonywania obowiązków zawodowych</w:t>
      </w:r>
      <w:r w:rsidRPr="00076546">
        <w:rPr>
          <w:vertAlign w:val="superscript"/>
        </w:rPr>
        <w:footnoteReference w:id="106"/>
      </w:r>
      <w:r w:rsidRPr="00082846">
        <w:t>; „niewolnictwo domowe”</w:t>
      </w:r>
      <w:r w:rsidRPr="00076546">
        <w:rPr>
          <w:vertAlign w:val="superscript"/>
        </w:rPr>
        <w:footnoteReference w:id="107"/>
      </w:r>
      <w:r w:rsidRPr="00082846">
        <w:t>.</w:t>
      </w:r>
    </w:p>
    <w:p w14:paraId="0EAB5B3B" w14:textId="27D7E02A" w:rsidR="00802C80" w:rsidRPr="00082846" w:rsidRDefault="00802C80" w:rsidP="00802C80">
      <w:pPr>
        <w:pStyle w:val="OpiPara"/>
      </w:pPr>
      <w:r w:rsidRPr="00082846">
        <w:t>34. Art</w:t>
      </w:r>
      <w:r w:rsidR="00B25512">
        <w:t>.</w:t>
      </w:r>
      <w:r w:rsidRPr="00082846">
        <w:t xml:space="preserve"> 19 Konwencji Rady Europy z 2005 r. w sprawie działań przeciwko handlowi ludźmi wymaga kryminalizacji zachowania stypizowanego w art. 4 </w:t>
      </w:r>
      <w:r w:rsidR="00A950AF" w:rsidRPr="00082846">
        <w:t xml:space="preserve">w ślad za </w:t>
      </w:r>
      <w:r w:rsidRPr="00082846">
        <w:t>art. 3 Protokołu z Palermo</w:t>
      </w:r>
      <w:r w:rsidRPr="00076546">
        <w:rPr>
          <w:vertAlign w:val="superscript"/>
        </w:rPr>
        <w:footnoteReference w:id="108"/>
      </w:r>
      <w:r w:rsidRPr="00082846">
        <w:t xml:space="preserve">. Przestępstwo handlu ludźmi </w:t>
      </w:r>
      <w:r w:rsidR="00A950AF" w:rsidRPr="00082846">
        <w:t xml:space="preserve">uznaje się </w:t>
      </w:r>
      <w:r w:rsidR="00A950AF" w:rsidRPr="00076546">
        <w:rPr>
          <w:i/>
        </w:rPr>
        <w:t>expressis verbis</w:t>
      </w:r>
      <w:r w:rsidRPr="00082846">
        <w:t xml:space="preserve"> </w:t>
      </w:r>
      <w:r w:rsidR="00A950AF" w:rsidRPr="00082846">
        <w:t>za</w:t>
      </w:r>
      <w:r w:rsidRPr="00082846">
        <w:t xml:space="preserve"> naruszenie praw człowieka i </w:t>
      </w:r>
      <w:r w:rsidR="00A950AF" w:rsidRPr="00082846">
        <w:t>dotyczy</w:t>
      </w:r>
      <w:r w:rsidRPr="00082846">
        <w:t xml:space="preserve"> wszystkich form handlu ludźmi, czy to krajowych, czy transgranicznych, obejmujący bezprawny wjazd i pobyt na terytorium krajów tranzytu lub przeznaczenia, niezal</w:t>
      </w:r>
      <w:r w:rsidR="00031C7E">
        <w:t>eżnie od istnienia powiązania z </w:t>
      </w:r>
      <w:r w:rsidRPr="00082846">
        <w:t>przestępczością zorganizowaną</w:t>
      </w:r>
      <w:r w:rsidRPr="00076546">
        <w:rPr>
          <w:vertAlign w:val="superscript"/>
        </w:rPr>
        <w:footnoteReference w:id="109"/>
      </w:r>
      <w:r w:rsidRPr="00082846">
        <w:t>. Uwzględniono postanowienie w przedmiocie kar i typów kwalifikowanych przestępstwa. Kolejną wyróżniającą cechą jest obowiązek kryminalizacji świadomego korzystania z usług ofiar.</w:t>
      </w:r>
    </w:p>
    <w:p w14:paraId="5ED79C01" w14:textId="0DE6C9D9" w:rsidR="00802C80" w:rsidRPr="00082846" w:rsidRDefault="00802C80" w:rsidP="00802C80">
      <w:pPr>
        <w:pStyle w:val="OpiPara"/>
      </w:pPr>
      <w:r w:rsidRPr="00082846">
        <w:t>Konwencja przeciwko handlowi ludźmi została przyjęta w celu promowania</w:t>
      </w:r>
      <w:r w:rsidR="00A950AF" w:rsidRPr="00082846">
        <w:t xml:space="preserve"> podejścia do handlu ludźmi, które</w:t>
      </w:r>
      <w:r w:rsidRPr="00082846">
        <w:t xml:space="preserve"> bardziej </w:t>
      </w:r>
      <w:r w:rsidR="00A950AF" w:rsidRPr="00082846">
        <w:t xml:space="preserve">skoncentrowałoby się </w:t>
      </w:r>
      <w:r w:rsidRPr="00082846">
        <w:t xml:space="preserve">na prawach człowieka i w większym stopniu </w:t>
      </w:r>
      <w:r w:rsidR="00A950AF" w:rsidRPr="00082846">
        <w:t xml:space="preserve">uwzględniało </w:t>
      </w:r>
      <w:r w:rsidR="00031C7E">
        <w:t>kwestie płci i </w:t>
      </w:r>
      <w:r w:rsidRPr="003D7F25">
        <w:t>dzieci niż Protokół z Palermo, wymaga</w:t>
      </w:r>
      <w:r w:rsidR="0070041B">
        <w:t>jąc</w:t>
      </w:r>
      <w:r w:rsidRPr="003D7F25">
        <w:t xml:space="preserve"> od Państw-Stron wyższych standardów zapobiegania handlowi ludźmi, współpracy między Państwami-Stronami i ochrony ofiar handlu ludźmi, </w:t>
      </w:r>
      <w:r w:rsidR="00031C7E">
        <w:t>w tym okresu rekonwalescencji i </w:t>
      </w:r>
      <w:r w:rsidRPr="003D7F25">
        <w:t xml:space="preserve">refleksji, wolności od kary, wynagrodzenia i </w:t>
      </w:r>
      <w:r w:rsidR="00A950AF" w:rsidRPr="003D7F25">
        <w:t>rekompensaty</w:t>
      </w:r>
      <w:r w:rsidRPr="003D7F25">
        <w:t>, jakieg</w:t>
      </w:r>
      <w:r w:rsidRPr="0013325B">
        <w:t xml:space="preserve">o należy im </w:t>
      </w:r>
      <w:r w:rsidR="00A950AF" w:rsidRPr="0013325B">
        <w:t>zapewnić</w:t>
      </w:r>
      <w:r w:rsidRPr="0013325B">
        <w:t xml:space="preserve">, a także </w:t>
      </w:r>
      <w:r w:rsidR="00A950AF" w:rsidRPr="0013325B">
        <w:t xml:space="preserve">udzielenia </w:t>
      </w:r>
      <w:r w:rsidRPr="0013325B">
        <w:t>pozwolenia na pobyt</w:t>
      </w:r>
      <w:r w:rsidRPr="00076546">
        <w:rPr>
          <w:vertAlign w:val="superscript"/>
        </w:rPr>
        <w:footnoteReference w:id="110"/>
      </w:r>
      <w:r w:rsidRPr="00082846">
        <w:t>. Ustanowiono również mechanizm monitorowania (GRETA).</w:t>
      </w:r>
    </w:p>
    <w:p w14:paraId="1088CDB3" w14:textId="69DA4865" w:rsidR="00802C80" w:rsidRPr="00082846" w:rsidRDefault="00802C80" w:rsidP="00802C80">
      <w:pPr>
        <w:pStyle w:val="OpiPara"/>
      </w:pPr>
      <w:r w:rsidRPr="00082846">
        <w:t>35. Art</w:t>
      </w:r>
      <w:r w:rsidR="00B25512">
        <w:t>.</w:t>
      </w:r>
      <w:r w:rsidRPr="00082846">
        <w:t xml:space="preserve"> 37 Konwencji Rady </w:t>
      </w:r>
      <w:r w:rsidR="00031C7E">
        <w:t>Europy w sprawie zapobiegania i </w:t>
      </w:r>
      <w:r w:rsidRPr="00082846">
        <w:t>zwalczania przemocy wobec kobiet i przemocy domowej z 2011 r. statuuje obowiązek kryminalizacji umyślnego zmuszania do małżeństwa oraz umyślnego działania polegającego na zwabieniu w tym celu osoby dorosłej lud dz</w:t>
      </w:r>
      <w:r w:rsidR="00A44AC9">
        <w:t>iecka na terytorium Strony lub P</w:t>
      </w:r>
      <w:r w:rsidRPr="00082846">
        <w:t>aństwa innego niż to, w którym osoba ta zamieszkuje</w:t>
      </w:r>
      <w:r w:rsidRPr="00076546">
        <w:rPr>
          <w:vertAlign w:val="superscript"/>
        </w:rPr>
        <w:footnoteReference w:id="111"/>
      </w:r>
      <w:r w:rsidRPr="00082846">
        <w:t xml:space="preserve">. Konwencja Rady Europy w sprawie handlu organami ludzkimi </w:t>
      </w:r>
      <w:r w:rsidR="00844312">
        <w:t xml:space="preserve">z 2014 r. </w:t>
      </w:r>
      <w:r w:rsidRPr="00082846">
        <w:t>odchodzi od podejścia z Protokołu z Palermo przez odniesienie się do „handlu organami ludzkimi” zamiast handlu ludźmi w celu usunięcia organów</w:t>
      </w:r>
      <w:r w:rsidRPr="00076546">
        <w:rPr>
          <w:vertAlign w:val="superscript"/>
        </w:rPr>
        <w:footnoteReference w:id="112"/>
      </w:r>
      <w:r w:rsidRPr="00082846">
        <w:t xml:space="preserve">. </w:t>
      </w:r>
      <w:r w:rsidR="00A950AF" w:rsidRPr="00082846">
        <w:t>Obok</w:t>
      </w:r>
      <w:r w:rsidRPr="00082846">
        <w:t xml:space="preserve"> tych aktów </w:t>
      </w:r>
      <w:r w:rsidR="00A950AF" w:rsidRPr="00082846">
        <w:t>prawnie wiążących (</w:t>
      </w:r>
      <w:r w:rsidR="00A950AF" w:rsidRPr="00076546">
        <w:rPr>
          <w:i/>
        </w:rPr>
        <w:t>hard law</w:t>
      </w:r>
      <w:r w:rsidR="00A950AF" w:rsidRPr="00082846">
        <w:t xml:space="preserve">) </w:t>
      </w:r>
      <w:r w:rsidRPr="00082846">
        <w:t>zarówno Komitet Ministrów</w:t>
      </w:r>
      <w:r w:rsidRPr="00076546">
        <w:rPr>
          <w:vertAlign w:val="superscript"/>
        </w:rPr>
        <w:footnoteReference w:id="113"/>
      </w:r>
      <w:r w:rsidRPr="00082846">
        <w:t xml:space="preserve"> jak i Zgromadzenie Parlamentarne Rady Europy</w:t>
      </w:r>
      <w:r w:rsidRPr="00076546">
        <w:rPr>
          <w:vertAlign w:val="superscript"/>
        </w:rPr>
        <w:footnoteReference w:id="114"/>
      </w:r>
      <w:r w:rsidRPr="00082846">
        <w:t xml:space="preserve"> </w:t>
      </w:r>
      <w:r w:rsidR="00A950AF" w:rsidRPr="00082846">
        <w:t>skupiają się</w:t>
      </w:r>
      <w:r w:rsidRPr="00082846">
        <w:t xml:space="preserve"> na przestępstw</w:t>
      </w:r>
      <w:r w:rsidR="00A950AF" w:rsidRPr="00082846">
        <w:t>ach</w:t>
      </w:r>
      <w:r w:rsidRPr="00082846">
        <w:t xml:space="preserve"> niewolnictwa domowego, wymuszonego małżeństwa i handlu ludźmi, podkreślaj</w:t>
      </w:r>
      <w:r w:rsidR="00031C7E">
        <w:t>ąc potrzebę uwzględnienia ich w </w:t>
      </w:r>
      <w:r w:rsidRPr="00082846">
        <w:t>kodeksach karnych Państw-Stron.</w:t>
      </w:r>
    </w:p>
    <w:p w14:paraId="6B47FEC0" w14:textId="1BF365E1" w:rsidR="00802C80" w:rsidRPr="00082846" w:rsidRDefault="00802C80" w:rsidP="00802C80">
      <w:pPr>
        <w:pStyle w:val="OpiPara"/>
      </w:pPr>
      <w:r w:rsidRPr="00082846">
        <w:t>36. W pełnej spójności z tymi standardami Trybunał podkreślił ostatnio kluczową rolę walki za</w:t>
      </w:r>
      <w:r w:rsidRPr="003D7F25">
        <w:t xml:space="preserve">równo </w:t>
      </w:r>
      <w:r w:rsidR="00E128AC" w:rsidRPr="003D7F25">
        <w:t xml:space="preserve">z </w:t>
      </w:r>
      <w:r w:rsidRPr="003D7F25">
        <w:t>pracą przymusową jak</w:t>
      </w:r>
      <w:r w:rsidR="00844312">
        <w:t xml:space="preserve"> i prowadzonym</w:t>
      </w:r>
      <w:r w:rsidR="00031C7E">
        <w:t xml:space="preserve"> w </w:t>
      </w:r>
      <w:r w:rsidRPr="003D7F25">
        <w:t xml:space="preserve">jej celu handlem ludźmi. W sprawie </w:t>
      </w:r>
      <w:r w:rsidRPr="003D7F25">
        <w:rPr>
          <w:i/>
          <w:iCs/>
        </w:rPr>
        <w:t>Siliadin</w:t>
      </w:r>
      <w:r w:rsidRPr="00076546">
        <w:rPr>
          <w:iCs/>
          <w:vertAlign w:val="superscript"/>
        </w:rPr>
        <w:footnoteReference w:id="115"/>
      </w:r>
      <w:r w:rsidRPr="00082846">
        <w:t xml:space="preserve"> </w:t>
      </w:r>
      <w:r w:rsidR="00E128AC" w:rsidRPr="00082846">
        <w:t xml:space="preserve">Izba </w:t>
      </w:r>
      <w:r w:rsidRPr="00082846">
        <w:t>wyprowadziła z art. 4 Konwencji spoczywając</w:t>
      </w:r>
      <w:r w:rsidR="00E128AC" w:rsidRPr="00082846">
        <w:t>y</w:t>
      </w:r>
      <w:r w:rsidRPr="00082846">
        <w:t xml:space="preserve"> na Państwach-Stronach</w:t>
      </w:r>
      <w:r w:rsidR="00E128AC" w:rsidRPr="00082846">
        <w:t xml:space="preserve"> pozytywny obowiązek</w:t>
      </w:r>
      <w:r w:rsidRPr="00082846">
        <w:t xml:space="preserve"> </w:t>
      </w:r>
      <w:r w:rsidR="00844312">
        <w:t>przyjęcia</w:t>
      </w:r>
      <w:r w:rsidR="00E128AC" w:rsidRPr="003D7F25">
        <w:t xml:space="preserve"> </w:t>
      </w:r>
      <w:r w:rsidRPr="003D7F25">
        <w:t>przepisów prawa karnego w celu penalizacji praktyk wskazanych w tym postanowieniu i stosowania tego w praktyce</w:t>
      </w:r>
      <w:r w:rsidRPr="00076546">
        <w:rPr>
          <w:vertAlign w:val="superscript"/>
        </w:rPr>
        <w:footnoteReference w:id="116"/>
      </w:r>
      <w:r w:rsidRPr="00082846">
        <w:t xml:space="preserve">. Art. 4 </w:t>
      </w:r>
      <w:r w:rsidR="00E128AC" w:rsidRPr="00082846">
        <w:t>odnosi</w:t>
      </w:r>
      <w:r w:rsidRPr="00082846">
        <w:t xml:space="preserve"> </w:t>
      </w:r>
      <w:r w:rsidR="00E128AC" w:rsidRPr="00082846">
        <w:t xml:space="preserve">w stosunku do Państw-Stron </w:t>
      </w:r>
      <w:r w:rsidRPr="00082846">
        <w:t xml:space="preserve">nie tylko skutek </w:t>
      </w:r>
      <w:r w:rsidR="00E128AC" w:rsidRPr="00082846">
        <w:t>wertykalny</w:t>
      </w:r>
      <w:r w:rsidRPr="00082846">
        <w:t xml:space="preserve">, lecz również </w:t>
      </w:r>
      <w:r w:rsidR="00E128AC" w:rsidRPr="003D7F25">
        <w:t>skutek horyzontalny</w:t>
      </w:r>
      <w:r w:rsidRPr="003D7F25">
        <w:t xml:space="preserve"> w sferze prywatnej. W sytuacji, gdy od skarżącej wymagano wykonywania pracy przymusowej w wymiarze </w:t>
      </w:r>
      <w:r w:rsidR="00DF2FB5" w:rsidRPr="003D7F25">
        <w:t xml:space="preserve">niemal </w:t>
      </w:r>
      <w:r w:rsidRPr="003D7F25">
        <w:t>piętnastu godzin dziennie</w:t>
      </w:r>
      <w:r w:rsidR="00DF2FB5" w:rsidRPr="003D7F25">
        <w:t xml:space="preserve"> przez</w:t>
      </w:r>
      <w:r w:rsidRPr="003D7F25">
        <w:t xml:space="preserve"> siedem dni w tygodniu, Izba doszła do wniosku, że badana sytuacja nie stanowi niewolnictwa „</w:t>
      </w:r>
      <w:r w:rsidR="00DF2FB5" w:rsidRPr="00076546">
        <w:rPr>
          <w:i/>
        </w:rPr>
        <w:t>sensu stricto</w:t>
      </w:r>
      <w:r w:rsidRPr="00082846">
        <w:t xml:space="preserve">, innymi słowy, że pan i pani B wykonywali </w:t>
      </w:r>
      <w:r w:rsidR="00DF2FB5" w:rsidRPr="00082846">
        <w:t xml:space="preserve">w stosunku do </w:t>
      </w:r>
      <w:r w:rsidRPr="00082846">
        <w:t xml:space="preserve">niej </w:t>
      </w:r>
      <w:r w:rsidR="00844312">
        <w:t>w rzeczywistości</w:t>
      </w:r>
      <w:r w:rsidR="00DF2FB5" w:rsidRPr="00082846">
        <w:t xml:space="preserve"> prawo</w:t>
      </w:r>
      <w:r w:rsidRPr="00082846">
        <w:t xml:space="preserve"> własności, </w:t>
      </w:r>
      <w:r w:rsidR="00DF2FB5" w:rsidRPr="00082846">
        <w:t xml:space="preserve">sprowadzając </w:t>
      </w:r>
      <w:r w:rsidRPr="00082846">
        <w:t xml:space="preserve">ją </w:t>
      </w:r>
      <w:r w:rsidR="00DF2FB5" w:rsidRPr="00082846">
        <w:t>tym samym</w:t>
      </w:r>
      <w:r w:rsidRPr="003D7F25">
        <w:t xml:space="preserve"> do «przedmiotu»”</w:t>
      </w:r>
      <w:r w:rsidRPr="00076546">
        <w:rPr>
          <w:vertAlign w:val="superscript"/>
        </w:rPr>
        <w:footnoteReference w:id="117"/>
      </w:r>
      <w:r w:rsidRPr="00082846">
        <w:t xml:space="preserve">. Stąd Izba </w:t>
      </w:r>
      <w:r w:rsidR="00DF2FB5" w:rsidRPr="00082846">
        <w:t>dokonała wąskiej wykładni</w:t>
      </w:r>
      <w:r w:rsidRPr="00082846">
        <w:t xml:space="preserve"> </w:t>
      </w:r>
      <w:r w:rsidR="00DF2FB5" w:rsidRPr="00082846">
        <w:t xml:space="preserve">postanowień </w:t>
      </w:r>
      <w:r w:rsidRPr="00082846">
        <w:t>Konwencj</w:t>
      </w:r>
      <w:r w:rsidR="00DF2FB5" w:rsidRPr="00082846">
        <w:t>i</w:t>
      </w:r>
      <w:r w:rsidRPr="00082846">
        <w:t xml:space="preserve"> w sprawie niewolnictwa z 1926 r., jako że nie ogranicza ona koncepcji niewolnictwa do </w:t>
      </w:r>
      <w:r w:rsidRPr="003D7F25">
        <w:rPr>
          <w:i/>
          <w:iCs/>
        </w:rPr>
        <w:t xml:space="preserve">de iure </w:t>
      </w:r>
      <w:r w:rsidRPr="003D7F25">
        <w:t>„</w:t>
      </w:r>
      <w:r w:rsidR="00844312">
        <w:t xml:space="preserve">rzeczywistego </w:t>
      </w:r>
      <w:r w:rsidRPr="003D7F25">
        <w:t xml:space="preserve">prawa własności” </w:t>
      </w:r>
      <w:r w:rsidR="00DF2FB5" w:rsidRPr="003D7F25">
        <w:t xml:space="preserve">w stosunku do </w:t>
      </w:r>
      <w:r w:rsidRPr="003D7F25">
        <w:t>inn</w:t>
      </w:r>
      <w:r w:rsidR="00DF2FB5" w:rsidRPr="003D7F25">
        <w:t>ej</w:t>
      </w:r>
      <w:r w:rsidRPr="0013325B">
        <w:t xml:space="preserve"> osob</w:t>
      </w:r>
      <w:r w:rsidR="00DF2FB5" w:rsidRPr="0013325B">
        <w:t>y</w:t>
      </w:r>
      <w:r w:rsidRPr="0013325B">
        <w:t xml:space="preserve">, lecz obejmuje </w:t>
      </w:r>
      <w:r w:rsidRPr="0013325B">
        <w:rPr>
          <w:i/>
          <w:iCs/>
        </w:rPr>
        <w:t>de facto</w:t>
      </w:r>
      <w:r w:rsidRPr="0013325B">
        <w:t xml:space="preserve"> </w:t>
      </w:r>
      <w:r w:rsidR="00844312">
        <w:t>„</w:t>
      </w:r>
      <w:r w:rsidR="00DF2FB5" w:rsidRPr="0013325B">
        <w:t>stan</w:t>
      </w:r>
      <w:r w:rsidR="00844312">
        <w:t>”</w:t>
      </w:r>
      <w:r w:rsidR="00DF2FB5" w:rsidRPr="0013325B">
        <w:t xml:space="preserve"> </w:t>
      </w:r>
      <w:r w:rsidRPr="001C5F9D">
        <w:t xml:space="preserve">bycia poddanym wykonywaniu uprawnienia </w:t>
      </w:r>
      <w:r w:rsidR="00DF2FB5" w:rsidRPr="001C5F9D">
        <w:t xml:space="preserve">zbliżonego </w:t>
      </w:r>
      <w:r w:rsidRPr="001C5F9D">
        <w:t xml:space="preserve">do własności. Poza tym </w:t>
      </w:r>
      <w:r w:rsidR="00844312">
        <w:t>pozbawi</w:t>
      </w:r>
      <w:r w:rsidRPr="001C5F9D">
        <w:t>enie autonomii osobistej skarżącego zostało przez Izbę zidentyfikowane jako poddaństwo</w:t>
      </w:r>
      <w:r w:rsidRPr="00076546">
        <w:rPr>
          <w:vertAlign w:val="superscript"/>
        </w:rPr>
        <w:footnoteReference w:id="118"/>
      </w:r>
      <w:r w:rsidRPr="00082846">
        <w:t xml:space="preserve">. Element zależności wynikał z faktu, </w:t>
      </w:r>
      <w:r w:rsidR="00DF2FB5" w:rsidRPr="00082846">
        <w:t>że</w:t>
      </w:r>
      <w:r w:rsidRPr="00082846">
        <w:t xml:space="preserve"> „skarżącej, która obawiała się </w:t>
      </w:r>
      <w:r w:rsidR="00DF2FB5" w:rsidRPr="00082846">
        <w:t xml:space="preserve">zatrzymania </w:t>
      </w:r>
      <w:r w:rsidRPr="00082846">
        <w:t>przez policję, tak czy ow</w:t>
      </w:r>
      <w:r w:rsidR="00031C7E">
        <w:t>ak zakazano opuszczania domu, z </w:t>
      </w:r>
      <w:r w:rsidRPr="00082846">
        <w:t xml:space="preserve">wyjątkiem zabierania dzieci do szkoły i na różne zajęcia. </w:t>
      </w:r>
      <w:r w:rsidR="00DF2FB5" w:rsidRPr="00082846">
        <w:t>Tym samym</w:t>
      </w:r>
      <w:r w:rsidRPr="00082846">
        <w:t xml:space="preserve"> nie miała ona swobody poruszania się ani wolnego czasu”</w:t>
      </w:r>
      <w:r w:rsidRPr="00076546">
        <w:rPr>
          <w:vertAlign w:val="superscript"/>
        </w:rPr>
        <w:footnoteReference w:id="119"/>
      </w:r>
      <w:r w:rsidRPr="00082846">
        <w:t>.</w:t>
      </w:r>
    </w:p>
    <w:p w14:paraId="44050AD4" w14:textId="77777777" w:rsidR="00802C80" w:rsidRPr="00082846" w:rsidRDefault="00802C80" w:rsidP="00802C80">
      <w:pPr>
        <w:pStyle w:val="OpiPara"/>
      </w:pPr>
      <w:r w:rsidRPr="00082846">
        <w:t xml:space="preserve">37. W </w:t>
      </w:r>
      <w:r w:rsidRPr="00082846">
        <w:rPr>
          <w:i/>
        </w:rPr>
        <w:t>Rantsev</w:t>
      </w:r>
      <w:r w:rsidRPr="00076546">
        <w:rPr>
          <w:vertAlign w:val="superscript"/>
        </w:rPr>
        <w:footnoteReference w:id="120"/>
      </w:r>
      <w:r w:rsidRPr="00082846">
        <w:t xml:space="preserve"> Izba uznała</w:t>
      </w:r>
      <w:r w:rsidR="00DF2FB5" w:rsidRPr="00082846">
        <w:t>,</w:t>
      </w:r>
      <w:r w:rsidRPr="00082846">
        <w:t xml:space="preserve"> że sam handel w rozumieniu art. 3 lit. a Protokołu z Palermo i art. 4 lit. a Konwencji przeciwko handlowi ludźmi </w:t>
      </w:r>
      <w:r w:rsidR="00DF2FB5" w:rsidRPr="00082846">
        <w:t>mieści się w</w:t>
      </w:r>
      <w:r w:rsidRPr="00082846">
        <w:t xml:space="preserve"> zakres</w:t>
      </w:r>
      <w:r w:rsidR="00DF2FB5" w:rsidRPr="00082846">
        <w:t>ie</w:t>
      </w:r>
      <w:r w:rsidRPr="00082846">
        <w:t xml:space="preserve"> art. 4 Konwencji</w:t>
      </w:r>
      <w:r w:rsidRPr="00076546">
        <w:rPr>
          <w:vertAlign w:val="superscript"/>
        </w:rPr>
        <w:footnoteReference w:id="121"/>
      </w:r>
      <w:r w:rsidRPr="00082846">
        <w:t>. Przyjęta w prawie międzynarodowym koncepcja handl</w:t>
      </w:r>
      <w:r w:rsidR="00031C7E">
        <w:t>u ludźmi została uwzględniona w </w:t>
      </w:r>
      <w:r w:rsidRPr="00082846">
        <w:t>prawie konwencyjnym.</w:t>
      </w:r>
    </w:p>
    <w:p w14:paraId="107D4341" w14:textId="63981817" w:rsidR="00802C80" w:rsidRPr="00082846" w:rsidRDefault="00802C80" w:rsidP="00802C80">
      <w:pPr>
        <w:pStyle w:val="OpiPara"/>
      </w:pPr>
      <w:r w:rsidRPr="00082846">
        <w:t xml:space="preserve">38. Należy odnotować, że temu przełomowemu orzeczeniu nie towarzyszyło wyjaśnienie, który ustęp art. 4 </w:t>
      </w:r>
      <w:r w:rsidR="00DF2FB5" w:rsidRPr="00082846">
        <w:t>ma zastosowanie</w:t>
      </w:r>
      <w:r w:rsidRPr="00082846">
        <w:t xml:space="preserve"> do handlu ludźmi, co mogłoby </w:t>
      </w:r>
      <w:r w:rsidR="00DF2FB5" w:rsidRPr="00082846">
        <w:t>mieć znaczenie</w:t>
      </w:r>
      <w:r w:rsidRPr="00082846">
        <w:t xml:space="preserve"> dla celów art. 15, jako że artykuł ten odnosi się tylko do ust. 1 art. 4. Milczenie Izby w </w:t>
      </w:r>
      <w:r w:rsidR="00DF2FB5" w:rsidRPr="00082846">
        <w:t xml:space="preserve">tej </w:t>
      </w:r>
      <w:r w:rsidRPr="003D7F25">
        <w:t xml:space="preserve">kwestii </w:t>
      </w:r>
      <w:r w:rsidR="00031C7E">
        <w:t>może zostać w </w:t>
      </w:r>
      <w:r w:rsidRPr="003D7F25">
        <w:t xml:space="preserve">pełni zrozumiane </w:t>
      </w:r>
      <w:r w:rsidR="00DF2FB5" w:rsidRPr="003D7F25">
        <w:t xml:space="preserve">wyłącznie </w:t>
      </w:r>
      <w:r w:rsidRPr="003D7F25">
        <w:t>w świetle jej innego</w:t>
      </w:r>
      <w:r w:rsidR="00DF2FB5" w:rsidRPr="003D7F25">
        <w:t>,</w:t>
      </w:r>
      <w:r w:rsidRPr="003D7F25">
        <w:t xml:space="preserve"> bardzo śmiałego </w:t>
      </w:r>
      <w:r w:rsidR="00DF2FB5" w:rsidRPr="003D7F25">
        <w:t xml:space="preserve">zresztą, </w:t>
      </w:r>
      <w:r w:rsidRPr="003D7F25">
        <w:t>stwierdzenia, że art. 4 „nie przewiduje wyjątków ani nie jest możliwe żadne j</w:t>
      </w:r>
      <w:r w:rsidR="00A44AC9">
        <w:t>ego uchylenie w trybie art. 15 ust.</w:t>
      </w:r>
      <w:r w:rsidRPr="003D7F25">
        <w:t xml:space="preserve"> 2</w:t>
      </w:r>
      <w:r w:rsidR="0042650C">
        <w:t xml:space="preserve"> Konwencji</w:t>
      </w:r>
      <w:r w:rsidRPr="003D7F25">
        <w:t xml:space="preserve">, nawet w razie stanu </w:t>
      </w:r>
      <w:r w:rsidR="00844312">
        <w:t xml:space="preserve">niebezpieczeństwa publicznego </w:t>
      </w:r>
      <w:r w:rsidRPr="003D7F25">
        <w:t xml:space="preserve">zagrażającego </w:t>
      </w:r>
      <w:r w:rsidR="004F24F5">
        <w:t>życ</w:t>
      </w:r>
      <w:r w:rsidRPr="003D7F25">
        <w:t>iu narodu”</w:t>
      </w:r>
      <w:r w:rsidRPr="00076546">
        <w:rPr>
          <w:vertAlign w:val="superscript"/>
        </w:rPr>
        <w:footnoteReference w:id="122"/>
      </w:r>
      <w:r w:rsidRPr="00082846">
        <w:t>. W godnej pochwały, postępowej interpretacji Konwencji Izba odmówiła uznania jakiejkolwiek wewnętrznej hierarchii normatywnej między ustępami 1 i 2 art. 4 oraz jakiejkolwiek różnicy w traktowaniu tych ustępów w stanie wyjątkowym</w:t>
      </w:r>
      <w:r w:rsidR="002517BC" w:rsidRPr="00082846">
        <w:t xml:space="preserve"> i </w:t>
      </w:r>
      <w:r w:rsidRPr="00082846">
        <w:t xml:space="preserve">innych </w:t>
      </w:r>
      <w:r w:rsidR="002517BC" w:rsidRPr="00082846">
        <w:t xml:space="preserve">szczególnych </w:t>
      </w:r>
      <w:r w:rsidRPr="00082846">
        <w:t>okoliczności</w:t>
      </w:r>
      <w:r w:rsidR="00844312">
        <w:t>ach</w:t>
      </w:r>
      <w:r w:rsidRPr="00082846">
        <w:t xml:space="preserve">. </w:t>
      </w:r>
      <w:r w:rsidR="002517BC" w:rsidRPr="00082846">
        <w:t>Tym samym</w:t>
      </w:r>
      <w:r w:rsidRPr="00082846">
        <w:t xml:space="preserve"> Izba nie tylko </w:t>
      </w:r>
      <w:r w:rsidR="002517BC" w:rsidRPr="003D7F25">
        <w:t>r</w:t>
      </w:r>
      <w:r w:rsidRPr="003D7F25">
        <w:t>o</w:t>
      </w:r>
      <w:r w:rsidR="002517BC" w:rsidRPr="003D7F25">
        <w:t>z</w:t>
      </w:r>
      <w:r w:rsidRPr="003D7F25">
        <w:t xml:space="preserve">szerzyła zakres zasady art. 4 na handel ludźmi, lecz poddała tę nową zasadę reżimowi art. 15. Interpretacja Izby, bez </w:t>
      </w:r>
      <w:r w:rsidR="002517BC" w:rsidRPr="003D7F25">
        <w:t xml:space="preserve">jej </w:t>
      </w:r>
      <w:r w:rsidRPr="003D7F25">
        <w:t>cytowania, poszła w ślad za zawartą w Komentarzu ogólnym nr 29 KPC ONZ postępową interpretacją art. 4 ust. 2 MPPOiP w świetle niedawnej kodyfikacji zbrodni przeciwko ludzkości</w:t>
      </w:r>
      <w:r w:rsidRPr="00076546">
        <w:rPr>
          <w:vertAlign w:val="superscript"/>
        </w:rPr>
        <w:footnoteReference w:id="123"/>
      </w:r>
      <w:r w:rsidRPr="00082846">
        <w:t xml:space="preserve">. </w:t>
      </w:r>
      <w:r w:rsidR="002517BC" w:rsidRPr="00082846">
        <w:t>Jednym z takich przestępstw jest z</w:t>
      </w:r>
      <w:r w:rsidR="00031C7E">
        <w:t>brodnia obrócenia w </w:t>
      </w:r>
      <w:r w:rsidRPr="00082846">
        <w:t>niewolę, obejmująca pracę przymusową i prowadzony w tym celu handel.</w:t>
      </w:r>
    </w:p>
    <w:p w14:paraId="3089DF18" w14:textId="77777777" w:rsidR="00802C80" w:rsidRPr="00082846" w:rsidRDefault="00802C80" w:rsidP="00802C80">
      <w:pPr>
        <w:pStyle w:val="OpiPara"/>
      </w:pPr>
      <w:r w:rsidRPr="00082846">
        <w:t xml:space="preserve">39. W oparciu o Protokół z Palermo i wszechstronne podejście Konwencji Rady Europy przeciwko handlowi ludźmi do zwalczania tego handlu, obejmujące środki w celu zapobieżenia mu i ochrony ofiar, dodatkowo oprócz środków mających na celu ukaranie handlarzy, Izba poszła dalej niż </w:t>
      </w:r>
      <w:r w:rsidR="002517BC" w:rsidRPr="00082846">
        <w:t>obowiązek</w:t>
      </w:r>
      <w:r w:rsidRPr="00082846">
        <w:t xml:space="preserve"> kryminali</w:t>
      </w:r>
      <w:r w:rsidRPr="003D7F25">
        <w:t>zacji zawart</w:t>
      </w:r>
      <w:r w:rsidR="002517BC" w:rsidRPr="003D7F25">
        <w:t>y</w:t>
      </w:r>
      <w:r w:rsidRPr="003D7F25">
        <w:t xml:space="preserve"> w </w:t>
      </w:r>
      <w:r w:rsidRPr="00076546">
        <w:rPr>
          <w:i/>
        </w:rPr>
        <w:t>Siliadin</w:t>
      </w:r>
      <w:r w:rsidRPr="00082846">
        <w:t>, potwierdzając, że</w:t>
      </w:r>
    </w:p>
    <w:p w14:paraId="34406453" w14:textId="77777777" w:rsidR="00802C80" w:rsidRPr="00082846" w:rsidRDefault="00802C80" w:rsidP="00802C80">
      <w:pPr>
        <w:pStyle w:val="OpiQuot"/>
      </w:pPr>
      <w:r w:rsidRPr="00082846">
        <w:t>„</w:t>
      </w:r>
      <w:r w:rsidR="002517BC" w:rsidRPr="00082846">
        <w:t>Z</w:t>
      </w:r>
      <w:r w:rsidRPr="00082846">
        <w:t xml:space="preserve"> postanowień tych dwóch aktów</w:t>
      </w:r>
      <w:r w:rsidR="002517BC" w:rsidRPr="00082846">
        <w:t xml:space="preserve"> jasno wynika</w:t>
      </w:r>
      <w:r w:rsidRPr="00082846">
        <w:t xml:space="preserve">, że Układające się Państwa, w tym prawie wszystkie państwa członkowskie Rady Europy, </w:t>
      </w:r>
      <w:r w:rsidR="002517BC" w:rsidRPr="00082846">
        <w:t>stanęły na stanowisko</w:t>
      </w:r>
      <w:r w:rsidRPr="00082846">
        <w:t xml:space="preserve">, że jedynie połączenie środków </w:t>
      </w:r>
      <w:r w:rsidRPr="003D7F25">
        <w:t xml:space="preserve">odnoszących się do wszystkich trzech aspektów może </w:t>
      </w:r>
      <w:r w:rsidR="002517BC" w:rsidRPr="003D7F25">
        <w:t>odnieść skutek</w:t>
      </w:r>
      <w:r w:rsidRPr="003D7F25">
        <w:t xml:space="preserve"> w zwalczaniu handlu ludźmi. (…) Zakres wynikających z art. 4 zobowiązań pozytywnych należy badań w szerszym kontekście”</w:t>
      </w:r>
      <w:r w:rsidRPr="00076546">
        <w:rPr>
          <w:vertAlign w:val="superscript"/>
        </w:rPr>
        <w:footnoteReference w:id="124"/>
      </w:r>
      <w:r w:rsidRPr="00082846">
        <w:t>.</w:t>
      </w:r>
    </w:p>
    <w:p w14:paraId="25559E5E" w14:textId="5CE122C4" w:rsidR="00802C80" w:rsidRPr="00082846" w:rsidRDefault="0051663D" w:rsidP="00802C80">
      <w:pPr>
        <w:pStyle w:val="OpiPara"/>
      </w:pPr>
      <w:r>
        <w:t>Izba</w:t>
      </w:r>
      <w:r w:rsidR="0042650C">
        <w:t xml:space="preserve"> rozwinęła obowiązki P</w:t>
      </w:r>
      <w:r w:rsidR="00802C80" w:rsidRPr="00082846">
        <w:t>aństw w zakresie ochrony</w:t>
      </w:r>
      <w:r w:rsidR="0042650C">
        <w:t xml:space="preserve"> ofiar. Art. 4 może wymagać od P</w:t>
      </w:r>
      <w:r w:rsidR="00802C80" w:rsidRPr="00082846">
        <w:t xml:space="preserve">aństwa podjęcia środków operacyjnych w celu ochrony </w:t>
      </w:r>
      <w:r w:rsidR="002517BC" w:rsidRPr="00082846">
        <w:t xml:space="preserve">faktycznych </w:t>
      </w:r>
      <w:r w:rsidR="00802C80" w:rsidRPr="00082846">
        <w:t>bądź potencjal</w:t>
      </w:r>
      <w:r w:rsidR="00031C7E">
        <w:t>nych ofiar handlu ludźmi, gdy w </w:t>
      </w:r>
      <w:r w:rsidR="00802C80" w:rsidRPr="00082846">
        <w:t>okolicznościach danej sprawy wykazane zostanie, że władze państwa są lub powinny być świadome „okoliczności uzasadniających wiarygodne podejrzenie, że zidentyfikowana osoba była lub jest objęta realnym i bezpośrednim ryzykiem padnięcia ofiarą handlu lub wykorzystania”</w:t>
      </w:r>
      <w:r w:rsidR="00802C80" w:rsidRPr="00076546">
        <w:rPr>
          <w:vertAlign w:val="superscript"/>
        </w:rPr>
        <w:footnoteReference w:id="125"/>
      </w:r>
      <w:r w:rsidR="00802C80" w:rsidRPr="00082846">
        <w:t>. Obowiązek podjęcia środków operacyjnyc</w:t>
      </w:r>
      <w:r w:rsidR="00D21D95">
        <w:t>h należy jednak interpretować w </w:t>
      </w:r>
      <w:r w:rsidR="00802C80" w:rsidRPr="00082846">
        <w:t xml:space="preserve">sposób, który nie nakłada na władze niemożliwego ani </w:t>
      </w:r>
      <w:r w:rsidR="002517BC" w:rsidRPr="00082846">
        <w:t xml:space="preserve">nieproporcjonalnego </w:t>
      </w:r>
      <w:r w:rsidR="00802C80" w:rsidRPr="00082846">
        <w:t>ciężaru</w:t>
      </w:r>
      <w:r w:rsidR="00802C80" w:rsidRPr="00076546">
        <w:rPr>
          <w:vertAlign w:val="superscript"/>
        </w:rPr>
        <w:footnoteReference w:id="126"/>
      </w:r>
      <w:r w:rsidR="00802C80" w:rsidRPr="00082846">
        <w:t>.</w:t>
      </w:r>
    </w:p>
    <w:p w14:paraId="60A94A4C" w14:textId="3E208586" w:rsidR="00802C80" w:rsidRPr="00082846" w:rsidRDefault="00802C80" w:rsidP="00802C80">
      <w:pPr>
        <w:pStyle w:val="OpiPara"/>
      </w:pPr>
      <w:r w:rsidRPr="00082846">
        <w:t>W rozumieniu Izby art. 4 pociąga za sobą także dla władz obowiązek proceduralny przeprowadzenia z urzęd</w:t>
      </w:r>
      <w:r w:rsidR="00D21D95">
        <w:t>u postępowań przygotowawczych w </w:t>
      </w:r>
      <w:r w:rsidRPr="00082846">
        <w:t>sytuacjach potencjalnego handlu ludźmi.</w:t>
      </w:r>
      <w:r w:rsidRPr="00076546">
        <w:rPr>
          <w:vertAlign w:val="superscript"/>
        </w:rPr>
        <w:footnoteReference w:id="127"/>
      </w:r>
      <w:r w:rsidRPr="00082846">
        <w:t xml:space="preserve"> </w:t>
      </w:r>
      <w:r w:rsidR="002517BC" w:rsidRPr="00082846">
        <w:t>Wreszcie</w:t>
      </w:r>
      <w:r w:rsidRPr="00082846">
        <w:t>, w świetle preambuły do Protokołu z Palermo, w przypadkach transgranicznego handlu ludźmi,</w:t>
      </w:r>
      <w:r w:rsidR="0042650C">
        <w:t xml:space="preserve"> na P</w:t>
      </w:r>
      <w:r w:rsidR="002517BC" w:rsidRPr="00082846">
        <w:t>aństwach członkowskich spoczywa również obowiązek</w:t>
      </w:r>
      <w:r w:rsidRPr="00082846">
        <w:t xml:space="preserve"> skutecznej współpracy z organami innych zainteresowanych </w:t>
      </w:r>
      <w:r w:rsidR="0051663D">
        <w:t>Państw</w:t>
      </w:r>
      <w:r w:rsidR="0051663D" w:rsidRPr="00082846">
        <w:t xml:space="preserve"> </w:t>
      </w:r>
      <w:r w:rsidRPr="00082846">
        <w:t>przy wyjaśnianiu zdarzeń, jakie miały miejsce poza ich terytorium</w:t>
      </w:r>
      <w:r w:rsidRPr="00076546">
        <w:rPr>
          <w:vertAlign w:val="superscript"/>
        </w:rPr>
        <w:footnoteReference w:id="128"/>
      </w:r>
      <w:r w:rsidRPr="00082846">
        <w:t xml:space="preserve">. Izba podkreśliła, że obowiązek ten </w:t>
      </w:r>
      <w:r w:rsidR="002517BC" w:rsidRPr="00082846">
        <w:t xml:space="preserve">ciąży </w:t>
      </w:r>
      <w:r w:rsidRPr="00082846">
        <w:t xml:space="preserve">nie tylko </w:t>
      </w:r>
      <w:r w:rsidR="002517BC" w:rsidRPr="00082846">
        <w:t xml:space="preserve">na </w:t>
      </w:r>
      <w:r w:rsidR="0042650C">
        <w:t>P</w:t>
      </w:r>
      <w:r w:rsidRPr="00082846">
        <w:t>aństwa</w:t>
      </w:r>
      <w:r w:rsidR="002517BC" w:rsidRPr="00082846">
        <w:t>ch</w:t>
      </w:r>
      <w:r w:rsidRPr="00082846">
        <w:t xml:space="preserve"> goszcząc</w:t>
      </w:r>
      <w:r w:rsidR="002517BC" w:rsidRPr="00082846">
        <w:t>ych</w:t>
      </w:r>
      <w:r w:rsidRPr="00082846">
        <w:t xml:space="preserve"> </w:t>
      </w:r>
      <w:r w:rsidR="002517BC" w:rsidRPr="003D7F25">
        <w:t>(</w:t>
      </w:r>
      <w:r w:rsidRPr="003D7F25">
        <w:t>Cypr</w:t>
      </w:r>
      <w:r w:rsidR="002517BC" w:rsidRPr="003D7F25">
        <w:t>)</w:t>
      </w:r>
      <w:r w:rsidRPr="003D7F25">
        <w:t xml:space="preserve"> czy państwa</w:t>
      </w:r>
      <w:r w:rsidR="002517BC" w:rsidRPr="003D7F25">
        <w:t>ch</w:t>
      </w:r>
      <w:r w:rsidRPr="003D7F25">
        <w:t xml:space="preserve"> pochodzenia</w:t>
      </w:r>
      <w:r w:rsidR="002517BC" w:rsidRPr="003D7F25">
        <w:t xml:space="preserve"> (</w:t>
      </w:r>
      <w:r w:rsidRPr="003D7F25">
        <w:t>Rosj</w:t>
      </w:r>
      <w:r w:rsidR="002517BC" w:rsidRPr="003D7F25">
        <w:t>a)</w:t>
      </w:r>
      <w:r w:rsidRPr="0013325B">
        <w:t xml:space="preserve">, lecz także </w:t>
      </w:r>
      <w:r w:rsidR="002517BC" w:rsidRPr="0013325B">
        <w:t xml:space="preserve">na </w:t>
      </w:r>
      <w:r w:rsidR="0042650C">
        <w:t>P</w:t>
      </w:r>
      <w:r w:rsidRPr="0013325B">
        <w:t>aństwa</w:t>
      </w:r>
      <w:r w:rsidR="002517BC" w:rsidRPr="0013325B">
        <w:t>ch</w:t>
      </w:r>
      <w:r w:rsidRPr="0013325B">
        <w:t xml:space="preserve"> tranzytow</w:t>
      </w:r>
      <w:r w:rsidR="002517BC" w:rsidRPr="0013325B">
        <w:t>ych</w:t>
      </w:r>
      <w:r w:rsidRPr="0013325B">
        <w:t xml:space="preserve">. Współpraca taka, </w:t>
      </w:r>
      <w:r w:rsidRPr="001C5F9D">
        <w:t>u</w:t>
      </w:r>
      <w:r w:rsidR="00D21D95">
        <w:t>jęta w formie porozumień dwu- i </w:t>
      </w:r>
      <w:r w:rsidRPr="001C5F9D">
        <w:t xml:space="preserve">wielostronnych, ma szczególnie </w:t>
      </w:r>
      <w:r w:rsidR="002517BC" w:rsidRPr="001C5F9D">
        <w:t xml:space="preserve">istotne </w:t>
      </w:r>
      <w:r w:rsidRPr="001C5F9D">
        <w:t xml:space="preserve">znaczenie </w:t>
      </w:r>
      <w:r w:rsidR="002517BC" w:rsidRPr="001C5F9D">
        <w:t xml:space="preserve">dla </w:t>
      </w:r>
      <w:r w:rsidR="0042650C">
        <w:t>P</w:t>
      </w:r>
      <w:r w:rsidRPr="001C5F9D">
        <w:t>aństw zaangażowany</w:t>
      </w:r>
      <w:r w:rsidR="002517BC" w:rsidRPr="001C5F9D">
        <w:t>ch</w:t>
      </w:r>
      <w:r w:rsidRPr="001C5F9D">
        <w:t xml:space="preserve"> na </w:t>
      </w:r>
      <w:r w:rsidR="00F62527">
        <w:t xml:space="preserve">różnych </w:t>
      </w:r>
      <w:r w:rsidRPr="001C5F9D">
        <w:t>ogniwach łańcucha handlu ludźmi</w:t>
      </w:r>
      <w:r w:rsidRPr="00076546">
        <w:rPr>
          <w:vertAlign w:val="superscript"/>
        </w:rPr>
        <w:footnoteReference w:id="129"/>
      </w:r>
      <w:r w:rsidRPr="00082846">
        <w:t>.</w:t>
      </w:r>
    </w:p>
    <w:p w14:paraId="599430C1" w14:textId="26645859" w:rsidR="00802C80" w:rsidRPr="001C5F9D" w:rsidRDefault="00802C80" w:rsidP="00802C80">
      <w:pPr>
        <w:pStyle w:val="OpiPara"/>
      </w:pPr>
      <w:r w:rsidRPr="00082846">
        <w:t>40. Podsumowując, Państwa-Strony Konwencji mają obowiązek kryminalizacji pracy przymusowej lub obowiązkowej i handlu ludźmi. Na potrzeby art. 4 Konwencji pracę lub usługi o charakterze przymusowym lub obowiązkowym winno się interpretować w rozumieniu art. 2 Konwencji MOP z 1930 r.</w:t>
      </w:r>
      <w:r w:rsidR="002517BC" w:rsidRPr="00082846">
        <w:t>,</w:t>
      </w:r>
      <w:r w:rsidRPr="00082846">
        <w:t xml:space="preserve"> jako wszelką pracę lub usługi wymagane od jakiejś osoby pod groźbą jakiejkolwiek kary i do których dana osoba nie zgłosiła się dobrowolnie bądź po rozpoczęciu okazuje się, że nie ma możliwości rezygnacji. Koncepcja </w:t>
      </w:r>
      <w:r w:rsidR="002517BC" w:rsidRPr="00082846">
        <w:t>mieści</w:t>
      </w:r>
      <w:r w:rsidRPr="00082846">
        <w:t xml:space="preserve"> w sobie dwa </w:t>
      </w:r>
      <w:r w:rsidR="002517BC" w:rsidRPr="003D7F25">
        <w:t>znami</w:t>
      </w:r>
      <w:r w:rsidR="00500C0F">
        <w:t>o</w:t>
      </w:r>
      <w:r w:rsidR="002517BC" w:rsidRPr="003D7F25">
        <w:t>na</w:t>
      </w:r>
      <w:r w:rsidRPr="003D7F25">
        <w:t xml:space="preserve">: groźbę kary ze strony pracodawcy i </w:t>
      </w:r>
      <w:r w:rsidR="002517BC" w:rsidRPr="003D7F25">
        <w:t xml:space="preserve">brak dobrowolności </w:t>
      </w:r>
      <w:r w:rsidRPr="003D7F25">
        <w:t>po stronie pracownika</w:t>
      </w:r>
      <w:r w:rsidRPr="00076546">
        <w:rPr>
          <w:vertAlign w:val="superscript"/>
        </w:rPr>
        <w:footnoteReference w:id="130"/>
      </w:r>
      <w:r w:rsidRPr="00082846">
        <w:t xml:space="preserve">. Nie </w:t>
      </w:r>
      <w:r w:rsidR="00BB6DC1" w:rsidRPr="00082846">
        <w:t xml:space="preserve">istnieje wymóg dotyczący </w:t>
      </w:r>
      <w:r w:rsidRPr="00082846">
        <w:t>legalności, okresu trwania czy dolegliwości egzekwowanej pracy. Do pracy przymusowej zalicza</w:t>
      </w:r>
      <w:r w:rsidRPr="003D7F25">
        <w:t xml:space="preserve"> się</w:t>
      </w:r>
      <w:r w:rsidR="00BB6DC1" w:rsidRPr="003D7F25">
        <w:t xml:space="preserve"> zatem</w:t>
      </w:r>
      <w:r w:rsidRPr="003D7F25">
        <w:t xml:space="preserve">: stała, warunkowa, tymczasowa, okazjonalna, incydentalna, naprzemienna, nieregularna bądź </w:t>
      </w:r>
      <w:r w:rsidR="00BB6DC1" w:rsidRPr="003D7F25">
        <w:t xml:space="preserve">świadczona </w:t>
      </w:r>
      <w:r w:rsidRPr="003D7F25">
        <w:t xml:space="preserve">w </w:t>
      </w:r>
      <w:r w:rsidR="00BB6DC1" w:rsidRPr="003D7F25">
        <w:t xml:space="preserve">niepełnym </w:t>
      </w:r>
      <w:r w:rsidRPr="003D7F25">
        <w:t xml:space="preserve">wymiarze praca fabryczna, jak również wymuszona prostytucja, zmuszanie do żebrania, zmuszanie do popełniania przestępstw, </w:t>
      </w:r>
      <w:r w:rsidR="00BB6DC1" w:rsidRPr="003D7F25">
        <w:t>zmuszanie do udziału</w:t>
      </w:r>
      <w:r w:rsidRPr="0013325B">
        <w:t xml:space="preserve"> w konflikcie zbrojnym, poddaństwo rytualne bądź ceremonialne, wymuszone wykorzystanie kobiet jako matek zastępczych, wymuszona ciąża </w:t>
      </w:r>
      <w:r w:rsidR="00BB6DC1" w:rsidRPr="0013325B">
        <w:t>oraz</w:t>
      </w:r>
      <w:r w:rsidRPr="0013325B">
        <w:t xml:space="preserve"> nielegalne prowadzenie badań biomedycznych na danej osobie. Zachowania opisane w art. 4 ust. 3 Konwencji delimitują konwencyjne pojęcie pracy przymusowej lub obowiązkowej, a zatem muszą być interpretowane </w:t>
      </w:r>
      <w:r w:rsidR="00BB6DC1" w:rsidRPr="001C5F9D">
        <w:t xml:space="preserve">wąsko </w:t>
      </w:r>
      <w:r w:rsidRPr="001C5F9D">
        <w:t>w świetle bezwzględnie obowiązującego zakazu zawartego w art. 1 Konwencji o zniesieniu pracy przymusowej z 1957 r.</w:t>
      </w:r>
    </w:p>
    <w:p w14:paraId="251F5294" w14:textId="77777777" w:rsidR="00802C80" w:rsidRPr="003D7F25" w:rsidRDefault="00802C80" w:rsidP="00802C80">
      <w:pPr>
        <w:pStyle w:val="OpiPara"/>
      </w:pPr>
      <w:r w:rsidRPr="001C5F9D">
        <w:t>Prac</w:t>
      </w:r>
      <w:r w:rsidR="00BB6DC1" w:rsidRPr="001C5F9D">
        <w:t>y</w:t>
      </w:r>
      <w:r w:rsidRPr="001C5F9D">
        <w:t xml:space="preserve"> przymusow</w:t>
      </w:r>
      <w:r w:rsidR="00BB6DC1" w:rsidRPr="001C5F9D">
        <w:t>ej</w:t>
      </w:r>
      <w:r w:rsidRPr="001C5F9D">
        <w:t xml:space="preserve"> i prowadzon</w:t>
      </w:r>
      <w:r w:rsidR="00BB6DC1" w:rsidRPr="001C5F9D">
        <w:t>ego</w:t>
      </w:r>
      <w:r w:rsidRPr="001C5F9D">
        <w:t xml:space="preserve"> w jej celu </w:t>
      </w:r>
      <w:r w:rsidR="00BB6DC1" w:rsidRPr="001C5F9D">
        <w:t xml:space="preserve">handlu </w:t>
      </w:r>
      <w:r w:rsidRPr="001C5F9D">
        <w:t xml:space="preserve">nie </w:t>
      </w:r>
      <w:r w:rsidR="00BB6DC1" w:rsidRPr="001C5F9D">
        <w:t>należy</w:t>
      </w:r>
      <w:r w:rsidRPr="001C5F9D">
        <w:t xml:space="preserve"> </w:t>
      </w:r>
      <w:r w:rsidR="00BB6DC1" w:rsidRPr="001F0818">
        <w:t xml:space="preserve">mylić </w:t>
      </w:r>
      <w:r w:rsidRPr="001F0818">
        <w:t xml:space="preserve">z niewolnictwem, </w:t>
      </w:r>
      <w:r w:rsidR="00BB6DC1" w:rsidRPr="001F0818">
        <w:t xml:space="preserve">zbliżonymi </w:t>
      </w:r>
      <w:r w:rsidRPr="001F0818">
        <w:t xml:space="preserve">do niego </w:t>
      </w:r>
      <w:r w:rsidR="00BB6DC1" w:rsidRPr="001F0818">
        <w:t xml:space="preserve">instytucjami </w:t>
      </w:r>
      <w:r w:rsidRPr="001F0818">
        <w:t xml:space="preserve">ani poddaństwem. Nie „każda praca przymusowa jest handlem ludźmi”, podobnie jak „nie każdy handel ludźmi jest niewolnictwem”. </w:t>
      </w:r>
      <w:r w:rsidR="00BB6DC1" w:rsidRPr="001F0818">
        <w:t>Należy unikać t</w:t>
      </w:r>
      <w:r w:rsidRPr="001F0818">
        <w:t xml:space="preserve">ych dwóch przejawów tego, co określa się </w:t>
      </w:r>
      <w:r w:rsidR="00BB6DC1" w:rsidRPr="001F0818">
        <w:t xml:space="preserve">mianem </w:t>
      </w:r>
      <w:r w:rsidRPr="001F0818">
        <w:t>„</w:t>
      </w:r>
      <w:r w:rsidR="00BB6DC1" w:rsidRPr="001F0818">
        <w:t>pełzającego wykorzystania</w:t>
      </w:r>
      <w:r w:rsidRPr="001F0818">
        <w:t>” (</w:t>
      </w:r>
      <w:r w:rsidRPr="001F0818">
        <w:rPr>
          <w:i/>
          <w:iCs/>
        </w:rPr>
        <w:t>exploitation creep</w:t>
      </w:r>
      <w:r w:rsidRPr="001F0818">
        <w:t>)</w:t>
      </w:r>
      <w:r w:rsidRPr="00076546">
        <w:rPr>
          <w:vertAlign w:val="superscript"/>
        </w:rPr>
        <w:footnoteReference w:id="131"/>
      </w:r>
      <w:r w:rsidRPr="00082846">
        <w:t xml:space="preserve">. Proces handlu sam w sobie jest stadium przygotowawczym wobec następczego wykorzystania, a zatem łączy się z każdym z trzech </w:t>
      </w:r>
      <w:r w:rsidR="00BB6DC1" w:rsidRPr="00082846">
        <w:t xml:space="preserve">czynów zabronionych </w:t>
      </w:r>
      <w:r w:rsidRPr="00082846">
        <w:t xml:space="preserve">opisanych w art. 4. </w:t>
      </w:r>
      <w:r w:rsidR="00BB6DC1" w:rsidRPr="00082846">
        <w:t>H</w:t>
      </w:r>
      <w:r w:rsidRPr="00082846">
        <w:t xml:space="preserve">andel ludźmi </w:t>
      </w:r>
      <w:r w:rsidR="00BB6DC1" w:rsidRPr="00082846">
        <w:t xml:space="preserve">może jednak mieć miejsce </w:t>
      </w:r>
      <w:r w:rsidRPr="00082846">
        <w:t>bez następującego po nim wykorzystania, może też nastąpić wykorzystanie bez poprzedzającego je handlu ludźmi.</w:t>
      </w:r>
    </w:p>
    <w:p w14:paraId="3DAFB1E9" w14:textId="370AE215" w:rsidR="00802C80" w:rsidRPr="001F0818" w:rsidRDefault="00802C80" w:rsidP="00802C80">
      <w:pPr>
        <w:pStyle w:val="OpiPara"/>
      </w:pPr>
      <w:r w:rsidRPr="003D7F25">
        <w:t xml:space="preserve">Handel ludźmi w celu pracy przymusowej </w:t>
      </w:r>
      <w:r w:rsidR="00BB6DC1" w:rsidRPr="003D7F25">
        <w:t>objęty jest zakazem z</w:t>
      </w:r>
      <w:r w:rsidRPr="003D7F25">
        <w:t xml:space="preserve"> art. 4 ust. 2 Konwencji jako czyn polegający na karalnym przygotowaniu do stypizowanego czynu zabronionego. </w:t>
      </w:r>
      <w:r w:rsidR="009D2A3F" w:rsidRPr="003D7F25">
        <w:t xml:space="preserve">Postanowienie to porusza kwestię wydalenia </w:t>
      </w:r>
      <w:r w:rsidRPr="003D7F25">
        <w:t xml:space="preserve">do kraju, w którym dana osoba </w:t>
      </w:r>
      <w:r w:rsidR="00BB6DC1" w:rsidRPr="003D7F25">
        <w:t>byłaby narażona na</w:t>
      </w:r>
      <w:r w:rsidRPr="0013325B">
        <w:t xml:space="preserve"> prac</w:t>
      </w:r>
      <w:r w:rsidR="00BB6DC1" w:rsidRPr="0013325B">
        <w:t>ę</w:t>
      </w:r>
      <w:r w:rsidRPr="0013325B">
        <w:t xml:space="preserve"> </w:t>
      </w:r>
      <w:r w:rsidR="00BB6DC1" w:rsidRPr="0013325B">
        <w:t xml:space="preserve">przymusową </w:t>
      </w:r>
      <w:r w:rsidRPr="0013325B">
        <w:t xml:space="preserve">lub prowadzonego w </w:t>
      </w:r>
      <w:r w:rsidR="009D2A3F" w:rsidRPr="001C5F9D">
        <w:t xml:space="preserve">jej </w:t>
      </w:r>
      <w:r w:rsidR="00500C0F">
        <w:t>celu handlu ludźmi</w:t>
      </w:r>
      <w:r w:rsidRPr="001C5F9D">
        <w:t>. Na potrzeby art. 4 Konwencji handel ludźmi interpretuje się w rozumieniu art. 3 lit. a Protokołu z Palermo, art. 4 lit. a Konwencj</w:t>
      </w:r>
      <w:r w:rsidR="00BB6DC1" w:rsidRPr="001C5F9D">
        <w:t>i</w:t>
      </w:r>
      <w:r w:rsidRPr="001C5F9D">
        <w:t xml:space="preserve"> Rady Europy w sprawie działań przeciwko handlowi ludźmi </w:t>
      </w:r>
      <w:r w:rsidR="00BB6DC1" w:rsidRPr="001C5F9D">
        <w:t>oraz</w:t>
      </w:r>
      <w:r w:rsidRPr="001C5F9D">
        <w:t xml:space="preserve"> art. 2 unijnej </w:t>
      </w:r>
      <w:r w:rsidR="00500C0F" w:rsidRPr="001C5F9D">
        <w:t xml:space="preserve">Dyrektywy </w:t>
      </w:r>
      <w:r w:rsidRPr="001C5F9D">
        <w:t xml:space="preserve">w sprawie zapobiegania handlowi ludźmi i zwalczania tego procederu oraz ochrony ofiar. Ani praca przymusowa ani prowadzony w jej celu handel </w:t>
      </w:r>
      <w:r w:rsidR="009D2A3F" w:rsidRPr="001C5F9D">
        <w:t xml:space="preserve">zasadniczo </w:t>
      </w:r>
      <w:r w:rsidRPr="001C5F9D">
        <w:t xml:space="preserve">nie </w:t>
      </w:r>
      <w:r w:rsidR="009D2A3F" w:rsidRPr="001C5F9D">
        <w:t xml:space="preserve">obejmują zysku, </w:t>
      </w:r>
      <w:r w:rsidRPr="001F0818">
        <w:t>elementu komercyjnego, międzynarodowego, transgranicznego ani powiązania ze zorganizowaną przestępczością.</w:t>
      </w:r>
    </w:p>
    <w:p w14:paraId="18490FB0" w14:textId="77777777" w:rsidR="00802C80" w:rsidRPr="00082846" w:rsidRDefault="00802C80" w:rsidP="00802C80">
      <w:pPr>
        <w:pStyle w:val="OpiPara"/>
      </w:pPr>
      <w:r w:rsidRPr="001F0818">
        <w:t>Na potrzeby art. 4 Konwencji niew</w:t>
      </w:r>
      <w:r w:rsidR="00D21D95">
        <w:t>olnictwo należy interpretować w </w:t>
      </w:r>
      <w:r w:rsidRPr="001F0818">
        <w:t xml:space="preserve">rozumieniu art. I Konwencji w sprawie niewolnictwa, tj. jako </w:t>
      </w:r>
      <w:r w:rsidRPr="001F0818">
        <w:rPr>
          <w:i/>
          <w:iCs/>
        </w:rPr>
        <w:t xml:space="preserve">de iure </w:t>
      </w:r>
      <w:r w:rsidRPr="001F0818">
        <w:t xml:space="preserve">posiadanie lub </w:t>
      </w:r>
      <w:r w:rsidRPr="001F0818">
        <w:rPr>
          <w:i/>
          <w:iCs/>
        </w:rPr>
        <w:t xml:space="preserve">de facto </w:t>
      </w:r>
      <w:r w:rsidRPr="001F0818">
        <w:t xml:space="preserve">wykonywanie </w:t>
      </w:r>
      <w:r w:rsidR="009D2A3F" w:rsidRPr="001F0818">
        <w:t>w stosunku do osoby</w:t>
      </w:r>
      <w:r w:rsidRPr="001F0818">
        <w:t xml:space="preserve"> uprawnień </w:t>
      </w:r>
      <w:r w:rsidR="009D2A3F" w:rsidRPr="001F0818">
        <w:t xml:space="preserve">związanych </w:t>
      </w:r>
      <w:r w:rsidRPr="001F0818">
        <w:t>z praw</w:t>
      </w:r>
      <w:r w:rsidR="009D2A3F" w:rsidRPr="001F0818">
        <w:t>em</w:t>
      </w:r>
      <w:r w:rsidRPr="001F0818">
        <w:t xml:space="preserve"> własności. Handel ludźmi prowadzony na potrzeby niewolnictwa (w tym handel niewolnikami) </w:t>
      </w:r>
      <w:r w:rsidR="009D2A3F" w:rsidRPr="00A87024">
        <w:t xml:space="preserve">objęty </w:t>
      </w:r>
      <w:r w:rsidRPr="00A87024">
        <w:t xml:space="preserve">jest </w:t>
      </w:r>
      <w:r w:rsidR="009D2A3F" w:rsidRPr="00A87024">
        <w:t>zakazem z</w:t>
      </w:r>
      <w:r w:rsidRPr="00A87024">
        <w:t xml:space="preserve"> art. 4 ust. 1 Konwencji. Wydalenie</w:t>
      </w:r>
      <w:r w:rsidR="009D2A3F" w:rsidRPr="00A87024">
        <w:t xml:space="preserve"> </w:t>
      </w:r>
      <w:r w:rsidRPr="00A87024">
        <w:t xml:space="preserve">do kraju, w którym dana osoba </w:t>
      </w:r>
      <w:r w:rsidR="009D2A3F" w:rsidRPr="00A87024">
        <w:t>byłaby narażona na</w:t>
      </w:r>
      <w:r w:rsidRPr="00A87024">
        <w:t xml:space="preserve"> niewolnictw</w:t>
      </w:r>
      <w:r w:rsidR="009D2A3F" w:rsidRPr="00A87024">
        <w:t>o</w:t>
      </w:r>
      <w:r w:rsidRPr="00A87024">
        <w:t xml:space="preserve"> lub </w:t>
      </w:r>
      <w:r w:rsidR="009D2A3F" w:rsidRPr="00A87024">
        <w:t xml:space="preserve">prowadzony </w:t>
      </w:r>
      <w:r w:rsidRPr="00A87024">
        <w:t xml:space="preserve">w tym celu </w:t>
      </w:r>
      <w:r w:rsidR="009D2A3F" w:rsidRPr="00A87024">
        <w:t xml:space="preserve">handel </w:t>
      </w:r>
      <w:r w:rsidRPr="00A87024">
        <w:t xml:space="preserve">ludźmi, podnosi kwestię </w:t>
      </w:r>
      <w:r w:rsidR="00B22157" w:rsidRPr="00A87024">
        <w:t>na gruncie</w:t>
      </w:r>
      <w:r w:rsidRPr="00A87024">
        <w:t xml:space="preserve"> tego </w:t>
      </w:r>
      <w:r w:rsidR="00B22157" w:rsidRPr="00A87024">
        <w:t>postanowienia</w:t>
      </w:r>
      <w:r w:rsidRPr="00076546">
        <w:rPr>
          <w:vertAlign w:val="superscript"/>
        </w:rPr>
        <w:footnoteReference w:id="132"/>
      </w:r>
      <w:r w:rsidRPr="00082846">
        <w:t>.</w:t>
      </w:r>
    </w:p>
    <w:p w14:paraId="45EB96D3" w14:textId="37900B62" w:rsidR="00802C80" w:rsidRPr="001C5F9D" w:rsidRDefault="00802C80" w:rsidP="00802C80">
      <w:pPr>
        <w:pStyle w:val="OpiPara"/>
      </w:pPr>
      <w:r w:rsidRPr="00082846">
        <w:t xml:space="preserve">Na potrzeby art. 4 Konwencji poddaństwo </w:t>
      </w:r>
      <w:r w:rsidR="00D21D95">
        <w:t>należy interpretować w </w:t>
      </w:r>
      <w:r w:rsidRPr="00082846">
        <w:t>rozumieniu art. 7 lit. b Uzupełniającej konwencji w sprawie zniesienia niewolnictwa</w:t>
      </w:r>
      <w:r w:rsidR="009D2A3F" w:rsidRPr="00082846">
        <w:t xml:space="preserve"> z 1956 r.</w:t>
      </w:r>
      <w:r w:rsidRPr="00082846">
        <w:t xml:space="preserve">, która </w:t>
      </w:r>
      <w:r w:rsidR="009D2A3F" w:rsidRPr="00082846">
        <w:t xml:space="preserve">określa </w:t>
      </w:r>
      <w:r w:rsidRPr="00082846">
        <w:t xml:space="preserve">ofiary „praktyk zbliżonych do niewolnictwa” (niewoli za długi, pańszczyzny, służebnych form małżeństwa, sprzedaży bądź adopcji dziecka w celu wyzysku) jako „osoby o statusie służebnym”. Nielegalna adopcja dziecka w celu wyzysku, niezależnie od wynagrodzenia, </w:t>
      </w:r>
      <w:r w:rsidR="009D2A3F" w:rsidRPr="003D7F25">
        <w:t>wpisuje się w</w:t>
      </w:r>
      <w:r w:rsidRPr="003D7F25">
        <w:t xml:space="preserve"> </w:t>
      </w:r>
      <w:r w:rsidR="009D2A3F" w:rsidRPr="003D7F25">
        <w:t xml:space="preserve">te </w:t>
      </w:r>
      <w:r w:rsidRPr="003D7F25">
        <w:t>praktyk</w:t>
      </w:r>
      <w:r w:rsidR="009D2A3F" w:rsidRPr="003D7F25">
        <w:t>i</w:t>
      </w:r>
      <w:r w:rsidR="00026189">
        <w:t xml:space="preserve"> w świetle</w:t>
      </w:r>
      <w:r w:rsidR="005F47D9">
        <w:t xml:space="preserve"> </w:t>
      </w:r>
      <w:r w:rsidRPr="003D7F25">
        <w:t xml:space="preserve">interpretacyjnych do </w:t>
      </w:r>
      <w:r w:rsidRPr="003D7F25">
        <w:rPr>
          <w:i/>
        </w:rPr>
        <w:t>travaux préparatoires</w:t>
      </w:r>
      <w:r w:rsidRPr="003D7F25">
        <w:t xml:space="preserve"> do Protokołu z Palermo, Sprawozdania wyjaśniającego do Konwencji Rady Europy w sprawie działań przeciwko handlowi ludźmi i unijnej Dyrektywy 2011/36/UE. Handel ludźmi mający na celu obrócenie osoby w poddańs</w:t>
      </w:r>
      <w:r w:rsidRPr="0013325B">
        <w:t xml:space="preserve">two (tj. praktyki zbliżone do niewolnictwa) </w:t>
      </w:r>
      <w:r w:rsidR="009D2A3F" w:rsidRPr="0013325B">
        <w:t xml:space="preserve">objęty </w:t>
      </w:r>
      <w:r w:rsidRPr="0013325B">
        <w:t xml:space="preserve">jest </w:t>
      </w:r>
      <w:r w:rsidR="009D2A3F" w:rsidRPr="0013325B">
        <w:t>zakazem z</w:t>
      </w:r>
      <w:r w:rsidRPr="0013325B">
        <w:t xml:space="preserve"> art. 4 ust. 1 Konwencji. Wydalenie</w:t>
      </w:r>
      <w:r w:rsidRPr="001C5F9D">
        <w:t xml:space="preserve"> do kraju, w którym dana osoba ponosiłaby ryzyko nadania jej takiego statusu lub prowadzonego w tym celu handlu ludźmi, podnosi kwestię </w:t>
      </w:r>
      <w:r w:rsidR="00B22157" w:rsidRPr="001C5F9D">
        <w:t>na gruncie</w:t>
      </w:r>
      <w:r w:rsidRPr="001C5F9D">
        <w:t xml:space="preserve"> tego </w:t>
      </w:r>
      <w:r w:rsidR="00B22157" w:rsidRPr="001C5F9D">
        <w:t>postanowienia</w:t>
      </w:r>
      <w:r w:rsidRPr="001C5F9D">
        <w:t>.</w:t>
      </w:r>
    </w:p>
    <w:p w14:paraId="7A05E5DB" w14:textId="2C117A95" w:rsidR="00802C80" w:rsidRPr="00082846" w:rsidRDefault="00802C80" w:rsidP="00802C80">
      <w:pPr>
        <w:pStyle w:val="OpiPara"/>
      </w:pPr>
      <w:r w:rsidRPr="001C5F9D">
        <w:t xml:space="preserve">W kontekście </w:t>
      </w:r>
      <w:r w:rsidR="009D2A3F" w:rsidRPr="001C5F9D">
        <w:t xml:space="preserve">horyzontalnego </w:t>
      </w:r>
      <w:r w:rsidR="00597610">
        <w:t>skutku Konwencji P</w:t>
      </w:r>
      <w:r w:rsidRPr="001C5F9D">
        <w:t>aństwa mają obowiązek nie tylko kryminalizacji pra</w:t>
      </w:r>
      <w:r w:rsidR="00D21D95">
        <w:t>cy przymusowej i prowadzonego w </w:t>
      </w:r>
      <w:r w:rsidRPr="001C5F9D">
        <w:t xml:space="preserve">tym celu handlu ludźmi, ścigania i </w:t>
      </w:r>
      <w:r w:rsidR="00D21D95">
        <w:t>karania domniemanych sprawców i </w:t>
      </w:r>
      <w:r w:rsidRPr="001C5F9D">
        <w:t xml:space="preserve">upodmiotowienia ofiar przez </w:t>
      </w:r>
      <w:r w:rsidR="009D2A3F" w:rsidRPr="001C5F9D">
        <w:t>umożliwienie im czynnego udziału</w:t>
      </w:r>
      <w:r w:rsidR="00D21D95">
        <w:t xml:space="preserve"> w </w:t>
      </w:r>
      <w:r w:rsidRPr="001C5F9D">
        <w:t xml:space="preserve">postępowaniach karnych, lecz także zapobiegania popełnianiu czy powrotowi do tego przestępstwa przez podmioty prywatne. Takie międzynarodowe zobowiązanie pozytywne musi zostać uznane za odzwierciedlające zasadę międzynarodowego prawa zwyczajowego, </w:t>
      </w:r>
      <w:r w:rsidR="009D2A3F" w:rsidRPr="001F0818">
        <w:t xml:space="preserve">która jest </w:t>
      </w:r>
      <w:r w:rsidRPr="001F0818">
        <w:t>wiążąc</w:t>
      </w:r>
      <w:r w:rsidR="009D2A3F" w:rsidRPr="001F0818">
        <w:t>a</w:t>
      </w:r>
      <w:r w:rsidR="00597610">
        <w:t xml:space="preserve"> dla wszystkich P</w:t>
      </w:r>
      <w:r w:rsidRPr="001F0818">
        <w:t xml:space="preserve">aństw, w świetle szeroko zakrojonej długoletniej </w:t>
      </w:r>
      <w:r w:rsidR="009D2A3F" w:rsidRPr="001F0818">
        <w:t>zwyczajowej</w:t>
      </w:r>
      <w:r w:rsidRPr="001F0818">
        <w:t xml:space="preserve"> praktyki i </w:t>
      </w:r>
      <w:r w:rsidRPr="001F0818">
        <w:rPr>
          <w:i/>
          <w:iCs/>
        </w:rPr>
        <w:t>opinio iuris</w:t>
      </w:r>
      <w:r w:rsidRPr="001F0818">
        <w:t>, o czym już była mowa, co wyrażają np. Deklaracja MOP z 1998 r. i Wytyczne dla badań z 2011. oraz inne</w:t>
      </w:r>
      <w:r w:rsidR="00B22157" w:rsidRPr="001F0818">
        <w:t>, przytoczone powyżej,</w:t>
      </w:r>
      <w:r w:rsidRPr="001F0818">
        <w:t xml:space="preserve"> </w:t>
      </w:r>
      <w:r w:rsidR="00B22157" w:rsidRPr="001F0818">
        <w:t xml:space="preserve">akty </w:t>
      </w:r>
      <w:r w:rsidRPr="001F0818">
        <w:t xml:space="preserve">„prawa miękkiego”. Nadto zobowiązanie to stanowi normę peremptoryjną </w:t>
      </w:r>
      <w:r w:rsidR="00B22157" w:rsidRPr="001F0818">
        <w:t>w tym sensie</w:t>
      </w:r>
      <w:r w:rsidRPr="001F0818">
        <w:t>, że żadna inna n</w:t>
      </w:r>
      <w:r w:rsidRPr="00A87024">
        <w:t xml:space="preserve">orma prawa międzynarodowego ani krajowego nie może jej </w:t>
      </w:r>
      <w:r w:rsidR="00544CB3">
        <w:t>uchylić</w:t>
      </w:r>
      <w:r w:rsidRPr="00A87024">
        <w:t>, co Trybunał wyprowadził w</w:t>
      </w:r>
      <w:r w:rsidRPr="00A87024">
        <w:rPr>
          <w:i/>
        </w:rPr>
        <w:t xml:space="preserve"> Rantsev</w:t>
      </w:r>
      <w:r w:rsidRPr="00A87024">
        <w:t xml:space="preserve">, </w:t>
      </w:r>
      <w:r w:rsidRPr="00544CB3">
        <w:t>AKPC determinuje, a KPC ONZ potwierdza</w:t>
      </w:r>
      <w:r w:rsidRPr="00076546">
        <w:rPr>
          <w:vertAlign w:val="superscript"/>
        </w:rPr>
        <w:footnoteReference w:id="133"/>
      </w:r>
      <w:r w:rsidRPr="00082846">
        <w:t xml:space="preserve">. Inercja </w:t>
      </w:r>
      <w:r w:rsidR="00452E9C" w:rsidRPr="00082846">
        <w:t xml:space="preserve">Państwa </w:t>
      </w:r>
      <w:r w:rsidRPr="00082846">
        <w:t xml:space="preserve">w </w:t>
      </w:r>
      <w:r w:rsidR="00B22157" w:rsidRPr="00082846">
        <w:t>zakresie</w:t>
      </w:r>
      <w:r w:rsidRPr="00082846">
        <w:t xml:space="preserve"> prac</w:t>
      </w:r>
      <w:r w:rsidR="00B22157" w:rsidRPr="00082846">
        <w:t>y</w:t>
      </w:r>
      <w:r w:rsidRPr="00082846">
        <w:t xml:space="preserve"> przymusow</w:t>
      </w:r>
      <w:r w:rsidR="00B22157" w:rsidRPr="00082846">
        <w:t>ej</w:t>
      </w:r>
      <w:r w:rsidRPr="00082846">
        <w:t xml:space="preserve"> lub prowadzonym w jej celu handlem ludźmi stanowi zatem w tym zakresie naruszenie zobowiązania Państwa-Strony. Wyprowadzony przez Trybunał zakres pozytywnych </w:t>
      </w:r>
      <w:r w:rsidR="00B22157" w:rsidRPr="003D7F25">
        <w:t xml:space="preserve">obowiązków </w:t>
      </w:r>
      <w:r w:rsidRPr="003D7F25">
        <w:t>zwalczania wykorzystywania wykracza poza ramy handlu ludźmi, bowiem władze krajowe mają obowiązek podjęcia rozsądnych kroków, aby „zakończyć sytuację ryzyka dla danej osoby” padnięcia ofiarą handlu lub wykorzystania i „unikania ryzyka złego traktowania”</w:t>
      </w:r>
      <w:r w:rsidRPr="00076546">
        <w:rPr>
          <w:vertAlign w:val="superscript"/>
        </w:rPr>
        <w:footnoteReference w:id="134"/>
      </w:r>
      <w:r w:rsidRPr="00082846">
        <w:t>.</w:t>
      </w:r>
    </w:p>
    <w:p w14:paraId="4F4FEE28" w14:textId="77777777" w:rsidR="00802C80" w:rsidRPr="00082846" w:rsidRDefault="00802C80" w:rsidP="00802C80">
      <w:pPr>
        <w:pStyle w:val="OpiHA0"/>
      </w:pPr>
      <w:bookmarkStart w:id="14" w:name="_Toc535852147"/>
      <w:r w:rsidRPr="00082846">
        <w:t>Część druga (paragrafy 41-59)</w:t>
      </w:r>
      <w:bookmarkEnd w:id="14"/>
    </w:p>
    <w:p w14:paraId="48704813" w14:textId="359860A6" w:rsidR="00802C80" w:rsidRPr="00082846" w:rsidRDefault="00802C80" w:rsidP="00802C80">
      <w:pPr>
        <w:pStyle w:val="OpiHA0"/>
      </w:pPr>
      <w:bookmarkStart w:id="15" w:name="_Toc535852148"/>
      <w:r w:rsidRPr="00082846">
        <w:t>IV.</w:t>
      </w:r>
      <w:r w:rsidR="005F47D9">
        <w:t xml:space="preserve"> </w:t>
      </w:r>
      <w:r w:rsidR="00141BF6" w:rsidRPr="00082846">
        <w:t xml:space="preserve">Obowiązki </w:t>
      </w:r>
      <w:r w:rsidRPr="00082846">
        <w:t>pozwanego Państwa (paragrafy 41-52)</w:t>
      </w:r>
      <w:bookmarkEnd w:id="15"/>
    </w:p>
    <w:p w14:paraId="1689EF0D" w14:textId="31C094D3" w:rsidR="00802C80" w:rsidRPr="003D7F25" w:rsidRDefault="00802C80" w:rsidP="00802C80">
      <w:pPr>
        <w:pStyle w:val="OpiH1"/>
      </w:pPr>
      <w:bookmarkStart w:id="16" w:name="_Toc535852149"/>
      <w:r w:rsidRPr="00082846">
        <w:t>A.</w:t>
      </w:r>
      <w:r w:rsidR="005F47D9">
        <w:t xml:space="preserve"> </w:t>
      </w:r>
      <w:r w:rsidRPr="00082846">
        <w:t>Międzynarodow</w:t>
      </w:r>
      <w:r w:rsidR="00141BF6" w:rsidRPr="00082846">
        <w:t>y</w:t>
      </w:r>
      <w:r w:rsidRPr="003D7F25">
        <w:t xml:space="preserve"> </w:t>
      </w:r>
      <w:r w:rsidR="00141BF6" w:rsidRPr="003D7F25">
        <w:t>obowiązek</w:t>
      </w:r>
      <w:r w:rsidRPr="003D7F25">
        <w:t xml:space="preserve"> kryminalizacji i ścigania pracy przymusowej (paragrafy 41-42)</w:t>
      </w:r>
      <w:bookmarkEnd w:id="16"/>
    </w:p>
    <w:p w14:paraId="44A479A6" w14:textId="77777777" w:rsidR="00802C80" w:rsidRPr="003D7F25" w:rsidRDefault="00802C80" w:rsidP="00802C80">
      <w:pPr>
        <w:pStyle w:val="OpiPara"/>
      </w:pPr>
      <w:r w:rsidRPr="003D7F25">
        <w:t xml:space="preserve">41. </w:t>
      </w:r>
      <w:r w:rsidR="00141BF6" w:rsidRPr="003D7F25">
        <w:t>Czyny polegające na t</w:t>
      </w:r>
      <w:r w:rsidRPr="003D7F25">
        <w:t>raktowani</w:t>
      </w:r>
      <w:r w:rsidR="00141BF6" w:rsidRPr="003D7F25">
        <w:t>u</w:t>
      </w:r>
      <w:r w:rsidRPr="003D7F25">
        <w:t xml:space="preserve"> osoby jak niewolnika i </w:t>
      </w:r>
      <w:r w:rsidR="00141BF6" w:rsidRPr="0013325B">
        <w:t xml:space="preserve">handlu </w:t>
      </w:r>
      <w:r w:rsidRPr="0013325B">
        <w:t xml:space="preserve">niewolnikami </w:t>
      </w:r>
      <w:r w:rsidR="00141BF6" w:rsidRPr="0013325B">
        <w:t xml:space="preserve">są zagrożone karą </w:t>
      </w:r>
      <w:r w:rsidRPr="001C5F9D">
        <w:t>na podstawie art. 104 austriackiego Kodeksu karnego (</w:t>
      </w:r>
      <w:r w:rsidRPr="001C5F9D">
        <w:rPr>
          <w:i/>
        </w:rPr>
        <w:t>Sklavenhandel</w:t>
      </w:r>
      <w:r w:rsidRPr="001C5F9D">
        <w:t>). Art. 104a kryminalizuje handel ludźmi (</w:t>
      </w:r>
      <w:r w:rsidRPr="001C5F9D">
        <w:rPr>
          <w:i/>
        </w:rPr>
        <w:t>Menschenhandel</w:t>
      </w:r>
      <w:r w:rsidRPr="001C5F9D">
        <w:t>) prowadzony w celu wykorzystania</w:t>
      </w:r>
      <w:r w:rsidRPr="00076546">
        <w:rPr>
          <w:vertAlign w:val="superscript"/>
        </w:rPr>
        <w:footnoteReference w:id="135"/>
      </w:r>
      <w:r w:rsidRPr="00082846">
        <w:t>. Art. 106a typizuje jako przestępstwo wymuszanie małżeństwa (</w:t>
      </w:r>
      <w:r w:rsidRPr="00082846">
        <w:rPr>
          <w:i/>
        </w:rPr>
        <w:t>Zwangsheirat</w:t>
      </w:r>
      <w:r w:rsidRPr="00082846">
        <w:t>). Międzynarodowy handel w celu prostytucji (</w:t>
      </w:r>
      <w:r w:rsidRPr="00082846">
        <w:rPr>
          <w:i/>
        </w:rPr>
        <w:t>Grenzüberschreitender Prostitutionshandel</w:t>
      </w:r>
      <w:r w:rsidRPr="00082846">
        <w:t xml:space="preserve">) </w:t>
      </w:r>
      <w:r w:rsidR="00141BF6" w:rsidRPr="00082846">
        <w:t>jest zagrożony karą na podstawie</w:t>
      </w:r>
      <w:r w:rsidRPr="00082846">
        <w:t xml:space="preserve"> art. 217. </w:t>
      </w:r>
      <w:r w:rsidR="00141BF6" w:rsidRPr="00082846">
        <w:t>Wreszcie</w:t>
      </w:r>
      <w:r w:rsidRPr="00082846">
        <w:t xml:space="preserve"> Austria kryminalizuje również pracę przymusową cudzoziemców ((</w:t>
      </w:r>
      <w:r w:rsidRPr="003D7F25">
        <w:rPr>
          <w:i/>
        </w:rPr>
        <w:t>Ausbeutung eines Fremden</w:t>
      </w:r>
      <w:r w:rsidRPr="003D7F25">
        <w:t xml:space="preserve">) — art. 116 </w:t>
      </w:r>
      <w:r w:rsidR="00141BF6" w:rsidRPr="003D7F25">
        <w:t>u</w:t>
      </w:r>
      <w:r w:rsidRPr="003D7F25">
        <w:t>stawy o cudzoziemcach (</w:t>
      </w:r>
      <w:r w:rsidRPr="003D7F25">
        <w:rPr>
          <w:i/>
        </w:rPr>
        <w:t>Fremdenpolizeigesetz</w:t>
      </w:r>
      <w:r w:rsidRPr="003D7F25">
        <w:t>)).</w:t>
      </w:r>
    </w:p>
    <w:p w14:paraId="74DBAA6C" w14:textId="441A384C" w:rsidR="00802C80" w:rsidRPr="00082846" w:rsidRDefault="00802C80" w:rsidP="00802C80">
      <w:pPr>
        <w:pStyle w:val="OpiPara"/>
      </w:pPr>
      <w:r w:rsidRPr="003D7F25">
        <w:t>42. Art</w:t>
      </w:r>
      <w:r w:rsidR="00B25512">
        <w:t>.</w:t>
      </w:r>
      <w:r w:rsidRPr="003D7F25">
        <w:t xml:space="preserve"> 104 k.k. obejmuje</w:t>
      </w:r>
      <w:r w:rsidRPr="0013325B">
        <w:t xml:space="preserve"> praktyki zbliżone do niewolnictwa (</w:t>
      </w:r>
      <w:r w:rsidRPr="0013325B">
        <w:rPr>
          <w:i/>
        </w:rPr>
        <w:t>in eine sklavereiähnliche Lage</w:t>
      </w:r>
      <w:r w:rsidRPr="0013325B">
        <w:t xml:space="preserve">), takie jak niewola za długi i poddaństwo, natomiast mniej poważne praktyki wykorzystywania pracy </w:t>
      </w:r>
      <w:r w:rsidR="00141BF6" w:rsidRPr="0013325B">
        <w:t>mieszczą się w</w:t>
      </w:r>
      <w:r w:rsidRPr="0013325B">
        <w:t xml:space="preserve"> zakres</w:t>
      </w:r>
      <w:r w:rsidR="00141BF6" w:rsidRPr="0013325B">
        <w:t>ie</w:t>
      </w:r>
      <w:r w:rsidRPr="001C5F9D">
        <w:t xml:space="preserve"> art. 104a k.k.</w:t>
      </w:r>
      <w:r w:rsidRPr="00076546">
        <w:rPr>
          <w:vertAlign w:val="superscript"/>
        </w:rPr>
        <w:footnoteReference w:id="136"/>
      </w:r>
      <w:r w:rsidRPr="00082846">
        <w:t>.</w:t>
      </w:r>
    </w:p>
    <w:p w14:paraId="2A25D843" w14:textId="3CEE86B0" w:rsidR="00802C80" w:rsidRPr="00082846" w:rsidRDefault="00802C80" w:rsidP="00802C80">
      <w:pPr>
        <w:pStyle w:val="OpiPara"/>
      </w:pPr>
      <w:r w:rsidRPr="00082846">
        <w:t>43. Art</w:t>
      </w:r>
      <w:r w:rsidR="00B25512">
        <w:t>.</w:t>
      </w:r>
      <w:r w:rsidRPr="00082846">
        <w:t xml:space="preserve"> 116 </w:t>
      </w:r>
      <w:r w:rsidR="00141BF6" w:rsidRPr="00082846">
        <w:t>u</w:t>
      </w:r>
      <w:r w:rsidRPr="00082846">
        <w:t xml:space="preserve">stawy o cudzoziemcach kryminalizuje </w:t>
      </w:r>
      <w:r w:rsidR="00141BF6" w:rsidRPr="00082846">
        <w:t xml:space="preserve">zachowanie </w:t>
      </w:r>
      <w:r w:rsidRPr="00082846">
        <w:t>podmiotu wykorzystującego cudzoziem</w:t>
      </w:r>
      <w:r w:rsidRPr="003D7F25">
        <w:t xml:space="preserve">ca w </w:t>
      </w:r>
      <w:r w:rsidR="00180431">
        <w:t>zamiarze czerpania zysków o </w:t>
      </w:r>
      <w:r w:rsidRPr="003D7F25">
        <w:t xml:space="preserve">charakterze ciągłym z wykorzystywania szczególnej zależności ofiary wynikającej z faktu, że przebywa ona </w:t>
      </w:r>
      <w:r w:rsidR="00141BF6" w:rsidRPr="003D7F25">
        <w:t>w</w:t>
      </w:r>
      <w:r w:rsidRPr="003D7F25">
        <w:t xml:space="preserve"> kraju nielegalnie, nie ma ważnego pozwolenia na pracę bądź znajduje się w innej </w:t>
      </w:r>
      <w:r w:rsidR="00141BF6" w:rsidRPr="003D7F25">
        <w:t xml:space="preserve">szczególnej </w:t>
      </w:r>
      <w:r w:rsidR="00141BF6" w:rsidRPr="0013325B">
        <w:t>sytuacji</w:t>
      </w:r>
      <w:r w:rsidRPr="0013325B">
        <w:t xml:space="preserve"> zależności</w:t>
      </w:r>
      <w:r w:rsidRPr="00076546">
        <w:rPr>
          <w:vertAlign w:val="superscript"/>
        </w:rPr>
        <w:footnoteReference w:id="137"/>
      </w:r>
      <w:r w:rsidRPr="00082846">
        <w:t xml:space="preserve">. </w:t>
      </w:r>
      <w:r w:rsidR="00141BF6" w:rsidRPr="00082846">
        <w:t>O z</w:t>
      </w:r>
      <w:r w:rsidRPr="00082846">
        <w:t>ależnoś</w:t>
      </w:r>
      <w:r w:rsidR="00141BF6" w:rsidRPr="00082846">
        <w:t>ci</w:t>
      </w:r>
      <w:r w:rsidRPr="00082846">
        <w:t xml:space="preserve"> </w:t>
      </w:r>
      <w:r w:rsidR="00141BF6" w:rsidRPr="00082846">
        <w:t xml:space="preserve">pokrzywdzonego </w:t>
      </w:r>
      <w:r w:rsidRPr="00082846">
        <w:t>moż</w:t>
      </w:r>
      <w:r w:rsidR="00141BF6" w:rsidRPr="00082846">
        <w:t>na</w:t>
      </w:r>
      <w:r w:rsidRPr="003D7F25">
        <w:t xml:space="preserve"> również </w:t>
      </w:r>
      <w:r w:rsidR="00141BF6" w:rsidRPr="003D7F25">
        <w:t xml:space="preserve">mówić </w:t>
      </w:r>
      <w:r w:rsidR="00180431">
        <w:t>w </w:t>
      </w:r>
      <w:r w:rsidRPr="003D7F25">
        <w:t xml:space="preserve">sytuacji, w której </w:t>
      </w:r>
      <w:r w:rsidR="00141BF6" w:rsidRPr="003D7F25">
        <w:t xml:space="preserve">ma </w:t>
      </w:r>
      <w:r w:rsidRPr="003D7F25">
        <w:t xml:space="preserve">on </w:t>
      </w:r>
      <w:r w:rsidR="00141BF6" w:rsidRPr="003D7F25">
        <w:t xml:space="preserve">możliwość swobodnego </w:t>
      </w:r>
      <w:r w:rsidRPr="0013325B">
        <w:t>przemieszcza</w:t>
      </w:r>
      <w:r w:rsidR="00141BF6" w:rsidRPr="0013325B">
        <w:t>nia</w:t>
      </w:r>
      <w:r w:rsidRPr="0013325B">
        <w:t xml:space="preserve"> się, </w:t>
      </w:r>
      <w:r w:rsidR="00141BF6" w:rsidRPr="0013325B">
        <w:t xml:space="preserve">lecz </w:t>
      </w:r>
      <w:r w:rsidRPr="0013325B">
        <w:t xml:space="preserve">nie może </w:t>
      </w:r>
      <w:r w:rsidRPr="001C5F9D">
        <w:t xml:space="preserve">z tej możliwości skorzystać z powodu obawy lub groźby zidentyfikowania przez władze i </w:t>
      </w:r>
      <w:r w:rsidR="00141BF6" w:rsidRPr="001C5F9D">
        <w:t xml:space="preserve">ewentualnej </w:t>
      </w:r>
      <w:r w:rsidRPr="001C5F9D">
        <w:t>deportacji</w:t>
      </w:r>
      <w:r w:rsidRPr="00076546">
        <w:rPr>
          <w:vertAlign w:val="superscript"/>
        </w:rPr>
        <w:footnoteReference w:id="138"/>
      </w:r>
      <w:r w:rsidRPr="00082846">
        <w:t>.</w:t>
      </w:r>
    </w:p>
    <w:p w14:paraId="08E652E4" w14:textId="77777777" w:rsidR="00802C80" w:rsidRPr="003D7F25" w:rsidRDefault="00802C80" w:rsidP="00802C80">
      <w:pPr>
        <w:pStyle w:val="OpiPara"/>
      </w:pPr>
      <w:r w:rsidRPr="00082846">
        <w:t xml:space="preserve">Wykorzystanie samo w sobie nie </w:t>
      </w:r>
      <w:r w:rsidR="00141BF6" w:rsidRPr="00082846">
        <w:t>zostało</w:t>
      </w:r>
      <w:r w:rsidRPr="00082846">
        <w:t xml:space="preserve"> zdefiniowane</w:t>
      </w:r>
      <w:r w:rsidR="00141BF6" w:rsidRPr="00082846">
        <w:t xml:space="preserve"> w ustawie</w:t>
      </w:r>
      <w:r w:rsidRPr="00082846">
        <w:t>, a co gorsza — nie zawsze jest karalne</w:t>
      </w:r>
      <w:r w:rsidRPr="00076546">
        <w:rPr>
          <w:vertAlign w:val="superscript"/>
        </w:rPr>
        <w:footnoteReference w:id="139"/>
      </w:r>
      <w:r w:rsidRPr="00082846">
        <w:t xml:space="preserve">. Art. 104a ust. 3 k.k. </w:t>
      </w:r>
      <w:r w:rsidR="00141BF6" w:rsidRPr="00082846">
        <w:t xml:space="preserve">jedynie odwołuje </w:t>
      </w:r>
      <w:r w:rsidRPr="00082846">
        <w:t xml:space="preserve">się do </w:t>
      </w:r>
      <w:r w:rsidR="00141BF6" w:rsidRPr="00082846">
        <w:t>katalogu zamkniętego</w:t>
      </w:r>
      <w:r w:rsidRPr="00082846">
        <w:t xml:space="preserve"> form wykorzystania, </w:t>
      </w:r>
      <w:r w:rsidR="00141BF6" w:rsidRPr="00082846">
        <w:t xml:space="preserve">lecz </w:t>
      </w:r>
      <w:r w:rsidRPr="003D7F25">
        <w:t>nie definiu</w:t>
      </w:r>
      <w:r w:rsidR="00141BF6" w:rsidRPr="003D7F25">
        <w:t>je wykorzystania</w:t>
      </w:r>
      <w:r w:rsidRPr="003D7F25">
        <w:t>. Wykorzystywanie obywateli, w tym praca przymusowa obywateli, samo w sobie nie jest karalne.</w:t>
      </w:r>
    </w:p>
    <w:p w14:paraId="0706B26C" w14:textId="25B1E7EE" w:rsidR="00802C80" w:rsidRPr="0013325B" w:rsidRDefault="00802C80" w:rsidP="00802C80">
      <w:pPr>
        <w:pStyle w:val="OpiH1"/>
      </w:pPr>
      <w:bookmarkStart w:id="17" w:name="_Toc535852150"/>
      <w:r w:rsidRPr="003D7F25">
        <w:t>B.</w:t>
      </w:r>
      <w:r w:rsidR="005F47D9">
        <w:t xml:space="preserve"> </w:t>
      </w:r>
      <w:r w:rsidRPr="003D7F25">
        <w:t>Międzynarodow</w:t>
      </w:r>
      <w:r w:rsidR="00141BF6" w:rsidRPr="003D7F25">
        <w:t>y</w:t>
      </w:r>
      <w:r w:rsidRPr="003D7F25">
        <w:t xml:space="preserve"> </w:t>
      </w:r>
      <w:r w:rsidR="00141BF6" w:rsidRPr="003D7F25">
        <w:t>obowiązek</w:t>
      </w:r>
      <w:r w:rsidRPr="0013325B">
        <w:t xml:space="preserve"> kryminalizacji i ścigania handlu ludźmi (paragrafy 44-52)</w:t>
      </w:r>
      <w:bookmarkEnd w:id="17"/>
    </w:p>
    <w:p w14:paraId="26F7988D" w14:textId="351B4EB5" w:rsidR="00802C80" w:rsidRPr="00082846" w:rsidRDefault="00802C80" w:rsidP="00802C80">
      <w:pPr>
        <w:pStyle w:val="OpiPara"/>
      </w:pPr>
      <w:r w:rsidRPr="0013325B">
        <w:t xml:space="preserve">44. Zawarty </w:t>
      </w:r>
      <w:r w:rsidR="00F861B0" w:rsidRPr="0013325B">
        <w:t xml:space="preserve">Kodeksie </w:t>
      </w:r>
      <w:r w:rsidR="00141BF6" w:rsidRPr="0013325B">
        <w:t>karnym</w:t>
      </w:r>
      <w:r w:rsidRPr="0013325B">
        <w:t xml:space="preserve"> z 2004 r. art. 104a typizuje handel ludźmi (</w:t>
      </w:r>
      <w:r w:rsidRPr="0013325B">
        <w:rPr>
          <w:i/>
        </w:rPr>
        <w:t>Menschenhandel</w:t>
      </w:r>
      <w:r w:rsidRPr="001C5F9D">
        <w:t>) jako przestępstwo polegające na karalnym przygotowaniu (</w:t>
      </w:r>
      <w:r w:rsidRPr="001C5F9D">
        <w:rPr>
          <w:i/>
        </w:rPr>
        <w:t>Vorbereitungsdelikt</w:t>
      </w:r>
      <w:r w:rsidRPr="001C5F9D">
        <w:t>) do pracy przymusowej i innych form wykorzystania</w:t>
      </w:r>
      <w:r w:rsidRPr="00076546">
        <w:rPr>
          <w:vertAlign w:val="superscript"/>
        </w:rPr>
        <w:footnoteReference w:id="140"/>
      </w:r>
      <w:r w:rsidRPr="00082846">
        <w:t xml:space="preserve">. Karalność zachowania nie wymaga </w:t>
      </w:r>
      <w:r w:rsidR="009F632D" w:rsidRPr="00082846">
        <w:t xml:space="preserve">faktycznego </w:t>
      </w:r>
      <w:r w:rsidRPr="00082846">
        <w:t xml:space="preserve">wykorzystania </w:t>
      </w:r>
      <w:r w:rsidR="009F632D" w:rsidRPr="00082846">
        <w:t xml:space="preserve">pokrzywdzonego </w:t>
      </w:r>
      <w:r w:rsidRPr="00082846">
        <w:t>przez handlarza ani inną osobę</w:t>
      </w:r>
      <w:r w:rsidRPr="00076546">
        <w:rPr>
          <w:vertAlign w:val="superscript"/>
        </w:rPr>
        <w:footnoteReference w:id="141"/>
      </w:r>
      <w:r w:rsidRPr="00082846">
        <w:t xml:space="preserve">. Wystarczy, że handlarz działa w celu wykorzystania </w:t>
      </w:r>
      <w:r w:rsidR="009F632D" w:rsidRPr="00082846">
        <w:t xml:space="preserve">pokrzywdzonego </w:t>
      </w:r>
      <w:r w:rsidRPr="00082846">
        <w:t>(</w:t>
      </w:r>
      <w:r w:rsidRPr="00082846">
        <w:rPr>
          <w:i/>
        </w:rPr>
        <w:t>Delikt mit überschiessender Innentendenz</w:t>
      </w:r>
      <w:r w:rsidRPr="00082846">
        <w:t>).</w:t>
      </w:r>
    </w:p>
    <w:p w14:paraId="03A41F5C" w14:textId="73A746E6" w:rsidR="00802C80" w:rsidRPr="00082846" w:rsidRDefault="00802C80" w:rsidP="00802C80">
      <w:pPr>
        <w:pStyle w:val="OpiPara"/>
      </w:pPr>
      <w:r w:rsidRPr="00082846">
        <w:t xml:space="preserve">Ponieważ dobrem chronionym w tym przepisie jest prawo do wolności, czyn typizowany jest w rozdziale trzecim części szczegółowej </w:t>
      </w:r>
      <w:r w:rsidR="00F861B0" w:rsidRPr="00082846">
        <w:t xml:space="preserve">Kodeksu </w:t>
      </w:r>
      <w:r w:rsidRPr="00082846">
        <w:t>karnego (</w:t>
      </w:r>
      <w:r w:rsidRPr="003D7F25">
        <w:rPr>
          <w:i/>
        </w:rPr>
        <w:t>strafbaren Handlungen gegen die Freiheit</w:t>
      </w:r>
      <w:r w:rsidRPr="003D7F25">
        <w:t>)</w:t>
      </w:r>
      <w:r w:rsidRPr="00076546">
        <w:rPr>
          <w:vertAlign w:val="superscript"/>
        </w:rPr>
        <w:footnoteReference w:id="142"/>
      </w:r>
      <w:r w:rsidRPr="00082846">
        <w:t>. Obejmuje on zarówno krajowe jak i międzynar</w:t>
      </w:r>
      <w:r w:rsidR="00180431">
        <w:t>odowe przypadku handlu ludźmi i </w:t>
      </w:r>
      <w:r w:rsidRPr="00082846">
        <w:t xml:space="preserve">przypadki, w których </w:t>
      </w:r>
      <w:r w:rsidR="009F632D" w:rsidRPr="00082846">
        <w:t xml:space="preserve">pokrzywdzonymi </w:t>
      </w:r>
      <w:r w:rsidRPr="00082846">
        <w:t>są obywatele austriaccy i</w:t>
      </w:r>
      <w:r w:rsidR="00180431">
        <w:t> </w:t>
      </w:r>
      <w:r w:rsidRPr="00082846">
        <w:t>cudzoziemcy</w:t>
      </w:r>
      <w:r w:rsidRPr="00076546">
        <w:rPr>
          <w:vertAlign w:val="superscript"/>
        </w:rPr>
        <w:footnoteReference w:id="143"/>
      </w:r>
      <w:r w:rsidRPr="00082846">
        <w:t>. Ustawodawca austriacki założył, że posłużenie się pewnymi określonymi niedopuszczalnymi metoda</w:t>
      </w:r>
      <w:r w:rsidR="00180431">
        <w:t>mi narusza wolną wolę, a </w:t>
      </w:r>
      <w:r w:rsidRPr="00082846">
        <w:t>zatem zgoda nie ma znaczenia</w:t>
      </w:r>
      <w:r w:rsidRPr="00076546">
        <w:rPr>
          <w:vertAlign w:val="superscript"/>
        </w:rPr>
        <w:footnoteReference w:id="144"/>
      </w:r>
      <w:r w:rsidRPr="00082846">
        <w:t>. W rzeczy samej w przypadku tego czynu nie dopuszcza się żadnych okoliczności wyłączających bezprawność</w:t>
      </w:r>
      <w:r w:rsidRPr="00076546">
        <w:rPr>
          <w:vertAlign w:val="superscript"/>
        </w:rPr>
        <w:footnoteReference w:id="145"/>
      </w:r>
      <w:r w:rsidRPr="00082846">
        <w:t>.</w:t>
      </w:r>
    </w:p>
    <w:p w14:paraId="4A53C07F" w14:textId="7357DAE4" w:rsidR="00802C80" w:rsidRPr="00082846" w:rsidRDefault="00802C80" w:rsidP="00802C80">
      <w:pPr>
        <w:pStyle w:val="OpiPara"/>
      </w:pPr>
      <w:r w:rsidRPr="00082846">
        <w:t xml:space="preserve">45. Znamiona czynu stypizowanego w art. 104a </w:t>
      </w:r>
      <w:r w:rsidR="00F861B0" w:rsidRPr="00082846">
        <w:t>K</w:t>
      </w:r>
      <w:r w:rsidR="00F861B0">
        <w:t xml:space="preserve">odeksu </w:t>
      </w:r>
      <w:r w:rsidR="00180431">
        <w:t>karnego (w </w:t>
      </w:r>
      <w:r w:rsidRPr="00082846">
        <w:t>brzmieniu obowiązującym w czasie istotnym</w:t>
      </w:r>
      <w:r w:rsidR="009F632D" w:rsidRPr="00082846">
        <w:t xml:space="preserve"> dla sprawy</w:t>
      </w:r>
      <w:r w:rsidRPr="00082846">
        <w:t>) są następujące:</w:t>
      </w:r>
    </w:p>
    <w:p w14:paraId="0A0CAB32" w14:textId="77777777" w:rsidR="00802C80" w:rsidRPr="00082846" w:rsidRDefault="0094589B" w:rsidP="00802C80">
      <w:pPr>
        <w:pStyle w:val="OpiPara"/>
      </w:pPr>
      <w:r w:rsidRPr="00076546">
        <w:rPr>
          <w:iCs/>
        </w:rPr>
        <w:t>czynność sprawcza</w:t>
      </w:r>
      <w:r w:rsidR="00802C80" w:rsidRPr="003D7F25">
        <w:t>: werbowanie (</w:t>
      </w:r>
      <w:r w:rsidR="00802C80" w:rsidRPr="003D7F25">
        <w:rPr>
          <w:i/>
        </w:rPr>
        <w:t>anwerben</w:t>
      </w:r>
      <w:r w:rsidR="00802C80" w:rsidRPr="003D7F25">
        <w:t>)</w:t>
      </w:r>
      <w:r w:rsidR="00802C80" w:rsidRPr="00076546">
        <w:rPr>
          <w:vertAlign w:val="superscript"/>
        </w:rPr>
        <w:footnoteReference w:id="146"/>
      </w:r>
      <w:r w:rsidR="00802C80" w:rsidRPr="00082846">
        <w:t>, przechowywanie (</w:t>
      </w:r>
      <w:r w:rsidR="00802C80" w:rsidRPr="00082846">
        <w:rPr>
          <w:i/>
        </w:rPr>
        <w:t>beherbergen</w:t>
      </w:r>
      <w:r w:rsidR="00802C80" w:rsidRPr="00082846">
        <w:t>)</w:t>
      </w:r>
      <w:r w:rsidR="00802C80" w:rsidRPr="00076546">
        <w:rPr>
          <w:vertAlign w:val="superscript"/>
        </w:rPr>
        <w:footnoteReference w:id="147"/>
      </w:r>
      <w:r w:rsidR="00802C80" w:rsidRPr="00082846">
        <w:t xml:space="preserve"> lub innego rodzaju kwaterowanie (</w:t>
      </w:r>
      <w:r w:rsidR="00802C80" w:rsidRPr="00082846">
        <w:rPr>
          <w:i/>
        </w:rPr>
        <w:t>sonst aufnehmen</w:t>
      </w:r>
      <w:r w:rsidR="00802C80" w:rsidRPr="00082846">
        <w:t>)</w:t>
      </w:r>
      <w:r w:rsidR="00802C80" w:rsidRPr="00076546">
        <w:rPr>
          <w:vertAlign w:val="superscript"/>
        </w:rPr>
        <w:footnoteReference w:id="148"/>
      </w:r>
      <w:r w:rsidR="00802C80" w:rsidRPr="00082846">
        <w:t>, przewożenie (</w:t>
      </w:r>
      <w:r w:rsidR="00802C80" w:rsidRPr="00082846">
        <w:rPr>
          <w:i/>
        </w:rPr>
        <w:t>befördern</w:t>
      </w:r>
      <w:r w:rsidR="00802C80" w:rsidRPr="00082846">
        <w:t>)</w:t>
      </w:r>
      <w:r w:rsidR="00802C80" w:rsidRPr="00076546">
        <w:rPr>
          <w:vertAlign w:val="superscript"/>
        </w:rPr>
        <w:footnoteReference w:id="149"/>
      </w:r>
      <w:r w:rsidR="00802C80" w:rsidRPr="00082846">
        <w:t>, oferowanie (</w:t>
      </w:r>
      <w:r w:rsidR="00802C80" w:rsidRPr="00082846">
        <w:rPr>
          <w:i/>
        </w:rPr>
        <w:t>anbieten</w:t>
      </w:r>
      <w:r w:rsidR="00802C80" w:rsidRPr="00082846">
        <w:t>)</w:t>
      </w:r>
      <w:r w:rsidR="00802C80" w:rsidRPr="00076546">
        <w:rPr>
          <w:vertAlign w:val="superscript"/>
        </w:rPr>
        <w:footnoteReference w:id="150"/>
      </w:r>
      <w:r w:rsidR="00802C80" w:rsidRPr="00082846">
        <w:t xml:space="preserve"> lub przekazywanie </w:t>
      </w:r>
      <w:r w:rsidR="009F632D" w:rsidRPr="00082846">
        <w:t xml:space="preserve">osobie </w:t>
      </w:r>
      <w:r w:rsidR="00802C80" w:rsidRPr="00082846">
        <w:t>trzeciej (</w:t>
      </w:r>
      <w:r w:rsidR="00802C80" w:rsidRPr="00082846">
        <w:rPr>
          <w:i/>
        </w:rPr>
        <w:t>oder einem anderen weitergibt</w:t>
      </w:r>
      <w:r w:rsidR="00802C80" w:rsidRPr="00082846">
        <w:t>)</w:t>
      </w:r>
      <w:r w:rsidR="00802C80" w:rsidRPr="00076546">
        <w:rPr>
          <w:vertAlign w:val="superscript"/>
        </w:rPr>
        <w:footnoteReference w:id="151"/>
      </w:r>
      <w:r w:rsidR="00802C80" w:rsidRPr="00082846">
        <w:t>.</w:t>
      </w:r>
    </w:p>
    <w:p w14:paraId="23105596" w14:textId="77777777" w:rsidR="00802C80" w:rsidRPr="00082846" w:rsidRDefault="009F632D" w:rsidP="00802C80">
      <w:pPr>
        <w:pStyle w:val="OpiPara"/>
      </w:pPr>
      <w:r w:rsidRPr="00082846">
        <w:rPr>
          <w:i/>
        </w:rPr>
        <w:t>m</w:t>
      </w:r>
      <w:r w:rsidRPr="00076546">
        <w:rPr>
          <w:i/>
        </w:rPr>
        <w:t>odus operandi</w:t>
      </w:r>
      <w:r w:rsidRPr="00082846">
        <w:t xml:space="preserve"> (</w:t>
      </w:r>
      <w:r w:rsidR="00802C80" w:rsidRPr="00082846">
        <w:t>niedopuszczalne metody</w:t>
      </w:r>
      <w:r w:rsidRPr="00082846">
        <w:t>)</w:t>
      </w:r>
      <w:r w:rsidR="00802C80" w:rsidRPr="00082846">
        <w:t xml:space="preserve"> (</w:t>
      </w:r>
      <w:r w:rsidR="00802C80" w:rsidRPr="00082846">
        <w:rPr>
          <w:i/>
        </w:rPr>
        <w:t>unlautere Mittel</w:t>
      </w:r>
      <w:r w:rsidR="00802C80" w:rsidRPr="00082846">
        <w:t>): wprowadzenie w błąd co do faktów (</w:t>
      </w:r>
      <w:r w:rsidR="00802C80" w:rsidRPr="00082846">
        <w:rPr>
          <w:i/>
        </w:rPr>
        <w:t>Täuschung über Tatsachen</w:t>
      </w:r>
      <w:r w:rsidR="00802C80" w:rsidRPr="00082846">
        <w:t xml:space="preserve">); nadużycie </w:t>
      </w:r>
      <w:r w:rsidRPr="00082846">
        <w:t xml:space="preserve">stosunku </w:t>
      </w:r>
      <w:r w:rsidR="00802C80" w:rsidRPr="00082846">
        <w:t>zależności (</w:t>
      </w:r>
      <w:r w:rsidR="00802C80" w:rsidRPr="00082846">
        <w:rPr>
          <w:i/>
        </w:rPr>
        <w:t>Ausnützung einer Autoritätsstellung</w:t>
      </w:r>
      <w:r w:rsidR="00802C80" w:rsidRPr="00082846">
        <w:t>)</w:t>
      </w:r>
      <w:r w:rsidR="00802C80" w:rsidRPr="00076546">
        <w:rPr>
          <w:vertAlign w:val="superscript"/>
        </w:rPr>
        <w:footnoteReference w:id="152"/>
      </w:r>
      <w:r w:rsidR="00802C80" w:rsidRPr="00082846">
        <w:t xml:space="preserve">, </w:t>
      </w:r>
      <w:r w:rsidRPr="00082846">
        <w:t xml:space="preserve">wykorzystanie krytycznego </w:t>
      </w:r>
      <w:r w:rsidR="00802C80" w:rsidRPr="00082846">
        <w:t>położenia (</w:t>
      </w:r>
      <w:r w:rsidR="00802C80" w:rsidRPr="00082846">
        <w:rPr>
          <w:i/>
        </w:rPr>
        <w:t>einer Zwangslage</w:t>
      </w:r>
      <w:r w:rsidR="00802C80" w:rsidRPr="00082846">
        <w:t>)</w:t>
      </w:r>
      <w:r w:rsidR="00802C80" w:rsidRPr="00076546">
        <w:rPr>
          <w:vertAlign w:val="superscript"/>
        </w:rPr>
        <w:footnoteReference w:id="153"/>
      </w:r>
      <w:r w:rsidR="00802C80" w:rsidRPr="00082846">
        <w:t>, choroby psychicznej lub umysłowej (</w:t>
      </w:r>
      <w:r w:rsidR="00802C80" w:rsidRPr="00082846">
        <w:rPr>
          <w:i/>
        </w:rPr>
        <w:t>einer Geisteskrankheit</w:t>
      </w:r>
      <w:r w:rsidR="00802C80" w:rsidRPr="00082846">
        <w:t xml:space="preserve">) lub </w:t>
      </w:r>
      <w:r w:rsidRPr="00082846">
        <w:t>innego stanu bezradności</w:t>
      </w:r>
      <w:r w:rsidR="00802C80" w:rsidRPr="00082846">
        <w:t xml:space="preserve"> (</w:t>
      </w:r>
      <w:r w:rsidR="00802C80" w:rsidRPr="00082846">
        <w:rPr>
          <w:i/>
        </w:rPr>
        <w:t>oder eines Zustands, der die Person wehrlos macht</w:t>
      </w:r>
      <w:r w:rsidR="00802C80" w:rsidRPr="00082846">
        <w:t>); zastraszanie (</w:t>
      </w:r>
      <w:r w:rsidR="00802C80" w:rsidRPr="00082846">
        <w:rPr>
          <w:i/>
        </w:rPr>
        <w:t>Einschüchterung</w:t>
      </w:r>
      <w:r w:rsidR="00802C80" w:rsidRPr="00082846">
        <w:t>)</w:t>
      </w:r>
      <w:r w:rsidR="00802C80" w:rsidRPr="00076546">
        <w:rPr>
          <w:vertAlign w:val="superscript"/>
        </w:rPr>
        <w:footnoteReference w:id="154"/>
      </w:r>
      <w:r w:rsidR="00802C80" w:rsidRPr="00082846">
        <w:t>; udzielenie bądź przyjęcie korzyści w zamian za przekazanie kontroli nad osobą (</w:t>
      </w:r>
      <w:r w:rsidR="00802C80" w:rsidRPr="00082846">
        <w:rPr>
          <w:i/>
        </w:rPr>
        <w:t>Gewährung oder Annahme eines Vorteils für die Übergabe der Herrschaft über die Person</w:t>
      </w:r>
      <w:r w:rsidR="00802C80" w:rsidRPr="00082846">
        <w:t>)</w:t>
      </w:r>
      <w:r w:rsidR="00802C80" w:rsidRPr="00076546">
        <w:rPr>
          <w:vertAlign w:val="superscript"/>
        </w:rPr>
        <w:footnoteReference w:id="155"/>
      </w:r>
      <w:r w:rsidR="00802C80" w:rsidRPr="00082846">
        <w:t>;</w:t>
      </w:r>
    </w:p>
    <w:p w14:paraId="44B02CB7" w14:textId="77777777" w:rsidR="00802C80" w:rsidRPr="00082846" w:rsidRDefault="009F632D" w:rsidP="00802C80">
      <w:pPr>
        <w:pStyle w:val="OpiPara"/>
      </w:pPr>
      <w:r w:rsidRPr="00076546">
        <w:rPr>
          <w:i/>
        </w:rPr>
        <w:t>dolus generalis</w:t>
      </w:r>
      <w:r w:rsidR="00802C80" w:rsidRPr="00082846">
        <w:t xml:space="preserve">: zamiar werbowania, przechowywania lub w inny sposób kwaterowania, przewożenia, oferowania lub przekazania </w:t>
      </w:r>
      <w:r w:rsidRPr="00082846">
        <w:t xml:space="preserve">osobie </w:t>
      </w:r>
      <w:r w:rsidR="00802C80" w:rsidRPr="00082846">
        <w:t>trzeciej;</w:t>
      </w:r>
    </w:p>
    <w:p w14:paraId="35B03E6D" w14:textId="77777777" w:rsidR="00802C80" w:rsidRPr="00082846" w:rsidRDefault="009F632D" w:rsidP="00802C80">
      <w:pPr>
        <w:pStyle w:val="OpiPara"/>
      </w:pPr>
      <w:r w:rsidRPr="00076546">
        <w:rPr>
          <w:i/>
        </w:rPr>
        <w:t>dolus specialis</w:t>
      </w:r>
      <w:r w:rsidR="00802C80" w:rsidRPr="00082846">
        <w:rPr>
          <w:i/>
        </w:rPr>
        <w:t xml:space="preserve"> </w:t>
      </w:r>
      <w:r w:rsidR="00802C80" w:rsidRPr="00082846">
        <w:t>(</w:t>
      </w:r>
      <w:r w:rsidR="00802C80" w:rsidRPr="00082846">
        <w:rPr>
          <w:i/>
        </w:rPr>
        <w:t>Delikt mit erweitertem Vorsatz</w:t>
      </w:r>
      <w:r w:rsidR="00802C80" w:rsidRPr="00082846">
        <w:t>): w celu wykorzystania</w:t>
      </w:r>
      <w:r w:rsidR="00802C80" w:rsidRPr="00076546">
        <w:rPr>
          <w:vertAlign w:val="superscript"/>
        </w:rPr>
        <w:footnoteReference w:id="156"/>
      </w:r>
      <w:r w:rsidR="00802C80" w:rsidRPr="00082846">
        <w:t>, mianowicie wykorzystania seksualnego (</w:t>
      </w:r>
      <w:r w:rsidR="00802C80" w:rsidRPr="00082846">
        <w:rPr>
          <w:i/>
        </w:rPr>
        <w:t>sexuell</w:t>
      </w:r>
      <w:r w:rsidR="00802C80" w:rsidRPr="00082846">
        <w:t>), do przeszczepu organów (</w:t>
      </w:r>
      <w:r w:rsidR="00802C80" w:rsidRPr="00082846">
        <w:rPr>
          <w:i/>
        </w:rPr>
        <w:t>durch Organentnahme</w:t>
      </w:r>
      <w:r w:rsidR="00802C80" w:rsidRPr="00082846">
        <w:t>)</w:t>
      </w:r>
      <w:r w:rsidR="00802C80" w:rsidRPr="00076546">
        <w:rPr>
          <w:vertAlign w:val="superscript"/>
        </w:rPr>
        <w:footnoteReference w:id="157"/>
      </w:r>
      <w:r w:rsidR="00802C80" w:rsidRPr="00082846">
        <w:t xml:space="preserve"> lub wykorzystania pracy (</w:t>
      </w:r>
      <w:r w:rsidR="00802C80" w:rsidRPr="00082846">
        <w:rPr>
          <w:i/>
        </w:rPr>
        <w:t>in ihrer Arbeitskraft ausgebeutet werde</w:t>
      </w:r>
      <w:r w:rsidR="00802C80" w:rsidRPr="00082846">
        <w:t>)</w:t>
      </w:r>
      <w:r w:rsidR="00802C80" w:rsidRPr="00076546">
        <w:rPr>
          <w:vertAlign w:val="superscript"/>
        </w:rPr>
        <w:footnoteReference w:id="158"/>
      </w:r>
      <w:r w:rsidR="00802C80" w:rsidRPr="00082846">
        <w:t>.</w:t>
      </w:r>
    </w:p>
    <w:p w14:paraId="45579C30" w14:textId="77777777" w:rsidR="00802C80" w:rsidRPr="00082846" w:rsidRDefault="00802C80" w:rsidP="00802C80">
      <w:pPr>
        <w:pStyle w:val="OpiPara"/>
      </w:pPr>
      <w:r w:rsidRPr="00082846">
        <w:t xml:space="preserve">46. W </w:t>
      </w:r>
      <w:r w:rsidR="009F632D" w:rsidRPr="00082846">
        <w:t xml:space="preserve">swoim </w:t>
      </w:r>
      <w:r w:rsidRPr="00082846">
        <w:t xml:space="preserve">raporcie z 2011 r. dotyczącym Austrii GRETA </w:t>
      </w:r>
      <w:r w:rsidR="00E162C8" w:rsidRPr="00082846">
        <w:t>wydała</w:t>
      </w:r>
      <w:r w:rsidRPr="00082846">
        <w:t xml:space="preserve"> </w:t>
      </w:r>
      <w:r w:rsidR="00E162C8" w:rsidRPr="00082846">
        <w:t xml:space="preserve">pewne </w:t>
      </w:r>
      <w:r w:rsidRPr="00082846">
        <w:t>zalece</w:t>
      </w:r>
      <w:r w:rsidR="00E162C8" w:rsidRPr="003D7F25">
        <w:t>nia</w:t>
      </w:r>
      <w:r w:rsidRPr="003D7F25">
        <w:t xml:space="preserve"> w zakresie </w:t>
      </w:r>
      <w:r w:rsidR="00E162C8" w:rsidRPr="003D7F25">
        <w:t>odstraszającego skutku</w:t>
      </w:r>
      <w:r w:rsidR="00180431">
        <w:t xml:space="preserve"> kar przewidzianych w </w:t>
      </w:r>
      <w:r w:rsidRPr="003D7F25">
        <w:t>art. 104a k.k. w braku jakichkolwiek okoliczności obciążających jak również w zakresie przestępstwa handlu dziećmi w wieku 14</w:t>
      </w:r>
      <w:r w:rsidR="00E162C8" w:rsidRPr="0013325B">
        <w:t>-</w:t>
      </w:r>
      <w:r w:rsidRPr="0013325B">
        <w:t>18</w:t>
      </w:r>
      <w:r w:rsidRPr="00076546">
        <w:rPr>
          <w:vertAlign w:val="superscript"/>
        </w:rPr>
        <w:footnoteReference w:id="159"/>
      </w:r>
      <w:r w:rsidRPr="00082846">
        <w:t>, wzywając władze austriackie do „doprecyzowania, co stanowi wykorzystanie na polu pracy, na przykład przez sporządzenie listy wyznaczników do wykorzystania przez władze do wykrywania przypadków handlu ludźmi prowadzonego w celu wykorzystania pracy”</w:t>
      </w:r>
      <w:r w:rsidRPr="00076546">
        <w:rPr>
          <w:vertAlign w:val="superscript"/>
        </w:rPr>
        <w:footnoteReference w:id="160"/>
      </w:r>
      <w:r w:rsidRPr="00082846">
        <w:t>.</w:t>
      </w:r>
    </w:p>
    <w:p w14:paraId="4D0FA6F1" w14:textId="77777777" w:rsidR="00802C80" w:rsidRPr="00082846" w:rsidRDefault="00802C80" w:rsidP="00802C80">
      <w:pPr>
        <w:pStyle w:val="OpiPara"/>
      </w:pPr>
      <w:r w:rsidRPr="00082846">
        <w:t>47. Rząd zareagował zmianą zakwestionowanego przepisu nowel</w:t>
      </w:r>
      <w:r w:rsidR="002C0E0F" w:rsidRPr="00082846">
        <w:t>izacją</w:t>
      </w:r>
      <w:r w:rsidRPr="00082846">
        <w:t xml:space="preserve"> prawa karnego z 2013 r.</w:t>
      </w:r>
      <w:r w:rsidRPr="00076546">
        <w:rPr>
          <w:vertAlign w:val="superscript"/>
        </w:rPr>
        <w:footnoteReference w:id="161"/>
      </w:r>
      <w:r w:rsidRPr="00082846">
        <w:t xml:space="preserve"> </w:t>
      </w:r>
      <w:r w:rsidR="002C0E0F" w:rsidRPr="00082846">
        <w:t>Przestępstwo w t</w:t>
      </w:r>
      <w:r w:rsidRPr="00082846">
        <w:t>yp</w:t>
      </w:r>
      <w:r w:rsidR="002C0E0F" w:rsidRPr="00082846">
        <w:t>ie</w:t>
      </w:r>
      <w:r w:rsidRPr="00082846">
        <w:t xml:space="preserve"> podstawowy</w:t>
      </w:r>
      <w:r w:rsidR="002C0E0F" w:rsidRPr="00082846">
        <w:t>m</w:t>
      </w:r>
      <w:r w:rsidRPr="00082846">
        <w:t xml:space="preserve"> (</w:t>
      </w:r>
      <w:r w:rsidRPr="00082846">
        <w:rPr>
          <w:i/>
        </w:rPr>
        <w:t>Grunddelikt</w:t>
      </w:r>
      <w:r w:rsidRPr="00082846">
        <w:t xml:space="preserve">) obecnie polega na handlu osobami dorosłymi, zaś art. 104a ust. 5 typizuje nowy czyn handlu </w:t>
      </w:r>
      <w:r w:rsidR="002C0E0F" w:rsidRPr="003D7F25">
        <w:t>małoletnimi</w:t>
      </w:r>
      <w:r w:rsidRPr="003D7F25">
        <w:t>. Z</w:t>
      </w:r>
      <w:r w:rsidR="002C0E0F" w:rsidRPr="003D7F25">
        <w:t>aostrzono próg z</w:t>
      </w:r>
      <w:r w:rsidRPr="003D7F25">
        <w:t>agrożeni</w:t>
      </w:r>
      <w:r w:rsidR="002C0E0F" w:rsidRPr="003D7F25">
        <w:t>a</w:t>
      </w:r>
      <w:r w:rsidRPr="003D7F25">
        <w:t xml:space="preserve"> karą za </w:t>
      </w:r>
      <w:r w:rsidR="002C0E0F" w:rsidRPr="003D7F25">
        <w:t xml:space="preserve">typ podstawowy </w:t>
      </w:r>
      <w:r w:rsidRPr="003D7F25">
        <w:t xml:space="preserve">z pozbawienia wolności </w:t>
      </w:r>
      <w:r w:rsidRPr="0013325B">
        <w:t xml:space="preserve">do lat trzech do pozbawienia wolności od sześciu miesięcy do </w:t>
      </w:r>
      <w:r w:rsidR="002C0E0F" w:rsidRPr="0013325B">
        <w:t xml:space="preserve">lat </w:t>
      </w:r>
      <w:r w:rsidRPr="0013325B">
        <w:t xml:space="preserve">pięciu. Typ kwalifikowany jest zagrożony karą pozbawienia wolności od roku do </w:t>
      </w:r>
      <w:r w:rsidR="002C0E0F" w:rsidRPr="0013325B">
        <w:t xml:space="preserve">lat </w:t>
      </w:r>
      <w:r w:rsidRPr="0013325B">
        <w:t>dziesięciu</w:t>
      </w:r>
      <w:r w:rsidRPr="001C5F9D">
        <w:t xml:space="preserve">. </w:t>
      </w:r>
      <w:r w:rsidR="002C0E0F" w:rsidRPr="001C5F9D">
        <w:t xml:space="preserve">Przestępstwo </w:t>
      </w:r>
      <w:r w:rsidRPr="001C5F9D">
        <w:t xml:space="preserve">handlu </w:t>
      </w:r>
      <w:r w:rsidR="002C0E0F" w:rsidRPr="001C5F9D">
        <w:t xml:space="preserve">małoletnimi </w:t>
      </w:r>
      <w:r w:rsidRPr="001C5F9D">
        <w:t>jest zagrożon</w:t>
      </w:r>
      <w:r w:rsidR="002C0E0F" w:rsidRPr="001C5F9D">
        <w:t>e</w:t>
      </w:r>
      <w:r w:rsidRPr="001C5F9D">
        <w:t xml:space="preserve"> karą pozbawienia wolności od jednego roku do </w:t>
      </w:r>
      <w:r w:rsidR="002C0E0F" w:rsidRPr="001C5F9D">
        <w:t xml:space="preserve">lat </w:t>
      </w:r>
      <w:r w:rsidRPr="001C5F9D">
        <w:t xml:space="preserve">dziesięciu, </w:t>
      </w:r>
      <w:r w:rsidR="002C0E0F" w:rsidRPr="001C5F9D">
        <w:t xml:space="preserve">lecz </w:t>
      </w:r>
      <w:r w:rsidRPr="001C5F9D">
        <w:t xml:space="preserve">nie </w:t>
      </w:r>
      <w:r w:rsidR="002C0E0F" w:rsidRPr="001C5F9D">
        <w:t xml:space="preserve">występuje </w:t>
      </w:r>
      <w:r w:rsidR="002C0E0F" w:rsidRPr="001F0818">
        <w:t xml:space="preserve">w </w:t>
      </w:r>
      <w:r w:rsidRPr="001F0818">
        <w:t>typ</w:t>
      </w:r>
      <w:r w:rsidR="002C0E0F" w:rsidRPr="001F0818">
        <w:t>ie</w:t>
      </w:r>
      <w:r w:rsidRPr="001F0818">
        <w:t xml:space="preserve"> </w:t>
      </w:r>
      <w:r w:rsidR="002C0E0F" w:rsidRPr="001F0818">
        <w:t>kwalifikowanym</w:t>
      </w:r>
      <w:r w:rsidRPr="00076546">
        <w:rPr>
          <w:vertAlign w:val="superscript"/>
        </w:rPr>
        <w:footnoteReference w:id="162"/>
      </w:r>
      <w:r w:rsidRPr="00082846">
        <w:t>.</w:t>
      </w:r>
    </w:p>
    <w:p w14:paraId="6C844CA8" w14:textId="0C75480E" w:rsidR="00802C80" w:rsidRPr="00082846" w:rsidRDefault="00802C80" w:rsidP="00802C80">
      <w:pPr>
        <w:pStyle w:val="OpiPara"/>
      </w:pPr>
      <w:r w:rsidRPr="00082846">
        <w:t xml:space="preserve">48. Wyraźnie </w:t>
      </w:r>
      <w:r w:rsidR="002C0E0F" w:rsidRPr="00082846">
        <w:t xml:space="preserve">dodano </w:t>
      </w:r>
      <w:r w:rsidRPr="00082846">
        <w:t>dwie nowe formy wykorzystania: żebractwo</w:t>
      </w:r>
      <w:r w:rsidRPr="00076546">
        <w:rPr>
          <w:vertAlign w:val="superscript"/>
        </w:rPr>
        <w:footnoteReference w:id="163"/>
      </w:r>
      <w:r w:rsidR="00180431">
        <w:t xml:space="preserve"> i </w:t>
      </w:r>
      <w:r w:rsidRPr="00082846">
        <w:t>czerpanie korzyści z czynów zabronionych popełnianych przez inne osoby</w:t>
      </w:r>
      <w:r w:rsidRPr="00076546">
        <w:rPr>
          <w:vertAlign w:val="superscript"/>
        </w:rPr>
        <w:footnoteReference w:id="164"/>
      </w:r>
      <w:r w:rsidRPr="00082846">
        <w:t xml:space="preserve">. </w:t>
      </w:r>
      <w:r w:rsidR="002C0E0F" w:rsidRPr="00082846">
        <w:t>Rozszerzono katalog zamknięty</w:t>
      </w:r>
      <w:r w:rsidRPr="00082846">
        <w:t xml:space="preserve"> niedopuszczalnych metod </w:t>
      </w:r>
      <w:r w:rsidR="002C0E0F" w:rsidRPr="00082846">
        <w:t xml:space="preserve">zawarty </w:t>
      </w:r>
      <w:r w:rsidRPr="00082846">
        <w:t xml:space="preserve">w art. 140a ust. 3, </w:t>
      </w:r>
      <w:r w:rsidR="002C0E0F" w:rsidRPr="00082846">
        <w:t xml:space="preserve">lecz </w:t>
      </w:r>
      <w:r w:rsidRPr="00082846">
        <w:t xml:space="preserve">wciąż nie ma </w:t>
      </w:r>
      <w:r w:rsidR="000857FF">
        <w:t>otwartego</w:t>
      </w:r>
      <w:r w:rsidRPr="003D7F25">
        <w:t xml:space="preserve"> odniesienia do innych form przymusu, w tym uprowadzenia. Dawny typ kwalifikowany handlu ludźmi z użyciem przemocy i niebezpiecznej </w:t>
      </w:r>
      <w:r w:rsidR="00384B68" w:rsidRPr="003D7F25">
        <w:t xml:space="preserve">groźby </w:t>
      </w:r>
      <w:r w:rsidRPr="003D7F25">
        <w:t>(</w:t>
      </w:r>
      <w:r w:rsidRPr="003D7F25">
        <w:rPr>
          <w:i/>
        </w:rPr>
        <w:t>der Einsatz von Gewalt oder gefährlicher Drohung</w:t>
      </w:r>
      <w:r w:rsidRPr="003D7F25">
        <w:t xml:space="preserve">) stał się jedną z możliwych metod niedopuszczalnych. W przypadku, gdy </w:t>
      </w:r>
      <w:r w:rsidR="00384B68" w:rsidRPr="003D7F25">
        <w:t xml:space="preserve">do </w:t>
      </w:r>
      <w:r w:rsidRPr="0013325B">
        <w:t>wykorzystani</w:t>
      </w:r>
      <w:r w:rsidR="00384B68" w:rsidRPr="0013325B">
        <w:t>a</w:t>
      </w:r>
      <w:r w:rsidRPr="0013325B">
        <w:t xml:space="preserve"> nie </w:t>
      </w:r>
      <w:r w:rsidR="00384B68" w:rsidRPr="0013325B">
        <w:t>dochodzi</w:t>
      </w:r>
      <w:r w:rsidRPr="0013325B">
        <w:t xml:space="preserve"> </w:t>
      </w:r>
      <w:r w:rsidR="00180431">
        <w:t>z </w:t>
      </w:r>
      <w:r w:rsidRPr="001C5F9D">
        <w:t>zastosowani</w:t>
      </w:r>
      <w:r w:rsidR="00384B68" w:rsidRPr="001C5F9D">
        <w:t>em</w:t>
      </w:r>
      <w:r w:rsidRPr="001C5F9D">
        <w:t xml:space="preserve"> opisanych niedopuszczalnych metod, </w:t>
      </w:r>
      <w:r w:rsidR="00384B68" w:rsidRPr="001C5F9D">
        <w:t xml:space="preserve">nie mamy do czynienia z przestępstwem </w:t>
      </w:r>
      <w:r w:rsidRPr="001C5F9D">
        <w:t>handlu ludźmi</w:t>
      </w:r>
      <w:r w:rsidRPr="00076546">
        <w:rPr>
          <w:vertAlign w:val="superscript"/>
        </w:rPr>
        <w:footnoteReference w:id="165"/>
      </w:r>
      <w:r w:rsidRPr="00082846">
        <w:t>.</w:t>
      </w:r>
    </w:p>
    <w:p w14:paraId="2A7DB275" w14:textId="258CFDE0" w:rsidR="00802C80" w:rsidRPr="00082846" w:rsidRDefault="00802C80" w:rsidP="00802C80">
      <w:pPr>
        <w:pStyle w:val="OpiPara"/>
      </w:pPr>
      <w:r w:rsidRPr="00082846">
        <w:t xml:space="preserve">49. Rozróżnienie między art. 104a </w:t>
      </w:r>
      <w:r w:rsidR="00F861B0" w:rsidRPr="00082846">
        <w:t xml:space="preserve">Kodeksu </w:t>
      </w:r>
      <w:r w:rsidRPr="00082846">
        <w:t xml:space="preserve">karnego i </w:t>
      </w:r>
      <w:r w:rsidR="00384B68" w:rsidRPr="00082846">
        <w:t xml:space="preserve">przepisem </w:t>
      </w:r>
      <w:r w:rsidRPr="00082846">
        <w:t xml:space="preserve">§ 116 </w:t>
      </w:r>
      <w:r w:rsidR="00384B68" w:rsidRPr="00082846">
        <w:t>u</w:t>
      </w:r>
      <w:r w:rsidRPr="00082846">
        <w:t xml:space="preserve">stawy o cudzoziemcach </w:t>
      </w:r>
      <w:r w:rsidR="00384B68" w:rsidRPr="003D7F25">
        <w:t>przysparza nieco trudności</w:t>
      </w:r>
      <w:r w:rsidRPr="003D7F25">
        <w:t xml:space="preserve">. Pierwszy przepis nie wymaga, aby handlarz sam wykorzystywał </w:t>
      </w:r>
      <w:r w:rsidR="00384B68" w:rsidRPr="003D7F25">
        <w:t>pokrzywdzonego.</w:t>
      </w:r>
      <w:r w:rsidRPr="003D7F25">
        <w:t xml:space="preserve"> </w:t>
      </w:r>
      <w:r w:rsidR="00384B68" w:rsidRPr="003D7F25">
        <w:t>J</w:t>
      </w:r>
      <w:r w:rsidRPr="003D7F25">
        <w:t xml:space="preserve">eśli </w:t>
      </w:r>
      <w:r w:rsidR="00384B68" w:rsidRPr="003D7F25">
        <w:t xml:space="preserve">tak się </w:t>
      </w:r>
      <w:r w:rsidRPr="003D7F25">
        <w:t xml:space="preserve">jednak </w:t>
      </w:r>
      <w:r w:rsidR="00384B68" w:rsidRPr="0013325B">
        <w:t>dzieje</w:t>
      </w:r>
      <w:r w:rsidRPr="0013325B">
        <w:t xml:space="preserve">, </w:t>
      </w:r>
      <w:r w:rsidR="00384B68" w:rsidRPr="0013325B">
        <w:t>wy</w:t>
      </w:r>
      <w:r w:rsidRPr="0013325B">
        <w:t xml:space="preserve">pełnione zostają hipotezy obydwu przepisów i sprawca </w:t>
      </w:r>
      <w:r w:rsidR="00384B68" w:rsidRPr="0013325B">
        <w:t xml:space="preserve">podlega karze </w:t>
      </w:r>
      <w:r w:rsidRPr="001C5F9D">
        <w:t>na podstawie obydwu z nich</w:t>
      </w:r>
      <w:r w:rsidR="00384B68" w:rsidRPr="001C5F9D">
        <w:t xml:space="preserve"> pomimo</w:t>
      </w:r>
      <w:r w:rsidRPr="001C5F9D">
        <w:t xml:space="preserve"> niepewnoś</w:t>
      </w:r>
      <w:r w:rsidR="00384B68" w:rsidRPr="001C5F9D">
        <w:t>ci</w:t>
      </w:r>
      <w:r w:rsidRPr="001C5F9D">
        <w:t xml:space="preserve"> co do sposobu regulacji zbiegu kar</w:t>
      </w:r>
      <w:r w:rsidRPr="00076546">
        <w:rPr>
          <w:vertAlign w:val="superscript"/>
        </w:rPr>
        <w:footnoteReference w:id="166"/>
      </w:r>
      <w:r w:rsidRPr="00082846">
        <w:t xml:space="preserve">. </w:t>
      </w:r>
      <w:r w:rsidR="00384B68" w:rsidRPr="00082846">
        <w:t>W</w:t>
      </w:r>
      <w:r w:rsidR="002F51A4">
        <w:t xml:space="preserve"> odniesieniu do relacji</w:t>
      </w:r>
      <w:r w:rsidRPr="00082846">
        <w:t xml:space="preserve"> między art. 104 lit. a i art. 217 Kodeksu karnego, w razie realizacji znamion </w:t>
      </w:r>
      <w:r w:rsidR="00180431">
        <w:t>stypizowanych w </w:t>
      </w:r>
      <w:r w:rsidRPr="00082846">
        <w:t xml:space="preserve">obydwu </w:t>
      </w:r>
      <w:r w:rsidR="00384B68" w:rsidRPr="00082846">
        <w:t>przepisach</w:t>
      </w:r>
      <w:r w:rsidRPr="00082846">
        <w:t xml:space="preserve">, art. 217 ust. 1 znajduje zastosowanie obok art. 104 a </w:t>
      </w:r>
      <w:r w:rsidR="00384B68" w:rsidRPr="003D7F25">
        <w:t>ust.</w:t>
      </w:r>
      <w:r w:rsidRPr="003D7F25">
        <w:t xml:space="preserve"> 1, zaś art. 217 ust. 2 stosuje się zamiast art. 104a ust. 1, a art. 104a </w:t>
      </w:r>
      <w:r w:rsidR="00384B68" w:rsidRPr="003D7F25">
        <w:t xml:space="preserve">ust. </w:t>
      </w:r>
      <w:r w:rsidRPr="003D7F25">
        <w:t>4 stosuje się obok art. 217</w:t>
      </w:r>
      <w:r w:rsidRPr="00076546">
        <w:rPr>
          <w:vertAlign w:val="superscript"/>
        </w:rPr>
        <w:footnoteReference w:id="167"/>
      </w:r>
      <w:r w:rsidRPr="00082846">
        <w:t>.</w:t>
      </w:r>
    </w:p>
    <w:p w14:paraId="3333FBDC" w14:textId="308C9EFA" w:rsidR="00802C80" w:rsidRPr="003D7F25" w:rsidRDefault="00802C80" w:rsidP="00802C80">
      <w:pPr>
        <w:pStyle w:val="OpiPara"/>
      </w:pPr>
      <w:r w:rsidRPr="00082846">
        <w:t xml:space="preserve">50. Podsumowując, austriackie ramy </w:t>
      </w:r>
      <w:r w:rsidR="00180431">
        <w:t>prawne wciąż wymagają reformy w </w:t>
      </w:r>
      <w:r w:rsidRPr="00082846">
        <w:t xml:space="preserve">celu dostosowania do prawa międzynarodowego. Stypizowania wymaga </w:t>
      </w:r>
      <w:r w:rsidR="00384B68" w:rsidRPr="00082846">
        <w:t>przestępstwo</w:t>
      </w:r>
      <w:r w:rsidRPr="00082846">
        <w:t xml:space="preserve"> pracy przymusowej (obywateli), zaś poszerzenia — zakres </w:t>
      </w:r>
      <w:r w:rsidR="00384B68" w:rsidRPr="00082846">
        <w:t xml:space="preserve">przestępstwa </w:t>
      </w:r>
      <w:r w:rsidRPr="00082846">
        <w:t xml:space="preserve">pracy przymusowej cudzoziemców, </w:t>
      </w:r>
      <w:r w:rsidR="0094589B">
        <w:t xml:space="preserve">za wzorem </w:t>
      </w:r>
      <w:r w:rsidRPr="003D7F25">
        <w:t>wymuszonego</w:t>
      </w:r>
      <w:r w:rsidR="0094589B">
        <w:t xml:space="preserve"> </w:t>
      </w:r>
      <w:r w:rsidRPr="003D7F25">
        <w:t>małżeństwa (</w:t>
      </w:r>
      <w:r w:rsidRPr="003D7F25">
        <w:rPr>
          <w:i/>
        </w:rPr>
        <w:t>Zwangsheirat</w:t>
      </w:r>
      <w:r w:rsidRPr="003D7F25">
        <w:t>)</w:t>
      </w:r>
      <w:r w:rsidRPr="00076546">
        <w:rPr>
          <w:vertAlign w:val="superscript"/>
        </w:rPr>
        <w:footnoteReference w:id="168"/>
      </w:r>
      <w:r w:rsidRPr="00082846">
        <w:t xml:space="preserve">. Ustawodawczym rozwiązaniem dla tej kwestii byłoby sformułowanie pojedynczego </w:t>
      </w:r>
      <w:r w:rsidR="002F51A4" w:rsidRPr="002F51A4">
        <w:t xml:space="preserve">wspólnego elementu konstytutywnego </w:t>
      </w:r>
      <w:r w:rsidR="00160EE7">
        <w:t>(</w:t>
      </w:r>
      <w:r w:rsidR="00160EE7" w:rsidRPr="00082846">
        <w:rPr>
          <w:i/>
        </w:rPr>
        <w:t>Tatbestand</w:t>
      </w:r>
      <w:r w:rsidR="00160EE7" w:rsidRPr="00160EE7">
        <w:t>)</w:t>
      </w:r>
      <w:r w:rsidR="00160EE7" w:rsidRPr="0096762D">
        <w:rPr>
          <w:i/>
        </w:rPr>
        <w:t xml:space="preserve"> </w:t>
      </w:r>
      <w:r w:rsidRPr="002F51A4">
        <w:t>pracy przymusowej obywateli i cudzozie</w:t>
      </w:r>
      <w:r w:rsidRPr="00082846">
        <w:t xml:space="preserve">mców </w:t>
      </w:r>
      <w:r w:rsidR="002F51A4">
        <w:t xml:space="preserve">zgodnego z </w:t>
      </w:r>
      <w:r w:rsidR="00384B68" w:rsidRPr="00082846">
        <w:t xml:space="preserve">zakreślonym </w:t>
      </w:r>
      <w:r w:rsidR="002F51A4">
        <w:t xml:space="preserve">powyżej </w:t>
      </w:r>
      <w:r w:rsidRPr="00082846">
        <w:t>pojęci</w:t>
      </w:r>
      <w:r w:rsidR="00384B68" w:rsidRPr="00082846">
        <w:t>em</w:t>
      </w:r>
      <w:r w:rsidRPr="003D7F25">
        <w:t xml:space="preserve"> pracy przymusowej w prawie międzynarodowym, które nie czyni rozróżnienia między obywatelami a cudzoziemcami. Samodzielny ogólny typu </w:t>
      </w:r>
      <w:r w:rsidR="00384B68" w:rsidRPr="003D7F25">
        <w:t xml:space="preserve">przestępstwa </w:t>
      </w:r>
      <w:r w:rsidRPr="003D7F25">
        <w:t>polegającego na wykorzystaniu nie wydaje się dostępną opcją w świetle niedawno dokonanego p</w:t>
      </w:r>
      <w:r w:rsidR="00180431">
        <w:t>olitycznego wyboru związanego z </w:t>
      </w:r>
      <w:r w:rsidRPr="003D7F25">
        <w:t>wprowadzeniem szczegółowego typu</w:t>
      </w:r>
      <w:r w:rsidR="002F51A4">
        <w:t xml:space="preserve"> przestępstwa wykorzystania</w:t>
      </w:r>
      <w:r w:rsidRPr="003D7F25">
        <w:t xml:space="preserve"> </w:t>
      </w:r>
      <w:r w:rsidR="002F51A4">
        <w:t xml:space="preserve">poprzez </w:t>
      </w:r>
      <w:r w:rsidRPr="003D7F25">
        <w:rPr>
          <w:i/>
        </w:rPr>
        <w:t>Zwangsheirat</w:t>
      </w:r>
      <w:r w:rsidRPr="003D7F25">
        <w:t>.</w:t>
      </w:r>
    </w:p>
    <w:p w14:paraId="6C51FA17" w14:textId="77777777" w:rsidR="00802C80" w:rsidRPr="001C5F9D" w:rsidRDefault="00802C80" w:rsidP="00802C80">
      <w:pPr>
        <w:pStyle w:val="OpiPara"/>
      </w:pPr>
      <w:r w:rsidRPr="0013325B">
        <w:t>51. Strona przedmiotowa przestępstwa handlu ludźmi (</w:t>
      </w:r>
      <w:r w:rsidRPr="0013325B">
        <w:rPr>
          <w:i/>
        </w:rPr>
        <w:t>objektiver Tatbestand</w:t>
      </w:r>
      <w:r w:rsidRPr="0013325B">
        <w:t xml:space="preserve">) wymaga doprecyzowania i dopracowania w odniesieniu zarówno do </w:t>
      </w:r>
      <w:r w:rsidR="0094589B">
        <w:t>określonych</w:t>
      </w:r>
      <w:r w:rsidR="0094589B" w:rsidRPr="0013325B">
        <w:t xml:space="preserve"> </w:t>
      </w:r>
      <w:r w:rsidRPr="0013325B">
        <w:t xml:space="preserve">zachowań, jak i niedopuszczalnych metod, jak na przykład wykorzystania sytuacji zależności. </w:t>
      </w:r>
      <w:r w:rsidR="00E91E0A" w:rsidRPr="0013325B">
        <w:t xml:space="preserve">Przeważająca </w:t>
      </w:r>
      <w:r w:rsidRPr="001C5F9D">
        <w:t>koncepcja</w:t>
      </w:r>
      <w:r w:rsidR="00E91E0A" w:rsidRPr="001C5F9D">
        <w:t xml:space="preserve">, która znalazła aprobatę w oczach </w:t>
      </w:r>
      <w:r w:rsidRPr="001C5F9D">
        <w:t xml:space="preserve">EBRV StRÄG 2004 i EBRV SexualStRÄG 2013 jest </w:t>
      </w:r>
      <w:r w:rsidR="00E91E0A" w:rsidRPr="001C5F9D">
        <w:t xml:space="preserve">pod pewnymi względami </w:t>
      </w:r>
      <w:r w:rsidRPr="001C5F9D">
        <w:t>zbyt wąska.</w:t>
      </w:r>
    </w:p>
    <w:p w14:paraId="1FF43606" w14:textId="3F955BFD" w:rsidR="00802C80" w:rsidRPr="003D7F25" w:rsidRDefault="00802C80" w:rsidP="00802C80">
      <w:pPr>
        <w:pStyle w:val="OpiPara"/>
      </w:pPr>
      <w:r w:rsidRPr="001C5F9D">
        <w:t xml:space="preserve">52. </w:t>
      </w:r>
      <w:r w:rsidR="00E91E0A" w:rsidRPr="001C5F9D">
        <w:t>Przykładowo</w:t>
      </w:r>
      <w:r w:rsidRPr="001C5F9D">
        <w:t xml:space="preserve"> </w:t>
      </w:r>
      <w:r w:rsidR="002F51A4">
        <w:t xml:space="preserve">koncepcja </w:t>
      </w:r>
      <w:r w:rsidRPr="001C5F9D">
        <w:t>„bezwzględne</w:t>
      </w:r>
      <w:r w:rsidR="002F51A4">
        <w:t>go</w:t>
      </w:r>
      <w:r w:rsidRPr="001C5F9D">
        <w:t xml:space="preserve"> i trwałe</w:t>
      </w:r>
      <w:r w:rsidR="002F51A4">
        <w:t>go tłumienia</w:t>
      </w:r>
      <w:r w:rsidRPr="001C5F9D">
        <w:t xml:space="preserve"> żywotnych interesów” nadmiernie zawęża eksploatacyjny cel handlu ludźmi. Pojęcie wykorzystania i jego zamiar </w:t>
      </w:r>
      <w:r w:rsidR="00E91E0A" w:rsidRPr="001C5F9D">
        <w:t xml:space="preserve">kierunkowy </w:t>
      </w:r>
      <w:r w:rsidRPr="001C5F9D">
        <w:t>(</w:t>
      </w:r>
      <w:r w:rsidRPr="001C5F9D">
        <w:rPr>
          <w:i/>
        </w:rPr>
        <w:t>erweiterte Vorsatz</w:t>
      </w:r>
      <w:r w:rsidRPr="001C5F9D">
        <w:t xml:space="preserve">) wymagają wyraźnego oddzielenia od „trwałego” czy „przedłużonego” okresu zachowania, </w:t>
      </w:r>
      <w:r w:rsidR="00BE0250">
        <w:t xml:space="preserve">od </w:t>
      </w:r>
      <w:r w:rsidRPr="001C5F9D">
        <w:t>jaki</w:t>
      </w:r>
      <w:r w:rsidRPr="001F0818">
        <w:t xml:space="preserve">egokolwiek wymogu „bezwzględności” i </w:t>
      </w:r>
      <w:r w:rsidR="00160EE7">
        <w:t xml:space="preserve">od </w:t>
      </w:r>
      <w:r w:rsidRPr="001F0818">
        <w:t xml:space="preserve">wieloznacznego „żywotnego” charakteru interesów </w:t>
      </w:r>
      <w:r w:rsidR="00E91E0A" w:rsidRPr="001F0818">
        <w:t>pokrzywdzonego</w:t>
      </w:r>
      <w:r w:rsidRPr="001F0818">
        <w:t>. Wykorzystanie może mieć charakter nieciągły, nieregularny, a nawet trwać przez jedynie krótki czas</w:t>
      </w:r>
      <w:r w:rsidRPr="00076546">
        <w:rPr>
          <w:vertAlign w:val="superscript"/>
        </w:rPr>
        <w:footnoteReference w:id="169"/>
      </w:r>
      <w:r w:rsidRPr="00082846">
        <w:t xml:space="preserve">, nie mieć żadnego szczególnie „bezwzględnego” charakteru ani nie wpływać na żadne „żywotne” interesy </w:t>
      </w:r>
      <w:r w:rsidR="00E91E0A" w:rsidRPr="00082846">
        <w:t>pokrzywdzonego</w:t>
      </w:r>
      <w:r w:rsidRPr="00076546">
        <w:rPr>
          <w:vertAlign w:val="superscript"/>
        </w:rPr>
        <w:footnoteReference w:id="170"/>
      </w:r>
      <w:r w:rsidRPr="00082846">
        <w:t>. Każda reforma prawa karnego na tym polu wymaga świadomości, że polityczna i społeczna akceptacja warunków pracy</w:t>
      </w:r>
      <w:r w:rsidR="004F78B3" w:rsidRPr="00082846">
        <w:t xml:space="preserve"> </w:t>
      </w:r>
      <w:r w:rsidR="0094589B">
        <w:t>przypominających</w:t>
      </w:r>
      <w:r w:rsidR="004F78B3" w:rsidRPr="00082846">
        <w:t xml:space="preserve"> eksploatacj</w:t>
      </w:r>
      <w:r w:rsidR="0094589B">
        <w:t>ę</w:t>
      </w:r>
      <w:r w:rsidRPr="00082846">
        <w:t>, szczególnie wśród imigrantów, przyczynia się do obniżenia profilu takiego zachowania</w:t>
      </w:r>
      <w:r w:rsidRPr="00076546">
        <w:rPr>
          <w:vertAlign w:val="superscript"/>
        </w:rPr>
        <w:footnoteReference w:id="171"/>
      </w:r>
      <w:r w:rsidRPr="00082846">
        <w:t xml:space="preserve">, a prawo nieprecyzyjne nie jest dobrym prawem — </w:t>
      </w:r>
      <w:r w:rsidR="00E91E0A" w:rsidRPr="00082846">
        <w:t xml:space="preserve">fundamentalna </w:t>
      </w:r>
      <w:r w:rsidRPr="00082846">
        <w:t xml:space="preserve">zasada </w:t>
      </w:r>
      <w:r w:rsidRPr="00082846">
        <w:rPr>
          <w:i/>
          <w:iCs/>
        </w:rPr>
        <w:t>nullum crimen sine lege</w:t>
      </w:r>
      <w:r w:rsidR="00E91E0A" w:rsidRPr="00082846">
        <w:rPr>
          <w:i/>
          <w:iCs/>
        </w:rPr>
        <w:t xml:space="preserve"> certa</w:t>
      </w:r>
      <w:r w:rsidR="005F47D9">
        <w:t xml:space="preserve"> </w:t>
      </w:r>
      <w:r w:rsidRPr="003D7F25">
        <w:t xml:space="preserve">wymaga </w:t>
      </w:r>
      <w:r w:rsidR="00E91E0A" w:rsidRPr="003D7F25">
        <w:t>określoności przestępstw</w:t>
      </w:r>
      <w:r w:rsidRPr="003D7F25">
        <w:t>.</w:t>
      </w:r>
    </w:p>
    <w:p w14:paraId="76C94CC8" w14:textId="5FF6C243" w:rsidR="00802C80" w:rsidRPr="003D7F25" w:rsidRDefault="00802C80" w:rsidP="00802C80">
      <w:pPr>
        <w:pStyle w:val="OpiHA0"/>
      </w:pPr>
      <w:bookmarkStart w:id="18" w:name="_Toc535852151"/>
      <w:r w:rsidRPr="003D7F25">
        <w:t>V.</w:t>
      </w:r>
      <w:r w:rsidR="005F47D9">
        <w:t xml:space="preserve"> </w:t>
      </w:r>
      <w:r w:rsidRPr="003D7F25">
        <w:t>Zastosowanie ram prawnych do okoliczności faktycznych sprawy (paragrafy 53-59)</w:t>
      </w:r>
      <w:bookmarkEnd w:id="18"/>
    </w:p>
    <w:p w14:paraId="2393953C" w14:textId="18877DE0" w:rsidR="00802C80" w:rsidRPr="0013325B" w:rsidRDefault="00802C80" w:rsidP="00802C80">
      <w:pPr>
        <w:pStyle w:val="OpiH1"/>
      </w:pPr>
      <w:bookmarkStart w:id="19" w:name="_Toc535852152"/>
      <w:r w:rsidRPr="003D7F25">
        <w:t>A.</w:t>
      </w:r>
      <w:r w:rsidR="005F47D9">
        <w:t xml:space="preserve"> </w:t>
      </w:r>
      <w:r w:rsidRPr="003D7F25">
        <w:t>Materialne przesłanki umorzenia (paragrafy 53-55)</w:t>
      </w:r>
      <w:bookmarkEnd w:id="19"/>
    </w:p>
    <w:p w14:paraId="6FD0ECF2" w14:textId="77777777" w:rsidR="00802C80" w:rsidRPr="00082846" w:rsidRDefault="00802C80" w:rsidP="00802C80">
      <w:pPr>
        <w:pStyle w:val="OpiPara"/>
      </w:pPr>
      <w:r w:rsidRPr="0013325B">
        <w:t xml:space="preserve">53. Wiedeński </w:t>
      </w:r>
      <w:r w:rsidRPr="0013325B">
        <w:rPr>
          <w:i/>
        </w:rPr>
        <w:t>Landesgericht</w:t>
      </w:r>
      <w:r w:rsidRPr="0013325B">
        <w:t xml:space="preserve"> umorzył postępowanie przygotowawcze, bowiem w jego ocenie okres trzech dni w Wiedniu nie był wystarczający dla realizacji znamion przestępstwa handlu ludźmi, nie </w:t>
      </w:r>
      <w:r w:rsidR="009408C0">
        <w:t xml:space="preserve">było </w:t>
      </w:r>
      <w:r w:rsidR="00A34B70">
        <w:t>także ani skargi</w:t>
      </w:r>
      <w:r w:rsidR="00631096">
        <w:t>,</w:t>
      </w:r>
      <w:r w:rsidR="00A34B70">
        <w:t xml:space="preserve"> ani dowodu na złe traktowanie</w:t>
      </w:r>
      <w:r w:rsidRPr="001C5F9D">
        <w:t xml:space="preserve">. Takie zastosowanie prawa krajowego do stanu faktycznego nie </w:t>
      </w:r>
      <w:r w:rsidR="00E91E0A" w:rsidRPr="001C5F9D">
        <w:t>daje się</w:t>
      </w:r>
      <w:r w:rsidRPr="001C5F9D">
        <w:t xml:space="preserve"> </w:t>
      </w:r>
      <w:r w:rsidR="00E91E0A" w:rsidRPr="001C5F9D">
        <w:t xml:space="preserve">pogodzić </w:t>
      </w:r>
      <w:r w:rsidR="00180431">
        <w:t>z </w:t>
      </w:r>
      <w:r w:rsidRPr="001C5F9D">
        <w:t xml:space="preserve">prawem międzynarodowym. Po pierwsze ściganie za handel ludźmi nie wymaga </w:t>
      </w:r>
      <w:r w:rsidR="00E91E0A" w:rsidRPr="001C5F9D">
        <w:t>wykazania znęcania się</w:t>
      </w:r>
      <w:r w:rsidRPr="001C5F9D">
        <w:t xml:space="preserve">. Po drugie ściganie za handel ludźmi nie jest uzależnione od rozciągłości czasowej zachowania wypełniającego znamiona tego </w:t>
      </w:r>
      <w:r w:rsidR="00E91E0A" w:rsidRPr="001F0818">
        <w:t>przestępstwa</w:t>
      </w:r>
      <w:r w:rsidRPr="001F0818">
        <w:t xml:space="preserve">, a tym bardziej </w:t>
      </w:r>
      <w:r w:rsidR="00E91E0A" w:rsidRPr="001F0818">
        <w:t xml:space="preserve">faktycznego </w:t>
      </w:r>
      <w:r w:rsidRPr="001F0818">
        <w:t xml:space="preserve">wykorzystania. Prawo austriackie i międzynarodowe stanowi, że wykorzystanie to nie musi nawet w ogóle się rozpocząć. Stąd podwójnie błędnie jest stwierdzenie </w:t>
      </w:r>
      <w:r w:rsidRPr="001F0818">
        <w:rPr>
          <w:i/>
        </w:rPr>
        <w:t>Landesgericht</w:t>
      </w:r>
      <w:r w:rsidRPr="001F0818">
        <w:rPr>
          <w:i/>
          <w:iCs/>
        </w:rPr>
        <w:t>u</w:t>
      </w:r>
      <w:r w:rsidRPr="001F0818">
        <w:t xml:space="preserve">, że „istotne zachowania związane z wykorzystywaniem pracy muszą </w:t>
      </w:r>
      <w:r w:rsidR="00E91E0A" w:rsidRPr="001F0818">
        <w:t xml:space="preserve">być realizowane </w:t>
      </w:r>
      <w:r w:rsidRPr="001F0818">
        <w:t xml:space="preserve">w odcinku czasowym” </w:t>
      </w:r>
      <w:r w:rsidR="00E91E0A" w:rsidRPr="001F0818">
        <w:t xml:space="preserve">dłuższym </w:t>
      </w:r>
      <w:r w:rsidRPr="001F0818">
        <w:t>niż trzy dni</w:t>
      </w:r>
      <w:r w:rsidRPr="00076546">
        <w:rPr>
          <w:vertAlign w:val="superscript"/>
        </w:rPr>
        <w:footnoteReference w:id="172"/>
      </w:r>
      <w:r w:rsidRPr="00082846">
        <w:t>.</w:t>
      </w:r>
    </w:p>
    <w:p w14:paraId="3D1EEB10" w14:textId="4D688845" w:rsidR="00802C80" w:rsidRPr="003D7F25" w:rsidRDefault="00802C80" w:rsidP="00802C80">
      <w:pPr>
        <w:pStyle w:val="OpiPara"/>
      </w:pPr>
      <w:r w:rsidRPr="00082846">
        <w:t xml:space="preserve">54. W aktach sprawy </w:t>
      </w:r>
      <w:r w:rsidR="00444DA0" w:rsidRPr="00082846">
        <w:t xml:space="preserve">znajdują się </w:t>
      </w:r>
      <w:r w:rsidRPr="00082846">
        <w:t>jednoznaczne</w:t>
      </w:r>
      <w:r w:rsidR="005F47D9">
        <w:t xml:space="preserve"> </w:t>
      </w:r>
      <w:r w:rsidR="00444DA0" w:rsidRPr="00082846">
        <w:t xml:space="preserve">dowody wskazujące na </w:t>
      </w:r>
      <w:r w:rsidRPr="003D7F25">
        <w:t>wykorzystanie i dokonany w tym</w:t>
      </w:r>
      <w:r w:rsidR="00A34B70">
        <w:t xml:space="preserve"> celu handel ludźmi, zarówno za</w:t>
      </w:r>
      <w:r w:rsidR="00631096">
        <w:t xml:space="preserve"> </w:t>
      </w:r>
      <w:r w:rsidRPr="003D7F25">
        <w:t xml:space="preserve">granicą, jak i na terytorium Austrii: odebranie paszportu i telefonów komórkowych </w:t>
      </w:r>
      <w:r w:rsidR="00444DA0" w:rsidRPr="003D7F25">
        <w:t xml:space="preserve">pokrzywdzonym </w:t>
      </w:r>
      <w:r w:rsidRPr="003D7F25">
        <w:t xml:space="preserve">przez pracodawców, </w:t>
      </w:r>
      <w:r w:rsidR="00444DA0" w:rsidRPr="003D7F25">
        <w:t xml:space="preserve">wstrzymanie wypłaty </w:t>
      </w:r>
      <w:r w:rsidRPr="003D7F25">
        <w:t xml:space="preserve">i jednostronne obniżenie wynagrodzenia przez pracodawcę, nieznośne warunki pracy, nadmierny wymiar </w:t>
      </w:r>
      <w:r w:rsidR="00444DA0" w:rsidRPr="0013325B">
        <w:t>czasu pracy</w:t>
      </w:r>
      <w:r w:rsidRPr="0013325B">
        <w:t xml:space="preserve">, upokarzanie, nadużycia słowne, groźby przemocy fizycznej i jej użycie w stosunku do </w:t>
      </w:r>
      <w:r w:rsidR="00444DA0" w:rsidRPr="0013325B">
        <w:t>pokrzywdzonych</w:t>
      </w:r>
      <w:r w:rsidRPr="00076546">
        <w:rPr>
          <w:vertAlign w:val="superscript"/>
        </w:rPr>
        <w:footnoteReference w:id="173"/>
      </w:r>
      <w:r w:rsidRPr="00082846">
        <w:t xml:space="preserve">. </w:t>
      </w:r>
      <w:r w:rsidR="00444DA0" w:rsidRPr="00082846">
        <w:t xml:space="preserve">Czyny, które jakoby miały </w:t>
      </w:r>
      <w:r w:rsidRPr="00082846">
        <w:t>miejsce w Wiedniu</w:t>
      </w:r>
      <w:r w:rsidR="00631096">
        <w:t>,</w:t>
      </w:r>
      <w:r w:rsidRPr="00082846">
        <w:t xml:space="preserve"> można zakwalifikować jako przyjęcie do hotelu (</w:t>
      </w:r>
      <w:r w:rsidRPr="00082846">
        <w:rPr>
          <w:i/>
        </w:rPr>
        <w:t>beherbergen</w:t>
      </w:r>
      <w:r w:rsidRPr="00082846">
        <w:t>), z organizacją transportu (</w:t>
      </w:r>
      <w:r w:rsidRPr="00082846">
        <w:rPr>
          <w:i/>
        </w:rPr>
        <w:t>befördern</w:t>
      </w:r>
      <w:r w:rsidRPr="00082846">
        <w:t xml:space="preserve">) dla </w:t>
      </w:r>
      <w:r w:rsidR="00444DA0" w:rsidRPr="003D7F25">
        <w:t>pokrzywdzonych</w:t>
      </w:r>
      <w:r w:rsidRPr="003D7F25">
        <w:t>. Niedopuszczalne metody obejmowały przynajmniej zastraszanie (</w:t>
      </w:r>
      <w:r w:rsidRPr="003D7F25">
        <w:rPr>
          <w:i/>
        </w:rPr>
        <w:t>Einschüchterung</w:t>
      </w:r>
      <w:r w:rsidRPr="003D7F25">
        <w:t>), nie mówiąc już o nadużyciach słownych.</w:t>
      </w:r>
    </w:p>
    <w:p w14:paraId="662C94E9" w14:textId="77777777" w:rsidR="00802C80" w:rsidRPr="003D7F25" w:rsidRDefault="00802C80" w:rsidP="00802C80">
      <w:pPr>
        <w:pStyle w:val="OpiPara"/>
      </w:pPr>
      <w:r w:rsidRPr="003D7F25">
        <w:t xml:space="preserve">55. Władze krajowe nie uwzględniły łańcucha zdarzeń rozciągającego się od Filipin po </w:t>
      </w:r>
      <w:r w:rsidR="00444DA0" w:rsidRPr="003D7F25">
        <w:t xml:space="preserve">Zjednoczone </w:t>
      </w:r>
      <w:r w:rsidRPr="003D7F25">
        <w:t xml:space="preserve">Emiraty Arabskie i Austrię, jak i </w:t>
      </w:r>
      <w:r w:rsidR="00444DA0" w:rsidRPr="003D7F25">
        <w:t xml:space="preserve">wystąpienia </w:t>
      </w:r>
      <w:r w:rsidRPr="0013325B">
        <w:t>tych samych wzorców zachowania pracodawcy na terytorium Austrii. Zignorowan</w:t>
      </w:r>
      <w:r w:rsidR="00444DA0" w:rsidRPr="0013325B">
        <w:t>o</w:t>
      </w:r>
      <w:r w:rsidRPr="0013325B">
        <w:t xml:space="preserve"> charakter inkryminowanych </w:t>
      </w:r>
      <w:r w:rsidR="0094589B">
        <w:t>czynów</w:t>
      </w:r>
      <w:r w:rsidR="0094589B" w:rsidRPr="001C5F9D">
        <w:t xml:space="preserve"> </w:t>
      </w:r>
      <w:r w:rsidRPr="001C5F9D">
        <w:t xml:space="preserve">jako „przestępstwa </w:t>
      </w:r>
      <w:r w:rsidR="00B53436">
        <w:t>trwa</w:t>
      </w:r>
      <w:r w:rsidRPr="001C5F9D">
        <w:t>łego” [tj. rozciągniętego w czasie — przyp. tłum.] (</w:t>
      </w:r>
      <w:r w:rsidRPr="001C5F9D">
        <w:rPr>
          <w:i/>
        </w:rPr>
        <w:t>Dauerdelikt</w:t>
      </w:r>
      <w:r w:rsidRPr="001C5F9D">
        <w:t>)</w:t>
      </w:r>
      <w:r w:rsidRPr="00076546">
        <w:rPr>
          <w:vertAlign w:val="superscript"/>
        </w:rPr>
        <w:footnoteReference w:id="174"/>
      </w:r>
      <w:r w:rsidRPr="00082846">
        <w:t xml:space="preserve">. </w:t>
      </w:r>
      <w:r w:rsidR="00444DA0" w:rsidRPr="00082846">
        <w:t xml:space="preserve">Pominięto </w:t>
      </w:r>
      <w:r w:rsidRPr="00082846">
        <w:t xml:space="preserve">również fakt, że czas </w:t>
      </w:r>
      <w:r w:rsidR="00180431">
        <w:t>trwania zdarzeń w Austrii był z </w:t>
      </w:r>
      <w:r w:rsidRPr="00082846">
        <w:t xml:space="preserve">konieczności krótki, jako że pracodawczynie i ofiary </w:t>
      </w:r>
      <w:r w:rsidR="00444DA0" w:rsidRPr="00082846">
        <w:t>odbywały</w:t>
      </w:r>
      <w:r w:rsidRPr="00082846">
        <w:t xml:space="preserve"> podróż</w:t>
      </w:r>
      <w:r w:rsidRPr="003D7F25">
        <w:t xml:space="preserve"> do Londynu, zatrzymując się w Wiedniu jedynie na kilk</w:t>
      </w:r>
      <w:r w:rsidR="00444DA0" w:rsidRPr="003D7F25">
        <w:t>a dni</w:t>
      </w:r>
      <w:r w:rsidRPr="003D7F25">
        <w:t>.</w:t>
      </w:r>
    </w:p>
    <w:p w14:paraId="57598F27" w14:textId="3E409157" w:rsidR="00802C80" w:rsidRPr="003D7F25" w:rsidRDefault="00802C80" w:rsidP="00802C80">
      <w:pPr>
        <w:pStyle w:val="OpiH1"/>
      </w:pPr>
      <w:bookmarkStart w:id="20" w:name="_Toc535852153"/>
      <w:r w:rsidRPr="003D7F25">
        <w:t>B.</w:t>
      </w:r>
      <w:r w:rsidR="005F47D9">
        <w:t xml:space="preserve"> </w:t>
      </w:r>
      <w:r w:rsidRPr="003D7F25">
        <w:t>Proceduralne przesłanki umorzenia (paragrafy 56-59)</w:t>
      </w:r>
      <w:bookmarkEnd w:id="20"/>
    </w:p>
    <w:p w14:paraId="21D5A336" w14:textId="77777777" w:rsidR="00802C80" w:rsidRPr="001C5F9D" w:rsidRDefault="00802C80" w:rsidP="00802C80">
      <w:pPr>
        <w:pStyle w:val="OpiPara"/>
      </w:pPr>
      <w:r w:rsidRPr="003D7F25">
        <w:t>56. Władze krajowe wskazały cztery proceduralne przesłanki umorzenia postępowania przygotowawczego</w:t>
      </w:r>
      <w:r w:rsidR="00481F0D">
        <w:t>: brak jurysdykcji</w:t>
      </w:r>
      <w:r w:rsidRPr="003D7F25">
        <w:t xml:space="preserve"> (</w:t>
      </w:r>
      <w:r w:rsidRPr="003D7F25">
        <w:rPr>
          <w:i/>
        </w:rPr>
        <w:t>keine Zuständigkeit der österreichischen Straverfolgungsbehörden</w:t>
      </w:r>
      <w:r w:rsidRPr="0013325B">
        <w:t>) dot</w:t>
      </w:r>
      <w:r w:rsidR="00180431">
        <w:t>yczące</w:t>
      </w:r>
      <w:r w:rsidR="00481F0D">
        <w:t>j</w:t>
      </w:r>
      <w:r w:rsidR="00180431">
        <w:t xml:space="preserve"> werbunku na Filipinach i </w:t>
      </w:r>
      <w:r w:rsidRPr="0013325B">
        <w:t>domniemanego wykorzystywania w Zjednoczonych Emiratach Arabskich</w:t>
      </w:r>
      <w:r w:rsidR="00444DA0" w:rsidRPr="0013325B">
        <w:t>:</w:t>
      </w:r>
      <w:r w:rsidRPr="0013325B">
        <w:t xml:space="preserve"> brak umowy o wzajemnej pomocy prawnej ze Zjednoczonymi Emiratami Arabskimi, margines oceny przysługujący </w:t>
      </w:r>
      <w:r w:rsidR="00444DA0" w:rsidRPr="001C5F9D">
        <w:t>prokuratorowi</w:t>
      </w:r>
      <w:r w:rsidR="00180431">
        <w:t xml:space="preserve"> na podstawie art. </w:t>
      </w:r>
      <w:r w:rsidRPr="001C5F9D">
        <w:t xml:space="preserve">210 k.p.k. </w:t>
      </w:r>
      <w:r w:rsidR="00444DA0" w:rsidRPr="001C5F9D">
        <w:t>oraz</w:t>
      </w:r>
      <w:r w:rsidRPr="001C5F9D">
        <w:t xml:space="preserve"> zasadę prawa austriackiego, że postępowanie karne nie może</w:t>
      </w:r>
      <w:r w:rsidR="00444DA0" w:rsidRPr="001C5F9D">
        <w:t>, zgodnie z art. 197 k.p.k,</w:t>
      </w:r>
      <w:r w:rsidRPr="001C5F9D">
        <w:t xml:space="preserve"> toczyć się pod nieobecność oskarżonego.</w:t>
      </w:r>
    </w:p>
    <w:p w14:paraId="1BE31281" w14:textId="4E147B04" w:rsidR="00802C80" w:rsidRPr="00082846" w:rsidRDefault="00802C80" w:rsidP="00802C80">
      <w:pPr>
        <w:pStyle w:val="OpiPara"/>
      </w:pPr>
      <w:r w:rsidRPr="001C5F9D">
        <w:t xml:space="preserve">57. </w:t>
      </w:r>
      <w:r w:rsidR="00444DA0" w:rsidRPr="001C5F9D">
        <w:t xml:space="preserve">Chociaż </w:t>
      </w:r>
      <w:r w:rsidRPr="001C5F9D">
        <w:t xml:space="preserve">brak jurysdykcji </w:t>
      </w:r>
      <w:r w:rsidR="00A34B70">
        <w:t xml:space="preserve">w </w:t>
      </w:r>
      <w:r w:rsidR="00444DA0" w:rsidRPr="001C5F9D">
        <w:t xml:space="preserve">zakresie zdarzeń, które miały miejsce </w:t>
      </w:r>
      <w:r w:rsidRPr="001C5F9D">
        <w:t>poza terytorium Austrii</w:t>
      </w:r>
      <w:r w:rsidR="005C558E">
        <w:t>,</w:t>
      </w:r>
      <w:r w:rsidRPr="001C5F9D">
        <w:t xml:space="preserve"> mógłby stanowić przeszkodę dla postępowania przygotowawczego przed sądami austriackimi w </w:t>
      </w:r>
      <w:r w:rsidRPr="001F0818">
        <w:t>austriackim systemie prawnym</w:t>
      </w:r>
      <w:r w:rsidRPr="00076546">
        <w:rPr>
          <w:vertAlign w:val="superscript"/>
        </w:rPr>
        <w:footnoteReference w:id="175"/>
      </w:r>
      <w:r w:rsidRPr="00082846">
        <w:t xml:space="preserve">, brak umowy o wzajemnej pomocy prawnej ze Zjednoczonymi Emiratami Arabskimi sam w sobie nie może stać na przeszkodzie postępowaniu przygotowawczemu prowadzonemu </w:t>
      </w:r>
      <w:r w:rsidR="00444DA0" w:rsidRPr="00082846">
        <w:t>w związku ze zdarzeniami, które</w:t>
      </w:r>
      <w:r w:rsidRPr="00082846">
        <w:t xml:space="preserve"> </w:t>
      </w:r>
      <w:r w:rsidR="00444DA0" w:rsidRPr="00082846">
        <w:t xml:space="preserve">miały </w:t>
      </w:r>
      <w:r w:rsidRPr="00082846">
        <w:t>miejsce w Austrii</w:t>
      </w:r>
      <w:r w:rsidRPr="00076546">
        <w:rPr>
          <w:vertAlign w:val="superscript"/>
        </w:rPr>
        <w:footnoteReference w:id="176"/>
      </w:r>
      <w:r w:rsidRPr="00082846">
        <w:t xml:space="preserve">. W sytuacjach, w których władze kraju pochodzenia </w:t>
      </w:r>
      <w:r w:rsidR="00444DA0" w:rsidRPr="00082846">
        <w:t xml:space="preserve">pokrzywdzonych </w:t>
      </w:r>
      <w:r w:rsidRPr="00082846">
        <w:t xml:space="preserve">lub sprawców handlu ludźmi nie chcą lub nie mogą współpracować z władzami kraju przeznaczenia lub tranzytu, </w:t>
      </w:r>
      <w:r w:rsidR="00444DA0" w:rsidRPr="00082846">
        <w:t xml:space="preserve">władze te </w:t>
      </w:r>
      <w:r w:rsidRPr="00082846">
        <w:t xml:space="preserve">wciąż </w:t>
      </w:r>
      <w:r w:rsidR="00444DA0" w:rsidRPr="00082846">
        <w:t>mają do dyspozycji</w:t>
      </w:r>
      <w:r w:rsidRPr="00082846">
        <w:t xml:space="preserve"> </w:t>
      </w:r>
      <w:r w:rsidR="005C558E">
        <w:t xml:space="preserve">inne </w:t>
      </w:r>
      <w:r w:rsidR="00444DA0" w:rsidRPr="00082846">
        <w:t>prawne możliwości</w:t>
      </w:r>
      <w:r w:rsidRPr="003D7F25">
        <w:t xml:space="preserve"> prowadzenia postępowania przygotowawczego, ścigania, ewentualnego zatrzymania i pociągnięcia do odpowiedzialności domniemanych handlarzy, takie jak narzędzia zwalczania handlu ludźmi udostępniane przez EUROPOL, FRONTE</w:t>
      </w:r>
      <w:r w:rsidR="0067248F">
        <w:t>X</w:t>
      </w:r>
      <w:r w:rsidRPr="003D7F25">
        <w:t xml:space="preserve"> i INTERPOL</w:t>
      </w:r>
      <w:r w:rsidR="00444DA0" w:rsidRPr="003D7F25">
        <w:t xml:space="preserve"> m.in.</w:t>
      </w:r>
      <w:r w:rsidRPr="003D7F25">
        <w:t xml:space="preserve"> komunikat Human Smuggling and Trafficking (HST) (Przemyt ludzi i handel ludźmi) oraz system Notices and Diffusions (Zawiadomień i dystrybucji informacji) INTERPOL-u oraz ewentualnie niebieskie i zielone</w:t>
      </w:r>
      <w:r w:rsidR="00C5196F" w:rsidRPr="003D7F25">
        <w:t xml:space="preserve"> noty</w:t>
      </w:r>
      <w:r w:rsidRPr="003D7F25">
        <w:t xml:space="preserve">. Z żadnych z nich władze krajowe nie skorzystały, mimo </w:t>
      </w:r>
      <w:r w:rsidR="0094589B">
        <w:t>ustalenia</w:t>
      </w:r>
      <w:r w:rsidR="0094589B" w:rsidRPr="0094589B">
        <w:t xml:space="preserve"> </w:t>
      </w:r>
      <w:r w:rsidRPr="0094589B">
        <w:t>tożsamości</w:t>
      </w:r>
      <w:r w:rsidRPr="00082846">
        <w:t xml:space="preserve"> pracodawczyń</w:t>
      </w:r>
      <w:r w:rsidRPr="00076546">
        <w:rPr>
          <w:vertAlign w:val="superscript"/>
        </w:rPr>
        <w:footnoteReference w:id="177"/>
      </w:r>
      <w:r w:rsidRPr="00082846">
        <w:t>. Można było uruchomić krajowe i międzynarodowe systemy ostrzeżeń.</w:t>
      </w:r>
    </w:p>
    <w:p w14:paraId="7149A811" w14:textId="77777777" w:rsidR="00802C80" w:rsidRPr="00082846" w:rsidRDefault="00802C80" w:rsidP="00802C80">
      <w:pPr>
        <w:pStyle w:val="OpiPara"/>
      </w:pPr>
      <w:r w:rsidRPr="00082846">
        <w:t xml:space="preserve">58. </w:t>
      </w:r>
      <w:r w:rsidR="00C5196F" w:rsidRPr="00082846">
        <w:t>Wreszcie</w:t>
      </w:r>
      <w:r w:rsidRPr="00082846">
        <w:t xml:space="preserve"> oskarżycielowi publicznemu nie przysługuje w Austrii żadna uznaniowość co do prowadzenia postępowania karnego, bowiem system austriacki zgodnie z art. 210 k.p.k. rządzi się zasadą legalizmu (przymusu ścigania), nie zaś zasadą oportunizmu (ścigania uznaniowego). Jeżeli zatem istnieją wystarczające </w:t>
      </w:r>
      <w:r w:rsidR="00C5196F" w:rsidRPr="00082846">
        <w:t>przesłanki</w:t>
      </w:r>
      <w:r w:rsidRPr="003D7F25">
        <w:t>, że doszło do popełnienia czynu zabronionego, oskarżyciel publiczny musi wszcząć postępowanie karne, z wyjątkiem przestępstw ściganych z oskarżenia prywatnego, któr</w:t>
      </w:r>
      <w:r w:rsidR="00C5196F" w:rsidRPr="003D7F25">
        <w:t>ych ściganie</w:t>
      </w:r>
      <w:r w:rsidRPr="003D7F25">
        <w:t xml:space="preserve"> </w:t>
      </w:r>
      <w:r w:rsidR="00C5196F" w:rsidRPr="003D7F25">
        <w:t>leży w gestii pokrzywdzonych</w:t>
      </w:r>
      <w:r w:rsidRPr="003D7F25">
        <w:t xml:space="preserve">. </w:t>
      </w:r>
      <w:r w:rsidR="00C5196F" w:rsidRPr="003D7F25">
        <w:t>W</w:t>
      </w:r>
      <w:r w:rsidRPr="003D7F25">
        <w:t xml:space="preserve"> Austrii </w:t>
      </w:r>
      <w:r w:rsidR="00C5196F" w:rsidRPr="0013325B">
        <w:t xml:space="preserve">handel ludźmi jest </w:t>
      </w:r>
      <w:r w:rsidRPr="0013325B">
        <w:t xml:space="preserve">przestępstwem ściganym z oskarżenia publicznego, a oskarżycielom publicznym nie przysługuje żaden margines uznania umożliwiający </w:t>
      </w:r>
      <w:r w:rsidR="00C5196F" w:rsidRPr="0013325B">
        <w:t xml:space="preserve">odstąpienie od </w:t>
      </w:r>
      <w:r w:rsidRPr="0013325B">
        <w:t xml:space="preserve">ścigania tego </w:t>
      </w:r>
      <w:r w:rsidR="00C5196F" w:rsidRPr="0013325B">
        <w:t>przestępstwa</w:t>
      </w:r>
      <w:r w:rsidRPr="00076546">
        <w:rPr>
          <w:vertAlign w:val="superscript"/>
        </w:rPr>
        <w:footnoteReference w:id="178"/>
      </w:r>
      <w:r w:rsidRPr="00082846">
        <w:t>.</w:t>
      </w:r>
    </w:p>
    <w:p w14:paraId="31C17FC6" w14:textId="77777777" w:rsidR="00802C80" w:rsidRPr="0013325B" w:rsidRDefault="00802C80" w:rsidP="00802C80">
      <w:pPr>
        <w:pStyle w:val="OpiPara"/>
      </w:pPr>
      <w:r w:rsidRPr="00082846">
        <w:t xml:space="preserve">59. W mojej ocenie jeden, </w:t>
      </w:r>
      <w:r w:rsidR="00C5196F" w:rsidRPr="00082846">
        <w:t xml:space="preserve">aczkolwiek </w:t>
      </w:r>
      <w:r w:rsidRPr="00082846">
        <w:t>ważny</w:t>
      </w:r>
      <w:r w:rsidR="00C5196F" w:rsidRPr="00082846">
        <w:t>,</w:t>
      </w:r>
      <w:r w:rsidRPr="00082846">
        <w:t xml:space="preserve"> czynnik przemawia </w:t>
      </w:r>
      <w:r w:rsidR="00C5196F" w:rsidRPr="00082846">
        <w:t>za</w:t>
      </w:r>
      <w:r w:rsidRPr="00082846">
        <w:t xml:space="preserve"> </w:t>
      </w:r>
      <w:r w:rsidR="00C5196F" w:rsidRPr="003D7F25">
        <w:t xml:space="preserve">zawieszeniem </w:t>
      </w:r>
      <w:r w:rsidRPr="003D7F25">
        <w:t xml:space="preserve">postępowania — opóźniony kontakt </w:t>
      </w:r>
      <w:r w:rsidR="00C5196F" w:rsidRPr="003D7F25">
        <w:t xml:space="preserve">pokrzywdzonego </w:t>
      </w:r>
      <w:r w:rsidR="00180431">
        <w:t>z </w:t>
      </w:r>
      <w:r w:rsidRPr="003D7F25">
        <w:t xml:space="preserve">władzami krajowymi stanął na przeszkodzie przesłuchaniu domniemanych sprawców i normalnemu rozwojowi postępowania. W marcu 2012 r. postępowanie powinno było zostać zawieszone, nie zaś umorzone, z uwagi na przedłużającą się nieobecność domniemanych sprawców. Tak czy owak postępowanie przygotowawcze może zostać podjęte </w:t>
      </w:r>
      <w:r w:rsidR="00C5196F" w:rsidRPr="003D7F25">
        <w:t xml:space="preserve">na nowo </w:t>
      </w:r>
      <w:r w:rsidRPr="003D7F25">
        <w:t xml:space="preserve">na podstawie art. 197 k.p.k., </w:t>
      </w:r>
      <w:r w:rsidR="00C5196F" w:rsidRPr="003D7F25">
        <w:t>o c</w:t>
      </w:r>
      <w:r w:rsidR="00C5196F" w:rsidRPr="0013325B">
        <w:t xml:space="preserve">zym </w:t>
      </w:r>
      <w:r w:rsidRPr="0013325B">
        <w:t>wspomniano w paragrafie 116 wyroku.</w:t>
      </w:r>
    </w:p>
    <w:p w14:paraId="674FA279" w14:textId="02C01C14" w:rsidR="00802C80" w:rsidRPr="0013325B" w:rsidRDefault="00802C80" w:rsidP="00802C80">
      <w:pPr>
        <w:pStyle w:val="OpiHA0"/>
      </w:pPr>
      <w:bookmarkStart w:id="21" w:name="_Toc535852154"/>
      <w:r w:rsidRPr="0013325B">
        <w:t>VI.</w:t>
      </w:r>
      <w:r w:rsidR="005F47D9">
        <w:t xml:space="preserve"> </w:t>
      </w:r>
      <w:r w:rsidRPr="0013325B">
        <w:t>Konkluzja (paragrafy 60-61)</w:t>
      </w:r>
      <w:bookmarkEnd w:id="21"/>
    </w:p>
    <w:p w14:paraId="7518EA19" w14:textId="77777777" w:rsidR="00802C80" w:rsidRPr="001C5F9D" w:rsidRDefault="00802C80" w:rsidP="00802C80">
      <w:pPr>
        <w:pStyle w:val="OpiPara"/>
      </w:pPr>
      <w:r w:rsidRPr="0013325B">
        <w:t xml:space="preserve">60. Podobnie jak </w:t>
      </w:r>
      <w:r w:rsidR="00C5196F" w:rsidRPr="0013325B">
        <w:t>miała się rzecz w przypadku</w:t>
      </w:r>
      <w:r w:rsidRPr="001C5F9D">
        <w:t xml:space="preserve"> walk</w:t>
      </w:r>
      <w:r w:rsidR="00C5196F" w:rsidRPr="001C5F9D">
        <w:t>i</w:t>
      </w:r>
      <w:r w:rsidRPr="001C5F9D">
        <w:t xml:space="preserve"> z niewolnictwem</w:t>
      </w:r>
      <w:r w:rsidR="00180431">
        <w:t xml:space="preserve"> i </w:t>
      </w:r>
      <w:r w:rsidRPr="001C5F9D">
        <w:t xml:space="preserve">handlem niewolnikami na początku </w:t>
      </w:r>
      <w:r w:rsidR="00C5196F" w:rsidRPr="001C5F9D">
        <w:t xml:space="preserve">XX </w:t>
      </w:r>
      <w:r w:rsidRPr="001C5F9D">
        <w:t>wieku, zwalczanie pracy przymusowej i prowadzonego w jej celu handlu ludźmi znajduje się na szczycie listy priorytetów w obszarze praw człowieka od początku bieżącego stulecia. Austria poczyniła na tym polu znaczące postępy, szczególnie w zakresie wsparcia socjalnego dla ofiar. Austriacki system</w:t>
      </w:r>
      <w:r w:rsidR="00B462CC">
        <w:t xml:space="preserve"> prawa karnego pozostaje jednak</w:t>
      </w:r>
      <w:r w:rsidRPr="001C5F9D">
        <w:t>, mimo reformy z 2013 r.</w:t>
      </w:r>
      <w:r w:rsidR="00C5196F" w:rsidRPr="001C5F9D">
        <w:t xml:space="preserve">, </w:t>
      </w:r>
      <w:r w:rsidR="00D00246">
        <w:t>obarczony</w:t>
      </w:r>
      <w:r w:rsidR="00C5196F" w:rsidRPr="001C5F9D">
        <w:t xml:space="preserve"> wadami.</w:t>
      </w:r>
      <w:r w:rsidRPr="001C5F9D">
        <w:t xml:space="preserve"> Niniejsza sprawa może i powinna stanowić nowy </w:t>
      </w:r>
      <w:r w:rsidR="00C5196F" w:rsidRPr="001C5F9D">
        <w:t xml:space="preserve">asumpt </w:t>
      </w:r>
      <w:r w:rsidRPr="001C5F9D">
        <w:t xml:space="preserve">do </w:t>
      </w:r>
      <w:r w:rsidR="00C5196F" w:rsidRPr="001C5F9D">
        <w:t xml:space="preserve">przeprowadzenia </w:t>
      </w:r>
      <w:r w:rsidRPr="001C5F9D">
        <w:t>reformy ustawodawstwa.</w:t>
      </w:r>
    </w:p>
    <w:p w14:paraId="57D9C1BC" w14:textId="77777777" w:rsidR="00802C80" w:rsidRPr="003D7F25" w:rsidRDefault="00802C80" w:rsidP="00802C80">
      <w:pPr>
        <w:pStyle w:val="OpiPara"/>
      </w:pPr>
      <w:r w:rsidRPr="001C5F9D">
        <w:t>61. Ofiary zostały rze</w:t>
      </w:r>
      <w:r w:rsidRPr="001F0818">
        <w:t xml:space="preserve">komo zmuszone do pracy w Austrii i poza jej granicami oraz przetransportowane w tym celu na terytorium Austrii. Władze austriackie fakt ten kwestionowały, niemniej zapewniły ofiarom wsparcie socjalne w taki sposób, jak gdyby były one ofiarami handlu ludźmi. To sprzeczne stanowisko jest </w:t>
      </w:r>
      <w:r w:rsidR="00C5196F" w:rsidRPr="001F0818">
        <w:t xml:space="preserve">przejawem </w:t>
      </w:r>
      <w:r w:rsidRPr="001F0818">
        <w:t>mocnych i słabych stron austriackiego systemu — skutecznego w o</w:t>
      </w:r>
      <w:r w:rsidR="00180431">
        <w:t>chronie ofiar, nieskutecznego w </w:t>
      </w:r>
      <w:r w:rsidRPr="001F0818">
        <w:t>karaniu sprawców</w:t>
      </w:r>
      <w:r w:rsidRPr="00076546">
        <w:rPr>
          <w:vertAlign w:val="superscript"/>
        </w:rPr>
        <w:footnoteReference w:id="179"/>
      </w:r>
      <w:r w:rsidRPr="00082846">
        <w:t xml:space="preserve">. Ostatecznie władze krajowe w niniejszej sprawie nie wywiązały się z pełnego wyjaśnienia inkryminowanych </w:t>
      </w:r>
      <w:r w:rsidR="00C5196F" w:rsidRPr="00082846">
        <w:t>zdarzeń</w:t>
      </w:r>
      <w:r w:rsidR="00180431">
        <w:t>, a w </w:t>
      </w:r>
      <w:r w:rsidR="00C5196F" w:rsidRPr="00082846">
        <w:t>konsekwencji z</w:t>
      </w:r>
      <w:r w:rsidRPr="00082846">
        <w:t xml:space="preserve"> pociągnięcia sprawców do odpowiedzialności. Za to jednak znaczącą odpowiedzialność ponoszą również skarżące w świetle zwłoki w kontakcie z władzami krajowymi. W danym czasie i w danych okolicznościach sprawy niewiele więcej można było zrobić poza uruchomieniem krajowych i międzynarodowych systemów ostrzegawczych. Z tego też powodu byłem w stanie oddać głos za </w:t>
      </w:r>
      <w:r w:rsidR="00C5196F" w:rsidRPr="00082846">
        <w:t xml:space="preserve">rozstrzygnięciem </w:t>
      </w:r>
      <w:r w:rsidRPr="00082846">
        <w:t>o braku naruszenia.</w:t>
      </w:r>
      <w:bookmarkEnd w:id="3"/>
    </w:p>
    <w:p w14:paraId="57EA1E7D" w14:textId="77777777" w:rsidR="00802C80" w:rsidRPr="003D7F25" w:rsidRDefault="00802C80" w:rsidP="00802C80">
      <w:pPr>
        <w:pStyle w:val="OpiPara"/>
      </w:pPr>
    </w:p>
    <w:p w14:paraId="4BA08F68" w14:textId="77777777" w:rsidR="00676A1E" w:rsidRPr="003D7F25" w:rsidRDefault="00676A1E" w:rsidP="00802C80"/>
    <w:sectPr w:rsidR="00676A1E" w:rsidRPr="003D7F25" w:rsidSect="00F85BC4">
      <w:headerReference w:type="even" r:id="rId24"/>
      <w:headerReference w:type="default" r:id="rId25"/>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3B14E8" w14:textId="77777777" w:rsidR="00ED2DF9" w:rsidRDefault="00ED2DF9" w:rsidP="00014566">
      <w:r>
        <w:separator/>
      </w:r>
    </w:p>
  </w:endnote>
  <w:endnote w:type="continuationSeparator" w:id="0">
    <w:p w14:paraId="1387F386" w14:textId="77777777" w:rsidR="00ED2DF9" w:rsidRDefault="00ED2DF9" w:rsidP="00014566">
      <w:r>
        <w:continuationSeparator/>
      </w:r>
    </w:p>
  </w:endnote>
  <w:endnote w:type="continuationNotice" w:id="1">
    <w:p w14:paraId="58B5B653" w14:textId="77777777" w:rsidR="00ED2DF9" w:rsidRDefault="00ED2D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Arial">
    <w:panose1 w:val="020B0604020202020204"/>
    <w:charset w:val="EE"/>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EF2C54" w14:textId="77777777" w:rsidR="004F24F5" w:rsidRDefault="004F24F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C241CE" w14:textId="77777777" w:rsidR="004F24F5" w:rsidRDefault="004F24F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5F78BE" w14:textId="77777777" w:rsidR="004F24F5" w:rsidRPr="00150BFA" w:rsidRDefault="004F24F5" w:rsidP="005F07FA">
    <w:pPr>
      <w:jc w:val="center"/>
    </w:pPr>
    <w:r>
      <w:rPr>
        <w:noProof/>
        <w:lang w:eastAsia="pl-PL"/>
      </w:rPr>
      <w:drawing>
        <wp:inline distT="0" distB="0" distL="0" distR="0" wp14:anchorId="6EAC3C2F" wp14:editId="608DC07F">
          <wp:extent cx="771525" cy="619125"/>
          <wp:effectExtent l="0" t="0" r="9525" b="9525"/>
          <wp:docPr id="6" name="Picture 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DA7FC06" w14:textId="77777777" w:rsidR="004F24F5" w:rsidRDefault="004F24F5">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8A2024" w14:textId="77777777" w:rsidR="004F24F5" w:rsidRPr="00150BFA" w:rsidRDefault="004F24F5" w:rsidP="005F07FA">
    <w:pPr>
      <w:jc w:val="center"/>
    </w:pPr>
  </w:p>
  <w:p w14:paraId="68FFDC84" w14:textId="77777777" w:rsidR="004F24F5" w:rsidRDefault="004F24F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0F2942" w14:textId="77777777" w:rsidR="00ED2DF9" w:rsidRDefault="00ED2DF9" w:rsidP="00014566">
      <w:r>
        <w:separator/>
      </w:r>
    </w:p>
  </w:footnote>
  <w:footnote w:type="continuationSeparator" w:id="0">
    <w:p w14:paraId="066F54AE" w14:textId="77777777" w:rsidR="00ED2DF9" w:rsidRDefault="00ED2DF9" w:rsidP="00014566">
      <w:r>
        <w:continuationSeparator/>
      </w:r>
    </w:p>
  </w:footnote>
  <w:footnote w:type="continuationNotice" w:id="1">
    <w:p w14:paraId="219E4FAD" w14:textId="77777777" w:rsidR="00ED2DF9" w:rsidRDefault="00ED2DF9"/>
  </w:footnote>
  <w:footnote w:id="2">
    <w:p w14:paraId="69AA5522" w14:textId="77777777" w:rsidR="004F24F5" w:rsidRPr="00115A7F" w:rsidRDefault="004F24F5" w:rsidP="00802C80">
      <w:pPr>
        <w:pStyle w:val="Tekstprzypisudolnego"/>
        <w:rPr>
          <w:rFonts w:ascii="Times New Roman" w:hAnsi="Times New Roman" w:cs="Times New Roman"/>
        </w:rPr>
      </w:pPr>
      <w:r w:rsidRPr="00115A7F">
        <w:rPr>
          <w:rStyle w:val="Odwoanieprzypisudolnego"/>
          <w:rFonts w:ascii="Times New Roman" w:hAnsi="Times New Roman" w:cs="Times New Roman"/>
        </w:rPr>
        <w:footnoteRef/>
      </w:r>
      <w:r w:rsidRPr="00115A7F">
        <w:rPr>
          <w:rFonts w:ascii="Times New Roman" w:hAnsi="Times New Roman"/>
        </w:rPr>
        <w:t xml:space="preserve"> W niniejszej opinii nie podjęto poszczególnych kwestii zmuszania do prostytucji i prowadzonego w tym celu handlu ludźmi. W tym zakresie należy zapoznać się z Konwencją międzynarodową z 1904 r. o zwalczaniu handlu białymi niewolnikami, zmienioną w 1910 r., wraz z Protokołem z 1949 r.; Międzynarodową Konwencją z 1921 r. o zwalczaniu handlu kobietami i dziećmi wraz z Protokołem z 1947 r.; Konwencją międzynarodową z 1933 r. dotyczącą zwalczania handlu kobietami pełnoletnimi; Konwencją z 1949 r. w sprawie zwalczania handlu ludźmi i eksploatacji prostytucji; Konwencją ONZ z 1979 r. w sprawie likwidacji wszelkich form dyskryminacji kobiet (art. 6) oraz Konwencją Południowoazjatyckiego Stowarzyszenia Współpracy Regionalnej w sprawie zapobiegania i zwalczania handlu kobietami i dziećmi w celu prostytucji.</w:t>
      </w:r>
    </w:p>
  </w:footnote>
  <w:footnote w:id="3">
    <w:p w14:paraId="4690D6B6" w14:textId="77777777" w:rsidR="004F24F5" w:rsidRPr="00115A7F" w:rsidRDefault="004F24F5" w:rsidP="00802C80">
      <w:pPr>
        <w:pStyle w:val="Tekstprzypisudolnego"/>
        <w:rPr>
          <w:rFonts w:ascii="Times New Roman" w:hAnsi="Times New Roman" w:cs="Times New Roman"/>
        </w:rPr>
      </w:pPr>
      <w:r w:rsidRPr="00115A7F">
        <w:rPr>
          <w:rStyle w:val="Odwoanieprzypisudolnego"/>
          <w:rFonts w:ascii="Times New Roman" w:hAnsi="Times New Roman" w:cs="Times New Roman"/>
        </w:rPr>
        <w:footnoteRef/>
      </w:r>
      <w:r w:rsidRPr="00115A7F">
        <w:rPr>
          <w:rFonts w:ascii="Times New Roman" w:hAnsi="Times New Roman"/>
        </w:rPr>
        <w:t xml:space="preserve"> Biuro Narodów Zjednoczonych ds. narkotyków i przestępczości (UNODC), Światowy raport nt. handlu ludźmi z 2014 r., s. 12; Raport Specjalnego Sprawozdawcy ONZ ds. współczesnych form niewolnictwa, w tym jego przyczyn i konsekwencji, Urmila Bhoola, 8 lipca 2015 r., A/HRC/30/35; Globalne oszacowanie pracy przymusowej — wyniki i metodologia (Global Estimate of Forced Labour, Results and Methodology) MOP, 2012 r.</w:t>
      </w:r>
    </w:p>
  </w:footnote>
  <w:footnote w:id="4">
    <w:p w14:paraId="3D89EA65" w14:textId="77777777" w:rsidR="004F24F5" w:rsidRPr="00281991" w:rsidRDefault="004F24F5" w:rsidP="00802C80">
      <w:pPr>
        <w:pStyle w:val="Tekstprzypisudolnego"/>
        <w:rPr>
          <w:rFonts w:ascii="Times New Roman" w:hAnsi="Times New Roman" w:cs="Times New Roman"/>
        </w:rPr>
      </w:pPr>
      <w:r w:rsidRPr="00115A7F">
        <w:rPr>
          <w:rStyle w:val="Odwoanieprzypisudolnego"/>
          <w:rFonts w:ascii="Times New Roman" w:hAnsi="Times New Roman" w:cs="Times New Roman"/>
        </w:rPr>
        <w:footnoteRef/>
      </w:r>
      <w:r w:rsidRPr="00115A7F">
        <w:rPr>
          <w:rFonts w:ascii="Times New Roman" w:hAnsi="Times New Roman"/>
        </w:rPr>
        <w:t xml:space="preserve"> Konwencja w sprawie niewolnictwa została podpisana w Genewie dnia 25 września 1926 r. i weszła w życie dnia 9 marca 1927 r. Została ona zmieniona Protokołem z dnia 7 grudnia 1953 r., który wszedł w życie dnia 7 lipca 1955 r. Należy do niej 99 stron.</w:t>
      </w:r>
    </w:p>
  </w:footnote>
  <w:footnote w:id="5">
    <w:p w14:paraId="6EF1FC35"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Uzupełniająca konwencja w sprawie zniesienia niewolnictwa, handlu ludźmi oraz instytucji i praktyk zbliżonych do niewolnictwa została przyjęta przez Konferencję Pełnomocników zwołaną Rezolucją Rady Gospodarczej i Społecznej nr 608(XXI) z dnia 30 kwietnia 1956 r., sporządzona w Genewie dnia 7 września 1956 r., weszła w życie dnia 30 kwietnia 1957 r. Należą do niej 123 strony, w tym Austria (7 października 1963 r.).</w:t>
      </w:r>
    </w:p>
  </w:footnote>
  <w:footnote w:id="6">
    <w:p w14:paraId="54655D16" w14:textId="1F01D3A8" w:rsidR="004F24F5" w:rsidRPr="00281991" w:rsidRDefault="004F24F5" w:rsidP="00802C80">
      <w:pPr>
        <w:autoSpaceDE w:val="0"/>
        <w:autoSpaceDN w:val="0"/>
        <w:adjustRightInd w:val="0"/>
        <w:rPr>
          <w:rFonts w:ascii="Times New Roman" w:hAnsi="Times New Roman" w:cs="Times New Roman"/>
          <w:sz w:val="20"/>
          <w:szCs w:val="20"/>
        </w:rPr>
      </w:pPr>
      <w:r>
        <w:rPr>
          <w:rStyle w:val="Odwoanieprzypisudolnego"/>
          <w:rFonts w:ascii="Times New Roman" w:hAnsi="Times New Roman" w:cs="Times New Roman"/>
          <w:sz w:val="20"/>
          <w:szCs w:val="20"/>
        </w:rPr>
        <w:footnoteRef/>
      </w:r>
      <w:r>
        <w:rPr>
          <w:rFonts w:ascii="Times New Roman" w:hAnsi="Times New Roman"/>
          <w:sz w:val="20"/>
          <w:szCs w:val="20"/>
        </w:rPr>
        <w:t xml:space="preserve"> Konwencja MOP nr 29 została przyjęta w Genewie na 14. sesji KPM (28 czerwca 1930 r.), weszła w życie dnia 1 maja 1932 r. Ma ona 139 ratyfikacji, w tym przez Austrię (7 czerwca 1960 r.). Protokół do Konwencji o zniesieniu pracy przymusowej został przyjęty w Genewie na 103. sesji KPM (11 czerwca 2014 r.), wszedł w życie dnia 9 listopada 2016 r. Ma on 10 ratyfikacji. Zob. także Zalecenie nr 203 z dnia 11 czerwca 2014 r. dotyczące środków uzupełniających na rzecz skutecznej likwidacji pracy przymusowej.</w:t>
      </w:r>
    </w:p>
  </w:footnote>
  <w:footnote w:id="7">
    <w:p w14:paraId="4FB0FB1E"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Konwencja MOP nr 105 została przyjęta w Genewie na 40. sesji KPM (25 czerwca 1957 r.), weszła w życie dnia 17 stycznia 1959 r. Ma ona 175 ratyfikacji, w tym przez Austrię (5 marca 1958 r.).</w:t>
      </w:r>
    </w:p>
  </w:footnote>
  <w:footnote w:id="8">
    <w:p w14:paraId="539E9DD7"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Konwencja o morzu pełnym została otwarta do podpisów dnia 29 kwietnia 1958 r., weszła w życie dnia 30 września 1962 r. Należą do niej 63 strony, w tym Austria (10 stycznia 1974 r.). </w:t>
      </w:r>
    </w:p>
  </w:footnote>
  <w:footnote w:id="9">
    <w:p w14:paraId="071A292F"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Konwencja Amerykańska została przyjęta w San José, Kostaryka, dnia 22 listopada 1969 r., weszła w życie dnia 18 lipca 1978 r. Ma ona 25 ratyfikacji, jednak dwa Państwa wypowiedziały Konwencję.</w:t>
      </w:r>
    </w:p>
  </w:footnote>
  <w:footnote w:id="10">
    <w:p w14:paraId="11AAAF04" w14:textId="242183D7" w:rsidR="004F24F5" w:rsidRPr="008F0402"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Protokół został przyjęty przez Konferencję Dyplomatyczną w sprawie potwierdzenia i rozwoju międzynarodowego prawa humanitarnego konfliktów zbrojnych w Genewie dnia 8 czerwca 1977 r., wszedł w życie dnia 7 grudnia 1978 r. Został on ratyfikowany przez 168 państw, w tym Austrię (13 sierpnia 1982 r.).</w:t>
      </w:r>
    </w:p>
  </w:footnote>
  <w:footnote w:id="11">
    <w:p w14:paraId="5C08F61B"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Karta została przyjęta przez osiemnaste Zgromadzenie Głów Państw i Rządów Organizacji Jedności Afrykańskiej w Nairobi w Kenii w czerwcu 1981 r., weszła w życie 21 października 1986 r. Ma ona 54 ratyfikacji. </w:t>
      </w:r>
    </w:p>
  </w:footnote>
  <w:footnote w:id="12">
    <w:p w14:paraId="5ED658DA"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Konwencja o prawie morza została przyjęta przez Trzecią Konferencję Narodów Zjednoczonych Prawa Morza i otwarta do podpisów dnia 10 grudnia 1982 r. w Montego Bay, Jamajka, weszła w życie dnia 16 listopada 1994 r. Należy do niej 166 stron, w tym Austria (14 lipca 1995 r.).</w:t>
      </w:r>
    </w:p>
  </w:footnote>
  <w:footnote w:id="13">
    <w:p w14:paraId="601B8460"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KPD została przyjęta przez Zgromadzenie Ogólne ONZ dnia 20 listopada 1989 r., weszła w życie dnia 2 września 1990 r. Jej stronami jest 196 państw, w tym Austria (6 sierpnia 1992 r.).</w:t>
      </w:r>
    </w:p>
  </w:footnote>
  <w:footnote w:id="14">
    <w:p w14:paraId="1AB24745"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MKoOPWPM została przyjęta rezolucją Zgromadzenia Ogólnego nr 45/158 z dnia 18 grudnia 1990 r., weszła w życie dnia 1 lipca 2003 r. Należy do niej 49 stron.</w:t>
      </w:r>
    </w:p>
  </w:footnote>
  <w:footnote w:id="15">
    <w:p w14:paraId="4464E73A"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Karta Afrykańska została przyjęta dnia 11 lipca 1990 r. i weszła w życie dnia 29 listopada 1999 r. Należy do niej 47 stron.</w:t>
      </w:r>
    </w:p>
  </w:footnote>
  <w:footnote w:id="16">
    <w:p w14:paraId="6E0768A5"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Międzyamerykańska konwencja o międzynarodowym handlu nieletnimi została przyjęta w Meksyku, D.F., Meksyk., dnia 18 marca 1994 r. w trakcie Piątej Międzyamerykańskiej Konferencji Specjalistycznej Międzynarodowego Prawa Prywatnego, weszła w życie dnia 8 sierpnia 1997 r. Należy do niej 15 stron.</w:t>
      </w:r>
    </w:p>
  </w:footnote>
  <w:footnote w:id="17">
    <w:p w14:paraId="2D467435"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Konwencja WNP została przyjęta dnia 26 maja 1995 r. i została od tego czasu ratyfikowana przez Białoruś, Kirgistan, Federację Rosyjską i Tadżykistan. Weszła w życie dnia 11 sierpnia 1998 r.</w:t>
      </w:r>
    </w:p>
  </w:footnote>
  <w:footnote w:id="18">
    <w:p w14:paraId="02E4EF3F"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Została ona przyjęta w trakcie konferencji dyplomatycznej w Rzymie dnia 17 lipca 1998 r., weszła w życie dnia 1 lipca 2002 r. Należą do niej 124 Państwa-Strony, w tym Austria (28 grudnia 2000 r.).</w:t>
      </w:r>
    </w:p>
  </w:footnote>
  <w:footnote w:id="19">
    <w:p w14:paraId="23BAFD22"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Konwencja MOP nr 182 została przyjęta w Genewie na 87. sesji KPM (17 czerwca 1999 r.), weszła w życie dnia 19 listopada 2000 r. Ma ona 180 ratyfikacji, w tym przez Austrię (4 grudnia 2001 r.).</w:t>
      </w:r>
    </w:p>
  </w:footnote>
  <w:footnote w:id="20">
    <w:p w14:paraId="578DD280"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Przyjęta rezolucją A/RES/55/25 z dnia 15 listopada 2000 r., weszła w życie dnia 25 grudnia 2003 r. Należy do niej 170 stron, w tym skarżone Państwo (15 września 2005 r.).</w:t>
      </w:r>
    </w:p>
  </w:footnote>
  <w:footnote w:id="21">
    <w:p w14:paraId="76D15E79" w14:textId="34CB953D"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Protokół został przyjęty przez Zgromadzenie Ogólne ONZ dnia 25 marca 2000 r., wszedł w życie dnia 18 stycznia 2002 r. Jego stronami są 173 Państwa, w tym Austria (6 maja 2004 r.).</w:t>
      </w:r>
    </w:p>
  </w:footnote>
  <w:footnote w:id="22">
    <w:p w14:paraId="59225053"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Ogłoszona na Radzie Europejskiej w Nicei dnia 7 grudnia 2000 r. W owym czasie nie miała ona żadnej wiążącej mocy prawnej. Dnia 1 grudnia 2009 r., z wejściem w życie traktatu lizbońskiego, Karta stała się wiążąca prawnie dla instytucji UE i rządów krajowych, w tym austriackiego.</w:t>
      </w:r>
    </w:p>
  </w:footnote>
  <w:footnote w:id="23">
    <w:p w14:paraId="14707079" w14:textId="01291F9A"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Druga, zaktualizowana wersja Karty Arabskiej została przyjęta dnia 22 maja 2004 r. i weszła w życie dnia 15 marca 2008 r. Ma ona 12 Państw-Stron. Jest do wydanie zmienione pierwszej Karty z dnia 15 września 1994 r. </w:t>
      </w:r>
    </w:p>
  </w:footnote>
  <w:footnote w:id="24">
    <w:p w14:paraId="38979026" w14:textId="77777777" w:rsidR="004F24F5" w:rsidRPr="00281991" w:rsidRDefault="004F24F5" w:rsidP="00802C80">
      <w:pPr>
        <w:autoSpaceDE w:val="0"/>
        <w:autoSpaceDN w:val="0"/>
        <w:adjustRightInd w:val="0"/>
        <w:rPr>
          <w:rFonts w:ascii="Times New Roman" w:hAnsi="Times New Roman" w:cs="Times New Roman"/>
          <w:sz w:val="20"/>
          <w:szCs w:val="20"/>
        </w:rPr>
      </w:pPr>
      <w:r>
        <w:rPr>
          <w:rStyle w:val="Odwoanieprzypisudolnego"/>
          <w:rFonts w:ascii="Times New Roman" w:hAnsi="Times New Roman" w:cs="Times New Roman"/>
          <w:sz w:val="20"/>
          <w:szCs w:val="20"/>
        </w:rPr>
        <w:footnoteRef/>
      </w:r>
      <w:r>
        <w:rPr>
          <w:rFonts w:ascii="Times New Roman" w:hAnsi="Times New Roman"/>
          <w:sz w:val="20"/>
          <w:szCs w:val="20"/>
        </w:rPr>
        <w:t xml:space="preserve"> CETS nr 197. Przyjęta przez Komitet Ministrów (KM) Rady Europy dnia 3 maja 2005 r., weszła w życie dnia 1 lutego 2008 r. Należy do niej 46 stron, w tym skarżone Państwo. </w:t>
      </w:r>
    </w:p>
  </w:footnote>
  <w:footnote w:id="25">
    <w:p w14:paraId="2981D281"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KoPON została przyjęta przez Zgromadzenie Ogólne ONZ dnia 13 grudnia 2006 r., weszła w życie dnia 3 maja 2008 r. Ma ona 172 Państw-Stron.</w:t>
      </w:r>
    </w:p>
  </w:footnote>
  <w:footnote w:id="26">
    <w:p w14:paraId="74756A63" w14:textId="77777777" w:rsidR="004F24F5" w:rsidRPr="002343AA"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Konwencja Unii Afrykańskiej została przyjęta dnia 23 października 2009 r. i weszła w życie dnia 6 grudnia 2012 r. Ratyfikowało ją 25 państw. </w:t>
      </w:r>
    </w:p>
  </w:footnote>
  <w:footnote w:id="27">
    <w:p w14:paraId="577F5BC3"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Konwencja MOP nr 189 została przyjęta w Genewie na 100. sesji KPM (16 czerwca 2011 r.), weszła w życie dnia 5 września 2013 r. Ma ona 23 ratyfikacji.</w:t>
      </w:r>
    </w:p>
  </w:footnote>
  <w:footnote w:id="28">
    <w:p w14:paraId="4BF03529" w14:textId="21AE13A4"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Konwencja ASEAN została przyjęta w Kuala Lampur dnia 21 listopada 2015 r. i nie weszła jeszcze w życie. Zob. także: Deklaracja ASEAN z 2004 r. przeciwko handlowi ludźmi, zwłaszcza kobietami i dziećmi; </w:t>
      </w:r>
      <w:r>
        <w:rPr>
          <w:rFonts w:ascii="Times New Roman" w:hAnsi="Times New Roman"/>
          <w:i/>
          <w:iCs/>
        </w:rPr>
        <w:t>Criminal Justice Responses to Trafficking in Persons:</w:t>
      </w:r>
      <w:r>
        <w:rPr>
          <w:rFonts w:ascii="Times New Roman" w:hAnsi="Times New Roman"/>
        </w:rPr>
        <w:t xml:space="preserve"> </w:t>
      </w:r>
      <w:r>
        <w:rPr>
          <w:rFonts w:ascii="Times New Roman" w:hAnsi="Times New Roman"/>
          <w:i/>
          <w:iCs/>
        </w:rPr>
        <w:t>Ending Impunity for Traffickers and Securing Justice for Victims</w:t>
      </w:r>
      <w:r>
        <w:rPr>
          <w:rFonts w:ascii="Times New Roman" w:hAnsi="Times New Roman"/>
        </w:rPr>
        <w:t xml:space="preserve"> (Odpowiedź wymiaru sprawiedliwości na handel ludźmi: koniec bezkarności handlarzy, sprawiedliwość dla ofiar) (Wytyczne Praktyki ASEAN), 2007.</w:t>
      </w:r>
    </w:p>
  </w:footnote>
  <w:footnote w:id="29">
    <w:p w14:paraId="59344042"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MOP, Sprawozdanie i projekt ankiety na temat pracy przymusowej, pozycja III porządku obrad, Międzynarodowa Konferencja Pracy, 12. sesja, 1929 r. (Genewa), cyt. za </w:t>
      </w:r>
      <w:r>
        <w:rPr>
          <w:rFonts w:ascii="Times New Roman" w:hAnsi="Times New Roman"/>
          <w:i/>
          <w:iCs/>
        </w:rPr>
        <w:t>Forced Labour:</w:t>
      </w:r>
      <w:r>
        <w:rPr>
          <w:rFonts w:ascii="Times New Roman" w:hAnsi="Times New Roman"/>
        </w:rPr>
        <w:t xml:space="preserve"> </w:t>
      </w:r>
      <w:r>
        <w:rPr>
          <w:rFonts w:ascii="Times New Roman" w:hAnsi="Times New Roman"/>
          <w:i/>
          <w:iCs/>
        </w:rPr>
        <w:t>A Selective ILO Bibliography 1919–2005</w:t>
      </w:r>
      <w:r>
        <w:rPr>
          <w:rFonts w:ascii="Times New Roman" w:hAnsi="Times New Roman"/>
        </w:rPr>
        <w:t>.</w:t>
      </w:r>
    </w:p>
  </w:footnote>
  <w:footnote w:id="30">
    <w:p w14:paraId="44920010"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Kompetencje te nie zostały doprecyzowane, </w:t>
      </w:r>
      <w:r w:rsidRPr="0096762D">
        <w:rPr>
          <w:rFonts w:ascii="Times New Roman" w:hAnsi="Times New Roman"/>
          <w:i/>
        </w:rPr>
        <w:t>Vide</w:t>
      </w:r>
      <w:r>
        <w:rPr>
          <w:rFonts w:ascii="Times New Roman" w:hAnsi="Times New Roman"/>
        </w:rPr>
        <w:t xml:space="preserve"> jednak Rada Ekonomiczna i Społeczna Narodów Zjednoczonych, </w:t>
      </w:r>
      <w:r>
        <w:rPr>
          <w:rFonts w:ascii="Times New Roman" w:hAnsi="Times New Roman"/>
          <w:i/>
          <w:iCs/>
        </w:rPr>
        <w:t>Slavery, the slave trade and other forms of servitude</w:t>
      </w:r>
      <w:r>
        <w:rPr>
          <w:rFonts w:ascii="Times New Roman" w:hAnsi="Times New Roman"/>
        </w:rPr>
        <w:t xml:space="preserve"> (Niewolnictwo, handel niewolnikami i inne formy poddaństwa), Raport Sekretarza Generalnego, 27 stycznia 1953 r. E/2357, s. 28.</w:t>
      </w:r>
    </w:p>
  </w:footnote>
  <w:footnote w:id="31">
    <w:p w14:paraId="301948B8" w14:textId="77777777" w:rsidR="004F24F5" w:rsidRPr="00076546" w:rsidRDefault="004F24F5" w:rsidP="00802C80">
      <w:pPr>
        <w:pStyle w:val="Tekstprzypisudolnego"/>
        <w:rPr>
          <w:rFonts w:ascii="Times New Roman" w:hAnsi="Times New Roman" w:cs="Times New Roman"/>
          <w:lang w:val="en-US"/>
        </w:rPr>
      </w:pPr>
      <w:r>
        <w:rPr>
          <w:rStyle w:val="Odwoanieprzypisudolnego"/>
          <w:rFonts w:ascii="Times New Roman" w:hAnsi="Times New Roman" w:cs="Times New Roman"/>
        </w:rPr>
        <w:footnoteRef/>
      </w:r>
      <w:r>
        <w:rPr>
          <w:rFonts w:ascii="Times New Roman" w:hAnsi="Times New Roman"/>
        </w:rPr>
        <w:t xml:space="preserve"> Nowe pojęcie poddaństwa nie zostało zdefiniowane ani w UDPC, ani w MPPOiP. Ustawa modelowa przeciwko handlowi ludźmi UNODC z 2009 r. (s. 18) proponuje jego rozumienie jako: „warunków pracy lub zobowiązania do niej albo do świadczenia usług, których zainteresowana osoba nie może uniknąć ani zmienić”. </w:t>
      </w:r>
      <w:r w:rsidRPr="0096762D">
        <w:rPr>
          <w:rFonts w:ascii="Times New Roman" w:hAnsi="Times New Roman"/>
          <w:i/>
          <w:lang w:val="en-US"/>
        </w:rPr>
        <w:t>Vide</w:t>
      </w:r>
      <w:r w:rsidRPr="00076546">
        <w:rPr>
          <w:rFonts w:ascii="Times New Roman" w:hAnsi="Times New Roman"/>
          <w:lang w:val="en-US"/>
        </w:rPr>
        <w:t xml:space="preserve"> Jean Allain, </w:t>
      </w:r>
      <w:r w:rsidRPr="00076546">
        <w:rPr>
          <w:rFonts w:ascii="Times New Roman" w:hAnsi="Times New Roman"/>
          <w:i/>
          <w:iCs/>
          <w:lang w:val="en-US"/>
        </w:rPr>
        <w:t>Slavery in International Law of Human Exploitation and Trafficking</w:t>
      </w:r>
      <w:r w:rsidRPr="00076546">
        <w:rPr>
          <w:rFonts w:ascii="Times New Roman" w:hAnsi="Times New Roman"/>
          <w:lang w:val="en-US"/>
        </w:rPr>
        <w:t>, Leiden, 2013, s. 143-202.</w:t>
      </w:r>
    </w:p>
  </w:footnote>
  <w:footnote w:id="32">
    <w:p w14:paraId="55078BB1" w14:textId="77777777" w:rsidR="004F24F5" w:rsidRPr="00076546" w:rsidRDefault="004F24F5" w:rsidP="00802C80">
      <w:pPr>
        <w:pStyle w:val="Tekstprzypisudolnego"/>
        <w:rPr>
          <w:rFonts w:ascii="Times New Roman" w:hAnsi="Times New Roman" w:cs="Times New Roman"/>
          <w:lang w:val="fr-FR"/>
        </w:rPr>
      </w:pPr>
      <w:r>
        <w:rPr>
          <w:rStyle w:val="Odwoanieprzypisudolnego"/>
          <w:rFonts w:ascii="Times New Roman" w:hAnsi="Times New Roman" w:cs="Times New Roman"/>
        </w:rPr>
        <w:footnoteRef/>
      </w:r>
      <w:r w:rsidRPr="00076546">
        <w:rPr>
          <w:rFonts w:ascii="Times New Roman" w:hAnsi="Times New Roman"/>
          <w:lang w:val="fr-FR"/>
        </w:rPr>
        <w:t xml:space="preserve"> Jean Allain, </w:t>
      </w:r>
      <w:r w:rsidRPr="00076546">
        <w:rPr>
          <w:rFonts w:ascii="Times New Roman" w:hAnsi="Times New Roman"/>
          <w:i/>
          <w:iCs/>
          <w:lang w:val="fr-FR"/>
        </w:rPr>
        <w:t>op.cit.</w:t>
      </w:r>
      <w:r w:rsidRPr="00076546">
        <w:rPr>
          <w:rFonts w:ascii="Times New Roman" w:hAnsi="Times New Roman"/>
          <w:lang w:val="fr-FR"/>
        </w:rPr>
        <w:t xml:space="preserve">, s. 251. </w:t>
      </w:r>
    </w:p>
  </w:footnote>
  <w:footnote w:id="33">
    <w:p w14:paraId="1D86DEC5" w14:textId="2E343300"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Osobliwe sformułowanie: „niezależnie od tego, czy mieszczą się one w definicji niewolnictwa zawartej w artykule 1 Konwencji w sprawie niewolnictwa” pozostawiło nierozstrzygniętą kwestię intencji autorów Konwencji w sprawie niewolnictwa co do objęcia tych czterech nowo wymienionych praktyk pojęciem niewolnictwa. </w:t>
      </w:r>
    </w:p>
  </w:footnote>
  <w:footnote w:id="34">
    <w:p w14:paraId="5A1CDA65" w14:textId="77777777" w:rsidR="004F24F5" w:rsidRPr="00281991" w:rsidRDefault="004F24F5" w:rsidP="00802C80">
      <w:pPr>
        <w:autoSpaceDE w:val="0"/>
        <w:autoSpaceDN w:val="0"/>
        <w:adjustRightInd w:val="0"/>
        <w:rPr>
          <w:rFonts w:ascii="Times New Roman" w:hAnsi="Times New Roman" w:cs="Times New Roman"/>
          <w:sz w:val="20"/>
          <w:szCs w:val="20"/>
        </w:rPr>
      </w:pPr>
      <w:r>
        <w:rPr>
          <w:rStyle w:val="Odwoanieprzypisudolnego"/>
          <w:rFonts w:ascii="Times New Roman" w:hAnsi="Times New Roman" w:cs="Times New Roman"/>
          <w:sz w:val="20"/>
          <w:szCs w:val="20"/>
        </w:rPr>
        <w:footnoteRef/>
      </w:r>
      <w:r>
        <w:rPr>
          <w:rFonts w:ascii="Times New Roman" w:hAnsi="Times New Roman"/>
          <w:sz w:val="20"/>
          <w:szCs w:val="20"/>
        </w:rPr>
        <w:t xml:space="preserve"> Ustawa modelowa UNODC, </w:t>
      </w:r>
      <w:r>
        <w:rPr>
          <w:rFonts w:ascii="Times New Roman" w:hAnsi="Times New Roman"/>
          <w:i/>
          <w:iCs/>
          <w:sz w:val="20"/>
          <w:szCs w:val="20"/>
        </w:rPr>
        <w:t>ibid.</w:t>
      </w:r>
      <w:r>
        <w:rPr>
          <w:rFonts w:ascii="Times New Roman" w:hAnsi="Times New Roman"/>
          <w:sz w:val="20"/>
          <w:szCs w:val="20"/>
        </w:rPr>
        <w:t xml:space="preserve">, s. 13: </w:t>
      </w:r>
      <w:r>
        <w:rPr>
          <w:rFonts w:ascii="Times New Roman" w:hAnsi="Times New Roman"/>
          <w:iCs/>
          <w:sz w:val="20"/>
          <w:szCs w:val="20"/>
        </w:rPr>
        <w:t>„w niewoli za długi trzyma się osobę przez uniemożliwienie jej spłaty rzeczywistych, narzuconych bądź wyimaginowanych długów”.</w:t>
      </w:r>
    </w:p>
  </w:footnote>
  <w:footnote w:id="35">
    <w:p w14:paraId="1FF342B0" w14:textId="77777777" w:rsidR="004F24F5" w:rsidRPr="00076546" w:rsidRDefault="004F24F5" w:rsidP="00802C80">
      <w:pPr>
        <w:pStyle w:val="Tekstprzypisudolnego"/>
        <w:rPr>
          <w:rFonts w:ascii="Times New Roman" w:hAnsi="Times New Roman" w:cs="Times New Roman"/>
          <w:lang w:val="en-US"/>
        </w:rPr>
      </w:pPr>
      <w:r>
        <w:rPr>
          <w:rStyle w:val="Odwoanieprzypisudolnego"/>
          <w:rFonts w:ascii="Times New Roman" w:hAnsi="Times New Roman" w:cs="Times New Roman"/>
        </w:rPr>
        <w:footnoteRef/>
      </w:r>
      <w:r w:rsidRPr="00076546">
        <w:rPr>
          <w:rFonts w:ascii="Times New Roman" w:hAnsi="Times New Roman"/>
          <w:lang w:val="en-US"/>
        </w:rPr>
        <w:t xml:space="preserve"> </w:t>
      </w:r>
      <w:r w:rsidRPr="00076546">
        <w:rPr>
          <w:rFonts w:ascii="Times New Roman" w:hAnsi="Times New Roman"/>
          <w:i/>
          <w:lang w:val="en-US"/>
        </w:rPr>
        <w:t>Vide</w:t>
      </w:r>
      <w:r w:rsidRPr="00076546">
        <w:rPr>
          <w:rFonts w:ascii="Times New Roman" w:hAnsi="Times New Roman"/>
          <w:lang w:val="en-US"/>
        </w:rPr>
        <w:t xml:space="preserve"> Allain, </w:t>
      </w:r>
      <w:r w:rsidRPr="00076546">
        <w:rPr>
          <w:rFonts w:ascii="Times New Roman" w:hAnsi="Times New Roman"/>
          <w:i/>
          <w:iCs/>
          <w:lang w:val="en-US"/>
        </w:rPr>
        <w:t>op.cit.</w:t>
      </w:r>
      <w:r w:rsidRPr="00076546">
        <w:rPr>
          <w:rFonts w:ascii="Times New Roman" w:hAnsi="Times New Roman"/>
          <w:lang w:val="en-US"/>
        </w:rPr>
        <w:t xml:space="preserve">, a. 146 i 160, a także Gallagher, </w:t>
      </w:r>
      <w:r w:rsidRPr="00076546">
        <w:rPr>
          <w:rFonts w:ascii="Times New Roman" w:hAnsi="Times New Roman"/>
          <w:i/>
          <w:iCs/>
          <w:lang w:val="en-US"/>
        </w:rPr>
        <w:t>The International Law on Human Trafficking</w:t>
      </w:r>
      <w:r w:rsidRPr="00076546">
        <w:rPr>
          <w:rFonts w:ascii="Times New Roman" w:hAnsi="Times New Roman"/>
          <w:lang w:val="en-US"/>
        </w:rPr>
        <w:t>, Cambridge, 2010, s. 181 i 182.</w:t>
      </w:r>
    </w:p>
  </w:footnote>
  <w:footnote w:id="36">
    <w:p w14:paraId="5252264A"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W art. 11 MKoOPWPM powtórzono postanowienie MPPOiP w stosunku do pracowników migrujących i członków ich rodzin.</w:t>
      </w:r>
    </w:p>
  </w:footnote>
  <w:footnote w:id="37">
    <w:p w14:paraId="3493C23F" w14:textId="77777777" w:rsidR="004F24F5" w:rsidRPr="006A7C55" w:rsidRDefault="004F24F5" w:rsidP="00802C80">
      <w:pPr>
        <w:pStyle w:val="Tekstprzypisudolnego"/>
        <w:rPr>
          <w:rFonts w:ascii="Times New Roman" w:hAnsi="Times New Roman"/>
        </w:rPr>
      </w:pPr>
      <w:r>
        <w:rPr>
          <w:rStyle w:val="Odwoanieprzypisudolnego"/>
        </w:rPr>
        <w:footnoteRef/>
      </w:r>
      <w:r w:rsidRPr="006A7C55">
        <w:t xml:space="preserve"> </w:t>
      </w:r>
      <w:r w:rsidRPr="006A7C55">
        <w:rPr>
          <w:rFonts w:ascii="Times New Roman" w:hAnsi="Times New Roman"/>
        </w:rPr>
        <w:t xml:space="preserve">Bossuyt, </w:t>
      </w:r>
      <w:r w:rsidRPr="006A7C55">
        <w:rPr>
          <w:rFonts w:ascii="Times New Roman" w:hAnsi="Times New Roman"/>
          <w:i/>
        </w:rPr>
        <w:t>Guide to the Travaux préparatoires of the International Covenant on Civil and Political Rights</w:t>
      </w:r>
      <w:r w:rsidRPr="006A7C55">
        <w:rPr>
          <w:rFonts w:ascii="Times New Roman" w:hAnsi="Times New Roman"/>
        </w:rPr>
        <w:t>, Dordrecht, 1987, s. 164.</w:t>
      </w:r>
    </w:p>
  </w:footnote>
  <w:footnote w:id="38">
    <w:p w14:paraId="238FAACD" w14:textId="239563BA"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w:t>
      </w:r>
      <w:r w:rsidRPr="00076546">
        <w:rPr>
          <w:rFonts w:ascii="Times New Roman" w:hAnsi="Times New Roman"/>
          <w:i/>
        </w:rPr>
        <w:t>Vide</w:t>
      </w:r>
      <w:r>
        <w:rPr>
          <w:rFonts w:ascii="Times New Roman" w:hAnsi="Times New Roman"/>
        </w:rPr>
        <w:t xml:space="preserve"> komunikat KPC NZ nr 289/1988 z dnia 8 kwietnia 1992 r. </w:t>
      </w:r>
      <w:r>
        <w:rPr>
          <w:rFonts w:ascii="Times New Roman" w:hAnsi="Times New Roman"/>
          <w:i/>
        </w:rPr>
        <w:t xml:space="preserve">Dieter Wolf </w:t>
      </w:r>
      <w:r>
        <w:rPr>
          <w:rFonts w:ascii="Times New Roman" w:hAnsi="Times New Roman"/>
          <w:i/>
          <w:iCs/>
        </w:rPr>
        <w:t>p-ko Panamie</w:t>
      </w:r>
      <w:r>
        <w:rPr>
          <w:rFonts w:ascii="Times New Roman" w:hAnsi="Times New Roman"/>
        </w:rPr>
        <w:t xml:space="preserve"> (CCPR/C/44/D/289/1988).</w:t>
      </w:r>
    </w:p>
  </w:footnote>
  <w:footnote w:id="39">
    <w:p w14:paraId="599851FD" w14:textId="351F94CD"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w:t>
      </w:r>
      <w:r w:rsidRPr="00076546">
        <w:rPr>
          <w:rFonts w:ascii="Times New Roman" w:hAnsi="Times New Roman"/>
          <w:i/>
        </w:rPr>
        <w:t>Vide</w:t>
      </w:r>
      <w:r>
        <w:rPr>
          <w:rFonts w:ascii="Times New Roman" w:hAnsi="Times New Roman"/>
        </w:rPr>
        <w:t xml:space="preserve"> komunikat KPC NZ nr 666/1995 z dnia 9 listopada 1999 r. </w:t>
      </w:r>
      <w:r>
        <w:rPr>
          <w:rFonts w:ascii="Times New Roman" w:hAnsi="Times New Roman"/>
          <w:i/>
        </w:rPr>
        <w:t xml:space="preserve">Frédéric Foin (reprezentowany przez François Roux, adwokata we Francji) p-ko Francji </w:t>
      </w:r>
      <w:r>
        <w:rPr>
          <w:rFonts w:ascii="Times New Roman" w:hAnsi="Times New Roman"/>
        </w:rPr>
        <w:t>(CCPR/C/67/D/666/1995).</w:t>
      </w:r>
    </w:p>
  </w:footnote>
  <w:footnote w:id="40">
    <w:p w14:paraId="438E36BE"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Art. 13 Konwencji o morzu pełnym i art. 99 Konwencji o prawie morza również zakazują przewozu niewolników.</w:t>
      </w:r>
    </w:p>
  </w:footnote>
  <w:footnote w:id="41">
    <w:p w14:paraId="41D6FD13"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Komentarz ogólny nr 29 Komitetu Praw Człowieka ONZ, Stany wyjątkowe (art. 4), U.N. Doc. CCPR/C/21/Rev.1/Add.11 (2001), pkt 11-12.</w:t>
      </w:r>
    </w:p>
  </w:footnote>
  <w:footnote w:id="42">
    <w:p w14:paraId="6FB7AAE0"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w:t>
      </w:r>
      <w:r w:rsidRPr="00076546">
        <w:rPr>
          <w:rFonts w:ascii="Times New Roman" w:hAnsi="Times New Roman"/>
          <w:i/>
        </w:rPr>
        <w:t>Vide</w:t>
      </w:r>
      <w:r>
        <w:rPr>
          <w:rFonts w:ascii="Times New Roman" w:hAnsi="Times New Roman"/>
        </w:rPr>
        <w:t xml:space="preserve"> także Wytyczne UNICEF w sprawie ochrony dzieci będących ofiarami handlu ludźmi z 2006 r; Poradnik dotyczący ochrony dzieci – ofiar handlu ludźmi w Europie z 2006 r.; Wytyczne w sprawie ochrony praw dzieci – ofiar handlu ludźmi w Europe Południowo-Wschodniej z 2003 r.</w:t>
      </w:r>
    </w:p>
  </w:footnote>
  <w:footnote w:id="43">
    <w:p w14:paraId="74233F92" w14:textId="77777777" w:rsidR="004F24F5" w:rsidRPr="006A7C55" w:rsidRDefault="004F24F5" w:rsidP="00802C80">
      <w:pPr>
        <w:pStyle w:val="Tekstprzypisudolnego"/>
        <w:rPr>
          <w:rFonts w:ascii="Times New Roman" w:hAnsi="Times New Roman"/>
        </w:rPr>
      </w:pPr>
      <w:r>
        <w:rPr>
          <w:rStyle w:val="Odwoanieprzypisudolnego"/>
          <w:rFonts w:ascii="Times New Roman" w:hAnsi="Times New Roman" w:cs="Times New Roman"/>
        </w:rPr>
        <w:footnoteRef/>
      </w:r>
      <w:r w:rsidRPr="006A7C55">
        <w:rPr>
          <w:rFonts w:ascii="Times New Roman" w:hAnsi="Times New Roman"/>
        </w:rPr>
        <w:t xml:space="preserve"> </w:t>
      </w:r>
      <w:r w:rsidRPr="006A7C55">
        <w:rPr>
          <w:rFonts w:ascii="Times New Roman" w:hAnsi="Times New Roman"/>
          <w:i/>
        </w:rPr>
        <w:t>Vide</w:t>
      </w:r>
      <w:r w:rsidRPr="006A7C55">
        <w:rPr>
          <w:rFonts w:ascii="Times New Roman" w:hAnsi="Times New Roman"/>
        </w:rPr>
        <w:t xml:space="preserve"> UNODC, </w:t>
      </w:r>
      <w:r w:rsidRPr="006A7C55">
        <w:rPr>
          <w:rFonts w:ascii="Times New Roman" w:hAnsi="Times New Roman"/>
          <w:i/>
        </w:rPr>
        <w:t>The Concept of “Exploitation” in the Trafficking in Persons Protocol</w:t>
      </w:r>
      <w:r w:rsidRPr="006A7C55">
        <w:rPr>
          <w:rFonts w:ascii="Times New Roman" w:hAnsi="Times New Roman"/>
        </w:rPr>
        <w:t xml:space="preserve"> (Pojęcie „wykorzystania” w Protokole o handlu ludźmi), 2015, s. 112.</w:t>
      </w:r>
    </w:p>
  </w:footnote>
  <w:footnote w:id="44">
    <w:p w14:paraId="074AA8F9" w14:textId="179C3D7A" w:rsidR="004F24F5" w:rsidRPr="008E0167"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Sprawozdanie Komisji MOP w sprawie pracy przymusowej w Myanmarze z dnia 2 lipca 1978 r., pkt 203, wyraźnie potwierdziło peremptoryjny charakter zakazu pracy przymusowej. </w:t>
      </w:r>
    </w:p>
  </w:footnote>
  <w:footnote w:id="45">
    <w:p w14:paraId="5640FF58"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MOP potwierdza, że z wyjątkiem ekstrakcji organów handel ludźmi jest objęty Konwencją o pracy przymusowej (Sprawozdanie MOP „Zyski a ubóstwo: ekonomia pracy przymusowej”, 2014 r., s. 3-4 oraz UNODC, pojęcie „wykorzystania”, </w:t>
      </w:r>
      <w:r>
        <w:rPr>
          <w:rFonts w:ascii="Times New Roman" w:hAnsi="Times New Roman"/>
          <w:i/>
          <w:iCs/>
        </w:rPr>
        <w:t>op. cit.</w:t>
      </w:r>
      <w:r>
        <w:rPr>
          <w:rFonts w:ascii="Times New Roman" w:hAnsi="Times New Roman"/>
        </w:rPr>
        <w:t>, s. 32).</w:t>
      </w:r>
    </w:p>
  </w:footnote>
  <w:footnote w:id="46">
    <w:p w14:paraId="1690B73A"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Ustawa modelowa UNODC, </w:t>
      </w:r>
      <w:r>
        <w:rPr>
          <w:rFonts w:ascii="Times New Roman" w:hAnsi="Times New Roman"/>
          <w:i/>
          <w:iCs/>
        </w:rPr>
        <w:t>op. cit.</w:t>
      </w:r>
      <w:r>
        <w:rPr>
          <w:rFonts w:ascii="Times New Roman" w:hAnsi="Times New Roman"/>
        </w:rPr>
        <w:t xml:space="preserve">, s. 15: „Groźba kary przyjmować może różne formy, począwszy od (groźby) przemocy fizycznej bądź ograniczenia wolności, (gróźb) przemocy przeciwko ofierze bądź jej bliskim, gróźb zadenuncjowania ofiary policji lub władzom imigracyjnym, gdy jej zatrudnienie lub pobyt są nielegalne, groźby zadenuncjowania starszym wioski lub członkom rodziny w przypadku dziewcząt albo kobiet zmuszonych do prostytucji, (groźby) skonfiskowania dokumentów podróżnych lub tożsamości, kar ekonomicznych powiązanych z wierzytelnościami, braku wypłaty wynagrodzenia bądź utraty wynagrodzenia wraz z groźbami zwolnienia z pracy, jeżeli pracownicy odmówią wykonywania jej w godzinach nadliczbowych wykraczających poza zakres ich umowy lub prawa krajowego”. (Globalny raport MOP z 2005 r., s. 5-6; MOP, </w:t>
      </w:r>
      <w:r>
        <w:rPr>
          <w:rFonts w:ascii="Times New Roman" w:hAnsi="Times New Roman"/>
          <w:i/>
          <w:iCs/>
        </w:rPr>
        <w:t>Eradication of Forced Labour, International Labour Conference</w:t>
      </w:r>
      <w:r>
        <w:rPr>
          <w:rFonts w:ascii="Times New Roman" w:hAnsi="Times New Roman"/>
        </w:rPr>
        <w:t xml:space="preserve"> (Eliminacja pracy przymusowej, Międzynarodowa Konferencja Pracy), 2007, s. 20).”. W sprawie </w:t>
      </w:r>
      <w:r>
        <w:rPr>
          <w:rFonts w:ascii="Times New Roman" w:hAnsi="Times New Roman"/>
          <w:i/>
        </w:rPr>
        <w:t>C.N. i V. p-ko Franc</w:t>
      </w:r>
      <w:r>
        <w:rPr>
          <w:rFonts w:ascii="Times New Roman" w:hAnsi="Times New Roman"/>
          <w:i/>
          <w:iCs/>
        </w:rPr>
        <w:t>ji</w:t>
      </w:r>
      <w:r>
        <w:rPr>
          <w:rFonts w:ascii="Times New Roman" w:hAnsi="Times New Roman"/>
        </w:rPr>
        <w:t xml:space="preserve">, nr 67724/09, §§ 77-78, 11 października 2012 r. omawiając groźbę kary jako składowej pracy przymusowej, Trybunał odniósł się do Raportu globalnego MOP </w:t>
      </w:r>
      <w:r>
        <w:rPr>
          <w:rFonts w:ascii="Times New Roman" w:hAnsi="Times New Roman"/>
          <w:i/>
          <w:iCs/>
        </w:rPr>
        <w:t>The Cost of Coercion</w:t>
      </w:r>
      <w:r>
        <w:rPr>
          <w:rFonts w:ascii="Times New Roman" w:hAnsi="Times New Roman"/>
        </w:rPr>
        <w:t xml:space="preserve"> (Koszt przymusu) z 2009 r., paragrafy 24-25. </w:t>
      </w:r>
    </w:p>
  </w:footnote>
  <w:footnote w:id="47">
    <w:p w14:paraId="48D1E0E5"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Ustawa modelowa UNODC, </w:t>
      </w:r>
      <w:r>
        <w:rPr>
          <w:rFonts w:ascii="Times New Roman" w:hAnsi="Times New Roman"/>
          <w:i/>
          <w:iCs/>
        </w:rPr>
        <w:t>op. cit.</w:t>
      </w:r>
      <w:r>
        <w:rPr>
          <w:rFonts w:ascii="Times New Roman" w:hAnsi="Times New Roman"/>
        </w:rPr>
        <w:t xml:space="preserve"> s. 14 i 28 oraz MOP, </w:t>
      </w:r>
      <w:r>
        <w:rPr>
          <w:rFonts w:ascii="Times New Roman" w:hAnsi="Times New Roman"/>
          <w:i/>
          <w:iCs/>
        </w:rPr>
        <w:t>Eradication of Forced Labour, International Labour Conference</w:t>
      </w:r>
      <w:r>
        <w:rPr>
          <w:rFonts w:ascii="Times New Roman" w:hAnsi="Times New Roman"/>
        </w:rPr>
        <w:t xml:space="preserve"> (Eliminacja pracy przymusowej, Międzynarodowa Konferencja Pracy), 2007, s. 42. Poddaństwo rytualne lub ceremonialne obejmuje „nacechowane wyzyskiem i nadużyciami praktyki religijne lub kulturowe powodujące dehumanizację, poniżenie bądź pokrzywdzenie psychiczne lub psychologiczne”.</w:t>
      </w:r>
    </w:p>
  </w:footnote>
  <w:footnote w:id="48">
    <w:p w14:paraId="36AD8D34" w14:textId="77777777" w:rsidR="004F24F5" w:rsidRPr="00076546" w:rsidRDefault="004F24F5" w:rsidP="00802C80">
      <w:pPr>
        <w:pStyle w:val="Tekstprzypisudolnego"/>
        <w:rPr>
          <w:rFonts w:ascii="Times New Roman" w:hAnsi="Times New Roman" w:cs="Times New Roman"/>
          <w:lang w:val="fr-FR"/>
        </w:rPr>
      </w:pPr>
      <w:r>
        <w:rPr>
          <w:rStyle w:val="Odwoanieprzypisudolnego"/>
          <w:rFonts w:ascii="Times New Roman" w:hAnsi="Times New Roman" w:cs="Times New Roman"/>
        </w:rPr>
        <w:footnoteRef/>
      </w:r>
      <w:r w:rsidRPr="00076546">
        <w:rPr>
          <w:rFonts w:ascii="Times New Roman" w:hAnsi="Times New Roman"/>
          <w:lang w:val="fr-FR"/>
        </w:rPr>
        <w:t xml:space="preserve"> Jean Allain, </w:t>
      </w:r>
      <w:r w:rsidRPr="00076546">
        <w:rPr>
          <w:rFonts w:ascii="Times New Roman" w:hAnsi="Times New Roman"/>
          <w:i/>
          <w:iCs/>
          <w:lang w:val="fr-FR"/>
        </w:rPr>
        <w:t>op.cit.</w:t>
      </w:r>
      <w:r w:rsidRPr="00076546">
        <w:rPr>
          <w:rFonts w:ascii="Times New Roman" w:hAnsi="Times New Roman"/>
          <w:lang w:val="fr-FR"/>
        </w:rPr>
        <w:t>, s. 254.</w:t>
      </w:r>
    </w:p>
  </w:footnote>
  <w:footnote w:id="49">
    <w:p w14:paraId="3B0EDFD4"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sidRPr="00076546">
        <w:rPr>
          <w:rFonts w:ascii="Times New Roman" w:hAnsi="Times New Roman"/>
          <w:lang w:val="fr-FR"/>
        </w:rPr>
        <w:t xml:space="preserve"> </w:t>
      </w:r>
      <w:r w:rsidRPr="00076546">
        <w:rPr>
          <w:rFonts w:ascii="Times New Roman" w:hAnsi="Times New Roman"/>
          <w:i/>
          <w:lang w:val="fr-FR"/>
        </w:rPr>
        <w:t>Vide</w:t>
      </w:r>
      <w:r w:rsidRPr="00076546">
        <w:rPr>
          <w:rFonts w:ascii="Times New Roman" w:hAnsi="Times New Roman"/>
          <w:lang w:val="fr-FR"/>
        </w:rPr>
        <w:t xml:space="preserve"> MOP</w:t>
      </w:r>
      <w:r w:rsidRPr="00076546">
        <w:rPr>
          <w:rFonts w:ascii="Times New Roman" w:hAnsi="Times New Roman"/>
          <w:i/>
          <w:iCs/>
          <w:lang w:val="fr-FR"/>
        </w:rPr>
        <w:t>, Hard to See: Harder to Count: Survey Guidelines to Estimate Forced Labour of Adults and Children</w:t>
      </w:r>
      <w:r w:rsidRPr="00076546">
        <w:rPr>
          <w:rFonts w:ascii="Times New Roman" w:hAnsi="Times New Roman"/>
          <w:lang w:val="fr-FR"/>
        </w:rPr>
        <w:t xml:space="preserve"> (Trudno dostrzec, jeszcze trudniej zliczyć — wskazówki badawcze dla oszacowań pracy przymusowej dorosłych i dzieci) 2011; MOP, </w:t>
      </w:r>
      <w:r w:rsidRPr="00076546">
        <w:rPr>
          <w:rFonts w:ascii="Times New Roman" w:hAnsi="Times New Roman"/>
          <w:i/>
          <w:iCs/>
          <w:lang w:val="fr-FR"/>
        </w:rPr>
        <w:t>Eliminating the Worst Forms of Child Labour under Time-Bound Programmes:</w:t>
      </w:r>
      <w:r w:rsidRPr="00076546">
        <w:rPr>
          <w:rFonts w:ascii="Times New Roman" w:hAnsi="Times New Roman"/>
          <w:lang w:val="fr-FR"/>
        </w:rPr>
        <w:t xml:space="preserve"> Guidelines for Strengthening Legislation, Enforcement and Overall Legal Framework (Eliminacja najgorszych form pracy dzieci w programach ograniczonych czasowo — wytyczne ku wzmocnieniu stanowienia i wykonywania prawa oraz ogólnych ram prawnych), 2003; MOP/UM, </w:t>
      </w:r>
      <w:r w:rsidRPr="0096762D">
        <w:rPr>
          <w:rFonts w:ascii="Times New Roman" w:hAnsi="Times New Roman"/>
          <w:i/>
          <w:lang w:val="fr-FR"/>
        </w:rPr>
        <w:t xml:space="preserve">Eliminating the Worst Forms of Child Labour. </w:t>
      </w:r>
      <w:r w:rsidRPr="0096762D">
        <w:rPr>
          <w:rFonts w:ascii="Times New Roman" w:hAnsi="Times New Roman"/>
          <w:i/>
        </w:rPr>
        <w:t>A practical guide to ILO Convention No. 182</w:t>
      </w:r>
      <w:r>
        <w:rPr>
          <w:rFonts w:ascii="Times New Roman" w:hAnsi="Times New Roman"/>
        </w:rPr>
        <w:t xml:space="preserve"> (Eliminacja najgorszych form pracy dzieci — praktyczny przewodnik po konwencji MOP nr 182), 2002.</w:t>
      </w:r>
    </w:p>
  </w:footnote>
  <w:footnote w:id="50">
    <w:p w14:paraId="44AD9CFC"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w:t>
      </w:r>
      <w:r>
        <w:rPr>
          <w:rFonts w:ascii="Times New Roman" w:hAnsi="Times New Roman"/>
          <w:i/>
          <w:iCs/>
        </w:rPr>
        <w:t>ILO Operational indicators of trafficking in human beings:</w:t>
      </w:r>
      <w:r>
        <w:rPr>
          <w:rFonts w:ascii="Times New Roman" w:hAnsi="Times New Roman"/>
        </w:rPr>
        <w:t xml:space="preserve"> </w:t>
      </w:r>
      <w:r>
        <w:rPr>
          <w:rFonts w:ascii="Times New Roman" w:hAnsi="Times New Roman"/>
          <w:i/>
          <w:iCs/>
        </w:rPr>
        <w:t>Results from a Delphi survey implemented by the ILO and the European Commission</w:t>
      </w:r>
      <w:r>
        <w:rPr>
          <w:rFonts w:ascii="Times New Roman" w:hAnsi="Times New Roman"/>
        </w:rPr>
        <w:t xml:space="preserve"> (Wskaźniki operacyjne handlu ludźmi — wyniki badania delphi wdrożonego przez MOP i Komisję Europejską), 2009; MOP, Raport globalny w ślad za Deklaracją dotyczącą podstawowych zasad i praw pracy — Światowe Porozumienie przeciwko pracy przymusowej, 2005; MOP, </w:t>
      </w:r>
      <w:r>
        <w:rPr>
          <w:rFonts w:ascii="Times New Roman" w:hAnsi="Times New Roman"/>
          <w:i/>
          <w:iCs/>
        </w:rPr>
        <w:t>Human Trafficking and Forced Labour Exploitation:</w:t>
      </w:r>
      <w:r>
        <w:rPr>
          <w:rFonts w:ascii="Times New Roman" w:hAnsi="Times New Roman"/>
        </w:rPr>
        <w:t xml:space="preserve"> </w:t>
      </w:r>
      <w:r>
        <w:rPr>
          <w:rFonts w:ascii="Times New Roman" w:hAnsi="Times New Roman"/>
          <w:i/>
          <w:iCs/>
        </w:rPr>
        <w:t>Guidelines for Legislators and Law Enforcement</w:t>
      </w:r>
      <w:r>
        <w:rPr>
          <w:rFonts w:ascii="Times New Roman" w:hAnsi="Times New Roman"/>
        </w:rPr>
        <w:t xml:space="preserve"> (Handel ludźmi i wykorzystywanie pracy przymusowej — wytyczne dla tworzących i stosujących prawo), 2004. Wyznaczniki te stosowane są w praktyce państw (UNODC, Pojęcie „wykorzystywania”, </w:t>
      </w:r>
      <w:r>
        <w:rPr>
          <w:rFonts w:ascii="Times New Roman" w:hAnsi="Times New Roman"/>
          <w:i/>
          <w:iCs/>
        </w:rPr>
        <w:t>op.cit.</w:t>
      </w:r>
      <w:r>
        <w:rPr>
          <w:rFonts w:ascii="Times New Roman" w:hAnsi="Times New Roman"/>
        </w:rPr>
        <w:t xml:space="preserve">, s. 109). Trybunał odwołał się do nich w wyroku z dnia 13 listopada 2012 r. </w:t>
      </w:r>
      <w:r>
        <w:rPr>
          <w:rFonts w:ascii="Times New Roman" w:hAnsi="Times New Roman"/>
          <w:i/>
          <w:iCs/>
        </w:rPr>
        <w:t>C.N. p-ko Zjednoczonemu Królestwu</w:t>
      </w:r>
      <w:r>
        <w:rPr>
          <w:rFonts w:ascii="Times New Roman" w:hAnsi="Times New Roman"/>
        </w:rPr>
        <w:t xml:space="preserve"> nr 4239/08, § 35. </w:t>
      </w:r>
    </w:p>
  </w:footnote>
  <w:footnote w:id="51">
    <w:p w14:paraId="536C48A3" w14:textId="5FEF279B" w:rsidR="004F24F5" w:rsidRPr="00076546" w:rsidRDefault="004F24F5" w:rsidP="00802C80">
      <w:pPr>
        <w:pStyle w:val="Tekstprzypisudolnego"/>
        <w:rPr>
          <w:rFonts w:ascii="Times New Roman" w:hAnsi="Times New Roman" w:cs="Times New Roman"/>
          <w:lang w:val="en-US"/>
        </w:rPr>
      </w:pPr>
      <w:r>
        <w:rPr>
          <w:rStyle w:val="Odwoanieprzypisudolnego"/>
          <w:rFonts w:ascii="Times New Roman" w:hAnsi="Times New Roman" w:cs="Times New Roman"/>
        </w:rPr>
        <w:footnoteRef/>
      </w:r>
      <w:r>
        <w:rPr>
          <w:rFonts w:ascii="Times New Roman" w:hAnsi="Times New Roman"/>
        </w:rPr>
        <w:t xml:space="preserve"> Wytyczne MOP, </w:t>
      </w:r>
      <w:r>
        <w:rPr>
          <w:rFonts w:ascii="Times New Roman" w:hAnsi="Times New Roman"/>
          <w:i/>
          <w:iCs/>
        </w:rPr>
        <w:t>op. cit.</w:t>
      </w:r>
      <w:r>
        <w:rPr>
          <w:rFonts w:ascii="Times New Roman" w:hAnsi="Times New Roman"/>
        </w:rPr>
        <w:t xml:space="preserve">, s. 23. Jak zauważa MOP w Wytycznych w zakresie badania dot. pracy przymusowej: (…) „zobowiązanie do pozostania w danej pracy ze względu na brak perspektyw na znalezienie zatrudnienia samo w sobie nie jest równoznaczne z sytuacją pracy przymusowej; jeżeli jednak można wykazać, że pracodawca świadomie ten fakt wyzyskuje (a także trudne położenie, jakie zeń wynika) w celu nałożenia bardziej ekstremalnych warunków pracy, niż byłoby możliwe w pozostałych przypadkach, taką sytuację należy uznać za pracę przymusową”. </w:t>
      </w:r>
      <w:r w:rsidRPr="00076546">
        <w:rPr>
          <w:rFonts w:ascii="Times New Roman" w:hAnsi="Times New Roman"/>
          <w:lang w:val="en-US"/>
        </w:rPr>
        <w:t xml:space="preserve">(MOP, </w:t>
      </w:r>
      <w:r w:rsidRPr="00076546">
        <w:rPr>
          <w:rFonts w:ascii="Times New Roman" w:hAnsi="Times New Roman"/>
          <w:i/>
          <w:iCs/>
          <w:lang w:val="en-US"/>
        </w:rPr>
        <w:t>Hard to See</w:t>
      </w:r>
      <w:r w:rsidRPr="00076546">
        <w:rPr>
          <w:rFonts w:ascii="Times New Roman" w:hAnsi="Times New Roman"/>
          <w:lang w:val="en-US"/>
        </w:rPr>
        <w:t xml:space="preserve">, </w:t>
      </w:r>
      <w:r w:rsidRPr="00076546">
        <w:rPr>
          <w:rFonts w:ascii="Times New Roman" w:hAnsi="Times New Roman"/>
          <w:i/>
          <w:iCs/>
          <w:lang w:val="en-US"/>
        </w:rPr>
        <w:t>op.</w:t>
      </w:r>
      <w:r>
        <w:rPr>
          <w:rFonts w:ascii="Times New Roman" w:hAnsi="Times New Roman"/>
          <w:i/>
          <w:iCs/>
          <w:lang w:val="en-US"/>
        </w:rPr>
        <w:t xml:space="preserve"> </w:t>
      </w:r>
      <w:r w:rsidRPr="00076546">
        <w:rPr>
          <w:rFonts w:ascii="Times New Roman" w:hAnsi="Times New Roman"/>
          <w:i/>
          <w:iCs/>
          <w:lang w:val="en-US"/>
        </w:rPr>
        <w:t>cit.</w:t>
      </w:r>
      <w:r w:rsidRPr="00076546">
        <w:rPr>
          <w:rFonts w:ascii="Times New Roman" w:hAnsi="Times New Roman"/>
          <w:lang w:val="en-US"/>
        </w:rPr>
        <w:t>, s. 16).</w:t>
      </w:r>
      <w:r>
        <w:rPr>
          <w:rFonts w:ascii="Times New Roman" w:hAnsi="Times New Roman"/>
          <w:lang w:val="en-US"/>
        </w:rPr>
        <w:t xml:space="preserve"> </w:t>
      </w:r>
    </w:p>
  </w:footnote>
  <w:footnote w:id="52">
    <w:p w14:paraId="7C2B6DED" w14:textId="77777777" w:rsidR="004F24F5" w:rsidRPr="00076546" w:rsidRDefault="004F24F5" w:rsidP="00802C80">
      <w:pPr>
        <w:pStyle w:val="Tekstprzypisudolnego"/>
        <w:rPr>
          <w:rFonts w:ascii="Times New Roman" w:hAnsi="Times New Roman" w:cs="Times New Roman"/>
          <w:lang w:val="en-US"/>
        </w:rPr>
      </w:pPr>
      <w:r>
        <w:rPr>
          <w:rStyle w:val="Odwoanieprzypisudolnego"/>
          <w:rFonts w:ascii="Times New Roman" w:hAnsi="Times New Roman" w:cs="Times New Roman"/>
        </w:rPr>
        <w:footnoteRef/>
      </w:r>
      <w:r w:rsidRPr="00076546">
        <w:rPr>
          <w:rFonts w:ascii="Times New Roman" w:hAnsi="Times New Roman"/>
          <w:lang w:val="en-US"/>
        </w:rPr>
        <w:t xml:space="preserve"> Wytyczne MOP, </w:t>
      </w:r>
      <w:r w:rsidRPr="00076546">
        <w:rPr>
          <w:rFonts w:ascii="Times New Roman" w:hAnsi="Times New Roman"/>
          <w:i/>
          <w:iCs/>
          <w:lang w:val="en-US"/>
        </w:rPr>
        <w:t>op.</w:t>
      </w:r>
      <w:r>
        <w:rPr>
          <w:rFonts w:ascii="Times New Roman" w:hAnsi="Times New Roman"/>
          <w:i/>
          <w:iCs/>
          <w:lang w:val="en-US"/>
        </w:rPr>
        <w:t xml:space="preserve"> </w:t>
      </w:r>
      <w:r w:rsidRPr="00076546">
        <w:rPr>
          <w:rFonts w:ascii="Times New Roman" w:hAnsi="Times New Roman"/>
          <w:i/>
          <w:iCs/>
          <w:lang w:val="en-US"/>
        </w:rPr>
        <w:t>cit.</w:t>
      </w:r>
      <w:r w:rsidRPr="00076546">
        <w:rPr>
          <w:rFonts w:ascii="Times New Roman" w:hAnsi="Times New Roman"/>
          <w:lang w:val="en-US"/>
        </w:rPr>
        <w:t>, s. 61.</w:t>
      </w:r>
    </w:p>
  </w:footnote>
  <w:footnote w:id="53">
    <w:p w14:paraId="29251FB3"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Wytyczne MOP, </w:t>
      </w:r>
      <w:r>
        <w:rPr>
          <w:rFonts w:ascii="Times New Roman" w:hAnsi="Times New Roman"/>
          <w:i/>
          <w:iCs/>
        </w:rPr>
        <w:t>op. cit.</w:t>
      </w:r>
      <w:r>
        <w:rPr>
          <w:rFonts w:ascii="Times New Roman" w:hAnsi="Times New Roman"/>
        </w:rPr>
        <w:t>, s. 63.</w:t>
      </w:r>
    </w:p>
  </w:footnote>
  <w:footnote w:id="54">
    <w:p w14:paraId="103DE096"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Wyrok z dnia 3 listopada 1947 r. w procesach zbrodniarzy wojennych przed norymberskimi trybunałami wojskowymi na podstawie uchwały nr 10 Sojuszniczej Rady Kontroli Niemiec, t. 10, s. 969.</w:t>
      </w:r>
    </w:p>
  </w:footnote>
  <w:footnote w:id="55">
    <w:p w14:paraId="30DD83B4" w14:textId="2A68A368" w:rsidR="004F24F5" w:rsidRPr="00E143AA"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Reguła 95 Czerwonego Krzyża w sprawie pracy przymusowej przewiduje, że „praca przymusowa bez wynagrodzenia lub powiązana z nadużyciami jest zakazana”, przy czym praktyka państw statuuje tę regułę jako normę międzynarodowego prawa zwyczajowego mającą zastosowanie zarówno do międzynarodowych, jak i niemiędzynarodowych konfliktów zbrojnych (Henckaerts and Doswald-Beck, </w:t>
      </w:r>
      <w:r>
        <w:rPr>
          <w:rFonts w:ascii="Times New Roman" w:hAnsi="Times New Roman"/>
          <w:i/>
          <w:iCs/>
        </w:rPr>
        <w:t>Customary International Humanitarian Law, volume I, Rules</w:t>
      </w:r>
      <w:r>
        <w:rPr>
          <w:rFonts w:ascii="Times New Roman" w:hAnsi="Times New Roman"/>
        </w:rPr>
        <w:t>, Cambridge, 2005, s. 330-334). Zob. także art. 29-32 Konwencji genewskiej z 1929 r, art. 49-68 Trzeciej Konwencji genewskiej z 1949 r. oraz art. 40, 51 i 95 Czwartej Konwencji genewskiej z 1949 r.</w:t>
      </w:r>
    </w:p>
  </w:footnote>
  <w:footnote w:id="56">
    <w:p w14:paraId="3D12667C" w14:textId="77777777" w:rsidR="004F24F5" w:rsidRPr="008F0402"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w:t>
      </w:r>
      <w:r w:rsidRPr="00076546">
        <w:rPr>
          <w:rFonts w:ascii="Times New Roman" w:hAnsi="Times New Roman"/>
          <w:i/>
        </w:rPr>
        <w:t>Vide</w:t>
      </w:r>
      <w:r>
        <w:rPr>
          <w:rFonts w:ascii="Times New Roman" w:hAnsi="Times New Roman"/>
        </w:rPr>
        <w:t xml:space="preserve"> także art. 2 lit. c Statutu Sądu Specjalnego dla Sierra Leone z 2002 r.</w:t>
      </w:r>
    </w:p>
  </w:footnote>
  <w:footnote w:id="57">
    <w:p w14:paraId="05F27193"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w:t>
      </w:r>
      <w:r w:rsidRPr="00076546">
        <w:rPr>
          <w:rFonts w:ascii="Times New Roman" w:hAnsi="Times New Roman"/>
          <w:i/>
        </w:rPr>
        <w:t>Vide</w:t>
      </w:r>
      <w:r>
        <w:rPr>
          <w:rFonts w:ascii="Times New Roman" w:hAnsi="Times New Roman"/>
        </w:rPr>
        <w:t xml:space="preserve"> </w:t>
      </w:r>
      <w:r>
        <w:rPr>
          <w:rFonts w:ascii="Times New Roman" w:hAnsi="Times New Roman"/>
          <w:i/>
        </w:rPr>
        <w:t>Kunarac i in.</w:t>
      </w:r>
      <w:r>
        <w:rPr>
          <w:rFonts w:ascii="Times New Roman" w:hAnsi="Times New Roman"/>
        </w:rPr>
        <w:t xml:space="preserve"> (IT-96-23&amp;23/1), wyrok Izby Procesowej z dnia 22 lutego 2001 r., paragrafy 539-542. Wyrok Izby Odwoławczej z dnia 12 czerwca 2002 r. potwierdził ten tok rozumowania w paragrafach 117-124. Należy zauważyć, że Izba Odwoławcza stwierdziła, iż: „długość okresu obrócenia w niewolę nie należy do znamion tego czynu”. Ustalenia poczynione w sprawie </w:t>
      </w:r>
      <w:r>
        <w:rPr>
          <w:rFonts w:ascii="Times New Roman" w:hAnsi="Times New Roman"/>
          <w:i/>
        </w:rPr>
        <w:t xml:space="preserve">Kunarac </w:t>
      </w:r>
      <w:r>
        <w:rPr>
          <w:rFonts w:ascii="Times New Roman" w:hAnsi="Times New Roman"/>
        </w:rPr>
        <w:t xml:space="preserve">zostały przytoczone przez Sąd Specjalny dla Sierra Leone w wyroku Izby Procesowej z dnia 20 czerwca 2007 r. </w:t>
      </w:r>
      <w:r>
        <w:rPr>
          <w:rFonts w:ascii="Times New Roman" w:hAnsi="Times New Roman"/>
          <w:i/>
        </w:rPr>
        <w:t>Brima i in.,</w:t>
      </w:r>
      <w:r>
        <w:rPr>
          <w:rFonts w:ascii="Times New Roman" w:hAnsi="Times New Roman"/>
        </w:rPr>
        <w:t xml:space="preserve"> SCSL-2004-16-T, §§739-749.</w:t>
      </w:r>
    </w:p>
  </w:footnote>
  <w:footnote w:id="58">
    <w:p w14:paraId="40FBD5AA" w14:textId="77777777" w:rsidR="004F24F5" w:rsidRPr="00281991" w:rsidRDefault="004F24F5" w:rsidP="00802C80">
      <w:pPr>
        <w:autoSpaceDE w:val="0"/>
        <w:autoSpaceDN w:val="0"/>
        <w:adjustRightInd w:val="0"/>
        <w:rPr>
          <w:rFonts w:ascii="Times New Roman" w:hAnsi="Times New Roman" w:cs="Times New Roman"/>
          <w:sz w:val="20"/>
          <w:szCs w:val="20"/>
        </w:rPr>
      </w:pPr>
      <w:r>
        <w:rPr>
          <w:rStyle w:val="Odwoanieprzypisudolnego"/>
          <w:rFonts w:ascii="Times New Roman" w:hAnsi="Times New Roman" w:cs="Times New Roman"/>
          <w:sz w:val="20"/>
          <w:szCs w:val="20"/>
        </w:rPr>
        <w:footnoteRef/>
      </w:r>
      <w:r>
        <w:rPr>
          <w:rFonts w:ascii="Times New Roman" w:hAnsi="Times New Roman"/>
          <w:sz w:val="20"/>
          <w:szCs w:val="20"/>
        </w:rPr>
        <w:t xml:space="preserve"> Definicja ta została poprzedzona pracą Specjalnego Sprawozdawcy ONZ ds. przemocy wobec kobiet, jej przyczyn i skutków, w której bardzo podobna definicja uzależniała handel od faktu przymusowego transportu na cele praktyk zbliżonych do niewolnictwa bądź pracy przymusowej (E/CN.4/2000/68, 29 lutego 2000 r., paragrafy 10-17). </w:t>
      </w:r>
    </w:p>
  </w:footnote>
  <w:footnote w:id="59">
    <w:p w14:paraId="1840BC9E" w14:textId="51504E89"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w:t>
      </w:r>
      <w:r w:rsidRPr="00076546">
        <w:rPr>
          <w:rFonts w:ascii="Times New Roman" w:hAnsi="Times New Roman"/>
          <w:i/>
        </w:rPr>
        <w:t>Vide</w:t>
      </w:r>
      <w:r>
        <w:rPr>
          <w:rFonts w:ascii="Times New Roman" w:hAnsi="Times New Roman"/>
        </w:rPr>
        <w:t xml:space="preserve"> ustawa modelowa UNODC, </w:t>
      </w:r>
      <w:r>
        <w:rPr>
          <w:rFonts w:ascii="Times New Roman" w:hAnsi="Times New Roman"/>
          <w:i/>
          <w:iCs/>
        </w:rPr>
        <w:t>op. cit.</w:t>
      </w:r>
      <w:r>
        <w:rPr>
          <w:rFonts w:ascii="Times New Roman" w:hAnsi="Times New Roman"/>
        </w:rPr>
        <w:t>, dla której inspiracji dostarczyła Ustawa modelowa Departamentu Stanu USA przeciwko handlowi ludźmi z 2003 r. (</w:t>
      </w:r>
      <w:r>
        <w:rPr>
          <w:rFonts w:ascii="Times New Roman" w:hAnsi="Times New Roman"/>
          <w:i/>
          <w:iCs/>
        </w:rPr>
        <w:t>US State Department Model Law to Combat Trafficking in Persons</w:t>
      </w:r>
      <w:r>
        <w:rPr>
          <w:rFonts w:ascii="Times New Roman" w:hAnsi="Times New Roman"/>
        </w:rPr>
        <w:t xml:space="preserve">); </w:t>
      </w:r>
      <w:r>
        <w:rPr>
          <w:rFonts w:ascii="Times New Roman" w:hAnsi="Times New Roman"/>
          <w:i/>
          <w:iCs/>
        </w:rPr>
        <w:t>UNODC Legislative Guides for the Implementation of the UN Convention Against Transnational Organised Crime and the Protocols thereto</w:t>
      </w:r>
      <w:r>
        <w:rPr>
          <w:rFonts w:ascii="Times New Roman" w:hAnsi="Times New Roman"/>
        </w:rPr>
        <w:t xml:space="preserve"> (Wytyczne legislacyjne UNODC w sprawie implementacji Konwencji ONZ przeciwko międzynarodowej przestępczości zorganizowanej i Protokołów do niej) z 2004 r.; Zestaw narzędzi UNODC do walki z handlem ludźmi (</w:t>
      </w:r>
      <w:r>
        <w:rPr>
          <w:rFonts w:ascii="Times New Roman" w:hAnsi="Times New Roman"/>
          <w:i/>
          <w:iCs/>
        </w:rPr>
        <w:t>UNODC Toolkit to Combat Trafficking in Persons</w:t>
      </w:r>
      <w:r>
        <w:rPr>
          <w:rFonts w:ascii="Times New Roman" w:hAnsi="Times New Roman"/>
        </w:rPr>
        <w:t>) z 2008 r.; Zestaw Narzędzi do oceny reakcji wymiaru sprawiedliwości na handel ludźmi — międzynarodowe ramy działania w celu implementacji Protokołu w sprawie handlu ludźmi z 2009 r. (</w:t>
      </w:r>
      <w:r>
        <w:rPr>
          <w:rFonts w:ascii="Times New Roman" w:hAnsi="Times New Roman"/>
          <w:i/>
          <w:iCs/>
        </w:rPr>
        <w:t>UNODC Assessment Toolkit on the Criminal Justice Response to Human Trafficking; the International Framework for Action To Implement the Trafficking in Persons Protocol</w:t>
      </w:r>
      <w:r>
        <w:rPr>
          <w:rFonts w:ascii="Times New Roman" w:hAnsi="Times New Roman"/>
        </w:rPr>
        <w:t xml:space="preserve">); </w:t>
      </w:r>
      <w:r>
        <w:rPr>
          <w:rFonts w:ascii="Times New Roman" w:hAnsi="Times New Roman"/>
          <w:i/>
          <w:iCs/>
        </w:rPr>
        <w:t xml:space="preserve">the Abuse of a Position of Vulnerability and other “Means” Within the Definition of Trafficking in Persons </w:t>
      </w:r>
      <w:r>
        <w:rPr>
          <w:rFonts w:ascii="Times New Roman" w:hAnsi="Times New Roman"/>
        </w:rPr>
        <w:t xml:space="preserve">(Nadużycie bezradnego położenia i inne „metody” w definicji handlu ludźmi) z 2012 r.; </w:t>
      </w:r>
      <w:r>
        <w:rPr>
          <w:rFonts w:ascii="Times New Roman" w:hAnsi="Times New Roman"/>
          <w:i/>
          <w:iCs/>
        </w:rPr>
        <w:t>The Role of “Consent” in the Trafficking in Persons Protocol</w:t>
      </w:r>
      <w:r>
        <w:rPr>
          <w:rFonts w:ascii="Times New Roman" w:hAnsi="Times New Roman"/>
        </w:rPr>
        <w:t xml:space="preserve"> </w:t>
      </w:r>
      <w:r>
        <w:rPr>
          <w:rFonts w:ascii="Times New Roman" w:hAnsi="Times New Roman"/>
          <w:bCs/>
        </w:rPr>
        <w:t>(Rola „zgody” w Protokole o handlu ludźmi)</w:t>
      </w:r>
      <w:r>
        <w:rPr>
          <w:rFonts w:ascii="Times New Roman" w:hAnsi="Times New Roman"/>
        </w:rPr>
        <w:t xml:space="preserve"> z 2014 r.; </w:t>
      </w:r>
      <w:r>
        <w:rPr>
          <w:rFonts w:ascii="Times New Roman" w:hAnsi="Times New Roman"/>
          <w:bCs/>
          <w:i/>
          <w:iCs/>
        </w:rPr>
        <w:t>The Concept of “Exploitation”</w:t>
      </w:r>
      <w:r>
        <w:rPr>
          <w:rFonts w:ascii="Times New Roman" w:hAnsi="Times New Roman"/>
          <w:bCs/>
        </w:rPr>
        <w:t xml:space="preserve"> </w:t>
      </w:r>
      <w:r>
        <w:rPr>
          <w:rFonts w:ascii="Times New Roman" w:hAnsi="Times New Roman"/>
        </w:rPr>
        <w:t xml:space="preserve">(Pojęcie „wykorzystania”), </w:t>
      </w:r>
      <w:r>
        <w:rPr>
          <w:rFonts w:ascii="Times New Roman" w:hAnsi="Times New Roman"/>
          <w:i/>
          <w:iCs/>
        </w:rPr>
        <w:t>op. cit.</w:t>
      </w:r>
      <w:r>
        <w:rPr>
          <w:rFonts w:ascii="Times New Roman" w:hAnsi="Times New Roman"/>
        </w:rPr>
        <w:t xml:space="preserve"> </w:t>
      </w:r>
      <w:r w:rsidRPr="00076546">
        <w:rPr>
          <w:rFonts w:ascii="Times New Roman" w:hAnsi="Times New Roman"/>
          <w:i/>
        </w:rPr>
        <w:t>Vide</w:t>
      </w:r>
      <w:r>
        <w:rPr>
          <w:rFonts w:ascii="Times New Roman" w:hAnsi="Times New Roman"/>
        </w:rPr>
        <w:t xml:space="preserve"> także: Biuro Wysokiego Komisarza ds. Praw Człowieka, Zalecane zasady i wskazówki w zakresie praw człowieka i handlu ludźmi (</w:t>
      </w:r>
      <w:r>
        <w:rPr>
          <w:rFonts w:ascii="Times New Roman" w:hAnsi="Times New Roman"/>
          <w:i/>
          <w:iCs/>
        </w:rPr>
        <w:t>Recommended Principles and Guidelines on Human Rights and Human Trafficking</w:t>
      </w:r>
      <w:r>
        <w:rPr>
          <w:rFonts w:ascii="Times New Roman" w:hAnsi="Times New Roman"/>
        </w:rPr>
        <w:t xml:space="preserve">), E/2002/68/Add.1 i Podstawowe Zasady ONZ w sprawie prawa do skutecznej drogi prawnej dla ofiar handlu ludźmi. </w:t>
      </w:r>
    </w:p>
  </w:footnote>
  <w:footnote w:id="60">
    <w:p w14:paraId="0690B56B" w14:textId="10E1BAAF"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Według </w:t>
      </w:r>
      <w:r>
        <w:rPr>
          <w:rFonts w:ascii="Times New Roman" w:hAnsi="Times New Roman"/>
          <w:i/>
          <w:iCs/>
        </w:rPr>
        <w:t>Travaux Préparatoires</w:t>
      </w:r>
      <w:r>
        <w:rPr>
          <w:rFonts w:ascii="Times New Roman" w:hAnsi="Times New Roman"/>
        </w:rPr>
        <w:t xml:space="preserve"> „słowa «jako minimum» umożliwią Państwom-Stronom wyjście w kryminalizacji poza zawartą w tej definicji listę czynów zabronionych, z założenia [mają również] umożliwić objęcie protokołem przyszłych form wykorzystywania (tj. form wykorzystywania, które nie [są] jeszcze znane” (UNODC, </w:t>
      </w:r>
      <w:r>
        <w:rPr>
          <w:rFonts w:ascii="Times New Roman" w:hAnsi="Times New Roman"/>
          <w:i/>
          <w:iCs/>
        </w:rPr>
        <w:t>Travaux Préparatoires of the Negotiations for the Elabouration of the United Nations Convention against Transnational Organized Crime and the Protocols Thereto</w:t>
      </w:r>
      <w:r>
        <w:rPr>
          <w:rFonts w:ascii="Times New Roman" w:hAnsi="Times New Roman"/>
          <w:iCs/>
        </w:rPr>
        <w:t xml:space="preserve"> (Materiały redakcyjne z negocjacji przy opracowywaniu Konwencji ONZ przeciwko międzynarodowej przestępczości zorganizowanej i Protokołów do niej) </w:t>
      </w:r>
      <w:r>
        <w:rPr>
          <w:rFonts w:ascii="Times New Roman" w:hAnsi="Times New Roman"/>
        </w:rPr>
        <w:t xml:space="preserve">(2006), s. 343, przyp. 22). „Niewyczerpujący charakter zawartej w Protokole definicji przejawia się na dwa sposoby: (i) za pośrednictwem terminu «jako minimum» oraz (ii) przez brak definicji odnoszących się do pojęć niezdefiniowanych gdzie indziej w prawie międzynarodowym”. (UNODC, </w:t>
      </w:r>
      <w:r>
        <w:rPr>
          <w:rFonts w:ascii="Times New Roman" w:hAnsi="Times New Roman"/>
          <w:bCs/>
        </w:rPr>
        <w:t xml:space="preserve">Pojęcie „wykorzystania”, </w:t>
      </w:r>
      <w:r>
        <w:rPr>
          <w:rFonts w:ascii="Times New Roman" w:hAnsi="Times New Roman"/>
          <w:bCs/>
          <w:i/>
          <w:iCs/>
        </w:rPr>
        <w:t>op. cit.</w:t>
      </w:r>
      <w:r>
        <w:rPr>
          <w:rFonts w:ascii="Times New Roman" w:hAnsi="Times New Roman"/>
          <w:bCs/>
        </w:rPr>
        <w:t>, s. 8</w:t>
      </w:r>
      <w:r>
        <w:rPr>
          <w:rFonts w:ascii="Times New Roman" w:hAnsi="Times New Roman"/>
        </w:rPr>
        <w:t>)</w:t>
      </w:r>
    </w:p>
  </w:footnote>
  <w:footnote w:id="61">
    <w:p w14:paraId="788C904D"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Według UNODC wzmianka o usługach umożliwiła objęcie zakazem innej bezprawnej bądź nieuregulowanej działalności, jakiej Państwa-Strony mogą nie uznawać za pracę (UNODC, </w:t>
      </w:r>
      <w:r>
        <w:rPr>
          <w:rFonts w:ascii="Times New Roman" w:hAnsi="Times New Roman"/>
          <w:bCs/>
        </w:rPr>
        <w:t xml:space="preserve">Pojęcie „wykorzystania”, </w:t>
      </w:r>
      <w:r>
        <w:rPr>
          <w:rFonts w:ascii="Times New Roman" w:hAnsi="Times New Roman"/>
          <w:bCs/>
          <w:i/>
          <w:iCs/>
        </w:rPr>
        <w:t>op. cit.</w:t>
      </w:r>
      <w:r>
        <w:rPr>
          <w:rFonts w:ascii="Times New Roman" w:hAnsi="Times New Roman"/>
          <w:bCs/>
        </w:rPr>
        <w:t xml:space="preserve">, s. </w:t>
      </w:r>
      <w:r>
        <w:rPr>
          <w:rFonts w:ascii="Times New Roman" w:hAnsi="Times New Roman"/>
        </w:rPr>
        <w:t>31). Sprawozdanie wyjaśniające do Konwencji Rady Europy w sprawie działań przeciwko handlowi ludźmi, paragraf 92, nie odnosi się do tej kwestii bezpośrednio, lecz nie czyni rozróżnienia między „pracą przymusową” a „wymuszonymi usługami”.</w:t>
      </w:r>
    </w:p>
  </w:footnote>
  <w:footnote w:id="62">
    <w:p w14:paraId="4388D049"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Zgodnie z Notami interpretacyjnymi do </w:t>
      </w:r>
      <w:r>
        <w:rPr>
          <w:rFonts w:ascii="Times New Roman" w:hAnsi="Times New Roman"/>
          <w:i/>
        </w:rPr>
        <w:t>travaux préparatoires</w:t>
      </w:r>
      <w:r>
        <w:rPr>
          <w:rFonts w:ascii="Times New Roman" w:hAnsi="Times New Roman"/>
        </w:rPr>
        <w:t xml:space="preserve"> Protokołu z Palermo (A/55/383/Add.1, 3 listopada 2000 r.), pkt 66, nielegalna adopcja również mieści się w zakresie Protokołu. W sprawozdaniu wyjaśniającym do Konwencji Rady Europy w sprawie działań przeciwko handlowi ludźmi, pkt 94, powtórzono powyższe stanowisko.</w:t>
      </w:r>
    </w:p>
  </w:footnote>
  <w:footnote w:id="63">
    <w:p w14:paraId="72AB532A"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Zawarta w Wytycznych UNODC w sprawie implementacji Konwencji ONZ przeciwko międzynarodowej przestępczości zorganizowanej i Protokołów do niej wzmianka, że „usunięcie organów dziecka z uzasadnionych przyczyn medycznych lub leczniczych nie może wypełniać znamienia przestępstwa handlu ludźmi, jeżeli rodzic lub opiekun prawny ważnie wyraził na to zgodę” jest wieloznaczna, jako że może sugerować zastosowanie odmiennej reguły w przypadku dobrowolnego usunięcia organów osoby dorosłej „z uzasadnionych względów medycznych lub leczniczych”. Tak oczywiście nie jest, bowiem do dzieci i dorosłych stosuje się ta sama reguła uzasadnienia leczniczego. </w:t>
      </w:r>
    </w:p>
  </w:footnote>
  <w:footnote w:id="64">
    <w:p w14:paraId="31A25983"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w:t>
      </w:r>
      <w:r w:rsidRPr="00076546">
        <w:rPr>
          <w:rFonts w:ascii="Times New Roman" w:hAnsi="Times New Roman"/>
          <w:i/>
        </w:rPr>
        <w:t>Vide</w:t>
      </w:r>
      <w:r>
        <w:rPr>
          <w:rFonts w:ascii="Times New Roman" w:hAnsi="Times New Roman"/>
        </w:rPr>
        <w:t xml:space="preserve"> art. 3 Protokołu ONZ przeciwko przemytowi migrantów drogą lądową, morską i powietrzną i Gallagher and David, </w:t>
      </w:r>
      <w:r>
        <w:rPr>
          <w:rFonts w:ascii="Times New Roman" w:hAnsi="Times New Roman"/>
          <w:i/>
          <w:iCs/>
        </w:rPr>
        <w:t>The International Law on Migrant Smuggling</w:t>
      </w:r>
      <w:r>
        <w:rPr>
          <w:rFonts w:ascii="Times New Roman" w:hAnsi="Times New Roman"/>
        </w:rPr>
        <w:t>, Cambridge, 2014.</w:t>
      </w:r>
    </w:p>
  </w:footnote>
  <w:footnote w:id="65">
    <w:p w14:paraId="3C50B59B"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W swoim corocznym Raporcie o handlu ludźmi (</w:t>
      </w:r>
      <w:r>
        <w:rPr>
          <w:rFonts w:ascii="Times New Roman" w:hAnsi="Times New Roman"/>
          <w:i/>
          <w:iCs/>
        </w:rPr>
        <w:t>Trafficking in Persons Report</w:t>
      </w:r>
      <w:r>
        <w:rPr>
          <w:rFonts w:ascii="Times New Roman" w:hAnsi="Times New Roman"/>
        </w:rPr>
        <w:t>) amerykański federalny Departament Stanu monitoruje, czy dane państwo przestrzega zobowiązań wynikających z Protokołu z Palermo.</w:t>
      </w:r>
    </w:p>
  </w:footnote>
  <w:footnote w:id="66">
    <w:p w14:paraId="7F53CBEE" w14:textId="77777777" w:rsidR="004F24F5" w:rsidRPr="00281991" w:rsidRDefault="004F24F5" w:rsidP="00802C80">
      <w:pPr>
        <w:autoSpaceDE w:val="0"/>
        <w:autoSpaceDN w:val="0"/>
        <w:adjustRightInd w:val="0"/>
        <w:rPr>
          <w:rFonts w:ascii="Times New Roman" w:hAnsi="Times New Roman" w:cs="Times New Roman"/>
          <w:sz w:val="20"/>
          <w:szCs w:val="20"/>
        </w:rPr>
      </w:pPr>
      <w:r>
        <w:rPr>
          <w:rStyle w:val="Odwoanieprzypisudolnego"/>
          <w:rFonts w:ascii="Times New Roman" w:hAnsi="Times New Roman" w:cs="Times New Roman"/>
          <w:sz w:val="20"/>
          <w:szCs w:val="20"/>
        </w:rPr>
        <w:footnoteRef/>
      </w:r>
      <w:r>
        <w:rPr>
          <w:rFonts w:ascii="Times New Roman" w:hAnsi="Times New Roman"/>
          <w:sz w:val="20"/>
          <w:szCs w:val="20"/>
        </w:rPr>
        <w:t xml:space="preserve"> Ustawa modelowa UNODC, </w:t>
      </w:r>
      <w:r>
        <w:rPr>
          <w:rFonts w:ascii="Times New Roman" w:hAnsi="Times New Roman"/>
          <w:i/>
          <w:iCs/>
          <w:sz w:val="20"/>
          <w:szCs w:val="20"/>
        </w:rPr>
        <w:t>op. cit.</w:t>
      </w:r>
      <w:r>
        <w:rPr>
          <w:rFonts w:ascii="Times New Roman" w:hAnsi="Times New Roman"/>
          <w:sz w:val="20"/>
          <w:szCs w:val="20"/>
        </w:rPr>
        <w:t>, s. 11: „zastosowanie przemocy lub jej groźby, jak również określonych form niepołączonych z gwałtownym działaniem bądź psychologicznym zastosowaniem przemocy lub jej groźby, w tym m.in.: (i) groźby skrzywdzenia osoby bądź zastosowania wobec niej przymusu fizycznego; (ii) wszelkie spiski, plany i wzorce mające wywołać u osoby przekonanie, że niewykonanie czynności będzie skutkować poważną krzywdą lub fizycznym przymusem skierowanym przeciwko jakiejkolwiek osobie; (iii) nadużycie bądź groźba odnosząca się do prawnego statusu osoby; (iv) presja psychologiczna”.</w:t>
      </w:r>
    </w:p>
  </w:footnote>
  <w:footnote w:id="67">
    <w:p w14:paraId="4CC35462" w14:textId="3EC3880B"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Ustawa modelowa UNODC, </w:t>
      </w:r>
      <w:r>
        <w:rPr>
          <w:rFonts w:ascii="Times New Roman" w:hAnsi="Times New Roman"/>
          <w:i/>
          <w:iCs/>
        </w:rPr>
        <w:t>op. cit.</w:t>
      </w:r>
      <w:r>
        <w:rPr>
          <w:rFonts w:ascii="Times New Roman" w:hAnsi="Times New Roman"/>
        </w:rPr>
        <w:t>, s. 12: „Wprowadzenie w błąd lub podstęp może dotyczyć charakteru pracy lub usług, jakie ofiara handlu ludźmi ma świadczyć (na przykład obiecuje się jej pracę pracownika domowego, a zmusza do prostytucji), jak również do warunków, w których ma ona wykonywać pracę bądź świadczyć usługi (na przykład obiecuje się jej możliwość otrzymania legalnego zatrudnienia i pozwolenia na pobyt, odpowiednią zapłatę i normalne warunki pracy, a tymczasem nie otrzymuje ona wynagrodzenia, jest zmuszana do wykonywania pracy w ekstremalnie długim wymiarze, pozbawia się ją dokumentów podróżnych lub dokumentów tożsamości, swobody poruszania się lub grozi odwetem, jeżeli podejmie próbę ucieczki)”.</w:t>
      </w:r>
    </w:p>
  </w:footnote>
  <w:footnote w:id="68">
    <w:p w14:paraId="7C89153B" w14:textId="77777777" w:rsidR="004F24F5" w:rsidRPr="00281991" w:rsidRDefault="004F24F5" w:rsidP="00802C80">
      <w:pPr>
        <w:autoSpaceDE w:val="0"/>
        <w:autoSpaceDN w:val="0"/>
        <w:adjustRightInd w:val="0"/>
        <w:rPr>
          <w:rFonts w:ascii="Times New Roman" w:hAnsi="Times New Roman" w:cs="Times New Roman"/>
          <w:sz w:val="20"/>
          <w:szCs w:val="20"/>
        </w:rPr>
      </w:pPr>
      <w:r>
        <w:rPr>
          <w:rStyle w:val="Odwoanieprzypisudolnego"/>
          <w:rFonts w:ascii="Times New Roman" w:hAnsi="Times New Roman" w:cs="Times New Roman"/>
          <w:sz w:val="20"/>
          <w:szCs w:val="20"/>
        </w:rPr>
        <w:footnoteRef/>
      </w:r>
      <w:r>
        <w:rPr>
          <w:rFonts w:ascii="Times New Roman" w:hAnsi="Times New Roman"/>
          <w:sz w:val="20"/>
          <w:szCs w:val="20"/>
        </w:rPr>
        <w:t xml:space="preserve"> W Notach interpretacyjnych do </w:t>
      </w:r>
      <w:r>
        <w:rPr>
          <w:rFonts w:ascii="Times New Roman" w:hAnsi="Times New Roman"/>
          <w:i/>
          <w:sz w:val="20"/>
          <w:szCs w:val="20"/>
        </w:rPr>
        <w:t>travaux préparatoires</w:t>
      </w:r>
      <w:r>
        <w:rPr>
          <w:rFonts w:ascii="Times New Roman" w:hAnsi="Times New Roman"/>
          <w:sz w:val="20"/>
          <w:szCs w:val="20"/>
        </w:rPr>
        <w:t xml:space="preserve"> do protokołu, </w:t>
      </w:r>
      <w:r>
        <w:rPr>
          <w:rFonts w:ascii="Times New Roman" w:hAnsi="Times New Roman"/>
          <w:i/>
          <w:iCs/>
          <w:sz w:val="20"/>
          <w:szCs w:val="20"/>
        </w:rPr>
        <w:t>op. cit.</w:t>
      </w:r>
      <w:r>
        <w:rPr>
          <w:rFonts w:ascii="Times New Roman" w:hAnsi="Times New Roman"/>
          <w:sz w:val="20"/>
          <w:szCs w:val="20"/>
        </w:rPr>
        <w:t xml:space="preserve">, pkt 63, „sytuację bezbronności” określa się jako sytuację, w której „dana osoba nie ma realnego lub możliwego do zaakceptowania wyboru innego niż poddanie się nadużyciu”. Zarówno unijna Dyrektywa 2011/36/UE, jak i Sprawozdanie wyjaśniające do Konwencji Rady Europy w sprawie działań przeciwko handlowi ludźmi, paragraf 83, powtarzają sformułowanie Not interpretacyjnych. Definicja zawarta w Ustawie modelowej UNODCS, </w:t>
      </w:r>
      <w:r>
        <w:rPr>
          <w:rFonts w:ascii="Times New Roman" w:hAnsi="Times New Roman"/>
          <w:i/>
          <w:iCs/>
          <w:sz w:val="20"/>
          <w:szCs w:val="20"/>
        </w:rPr>
        <w:t>op. cit.</w:t>
      </w:r>
      <w:r>
        <w:rPr>
          <w:rFonts w:ascii="Times New Roman" w:hAnsi="Times New Roman"/>
          <w:sz w:val="20"/>
          <w:szCs w:val="20"/>
        </w:rPr>
        <w:t xml:space="preserve">, s. 9 różni się: „dowolna sytuacja, w której zainteresowana osoba żywi przekonanie, że nie ma żadnej realnej ani akceptowalnej alternatywy dla poddania się”. </w:t>
      </w:r>
      <w:r w:rsidRPr="00076546">
        <w:rPr>
          <w:rFonts w:ascii="Times New Roman" w:hAnsi="Times New Roman"/>
          <w:i/>
          <w:sz w:val="20"/>
          <w:szCs w:val="20"/>
        </w:rPr>
        <w:t>Vide</w:t>
      </w:r>
      <w:r>
        <w:rPr>
          <w:rFonts w:ascii="Times New Roman" w:hAnsi="Times New Roman"/>
          <w:sz w:val="20"/>
          <w:szCs w:val="20"/>
        </w:rPr>
        <w:t xml:space="preserve"> także Wytyczne do badań MOP, </w:t>
      </w:r>
      <w:r>
        <w:rPr>
          <w:rFonts w:ascii="Times New Roman" w:hAnsi="Times New Roman"/>
          <w:i/>
          <w:iCs/>
          <w:sz w:val="20"/>
          <w:szCs w:val="20"/>
        </w:rPr>
        <w:t>op. cit.</w:t>
      </w:r>
      <w:r>
        <w:rPr>
          <w:rFonts w:ascii="Times New Roman" w:hAnsi="Times New Roman"/>
          <w:sz w:val="20"/>
          <w:szCs w:val="20"/>
        </w:rPr>
        <w:t xml:space="preserve">, s. 16, oraz art. 8 lit. b Arabskiej ustawy modelowej o zwalczaniu handlu ludźmi. Wydaje się, że bezbronność obejmuje zarówno wrodzone, jak i nabyte cechy ofiary, a także kontekst sytuacyjny, w jakim się znajduje, na przykład skrajne ubóstwo. </w:t>
      </w:r>
    </w:p>
  </w:footnote>
  <w:footnote w:id="69">
    <w:p w14:paraId="32006C46" w14:textId="6E46D7DF"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UNODC, </w:t>
      </w:r>
      <w:r>
        <w:rPr>
          <w:rFonts w:ascii="Times New Roman" w:hAnsi="Times New Roman"/>
          <w:i/>
          <w:iCs/>
        </w:rPr>
        <w:t>Anti-Human Trafficking Manual for Criminal Justice Practitioners</w:t>
      </w:r>
      <w:r>
        <w:rPr>
          <w:rFonts w:ascii="Times New Roman" w:hAnsi="Times New Roman"/>
        </w:rPr>
        <w:t xml:space="preserve"> (Instrukcja w sprawie handlu ludźmi dla praktyków wymiaru sprawiedliwości) (2009), moduł 1, s. 4-5. UNODC zauważa, że w prawie krajowym może określić na poziomie niższym niż zamiar bezpośredni, np. jako umyślne niedostrzeganie (</w:t>
      </w:r>
      <w:r>
        <w:rPr>
          <w:rFonts w:ascii="Times New Roman" w:hAnsi="Times New Roman"/>
          <w:i/>
          <w:iCs/>
        </w:rPr>
        <w:t>willful blindness</w:t>
      </w:r>
      <w:r>
        <w:rPr>
          <w:rFonts w:ascii="Times New Roman" w:hAnsi="Times New Roman"/>
        </w:rPr>
        <w:t>).</w:t>
      </w:r>
    </w:p>
  </w:footnote>
  <w:footnote w:id="70">
    <w:p w14:paraId="55468C39" w14:textId="2ED489F6" w:rsidR="004F24F5" w:rsidRPr="00281991" w:rsidRDefault="004F24F5" w:rsidP="00802C80">
      <w:pPr>
        <w:autoSpaceDE w:val="0"/>
        <w:autoSpaceDN w:val="0"/>
        <w:adjustRightInd w:val="0"/>
        <w:rPr>
          <w:rFonts w:ascii="Times New Roman" w:hAnsi="Times New Roman" w:cs="Times New Roman"/>
          <w:sz w:val="20"/>
          <w:szCs w:val="20"/>
        </w:rPr>
      </w:pPr>
      <w:r>
        <w:rPr>
          <w:rStyle w:val="Odwoanieprzypisudolnego"/>
          <w:rFonts w:ascii="Times New Roman" w:hAnsi="Times New Roman" w:cs="Times New Roman"/>
          <w:sz w:val="20"/>
          <w:szCs w:val="20"/>
        </w:rPr>
        <w:footnoteRef/>
      </w:r>
      <w:r>
        <w:rPr>
          <w:rFonts w:ascii="Times New Roman" w:hAnsi="Times New Roman"/>
          <w:sz w:val="20"/>
          <w:szCs w:val="20"/>
        </w:rPr>
        <w:t xml:space="preserve"> Art. 32 ust. 1 Statutu Rzymskiego.</w:t>
      </w:r>
    </w:p>
  </w:footnote>
  <w:footnote w:id="71">
    <w:p w14:paraId="0E7E5BE6" w14:textId="41951776" w:rsidR="004F24F5" w:rsidRPr="00281991" w:rsidRDefault="004F24F5" w:rsidP="00802C80">
      <w:pPr>
        <w:autoSpaceDE w:val="0"/>
        <w:autoSpaceDN w:val="0"/>
        <w:adjustRightInd w:val="0"/>
        <w:rPr>
          <w:rFonts w:ascii="Times New Roman" w:hAnsi="Times New Roman" w:cs="Times New Roman"/>
          <w:sz w:val="20"/>
          <w:szCs w:val="20"/>
        </w:rPr>
      </w:pPr>
      <w:r>
        <w:rPr>
          <w:rStyle w:val="Odwoanieprzypisudolnego"/>
          <w:rFonts w:ascii="Times New Roman" w:hAnsi="Times New Roman" w:cs="Times New Roman"/>
          <w:sz w:val="20"/>
          <w:szCs w:val="20"/>
        </w:rPr>
        <w:footnoteRef/>
      </w:r>
      <w:r>
        <w:rPr>
          <w:rFonts w:ascii="Times New Roman" w:hAnsi="Times New Roman"/>
          <w:sz w:val="20"/>
          <w:szCs w:val="20"/>
        </w:rPr>
        <w:t xml:space="preserve"> Art. 32 ust. 2 i art. 33 ust. 3 Statutu Rzymskiego.</w:t>
      </w:r>
      <w:r>
        <w:rPr>
          <w:rFonts w:ascii="Times New Roman" w:hAnsi="Times New Roman"/>
        </w:rPr>
        <w:t xml:space="preserve"> </w:t>
      </w:r>
      <w:r>
        <w:rPr>
          <w:rFonts w:ascii="Times New Roman" w:hAnsi="Times New Roman"/>
          <w:sz w:val="20"/>
          <w:szCs w:val="20"/>
        </w:rPr>
        <w:t xml:space="preserve">Wytyczne legislacyjne UNODC, </w:t>
      </w:r>
      <w:r>
        <w:rPr>
          <w:rFonts w:ascii="Times New Roman" w:hAnsi="Times New Roman"/>
          <w:i/>
          <w:iCs/>
          <w:sz w:val="20"/>
          <w:szCs w:val="20"/>
        </w:rPr>
        <w:t>op. cit.</w:t>
      </w:r>
      <w:r>
        <w:rPr>
          <w:rFonts w:ascii="Times New Roman" w:hAnsi="Times New Roman"/>
          <w:sz w:val="20"/>
          <w:szCs w:val="20"/>
        </w:rPr>
        <w:t>, s. 276: „Legislatorzy powinni zwrócić uwagę na to, że zamiar odnosi się jedynie do zachowania lub działania stanowiącego dane przestępstwo i powinien stanowić okoliczności wyłączającej odpowiedzialność karną, w szczególności, gdy dana osoba mogła być nieświadoma normy typizującej czyn zabroniony”.</w:t>
      </w:r>
    </w:p>
  </w:footnote>
  <w:footnote w:id="72">
    <w:p w14:paraId="20983D54"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Wytyczne legislacyjne UNODC, </w:t>
      </w:r>
      <w:r>
        <w:rPr>
          <w:rFonts w:ascii="Times New Roman" w:hAnsi="Times New Roman"/>
          <w:i/>
          <w:iCs/>
        </w:rPr>
        <w:t>op. cit.</w:t>
      </w:r>
      <w:r>
        <w:rPr>
          <w:rFonts w:ascii="Times New Roman" w:hAnsi="Times New Roman"/>
        </w:rPr>
        <w:t xml:space="preserve">, s. 268, oraz Sprawozdanie wyjaśniające do Konwencji Rady Europy w sprawie działań przeciwko handlowi ludźmi, paragraf 249. Inne ważne zobowiązania związane z prawem karnym wynikające z Protokołu z Palermo — </w:t>
      </w:r>
      <w:r w:rsidRPr="00076546">
        <w:rPr>
          <w:rFonts w:ascii="Times New Roman" w:hAnsi="Times New Roman"/>
          <w:i/>
        </w:rPr>
        <w:t>vide</w:t>
      </w:r>
      <w:r>
        <w:rPr>
          <w:rFonts w:ascii="Times New Roman" w:hAnsi="Times New Roman"/>
        </w:rPr>
        <w:t xml:space="preserve"> także Gallagher, </w:t>
      </w:r>
      <w:r>
        <w:rPr>
          <w:rFonts w:ascii="Times New Roman" w:hAnsi="Times New Roman"/>
          <w:i/>
          <w:iCs/>
        </w:rPr>
        <w:t>op. cit.</w:t>
      </w:r>
      <w:r>
        <w:rPr>
          <w:rFonts w:ascii="Times New Roman" w:hAnsi="Times New Roman"/>
        </w:rPr>
        <w:t xml:space="preserve">, s. 80 i 81. </w:t>
      </w:r>
    </w:p>
  </w:footnote>
  <w:footnote w:id="73">
    <w:p w14:paraId="0B7590E4"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Wytyczne legislacyjne UNODC, </w:t>
      </w:r>
      <w:r>
        <w:rPr>
          <w:rFonts w:ascii="Times New Roman" w:hAnsi="Times New Roman"/>
          <w:i/>
          <w:iCs/>
        </w:rPr>
        <w:t>op. cit.</w:t>
      </w:r>
      <w:r>
        <w:rPr>
          <w:rFonts w:ascii="Times New Roman" w:hAnsi="Times New Roman"/>
        </w:rPr>
        <w:t xml:space="preserve">, s. 269: „Dokonanie czynu zabronionego stypizowanego w art. 3 Protokołu następuje na bardzo wczesnym etapie. Żadne wykorzystanie nie musi mieć miejsca”. </w:t>
      </w:r>
    </w:p>
  </w:footnote>
  <w:footnote w:id="74">
    <w:p w14:paraId="38443858" w14:textId="0FB1E6B5"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Ponadto Państwa powinny przyjąć środki polegające na prewencji i współpracy. Jedynie trzy artykuły definiują status i prawa ofiar handlu, jednak są one sformułowane w sposób aspiracyjny.</w:t>
      </w:r>
    </w:p>
  </w:footnote>
  <w:footnote w:id="75">
    <w:p w14:paraId="2C3266AE"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w:t>
      </w:r>
      <w:r w:rsidRPr="00076546">
        <w:rPr>
          <w:rFonts w:ascii="Times New Roman" w:hAnsi="Times New Roman"/>
          <w:i/>
        </w:rPr>
        <w:t>Vide</w:t>
      </w:r>
      <w:r>
        <w:rPr>
          <w:rFonts w:ascii="Times New Roman" w:hAnsi="Times New Roman"/>
        </w:rPr>
        <w:t xml:space="preserve"> Wytyczne legislacyjne UNODC, </w:t>
      </w:r>
      <w:r>
        <w:rPr>
          <w:rFonts w:ascii="Times New Roman" w:hAnsi="Times New Roman"/>
          <w:i/>
          <w:iCs/>
        </w:rPr>
        <w:t>op. cit.</w:t>
      </w:r>
      <w:r>
        <w:rPr>
          <w:rFonts w:ascii="Times New Roman" w:hAnsi="Times New Roman"/>
        </w:rPr>
        <w:t xml:space="preserve">, s. 259: („W przypadku handlu ludźmi zastosowanie </w:t>
      </w:r>
      <w:r w:rsidRPr="00EE0E4F">
        <w:rPr>
          <w:rFonts w:ascii="Times New Roman" w:hAnsi="Times New Roman"/>
        </w:rPr>
        <w:t>mieć powinny czyny krajowe</w:t>
      </w:r>
      <w:r>
        <w:rPr>
          <w:rFonts w:ascii="Times New Roman" w:hAnsi="Times New Roman"/>
        </w:rPr>
        <w:t>, nawet w braku transgranicznego charakteru i udziału zorganizowanych grup przestępczych”) oraz s. 275-276.</w:t>
      </w:r>
    </w:p>
  </w:footnote>
  <w:footnote w:id="76">
    <w:p w14:paraId="2499EB78"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Ustawa modelowa UNODC, </w:t>
      </w:r>
      <w:r>
        <w:rPr>
          <w:rFonts w:ascii="Times New Roman" w:hAnsi="Times New Roman"/>
          <w:i/>
          <w:iCs/>
        </w:rPr>
        <w:t>op. cit.</w:t>
      </w:r>
      <w:r>
        <w:rPr>
          <w:rFonts w:ascii="Times New Roman" w:hAnsi="Times New Roman"/>
        </w:rPr>
        <w:t xml:space="preserve">, s. 35. </w:t>
      </w:r>
      <w:r w:rsidRPr="00076546">
        <w:rPr>
          <w:rFonts w:ascii="Times New Roman" w:hAnsi="Times New Roman"/>
          <w:i/>
        </w:rPr>
        <w:t>Vide</w:t>
      </w:r>
      <w:r>
        <w:rPr>
          <w:rFonts w:ascii="Times New Roman" w:hAnsi="Times New Roman"/>
        </w:rPr>
        <w:t xml:space="preserve"> także Deklaracja z Miami w sprawie zasad dotyczących handlu ludźmi (10 lutego 2015 r.), 1 Intercultural Human Rights L. Rev. 11 (2006).</w:t>
      </w:r>
    </w:p>
  </w:footnote>
  <w:footnote w:id="77">
    <w:p w14:paraId="3FEB0E4B" w14:textId="77777777" w:rsidR="004F24F5" w:rsidRPr="001838AA"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w:t>
      </w:r>
      <w:r w:rsidRPr="00076546">
        <w:rPr>
          <w:rFonts w:ascii="Times New Roman" w:hAnsi="Times New Roman"/>
          <w:i/>
        </w:rPr>
        <w:t>Vide</w:t>
      </w:r>
      <w:r>
        <w:rPr>
          <w:rFonts w:ascii="Times New Roman" w:hAnsi="Times New Roman"/>
        </w:rPr>
        <w:t xml:space="preserve"> Międzyamerykański Trybunał Praw Człowieka,</w:t>
      </w:r>
      <w:r>
        <w:rPr>
          <w:rFonts w:ascii="Times New Roman" w:hAnsi="Times New Roman"/>
          <w:i/>
        </w:rPr>
        <w:t xml:space="preserve"> Masakry Ituango p-ko</w:t>
      </w:r>
      <w:r>
        <w:rPr>
          <w:rFonts w:ascii="Times New Roman" w:hAnsi="Times New Roman"/>
          <w:i/>
          <w:iCs/>
        </w:rPr>
        <w:t xml:space="preserve"> Kolumbii</w:t>
      </w:r>
      <w:r>
        <w:rPr>
          <w:rFonts w:ascii="Times New Roman" w:hAnsi="Times New Roman"/>
        </w:rPr>
        <w:t xml:space="preserve">, Seria C, nr 148, 1 lipca 2006, §§154-168, z zastosowaniem kryteriów art. 2 ust. 1 Konwencji MOP nr 29 oraz dokumenty Międzyamerykańskiej Komisji Praw Człowieka, </w:t>
      </w:r>
      <w:r>
        <w:rPr>
          <w:rFonts w:ascii="Times New Roman" w:hAnsi="Times New Roman"/>
          <w:i/>
        </w:rPr>
        <w:t>Captive Communities: Situation of the Guaraní Indigenous People and Contemporary Forms of Slavery in the Bolivian Chaco</w:t>
      </w:r>
      <w:r>
        <w:rPr>
          <w:rFonts w:ascii="Times New Roman" w:hAnsi="Times New Roman"/>
        </w:rPr>
        <w:t xml:space="preserve"> (Społeczności w niewoli — sytuacja rdzennej ludności Guaraní a współczesne formy niewolnictwa w boliwijskim Chaco), OEA/SER.L/v/ii, Doc. 58, 24 grudnia 2009 r., s. 27, z odniesieniem do zasadniczo tożsamych kryteriów.</w:t>
      </w:r>
    </w:p>
  </w:footnote>
  <w:footnote w:id="78">
    <w:p w14:paraId="379039D3"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w:t>
      </w:r>
      <w:r w:rsidRPr="00076546">
        <w:rPr>
          <w:rFonts w:ascii="Times New Roman" w:hAnsi="Times New Roman"/>
          <w:i/>
        </w:rPr>
        <w:t>Vide</w:t>
      </w:r>
      <w:r>
        <w:rPr>
          <w:rFonts w:ascii="Times New Roman" w:hAnsi="Times New Roman"/>
        </w:rPr>
        <w:t xml:space="preserve"> </w:t>
      </w:r>
      <w:r>
        <w:rPr>
          <w:rFonts w:ascii="Times New Roman" w:hAnsi="Times New Roman"/>
          <w:i/>
        </w:rPr>
        <w:t>Malawi African Association i Inni p-ko Mauretanii</w:t>
      </w:r>
      <w:r>
        <w:rPr>
          <w:rFonts w:ascii="Times New Roman" w:hAnsi="Times New Roman"/>
        </w:rPr>
        <w:t>, Afrykańska Komisja Praw Człowieka i Ludów, komunikaty nr 54/91, 61/91, 98/93, 164/97 do 196/97 oraz 210/98 (2000), § 135, gdzie miało miejsce naruszenie art. 5 Karty przez praktyki zbliżone do niewolnictwa. Komisja podkreśliła, że praca bez wynagrodzenia jest równoznaczna z naruszeniem prawa do szacunku dla przyrodzonej godności istoty ludzkiej.</w:t>
      </w:r>
    </w:p>
  </w:footnote>
  <w:footnote w:id="79">
    <w:p w14:paraId="330720AE"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Trybunał Sprawiedliwości ECOWAS, </w:t>
      </w:r>
      <w:r>
        <w:rPr>
          <w:rFonts w:ascii="Times New Roman" w:hAnsi="Times New Roman"/>
          <w:i/>
        </w:rPr>
        <w:t>Hadijatou Mani Koraou</w:t>
      </w:r>
      <w:r>
        <w:rPr>
          <w:rFonts w:ascii="Times New Roman" w:hAnsi="Times New Roman"/>
          <w:i/>
          <w:iCs/>
        </w:rPr>
        <w:t xml:space="preserve"> p-ko Republice Nigru</w:t>
      </w:r>
      <w:r>
        <w:rPr>
          <w:rFonts w:ascii="Times New Roman" w:hAnsi="Times New Roman"/>
        </w:rPr>
        <w:t xml:space="preserve">, ECW/CCJ/JUD/06/08 (27 październik 2008 r.), § 81. </w:t>
      </w:r>
    </w:p>
  </w:footnote>
  <w:footnote w:id="80">
    <w:p w14:paraId="337D8290"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Rada Arabskich Ministrów Sprawiedliwości w 2005 r. i Rada Arabskich Ministrów Spraw Wewnętrznych w 2006 już wcześniej przyjęła Modelową arabską ustawę o handlu ludźmi (Modelową ustawę o zwalczaniu przestępstwa handlu ludźmi), powtarzającą definicję handlu ludźmi zawartą w Protokole z Palermo.</w:t>
      </w:r>
    </w:p>
  </w:footnote>
  <w:footnote w:id="81">
    <w:p w14:paraId="71068F7F"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Państwami WNP są: Azerbejdżan, Armenia, Białoruś, Kazachstan, Kirgistan, Mołdawia, Rosja, Tadżykistan i Uzbekistan. Turkmenistan i Ukraina są państwami stowarzyszonymi.</w:t>
      </w:r>
    </w:p>
  </w:footnote>
  <w:footnote w:id="82">
    <w:p w14:paraId="23BBFC64"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Protokoły posiedzeń okrągłego stołu zostały opublikowane i są dostępne w Internecie.</w:t>
      </w:r>
    </w:p>
  </w:footnote>
  <w:footnote w:id="83">
    <w:p w14:paraId="7DCE488A"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W Azji zwalczanie handlu ludźmi jeszcze do niedawna skupiało się na handlu prowadzonym w celu zmuszania do prostytucji (</w:t>
      </w:r>
      <w:r w:rsidRPr="00076546">
        <w:rPr>
          <w:rFonts w:ascii="Times New Roman" w:hAnsi="Times New Roman"/>
          <w:i/>
        </w:rPr>
        <w:t>vide</w:t>
      </w:r>
      <w:r>
        <w:rPr>
          <w:rFonts w:ascii="Times New Roman" w:hAnsi="Times New Roman"/>
        </w:rPr>
        <w:t xml:space="preserve"> Konwencja Południowoazjatyckiego Stowarzyszenia Współpracy Regionalnej w sprawie zapobiegania i zwalczania handlu kobietami i dziećmi w celu prostytucji oraz Komisja Ekonomiczna i Społeczna ONZ dla Azji i Pacyfiku, </w:t>
      </w:r>
      <w:r>
        <w:rPr>
          <w:rFonts w:ascii="Times New Roman" w:hAnsi="Times New Roman"/>
          <w:i/>
          <w:iCs/>
        </w:rPr>
        <w:t>Combating Human Trafficking in Asia:</w:t>
      </w:r>
      <w:r>
        <w:rPr>
          <w:rFonts w:ascii="Times New Roman" w:hAnsi="Times New Roman"/>
        </w:rPr>
        <w:t xml:space="preserve"> </w:t>
      </w:r>
      <w:r>
        <w:rPr>
          <w:rFonts w:ascii="Times New Roman" w:hAnsi="Times New Roman"/>
          <w:i/>
          <w:iCs/>
        </w:rPr>
        <w:t>A Resource Guide to International and Regional Legal Instruments, Political Commitments and Recommended Practices</w:t>
      </w:r>
      <w:r>
        <w:rPr>
          <w:rFonts w:ascii="Times New Roman" w:hAnsi="Times New Roman"/>
        </w:rPr>
        <w:t xml:space="preserve"> — Zwalczanie handlu ludźmi w Azji. Zasobnik aktów międzynarodowych i regionalnych, zobowiązań politycznych i zalecanych praktyk — 2003). Jako już wcześniej wspomniano, temat ten wykracza poza zakres niniejszej opinii.</w:t>
      </w:r>
    </w:p>
  </w:footnote>
  <w:footnote w:id="84">
    <w:p w14:paraId="6DC1C985"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W skład OBWE wchodzi 57 państw członkowskich z Europy, Azji Środkowej i Ameryki Północnej.</w:t>
      </w:r>
    </w:p>
  </w:footnote>
  <w:footnote w:id="85">
    <w:p w14:paraId="3E5CE907"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Akt Rady z dnia 26 lipca 1995 roku sporządzający Konwencję w sprawie ustanowienia Europejskiego Urzędu Policji.</w:t>
      </w:r>
    </w:p>
  </w:footnote>
  <w:footnote w:id="86">
    <w:p w14:paraId="0D64992C" w14:textId="77777777" w:rsidR="004F24F5" w:rsidRPr="00281991" w:rsidRDefault="004F24F5" w:rsidP="00802C80">
      <w:pPr>
        <w:autoSpaceDE w:val="0"/>
        <w:autoSpaceDN w:val="0"/>
        <w:adjustRightInd w:val="0"/>
        <w:rPr>
          <w:rFonts w:ascii="Times New Roman" w:hAnsi="Times New Roman" w:cs="Times New Roman"/>
          <w:sz w:val="20"/>
          <w:szCs w:val="20"/>
        </w:rPr>
      </w:pPr>
      <w:r>
        <w:rPr>
          <w:rStyle w:val="Odwoanieprzypisudolnego"/>
          <w:rFonts w:ascii="Times New Roman" w:hAnsi="Times New Roman" w:cs="Times New Roman"/>
          <w:sz w:val="20"/>
          <w:szCs w:val="20"/>
        </w:rPr>
        <w:footnoteRef/>
      </w:r>
      <w:r>
        <w:rPr>
          <w:rFonts w:ascii="Times New Roman" w:hAnsi="Times New Roman"/>
          <w:sz w:val="20"/>
          <w:szCs w:val="20"/>
        </w:rPr>
        <w:t xml:space="preserve"> Zgodnie z wyjaśnieniami Prezydium Konwencji odnoszącymi się do tekstu Karty: „Prawo zawarte w artykule 5 ustępy 1 i 2 odpowiada artykułowi 4 ustępy 1 i 2 Europejskiej Konwencji o ochronie praw człowieka i podstawowych wolności o takim samym brzmieniu. Zgodnie z artykułem 52 ustęp 3 Karty prawo to ma więc takie samo znaczenie i zakres jak wspomniany artykuł europejskiej Konwencji o ochronie praw człowieka i podstawowych wolności. W związku z tym (…) prawo przewidziane w ustępie 1 nie może zgodnie z prawem zostać ograniczone”. Komentarz Sieci Niezależnych Ekspertów ds. Praw Podstawowych do Karty z 2006 r.: „W przeciwieństwie do niewolnictwa i poddaństwa, które są stanami trwałymi, praca przymusowa może mieć charakter incydentalny bądź bardziej tymczasowy”.</w:t>
      </w:r>
    </w:p>
  </w:footnote>
  <w:footnote w:id="87">
    <w:p w14:paraId="6754E87A" w14:textId="77777777" w:rsidR="004F24F5" w:rsidRPr="00281991" w:rsidRDefault="004F24F5" w:rsidP="00802C80">
      <w:pPr>
        <w:rPr>
          <w:rFonts w:ascii="Times New Roman" w:hAnsi="Times New Roman" w:cs="Times New Roman"/>
          <w:sz w:val="20"/>
          <w:szCs w:val="20"/>
        </w:rPr>
      </w:pPr>
      <w:r>
        <w:rPr>
          <w:rStyle w:val="Odwoanieprzypisudolnego"/>
          <w:rFonts w:ascii="Times New Roman" w:hAnsi="Times New Roman" w:cs="Times New Roman"/>
          <w:sz w:val="20"/>
          <w:szCs w:val="20"/>
        </w:rPr>
        <w:footnoteRef/>
      </w:r>
      <w:r>
        <w:rPr>
          <w:rFonts w:ascii="Times New Roman" w:hAnsi="Times New Roman"/>
          <w:sz w:val="20"/>
          <w:szCs w:val="20"/>
        </w:rPr>
        <w:t xml:space="preserve"> Decyzja ramowa Rady nr 2002/629/WSISW z dnia 19 lipca 2002 r. w sprawie zwalczania handlu ludźmi, następnie Plan UE dotyczący najlepszych praktyk, standardów i procedur zwalczania handlu ludźmi i zapobiegania mu z 2005 r., </w:t>
      </w:r>
      <w:r>
        <w:rPr>
          <w:rFonts w:ascii="Times New Roman" w:hAnsi="Times New Roman"/>
          <w:i/>
          <w:iCs/>
          <w:sz w:val="20"/>
          <w:szCs w:val="20"/>
        </w:rPr>
        <w:t>Measuring Responses to Trafficking in Human Beings in the European Union: an Assessment Manual</w:t>
      </w:r>
      <w:r>
        <w:rPr>
          <w:rFonts w:ascii="Times New Roman" w:hAnsi="Times New Roman"/>
          <w:sz w:val="20"/>
          <w:szCs w:val="20"/>
        </w:rPr>
        <w:t xml:space="preserve"> (Instrukcja oceny pomiaru reakcji na handel ludźmi w Unii Europejskiej) Dyrekcji Generalnej ds. Wolności, Bezpieczeństwa i Sprawiedliwości z 2007 r. Europejska Konferencja w sprawie zapobiegania i zwalczania handlu ludźmi — „Globalne wyzwania na XXI wiek” — przyniosła za sobą Deklarację brukselską w sprawie zapobiegania i zwalczania handlu ludźmi z dnia 29 listopada 2002 r., 14981/02.</w:t>
      </w:r>
    </w:p>
  </w:footnote>
  <w:footnote w:id="88">
    <w:p w14:paraId="3F6772B4"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Dyrektywa Rady 2004/81/WE z dnia 29 kwietnia 2004 r. w sprawie dokumentu pobytowego wydawanego obywatelom państw trzecich, którzy są ofiarami handlu ludźmi lub wcześniej byli przedmiotem działań ułatwiających nielegalną imigrację, którzy współpracują z właściwymi organami.</w:t>
      </w:r>
    </w:p>
  </w:footnote>
  <w:footnote w:id="89">
    <w:p w14:paraId="7EA829D2"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Dyrektywa Parlamentu Europejskiego i Rady 2009/52/WE z dnia 18 czerwca 2009 r. przewidująca minimalne normy w odniesieniu do kar i środków stosowanych wobec pracodawców zatrudniających nielegalnie przebywających obywateli krajów trzecich.</w:t>
      </w:r>
    </w:p>
  </w:footnote>
  <w:footnote w:id="90">
    <w:p w14:paraId="1459539B"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w:t>
      </w:r>
      <w:r w:rsidRPr="00076546">
        <w:rPr>
          <w:rFonts w:ascii="Times New Roman" w:hAnsi="Times New Roman"/>
          <w:i/>
        </w:rPr>
        <w:t>Vide</w:t>
      </w:r>
      <w:r>
        <w:rPr>
          <w:rFonts w:ascii="Times New Roman" w:hAnsi="Times New Roman"/>
        </w:rPr>
        <w:t xml:space="preserve"> także Rezolucja Parlamentu Europejskiego z dnia 17 stycznia 2006 r. w sprawie strategii zapobiegania handlowi kobietami i dziećmi narażonymi na wykorzystanie seksualne; zalecenie Parlamentu Europejskiego dla Rady dotyczącego walki z handlem ludźmi - podejście zintegrowane oraz propozycje planu działania </w:t>
      </w:r>
      <w:r>
        <w:rPr>
          <w:rFonts w:ascii="Times New Roman" w:hAnsi="Times New Roman"/>
          <w:sz w:val="22"/>
          <w:szCs w:val="22"/>
        </w:rPr>
        <w:t>(2006/2078(INI))</w:t>
      </w:r>
      <w:r>
        <w:rPr>
          <w:rFonts w:ascii="Times New Roman" w:hAnsi="Times New Roman"/>
        </w:rPr>
        <w:t>.</w:t>
      </w:r>
    </w:p>
  </w:footnote>
  <w:footnote w:id="91">
    <w:p w14:paraId="41E90D97" w14:textId="36EC6341"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Dyrektywa Parlamentu Europejskiego i Rady 2011/36/UE z dnia 5 kwietnia 2011 r. w sprawie zapobiegania handlowi ludźmi i zwalczania tego procederu oraz ochrony ofiar, zastępująca decyzję ramową Rady 2002/629/WSiSW. Zob. wielce użyteczny </w:t>
      </w:r>
      <w:r>
        <w:rPr>
          <w:rFonts w:ascii="Times New Roman" w:hAnsi="Times New Roman"/>
          <w:i/>
          <w:iCs/>
        </w:rPr>
        <w:t>Joint UN Commentary on the EU Directive – A Human Rights-Based Approach</w:t>
      </w:r>
      <w:r>
        <w:rPr>
          <w:rFonts w:ascii="Times New Roman" w:hAnsi="Times New Roman"/>
        </w:rPr>
        <w:t xml:space="preserve"> (Wspólny komentarz ONZ do Dyrektywy UE — Podejście oparte na prawach człowieka) z 2011 r. w kwestii „podejścia o niskim progu dostępności” do reagowania na potrzeby pomocy i ochrony ofiar w przypadkach, w których handel ludźmi nie może zostać udowodniony przez system wymiaru sprawiedliwości.</w:t>
      </w:r>
    </w:p>
  </w:footnote>
  <w:footnote w:id="92">
    <w:p w14:paraId="24BB411C"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W </w:t>
      </w:r>
      <w:r>
        <w:rPr>
          <w:rFonts w:ascii="Times New Roman" w:hAnsi="Times New Roman"/>
          <w:i/>
        </w:rPr>
        <w:t>Travaux préparatoires de l’article 4 de la Convention</w:t>
      </w:r>
      <w:r>
        <w:rPr>
          <w:rFonts w:ascii="Times New Roman" w:hAnsi="Times New Roman"/>
        </w:rPr>
        <w:t>, DH(62) 10, 16 listopada 1962 r., s. 16, wspomniano o poddaństwie jako „bardziej ogólnej idei obejmującej wszystkie możliwe formy dominacji człowieka nad człowiekiem”. Fragment ten zaczerpnięto z komentarza do projektu MPPOiP opracowanego przez Sekretarza Generalnego ONZ w 1955 r.</w:t>
      </w:r>
    </w:p>
  </w:footnote>
  <w:footnote w:id="93">
    <w:p w14:paraId="3EBD8E30"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W </w:t>
      </w:r>
      <w:r>
        <w:rPr>
          <w:rFonts w:ascii="Times New Roman" w:hAnsi="Times New Roman"/>
          <w:i/>
        </w:rPr>
        <w:t>Travaux préparatoires</w:t>
      </w:r>
      <w:r>
        <w:rPr>
          <w:rFonts w:ascii="Times New Roman" w:hAnsi="Times New Roman"/>
        </w:rPr>
        <w:t xml:space="preserve"> poczyniono odniesienie do definicji z Konwencji MOP z 1930 r., która „nie została uznana za całkowicie satysfakcjonującą na potrzeby uwzględnienia w Pakcie”. Fragment ten zaczerpnięto z komentarza do projektu MPPOiP. </w:t>
      </w:r>
    </w:p>
  </w:footnote>
  <w:footnote w:id="94">
    <w:p w14:paraId="09049810"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w:t>
      </w:r>
      <w:r>
        <w:rPr>
          <w:rFonts w:ascii="Times New Roman" w:hAnsi="Times New Roman"/>
          <w:i/>
        </w:rPr>
        <w:t>Van der Mussele p-ko Belgii</w:t>
      </w:r>
      <w:r>
        <w:rPr>
          <w:rFonts w:ascii="Times New Roman" w:hAnsi="Times New Roman"/>
        </w:rPr>
        <w:t xml:space="preserve">, wyrok z dnia 23 listopada 1983 r., Seria A, Nr 70, § 38. </w:t>
      </w:r>
    </w:p>
  </w:footnote>
  <w:footnote w:id="95">
    <w:p w14:paraId="104A6260" w14:textId="77777777" w:rsidR="004F24F5" w:rsidRPr="0096762D" w:rsidRDefault="004F24F5" w:rsidP="00802C80">
      <w:pPr>
        <w:pStyle w:val="Tekstprzypisudolnego"/>
        <w:rPr>
          <w:rFonts w:ascii="Times New Roman" w:hAnsi="Times New Roman"/>
          <w:lang w:val="de-AT"/>
        </w:rPr>
      </w:pPr>
      <w:r>
        <w:rPr>
          <w:rStyle w:val="Odwoanieprzypisudolnego"/>
          <w:rFonts w:ascii="Times New Roman" w:hAnsi="Times New Roman" w:cs="Times New Roman"/>
        </w:rPr>
        <w:footnoteRef/>
      </w:r>
      <w:r w:rsidRPr="0096762D">
        <w:rPr>
          <w:rFonts w:ascii="Times New Roman" w:hAnsi="Times New Roman"/>
          <w:lang w:val="de-AT"/>
        </w:rPr>
        <w:t xml:space="preserve"> </w:t>
      </w:r>
      <w:r w:rsidRPr="0096762D">
        <w:rPr>
          <w:rFonts w:ascii="Times New Roman" w:hAnsi="Times New Roman"/>
          <w:i/>
          <w:lang w:val="de-AT"/>
        </w:rPr>
        <w:t>Van der Mussele</w:t>
      </w:r>
      <w:r w:rsidRPr="0096762D">
        <w:rPr>
          <w:rFonts w:ascii="Times New Roman" w:hAnsi="Times New Roman"/>
          <w:lang w:val="de-AT"/>
        </w:rPr>
        <w:t xml:space="preserve">, </w:t>
      </w:r>
      <w:r w:rsidRPr="0096762D">
        <w:rPr>
          <w:rFonts w:ascii="Times New Roman" w:hAnsi="Times New Roman"/>
          <w:i/>
          <w:lang w:val="de-AT"/>
        </w:rPr>
        <w:t>op. cit.</w:t>
      </w:r>
      <w:r w:rsidRPr="0096762D">
        <w:rPr>
          <w:rFonts w:ascii="Times New Roman" w:hAnsi="Times New Roman"/>
          <w:lang w:val="de-AT"/>
        </w:rPr>
        <w:t>, § 32.</w:t>
      </w:r>
    </w:p>
  </w:footnote>
  <w:footnote w:id="96">
    <w:p w14:paraId="10ACB812" w14:textId="77777777" w:rsidR="004F24F5" w:rsidRPr="0096762D" w:rsidRDefault="004F24F5" w:rsidP="00802C80">
      <w:pPr>
        <w:pStyle w:val="Tekstprzypisudolnego"/>
        <w:rPr>
          <w:rFonts w:ascii="Times New Roman" w:hAnsi="Times New Roman"/>
          <w:lang w:val="de-AT"/>
        </w:rPr>
      </w:pPr>
      <w:r>
        <w:rPr>
          <w:rStyle w:val="Odwoanieprzypisudolnego"/>
          <w:rFonts w:ascii="Times New Roman" w:hAnsi="Times New Roman" w:cs="Times New Roman"/>
        </w:rPr>
        <w:footnoteRef/>
      </w:r>
      <w:r w:rsidRPr="0096762D">
        <w:rPr>
          <w:rFonts w:ascii="Times New Roman" w:hAnsi="Times New Roman"/>
          <w:lang w:val="de-AT"/>
        </w:rPr>
        <w:t xml:space="preserve"> </w:t>
      </w:r>
      <w:r w:rsidRPr="0096762D">
        <w:rPr>
          <w:rFonts w:ascii="Times New Roman" w:hAnsi="Times New Roman"/>
          <w:i/>
          <w:lang w:val="de-AT"/>
        </w:rPr>
        <w:t>Van der Mussele</w:t>
      </w:r>
      <w:r w:rsidRPr="0096762D">
        <w:rPr>
          <w:rFonts w:ascii="Times New Roman" w:hAnsi="Times New Roman"/>
          <w:lang w:val="de-AT"/>
        </w:rPr>
        <w:t xml:space="preserve">, </w:t>
      </w:r>
      <w:r w:rsidRPr="0096762D">
        <w:rPr>
          <w:rFonts w:ascii="Times New Roman" w:hAnsi="Times New Roman"/>
          <w:i/>
          <w:lang w:val="de-AT"/>
        </w:rPr>
        <w:t>op. cit.</w:t>
      </w:r>
      <w:r w:rsidRPr="0096762D">
        <w:rPr>
          <w:rFonts w:ascii="Times New Roman" w:hAnsi="Times New Roman"/>
          <w:lang w:val="de-AT"/>
        </w:rPr>
        <w:t>, § 33.</w:t>
      </w:r>
    </w:p>
  </w:footnote>
  <w:footnote w:id="97">
    <w:p w14:paraId="4D1E510C" w14:textId="77777777" w:rsidR="004F24F5" w:rsidRPr="0096762D" w:rsidRDefault="004F24F5" w:rsidP="00802C80">
      <w:pPr>
        <w:pStyle w:val="Tekstprzypisudolnego"/>
        <w:rPr>
          <w:rFonts w:ascii="Times New Roman" w:hAnsi="Times New Roman"/>
          <w:lang w:val="de-AT"/>
        </w:rPr>
      </w:pPr>
      <w:r>
        <w:rPr>
          <w:rStyle w:val="Odwoanieprzypisudolnego"/>
          <w:rFonts w:ascii="Times New Roman" w:hAnsi="Times New Roman" w:cs="Times New Roman"/>
        </w:rPr>
        <w:footnoteRef/>
      </w:r>
      <w:r w:rsidRPr="0096762D">
        <w:rPr>
          <w:rFonts w:ascii="Times New Roman" w:hAnsi="Times New Roman"/>
          <w:lang w:val="de-AT"/>
        </w:rPr>
        <w:t xml:space="preserve"> </w:t>
      </w:r>
      <w:r w:rsidRPr="0096762D">
        <w:rPr>
          <w:rFonts w:ascii="Times New Roman" w:hAnsi="Times New Roman"/>
          <w:i/>
          <w:lang w:val="de-AT"/>
        </w:rPr>
        <w:t>Van der Mussele</w:t>
      </w:r>
      <w:r w:rsidRPr="0096762D">
        <w:rPr>
          <w:rFonts w:ascii="Times New Roman" w:hAnsi="Times New Roman"/>
          <w:lang w:val="de-AT"/>
        </w:rPr>
        <w:t xml:space="preserve">, </w:t>
      </w:r>
      <w:r w:rsidRPr="0096762D">
        <w:rPr>
          <w:rFonts w:ascii="Times New Roman" w:hAnsi="Times New Roman"/>
          <w:i/>
          <w:lang w:val="de-AT"/>
        </w:rPr>
        <w:t>op. cit.</w:t>
      </w:r>
      <w:r w:rsidRPr="0096762D">
        <w:rPr>
          <w:rFonts w:ascii="Times New Roman" w:hAnsi="Times New Roman"/>
          <w:lang w:val="de-AT"/>
        </w:rPr>
        <w:t>, § 34.</w:t>
      </w:r>
    </w:p>
  </w:footnote>
  <w:footnote w:id="98">
    <w:p w14:paraId="1F181047"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EKPS, Konkluzje II, Oświadczenie w przedmiocie wykładni art. 1 ust. 2, s. 4. </w:t>
      </w:r>
    </w:p>
  </w:footnote>
  <w:footnote w:id="99">
    <w:p w14:paraId="7935423D"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EKPS, Konkluzje III, s. 5.</w:t>
      </w:r>
    </w:p>
  </w:footnote>
  <w:footnote w:id="100">
    <w:p w14:paraId="0B3B252F"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w:t>
      </w:r>
      <w:r>
        <w:rPr>
          <w:rFonts w:ascii="Times New Roman" w:hAnsi="Times New Roman"/>
          <w:i/>
        </w:rPr>
        <w:t>Międzynarodowa Federacja Lig Praw Człowieka (FIDH) p-ko Grecji</w:t>
      </w:r>
      <w:r>
        <w:rPr>
          <w:rFonts w:ascii="Times New Roman" w:hAnsi="Times New Roman"/>
        </w:rPr>
        <w:t>, skarga nr 7/2000, decyzja co do istoty sprawy z dnia 5 grudnia 2000 r., § 22.</w:t>
      </w:r>
    </w:p>
  </w:footnote>
  <w:footnote w:id="101">
    <w:p w14:paraId="770E3BAF"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w:t>
      </w:r>
      <w:r>
        <w:rPr>
          <w:rFonts w:ascii="Times New Roman" w:hAnsi="Times New Roman"/>
          <w:i/>
        </w:rPr>
        <w:t>Międzynarodowa Federacja Lig Praw Człowieka (FIDH)</w:t>
      </w:r>
      <w:r>
        <w:rPr>
          <w:rFonts w:ascii="Times New Roman" w:hAnsi="Times New Roman"/>
        </w:rPr>
        <w:t xml:space="preserve">, </w:t>
      </w:r>
      <w:r>
        <w:rPr>
          <w:rFonts w:ascii="Times New Roman" w:hAnsi="Times New Roman"/>
          <w:i/>
          <w:iCs/>
        </w:rPr>
        <w:t>op. cit.</w:t>
      </w:r>
      <w:r>
        <w:rPr>
          <w:rFonts w:ascii="Times New Roman" w:hAnsi="Times New Roman"/>
        </w:rPr>
        <w:t>, § 21.</w:t>
      </w:r>
    </w:p>
  </w:footnote>
  <w:footnote w:id="102">
    <w:p w14:paraId="7814B0F1"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EKPS Konkluzje 2004, Irlandia, s. 260. Zauważono również, że decyzja o przyznaniu wcześniejszej emerytury pozostawiono uznaniu Ministra Obrony.</w:t>
      </w:r>
    </w:p>
  </w:footnote>
  <w:footnote w:id="103">
    <w:p w14:paraId="4CD4FDDE" w14:textId="25A8829E"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EKPS Konkluzje XVI-1, Grecja, s. 283. Zob. także EKPS Konkluzje 2012 — Mołdawia — art. 1-2.</w:t>
      </w:r>
    </w:p>
  </w:footnote>
  <w:footnote w:id="104">
    <w:p w14:paraId="221C1247"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w:t>
      </w:r>
      <w:r>
        <w:rPr>
          <w:rFonts w:ascii="Times New Roman" w:hAnsi="Times New Roman"/>
          <w:i/>
        </w:rPr>
        <w:t>Rada Kwakrów ds. Europejskich (QCEA) p-ko Grecji</w:t>
      </w:r>
      <w:r>
        <w:rPr>
          <w:rFonts w:ascii="Times New Roman" w:hAnsi="Times New Roman"/>
        </w:rPr>
        <w:t xml:space="preserve">, skarga nr 8/2000, decyzja co do istoty sprawy z dnia 25 kwietnia 2001 r, </w:t>
      </w:r>
      <w:r w:rsidRPr="00281991">
        <w:rPr>
          <w:rFonts w:ascii="Times New Roman" w:hAnsi="Times New Roman" w:cs="Times New Roman"/>
        </w:rPr>
        <w:t>§§</w:t>
      </w:r>
      <w:r>
        <w:rPr>
          <w:rFonts w:ascii="Times New Roman" w:hAnsi="Times New Roman"/>
        </w:rPr>
        <w:t>y 23-25.</w:t>
      </w:r>
    </w:p>
  </w:footnote>
  <w:footnote w:id="105">
    <w:p w14:paraId="29F60576"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EKPS Konkluzje XVI-1, Niemcy, s. 242-243.</w:t>
      </w:r>
    </w:p>
  </w:footnote>
  <w:footnote w:id="106">
    <w:p w14:paraId="5E3C4746" w14:textId="4CA79E3F" w:rsidR="004F24F5" w:rsidRPr="00176864"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EKPS Konkluzje XX-1 — Aruba Holenderska — art. 1-2.</w:t>
      </w:r>
    </w:p>
  </w:footnote>
  <w:footnote w:id="107">
    <w:p w14:paraId="4987263D" w14:textId="77777777" w:rsidR="004F24F5" w:rsidRPr="00176864"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EKPS Konkluzje 2012 — Francja — art. 1-2.</w:t>
      </w:r>
    </w:p>
  </w:footnote>
  <w:footnote w:id="108">
    <w:p w14:paraId="60D2DBE2"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Sprawozdanie wyjaśniające do Konwencji, pkt 72.</w:t>
      </w:r>
    </w:p>
  </w:footnote>
  <w:footnote w:id="109">
    <w:p w14:paraId="144A5242" w14:textId="77777777" w:rsidR="004F24F5" w:rsidRPr="00FA7742"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w:t>
      </w:r>
      <w:r>
        <w:rPr>
          <w:rFonts w:ascii="Times New Roman" w:hAnsi="Times New Roman"/>
          <w:i/>
          <w:iCs/>
        </w:rPr>
        <w:t>Ibid.</w:t>
      </w:r>
      <w:r>
        <w:rPr>
          <w:rFonts w:ascii="Times New Roman" w:hAnsi="Times New Roman"/>
        </w:rPr>
        <w:t>, pkt 80.</w:t>
      </w:r>
    </w:p>
  </w:footnote>
  <w:footnote w:id="110">
    <w:p w14:paraId="024269B3"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Sprawozdanie wyjaśniające do Konwencji, pkt 87.</w:t>
      </w:r>
    </w:p>
  </w:footnote>
  <w:footnote w:id="111">
    <w:p w14:paraId="48DDA296"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Seria Traktatów Rady Europy nr 210.</w:t>
      </w:r>
    </w:p>
  </w:footnote>
  <w:footnote w:id="112">
    <w:p w14:paraId="79B334ED" w14:textId="556EAF3A"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Seria Traktatów Rady Europy nr 216. Specjalny Sprawozdawca ONZ s. handlu ludźmi wyraził zaniepokojenie brakiem integracji przez tę konwencję odnośnych praktyk w szerszych ramach koncepcyjnych i normatywnych Protokołu w sprawie handlu ludźmi i możliwym w wyniku tego obniżeniem standardów ochrony ofiar i pomocy ofiarom (UN Doc. A/68/256, 2 sierpnia 2013 r., pkt 64, 65, 100). </w:t>
      </w:r>
    </w:p>
  </w:footnote>
  <w:footnote w:id="113">
    <w:p w14:paraId="6B02502C"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w:t>
      </w:r>
      <w:r w:rsidRPr="00076546">
        <w:rPr>
          <w:rFonts w:ascii="Times New Roman" w:hAnsi="Times New Roman"/>
          <w:i/>
        </w:rPr>
        <w:t xml:space="preserve">Vide </w:t>
      </w:r>
      <w:r>
        <w:rPr>
          <w:rFonts w:ascii="Times New Roman" w:hAnsi="Times New Roman"/>
        </w:rPr>
        <w:t>Zalecenie nr R (91) 11 w sprawie wykorzystywania seksualnego, pornografii, prostytucji i handlu dziećmi i młodymi osobami; oraz Zalecenie nr R (2000) 11 w sprawie zwalczania handlu ludźmi prowadzonego w celu wykorzystania seksualnego.</w:t>
      </w:r>
    </w:p>
  </w:footnote>
  <w:footnote w:id="114">
    <w:p w14:paraId="52CA8D5D" w14:textId="124523D5"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w:t>
      </w:r>
      <w:r w:rsidRPr="00076546">
        <w:rPr>
          <w:rFonts w:ascii="Times New Roman" w:hAnsi="Times New Roman"/>
          <w:i/>
        </w:rPr>
        <w:t>Vide</w:t>
      </w:r>
      <w:r>
        <w:rPr>
          <w:rFonts w:ascii="Times New Roman" w:hAnsi="Times New Roman"/>
        </w:rPr>
        <w:t xml:space="preserve"> Zalecenie 1325 (1997) w sprawie handlu kobietami i zmuszania do prostytucji w Państwach członkowskich Rady Europy; Zalecenie 1523 (2001) w sprawie niewolnictwa domowego; Zalecenie 1526 (2001) w sprawie kampanii przeciwko handlowi małoletnimi w celu zatrzymania szlaku wschodnioeuropejskiego — przykład Mołdawii; Zalecenie 1545 (2002) w sprawie kampanii przeciwko handlowi kobietami; Zalecenie 1610 (2003) w sprawie migracji związanej z handlem kobietami i prostytucją; oraz Zalecenie PACE 1663 (2004) w sprawie niewolnictwa domowego — służebności, opiekunek i „żon korespondencyjnych”.</w:t>
      </w:r>
    </w:p>
  </w:footnote>
  <w:footnote w:id="115">
    <w:p w14:paraId="3F9DF97C" w14:textId="77777777" w:rsidR="004F24F5" w:rsidRPr="004C159B"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w:t>
      </w:r>
      <w:r>
        <w:rPr>
          <w:rFonts w:ascii="Times New Roman" w:hAnsi="Times New Roman"/>
          <w:i/>
        </w:rPr>
        <w:t>Siliadin p-ko Francji</w:t>
      </w:r>
      <w:r>
        <w:rPr>
          <w:rFonts w:ascii="Times New Roman" w:hAnsi="Times New Roman"/>
        </w:rPr>
        <w:t>, nr 73316/01, ETPCz 2005</w:t>
      </w:r>
      <w:r>
        <w:rPr>
          <w:rFonts w:ascii="MS Mincho" w:hAnsi="MS Mincho"/>
        </w:rPr>
        <w:t>‑</w:t>
      </w:r>
      <w:r>
        <w:rPr>
          <w:rFonts w:ascii="Times New Roman" w:hAnsi="Times New Roman"/>
        </w:rPr>
        <w:t>VII.</w:t>
      </w:r>
    </w:p>
  </w:footnote>
  <w:footnote w:id="116">
    <w:p w14:paraId="2A78D594" w14:textId="77777777" w:rsidR="004F24F5" w:rsidRPr="0096762D" w:rsidRDefault="004F24F5" w:rsidP="00802C80">
      <w:pPr>
        <w:pStyle w:val="Tekstprzypisudolnego"/>
        <w:rPr>
          <w:rFonts w:ascii="Times New Roman" w:hAnsi="Times New Roman"/>
        </w:rPr>
      </w:pPr>
      <w:r>
        <w:rPr>
          <w:rStyle w:val="Odwoanieprzypisudolnego"/>
          <w:rFonts w:ascii="Times New Roman" w:hAnsi="Times New Roman" w:cs="Times New Roman"/>
        </w:rPr>
        <w:footnoteRef/>
      </w:r>
      <w:r w:rsidRPr="0096762D">
        <w:rPr>
          <w:rFonts w:ascii="Times New Roman" w:hAnsi="Times New Roman"/>
        </w:rPr>
        <w:t xml:space="preserve"> </w:t>
      </w:r>
      <w:r w:rsidRPr="0096762D">
        <w:rPr>
          <w:rFonts w:ascii="Times New Roman" w:hAnsi="Times New Roman"/>
          <w:i/>
        </w:rPr>
        <w:t>Siliadin</w:t>
      </w:r>
      <w:r w:rsidRPr="0096762D">
        <w:rPr>
          <w:rFonts w:ascii="Times New Roman" w:hAnsi="Times New Roman"/>
        </w:rPr>
        <w:t xml:space="preserve">, </w:t>
      </w:r>
      <w:r w:rsidRPr="0096762D">
        <w:rPr>
          <w:rFonts w:ascii="Times New Roman" w:hAnsi="Times New Roman"/>
          <w:i/>
        </w:rPr>
        <w:t>op. cit.</w:t>
      </w:r>
      <w:r w:rsidRPr="0096762D">
        <w:rPr>
          <w:rFonts w:ascii="Times New Roman" w:hAnsi="Times New Roman"/>
        </w:rPr>
        <w:t>, §§ 89 i 112.</w:t>
      </w:r>
    </w:p>
  </w:footnote>
  <w:footnote w:id="117">
    <w:p w14:paraId="78A645D6"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sidRPr="0096762D">
        <w:rPr>
          <w:rFonts w:ascii="Times New Roman" w:hAnsi="Times New Roman"/>
        </w:rPr>
        <w:t xml:space="preserve"> </w:t>
      </w:r>
      <w:r w:rsidRPr="0096762D">
        <w:rPr>
          <w:rFonts w:ascii="Times New Roman" w:hAnsi="Times New Roman"/>
          <w:i/>
        </w:rPr>
        <w:t>Siliadin</w:t>
      </w:r>
      <w:r w:rsidRPr="0096762D">
        <w:rPr>
          <w:rFonts w:ascii="Times New Roman" w:hAnsi="Times New Roman"/>
        </w:rPr>
        <w:t xml:space="preserve">, </w:t>
      </w:r>
      <w:r w:rsidRPr="0096762D">
        <w:rPr>
          <w:rFonts w:ascii="Times New Roman" w:hAnsi="Times New Roman"/>
          <w:i/>
        </w:rPr>
        <w:t>op. cit.</w:t>
      </w:r>
      <w:r w:rsidRPr="0096762D">
        <w:rPr>
          <w:rFonts w:ascii="Times New Roman" w:hAnsi="Times New Roman"/>
        </w:rPr>
        <w:t xml:space="preserve">, §§ 122 i 124. </w:t>
      </w:r>
      <w:r w:rsidRPr="00076546">
        <w:rPr>
          <w:rFonts w:ascii="Times New Roman" w:hAnsi="Times New Roman"/>
          <w:i/>
        </w:rPr>
        <w:t>Vide</w:t>
      </w:r>
      <w:r>
        <w:rPr>
          <w:rFonts w:ascii="Times New Roman" w:hAnsi="Times New Roman"/>
        </w:rPr>
        <w:t xml:space="preserve"> także </w:t>
      </w:r>
      <w:r>
        <w:rPr>
          <w:rFonts w:ascii="Times New Roman" w:hAnsi="Times New Roman"/>
          <w:i/>
        </w:rPr>
        <w:t>C.N. przeciwko Zjednoczonemu Królestwu, op. cit.</w:t>
      </w:r>
      <w:r>
        <w:rPr>
          <w:rFonts w:ascii="Times New Roman" w:hAnsi="Times New Roman"/>
        </w:rPr>
        <w:t xml:space="preserve">, </w:t>
      </w:r>
      <w:r w:rsidRPr="00281991">
        <w:rPr>
          <w:rFonts w:ascii="Times New Roman" w:hAnsi="Times New Roman" w:cs="Times New Roman"/>
        </w:rPr>
        <w:t>§</w:t>
      </w:r>
      <w:r>
        <w:rPr>
          <w:rFonts w:ascii="Times New Roman" w:hAnsi="Times New Roman"/>
        </w:rPr>
        <w:t xml:space="preserve"> 66, </w:t>
      </w:r>
      <w:r>
        <w:rPr>
          <w:rFonts w:ascii="Times New Roman" w:hAnsi="Times New Roman"/>
          <w:i/>
        </w:rPr>
        <w:t>C.N. i V. p-ko Francji, op. cit.</w:t>
      </w:r>
      <w:r>
        <w:rPr>
          <w:rFonts w:ascii="Times New Roman" w:hAnsi="Times New Roman"/>
        </w:rPr>
        <w:t xml:space="preserve">, § 105, i </w:t>
      </w:r>
      <w:r>
        <w:rPr>
          <w:rFonts w:ascii="Times New Roman" w:hAnsi="Times New Roman"/>
          <w:i/>
        </w:rPr>
        <w:t xml:space="preserve">Kawogo p-ko Zjednoczonemu Królestwu </w:t>
      </w:r>
      <w:r>
        <w:rPr>
          <w:rFonts w:ascii="Times New Roman" w:hAnsi="Times New Roman"/>
        </w:rPr>
        <w:t>(dec.), 3 września 2013 r.</w:t>
      </w:r>
    </w:p>
  </w:footnote>
  <w:footnote w:id="118">
    <w:p w14:paraId="1DD20FFD" w14:textId="017C5B1B"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Europejska Komisja Praw Człowieka postrzegała poddaństwo jako obowiązek mieszkania i pracy w nieruchomości należącym do innej osoby i wykonywania na jej rzecz, za wynagrodzeniem bądź odpłatnie, określonych usług, przy jednoczesnym braku możliwości zmiany takiego położenia (skarga nr 7906/77, DR 17, s. 59; </w:t>
      </w:r>
      <w:r w:rsidRPr="00076546">
        <w:rPr>
          <w:rFonts w:ascii="Times New Roman" w:hAnsi="Times New Roman"/>
          <w:i/>
        </w:rPr>
        <w:t>vide</w:t>
      </w:r>
      <w:r>
        <w:rPr>
          <w:rFonts w:ascii="Times New Roman" w:hAnsi="Times New Roman"/>
        </w:rPr>
        <w:t xml:space="preserve"> także raport Komisji w </w:t>
      </w:r>
      <w:r>
        <w:rPr>
          <w:rFonts w:ascii="Times New Roman" w:hAnsi="Times New Roman"/>
          <w:i/>
        </w:rPr>
        <w:t>Van Droogenbroeck</w:t>
      </w:r>
      <w:r>
        <w:rPr>
          <w:rFonts w:ascii="Times New Roman" w:hAnsi="Times New Roman"/>
        </w:rPr>
        <w:t xml:space="preserve"> z dnia 9 lipca 1980 r., Seria B, tom 44, s. 30, paragrafy 78-80). Izba trzymała się tej koncepcji w paragrafie 123 </w:t>
      </w:r>
      <w:r>
        <w:rPr>
          <w:rFonts w:ascii="Times New Roman" w:hAnsi="Times New Roman"/>
          <w:i/>
        </w:rPr>
        <w:t>Siliadin</w:t>
      </w:r>
      <w:r>
        <w:rPr>
          <w:rFonts w:ascii="Times New Roman" w:hAnsi="Times New Roman"/>
        </w:rPr>
        <w:t xml:space="preserve">, w paragrafie 124 dodała jednak, że cechą charakterystyczną poddaństwa jest „obowiązek świadczenia usług nałożony z użyciem przymusu i związany z koncepcją «niewolnictwa»”, porzucając element przestrzeni uwzględniony w koncepcji Komisji Europejskiej. Sprawozdanie wyjaśniające do Konwencji Rady Europy w sprawie działań przeciwko handlowi ludźmi, paragraf 95 przyjmuje nieco odmienne stanowisko, stwierdzając, że ta „szczególnie poważna forma pozbawienia wolności” winna być postrzegana „jako szczególna forma niewolnictwa, która różni się od niego bardziej pod względem stopnia niż charakteru”. </w:t>
      </w:r>
    </w:p>
  </w:footnote>
  <w:footnote w:id="119">
    <w:p w14:paraId="1EBC304F"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w:t>
      </w:r>
      <w:r>
        <w:rPr>
          <w:rFonts w:ascii="Times New Roman" w:hAnsi="Times New Roman"/>
          <w:i/>
        </w:rPr>
        <w:t>Siliadin</w:t>
      </w:r>
      <w:r>
        <w:rPr>
          <w:rFonts w:ascii="Times New Roman" w:hAnsi="Times New Roman"/>
        </w:rPr>
        <w:t xml:space="preserve">, </w:t>
      </w:r>
      <w:r>
        <w:rPr>
          <w:rFonts w:ascii="Times New Roman" w:hAnsi="Times New Roman"/>
          <w:i/>
          <w:iCs/>
        </w:rPr>
        <w:t>op. cit.</w:t>
      </w:r>
      <w:r>
        <w:rPr>
          <w:rFonts w:ascii="Times New Roman" w:hAnsi="Times New Roman"/>
        </w:rPr>
        <w:t xml:space="preserve">, </w:t>
      </w:r>
      <w:r w:rsidRPr="00281991">
        <w:rPr>
          <w:rFonts w:ascii="Times New Roman" w:hAnsi="Times New Roman" w:cs="Times New Roman"/>
        </w:rPr>
        <w:t>§</w:t>
      </w:r>
      <w:r>
        <w:rPr>
          <w:rFonts w:ascii="Times New Roman" w:hAnsi="Times New Roman"/>
        </w:rPr>
        <w:t xml:space="preserve"> 123. </w:t>
      </w:r>
    </w:p>
  </w:footnote>
  <w:footnote w:id="120">
    <w:p w14:paraId="3496008B"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w:t>
      </w:r>
      <w:r>
        <w:rPr>
          <w:rFonts w:ascii="Times New Roman" w:hAnsi="Times New Roman"/>
          <w:i/>
        </w:rPr>
        <w:t>Rantsev p-ko Cyprowi i Rosji,</w:t>
      </w:r>
      <w:r>
        <w:rPr>
          <w:rFonts w:ascii="Times New Roman" w:hAnsi="Times New Roman"/>
        </w:rPr>
        <w:t xml:space="preserve"> nr 25965/04, ETPCz 2010 (wyciągi). Przy monitorowaniu stron Konwencji przeciwko handlowi ludźmi GRETA bierze pod uwagę w swojej ocenie konkluzje tego wyroku (GRETA, Konkluzje 5. posiedzenia, 2010, pkt 15).</w:t>
      </w:r>
    </w:p>
  </w:footnote>
  <w:footnote w:id="121">
    <w:p w14:paraId="799FB706" w14:textId="77777777" w:rsidR="004F24F5" w:rsidRPr="0096762D" w:rsidRDefault="004F24F5" w:rsidP="00802C80">
      <w:pPr>
        <w:pStyle w:val="Tekstprzypisudolnego"/>
        <w:rPr>
          <w:rFonts w:ascii="Times New Roman" w:hAnsi="Times New Roman"/>
        </w:rPr>
      </w:pPr>
      <w:r>
        <w:rPr>
          <w:rStyle w:val="Odwoanieprzypisudolnego"/>
          <w:rFonts w:ascii="Times New Roman" w:hAnsi="Times New Roman" w:cs="Times New Roman"/>
        </w:rPr>
        <w:footnoteRef/>
      </w:r>
      <w:r w:rsidRPr="0096762D">
        <w:rPr>
          <w:rFonts w:ascii="Times New Roman" w:hAnsi="Times New Roman"/>
        </w:rPr>
        <w:t xml:space="preserve"> </w:t>
      </w:r>
      <w:r w:rsidRPr="0096762D">
        <w:rPr>
          <w:rFonts w:ascii="Times New Roman" w:hAnsi="Times New Roman"/>
          <w:i/>
        </w:rPr>
        <w:t>Rantsev</w:t>
      </w:r>
      <w:r w:rsidRPr="0096762D">
        <w:rPr>
          <w:rFonts w:ascii="Times New Roman" w:hAnsi="Times New Roman"/>
        </w:rPr>
        <w:t xml:space="preserve">, </w:t>
      </w:r>
      <w:r w:rsidRPr="0096762D">
        <w:rPr>
          <w:rFonts w:ascii="Times New Roman" w:hAnsi="Times New Roman"/>
          <w:i/>
        </w:rPr>
        <w:t>op. cit.</w:t>
      </w:r>
      <w:r w:rsidRPr="0096762D">
        <w:rPr>
          <w:rFonts w:ascii="Times New Roman" w:hAnsi="Times New Roman"/>
        </w:rPr>
        <w:t>, § 282.</w:t>
      </w:r>
    </w:p>
  </w:footnote>
  <w:footnote w:id="122">
    <w:p w14:paraId="7F3D5BE9" w14:textId="77777777" w:rsidR="004F24F5" w:rsidRPr="0096762D" w:rsidRDefault="004F24F5" w:rsidP="00802C80">
      <w:pPr>
        <w:pStyle w:val="Tekstprzypisudolnego"/>
        <w:rPr>
          <w:rFonts w:ascii="Times New Roman" w:hAnsi="Times New Roman"/>
        </w:rPr>
      </w:pPr>
      <w:r>
        <w:rPr>
          <w:rStyle w:val="Odwoanieprzypisudolnego"/>
          <w:rFonts w:ascii="Times New Roman" w:hAnsi="Times New Roman" w:cs="Times New Roman"/>
        </w:rPr>
        <w:footnoteRef/>
      </w:r>
      <w:r w:rsidRPr="0096762D">
        <w:rPr>
          <w:rFonts w:ascii="Times New Roman" w:hAnsi="Times New Roman"/>
        </w:rPr>
        <w:t xml:space="preserve"> </w:t>
      </w:r>
      <w:r w:rsidRPr="0096762D">
        <w:rPr>
          <w:rFonts w:ascii="Times New Roman" w:hAnsi="Times New Roman"/>
          <w:i/>
        </w:rPr>
        <w:t>Rantsev</w:t>
      </w:r>
      <w:r w:rsidRPr="0096762D">
        <w:rPr>
          <w:rFonts w:ascii="Times New Roman" w:hAnsi="Times New Roman"/>
        </w:rPr>
        <w:t xml:space="preserve">, </w:t>
      </w:r>
      <w:r w:rsidRPr="0096762D">
        <w:rPr>
          <w:rFonts w:ascii="Times New Roman" w:hAnsi="Times New Roman"/>
          <w:i/>
        </w:rPr>
        <w:t>op. cit.</w:t>
      </w:r>
      <w:r w:rsidRPr="0096762D">
        <w:rPr>
          <w:rFonts w:ascii="Times New Roman" w:hAnsi="Times New Roman"/>
        </w:rPr>
        <w:t>, § 279.</w:t>
      </w:r>
    </w:p>
  </w:footnote>
  <w:footnote w:id="123">
    <w:p w14:paraId="6FFBE7B6"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KPC ONZ, Komentarz ogólny nr 29, </w:t>
      </w:r>
      <w:r>
        <w:rPr>
          <w:rFonts w:ascii="Times New Roman" w:hAnsi="Times New Roman"/>
          <w:i/>
          <w:iCs/>
        </w:rPr>
        <w:t>op. cit.</w:t>
      </w:r>
      <w:r>
        <w:rPr>
          <w:rFonts w:ascii="Times New Roman" w:hAnsi="Times New Roman"/>
        </w:rPr>
        <w:t>, pkt 11-12.</w:t>
      </w:r>
    </w:p>
  </w:footnote>
  <w:footnote w:id="124">
    <w:p w14:paraId="2DF52AE1" w14:textId="77777777" w:rsidR="004F24F5" w:rsidRPr="0096762D" w:rsidRDefault="004F24F5" w:rsidP="00802C80">
      <w:pPr>
        <w:pStyle w:val="Tekstprzypisudolnego"/>
        <w:rPr>
          <w:rFonts w:ascii="Times New Roman" w:hAnsi="Times New Roman"/>
        </w:rPr>
      </w:pPr>
      <w:r>
        <w:rPr>
          <w:rStyle w:val="Odwoanieprzypisudolnego"/>
          <w:rFonts w:ascii="Times New Roman" w:hAnsi="Times New Roman" w:cs="Times New Roman"/>
        </w:rPr>
        <w:footnoteRef/>
      </w:r>
      <w:r w:rsidRPr="0096762D">
        <w:rPr>
          <w:rFonts w:ascii="Times New Roman" w:hAnsi="Times New Roman"/>
        </w:rPr>
        <w:t xml:space="preserve"> </w:t>
      </w:r>
      <w:r w:rsidRPr="0096762D">
        <w:rPr>
          <w:rFonts w:ascii="Times New Roman" w:hAnsi="Times New Roman"/>
          <w:i/>
        </w:rPr>
        <w:t>Rantsev</w:t>
      </w:r>
      <w:r w:rsidRPr="0096762D">
        <w:rPr>
          <w:rFonts w:ascii="Times New Roman" w:hAnsi="Times New Roman"/>
        </w:rPr>
        <w:t xml:space="preserve">, </w:t>
      </w:r>
      <w:r w:rsidRPr="0096762D">
        <w:rPr>
          <w:rFonts w:ascii="Times New Roman" w:hAnsi="Times New Roman"/>
          <w:i/>
        </w:rPr>
        <w:t>op. cit.</w:t>
      </w:r>
      <w:r w:rsidRPr="0096762D">
        <w:rPr>
          <w:rFonts w:ascii="Times New Roman" w:hAnsi="Times New Roman"/>
        </w:rPr>
        <w:t>, § 285.</w:t>
      </w:r>
    </w:p>
  </w:footnote>
  <w:footnote w:id="125">
    <w:p w14:paraId="317AB3A9" w14:textId="77777777" w:rsidR="004F24F5" w:rsidRPr="0096762D" w:rsidRDefault="004F24F5" w:rsidP="00802C80">
      <w:pPr>
        <w:pStyle w:val="Tekstprzypisudolnego"/>
        <w:rPr>
          <w:rFonts w:ascii="Times New Roman" w:hAnsi="Times New Roman"/>
        </w:rPr>
      </w:pPr>
      <w:r>
        <w:rPr>
          <w:rStyle w:val="Odwoanieprzypisudolnego"/>
          <w:rFonts w:ascii="Times New Roman" w:hAnsi="Times New Roman" w:cs="Times New Roman"/>
        </w:rPr>
        <w:footnoteRef/>
      </w:r>
      <w:r w:rsidRPr="0096762D">
        <w:rPr>
          <w:rFonts w:ascii="Times New Roman" w:hAnsi="Times New Roman"/>
        </w:rPr>
        <w:t xml:space="preserve"> </w:t>
      </w:r>
      <w:r w:rsidRPr="0096762D">
        <w:rPr>
          <w:rFonts w:ascii="Times New Roman" w:hAnsi="Times New Roman"/>
          <w:i/>
        </w:rPr>
        <w:t>Rantsev</w:t>
      </w:r>
      <w:r w:rsidRPr="0096762D">
        <w:rPr>
          <w:rFonts w:ascii="Times New Roman" w:hAnsi="Times New Roman"/>
        </w:rPr>
        <w:t xml:space="preserve">, </w:t>
      </w:r>
      <w:r w:rsidRPr="0096762D">
        <w:rPr>
          <w:rFonts w:ascii="Times New Roman" w:hAnsi="Times New Roman"/>
          <w:i/>
        </w:rPr>
        <w:t>op. cit.</w:t>
      </w:r>
      <w:r w:rsidRPr="0096762D">
        <w:rPr>
          <w:rFonts w:ascii="Times New Roman" w:hAnsi="Times New Roman"/>
        </w:rPr>
        <w:t>, § 286.</w:t>
      </w:r>
    </w:p>
  </w:footnote>
  <w:footnote w:id="126">
    <w:p w14:paraId="4B4B1D88" w14:textId="77777777" w:rsidR="004F24F5" w:rsidRPr="0096762D" w:rsidRDefault="004F24F5" w:rsidP="00802C80">
      <w:pPr>
        <w:pStyle w:val="Tekstprzypisudolnego"/>
        <w:rPr>
          <w:rFonts w:ascii="Times New Roman" w:hAnsi="Times New Roman"/>
        </w:rPr>
      </w:pPr>
      <w:r>
        <w:rPr>
          <w:rStyle w:val="Odwoanieprzypisudolnego"/>
          <w:rFonts w:ascii="Times New Roman" w:hAnsi="Times New Roman" w:cs="Times New Roman"/>
        </w:rPr>
        <w:footnoteRef/>
      </w:r>
      <w:r w:rsidRPr="0096762D">
        <w:rPr>
          <w:rFonts w:ascii="Times New Roman" w:hAnsi="Times New Roman"/>
        </w:rPr>
        <w:t xml:space="preserve"> </w:t>
      </w:r>
      <w:r w:rsidRPr="0096762D">
        <w:rPr>
          <w:rFonts w:ascii="Times New Roman" w:hAnsi="Times New Roman"/>
          <w:i/>
        </w:rPr>
        <w:t>Rantsev</w:t>
      </w:r>
      <w:r w:rsidRPr="0096762D">
        <w:rPr>
          <w:rFonts w:ascii="Times New Roman" w:hAnsi="Times New Roman"/>
        </w:rPr>
        <w:t xml:space="preserve">, </w:t>
      </w:r>
      <w:r w:rsidRPr="0096762D">
        <w:rPr>
          <w:rFonts w:ascii="Times New Roman" w:hAnsi="Times New Roman"/>
          <w:i/>
        </w:rPr>
        <w:t>op. cit.</w:t>
      </w:r>
      <w:r w:rsidRPr="0096762D">
        <w:rPr>
          <w:rFonts w:ascii="Times New Roman" w:hAnsi="Times New Roman"/>
        </w:rPr>
        <w:t>, § 287.</w:t>
      </w:r>
    </w:p>
  </w:footnote>
  <w:footnote w:id="127">
    <w:p w14:paraId="1BB8BAA8"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sidRPr="0096762D">
        <w:rPr>
          <w:rFonts w:ascii="Times New Roman" w:hAnsi="Times New Roman"/>
        </w:rPr>
        <w:t xml:space="preserve"> </w:t>
      </w:r>
      <w:r w:rsidRPr="0096762D">
        <w:rPr>
          <w:rFonts w:ascii="Times New Roman" w:hAnsi="Times New Roman"/>
          <w:i/>
        </w:rPr>
        <w:t>Rantsev</w:t>
      </w:r>
      <w:r w:rsidRPr="0096762D">
        <w:rPr>
          <w:rFonts w:ascii="Times New Roman" w:hAnsi="Times New Roman"/>
        </w:rPr>
        <w:t xml:space="preserve">, </w:t>
      </w:r>
      <w:r w:rsidRPr="0096762D">
        <w:rPr>
          <w:rFonts w:ascii="Times New Roman" w:hAnsi="Times New Roman"/>
          <w:i/>
        </w:rPr>
        <w:t>op. cit.</w:t>
      </w:r>
      <w:r w:rsidRPr="0096762D">
        <w:rPr>
          <w:rFonts w:ascii="Times New Roman" w:hAnsi="Times New Roman"/>
        </w:rPr>
        <w:t xml:space="preserve">, § 288. </w:t>
      </w:r>
      <w:r>
        <w:rPr>
          <w:rFonts w:ascii="Times New Roman" w:hAnsi="Times New Roman"/>
        </w:rPr>
        <w:t xml:space="preserve">Co do upodmiotowienia ofiar </w:t>
      </w:r>
      <w:r w:rsidRPr="00076546">
        <w:rPr>
          <w:rFonts w:ascii="Times New Roman" w:hAnsi="Times New Roman"/>
          <w:i/>
        </w:rPr>
        <w:t>vide</w:t>
      </w:r>
      <w:r>
        <w:rPr>
          <w:rFonts w:ascii="Times New Roman" w:hAnsi="Times New Roman"/>
        </w:rPr>
        <w:t xml:space="preserve"> </w:t>
      </w:r>
      <w:r w:rsidRPr="0096762D">
        <w:rPr>
          <w:rFonts w:ascii="Times New Roman" w:hAnsi="Times New Roman"/>
          <w:i/>
        </w:rPr>
        <w:t>L.E. p-ko Grecji</w:t>
      </w:r>
      <w:r>
        <w:rPr>
          <w:rFonts w:ascii="Times New Roman" w:hAnsi="Times New Roman"/>
        </w:rPr>
        <w:t xml:space="preserve">, nr 71545/12, 21 stycznia 2016 r., oraz </w:t>
      </w:r>
      <w:r w:rsidRPr="0096762D">
        <w:rPr>
          <w:rFonts w:ascii="Times New Roman" w:hAnsi="Times New Roman"/>
          <w:i/>
        </w:rPr>
        <w:t>O.G.O. p-ko Zjednoczonemu Królestwu</w:t>
      </w:r>
      <w:r>
        <w:rPr>
          <w:rFonts w:ascii="Times New Roman" w:hAnsi="Times New Roman"/>
        </w:rPr>
        <w:t xml:space="preserve"> (dec.), 18 lutego 2014.r</w:t>
      </w:r>
    </w:p>
  </w:footnote>
  <w:footnote w:id="128">
    <w:p w14:paraId="18DD871D"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w:t>
      </w:r>
      <w:r>
        <w:rPr>
          <w:rFonts w:ascii="Times New Roman" w:hAnsi="Times New Roman"/>
          <w:i/>
          <w:iCs/>
        </w:rPr>
        <w:t>Rantsev</w:t>
      </w:r>
      <w:r>
        <w:rPr>
          <w:rFonts w:ascii="Times New Roman" w:hAnsi="Times New Roman"/>
        </w:rPr>
        <w:t xml:space="preserve">, </w:t>
      </w:r>
      <w:r>
        <w:rPr>
          <w:rFonts w:ascii="Times New Roman" w:hAnsi="Times New Roman"/>
          <w:i/>
          <w:iCs/>
        </w:rPr>
        <w:t>op. cit.</w:t>
      </w:r>
      <w:r>
        <w:rPr>
          <w:rFonts w:ascii="Times New Roman" w:hAnsi="Times New Roman"/>
        </w:rPr>
        <w:t xml:space="preserve">, </w:t>
      </w:r>
      <w:r w:rsidRPr="00281991">
        <w:rPr>
          <w:rFonts w:ascii="Times New Roman" w:hAnsi="Times New Roman" w:cs="Times New Roman"/>
        </w:rPr>
        <w:t>§</w:t>
      </w:r>
      <w:r>
        <w:rPr>
          <w:rFonts w:ascii="Times New Roman" w:hAnsi="Times New Roman"/>
        </w:rPr>
        <w:t xml:space="preserve"> 289.</w:t>
      </w:r>
    </w:p>
  </w:footnote>
  <w:footnote w:id="129">
    <w:p w14:paraId="05953356"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Jak już wcześniej wskazało Biuro Wysokiego Komisarza ds. Praw Człowieka, Zalecane zasady i wskazówki, </w:t>
      </w:r>
      <w:r>
        <w:rPr>
          <w:rFonts w:ascii="Times New Roman" w:hAnsi="Times New Roman"/>
          <w:i/>
          <w:iCs/>
        </w:rPr>
        <w:t>op. cit.</w:t>
      </w:r>
    </w:p>
  </w:footnote>
  <w:footnote w:id="130">
    <w:p w14:paraId="47DF2EE0" w14:textId="1ABFBB2E"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Organy nadzorcze MOP podkreślają, że w przypadku narzucenia pracy lub usług (na przykład przez wykorzystanie bezbronności pracownika) pod groźbą niekorzystnych konsekwencji, wykorzystanie nie dotyczy już tylko złych warunków pracy i uruchamia ochronę Konwencji MOP nr 29 (UNODC, Pojęcie „wykorzystania”, </w:t>
      </w:r>
      <w:r>
        <w:rPr>
          <w:rFonts w:ascii="Times New Roman" w:hAnsi="Times New Roman"/>
          <w:i/>
          <w:iCs/>
        </w:rPr>
        <w:t>op. cit.</w:t>
      </w:r>
      <w:r>
        <w:rPr>
          <w:rFonts w:ascii="Times New Roman" w:hAnsi="Times New Roman"/>
        </w:rPr>
        <w:t>, s. 31).</w:t>
      </w:r>
    </w:p>
  </w:footnote>
  <w:footnote w:id="131">
    <w:p w14:paraId="58162FE6" w14:textId="77777777" w:rsidR="004F24F5" w:rsidRPr="00076546" w:rsidRDefault="004F24F5" w:rsidP="00802C80">
      <w:pPr>
        <w:pStyle w:val="Tekstprzypisudolnego"/>
        <w:rPr>
          <w:rFonts w:ascii="Times New Roman" w:hAnsi="Times New Roman" w:cs="Times New Roman"/>
          <w:lang w:val="en-US"/>
        </w:rPr>
      </w:pPr>
      <w:r>
        <w:rPr>
          <w:rStyle w:val="Odwoanieprzypisudolnego"/>
          <w:rFonts w:ascii="Times New Roman" w:hAnsi="Times New Roman" w:cs="Times New Roman"/>
        </w:rPr>
        <w:footnoteRef/>
      </w:r>
      <w:r w:rsidRPr="00076546">
        <w:rPr>
          <w:rFonts w:ascii="Times New Roman" w:hAnsi="Times New Roman"/>
          <w:lang w:val="en-US"/>
        </w:rPr>
        <w:t xml:space="preserve"> Janie Chuang, </w:t>
      </w:r>
      <w:r w:rsidRPr="00076546">
        <w:rPr>
          <w:rFonts w:ascii="Times New Roman" w:hAnsi="Times New Roman"/>
          <w:i/>
          <w:iCs/>
          <w:lang w:val="en-US"/>
        </w:rPr>
        <w:t>Exploitation Creep and the Unmaking of Human Trafficking Law</w:t>
      </w:r>
      <w:r w:rsidRPr="00076546">
        <w:rPr>
          <w:rFonts w:ascii="Times New Roman" w:hAnsi="Times New Roman"/>
          <w:lang w:val="en-US"/>
        </w:rPr>
        <w:t>, 108 (4) American Journal of International Law (2014).</w:t>
      </w:r>
    </w:p>
  </w:footnote>
  <w:footnote w:id="132">
    <w:p w14:paraId="6638734D" w14:textId="487C992C"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W sprawie </w:t>
      </w:r>
      <w:r>
        <w:rPr>
          <w:rFonts w:ascii="Times New Roman" w:hAnsi="Times New Roman"/>
          <w:i/>
          <w:iCs/>
        </w:rPr>
        <w:t>Barar p-ko Szwecji</w:t>
      </w:r>
      <w:r>
        <w:rPr>
          <w:rFonts w:ascii="Times New Roman" w:hAnsi="Times New Roman"/>
        </w:rPr>
        <w:t xml:space="preserve"> (dec.), nr 42367/98, 19 stycznia 1999 r., Trybunał orzekł, że wydalenie osoby do państwa, w którym zostałaby ona poddana niewolnictwu mogłoby podnosić kwestię z art. 4, jednak nie wykazano istnienia takiej obawy. </w:t>
      </w:r>
    </w:p>
  </w:footnote>
  <w:footnote w:id="133">
    <w:p w14:paraId="1EAC4EA1"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KPC ONZ, Komentarz ogólny nr 29, </w:t>
      </w:r>
      <w:r>
        <w:rPr>
          <w:rFonts w:ascii="Times New Roman" w:hAnsi="Times New Roman"/>
          <w:i/>
          <w:iCs/>
        </w:rPr>
        <w:t>op. cit.</w:t>
      </w:r>
      <w:r>
        <w:rPr>
          <w:rFonts w:ascii="Times New Roman" w:hAnsi="Times New Roman"/>
        </w:rPr>
        <w:t xml:space="preserve">, pkt 11-12. </w:t>
      </w:r>
      <w:r w:rsidRPr="00076546">
        <w:rPr>
          <w:rFonts w:ascii="Times New Roman" w:hAnsi="Times New Roman"/>
          <w:i/>
        </w:rPr>
        <w:t>Vide</w:t>
      </w:r>
      <w:r>
        <w:rPr>
          <w:rFonts w:ascii="Times New Roman" w:hAnsi="Times New Roman"/>
        </w:rPr>
        <w:t xml:space="preserve"> także pkt 3 Deklaracji z Miami, </w:t>
      </w:r>
      <w:r>
        <w:rPr>
          <w:rFonts w:ascii="Times New Roman" w:hAnsi="Times New Roman"/>
          <w:i/>
          <w:iCs/>
        </w:rPr>
        <w:t>op. cit.</w:t>
      </w:r>
    </w:p>
  </w:footnote>
  <w:footnote w:id="134">
    <w:p w14:paraId="5351416A" w14:textId="5FF5A36E" w:rsidR="004F24F5" w:rsidRPr="0043226D"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w:t>
      </w:r>
      <w:r w:rsidRPr="00076546">
        <w:rPr>
          <w:rFonts w:ascii="Times New Roman" w:hAnsi="Times New Roman"/>
          <w:i/>
        </w:rPr>
        <w:t>Vide</w:t>
      </w:r>
      <w:r>
        <w:rPr>
          <w:rFonts w:ascii="Times New Roman" w:hAnsi="Times New Roman"/>
        </w:rPr>
        <w:t xml:space="preserve"> </w:t>
      </w:r>
      <w:r>
        <w:rPr>
          <w:rFonts w:ascii="Times New Roman" w:hAnsi="Times New Roman"/>
          <w:i/>
        </w:rPr>
        <w:t>Osman p-ko Zjednoczonemu Królestwu</w:t>
      </w:r>
      <w:r>
        <w:rPr>
          <w:rFonts w:ascii="Times New Roman" w:hAnsi="Times New Roman"/>
        </w:rPr>
        <w:t xml:space="preserve">, 28 października 1998 r., </w:t>
      </w:r>
      <w:r w:rsidRPr="00854ED3">
        <w:rPr>
          <w:rFonts w:ascii="Times New Roman" w:hAnsi="Times New Roman" w:cs="Times New Roman"/>
        </w:rPr>
        <w:t>§</w:t>
      </w:r>
      <w:r>
        <w:rPr>
          <w:rFonts w:ascii="Times New Roman" w:hAnsi="Times New Roman" w:cs="Times New Roman"/>
        </w:rPr>
        <w:t xml:space="preserve"> </w:t>
      </w:r>
      <w:r>
        <w:rPr>
          <w:rFonts w:ascii="Times New Roman" w:hAnsi="Times New Roman"/>
        </w:rPr>
        <w:t>115-17, Zbiór Wyroków i Decyzji 1998</w:t>
      </w:r>
      <w:r>
        <w:rPr>
          <w:rFonts w:ascii="Times New Roman" w:hAnsi="Times New Roman"/>
        </w:rPr>
        <w:noBreakHyphen/>
        <w:t xml:space="preserve">VIII, </w:t>
      </w:r>
      <w:r>
        <w:rPr>
          <w:rFonts w:ascii="Times New Roman" w:hAnsi="Times New Roman"/>
          <w:i/>
        </w:rPr>
        <w:t>Mahmut Kaya p-ko Turcji</w:t>
      </w:r>
      <w:r>
        <w:rPr>
          <w:rFonts w:ascii="Times New Roman" w:hAnsi="Times New Roman"/>
        </w:rPr>
        <w:t xml:space="preserve">, nr 22535/93, </w:t>
      </w:r>
      <w:r w:rsidRPr="00854ED3">
        <w:rPr>
          <w:rFonts w:ascii="Times New Roman" w:hAnsi="Times New Roman" w:cs="Times New Roman"/>
        </w:rPr>
        <w:t>§</w:t>
      </w:r>
      <w:r>
        <w:rPr>
          <w:rFonts w:ascii="Times New Roman" w:hAnsi="Times New Roman" w:cs="Times New Roman"/>
        </w:rPr>
        <w:t xml:space="preserve"> </w:t>
      </w:r>
      <w:r>
        <w:rPr>
          <w:rFonts w:ascii="Times New Roman" w:hAnsi="Times New Roman"/>
        </w:rPr>
        <w:t>115, ETPCz 2000</w:t>
      </w:r>
      <w:r>
        <w:rPr>
          <w:rFonts w:ascii="MS Mincho" w:hAnsi="MS Mincho"/>
        </w:rPr>
        <w:t>‑</w:t>
      </w:r>
      <w:r>
        <w:rPr>
          <w:rFonts w:ascii="Times New Roman" w:hAnsi="Times New Roman"/>
        </w:rPr>
        <w:t>III. Należy odnotować, że Specjalny Sprawozdawca ds. tortur poszerzył ich definicję o handel ludźmi jako postać tortur w sferze prywatnej (A/HRC/7/3, 15 stycznia 2008 r., pkt 56-58).</w:t>
      </w:r>
    </w:p>
  </w:footnote>
  <w:footnote w:id="135">
    <w:p w14:paraId="6F4771EC" w14:textId="77777777" w:rsidR="004F24F5" w:rsidRPr="0096762D" w:rsidRDefault="004F24F5" w:rsidP="00802C80">
      <w:pPr>
        <w:pStyle w:val="Tekstprzypisudolnego"/>
        <w:rPr>
          <w:rFonts w:ascii="Times New Roman" w:hAnsi="Times New Roman"/>
          <w:lang w:val="de-AT"/>
        </w:rPr>
      </w:pPr>
      <w:r>
        <w:rPr>
          <w:rStyle w:val="Odwoanieprzypisudolnego"/>
          <w:rFonts w:ascii="Times New Roman" w:hAnsi="Times New Roman" w:cs="Times New Roman"/>
        </w:rPr>
        <w:footnoteRef/>
      </w:r>
      <w:r w:rsidRPr="0096762D">
        <w:rPr>
          <w:rFonts w:ascii="Times New Roman" w:hAnsi="Times New Roman"/>
          <w:lang w:val="de-AT"/>
        </w:rPr>
        <w:t xml:space="preserve"> </w:t>
      </w:r>
      <w:r w:rsidRPr="0096762D">
        <w:rPr>
          <w:rFonts w:ascii="Times New Roman" w:hAnsi="Times New Roman"/>
          <w:i/>
          <w:lang w:val="de-AT"/>
        </w:rPr>
        <w:t>Vide</w:t>
      </w:r>
      <w:r w:rsidRPr="0096762D">
        <w:rPr>
          <w:rFonts w:ascii="Times New Roman" w:hAnsi="Times New Roman"/>
          <w:lang w:val="de-AT"/>
        </w:rPr>
        <w:t xml:space="preserve"> Arbeitsgruppe “Menschenhandel zum Zweck der Arbeitsausbeutung” des Bundesministeriums für Arbeit, Soziales and Konsumentenschutz, </w:t>
      </w:r>
      <w:r w:rsidRPr="0096762D">
        <w:rPr>
          <w:rFonts w:ascii="Times New Roman" w:hAnsi="Times New Roman"/>
          <w:i/>
          <w:lang w:val="de-AT"/>
        </w:rPr>
        <w:t>Bericht für die Jahre 2012-2014</w:t>
      </w:r>
      <w:r w:rsidRPr="0096762D">
        <w:rPr>
          <w:rFonts w:ascii="Times New Roman" w:hAnsi="Times New Roman"/>
          <w:lang w:val="de-AT"/>
        </w:rPr>
        <w:t xml:space="preserve">; Hajdu </w:t>
      </w:r>
      <w:r w:rsidRPr="0096762D">
        <w:rPr>
          <w:rFonts w:ascii="Times New Roman" w:hAnsi="Times New Roman"/>
          <w:i/>
          <w:lang w:val="de-AT"/>
        </w:rPr>
        <w:t>et al</w:t>
      </w:r>
      <w:r w:rsidRPr="0096762D">
        <w:rPr>
          <w:rFonts w:ascii="Times New Roman" w:hAnsi="Times New Roman"/>
          <w:lang w:val="de-AT"/>
        </w:rPr>
        <w:t xml:space="preserve">., Arbeitsausbeutung. </w:t>
      </w:r>
      <w:r w:rsidRPr="0096762D">
        <w:rPr>
          <w:rFonts w:ascii="Times New Roman" w:hAnsi="Times New Roman"/>
          <w:i/>
          <w:lang w:val="de-AT"/>
        </w:rPr>
        <w:t>Ein sozial–ökonomisches Phänomen?, Frauenhandel bzw.</w:t>
      </w:r>
      <w:r w:rsidRPr="0096762D">
        <w:rPr>
          <w:rFonts w:ascii="Times New Roman" w:hAnsi="Times New Roman"/>
          <w:lang w:val="de-AT"/>
        </w:rPr>
        <w:t xml:space="preserve"> </w:t>
      </w:r>
      <w:r w:rsidRPr="0096762D">
        <w:rPr>
          <w:rFonts w:ascii="Times New Roman" w:hAnsi="Times New Roman"/>
          <w:i/>
          <w:lang w:val="de-AT"/>
        </w:rPr>
        <w:t>Menschenhandel zum Zweck der Arbeitsausbeutung von Ungarinnen und Ungarn in Österreich</w:t>
      </w:r>
      <w:r w:rsidRPr="0096762D">
        <w:rPr>
          <w:rFonts w:ascii="Times New Roman" w:hAnsi="Times New Roman"/>
          <w:lang w:val="de-AT"/>
        </w:rPr>
        <w:t xml:space="preserve">, Wiedeń, 2014; </w:t>
      </w:r>
      <w:r w:rsidRPr="0096762D">
        <w:rPr>
          <w:rFonts w:ascii="Times New Roman" w:hAnsi="Times New Roman"/>
          <w:i/>
          <w:lang w:val="de-AT"/>
        </w:rPr>
        <w:t>ACTnow, Anti-child-trafficking, Rechtliche Herausforderung im Kampf gegen Kinderhandel</w:t>
      </w:r>
      <w:r w:rsidRPr="0096762D">
        <w:rPr>
          <w:rFonts w:ascii="Times New Roman" w:hAnsi="Times New Roman"/>
          <w:lang w:val="de-AT"/>
        </w:rPr>
        <w:t xml:space="preserve">, lexisnexis, 2013; Zingerle i Alionis, </w:t>
      </w:r>
      <w:r w:rsidRPr="0096762D">
        <w:rPr>
          <w:rFonts w:ascii="Times New Roman" w:hAnsi="Times New Roman"/>
          <w:i/>
          <w:lang w:val="de-AT"/>
        </w:rPr>
        <w:t>Männer als Betroffene von Menschenhandel in Österreich</w:t>
      </w:r>
      <w:r w:rsidRPr="0096762D">
        <w:rPr>
          <w:rFonts w:ascii="Times New Roman" w:hAnsi="Times New Roman"/>
          <w:lang w:val="de-AT"/>
        </w:rPr>
        <w:t xml:space="preserve">, 2013; </w:t>
      </w:r>
      <w:r w:rsidRPr="0096762D">
        <w:rPr>
          <w:rFonts w:ascii="Times New Roman" w:hAnsi="Times New Roman"/>
          <w:i/>
          <w:lang w:val="de-AT"/>
        </w:rPr>
        <w:t>Bericht des Menschenrechtsbeirates zu Identifizierung und Schutz von Opfern des Menschenhandels</w:t>
      </w:r>
      <w:r w:rsidRPr="0096762D">
        <w:rPr>
          <w:rFonts w:ascii="Times New Roman" w:hAnsi="Times New Roman"/>
          <w:lang w:val="de-AT"/>
        </w:rPr>
        <w:t xml:space="preserve">, 2012; oraz Planitzer i Sax, </w:t>
      </w:r>
      <w:r w:rsidRPr="0096762D">
        <w:rPr>
          <w:rFonts w:ascii="Times New Roman" w:hAnsi="Times New Roman"/>
          <w:i/>
          <w:lang w:val="de-AT"/>
        </w:rPr>
        <w:t>Combating THB for Labour Exploitation in Austria</w:t>
      </w:r>
      <w:r w:rsidRPr="0096762D">
        <w:rPr>
          <w:rFonts w:ascii="Times New Roman" w:hAnsi="Times New Roman"/>
          <w:lang w:val="de-AT"/>
        </w:rPr>
        <w:t xml:space="preserve">, (w:) Rijken (red.), </w:t>
      </w:r>
      <w:r w:rsidRPr="0096762D">
        <w:rPr>
          <w:rFonts w:ascii="Times New Roman" w:hAnsi="Times New Roman"/>
          <w:i/>
          <w:lang w:val="de-AT"/>
        </w:rPr>
        <w:t>Combating Trafficking in Human Beings for Labour Exploitation</w:t>
      </w:r>
      <w:r w:rsidRPr="0096762D">
        <w:rPr>
          <w:rFonts w:ascii="Times New Roman" w:hAnsi="Times New Roman"/>
          <w:lang w:val="de-AT"/>
        </w:rPr>
        <w:t>, 2011, s. 1-72.</w:t>
      </w:r>
    </w:p>
  </w:footnote>
  <w:footnote w:id="136">
    <w:p w14:paraId="22EA5296"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Raport GRETA o Austrii, GRETA (2011)10, paragraf 137.</w:t>
      </w:r>
    </w:p>
  </w:footnote>
  <w:footnote w:id="137">
    <w:p w14:paraId="126F14E5" w14:textId="77777777" w:rsidR="004F24F5" w:rsidRPr="00C70BB2"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Jak zostanie wykazanie poniżej, pojęcie wykorzystania jest zbyt restrykcyjne (</w:t>
      </w:r>
      <w:r w:rsidRPr="00076546">
        <w:rPr>
          <w:rFonts w:ascii="Times New Roman" w:hAnsi="Times New Roman"/>
          <w:i/>
        </w:rPr>
        <w:t>vide</w:t>
      </w:r>
      <w:r>
        <w:rPr>
          <w:rFonts w:ascii="Times New Roman" w:hAnsi="Times New Roman"/>
        </w:rPr>
        <w:t xml:space="preserve"> opis w </w:t>
      </w:r>
      <w:r>
        <w:rPr>
          <w:rFonts w:ascii="Times New Roman" w:hAnsi="Times New Roman"/>
          <w:iCs/>
        </w:rPr>
        <w:t>Tipold</w:t>
      </w:r>
      <w:r>
        <w:rPr>
          <w:rFonts w:ascii="Times New Roman" w:hAnsi="Times New Roman"/>
        </w:rPr>
        <w:t xml:space="preserve"> in </w:t>
      </w:r>
      <w:r>
        <w:rPr>
          <w:rFonts w:ascii="Times New Roman" w:hAnsi="Times New Roman"/>
          <w:iCs/>
        </w:rPr>
        <w:t>Höpfel/Ratz</w:t>
      </w:r>
      <w:r>
        <w:rPr>
          <w:rFonts w:ascii="Times New Roman" w:hAnsi="Times New Roman"/>
        </w:rPr>
        <w:t xml:space="preserve">, </w:t>
      </w:r>
      <w:r>
        <w:rPr>
          <w:rFonts w:ascii="Times New Roman" w:hAnsi="Times New Roman"/>
          <w:i/>
          <w:iCs/>
        </w:rPr>
        <w:t>Wiener Kommentar zum Strafgesetzbuch</w:t>
      </w:r>
      <w:r>
        <w:rPr>
          <w:rFonts w:ascii="Times New Roman" w:hAnsi="Times New Roman"/>
          <w:i/>
          <w:iCs/>
          <w:vertAlign w:val="superscript"/>
        </w:rPr>
        <w:t>2</w:t>
      </w:r>
      <w:r>
        <w:rPr>
          <w:rFonts w:ascii="Times New Roman" w:hAnsi="Times New Roman"/>
        </w:rPr>
        <w:t xml:space="preserve">, Wiedeń, komentarze 7-9 do art. 116 ustawy o cudzoziemcach). W szczególności zarówno ustawodawca jak i przedstawiciele doktryny zaprzeczają istnieniu wykorzystania, gdy wykorzystuje się różnice w wynagrodzeniach i nierówności społeczne między krajem pochodzenia a krajem przeznaczenia. </w:t>
      </w:r>
    </w:p>
  </w:footnote>
  <w:footnote w:id="138">
    <w:p w14:paraId="4A8144D8"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Tipold, </w:t>
      </w:r>
      <w:r>
        <w:rPr>
          <w:rFonts w:ascii="Times New Roman" w:hAnsi="Times New Roman"/>
          <w:i/>
          <w:iCs/>
        </w:rPr>
        <w:t>op. cit.</w:t>
      </w:r>
      <w:r>
        <w:rPr>
          <w:rFonts w:ascii="Times New Roman" w:hAnsi="Times New Roman"/>
        </w:rPr>
        <w:t>, komentarz 6.</w:t>
      </w:r>
    </w:p>
  </w:footnote>
  <w:footnote w:id="139">
    <w:p w14:paraId="5C3B0063" w14:textId="6D8B9E7B" w:rsidR="004F24F5" w:rsidRPr="009B6C86"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sidRPr="009B6C86">
        <w:rPr>
          <w:rFonts w:ascii="Times New Roman" w:hAnsi="Times New Roman"/>
        </w:rPr>
        <w:t xml:space="preserve"> Jak całkiem trafnie wskazuje Tipold, </w:t>
      </w:r>
      <w:r w:rsidRPr="009B6C86">
        <w:rPr>
          <w:rFonts w:ascii="Times New Roman" w:hAnsi="Times New Roman"/>
          <w:i/>
        </w:rPr>
        <w:t>Stellungsnahme zum Entwurf eines Sexualstrafrechtsänderungsgesetz</w:t>
      </w:r>
      <w:r w:rsidRPr="009B6C86">
        <w:rPr>
          <w:rFonts w:ascii="Times New Roman" w:hAnsi="Times New Roman"/>
        </w:rPr>
        <w:t xml:space="preserve">, 4 marca 2013 r., paragraf 3. </w:t>
      </w:r>
    </w:p>
  </w:footnote>
  <w:footnote w:id="140">
    <w:p w14:paraId="5E8AC1B6"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w:t>
      </w:r>
      <w:r w:rsidRPr="00076546">
        <w:rPr>
          <w:rFonts w:ascii="Times New Roman" w:hAnsi="Times New Roman"/>
          <w:i/>
        </w:rPr>
        <w:t>Vide</w:t>
      </w:r>
      <w:r>
        <w:rPr>
          <w:rFonts w:ascii="Times New Roman" w:hAnsi="Times New Roman"/>
        </w:rPr>
        <w:t xml:space="preserve"> uzasadnienie z 2004 r. do nowelizacji prawa karnego </w:t>
      </w:r>
      <w:r>
        <w:rPr>
          <w:rFonts w:ascii="Times New Roman" w:hAnsi="Times New Roman"/>
          <w:i/>
        </w:rPr>
        <w:t>Strafrechtänderungsgesetz</w:t>
      </w:r>
      <w:r>
        <w:rPr>
          <w:rFonts w:ascii="Times New Roman" w:hAnsi="Times New Roman"/>
        </w:rPr>
        <w:t xml:space="preserve"> („EBRV StRÄG 2004”), 12.</w:t>
      </w:r>
    </w:p>
  </w:footnote>
  <w:footnote w:id="141">
    <w:p w14:paraId="0C36449A"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EBRV StRÄG 2004, 11.</w:t>
      </w:r>
    </w:p>
  </w:footnote>
  <w:footnote w:id="142">
    <w:p w14:paraId="18F2877D"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EBRV StRÄG 2004, 11.</w:t>
      </w:r>
    </w:p>
  </w:footnote>
  <w:footnote w:id="143">
    <w:p w14:paraId="2B447B16"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Odpowiedzi Rządu na kwestionariusz GRETA, opubl. w sierpniu 2010 r., odpowiedź na pytanie nr 21.</w:t>
      </w:r>
    </w:p>
  </w:footnote>
  <w:footnote w:id="144">
    <w:p w14:paraId="7D32C910" w14:textId="77777777" w:rsidR="004F24F5" w:rsidRPr="00281991" w:rsidRDefault="004F24F5" w:rsidP="00802C80">
      <w:pPr>
        <w:autoSpaceDE w:val="0"/>
        <w:autoSpaceDN w:val="0"/>
        <w:adjustRightInd w:val="0"/>
        <w:rPr>
          <w:rFonts w:ascii="Times New Roman" w:hAnsi="Times New Roman" w:cs="Times New Roman"/>
          <w:sz w:val="20"/>
          <w:szCs w:val="20"/>
        </w:rPr>
      </w:pPr>
      <w:r>
        <w:rPr>
          <w:rStyle w:val="Odwoanieprzypisudolnego"/>
          <w:rFonts w:ascii="Times New Roman" w:hAnsi="Times New Roman" w:cs="Times New Roman"/>
          <w:sz w:val="20"/>
          <w:szCs w:val="20"/>
        </w:rPr>
        <w:footnoteRef/>
      </w:r>
      <w:r>
        <w:rPr>
          <w:rFonts w:ascii="Times New Roman" w:hAnsi="Times New Roman"/>
          <w:sz w:val="20"/>
          <w:szCs w:val="20"/>
        </w:rPr>
        <w:t xml:space="preserve"> </w:t>
      </w:r>
      <w:r>
        <w:rPr>
          <w:rFonts w:ascii="Times New Roman" w:hAnsi="Times New Roman"/>
          <w:i/>
          <w:sz w:val="20"/>
          <w:szCs w:val="20"/>
        </w:rPr>
        <w:t>Ibid</w:t>
      </w:r>
      <w:r>
        <w:rPr>
          <w:rFonts w:ascii="Times New Roman" w:hAnsi="Times New Roman"/>
          <w:sz w:val="20"/>
          <w:szCs w:val="20"/>
        </w:rPr>
        <w:t>., odpowiedź na pytanie nr 18.</w:t>
      </w:r>
    </w:p>
  </w:footnote>
  <w:footnote w:id="145">
    <w:p w14:paraId="2058755B" w14:textId="77777777" w:rsidR="004F24F5" w:rsidRPr="0096762D" w:rsidRDefault="004F24F5" w:rsidP="00802C80">
      <w:pPr>
        <w:pStyle w:val="Tekstprzypisudolnego"/>
        <w:rPr>
          <w:rFonts w:ascii="Times New Roman" w:hAnsi="Times New Roman"/>
          <w:lang w:val="de-AT"/>
        </w:rPr>
      </w:pPr>
      <w:r>
        <w:rPr>
          <w:rStyle w:val="Odwoanieprzypisudolnego"/>
          <w:rFonts w:ascii="Times New Roman" w:hAnsi="Times New Roman" w:cs="Times New Roman"/>
        </w:rPr>
        <w:footnoteRef/>
      </w:r>
      <w:r w:rsidRPr="0096762D">
        <w:rPr>
          <w:rFonts w:ascii="Times New Roman" w:hAnsi="Times New Roman"/>
          <w:lang w:val="de-AT"/>
        </w:rPr>
        <w:t xml:space="preserve"> Schwaighofer (w:) Höpfel/Ratz, </w:t>
      </w:r>
      <w:r w:rsidRPr="0096762D">
        <w:rPr>
          <w:rFonts w:ascii="Times New Roman" w:hAnsi="Times New Roman"/>
          <w:i/>
          <w:lang w:val="de-AT"/>
        </w:rPr>
        <w:t>Wiener Kommentar zum Strafgesetzbuch</w:t>
      </w:r>
      <w:r w:rsidRPr="0096762D">
        <w:rPr>
          <w:rFonts w:ascii="Times New Roman" w:hAnsi="Times New Roman"/>
          <w:i/>
          <w:vertAlign w:val="superscript"/>
          <w:lang w:val="de-AT"/>
        </w:rPr>
        <w:t>2</w:t>
      </w:r>
      <w:r w:rsidRPr="0096762D">
        <w:rPr>
          <w:rFonts w:ascii="Times New Roman" w:hAnsi="Times New Roman"/>
          <w:lang w:val="de-AT"/>
        </w:rPr>
        <w:t>, Wiedeń, komentarz 15 do art. 104a.</w:t>
      </w:r>
    </w:p>
  </w:footnote>
  <w:footnote w:id="146">
    <w:p w14:paraId="7C9AF859" w14:textId="77777777" w:rsidR="004F24F5" w:rsidRPr="0096762D" w:rsidRDefault="004F24F5" w:rsidP="00802C80">
      <w:pPr>
        <w:pStyle w:val="Tekstprzypisudolnego"/>
        <w:rPr>
          <w:rFonts w:ascii="Times New Roman" w:hAnsi="Times New Roman"/>
          <w:lang w:val="de-AT"/>
        </w:rPr>
      </w:pPr>
      <w:r>
        <w:rPr>
          <w:rStyle w:val="Odwoanieprzypisudolnego"/>
          <w:rFonts w:ascii="Times New Roman" w:hAnsi="Times New Roman" w:cs="Times New Roman"/>
        </w:rPr>
        <w:footnoteRef/>
      </w:r>
      <w:r w:rsidRPr="0096762D">
        <w:rPr>
          <w:rFonts w:ascii="Times New Roman" w:hAnsi="Times New Roman"/>
          <w:lang w:val="de-AT"/>
        </w:rPr>
        <w:t xml:space="preserve"> Orzecznictwo austriackie wymagana istnienia „ukierunkowanego wpływu” (</w:t>
      </w:r>
      <w:r w:rsidRPr="0096762D">
        <w:rPr>
          <w:rFonts w:ascii="Times New Roman" w:hAnsi="Times New Roman"/>
          <w:i/>
          <w:lang w:val="de-AT"/>
        </w:rPr>
        <w:t>gezielte Einflussnahme</w:t>
      </w:r>
      <w:r w:rsidRPr="0096762D">
        <w:rPr>
          <w:rFonts w:ascii="Times New Roman" w:hAnsi="Times New Roman"/>
          <w:lang w:val="de-AT"/>
        </w:rPr>
        <w:t xml:space="preserve">) handlarza na ofiarę handlu, lecz nie wymaga wywierania presji (Nimmervoll, (w:) Triffterer Otto </w:t>
      </w:r>
      <w:r w:rsidRPr="0096762D">
        <w:rPr>
          <w:rFonts w:ascii="Times New Roman" w:hAnsi="Times New Roman"/>
          <w:i/>
          <w:lang w:val="de-AT"/>
        </w:rPr>
        <w:t>et al</w:t>
      </w:r>
      <w:r w:rsidRPr="0096762D">
        <w:rPr>
          <w:rFonts w:ascii="Times New Roman" w:hAnsi="Times New Roman"/>
          <w:lang w:val="de-AT"/>
        </w:rPr>
        <w:t xml:space="preserve">., </w:t>
      </w:r>
      <w:r w:rsidRPr="0096762D">
        <w:rPr>
          <w:rFonts w:ascii="Times New Roman" w:hAnsi="Times New Roman"/>
          <w:i/>
          <w:lang w:val="de-AT"/>
        </w:rPr>
        <w:t>Salzburger Kommentar zum Strafgesetzbuch</w:t>
      </w:r>
      <w:r w:rsidRPr="0096762D">
        <w:rPr>
          <w:rFonts w:ascii="Times New Roman" w:hAnsi="Times New Roman"/>
          <w:lang w:val="de-AT"/>
        </w:rPr>
        <w:t xml:space="preserve">, lexis nexis, komentarze 32 i 33 do art. 104a). </w:t>
      </w:r>
    </w:p>
  </w:footnote>
  <w:footnote w:id="147">
    <w:p w14:paraId="60367BCC"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EBRV StRÄG 2004, 13: w dowolnej formie. </w:t>
      </w:r>
      <w:r w:rsidRPr="00076546">
        <w:rPr>
          <w:rFonts w:ascii="Times New Roman" w:hAnsi="Times New Roman"/>
          <w:i/>
        </w:rPr>
        <w:t>Vide</w:t>
      </w:r>
      <w:r>
        <w:rPr>
          <w:rFonts w:ascii="Times New Roman" w:hAnsi="Times New Roman"/>
        </w:rPr>
        <w:t xml:space="preserve"> uzasadnienie do nowelizacji prawa karnego w zakresie przestępstw seksualnych </w:t>
      </w:r>
      <w:r>
        <w:rPr>
          <w:rFonts w:ascii="Times New Roman" w:hAnsi="Times New Roman"/>
          <w:i/>
        </w:rPr>
        <w:t>Sexualstrafrechtänderungsgesetz</w:t>
      </w:r>
      <w:r>
        <w:rPr>
          <w:rFonts w:ascii="Times New Roman" w:hAnsi="Times New Roman"/>
        </w:rPr>
        <w:t xml:space="preserve"> („EBRV SexualStRÄG 2013”), 3: nawet przez krótki okres.</w:t>
      </w:r>
    </w:p>
  </w:footnote>
  <w:footnote w:id="148">
    <w:p w14:paraId="2538188D"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EBRV StRÄG 2004, 13: przyjęcie pokrzywdzonego w punkcie przeznaczenia lub postoju na trasie. EBRV SexualStRÄG 2013: wystarcza nadzór nad pokrzywdzonym np. przydział klientów lub czasu pracy.</w:t>
      </w:r>
    </w:p>
  </w:footnote>
  <w:footnote w:id="149">
    <w:p w14:paraId="7412B216" w14:textId="204BC7A0"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Nie jest jasnym, czy samo organizowanie transportu przez osoby trzecie lub nabywanie biletów na transport publiczny jest wystarczające, jak sugerują EBRV StRÄG 2004, 13 i EBRV SexualStRÄG 2013, 4. Odmienny pogląd przyjmuje Schwaighofer, </w:t>
      </w:r>
      <w:r>
        <w:rPr>
          <w:rFonts w:ascii="Times New Roman" w:hAnsi="Times New Roman"/>
          <w:i/>
          <w:iCs/>
        </w:rPr>
        <w:t>op. cit.</w:t>
      </w:r>
      <w:r>
        <w:rPr>
          <w:rFonts w:ascii="Times New Roman" w:hAnsi="Times New Roman"/>
        </w:rPr>
        <w:t xml:space="preserve">, komentarz 5 do art. 104a, . </w:t>
      </w:r>
    </w:p>
  </w:footnote>
  <w:footnote w:id="150">
    <w:p w14:paraId="0C46E02B"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EBRV StRÄG 2004, 13: obejmuje oferty składane konkretnym osobom i oferty nieskierowane do konkretnych osób. </w:t>
      </w:r>
    </w:p>
  </w:footnote>
  <w:footnote w:id="151">
    <w:p w14:paraId="161293EF"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EBRV StRÄG 2004, 13: dowolna forma przekazania osoby innej osobie, w tym kupno, wymiana, dziedziczenie bądź jakakolwiek inna forma zbycia osoby. </w:t>
      </w:r>
    </w:p>
  </w:footnote>
  <w:footnote w:id="152">
    <w:p w14:paraId="61C20825"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EBRV StRÄG 2004, 13: pojęcie to należy interpretować zgodnie z art. 212, który znacząco ogranicza relewantne kategorie sprawców (Nimmervoll, </w:t>
      </w:r>
      <w:r>
        <w:rPr>
          <w:rFonts w:ascii="Times New Roman" w:hAnsi="Times New Roman"/>
          <w:i/>
          <w:iCs/>
        </w:rPr>
        <w:t>op. cit.</w:t>
      </w:r>
      <w:r>
        <w:rPr>
          <w:rFonts w:ascii="Times New Roman" w:hAnsi="Times New Roman"/>
        </w:rPr>
        <w:t>, komentarz 22 do art. 104a).</w:t>
      </w:r>
    </w:p>
  </w:footnote>
  <w:footnote w:id="153">
    <w:p w14:paraId="6BBF68DA"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EBRV StRÄG 2004, 13: obejmuje sytuacje społecznie i ekonomicznie trudnego położenia jak np. uzależnienie od narkotyków, nielegalny pobyt w kraju, bezdomność, osobę młodą po porzuceniu domu rodzinnego. </w:t>
      </w:r>
    </w:p>
  </w:footnote>
  <w:footnote w:id="154">
    <w:p w14:paraId="2926653D"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EBRV StRÄG 2004, 14: wystarczy stworzenie sytuacji psychologicznej, w której ofiara z powodu strachu nie może już swobodnie podejmować decyzji. </w:t>
      </w:r>
    </w:p>
  </w:footnote>
  <w:footnote w:id="155">
    <w:p w14:paraId="41069A2B"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EBRV StRÄG 2004, 14: sytuacja zrównana z kupnem osoby; żądanie lub otrzymanie kwoty pieniężnej od ofiary za jej zakwaterowanie jednak nie wystarcza (Schwaighofer, </w:t>
      </w:r>
      <w:r>
        <w:rPr>
          <w:rFonts w:ascii="Times New Roman" w:hAnsi="Times New Roman"/>
          <w:i/>
          <w:iCs/>
        </w:rPr>
        <w:t>op. cit.</w:t>
      </w:r>
      <w:r>
        <w:rPr>
          <w:rFonts w:ascii="Times New Roman" w:hAnsi="Times New Roman"/>
        </w:rPr>
        <w:t xml:space="preserve">, komentarz 6 do art. 104a). </w:t>
      </w:r>
    </w:p>
  </w:footnote>
  <w:footnote w:id="156">
    <w:p w14:paraId="355548A0"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EBRV SexualStRÄG 2013, 4-5 i EBRV StRÄG 2004, 12: wykorzystanie wymaga „bezwzględnego i trwałego tłumienia żywotnych interesów” (</w:t>
      </w:r>
      <w:r>
        <w:rPr>
          <w:rFonts w:ascii="Times New Roman" w:hAnsi="Times New Roman"/>
          <w:i/>
        </w:rPr>
        <w:t>rücksichtslose, nachhaltige Unterdrückung vitaler Interessen</w:t>
      </w:r>
      <w:r>
        <w:rPr>
          <w:rFonts w:ascii="Times New Roman" w:hAnsi="Times New Roman"/>
        </w:rPr>
        <w:t xml:space="preserve">) ofiary. Tłumienie musi być rozciągnięte w czasie (Schwaighofer, </w:t>
      </w:r>
      <w:r>
        <w:rPr>
          <w:rFonts w:ascii="Times New Roman" w:hAnsi="Times New Roman"/>
          <w:i/>
          <w:iCs/>
        </w:rPr>
        <w:t>op. cit.</w:t>
      </w:r>
      <w:r>
        <w:rPr>
          <w:rFonts w:ascii="Times New Roman" w:hAnsi="Times New Roman"/>
        </w:rPr>
        <w:t xml:space="preserve">, komentarz 8 do art. 104a, Nimmervoll, </w:t>
      </w:r>
      <w:r>
        <w:rPr>
          <w:rFonts w:ascii="Times New Roman" w:hAnsi="Times New Roman"/>
          <w:i/>
          <w:iCs/>
        </w:rPr>
        <w:t>op. cit.</w:t>
      </w:r>
      <w:r>
        <w:rPr>
          <w:rFonts w:ascii="Times New Roman" w:hAnsi="Times New Roman"/>
        </w:rPr>
        <w:t xml:space="preserve">, komentarze 76-78 do art. 104a, Fabrizy, </w:t>
      </w:r>
      <w:r>
        <w:rPr>
          <w:rFonts w:ascii="Times New Roman" w:hAnsi="Times New Roman"/>
          <w:i/>
          <w:iCs/>
        </w:rPr>
        <w:t>Strafgesetzbuch Kurzkommentar</w:t>
      </w:r>
      <w:r>
        <w:rPr>
          <w:rFonts w:ascii="Times New Roman" w:hAnsi="Times New Roman"/>
        </w:rPr>
        <w:t>, Wiedeń, komentarze 6 i 9 do art. 104a). Orzecznictwo i doktryna są w interpretacji tego pojęcia wyraźnie podzielone — część orzecznictwa nawet wymaga „znaczącego ograniczenia sposobu życia ofiary” (</w:t>
      </w:r>
      <w:r w:rsidRPr="00076546">
        <w:rPr>
          <w:rFonts w:ascii="Times New Roman" w:hAnsi="Times New Roman"/>
          <w:i/>
        </w:rPr>
        <w:t>vide</w:t>
      </w:r>
      <w:r>
        <w:rPr>
          <w:rFonts w:ascii="Times New Roman" w:hAnsi="Times New Roman"/>
        </w:rPr>
        <w:t xml:space="preserve"> orzeczenia przywołane w przyp. 173 przez Nimmervolla w jego komentarzu do art. 104a, </w:t>
      </w:r>
      <w:r w:rsidRPr="00076546">
        <w:rPr>
          <w:rFonts w:ascii="Times New Roman" w:hAnsi="Times New Roman"/>
          <w:i/>
        </w:rPr>
        <w:t>vide</w:t>
      </w:r>
      <w:r>
        <w:rPr>
          <w:rFonts w:ascii="Times New Roman" w:hAnsi="Times New Roman"/>
        </w:rPr>
        <w:t xml:space="preserve"> także Tipold, </w:t>
      </w:r>
      <w:r>
        <w:rPr>
          <w:rFonts w:ascii="Times New Roman" w:hAnsi="Times New Roman"/>
          <w:i/>
          <w:iCs/>
        </w:rPr>
        <w:t>op. cit.</w:t>
      </w:r>
      <w:r>
        <w:rPr>
          <w:rFonts w:ascii="Times New Roman" w:hAnsi="Times New Roman"/>
        </w:rPr>
        <w:t xml:space="preserve">, komentarz 7 do art. 116 FPG). EBRV SexualStRÄG 2013, 4 staje na tym drugim stanowisku. </w:t>
      </w:r>
    </w:p>
  </w:footnote>
  <w:footnote w:id="157">
    <w:p w14:paraId="23CFF646" w14:textId="1636112E"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EBRV StRÄG 2004, 13: wykorzystanie w celu przeszczepu organów ma charakter wyjątkowy, jako że wymaga pobrania ludzkich organów, części organów, tkanek i płynów ustrojowych z taką częstotliwością i w takiej ilości, że skutkuje trwałymi i poważnymi konsekwencjami dla zdrowia. </w:t>
      </w:r>
    </w:p>
  </w:footnote>
  <w:footnote w:id="158">
    <w:p w14:paraId="7C278E3A" w14:textId="333DD333"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EBRV StRÄG 2004, 13: obejmuje znaczące i trwałe obniżenie minimalnych warunków pracy, inne niż istotne obniżenie wynagrodzenia. EBRV SexualStRÄG 2013, 5: relewantne standardy prawne i standardy wynikające z układu zbiorowego to standardy austriackie. </w:t>
      </w:r>
    </w:p>
  </w:footnote>
  <w:footnote w:id="159">
    <w:p w14:paraId="14884D1F" w14:textId="77777777" w:rsidR="004F24F5" w:rsidRPr="0096762D" w:rsidRDefault="004F24F5" w:rsidP="00802C80">
      <w:pPr>
        <w:pStyle w:val="Tekstprzypisudolnego"/>
        <w:rPr>
          <w:rFonts w:ascii="Times New Roman" w:hAnsi="Times New Roman"/>
          <w:lang w:val="sv-SE"/>
        </w:rPr>
      </w:pPr>
      <w:r>
        <w:rPr>
          <w:rStyle w:val="Odwoanieprzypisudolnego"/>
          <w:rFonts w:ascii="Times New Roman" w:hAnsi="Times New Roman" w:cs="Times New Roman"/>
        </w:rPr>
        <w:footnoteRef/>
      </w:r>
      <w:r w:rsidRPr="0096762D">
        <w:rPr>
          <w:rFonts w:ascii="Times New Roman" w:hAnsi="Times New Roman"/>
          <w:lang w:val="sv-SE"/>
        </w:rPr>
        <w:t xml:space="preserve"> Raport GRETA, </w:t>
      </w:r>
      <w:r w:rsidRPr="0096762D">
        <w:rPr>
          <w:rFonts w:ascii="Times New Roman" w:hAnsi="Times New Roman"/>
          <w:i/>
          <w:lang w:val="sv-SE"/>
        </w:rPr>
        <w:t>op. cit.</w:t>
      </w:r>
      <w:r w:rsidRPr="0096762D">
        <w:rPr>
          <w:rFonts w:ascii="Times New Roman" w:hAnsi="Times New Roman"/>
          <w:lang w:val="sv-SE"/>
        </w:rPr>
        <w:t xml:space="preserve">, pkt 143. </w:t>
      </w:r>
    </w:p>
  </w:footnote>
  <w:footnote w:id="160">
    <w:p w14:paraId="4C035017" w14:textId="65DC1BEC" w:rsidR="004F24F5" w:rsidRPr="0096762D" w:rsidRDefault="004F24F5" w:rsidP="00802C80">
      <w:pPr>
        <w:pStyle w:val="Tekstprzypisudolnego"/>
        <w:rPr>
          <w:rFonts w:ascii="Times New Roman" w:hAnsi="Times New Roman"/>
          <w:lang w:val="de-AT"/>
        </w:rPr>
      </w:pPr>
      <w:r>
        <w:rPr>
          <w:rStyle w:val="Odwoanieprzypisudolnego"/>
          <w:rFonts w:ascii="Times New Roman" w:hAnsi="Times New Roman" w:cs="Times New Roman"/>
        </w:rPr>
        <w:footnoteRef/>
      </w:r>
      <w:r w:rsidRPr="0096762D">
        <w:rPr>
          <w:rFonts w:ascii="Times New Roman" w:hAnsi="Times New Roman"/>
          <w:lang w:val="sv-SE"/>
        </w:rPr>
        <w:t xml:space="preserve"> Raport GRETA, </w:t>
      </w:r>
      <w:r w:rsidRPr="0096762D">
        <w:rPr>
          <w:rFonts w:ascii="Times New Roman" w:hAnsi="Times New Roman"/>
          <w:i/>
          <w:lang w:val="sv-SE"/>
        </w:rPr>
        <w:t>op. cit.</w:t>
      </w:r>
      <w:r w:rsidRPr="0096762D">
        <w:rPr>
          <w:rFonts w:ascii="Times New Roman" w:hAnsi="Times New Roman"/>
          <w:lang w:val="sv-SE"/>
        </w:rPr>
        <w:t xml:space="preserve">, pkt 155. </w:t>
      </w:r>
      <w:r>
        <w:rPr>
          <w:rFonts w:ascii="Times New Roman" w:hAnsi="Times New Roman"/>
        </w:rPr>
        <w:t xml:space="preserve">Rząd odpowiedział, że „Grupa Robocza ds. wykorzystywania pracy skupi się na analizie istniejących wyznaczników wykorzystywania pracy i poprawie ich zastosowalności, a przez to zapewnienia lepszej pomocy odnośnym organom w identyfikacji ofiar”. </w:t>
      </w:r>
      <w:r w:rsidRPr="0096762D">
        <w:rPr>
          <w:rFonts w:ascii="Times New Roman" w:hAnsi="Times New Roman"/>
          <w:i/>
          <w:lang w:val="de-AT"/>
        </w:rPr>
        <w:t>Arbeitsgruppe “Menschenhandel zum Zweck der Arbeitsausbeutung” Bericht 2012-2014</w:t>
      </w:r>
      <w:r w:rsidRPr="0096762D">
        <w:rPr>
          <w:rFonts w:ascii="Times New Roman" w:hAnsi="Times New Roman"/>
          <w:lang w:val="de-AT"/>
        </w:rPr>
        <w:t xml:space="preserve">, </w:t>
      </w:r>
      <w:r w:rsidRPr="0096762D">
        <w:rPr>
          <w:rFonts w:ascii="Times New Roman" w:hAnsi="Times New Roman"/>
          <w:i/>
          <w:lang w:val="de-AT"/>
        </w:rPr>
        <w:t>op. cit.</w:t>
      </w:r>
      <w:r w:rsidRPr="0096762D">
        <w:rPr>
          <w:rFonts w:ascii="Times New Roman" w:hAnsi="Times New Roman"/>
          <w:lang w:val="de-AT"/>
        </w:rPr>
        <w:t xml:space="preserve">, s. 16-17, wzmiankuje kilka list wyznaczników. </w:t>
      </w:r>
    </w:p>
  </w:footnote>
  <w:footnote w:id="161">
    <w:p w14:paraId="3624542E" w14:textId="47BE2B74" w:rsidR="004F24F5" w:rsidRPr="0096762D" w:rsidRDefault="004F24F5" w:rsidP="00802C80">
      <w:pPr>
        <w:pStyle w:val="Tekstprzypisudolnego"/>
        <w:rPr>
          <w:rFonts w:ascii="Times New Roman" w:hAnsi="Times New Roman"/>
          <w:lang w:val="de-AT"/>
        </w:rPr>
      </w:pPr>
      <w:r>
        <w:rPr>
          <w:rStyle w:val="Odwoanieprzypisudolnego"/>
          <w:rFonts w:ascii="Times New Roman" w:hAnsi="Times New Roman" w:cs="Times New Roman"/>
        </w:rPr>
        <w:footnoteRef/>
      </w:r>
      <w:r w:rsidRPr="0096762D">
        <w:rPr>
          <w:rFonts w:ascii="Times New Roman" w:hAnsi="Times New Roman"/>
          <w:lang w:val="de-AT"/>
        </w:rPr>
        <w:t xml:space="preserve"> </w:t>
      </w:r>
      <w:r w:rsidRPr="00F559B4">
        <w:rPr>
          <w:rFonts w:ascii="Times New Roman" w:hAnsi="Times New Roman"/>
          <w:lang w:val="de-AT"/>
        </w:rPr>
        <w:t>Zob.</w:t>
      </w:r>
      <w:r w:rsidRPr="0096762D">
        <w:rPr>
          <w:rFonts w:ascii="Times New Roman" w:hAnsi="Times New Roman"/>
          <w:lang w:val="de-AT"/>
        </w:rPr>
        <w:t xml:space="preserve"> EBRV SexualStRÄG 2013 i Tipold, </w:t>
      </w:r>
      <w:r w:rsidRPr="0096762D">
        <w:rPr>
          <w:rFonts w:ascii="Times New Roman" w:hAnsi="Times New Roman"/>
          <w:i/>
          <w:lang w:val="de-AT"/>
        </w:rPr>
        <w:t>Stellungsnahme zum Entwurf</w:t>
      </w:r>
      <w:r w:rsidRPr="0096762D">
        <w:rPr>
          <w:rFonts w:ascii="Times New Roman" w:hAnsi="Times New Roman"/>
          <w:lang w:val="de-AT"/>
        </w:rPr>
        <w:t xml:space="preserve">, </w:t>
      </w:r>
      <w:r w:rsidRPr="0096762D">
        <w:rPr>
          <w:rFonts w:ascii="Times New Roman" w:hAnsi="Times New Roman"/>
          <w:i/>
          <w:lang w:val="de-AT"/>
        </w:rPr>
        <w:t>op.cit.</w:t>
      </w:r>
      <w:r w:rsidRPr="0096762D">
        <w:rPr>
          <w:rFonts w:ascii="Times New Roman" w:hAnsi="Times New Roman"/>
          <w:lang w:val="de-AT"/>
        </w:rPr>
        <w:t xml:space="preserve">; Schwaighofer i Venier, </w:t>
      </w:r>
      <w:r w:rsidRPr="0096762D">
        <w:rPr>
          <w:rFonts w:ascii="Times New Roman" w:hAnsi="Times New Roman"/>
          <w:i/>
          <w:lang w:val="de-AT"/>
        </w:rPr>
        <w:t>Stellungnahme zum Entwurf eines Sexualstrafrechtänderungsgesetzes</w:t>
      </w:r>
      <w:r w:rsidRPr="0096762D">
        <w:rPr>
          <w:rFonts w:ascii="Times New Roman" w:hAnsi="Times New Roman"/>
          <w:lang w:val="de-AT"/>
        </w:rPr>
        <w:t xml:space="preserve">, 25 lutego 2013 r.; Beclin, </w:t>
      </w:r>
      <w:r w:rsidRPr="0096762D">
        <w:rPr>
          <w:rFonts w:ascii="Times New Roman" w:hAnsi="Times New Roman"/>
          <w:i/>
          <w:lang w:val="de-AT"/>
        </w:rPr>
        <w:t>Stellungnahme zum Entwurf eines Bundesgesetzes, mit dem das Strafgesetzbuch geändert werden soll (Sexualstrafrechtsänderungsgesetz 2013)</w:t>
      </w:r>
      <w:r w:rsidRPr="0096762D">
        <w:rPr>
          <w:rFonts w:ascii="Times New Roman" w:hAnsi="Times New Roman"/>
          <w:lang w:val="de-AT"/>
        </w:rPr>
        <w:t xml:space="preserve">, 27 lutego 2013 r., </w:t>
      </w:r>
      <w:r w:rsidRPr="0096762D">
        <w:rPr>
          <w:rFonts w:ascii="Times New Roman" w:hAnsi="Times New Roman"/>
          <w:i/>
          <w:lang w:val="de-AT"/>
        </w:rPr>
        <w:t>Ergänzende Stellungnahme zum Entwurf eines Bundesgesetzes, mit dem das Strafgesetzbuch geändert werden soll (Sexualstrafrechtsänderungsgesetz 2013)</w:t>
      </w:r>
      <w:r w:rsidRPr="0096762D">
        <w:rPr>
          <w:rFonts w:ascii="Times New Roman" w:hAnsi="Times New Roman"/>
          <w:lang w:val="de-AT"/>
        </w:rPr>
        <w:t xml:space="preserve">, 8 marca 2013 r.; Florian, </w:t>
      </w:r>
      <w:r w:rsidRPr="0096762D">
        <w:rPr>
          <w:rFonts w:ascii="Times New Roman" w:hAnsi="Times New Roman"/>
          <w:i/>
          <w:lang w:val="de-AT"/>
        </w:rPr>
        <w:t>Punktuelle Stellungnahme zum Ministerialentwurf BMJ-S318.033/0002- IV 1/2013 betreffend ein Bundesgesetz, mit dem das Strafgesetzbuch geändert wird (Sexualstrafrechtsänderungsgesetz 2013)</w:t>
      </w:r>
      <w:r w:rsidRPr="0096762D">
        <w:rPr>
          <w:rFonts w:ascii="Times New Roman" w:hAnsi="Times New Roman"/>
          <w:lang w:val="de-AT"/>
        </w:rPr>
        <w:t xml:space="preserve">, 6 marca 2013 r., z których wszystkie dostępne są na stronach internetowych Rządu. </w:t>
      </w:r>
    </w:p>
  </w:footnote>
  <w:footnote w:id="162">
    <w:p w14:paraId="2ABE29AD"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sidRPr="0096762D">
        <w:rPr>
          <w:rFonts w:ascii="Times New Roman" w:hAnsi="Times New Roman"/>
          <w:lang w:val="de-AT"/>
        </w:rPr>
        <w:t xml:space="preserve"> Lukę dostrzegł już Tipold, </w:t>
      </w:r>
      <w:r w:rsidRPr="0096762D">
        <w:rPr>
          <w:rFonts w:ascii="Times New Roman" w:hAnsi="Times New Roman"/>
          <w:i/>
          <w:lang w:val="de-AT"/>
        </w:rPr>
        <w:t>Stellungsnahme zum Entwurf</w:t>
      </w:r>
      <w:r w:rsidRPr="0096762D">
        <w:rPr>
          <w:rFonts w:ascii="Times New Roman" w:hAnsi="Times New Roman"/>
          <w:lang w:val="de-AT"/>
        </w:rPr>
        <w:t xml:space="preserve">, </w:t>
      </w:r>
      <w:r w:rsidRPr="0096762D">
        <w:rPr>
          <w:rFonts w:ascii="Times New Roman" w:hAnsi="Times New Roman"/>
          <w:i/>
          <w:lang w:val="de-AT"/>
        </w:rPr>
        <w:t>op. cit.</w:t>
      </w:r>
      <w:r w:rsidRPr="0096762D">
        <w:rPr>
          <w:rFonts w:ascii="Times New Roman" w:hAnsi="Times New Roman"/>
          <w:lang w:val="de-AT"/>
        </w:rPr>
        <w:t xml:space="preserve">, paragraf 10. </w:t>
      </w:r>
      <w:r>
        <w:rPr>
          <w:rFonts w:ascii="Times New Roman" w:hAnsi="Times New Roman"/>
        </w:rPr>
        <w:t xml:space="preserve">Nimmervoll, </w:t>
      </w:r>
      <w:r>
        <w:rPr>
          <w:rFonts w:ascii="Times New Roman" w:hAnsi="Times New Roman"/>
          <w:i/>
          <w:iCs/>
        </w:rPr>
        <w:t>op. cit.</w:t>
      </w:r>
      <w:r>
        <w:rPr>
          <w:rFonts w:ascii="Times New Roman" w:hAnsi="Times New Roman"/>
        </w:rPr>
        <w:t>, komentarz 54 do art. 104a, również krytykuje tę „częściową dekryminalizację”.</w:t>
      </w:r>
    </w:p>
  </w:footnote>
  <w:footnote w:id="163">
    <w:p w14:paraId="5C5197D4"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EBRV SexualStRÄG 2013, 6: obejmuje czynne i czysto bierne postaci żebractwa. Doktryna jest podzielona co do wysokości kwoty odbieranej żebrzącemu (Nimveroll, </w:t>
      </w:r>
      <w:r>
        <w:rPr>
          <w:rFonts w:ascii="Times New Roman" w:hAnsi="Times New Roman"/>
          <w:i/>
          <w:iCs/>
        </w:rPr>
        <w:t>op. cit.</w:t>
      </w:r>
      <w:r>
        <w:rPr>
          <w:rFonts w:ascii="Times New Roman" w:hAnsi="Times New Roman"/>
        </w:rPr>
        <w:t xml:space="preserve">, komentarz 98 do art. 104a, ale Schwaighofer, </w:t>
      </w:r>
      <w:r>
        <w:rPr>
          <w:rFonts w:ascii="Times New Roman" w:hAnsi="Times New Roman"/>
          <w:i/>
          <w:iCs/>
        </w:rPr>
        <w:t>op. cit.</w:t>
      </w:r>
      <w:r>
        <w:rPr>
          <w:rFonts w:ascii="Times New Roman" w:hAnsi="Times New Roman"/>
        </w:rPr>
        <w:t>, komentarz 13c do tego samego artykułu).</w:t>
      </w:r>
    </w:p>
  </w:footnote>
  <w:footnote w:id="164">
    <w:p w14:paraId="413A92E2"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EBRV SexualStRÄG 2013, 3: nie obejmuje prawa wykroczeń (</w:t>
      </w:r>
      <w:r>
        <w:rPr>
          <w:rFonts w:ascii="Times New Roman" w:hAnsi="Times New Roman"/>
          <w:i/>
        </w:rPr>
        <w:t>Verwaltungsstrafrecht</w:t>
      </w:r>
      <w:r>
        <w:rPr>
          <w:rFonts w:ascii="Times New Roman" w:hAnsi="Times New Roman"/>
        </w:rPr>
        <w:t xml:space="preserve">). </w:t>
      </w:r>
    </w:p>
  </w:footnote>
  <w:footnote w:id="165">
    <w:p w14:paraId="7F21AD08" w14:textId="77777777" w:rsidR="004F24F5" w:rsidRPr="0096762D" w:rsidRDefault="004F24F5" w:rsidP="00802C80">
      <w:pPr>
        <w:pStyle w:val="Tekstprzypisudolnego"/>
        <w:rPr>
          <w:rFonts w:ascii="Times New Roman" w:hAnsi="Times New Roman"/>
          <w:lang w:val="sv-SE"/>
        </w:rPr>
      </w:pPr>
      <w:r>
        <w:rPr>
          <w:rStyle w:val="Odwoanieprzypisudolnego"/>
          <w:rFonts w:ascii="Times New Roman" w:hAnsi="Times New Roman" w:cs="Times New Roman"/>
        </w:rPr>
        <w:footnoteRef/>
      </w:r>
      <w:r w:rsidRPr="0096762D">
        <w:rPr>
          <w:rFonts w:ascii="Times New Roman" w:hAnsi="Times New Roman"/>
          <w:lang w:val="sv-SE"/>
        </w:rPr>
        <w:t xml:space="preserve"> EBRV SexualStRÄG 2013, 3.</w:t>
      </w:r>
    </w:p>
  </w:footnote>
  <w:footnote w:id="166">
    <w:p w14:paraId="49F8104E"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sidRPr="0096762D">
        <w:rPr>
          <w:rFonts w:ascii="Times New Roman" w:hAnsi="Times New Roman"/>
          <w:lang w:val="sv-SE"/>
        </w:rPr>
        <w:t xml:space="preserve"> EBRV SexualStRÄG 2013, 3 i 7. </w:t>
      </w:r>
      <w:r>
        <w:rPr>
          <w:rFonts w:ascii="Times New Roman" w:hAnsi="Times New Roman"/>
        </w:rPr>
        <w:t xml:space="preserve">Rozmaite sprzeczne stanowiska w doktrynie </w:t>
      </w:r>
      <w:r w:rsidRPr="00076546">
        <w:rPr>
          <w:rFonts w:ascii="Times New Roman" w:hAnsi="Times New Roman"/>
          <w:i/>
        </w:rPr>
        <w:t>vide</w:t>
      </w:r>
      <w:r>
        <w:rPr>
          <w:rFonts w:ascii="Times New Roman" w:hAnsi="Times New Roman"/>
        </w:rPr>
        <w:t xml:space="preserve"> Nimmervoll, </w:t>
      </w:r>
      <w:r>
        <w:rPr>
          <w:rFonts w:ascii="Times New Roman" w:hAnsi="Times New Roman"/>
          <w:i/>
          <w:iCs/>
        </w:rPr>
        <w:t>op. cit.</w:t>
      </w:r>
      <w:r>
        <w:rPr>
          <w:rFonts w:ascii="Times New Roman" w:hAnsi="Times New Roman"/>
        </w:rPr>
        <w:t xml:space="preserve">, komentarz 140 do art. 140a, Schwaighofer, </w:t>
      </w:r>
      <w:r>
        <w:rPr>
          <w:rFonts w:ascii="Times New Roman" w:hAnsi="Times New Roman"/>
          <w:i/>
          <w:iCs/>
        </w:rPr>
        <w:t>op. cit.</w:t>
      </w:r>
      <w:r>
        <w:rPr>
          <w:rFonts w:ascii="Times New Roman" w:hAnsi="Times New Roman"/>
        </w:rPr>
        <w:t xml:space="preserve">, komentarz 21 do tego samego artykułu, Tipold, </w:t>
      </w:r>
      <w:r>
        <w:rPr>
          <w:rFonts w:ascii="Times New Roman" w:hAnsi="Times New Roman"/>
          <w:i/>
          <w:iCs/>
        </w:rPr>
        <w:t>op. cit.</w:t>
      </w:r>
      <w:r>
        <w:rPr>
          <w:rFonts w:ascii="Times New Roman" w:hAnsi="Times New Roman"/>
        </w:rPr>
        <w:t xml:space="preserve">, komentarz 15 do art. 116 FPG. </w:t>
      </w:r>
    </w:p>
  </w:footnote>
  <w:footnote w:id="167">
    <w:p w14:paraId="4C9658AD" w14:textId="6595ECE3" w:rsidR="004F24F5" w:rsidRPr="0096762D" w:rsidRDefault="004F24F5" w:rsidP="00802C80">
      <w:pPr>
        <w:pStyle w:val="Tekstprzypisudolnego"/>
        <w:rPr>
          <w:rFonts w:ascii="Times New Roman" w:hAnsi="Times New Roman"/>
          <w:lang w:val="sv-SE"/>
        </w:rPr>
      </w:pPr>
      <w:r>
        <w:rPr>
          <w:rStyle w:val="Odwoanieprzypisudolnego"/>
          <w:rFonts w:ascii="Times New Roman" w:hAnsi="Times New Roman" w:cs="Times New Roman"/>
        </w:rPr>
        <w:footnoteRef/>
      </w:r>
      <w:r w:rsidRPr="0096762D">
        <w:rPr>
          <w:rFonts w:ascii="Times New Roman" w:hAnsi="Times New Roman"/>
          <w:lang w:val="sv-SE"/>
        </w:rPr>
        <w:t xml:space="preserve"> Raport GRETA o Austrii, GRETA (2011) 10, pkt 137.</w:t>
      </w:r>
    </w:p>
  </w:footnote>
  <w:footnote w:id="168">
    <w:p w14:paraId="3ED4C49B"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Przepis wprowadzony w celu implementacji art. 37 Konwencji Rady Europy w sprawie zapobiegania i zwalczania przemocy wobec kobiet i przemocy domowej (Seria Traktatów Rady Europy nr 210). </w:t>
      </w:r>
    </w:p>
  </w:footnote>
  <w:footnote w:id="169">
    <w:p w14:paraId="03874D66"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Jak wskazuje Komentarz Sieci Niezależnych Ekspertów ds. Praw Podstawowych do Karty z 2006 r. Podobną linię rozumowania przyjmuje Izba Odwoławcza MTKdbJ.</w:t>
      </w:r>
    </w:p>
  </w:footnote>
  <w:footnote w:id="170">
    <w:p w14:paraId="78B0E26C" w14:textId="43ADA1F2"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Nie należy zapominać lekcji, jaka płynie z wyroku w sprawie </w:t>
      </w:r>
      <w:r>
        <w:rPr>
          <w:rFonts w:ascii="Times New Roman" w:hAnsi="Times New Roman"/>
          <w:i/>
        </w:rPr>
        <w:t>Pohl i in.</w:t>
      </w:r>
      <w:r>
        <w:rPr>
          <w:rFonts w:ascii="Times New Roman" w:hAnsi="Times New Roman"/>
        </w:rPr>
        <w:t xml:space="preserve"> </w:t>
      </w:r>
      <w:r>
        <w:rPr>
          <w:rFonts w:ascii="Times New Roman" w:hAnsi="Times New Roman"/>
          <w:i/>
          <w:iCs/>
        </w:rPr>
        <w:t>op. cit.</w:t>
      </w:r>
      <w:r>
        <w:rPr>
          <w:rFonts w:ascii="Times New Roman" w:hAnsi="Times New Roman"/>
        </w:rPr>
        <w:t xml:space="preserve">, s. 969 — nawet w braku dowodów znęcania się, mogło dojść do wykorzystania osób, jeżeli zostały one pozbawione swobody odrzucenia pewnych warunków pracy. </w:t>
      </w:r>
    </w:p>
  </w:footnote>
  <w:footnote w:id="171">
    <w:p w14:paraId="34EB350F"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UNODC, Pojęcie „wykorzystania”,</w:t>
      </w:r>
      <w:r>
        <w:rPr>
          <w:rFonts w:ascii="Times New Roman" w:hAnsi="Times New Roman"/>
          <w:i/>
          <w:iCs/>
        </w:rPr>
        <w:t xml:space="preserve"> op. cit.</w:t>
      </w:r>
      <w:r>
        <w:rPr>
          <w:rFonts w:ascii="Times New Roman" w:hAnsi="Times New Roman"/>
        </w:rPr>
        <w:t>, s. 11.</w:t>
      </w:r>
    </w:p>
  </w:footnote>
  <w:footnote w:id="172">
    <w:p w14:paraId="3E5F429D"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Ten sam błąd popełnił wiedeński oskarżyciel publiczny: „Po pierwsze z zeznań pokrzywdzonych nie wynika, że były one wykorzystywane również w Austrii, jako że udało im się uciec na kilka dni po przybyciu na jej terytorium”.</w:t>
      </w:r>
    </w:p>
  </w:footnote>
  <w:footnote w:id="173">
    <w:p w14:paraId="678B436B"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w:t>
      </w:r>
      <w:r w:rsidRPr="00076546">
        <w:rPr>
          <w:rFonts w:ascii="Times New Roman" w:hAnsi="Times New Roman"/>
          <w:i/>
        </w:rPr>
        <w:t>Vide</w:t>
      </w:r>
      <w:r>
        <w:rPr>
          <w:rFonts w:ascii="Times New Roman" w:hAnsi="Times New Roman"/>
        </w:rPr>
        <w:t xml:space="preserve"> paragrafy 8-24 wyroku.</w:t>
      </w:r>
    </w:p>
  </w:footnote>
  <w:footnote w:id="174">
    <w:p w14:paraId="64A65D86"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Zarzucane znamiona </w:t>
      </w:r>
      <w:r>
        <w:rPr>
          <w:rFonts w:ascii="Times New Roman" w:hAnsi="Times New Roman"/>
          <w:i/>
        </w:rPr>
        <w:t>Beherbergen, sonstigen Aufnehmen</w:t>
      </w:r>
      <w:r>
        <w:rPr>
          <w:rFonts w:ascii="Times New Roman" w:hAnsi="Times New Roman"/>
        </w:rPr>
        <w:t xml:space="preserve"> i </w:t>
      </w:r>
      <w:r>
        <w:rPr>
          <w:rFonts w:ascii="Times New Roman" w:hAnsi="Times New Roman"/>
          <w:i/>
        </w:rPr>
        <w:t>Befördern</w:t>
      </w:r>
      <w:r>
        <w:rPr>
          <w:rFonts w:ascii="Times New Roman" w:hAnsi="Times New Roman"/>
        </w:rPr>
        <w:t xml:space="preserve"> mają charakter „przestępstwa trwałego”, czy też </w:t>
      </w:r>
      <w:r>
        <w:rPr>
          <w:rFonts w:ascii="Times New Roman" w:hAnsi="Times New Roman"/>
          <w:i/>
        </w:rPr>
        <w:t>Dauerdelikt</w:t>
      </w:r>
      <w:r>
        <w:rPr>
          <w:rFonts w:ascii="Times New Roman" w:hAnsi="Times New Roman"/>
        </w:rPr>
        <w:t xml:space="preserve"> (Nimmervoll, </w:t>
      </w:r>
      <w:r>
        <w:rPr>
          <w:rFonts w:ascii="Times New Roman" w:hAnsi="Times New Roman"/>
          <w:i/>
          <w:iCs/>
        </w:rPr>
        <w:t>op. cit.</w:t>
      </w:r>
      <w:r>
        <w:rPr>
          <w:rFonts w:ascii="Times New Roman" w:hAnsi="Times New Roman"/>
        </w:rPr>
        <w:t xml:space="preserve">, komentarz 6 do art. 104a; </w:t>
      </w:r>
      <w:r w:rsidRPr="00076546">
        <w:rPr>
          <w:rFonts w:ascii="Times New Roman" w:hAnsi="Times New Roman"/>
          <w:i/>
        </w:rPr>
        <w:t>vide</w:t>
      </w:r>
      <w:r>
        <w:rPr>
          <w:rFonts w:ascii="Times New Roman" w:hAnsi="Times New Roman"/>
        </w:rPr>
        <w:t xml:space="preserve"> także </w:t>
      </w:r>
      <w:r>
        <w:rPr>
          <w:rFonts w:ascii="Times New Roman" w:hAnsi="Times New Roman"/>
          <w:i/>
        </w:rPr>
        <w:t xml:space="preserve">Rohlena p-ko Republice Czeskiej </w:t>
      </w:r>
      <w:r>
        <w:rPr>
          <w:rFonts w:ascii="Times New Roman" w:hAnsi="Times New Roman"/>
        </w:rPr>
        <w:t>[WI], nr 59552/08, § 28, ETPCz 2015).</w:t>
      </w:r>
    </w:p>
  </w:footnote>
  <w:footnote w:id="175">
    <w:p w14:paraId="5D5ECEF8" w14:textId="772AA6D0"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Zob. paragraf 39 wyroku. </w:t>
      </w:r>
    </w:p>
  </w:footnote>
  <w:footnote w:id="176">
    <w:p w14:paraId="1936F283"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W Zjednoczonych Emiratach Arabskich ustawa związkowa nr 51 z 2006 r. o handlu ludźmi zasadniczo podąża drogą Protokołu z Palermo, działa też Komitet Krajowy ds. zwalczania handlu ludźmi (UNODC, Pojęcie „wykorzystania”, </w:t>
      </w:r>
      <w:r>
        <w:rPr>
          <w:rFonts w:ascii="Times New Roman" w:hAnsi="Times New Roman"/>
          <w:i/>
          <w:iCs/>
        </w:rPr>
        <w:t>op. cit.</w:t>
      </w:r>
      <w:r>
        <w:rPr>
          <w:rFonts w:ascii="Times New Roman" w:hAnsi="Times New Roman"/>
        </w:rPr>
        <w:t xml:space="preserve">, s. </w:t>
      </w:r>
      <w:r>
        <w:rPr>
          <w:rFonts w:ascii="Times New Roman" w:hAnsi="Times New Roman"/>
          <w:iCs/>
        </w:rPr>
        <w:t>45-48).</w:t>
      </w:r>
      <w:r>
        <w:rPr>
          <w:rFonts w:ascii="Times New Roman" w:hAnsi="Times New Roman"/>
        </w:rPr>
        <w:t xml:space="preserve"> </w:t>
      </w:r>
      <w:r>
        <w:rPr>
          <w:rFonts w:ascii="Times New Roman" w:hAnsi="Times New Roman"/>
          <w:iCs/>
        </w:rPr>
        <w:t>Ponadto utworzona w ramach Departamentu Prawnego Ligi Arabskiej Jednostka Koordynująca ds. zwalczania handlu ludźmi monitoruje zjawisko tego handlu w regionie arabskim, służąc za punkt koordynacyjny dla państw arabskich w ich krajowych implementacjach przepisów o jego zwalczaniu. Tych faktów władze austriackie pod rozwagę nie wzięły.</w:t>
      </w:r>
    </w:p>
  </w:footnote>
  <w:footnote w:id="177">
    <w:p w14:paraId="6C024D13"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w:t>
      </w:r>
      <w:r w:rsidRPr="00076546">
        <w:rPr>
          <w:rFonts w:ascii="Times New Roman" w:hAnsi="Times New Roman"/>
          <w:i/>
        </w:rPr>
        <w:t>Vide</w:t>
      </w:r>
      <w:r>
        <w:rPr>
          <w:rFonts w:ascii="Times New Roman" w:hAnsi="Times New Roman"/>
        </w:rPr>
        <w:t xml:space="preserve"> paragraf 26 wyroku. </w:t>
      </w:r>
      <w:r w:rsidRPr="00076546">
        <w:rPr>
          <w:rFonts w:ascii="Times New Roman" w:hAnsi="Times New Roman"/>
          <w:i/>
        </w:rPr>
        <w:t>Vide</w:t>
      </w:r>
      <w:r>
        <w:rPr>
          <w:rFonts w:ascii="Times New Roman" w:hAnsi="Times New Roman"/>
        </w:rPr>
        <w:t xml:space="preserve"> Rezolucja ZO ONZ w sprawie globalnego planu działania w celu zwalczania handlu ludźmi A/RES/64/293 z dnia 12 sierpnia 2010 r.; Deklaracja Unii Europejskiej w zakresie działań przeciwko handlowi ludźmi „Ku światowym działaniom UE przeciwko handlowi ludźmi” z dnia 20 października 2009 r., Deklaracja brukselska w sprawie zapobiegania i zwalczania handlu ludźmi, z których wszystkie wzywają krajowe organy ścigania i wymiaru sprawiedliwości do czynienia użytku ze wsparcia operacyjnego świadczonego przez istniejące agendy międzynarodowe w zwalczaniu handlu ludźmi. </w:t>
      </w:r>
    </w:p>
  </w:footnote>
  <w:footnote w:id="178">
    <w:p w14:paraId="2F53C8AA" w14:textId="7777777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Odpowiedzi Rządu na Kwestionariusz GRETA, opublikowane w sierpniu 2010 r., odpowiedź na pytanie nr 53 (obowiązek ścigania z urzędu).</w:t>
      </w:r>
    </w:p>
  </w:footnote>
  <w:footnote w:id="179">
    <w:p w14:paraId="3C45F7DA" w14:textId="3A4E7AF7" w:rsidR="004F24F5" w:rsidRPr="00281991" w:rsidRDefault="004F24F5" w:rsidP="00802C80">
      <w:pPr>
        <w:pStyle w:val="Tekstprzypisudolnego"/>
        <w:rPr>
          <w:rFonts w:ascii="Times New Roman" w:hAnsi="Times New Roman" w:cs="Times New Roman"/>
        </w:rPr>
      </w:pPr>
      <w:r>
        <w:rPr>
          <w:rStyle w:val="Odwoanieprzypisudolnego"/>
          <w:rFonts w:ascii="Times New Roman" w:hAnsi="Times New Roman" w:cs="Times New Roman"/>
        </w:rPr>
        <w:footnoteRef/>
      </w:r>
      <w:r>
        <w:rPr>
          <w:rFonts w:ascii="Times New Roman" w:hAnsi="Times New Roman"/>
        </w:rPr>
        <w:t xml:space="preserve"> </w:t>
      </w:r>
      <w:r w:rsidRPr="00076546">
        <w:rPr>
          <w:rFonts w:ascii="Times New Roman" w:hAnsi="Times New Roman"/>
          <w:i/>
        </w:rPr>
        <w:t>Vide</w:t>
      </w:r>
      <w:r>
        <w:rPr>
          <w:rFonts w:ascii="Times New Roman" w:hAnsi="Times New Roman"/>
        </w:rPr>
        <w:t xml:space="preserve"> zalecenia z raportu amerykańskiego Departamentu Stanu z 2016 r. o handlu ludźmi dla Austrii: „skazanym za handel ludźmi wymierzać kary stosownie do wagi czynu; poszerzać i pogłębiać wysiłki w celu identyfikacji ofiar wśród imigrantów o nieuregulowanym statusie, osób ubiegających się o azyl i trudniących się prostytucją; kontynuować uwrażliwianie sędziów na wyzwania stające przed ofiarami handlu ludźmi przy zeznawaniu przeciwko osobom, które je wykorzystywały” oraz, w tym samym duchu, bardzo użyteczne zalecenia </w:t>
      </w:r>
      <w:r>
        <w:rPr>
          <w:rFonts w:ascii="Times New Roman" w:hAnsi="Times New Roman"/>
          <w:i/>
          <w:iCs/>
        </w:rPr>
        <w:t>Arbeitsgruppe “Menschenhandel zum Zweck der Arbeitsausbeutung” Bericht 2012-2014</w:t>
      </w:r>
      <w:r>
        <w:rPr>
          <w:rFonts w:ascii="Times New Roman" w:hAnsi="Times New Roman"/>
        </w:rPr>
        <w:t xml:space="preserve">, </w:t>
      </w:r>
      <w:r>
        <w:rPr>
          <w:rFonts w:ascii="Times New Roman" w:hAnsi="Times New Roman"/>
          <w:i/>
          <w:iCs/>
        </w:rPr>
        <w:t>op. cit.</w:t>
      </w:r>
      <w:r>
        <w:rPr>
          <w:rFonts w:ascii="Times New Roman" w:hAnsi="Times New Roman"/>
        </w:rPr>
        <w:t xml:space="preserve">, s 25-27, i </w:t>
      </w:r>
      <w:r>
        <w:rPr>
          <w:rFonts w:ascii="Times New Roman" w:hAnsi="Times New Roman"/>
          <w:i/>
          <w:iCs/>
        </w:rPr>
        <w:t>Bericht des Menschenrechtsbeirates</w:t>
      </w:r>
      <w:r>
        <w:rPr>
          <w:rFonts w:ascii="Times New Roman" w:hAnsi="Times New Roman"/>
        </w:rPr>
        <w:t xml:space="preserve">, </w:t>
      </w:r>
      <w:r>
        <w:rPr>
          <w:rFonts w:ascii="Times New Roman" w:hAnsi="Times New Roman"/>
          <w:i/>
          <w:iCs/>
        </w:rPr>
        <w:t>op. cit.</w:t>
      </w:r>
      <w:r>
        <w:rPr>
          <w:rFonts w:ascii="Times New Roman" w:hAnsi="Times New Roman"/>
        </w:rPr>
        <w:t>, s. 81-83.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4234B8" w14:textId="77777777" w:rsidR="004F24F5" w:rsidRDefault="004F24F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4E0374" w14:textId="77777777" w:rsidR="004F24F5" w:rsidRPr="00E13E15" w:rsidRDefault="004F24F5" w:rsidP="00E13E15">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12169D" w14:textId="77777777" w:rsidR="004F24F5" w:rsidRPr="00A45145" w:rsidRDefault="004F24F5" w:rsidP="005F07FA">
    <w:pPr>
      <w:jc w:val="center"/>
    </w:pPr>
    <w:r>
      <w:rPr>
        <w:noProof/>
        <w:lang w:eastAsia="pl-PL"/>
      </w:rPr>
      <w:drawing>
        <wp:inline distT="0" distB="0" distL="0" distR="0" wp14:anchorId="475AB988" wp14:editId="7E8C7D34">
          <wp:extent cx="2962275" cy="1219200"/>
          <wp:effectExtent l="0" t="0" r="9525" b="0"/>
          <wp:docPr id="5" name="Picture 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CFA5549" w14:textId="77777777" w:rsidR="004F24F5" w:rsidRDefault="004F24F5">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F0D65B" w14:textId="77777777" w:rsidR="004F24F5" w:rsidRPr="00FD4A0A" w:rsidRDefault="004F24F5" w:rsidP="00EE1DA9">
    <w:pPr>
      <w:pStyle w:val="ECHRHeader"/>
    </w:pPr>
    <w:r>
      <w:rPr>
        <w:rStyle w:val="Numerstrony"/>
        <w:szCs w:val="18"/>
      </w:rPr>
      <w:fldChar w:fldCharType="begin"/>
    </w:r>
    <w:r w:rsidRPr="00FD4A0A">
      <w:rPr>
        <w:rStyle w:val="Numerstrony"/>
        <w:szCs w:val="18"/>
      </w:rPr>
      <w:instrText xml:space="preserve"> PAGE </w:instrText>
    </w:r>
    <w:r>
      <w:rPr>
        <w:rStyle w:val="Numerstrony"/>
        <w:szCs w:val="18"/>
      </w:rPr>
      <w:fldChar w:fldCharType="separate"/>
    </w:r>
    <w:r w:rsidR="001017A1">
      <w:rPr>
        <w:rStyle w:val="Numerstrony"/>
        <w:noProof/>
        <w:szCs w:val="18"/>
      </w:rPr>
      <w:t>32</w:t>
    </w:r>
    <w:r>
      <w:rPr>
        <w:rStyle w:val="Numerstrony"/>
        <w:szCs w:val="18"/>
      </w:rPr>
      <w:fldChar w:fldCharType="end"/>
    </w:r>
    <w:r>
      <w:tab/>
      <w:t>J. I INNI przeciwko AUSTRII — WYROK</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EAAB16" w14:textId="77777777" w:rsidR="004F24F5" w:rsidRPr="00FD4A0A" w:rsidRDefault="004F24F5" w:rsidP="00D60D87">
    <w:pPr>
      <w:pStyle w:val="ECHRHeader"/>
    </w:pPr>
    <w:r>
      <w:tab/>
      <w:t>J. I INNI przeciwko AUSTRII — WYROK</w:t>
    </w:r>
    <w:r>
      <w:tab/>
    </w:r>
    <w:r>
      <w:rPr>
        <w:rStyle w:val="Numerstrony"/>
        <w:szCs w:val="18"/>
      </w:rPr>
      <w:fldChar w:fldCharType="begin"/>
    </w:r>
    <w:r w:rsidRPr="00FD4A0A">
      <w:rPr>
        <w:rStyle w:val="Numerstrony"/>
        <w:szCs w:val="18"/>
      </w:rPr>
      <w:instrText xml:space="preserve"> PAGE </w:instrText>
    </w:r>
    <w:r>
      <w:rPr>
        <w:rStyle w:val="Numerstrony"/>
        <w:szCs w:val="18"/>
      </w:rPr>
      <w:fldChar w:fldCharType="separate"/>
    </w:r>
    <w:r w:rsidR="001017A1">
      <w:rPr>
        <w:rStyle w:val="Numerstrony"/>
        <w:noProof/>
        <w:szCs w:val="18"/>
      </w:rPr>
      <w:t>33</w:t>
    </w:r>
    <w:r>
      <w:rPr>
        <w:rStyle w:val="Numerstrony"/>
        <w:szCs w:val="18"/>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82B479" w14:textId="77777777" w:rsidR="004F24F5" w:rsidRPr="00FD4A0A" w:rsidRDefault="004F24F5" w:rsidP="00676A1E">
    <w:pPr>
      <w:pStyle w:val="ECHRHeader"/>
    </w:pPr>
    <w:r>
      <w:tab/>
      <w:t>J. I INNI przeciwko AUSTRII — WYROK</w:t>
    </w:r>
    <w:r>
      <w:tab/>
    </w:r>
    <w:r>
      <w:rPr>
        <w:rStyle w:val="Numerstrony"/>
        <w:szCs w:val="18"/>
      </w:rPr>
      <w:fldChar w:fldCharType="begin"/>
    </w:r>
    <w:r w:rsidRPr="00FD4A0A">
      <w:rPr>
        <w:rStyle w:val="Numerstrony"/>
        <w:szCs w:val="18"/>
      </w:rPr>
      <w:instrText xml:space="preserve"> PAGE </w:instrText>
    </w:r>
    <w:r>
      <w:rPr>
        <w:rStyle w:val="Numerstrony"/>
        <w:szCs w:val="18"/>
      </w:rPr>
      <w:fldChar w:fldCharType="separate"/>
    </w:r>
    <w:r w:rsidR="001017A1">
      <w:rPr>
        <w:rStyle w:val="Numerstrony"/>
        <w:noProof/>
        <w:szCs w:val="18"/>
      </w:rPr>
      <w:t>1</w:t>
    </w:r>
    <w:r>
      <w:rPr>
        <w:rStyle w:val="Numerstrony"/>
        <w:szCs w:val="18"/>
      </w:rPr>
      <w:fldChar w:fldCharType="end"/>
    </w:r>
  </w:p>
  <w:p w14:paraId="3B5242F3" w14:textId="77777777" w:rsidR="004F24F5" w:rsidRDefault="004F24F5" w:rsidP="00676A1E">
    <w:pPr>
      <w:pStyle w:val="Nagwek"/>
      <w:jc w:val="cent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D5D5E2" w14:textId="77777777" w:rsidR="004F24F5" w:rsidRPr="00FD4A0A" w:rsidRDefault="004F24F5" w:rsidP="00EE1DA9">
    <w:pPr>
      <w:pStyle w:val="ECHRHeader"/>
    </w:pPr>
    <w:r>
      <w:rPr>
        <w:rStyle w:val="Numerstrony"/>
        <w:szCs w:val="18"/>
      </w:rPr>
      <w:fldChar w:fldCharType="begin"/>
    </w:r>
    <w:r w:rsidRPr="00FD4A0A">
      <w:rPr>
        <w:rStyle w:val="Numerstrony"/>
        <w:szCs w:val="18"/>
      </w:rPr>
      <w:instrText xml:space="preserve"> PAGE </w:instrText>
    </w:r>
    <w:r>
      <w:rPr>
        <w:rStyle w:val="Numerstrony"/>
        <w:szCs w:val="18"/>
      </w:rPr>
      <w:fldChar w:fldCharType="separate"/>
    </w:r>
    <w:r w:rsidR="001017A1">
      <w:rPr>
        <w:rStyle w:val="Numerstrony"/>
        <w:noProof/>
        <w:szCs w:val="18"/>
      </w:rPr>
      <w:t>44</w:t>
    </w:r>
    <w:r>
      <w:rPr>
        <w:rStyle w:val="Numerstrony"/>
        <w:szCs w:val="18"/>
      </w:rPr>
      <w:fldChar w:fldCharType="end"/>
    </w:r>
    <w:r>
      <w:tab/>
      <w:t>J. I INNI przeciwko AUSTRII — WYROK — OPINIE ODRĘBNE</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AEEDBF" w14:textId="77777777" w:rsidR="004F24F5" w:rsidRPr="00FD4A0A" w:rsidRDefault="004F24F5" w:rsidP="00D60D87">
    <w:pPr>
      <w:pStyle w:val="ECHRHeader"/>
    </w:pPr>
    <w:r>
      <w:tab/>
      <w:t>J. I INNI przeciwko AUSTRII — WYROK — OPINIE ODRĘBNE</w:t>
    </w:r>
    <w:r>
      <w:tab/>
    </w:r>
    <w:r>
      <w:rPr>
        <w:rStyle w:val="Numerstrony"/>
        <w:szCs w:val="18"/>
      </w:rPr>
      <w:fldChar w:fldCharType="begin"/>
    </w:r>
    <w:r w:rsidRPr="00FD4A0A">
      <w:rPr>
        <w:rStyle w:val="Numerstrony"/>
        <w:szCs w:val="18"/>
      </w:rPr>
      <w:instrText xml:space="preserve"> PAGE </w:instrText>
    </w:r>
    <w:r>
      <w:rPr>
        <w:rStyle w:val="Numerstrony"/>
        <w:szCs w:val="18"/>
      </w:rPr>
      <w:fldChar w:fldCharType="separate"/>
    </w:r>
    <w:r w:rsidR="001017A1">
      <w:rPr>
        <w:rStyle w:val="Numerstrony"/>
        <w:noProof/>
        <w:szCs w:val="18"/>
      </w:rPr>
      <w:t>43</w:t>
    </w:r>
    <w:r>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13596DE9"/>
    <w:multiLevelType w:val="hybridMultilevel"/>
    <w:tmpl w:val="4C664D76"/>
    <w:lvl w:ilvl="0" w:tplc="0409000F">
      <w:start w:val="1"/>
      <w:numFmt w:val="decimal"/>
      <w:lvlText w:val="%1."/>
      <w:lvlJc w:val="left"/>
      <w:pPr>
        <w:ind w:left="1331" w:hanging="360"/>
      </w:pPr>
    </w:lvl>
    <w:lvl w:ilvl="1" w:tplc="04090019" w:tentative="1">
      <w:start w:val="1"/>
      <w:numFmt w:val="lowerLetter"/>
      <w:lvlText w:val="%2."/>
      <w:lvlJc w:val="left"/>
      <w:pPr>
        <w:ind w:left="2051" w:hanging="360"/>
      </w:pPr>
    </w:lvl>
    <w:lvl w:ilvl="2" w:tplc="0409001B" w:tentative="1">
      <w:start w:val="1"/>
      <w:numFmt w:val="lowerRoman"/>
      <w:lvlText w:val="%3."/>
      <w:lvlJc w:val="right"/>
      <w:pPr>
        <w:ind w:left="2771" w:hanging="180"/>
      </w:pPr>
    </w:lvl>
    <w:lvl w:ilvl="3" w:tplc="0409000F" w:tentative="1">
      <w:start w:val="1"/>
      <w:numFmt w:val="decimal"/>
      <w:lvlText w:val="%4."/>
      <w:lvlJc w:val="left"/>
      <w:pPr>
        <w:ind w:left="3491" w:hanging="360"/>
      </w:pPr>
    </w:lvl>
    <w:lvl w:ilvl="4" w:tplc="04090019" w:tentative="1">
      <w:start w:val="1"/>
      <w:numFmt w:val="lowerLetter"/>
      <w:lvlText w:val="%5."/>
      <w:lvlJc w:val="left"/>
      <w:pPr>
        <w:ind w:left="4211" w:hanging="360"/>
      </w:pPr>
    </w:lvl>
    <w:lvl w:ilvl="5" w:tplc="0409001B" w:tentative="1">
      <w:start w:val="1"/>
      <w:numFmt w:val="lowerRoman"/>
      <w:lvlText w:val="%6."/>
      <w:lvlJc w:val="right"/>
      <w:pPr>
        <w:ind w:left="4931" w:hanging="180"/>
      </w:pPr>
    </w:lvl>
    <w:lvl w:ilvl="6" w:tplc="0409000F" w:tentative="1">
      <w:start w:val="1"/>
      <w:numFmt w:val="decimal"/>
      <w:lvlText w:val="%7."/>
      <w:lvlJc w:val="left"/>
      <w:pPr>
        <w:ind w:left="5651" w:hanging="360"/>
      </w:pPr>
    </w:lvl>
    <w:lvl w:ilvl="7" w:tplc="04090019" w:tentative="1">
      <w:start w:val="1"/>
      <w:numFmt w:val="lowerLetter"/>
      <w:lvlText w:val="%8."/>
      <w:lvlJc w:val="left"/>
      <w:pPr>
        <w:ind w:left="6371" w:hanging="360"/>
      </w:pPr>
    </w:lvl>
    <w:lvl w:ilvl="8" w:tplc="0409001B" w:tentative="1">
      <w:start w:val="1"/>
      <w:numFmt w:val="lowerRoman"/>
      <w:lvlText w:val="%9."/>
      <w:lvlJc w:val="right"/>
      <w:pPr>
        <w:ind w:left="7091" w:hanging="180"/>
      </w:pPr>
    </w:lvl>
  </w:abstractNum>
  <w:abstractNum w:abstractNumId="12">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DF0311B"/>
    <w:multiLevelType w:val="hybridMultilevel"/>
    <w:tmpl w:val="4C664D76"/>
    <w:lvl w:ilvl="0" w:tplc="0409000F">
      <w:start w:val="1"/>
      <w:numFmt w:val="decimal"/>
      <w:lvlText w:val="%1."/>
      <w:lvlJc w:val="left"/>
      <w:pPr>
        <w:ind w:left="1331" w:hanging="360"/>
      </w:pPr>
    </w:lvl>
    <w:lvl w:ilvl="1" w:tplc="04090019" w:tentative="1">
      <w:start w:val="1"/>
      <w:numFmt w:val="lowerLetter"/>
      <w:lvlText w:val="%2."/>
      <w:lvlJc w:val="left"/>
      <w:pPr>
        <w:ind w:left="2051" w:hanging="360"/>
      </w:pPr>
    </w:lvl>
    <w:lvl w:ilvl="2" w:tplc="0409001B" w:tentative="1">
      <w:start w:val="1"/>
      <w:numFmt w:val="lowerRoman"/>
      <w:lvlText w:val="%3."/>
      <w:lvlJc w:val="right"/>
      <w:pPr>
        <w:ind w:left="2771" w:hanging="180"/>
      </w:pPr>
    </w:lvl>
    <w:lvl w:ilvl="3" w:tplc="0409000F" w:tentative="1">
      <w:start w:val="1"/>
      <w:numFmt w:val="decimal"/>
      <w:lvlText w:val="%4."/>
      <w:lvlJc w:val="left"/>
      <w:pPr>
        <w:ind w:left="3491" w:hanging="360"/>
      </w:pPr>
    </w:lvl>
    <w:lvl w:ilvl="4" w:tplc="04090019" w:tentative="1">
      <w:start w:val="1"/>
      <w:numFmt w:val="lowerLetter"/>
      <w:lvlText w:val="%5."/>
      <w:lvlJc w:val="left"/>
      <w:pPr>
        <w:ind w:left="4211" w:hanging="360"/>
      </w:pPr>
    </w:lvl>
    <w:lvl w:ilvl="5" w:tplc="0409001B" w:tentative="1">
      <w:start w:val="1"/>
      <w:numFmt w:val="lowerRoman"/>
      <w:lvlText w:val="%6."/>
      <w:lvlJc w:val="right"/>
      <w:pPr>
        <w:ind w:left="4931" w:hanging="180"/>
      </w:pPr>
    </w:lvl>
    <w:lvl w:ilvl="6" w:tplc="0409000F" w:tentative="1">
      <w:start w:val="1"/>
      <w:numFmt w:val="decimal"/>
      <w:lvlText w:val="%7."/>
      <w:lvlJc w:val="left"/>
      <w:pPr>
        <w:ind w:left="5651" w:hanging="360"/>
      </w:pPr>
    </w:lvl>
    <w:lvl w:ilvl="7" w:tplc="04090019" w:tentative="1">
      <w:start w:val="1"/>
      <w:numFmt w:val="lowerLetter"/>
      <w:lvlText w:val="%8."/>
      <w:lvlJc w:val="left"/>
      <w:pPr>
        <w:ind w:left="6371" w:hanging="360"/>
      </w:pPr>
    </w:lvl>
    <w:lvl w:ilvl="8" w:tplc="0409001B" w:tentative="1">
      <w:start w:val="1"/>
      <w:numFmt w:val="lowerRoman"/>
      <w:lvlText w:val="%9."/>
      <w:lvlJc w:val="right"/>
      <w:pPr>
        <w:ind w:left="7091" w:hanging="180"/>
      </w:pPr>
    </w:lvl>
  </w:abstractNum>
  <w:abstractNum w:abstractNumId="14">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27CA3B66"/>
    <w:multiLevelType w:val="hybridMultilevel"/>
    <w:tmpl w:val="B50E4724"/>
    <w:lvl w:ilvl="0" w:tplc="0816000F">
      <w:start w:val="1"/>
      <w:numFmt w:val="decimal"/>
      <w:lvlText w:val="%1."/>
      <w:lvlJc w:val="left"/>
      <w:pPr>
        <w:ind w:left="720" w:hanging="360"/>
      </w:pPr>
      <w:rPr>
        <w:rFonts w:hint="default"/>
        <w:b w:val="0"/>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51E1627"/>
    <w:multiLevelType w:val="hybridMultilevel"/>
    <w:tmpl w:val="1E52A516"/>
    <w:lvl w:ilvl="0" w:tplc="755E1D30">
      <w:start w:val="1"/>
      <w:numFmt w:val="upperRoman"/>
      <w:lvlText w:val="%1-"/>
      <w:lvlJc w:val="left"/>
      <w:pPr>
        <w:ind w:left="1080" w:hanging="72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8">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8"/>
  </w:num>
  <w:num w:numId="2">
    <w:abstractNumId w:val="12"/>
  </w:num>
  <w:num w:numId="3">
    <w:abstractNumId w:val="9"/>
  </w:num>
  <w:num w:numId="4">
    <w:abstractNumId w:val="20"/>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1"/>
  </w:num>
  <w:num w:numId="15">
    <w:abstractNumId w:val="13"/>
  </w:num>
  <w:num w:numId="16">
    <w:abstractNumId w:val="19"/>
  </w:num>
  <w:num w:numId="17">
    <w:abstractNumId w:val="19"/>
  </w:num>
  <w:num w:numId="18">
    <w:abstractNumId w:val="19"/>
  </w:num>
  <w:num w:numId="19">
    <w:abstractNumId w:val="19"/>
  </w:num>
  <w:num w:numId="20">
    <w:abstractNumId w:val="1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15"/>
  </w:num>
  <w:num w:numId="24">
    <w:abstractNumId w:val="19"/>
  </w:num>
  <w:num w:numId="25">
    <w:abstractNumId w:val="19"/>
  </w:num>
  <w:num w:numId="26">
    <w:abstractNumId w:val="17"/>
  </w:num>
  <w:num w:numId="27">
    <w:abstractNumId w:val="10"/>
  </w:num>
  <w:num w:numId="28">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7"/>
  </w:hdrShapeDefaults>
  <w:footnotePr>
    <w:numRestart w:val="eachPage"/>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1"/>
    <w:docVar w:name="NBEMMDOC" w:val="0"/>
    <w:docVar w:name="SignForeName" w:val="0"/>
  </w:docVars>
  <w:rsids>
    <w:rsidRoot w:val="001C3232"/>
    <w:rsid w:val="00000279"/>
    <w:rsid w:val="0000086C"/>
    <w:rsid w:val="00000BB7"/>
    <w:rsid w:val="00002579"/>
    <w:rsid w:val="00003CA1"/>
    <w:rsid w:val="000041F8"/>
    <w:rsid w:val="000042A8"/>
    <w:rsid w:val="00004308"/>
    <w:rsid w:val="00005805"/>
    <w:rsid w:val="00005BF0"/>
    <w:rsid w:val="00005C4E"/>
    <w:rsid w:val="00006639"/>
    <w:rsid w:val="00006D80"/>
    <w:rsid w:val="00007063"/>
    <w:rsid w:val="00007154"/>
    <w:rsid w:val="000103AE"/>
    <w:rsid w:val="000109C0"/>
    <w:rsid w:val="00010DB9"/>
    <w:rsid w:val="000110A0"/>
    <w:rsid w:val="00011D69"/>
    <w:rsid w:val="00012AD3"/>
    <w:rsid w:val="00014566"/>
    <w:rsid w:val="000149AA"/>
    <w:rsid w:val="00014AE1"/>
    <w:rsid w:val="00015C2D"/>
    <w:rsid w:val="00015F00"/>
    <w:rsid w:val="00020791"/>
    <w:rsid w:val="00020E3D"/>
    <w:rsid w:val="00022C1D"/>
    <w:rsid w:val="00025179"/>
    <w:rsid w:val="00026189"/>
    <w:rsid w:val="00026203"/>
    <w:rsid w:val="00026CB1"/>
    <w:rsid w:val="000301BE"/>
    <w:rsid w:val="00030B55"/>
    <w:rsid w:val="00031C7E"/>
    <w:rsid w:val="00033224"/>
    <w:rsid w:val="00033C78"/>
    <w:rsid w:val="00034987"/>
    <w:rsid w:val="000352F3"/>
    <w:rsid w:val="000357E4"/>
    <w:rsid w:val="00036045"/>
    <w:rsid w:val="00037324"/>
    <w:rsid w:val="00037C2E"/>
    <w:rsid w:val="00040B8A"/>
    <w:rsid w:val="00040FFD"/>
    <w:rsid w:val="000501A5"/>
    <w:rsid w:val="0005600D"/>
    <w:rsid w:val="000576DF"/>
    <w:rsid w:val="000602DF"/>
    <w:rsid w:val="000607FF"/>
    <w:rsid w:val="00060B31"/>
    <w:rsid w:val="000610AD"/>
    <w:rsid w:val="00061B05"/>
    <w:rsid w:val="000622B8"/>
    <w:rsid w:val="0006280E"/>
    <w:rsid w:val="00062973"/>
    <w:rsid w:val="00062D5D"/>
    <w:rsid w:val="000632D5"/>
    <w:rsid w:val="000644EE"/>
    <w:rsid w:val="00065461"/>
    <w:rsid w:val="0006565B"/>
    <w:rsid w:val="000665B1"/>
    <w:rsid w:val="00070180"/>
    <w:rsid w:val="00074999"/>
    <w:rsid w:val="000760B4"/>
    <w:rsid w:val="00076546"/>
    <w:rsid w:val="00077512"/>
    <w:rsid w:val="00081761"/>
    <w:rsid w:val="00081A9A"/>
    <w:rsid w:val="00082846"/>
    <w:rsid w:val="00082A0E"/>
    <w:rsid w:val="000853D9"/>
    <w:rsid w:val="000857FF"/>
    <w:rsid w:val="00091533"/>
    <w:rsid w:val="000925AD"/>
    <w:rsid w:val="00094435"/>
    <w:rsid w:val="000955DF"/>
    <w:rsid w:val="000A0673"/>
    <w:rsid w:val="000A24EB"/>
    <w:rsid w:val="000A2B31"/>
    <w:rsid w:val="000A2E8E"/>
    <w:rsid w:val="000A303F"/>
    <w:rsid w:val="000A305B"/>
    <w:rsid w:val="000A30AA"/>
    <w:rsid w:val="000A5281"/>
    <w:rsid w:val="000A77A9"/>
    <w:rsid w:val="000A7B44"/>
    <w:rsid w:val="000A7BF6"/>
    <w:rsid w:val="000B1C67"/>
    <w:rsid w:val="000B51B1"/>
    <w:rsid w:val="000B5DE9"/>
    <w:rsid w:val="000B6923"/>
    <w:rsid w:val="000B7A8F"/>
    <w:rsid w:val="000C033C"/>
    <w:rsid w:val="000C0724"/>
    <w:rsid w:val="000C1DB8"/>
    <w:rsid w:val="000C3A4C"/>
    <w:rsid w:val="000C3C78"/>
    <w:rsid w:val="000C4568"/>
    <w:rsid w:val="000C4AF2"/>
    <w:rsid w:val="000C5485"/>
    <w:rsid w:val="000C5F3C"/>
    <w:rsid w:val="000C6DCC"/>
    <w:rsid w:val="000C7E03"/>
    <w:rsid w:val="000D390C"/>
    <w:rsid w:val="000D47AA"/>
    <w:rsid w:val="000D5A35"/>
    <w:rsid w:val="000D6160"/>
    <w:rsid w:val="000D62BE"/>
    <w:rsid w:val="000D6508"/>
    <w:rsid w:val="000D721F"/>
    <w:rsid w:val="000D7D9E"/>
    <w:rsid w:val="000E069B"/>
    <w:rsid w:val="000E0C61"/>
    <w:rsid w:val="000E0E82"/>
    <w:rsid w:val="000E10E3"/>
    <w:rsid w:val="000E1904"/>
    <w:rsid w:val="000E1DC5"/>
    <w:rsid w:val="000E223F"/>
    <w:rsid w:val="000E717B"/>
    <w:rsid w:val="000E7D45"/>
    <w:rsid w:val="000F3D60"/>
    <w:rsid w:val="000F7440"/>
    <w:rsid w:val="000F7851"/>
    <w:rsid w:val="001017A1"/>
    <w:rsid w:val="00102944"/>
    <w:rsid w:val="00103337"/>
    <w:rsid w:val="00103987"/>
    <w:rsid w:val="00104E23"/>
    <w:rsid w:val="00105E77"/>
    <w:rsid w:val="00111B0C"/>
    <w:rsid w:val="00113350"/>
    <w:rsid w:val="00113899"/>
    <w:rsid w:val="00113BB6"/>
    <w:rsid w:val="001145D5"/>
    <w:rsid w:val="00115A7F"/>
    <w:rsid w:val="00116771"/>
    <w:rsid w:val="00116B8E"/>
    <w:rsid w:val="00120D6C"/>
    <w:rsid w:val="0012378B"/>
    <w:rsid w:val="001238D0"/>
    <w:rsid w:val="001257EC"/>
    <w:rsid w:val="0012732D"/>
    <w:rsid w:val="00127CAF"/>
    <w:rsid w:val="00132B8A"/>
    <w:rsid w:val="00132C6A"/>
    <w:rsid w:val="0013325B"/>
    <w:rsid w:val="00133513"/>
    <w:rsid w:val="001339F5"/>
    <w:rsid w:val="00133D33"/>
    <w:rsid w:val="00134D64"/>
    <w:rsid w:val="00135A30"/>
    <w:rsid w:val="0013612C"/>
    <w:rsid w:val="00137A8C"/>
    <w:rsid w:val="00137FF6"/>
    <w:rsid w:val="00140091"/>
    <w:rsid w:val="001413A1"/>
    <w:rsid w:val="00141650"/>
    <w:rsid w:val="00141AC9"/>
    <w:rsid w:val="00141BF6"/>
    <w:rsid w:val="00143EEF"/>
    <w:rsid w:val="00144406"/>
    <w:rsid w:val="00150DD7"/>
    <w:rsid w:val="001523AC"/>
    <w:rsid w:val="00152FBC"/>
    <w:rsid w:val="00153514"/>
    <w:rsid w:val="00155573"/>
    <w:rsid w:val="00156CEE"/>
    <w:rsid w:val="00157CCE"/>
    <w:rsid w:val="00160EE7"/>
    <w:rsid w:val="00162A12"/>
    <w:rsid w:val="00165638"/>
    <w:rsid w:val="00166530"/>
    <w:rsid w:val="00167FE5"/>
    <w:rsid w:val="001729B9"/>
    <w:rsid w:val="0017433F"/>
    <w:rsid w:val="0017508F"/>
    <w:rsid w:val="001760C7"/>
    <w:rsid w:val="00176864"/>
    <w:rsid w:val="001803A2"/>
    <w:rsid w:val="00180431"/>
    <w:rsid w:val="00180596"/>
    <w:rsid w:val="00180BBA"/>
    <w:rsid w:val="001832BD"/>
    <w:rsid w:val="00184E23"/>
    <w:rsid w:val="0018672F"/>
    <w:rsid w:val="00186C30"/>
    <w:rsid w:val="00191778"/>
    <w:rsid w:val="001917E9"/>
    <w:rsid w:val="001943B5"/>
    <w:rsid w:val="00195134"/>
    <w:rsid w:val="00196170"/>
    <w:rsid w:val="001A0359"/>
    <w:rsid w:val="001A03E9"/>
    <w:rsid w:val="001A145B"/>
    <w:rsid w:val="001A25C7"/>
    <w:rsid w:val="001A39A1"/>
    <w:rsid w:val="001A53D3"/>
    <w:rsid w:val="001A674C"/>
    <w:rsid w:val="001B25E4"/>
    <w:rsid w:val="001B3B24"/>
    <w:rsid w:val="001B4F96"/>
    <w:rsid w:val="001B7CD3"/>
    <w:rsid w:val="001C08D6"/>
    <w:rsid w:val="001C0F98"/>
    <w:rsid w:val="001C2A42"/>
    <w:rsid w:val="001C3232"/>
    <w:rsid w:val="001C5201"/>
    <w:rsid w:val="001C5B3B"/>
    <w:rsid w:val="001C5F9D"/>
    <w:rsid w:val="001C687E"/>
    <w:rsid w:val="001C695F"/>
    <w:rsid w:val="001C72A9"/>
    <w:rsid w:val="001C73DC"/>
    <w:rsid w:val="001D2055"/>
    <w:rsid w:val="001D47CB"/>
    <w:rsid w:val="001D63ED"/>
    <w:rsid w:val="001D7348"/>
    <w:rsid w:val="001E035B"/>
    <w:rsid w:val="001E0961"/>
    <w:rsid w:val="001E14D5"/>
    <w:rsid w:val="001E3EAE"/>
    <w:rsid w:val="001E4CD2"/>
    <w:rsid w:val="001E4EC9"/>
    <w:rsid w:val="001E6F32"/>
    <w:rsid w:val="001F0818"/>
    <w:rsid w:val="001F1087"/>
    <w:rsid w:val="001F1DB9"/>
    <w:rsid w:val="001F2145"/>
    <w:rsid w:val="001F2F69"/>
    <w:rsid w:val="001F4D4C"/>
    <w:rsid w:val="001F610E"/>
    <w:rsid w:val="001F6262"/>
    <w:rsid w:val="001F6723"/>
    <w:rsid w:val="001F67B0"/>
    <w:rsid w:val="001F7B3D"/>
    <w:rsid w:val="0020095E"/>
    <w:rsid w:val="00202181"/>
    <w:rsid w:val="002040B4"/>
    <w:rsid w:val="00205F9F"/>
    <w:rsid w:val="002060D5"/>
    <w:rsid w:val="002069CD"/>
    <w:rsid w:val="002070B2"/>
    <w:rsid w:val="00210338"/>
    <w:rsid w:val="002115FC"/>
    <w:rsid w:val="00211D00"/>
    <w:rsid w:val="002133F8"/>
    <w:rsid w:val="0021423C"/>
    <w:rsid w:val="00215C30"/>
    <w:rsid w:val="00216C78"/>
    <w:rsid w:val="002177B4"/>
    <w:rsid w:val="0022263D"/>
    <w:rsid w:val="0022550B"/>
    <w:rsid w:val="00230D00"/>
    <w:rsid w:val="00231555"/>
    <w:rsid w:val="00231DF7"/>
    <w:rsid w:val="00231FD1"/>
    <w:rsid w:val="00232D28"/>
    <w:rsid w:val="002339E0"/>
    <w:rsid w:val="00233CF8"/>
    <w:rsid w:val="002344D1"/>
    <w:rsid w:val="0023575D"/>
    <w:rsid w:val="00237148"/>
    <w:rsid w:val="0024222D"/>
    <w:rsid w:val="002424F4"/>
    <w:rsid w:val="00244B0E"/>
    <w:rsid w:val="00244F6C"/>
    <w:rsid w:val="00246A04"/>
    <w:rsid w:val="002517BC"/>
    <w:rsid w:val="00251ABA"/>
    <w:rsid w:val="00252C85"/>
    <w:rsid w:val="002532C5"/>
    <w:rsid w:val="0025380F"/>
    <w:rsid w:val="00255E6B"/>
    <w:rsid w:val="00260C03"/>
    <w:rsid w:val="00263B58"/>
    <w:rsid w:val="00263FB7"/>
    <w:rsid w:val="0026540E"/>
    <w:rsid w:val="00266B43"/>
    <w:rsid w:val="00271362"/>
    <w:rsid w:val="00272CD6"/>
    <w:rsid w:val="00274483"/>
    <w:rsid w:val="00274B63"/>
    <w:rsid w:val="00275123"/>
    <w:rsid w:val="00275FD3"/>
    <w:rsid w:val="0027678C"/>
    <w:rsid w:val="00277F48"/>
    <w:rsid w:val="00281062"/>
    <w:rsid w:val="00282240"/>
    <w:rsid w:val="0028572A"/>
    <w:rsid w:val="002878D8"/>
    <w:rsid w:val="00287E2B"/>
    <w:rsid w:val="002902D3"/>
    <w:rsid w:val="00290B72"/>
    <w:rsid w:val="00290CA6"/>
    <w:rsid w:val="00294761"/>
    <w:rsid w:val="002948AD"/>
    <w:rsid w:val="00294C92"/>
    <w:rsid w:val="00296529"/>
    <w:rsid w:val="00297F6E"/>
    <w:rsid w:val="002A01CC"/>
    <w:rsid w:val="002A53D9"/>
    <w:rsid w:val="002A61B1"/>
    <w:rsid w:val="002A663C"/>
    <w:rsid w:val="002A7794"/>
    <w:rsid w:val="002A7C87"/>
    <w:rsid w:val="002B0D5C"/>
    <w:rsid w:val="002B1426"/>
    <w:rsid w:val="002B3D25"/>
    <w:rsid w:val="002B444B"/>
    <w:rsid w:val="002B5887"/>
    <w:rsid w:val="002B5CAA"/>
    <w:rsid w:val="002C0046"/>
    <w:rsid w:val="002C0692"/>
    <w:rsid w:val="002C0E0F"/>
    <w:rsid w:val="002C0E27"/>
    <w:rsid w:val="002C0F82"/>
    <w:rsid w:val="002C3040"/>
    <w:rsid w:val="002C442C"/>
    <w:rsid w:val="002C527F"/>
    <w:rsid w:val="002C64D4"/>
    <w:rsid w:val="002D022D"/>
    <w:rsid w:val="002D0F30"/>
    <w:rsid w:val="002D1207"/>
    <w:rsid w:val="002D24BB"/>
    <w:rsid w:val="002D3D7A"/>
    <w:rsid w:val="002D4116"/>
    <w:rsid w:val="002D4B36"/>
    <w:rsid w:val="002D54A5"/>
    <w:rsid w:val="002E4B5F"/>
    <w:rsid w:val="002E5F72"/>
    <w:rsid w:val="002E62B9"/>
    <w:rsid w:val="002E71A1"/>
    <w:rsid w:val="002F090E"/>
    <w:rsid w:val="002F2AF7"/>
    <w:rsid w:val="002F3203"/>
    <w:rsid w:val="002F51A4"/>
    <w:rsid w:val="002F7B6B"/>
    <w:rsid w:val="002F7E1C"/>
    <w:rsid w:val="00301A75"/>
    <w:rsid w:val="00302955"/>
    <w:rsid w:val="00302F70"/>
    <w:rsid w:val="0030336F"/>
    <w:rsid w:val="0030375E"/>
    <w:rsid w:val="00303F94"/>
    <w:rsid w:val="00306EDE"/>
    <w:rsid w:val="003072B9"/>
    <w:rsid w:val="00310486"/>
    <w:rsid w:val="00312A30"/>
    <w:rsid w:val="00312C8D"/>
    <w:rsid w:val="003148FB"/>
    <w:rsid w:val="003153AE"/>
    <w:rsid w:val="00317D5D"/>
    <w:rsid w:val="00320F72"/>
    <w:rsid w:val="0032125F"/>
    <w:rsid w:val="003227D4"/>
    <w:rsid w:val="003228D4"/>
    <w:rsid w:val="0032463E"/>
    <w:rsid w:val="003247CA"/>
    <w:rsid w:val="00326224"/>
    <w:rsid w:val="00326727"/>
    <w:rsid w:val="00326917"/>
    <w:rsid w:val="003310A7"/>
    <w:rsid w:val="00333EAA"/>
    <w:rsid w:val="003362B7"/>
    <w:rsid w:val="00337EE4"/>
    <w:rsid w:val="00340FFD"/>
    <w:rsid w:val="00345603"/>
    <w:rsid w:val="00345B1F"/>
    <w:rsid w:val="00345EE4"/>
    <w:rsid w:val="003474E1"/>
    <w:rsid w:val="0035059A"/>
    <w:rsid w:val="003506B1"/>
    <w:rsid w:val="00355BD4"/>
    <w:rsid w:val="00355D69"/>
    <w:rsid w:val="00355EAE"/>
    <w:rsid w:val="00355EE4"/>
    <w:rsid w:val="00356AC7"/>
    <w:rsid w:val="00357552"/>
    <w:rsid w:val="003609FA"/>
    <w:rsid w:val="00361204"/>
    <w:rsid w:val="00361A76"/>
    <w:rsid w:val="0036557A"/>
    <w:rsid w:val="00366FB3"/>
    <w:rsid w:val="00367B0B"/>
    <w:rsid w:val="003707FE"/>
    <w:rsid w:val="003710C8"/>
    <w:rsid w:val="003731EE"/>
    <w:rsid w:val="003750BE"/>
    <w:rsid w:val="003801BB"/>
    <w:rsid w:val="00384B68"/>
    <w:rsid w:val="00386591"/>
    <w:rsid w:val="00387B9D"/>
    <w:rsid w:val="0039005B"/>
    <w:rsid w:val="00391A8C"/>
    <w:rsid w:val="00391BF3"/>
    <w:rsid w:val="0039364F"/>
    <w:rsid w:val="00394244"/>
    <w:rsid w:val="00396686"/>
    <w:rsid w:val="00396C08"/>
    <w:rsid w:val="0039778E"/>
    <w:rsid w:val="003A2317"/>
    <w:rsid w:val="003A37D3"/>
    <w:rsid w:val="003A5256"/>
    <w:rsid w:val="003B01C2"/>
    <w:rsid w:val="003B1E4C"/>
    <w:rsid w:val="003B260E"/>
    <w:rsid w:val="003B2786"/>
    <w:rsid w:val="003B4941"/>
    <w:rsid w:val="003B65F8"/>
    <w:rsid w:val="003B6A41"/>
    <w:rsid w:val="003C0C57"/>
    <w:rsid w:val="003C3B4F"/>
    <w:rsid w:val="003C5714"/>
    <w:rsid w:val="003C5B4F"/>
    <w:rsid w:val="003C6B9F"/>
    <w:rsid w:val="003C6E2A"/>
    <w:rsid w:val="003C7EE6"/>
    <w:rsid w:val="003D0299"/>
    <w:rsid w:val="003D24DB"/>
    <w:rsid w:val="003D7F25"/>
    <w:rsid w:val="003E20D3"/>
    <w:rsid w:val="003E2BD0"/>
    <w:rsid w:val="003E4DE3"/>
    <w:rsid w:val="003E5BAA"/>
    <w:rsid w:val="003E6D80"/>
    <w:rsid w:val="003E769A"/>
    <w:rsid w:val="003F05FA"/>
    <w:rsid w:val="003F244A"/>
    <w:rsid w:val="003F2819"/>
    <w:rsid w:val="003F30B8"/>
    <w:rsid w:val="003F4C45"/>
    <w:rsid w:val="003F5F7B"/>
    <w:rsid w:val="003F619E"/>
    <w:rsid w:val="003F6C36"/>
    <w:rsid w:val="003F6C7E"/>
    <w:rsid w:val="003F7D64"/>
    <w:rsid w:val="0040078A"/>
    <w:rsid w:val="004038D2"/>
    <w:rsid w:val="004053BF"/>
    <w:rsid w:val="004079C7"/>
    <w:rsid w:val="00407F14"/>
    <w:rsid w:val="0041160F"/>
    <w:rsid w:val="00414300"/>
    <w:rsid w:val="0041658E"/>
    <w:rsid w:val="00416A17"/>
    <w:rsid w:val="004203EE"/>
    <w:rsid w:val="004225C3"/>
    <w:rsid w:val="004242CB"/>
    <w:rsid w:val="004256AD"/>
    <w:rsid w:val="00425C67"/>
    <w:rsid w:val="0042650C"/>
    <w:rsid w:val="004268AC"/>
    <w:rsid w:val="00427E7A"/>
    <w:rsid w:val="0043027B"/>
    <w:rsid w:val="00430331"/>
    <w:rsid w:val="00431516"/>
    <w:rsid w:val="00431A36"/>
    <w:rsid w:val="00436307"/>
    <w:rsid w:val="004367D0"/>
    <w:rsid w:val="00436C49"/>
    <w:rsid w:val="00437071"/>
    <w:rsid w:val="00440F43"/>
    <w:rsid w:val="00441E3F"/>
    <w:rsid w:val="004429C3"/>
    <w:rsid w:val="00442A97"/>
    <w:rsid w:val="00443FB4"/>
    <w:rsid w:val="00444DA0"/>
    <w:rsid w:val="00445366"/>
    <w:rsid w:val="00447F5B"/>
    <w:rsid w:val="00451EB0"/>
    <w:rsid w:val="00452E9C"/>
    <w:rsid w:val="004535C3"/>
    <w:rsid w:val="00455076"/>
    <w:rsid w:val="00461DB0"/>
    <w:rsid w:val="00462B0C"/>
    <w:rsid w:val="00463926"/>
    <w:rsid w:val="004646E0"/>
    <w:rsid w:val="00464C9A"/>
    <w:rsid w:val="00466761"/>
    <w:rsid w:val="00467DE6"/>
    <w:rsid w:val="004701E1"/>
    <w:rsid w:val="00470781"/>
    <w:rsid w:val="004709F9"/>
    <w:rsid w:val="004710D0"/>
    <w:rsid w:val="0047272C"/>
    <w:rsid w:val="0047295A"/>
    <w:rsid w:val="00472D15"/>
    <w:rsid w:val="00474740"/>
    <w:rsid w:val="00474F3D"/>
    <w:rsid w:val="00476F0F"/>
    <w:rsid w:val="00477E3A"/>
    <w:rsid w:val="00480B8C"/>
    <w:rsid w:val="0048184C"/>
    <w:rsid w:val="00481F0D"/>
    <w:rsid w:val="00483872"/>
    <w:rsid w:val="00483E28"/>
    <w:rsid w:val="00483E5F"/>
    <w:rsid w:val="00485FF9"/>
    <w:rsid w:val="00487287"/>
    <w:rsid w:val="004907F0"/>
    <w:rsid w:val="004911C0"/>
    <w:rsid w:val="0049137D"/>
    <w:rsid w:val="0049140B"/>
    <w:rsid w:val="004923A5"/>
    <w:rsid w:val="00493BA5"/>
    <w:rsid w:val="0049417D"/>
    <w:rsid w:val="00495021"/>
    <w:rsid w:val="00496BFB"/>
    <w:rsid w:val="004A15C7"/>
    <w:rsid w:val="004A21EF"/>
    <w:rsid w:val="004A410C"/>
    <w:rsid w:val="004A44AC"/>
    <w:rsid w:val="004A573B"/>
    <w:rsid w:val="004B013B"/>
    <w:rsid w:val="004B018C"/>
    <w:rsid w:val="004B112B"/>
    <w:rsid w:val="004B18D4"/>
    <w:rsid w:val="004B1D73"/>
    <w:rsid w:val="004B27A3"/>
    <w:rsid w:val="004B2E5D"/>
    <w:rsid w:val="004B31C6"/>
    <w:rsid w:val="004B6F5C"/>
    <w:rsid w:val="004B713D"/>
    <w:rsid w:val="004C01E4"/>
    <w:rsid w:val="004C086C"/>
    <w:rsid w:val="004C1F56"/>
    <w:rsid w:val="004C27BC"/>
    <w:rsid w:val="004C6E75"/>
    <w:rsid w:val="004C7609"/>
    <w:rsid w:val="004D0CCE"/>
    <w:rsid w:val="004D15F3"/>
    <w:rsid w:val="004D5311"/>
    <w:rsid w:val="004D5DCC"/>
    <w:rsid w:val="004E1CB9"/>
    <w:rsid w:val="004E1D6F"/>
    <w:rsid w:val="004E3AFD"/>
    <w:rsid w:val="004E6905"/>
    <w:rsid w:val="004F0ACA"/>
    <w:rsid w:val="004F10AF"/>
    <w:rsid w:val="004F11A4"/>
    <w:rsid w:val="004F2389"/>
    <w:rsid w:val="004F24F5"/>
    <w:rsid w:val="004F304D"/>
    <w:rsid w:val="004F3F70"/>
    <w:rsid w:val="004F61BE"/>
    <w:rsid w:val="004F66B1"/>
    <w:rsid w:val="004F745A"/>
    <w:rsid w:val="004F78B3"/>
    <w:rsid w:val="00500B10"/>
    <w:rsid w:val="00500C0F"/>
    <w:rsid w:val="0050202E"/>
    <w:rsid w:val="00505F05"/>
    <w:rsid w:val="0050606A"/>
    <w:rsid w:val="00506C72"/>
    <w:rsid w:val="00510868"/>
    <w:rsid w:val="00511C07"/>
    <w:rsid w:val="0051472B"/>
    <w:rsid w:val="0051663D"/>
    <w:rsid w:val="005173A6"/>
    <w:rsid w:val="00520BAA"/>
    <w:rsid w:val="00524129"/>
    <w:rsid w:val="00524131"/>
    <w:rsid w:val="00525208"/>
    <w:rsid w:val="005257A5"/>
    <w:rsid w:val="005264C0"/>
    <w:rsid w:val="00526A8A"/>
    <w:rsid w:val="00531DF2"/>
    <w:rsid w:val="0053264A"/>
    <w:rsid w:val="00533411"/>
    <w:rsid w:val="00534948"/>
    <w:rsid w:val="005366E0"/>
    <w:rsid w:val="005400B9"/>
    <w:rsid w:val="0054145A"/>
    <w:rsid w:val="005442EE"/>
    <w:rsid w:val="0054494C"/>
    <w:rsid w:val="00544CB3"/>
    <w:rsid w:val="00546CD6"/>
    <w:rsid w:val="00546E32"/>
    <w:rsid w:val="00547353"/>
    <w:rsid w:val="005474E7"/>
    <w:rsid w:val="005512A3"/>
    <w:rsid w:val="00553135"/>
    <w:rsid w:val="005578CE"/>
    <w:rsid w:val="00557D36"/>
    <w:rsid w:val="00557F05"/>
    <w:rsid w:val="00560B28"/>
    <w:rsid w:val="005617E2"/>
    <w:rsid w:val="00562781"/>
    <w:rsid w:val="00563946"/>
    <w:rsid w:val="00563E83"/>
    <w:rsid w:val="0056487A"/>
    <w:rsid w:val="00564A65"/>
    <w:rsid w:val="0056596A"/>
    <w:rsid w:val="00566648"/>
    <w:rsid w:val="005706C7"/>
    <w:rsid w:val="00570D5E"/>
    <w:rsid w:val="00571EAA"/>
    <w:rsid w:val="0057271C"/>
    <w:rsid w:val="00572845"/>
    <w:rsid w:val="005765B0"/>
    <w:rsid w:val="0058162A"/>
    <w:rsid w:val="005827C8"/>
    <w:rsid w:val="0058329A"/>
    <w:rsid w:val="00586DF1"/>
    <w:rsid w:val="00590381"/>
    <w:rsid w:val="00592772"/>
    <w:rsid w:val="00594CBF"/>
    <w:rsid w:val="00594F11"/>
    <w:rsid w:val="005954E5"/>
    <w:rsid w:val="0059574A"/>
    <w:rsid w:val="00597610"/>
    <w:rsid w:val="005A0ECE"/>
    <w:rsid w:val="005A1B9B"/>
    <w:rsid w:val="005A257A"/>
    <w:rsid w:val="005A30F8"/>
    <w:rsid w:val="005A3D2B"/>
    <w:rsid w:val="005A410F"/>
    <w:rsid w:val="005A5404"/>
    <w:rsid w:val="005A57ED"/>
    <w:rsid w:val="005A6751"/>
    <w:rsid w:val="005B092E"/>
    <w:rsid w:val="005B1231"/>
    <w:rsid w:val="005B152C"/>
    <w:rsid w:val="005B1EE0"/>
    <w:rsid w:val="005B1FAA"/>
    <w:rsid w:val="005B28F6"/>
    <w:rsid w:val="005B2B24"/>
    <w:rsid w:val="005B4425"/>
    <w:rsid w:val="005B4B5E"/>
    <w:rsid w:val="005B4B94"/>
    <w:rsid w:val="005B5C82"/>
    <w:rsid w:val="005B5EFD"/>
    <w:rsid w:val="005B61FE"/>
    <w:rsid w:val="005B6567"/>
    <w:rsid w:val="005C2EDF"/>
    <w:rsid w:val="005C3EE8"/>
    <w:rsid w:val="005C42C1"/>
    <w:rsid w:val="005C44EF"/>
    <w:rsid w:val="005C485E"/>
    <w:rsid w:val="005C558E"/>
    <w:rsid w:val="005C5C42"/>
    <w:rsid w:val="005C5FA5"/>
    <w:rsid w:val="005C6370"/>
    <w:rsid w:val="005C7893"/>
    <w:rsid w:val="005D0835"/>
    <w:rsid w:val="005D1F2E"/>
    <w:rsid w:val="005D2261"/>
    <w:rsid w:val="005D273B"/>
    <w:rsid w:val="005D34F9"/>
    <w:rsid w:val="005D3725"/>
    <w:rsid w:val="005D3D51"/>
    <w:rsid w:val="005D4190"/>
    <w:rsid w:val="005D67A3"/>
    <w:rsid w:val="005D6BE8"/>
    <w:rsid w:val="005E034C"/>
    <w:rsid w:val="005E0B2A"/>
    <w:rsid w:val="005E1D59"/>
    <w:rsid w:val="005E2988"/>
    <w:rsid w:val="005E298A"/>
    <w:rsid w:val="005E2A43"/>
    <w:rsid w:val="005E3085"/>
    <w:rsid w:val="005E4D7F"/>
    <w:rsid w:val="005E6313"/>
    <w:rsid w:val="005F072D"/>
    <w:rsid w:val="005F07FA"/>
    <w:rsid w:val="005F0E62"/>
    <w:rsid w:val="005F0F72"/>
    <w:rsid w:val="005F1BF5"/>
    <w:rsid w:val="005F1F49"/>
    <w:rsid w:val="005F2703"/>
    <w:rsid w:val="005F47D9"/>
    <w:rsid w:val="005F51E1"/>
    <w:rsid w:val="005F5D93"/>
    <w:rsid w:val="0060283B"/>
    <w:rsid w:val="00605060"/>
    <w:rsid w:val="006050D1"/>
    <w:rsid w:val="00611852"/>
    <w:rsid w:val="00611C80"/>
    <w:rsid w:val="0061289C"/>
    <w:rsid w:val="00612986"/>
    <w:rsid w:val="00613AAD"/>
    <w:rsid w:val="0061485C"/>
    <w:rsid w:val="00620235"/>
    <w:rsid w:val="00620692"/>
    <w:rsid w:val="006227A9"/>
    <w:rsid w:val="006242B2"/>
    <w:rsid w:val="006242CA"/>
    <w:rsid w:val="00626409"/>
    <w:rsid w:val="00627316"/>
    <w:rsid w:val="00627507"/>
    <w:rsid w:val="006276A0"/>
    <w:rsid w:val="00631096"/>
    <w:rsid w:val="00632904"/>
    <w:rsid w:val="00633717"/>
    <w:rsid w:val="006344E1"/>
    <w:rsid w:val="00635DDE"/>
    <w:rsid w:val="006363EF"/>
    <w:rsid w:val="00636AC9"/>
    <w:rsid w:val="006374D4"/>
    <w:rsid w:val="00641E68"/>
    <w:rsid w:val="00641E83"/>
    <w:rsid w:val="0064550F"/>
    <w:rsid w:val="00646A7E"/>
    <w:rsid w:val="006475AA"/>
    <w:rsid w:val="006526ED"/>
    <w:rsid w:val="006545C4"/>
    <w:rsid w:val="00654919"/>
    <w:rsid w:val="00654A35"/>
    <w:rsid w:val="00654D50"/>
    <w:rsid w:val="0065635E"/>
    <w:rsid w:val="00657AB7"/>
    <w:rsid w:val="00661971"/>
    <w:rsid w:val="00661CE8"/>
    <w:rsid w:val="006623D9"/>
    <w:rsid w:val="00663BDF"/>
    <w:rsid w:val="0066550C"/>
    <w:rsid w:val="006716F2"/>
    <w:rsid w:val="0067190B"/>
    <w:rsid w:val="0067248F"/>
    <w:rsid w:val="006730A5"/>
    <w:rsid w:val="006748A4"/>
    <w:rsid w:val="00675047"/>
    <w:rsid w:val="006751F9"/>
    <w:rsid w:val="00676A1E"/>
    <w:rsid w:val="00676DBA"/>
    <w:rsid w:val="00677286"/>
    <w:rsid w:val="0068058D"/>
    <w:rsid w:val="0068215A"/>
    <w:rsid w:val="00682BF2"/>
    <w:rsid w:val="00683E08"/>
    <w:rsid w:val="006859CE"/>
    <w:rsid w:val="00685F9C"/>
    <w:rsid w:val="0068798A"/>
    <w:rsid w:val="00691270"/>
    <w:rsid w:val="00694BA8"/>
    <w:rsid w:val="0069503A"/>
    <w:rsid w:val="0069637F"/>
    <w:rsid w:val="00696C89"/>
    <w:rsid w:val="006A037C"/>
    <w:rsid w:val="006A36F4"/>
    <w:rsid w:val="006A406F"/>
    <w:rsid w:val="006A4693"/>
    <w:rsid w:val="006A5D3A"/>
    <w:rsid w:val="006A6833"/>
    <w:rsid w:val="006A69BC"/>
    <w:rsid w:val="006A7C55"/>
    <w:rsid w:val="006B080C"/>
    <w:rsid w:val="006B0BA2"/>
    <w:rsid w:val="006B19CB"/>
    <w:rsid w:val="006B1E3B"/>
    <w:rsid w:val="006B25A8"/>
    <w:rsid w:val="006B4336"/>
    <w:rsid w:val="006B5288"/>
    <w:rsid w:val="006B74A2"/>
    <w:rsid w:val="006C0559"/>
    <w:rsid w:val="006C0F68"/>
    <w:rsid w:val="006C23D4"/>
    <w:rsid w:val="006C2AE2"/>
    <w:rsid w:val="006C62A6"/>
    <w:rsid w:val="006C7677"/>
    <w:rsid w:val="006C7927"/>
    <w:rsid w:val="006C79B5"/>
    <w:rsid w:val="006C7BB0"/>
    <w:rsid w:val="006D08EB"/>
    <w:rsid w:val="006D0E43"/>
    <w:rsid w:val="006D3237"/>
    <w:rsid w:val="006D40AB"/>
    <w:rsid w:val="006D59CC"/>
    <w:rsid w:val="006D6643"/>
    <w:rsid w:val="006D7059"/>
    <w:rsid w:val="006E08F0"/>
    <w:rsid w:val="006E2E37"/>
    <w:rsid w:val="006E323A"/>
    <w:rsid w:val="006E35F0"/>
    <w:rsid w:val="006E39C5"/>
    <w:rsid w:val="006E3CF1"/>
    <w:rsid w:val="006E6050"/>
    <w:rsid w:val="006E7B01"/>
    <w:rsid w:val="006E7E80"/>
    <w:rsid w:val="006F099C"/>
    <w:rsid w:val="006F1DF9"/>
    <w:rsid w:val="006F24DB"/>
    <w:rsid w:val="006F2F8C"/>
    <w:rsid w:val="006F3685"/>
    <w:rsid w:val="006F48CA"/>
    <w:rsid w:val="006F4DA0"/>
    <w:rsid w:val="006F557D"/>
    <w:rsid w:val="006F55AC"/>
    <w:rsid w:val="006F560A"/>
    <w:rsid w:val="006F64DD"/>
    <w:rsid w:val="0070041B"/>
    <w:rsid w:val="00702CBC"/>
    <w:rsid w:val="00704278"/>
    <w:rsid w:val="007113FD"/>
    <w:rsid w:val="007117C3"/>
    <w:rsid w:val="00712D1D"/>
    <w:rsid w:val="00715127"/>
    <w:rsid w:val="00715E8E"/>
    <w:rsid w:val="00716196"/>
    <w:rsid w:val="00717CBA"/>
    <w:rsid w:val="007208F3"/>
    <w:rsid w:val="00720DB8"/>
    <w:rsid w:val="00722341"/>
    <w:rsid w:val="00723580"/>
    <w:rsid w:val="00723755"/>
    <w:rsid w:val="00724453"/>
    <w:rsid w:val="0072624F"/>
    <w:rsid w:val="0073136C"/>
    <w:rsid w:val="00731BFC"/>
    <w:rsid w:val="00731F0F"/>
    <w:rsid w:val="00733250"/>
    <w:rsid w:val="00733471"/>
    <w:rsid w:val="00733767"/>
    <w:rsid w:val="00733A10"/>
    <w:rsid w:val="00734236"/>
    <w:rsid w:val="007342B2"/>
    <w:rsid w:val="0073735A"/>
    <w:rsid w:val="007409D8"/>
    <w:rsid w:val="00741404"/>
    <w:rsid w:val="0074207C"/>
    <w:rsid w:val="00742E67"/>
    <w:rsid w:val="00743027"/>
    <w:rsid w:val="007449E5"/>
    <w:rsid w:val="007458EA"/>
    <w:rsid w:val="00746C5A"/>
    <w:rsid w:val="00747FF0"/>
    <w:rsid w:val="00750275"/>
    <w:rsid w:val="007515AC"/>
    <w:rsid w:val="00752B58"/>
    <w:rsid w:val="0075367C"/>
    <w:rsid w:val="00753C82"/>
    <w:rsid w:val="00754A8A"/>
    <w:rsid w:val="00754D10"/>
    <w:rsid w:val="00754FA4"/>
    <w:rsid w:val="00757864"/>
    <w:rsid w:val="007623A8"/>
    <w:rsid w:val="00763B5E"/>
    <w:rsid w:val="00764D4E"/>
    <w:rsid w:val="00765A1F"/>
    <w:rsid w:val="007672C4"/>
    <w:rsid w:val="007757D6"/>
    <w:rsid w:val="00775B6D"/>
    <w:rsid w:val="00776D68"/>
    <w:rsid w:val="007775FE"/>
    <w:rsid w:val="007803CB"/>
    <w:rsid w:val="007817B5"/>
    <w:rsid w:val="00783828"/>
    <w:rsid w:val="007839FE"/>
    <w:rsid w:val="007850EE"/>
    <w:rsid w:val="007855B9"/>
    <w:rsid w:val="00785B95"/>
    <w:rsid w:val="0078636D"/>
    <w:rsid w:val="0078754F"/>
    <w:rsid w:val="007878EB"/>
    <w:rsid w:val="00790E96"/>
    <w:rsid w:val="00793366"/>
    <w:rsid w:val="00795B9B"/>
    <w:rsid w:val="007A3862"/>
    <w:rsid w:val="007A4F8B"/>
    <w:rsid w:val="007A59B6"/>
    <w:rsid w:val="007A716F"/>
    <w:rsid w:val="007A7487"/>
    <w:rsid w:val="007B1BEC"/>
    <w:rsid w:val="007B270A"/>
    <w:rsid w:val="007B3161"/>
    <w:rsid w:val="007B31F3"/>
    <w:rsid w:val="007B538D"/>
    <w:rsid w:val="007B6FD9"/>
    <w:rsid w:val="007B7484"/>
    <w:rsid w:val="007B7A97"/>
    <w:rsid w:val="007C0695"/>
    <w:rsid w:val="007C101E"/>
    <w:rsid w:val="007C36E1"/>
    <w:rsid w:val="007C372B"/>
    <w:rsid w:val="007C3EC5"/>
    <w:rsid w:val="007C419A"/>
    <w:rsid w:val="007C4CC8"/>
    <w:rsid w:val="007C512B"/>
    <w:rsid w:val="007C5426"/>
    <w:rsid w:val="007C5798"/>
    <w:rsid w:val="007C5F27"/>
    <w:rsid w:val="007D04F4"/>
    <w:rsid w:val="007D1446"/>
    <w:rsid w:val="007D34D9"/>
    <w:rsid w:val="007D4062"/>
    <w:rsid w:val="007D4373"/>
    <w:rsid w:val="007D4832"/>
    <w:rsid w:val="007D51E4"/>
    <w:rsid w:val="007D7839"/>
    <w:rsid w:val="007D783B"/>
    <w:rsid w:val="007E0928"/>
    <w:rsid w:val="007E0D84"/>
    <w:rsid w:val="007E0E24"/>
    <w:rsid w:val="007E21B2"/>
    <w:rsid w:val="007E29F2"/>
    <w:rsid w:val="007E2C4E"/>
    <w:rsid w:val="007E379D"/>
    <w:rsid w:val="007E5435"/>
    <w:rsid w:val="007E60D0"/>
    <w:rsid w:val="007E687B"/>
    <w:rsid w:val="007E7749"/>
    <w:rsid w:val="007F104B"/>
    <w:rsid w:val="007F1905"/>
    <w:rsid w:val="007F6397"/>
    <w:rsid w:val="00800035"/>
    <w:rsid w:val="00801300"/>
    <w:rsid w:val="00802C64"/>
    <w:rsid w:val="00802C80"/>
    <w:rsid w:val="00804C71"/>
    <w:rsid w:val="00805E52"/>
    <w:rsid w:val="008061D0"/>
    <w:rsid w:val="0080755D"/>
    <w:rsid w:val="00807A32"/>
    <w:rsid w:val="008101C2"/>
    <w:rsid w:val="00810B38"/>
    <w:rsid w:val="00813249"/>
    <w:rsid w:val="008135BD"/>
    <w:rsid w:val="0081511F"/>
    <w:rsid w:val="008204C7"/>
    <w:rsid w:val="00820992"/>
    <w:rsid w:val="00822186"/>
    <w:rsid w:val="008235F7"/>
    <w:rsid w:val="00823602"/>
    <w:rsid w:val="00823CAA"/>
    <w:rsid w:val="00824214"/>
    <w:rsid w:val="008255F5"/>
    <w:rsid w:val="00830099"/>
    <w:rsid w:val="0083014E"/>
    <w:rsid w:val="008316CD"/>
    <w:rsid w:val="0083214A"/>
    <w:rsid w:val="00832CB3"/>
    <w:rsid w:val="008330FE"/>
    <w:rsid w:val="008331C4"/>
    <w:rsid w:val="0083382D"/>
    <w:rsid w:val="0083387B"/>
    <w:rsid w:val="00834220"/>
    <w:rsid w:val="00835996"/>
    <w:rsid w:val="00836198"/>
    <w:rsid w:val="0084069A"/>
    <w:rsid w:val="008406E3"/>
    <w:rsid w:val="0084073C"/>
    <w:rsid w:val="0084088E"/>
    <w:rsid w:val="00841D88"/>
    <w:rsid w:val="00842FE6"/>
    <w:rsid w:val="008430F7"/>
    <w:rsid w:val="00843332"/>
    <w:rsid w:val="0084388B"/>
    <w:rsid w:val="00844312"/>
    <w:rsid w:val="00845431"/>
    <w:rsid w:val="00845723"/>
    <w:rsid w:val="00847F98"/>
    <w:rsid w:val="00851EF9"/>
    <w:rsid w:val="008522E2"/>
    <w:rsid w:val="0085753D"/>
    <w:rsid w:val="008577FD"/>
    <w:rsid w:val="00860718"/>
    <w:rsid w:val="00860B03"/>
    <w:rsid w:val="00864195"/>
    <w:rsid w:val="00864890"/>
    <w:rsid w:val="0086497A"/>
    <w:rsid w:val="00866DE8"/>
    <w:rsid w:val="00870426"/>
    <w:rsid w:val="0087096C"/>
    <w:rsid w:val="00870CA4"/>
    <w:rsid w:val="00870FFC"/>
    <w:rsid w:val="008713A1"/>
    <w:rsid w:val="008727F2"/>
    <w:rsid w:val="00873832"/>
    <w:rsid w:val="00873BE8"/>
    <w:rsid w:val="008740A7"/>
    <w:rsid w:val="00874954"/>
    <w:rsid w:val="008754AB"/>
    <w:rsid w:val="008763F6"/>
    <w:rsid w:val="008764A1"/>
    <w:rsid w:val="00876B30"/>
    <w:rsid w:val="0088060C"/>
    <w:rsid w:val="0088092A"/>
    <w:rsid w:val="00883313"/>
    <w:rsid w:val="0088415A"/>
    <w:rsid w:val="00884FF0"/>
    <w:rsid w:val="008858A2"/>
    <w:rsid w:val="00885E1E"/>
    <w:rsid w:val="008868EB"/>
    <w:rsid w:val="008915EC"/>
    <w:rsid w:val="00893576"/>
    <w:rsid w:val="00893AD2"/>
    <w:rsid w:val="00893E73"/>
    <w:rsid w:val="0089409F"/>
    <w:rsid w:val="00895BD6"/>
    <w:rsid w:val="008969CA"/>
    <w:rsid w:val="00897B5E"/>
    <w:rsid w:val="008A43C4"/>
    <w:rsid w:val="008A47A5"/>
    <w:rsid w:val="008A543A"/>
    <w:rsid w:val="008A56F6"/>
    <w:rsid w:val="008B02DC"/>
    <w:rsid w:val="008B220A"/>
    <w:rsid w:val="008B2844"/>
    <w:rsid w:val="008B557E"/>
    <w:rsid w:val="008B57CE"/>
    <w:rsid w:val="008B659F"/>
    <w:rsid w:val="008B66B4"/>
    <w:rsid w:val="008B77EE"/>
    <w:rsid w:val="008C0329"/>
    <w:rsid w:val="008C26DE"/>
    <w:rsid w:val="008C603D"/>
    <w:rsid w:val="008C61AD"/>
    <w:rsid w:val="008C6A5F"/>
    <w:rsid w:val="008C6EFF"/>
    <w:rsid w:val="008C7552"/>
    <w:rsid w:val="008D03D6"/>
    <w:rsid w:val="008D0CC6"/>
    <w:rsid w:val="008D2225"/>
    <w:rsid w:val="008D27D5"/>
    <w:rsid w:val="008D336B"/>
    <w:rsid w:val="008D39B0"/>
    <w:rsid w:val="008D4752"/>
    <w:rsid w:val="008D5039"/>
    <w:rsid w:val="008D70FD"/>
    <w:rsid w:val="008D75BF"/>
    <w:rsid w:val="008E2404"/>
    <w:rsid w:val="008E271C"/>
    <w:rsid w:val="008E418E"/>
    <w:rsid w:val="008E561B"/>
    <w:rsid w:val="008E5BC6"/>
    <w:rsid w:val="008E6A25"/>
    <w:rsid w:val="008E77F2"/>
    <w:rsid w:val="008F2F1E"/>
    <w:rsid w:val="008F3779"/>
    <w:rsid w:val="008F3BF7"/>
    <w:rsid w:val="008F3E77"/>
    <w:rsid w:val="008F5193"/>
    <w:rsid w:val="009005E9"/>
    <w:rsid w:val="00900C6A"/>
    <w:rsid w:val="0090114F"/>
    <w:rsid w:val="009013A7"/>
    <w:rsid w:val="009017FB"/>
    <w:rsid w:val="009017FC"/>
    <w:rsid w:val="00903B43"/>
    <w:rsid w:val="00904D45"/>
    <w:rsid w:val="0090506B"/>
    <w:rsid w:val="009050C9"/>
    <w:rsid w:val="009066FC"/>
    <w:rsid w:val="00906A35"/>
    <w:rsid w:val="00906C7A"/>
    <w:rsid w:val="00912622"/>
    <w:rsid w:val="009140A3"/>
    <w:rsid w:val="009144A2"/>
    <w:rsid w:val="0091510C"/>
    <w:rsid w:val="00916463"/>
    <w:rsid w:val="00917ACC"/>
    <w:rsid w:val="00920498"/>
    <w:rsid w:val="00923B24"/>
    <w:rsid w:val="00923B67"/>
    <w:rsid w:val="00923D7D"/>
    <w:rsid w:val="009259AC"/>
    <w:rsid w:val="009263C4"/>
    <w:rsid w:val="009267F3"/>
    <w:rsid w:val="00926F38"/>
    <w:rsid w:val="009312C2"/>
    <w:rsid w:val="009318A3"/>
    <w:rsid w:val="00933CC5"/>
    <w:rsid w:val="00934301"/>
    <w:rsid w:val="009361C2"/>
    <w:rsid w:val="00936CD1"/>
    <w:rsid w:val="00936E63"/>
    <w:rsid w:val="00936F8A"/>
    <w:rsid w:val="009408C0"/>
    <w:rsid w:val="00941747"/>
    <w:rsid w:val="0094189C"/>
    <w:rsid w:val="00941EFB"/>
    <w:rsid w:val="0094589B"/>
    <w:rsid w:val="0094592C"/>
    <w:rsid w:val="00945FDD"/>
    <w:rsid w:val="00947AFB"/>
    <w:rsid w:val="00951773"/>
    <w:rsid w:val="00951D7D"/>
    <w:rsid w:val="0095214A"/>
    <w:rsid w:val="009540DD"/>
    <w:rsid w:val="00955243"/>
    <w:rsid w:val="00957A17"/>
    <w:rsid w:val="00957C95"/>
    <w:rsid w:val="00960EEA"/>
    <w:rsid w:val="009630C7"/>
    <w:rsid w:val="00965225"/>
    <w:rsid w:val="00966B70"/>
    <w:rsid w:val="0096762D"/>
    <w:rsid w:val="00967B4F"/>
    <w:rsid w:val="00967C75"/>
    <w:rsid w:val="00967F46"/>
    <w:rsid w:val="00972B55"/>
    <w:rsid w:val="00973D3B"/>
    <w:rsid w:val="009743B7"/>
    <w:rsid w:val="0098228B"/>
    <w:rsid w:val="009828DA"/>
    <w:rsid w:val="00985297"/>
    <w:rsid w:val="0098544B"/>
    <w:rsid w:val="00985BAB"/>
    <w:rsid w:val="00986B25"/>
    <w:rsid w:val="009904BD"/>
    <w:rsid w:val="00990A72"/>
    <w:rsid w:val="0099112A"/>
    <w:rsid w:val="00996029"/>
    <w:rsid w:val="00997F03"/>
    <w:rsid w:val="009A4362"/>
    <w:rsid w:val="009A46DF"/>
    <w:rsid w:val="009B1B5F"/>
    <w:rsid w:val="009B1D6D"/>
    <w:rsid w:val="009B2EC2"/>
    <w:rsid w:val="009B3B99"/>
    <w:rsid w:val="009B3D12"/>
    <w:rsid w:val="009B6673"/>
    <w:rsid w:val="009B6C86"/>
    <w:rsid w:val="009B7E00"/>
    <w:rsid w:val="009B7F02"/>
    <w:rsid w:val="009C191B"/>
    <w:rsid w:val="009C1F48"/>
    <w:rsid w:val="009C2BD6"/>
    <w:rsid w:val="009C2CB9"/>
    <w:rsid w:val="009C5EBB"/>
    <w:rsid w:val="009C6175"/>
    <w:rsid w:val="009D0FC1"/>
    <w:rsid w:val="009D2A3F"/>
    <w:rsid w:val="009D2D12"/>
    <w:rsid w:val="009D3D20"/>
    <w:rsid w:val="009D717A"/>
    <w:rsid w:val="009E1F32"/>
    <w:rsid w:val="009E28F8"/>
    <w:rsid w:val="009E470A"/>
    <w:rsid w:val="009E5256"/>
    <w:rsid w:val="009E557B"/>
    <w:rsid w:val="009E5829"/>
    <w:rsid w:val="009E6085"/>
    <w:rsid w:val="009E776C"/>
    <w:rsid w:val="009E7D8E"/>
    <w:rsid w:val="009F0889"/>
    <w:rsid w:val="009F0BB4"/>
    <w:rsid w:val="009F3C8E"/>
    <w:rsid w:val="009F46CA"/>
    <w:rsid w:val="009F5DEA"/>
    <w:rsid w:val="009F632D"/>
    <w:rsid w:val="00A000C5"/>
    <w:rsid w:val="00A01BFE"/>
    <w:rsid w:val="00A02207"/>
    <w:rsid w:val="00A02508"/>
    <w:rsid w:val="00A054E0"/>
    <w:rsid w:val="00A05841"/>
    <w:rsid w:val="00A074CB"/>
    <w:rsid w:val="00A10076"/>
    <w:rsid w:val="00A10689"/>
    <w:rsid w:val="00A14C5B"/>
    <w:rsid w:val="00A1726E"/>
    <w:rsid w:val="00A204CF"/>
    <w:rsid w:val="00A20C6D"/>
    <w:rsid w:val="00A21794"/>
    <w:rsid w:val="00A2202B"/>
    <w:rsid w:val="00A2249A"/>
    <w:rsid w:val="00A226F4"/>
    <w:rsid w:val="00A23D49"/>
    <w:rsid w:val="00A27004"/>
    <w:rsid w:val="00A30C29"/>
    <w:rsid w:val="00A33081"/>
    <w:rsid w:val="00A33B3F"/>
    <w:rsid w:val="00A34B70"/>
    <w:rsid w:val="00A34DD6"/>
    <w:rsid w:val="00A35296"/>
    <w:rsid w:val="00A3591C"/>
    <w:rsid w:val="00A36100"/>
    <w:rsid w:val="00A362B6"/>
    <w:rsid w:val="00A36819"/>
    <w:rsid w:val="00A36989"/>
    <w:rsid w:val="00A37003"/>
    <w:rsid w:val="00A40E49"/>
    <w:rsid w:val="00A42335"/>
    <w:rsid w:val="00A43628"/>
    <w:rsid w:val="00A44AC9"/>
    <w:rsid w:val="00A45C5F"/>
    <w:rsid w:val="00A51CE3"/>
    <w:rsid w:val="00A52B0B"/>
    <w:rsid w:val="00A54192"/>
    <w:rsid w:val="00A54872"/>
    <w:rsid w:val="00A54B42"/>
    <w:rsid w:val="00A55008"/>
    <w:rsid w:val="00A561C1"/>
    <w:rsid w:val="00A56658"/>
    <w:rsid w:val="00A56A42"/>
    <w:rsid w:val="00A57C51"/>
    <w:rsid w:val="00A6020D"/>
    <w:rsid w:val="00A6035E"/>
    <w:rsid w:val="00A6101C"/>
    <w:rsid w:val="00A611F0"/>
    <w:rsid w:val="00A6144C"/>
    <w:rsid w:val="00A61A7E"/>
    <w:rsid w:val="00A61F88"/>
    <w:rsid w:val="00A62E09"/>
    <w:rsid w:val="00A632DA"/>
    <w:rsid w:val="00A63707"/>
    <w:rsid w:val="00A65514"/>
    <w:rsid w:val="00A65A99"/>
    <w:rsid w:val="00A66617"/>
    <w:rsid w:val="00A671F8"/>
    <w:rsid w:val="00A673A4"/>
    <w:rsid w:val="00A70B2F"/>
    <w:rsid w:val="00A71BCA"/>
    <w:rsid w:val="00A724AE"/>
    <w:rsid w:val="00A73329"/>
    <w:rsid w:val="00A74F03"/>
    <w:rsid w:val="00A81F50"/>
    <w:rsid w:val="00A82359"/>
    <w:rsid w:val="00A84A0D"/>
    <w:rsid w:val="00A84ABA"/>
    <w:rsid w:val="00A865D2"/>
    <w:rsid w:val="00A87024"/>
    <w:rsid w:val="00A8757A"/>
    <w:rsid w:val="00A879AF"/>
    <w:rsid w:val="00A94173"/>
    <w:rsid w:val="00A94C20"/>
    <w:rsid w:val="00A950AF"/>
    <w:rsid w:val="00A96ED6"/>
    <w:rsid w:val="00AA0D66"/>
    <w:rsid w:val="00AA227F"/>
    <w:rsid w:val="00AA3BC7"/>
    <w:rsid w:val="00AA4F67"/>
    <w:rsid w:val="00AA58F7"/>
    <w:rsid w:val="00AA5F78"/>
    <w:rsid w:val="00AA754A"/>
    <w:rsid w:val="00AA7D67"/>
    <w:rsid w:val="00AB099E"/>
    <w:rsid w:val="00AB24F5"/>
    <w:rsid w:val="00AB4328"/>
    <w:rsid w:val="00AB4C86"/>
    <w:rsid w:val="00AB5FA0"/>
    <w:rsid w:val="00AC3ABA"/>
    <w:rsid w:val="00AC4FF1"/>
    <w:rsid w:val="00AC7341"/>
    <w:rsid w:val="00AD4C7A"/>
    <w:rsid w:val="00AD76EA"/>
    <w:rsid w:val="00AD7EB7"/>
    <w:rsid w:val="00AE06D9"/>
    <w:rsid w:val="00AE0A2E"/>
    <w:rsid w:val="00AE24D0"/>
    <w:rsid w:val="00AE354C"/>
    <w:rsid w:val="00AE4B13"/>
    <w:rsid w:val="00AF009F"/>
    <w:rsid w:val="00AF2421"/>
    <w:rsid w:val="00AF4B07"/>
    <w:rsid w:val="00AF5205"/>
    <w:rsid w:val="00AF52C8"/>
    <w:rsid w:val="00AF5E2E"/>
    <w:rsid w:val="00AF6186"/>
    <w:rsid w:val="00AF7A3A"/>
    <w:rsid w:val="00B004E9"/>
    <w:rsid w:val="00B030CE"/>
    <w:rsid w:val="00B0593E"/>
    <w:rsid w:val="00B065AF"/>
    <w:rsid w:val="00B10024"/>
    <w:rsid w:val="00B11BA8"/>
    <w:rsid w:val="00B160DB"/>
    <w:rsid w:val="00B20836"/>
    <w:rsid w:val="00B2117E"/>
    <w:rsid w:val="00B22157"/>
    <w:rsid w:val="00B235BB"/>
    <w:rsid w:val="00B25512"/>
    <w:rsid w:val="00B27A44"/>
    <w:rsid w:val="00B30BBF"/>
    <w:rsid w:val="00B3194A"/>
    <w:rsid w:val="00B321EB"/>
    <w:rsid w:val="00B33C03"/>
    <w:rsid w:val="00B33DA9"/>
    <w:rsid w:val="00B35B09"/>
    <w:rsid w:val="00B378D5"/>
    <w:rsid w:val="00B4121F"/>
    <w:rsid w:val="00B41FB1"/>
    <w:rsid w:val="00B426B9"/>
    <w:rsid w:val="00B44E56"/>
    <w:rsid w:val="00B462CC"/>
    <w:rsid w:val="00B46543"/>
    <w:rsid w:val="00B473C5"/>
    <w:rsid w:val="00B47D33"/>
    <w:rsid w:val="00B517CD"/>
    <w:rsid w:val="00B51EC7"/>
    <w:rsid w:val="00B52BCC"/>
    <w:rsid w:val="00B52BE0"/>
    <w:rsid w:val="00B53436"/>
    <w:rsid w:val="00B54133"/>
    <w:rsid w:val="00B541E0"/>
    <w:rsid w:val="00B543C1"/>
    <w:rsid w:val="00B5511F"/>
    <w:rsid w:val="00B564DF"/>
    <w:rsid w:val="00B56BB8"/>
    <w:rsid w:val="00B57B4B"/>
    <w:rsid w:val="00B615E1"/>
    <w:rsid w:val="00B61750"/>
    <w:rsid w:val="00B621AB"/>
    <w:rsid w:val="00B62B69"/>
    <w:rsid w:val="00B639CB"/>
    <w:rsid w:val="00B64370"/>
    <w:rsid w:val="00B64826"/>
    <w:rsid w:val="00B701ED"/>
    <w:rsid w:val="00B7241B"/>
    <w:rsid w:val="00B72C1A"/>
    <w:rsid w:val="00B73431"/>
    <w:rsid w:val="00B73CF8"/>
    <w:rsid w:val="00B73FC5"/>
    <w:rsid w:val="00B8030E"/>
    <w:rsid w:val="00B8086C"/>
    <w:rsid w:val="00B83160"/>
    <w:rsid w:val="00B83CB6"/>
    <w:rsid w:val="00B8453D"/>
    <w:rsid w:val="00B8557D"/>
    <w:rsid w:val="00B857D9"/>
    <w:rsid w:val="00B8600B"/>
    <w:rsid w:val="00B861B4"/>
    <w:rsid w:val="00B86262"/>
    <w:rsid w:val="00B86A3E"/>
    <w:rsid w:val="00B86DFE"/>
    <w:rsid w:val="00B87718"/>
    <w:rsid w:val="00B90990"/>
    <w:rsid w:val="00B922FF"/>
    <w:rsid w:val="00B9281E"/>
    <w:rsid w:val="00B92B42"/>
    <w:rsid w:val="00B937E2"/>
    <w:rsid w:val="00B93925"/>
    <w:rsid w:val="00B94E80"/>
    <w:rsid w:val="00B95187"/>
    <w:rsid w:val="00B95B8B"/>
    <w:rsid w:val="00BA028C"/>
    <w:rsid w:val="00BA1A39"/>
    <w:rsid w:val="00BA28C9"/>
    <w:rsid w:val="00BA2D55"/>
    <w:rsid w:val="00BA332C"/>
    <w:rsid w:val="00BA6088"/>
    <w:rsid w:val="00BA71B1"/>
    <w:rsid w:val="00BB0637"/>
    <w:rsid w:val="00BB0A4B"/>
    <w:rsid w:val="00BB25D0"/>
    <w:rsid w:val="00BB345F"/>
    <w:rsid w:val="00BB3D7A"/>
    <w:rsid w:val="00BB460A"/>
    <w:rsid w:val="00BB5300"/>
    <w:rsid w:val="00BB5883"/>
    <w:rsid w:val="00BB5B48"/>
    <w:rsid w:val="00BB68EA"/>
    <w:rsid w:val="00BB6DC1"/>
    <w:rsid w:val="00BB75A5"/>
    <w:rsid w:val="00BB7E31"/>
    <w:rsid w:val="00BC08D2"/>
    <w:rsid w:val="00BC1AE1"/>
    <w:rsid w:val="00BC1C27"/>
    <w:rsid w:val="00BC2306"/>
    <w:rsid w:val="00BC445D"/>
    <w:rsid w:val="00BC6BBF"/>
    <w:rsid w:val="00BC7C57"/>
    <w:rsid w:val="00BD0048"/>
    <w:rsid w:val="00BD0140"/>
    <w:rsid w:val="00BD1572"/>
    <w:rsid w:val="00BD2FBF"/>
    <w:rsid w:val="00BD3D35"/>
    <w:rsid w:val="00BE0250"/>
    <w:rsid w:val="00BE14E3"/>
    <w:rsid w:val="00BE2795"/>
    <w:rsid w:val="00BE2CDA"/>
    <w:rsid w:val="00BE2DCD"/>
    <w:rsid w:val="00BE33C0"/>
    <w:rsid w:val="00BE3774"/>
    <w:rsid w:val="00BE41D7"/>
    <w:rsid w:val="00BE41E5"/>
    <w:rsid w:val="00BE58A4"/>
    <w:rsid w:val="00BF0BBB"/>
    <w:rsid w:val="00BF4109"/>
    <w:rsid w:val="00BF4CC3"/>
    <w:rsid w:val="00BF4FA5"/>
    <w:rsid w:val="00C012D9"/>
    <w:rsid w:val="00C01C11"/>
    <w:rsid w:val="00C027B5"/>
    <w:rsid w:val="00C053E6"/>
    <w:rsid w:val="00C054C7"/>
    <w:rsid w:val="00C057B5"/>
    <w:rsid w:val="00C05B79"/>
    <w:rsid w:val="00C10AE9"/>
    <w:rsid w:val="00C12F04"/>
    <w:rsid w:val="00C130CB"/>
    <w:rsid w:val="00C17EF4"/>
    <w:rsid w:val="00C22687"/>
    <w:rsid w:val="00C23C2E"/>
    <w:rsid w:val="00C32E2D"/>
    <w:rsid w:val="00C32E4D"/>
    <w:rsid w:val="00C333A0"/>
    <w:rsid w:val="00C33BE8"/>
    <w:rsid w:val="00C3433A"/>
    <w:rsid w:val="00C356A9"/>
    <w:rsid w:val="00C36A81"/>
    <w:rsid w:val="00C3731B"/>
    <w:rsid w:val="00C37459"/>
    <w:rsid w:val="00C411BD"/>
    <w:rsid w:val="00C41472"/>
    <w:rsid w:val="00C41974"/>
    <w:rsid w:val="00C44652"/>
    <w:rsid w:val="00C447AD"/>
    <w:rsid w:val="00C47E25"/>
    <w:rsid w:val="00C5050F"/>
    <w:rsid w:val="00C507E6"/>
    <w:rsid w:val="00C516DD"/>
    <w:rsid w:val="00C5196F"/>
    <w:rsid w:val="00C51B36"/>
    <w:rsid w:val="00C53F4A"/>
    <w:rsid w:val="00C54125"/>
    <w:rsid w:val="00C54AD4"/>
    <w:rsid w:val="00C55B54"/>
    <w:rsid w:val="00C56377"/>
    <w:rsid w:val="00C6098E"/>
    <w:rsid w:val="00C6152C"/>
    <w:rsid w:val="00C61A8F"/>
    <w:rsid w:val="00C621C2"/>
    <w:rsid w:val="00C62D78"/>
    <w:rsid w:val="00C701EE"/>
    <w:rsid w:val="00C7038F"/>
    <w:rsid w:val="00C74810"/>
    <w:rsid w:val="00C76D88"/>
    <w:rsid w:val="00C776FC"/>
    <w:rsid w:val="00C80CD9"/>
    <w:rsid w:val="00C80E18"/>
    <w:rsid w:val="00C837A3"/>
    <w:rsid w:val="00C859F1"/>
    <w:rsid w:val="00C87F7F"/>
    <w:rsid w:val="00C909FF"/>
    <w:rsid w:val="00C90D68"/>
    <w:rsid w:val="00C91ACE"/>
    <w:rsid w:val="00C939FE"/>
    <w:rsid w:val="00C958C9"/>
    <w:rsid w:val="00CA106B"/>
    <w:rsid w:val="00CA1CB9"/>
    <w:rsid w:val="00CA2583"/>
    <w:rsid w:val="00CA4BDA"/>
    <w:rsid w:val="00CA4EC5"/>
    <w:rsid w:val="00CA607A"/>
    <w:rsid w:val="00CB1F66"/>
    <w:rsid w:val="00CB2951"/>
    <w:rsid w:val="00CB3D74"/>
    <w:rsid w:val="00CB48B0"/>
    <w:rsid w:val="00CB5C5E"/>
    <w:rsid w:val="00CB5F8B"/>
    <w:rsid w:val="00CC0993"/>
    <w:rsid w:val="00CC12E6"/>
    <w:rsid w:val="00CC48AE"/>
    <w:rsid w:val="00CD2148"/>
    <w:rsid w:val="00CD282B"/>
    <w:rsid w:val="00CD32CE"/>
    <w:rsid w:val="00CD411D"/>
    <w:rsid w:val="00CD4C35"/>
    <w:rsid w:val="00CD71B4"/>
    <w:rsid w:val="00CD7369"/>
    <w:rsid w:val="00CD78E4"/>
    <w:rsid w:val="00CD7D91"/>
    <w:rsid w:val="00CE0B0E"/>
    <w:rsid w:val="00CE2F16"/>
    <w:rsid w:val="00CE3831"/>
    <w:rsid w:val="00CE51CE"/>
    <w:rsid w:val="00CE69E7"/>
    <w:rsid w:val="00CF239B"/>
    <w:rsid w:val="00CF2C75"/>
    <w:rsid w:val="00CF40B6"/>
    <w:rsid w:val="00CF7F32"/>
    <w:rsid w:val="00D00246"/>
    <w:rsid w:val="00D00ABB"/>
    <w:rsid w:val="00D026C7"/>
    <w:rsid w:val="00D02EEC"/>
    <w:rsid w:val="00D03551"/>
    <w:rsid w:val="00D05E13"/>
    <w:rsid w:val="00D06A63"/>
    <w:rsid w:val="00D07154"/>
    <w:rsid w:val="00D07709"/>
    <w:rsid w:val="00D07E0E"/>
    <w:rsid w:val="00D11478"/>
    <w:rsid w:val="00D11E84"/>
    <w:rsid w:val="00D12C6C"/>
    <w:rsid w:val="00D15ED0"/>
    <w:rsid w:val="00D1766C"/>
    <w:rsid w:val="00D20F9F"/>
    <w:rsid w:val="00D21B3E"/>
    <w:rsid w:val="00D21D95"/>
    <w:rsid w:val="00D21FED"/>
    <w:rsid w:val="00D22AA1"/>
    <w:rsid w:val="00D24251"/>
    <w:rsid w:val="00D260C9"/>
    <w:rsid w:val="00D26263"/>
    <w:rsid w:val="00D26F63"/>
    <w:rsid w:val="00D30995"/>
    <w:rsid w:val="00D33534"/>
    <w:rsid w:val="00D3409C"/>
    <w:rsid w:val="00D343E2"/>
    <w:rsid w:val="00D35CFA"/>
    <w:rsid w:val="00D361A2"/>
    <w:rsid w:val="00D37B9D"/>
    <w:rsid w:val="00D40307"/>
    <w:rsid w:val="00D4117F"/>
    <w:rsid w:val="00D41E55"/>
    <w:rsid w:val="00D42792"/>
    <w:rsid w:val="00D433C9"/>
    <w:rsid w:val="00D44C2E"/>
    <w:rsid w:val="00D45414"/>
    <w:rsid w:val="00D50351"/>
    <w:rsid w:val="00D517F8"/>
    <w:rsid w:val="00D523FF"/>
    <w:rsid w:val="00D53C0F"/>
    <w:rsid w:val="00D55107"/>
    <w:rsid w:val="00D566BD"/>
    <w:rsid w:val="00D57A4D"/>
    <w:rsid w:val="00D60088"/>
    <w:rsid w:val="00D60AA7"/>
    <w:rsid w:val="00D60BD9"/>
    <w:rsid w:val="00D60D87"/>
    <w:rsid w:val="00D612FD"/>
    <w:rsid w:val="00D62227"/>
    <w:rsid w:val="00D6379B"/>
    <w:rsid w:val="00D6435F"/>
    <w:rsid w:val="00D65B3A"/>
    <w:rsid w:val="00D65D70"/>
    <w:rsid w:val="00D67AB7"/>
    <w:rsid w:val="00D708FB"/>
    <w:rsid w:val="00D74318"/>
    <w:rsid w:val="00D753AC"/>
    <w:rsid w:val="00D75E28"/>
    <w:rsid w:val="00D76464"/>
    <w:rsid w:val="00D768DF"/>
    <w:rsid w:val="00D772C2"/>
    <w:rsid w:val="00D773D6"/>
    <w:rsid w:val="00D8008E"/>
    <w:rsid w:val="00D82122"/>
    <w:rsid w:val="00D82C45"/>
    <w:rsid w:val="00D84306"/>
    <w:rsid w:val="00D85716"/>
    <w:rsid w:val="00D8678D"/>
    <w:rsid w:val="00D8714D"/>
    <w:rsid w:val="00D87CEA"/>
    <w:rsid w:val="00D90593"/>
    <w:rsid w:val="00D908A8"/>
    <w:rsid w:val="00D90A30"/>
    <w:rsid w:val="00D922B4"/>
    <w:rsid w:val="00D92EFD"/>
    <w:rsid w:val="00D93CB8"/>
    <w:rsid w:val="00D93ED7"/>
    <w:rsid w:val="00D942F7"/>
    <w:rsid w:val="00D94432"/>
    <w:rsid w:val="00D95F11"/>
    <w:rsid w:val="00D962B2"/>
    <w:rsid w:val="00D96771"/>
    <w:rsid w:val="00D977B6"/>
    <w:rsid w:val="00DA2627"/>
    <w:rsid w:val="00DA4A31"/>
    <w:rsid w:val="00DA59EA"/>
    <w:rsid w:val="00DA5E35"/>
    <w:rsid w:val="00DA7B04"/>
    <w:rsid w:val="00DA7CA0"/>
    <w:rsid w:val="00DB0393"/>
    <w:rsid w:val="00DB1A7A"/>
    <w:rsid w:val="00DB36C2"/>
    <w:rsid w:val="00DB59B2"/>
    <w:rsid w:val="00DB7196"/>
    <w:rsid w:val="00DC0936"/>
    <w:rsid w:val="00DC169B"/>
    <w:rsid w:val="00DC2AB9"/>
    <w:rsid w:val="00DC2C11"/>
    <w:rsid w:val="00DC5190"/>
    <w:rsid w:val="00DC63F0"/>
    <w:rsid w:val="00DD1F91"/>
    <w:rsid w:val="00DD6EE5"/>
    <w:rsid w:val="00DE17BE"/>
    <w:rsid w:val="00DE386C"/>
    <w:rsid w:val="00DE4D35"/>
    <w:rsid w:val="00DE4FDB"/>
    <w:rsid w:val="00DE509E"/>
    <w:rsid w:val="00DE64B7"/>
    <w:rsid w:val="00DE6BA3"/>
    <w:rsid w:val="00DF0549"/>
    <w:rsid w:val="00DF098B"/>
    <w:rsid w:val="00DF11C4"/>
    <w:rsid w:val="00DF1436"/>
    <w:rsid w:val="00DF159A"/>
    <w:rsid w:val="00DF19D0"/>
    <w:rsid w:val="00DF210C"/>
    <w:rsid w:val="00DF2FB5"/>
    <w:rsid w:val="00DF3658"/>
    <w:rsid w:val="00DF3761"/>
    <w:rsid w:val="00DF445F"/>
    <w:rsid w:val="00DF4B6A"/>
    <w:rsid w:val="00DF4F56"/>
    <w:rsid w:val="00DF7264"/>
    <w:rsid w:val="00E007C2"/>
    <w:rsid w:val="00E024F8"/>
    <w:rsid w:val="00E02C09"/>
    <w:rsid w:val="00E04D59"/>
    <w:rsid w:val="00E0744E"/>
    <w:rsid w:val="00E07DA1"/>
    <w:rsid w:val="00E123CB"/>
    <w:rsid w:val="00E128AC"/>
    <w:rsid w:val="00E13E15"/>
    <w:rsid w:val="00E1557C"/>
    <w:rsid w:val="00E162C8"/>
    <w:rsid w:val="00E171B0"/>
    <w:rsid w:val="00E1797C"/>
    <w:rsid w:val="00E20E13"/>
    <w:rsid w:val="00E21685"/>
    <w:rsid w:val="00E21AB2"/>
    <w:rsid w:val="00E21DBC"/>
    <w:rsid w:val="00E25159"/>
    <w:rsid w:val="00E275D7"/>
    <w:rsid w:val="00E27DBE"/>
    <w:rsid w:val="00E31C23"/>
    <w:rsid w:val="00E32741"/>
    <w:rsid w:val="00E32AB1"/>
    <w:rsid w:val="00E365AE"/>
    <w:rsid w:val="00E365E3"/>
    <w:rsid w:val="00E36B50"/>
    <w:rsid w:val="00E36B99"/>
    <w:rsid w:val="00E36C71"/>
    <w:rsid w:val="00E36D56"/>
    <w:rsid w:val="00E40404"/>
    <w:rsid w:val="00E41204"/>
    <w:rsid w:val="00E41BCB"/>
    <w:rsid w:val="00E426FC"/>
    <w:rsid w:val="00E459C6"/>
    <w:rsid w:val="00E47589"/>
    <w:rsid w:val="00E47608"/>
    <w:rsid w:val="00E50967"/>
    <w:rsid w:val="00E52181"/>
    <w:rsid w:val="00E53550"/>
    <w:rsid w:val="00E549C2"/>
    <w:rsid w:val="00E5522A"/>
    <w:rsid w:val="00E55B22"/>
    <w:rsid w:val="00E60246"/>
    <w:rsid w:val="00E611FA"/>
    <w:rsid w:val="00E614F8"/>
    <w:rsid w:val="00E62109"/>
    <w:rsid w:val="00E62FC5"/>
    <w:rsid w:val="00E643C3"/>
    <w:rsid w:val="00E64915"/>
    <w:rsid w:val="00E65E15"/>
    <w:rsid w:val="00E661D4"/>
    <w:rsid w:val="00E66B62"/>
    <w:rsid w:val="00E70091"/>
    <w:rsid w:val="00E70BE0"/>
    <w:rsid w:val="00E716AA"/>
    <w:rsid w:val="00E720F5"/>
    <w:rsid w:val="00E7334D"/>
    <w:rsid w:val="00E76D47"/>
    <w:rsid w:val="00E814AF"/>
    <w:rsid w:val="00E825D9"/>
    <w:rsid w:val="00E826FB"/>
    <w:rsid w:val="00E83F0B"/>
    <w:rsid w:val="00E83F2D"/>
    <w:rsid w:val="00E846F7"/>
    <w:rsid w:val="00E849F7"/>
    <w:rsid w:val="00E84E97"/>
    <w:rsid w:val="00E85B87"/>
    <w:rsid w:val="00E87267"/>
    <w:rsid w:val="00E87517"/>
    <w:rsid w:val="00E90302"/>
    <w:rsid w:val="00E91E0A"/>
    <w:rsid w:val="00E92854"/>
    <w:rsid w:val="00E929AB"/>
    <w:rsid w:val="00E94292"/>
    <w:rsid w:val="00E9597F"/>
    <w:rsid w:val="00E96EEE"/>
    <w:rsid w:val="00E97396"/>
    <w:rsid w:val="00E979F6"/>
    <w:rsid w:val="00E97C04"/>
    <w:rsid w:val="00EA047F"/>
    <w:rsid w:val="00EA1221"/>
    <w:rsid w:val="00EA1618"/>
    <w:rsid w:val="00EA185E"/>
    <w:rsid w:val="00EA238A"/>
    <w:rsid w:val="00EA2A8F"/>
    <w:rsid w:val="00EA3610"/>
    <w:rsid w:val="00EA592A"/>
    <w:rsid w:val="00EA6625"/>
    <w:rsid w:val="00EB03BD"/>
    <w:rsid w:val="00EB0FA8"/>
    <w:rsid w:val="00EB14E4"/>
    <w:rsid w:val="00EB15E9"/>
    <w:rsid w:val="00EB2200"/>
    <w:rsid w:val="00EB32A5"/>
    <w:rsid w:val="00EB34ED"/>
    <w:rsid w:val="00EB4E16"/>
    <w:rsid w:val="00EB67C3"/>
    <w:rsid w:val="00EB7BE0"/>
    <w:rsid w:val="00EB7EAE"/>
    <w:rsid w:val="00EB7EBB"/>
    <w:rsid w:val="00EC10C2"/>
    <w:rsid w:val="00EC307F"/>
    <w:rsid w:val="00EC315E"/>
    <w:rsid w:val="00EC3922"/>
    <w:rsid w:val="00EC44BE"/>
    <w:rsid w:val="00EC61DB"/>
    <w:rsid w:val="00EC6C69"/>
    <w:rsid w:val="00ED01A4"/>
    <w:rsid w:val="00ED077C"/>
    <w:rsid w:val="00ED1190"/>
    <w:rsid w:val="00ED2DF9"/>
    <w:rsid w:val="00ED38EE"/>
    <w:rsid w:val="00ED6544"/>
    <w:rsid w:val="00EE0277"/>
    <w:rsid w:val="00EE0E4F"/>
    <w:rsid w:val="00EE1DA9"/>
    <w:rsid w:val="00EE3E00"/>
    <w:rsid w:val="00EE45DC"/>
    <w:rsid w:val="00EE533F"/>
    <w:rsid w:val="00EE5DD2"/>
    <w:rsid w:val="00EE619B"/>
    <w:rsid w:val="00EE6D9B"/>
    <w:rsid w:val="00EE6EED"/>
    <w:rsid w:val="00EF41F1"/>
    <w:rsid w:val="00EF4F08"/>
    <w:rsid w:val="00EF68C0"/>
    <w:rsid w:val="00EF733F"/>
    <w:rsid w:val="00EF75DA"/>
    <w:rsid w:val="00F00A79"/>
    <w:rsid w:val="00F00E86"/>
    <w:rsid w:val="00F03236"/>
    <w:rsid w:val="00F037A6"/>
    <w:rsid w:val="00F046B0"/>
    <w:rsid w:val="00F0766D"/>
    <w:rsid w:val="00F07C1E"/>
    <w:rsid w:val="00F105DB"/>
    <w:rsid w:val="00F132BC"/>
    <w:rsid w:val="00F13C23"/>
    <w:rsid w:val="00F13D80"/>
    <w:rsid w:val="00F164D7"/>
    <w:rsid w:val="00F1668B"/>
    <w:rsid w:val="00F16AAA"/>
    <w:rsid w:val="00F21161"/>
    <w:rsid w:val="00F218EF"/>
    <w:rsid w:val="00F21BC7"/>
    <w:rsid w:val="00F232EC"/>
    <w:rsid w:val="00F234D2"/>
    <w:rsid w:val="00F24437"/>
    <w:rsid w:val="00F266A2"/>
    <w:rsid w:val="00F27A5A"/>
    <w:rsid w:val="00F310F6"/>
    <w:rsid w:val="00F32269"/>
    <w:rsid w:val="00F3284C"/>
    <w:rsid w:val="00F34112"/>
    <w:rsid w:val="00F40D4B"/>
    <w:rsid w:val="00F41F47"/>
    <w:rsid w:val="00F46665"/>
    <w:rsid w:val="00F46D19"/>
    <w:rsid w:val="00F471A9"/>
    <w:rsid w:val="00F47346"/>
    <w:rsid w:val="00F477BE"/>
    <w:rsid w:val="00F50318"/>
    <w:rsid w:val="00F506FD"/>
    <w:rsid w:val="00F52C44"/>
    <w:rsid w:val="00F539C3"/>
    <w:rsid w:val="00F5477E"/>
    <w:rsid w:val="00F559B4"/>
    <w:rsid w:val="00F56A6F"/>
    <w:rsid w:val="00F5709C"/>
    <w:rsid w:val="00F62527"/>
    <w:rsid w:val="00F62F37"/>
    <w:rsid w:val="00F64EF1"/>
    <w:rsid w:val="00F6641B"/>
    <w:rsid w:val="00F6666F"/>
    <w:rsid w:val="00F668AA"/>
    <w:rsid w:val="00F70D88"/>
    <w:rsid w:val="00F72B9B"/>
    <w:rsid w:val="00F74173"/>
    <w:rsid w:val="00F75985"/>
    <w:rsid w:val="00F77A5F"/>
    <w:rsid w:val="00F802FC"/>
    <w:rsid w:val="00F8112D"/>
    <w:rsid w:val="00F81E2D"/>
    <w:rsid w:val="00F834AD"/>
    <w:rsid w:val="00F85BC4"/>
    <w:rsid w:val="00F861B0"/>
    <w:rsid w:val="00F875BA"/>
    <w:rsid w:val="00F8765F"/>
    <w:rsid w:val="00F90767"/>
    <w:rsid w:val="00F91219"/>
    <w:rsid w:val="00F93EFB"/>
    <w:rsid w:val="00F954C1"/>
    <w:rsid w:val="00F97154"/>
    <w:rsid w:val="00FA2B7C"/>
    <w:rsid w:val="00FA2BB3"/>
    <w:rsid w:val="00FA685B"/>
    <w:rsid w:val="00FA69F7"/>
    <w:rsid w:val="00FA7C73"/>
    <w:rsid w:val="00FB0C01"/>
    <w:rsid w:val="00FB219B"/>
    <w:rsid w:val="00FB3D25"/>
    <w:rsid w:val="00FB600C"/>
    <w:rsid w:val="00FB6D0F"/>
    <w:rsid w:val="00FC0D77"/>
    <w:rsid w:val="00FC12E5"/>
    <w:rsid w:val="00FC18F2"/>
    <w:rsid w:val="00FC3620"/>
    <w:rsid w:val="00FC39E5"/>
    <w:rsid w:val="00FC3A78"/>
    <w:rsid w:val="00FC575F"/>
    <w:rsid w:val="00FC5A19"/>
    <w:rsid w:val="00FC5FFE"/>
    <w:rsid w:val="00FD0636"/>
    <w:rsid w:val="00FD089F"/>
    <w:rsid w:val="00FD0A8F"/>
    <w:rsid w:val="00FD1005"/>
    <w:rsid w:val="00FD1A1B"/>
    <w:rsid w:val="00FD3106"/>
    <w:rsid w:val="00FD3180"/>
    <w:rsid w:val="00FD4811"/>
    <w:rsid w:val="00FD4A0A"/>
    <w:rsid w:val="00FD4DB8"/>
    <w:rsid w:val="00FD6C75"/>
    <w:rsid w:val="00FD6E59"/>
    <w:rsid w:val="00FD7D48"/>
    <w:rsid w:val="00FE1E7C"/>
    <w:rsid w:val="00FE2A08"/>
    <w:rsid w:val="00FE342C"/>
    <w:rsid w:val="00FE55E8"/>
    <w:rsid w:val="00FE59EC"/>
    <w:rsid w:val="00FE71B3"/>
    <w:rsid w:val="00FF162F"/>
    <w:rsid w:val="00FF26C3"/>
    <w:rsid w:val="00FF42C5"/>
    <w:rsid w:val="00FF566C"/>
    <w:rsid w:val="00FF6242"/>
    <w:rsid w:val="00FF6C7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semiHidden="0"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074CB"/>
    <w:pPr>
      <w:jc w:val="both"/>
    </w:pPr>
    <w:rPr>
      <w:rFonts w:eastAsiaTheme="minorEastAsia"/>
      <w:sz w:val="24"/>
    </w:rPr>
  </w:style>
  <w:style w:type="paragraph" w:styleId="Nagwek1">
    <w:name w:val="heading 1"/>
    <w:basedOn w:val="Normalny"/>
    <w:next w:val="Normalny"/>
    <w:link w:val="Nagwek1Znak"/>
    <w:uiPriority w:val="99"/>
    <w:semiHidden/>
    <w:rsid w:val="00A074C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074C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074CB"/>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074CB"/>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074CB"/>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074C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074CB"/>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074C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074C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074CB"/>
    <w:rPr>
      <w:rFonts w:ascii="Tahoma" w:hAnsi="Tahoma" w:cs="Tahoma"/>
      <w:sz w:val="16"/>
      <w:szCs w:val="16"/>
    </w:rPr>
  </w:style>
  <w:style w:type="character" w:customStyle="1" w:styleId="TekstdymkaZnak">
    <w:name w:val="Tekst dymka Znak"/>
    <w:basedOn w:val="Domylnaczcionkaakapitu"/>
    <w:link w:val="Tekstdymka"/>
    <w:uiPriority w:val="99"/>
    <w:semiHidden/>
    <w:rsid w:val="00A074CB"/>
    <w:rPr>
      <w:rFonts w:ascii="Tahoma" w:eastAsiaTheme="minorEastAsia" w:hAnsi="Tahoma" w:cs="Tahoma"/>
      <w:sz w:val="16"/>
      <w:szCs w:val="16"/>
    </w:rPr>
  </w:style>
  <w:style w:type="character" w:styleId="Tytuksiki">
    <w:name w:val="Book Title"/>
    <w:uiPriority w:val="99"/>
    <w:semiHidden/>
    <w:qFormat/>
    <w:rsid w:val="00A074CB"/>
    <w:rPr>
      <w:i/>
      <w:iCs/>
      <w:smallCaps/>
      <w:spacing w:val="5"/>
    </w:rPr>
  </w:style>
  <w:style w:type="paragraph" w:customStyle="1" w:styleId="ECHRHeader">
    <w:name w:val="ECHR_Header"/>
    <w:aliases w:val="Ju_Header"/>
    <w:basedOn w:val="Nagwek"/>
    <w:uiPriority w:val="4"/>
    <w:qFormat/>
    <w:rsid w:val="00A074CB"/>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074CB"/>
    <w:pPr>
      <w:jc w:val="left"/>
    </w:pPr>
    <w:rPr>
      <w:sz w:val="8"/>
    </w:rPr>
  </w:style>
  <w:style w:type="character" w:styleId="Pogrubienie">
    <w:name w:val="Strong"/>
    <w:uiPriority w:val="99"/>
    <w:semiHidden/>
    <w:qFormat/>
    <w:rsid w:val="00A074CB"/>
    <w:rPr>
      <w:b/>
      <w:bCs/>
    </w:rPr>
  </w:style>
  <w:style w:type="paragraph" w:styleId="Bezodstpw">
    <w:name w:val="No Spacing"/>
    <w:basedOn w:val="Normalny"/>
    <w:link w:val="BezodstpwZnak"/>
    <w:semiHidden/>
    <w:qFormat/>
    <w:rsid w:val="00A074CB"/>
    <w:rPr>
      <w:sz w:val="22"/>
    </w:rPr>
  </w:style>
  <w:style w:type="character" w:customStyle="1" w:styleId="BezodstpwZnak">
    <w:name w:val="Bez odstępów Znak"/>
    <w:basedOn w:val="Domylnaczcionkaakapitu"/>
    <w:link w:val="Bezodstpw"/>
    <w:semiHidden/>
    <w:rsid w:val="00A074CB"/>
    <w:rPr>
      <w:rFonts w:eastAsiaTheme="minorEastAsia"/>
    </w:rPr>
  </w:style>
  <w:style w:type="paragraph" w:customStyle="1" w:styleId="ECHRFooterLine">
    <w:name w:val="ECHR_Footer_Line"/>
    <w:aliases w:val="Footer_Line"/>
    <w:basedOn w:val="Normalny"/>
    <w:next w:val="ECHRFooter"/>
    <w:uiPriority w:val="57"/>
    <w:semiHidden/>
    <w:rsid w:val="00A074CB"/>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A074CB"/>
  </w:style>
  <w:style w:type="paragraph" w:customStyle="1" w:styleId="DecList">
    <w:name w:val="Dec_List"/>
    <w:basedOn w:val="Normalny"/>
    <w:uiPriority w:val="9"/>
    <w:semiHidden/>
    <w:qFormat/>
    <w:rsid w:val="00A074CB"/>
    <w:pPr>
      <w:spacing w:before="240"/>
      <w:ind w:left="284"/>
    </w:pPr>
  </w:style>
  <w:style w:type="paragraph" w:customStyle="1" w:styleId="DummyStyle">
    <w:name w:val="Dummy_Style"/>
    <w:basedOn w:val="Normalny"/>
    <w:semiHidden/>
    <w:qFormat/>
    <w:rsid w:val="00A074CB"/>
    <w:rPr>
      <w:color w:val="00B050"/>
    </w:rPr>
  </w:style>
  <w:style w:type="paragraph" w:customStyle="1" w:styleId="ECHRTitleCentre3">
    <w:name w:val="ECHR_Title_Centre_3"/>
    <w:aliases w:val="Ju_H_Article"/>
    <w:basedOn w:val="Normalny"/>
    <w:next w:val="ECHRParaQuote"/>
    <w:uiPriority w:val="27"/>
    <w:qFormat/>
    <w:rsid w:val="00A074C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074CB"/>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A074CB"/>
    <w:pPr>
      <w:numPr>
        <w:numId w:val="25"/>
      </w:numPr>
      <w:jc w:val="left"/>
    </w:pPr>
    <w:rPr>
      <w:b/>
    </w:rPr>
  </w:style>
  <w:style w:type="paragraph" w:customStyle="1" w:styleId="JuCourt">
    <w:name w:val="Ju_Court"/>
    <w:basedOn w:val="Normalny"/>
    <w:next w:val="Normalny"/>
    <w:uiPriority w:val="16"/>
    <w:qFormat/>
    <w:rsid w:val="00A074CB"/>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A074CB"/>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A074CB"/>
    <w:pPr>
      <w:spacing w:after="240"/>
      <w:jc w:val="center"/>
      <w:outlineLvl w:val="0"/>
    </w:pPr>
    <w:rPr>
      <w:rFonts w:asciiTheme="majorHAnsi" w:hAnsiTheme="majorHAnsi"/>
    </w:rPr>
  </w:style>
  <w:style w:type="paragraph" w:customStyle="1" w:styleId="JuInitialled">
    <w:name w:val="Ju_Initialled"/>
    <w:basedOn w:val="Normalny"/>
    <w:uiPriority w:val="31"/>
    <w:qFormat/>
    <w:rsid w:val="00A074CB"/>
    <w:pPr>
      <w:tabs>
        <w:tab w:val="center" w:pos="6407"/>
      </w:tabs>
      <w:spacing w:before="720"/>
      <w:jc w:val="right"/>
    </w:pPr>
  </w:style>
  <w:style w:type="paragraph" w:styleId="Tytu">
    <w:name w:val="Title"/>
    <w:basedOn w:val="Normalny"/>
    <w:next w:val="Normalny"/>
    <w:link w:val="TytuZnak"/>
    <w:uiPriority w:val="99"/>
    <w:semiHidden/>
    <w:qFormat/>
    <w:rsid w:val="00A074C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074CB"/>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A074CB"/>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074CB"/>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074CB"/>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074CB"/>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074CB"/>
    <w:pPr>
      <w:keepNext/>
      <w:keepLines/>
      <w:spacing w:before="240" w:after="120"/>
      <w:ind w:left="1236"/>
    </w:pPr>
    <w:rPr>
      <w:sz w:val="20"/>
    </w:rPr>
  </w:style>
  <w:style w:type="paragraph" w:customStyle="1" w:styleId="JuQuotSub">
    <w:name w:val="Ju_Quot_Sub"/>
    <w:basedOn w:val="ECHRParaQuote"/>
    <w:uiPriority w:val="15"/>
    <w:qFormat/>
    <w:rsid w:val="00A074CB"/>
    <w:pPr>
      <w:ind w:left="567"/>
    </w:pPr>
  </w:style>
  <w:style w:type="character" w:customStyle="1" w:styleId="JuITMark">
    <w:name w:val="Ju_ITMark"/>
    <w:basedOn w:val="Domylnaczcionkaakapitu"/>
    <w:uiPriority w:val="38"/>
    <w:qFormat/>
    <w:rsid w:val="00A074CB"/>
    <w:rPr>
      <w:vanish w:val="0"/>
      <w:color w:val="auto"/>
      <w:sz w:val="14"/>
      <w:bdr w:val="none" w:sz="0" w:space="0" w:color="auto"/>
      <w:shd w:val="clear" w:color="auto" w:fill="BEE5FF" w:themeFill="background1" w:themeFillTint="33"/>
    </w:rPr>
  </w:style>
  <w:style w:type="paragraph" w:customStyle="1" w:styleId="JuLista">
    <w:name w:val="Ju_List_a"/>
    <w:basedOn w:val="JuList"/>
    <w:uiPriority w:val="28"/>
    <w:qFormat/>
    <w:rsid w:val="00A074CB"/>
    <w:pPr>
      <w:ind w:left="346" w:firstLine="0"/>
    </w:pPr>
  </w:style>
  <w:style w:type="paragraph" w:styleId="Nagwek">
    <w:name w:val="header"/>
    <w:basedOn w:val="Normalny"/>
    <w:link w:val="NagwekZnak"/>
    <w:uiPriority w:val="57"/>
    <w:semiHidden/>
    <w:rsid w:val="00A074CB"/>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074CB"/>
    <w:rPr>
      <w:sz w:val="24"/>
    </w:rPr>
  </w:style>
  <w:style w:type="character" w:customStyle="1" w:styleId="Nagwek1Znak">
    <w:name w:val="Nagłówek 1 Znak"/>
    <w:basedOn w:val="Domylnaczcionkaakapitu"/>
    <w:link w:val="Nagwek1"/>
    <w:uiPriority w:val="99"/>
    <w:semiHidden/>
    <w:rsid w:val="00A074CB"/>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A074C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A074CB"/>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074CB"/>
    <w:rPr>
      <w:rFonts w:asciiTheme="majorHAnsi" w:eastAsiaTheme="majorEastAsia" w:hAnsiTheme="majorHAnsi" w:cstheme="majorBidi"/>
      <w:b/>
      <w:bCs/>
      <w:color w:val="4D4D4D"/>
      <w:sz w:val="26"/>
      <w:szCs w:val="26"/>
    </w:rPr>
  </w:style>
  <w:style w:type="paragraph" w:customStyle="1" w:styleId="JuListi">
    <w:name w:val="Ju_List_i"/>
    <w:basedOn w:val="Normalny"/>
    <w:next w:val="JuLista"/>
    <w:uiPriority w:val="28"/>
    <w:qFormat/>
    <w:rsid w:val="00A074CB"/>
    <w:pPr>
      <w:ind w:left="794"/>
    </w:pPr>
  </w:style>
  <w:style w:type="paragraph" w:customStyle="1" w:styleId="JuCase">
    <w:name w:val="Ju_Case"/>
    <w:basedOn w:val="Normalny"/>
    <w:next w:val="ECHRPara"/>
    <w:uiPriority w:val="10"/>
    <w:rsid w:val="00A074CB"/>
    <w:pPr>
      <w:ind w:firstLine="284"/>
    </w:pPr>
    <w:rPr>
      <w:b/>
    </w:rPr>
  </w:style>
  <w:style w:type="character" w:customStyle="1" w:styleId="Nagwek3Znak">
    <w:name w:val="Nagłówek 3 Znak"/>
    <w:basedOn w:val="Domylnaczcionkaakapitu"/>
    <w:link w:val="Nagwek3"/>
    <w:uiPriority w:val="99"/>
    <w:semiHidden/>
    <w:rsid w:val="00A074CB"/>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074CB"/>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074CB"/>
    <w:rPr>
      <w:rFonts w:asciiTheme="majorHAnsi" w:eastAsiaTheme="majorEastAsia" w:hAnsiTheme="majorHAnsi" w:cstheme="majorBidi"/>
      <w:b/>
      <w:bCs/>
      <w:color w:val="808080"/>
    </w:rPr>
  </w:style>
  <w:style w:type="character" w:styleId="Wyrnieniedelikatne">
    <w:name w:val="Subtle Emphasis"/>
    <w:uiPriority w:val="99"/>
    <w:semiHidden/>
    <w:qFormat/>
    <w:rsid w:val="00A074CB"/>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074CB"/>
    <w:pPr>
      <w:keepNext/>
      <w:keepLines/>
      <w:spacing w:before="720" w:after="240"/>
      <w:outlineLvl w:val="0"/>
    </w:pPr>
    <w:rPr>
      <w:rFonts w:asciiTheme="majorHAnsi" w:hAnsiTheme="majorHAnsi"/>
      <w:sz w:val="28"/>
    </w:rPr>
  </w:style>
  <w:style w:type="character" w:styleId="Uwydatnienie">
    <w:name w:val="Emphasis"/>
    <w:uiPriority w:val="99"/>
    <w:semiHidden/>
    <w:qFormat/>
    <w:rsid w:val="00A074CB"/>
    <w:rPr>
      <w:b/>
      <w:bCs/>
      <w:i/>
      <w:iCs/>
      <w:spacing w:val="10"/>
      <w:bdr w:val="none" w:sz="0" w:space="0" w:color="auto"/>
      <w:shd w:val="clear" w:color="auto" w:fill="auto"/>
    </w:rPr>
  </w:style>
  <w:style w:type="paragraph" w:styleId="Stopka">
    <w:name w:val="footer"/>
    <w:basedOn w:val="Normalny"/>
    <w:link w:val="StopkaZnak"/>
    <w:uiPriority w:val="57"/>
    <w:semiHidden/>
    <w:rsid w:val="00A074CB"/>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074CB"/>
    <w:rPr>
      <w:sz w:val="24"/>
    </w:rPr>
  </w:style>
  <w:style w:type="character" w:styleId="Odwoanieprzypisudolnego">
    <w:name w:val="footnote reference"/>
    <w:basedOn w:val="Domylnaczcionkaakapitu"/>
    <w:uiPriority w:val="99"/>
    <w:semiHidden/>
    <w:rsid w:val="00A074CB"/>
    <w:rPr>
      <w:vertAlign w:val="superscript"/>
    </w:rPr>
  </w:style>
  <w:style w:type="paragraph" w:styleId="Tekstprzypisudolnego">
    <w:name w:val="footnote text"/>
    <w:basedOn w:val="Normalny"/>
    <w:link w:val="TekstprzypisudolnegoZnak"/>
    <w:uiPriority w:val="99"/>
    <w:semiHidden/>
    <w:rsid w:val="00A074CB"/>
    <w:rPr>
      <w:sz w:val="20"/>
      <w:szCs w:val="20"/>
    </w:rPr>
  </w:style>
  <w:style w:type="character" w:customStyle="1" w:styleId="TekstprzypisudolnegoZnak">
    <w:name w:val="Tekst przypisu dolnego Znak"/>
    <w:basedOn w:val="Domylnaczcionkaakapitu"/>
    <w:link w:val="Tekstprzypisudolnego"/>
    <w:uiPriority w:val="99"/>
    <w:semiHidden/>
    <w:rsid w:val="00A074CB"/>
    <w:rPr>
      <w:rFonts w:eastAsiaTheme="minorEastAsia"/>
      <w:sz w:val="20"/>
      <w:szCs w:val="20"/>
    </w:rPr>
  </w:style>
  <w:style w:type="character" w:customStyle="1" w:styleId="Nagwek6Znak">
    <w:name w:val="Nagłówek 6 Znak"/>
    <w:basedOn w:val="Domylnaczcionkaakapitu"/>
    <w:link w:val="Nagwek6"/>
    <w:uiPriority w:val="99"/>
    <w:semiHidden/>
    <w:rsid w:val="00A074CB"/>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074CB"/>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074CB"/>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074CB"/>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A074CB"/>
    <w:rPr>
      <w:color w:val="0072BC" w:themeColor="hyperlink"/>
      <w:u w:val="single"/>
    </w:rPr>
  </w:style>
  <w:style w:type="character" w:styleId="Wyrnienieintensywne">
    <w:name w:val="Intense Emphasis"/>
    <w:uiPriority w:val="99"/>
    <w:semiHidden/>
    <w:qFormat/>
    <w:rsid w:val="00A074CB"/>
    <w:rPr>
      <w:b/>
      <w:bCs/>
    </w:rPr>
  </w:style>
  <w:style w:type="paragraph" w:styleId="Cytatintensywny">
    <w:name w:val="Intense Quote"/>
    <w:basedOn w:val="Normalny"/>
    <w:next w:val="Normalny"/>
    <w:link w:val="CytatintensywnyZnak"/>
    <w:uiPriority w:val="99"/>
    <w:semiHidden/>
    <w:qFormat/>
    <w:rsid w:val="00A074CB"/>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A074CB"/>
    <w:rPr>
      <w:rFonts w:eastAsiaTheme="minorEastAsia"/>
      <w:b/>
      <w:bCs/>
      <w:i/>
      <w:iCs/>
      <w:lang w:bidi="en-US"/>
    </w:rPr>
  </w:style>
  <w:style w:type="character" w:styleId="Odwoanieintensywne">
    <w:name w:val="Intense Reference"/>
    <w:uiPriority w:val="99"/>
    <w:semiHidden/>
    <w:qFormat/>
    <w:rsid w:val="00A074CB"/>
    <w:rPr>
      <w:smallCaps/>
      <w:spacing w:val="5"/>
      <w:u w:val="single"/>
    </w:rPr>
  </w:style>
  <w:style w:type="paragraph" w:styleId="Akapitzlist">
    <w:name w:val="List Paragraph"/>
    <w:basedOn w:val="Normalny"/>
    <w:uiPriority w:val="99"/>
    <w:semiHidden/>
    <w:qFormat/>
    <w:rsid w:val="00A074CB"/>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074CB"/>
    <w:pPr>
      <w:spacing w:before="200"/>
      <w:ind w:left="360" w:right="360"/>
    </w:pPr>
    <w:rPr>
      <w:i/>
      <w:iCs/>
      <w:sz w:val="22"/>
      <w:lang w:bidi="en-US"/>
    </w:rPr>
  </w:style>
  <w:style w:type="character" w:customStyle="1" w:styleId="CytatZnak">
    <w:name w:val="Cytat Znak"/>
    <w:basedOn w:val="Domylnaczcionkaakapitu"/>
    <w:link w:val="Cytat"/>
    <w:uiPriority w:val="99"/>
    <w:semiHidden/>
    <w:rsid w:val="00A074CB"/>
    <w:rPr>
      <w:rFonts w:eastAsiaTheme="minorEastAsia"/>
      <w:i/>
      <w:iCs/>
      <w:lang w:bidi="en-US"/>
    </w:rPr>
  </w:style>
  <w:style w:type="character" w:styleId="Odwoaniedelikatne">
    <w:name w:val="Subtle Reference"/>
    <w:uiPriority w:val="99"/>
    <w:semiHidden/>
    <w:qFormat/>
    <w:rsid w:val="00A074CB"/>
    <w:rPr>
      <w:smallCaps/>
    </w:rPr>
  </w:style>
  <w:style w:type="table" w:styleId="Tabela-Siatka">
    <w:name w:val="Table Grid"/>
    <w:basedOn w:val="Standardowy"/>
    <w:uiPriority w:val="59"/>
    <w:semiHidden/>
    <w:rsid w:val="00A074C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074CB"/>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39"/>
    <w:rsid w:val="00A074CB"/>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39"/>
    <w:rsid w:val="00A074CB"/>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39"/>
    <w:rsid w:val="00A074CB"/>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A074CB"/>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A074CB"/>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074CB"/>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A074CB"/>
    <w:pPr>
      <w:spacing w:before="120" w:after="120"/>
      <w:ind w:left="425" w:firstLine="142"/>
    </w:pPr>
    <w:rPr>
      <w:sz w:val="20"/>
    </w:rPr>
  </w:style>
  <w:style w:type="paragraph" w:customStyle="1" w:styleId="ECHRPara">
    <w:name w:val="ECHR_Para"/>
    <w:aliases w:val="Ju_Para"/>
    <w:basedOn w:val="Normalny"/>
    <w:link w:val="ECHRParaChar"/>
    <w:uiPriority w:val="12"/>
    <w:qFormat/>
    <w:rsid w:val="00A074CB"/>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074C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074CB"/>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074CB"/>
    <w:pPr>
      <w:ind w:left="340" w:hanging="340"/>
    </w:pPr>
  </w:style>
  <w:style w:type="paragraph" w:customStyle="1" w:styleId="JuSigned">
    <w:name w:val="Ju_Signed"/>
    <w:basedOn w:val="Normalny"/>
    <w:next w:val="JuParaLast"/>
    <w:uiPriority w:val="32"/>
    <w:qFormat/>
    <w:rsid w:val="00A074CB"/>
    <w:pPr>
      <w:tabs>
        <w:tab w:val="center" w:pos="851"/>
        <w:tab w:val="center" w:pos="6407"/>
      </w:tabs>
      <w:spacing w:before="720"/>
      <w:jc w:val="left"/>
    </w:pPr>
  </w:style>
  <w:style w:type="paragraph" w:customStyle="1" w:styleId="JuParaLast">
    <w:name w:val="Ju_Para_Last"/>
    <w:basedOn w:val="Normalny"/>
    <w:next w:val="ECHRPara"/>
    <w:uiPriority w:val="30"/>
    <w:qFormat/>
    <w:rsid w:val="00A074CB"/>
    <w:pPr>
      <w:keepNext/>
      <w:keepLines/>
      <w:spacing w:before="240"/>
      <w:ind w:firstLine="284"/>
    </w:pPr>
  </w:style>
  <w:style w:type="character" w:customStyle="1" w:styleId="JUNAMES">
    <w:name w:val="JU_NAMES"/>
    <w:uiPriority w:val="17"/>
    <w:qFormat/>
    <w:rsid w:val="00A074CB"/>
    <w:rPr>
      <w:caps w:val="0"/>
      <w:smallCaps/>
    </w:rPr>
  </w:style>
  <w:style w:type="character" w:styleId="Numerstrony">
    <w:name w:val="page number"/>
    <w:uiPriority w:val="99"/>
    <w:semiHidden/>
    <w:rsid w:val="00014566"/>
    <w:rPr>
      <w:sz w:val="18"/>
    </w:rPr>
  </w:style>
  <w:style w:type="paragraph" w:customStyle="1" w:styleId="JuParaSub">
    <w:name w:val="Ju_Para_Sub"/>
    <w:basedOn w:val="ECHRPara"/>
    <w:uiPriority w:val="13"/>
    <w:qFormat/>
    <w:rsid w:val="00A074CB"/>
    <w:pPr>
      <w:ind w:left="284"/>
    </w:pPr>
  </w:style>
  <w:style w:type="paragraph" w:customStyle="1" w:styleId="JuTitle">
    <w:name w:val="Ju_Title"/>
    <w:basedOn w:val="Normalny"/>
    <w:next w:val="ECHRPara"/>
    <w:uiPriority w:val="3"/>
    <w:semiHidden/>
    <w:qFormat/>
    <w:rsid w:val="00A074CB"/>
    <w:pPr>
      <w:spacing w:before="720" w:after="240"/>
      <w:jc w:val="center"/>
      <w:outlineLvl w:val="0"/>
    </w:pPr>
    <w:rPr>
      <w:rFonts w:asciiTheme="majorHAnsi" w:hAnsiTheme="majorHAnsi"/>
      <w:b/>
      <w:caps/>
    </w:r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A074CB"/>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A074CB"/>
    <w:pPr>
      <w:ind w:left="833" w:hanging="357"/>
      <w:outlineLvl w:val="3"/>
    </w:pPr>
    <w:rPr>
      <w:b/>
      <w:i w:val="0"/>
      <w:sz w:val="20"/>
    </w:rPr>
  </w:style>
  <w:style w:type="paragraph" w:styleId="Podtytu">
    <w:name w:val="Subtitle"/>
    <w:basedOn w:val="Normalny"/>
    <w:next w:val="Normalny"/>
    <w:link w:val="PodtytuZnak"/>
    <w:uiPriority w:val="99"/>
    <w:semiHidden/>
    <w:qFormat/>
    <w:rsid w:val="00A074CB"/>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074CB"/>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pl-PL" w:eastAsia="fr-FR"/>
    </w:rPr>
  </w:style>
  <w:style w:type="table" w:styleId="redniasiatka1">
    <w:name w:val="Medium Grid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A074CB"/>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A074CB"/>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A074CB"/>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A074CB"/>
    <w:pPr>
      <w:tabs>
        <w:tab w:val="clear" w:pos="357"/>
      </w:tabs>
      <w:outlineLvl w:val="1"/>
    </w:pPr>
    <w:rPr>
      <w:b/>
    </w:rPr>
  </w:style>
  <w:style w:type="paragraph" w:customStyle="1" w:styleId="OpiHi">
    <w:name w:val="Opi_H_i"/>
    <w:basedOn w:val="ECHRHeading4"/>
    <w:uiPriority w:val="44"/>
    <w:qFormat/>
    <w:rsid w:val="00A074CB"/>
    <w:pPr>
      <w:ind w:left="1037" w:hanging="357"/>
      <w:outlineLvl w:val="4"/>
    </w:pPr>
    <w:rPr>
      <w:b w:val="0"/>
      <w:i/>
    </w:rPr>
  </w:style>
  <w:style w:type="paragraph" w:customStyle="1" w:styleId="OpiPara">
    <w:name w:val="Opi_Para"/>
    <w:basedOn w:val="ECHRPara"/>
    <w:uiPriority w:val="46"/>
    <w:qFormat/>
    <w:rsid w:val="00A074CB"/>
  </w:style>
  <w:style w:type="paragraph" w:customStyle="1" w:styleId="OpiParaSub">
    <w:name w:val="Opi_Para_Sub"/>
    <w:basedOn w:val="JuParaSub"/>
    <w:uiPriority w:val="47"/>
    <w:qFormat/>
    <w:rsid w:val="00A074CB"/>
  </w:style>
  <w:style w:type="paragraph" w:customStyle="1" w:styleId="OpiQuot">
    <w:name w:val="Opi_Quot"/>
    <w:basedOn w:val="ECHRParaQuote"/>
    <w:uiPriority w:val="48"/>
    <w:qFormat/>
    <w:rsid w:val="00A074CB"/>
  </w:style>
  <w:style w:type="paragraph" w:customStyle="1" w:styleId="OpiQuotSub">
    <w:name w:val="Opi_Quot_Sub"/>
    <w:basedOn w:val="JuQuotSub"/>
    <w:uiPriority w:val="49"/>
    <w:qFormat/>
    <w:rsid w:val="00A074CB"/>
  </w:style>
  <w:style w:type="paragraph" w:customStyle="1" w:styleId="OpiTranslation">
    <w:name w:val="Opi_Translation"/>
    <w:basedOn w:val="Normalny"/>
    <w:next w:val="OpiPara"/>
    <w:uiPriority w:val="40"/>
    <w:qFormat/>
    <w:rsid w:val="00A074CB"/>
    <w:pPr>
      <w:jc w:val="center"/>
      <w:outlineLvl w:val="0"/>
    </w:pPr>
    <w:rPr>
      <w:i/>
    </w:rPr>
  </w:style>
  <w:style w:type="character" w:customStyle="1" w:styleId="ECHRParaChar">
    <w:name w:val="ECHR_Para Char"/>
    <w:aliases w:val="Ju_Para Char"/>
    <w:link w:val="ECHRPara"/>
    <w:uiPriority w:val="12"/>
    <w:rsid w:val="00986B25"/>
    <w:rPr>
      <w:rFonts w:eastAsiaTheme="minorEastAsia"/>
      <w:sz w:val="24"/>
    </w:rPr>
  </w:style>
  <w:style w:type="character" w:customStyle="1" w:styleId="JuQuotChar">
    <w:name w:val="Ju_Quot Char"/>
    <w:basedOn w:val="Domylnaczcionkaakapitu"/>
    <w:link w:val="ECHRParaQuote"/>
    <w:uiPriority w:val="14"/>
    <w:rsid w:val="00487287"/>
    <w:rPr>
      <w:rFonts w:eastAsiaTheme="minorEastAsia"/>
      <w:sz w:val="20"/>
    </w:rPr>
  </w:style>
  <w:style w:type="paragraph" w:styleId="Poprawka">
    <w:name w:val="Revision"/>
    <w:hidden/>
    <w:uiPriority w:val="99"/>
    <w:semiHidden/>
    <w:rsid w:val="00EC307F"/>
    <w:rPr>
      <w:rFonts w:eastAsiaTheme="minorEastAsia"/>
      <w:sz w:val="24"/>
    </w:rPr>
  </w:style>
  <w:style w:type="numbering" w:customStyle="1" w:styleId="ECHRA1StyleNumberedList">
    <w:name w:val="ECHR_A1_Style_Numbered_List"/>
    <w:basedOn w:val="Bezlisty"/>
    <w:rsid w:val="0069503A"/>
    <w:pPr>
      <w:numPr>
        <w:numId w:val="22"/>
      </w:numPr>
    </w:pPr>
  </w:style>
  <w:style w:type="paragraph" w:customStyle="1" w:styleId="ECHRNumberedList1">
    <w:name w:val="ECHR_Numbered_List_1"/>
    <w:aliases w:val="Num_1"/>
    <w:basedOn w:val="Normalny"/>
    <w:uiPriority w:val="9"/>
    <w:rsid w:val="0069503A"/>
    <w:pPr>
      <w:numPr>
        <w:numId w:val="21"/>
      </w:numPr>
      <w:spacing w:before="60" w:after="60"/>
      <w:jc w:val="left"/>
    </w:pPr>
    <w:rPr>
      <w:sz w:val="22"/>
    </w:rPr>
  </w:style>
  <w:style w:type="paragraph" w:customStyle="1" w:styleId="ECHRNumberedList2">
    <w:name w:val="ECHR_Numbered_List_2"/>
    <w:aliases w:val="Num_2"/>
    <w:basedOn w:val="ECHRNumberedList1"/>
    <w:uiPriority w:val="9"/>
    <w:rsid w:val="0069503A"/>
    <w:pPr>
      <w:numPr>
        <w:ilvl w:val="1"/>
      </w:numPr>
    </w:pPr>
  </w:style>
  <w:style w:type="paragraph" w:customStyle="1" w:styleId="ECHRNumberedList3">
    <w:name w:val="ECHR_Numbered_List_3"/>
    <w:aliases w:val="Num_3"/>
    <w:basedOn w:val="ECHRNumberedList2"/>
    <w:uiPriority w:val="9"/>
    <w:rsid w:val="0069503A"/>
    <w:pPr>
      <w:numPr>
        <w:ilvl w:val="2"/>
      </w:numPr>
    </w:pPr>
  </w:style>
  <w:style w:type="paragraph" w:customStyle="1" w:styleId="jupara">
    <w:name w:val="jupara"/>
    <w:basedOn w:val="Normalny"/>
    <w:rsid w:val="009904BD"/>
    <w:pPr>
      <w:ind w:firstLine="284"/>
    </w:pPr>
    <w:rPr>
      <w:rFonts w:ascii="Times New Roman" w:eastAsia="Times New Roman" w:hAnsi="Times New Roman" w:cs="Times New Roman"/>
      <w:szCs w:val="24"/>
      <w:lang w:eastAsia="en-GB"/>
    </w:rPr>
  </w:style>
  <w:style w:type="paragraph" w:customStyle="1" w:styleId="jucase0">
    <w:name w:val="jucase"/>
    <w:basedOn w:val="Normalny"/>
    <w:rsid w:val="009904BD"/>
    <w:pPr>
      <w:ind w:firstLine="284"/>
    </w:pPr>
    <w:rPr>
      <w:rFonts w:ascii="Times New Roman" w:eastAsia="Times New Roman" w:hAnsi="Times New Roman" w:cs="Times New Roman"/>
      <w:b/>
      <w:bCs/>
      <w:szCs w:val="24"/>
      <w:lang w:eastAsia="en-GB"/>
    </w:rPr>
  </w:style>
  <w:style w:type="paragraph" w:customStyle="1" w:styleId="s746c8714">
    <w:name w:val="s746c8714"/>
    <w:basedOn w:val="Normalny"/>
    <w:uiPriority w:val="99"/>
    <w:rsid w:val="0061289C"/>
    <w:pPr>
      <w:spacing w:before="100" w:beforeAutospacing="1" w:after="100" w:afterAutospacing="1"/>
      <w:jc w:val="left"/>
    </w:pPr>
    <w:rPr>
      <w:rFonts w:ascii="Times New Roman" w:eastAsia="Times New Roman" w:hAnsi="Times New Roman" w:cs="Times New Roman"/>
      <w:szCs w:val="24"/>
      <w:lang w:eastAsia="pl-PL"/>
    </w:rPr>
  </w:style>
  <w:style w:type="paragraph" w:customStyle="1" w:styleId="s6e50bd9a">
    <w:name w:val="s6e50bd9a"/>
    <w:basedOn w:val="Normalny"/>
    <w:uiPriority w:val="99"/>
    <w:rsid w:val="0061289C"/>
    <w:pPr>
      <w:spacing w:before="100" w:beforeAutospacing="1" w:after="100" w:afterAutospacing="1"/>
      <w:jc w:val="left"/>
    </w:pPr>
    <w:rPr>
      <w:rFonts w:ascii="Times New Roman" w:eastAsia="Times New Roman" w:hAnsi="Times New Roman" w:cs="Times New Roman"/>
      <w:szCs w:val="24"/>
      <w:lang w:eastAsia="pl-PL"/>
    </w:rPr>
  </w:style>
  <w:style w:type="character" w:customStyle="1" w:styleId="s4f807e54">
    <w:name w:val="s4f807e54"/>
    <w:basedOn w:val="Domylnaczcionkaakapitu"/>
    <w:uiPriority w:val="99"/>
    <w:rsid w:val="0061289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semiHidden="0"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074CB"/>
    <w:pPr>
      <w:jc w:val="both"/>
    </w:pPr>
    <w:rPr>
      <w:rFonts w:eastAsiaTheme="minorEastAsia"/>
      <w:sz w:val="24"/>
    </w:rPr>
  </w:style>
  <w:style w:type="paragraph" w:styleId="Nagwek1">
    <w:name w:val="heading 1"/>
    <w:basedOn w:val="Normalny"/>
    <w:next w:val="Normalny"/>
    <w:link w:val="Nagwek1Znak"/>
    <w:uiPriority w:val="99"/>
    <w:semiHidden/>
    <w:rsid w:val="00A074C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074C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074CB"/>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074CB"/>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074CB"/>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074C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074CB"/>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074C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074C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074CB"/>
    <w:rPr>
      <w:rFonts w:ascii="Tahoma" w:hAnsi="Tahoma" w:cs="Tahoma"/>
      <w:sz w:val="16"/>
      <w:szCs w:val="16"/>
    </w:rPr>
  </w:style>
  <w:style w:type="character" w:customStyle="1" w:styleId="TekstdymkaZnak">
    <w:name w:val="Tekst dymka Znak"/>
    <w:basedOn w:val="Domylnaczcionkaakapitu"/>
    <w:link w:val="Tekstdymka"/>
    <w:uiPriority w:val="99"/>
    <w:semiHidden/>
    <w:rsid w:val="00A074CB"/>
    <w:rPr>
      <w:rFonts w:ascii="Tahoma" w:eastAsiaTheme="minorEastAsia" w:hAnsi="Tahoma" w:cs="Tahoma"/>
      <w:sz w:val="16"/>
      <w:szCs w:val="16"/>
    </w:rPr>
  </w:style>
  <w:style w:type="character" w:styleId="Tytuksiki">
    <w:name w:val="Book Title"/>
    <w:uiPriority w:val="99"/>
    <w:semiHidden/>
    <w:qFormat/>
    <w:rsid w:val="00A074CB"/>
    <w:rPr>
      <w:i/>
      <w:iCs/>
      <w:smallCaps/>
      <w:spacing w:val="5"/>
    </w:rPr>
  </w:style>
  <w:style w:type="paragraph" w:customStyle="1" w:styleId="ECHRHeader">
    <w:name w:val="ECHR_Header"/>
    <w:aliases w:val="Ju_Header"/>
    <w:basedOn w:val="Nagwek"/>
    <w:uiPriority w:val="4"/>
    <w:qFormat/>
    <w:rsid w:val="00A074CB"/>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074CB"/>
    <w:pPr>
      <w:jc w:val="left"/>
    </w:pPr>
    <w:rPr>
      <w:sz w:val="8"/>
    </w:rPr>
  </w:style>
  <w:style w:type="character" w:styleId="Pogrubienie">
    <w:name w:val="Strong"/>
    <w:uiPriority w:val="99"/>
    <w:semiHidden/>
    <w:qFormat/>
    <w:rsid w:val="00A074CB"/>
    <w:rPr>
      <w:b/>
      <w:bCs/>
    </w:rPr>
  </w:style>
  <w:style w:type="paragraph" w:styleId="Bezodstpw">
    <w:name w:val="No Spacing"/>
    <w:basedOn w:val="Normalny"/>
    <w:link w:val="BezodstpwZnak"/>
    <w:semiHidden/>
    <w:qFormat/>
    <w:rsid w:val="00A074CB"/>
    <w:rPr>
      <w:sz w:val="22"/>
    </w:rPr>
  </w:style>
  <w:style w:type="character" w:customStyle="1" w:styleId="BezodstpwZnak">
    <w:name w:val="Bez odstępów Znak"/>
    <w:basedOn w:val="Domylnaczcionkaakapitu"/>
    <w:link w:val="Bezodstpw"/>
    <w:semiHidden/>
    <w:rsid w:val="00A074CB"/>
    <w:rPr>
      <w:rFonts w:eastAsiaTheme="minorEastAsia"/>
    </w:rPr>
  </w:style>
  <w:style w:type="paragraph" w:customStyle="1" w:styleId="ECHRFooterLine">
    <w:name w:val="ECHR_Footer_Line"/>
    <w:aliases w:val="Footer_Line"/>
    <w:basedOn w:val="Normalny"/>
    <w:next w:val="ECHRFooter"/>
    <w:uiPriority w:val="57"/>
    <w:semiHidden/>
    <w:rsid w:val="00A074CB"/>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A074CB"/>
  </w:style>
  <w:style w:type="paragraph" w:customStyle="1" w:styleId="DecList">
    <w:name w:val="Dec_List"/>
    <w:basedOn w:val="Normalny"/>
    <w:uiPriority w:val="9"/>
    <w:semiHidden/>
    <w:qFormat/>
    <w:rsid w:val="00A074CB"/>
    <w:pPr>
      <w:spacing w:before="240"/>
      <w:ind w:left="284"/>
    </w:pPr>
  </w:style>
  <w:style w:type="paragraph" w:customStyle="1" w:styleId="DummyStyle">
    <w:name w:val="Dummy_Style"/>
    <w:basedOn w:val="Normalny"/>
    <w:semiHidden/>
    <w:qFormat/>
    <w:rsid w:val="00A074CB"/>
    <w:rPr>
      <w:color w:val="00B050"/>
    </w:rPr>
  </w:style>
  <w:style w:type="paragraph" w:customStyle="1" w:styleId="ECHRTitleCentre3">
    <w:name w:val="ECHR_Title_Centre_3"/>
    <w:aliases w:val="Ju_H_Article"/>
    <w:basedOn w:val="Normalny"/>
    <w:next w:val="ECHRParaQuote"/>
    <w:uiPriority w:val="27"/>
    <w:qFormat/>
    <w:rsid w:val="00A074C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074CB"/>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A074CB"/>
    <w:pPr>
      <w:numPr>
        <w:numId w:val="25"/>
      </w:numPr>
      <w:jc w:val="left"/>
    </w:pPr>
    <w:rPr>
      <w:b/>
    </w:rPr>
  </w:style>
  <w:style w:type="paragraph" w:customStyle="1" w:styleId="JuCourt">
    <w:name w:val="Ju_Court"/>
    <w:basedOn w:val="Normalny"/>
    <w:next w:val="Normalny"/>
    <w:uiPriority w:val="16"/>
    <w:qFormat/>
    <w:rsid w:val="00A074CB"/>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A074CB"/>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A074CB"/>
    <w:pPr>
      <w:spacing w:after="240"/>
      <w:jc w:val="center"/>
      <w:outlineLvl w:val="0"/>
    </w:pPr>
    <w:rPr>
      <w:rFonts w:asciiTheme="majorHAnsi" w:hAnsiTheme="majorHAnsi"/>
    </w:rPr>
  </w:style>
  <w:style w:type="paragraph" w:customStyle="1" w:styleId="JuInitialled">
    <w:name w:val="Ju_Initialled"/>
    <w:basedOn w:val="Normalny"/>
    <w:uiPriority w:val="31"/>
    <w:qFormat/>
    <w:rsid w:val="00A074CB"/>
    <w:pPr>
      <w:tabs>
        <w:tab w:val="center" w:pos="6407"/>
      </w:tabs>
      <w:spacing w:before="720"/>
      <w:jc w:val="right"/>
    </w:pPr>
  </w:style>
  <w:style w:type="paragraph" w:styleId="Tytu">
    <w:name w:val="Title"/>
    <w:basedOn w:val="Normalny"/>
    <w:next w:val="Normalny"/>
    <w:link w:val="TytuZnak"/>
    <w:uiPriority w:val="99"/>
    <w:semiHidden/>
    <w:qFormat/>
    <w:rsid w:val="00A074C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074CB"/>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A074CB"/>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074CB"/>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074CB"/>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074CB"/>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074CB"/>
    <w:pPr>
      <w:keepNext/>
      <w:keepLines/>
      <w:spacing w:before="240" w:after="120"/>
      <w:ind w:left="1236"/>
    </w:pPr>
    <w:rPr>
      <w:sz w:val="20"/>
    </w:rPr>
  </w:style>
  <w:style w:type="paragraph" w:customStyle="1" w:styleId="JuQuotSub">
    <w:name w:val="Ju_Quot_Sub"/>
    <w:basedOn w:val="ECHRParaQuote"/>
    <w:uiPriority w:val="15"/>
    <w:qFormat/>
    <w:rsid w:val="00A074CB"/>
    <w:pPr>
      <w:ind w:left="567"/>
    </w:pPr>
  </w:style>
  <w:style w:type="character" w:customStyle="1" w:styleId="JuITMark">
    <w:name w:val="Ju_ITMark"/>
    <w:basedOn w:val="Domylnaczcionkaakapitu"/>
    <w:uiPriority w:val="38"/>
    <w:qFormat/>
    <w:rsid w:val="00A074CB"/>
    <w:rPr>
      <w:vanish w:val="0"/>
      <w:color w:val="auto"/>
      <w:sz w:val="14"/>
      <w:bdr w:val="none" w:sz="0" w:space="0" w:color="auto"/>
      <w:shd w:val="clear" w:color="auto" w:fill="BEE5FF" w:themeFill="background1" w:themeFillTint="33"/>
    </w:rPr>
  </w:style>
  <w:style w:type="paragraph" w:customStyle="1" w:styleId="JuLista">
    <w:name w:val="Ju_List_a"/>
    <w:basedOn w:val="JuList"/>
    <w:uiPriority w:val="28"/>
    <w:qFormat/>
    <w:rsid w:val="00A074CB"/>
    <w:pPr>
      <w:ind w:left="346" w:firstLine="0"/>
    </w:pPr>
  </w:style>
  <w:style w:type="paragraph" w:styleId="Nagwek">
    <w:name w:val="header"/>
    <w:basedOn w:val="Normalny"/>
    <w:link w:val="NagwekZnak"/>
    <w:uiPriority w:val="57"/>
    <w:semiHidden/>
    <w:rsid w:val="00A074CB"/>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074CB"/>
    <w:rPr>
      <w:sz w:val="24"/>
    </w:rPr>
  </w:style>
  <w:style w:type="character" w:customStyle="1" w:styleId="Nagwek1Znak">
    <w:name w:val="Nagłówek 1 Znak"/>
    <w:basedOn w:val="Domylnaczcionkaakapitu"/>
    <w:link w:val="Nagwek1"/>
    <w:uiPriority w:val="99"/>
    <w:semiHidden/>
    <w:rsid w:val="00A074CB"/>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A074C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A074CB"/>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074CB"/>
    <w:rPr>
      <w:rFonts w:asciiTheme="majorHAnsi" w:eastAsiaTheme="majorEastAsia" w:hAnsiTheme="majorHAnsi" w:cstheme="majorBidi"/>
      <w:b/>
      <w:bCs/>
      <w:color w:val="4D4D4D"/>
      <w:sz w:val="26"/>
      <w:szCs w:val="26"/>
    </w:rPr>
  </w:style>
  <w:style w:type="paragraph" w:customStyle="1" w:styleId="JuListi">
    <w:name w:val="Ju_List_i"/>
    <w:basedOn w:val="Normalny"/>
    <w:next w:val="JuLista"/>
    <w:uiPriority w:val="28"/>
    <w:qFormat/>
    <w:rsid w:val="00A074CB"/>
    <w:pPr>
      <w:ind w:left="794"/>
    </w:pPr>
  </w:style>
  <w:style w:type="paragraph" w:customStyle="1" w:styleId="JuCase">
    <w:name w:val="Ju_Case"/>
    <w:basedOn w:val="Normalny"/>
    <w:next w:val="ECHRPara"/>
    <w:uiPriority w:val="10"/>
    <w:rsid w:val="00A074CB"/>
    <w:pPr>
      <w:ind w:firstLine="284"/>
    </w:pPr>
    <w:rPr>
      <w:b/>
    </w:rPr>
  </w:style>
  <w:style w:type="character" w:customStyle="1" w:styleId="Nagwek3Znak">
    <w:name w:val="Nagłówek 3 Znak"/>
    <w:basedOn w:val="Domylnaczcionkaakapitu"/>
    <w:link w:val="Nagwek3"/>
    <w:uiPriority w:val="99"/>
    <w:semiHidden/>
    <w:rsid w:val="00A074CB"/>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074CB"/>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074CB"/>
    <w:rPr>
      <w:rFonts w:asciiTheme="majorHAnsi" w:eastAsiaTheme="majorEastAsia" w:hAnsiTheme="majorHAnsi" w:cstheme="majorBidi"/>
      <w:b/>
      <w:bCs/>
      <w:color w:val="808080"/>
    </w:rPr>
  </w:style>
  <w:style w:type="character" w:styleId="Wyrnieniedelikatne">
    <w:name w:val="Subtle Emphasis"/>
    <w:uiPriority w:val="99"/>
    <w:semiHidden/>
    <w:qFormat/>
    <w:rsid w:val="00A074CB"/>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074CB"/>
    <w:pPr>
      <w:keepNext/>
      <w:keepLines/>
      <w:spacing w:before="720" w:after="240"/>
      <w:outlineLvl w:val="0"/>
    </w:pPr>
    <w:rPr>
      <w:rFonts w:asciiTheme="majorHAnsi" w:hAnsiTheme="majorHAnsi"/>
      <w:sz w:val="28"/>
    </w:rPr>
  </w:style>
  <w:style w:type="character" w:styleId="Uwydatnienie">
    <w:name w:val="Emphasis"/>
    <w:uiPriority w:val="99"/>
    <w:semiHidden/>
    <w:qFormat/>
    <w:rsid w:val="00A074CB"/>
    <w:rPr>
      <w:b/>
      <w:bCs/>
      <w:i/>
      <w:iCs/>
      <w:spacing w:val="10"/>
      <w:bdr w:val="none" w:sz="0" w:space="0" w:color="auto"/>
      <w:shd w:val="clear" w:color="auto" w:fill="auto"/>
    </w:rPr>
  </w:style>
  <w:style w:type="paragraph" w:styleId="Stopka">
    <w:name w:val="footer"/>
    <w:basedOn w:val="Normalny"/>
    <w:link w:val="StopkaZnak"/>
    <w:uiPriority w:val="57"/>
    <w:semiHidden/>
    <w:rsid w:val="00A074CB"/>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074CB"/>
    <w:rPr>
      <w:sz w:val="24"/>
    </w:rPr>
  </w:style>
  <w:style w:type="character" w:styleId="Odwoanieprzypisudolnego">
    <w:name w:val="footnote reference"/>
    <w:basedOn w:val="Domylnaczcionkaakapitu"/>
    <w:uiPriority w:val="99"/>
    <w:semiHidden/>
    <w:rsid w:val="00A074CB"/>
    <w:rPr>
      <w:vertAlign w:val="superscript"/>
    </w:rPr>
  </w:style>
  <w:style w:type="paragraph" w:styleId="Tekstprzypisudolnego">
    <w:name w:val="footnote text"/>
    <w:basedOn w:val="Normalny"/>
    <w:link w:val="TekstprzypisudolnegoZnak"/>
    <w:uiPriority w:val="99"/>
    <w:semiHidden/>
    <w:rsid w:val="00A074CB"/>
    <w:rPr>
      <w:sz w:val="20"/>
      <w:szCs w:val="20"/>
    </w:rPr>
  </w:style>
  <w:style w:type="character" w:customStyle="1" w:styleId="TekstprzypisudolnegoZnak">
    <w:name w:val="Tekst przypisu dolnego Znak"/>
    <w:basedOn w:val="Domylnaczcionkaakapitu"/>
    <w:link w:val="Tekstprzypisudolnego"/>
    <w:uiPriority w:val="99"/>
    <w:semiHidden/>
    <w:rsid w:val="00A074CB"/>
    <w:rPr>
      <w:rFonts w:eastAsiaTheme="minorEastAsia"/>
      <w:sz w:val="20"/>
      <w:szCs w:val="20"/>
    </w:rPr>
  </w:style>
  <w:style w:type="character" w:customStyle="1" w:styleId="Nagwek6Znak">
    <w:name w:val="Nagłówek 6 Znak"/>
    <w:basedOn w:val="Domylnaczcionkaakapitu"/>
    <w:link w:val="Nagwek6"/>
    <w:uiPriority w:val="99"/>
    <w:semiHidden/>
    <w:rsid w:val="00A074CB"/>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074CB"/>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074CB"/>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074CB"/>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A074CB"/>
    <w:rPr>
      <w:color w:val="0072BC" w:themeColor="hyperlink"/>
      <w:u w:val="single"/>
    </w:rPr>
  </w:style>
  <w:style w:type="character" w:styleId="Wyrnienieintensywne">
    <w:name w:val="Intense Emphasis"/>
    <w:uiPriority w:val="99"/>
    <w:semiHidden/>
    <w:qFormat/>
    <w:rsid w:val="00A074CB"/>
    <w:rPr>
      <w:b/>
      <w:bCs/>
    </w:rPr>
  </w:style>
  <w:style w:type="paragraph" w:styleId="Cytatintensywny">
    <w:name w:val="Intense Quote"/>
    <w:basedOn w:val="Normalny"/>
    <w:next w:val="Normalny"/>
    <w:link w:val="CytatintensywnyZnak"/>
    <w:uiPriority w:val="99"/>
    <w:semiHidden/>
    <w:qFormat/>
    <w:rsid w:val="00A074CB"/>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A074CB"/>
    <w:rPr>
      <w:rFonts w:eastAsiaTheme="minorEastAsia"/>
      <w:b/>
      <w:bCs/>
      <w:i/>
      <w:iCs/>
      <w:lang w:bidi="en-US"/>
    </w:rPr>
  </w:style>
  <w:style w:type="character" w:styleId="Odwoanieintensywne">
    <w:name w:val="Intense Reference"/>
    <w:uiPriority w:val="99"/>
    <w:semiHidden/>
    <w:qFormat/>
    <w:rsid w:val="00A074CB"/>
    <w:rPr>
      <w:smallCaps/>
      <w:spacing w:val="5"/>
      <w:u w:val="single"/>
    </w:rPr>
  </w:style>
  <w:style w:type="paragraph" w:styleId="Akapitzlist">
    <w:name w:val="List Paragraph"/>
    <w:basedOn w:val="Normalny"/>
    <w:uiPriority w:val="99"/>
    <w:semiHidden/>
    <w:qFormat/>
    <w:rsid w:val="00A074CB"/>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074CB"/>
    <w:pPr>
      <w:spacing w:before="200"/>
      <w:ind w:left="360" w:right="360"/>
    </w:pPr>
    <w:rPr>
      <w:i/>
      <w:iCs/>
      <w:sz w:val="22"/>
      <w:lang w:bidi="en-US"/>
    </w:rPr>
  </w:style>
  <w:style w:type="character" w:customStyle="1" w:styleId="CytatZnak">
    <w:name w:val="Cytat Znak"/>
    <w:basedOn w:val="Domylnaczcionkaakapitu"/>
    <w:link w:val="Cytat"/>
    <w:uiPriority w:val="99"/>
    <w:semiHidden/>
    <w:rsid w:val="00A074CB"/>
    <w:rPr>
      <w:rFonts w:eastAsiaTheme="minorEastAsia"/>
      <w:i/>
      <w:iCs/>
      <w:lang w:bidi="en-US"/>
    </w:rPr>
  </w:style>
  <w:style w:type="character" w:styleId="Odwoaniedelikatne">
    <w:name w:val="Subtle Reference"/>
    <w:uiPriority w:val="99"/>
    <w:semiHidden/>
    <w:qFormat/>
    <w:rsid w:val="00A074CB"/>
    <w:rPr>
      <w:smallCaps/>
    </w:rPr>
  </w:style>
  <w:style w:type="table" w:styleId="Tabela-Siatka">
    <w:name w:val="Table Grid"/>
    <w:basedOn w:val="Standardowy"/>
    <w:uiPriority w:val="59"/>
    <w:semiHidden/>
    <w:rsid w:val="00A074C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074CB"/>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39"/>
    <w:rsid w:val="00A074CB"/>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39"/>
    <w:rsid w:val="00A074CB"/>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39"/>
    <w:rsid w:val="00A074CB"/>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A074CB"/>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A074CB"/>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074CB"/>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A074CB"/>
    <w:pPr>
      <w:spacing w:before="120" w:after="120"/>
      <w:ind w:left="425" w:firstLine="142"/>
    </w:pPr>
    <w:rPr>
      <w:sz w:val="20"/>
    </w:rPr>
  </w:style>
  <w:style w:type="paragraph" w:customStyle="1" w:styleId="ECHRPara">
    <w:name w:val="ECHR_Para"/>
    <w:aliases w:val="Ju_Para"/>
    <w:basedOn w:val="Normalny"/>
    <w:link w:val="ECHRParaChar"/>
    <w:uiPriority w:val="12"/>
    <w:qFormat/>
    <w:rsid w:val="00A074CB"/>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074C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074CB"/>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074CB"/>
    <w:pPr>
      <w:ind w:left="340" w:hanging="340"/>
    </w:pPr>
  </w:style>
  <w:style w:type="paragraph" w:customStyle="1" w:styleId="JuSigned">
    <w:name w:val="Ju_Signed"/>
    <w:basedOn w:val="Normalny"/>
    <w:next w:val="JuParaLast"/>
    <w:uiPriority w:val="32"/>
    <w:qFormat/>
    <w:rsid w:val="00A074CB"/>
    <w:pPr>
      <w:tabs>
        <w:tab w:val="center" w:pos="851"/>
        <w:tab w:val="center" w:pos="6407"/>
      </w:tabs>
      <w:spacing w:before="720"/>
      <w:jc w:val="left"/>
    </w:pPr>
  </w:style>
  <w:style w:type="paragraph" w:customStyle="1" w:styleId="JuParaLast">
    <w:name w:val="Ju_Para_Last"/>
    <w:basedOn w:val="Normalny"/>
    <w:next w:val="ECHRPara"/>
    <w:uiPriority w:val="30"/>
    <w:qFormat/>
    <w:rsid w:val="00A074CB"/>
    <w:pPr>
      <w:keepNext/>
      <w:keepLines/>
      <w:spacing w:before="240"/>
      <w:ind w:firstLine="284"/>
    </w:pPr>
  </w:style>
  <w:style w:type="character" w:customStyle="1" w:styleId="JUNAMES">
    <w:name w:val="JU_NAMES"/>
    <w:uiPriority w:val="17"/>
    <w:qFormat/>
    <w:rsid w:val="00A074CB"/>
    <w:rPr>
      <w:caps w:val="0"/>
      <w:smallCaps/>
    </w:rPr>
  </w:style>
  <w:style w:type="character" w:styleId="Numerstrony">
    <w:name w:val="page number"/>
    <w:uiPriority w:val="99"/>
    <w:semiHidden/>
    <w:rsid w:val="00014566"/>
    <w:rPr>
      <w:sz w:val="18"/>
    </w:rPr>
  </w:style>
  <w:style w:type="paragraph" w:customStyle="1" w:styleId="JuParaSub">
    <w:name w:val="Ju_Para_Sub"/>
    <w:basedOn w:val="ECHRPara"/>
    <w:uiPriority w:val="13"/>
    <w:qFormat/>
    <w:rsid w:val="00A074CB"/>
    <w:pPr>
      <w:ind w:left="284"/>
    </w:pPr>
  </w:style>
  <w:style w:type="paragraph" w:customStyle="1" w:styleId="JuTitle">
    <w:name w:val="Ju_Title"/>
    <w:basedOn w:val="Normalny"/>
    <w:next w:val="ECHRPara"/>
    <w:uiPriority w:val="3"/>
    <w:semiHidden/>
    <w:qFormat/>
    <w:rsid w:val="00A074CB"/>
    <w:pPr>
      <w:spacing w:before="720" w:after="240"/>
      <w:jc w:val="center"/>
      <w:outlineLvl w:val="0"/>
    </w:pPr>
    <w:rPr>
      <w:rFonts w:asciiTheme="majorHAnsi" w:hAnsiTheme="majorHAnsi"/>
      <w:b/>
      <w:caps/>
    </w:r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A074CB"/>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A074CB"/>
    <w:pPr>
      <w:ind w:left="833" w:hanging="357"/>
      <w:outlineLvl w:val="3"/>
    </w:pPr>
    <w:rPr>
      <w:b/>
      <w:i w:val="0"/>
      <w:sz w:val="20"/>
    </w:rPr>
  </w:style>
  <w:style w:type="paragraph" w:styleId="Podtytu">
    <w:name w:val="Subtitle"/>
    <w:basedOn w:val="Normalny"/>
    <w:next w:val="Normalny"/>
    <w:link w:val="PodtytuZnak"/>
    <w:uiPriority w:val="99"/>
    <w:semiHidden/>
    <w:qFormat/>
    <w:rsid w:val="00A074CB"/>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074CB"/>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pl-PL" w:eastAsia="fr-FR"/>
    </w:rPr>
  </w:style>
  <w:style w:type="table" w:styleId="redniasiatka1">
    <w:name w:val="Medium Grid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A074CB"/>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A074CB"/>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A074CB"/>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A074CB"/>
    <w:pPr>
      <w:tabs>
        <w:tab w:val="clear" w:pos="357"/>
      </w:tabs>
      <w:outlineLvl w:val="1"/>
    </w:pPr>
    <w:rPr>
      <w:b/>
    </w:rPr>
  </w:style>
  <w:style w:type="paragraph" w:customStyle="1" w:styleId="OpiHi">
    <w:name w:val="Opi_H_i"/>
    <w:basedOn w:val="ECHRHeading4"/>
    <w:uiPriority w:val="44"/>
    <w:qFormat/>
    <w:rsid w:val="00A074CB"/>
    <w:pPr>
      <w:ind w:left="1037" w:hanging="357"/>
      <w:outlineLvl w:val="4"/>
    </w:pPr>
    <w:rPr>
      <w:b w:val="0"/>
      <w:i/>
    </w:rPr>
  </w:style>
  <w:style w:type="paragraph" w:customStyle="1" w:styleId="OpiPara">
    <w:name w:val="Opi_Para"/>
    <w:basedOn w:val="ECHRPara"/>
    <w:uiPriority w:val="46"/>
    <w:qFormat/>
    <w:rsid w:val="00A074CB"/>
  </w:style>
  <w:style w:type="paragraph" w:customStyle="1" w:styleId="OpiParaSub">
    <w:name w:val="Opi_Para_Sub"/>
    <w:basedOn w:val="JuParaSub"/>
    <w:uiPriority w:val="47"/>
    <w:qFormat/>
    <w:rsid w:val="00A074CB"/>
  </w:style>
  <w:style w:type="paragraph" w:customStyle="1" w:styleId="OpiQuot">
    <w:name w:val="Opi_Quot"/>
    <w:basedOn w:val="ECHRParaQuote"/>
    <w:uiPriority w:val="48"/>
    <w:qFormat/>
    <w:rsid w:val="00A074CB"/>
  </w:style>
  <w:style w:type="paragraph" w:customStyle="1" w:styleId="OpiQuotSub">
    <w:name w:val="Opi_Quot_Sub"/>
    <w:basedOn w:val="JuQuotSub"/>
    <w:uiPriority w:val="49"/>
    <w:qFormat/>
    <w:rsid w:val="00A074CB"/>
  </w:style>
  <w:style w:type="paragraph" w:customStyle="1" w:styleId="OpiTranslation">
    <w:name w:val="Opi_Translation"/>
    <w:basedOn w:val="Normalny"/>
    <w:next w:val="OpiPara"/>
    <w:uiPriority w:val="40"/>
    <w:qFormat/>
    <w:rsid w:val="00A074CB"/>
    <w:pPr>
      <w:jc w:val="center"/>
      <w:outlineLvl w:val="0"/>
    </w:pPr>
    <w:rPr>
      <w:i/>
    </w:rPr>
  </w:style>
  <w:style w:type="character" w:customStyle="1" w:styleId="ECHRParaChar">
    <w:name w:val="ECHR_Para Char"/>
    <w:aliases w:val="Ju_Para Char"/>
    <w:link w:val="ECHRPara"/>
    <w:uiPriority w:val="12"/>
    <w:rsid w:val="00986B25"/>
    <w:rPr>
      <w:rFonts w:eastAsiaTheme="minorEastAsia"/>
      <w:sz w:val="24"/>
    </w:rPr>
  </w:style>
  <w:style w:type="character" w:customStyle="1" w:styleId="JuQuotChar">
    <w:name w:val="Ju_Quot Char"/>
    <w:basedOn w:val="Domylnaczcionkaakapitu"/>
    <w:link w:val="ECHRParaQuote"/>
    <w:uiPriority w:val="14"/>
    <w:rsid w:val="00487287"/>
    <w:rPr>
      <w:rFonts w:eastAsiaTheme="minorEastAsia"/>
      <w:sz w:val="20"/>
    </w:rPr>
  </w:style>
  <w:style w:type="paragraph" w:styleId="Poprawka">
    <w:name w:val="Revision"/>
    <w:hidden/>
    <w:uiPriority w:val="99"/>
    <w:semiHidden/>
    <w:rsid w:val="00EC307F"/>
    <w:rPr>
      <w:rFonts w:eastAsiaTheme="minorEastAsia"/>
      <w:sz w:val="24"/>
    </w:rPr>
  </w:style>
  <w:style w:type="numbering" w:customStyle="1" w:styleId="ECHRA1StyleNumberedList">
    <w:name w:val="ECHR_A1_Style_Numbered_List"/>
    <w:basedOn w:val="Bezlisty"/>
    <w:rsid w:val="0069503A"/>
    <w:pPr>
      <w:numPr>
        <w:numId w:val="22"/>
      </w:numPr>
    </w:pPr>
  </w:style>
  <w:style w:type="paragraph" w:customStyle="1" w:styleId="ECHRNumberedList1">
    <w:name w:val="ECHR_Numbered_List_1"/>
    <w:aliases w:val="Num_1"/>
    <w:basedOn w:val="Normalny"/>
    <w:uiPriority w:val="9"/>
    <w:rsid w:val="0069503A"/>
    <w:pPr>
      <w:numPr>
        <w:numId w:val="21"/>
      </w:numPr>
      <w:spacing w:before="60" w:after="60"/>
      <w:jc w:val="left"/>
    </w:pPr>
    <w:rPr>
      <w:sz w:val="22"/>
    </w:rPr>
  </w:style>
  <w:style w:type="paragraph" w:customStyle="1" w:styleId="ECHRNumberedList2">
    <w:name w:val="ECHR_Numbered_List_2"/>
    <w:aliases w:val="Num_2"/>
    <w:basedOn w:val="ECHRNumberedList1"/>
    <w:uiPriority w:val="9"/>
    <w:rsid w:val="0069503A"/>
    <w:pPr>
      <w:numPr>
        <w:ilvl w:val="1"/>
      </w:numPr>
    </w:pPr>
  </w:style>
  <w:style w:type="paragraph" w:customStyle="1" w:styleId="ECHRNumberedList3">
    <w:name w:val="ECHR_Numbered_List_3"/>
    <w:aliases w:val="Num_3"/>
    <w:basedOn w:val="ECHRNumberedList2"/>
    <w:uiPriority w:val="9"/>
    <w:rsid w:val="0069503A"/>
    <w:pPr>
      <w:numPr>
        <w:ilvl w:val="2"/>
      </w:numPr>
    </w:pPr>
  </w:style>
  <w:style w:type="paragraph" w:customStyle="1" w:styleId="jupara">
    <w:name w:val="jupara"/>
    <w:basedOn w:val="Normalny"/>
    <w:rsid w:val="009904BD"/>
    <w:pPr>
      <w:ind w:firstLine="284"/>
    </w:pPr>
    <w:rPr>
      <w:rFonts w:ascii="Times New Roman" w:eastAsia="Times New Roman" w:hAnsi="Times New Roman" w:cs="Times New Roman"/>
      <w:szCs w:val="24"/>
      <w:lang w:eastAsia="en-GB"/>
    </w:rPr>
  </w:style>
  <w:style w:type="paragraph" w:customStyle="1" w:styleId="jucase0">
    <w:name w:val="jucase"/>
    <w:basedOn w:val="Normalny"/>
    <w:rsid w:val="009904BD"/>
    <w:pPr>
      <w:ind w:firstLine="284"/>
    </w:pPr>
    <w:rPr>
      <w:rFonts w:ascii="Times New Roman" w:eastAsia="Times New Roman" w:hAnsi="Times New Roman" w:cs="Times New Roman"/>
      <w:b/>
      <w:bCs/>
      <w:szCs w:val="24"/>
      <w:lang w:eastAsia="en-GB"/>
    </w:rPr>
  </w:style>
  <w:style w:type="paragraph" w:customStyle="1" w:styleId="s746c8714">
    <w:name w:val="s746c8714"/>
    <w:basedOn w:val="Normalny"/>
    <w:uiPriority w:val="99"/>
    <w:rsid w:val="0061289C"/>
    <w:pPr>
      <w:spacing w:before="100" w:beforeAutospacing="1" w:after="100" w:afterAutospacing="1"/>
      <w:jc w:val="left"/>
    </w:pPr>
    <w:rPr>
      <w:rFonts w:ascii="Times New Roman" w:eastAsia="Times New Roman" w:hAnsi="Times New Roman" w:cs="Times New Roman"/>
      <w:szCs w:val="24"/>
      <w:lang w:eastAsia="pl-PL"/>
    </w:rPr>
  </w:style>
  <w:style w:type="paragraph" w:customStyle="1" w:styleId="s6e50bd9a">
    <w:name w:val="s6e50bd9a"/>
    <w:basedOn w:val="Normalny"/>
    <w:uiPriority w:val="99"/>
    <w:rsid w:val="0061289C"/>
    <w:pPr>
      <w:spacing w:before="100" w:beforeAutospacing="1" w:after="100" w:afterAutospacing="1"/>
      <w:jc w:val="left"/>
    </w:pPr>
    <w:rPr>
      <w:rFonts w:ascii="Times New Roman" w:eastAsia="Times New Roman" w:hAnsi="Times New Roman" w:cs="Times New Roman"/>
      <w:szCs w:val="24"/>
      <w:lang w:eastAsia="pl-PL"/>
    </w:rPr>
  </w:style>
  <w:style w:type="character" w:customStyle="1" w:styleId="s4f807e54">
    <w:name w:val="s4f807e54"/>
    <w:basedOn w:val="Domylnaczcionkaakapitu"/>
    <w:uiPriority w:val="99"/>
    <w:rsid w:val="006128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594191">
      <w:bodyDiv w:val="1"/>
      <w:marLeft w:val="0"/>
      <w:marRight w:val="0"/>
      <w:marTop w:val="0"/>
      <w:marBottom w:val="0"/>
      <w:divBdr>
        <w:top w:val="none" w:sz="0" w:space="0" w:color="auto"/>
        <w:left w:val="none" w:sz="0" w:space="0" w:color="auto"/>
        <w:bottom w:val="none" w:sz="0" w:space="0" w:color="auto"/>
        <w:right w:val="none" w:sz="0" w:space="0" w:color="auto"/>
      </w:divBdr>
      <w:divsChild>
        <w:div w:id="445779395">
          <w:marLeft w:val="0"/>
          <w:marRight w:val="0"/>
          <w:marTop w:val="0"/>
          <w:marBottom w:val="0"/>
          <w:divBdr>
            <w:top w:val="none" w:sz="0" w:space="0" w:color="auto"/>
            <w:left w:val="none" w:sz="0" w:space="0" w:color="auto"/>
            <w:bottom w:val="none" w:sz="0" w:space="0" w:color="auto"/>
            <w:right w:val="none" w:sz="0" w:space="0" w:color="auto"/>
          </w:divBdr>
          <w:divsChild>
            <w:div w:id="704065233">
              <w:marLeft w:val="0"/>
              <w:marRight w:val="0"/>
              <w:marTop w:val="0"/>
              <w:marBottom w:val="0"/>
              <w:divBdr>
                <w:top w:val="none" w:sz="0" w:space="0" w:color="auto"/>
                <w:left w:val="none" w:sz="0" w:space="0" w:color="auto"/>
                <w:bottom w:val="none" w:sz="0" w:space="0" w:color="auto"/>
                <w:right w:val="none" w:sz="0" w:space="0" w:color="auto"/>
              </w:divBdr>
              <w:divsChild>
                <w:div w:id="248930395">
                  <w:marLeft w:val="0"/>
                  <w:marRight w:val="0"/>
                  <w:marTop w:val="0"/>
                  <w:marBottom w:val="0"/>
                  <w:divBdr>
                    <w:top w:val="none" w:sz="0" w:space="0" w:color="auto"/>
                    <w:left w:val="none" w:sz="0" w:space="0" w:color="auto"/>
                    <w:bottom w:val="none" w:sz="0" w:space="0" w:color="auto"/>
                    <w:right w:val="none" w:sz="0" w:space="0" w:color="auto"/>
                  </w:divBdr>
                  <w:divsChild>
                    <w:div w:id="345643737">
                      <w:marLeft w:val="1"/>
                      <w:marRight w:val="1"/>
                      <w:marTop w:val="0"/>
                      <w:marBottom w:val="0"/>
                      <w:divBdr>
                        <w:top w:val="none" w:sz="0" w:space="0" w:color="auto"/>
                        <w:left w:val="none" w:sz="0" w:space="0" w:color="auto"/>
                        <w:bottom w:val="none" w:sz="0" w:space="0" w:color="auto"/>
                        <w:right w:val="none" w:sz="0" w:space="0" w:color="auto"/>
                      </w:divBdr>
                      <w:divsChild>
                        <w:div w:id="994726621">
                          <w:marLeft w:val="0"/>
                          <w:marRight w:val="0"/>
                          <w:marTop w:val="0"/>
                          <w:marBottom w:val="0"/>
                          <w:divBdr>
                            <w:top w:val="none" w:sz="0" w:space="0" w:color="auto"/>
                            <w:left w:val="none" w:sz="0" w:space="0" w:color="auto"/>
                            <w:bottom w:val="none" w:sz="0" w:space="0" w:color="auto"/>
                            <w:right w:val="none" w:sz="0" w:space="0" w:color="auto"/>
                          </w:divBdr>
                          <w:divsChild>
                            <w:div w:id="551966331">
                              <w:marLeft w:val="0"/>
                              <w:marRight w:val="0"/>
                              <w:marTop w:val="0"/>
                              <w:marBottom w:val="360"/>
                              <w:divBdr>
                                <w:top w:val="none" w:sz="0" w:space="0" w:color="auto"/>
                                <w:left w:val="none" w:sz="0" w:space="0" w:color="auto"/>
                                <w:bottom w:val="none" w:sz="0" w:space="0" w:color="auto"/>
                                <w:right w:val="none" w:sz="0" w:space="0" w:color="auto"/>
                              </w:divBdr>
                              <w:divsChild>
                                <w:div w:id="738525301">
                                  <w:marLeft w:val="0"/>
                                  <w:marRight w:val="0"/>
                                  <w:marTop w:val="0"/>
                                  <w:marBottom w:val="0"/>
                                  <w:divBdr>
                                    <w:top w:val="none" w:sz="0" w:space="0" w:color="auto"/>
                                    <w:left w:val="none" w:sz="0" w:space="0" w:color="auto"/>
                                    <w:bottom w:val="none" w:sz="0" w:space="0" w:color="auto"/>
                                    <w:right w:val="none" w:sz="0" w:space="0" w:color="auto"/>
                                  </w:divBdr>
                                  <w:divsChild>
                                    <w:div w:id="443765750">
                                      <w:marLeft w:val="0"/>
                                      <w:marRight w:val="0"/>
                                      <w:marTop w:val="0"/>
                                      <w:marBottom w:val="0"/>
                                      <w:divBdr>
                                        <w:top w:val="none" w:sz="0" w:space="0" w:color="auto"/>
                                        <w:left w:val="none" w:sz="0" w:space="0" w:color="auto"/>
                                        <w:bottom w:val="none" w:sz="0" w:space="0" w:color="auto"/>
                                        <w:right w:val="none" w:sz="0" w:space="0" w:color="auto"/>
                                      </w:divBdr>
                                      <w:divsChild>
                                        <w:div w:id="877013756">
                                          <w:marLeft w:val="0"/>
                                          <w:marRight w:val="0"/>
                                          <w:marTop w:val="0"/>
                                          <w:marBottom w:val="0"/>
                                          <w:divBdr>
                                            <w:top w:val="none" w:sz="0" w:space="0" w:color="auto"/>
                                            <w:left w:val="none" w:sz="0" w:space="0" w:color="auto"/>
                                            <w:bottom w:val="none" w:sz="0" w:space="0" w:color="auto"/>
                                            <w:right w:val="none" w:sz="0" w:space="0" w:color="auto"/>
                                          </w:divBdr>
                                          <w:divsChild>
                                            <w:div w:id="1944800856">
                                              <w:marLeft w:val="0"/>
                                              <w:marRight w:val="0"/>
                                              <w:marTop w:val="0"/>
                                              <w:marBottom w:val="0"/>
                                              <w:divBdr>
                                                <w:top w:val="none" w:sz="0" w:space="0" w:color="auto"/>
                                                <w:left w:val="none" w:sz="0" w:space="0" w:color="auto"/>
                                                <w:bottom w:val="none" w:sz="0" w:space="0" w:color="auto"/>
                                                <w:right w:val="none" w:sz="0" w:space="0" w:color="auto"/>
                                              </w:divBdr>
                                              <w:divsChild>
                                                <w:div w:id="2098624743">
                                                  <w:marLeft w:val="0"/>
                                                  <w:marRight w:val="0"/>
                                                  <w:marTop w:val="0"/>
                                                  <w:marBottom w:val="0"/>
                                                  <w:divBdr>
                                                    <w:top w:val="none" w:sz="0" w:space="0" w:color="auto"/>
                                                    <w:left w:val="none" w:sz="0" w:space="0" w:color="auto"/>
                                                    <w:bottom w:val="none" w:sz="0" w:space="0" w:color="auto"/>
                                                    <w:right w:val="none" w:sz="0" w:space="0" w:color="auto"/>
                                                  </w:divBdr>
                                                  <w:divsChild>
                                                    <w:div w:id="1586761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19976076">
      <w:bodyDiv w:val="1"/>
      <w:marLeft w:val="390"/>
      <w:marRight w:val="390"/>
      <w:marTop w:val="0"/>
      <w:marBottom w:val="0"/>
      <w:divBdr>
        <w:top w:val="none" w:sz="0" w:space="0" w:color="auto"/>
        <w:left w:val="none" w:sz="0" w:space="0" w:color="auto"/>
        <w:bottom w:val="none" w:sz="0" w:space="0" w:color="auto"/>
        <w:right w:val="none" w:sz="0" w:space="0" w:color="auto"/>
      </w:divBdr>
    </w:div>
    <w:div w:id="540091620">
      <w:bodyDiv w:val="1"/>
      <w:marLeft w:val="0"/>
      <w:marRight w:val="0"/>
      <w:marTop w:val="0"/>
      <w:marBottom w:val="0"/>
      <w:divBdr>
        <w:top w:val="none" w:sz="0" w:space="0" w:color="auto"/>
        <w:left w:val="none" w:sz="0" w:space="0" w:color="auto"/>
        <w:bottom w:val="none" w:sz="0" w:space="0" w:color="auto"/>
        <w:right w:val="none" w:sz="0" w:space="0" w:color="auto"/>
      </w:divBdr>
      <w:divsChild>
        <w:div w:id="68503244">
          <w:marLeft w:val="0"/>
          <w:marRight w:val="0"/>
          <w:marTop w:val="0"/>
          <w:marBottom w:val="0"/>
          <w:divBdr>
            <w:top w:val="none" w:sz="0" w:space="0" w:color="auto"/>
            <w:left w:val="none" w:sz="0" w:space="0" w:color="auto"/>
            <w:bottom w:val="none" w:sz="0" w:space="0" w:color="auto"/>
            <w:right w:val="none" w:sz="0" w:space="0" w:color="auto"/>
          </w:divBdr>
          <w:divsChild>
            <w:div w:id="2020309584">
              <w:marLeft w:val="0"/>
              <w:marRight w:val="0"/>
              <w:marTop w:val="0"/>
              <w:marBottom w:val="0"/>
              <w:divBdr>
                <w:top w:val="none" w:sz="0" w:space="0" w:color="auto"/>
                <w:left w:val="none" w:sz="0" w:space="0" w:color="auto"/>
                <w:bottom w:val="none" w:sz="0" w:space="0" w:color="auto"/>
                <w:right w:val="none" w:sz="0" w:space="0" w:color="auto"/>
              </w:divBdr>
              <w:divsChild>
                <w:div w:id="1153720009">
                  <w:marLeft w:val="0"/>
                  <w:marRight w:val="0"/>
                  <w:marTop w:val="0"/>
                  <w:marBottom w:val="0"/>
                  <w:divBdr>
                    <w:top w:val="none" w:sz="0" w:space="0" w:color="auto"/>
                    <w:left w:val="none" w:sz="0" w:space="0" w:color="auto"/>
                    <w:bottom w:val="none" w:sz="0" w:space="0" w:color="auto"/>
                    <w:right w:val="none" w:sz="0" w:space="0" w:color="auto"/>
                  </w:divBdr>
                  <w:divsChild>
                    <w:div w:id="1715543167">
                      <w:marLeft w:val="0"/>
                      <w:marRight w:val="0"/>
                      <w:marTop w:val="0"/>
                      <w:marBottom w:val="0"/>
                      <w:divBdr>
                        <w:top w:val="none" w:sz="0" w:space="0" w:color="auto"/>
                        <w:left w:val="none" w:sz="0" w:space="0" w:color="auto"/>
                        <w:bottom w:val="none" w:sz="0" w:space="0" w:color="auto"/>
                        <w:right w:val="none" w:sz="0" w:space="0" w:color="auto"/>
                      </w:divBdr>
                      <w:divsChild>
                        <w:div w:id="1681858114">
                          <w:marLeft w:val="0"/>
                          <w:marRight w:val="0"/>
                          <w:marTop w:val="0"/>
                          <w:marBottom w:val="0"/>
                          <w:divBdr>
                            <w:top w:val="none" w:sz="0" w:space="0" w:color="auto"/>
                            <w:left w:val="none" w:sz="0" w:space="0" w:color="auto"/>
                            <w:bottom w:val="none" w:sz="0" w:space="0" w:color="auto"/>
                            <w:right w:val="none" w:sz="0" w:space="0" w:color="auto"/>
                          </w:divBdr>
                          <w:divsChild>
                            <w:div w:id="147148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7877516">
      <w:bodyDiv w:val="1"/>
      <w:marLeft w:val="0"/>
      <w:marRight w:val="0"/>
      <w:marTop w:val="0"/>
      <w:marBottom w:val="0"/>
      <w:divBdr>
        <w:top w:val="none" w:sz="0" w:space="0" w:color="auto"/>
        <w:left w:val="none" w:sz="0" w:space="0" w:color="auto"/>
        <w:bottom w:val="none" w:sz="0" w:space="0" w:color="auto"/>
        <w:right w:val="none" w:sz="0" w:space="0" w:color="auto"/>
      </w:divBdr>
      <w:divsChild>
        <w:div w:id="691881010">
          <w:marLeft w:val="0"/>
          <w:marRight w:val="0"/>
          <w:marTop w:val="0"/>
          <w:marBottom w:val="0"/>
          <w:divBdr>
            <w:top w:val="none" w:sz="0" w:space="0" w:color="auto"/>
            <w:left w:val="none" w:sz="0" w:space="0" w:color="auto"/>
            <w:bottom w:val="none" w:sz="0" w:space="0" w:color="auto"/>
            <w:right w:val="none" w:sz="0" w:space="0" w:color="auto"/>
          </w:divBdr>
          <w:divsChild>
            <w:div w:id="1530335271">
              <w:marLeft w:val="0"/>
              <w:marRight w:val="0"/>
              <w:marTop w:val="0"/>
              <w:marBottom w:val="0"/>
              <w:divBdr>
                <w:top w:val="none" w:sz="0" w:space="0" w:color="auto"/>
                <w:left w:val="none" w:sz="0" w:space="0" w:color="auto"/>
                <w:bottom w:val="none" w:sz="0" w:space="0" w:color="auto"/>
                <w:right w:val="none" w:sz="0" w:space="0" w:color="auto"/>
              </w:divBdr>
              <w:divsChild>
                <w:div w:id="1759867424">
                  <w:marLeft w:val="0"/>
                  <w:marRight w:val="0"/>
                  <w:marTop w:val="0"/>
                  <w:marBottom w:val="0"/>
                  <w:divBdr>
                    <w:top w:val="none" w:sz="0" w:space="0" w:color="auto"/>
                    <w:left w:val="none" w:sz="0" w:space="0" w:color="auto"/>
                    <w:bottom w:val="none" w:sz="0" w:space="0" w:color="auto"/>
                    <w:right w:val="none" w:sz="0" w:space="0" w:color="auto"/>
                  </w:divBdr>
                  <w:divsChild>
                    <w:div w:id="2099716321">
                      <w:marLeft w:val="0"/>
                      <w:marRight w:val="0"/>
                      <w:marTop w:val="0"/>
                      <w:marBottom w:val="0"/>
                      <w:divBdr>
                        <w:top w:val="none" w:sz="0" w:space="0" w:color="auto"/>
                        <w:left w:val="none" w:sz="0" w:space="0" w:color="auto"/>
                        <w:bottom w:val="none" w:sz="0" w:space="0" w:color="auto"/>
                        <w:right w:val="none" w:sz="0" w:space="0" w:color="auto"/>
                      </w:divBdr>
                      <w:divsChild>
                        <w:div w:id="1962757402">
                          <w:marLeft w:val="0"/>
                          <w:marRight w:val="0"/>
                          <w:marTop w:val="0"/>
                          <w:marBottom w:val="0"/>
                          <w:divBdr>
                            <w:top w:val="none" w:sz="0" w:space="0" w:color="auto"/>
                            <w:left w:val="none" w:sz="0" w:space="0" w:color="auto"/>
                            <w:bottom w:val="none" w:sz="0" w:space="0" w:color="auto"/>
                            <w:right w:val="none" w:sz="0" w:space="0" w:color="auto"/>
                          </w:divBdr>
                          <w:divsChild>
                            <w:div w:id="1421293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907447208">
      <w:bodyDiv w:val="1"/>
      <w:marLeft w:val="0"/>
      <w:marRight w:val="0"/>
      <w:marTop w:val="0"/>
      <w:marBottom w:val="0"/>
      <w:divBdr>
        <w:top w:val="none" w:sz="0" w:space="0" w:color="auto"/>
        <w:left w:val="none" w:sz="0" w:space="0" w:color="auto"/>
        <w:bottom w:val="none" w:sz="0" w:space="0" w:color="auto"/>
        <w:right w:val="none" w:sz="0" w:space="0" w:color="auto"/>
      </w:divBdr>
      <w:divsChild>
        <w:div w:id="741946194">
          <w:marLeft w:val="0"/>
          <w:marRight w:val="0"/>
          <w:marTop w:val="0"/>
          <w:marBottom w:val="0"/>
          <w:divBdr>
            <w:top w:val="none" w:sz="0" w:space="0" w:color="auto"/>
            <w:left w:val="none" w:sz="0" w:space="0" w:color="auto"/>
            <w:bottom w:val="none" w:sz="0" w:space="0" w:color="auto"/>
            <w:right w:val="none" w:sz="0" w:space="0" w:color="auto"/>
          </w:divBdr>
          <w:divsChild>
            <w:div w:id="1001199452">
              <w:marLeft w:val="0"/>
              <w:marRight w:val="0"/>
              <w:marTop w:val="0"/>
              <w:marBottom w:val="0"/>
              <w:divBdr>
                <w:top w:val="none" w:sz="0" w:space="0" w:color="auto"/>
                <w:left w:val="none" w:sz="0" w:space="0" w:color="auto"/>
                <w:bottom w:val="none" w:sz="0" w:space="0" w:color="auto"/>
                <w:right w:val="none" w:sz="0" w:space="0" w:color="auto"/>
              </w:divBdr>
              <w:divsChild>
                <w:div w:id="772894322">
                  <w:marLeft w:val="0"/>
                  <w:marRight w:val="0"/>
                  <w:marTop w:val="0"/>
                  <w:marBottom w:val="0"/>
                  <w:divBdr>
                    <w:top w:val="none" w:sz="0" w:space="0" w:color="auto"/>
                    <w:left w:val="none" w:sz="0" w:space="0" w:color="auto"/>
                    <w:bottom w:val="none" w:sz="0" w:space="0" w:color="auto"/>
                    <w:right w:val="none" w:sz="0" w:space="0" w:color="auto"/>
                  </w:divBdr>
                  <w:divsChild>
                    <w:div w:id="1585795616">
                      <w:marLeft w:val="0"/>
                      <w:marRight w:val="0"/>
                      <w:marTop w:val="0"/>
                      <w:marBottom w:val="0"/>
                      <w:divBdr>
                        <w:top w:val="none" w:sz="0" w:space="0" w:color="auto"/>
                        <w:left w:val="none" w:sz="0" w:space="0" w:color="auto"/>
                        <w:bottom w:val="none" w:sz="0" w:space="0" w:color="auto"/>
                        <w:right w:val="none" w:sz="0" w:space="0" w:color="auto"/>
                      </w:divBdr>
                      <w:divsChild>
                        <w:div w:id="1579828081">
                          <w:marLeft w:val="0"/>
                          <w:marRight w:val="0"/>
                          <w:marTop w:val="0"/>
                          <w:marBottom w:val="0"/>
                          <w:divBdr>
                            <w:top w:val="none" w:sz="0" w:space="0" w:color="auto"/>
                            <w:left w:val="none" w:sz="0" w:space="0" w:color="auto"/>
                            <w:bottom w:val="none" w:sz="0" w:space="0" w:color="auto"/>
                            <w:right w:val="none" w:sz="0" w:space="0" w:color="auto"/>
                          </w:divBdr>
                          <w:divsChild>
                            <w:div w:id="56021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pk.gov.pl" TargetMode="Externa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5.xml"/><Relationship Id="rId7" Type="http://schemas.microsoft.com/office/2007/relationships/stylesWithEffects" Target="stylesWithEffects.xml"/><Relationship Id="rId12" Type="http://schemas.openxmlformats.org/officeDocument/2006/relationships/hyperlink" Target="http://www.pk.gov.pl" TargetMode="External"/><Relationship Id="rId17" Type="http://schemas.openxmlformats.org/officeDocument/2006/relationships/footer" Target="footer2.xml"/><Relationship Id="rId25"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7.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4.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eader" Target="header6.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76CBBD-0C9B-4125-8921-1591343BED1E}">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350F354E-0297-4114-B3B5-8F960787C7EE}">
  <ds:schemaRefs>
    <ds:schemaRef ds:uri="http://schemas.microsoft.com/sharepoint/v3/contenttype/forms"/>
  </ds:schemaRefs>
</ds:datastoreItem>
</file>

<file path=customXml/itemProps3.xml><?xml version="1.0" encoding="utf-8"?>
<ds:datastoreItem xmlns:ds="http://schemas.openxmlformats.org/officeDocument/2006/customXml" ds:itemID="{A91423BB-BA85-41AC-AE75-73091FFE0E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29495027-CA3F-45AC-AA8B-34AB15D1F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23125</Words>
  <Characters>138754</Characters>
  <Application>Microsoft Office Word</Application>
  <DocSecurity>4</DocSecurity>
  <Lines>1156</Lines>
  <Paragraphs>323</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161556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2019-05-20T13:46:00Z</dcterms:created>
  <dcterms:modified xsi:type="dcterms:W3CDTF">2019-05-20T13:46:00Z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