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CC7B79" w:rsidRDefault="00014566" w:rsidP="00CC7B79">
      <w:pPr>
        <w:jc w:val="center"/>
      </w:pPr>
      <w:bookmarkStart w:id="0" w:name="_GoBack"/>
      <w:bookmarkEnd w:id="0"/>
    </w:p>
    <w:p w:rsidR="005F1F9F" w:rsidRPr="00CC7B79" w:rsidRDefault="005F1F9F" w:rsidP="00CC7B79">
      <w:pPr>
        <w:jc w:val="center"/>
      </w:pPr>
    </w:p>
    <w:p w:rsidR="005F1F9F" w:rsidRPr="00CC7B79" w:rsidRDefault="005F1F9F" w:rsidP="00CC7B79">
      <w:pPr>
        <w:jc w:val="center"/>
      </w:pPr>
    </w:p>
    <w:p w:rsidR="00014566" w:rsidRPr="00CC7B79" w:rsidRDefault="00BE546B" w:rsidP="00CC7B79">
      <w:pPr>
        <w:jc w:val="center"/>
      </w:pPr>
      <w:r w:rsidRPr="00CC7B79">
        <w:t>FIRST SECTION</w:t>
      </w:r>
    </w:p>
    <w:p w:rsidR="00014566" w:rsidRPr="00CC7B79" w:rsidRDefault="00014566" w:rsidP="00CC7B79">
      <w:pPr>
        <w:jc w:val="center"/>
      </w:pPr>
    </w:p>
    <w:p w:rsidR="005F1F9F" w:rsidRPr="00CC7B79" w:rsidRDefault="005F1F9F" w:rsidP="00CC7B79">
      <w:pPr>
        <w:jc w:val="center"/>
      </w:pPr>
    </w:p>
    <w:p w:rsidR="005F1F9F" w:rsidRPr="00CC7B79" w:rsidRDefault="005F1F9F" w:rsidP="00CC7B79">
      <w:pPr>
        <w:jc w:val="center"/>
      </w:pPr>
    </w:p>
    <w:p w:rsidR="005F1F9F" w:rsidRPr="00CC7B79" w:rsidRDefault="005F1F9F" w:rsidP="00CC7B79">
      <w:pPr>
        <w:jc w:val="center"/>
      </w:pPr>
    </w:p>
    <w:p w:rsidR="005F1F9F" w:rsidRPr="00CC7B79" w:rsidRDefault="005F1F9F" w:rsidP="00CC7B79">
      <w:pPr>
        <w:jc w:val="center"/>
      </w:pPr>
    </w:p>
    <w:p w:rsidR="005F1F9F" w:rsidRPr="00CC7B79" w:rsidRDefault="005F1F9F" w:rsidP="00CC7B79">
      <w:pPr>
        <w:jc w:val="center"/>
      </w:pPr>
    </w:p>
    <w:p w:rsidR="00014566" w:rsidRPr="00CC7B79" w:rsidRDefault="00014566" w:rsidP="00CC7B79">
      <w:pPr>
        <w:jc w:val="center"/>
        <w:rPr>
          <w:b/>
        </w:rPr>
      </w:pPr>
      <w:bookmarkStart w:id="1" w:name="To"/>
      <w:r w:rsidRPr="00CC7B79">
        <w:rPr>
          <w:b/>
        </w:rPr>
        <w:t xml:space="preserve">CASE OF </w:t>
      </w:r>
      <w:bookmarkEnd w:id="1"/>
      <w:r w:rsidR="00BE546B" w:rsidRPr="00CC7B79">
        <w:rPr>
          <w:b/>
        </w:rPr>
        <w:t>BURŻA v. POLAND</w:t>
      </w:r>
    </w:p>
    <w:p w:rsidR="00014566" w:rsidRPr="00CC7B79" w:rsidRDefault="00014566" w:rsidP="00CC7B79">
      <w:pPr>
        <w:jc w:val="center"/>
      </w:pPr>
    </w:p>
    <w:p w:rsidR="00014566" w:rsidRPr="00CC7B79" w:rsidRDefault="00014566" w:rsidP="00CC7B79">
      <w:pPr>
        <w:jc w:val="center"/>
        <w:rPr>
          <w:i/>
        </w:rPr>
      </w:pPr>
      <w:r w:rsidRPr="00CC7B79">
        <w:rPr>
          <w:i/>
        </w:rPr>
        <w:t>(</w:t>
      </w:r>
      <w:r w:rsidR="00BE546B" w:rsidRPr="00CC7B79">
        <w:rPr>
          <w:i/>
        </w:rPr>
        <w:t>Application no. 15333/16</w:t>
      </w:r>
      <w:r w:rsidRPr="00CC7B79">
        <w:rPr>
          <w:i/>
        </w:rPr>
        <w:t>)</w:t>
      </w:r>
    </w:p>
    <w:p w:rsidR="00014566" w:rsidRPr="00CC7B79" w:rsidRDefault="00014566" w:rsidP="00CC7B79">
      <w:pPr>
        <w:jc w:val="center"/>
      </w:pPr>
    </w:p>
    <w:p w:rsidR="00014566" w:rsidRPr="00CC7B79" w:rsidRDefault="00014566" w:rsidP="00CC7B79">
      <w:pPr>
        <w:jc w:val="center"/>
      </w:pPr>
    </w:p>
    <w:p w:rsidR="00014566" w:rsidRPr="00CC7B79" w:rsidRDefault="00014566" w:rsidP="00CC7B79">
      <w:pPr>
        <w:jc w:val="center"/>
      </w:pPr>
    </w:p>
    <w:p w:rsidR="008D1D96" w:rsidRPr="00CC7B79" w:rsidRDefault="008D1D96" w:rsidP="00CC7B79">
      <w:pPr>
        <w:jc w:val="center"/>
      </w:pPr>
    </w:p>
    <w:p w:rsidR="008D1D96" w:rsidRPr="00CC7B79" w:rsidRDefault="008D1D96" w:rsidP="00CC7B79">
      <w:pPr>
        <w:jc w:val="center"/>
      </w:pPr>
    </w:p>
    <w:p w:rsidR="008D1D96" w:rsidRPr="00CC7B79" w:rsidRDefault="008D1D96" w:rsidP="00CC7B79">
      <w:pPr>
        <w:jc w:val="center"/>
      </w:pPr>
    </w:p>
    <w:p w:rsidR="008D1D96" w:rsidRPr="00CC7B79" w:rsidRDefault="008D1D96" w:rsidP="00CC7B79">
      <w:pPr>
        <w:jc w:val="center"/>
      </w:pPr>
    </w:p>
    <w:p w:rsidR="00CC7B79" w:rsidRPr="00CC7B79" w:rsidRDefault="00CC7B79" w:rsidP="00CC7B79">
      <w:pPr>
        <w:jc w:val="center"/>
      </w:pPr>
    </w:p>
    <w:p w:rsidR="00CC7B79" w:rsidRPr="00CC7B79" w:rsidRDefault="00CC7B79" w:rsidP="00CC7B79">
      <w:pPr>
        <w:jc w:val="center"/>
      </w:pPr>
    </w:p>
    <w:p w:rsidR="00CC7B79" w:rsidRPr="00CC7B79" w:rsidRDefault="00CC7B79" w:rsidP="00CC7B79">
      <w:pPr>
        <w:jc w:val="center"/>
      </w:pPr>
    </w:p>
    <w:p w:rsidR="008D1D96" w:rsidRPr="00CC7B79" w:rsidRDefault="008D1D96" w:rsidP="00CC7B79">
      <w:pPr>
        <w:jc w:val="center"/>
      </w:pPr>
    </w:p>
    <w:p w:rsidR="008D1D96" w:rsidRPr="00CC7B79" w:rsidRDefault="008D1D96" w:rsidP="00CC7B79">
      <w:pPr>
        <w:jc w:val="center"/>
      </w:pPr>
    </w:p>
    <w:p w:rsidR="00014566" w:rsidRPr="00CC7B79" w:rsidRDefault="005F1F9F" w:rsidP="00CC7B79">
      <w:pPr>
        <w:jc w:val="center"/>
      </w:pPr>
      <w:r w:rsidRPr="00CC7B79">
        <w:t>JUDGMENT</w:t>
      </w:r>
    </w:p>
    <w:p w:rsidR="005F1F9F" w:rsidRPr="00CC7B79" w:rsidRDefault="005F1F9F" w:rsidP="00CC7B79">
      <w:pPr>
        <w:jc w:val="center"/>
      </w:pPr>
    </w:p>
    <w:p w:rsidR="00CC7B79" w:rsidRPr="00CC7B79" w:rsidRDefault="00CC7B79" w:rsidP="00CC7B79">
      <w:pPr>
        <w:jc w:val="center"/>
      </w:pPr>
    </w:p>
    <w:p w:rsidR="00CC7B79" w:rsidRPr="00CC7B79" w:rsidRDefault="00CC7B79" w:rsidP="00CC7B79">
      <w:pPr>
        <w:jc w:val="center"/>
      </w:pPr>
    </w:p>
    <w:p w:rsidR="005F1F9F" w:rsidRPr="00CC7B79" w:rsidRDefault="005F1F9F" w:rsidP="00CC7B79">
      <w:pPr>
        <w:jc w:val="center"/>
      </w:pPr>
    </w:p>
    <w:p w:rsidR="005F1F9F" w:rsidRPr="00CC7B79" w:rsidRDefault="005F1F9F" w:rsidP="00CC7B79">
      <w:pPr>
        <w:jc w:val="center"/>
      </w:pPr>
      <w:r w:rsidRPr="00CC7B79">
        <w:t>STRASBOURG</w:t>
      </w:r>
    </w:p>
    <w:p w:rsidR="005F1F9F" w:rsidRPr="00CC7B79" w:rsidRDefault="005F1F9F" w:rsidP="00CC7B79">
      <w:pPr>
        <w:jc w:val="center"/>
      </w:pPr>
    </w:p>
    <w:p w:rsidR="005F1F9F" w:rsidRPr="00CC7B79" w:rsidRDefault="005F1F9F" w:rsidP="00CC7B79">
      <w:pPr>
        <w:jc w:val="center"/>
      </w:pPr>
      <w:r w:rsidRPr="00CC7B79">
        <w:t>18 October 2018</w:t>
      </w:r>
    </w:p>
    <w:p w:rsidR="005F1F9F" w:rsidRPr="00CC7B79" w:rsidRDefault="005F1F9F" w:rsidP="00CC7B79">
      <w:pPr>
        <w:jc w:val="center"/>
      </w:pPr>
    </w:p>
    <w:p w:rsidR="005F1F9F" w:rsidRPr="00CC7B79" w:rsidRDefault="005F1F9F" w:rsidP="00CC7B79">
      <w:pPr>
        <w:jc w:val="center"/>
      </w:pPr>
    </w:p>
    <w:p w:rsidR="00CC7B79" w:rsidRPr="00CC7B79" w:rsidRDefault="00CC7B79" w:rsidP="00CC7B79">
      <w:pPr>
        <w:jc w:val="center"/>
      </w:pPr>
    </w:p>
    <w:p w:rsidR="005F1F9F" w:rsidRPr="00CC7B79" w:rsidRDefault="005F1F9F" w:rsidP="00CC7B79">
      <w:pPr>
        <w:jc w:val="center"/>
        <w:rPr>
          <w:i/>
          <w:sz w:val="22"/>
        </w:rPr>
      </w:pPr>
      <w:r w:rsidRPr="00CC7B79">
        <w:rPr>
          <w:i/>
          <w:sz w:val="22"/>
        </w:rPr>
        <w:t>This judgment is final but it may be subject to editorial revision.</w:t>
      </w:r>
    </w:p>
    <w:p w:rsidR="005F1F9F" w:rsidRPr="00CC7B79" w:rsidRDefault="005F1F9F" w:rsidP="00CC7B79">
      <w:pPr>
        <w:pStyle w:val="JuCase"/>
        <w:ind w:firstLine="0"/>
        <w:rPr>
          <w:b w:val="0"/>
        </w:rPr>
        <w:sectPr w:rsidR="005F1F9F" w:rsidRPr="00CC7B79" w:rsidSect="005F1F9F">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r w:rsidRPr="00CC7B79">
        <w:rPr>
          <w:b w:val="0"/>
          <w:i/>
          <w:sz w:val="22"/>
        </w:rPr>
        <w:t xml:space="preserve"> </w:t>
      </w:r>
    </w:p>
    <w:p w:rsidR="00014566" w:rsidRPr="00CC7B79" w:rsidRDefault="00014566" w:rsidP="00CC7B79">
      <w:pPr>
        <w:pStyle w:val="JuCase"/>
        <w:ind w:firstLine="0"/>
        <w:rPr>
          <w:bCs/>
        </w:rPr>
      </w:pPr>
      <w:r w:rsidRPr="00CC7B79">
        <w:lastRenderedPageBreak/>
        <w:t xml:space="preserve">In the case of </w:t>
      </w:r>
      <w:r w:rsidR="000B0C44" w:rsidRPr="00CC7B79">
        <w:t xml:space="preserve">Burża v. </w:t>
      </w:r>
      <w:r w:rsidR="00BE546B" w:rsidRPr="00CC7B79">
        <w:t>Poland</w:t>
      </w:r>
      <w:r w:rsidRPr="00CC7B79">
        <w:t>,</w:t>
      </w:r>
    </w:p>
    <w:p w:rsidR="00014566" w:rsidRPr="00CC7B79" w:rsidRDefault="00014566" w:rsidP="00CC7B79">
      <w:pPr>
        <w:pStyle w:val="ECHRPara"/>
      </w:pPr>
      <w:r w:rsidRPr="00CC7B79">
        <w:t>The European Court of Human Rights (</w:t>
      </w:r>
      <w:r w:rsidR="00BE546B" w:rsidRPr="00CC7B79">
        <w:t>First Section</w:t>
      </w:r>
      <w:r w:rsidRPr="00CC7B79">
        <w:t>), sitting as a</w:t>
      </w:r>
      <w:r w:rsidR="00CC7B79" w:rsidRPr="00CC7B79">
        <w:t xml:space="preserve"> </w:t>
      </w:r>
      <w:r w:rsidR="00BE546B" w:rsidRPr="00CC7B79">
        <w:t>Committee</w:t>
      </w:r>
      <w:r w:rsidRPr="00CC7B79">
        <w:t xml:space="preserve"> composed of:</w:t>
      </w:r>
    </w:p>
    <w:p w:rsidR="00014566" w:rsidRPr="00CC7B79" w:rsidRDefault="005F1F9F" w:rsidP="00CC7B79">
      <w:pPr>
        <w:pStyle w:val="ECHRDecisionBody"/>
      </w:pPr>
      <w:r w:rsidRPr="00CC7B79">
        <w:tab/>
        <w:t>Aleš Pejchal,</w:t>
      </w:r>
      <w:r w:rsidRPr="00CC7B79">
        <w:rPr>
          <w:i/>
        </w:rPr>
        <w:t xml:space="preserve"> President,</w:t>
      </w:r>
      <w:r w:rsidRPr="00CC7B79">
        <w:rPr>
          <w:i/>
        </w:rPr>
        <w:br/>
      </w:r>
      <w:r w:rsidRPr="00CC7B79">
        <w:tab/>
        <w:t>Armen Harutyunyan,</w:t>
      </w:r>
      <w:r w:rsidRPr="00CC7B79">
        <w:rPr>
          <w:i/>
        </w:rPr>
        <w:br/>
      </w:r>
      <w:r w:rsidRPr="00CC7B79">
        <w:tab/>
        <w:t>Jovan Ilievski,</w:t>
      </w:r>
      <w:r w:rsidRPr="00CC7B79">
        <w:rPr>
          <w:i/>
        </w:rPr>
        <w:t xml:space="preserve"> judges,</w:t>
      </w:r>
      <w:r w:rsidR="00014566" w:rsidRPr="00CC7B79">
        <w:rPr>
          <w:szCs w:val="24"/>
        </w:rPr>
        <w:br/>
      </w:r>
      <w:r w:rsidR="00014566" w:rsidRPr="00CC7B79">
        <w:t xml:space="preserve">and </w:t>
      </w:r>
      <w:r w:rsidR="00BE546B" w:rsidRPr="00CC7B79">
        <w:t>Renata Degener</w:t>
      </w:r>
      <w:r w:rsidR="00014566" w:rsidRPr="00CC7B79">
        <w:t xml:space="preserve">, </w:t>
      </w:r>
      <w:r w:rsidR="00BE546B" w:rsidRPr="00CC7B79">
        <w:rPr>
          <w:i/>
        </w:rPr>
        <w:t xml:space="preserve">Deputy Section </w:t>
      </w:r>
      <w:r w:rsidR="00BE546B" w:rsidRPr="00CC7B79">
        <w:rPr>
          <w:i/>
          <w:iCs/>
        </w:rPr>
        <w:t>Registrar</w:t>
      </w:r>
      <w:r w:rsidR="00014566" w:rsidRPr="00CC7B79">
        <w:rPr>
          <w:i/>
        </w:rPr>
        <w:t>,</w:t>
      </w:r>
    </w:p>
    <w:p w:rsidR="00014566" w:rsidRPr="00CC7B79" w:rsidRDefault="00014566" w:rsidP="00CC7B79">
      <w:pPr>
        <w:pStyle w:val="ECHRPara"/>
      </w:pPr>
      <w:r w:rsidRPr="00CC7B79">
        <w:t xml:space="preserve">Having deliberated in private on </w:t>
      </w:r>
      <w:r w:rsidR="005F1F9F" w:rsidRPr="00CC7B79">
        <w:t>25 September 2018</w:t>
      </w:r>
      <w:r w:rsidRPr="00CC7B79">
        <w:t>,</w:t>
      </w:r>
    </w:p>
    <w:p w:rsidR="00014566" w:rsidRPr="00CC7B79" w:rsidRDefault="00014566" w:rsidP="00CC7B79">
      <w:pPr>
        <w:pStyle w:val="ECHRPara"/>
      </w:pPr>
      <w:r w:rsidRPr="00CC7B79">
        <w:t>Delivers the following judgment, which was adopted on that date:</w:t>
      </w:r>
    </w:p>
    <w:p w:rsidR="00014566" w:rsidRPr="00CC7B79" w:rsidRDefault="00014566" w:rsidP="00CC7B79">
      <w:pPr>
        <w:pStyle w:val="ECHRTitle1"/>
      </w:pPr>
      <w:r w:rsidRPr="00CC7B79">
        <w:t>PROCEDURE</w:t>
      </w:r>
    </w:p>
    <w:p w:rsidR="00AC7609"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1</w:t>
      </w:r>
      <w:r w:rsidRPr="00CC7B79">
        <w:fldChar w:fldCharType="end"/>
      </w:r>
      <w:r w:rsidR="00014566" w:rsidRPr="00CC7B79">
        <w:t xml:space="preserve">.  The case originated in </w:t>
      </w:r>
      <w:r w:rsidRPr="00CC7B79">
        <w:t>an application (no.</w:t>
      </w:r>
      <w:r w:rsidR="009934D1" w:rsidRPr="00CC7B79">
        <w:t xml:space="preserve"> </w:t>
      </w:r>
      <w:r w:rsidRPr="00CC7B79">
        <w:t>15333/16)</w:t>
      </w:r>
      <w:r w:rsidR="00014566" w:rsidRPr="00CC7B79">
        <w:t xml:space="preserve"> against </w:t>
      </w:r>
      <w:r w:rsidRPr="00CC7B79">
        <w:t>the Republic of Poland</w:t>
      </w:r>
      <w:r w:rsidR="00014566" w:rsidRPr="00CC7B79">
        <w:t xml:space="preserve"> lodged with the </w:t>
      </w:r>
      <w:r w:rsidRPr="00CC7B79">
        <w:t xml:space="preserve">Court under </w:t>
      </w:r>
      <w:r w:rsidR="009934D1" w:rsidRPr="00CC7B79">
        <w:t xml:space="preserve">Article </w:t>
      </w:r>
      <w:r w:rsidRPr="00CC7B79">
        <w:t>34</w:t>
      </w:r>
      <w:r w:rsidR="00014566" w:rsidRPr="00CC7B79">
        <w:t xml:space="preserve"> of the Convention for the Protection of Human Rights and Fundamental Freedoms (“the Convention”) by </w:t>
      </w:r>
      <w:r w:rsidR="00682340" w:rsidRPr="00CC7B79">
        <w:t xml:space="preserve">a </w:t>
      </w:r>
      <w:r w:rsidRPr="00CC7B79">
        <w:t xml:space="preserve">Polish national, </w:t>
      </w:r>
      <w:r w:rsidR="00682340" w:rsidRPr="00CC7B79">
        <w:t xml:space="preserve">Mr </w:t>
      </w:r>
      <w:r w:rsidRPr="00CC7B79">
        <w:t xml:space="preserve">Mirosław Burża (“the applicant”), on </w:t>
      </w:r>
      <w:r w:rsidR="00682340" w:rsidRPr="00CC7B79">
        <w:t xml:space="preserve">10 </w:t>
      </w:r>
      <w:r w:rsidRPr="00CC7B79">
        <w:t>March 2016</w:t>
      </w:r>
      <w:r w:rsidR="00014566" w:rsidRPr="00CC7B79">
        <w:t>.</w:t>
      </w:r>
    </w:p>
    <w:p w:rsidR="007C049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2</w:t>
      </w:r>
      <w:r w:rsidRPr="00CC7B79">
        <w:fldChar w:fldCharType="end"/>
      </w:r>
      <w:r w:rsidR="00014566" w:rsidRPr="00CC7B79">
        <w:t>.  </w:t>
      </w:r>
      <w:r w:rsidRPr="00CC7B79">
        <w:t>The applicant was r</w:t>
      </w:r>
      <w:r w:rsidR="00A7213D" w:rsidRPr="00CC7B79">
        <w:t xml:space="preserve">epresented by Mr K. </w:t>
      </w:r>
      <w:r w:rsidR="00B60BF3" w:rsidRPr="00CC7B79">
        <w:t xml:space="preserve">Nowiński, a </w:t>
      </w:r>
      <w:r w:rsidRPr="00CC7B79">
        <w:t xml:space="preserve">lawyer practising in Warsaw. </w:t>
      </w:r>
      <w:r w:rsidR="007C0496" w:rsidRPr="00CC7B79">
        <w:t xml:space="preserve">The Polish Government (“the Government”) were represented by their Agent, Ms J. Chrzanowska, who was later replaced by </w:t>
      </w:r>
      <w:r w:rsidR="00C94E82" w:rsidRPr="00CC7B79">
        <w:t>Ms A. M</w:t>
      </w:r>
      <w:r w:rsidR="00C94E82" w:rsidRPr="00CC7B79">
        <w:rPr>
          <w:lang w:val="pl-PL"/>
        </w:rPr>
        <w:t xml:space="preserve">ęż </w:t>
      </w:r>
      <w:r w:rsidR="007C0496" w:rsidRPr="00CC7B79">
        <w:t>ykowska, the Co-Agent, of the Ministry of Foreign Affairs.</w:t>
      </w:r>
    </w:p>
    <w:p w:rsidR="003560E5" w:rsidRPr="00CC7B79" w:rsidRDefault="00230476"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3</w:t>
      </w:r>
      <w:r w:rsidRPr="00CC7B79">
        <w:fldChar w:fldCharType="end"/>
      </w:r>
      <w:r w:rsidRPr="00CC7B79">
        <w:t>.  </w:t>
      </w:r>
      <w:r w:rsidR="003560E5" w:rsidRPr="00CC7B79">
        <w:t>The applicant</w:t>
      </w:r>
      <w:r w:rsidR="00067618" w:rsidRPr="00CC7B79">
        <w:t xml:space="preserve"> alleged that his detention on remand was unreasonably lengthy</w:t>
      </w:r>
      <w:r w:rsidR="00120429" w:rsidRPr="00CC7B79">
        <w:t>,</w:t>
      </w:r>
      <w:r w:rsidR="004B360A" w:rsidRPr="00CC7B79">
        <w:t xml:space="preserve"> contrary to Article</w:t>
      </w:r>
      <w:r w:rsidR="009934D1" w:rsidRPr="00CC7B79">
        <w:t xml:space="preserve"> </w:t>
      </w:r>
      <w:r w:rsidR="004B360A" w:rsidRPr="00CC7B79">
        <w:t xml:space="preserve">5 </w:t>
      </w:r>
      <w:r w:rsidR="009934D1" w:rsidRPr="00CC7B79">
        <w:t xml:space="preserve">§ </w:t>
      </w:r>
      <w:r w:rsidR="004B360A" w:rsidRPr="00CC7B79">
        <w:t>3 of the Convention</w:t>
      </w:r>
      <w:r w:rsidR="00067618" w:rsidRPr="00CC7B79">
        <w:t>.</w:t>
      </w:r>
    </w:p>
    <w:p w:rsidR="00BE546B"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4</w:t>
      </w:r>
      <w:r w:rsidRPr="00CC7B79">
        <w:fldChar w:fldCharType="end"/>
      </w:r>
      <w:r w:rsidR="00014566" w:rsidRPr="00CC7B79">
        <w:t>.  </w:t>
      </w:r>
      <w:r w:rsidRPr="00CC7B79">
        <w:t xml:space="preserve">On </w:t>
      </w:r>
      <w:r w:rsidR="009934D1" w:rsidRPr="00CC7B79">
        <w:rPr>
          <w:szCs w:val="24"/>
        </w:rPr>
        <w:t xml:space="preserve">24 </w:t>
      </w:r>
      <w:r w:rsidRPr="00CC7B79">
        <w:rPr>
          <w:szCs w:val="24"/>
        </w:rPr>
        <w:t>April 2017</w:t>
      </w:r>
      <w:r w:rsidR="00014566" w:rsidRPr="00CC7B79">
        <w:t xml:space="preserve"> the </w:t>
      </w:r>
      <w:r w:rsidRPr="00CC7B79">
        <w:rPr>
          <w:szCs w:val="24"/>
        </w:rPr>
        <w:t>application was communicated to the Government</w:t>
      </w:r>
      <w:r w:rsidR="007509D5" w:rsidRPr="00CC7B79">
        <w:t>.</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5</w:t>
      </w:r>
      <w:r w:rsidRPr="00CC7B79">
        <w:fldChar w:fldCharType="end"/>
      </w:r>
      <w:r w:rsidRPr="00CC7B79">
        <w:t>.  The Government objected to the examination of the application by a</w:t>
      </w:r>
      <w:r w:rsidR="00B60BF3" w:rsidRPr="00CC7B79">
        <w:t xml:space="preserve"> </w:t>
      </w:r>
      <w:r w:rsidRPr="00CC7B79">
        <w:t>Committee. After having considered the Government</w:t>
      </w:r>
      <w:r w:rsidR="00CC7B79" w:rsidRPr="00CC7B79">
        <w:t>’</w:t>
      </w:r>
      <w:r w:rsidRPr="00CC7B79">
        <w:t>s objection, the Court rejects it.</w:t>
      </w:r>
    </w:p>
    <w:p w:rsidR="00014566" w:rsidRPr="00CC7B79" w:rsidRDefault="00014566" w:rsidP="00CC7B79">
      <w:pPr>
        <w:pStyle w:val="ECHRTitle1"/>
      </w:pPr>
      <w:r w:rsidRPr="00CC7B79">
        <w:t>THE FACTS</w:t>
      </w:r>
    </w:p>
    <w:p w:rsidR="00014566" w:rsidRPr="00CC7B79" w:rsidRDefault="00014566" w:rsidP="00CC7B79">
      <w:pPr>
        <w:pStyle w:val="ECHRHeading1"/>
      </w:pPr>
      <w:r w:rsidRPr="00CC7B79">
        <w:t>I.  THE CIRCUMSTANCES OF THE CASE</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6</w:t>
      </w:r>
      <w:r w:rsidRPr="00CC7B79">
        <w:fldChar w:fldCharType="end"/>
      </w:r>
      <w:r w:rsidR="00014566" w:rsidRPr="00CC7B79">
        <w:t xml:space="preserve">.  The </w:t>
      </w:r>
      <w:r w:rsidRPr="00CC7B79">
        <w:t xml:space="preserve">applicant was born in 1988 and is </w:t>
      </w:r>
      <w:r w:rsidR="00682340" w:rsidRPr="00CC7B79">
        <w:t xml:space="preserve">currently </w:t>
      </w:r>
      <w:r w:rsidRPr="00CC7B79">
        <w:t>detained</w:t>
      </w:r>
      <w:r w:rsidR="00014566" w:rsidRPr="00CC7B79">
        <w:t xml:space="preserve"> in </w:t>
      </w:r>
      <w:r w:rsidRPr="00CC7B79">
        <w:t>Warsaw Służewiec Remand Centre</w:t>
      </w:r>
      <w:r w:rsidR="00014566" w:rsidRPr="00CC7B79">
        <w:t>.</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7</w:t>
      </w:r>
      <w:r w:rsidRPr="00CC7B79">
        <w:fldChar w:fldCharType="end"/>
      </w:r>
      <w:r w:rsidR="00014566" w:rsidRPr="00CC7B79">
        <w:t>.  </w:t>
      </w:r>
      <w:r w:rsidR="00F3478C" w:rsidRPr="00CC7B79">
        <w:t xml:space="preserve">On </w:t>
      </w:r>
      <w:r w:rsidR="009934D1" w:rsidRPr="00CC7B79">
        <w:t xml:space="preserve">26 </w:t>
      </w:r>
      <w:r w:rsidR="00F3478C" w:rsidRPr="00CC7B79">
        <w:t>November 2010 the applicant was arrested by the police.</w:t>
      </w:r>
    </w:p>
    <w:bookmarkStart w:id="2" w:name="par8"/>
    <w:p w:rsidR="00F3478C" w:rsidRPr="00CC7B79" w:rsidRDefault="00F3478C"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8</w:t>
      </w:r>
      <w:r w:rsidRPr="00CC7B79">
        <w:fldChar w:fldCharType="end"/>
      </w:r>
      <w:bookmarkEnd w:id="2"/>
      <w:r w:rsidRPr="00CC7B79">
        <w:t xml:space="preserve">.  On </w:t>
      </w:r>
      <w:r w:rsidR="009934D1" w:rsidRPr="00CC7B79">
        <w:t xml:space="preserve">27 </w:t>
      </w:r>
      <w:r w:rsidRPr="00CC7B79">
        <w:t>November 2010 the Warsaw Wola District Prosecutor (</w:t>
      </w:r>
      <w:r w:rsidRPr="00CC7B79">
        <w:rPr>
          <w:i/>
        </w:rPr>
        <w:t>Prokurator Rejonowy</w:t>
      </w:r>
      <w:r w:rsidRPr="00CC7B79">
        <w:t>) charged the applicant with possession of</w:t>
      </w:r>
      <w:r w:rsidR="00D655E7" w:rsidRPr="00CC7B79">
        <w:t xml:space="preserve"> a</w:t>
      </w:r>
      <w:r w:rsidR="00CC7B79" w:rsidRPr="00CC7B79">
        <w:t xml:space="preserve"> </w:t>
      </w:r>
      <w:r w:rsidRPr="00CC7B79">
        <w:t xml:space="preserve">significant amount of drugs and requested that </w:t>
      </w:r>
      <w:r w:rsidR="00682340" w:rsidRPr="00CC7B79">
        <w:t>the Warsaw Wola District Court (</w:t>
      </w:r>
      <w:r w:rsidR="00682340" w:rsidRPr="00CC7B79">
        <w:rPr>
          <w:i/>
        </w:rPr>
        <w:t>S</w:t>
      </w:r>
      <w:r w:rsidR="00682340" w:rsidRPr="00CC7B79">
        <w:rPr>
          <w:i/>
          <w:lang w:val="en-US"/>
        </w:rPr>
        <w:t>ąd Rejonowy</w:t>
      </w:r>
      <w:r w:rsidR="00682340" w:rsidRPr="00CC7B79">
        <w:rPr>
          <w:lang w:val="en-US"/>
        </w:rPr>
        <w:t>)</w:t>
      </w:r>
      <w:r w:rsidR="00682340" w:rsidRPr="00CC7B79">
        <w:t xml:space="preserve"> </w:t>
      </w:r>
      <w:r w:rsidRPr="00CC7B79">
        <w:t>detain</w:t>
      </w:r>
      <w:r w:rsidR="00682340" w:rsidRPr="00CC7B79">
        <w:t xml:space="preserve"> him</w:t>
      </w:r>
      <w:r w:rsidRPr="00CC7B79">
        <w:t xml:space="preserve"> on remand.</w:t>
      </w:r>
    </w:p>
    <w:p w:rsidR="00F3478C" w:rsidRPr="00CC7B79" w:rsidRDefault="00F3478C" w:rsidP="00CC7B79">
      <w:pPr>
        <w:pStyle w:val="ECHRPara"/>
      </w:pPr>
      <w:r w:rsidRPr="00CC7B79">
        <w:lastRenderedPageBreak/>
        <w:fldChar w:fldCharType="begin"/>
      </w:r>
      <w:r w:rsidRPr="00CC7B79">
        <w:instrText xml:space="preserve"> SEQ level0 \*arabic </w:instrText>
      </w:r>
      <w:r w:rsidRPr="00CC7B79">
        <w:fldChar w:fldCharType="separate"/>
      </w:r>
      <w:r w:rsidR="00CC7B79" w:rsidRPr="00CC7B79">
        <w:rPr>
          <w:noProof/>
        </w:rPr>
        <w:t>9</w:t>
      </w:r>
      <w:r w:rsidRPr="00CC7B79">
        <w:fldChar w:fldCharType="end"/>
      </w:r>
      <w:r w:rsidR="00493202" w:rsidRPr="00CC7B79">
        <w:t xml:space="preserve">.  On </w:t>
      </w:r>
      <w:r w:rsidR="009934D1" w:rsidRPr="00CC7B79">
        <w:t xml:space="preserve">28 </w:t>
      </w:r>
      <w:r w:rsidRPr="00CC7B79">
        <w:t xml:space="preserve">November 2010 the </w:t>
      </w:r>
      <w:r w:rsidR="00682340" w:rsidRPr="00CC7B79">
        <w:t>c</w:t>
      </w:r>
      <w:r w:rsidRPr="00CC7B79">
        <w:t xml:space="preserve">ourt decided to detain the applicant on remand for </w:t>
      </w:r>
      <w:r w:rsidR="00D655E7" w:rsidRPr="00CC7B79">
        <w:t>a</w:t>
      </w:r>
      <w:r w:rsidRPr="00CC7B79">
        <w:t xml:space="preserve"> p</w:t>
      </w:r>
      <w:r w:rsidR="005F499A" w:rsidRPr="00CC7B79">
        <w:t>e</w:t>
      </w:r>
      <w:r w:rsidRPr="00CC7B79">
        <w:t>riod of three months</w:t>
      </w:r>
      <w:r w:rsidR="00D655E7" w:rsidRPr="00CC7B79">
        <w:t>,</w:t>
      </w:r>
      <w:r w:rsidRPr="00CC7B79">
        <w:t xml:space="preserve"> in view of the reasonable suspicion that he had</w:t>
      </w:r>
      <w:r w:rsidR="00EE404E" w:rsidRPr="00CC7B79">
        <w:t xml:space="preserve"> been in</w:t>
      </w:r>
      <w:r w:rsidRPr="00CC7B79">
        <w:t xml:space="preserve"> possess</w:t>
      </w:r>
      <w:r w:rsidR="00EE404E" w:rsidRPr="00CC7B79">
        <w:t>ion</w:t>
      </w:r>
      <w:r w:rsidRPr="00CC7B79">
        <w:t xml:space="preserve"> </w:t>
      </w:r>
      <w:r w:rsidR="00EE404E" w:rsidRPr="00CC7B79">
        <w:t xml:space="preserve">of </w:t>
      </w:r>
      <w:r w:rsidR="009934D1" w:rsidRPr="00CC7B79">
        <w:t xml:space="preserve">a </w:t>
      </w:r>
      <w:r w:rsidRPr="00CC7B79">
        <w:t>significant amount of drugs (III Kp 2159/10).</w:t>
      </w:r>
      <w:r w:rsidR="005F499A" w:rsidRPr="00CC7B79">
        <w:t xml:space="preserve"> The court applied this measure due to the high probability that the applicant</w:t>
      </w:r>
      <w:r w:rsidR="00D655E7" w:rsidRPr="00CC7B79">
        <w:t xml:space="preserve"> had</w:t>
      </w:r>
      <w:r w:rsidR="005F499A" w:rsidRPr="00CC7B79">
        <w:t xml:space="preserve"> committed the offence with which he was charged, the severity of the </w:t>
      </w:r>
      <w:r w:rsidR="00543AD6" w:rsidRPr="00CC7B79">
        <w:t>maximum</w:t>
      </w:r>
      <w:r w:rsidR="005F499A" w:rsidRPr="00CC7B79">
        <w:t xml:space="preserve"> sentence provided by law for such offence (</w:t>
      </w:r>
      <w:r w:rsidR="00543AD6" w:rsidRPr="00CC7B79">
        <w:t>up to</w:t>
      </w:r>
      <w:r w:rsidR="005F499A" w:rsidRPr="00CC7B79">
        <w:t xml:space="preserve"> </w:t>
      </w:r>
      <w:r w:rsidR="00E95B92" w:rsidRPr="00CC7B79">
        <w:t xml:space="preserve">at least </w:t>
      </w:r>
      <w:r w:rsidR="005F499A" w:rsidRPr="00CC7B79">
        <w:t>eight years</w:t>
      </w:r>
      <w:r w:rsidR="00CC7B79" w:rsidRPr="00CC7B79">
        <w:t>’</w:t>
      </w:r>
      <w:r w:rsidR="005F499A" w:rsidRPr="00CC7B79">
        <w:t xml:space="preserve"> imprisonment) and the fact that </w:t>
      </w:r>
      <w:r w:rsidR="00717B36" w:rsidRPr="00CC7B79">
        <w:t xml:space="preserve">the likelihood of </w:t>
      </w:r>
      <w:r w:rsidR="005F499A" w:rsidRPr="00CC7B79">
        <w:t xml:space="preserve">such </w:t>
      </w:r>
      <w:r w:rsidR="00717B36" w:rsidRPr="00CC7B79">
        <w:t xml:space="preserve">a </w:t>
      </w:r>
      <w:r w:rsidR="005F499A" w:rsidRPr="00CC7B79">
        <w:t xml:space="preserve">penalty might induce the applicant to </w:t>
      </w:r>
      <w:r w:rsidR="00682340" w:rsidRPr="00CC7B79">
        <w:t xml:space="preserve">obstruct </w:t>
      </w:r>
      <w:r w:rsidR="005F499A" w:rsidRPr="00CC7B79">
        <w:t xml:space="preserve">the proceedings, as well as the fear that the applicant might influence other persons to present </w:t>
      </w:r>
      <w:r w:rsidR="00D655E7" w:rsidRPr="00CC7B79">
        <w:t xml:space="preserve">a </w:t>
      </w:r>
      <w:r w:rsidR="005F499A" w:rsidRPr="00CC7B79">
        <w:t>version of events favourable to him.</w:t>
      </w:r>
    </w:p>
    <w:bookmarkStart w:id="3" w:name="par10"/>
    <w:p w:rsidR="005F499A" w:rsidRPr="00CC7B79" w:rsidRDefault="005F499A"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10</w:t>
      </w:r>
      <w:r w:rsidRPr="00CC7B79">
        <w:fldChar w:fldCharType="end"/>
      </w:r>
      <w:bookmarkEnd w:id="3"/>
      <w:r w:rsidRPr="00CC7B79">
        <w:t xml:space="preserve">.  On </w:t>
      </w:r>
      <w:r w:rsidR="009934D1" w:rsidRPr="00CC7B79">
        <w:t xml:space="preserve">21 </w:t>
      </w:r>
      <w:r w:rsidRPr="00CC7B79">
        <w:t>February 2011 the Warsaw Regional Court (</w:t>
      </w:r>
      <w:r w:rsidRPr="00CC7B79">
        <w:rPr>
          <w:i/>
        </w:rPr>
        <w:t>Sąd Okręgowy</w:t>
      </w:r>
      <w:r w:rsidRPr="00CC7B79">
        <w:t>) extended the applicant</w:t>
      </w:r>
      <w:r w:rsidR="00CC7B79" w:rsidRPr="00CC7B79">
        <w:t>’</w:t>
      </w:r>
      <w:r w:rsidRPr="00CC7B79">
        <w:t xml:space="preserve">s pre-trial detention. The court noted that the applicant had </w:t>
      </w:r>
      <w:r w:rsidR="007C469F" w:rsidRPr="00CC7B79">
        <w:t xml:space="preserve">also </w:t>
      </w:r>
      <w:r w:rsidR="000B0C44" w:rsidRPr="00CC7B79">
        <w:t xml:space="preserve">been charged with being a </w:t>
      </w:r>
      <w:r w:rsidRPr="00CC7B79">
        <w:t>member of an organised, armed criminal gang and pointed out the actions that need</w:t>
      </w:r>
      <w:r w:rsidR="007C469F" w:rsidRPr="00CC7B79">
        <w:t>ed</w:t>
      </w:r>
      <w:r w:rsidRPr="00CC7B79">
        <w:t xml:space="preserve"> to be taken to conclude the investigation.</w:t>
      </w:r>
    </w:p>
    <w:p w:rsidR="00E428B4" w:rsidRPr="00CC7B79" w:rsidRDefault="00E428B4"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11</w:t>
      </w:r>
      <w:r w:rsidRPr="00CC7B79">
        <w:fldChar w:fldCharType="end"/>
      </w:r>
      <w:r w:rsidRPr="00CC7B79">
        <w:t xml:space="preserve">.  Between </w:t>
      </w:r>
      <w:r w:rsidR="009934D1" w:rsidRPr="00CC7B79">
        <w:t xml:space="preserve">18 </w:t>
      </w:r>
      <w:r w:rsidRPr="00CC7B79">
        <w:t xml:space="preserve">March and </w:t>
      </w:r>
      <w:r w:rsidR="009934D1" w:rsidRPr="00CC7B79">
        <w:t xml:space="preserve">12 </w:t>
      </w:r>
      <w:r w:rsidRPr="00CC7B79">
        <w:t>April 2011 the applicant partially served a</w:t>
      </w:r>
      <w:r w:rsidR="00B60BF3" w:rsidRPr="00CC7B79">
        <w:t xml:space="preserve"> </w:t>
      </w:r>
      <w:r w:rsidRPr="00CC7B79">
        <w:t>prison sentence ordered in another set of criminal proceedings against him (II</w:t>
      </w:r>
      <w:r w:rsidR="00C00CEF" w:rsidRPr="00CC7B79">
        <w:t>I K </w:t>
      </w:r>
      <w:r w:rsidRPr="00CC7B79">
        <w:t>203/09).</w:t>
      </w:r>
    </w:p>
    <w:p w:rsidR="00E428B4" w:rsidRPr="00CC7B79" w:rsidRDefault="00E428B4"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12</w:t>
      </w:r>
      <w:r w:rsidRPr="00CC7B79">
        <w:fldChar w:fldCharType="end"/>
      </w:r>
      <w:r w:rsidRPr="00CC7B79">
        <w:t xml:space="preserve">.  On </w:t>
      </w:r>
      <w:r w:rsidR="009934D1" w:rsidRPr="00CC7B79">
        <w:t xml:space="preserve">23 </w:t>
      </w:r>
      <w:r w:rsidRPr="00CC7B79">
        <w:t>May the Warsaw Regional Court extended the applicant</w:t>
      </w:r>
      <w:r w:rsidR="00CC7B79" w:rsidRPr="00CC7B79">
        <w:t>’</w:t>
      </w:r>
      <w:r w:rsidRPr="00CC7B79">
        <w:t xml:space="preserve">s detention on remand. The court again </w:t>
      </w:r>
      <w:r w:rsidR="00682340" w:rsidRPr="00CC7B79">
        <w:t xml:space="preserve">relied on </w:t>
      </w:r>
      <w:r w:rsidRPr="00CC7B79">
        <w:t xml:space="preserve">the severity of the </w:t>
      </w:r>
      <w:r w:rsidR="00682340" w:rsidRPr="00CC7B79">
        <w:t xml:space="preserve">anticipated </w:t>
      </w:r>
      <w:r w:rsidRPr="00CC7B79">
        <w:t>sentence and possibl</w:t>
      </w:r>
      <w:r w:rsidR="00F433A4" w:rsidRPr="00CC7B79">
        <w:t>y</w:t>
      </w:r>
      <w:r w:rsidRPr="00CC7B79">
        <w:t xml:space="preserve"> </w:t>
      </w:r>
      <w:r w:rsidR="00F433A4" w:rsidRPr="00CC7B79">
        <w:t xml:space="preserve">adverse </w:t>
      </w:r>
      <w:r w:rsidRPr="00CC7B79">
        <w:t xml:space="preserve">consequences </w:t>
      </w:r>
      <w:r w:rsidR="00F433A4" w:rsidRPr="00CC7B79">
        <w:t>that the applicant</w:t>
      </w:r>
      <w:r w:rsidR="00CC7B79" w:rsidRPr="00CC7B79">
        <w:t>’</w:t>
      </w:r>
      <w:r w:rsidR="00F433A4" w:rsidRPr="00CC7B79">
        <w:t xml:space="preserve">s release could have </w:t>
      </w:r>
      <w:r w:rsidRPr="00CC7B79">
        <w:t>for the ongoing investigation.</w:t>
      </w:r>
    </w:p>
    <w:bookmarkStart w:id="4" w:name="par13"/>
    <w:p w:rsidR="005F499A" w:rsidRPr="00CC7B79" w:rsidRDefault="00E428B4"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13</w:t>
      </w:r>
      <w:r w:rsidRPr="00CC7B79">
        <w:fldChar w:fldCharType="end"/>
      </w:r>
      <w:bookmarkEnd w:id="4"/>
      <w:r w:rsidRPr="00CC7B79">
        <w:t>.  On 22 August 2011 the Warsaw Regional Court again extended the applicant</w:t>
      </w:r>
      <w:r w:rsidR="00CC7B79" w:rsidRPr="00CC7B79">
        <w:t>’</w:t>
      </w:r>
      <w:r w:rsidRPr="00CC7B79">
        <w:t xml:space="preserve">s detention on remand. It listed the </w:t>
      </w:r>
      <w:r w:rsidR="00825A90" w:rsidRPr="00CC7B79">
        <w:t xml:space="preserve">charges against the </w:t>
      </w:r>
      <w:r w:rsidRPr="00CC7B79">
        <w:t xml:space="preserve">applicant, which included, </w:t>
      </w:r>
      <w:r w:rsidR="00994214" w:rsidRPr="00CC7B79">
        <w:t xml:space="preserve">apart from </w:t>
      </w:r>
      <w:r w:rsidRPr="00CC7B79">
        <w:t>th</w:t>
      </w:r>
      <w:r w:rsidR="00825A90" w:rsidRPr="00CC7B79">
        <w:t>ose</w:t>
      </w:r>
      <w:r w:rsidRPr="00CC7B79">
        <w:t xml:space="preserve"> mentioned above, battery, making </w:t>
      </w:r>
      <w:r w:rsidR="008E709D" w:rsidRPr="00CC7B79">
        <w:t xml:space="preserve">a </w:t>
      </w:r>
      <w:r w:rsidRPr="00CC7B79">
        <w:t xml:space="preserve">profit from </w:t>
      </w:r>
      <w:r w:rsidR="008E709D" w:rsidRPr="00CC7B79">
        <w:t xml:space="preserve">prostitution of </w:t>
      </w:r>
      <w:r w:rsidRPr="00CC7B79">
        <w:t>other</w:t>
      </w:r>
      <w:r w:rsidR="008E709D" w:rsidRPr="00CC7B79">
        <w:t>s</w:t>
      </w:r>
      <w:r w:rsidR="00C00CEF" w:rsidRPr="00CC7B79">
        <w:t xml:space="preserve"> and</w:t>
      </w:r>
      <w:r w:rsidRPr="00CC7B79">
        <w:t xml:space="preserve"> </w:t>
      </w:r>
      <w:r w:rsidR="00C00CEF" w:rsidRPr="00CC7B79">
        <w:t xml:space="preserve">destroying property. The court expressly stated that it </w:t>
      </w:r>
      <w:r w:rsidR="00C526B2" w:rsidRPr="00CC7B79">
        <w:t>wa</w:t>
      </w:r>
      <w:r w:rsidR="00C00CEF" w:rsidRPr="00CC7B79">
        <w:t>s not obliged to specif</w:t>
      </w:r>
      <w:r w:rsidR="00825A90" w:rsidRPr="00CC7B79">
        <w:t>y</w:t>
      </w:r>
      <w:r w:rsidR="00C00CEF" w:rsidRPr="00CC7B79">
        <w:t xml:space="preserve"> actions aim</w:t>
      </w:r>
      <w:r w:rsidR="008E709D" w:rsidRPr="00CC7B79">
        <w:t>ing to</w:t>
      </w:r>
      <w:r w:rsidR="00C00CEF" w:rsidRPr="00CC7B79">
        <w:t xml:space="preserve"> obstruct</w:t>
      </w:r>
      <w:r w:rsidR="008E709D" w:rsidRPr="00CC7B79">
        <w:t xml:space="preserve"> </w:t>
      </w:r>
      <w:r w:rsidR="00C00CEF" w:rsidRPr="00CC7B79">
        <w:t>the investigation, because the sole gravity of charges allowed for</w:t>
      </w:r>
      <w:r w:rsidR="008E709D" w:rsidRPr="00CC7B79">
        <w:t xml:space="preserve"> the</w:t>
      </w:r>
      <w:r w:rsidR="00C00CEF" w:rsidRPr="00CC7B79">
        <w:t xml:space="preserve"> presumption that such actions might be undertaken. It also pointed out that</w:t>
      </w:r>
      <w:r w:rsidR="008E709D" w:rsidRPr="00CC7B79">
        <w:t>,</w:t>
      </w:r>
      <w:r w:rsidR="00C00CEF" w:rsidRPr="00CC7B79">
        <w:t xml:space="preserve"> while at large</w:t>
      </w:r>
      <w:r w:rsidR="008E709D" w:rsidRPr="00CC7B79">
        <w:t>,</w:t>
      </w:r>
      <w:r w:rsidR="00C00CEF" w:rsidRPr="00CC7B79">
        <w:t xml:space="preserve"> the applicant might hinder the investigation</w:t>
      </w:r>
      <w:r w:rsidR="008E709D" w:rsidRPr="00CC7B79">
        <w:t xml:space="preserve"> </w:t>
      </w:r>
      <w:r w:rsidR="00994214" w:rsidRPr="00CC7B79">
        <w:t xml:space="preserve">concerning </w:t>
      </w:r>
      <w:r w:rsidR="00C00CEF" w:rsidRPr="00CC7B79">
        <w:t>other members of the same gang.</w:t>
      </w:r>
    </w:p>
    <w:p w:rsidR="00C00CEF" w:rsidRPr="00CC7B79" w:rsidRDefault="00C00CEF"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14</w:t>
      </w:r>
      <w:r w:rsidRPr="00CC7B79">
        <w:fldChar w:fldCharType="end"/>
      </w:r>
      <w:r w:rsidRPr="00CC7B79">
        <w:t xml:space="preserve">.  On </w:t>
      </w:r>
      <w:r w:rsidR="009934D1" w:rsidRPr="00CC7B79">
        <w:t xml:space="preserve">16 </w:t>
      </w:r>
      <w:r w:rsidRPr="00CC7B79">
        <w:t>September 2011 a bill of indictment against the applicant and fourteen other persons was lodged with the Warsaw Regional Court (XVIII K 297/11).</w:t>
      </w:r>
    </w:p>
    <w:p w:rsidR="00C00CEF" w:rsidRPr="00CC7B79" w:rsidRDefault="00C00CEF"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15</w:t>
      </w:r>
      <w:r w:rsidRPr="00CC7B79">
        <w:fldChar w:fldCharType="end"/>
      </w:r>
      <w:r w:rsidRPr="00CC7B79">
        <w:t>.  The applicant</w:t>
      </w:r>
      <w:r w:rsidR="00CC7B79" w:rsidRPr="00CC7B79">
        <w:t>’</w:t>
      </w:r>
      <w:r w:rsidRPr="00CC7B79">
        <w:t xml:space="preserve">s detention on remand was extended by the Warsaw Regional Court on </w:t>
      </w:r>
      <w:r w:rsidR="009934D1" w:rsidRPr="00CC7B79">
        <w:t xml:space="preserve">26 </w:t>
      </w:r>
      <w:r w:rsidRPr="00CC7B79">
        <w:t xml:space="preserve">September 2011 until </w:t>
      </w:r>
      <w:r w:rsidR="009934D1" w:rsidRPr="00CC7B79">
        <w:t xml:space="preserve">30 </w:t>
      </w:r>
      <w:r w:rsidRPr="00CC7B79">
        <w:t>March 2012.</w:t>
      </w:r>
    </w:p>
    <w:p w:rsidR="00C00CEF" w:rsidRPr="00CC7B79" w:rsidRDefault="00C00CEF"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16</w:t>
      </w:r>
      <w:r w:rsidRPr="00CC7B79">
        <w:fldChar w:fldCharType="end"/>
      </w:r>
      <w:r w:rsidRPr="00CC7B79">
        <w:t xml:space="preserve">.  Between </w:t>
      </w:r>
      <w:r w:rsidR="009934D1" w:rsidRPr="00CC7B79">
        <w:t xml:space="preserve">24 </w:t>
      </w:r>
      <w:r w:rsidRPr="00CC7B79">
        <w:t xml:space="preserve">October 2011 and </w:t>
      </w:r>
      <w:r w:rsidR="009934D1" w:rsidRPr="00CC7B79">
        <w:t xml:space="preserve">24 </w:t>
      </w:r>
      <w:r w:rsidRPr="00CC7B79">
        <w:t xml:space="preserve">October 2012 the applicant served the remaining part of </w:t>
      </w:r>
      <w:r w:rsidR="00994214" w:rsidRPr="00CC7B79">
        <w:t xml:space="preserve">the </w:t>
      </w:r>
      <w:r w:rsidRPr="00CC7B79">
        <w:t xml:space="preserve">prison sentence ordered in case III K 203/09, and from </w:t>
      </w:r>
      <w:r w:rsidR="009934D1" w:rsidRPr="00CC7B79">
        <w:t xml:space="preserve">24 </w:t>
      </w:r>
      <w:r w:rsidRPr="00CC7B79">
        <w:t xml:space="preserve">October 2012 to </w:t>
      </w:r>
      <w:r w:rsidR="009934D1" w:rsidRPr="00CC7B79">
        <w:t xml:space="preserve">23 </w:t>
      </w:r>
      <w:r w:rsidRPr="00CC7B79">
        <w:t xml:space="preserve">October 2013 he served </w:t>
      </w:r>
      <w:r w:rsidR="009934D1" w:rsidRPr="00CC7B79">
        <w:t xml:space="preserve">a </w:t>
      </w:r>
      <w:r w:rsidRPr="00CC7B79">
        <w:t>prison sentence ordered in another set of criminal proceedings against him (III K 1027/07).</w:t>
      </w:r>
    </w:p>
    <w:p w:rsidR="00C00CEF" w:rsidRPr="00CC7B79" w:rsidRDefault="00C00CEF"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17</w:t>
      </w:r>
      <w:r w:rsidRPr="00CC7B79">
        <w:fldChar w:fldCharType="end"/>
      </w:r>
      <w:r w:rsidRPr="00CC7B79">
        <w:t>.  In the meantime, the Warsaw Regional Court extended the applicant</w:t>
      </w:r>
      <w:r w:rsidR="00CC7B79" w:rsidRPr="00CC7B79">
        <w:t>’</w:t>
      </w:r>
      <w:r w:rsidRPr="00CC7B79">
        <w:t xml:space="preserve">s detention on remand on </w:t>
      </w:r>
      <w:r w:rsidR="009934D1" w:rsidRPr="00CC7B79">
        <w:t xml:space="preserve">13 </w:t>
      </w:r>
      <w:r w:rsidRPr="00CC7B79">
        <w:t xml:space="preserve">March, </w:t>
      </w:r>
      <w:r w:rsidR="009934D1" w:rsidRPr="00CC7B79">
        <w:t xml:space="preserve">4 </w:t>
      </w:r>
      <w:r w:rsidRPr="00CC7B79">
        <w:t xml:space="preserve">July and </w:t>
      </w:r>
      <w:r w:rsidR="009934D1" w:rsidRPr="00CC7B79">
        <w:t xml:space="preserve">20 </w:t>
      </w:r>
      <w:r w:rsidRPr="00CC7B79">
        <w:t>September 2012.</w:t>
      </w:r>
      <w:r w:rsidR="00AB25A8" w:rsidRPr="00CC7B79">
        <w:t xml:space="preserve"> The two latter decisions were upheld by the Warsaw Court of Appeal (</w:t>
      </w:r>
      <w:r w:rsidR="00AB25A8" w:rsidRPr="00CC7B79">
        <w:rPr>
          <w:i/>
        </w:rPr>
        <w:t>Sąd Apelacyjny</w:t>
      </w:r>
      <w:r w:rsidR="00AB25A8" w:rsidRPr="00CC7B79">
        <w:t xml:space="preserve">) on </w:t>
      </w:r>
      <w:r w:rsidR="009934D1" w:rsidRPr="00CC7B79">
        <w:t xml:space="preserve">31 </w:t>
      </w:r>
      <w:r w:rsidR="00AB25A8" w:rsidRPr="00CC7B79">
        <w:t xml:space="preserve">July and </w:t>
      </w:r>
      <w:r w:rsidR="009934D1" w:rsidRPr="00CC7B79">
        <w:t xml:space="preserve">4 </w:t>
      </w:r>
      <w:r w:rsidR="00AB25A8" w:rsidRPr="00CC7B79">
        <w:t>October 2012 respectively.</w:t>
      </w:r>
    </w:p>
    <w:bookmarkStart w:id="5" w:name="par18"/>
    <w:p w:rsidR="00067618" w:rsidRPr="00CC7B79" w:rsidRDefault="00AC7609" w:rsidP="00CC7B79">
      <w:pPr>
        <w:pStyle w:val="ECHRPara"/>
      </w:pPr>
      <w:r w:rsidRPr="00CC7B79">
        <w:lastRenderedPageBreak/>
        <w:fldChar w:fldCharType="begin"/>
      </w:r>
      <w:r w:rsidRPr="00CC7B79">
        <w:instrText xml:space="preserve"> SEQ level0 \*arabic </w:instrText>
      </w:r>
      <w:r w:rsidRPr="00CC7B79">
        <w:fldChar w:fldCharType="separate"/>
      </w:r>
      <w:r w:rsidR="00CC7B79" w:rsidRPr="00CC7B79">
        <w:rPr>
          <w:noProof/>
        </w:rPr>
        <w:t>18</w:t>
      </w:r>
      <w:r w:rsidRPr="00CC7B79">
        <w:fldChar w:fldCharType="end"/>
      </w:r>
      <w:bookmarkEnd w:id="5"/>
      <w:r w:rsidRPr="00CC7B79">
        <w:t>.</w:t>
      </w:r>
      <w:r w:rsidR="00AB25A8" w:rsidRPr="00CC7B79">
        <w:t> </w:t>
      </w:r>
      <w:r w:rsidRPr="00CC7B79">
        <w:t> </w:t>
      </w:r>
      <w:r w:rsidR="00AB25A8" w:rsidRPr="00CC7B79">
        <w:t>The Warsaw Court of Appeal extended the applicant</w:t>
      </w:r>
      <w:r w:rsidR="00CC7B79" w:rsidRPr="00CC7B79">
        <w:t>’</w:t>
      </w:r>
      <w:r w:rsidR="00AB25A8" w:rsidRPr="00CC7B79">
        <w:t xml:space="preserve">s detention on 4 October 2012, </w:t>
      </w:r>
      <w:r w:rsidR="009934D1" w:rsidRPr="00CC7B79">
        <w:t xml:space="preserve">15 </w:t>
      </w:r>
      <w:r w:rsidR="00AB25A8" w:rsidRPr="00CC7B79">
        <w:t xml:space="preserve">January, </w:t>
      </w:r>
      <w:r w:rsidR="009934D1" w:rsidRPr="00CC7B79">
        <w:t xml:space="preserve">13 </w:t>
      </w:r>
      <w:r w:rsidR="00AB25A8" w:rsidRPr="00CC7B79">
        <w:t xml:space="preserve">June and </w:t>
      </w:r>
      <w:r w:rsidR="009934D1" w:rsidRPr="00CC7B79">
        <w:t xml:space="preserve">28 </w:t>
      </w:r>
      <w:r w:rsidR="00AB25A8" w:rsidRPr="00CC7B79">
        <w:t>October 2013, 13 March</w:t>
      </w:r>
      <w:r w:rsidR="00067618" w:rsidRPr="00CC7B79">
        <w:t xml:space="preserve">, </w:t>
      </w:r>
      <w:r w:rsidR="00AB25A8" w:rsidRPr="00CC7B79">
        <w:t>29 July</w:t>
      </w:r>
      <w:r w:rsidR="00543AD6" w:rsidRPr="00CC7B79">
        <w:t xml:space="preserve"> </w:t>
      </w:r>
      <w:r w:rsidR="00AB25A8" w:rsidRPr="00CC7B79">
        <w:t xml:space="preserve">and </w:t>
      </w:r>
      <w:r w:rsidR="009934D1" w:rsidRPr="00CC7B79">
        <w:t xml:space="preserve">30 </w:t>
      </w:r>
      <w:r w:rsidR="00AB25A8" w:rsidRPr="00CC7B79">
        <w:t>December 2014, 25</w:t>
      </w:r>
      <w:r w:rsidR="009934D1" w:rsidRPr="00CC7B79">
        <w:t xml:space="preserve"> </w:t>
      </w:r>
      <w:r w:rsidR="00AB25A8" w:rsidRPr="00CC7B79">
        <w:t>June</w:t>
      </w:r>
      <w:r w:rsidR="00543AD6" w:rsidRPr="00CC7B79">
        <w:t xml:space="preserve"> </w:t>
      </w:r>
      <w:r w:rsidR="00AB25A8" w:rsidRPr="00CC7B79">
        <w:t xml:space="preserve">and </w:t>
      </w:r>
      <w:r w:rsidR="009934D1" w:rsidRPr="00CC7B79">
        <w:t xml:space="preserve">22 </w:t>
      </w:r>
      <w:r w:rsidR="00AB25A8" w:rsidRPr="00CC7B79">
        <w:t xml:space="preserve">October 2015 and on 26 January 2016. The court relied on </w:t>
      </w:r>
      <w:r w:rsidR="009934D1" w:rsidRPr="00CC7B79">
        <w:t xml:space="preserve">a </w:t>
      </w:r>
      <w:r w:rsidR="00AB25A8" w:rsidRPr="00CC7B79">
        <w:t xml:space="preserve">high probability that the applicant </w:t>
      </w:r>
      <w:r w:rsidR="005C644F" w:rsidRPr="00CC7B79">
        <w:t xml:space="preserve">and other accused </w:t>
      </w:r>
      <w:r w:rsidR="00AB25A8" w:rsidRPr="00CC7B79">
        <w:t xml:space="preserve">had committed the offences </w:t>
      </w:r>
      <w:r w:rsidR="00994214" w:rsidRPr="00CC7B79">
        <w:t xml:space="preserve">with which they had been charged </w:t>
      </w:r>
      <w:r w:rsidR="00AB25A8" w:rsidRPr="00CC7B79">
        <w:t>and</w:t>
      </w:r>
      <w:r w:rsidR="004A7CFC" w:rsidRPr="00CC7B79">
        <w:t xml:space="preserve"> on</w:t>
      </w:r>
      <w:r w:rsidR="00AB25A8" w:rsidRPr="00CC7B79">
        <w:t xml:space="preserve"> the complexity of the </w:t>
      </w:r>
      <w:r w:rsidR="00994214" w:rsidRPr="00CC7B79">
        <w:t>case</w:t>
      </w:r>
      <w:r w:rsidR="00AB25A8" w:rsidRPr="00CC7B79">
        <w:t xml:space="preserve">. The court also considered that the </w:t>
      </w:r>
      <w:r w:rsidR="005C644F" w:rsidRPr="00CC7B79">
        <w:t xml:space="preserve">persons </w:t>
      </w:r>
      <w:r w:rsidR="00AB25A8" w:rsidRPr="00CC7B79">
        <w:t xml:space="preserve">accused might take actions aiming at obstructing the proper course of the proceedings, because </w:t>
      </w:r>
      <w:r w:rsidR="005C644F" w:rsidRPr="00CC7B79">
        <w:t>t</w:t>
      </w:r>
      <w:r w:rsidR="00AB25A8" w:rsidRPr="00CC7B79">
        <w:t>he</w:t>
      </w:r>
      <w:r w:rsidR="005C644F" w:rsidRPr="00CC7B79">
        <w:t>y</w:t>
      </w:r>
      <w:r w:rsidR="00AB25A8" w:rsidRPr="00CC7B79">
        <w:t xml:space="preserve"> had known other accused</w:t>
      </w:r>
      <w:r w:rsidR="000A10B2" w:rsidRPr="00CC7B79">
        <w:t>,</w:t>
      </w:r>
      <w:r w:rsidR="00AB25A8" w:rsidRPr="00CC7B79">
        <w:t xml:space="preserve"> and the charg</w:t>
      </w:r>
      <w:r w:rsidR="00543AD6" w:rsidRPr="00CC7B79">
        <w:t xml:space="preserve">es against </w:t>
      </w:r>
      <w:r w:rsidR="005C644F" w:rsidRPr="00CC7B79">
        <w:t xml:space="preserve">them included being </w:t>
      </w:r>
      <w:r w:rsidR="00AB25A8" w:rsidRPr="00CC7B79">
        <w:t>member</w:t>
      </w:r>
      <w:r w:rsidR="005C644F" w:rsidRPr="00CC7B79">
        <w:t>s</w:t>
      </w:r>
      <w:r w:rsidR="00AB25A8" w:rsidRPr="00CC7B79">
        <w:t xml:space="preserve"> of an armed and organised criminal gang. The Court of Appeal also considered </w:t>
      </w:r>
      <w:r w:rsidR="004A7CFC" w:rsidRPr="00CC7B79">
        <w:t xml:space="preserve">that there was a </w:t>
      </w:r>
      <w:r w:rsidR="00AB25A8" w:rsidRPr="00CC7B79">
        <w:t xml:space="preserve">high </w:t>
      </w:r>
      <w:r w:rsidR="00AE266E" w:rsidRPr="00CC7B79">
        <w:t>likelihood</w:t>
      </w:r>
      <w:r w:rsidR="00AB25A8" w:rsidRPr="00CC7B79">
        <w:t xml:space="preserve"> of a</w:t>
      </w:r>
      <w:r w:rsidR="000B0C44" w:rsidRPr="00CC7B79">
        <w:t xml:space="preserve"> </w:t>
      </w:r>
      <w:r w:rsidR="00AB25A8" w:rsidRPr="00CC7B79">
        <w:t>severe sentence being imposed.</w:t>
      </w:r>
      <w:r w:rsidR="005C644F" w:rsidRPr="00CC7B79">
        <w:t xml:space="preserve"> The </w:t>
      </w:r>
      <w:r w:rsidR="00994214" w:rsidRPr="00CC7B79">
        <w:t xml:space="preserve">relevant </w:t>
      </w:r>
      <w:r w:rsidR="005C644F" w:rsidRPr="00CC7B79">
        <w:t xml:space="preserve">decisions were </w:t>
      </w:r>
      <w:r w:rsidR="0008082B" w:rsidRPr="00CC7B79">
        <w:t xml:space="preserve">often </w:t>
      </w:r>
      <w:r w:rsidR="00994214" w:rsidRPr="00CC7B79">
        <w:t xml:space="preserve">phrased in </w:t>
      </w:r>
      <w:r w:rsidR="005C644F" w:rsidRPr="00CC7B79">
        <w:t xml:space="preserve">general </w:t>
      </w:r>
      <w:r w:rsidR="00994214" w:rsidRPr="00CC7B79">
        <w:t xml:space="preserve">terms </w:t>
      </w:r>
      <w:r w:rsidR="005C644F" w:rsidRPr="00CC7B79">
        <w:t xml:space="preserve">and no particular </w:t>
      </w:r>
      <w:r w:rsidR="00994214" w:rsidRPr="00CC7B79">
        <w:t>instances of the</w:t>
      </w:r>
      <w:r w:rsidR="005C644F" w:rsidRPr="00CC7B79">
        <w:t xml:space="preserve"> applicant</w:t>
      </w:r>
      <w:r w:rsidR="00CC7B79" w:rsidRPr="00CC7B79">
        <w:t>’</w:t>
      </w:r>
      <w:r w:rsidR="00994214" w:rsidRPr="00CC7B79">
        <w:t>s conduct</w:t>
      </w:r>
      <w:r w:rsidR="005C644F" w:rsidRPr="00CC7B79">
        <w:t xml:space="preserve"> during the investigation or at the judicial stage was provided to substantiate the </w:t>
      </w:r>
      <w:r w:rsidR="004A7CFC" w:rsidRPr="00CC7B79">
        <w:t>extens</w:t>
      </w:r>
      <w:r w:rsidR="005C644F" w:rsidRPr="00CC7B79">
        <w:t>ion of detention on remand.</w:t>
      </w:r>
    </w:p>
    <w:p w:rsidR="00AB25A8" w:rsidRPr="00CC7B79" w:rsidRDefault="005C644F"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19</w:t>
      </w:r>
      <w:r w:rsidRPr="00CC7B79">
        <w:fldChar w:fldCharType="end"/>
      </w:r>
      <w:r w:rsidRPr="00CC7B79">
        <w:t>.  </w:t>
      </w:r>
      <w:r w:rsidR="00230476" w:rsidRPr="00CC7B79">
        <w:t>The applicant</w:t>
      </w:r>
      <w:r w:rsidR="00CC7B79" w:rsidRPr="00CC7B79">
        <w:t>’</w:t>
      </w:r>
      <w:r w:rsidR="00230476" w:rsidRPr="00CC7B79">
        <w:t>s appeals against those decisions were unsuccessful</w:t>
      </w:r>
      <w:r w:rsidR="004A597B" w:rsidRPr="00CC7B79">
        <w:t>. His</w:t>
      </w:r>
      <w:r w:rsidR="00543AD6" w:rsidRPr="00CC7B79">
        <w:t xml:space="preserve"> </w:t>
      </w:r>
      <w:r w:rsidR="001F69F6" w:rsidRPr="00CC7B79">
        <w:t xml:space="preserve">numerous requests for release, </w:t>
      </w:r>
      <w:r w:rsidR="00994214" w:rsidRPr="00CC7B79">
        <w:t xml:space="preserve">including </w:t>
      </w:r>
      <w:r w:rsidR="001F69F6" w:rsidRPr="00CC7B79">
        <w:t xml:space="preserve">on bail, </w:t>
      </w:r>
      <w:r w:rsidR="00543AD6" w:rsidRPr="00CC7B79">
        <w:t>were dismissed.</w:t>
      </w:r>
    </w:p>
    <w:p w:rsidR="00CF6CEB" w:rsidRPr="00CC7B79" w:rsidRDefault="0063119F"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20</w:t>
      </w:r>
      <w:r w:rsidRPr="00CC7B79">
        <w:fldChar w:fldCharType="end"/>
      </w:r>
      <w:r w:rsidRPr="00CC7B79">
        <w:t xml:space="preserve">.  On </w:t>
      </w:r>
      <w:r w:rsidR="009934D1" w:rsidRPr="00CC7B79">
        <w:t xml:space="preserve">4 </w:t>
      </w:r>
      <w:r w:rsidRPr="00CC7B79">
        <w:t>March 2016 the Warsaw Regional Court gave judgment. The applicant was convicted of multiple offences and sentenced to six years</w:t>
      </w:r>
      <w:r w:rsidR="00CC7B79" w:rsidRPr="00CC7B79">
        <w:t>’</w:t>
      </w:r>
      <w:r w:rsidRPr="00CC7B79">
        <w:t xml:space="preserve"> imprisonment and to </w:t>
      </w:r>
      <w:r w:rsidR="009934D1" w:rsidRPr="00CC7B79">
        <w:t xml:space="preserve">a </w:t>
      </w:r>
      <w:r w:rsidRPr="00CC7B79">
        <w:t>fine of 8,</w:t>
      </w:r>
      <w:r w:rsidR="009934D1" w:rsidRPr="00CC7B79">
        <w:t xml:space="preserve">000 </w:t>
      </w:r>
      <w:r w:rsidRPr="00CC7B79">
        <w:t>Polish zlotys (PLN) (approximately 1,850 euros (EUR)). On the same date the applicant</w:t>
      </w:r>
      <w:r w:rsidR="00CC7B79" w:rsidRPr="00CC7B79">
        <w:t>’</w:t>
      </w:r>
      <w:r w:rsidRPr="00CC7B79">
        <w:t xml:space="preserve">s detention </w:t>
      </w:r>
      <w:r w:rsidR="00981209" w:rsidRPr="00CC7B79">
        <w:t xml:space="preserve">on remand </w:t>
      </w:r>
      <w:r w:rsidRPr="00CC7B79">
        <w:t>was lifted</w:t>
      </w:r>
      <w:r w:rsidR="00CF6CEB" w:rsidRPr="00CC7B79">
        <w:t>.</w:t>
      </w:r>
    </w:p>
    <w:p w:rsidR="0063119F" w:rsidRPr="00CC7B79" w:rsidRDefault="0063119F"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21</w:t>
      </w:r>
      <w:r w:rsidRPr="00CC7B79">
        <w:fldChar w:fldCharType="end"/>
      </w:r>
      <w:r w:rsidRPr="00CC7B79">
        <w:t xml:space="preserve">.  On </w:t>
      </w:r>
      <w:r w:rsidR="009934D1" w:rsidRPr="00CC7B79">
        <w:t xml:space="preserve">12 </w:t>
      </w:r>
      <w:r w:rsidRPr="00CC7B79">
        <w:t>May 2017 the Warsaw Court of Appeal upheld that judgment in respect of the applicant.</w:t>
      </w:r>
    </w:p>
    <w:p w:rsidR="00014566" w:rsidRPr="00CC7B79" w:rsidRDefault="00014566" w:rsidP="00CC7B79">
      <w:pPr>
        <w:pStyle w:val="ECHRHeading1"/>
      </w:pPr>
      <w:r w:rsidRPr="00CC7B79">
        <w:t>II.  RELEVANT DOMESTIC LAW AND PRACTICE</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22</w:t>
      </w:r>
      <w:r w:rsidRPr="00CC7B79">
        <w:fldChar w:fldCharType="end"/>
      </w:r>
      <w:r w:rsidR="00014566" w:rsidRPr="00CC7B79">
        <w:t>.  </w:t>
      </w:r>
      <w:r w:rsidR="0063119F" w:rsidRPr="00CC7B79">
        <w:t>The relevant domestic law and practice concerning the imposition of pre-trial detention (</w:t>
      </w:r>
      <w:r w:rsidR="0063119F" w:rsidRPr="00CC7B79">
        <w:rPr>
          <w:i/>
        </w:rPr>
        <w:t>aresztowanie tymczasowe</w:t>
      </w:r>
      <w:r w:rsidR="0063119F" w:rsidRPr="00CC7B79">
        <w:t>), the grounds for its extension, release from detention and rules governing other “preventive measures” (</w:t>
      </w:r>
      <w:r w:rsidR="0063119F" w:rsidRPr="00CC7B79">
        <w:rPr>
          <w:i/>
        </w:rPr>
        <w:t>środki zapobiegawcze</w:t>
      </w:r>
      <w:r w:rsidR="0063119F" w:rsidRPr="00CC7B79">
        <w:t>) are stated in the Court</w:t>
      </w:r>
      <w:r w:rsidR="00CC7B79" w:rsidRPr="00CC7B79">
        <w:t>’</w:t>
      </w:r>
      <w:r w:rsidR="0063119F" w:rsidRPr="00CC7B79">
        <w:t>s judgments in the ca</w:t>
      </w:r>
      <w:r w:rsidR="00CC7B79" w:rsidRPr="00CC7B79">
        <w:t xml:space="preserve">ses of </w:t>
      </w:r>
      <w:r w:rsidR="0063119F" w:rsidRPr="00CC7B79">
        <w:rPr>
          <w:i/>
        </w:rPr>
        <w:t>Gołek v</w:t>
      </w:r>
      <w:r w:rsidR="009934D1" w:rsidRPr="00CC7B79">
        <w:rPr>
          <w:i/>
        </w:rPr>
        <w:t xml:space="preserve">. </w:t>
      </w:r>
      <w:r w:rsidR="0063119F" w:rsidRPr="00CC7B79">
        <w:rPr>
          <w:i/>
        </w:rPr>
        <w:t>Poland</w:t>
      </w:r>
      <w:r w:rsidR="0063119F" w:rsidRPr="00CC7B79">
        <w:t xml:space="preserve"> (no. 31330/02, </w:t>
      </w:r>
      <w:r w:rsidR="009934D1" w:rsidRPr="00CC7B79">
        <w:t xml:space="preserve">§§ </w:t>
      </w:r>
      <w:r w:rsidR="0063119F" w:rsidRPr="00CC7B79">
        <w:t xml:space="preserve">27-33, </w:t>
      </w:r>
      <w:r w:rsidR="009934D1" w:rsidRPr="00CC7B79">
        <w:t xml:space="preserve">25 </w:t>
      </w:r>
      <w:r w:rsidR="0063119F" w:rsidRPr="00CC7B79">
        <w:t>April 2006) and</w:t>
      </w:r>
      <w:r w:rsidR="000F77CE" w:rsidRPr="00CC7B79">
        <w:t xml:space="preserve">, most recently, </w:t>
      </w:r>
      <w:r w:rsidR="00067618" w:rsidRPr="00CC7B79">
        <w:rPr>
          <w:i/>
        </w:rPr>
        <w:t>Kauczor v</w:t>
      </w:r>
      <w:r w:rsidR="009934D1" w:rsidRPr="00CC7B79">
        <w:rPr>
          <w:i/>
        </w:rPr>
        <w:t xml:space="preserve">. </w:t>
      </w:r>
      <w:r w:rsidR="00067618" w:rsidRPr="00CC7B79">
        <w:rPr>
          <w:i/>
        </w:rPr>
        <w:t>Poland</w:t>
      </w:r>
      <w:r w:rsidR="00067618" w:rsidRPr="00CC7B79">
        <w:t xml:space="preserve"> (no</w:t>
      </w:r>
      <w:r w:rsidR="009934D1" w:rsidRPr="00CC7B79">
        <w:t xml:space="preserve">. </w:t>
      </w:r>
      <w:r w:rsidR="00067618" w:rsidRPr="00CC7B79">
        <w:t xml:space="preserve">45219/06, </w:t>
      </w:r>
      <w:r w:rsidR="009934D1" w:rsidRPr="00CC7B79">
        <w:t xml:space="preserve">§§ </w:t>
      </w:r>
      <w:r w:rsidR="00067618" w:rsidRPr="00CC7B79">
        <w:t xml:space="preserve">26-27, </w:t>
      </w:r>
      <w:r w:rsidR="009934D1" w:rsidRPr="00CC7B79">
        <w:t xml:space="preserve">3 </w:t>
      </w:r>
      <w:r w:rsidR="00067618" w:rsidRPr="00CC7B79">
        <w:t>February 2009).</w:t>
      </w:r>
    </w:p>
    <w:p w:rsidR="00014566" w:rsidRPr="00CC7B79" w:rsidRDefault="00014566" w:rsidP="00CC7B79">
      <w:pPr>
        <w:pStyle w:val="ECHRTitle1"/>
      </w:pPr>
      <w:r w:rsidRPr="00CC7B79">
        <w:t>THE LAW</w:t>
      </w:r>
    </w:p>
    <w:p w:rsidR="00014566" w:rsidRPr="00CC7B79" w:rsidRDefault="00014566" w:rsidP="00CC7B79">
      <w:pPr>
        <w:pStyle w:val="ECHRHeading1"/>
      </w:pPr>
      <w:r w:rsidRPr="00CC7B79">
        <w:t xml:space="preserve">I.  ALLEGED VIOLATION OF </w:t>
      </w:r>
      <w:r w:rsidR="009934D1" w:rsidRPr="00CC7B79">
        <w:t xml:space="preserve">ARTICLE </w:t>
      </w:r>
      <w:r w:rsidR="0063119F" w:rsidRPr="00CC7B79">
        <w:t xml:space="preserve">5 </w:t>
      </w:r>
      <w:r w:rsidR="009934D1" w:rsidRPr="00CC7B79">
        <w:t xml:space="preserve">§ </w:t>
      </w:r>
      <w:r w:rsidR="0063119F" w:rsidRPr="00CC7B79">
        <w:t>3</w:t>
      </w:r>
      <w:r w:rsidRPr="00CC7B79">
        <w:t xml:space="preserve"> OF THE CONVENTION</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23</w:t>
      </w:r>
      <w:r w:rsidRPr="00CC7B79">
        <w:fldChar w:fldCharType="end"/>
      </w:r>
      <w:r w:rsidR="00014566" w:rsidRPr="00CC7B79">
        <w:t>.  </w:t>
      </w:r>
      <w:r w:rsidR="00022411" w:rsidRPr="00CC7B79">
        <w:t xml:space="preserve">The applicant complained that the length of his detention on remand had been excessive. He relied on </w:t>
      </w:r>
      <w:r w:rsidR="009934D1" w:rsidRPr="00CC7B79">
        <w:t xml:space="preserve">Article </w:t>
      </w:r>
      <w:r w:rsidR="00022411" w:rsidRPr="00CC7B79">
        <w:t xml:space="preserve">5 </w:t>
      </w:r>
      <w:r w:rsidR="009934D1" w:rsidRPr="00CC7B79">
        <w:t xml:space="preserve">§ </w:t>
      </w:r>
      <w:r w:rsidR="00022411" w:rsidRPr="00CC7B79">
        <w:t>3 of the Convention which, in so far as relevant, reads as follows</w:t>
      </w:r>
      <w:r w:rsidR="0041560D" w:rsidRPr="00CC7B79">
        <w:t>:</w:t>
      </w:r>
    </w:p>
    <w:p w:rsidR="00014566" w:rsidRPr="00CC7B79" w:rsidRDefault="00022411" w:rsidP="00CC7B79">
      <w:pPr>
        <w:pStyle w:val="ECHRParaQuote"/>
      </w:pPr>
      <w:r w:rsidRPr="00CC7B79">
        <w:lastRenderedPageBreak/>
        <w:t xml:space="preserve">“Everyone arrested or detained in accordance with the provisions of </w:t>
      </w:r>
      <w:r w:rsidR="009934D1" w:rsidRPr="00CC7B79">
        <w:t xml:space="preserve">paragraph </w:t>
      </w:r>
      <w:r w:rsidRPr="00CC7B79">
        <w:t>1 (c) of this Article shall be ... entitled to trial within a reasonable time or to release pending trial. Release may be conditioned by guarantees to appear for trial.”</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24</w:t>
      </w:r>
      <w:r w:rsidRPr="00CC7B79">
        <w:fldChar w:fldCharType="end"/>
      </w:r>
      <w:r w:rsidR="00014566" w:rsidRPr="00CC7B79">
        <w:t>.  The Government contested that argument.</w:t>
      </w:r>
    </w:p>
    <w:p w:rsidR="00014566" w:rsidRPr="00CC7B79" w:rsidRDefault="00014566" w:rsidP="00CC7B79">
      <w:pPr>
        <w:pStyle w:val="ECHRHeading2"/>
      </w:pPr>
      <w:r w:rsidRPr="00CC7B79">
        <w:t>A.  Admissibility</w:t>
      </w:r>
    </w:p>
    <w:p w:rsidR="00022411" w:rsidRPr="00CC7B79" w:rsidRDefault="00022411"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25</w:t>
      </w:r>
      <w:r w:rsidRPr="00CC7B79">
        <w:fldChar w:fldCharType="end"/>
      </w:r>
      <w:r w:rsidRPr="00CC7B79">
        <w:t xml:space="preserve">.  The Government submitted </w:t>
      </w:r>
      <w:r w:rsidR="00994214" w:rsidRPr="00CC7B79">
        <w:t xml:space="preserve">a </w:t>
      </w:r>
      <w:r w:rsidRPr="00CC7B79">
        <w:t>preliminary objection of non</w:t>
      </w:r>
      <w:r w:rsidR="003C21F7" w:rsidRPr="00CC7B79">
        <w:noBreakHyphen/>
      </w:r>
      <w:r w:rsidRPr="00CC7B79">
        <w:t xml:space="preserve">exhaustion of domestic remedies by the applicant, </w:t>
      </w:r>
      <w:r w:rsidR="00994214" w:rsidRPr="00CC7B79">
        <w:t xml:space="preserve">pointing out that he had </w:t>
      </w:r>
      <w:r w:rsidRPr="00CC7B79">
        <w:t>failed to lodge an interlocutory appeal against the decision</w:t>
      </w:r>
      <w:r w:rsidR="00C74836" w:rsidRPr="00CC7B79">
        <w:t>s</w:t>
      </w:r>
      <w:r w:rsidRPr="00CC7B79">
        <w:t xml:space="preserve"> of 23 May</w:t>
      </w:r>
      <w:r w:rsidR="00C74836" w:rsidRPr="00CC7B79">
        <w:t>,</w:t>
      </w:r>
      <w:r w:rsidRPr="00CC7B79">
        <w:t xml:space="preserve"> 22</w:t>
      </w:r>
      <w:r w:rsidR="009934D1" w:rsidRPr="00CC7B79">
        <w:t> </w:t>
      </w:r>
      <w:r w:rsidRPr="00CC7B79">
        <w:t xml:space="preserve">August and </w:t>
      </w:r>
      <w:r w:rsidR="009934D1" w:rsidRPr="00CC7B79">
        <w:t xml:space="preserve">16 </w:t>
      </w:r>
      <w:r w:rsidRPr="00CC7B79">
        <w:t xml:space="preserve">September 2011 and </w:t>
      </w:r>
      <w:r w:rsidR="009934D1" w:rsidRPr="00CC7B79">
        <w:t xml:space="preserve">13 </w:t>
      </w:r>
      <w:r w:rsidRPr="00CC7B79">
        <w:t>March 2012.</w:t>
      </w:r>
    </w:p>
    <w:p w:rsidR="00022411" w:rsidRPr="00CC7B79" w:rsidRDefault="00022411"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26</w:t>
      </w:r>
      <w:r w:rsidRPr="00CC7B79">
        <w:fldChar w:fldCharType="end"/>
      </w:r>
      <w:r w:rsidRPr="00CC7B79">
        <w:t>.  </w:t>
      </w:r>
      <w:r w:rsidR="0064531B" w:rsidRPr="00CC7B79">
        <w:t xml:space="preserve">The applicant </w:t>
      </w:r>
      <w:r w:rsidR="008843AE" w:rsidRPr="00CC7B79">
        <w:t xml:space="preserve">did not make any comment </w:t>
      </w:r>
      <w:r w:rsidR="00D160DE" w:rsidRPr="00CC7B79">
        <w:t xml:space="preserve">on </w:t>
      </w:r>
      <w:r w:rsidR="008843AE" w:rsidRPr="00CC7B79">
        <w:t>that objection.</w:t>
      </w:r>
    </w:p>
    <w:p w:rsidR="00C74836" w:rsidRPr="00CC7B79" w:rsidRDefault="008843AE"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27</w:t>
      </w:r>
      <w:r w:rsidRPr="00CC7B79">
        <w:fldChar w:fldCharType="end"/>
      </w:r>
      <w:r w:rsidRPr="00CC7B79">
        <w:t xml:space="preserve">.  In the present case, the applicant appealed against </w:t>
      </w:r>
      <w:r w:rsidR="00981209" w:rsidRPr="00CC7B79">
        <w:t xml:space="preserve">the </w:t>
      </w:r>
      <w:r w:rsidR="004B360A" w:rsidRPr="00CC7B79">
        <w:t>great majority</w:t>
      </w:r>
      <w:r w:rsidRPr="00CC7B79">
        <w:t xml:space="preserve"> of the decisions which had extended his detention</w:t>
      </w:r>
      <w:r w:rsidR="00C74836" w:rsidRPr="00CC7B79">
        <w:t xml:space="preserve"> (compare and contrast</w:t>
      </w:r>
      <w:r w:rsidR="00C74836" w:rsidRPr="00CC7B79">
        <w:rPr>
          <w:i/>
        </w:rPr>
        <w:t xml:space="preserve"> Bronk v</w:t>
      </w:r>
      <w:r w:rsidR="009934D1" w:rsidRPr="00CC7B79">
        <w:rPr>
          <w:i/>
        </w:rPr>
        <w:t xml:space="preserve">. </w:t>
      </w:r>
      <w:r w:rsidR="00C74836" w:rsidRPr="00CC7B79">
        <w:rPr>
          <w:i/>
        </w:rPr>
        <w:t>Poland</w:t>
      </w:r>
      <w:r w:rsidR="00C74836" w:rsidRPr="00CC7B79">
        <w:t xml:space="preserve"> (dec.), no</w:t>
      </w:r>
      <w:r w:rsidR="009934D1" w:rsidRPr="00CC7B79">
        <w:t xml:space="preserve">. </w:t>
      </w:r>
      <w:r w:rsidR="00C74836" w:rsidRPr="00CC7B79">
        <w:t xml:space="preserve">30848/03, </w:t>
      </w:r>
      <w:r w:rsidR="009934D1" w:rsidRPr="00CC7B79">
        <w:t xml:space="preserve">11 </w:t>
      </w:r>
      <w:r w:rsidR="00C74836" w:rsidRPr="00CC7B79">
        <w:t>September 2007 – in that case the applicant did not challenge any of the decisions concerning his detention).</w:t>
      </w:r>
      <w:r w:rsidR="00D160DE" w:rsidRPr="00CC7B79">
        <w:t xml:space="preserve"> The Court considers that the purpose of the remedies used by the applicant was to obtain a review of his detention pending trial. In the circumstances of the case</w:t>
      </w:r>
      <w:r w:rsidR="003F7887" w:rsidRPr="00CC7B79">
        <w:t>,</w:t>
      </w:r>
      <w:r w:rsidR="00D160DE" w:rsidRPr="00CC7B79">
        <w:t xml:space="preserve"> these remedies constituted adequate and effective remedies within the meaning of Article 35 of the Convention as their aim was to obtain his release.</w:t>
      </w:r>
    </w:p>
    <w:p w:rsidR="0064531B" w:rsidRPr="00CC7B79" w:rsidRDefault="008843AE"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28</w:t>
      </w:r>
      <w:r w:rsidRPr="00CC7B79">
        <w:fldChar w:fldCharType="end"/>
      </w:r>
      <w:r w:rsidRPr="00CC7B79">
        <w:t xml:space="preserve">.  The Court notes that the arguments raised by the Government are similar to those already examined and rejected in previous cases against Poland (see </w:t>
      </w:r>
      <w:r w:rsidRPr="00CC7B79">
        <w:rPr>
          <w:i/>
        </w:rPr>
        <w:t>Tomecki v</w:t>
      </w:r>
      <w:r w:rsidR="009934D1" w:rsidRPr="00CC7B79">
        <w:rPr>
          <w:i/>
        </w:rPr>
        <w:t xml:space="preserve">. </w:t>
      </w:r>
      <w:r w:rsidRPr="00CC7B79">
        <w:rPr>
          <w:i/>
        </w:rPr>
        <w:t>Poland</w:t>
      </w:r>
      <w:r w:rsidRPr="00CC7B79">
        <w:t>, no</w:t>
      </w:r>
      <w:r w:rsidR="009934D1" w:rsidRPr="00CC7B79">
        <w:t xml:space="preserve">. </w:t>
      </w:r>
      <w:r w:rsidRPr="00CC7B79">
        <w:t xml:space="preserve">47944/06, </w:t>
      </w:r>
      <w:r w:rsidR="009934D1" w:rsidRPr="00CC7B79">
        <w:t xml:space="preserve">§§ </w:t>
      </w:r>
      <w:r w:rsidRPr="00CC7B79">
        <w:t xml:space="preserve">19-21, </w:t>
      </w:r>
      <w:r w:rsidR="009934D1" w:rsidRPr="00CC7B79">
        <w:t xml:space="preserve">20 </w:t>
      </w:r>
      <w:r w:rsidRPr="00CC7B79">
        <w:t xml:space="preserve">May 2008, and </w:t>
      </w:r>
      <w:r w:rsidRPr="00CC7B79">
        <w:rPr>
          <w:i/>
        </w:rPr>
        <w:t>Bielski v</w:t>
      </w:r>
      <w:r w:rsidR="009934D1" w:rsidRPr="00CC7B79">
        <w:rPr>
          <w:i/>
        </w:rPr>
        <w:t xml:space="preserve">. </w:t>
      </w:r>
      <w:r w:rsidRPr="00CC7B79">
        <w:rPr>
          <w:i/>
        </w:rPr>
        <w:t>Poland and Germany</w:t>
      </w:r>
      <w:r w:rsidRPr="00CC7B79">
        <w:t>, no</w:t>
      </w:r>
      <w:r w:rsidR="009934D1" w:rsidRPr="00CC7B79">
        <w:t xml:space="preserve">. </w:t>
      </w:r>
      <w:r w:rsidRPr="00CC7B79">
        <w:t>18120/03, §§</w:t>
      </w:r>
      <w:r w:rsidR="009934D1" w:rsidRPr="00CC7B79">
        <w:t xml:space="preserve"> </w:t>
      </w:r>
      <w:r w:rsidRPr="00CC7B79">
        <w:t xml:space="preserve">31-35, </w:t>
      </w:r>
      <w:r w:rsidR="009934D1" w:rsidRPr="00CC7B79">
        <w:t xml:space="preserve">3 </w:t>
      </w:r>
      <w:r w:rsidRPr="00CC7B79">
        <w:t>May 2011) and that the Government have not submitted any new circumstances which would lead the Court to depart from its previous findings.</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29</w:t>
      </w:r>
      <w:r w:rsidRPr="00CC7B79">
        <w:fldChar w:fldCharType="end"/>
      </w:r>
      <w:r w:rsidR="00014566" w:rsidRPr="00CC7B79">
        <w:t>.  </w:t>
      </w:r>
      <w:r w:rsidR="008843AE" w:rsidRPr="00CC7B79">
        <w:t xml:space="preserve">It follows that </w:t>
      </w:r>
      <w:r w:rsidR="00C74836" w:rsidRPr="00CC7B79">
        <w:t>the Government</w:t>
      </w:r>
      <w:r w:rsidR="00CC7B79" w:rsidRPr="00CC7B79">
        <w:t>’</w:t>
      </w:r>
      <w:r w:rsidR="00C74836" w:rsidRPr="00CC7B79">
        <w:t xml:space="preserve">s objection should be dismissed. </w:t>
      </w:r>
      <w:r w:rsidR="008843AE" w:rsidRPr="00CC7B79">
        <w:t xml:space="preserve">The Court further notes that this complaint is not manifestly ill-founded within the meaning of </w:t>
      </w:r>
      <w:r w:rsidR="009934D1" w:rsidRPr="00CC7B79">
        <w:t xml:space="preserve">Article </w:t>
      </w:r>
      <w:r w:rsidR="008843AE" w:rsidRPr="00CC7B79">
        <w:t xml:space="preserve">35 </w:t>
      </w:r>
      <w:r w:rsidR="009934D1" w:rsidRPr="00CC7B79">
        <w:t xml:space="preserve">§ </w:t>
      </w:r>
      <w:r w:rsidR="008843AE" w:rsidRPr="00CC7B79">
        <w:t>3 of the Convention. It further notes that it is not inadmissible on any other grounds. It must therefore be declared admissible.</w:t>
      </w:r>
    </w:p>
    <w:p w:rsidR="00014566" w:rsidRPr="00CC7B79" w:rsidRDefault="00014566" w:rsidP="00CC7B79">
      <w:pPr>
        <w:pStyle w:val="ECHRHeading2"/>
      </w:pPr>
      <w:r w:rsidRPr="00CC7B79">
        <w:t>B.  Merits</w:t>
      </w:r>
    </w:p>
    <w:p w:rsidR="008843AE" w:rsidRPr="00CC7B79" w:rsidRDefault="008843AE" w:rsidP="00CC7B79">
      <w:pPr>
        <w:pStyle w:val="ECHRHeading3"/>
      </w:pPr>
      <w:r w:rsidRPr="00CC7B79">
        <w:t>1.  Period to be taken into consideration</w:t>
      </w:r>
    </w:p>
    <w:p w:rsidR="00493202" w:rsidRPr="00CC7B79" w:rsidRDefault="00493202"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30</w:t>
      </w:r>
      <w:r w:rsidRPr="00CC7B79">
        <w:fldChar w:fldCharType="end"/>
      </w:r>
      <w:r w:rsidRPr="00CC7B79">
        <w:t>.  </w:t>
      </w:r>
      <w:r w:rsidR="008843AE" w:rsidRPr="00CC7B79">
        <w:t>The applicant</w:t>
      </w:r>
      <w:r w:rsidR="00CC7B79" w:rsidRPr="00CC7B79">
        <w:t>’</w:t>
      </w:r>
      <w:r w:rsidR="008843AE" w:rsidRPr="00CC7B79">
        <w:t xml:space="preserve">s detention </w:t>
      </w:r>
      <w:r w:rsidRPr="00CC7B79">
        <w:t xml:space="preserve">on remand </w:t>
      </w:r>
      <w:r w:rsidR="008843AE" w:rsidRPr="00CC7B79">
        <w:t xml:space="preserve">lasted from </w:t>
      </w:r>
      <w:r w:rsidR="009934D1" w:rsidRPr="00CC7B79">
        <w:t>26</w:t>
      </w:r>
      <w:r w:rsidR="007750F3" w:rsidRPr="00CC7B79">
        <w:t> </w:t>
      </w:r>
      <w:r w:rsidR="008843AE" w:rsidRPr="00CC7B79">
        <w:t xml:space="preserve">November 2010, when he was arrested by the police, until </w:t>
      </w:r>
      <w:r w:rsidR="009934D1" w:rsidRPr="00CC7B79">
        <w:t xml:space="preserve">4 </w:t>
      </w:r>
      <w:r w:rsidRPr="00CC7B79">
        <w:t>March 2016,</w:t>
      </w:r>
      <w:r w:rsidR="008843AE" w:rsidRPr="00CC7B79">
        <w:t xml:space="preserve"> when he was </w:t>
      </w:r>
      <w:r w:rsidR="00981209" w:rsidRPr="00CC7B79">
        <w:t>convicted by the first-instance court</w:t>
      </w:r>
      <w:r w:rsidR="00994214" w:rsidRPr="00CC7B79">
        <w:t>, which amounts to five years, three months and nine days.</w:t>
      </w:r>
    </w:p>
    <w:p w:rsidR="00EF7FC6" w:rsidRPr="00CC7B79" w:rsidRDefault="00493202"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31</w:t>
      </w:r>
      <w:r w:rsidRPr="00CC7B79">
        <w:fldChar w:fldCharType="end"/>
      </w:r>
      <w:r w:rsidRPr="00CC7B79">
        <w:t xml:space="preserve">.  However, during the periods from </w:t>
      </w:r>
      <w:r w:rsidR="009934D1" w:rsidRPr="00CC7B79">
        <w:t xml:space="preserve">18 </w:t>
      </w:r>
      <w:r w:rsidRPr="00CC7B79">
        <w:t xml:space="preserve">March to </w:t>
      </w:r>
      <w:r w:rsidR="009934D1" w:rsidRPr="00CC7B79">
        <w:t xml:space="preserve">12 </w:t>
      </w:r>
      <w:r w:rsidRPr="00CC7B79">
        <w:t xml:space="preserve">April 2011, from 24 October 2011 to </w:t>
      </w:r>
      <w:r w:rsidR="009934D1" w:rsidRPr="00CC7B79">
        <w:t xml:space="preserve">24 </w:t>
      </w:r>
      <w:r w:rsidRPr="00CC7B79">
        <w:t xml:space="preserve">October 2012 and from </w:t>
      </w:r>
      <w:r w:rsidR="009934D1" w:rsidRPr="00CC7B79">
        <w:t xml:space="preserve">24 </w:t>
      </w:r>
      <w:r w:rsidRPr="00CC7B79">
        <w:t>October 2012 to 23 October 2013</w:t>
      </w:r>
      <w:r w:rsidR="00ED54B9" w:rsidRPr="00CC7B79">
        <w:t>,</w:t>
      </w:r>
      <w:r w:rsidRPr="00CC7B79">
        <w:t xml:space="preserve"> the </w:t>
      </w:r>
      <w:r w:rsidR="00172587" w:rsidRPr="00CC7B79">
        <w:t xml:space="preserve">applicant </w:t>
      </w:r>
      <w:r w:rsidR="00D53BDD" w:rsidRPr="00CC7B79">
        <w:t xml:space="preserve">served </w:t>
      </w:r>
      <w:r w:rsidR="00717B36" w:rsidRPr="00CC7B79">
        <w:t xml:space="preserve">prison </w:t>
      </w:r>
      <w:r w:rsidR="00D53BDD" w:rsidRPr="00CC7B79">
        <w:t>sentences</w:t>
      </w:r>
      <w:r w:rsidR="00994214" w:rsidRPr="00CC7B79">
        <w:t>.</w:t>
      </w:r>
      <w:r w:rsidR="00D53BDD" w:rsidRPr="00CC7B79">
        <w:t xml:space="preserve"> </w:t>
      </w:r>
      <w:r w:rsidR="00994214" w:rsidRPr="00CC7B79">
        <w:t>T</w:t>
      </w:r>
      <w:r w:rsidR="00D53BDD" w:rsidRPr="00CC7B79">
        <w:t>herefore</w:t>
      </w:r>
      <w:r w:rsidR="00994214" w:rsidRPr="00CC7B79">
        <w:t>,</w:t>
      </w:r>
      <w:r w:rsidR="00D53BDD" w:rsidRPr="00CC7B79">
        <w:t xml:space="preserve"> he was </w:t>
      </w:r>
      <w:r w:rsidR="00D53BDD" w:rsidRPr="00CC7B79">
        <w:lastRenderedPageBreak/>
        <w:t xml:space="preserve">detained “after conviction by </w:t>
      </w:r>
      <w:r w:rsidR="009934D1" w:rsidRPr="00CC7B79">
        <w:t xml:space="preserve">a </w:t>
      </w:r>
      <w:r w:rsidR="00D53BDD" w:rsidRPr="00CC7B79">
        <w:t>competent court”, within the meaning of Article</w:t>
      </w:r>
      <w:r w:rsidR="009934D1" w:rsidRPr="00CC7B79">
        <w:t xml:space="preserve"> </w:t>
      </w:r>
      <w:r w:rsidR="00D53BDD" w:rsidRPr="00CC7B79">
        <w:t>5 §</w:t>
      </w:r>
      <w:r w:rsidR="009934D1" w:rsidRPr="00CC7B79">
        <w:t xml:space="preserve"> 1 </w:t>
      </w:r>
      <w:r w:rsidR="00D53BDD" w:rsidRPr="00CC7B79">
        <w:t>(a) and that period of his detention falls outside the scope of Article</w:t>
      </w:r>
      <w:r w:rsidR="009934D1" w:rsidRPr="00CC7B79">
        <w:t xml:space="preserve"> </w:t>
      </w:r>
      <w:r w:rsidR="00D53BDD" w:rsidRPr="00CC7B79">
        <w:t>5 §</w:t>
      </w:r>
      <w:r w:rsidR="009934D1" w:rsidRPr="00CC7B79">
        <w:t xml:space="preserve"> </w:t>
      </w:r>
      <w:r w:rsidR="00D53BDD" w:rsidRPr="00CC7B79">
        <w:t xml:space="preserve">3. </w:t>
      </w:r>
      <w:r w:rsidR="004B360A" w:rsidRPr="00CC7B79">
        <w:t>Accordingly</w:t>
      </w:r>
      <w:r w:rsidR="00D53BDD" w:rsidRPr="00CC7B79">
        <w:t>, the period to be taken into consideration</w:t>
      </w:r>
      <w:r w:rsidR="00EF7FC6" w:rsidRPr="00CC7B79">
        <w:t xml:space="preserve"> in the present case amount</w:t>
      </w:r>
      <w:r w:rsidR="00981209" w:rsidRPr="00CC7B79">
        <w:t>ed</w:t>
      </w:r>
      <w:r w:rsidR="00EF7FC6" w:rsidRPr="00CC7B79">
        <w:t xml:space="preserve"> to three years, two months and nine days.</w:t>
      </w:r>
    </w:p>
    <w:p w:rsidR="00EF7FC6" w:rsidRPr="00CC7B79" w:rsidRDefault="00EF7FC6" w:rsidP="00CC7B79">
      <w:pPr>
        <w:pStyle w:val="ECHRHeading3"/>
      </w:pPr>
      <w:r w:rsidRPr="00CC7B79">
        <w:t>2.  The parties</w:t>
      </w:r>
      <w:r w:rsidR="00CC7B79" w:rsidRPr="00CC7B79">
        <w:t>’</w:t>
      </w:r>
      <w:r w:rsidRPr="00CC7B79">
        <w:t xml:space="preserve"> submissions</w:t>
      </w:r>
    </w:p>
    <w:p w:rsidR="00EF7FC6" w:rsidRPr="00CC7B79" w:rsidRDefault="00EF7FC6" w:rsidP="00CC7B79">
      <w:pPr>
        <w:pStyle w:val="ECHRHeading4"/>
      </w:pPr>
      <w:r w:rsidRPr="00CC7B79">
        <w:t>(a)  The Government</w:t>
      </w:r>
    </w:p>
    <w:p w:rsidR="004D616D" w:rsidRPr="00CC7B79" w:rsidRDefault="00EF7FC6" w:rsidP="00CC7B79">
      <w:pPr>
        <w:pStyle w:val="ECHRPara"/>
        <w:rPr>
          <w:snapToGrid w:val="0"/>
        </w:rPr>
      </w:pPr>
      <w:r w:rsidRPr="00CC7B79">
        <w:fldChar w:fldCharType="begin"/>
      </w:r>
      <w:r w:rsidRPr="00CC7B79">
        <w:instrText xml:space="preserve"> SEQ level0 \*arabic </w:instrText>
      </w:r>
      <w:r w:rsidRPr="00CC7B79">
        <w:fldChar w:fldCharType="separate"/>
      </w:r>
      <w:r w:rsidR="00CC7B79" w:rsidRPr="00CC7B79">
        <w:rPr>
          <w:noProof/>
        </w:rPr>
        <w:t>32</w:t>
      </w:r>
      <w:r w:rsidRPr="00CC7B79">
        <w:fldChar w:fldCharType="end"/>
      </w:r>
      <w:r w:rsidRPr="00CC7B79">
        <w:t>. </w:t>
      </w:r>
      <w:r w:rsidR="00517E26" w:rsidRPr="00CC7B79">
        <w:t> </w:t>
      </w:r>
      <w:r w:rsidRPr="00CC7B79">
        <w:t xml:space="preserve">The Government </w:t>
      </w:r>
      <w:r w:rsidR="004D616D" w:rsidRPr="00CC7B79">
        <w:t>submitted</w:t>
      </w:r>
      <w:r w:rsidRPr="00CC7B79">
        <w:t xml:space="preserve"> that</w:t>
      </w:r>
      <w:r w:rsidR="00D536C3" w:rsidRPr="00CC7B79">
        <w:t>,</w:t>
      </w:r>
      <w:r w:rsidRPr="00CC7B79">
        <w:t xml:space="preserve"> should the Court find that the applicant had exhausted</w:t>
      </w:r>
      <w:r w:rsidR="00C561E7" w:rsidRPr="00CC7B79">
        <w:t xml:space="preserve"> </w:t>
      </w:r>
      <w:r w:rsidRPr="00CC7B79">
        <w:t>domestic remedies</w:t>
      </w:r>
      <w:r w:rsidR="004D616D" w:rsidRPr="00CC7B79">
        <w:t>, there ha</w:t>
      </w:r>
      <w:r w:rsidR="00981209" w:rsidRPr="00CC7B79">
        <w:t>d</w:t>
      </w:r>
      <w:r w:rsidR="004D616D" w:rsidRPr="00CC7B79">
        <w:t xml:space="preserve"> been</w:t>
      </w:r>
      <w:r w:rsidRPr="00CC7B79">
        <w:t xml:space="preserve"> </w:t>
      </w:r>
      <w:r w:rsidR="004D616D" w:rsidRPr="00CC7B79">
        <w:t xml:space="preserve">no </w:t>
      </w:r>
      <w:r w:rsidRPr="00CC7B79">
        <w:t xml:space="preserve">violation of </w:t>
      </w:r>
      <w:r w:rsidR="009934D1" w:rsidRPr="00CC7B79">
        <w:t xml:space="preserve">Article </w:t>
      </w:r>
      <w:r w:rsidR="004D616D" w:rsidRPr="00CC7B79">
        <w:t xml:space="preserve">5 </w:t>
      </w:r>
      <w:r w:rsidR="009934D1" w:rsidRPr="00CC7B79">
        <w:t xml:space="preserve">§ </w:t>
      </w:r>
      <w:r w:rsidR="004D616D" w:rsidRPr="00CC7B79">
        <w:t>3 of the Convention</w:t>
      </w:r>
      <w:r w:rsidRPr="00CC7B79">
        <w:t>.</w:t>
      </w:r>
      <w:r w:rsidR="00C561E7" w:rsidRPr="00CC7B79">
        <w:t xml:space="preserve"> </w:t>
      </w:r>
      <w:r w:rsidR="004D616D" w:rsidRPr="00CC7B79">
        <w:t>The</w:t>
      </w:r>
      <w:r w:rsidR="00994214" w:rsidRPr="00CC7B79">
        <w:t xml:space="preserve">y </w:t>
      </w:r>
      <w:r w:rsidR="00FE16B8" w:rsidRPr="00CC7B79">
        <w:t xml:space="preserve">argued </w:t>
      </w:r>
      <w:r w:rsidR="004D616D" w:rsidRPr="00CC7B79">
        <w:t>that</w:t>
      </w:r>
      <w:r w:rsidR="001654B3" w:rsidRPr="00CC7B79">
        <w:t>,</w:t>
      </w:r>
      <w:r w:rsidR="004D616D" w:rsidRPr="00CC7B79">
        <w:t xml:space="preserve"> according to the Court</w:t>
      </w:r>
      <w:r w:rsidR="00CC7B79" w:rsidRPr="00CC7B79">
        <w:t>’</w:t>
      </w:r>
      <w:r w:rsidR="004D616D" w:rsidRPr="00CC7B79">
        <w:t xml:space="preserve">s </w:t>
      </w:r>
      <w:r w:rsidR="00120429" w:rsidRPr="00CC7B79">
        <w:t>case-</w:t>
      </w:r>
      <w:r w:rsidR="004D616D" w:rsidRPr="00CC7B79">
        <w:t>law</w:t>
      </w:r>
      <w:r w:rsidR="00D536C3" w:rsidRPr="00CC7B79">
        <w:t>,</w:t>
      </w:r>
      <w:r w:rsidR="004D616D" w:rsidRPr="00CC7B79">
        <w:t xml:space="preserve"> </w:t>
      </w:r>
      <w:r w:rsidR="00C74836" w:rsidRPr="00CC7B79">
        <w:t xml:space="preserve">the </w:t>
      </w:r>
      <w:r w:rsidR="004D616D" w:rsidRPr="00CC7B79">
        <w:t xml:space="preserve">particular circumstances of the case </w:t>
      </w:r>
      <w:r w:rsidR="006F431D" w:rsidRPr="00CC7B79">
        <w:t xml:space="preserve">had </w:t>
      </w:r>
      <w:r w:rsidR="004D616D" w:rsidRPr="00CC7B79">
        <w:t>justif</w:t>
      </w:r>
      <w:r w:rsidR="006F431D" w:rsidRPr="00CC7B79">
        <w:t>ied</w:t>
      </w:r>
      <w:r w:rsidR="004D616D" w:rsidRPr="00CC7B79">
        <w:t xml:space="preserve"> </w:t>
      </w:r>
      <w:r w:rsidR="001C6720" w:rsidRPr="00CC7B79">
        <w:t xml:space="preserve">a </w:t>
      </w:r>
      <w:r w:rsidR="004D616D" w:rsidRPr="00CC7B79">
        <w:t xml:space="preserve">period of </w:t>
      </w:r>
      <w:r w:rsidR="006F431D" w:rsidRPr="00CC7B79">
        <w:t>the applicant</w:t>
      </w:r>
      <w:r w:rsidR="00CC7B79" w:rsidRPr="00CC7B79">
        <w:t>’</w:t>
      </w:r>
      <w:r w:rsidR="006F431D" w:rsidRPr="00CC7B79">
        <w:t xml:space="preserve">s </w:t>
      </w:r>
      <w:r w:rsidR="004D616D" w:rsidRPr="00CC7B79">
        <w:t xml:space="preserve">detention </w:t>
      </w:r>
      <w:r w:rsidR="0039472E" w:rsidRPr="00CC7B79">
        <w:t xml:space="preserve">of over </w:t>
      </w:r>
      <w:r w:rsidR="004D616D" w:rsidRPr="00CC7B79">
        <w:t>three years</w:t>
      </w:r>
      <w:r w:rsidR="0039472E" w:rsidRPr="00CC7B79">
        <w:t>.</w:t>
      </w:r>
    </w:p>
    <w:p w:rsidR="00230476" w:rsidRPr="00CC7B79" w:rsidRDefault="00885650"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33</w:t>
      </w:r>
      <w:r w:rsidRPr="00CC7B79">
        <w:fldChar w:fldCharType="end"/>
      </w:r>
      <w:r w:rsidRPr="00CC7B79">
        <w:t>.  </w:t>
      </w:r>
      <w:r w:rsidR="004D616D" w:rsidRPr="00CC7B79">
        <w:t>In the Government</w:t>
      </w:r>
      <w:r w:rsidR="00CC7B79" w:rsidRPr="00CC7B79">
        <w:t>’</w:t>
      </w:r>
      <w:r w:rsidR="004D616D" w:rsidRPr="00CC7B79">
        <w:t>s opinion</w:t>
      </w:r>
      <w:r w:rsidR="00D536C3" w:rsidRPr="00CC7B79">
        <w:t>,</w:t>
      </w:r>
      <w:r w:rsidR="004D616D" w:rsidRPr="00CC7B79">
        <w:t xml:space="preserve"> the criteria laid down in the Court</w:t>
      </w:r>
      <w:r w:rsidR="00CC7B79" w:rsidRPr="00CC7B79">
        <w:t>’</w:t>
      </w:r>
      <w:r w:rsidR="004D616D" w:rsidRPr="00CC7B79">
        <w:t>s case</w:t>
      </w:r>
      <w:r w:rsidR="00120429" w:rsidRPr="00CC7B79">
        <w:t>-</w:t>
      </w:r>
      <w:r w:rsidR="004D616D" w:rsidRPr="00CC7B79">
        <w:t xml:space="preserve">law concerning the application and </w:t>
      </w:r>
      <w:r w:rsidR="00D536C3" w:rsidRPr="00CC7B79">
        <w:t>extens</w:t>
      </w:r>
      <w:r w:rsidR="004D616D" w:rsidRPr="00CC7B79">
        <w:t>ion of detention on remand were met</w:t>
      </w:r>
      <w:r w:rsidR="001654B3" w:rsidRPr="00CC7B79">
        <w:t>. I</w:t>
      </w:r>
      <w:r w:rsidR="004D616D" w:rsidRPr="00CC7B79">
        <w:t>n</w:t>
      </w:r>
      <w:r w:rsidR="001654B3" w:rsidRPr="00CC7B79">
        <w:t>,</w:t>
      </w:r>
      <w:r w:rsidR="004D616D" w:rsidRPr="00CC7B79">
        <w:t xml:space="preserve"> particular </w:t>
      </w:r>
      <w:r w:rsidR="008721D6" w:rsidRPr="00CC7B79">
        <w:t xml:space="preserve">the reasonable suspicion that the applicant had committed an offence </w:t>
      </w:r>
      <w:r w:rsidR="0039472E" w:rsidRPr="00CC7B79">
        <w:t xml:space="preserve">had </w:t>
      </w:r>
      <w:r w:rsidR="008721D6" w:rsidRPr="00CC7B79">
        <w:t>persisted throughout the whole period of detention. There were also other relevant and sufficient grounds that justified the detention: the applicant</w:t>
      </w:r>
      <w:r w:rsidR="00120429" w:rsidRPr="00CC7B79">
        <w:t xml:space="preserve">, who faced the likelihood of being sentenced to </w:t>
      </w:r>
      <w:r w:rsidR="009934D1" w:rsidRPr="00CC7B79">
        <w:t xml:space="preserve">a </w:t>
      </w:r>
      <w:r w:rsidR="00120429" w:rsidRPr="00CC7B79">
        <w:t>severe penalty,</w:t>
      </w:r>
      <w:r w:rsidR="008721D6" w:rsidRPr="00CC7B79">
        <w:t xml:space="preserve"> </w:t>
      </w:r>
      <w:r w:rsidR="00D536C3" w:rsidRPr="00CC7B79">
        <w:t>might</w:t>
      </w:r>
      <w:r w:rsidR="008721D6" w:rsidRPr="00CC7B79">
        <w:t xml:space="preserve"> go into hiding or attempt to </w:t>
      </w:r>
      <w:r w:rsidR="00230476" w:rsidRPr="00CC7B79">
        <w:t xml:space="preserve">interfere with the course of </w:t>
      </w:r>
      <w:r w:rsidR="008721D6" w:rsidRPr="00CC7B79">
        <w:t>the criminal proceedings.</w:t>
      </w:r>
      <w:r w:rsidR="00763D74" w:rsidRPr="00CC7B79">
        <w:t xml:space="preserve"> The complexity</w:t>
      </w:r>
      <w:r w:rsidR="006F431D" w:rsidRPr="00CC7B79">
        <w:t xml:space="preserve"> of the case</w:t>
      </w:r>
      <w:r w:rsidR="00763D74" w:rsidRPr="00CC7B79">
        <w:t xml:space="preserve"> also contributed to the length of the applicant</w:t>
      </w:r>
      <w:r w:rsidR="00CC7B79" w:rsidRPr="00CC7B79">
        <w:t>’</w:t>
      </w:r>
      <w:r w:rsidR="00763D74" w:rsidRPr="00CC7B79">
        <w:t>s detention on remand.</w:t>
      </w:r>
    </w:p>
    <w:p w:rsidR="00941027" w:rsidRPr="00CC7B79" w:rsidRDefault="00763D74"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34</w:t>
      </w:r>
      <w:r w:rsidRPr="00CC7B79">
        <w:fldChar w:fldCharType="end"/>
      </w:r>
      <w:r w:rsidRPr="00CC7B79">
        <w:t>.  I</w:t>
      </w:r>
      <w:r w:rsidR="00B20169" w:rsidRPr="00CC7B79">
        <w:t xml:space="preserve">n </w:t>
      </w:r>
      <w:r w:rsidR="00D160DE" w:rsidRPr="00CC7B79">
        <w:t>conclusion</w:t>
      </w:r>
      <w:r w:rsidR="00941027" w:rsidRPr="00CC7B79">
        <w:t>, the Government submitted that there existed relevant and sufficient grounds which justified the applicant</w:t>
      </w:r>
      <w:r w:rsidR="00CC7B79" w:rsidRPr="00CC7B79">
        <w:t>’</w:t>
      </w:r>
      <w:r w:rsidR="00941027" w:rsidRPr="00CC7B79">
        <w:t xml:space="preserve">s detention on remand during the whole period in question and </w:t>
      </w:r>
      <w:r w:rsidR="006F431D" w:rsidRPr="00CC7B79">
        <w:t xml:space="preserve">that the detention </w:t>
      </w:r>
      <w:r w:rsidR="001654B3" w:rsidRPr="00CC7B79">
        <w:t>had been</w:t>
      </w:r>
      <w:r w:rsidR="006F431D" w:rsidRPr="00CC7B79">
        <w:t xml:space="preserve"> lifted</w:t>
      </w:r>
      <w:r w:rsidR="00941027" w:rsidRPr="00CC7B79">
        <w:t xml:space="preserve"> as soon as the domestic courts</w:t>
      </w:r>
      <w:r w:rsidR="006F431D" w:rsidRPr="00CC7B79">
        <w:t xml:space="preserve"> had</w:t>
      </w:r>
      <w:r w:rsidR="00941027" w:rsidRPr="00CC7B79">
        <w:t xml:space="preserve"> found it no longer necessary.</w:t>
      </w:r>
    </w:p>
    <w:p w:rsidR="00EF7FC6" w:rsidRPr="00CC7B79" w:rsidRDefault="0000052A" w:rsidP="00CC7B79">
      <w:pPr>
        <w:pStyle w:val="ECHRHeading4"/>
      </w:pPr>
      <w:r w:rsidRPr="00CC7B79">
        <w:t>(b)  The applicant</w:t>
      </w:r>
    </w:p>
    <w:p w:rsidR="005F1F9F"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35</w:t>
      </w:r>
      <w:r w:rsidRPr="00CC7B79">
        <w:fldChar w:fldCharType="end"/>
      </w:r>
      <w:r w:rsidR="00014566" w:rsidRPr="00CC7B79">
        <w:t>.  </w:t>
      </w:r>
      <w:r w:rsidR="00EF7FC6" w:rsidRPr="00CC7B79">
        <w:t xml:space="preserve">The applicant </w:t>
      </w:r>
      <w:r w:rsidR="00CE21F2" w:rsidRPr="00CC7B79">
        <w:t xml:space="preserve">submitted that the national courts had </w:t>
      </w:r>
      <w:r w:rsidR="0001062E" w:rsidRPr="00CC7B79">
        <w:t xml:space="preserve">not </w:t>
      </w:r>
      <w:r w:rsidR="0039472E" w:rsidRPr="00CC7B79">
        <w:t xml:space="preserve">given </w:t>
      </w:r>
      <w:r w:rsidR="00CE21F2" w:rsidRPr="00CC7B79">
        <w:t xml:space="preserve">relevant and </w:t>
      </w:r>
      <w:r w:rsidR="0039472E" w:rsidRPr="00CC7B79">
        <w:t>sufficient</w:t>
      </w:r>
      <w:r w:rsidR="00CE21F2" w:rsidRPr="00CC7B79">
        <w:t xml:space="preserve"> grounds for continuing </w:t>
      </w:r>
      <w:r w:rsidR="0039472E" w:rsidRPr="00CC7B79">
        <w:t xml:space="preserve">his </w:t>
      </w:r>
      <w:r w:rsidR="00CE21F2" w:rsidRPr="00CC7B79">
        <w:t xml:space="preserve">detention. </w:t>
      </w:r>
      <w:r w:rsidR="0039472E" w:rsidRPr="00CC7B79">
        <w:t xml:space="preserve">In particular, the courts repeated the same wording </w:t>
      </w:r>
      <w:r w:rsidR="00AE65CD" w:rsidRPr="00CC7B79">
        <w:t>as in</w:t>
      </w:r>
      <w:r w:rsidR="0039472E" w:rsidRPr="00CC7B79">
        <w:t xml:space="preserve"> their decisions and failed to take into account his individual circumstances. Moreover, they consistently relied on the gravity of the charges </w:t>
      </w:r>
      <w:r w:rsidR="00FE16B8" w:rsidRPr="00CC7B79">
        <w:t xml:space="preserve">against him </w:t>
      </w:r>
      <w:r w:rsidR="0039472E" w:rsidRPr="00CC7B79">
        <w:t xml:space="preserve">as the main </w:t>
      </w:r>
      <w:r w:rsidR="0001062E" w:rsidRPr="00CC7B79">
        <w:t xml:space="preserve">justification for a </w:t>
      </w:r>
      <w:r w:rsidR="00C561E7" w:rsidRPr="00CC7B79">
        <w:t>risk</w:t>
      </w:r>
      <w:r w:rsidR="0039472E" w:rsidRPr="00CC7B79">
        <w:t xml:space="preserve"> </w:t>
      </w:r>
      <w:r w:rsidR="0001062E" w:rsidRPr="00CC7B79">
        <w:t>of hi</w:t>
      </w:r>
      <w:r w:rsidR="00AE65CD" w:rsidRPr="00CC7B79">
        <w:t>s</w:t>
      </w:r>
      <w:r w:rsidR="0039472E" w:rsidRPr="00CC7B79">
        <w:t xml:space="preserve"> abscond</w:t>
      </w:r>
      <w:r w:rsidR="0001062E" w:rsidRPr="00CC7B79">
        <w:t>ing</w:t>
      </w:r>
      <w:r w:rsidR="0039472E" w:rsidRPr="00CC7B79">
        <w:t xml:space="preserve"> or </w:t>
      </w:r>
      <w:r w:rsidR="00994214" w:rsidRPr="00CC7B79">
        <w:t xml:space="preserve">obstructing </w:t>
      </w:r>
      <w:r w:rsidR="0039472E" w:rsidRPr="00CC7B79">
        <w:t xml:space="preserve">the </w:t>
      </w:r>
      <w:r w:rsidR="0001062E" w:rsidRPr="00CC7B79">
        <w:t xml:space="preserve">proper </w:t>
      </w:r>
      <w:r w:rsidR="0039472E" w:rsidRPr="00CC7B79">
        <w:t>course of the proceedings.</w:t>
      </w:r>
      <w:r w:rsidR="00FE16B8" w:rsidRPr="00CC7B79">
        <w:t xml:space="preserve"> </w:t>
      </w:r>
      <w:r w:rsidR="0001062E" w:rsidRPr="00CC7B79">
        <w:t>According</w:t>
      </w:r>
      <w:r w:rsidR="00FE16B8" w:rsidRPr="00CC7B79">
        <w:t xml:space="preserve"> to the applicant, s</w:t>
      </w:r>
      <w:r w:rsidR="00CE21F2" w:rsidRPr="00CC7B79">
        <w:t xml:space="preserve">uch an approach </w:t>
      </w:r>
      <w:r w:rsidR="00FE16B8" w:rsidRPr="00CC7B79">
        <w:t xml:space="preserve">was </w:t>
      </w:r>
      <w:r w:rsidR="00CE21F2" w:rsidRPr="00CC7B79">
        <w:t xml:space="preserve">incompatible with the guarantees enshrined in </w:t>
      </w:r>
      <w:r w:rsidR="009934D1" w:rsidRPr="00CC7B79">
        <w:t xml:space="preserve">Article </w:t>
      </w:r>
      <w:r w:rsidR="00CE21F2" w:rsidRPr="00CC7B79">
        <w:t xml:space="preserve">5 </w:t>
      </w:r>
      <w:r w:rsidR="009934D1" w:rsidRPr="00CC7B79">
        <w:t xml:space="preserve">§ </w:t>
      </w:r>
      <w:r w:rsidR="00CE21F2" w:rsidRPr="00CC7B79">
        <w:t>3 of the Convention.</w:t>
      </w:r>
    </w:p>
    <w:p w:rsidR="00C74836" w:rsidRPr="00CC7B79" w:rsidRDefault="00BA6A22"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36</w:t>
      </w:r>
      <w:r w:rsidRPr="00CC7B79">
        <w:fldChar w:fldCharType="end"/>
      </w:r>
      <w:r w:rsidRPr="00CC7B79">
        <w:t xml:space="preserve">.  The applicant </w:t>
      </w:r>
      <w:r w:rsidR="006F431D" w:rsidRPr="00CC7B79">
        <w:t>argued</w:t>
      </w:r>
      <w:r w:rsidRPr="00CC7B79">
        <w:t xml:space="preserve"> that</w:t>
      </w:r>
      <w:r w:rsidR="00763D74" w:rsidRPr="00CC7B79">
        <w:t>,</w:t>
      </w:r>
      <w:r w:rsidRPr="00CC7B79">
        <w:t xml:space="preserve"> according to the Court</w:t>
      </w:r>
      <w:r w:rsidR="00CC7B79" w:rsidRPr="00CC7B79">
        <w:t>’</w:t>
      </w:r>
      <w:r w:rsidRPr="00CC7B79">
        <w:t>s case</w:t>
      </w:r>
      <w:r w:rsidR="00120429" w:rsidRPr="00CC7B79">
        <w:t>-</w:t>
      </w:r>
      <w:r w:rsidRPr="00CC7B79">
        <w:t>law</w:t>
      </w:r>
      <w:r w:rsidR="00763D74" w:rsidRPr="00CC7B79">
        <w:t>,</w:t>
      </w:r>
      <w:r w:rsidR="00230476" w:rsidRPr="00CC7B79">
        <w:t xml:space="preserve"> </w:t>
      </w:r>
      <w:r w:rsidRPr="00CC7B79">
        <w:t xml:space="preserve">although the severity of the sentence was </w:t>
      </w:r>
      <w:r w:rsidR="009934D1" w:rsidRPr="00CC7B79">
        <w:t xml:space="preserve">a </w:t>
      </w:r>
      <w:r w:rsidRPr="00CC7B79">
        <w:t xml:space="preserve">relevant element in the assessment </w:t>
      </w:r>
      <w:r w:rsidR="009F534E" w:rsidRPr="00CC7B79">
        <w:t>of the risk of absconding or re</w:t>
      </w:r>
      <w:r w:rsidRPr="00CC7B79">
        <w:t xml:space="preserve">offending, the need to continue the deprivation of liberty cannot be assessed from </w:t>
      </w:r>
      <w:r w:rsidR="009934D1" w:rsidRPr="00CC7B79">
        <w:t xml:space="preserve">a </w:t>
      </w:r>
      <w:r w:rsidRPr="00CC7B79">
        <w:t xml:space="preserve">purely abstract point of view. Nor </w:t>
      </w:r>
      <w:r w:rsidR="001D5192" w:rsidRPr="00CC7B79">
        <w:t xml:space="preserve">could </w:t>
      </w:r>
      <w:r w:rsidRPr="00CC7B79">
        <w:t>continuation of the de</w:t>
      </w:r>
      <w:r w:rsidR="000B0C44" w:rsidRPr="00CC7B79">
        <w:t xml:space="preserve">tention be used to anticipate a </w:t>
      </w:r>
      <w:r w:rsidRPr="00CC7B79">
        <w:t>sentence.</w:t>
      </w:r>
      <w:r w:rsidR="00D93C7B" w:rsidRPr="00CC7B79">
        <w:t xml:space="preserve"> The domestic authorities</w:t>
      </w:r>
      <w:r w:rsidR="001D5192" w:rsidRPr="00CC7B79">
        <w:t xml:space="preserve"> had</w:t>
      </w:r>
      <w:r w:rsidR="00D93C7B" w:rsidRPr="00CC7B79">
        <w:t xml:space="preserve"> </w:t>
      </w:r>
      <w:r w:rsidR="006F431D" w:rsidRPr="00CC7B79">
        <w:t xml:space="preserve">failed to </w:t>
      </w:r>
      <w:r w:rsidR="00C33C43" w:rsidRPr="00CC7B79">
        <w:t xml:space="preserve">demonstrate </w:t>
      </w:r>
      <w:r w:rsidR="004F3F1B" w:rsidRPr="00CC7B79">
        <w:t>convincingly</w:t>
      </w:r>
      <w:r w:rsidR="00D93C7B" w:rsidRPr="00CC7B79">
        <w:t xml:space="preserve"> the existence of concrete facts relevant to the grounds for </w:t>
      </w:r>
      <w:r w:rsidR="006F431D" w:rsidRPr="00CC7B79">
        <w:t xml:space="preserve">his </w:t>
      </w:r>
      <w:r w:rsidR="00D93C7B" w:rsidRPr="00CC7B79">
        <w:t>continued detention.</w:t>
      </w:r>
    </w:p>
    <w:p w:rsidR="00C74836" w:rsidRPr="00CC7B79" w:rsidRDefault="00C74836" w:rsidP="00CC7B79">
      <w:pPr>
        <w:pStyle w:val="ECHRHeading3"/>
      </w:pPr>
      <w:r w:rsidRPr="00CC7B79">
        <w:lastRenderedPageBreak/>
        <w:t>3.</w:t>
      </w:r>
      <w:r w:rsidR="00067618" w:rsidRPr="00CC7B79">
        <w:t>  T</w:t>
      </w:r>
      <w:r w:rsidRPr="00CC7B79">
        <w:t>he Court</w:t>
      </w:r>
      <w:r w:rsidR="00CC7B79" w:rsidRPr="00CC7B79">
        <w:t>’</w:t>
      </w:r>
      <w:r w:rsidRPr="00CC7B79">
        <w:t>s assessment</w:t>
      </w:r>
    </w:p>
    <w:p w:rsidR="00CE21F2" w:rsidRPr="00CC7B79" w:rsidRDefault="00D93C7B" w:rsidP="00CC7B79">
      <w:pPr>
        <w:pStyle w:val="ECHRHeading4"/>
      </w:pPr>
      <w:r w:rsidRPr="00CC7B79">
        <w:t>(</w:t>
      </w:r>
      <w:r w:rsidR="00067618" w:rsidRPr="00CC7B79">
        <w:t>a</w:t>
      </w:r>
      <w:r w:rsidRPr="00CC7B79">
        <w:t>)  General principles</w:t>
      </w:r>
    </w:p>
    <w:p w:rsidR="005F1F9F" w:rsidRPr="00CC7B79" w:rsidRDefault="00D93C7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37</w:t>
      </w:r>
      <w:r w:rsidRPr="00CC7B79">
        <w:fldChar w:fldCharType="end"/>
      </w:r>
      <w:r w:rsidRPr="00CC7B79">
        <w:t xml:space="preserve">.  The Court </w:t>
      </w:r>
      <w:r w:rsidR="006F431D" w:rsidRPr="00CC7B79">
        <w:t xml:space="preserve">reiterates </w:t>
      </w:r>
      <w:r w:rsidRPr="00CC7B79">
        <w:t xml:space="preserve">that the general principles regarding the right to </w:t>
      </w:r>
      <w:r w:rsidR="00B66A06" w:rsidRPr="00CC7B79">
        <w:t>a</w:t>
      </w:r>
      <w:r w:rsidR="000B0C44" w:rsidRPr="00CC7B79">
        <w:t xml:space="preserve"> </w:t>
      </w:r>
      <w:r w:rsidRPr="00CC7B79">
        <w:t xml:space="preserve">trial within </w:t>
      </w:r>
      <w:r w:rsidR="009934D1" w:rsidRPr="00CC7B79">
        <w:t xml:space="preserve">a </w:t>
      </w:r>
      <w:r w:rsidRPr="00CC7B79">
        <w:t xml:space="preserve">reasonable time or to release pending trial, as guaranteed by Article 5 § 3 of the Convention, </w:t>
      </w:r>
      <w:r w:rsidR="0096798E" w:rsidRPr="00CC7B79">
        <w:t>have been</w:t>
      </w:r>
      <w:r w:rsidRPr="00CC7B79">
        <w:t xml:space="preserve"> stated in </w:t>
      </w:r>
      <w:r w:rsidR="009934D1" w:rsidRPr="00CC7B79">
        <w:t xml:space="preserve">a </w:t>
      </w:r>
      <w:r w:rsidRPr="00CC7B79">
        <w:t xml:space="preserve">number of its previous judgments (see, among many other authorities, </w:t>
      </w:r>
      <w:r w:rsidRPr="00CC7B79">
        <w:rPr>
          <w:i/>
        </w:rPr>
        <w:t>Kudła v</w:t>
      </w:r>
      <w:r w:rsidR="009934D1" w:rsidRPr="00CC7B79">
        <w:rPr>
          <w:i/>
        </w:rPr>
        <w:t xml:space="preserve">. </w:t>
      </w:r>
      <w:r w:rsidRPr="00CC7B79">
        <w:rPr>
          <w:i/>
        </w:rPr>
        <w:t xml:space="preserve">Poland </w:t>
      </w:r>
      <w:r w:rsidRPr="00CC7B79">
        <w:t xml:space="preserve">[GC], no. 30210/96, </w:t>
      </w:r>
      <w:r w:rsidR="009934D1" w:rsidRPr="00CC7B79">
        <w:t xml:space="preserve">§ </w:t>
      </w:r>
      <w:r w:rsidRPr="00CC7B79">
        <w:t xml:space="preserve">110 </w:t>
      </w:r>
      <w:r w:rsidRPr="00CC7B79">
        <w:rPr>
          <w:i/>
        </w:rPr>
        <w:t>et seq</w:t>
      </w:r>
      <w:r w:rsidRPr="00CC7B79">
        <w:t xml:space="preserve">, </w:t>
      </w:r>
      <w:r w:rsidR="009934D1" w:rsidRPr="00CC7B79">
        <w:t xml:space="preserve">ECHR </w:t>
      </w:r>
      <w:r w:rsidRPr="00CC7B79">
        <w:t>2000</w:t>
      </w:r>
      <w:r w:rsidRPr="00CC7B79">
        <w:noBreakHyphen/>
        <w:t xml:space="preserve">XI; and </w:t>
      </w:r>
      <w:r w:rsidRPr="00CC7B79">
        <w:rPr>
          <w:i/>
        </w:rPr>
        <w:t>McKay v</w:t>
      </w:r>
      <w:r w:rsidR="009934D1" w:rsidRPr="00CC7B79">
        <w:rPr>
          <w:i/>
        </w:rPr>
        <w:t>.</w:t>
      </w:r>
      <w:r w:rsidR="007750F3" w:rsidRPr="00CC7B79">
        <w:rPr>
          <w:i/>
        </w:rPr>
        <w:t> </w:t>
      </w:r>
      <w:r w:rsidR="009934D1" w:rsidRPr="00CC7B79">
        <w:rPr>
          <w:i/>
        </w:rPr>
        <w:t xml:space="preserve">the </w:t>
      </w:r>
      <w:r w:rsidRPr="00CC7B79">
        <w:rPr>
          <w:i/>
        </w:rPr>
        <w:t>United Kingdom</w:t>
      </w:r>
      <w:r w:rsidRPr="00CC7B79">
        <w:t xml:space="preserve"> [GC], no</w:t>
      </w:r>
      <w:r w:rsidR="009934D1" w:rsidRPr="00CC7B79">
        <w:t xml:space="preserve">. </w:t>
      </w:r>
      <w:r w:rsidRPr="00CC7B79">
        <w:t xml:space="preserve">543/03, </w:t>
      </w:r>
      <w:r w:rsidR="009934D1" w:rsidRPr="00CC7B79">
        <w:t xml:space="preserve">§§ </w:t>
      </w:r>
      <w:r w:rsidRPr="00CC7B79">
        <w:t>41-44, ECHR 2006-</w:t>
      </w:r>
      <w:r w:rsidR="00763D74" w:rsidRPr="00CC7B79">
        <w:t>X</w:t>
      </w:r>
      <w:r w:rsidRPr="00CC7B79">
        <w:t>, with further references).</w:t>
      </w:r>
    </w:p>
    <w:p w:rsidR="00D93C7B" w:rsidRPr="00CC7B79" w:rsidRDefault="00D93C7B" w:rsidP="00CC7B79">
      <w:pPr>
        <w:pStyle w:val="ECHRHeading4"/>
      </w:pPr>
      <w:r w:rsidRPr="00CC7B79">
        <w:t>(</w:t>
      </w:r>
      <w:r w:rsidR="00067618" w:rsidRPr="00CC7B79">
        <w:t>b</w:t>
      </w:r>
      <w:r w:rsidRPr="00CC7B79">
        <w:t>)  Application of the above principles in the present case</w:t>
      </w:r>
    </w:p>
    <w:p w:rsidR="00D93C7B"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38</w:t>
      </w:r>
      <w:r w:rsidRPr="00CC7B79">
        <w:fldChar w:fldCharType="end"/>
      </w:r>
      <w:r w:rsidR="00014566" w:rsidRPr="00CC7B79">
        <w:t>.  </w:t>
      </w:r>
      <w:r w:rsidR="00D93C7B" w:rsidRPr="00CC7B79">
        <w:t>In their detention decisions, the authorities, in addition to the reasonable suspicion against the applicant, relied principally on three grounds, namely (1) the serious nature of the offences with which he had been charged, (2) the severity of the penalty to which he was liable and (3)</w:t>
      </w:r>
      <w:r w:rsidR="0096798E" w:rsidRPr="00CC7B79">
        <w:t> </w:t>
      </w:r>
      <w:r w:rsidR="00D93C7B" w:rsidRPr="00CC7B79">
        <w:t>the need to secure the proper conduct of the proceedings</w:t>
      </w:r>
      <w:r w:rsidR="0096798E" w:rsidRPr="00CC7B79">
        <w:t>,</w:t>
      </w:r>
      <w:r w:rsidR="00D93C7B" w:rsidRPr="00CC7B79">
        <w:t xml:space="preserve"> given the risk that the applicant might attempt to induce other persons involved in the proceedings to give false statements.</w:t>
      </w:r>
    </w:p>
    <w:p w:rsidR="00D93C7B" w:rsidRPr="00CC7B79" w:rsidRDefault="009F534E"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39</w:t>
      </w:r>
      <w:r w:rsidRPr="00CC7B79">
        <w:fldChar w:fldCharType="end"/>
      </w:r>
      <w:r w:rsidRPr="00CC7B79">
        <w:t>.  The applicant was charged with participatin</w:t>
      </w:r>
      <w:r w:rsidR="00AE4CCF" w:rsidRPr="00CC7B79">
        <w:t>g</w:t>
      </w:r>
      <w:r w:rsidRPr="00CC7B79">
        <w:t xml:space="preserve"> in an organised and armed criminal gang which was dealing </w:t>
      </w:r>
      <w:r w:rsidR="006F431D" w:rsidRPr="00CC7B79">
        <w:t xml:space="preserve">in </w:t>
      </w:r>
      <w:r w:rsidRPr="00CC7B79">
        <w:t>drugs, as well as battery, making profits from prostitution and other charges. In the Court</w:t>
      </w:r>
      <w:r w:rsidR="00CC7B79" w:rsidRPr="00CC7B79">
        <w:t>’</w:t>
      </w:r>
      <w:r w:rsidRPr="00CC7B79">
        <w:t xml:space="preserve">s view, the fact that the case concerned a member of </w:t>
      </w:r>
      <w:r w:rsidR="00AE4CCF" w:rsidRPr="00CC7B79">
        <w:t>a</w:t>
      </w:r>
      <w:r w:rsidRPr="00CC7B79">
        <w:t xml:space="preserve"> criminal gang should be taken into account in assessing compliance with Article</w:t>
      </w:r>
      <w:r w:rsidR="009934D1" w:rsidRPr="00CC7B79">
        <w:t xml:space="preserve"> </w:t>
      </w:r>
      <w:r w:rsidRPr="00CC7B79">
        <w:t>5 §</w:t>
      </w:r>
      <w:r w:rsidR="009934D1" w:rsidRPr="00CC7B79">
        <w:t xml:space="preserve"> </w:t>
      </w:r>
      <w:r w:rsidRPr="00CC7B79">
        <w:t xml:space="preserve">3 (see </w:t>
      </w:r>
      <w:r w:rsidRPr="00CC7B79">
        <w:rPr>
          <w:i/>
        </w:rPr>
        <w:t>Bąk v. Poland</w:t>
      </w:r>
      <w:r w:rsidRPr="00CC7B79">
        <w:t xml:space="preserve">, no. 7870/04, </w:t>
      </w:r>
      <w:r w:rsidR="009934D1" w:rsidRPr="00CC7B79">
        <w:t xml:space="preserve">§ </w:t>
      </w:r>
      <w:r w:rsidRPr="00CC7B79">
        <w:t xml:space="preserve">57, </w:t>
      </w:r>
      <w:r w:rsidR="009934D1" w:rsidRPr="00CC7B79">
        <w:t xml:space="preserve">16 </w:t>
      </w:r>
      <w:r w:rsidRPr="00CC7B79">
        <w:t>January 2007).</w:t>
      </w:r>
    </w:p>
    <w:p w:rsidR="009F534E" w:rsidRPr="00CC7B79" w:rsidRDefault="009F534E"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40</w:t>
      </w:r>
      <w:r w:rsidRPr="00CC7B79">
        <w:fldChar w:fldCharType="end"/>
      </w:r>
      <w:r w:rsidRPr="00CC7B79">
        <w:t xml:space="preserve">.  The Court accepts that the reasonable suspicion </w:t>
      </w:r>
      <w:r w:rsidR="0096798E" w:rsidRPr="00CC7B79">
        <w:t>that</w:t>
      </w:r>
      <w:r w:rsidRPr="00CC7B79">
        <w:t xml:space="preserve"> the applicant ha</w:t>
      </w:r>
      <w:r w:rsidR="0096798E" w:rsidRPr="00CC7B79">
        <w:t>d</w:t>
      </w:r>
      <w:r w:rsidRPr="00CC7B79">
        <w:t xml:space="preserve"> committed serious offences could initially warrant his detention. In addition, it notes that the authorities were faced with the difficult task of determining the facts and the degree of alleged responsibility of each of the defendants and that the investigation</w:t>
      </w:r>
      <w:r w:rsidR="0096798E" w:rsidRPr="00CC7B79">
        <w:t xml:space="preserve"> also</w:t>
      </w:r>
      <w:r w:rsidRPr="00CC7B79">
        <w:t xml:space="preserve"> </w:t>
      </w:r>
      <w:r w:rsidR="00EC539D" w:rsidRPr="00CC7B79">
        <w:t>concerned</w:t>
      </w:r>
      <w:r w:rsidRPr="00CC7B79">
        <w:t xml:space="preserve"> </w:t>
      </w:r>
      <w:r w:rsidR="001D2459" w:rsidRPr="00CC7B79">
        <w:t xml:space="preserve">other </w:t>
      </w:r>
      <w:r w:rsidRPr="00CC7B79">
        <w:t>persons. In these circumstances, the Court also accepts that the need to</w:t>
      </w:r>
      <w:r w:rsidR="00C526B2" w:rsidRPr="00CC7B79">
        <w:t xml:space="preserve"> gather</w:t>
      </w:r>
      <w:r w:rsidRPr="00CC7B79">
        <w:t xml:space="preserve"> voluminous evidence constituted relevant and sufficient grounds for the applicant</w:t>
      </w:r>
      <w:r w:rsidR="00CC7B79" w:rsidRPr="00CC7B79">
        <w:t>’</w:t>
      </w:r>
      <w:r w:rsidRPr="00CC7B79">
        <w:t>s initial detention.</w:t>
      </w:r>
    </w:p>
    <w:p w:rsidR="00E11826" w:rsidRPr="00CC7B79" w:rsidRDefault="00056F49"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41</w:t>
      </w:r>
      <w:r w:rsidRPr="00CC7B79">
        <w:fldChar w:fldCharType="end"/>
      </w:r>
      <w:r w:rsidRPr="00CC7B79">
        <w:t>.  </w:t>
      </w:r>
      <w:r w:rsidR="00E11826" w:rsidRPr="00CC7B79">
        <w:t>It is to be noted that the judicial authorities had presumed th</w:t>
      </w:r>
      <w:r w:rsidR="00C72D11" w:rsidRPr="00CC7B79">
        <w:t>at there was a</w:t>
      </w:r>
      <w:r w:rsidR="00E11826" w:rsidRPr="00CC7B79">
        <w:t xml:space="preserve"> risk of </w:t>
      </w:r>
      <w:r w:rsidR="001D5192" w:rsidRPr="00CC7B79">
        <w:t>the applicant</w:t>
      </w:r>
      <w:r w:rsidR="00CC7B79" w:rsidRPr="00CC7B79">
        <w:t>’</w:t>
      </w:r>
      <w:r w:rsidR="001D5192" w:rsidRPr="00CC7B79">
        <w:t>s obstructing</w:t>
      </w:r>
      <w:r w:rsidR="00E11826" w:rsidRPr="00CC7B79">
        <w:t xml:space="preserve"> the proceedings, bas</w:t>
      </w:r>
      <w:r w:rsidR="00C72D11" w:rsidRPr="00CC7B79">
        <w:t>ed</w:t>
      </w:r>
      <w:r w:rsidR="00E11826" w:rsidRPr="00CC7B79">
        <w:t xml:space="preserve"> on the serious nature of the offences and the fact that the applican</w:t>
      </w:r>
      <w:r w:rsidR="004F5CAA" w:rsidRPr="00CC7B79">
        <w:t xml:space="preserve">t had been charged with being </w:t>
      </w:r>
      <w:r w:rsidR="006E28F5" w:rsidRPr="00CC7B79">
        <w:t xml:space="preserve">a </w:t>
      </w:r>
      <w:r w:rsidR="00E11826" w:rsidRPr="00CC7B79">
        <w:t xml:space="preserve">member of an organised </w:t>
      </w:r>
      <w:r w:rsidR="004F5CAA" w:rsidRPr="00CC7B79">
        <w:t xml:space="preserve">and armed </w:t>
      </w:r>
      <w:r w:rsidR="00E11826" w:rsidRPr="00CC7B79">
        <w:t>criminal gang. The Court acknowledges that in view of the seriousness of the accusations against the applicant, the authorities could justifiably have considered that such</w:t>
      </w:r>
      <w:r w:rsidR="001C79D2" w:rsidRPr="00CC7B79">
        <w:t xml:space="preserve"> a</w:t>
      </w:r>
      <w:r w:rsidR="00E11826" w:rsidRPr="00CC7B79">
        <w:t xml:space="preserve"> risk </w:t>
      </w:r>
      <w:r w:rsidR="004F5CAA" w:rsidRPr="00CC7B79">
        <w:t>existed</w:t>
      </w:r>
      <w:r w:rsidR="00E11826" w:rsidRPr="00CC7B79">
        <w:t>.</w:t>
      </w:r>
    </w:p>
    <w:p w:rsidR="001D2459" w:rsidRPr="00CC7B79" w:rsidRDefault="008A7008"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42</w:t>
      </w:r>
      <w:r w:rsidRPr="00CC7B79">
        <w:fldChar w:fldCharType="end"/>
      </w:r>
      <w:r w:rsidR="001D2459" w:rsidRPr="00CC7B79">
        <w:t>.  However, the Court notes that in all the decisions extending the applicant</w:t>
      </w:r>
      <w:r w:rsidR="00CC7B79" w:rsidRPr="00CC7B79">
        <w:t>’</w:t>
      </w:r>
      <w:r w:rsidR="001D2459" w:rsidRPr="00CC7B79">
        <w:t xml:space="preserve">s detention, no other specific substantiation of the risk that the applicant would tamper with evidence, </w:t>
      </w:r>
      <w:r w:rsidR="00B86593" w:rsidRPr="00CC7B79">
        <w:t xml:space="preserve">persuade </w:t>
      </w:r>
      <w:r w:rsidR="001D2459" w:rsidRPr="00CC7B79">
        <w:t xml:space="preserve">other persons to </w:t>
      </w:r>
      <w:r w:rsidR="00B86593" w:rsidRPr="00CC7B79">
        <w:t>testify</w:t>
      </w:r>
      <w:r w:rsidR="001D2459" w:rsidRPr="00CC7B79">
        <w:t xml:space="preserve"> in his favour, abscond or otherwise disrupt the proceedings</w:t>
      </w:r>
      <w:r w:rsidR="001B27E5" w:rsidRPr="00CC7B79">
        <w:t>,</w:t>
      </w:r>
      <w:r w:rsidR="001D2459" w:rsidRPr="00CC7B79">
        <w:t xml:space="preserve"> emerged. </w:t>
      </w:r>
      <w:r w:rsidR="00637E12" w:rsidRPr="00CC7B79">
        <w:lastRenderedPageBreak/>
        <w:t xml:space="preserve">Moreover, the reasons for detention were very often identical with regard to all co-accused and </w:t>
      </w:r>
      <w:r w:rsidR="007C556A" w:rsidRPr="00CC7B79">
        <w:t xml:space="preserve">did not include arguments pertaining </w:t>
      </w:r>
      <w:r w:rsidR="00BB2965" w:rsidRPr="00CC7B79">
        <w:t xml:space="preserve">specifically </w:t>
      </w:r>
      <w:r w:rsidR="007C556A" w:rsidRPr="00CC7B79">
        <w:t>to the applicant</w:t>
      </w:r>
      <w:r w:rsidR="001D5192" w:rsidRPr="00CC7B79">
        <w:t xml:space="preserve"> (see paragraph </w:t>
      </w:r>
      <w:r w:rsidR="001D5192" w:rsidRPr="00CC7B79">
        <w:fldChar w:fldCharType="begin"/>
      </w:r>
      <w:r w:rsidR="001D5192" w:rsidRPr="00CC7B79">
        <w:instrText xml:space="preserve"> REF par18 \h </w:instrText>
      </w:r>
      <w:r w:rsidR="001D5192" w:rsidRPr="00CC7B79">
        <w:fldChar w:fldCharType="separate"/>
      </w:r>
      <w:r w:rsidR="00CC7B79" w:rsidRPr="00CC7B79">
        <w:rPr>
          <w:noProof/>
        </w:rPr>
        <w:t>18</w:t>
      </w:r>
      <w:r w:rsidR="001D5192" w:rsidRPr="00CC7B79">
        <w:fldChar w:fldCharType="end"/>
      </w:r>
      <w:r w:rsidR="001D5192" w:rsidRPr="00CC7B79">
        <w:t xml:space="preserve"> above)</w:t>
      </w:r>
      <w:r w:rsidR="00637E12" w:rsidRPr="00CC7B79">
        <w:t xml:space="preserve">. </w:t>
      </w:r>
      <w:r w:rsidR="001D2459" w:rsidRPr="00CC7B79">
        <w:t>Therefore</w:t>
      </w:r>
      <w:r w:rsidR="001B27E5" w:rsidRPr="00CC7B79">
        <w:t>,</w:t>
      </w:r>
      <w:r w:rsidR="001D2459" w:rsidRPr="00CC7B79">
        <w:t xml:space="preserve"> with the passage of time</w:t>
      </w:r>
      <w:r w:rsidR="001B27E5" w:rsidRPr="00CC7B79">
        <w:t>,</w:t>
      </w:r>
      <w:r w:rsidR="001D2459" w:rsidRPr="00CC7B79">
        <w:t xml:space="preserve"> the grounds relied on became less relevant and cannot justify the entire period of over three years and two months during which the most serious preventive measure against the applicant </w:t>
      </w:r>
      <w:r w:rsidR="001B27E5" w:rsidRPr="00CC7B79">
        <w:t>was</w:t>
      </w:r>
      <w:r w:rsidR="001D2459" w:rsidRPr="00CC7B79">
        <w:t xml:space="preserve"> imposed.</w:t>
      </w:r>
    </w:p>
    <w:p w:rsidR="007C3AA5"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43</w:t>
      </w:r>
      <w:r w:rsidRPr="00CC7B79">
        <w:fldChar w:fldCharType="end"/>
      </w:r>
      <w:r w:rsidR="00014566" w:rsidRPr="00CC7B79">
        <w:t>.  </w:t>
      </w:r>
      <w:r w:rsidR="007C3AA5" w:rsidRPr="00CC7B79">
        <w:t>Having regard to the foregoing, even taking into account the fact that the courts were faced with</w:t>
      </w:r>
      <w:r w:rsidR="001B27E5" w:rsidRPr="00CC7B79">
        <w:t xml:space="preserve"> the</w:t>
      </w:r>
      <w:r w:rsidR="007C3AA5" w:rsidRPr="00CC7B79">
        <w:t xml:space="preserve"> particularly difficult task of trying </w:t>
      </w:r>
      <w:r w:rsidR="001B27E5" w:rsidRPr="00CC7B79">
        <w:t>a</w:t>
      </w:r>
      <w:r w:rsidR="007C3AA5" w:rsidRPr="00CC7B79">
        <w:t xml:space="preserve"> case involving an organised and armed criminal group, the Court concludes that the grounds given by the domestic authorities could not justify the overall period of the applicant</w:t>
      </w:r>
      <w:r w:rsidR="00CC7B79" w:rsidRPr="00CC7B79">
        <w:t>’</w:t>
      </w:r>
      <w:r w:rsidR="007C3AA5" w:rsidRPr="00CC7B79">
        <w:t>s detention. In these circumstances it is not necessary to examine whether the proceedings were conducted with special diligence.</w:t>
      </w:r>
    </w:p>
    <w:p w:rsidR="007C3AA5" w:rsidRPr="00CC7B79" w:rsidRDefault="007C3AA5" w:rsidP="00CC7B79">
      <w:pPr>
        <w:pStyle w:val="ECHRPara"/>
      </w:pPr>
      <w:r w:rsidRPr="00CC7B79">
        <w:t>There has accordingly</w:t>
      </w:r>
      <w:r w:rsidR="006D13DE" w:rsidRPr="00CC7B79">
        <w:t xml:space="preserve"> been a </w:t>
      </w:r>
      <w:r w:rsidRPr="00CC7B79">
        <w:t xml:space="preserve">violation of </w:t>
      </w:r>
      <w:r w:rsidR="009934D1" w:rsidRPr="00CC7B79">
        <w:t xml:space="preserve">Article </w:t>
      </w:r>
      <w:r w:rsidRPr="00CC7B79">
        <w:t xml:space="preserve">5 </w:t>
      </w:r>
      <w:r w:rsidR="009934D1" w:rsidRPr="00CC7B79">
        <w:t xml:space="preserve">§ </w:t>
      </w:r>
      <w:r w:rsidRPr="00CC7B79">
        <w:t>3 of the Convention.</w:t>
      </w:r>
    </w:p>
    <w:p w:rsidR="00014566" w:rsidRPr="00CC7B79" w:rsidRDefault="00EF7FC6" w:rsidP="00CC7B79">
      <w:pPr>
        <w:pStyle w:val="ECHRHeading1"/>
      </w:pPr>
      <w:r w:rsidRPr="00CC7B79">
        <w:t>II</w:t>
      </w:r>
      <w:r w:rsidR="00014566" w:rsidRPr="00CC7B79">
        <w:t>.  APPLICATION OF ARTICLE 41 OF THE CONVENTION</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44</w:t>
      </w:r>
      <w:r w:rsidRPr="00CC7B79">
        <w:fldChar w:fldCharType="end"/>
      </w:r>
      <w:r w:rsidR="006D13DE" w:rsidRPr="00CC7B79">
        <w:t>.  Article </w:t>
      </w:r>
      <w:r w:rsidR="00014566" w:rsidRPr="00CC7B79">
        <w:t>41 of the Convention provides:</w:t>
      </w:r>
    </w:p>
    <w:p w:rsidR="00014566" w:rsidRPr="00CC7B79" w:rsidRDefault="00014566" w:rsidP="00CC7B79">
      <w:pPr>
        <w:pStyle w:val="ECHRParaQuote"/>
        <w:keepNext/>
        <w:keepLines/>
      </w:pPr>
      <w:r w:rsidRPr="00CC7B79">
        <w:t xml:space="preserve">“If the Court finds that there has been </w:t>
      </w:r>
      <w:r w:rsidR="001C6720" w:rsidRPr="00CC7B79">
        <w:t xml:space="preserve">a </w:t>
      </w:r>
      <w:r w:rsidRPr="00CC7B79">
        <w:t>violation of the Convention or the Protocols thereto, and if the internal law of the High Contracting Party concerned allows only partial reparation to be made, the Court shall, if necessary, afford just satisfaction to the injured party.”</w:t>
      </w:r>
    </w:p>
    <w:p w:rsidR="00014566" w:rsidRPr="00CC7B79" w:rsidRDefault="00014566" w:rsidP="00CC7B79">
      <w:pPr>
        <w:pStyle w:val="ECHRHeading2"/>
      </w:pPr>
      <w:r w:rsidRPr="00CC7B79">
        <w:t>A.  Damage</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45</w:t>
      </w:r>
      <w:r w:rsidRPr="00CC7B79">
        <w:fldChar w:fldCharType="end"/>
      </w:r>
      <w:r w:rsidR="00014566" w:rsidRPr="00CC7B79">
        <w:t xml:space="preserve">.  The applicant claimed </w:t>
      </w:r>
      <w:r w:rsidR="00D93C7B" w:rsidRPr="00CC7B79">
        <w:t>10,</w:t>
      </w:r>
      <w:r w:rsidR="001C6720" w:rsidRPr="00CC7B79">
        <w:t xml:space="preserve">000 </w:t>
      </w:r>
      <w:r w:rsidR="00014566" w:rsidRPr="00CC7B79">
        <w:t>euros (EUR) in respect of non</w:t>
      </w:r>
      <w:r w:rsidR="00885650" w:rsidRPr="00CC7B79">
        <w:noBreakHyphen/>
      </w:r>
      <w:r w:rsidR="00014566" w:rsidRPr="00CC7B79">
        <w:t>pecuniary damage.</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46</w:t>
      </w:r>
      <w:r w:rsidRPr="00CC7B79">
        <w:fldChar w:fldCharType="end"/>
      </w:r>
      <w:r w:rsidR="00014566" w:rsidRPr="00CC7B79">
        <w:t xml:space="preserve">.  The Government </w:t>
      </w:r>
      <w:r w:rsidR="007C3AA5" w:rsidRPr="00CC7B79">
        <w:t xml:space="preserve">submitted </w:t>
      </w:r>
      <w:r w:rsidR="006909DB" w:rsidRPr="00CC7B79">
        <w:t xml:space="preserve">that this amount was </w:t>
      </w:r>
      <w:r w:rsidR="001D5192" w:rsidRPr="00CC7B79">
        <w:t>excessive</w:t>
      </w:r>
      <w:r w:rsidR="006522A5" w:rsidRPr="00CC7B79">
        <w:t>,</w:t>
      </w:r>
      <w:r w:rsidR="006909DB" w:rsidRPr="00CC7B79">
        <w:t xml:space="preserve"> having regard to the Court</w:t>
      </w:r>
      <w:r w:rsidR="00CC7B79" w:rsidRPr="00CC7B79">
        <w:t>’</w:t>
      </w:r>
      <w:r w:rsidR="006909DB" w:rsidRPr="00CC7B79">
        <w:t>s case</w:t>
      </w:r>
      <w:r w:rsidR="00120429" w:rsidRPr="00CC7B79">
        <w:t>-</w:t>
      </w:r>
      <w:r w:rsidR="006909DB" w:rsidRPr="00CC7B79">
        <w:t>law in similar cases</w:t>
      </w:r>
      <w:r w:rsidR="00F91776" w:rsidRPr="00CC7B79">
        <w:t>,</w:t>
      </w:r>
      <w:r w:rsidR="006909DB" w:rsidRPr="00CC7B79">
        <w:t xml:space="preserve"> and asked that if the Court found that there </w:t>
      </w:r>
      <w:r w:rsidR="006522A5" w:rsidRPr="00CC7B79">
        <w:t>had been</w:t>
      </w:r>
      <w:r w:rsidR="006909DB" w:rsidRPr="00CC7B79">
        <w:t xml:space="preserve"> a</w:t>
      </w:r>
      <w:r w:rsidR="001C6720" w:rsidRPr="00CC7B79">
        <w:t xml:space="preserve"> </w:t>
      </w:r>
      <w:r w:rsidR="006909DB" w:rsidRPr="00CC7B79">
        <w:t>violation of Article</w:t>
      </w:r>
      <w:r w:rsidR="001C6720" w:rsidRPr="00CC7B79">
        <w:t xml:space="preserve"> </w:t>
      </w:r>
      <w:r w:rsidR="006909DB" w:rsidRPr="00CC7B79">
        <w:t>5 §</w:t>
      </w:r>
      <w:r w:rsidR="001C6720" w:rsidRPr="00CC7B79">
        <w:t xml:space="preserve"> </w:t>
      </w:r>
      <w:r w:rsidR="006909DB" w:rsidRPr="00CC7B79">
        <w:t>3 of the Convention, the compensation should be assessed on the basis of well-established jurisprudence</w:t>
      </w:r>
      <w:r w:rsidR="00F91776" w:rsidRPr="00CC7B79">
        <w:t>,</w:t>
      </w:r>
      <w:r w:rsidR="006909DB" w:rsidRPr="00CC7B79">
        <w:t xml:space="preserve"> on the amount of just satisfaction given to applicants in similar cases and national economic circumstances.</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47</w:t>
      </w:r>
      <w:r w:rsidRPr="00CC7B79">
        <w:fldChar w:fldCharType="end"/>
      </w:r>
      <w:r w:rsidR="00014566" w:rsidRPr="00CC7B79">
        <w:t>.  The Court</w:t>
      </w:r>
      <w:r w:rsidR="001D5192" w:rsidRPr="00CC7B79">
        <w:t>, having regard to the circumstances of the case and ruling on an equitable basis,</w:t>
      </w:r>
      <w:r w:rsidR="00014566" w:rsidRPr="00CC7B79">
        <w:t xml:space="preserve"> awards the applicant </w:t>
      </w:r>
      <w:r w:rsidR="001C6720" w:rsidRPr="00CC7B79">
        <w:t xml:space="preserve">EUR </w:t>
      </w:r>
      <w:r w:rsidR="00154C89" w:rsidRPr="00CC7B79">
        <w:t>3,500</w:t>
      </w:r>
      <w:r w:rsidR="00014566" w:rsidRPr="00CC7B79">
        <w:t xml:space="preserve"> in respect of non</w:t>
      </w:r>
      <w:r w:rsidR="00885650" w:rsidRPr="00CC7B79">
        <w:noBreakHyphen/>
      </w:r>
      <w:r w:rsidR="00014566" w:rsidRPr="00CC7B79">
        <w:t>pecuniary damage.</w:t>
      </w:r>
    </w:p>
    <w:p w:rsidR="00014566" w:rsidRPr="00CC7B79" w:rsidRDefault="00014566" w:rsidP="00CC7B79">
      <w:pPr>
        <w:pStyle w:val="ECHRHeading2"/>
        <w:keepNext w:val="0"/>
        <w:keepLines w:val="0"/>
      </w:pPr>
      <w:r w:rsidRPr="00CC7B79">
        <w:t>B.  Costs and expenses</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48</w:t>
      </w:r>
      <w:r w:rsidRPr="00CC7B79">
        <w:fldChar w:fldCharType="end"/>
      </w:r>
      <w:r w:rsidR="00014566" w:rsidRPr="00CC7B79">
        <w:t xml:space="preserve">.  The applicant </w:t>
      </w:r>
      <w:r w:rsidR="00637E12" w:rsidRPr="00CC7B79">
        <w:t xml:space="preserve">did not make </w:t>
      </w:r>
      <w:r w:rsidR="001C6720" w:rsidRPr="00CC7B79">
        <w:t xml:space="preserve">a </w:t>
      </w:r>
      <w:r w:rsidR="00637E12" w:rsidRPr="00CC7B79">
        <w:t>claim concerning costs and expenses.</w:t>
      </w:r>
    </w:p>
    <w:p w:rsidR="00014566" w:rsidRPr="00CC7B79" w:rsidRDefault="00014566" w:rsidP="00CC7B79">
      <w:pPr>
        <w:pStyle w:val="ECHRHeading2"/>
      </w:pPr>
      <w:r w:rsidRPr="00CC7B79">
        <w:lastRenderedPageBreak/>
        <w:t>C.  Default interest</w:t>
      </w:r>
    </w:p>
    <w:p w:rsidR="00014566" w:rsidRPr="00CC7B79" w:rsidRDefault="00BE546B" w:rsidP="00CC7B79">
      <w:pPr>
        <w:pStyle w:val="ECHRPara"/>
      </w:pPr>
      <w:r w:rsidRPr="00CC7B79">
        <w:fldChar w:fldCharType="begin"/>
      </w:r>
      <w:r w:rsidRPr="00CC7B79">
        <w:instrText xml:space="preserve"> SEQ level0 \*arabic </w:instrText>
      </w:r>
      <w:r w:rsidRPr="00CC7B79">
        <w:fldChar w:fldCharType="separate"/>
      </w:r>
      <w:r w:rsidR="00CC7B79" w:rsidRPr="00CC7B79">
        <w:rPr>
          <w:noProof/>
        </w:rPr>
        <w:t>49</w:t>
      </w:r>
      <w:r w:rsidRPr="00CC7B79">
        <w:fldChar w:fldCharType="end"/>
      </w:r>
      <w:r w:rsidR="00014566" w:rsidRPr="00CC7B79">
        <w:t>.  The Court considers it appropriate that the default interest rate should be based on the marginal lending rate of the European Central Bank, to which should be added three percentage points.</w:t>
      </w:r>
    </w:p>
    <w:p w:rsidR="00014566" w:rsidRPr="00CC7B79" w:rsidRDefault="00BB5883" w:rsidP="00CC7B79">
      <w:pPr>
        <w:pStyle w:val="ECHRTitle1"/>
      </w:pPr>
      <w:r w:rsidRPr="00CC7B79">
        <w:t>FOR THESE REASONS, THE COURT</w:t>
      </w:r>
      <w:r w:rsidR="00BE546B" w:rsidRPr="00CC7B79">
        <w:t>, UNANIMOUSLY,</w:t>
      </w:r>
    </w:p>
    <w:p w:rsidR="00B637B9" w:rsidRPr="00CC7B79" w:rsidRDefault="00B637B9" w:rsidP="00CC7B79">
      <w:pPr>
        <w:pStyle w:val="JuList"/>
      </w:pPr>
      <w:r w:rsidRPr="00CC7B79">
        <w:t>1.  </w:t>
      </w:r>
      <w:r w:rsidRPr="00CC7B79">
        <w:rPr>
          <w:i/>
        </w:rPr>
        <w:t>Declares</w:t>
      </w:r>
      <w:r w:rsidRPr="00CC7B79">
        <w:t xml:space="preserve"> the </w:t>
      </w:r>
      <w:r w:rsidR="00637E12" w:rsidRPr="00CC7B79">
        <w:t>application</w:t>
      </w:r>
      <w:r w:rsidRPr="00CC7B79">
        <w:t xml:space="preserve"> admissible;</w:t>
      </w:r>
    </w:p>
    <w:p w:rsidR="00014566" w:rsidRPr="00CC7B79" w:rsidRDefault="00014566" w:rsidP="00CC7B79">
      <w:pPr>
        <w:pStyle w:val="JuList"/>
        <w:ind w:left="0" w:firstLine="0"/>
      </w:pPr>
    </w:p>
    <w:p w:rsidR="00014566" w:rsidRPr="00CC7B79" w:rsidRDefault="00637E12" w:rsidP="00CC7B79">
      <w:pPr>
        <w:pStyle w:val="JuList"/>
      </w:pPr>
      <w:r w:rsidRPr="00CC7B79">
        <w:t>2</w:t>
      </w:r>
      <w:r w:rsidR="00014566" w:rsidRPr="00CC7B79">
        <w:t>.  </w:t>
      </w:r>
      <w:r w:rsidR="00014566" w:rsidRPr="00CC7B79">
        <w:rPr>
          <w:i/>
        </w:rPr>
        <w:t>Holds</w:t>
      </w:r>
      <w:r w:rsidR="00014566" w:rsidRPr="00CC7B79">
        <w:rPr>
          <w:color w:val="000000"/>
        </w:rPr>
        <w:t xml:space="preserve"> </w:t>
      </w:r>
      <w:r w:rsidR="00014566" w:rsidRPr="00CC7B79">
        <w:t xml:space="preserve">that there </w:t>
      </w:r>
      <w:r w:rsidRPr="00CC7B79">
        <w:t>has</w:t>
      </w:r>
      <w:r w:rsidR="00D158E4" w:rsidRPr="00CC7B79">
        <w:t xml:space="preserve"> been </w:t>
      </w:r>
      <w:r w:rsidR="001C6720" w:rsidRPr="00CC7B79">
        <w:t xml:space="preserve">a </w:t>
      </w:r>
      <w:r w:rsidRPr="00CC7B79">
        <w:t xml:space="preserve">violation of </w:t>
      </w:r>
      <w:r w:rsidR="001C6720" w:rsidRPr="00CC7B79">
        <w:t xml:space="preserve">Article </w:t>
      </w:r>
      <w:r w:rsidRPr="00CC7B79">
        <w:t xml:space="preserve">5 </w:t>
      </w:r>
      <w:r w:rsidR="001C6720" w:rsidRPr="00CC7B79">
        <w:t xml:space="preserve">§ </w:t>
      </w:r>
      <w:r w:rsidRPr="00CC7B79">
        <w:t xml:space="preserve">3 </w:t>
      </w:r>
      <w:r w:rsidR="00014566" w:rsidRPr="00CC7B79">
        <w:t>of the Convention;</w:t>
      </w:r>
    </w:p>
    <w:p w:rsidR="00014566" w:rsidRPr="00CC7B79" w:rsidRDefault="00014566" w:rsidP="00CC7B79">
      <w:pPr>
        <w:pStyle w:val="JuList"/>
      </w:pPr>
    </w:p>
    <w:p w:rsidR="00AC7609" w:rsidRPr="00CC7B79" w:rsidRDefault="00637E12" w:rsidP="00CC7B79">
      <w:pPr>
        <w:pStyle w:val="JuList"/>
      </w:pPr>
      <w:r w:rsidRPr="00CC7B79">
        <w:t>3</w:t>
      </w:r>
      <w:r w:rsidR="00014566" w:rsidRPr="00CC7B79">
        <w:t>.  </w:t>
      </w:r>
      <w:r w:rsidR="00014566" w:rsidRPr="00CC7B79">
        <w:rPr>
          <w:i/>
        </w:rPr>
        <w:t>Holds</w:t>
      </w:r>
    </w:p>
    <w:p w:rsidR="00014566" w:rsidRPr="00CC7B79" w:rsidRDefault="00014566" w:rsidP="00CC7B79">
      <w:pPr>
        <w:pStyle w:val="JuLista"/>
      </w:pPr>
      <w:r w:rsidRPr="00CC7B79">
        <w:t>(a)  that the respondent State is to pay the applicant</w:t>
      </w:r>
      <w:r w:rsidR="00EA3652" w:rsidRPr="00CC7B79">
        <w:t>,</w:t>
      </w:r>
      <w:r w:rsidRPr="00CC7B79">
        <w:t xml:space="preserve"> within three months</w:t>
      </w:r>
      <w:r w:rsidR="00EA3652" w:rsidRPr="00CC7B79">
        <w:t>,</w:t>
      </w:r>
      <w:r w:rsidR="00AC7609" w:rsidRPr="00CC7B79">
        <w:t xml:space="preserve"> </w:t>
      </w:r>
      <w:r w:rsidR="003975E4" w:rsidRPr="00CC7B79">
        <w:t>the following amount</w:t>
      </w:r>
      <w:r w:rsidRPr="00CC7B79">
        <w:t>,</w:t>
      </w:r>
      <w:r w:rsidRPr="00CC7B79">
        <w:rPr>
          <w:b/>
        </w:rPr>
        <w:t xml:space="preserve"> </w:t>
      </w:r>
      <w:r w:rsidRPr="00CC7B79">
        <w:t xml:space="preserve">to be converted into </w:t>
      </w:r>
      <w:r w:rsidRPr="00CC7B79">
        <w:rPr>
          <w:color w:val="000000"/>
        </w:rPr>
        <w:t>the currency of the respondent State</w:t>
      </w:r>
      <w:r w:rsidRPr="00CC7B79">
        <w:t xml:space="preserve"> at the rate applicable at the date of settlement</w:t>
      </w:r>
      <w:r w:rsidR="00EA3652" w:rsidRPr="00CC7B79">
        <w:t>:</w:t>
      </w:r>
      <w:r w:rsidR="003975E4" w:rsidRPr="00CC7B79">
        <w:t xml:space="preserve"> </w:t>
      </w:r>
      <w:r w:rsidRPr="00CC7B79">
        <w:t>EUR</w:t>
      </w:r>
      <w:r w:rsidR="003975E4" w:rsidRPr="00CC7B79">
        <w:t> </w:t>
      </w:r>
      <w:r w:rsidR="00CB6009" w:rsidRPr="00CC7B79">
        <w:t>3</w:t>
      </w:r>
      <w:r w:rsidR="003975E4" w:rsidRPr="00CC7B79">
        <w:t>,</w:t>
      </w:r>
      <w:r w:rsidR="00CB6009" w:rsidRPr="00CC7B79">
        <w:t>5</w:t>
      </w:r>
      <w:r w:rsidR="003975E4" w:rsidRPr="00CC7B79">
        <w:t>00</w:t>
      </w:r>
      <w:r w:rsidRPr="00CC7B79">
        <w:t xml:space="preserve"> (</w:t>
      </w:r>
      <w:r w:rsidR="00CB6009" w:rsidRPr="00CC7B79">
        <w:t xml:space="preserve">three </w:t>
      </w:r>
      <w:r w:rsidR="003975E4" w:rsidRPr="00CC7B79">
        <w:t>thousand</w:t>
      </w:r>
      <w:r w:rsidRPr="00CC7B79">
        <w:t xml:space="preserve"> </w:t>
      </w:r>
      <w:r w:rsidR="00CB6009" w:rsidRPr="00CC7B79">
        <w:t xml:space="preserve">five hundred </w:t>
      </w:r>
      <w:r w:rsidRPr="00CC7B79">
        <w:t>euros), plus any tax that may be chargeable, in respect of non-pecuniary damage;</w:t>
      </w:r>
    </w:p>
    <w:p w:rsidR="00014566" w:rsidRPr="00CC7B79" w:rsidRDefault="00014566" w:rsidP="00CC7B79">
      <w:pPr>
        <w:pStyle w:val="JuLista"/>
      </w:pPr>
      <w:r w:rsidRPr="00CC7B79">
        <w:t>(b)  that from the expiry of the above-mentioned three months until settlement simple interest shall be payable on the above amount</w:t>
      </w:r>
      <w:r w:rsidR="003975E4" w:rsidRPr="00CC7B79">
        <w:t xml:space="preserve"> at a </w:t>
      </w:r>
      <w:r w:rsidRPr="00CC7B79">
        <w:t>rate equal to the marginal lending rate of the European Central Bank during the default period plus three percentage points;</w:t>
      </w:r>
    </w:p>
    <w:p w:rsidR="00014566" w:rsidRPr="00CC7B79" w:rsidRDefault="00014566" w:rsidP="00CC7B79">
      <w:pPr>
        <w:pStyle w:val="JuList"/>
      </w:pPr>
    </w:p>
    <w:p w:rsidR="00014566" w:rsidRPr="00CC7B79" w:rsidRDefault="003975E4" w:rsidP="00CC7B79">
      <w:pPr>
        <w:pStyle w:val="JuList"/>
      </w:pPr>
      <w:r w:rsidRPr="00CC7B79">
        <w:t>4</w:t>
      </w:r>
      <w:r w:rsidR="00014566" w:rsidRPr="00CC7B79">
        <w:t>.  </w:t>
      </w:r>
      <w:r w:rsidR="00014566" w:rsidRPr="00CC7B79">
        <w:rPr>
          <w:i/>
        </w:rPr>
        <w:t>Dismisses</w:t>
      </w:r>
      <w:r w:rsidR="00014566" w:rsidRPr="00CC7B79">
        <w:rPr>
          <w:color w:val="000000"/>
        </w:rPr>
        <w:t xml:space="preserve"> </w:t>
      </w:r>
      <w:r w:rsidR="00014566" w:rsidRPr="00CC7B79">
        <w:t>the remainder of the applicant</w:t>
      </w:r>
      <w:r w:rsidR="00CC7B79" w:rsidRPr="00CC7B79">
        <w:t>’</w:t>
      </w:r>
      <w:r w:rsidR="00BE546B" w:rsidRPr="00CC7B79">
        <w:t>s</w:t>
      </w:r>
      <w:r w:rsidR="00014566" w:rsidRPr="00CC7B79">
        <w:t xml:space="preserve"> claim for just satisfaction.</w:t>
      </w:r>
    </w:p>
    <w:p w:rsidR="00014566" w:rsidRPr="00CC7B79" w:rsidRDefault="00014566" w:rsidP="00CC7B79">
      <w:pPr>
        <w:pStyle w:val="JuParaLast"/>
      </w:pPr>
      <w:r w:rsidRPr="00CC7B79">
        <w:t xml:space="preserve">Done in English, and notified in writing on </w:t>
      </w:r>
      <w:r w:rsidR="005F1F9F" w:rsidRPr="00CC7B79">
        <w:t>18 October 2018</w:t>
      </w:r>
      <w:r w:rsidR="00C915FB" w:rsidRPr="00CC7B79">
        <w:t xml:space="preserve">, pursuant to </w:t>
      </w:r>
      <w:r w:rsidR="001C6720" w:rsidRPr="00CC7B79">
        <w:t xml:space="preserve">Rule 77 §§ </w:t>
      </w:r>
      <w:r w:rsidRPr="00CC7B79">
        <w:t>2 and 3 of the Rules of Court.</w:t>
      </w:r>
    </w:p>
    <w:p w:rsidR="004D15F3" w:rsidRPr="00CC7B79" w:rsidRDefault="00014566" w:rsidP="00CC7B79">
      <w:pPr>
        <w:pStyle w:val="JuSigned"/>
        <w:tabs>
          <w:tab w:val="clear" w:pos="6407"/>
          <w:tab w:val="center" w:pos="6096"/>
        </w:tabs>
        <w:rPr>
          <w:lang w:val="es-ES_tradnl"/>
        </w:rPr>
      </w:pPr>
      <w:r w:rsidRPr="00CC7B79">
        <w:tab/>
      </w:r>
      <w:r w:rsidR="00BE546B" w:rsidRPr="00CC7B79">
        <w:rPr>
          <w:lang w:val="es-ES_tradnl"/>
        </w:rPr>
        <w:t>Renata Degener</w:t>
      </w:r>
      <w:r w:rsidRPr="00CC7B79">
        <w:rPr>
          <w:lang w:val="es-ES_tradnl"/>
        </w:rPr>
        <w:tab/>
      </w:r>
      <w:r w:rsidR="005F1F9F" w:rsidRPr="00CC7B79">
        <w:rPr>
          <w:lang w:val="it-IT"/>
        </w:rPr>
        <w:t>Aleš Pejchal</w:t>
      </w:r>
      <w:r w:rsidR="00E1557C" w:rsidRPr="00CC7B79">
        <w:rPr>
          <w:szCs w:val="24"/>
          <w:lang w:val="es-ES_tradnl"/>
        </w:rPr>
        <w:br/>
      </w:r>
      <w:r w:rsidRPr="00CC7B79">
        <w:rPr>
          <w:lang w:val="es-ES_tradnl"/>
        </w:rPr>
        <w:tab/>
      </w:r>
      <w:r w:rsidR="00BE546B" w:rsidRPr="00CC7B79">
        <w:rPr>
          <w:lang w:val="es-ES_tradnl"/>
        </w:rPr>
        <w:t xml:space="preserve">Deputy </w:t>
      </w:r>
      <w:r w:rsidR="00BE546B" w:rsidRPr="00CC7B79">
        <w:rPr>
          <w:iCs/>
          <w:lang w:val="es-ES_tradnl"/>
        </w:rPr>
        <w:t>Registrar</w:t>
      </w:r>
      <w:r w:rsidRPr="00CC7B79">
        <w:rPr>
          <w:lang w:val="es-ES_tradnl"/>
        </w:rPr>
        <w:tab/>
        <w:t>President</w:t>
      </w:r>
    </w:p>
    <w:sectPr w:rsidR="004D15F3" w:rsidRPr="00CC7B79" w:rsidSect="005F1F9F">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87F" w:rsidRPr="004B360A" w:rsidRDefault="00C5387F" w:rsidP="00014566">
      <w:r w:rsidRPr="004B360A">
        <w:separator/>
      </w:r>
    </w:p>
  </w:endnote>
  <w:endnote w:type="continuationSeparator" w:id="0">
    <w:p w:rsidR="00C5387F" w:rsidRPr="004B360A" w:rsidRDefault="00C5387F" w:rsidP="00014566">
      <w:r w:rsidRPr="004B36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F9F" w:rsidRPr="00150BFA" w:rsidRDefault="005F1F9F" w:rsidP="0020718E">
    <w:pPr>
      <w:jc w:val="center"/>
    </w:pPr>
    <w:r>
      <w:rPr>
        <w:noProof/>
        <w:lang w:val="pl-PL" w:eastAsia="pl-PL"/>
      </w:rPr>
      <w:drawing>
        <wp:inline distT="0" distB="0" distL="0" distR="0" wp14:anchorId="0290F72B" wp14:editId="0E66E1C0">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F1F9F" w:rsidRDefault="005F1F9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87F" w:rsidRPr="004B360A" w:rsidRDefault="00C5387F" w:rsidP="00014566">
      <w:r w:rsidRPr="004B360A">
        <w:separator/>
      </w:r>
    </w:p>
  </w:footnote>
  <w:footnote w:type="continuationSeparator" w:id="0">
    <w:p w:rsidR="00C5387F" w:rsidRPr="004B360A" w:rsidRDefault="00C5387F" w:rsidP="00014566">
      <w:r w:rsidRPr="004B360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4D1" w:rsidRPr="005F1F9F" w:rsidRDefault="009934D1" w:rsidP="005F1F9F">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F9F" w:rsidRPr="00A45145" w:rsidRDefault="005F1F9F" w:rsidP="00A45145">
    <w:pPr>
      <w:jc w:val="center"/>
    </w:pPr>
    <w:r>
      <w:rPr>
        <w:noProof/>
        <w:lang w:val="pl-PL" w:eastAsia="pl-PL"/>
      </w:rPr>
      <w:drawing>
        <wp:inline distT="0" distB="0" distL="0" distR="0" wp14:anchorId="056343BB" wp14:editId="4C2A01B9">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F1F9F" w:rsidRDefault="005F1F9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F9F" w:rsidRPr="00030971" w:rsidRDefault="005F1F9F" w:rsidP="00EE1DA9">
    <w:pPr>
      <w:pStyle w:val="ECHRHeader"/>
    </w:pPr>
    <w:r w:rsidRPr="004B360A">
      <w:rPr>
        <w:rStyle w:val="Numerstrony"/>
        <w:szCs w:val="18"/>
      </w:rPr>
      <w:fldChar w:fldCharType="begin"/>
    </w:r>
    <w:r w:rsidRPr="004B360A">
      <w:rPr>
        <w:rStyle w:val="Numerstrony"/>
        <w:szCs w:val="18"/>
      </w:rPr>
      <w:instrText xml:space="preserve"> PAGE </w:instrText>
    </w:r>
    <w:r w:rsidRPr="004B360A">
      <w:rPr>
        <w:rStyle w:val="Numerstrony"/>
        <w:szCs w:val="18"/>
      </w:rPr>
      <w:fldChar w:fldCharType="separate"/>
    </w:r>
    <w:r w:rsidR="003652B5">
      <w:rPr>
        <w:rStyle w:val="Numerstrony"/>
        <w:noProof/>
        <w:szCs w:val="18"/>
      </w:rPr>
      <w:t>8</w:t>
    </w:r>
    <w:r w:rsidRPr="004B360A">
      <w:rPr>
        <w:rStyle w:val="Numerstrony"/>
        <w:szCs w:val="18"/>
      </w:rPr>
      <w:fldChar w:fldCharType="end"/>
    </w:r>
    <w:r w:rsidRPr="004B360A">
      <w:tab/>
      <w:t xml:space="preserve">BURŻA v. POLAND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F9F" w:rsidRPr="00030971" w:rsidRDefault="005F1F9F" w:rsidP="00D60D87">
    <w:pPr>
      <w:pStyle w:val="ECHRHeader"/>
    </w:pPr>
    <w:r w:rsidRPr="00030971">
      <w:tab/>
      <w:t xml:space="preserve">BURŻA v. POLAND </w:t>
    </w:r>
    <w:r>
      <w:t>JUDGMENT</w:t>
    </w:r>
    <w:r w:rsidRPr="00030971">
      <w:tab/>
    </w:r>
    <w:r w:rsidRPr="00120429">
      <w:rPr>
        <w:rStyle w:val="Numerstrony"/>
        <w:szCs w:val="18"/>
      </w:rPr>
      <w:fldChar w:fldCharType="begin"/>
    </w:r>
    <w:r w:rsidRPr="00030971">
      <w:rPr>
        <w:rStyle w:val="Numerstrony"/>
        <w:szCs w:val="18"/>
      </w:rPr>
      <w:instrText xml:space="preserve"> PAGE </w:instrText>
    </w:r>
    <w:r w:rsidRPr="00120429">
      <w:rPr>
        <w:rStyle w:val="Numerstrony"/>
        <w:szCs w:val="18"/>
      </w:rPr>
      <w:fldChar w:fldCharType="separate"/>
    </w:r>
    <w:r w:rsidR="003652B5">
      <w:rPr>
        <w:rStyle w:val="Numerstrony"/>
        <w:noProof/>
        <w:szCs w:val="18"/>
      </w:rPr>
      <w:t>1</w:t>
    </w:r>
    <w:r w:rsidRPr="00120429">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BE546B"/>
    <w:rsid w:val="00000067"/>
    <w:rsid w:val="0000052A"/>
    <w:rsid w:val="000010ED"/>
    <w:rsid w:val="000041F8"/>
    <w:rsid w:val="000042A8"/>
    <w:rsid w:val="00004308"/>
    <w:rsid w:val="00004B45"/>
    <w:rsid w:val="00005BF0"/>
    <w:rsid w:val="00007154"/>
    <w:rsid w:val="000103AE"/>
    <w:rsid w:val="0001062E"/>
    <w:rsid w:val="00011D69"/>
    <w:rsid w:val="00012AD3"/>
    <w:rsid w:val="00014566"/>
    <w:rsid w:val="00015C2D"/>
    <w:rsid w:val="00015F00"/>
    <w:rsid w:val="00022411"/>
    <w:rsid w:val="00022C1D"/>
    <w:rsid w:val="00030971"/>
    <w:rsid w:val="00034987"/>
    <w:rsid w:val="000350E3"/>
    <w:rsid w:val="00054FEE"/>
    <w:rsid w:val="00056F49"/>
    <w:rsid w:val="000602DF"/>
    <w:rsid w:val="00061B05"/>
    <w:rsid w:val="000623D8"/>
    <w:rsid w:val="00062973"/>
    <w:rsid w:val="00062D5D"/>
    <w:rsid w:val="000632D5"/>
    <w:rsid w:val="000644EE"/>
    <w:rsid w:val="00066F84"/>
    <w:rsid w:val="00067618"/>
    <w:rsid w:val="00071ABC"/>
    <w:rsid w:val="00072C73"/>
    <w:rsid w:val="0008082B"/>
    <w:rsid w:val="000856D7"/>
    <w:rsid w:val="000902AD"/>
    <w:rsid w:val="000925AD"/>
    <w:rsid w:val="000A10B2"/>
    <w:rsid w:val="000A24EB"/>
    <w:rsid w:val="000B0C44"/>
    <w:rsid w:val="000B6923"/>
    <w:rsid w:val="000C033C"/>
    <w:rsid w:val="000C5F3C"/>
    <w:rsid w:val="000C6DCC"/>
    <w:rsid w:val="000D47AA"/>
    <w:rsid w:val="000D721F"/>
    <w:rsid w:val="000E069B"/>
    <w:rsid w:val="000E0E82"/>
    <w:rsid w:val="000E1DC5"/>
    <w:rsid w:val="000E223F"/>
    <w:rsid w:val="000E35AC"/>
    <w:rsid w:val="000E7D45"/>
    <w:rsid w:val="000F338C"/>
    <w:rsid w:val="000F77CE"/>
    <w:rsid w:val="000F7851"/>
    <w:rsid w:val="00104E23"/>
    <w:rsid w:val="00111B0C"/>
    <w:rsid w:val="00120429"/>
    <w:rsid w:val="00120D6C"/>
    <w:rsid w:val="0012315A"/>
    <w:rsid w:val="00123B64"/>
    <w:rsid w:val="001257EC"/>
    <w:rsid w:val="00126A7F"/>
    <w:rsid w:val="00132C6A"/>
    <w:rsid w:val="00133D33"/>
    <w:rsid w:val="00134D64"/>
    <w:rsid w:val="00135A30"/>
    <w:rsid w:val="0013612C"/>
    <w:rsid w:val="00137FF6"/>
    <w:rsid w:val="00141650"/>
    <w:rsid w:val="001457D8"/>
    <w:rsid w:val="00154C89"/>
    <w:rsid w:val="00162A12"/>
    <w:rsid w:val="001654B3"/>
    <w:rsid w:val="00166530"/>
    <w:rsid w:val="00172587"/>
    <w:rsid w:val="001832BD"/>
    <w:rsid w:val="001943B5"/>
    <w:rsid w:val="00195134"/>
    <w:rsid w:val="001A145B"/>
    <w:rsid w:val="001A674C"/>
    <w:rsid w:val="001B27E5"/>
    <w:rsid w:val="001B3B24"/>
    <w:rsid w:val="001C0F98"/>
    <w:rsid w:val="001C2A42"/>
    <w:rsid w:val="001C6720"/>
    <w:rsid w:val="001C79D2"/>
    <w:rsid w:val="001D2459"/>
    <w:rsid w:val="001D5192"/>
    <w:rsid w:val="001D63ED"/>
    <w:rsid w:val="001D7348"/>
    <w:rsid w:val="001E035B"/>
    <w:rsid w:val="001E0961"/>
    <w:rsid w:val="001E3EAE"/>
    <w:rsid w:val="001E5348"/>
    <w:rsid w:val="001E6F32"/>
    <w:rsid w:val="001F2145"/>
    <w:rsid w:val="001F6262"/>
    <w:rsid w:val="001F67B0"/>
    <w:rsid w:val="001F69F6"/>
    <w:rsid w:val="001F7B3D"/>
    <w:rsid w:val="00205F9F"/>
    <w:rsid w:val="00210338"/>
    <w:rsid w:val="002115FC"/>
    <w:rsid w:val="002133F8"/>
    <w:rsid w:val="0021423C"/>
    <w:rsid w:val="002266D1"/>
    <w:rsid w:val="00230476"/>
    <w:rsid w:val="00230D00"/>
    <w:rsid w:val="00231DF7"/>
    <w:rsid w:val="00231FD1"/>
    <w:rsid w:val="002339E0"/>
    <w:rsid w:val="00233CF8"/>
    <w:rsid w:val="00234280"/>
    <w:rsid w:val="0023575D"/>
    <w:rsid w:val="00237148"/>
    <w:rsid w:val="0024222D"/>
    <w:rsid w:val="00244B0E"/>
    <w:rsid w:val="00244F6C"/>
    <w:rsid w:val="00247622"/>
    <w:rsid w:val="0025043F"/>
    <w:rsid w:val="002532C5"/>
    <w:rsid w:val="00260C03"/>
    <w:rsid w:val="0026540E"/>
    <w:rsid w:val="0027225C"/>
    <w:rsid w:val="00275123"/>
    <w:rsid w:val="00282240"/>
    <w:rsid w:val="0028572A"/>
    <w:rsid w:val="002948AD"/>
    <w:rsid w:val="00294C05"/>
    <w:rsid w:val="00294C92"/>
    <w:rsid w:val="002A01CC"/>
    <w:rsid w:val="002A3877"/>
    <w:rsid w:val="002A61B1"/>
    <w:rsid w:val="002A663C"/>
    <w:rsid w:val="002B1E6C"/>
    <w:rsid w:val="002B444B"/>
    <w:rsid w:val="002B5887"/>
    <w:rsid w:val="002C0692"/>
    <w:rsid w:val="002C0E27"/>
    <w:rsid w:val="002C3040"/>
    <w:rsid w:val="002D022D"/>
    <w:rsid w:val="002D24BB"/>
    <w:rsid w:val="002F171B"/>
    <w:rsid w:val="002F2AF7"/>
    <w:rsid w:val="002F7E1C"/>
    <w:rsid w:val="00301A75"/>
    <w:rsid w:val="00302F70"/>
    <w:rsid w:val="0030336F"/>
    <w:rsid w:val="0030375E"/>
    <w:rsid w:val="003078EE"/>
    <w:rsid w:val="0031102C"/>
    <w:rsid w:val="00312A30"/>
    <w:rsid w:val="003134CB"/>
    <w:rsid w:val="003152BA"/>
    <w:rsid w:val="00320F72"/>
    <w:rsid w:val="0032463E"/>
    <w:rsid w:val="00326224"/>
    <w:rsid w:val="0032676F"/>
    <w:rsid w:val="00331EAC"/>
    <w:rsid w:val="00337EE4"/>
    <w:rsid w:val="00340FFD"/>
    <w:rsid w:val="00342EED"/>
    <w:rsid w:val="003506B1"/>
    <w:rsid w:val="003560E5"/>
    <w:rsid w:val="00356AC7"/>
    <w:rsid w:val="003609FA"/>
    <w:rsid w:val="003652B5"/>
    <w:rsid w:val="003710C8"/>
    <w:rsid w:val="003750BE"/>
    <w:rsid w:val="00387B9D"/>
    <w:rsid w:val="0039364F"/>
    <w:rsid w:val="0039472E"/>
    <w:rsid w:val="00396686"/>
    <w:rsid w:val="003975E4"/>
    <w:rsid w:val="0039778E"/>
    <w:rsid w:val="003A441D"/>
    <w:rsid w:val="003B4941"/>
    <w:rsid w:val="003C21F7"/>
    <w:rsid w:val="003C5714"/>
    <w:rsid w:val="003C6B9F"/>
    <w:rsid w:val="003C6E2A"/>
    <w:rsid w:val="003D0299"/>
    <w:rsid w:val="003D0AE9"/>
    <w:rsid w:val="003E6D80"/>
    <w:rsid w:val="003F05FA"/>
    <w:rsid w:val="003F244A"/>
    <w:rsid w:val="003F30B8"/>
    <w:rsid w:val="003F4C45"/>
    <w:rsid w:val="003F5949"/>
    <w:rsid w:val="003F5F7B"/>
    <w:rsid w:val="003F7887"/>
    <w:rsid w:val="003F7D64"/>
    <w:rsid w:val="00414300"/>
    <w:rsid w:val="0041560D"/>
    <w:rsid w:val="00425C67"/>
    <w:rsid w:val="00426245"/>
    <w:rsid w:val="00427E7A"/>
    <w:rsid w:val="00436307"/>
    <w:rsid w:val="00436C49"/>
    <w:rsid w:val="00445366"/>
    <w:rsid w:val="00447F5B"/>
    <w:rsid w:val="00461DB0"/>
    <w:rsid w:val="00463926"/>
    <w:rsid w:val="00464097"/>
    <w:rsid w:val="004646E0"/>
    <w:rsid w:val="00464C9A"/>
    <w:rsid w:val="00474F3D"/>
    <w:rsid w:val="00477E3A"/>
    <w:rsid w:val="00483E5F"/>
    <w:rsid w:val="00485FF9"/>
    <w:rsid w:val="004907F0"/>
    <w:rsid w:val="0049140B"/>
    <w:rsid w:val="004923A5"/>
    <w:rsid w:val="00493202"/>
    <w:rsid w:val="00494F59"/>
    <w:rsid w:val="00495558"/>
    <w:rsid w:val="00496BFB"/>
    <w:rsid w:val="004A15C7"/>
    <w:rsid w:val="004A597B"/>
    <w:rsid w:val="004A7CFC"/>
    <w:rsid w:val="004B013B"/>
    <w:rsid w:val="004B112B"/>
    <w:rsid w:val="004B360A"/>
    <w:rsid w:val="004C01E4"/>
    <w:rsid w:val="004C086C"/>
    <w:rsid w:val="004C1F56"/>
    <w:rsid w:val="004C27BC"/>
    <w:rsid w:val="004D15F3"/>
    <w:rsid w:val="004D347F"/>
    <w:rsid w:val="004D5311"/>
    <w:rsid w:val="004D5DCC"/>
    <w:rsid w:val="004D616D"/>
    <w:rsid w:val="004F10AF"/>
    <w:rsid w:val="004F11A4"/>
    <w:rsid w:val="004F2389"/>
    <w:rsid w:val="004F304D"/>
    <w:rsid w:val="004F3F1B"/>
    <w:rsid w:val="004F5CAA"/>
    <w:rsid w:val="004F61BE"/>
    <w:rsid w:val="004F66B1"/>
    <w:rsid w:val="00502A0D"/>
    <w:rsid w:val="00506D55"/>
    <w:rsid w:val="00511C07"/>
    <w:rsid w:val="00512D5D"/>
    <w:rsid w:val="005173A6"/>
    <w:rsid w:val="00517E26"/>
    <w:rsid w:val="00520BAA"/>
    <w:rsid w:val="00525208"/>
    <w:rsid w:val="005257A5"/>
    <w:rsid w:val="005264C0"/>
    <w:rsid w:val="00526A8A"/>
    <w:rsid w:val="00530586"/>
    <w:rsid w:val="00531DF2"/>
    <w:rsid w:val="00533CF7"/>
    <w:rsid w:val="00535BB8"/>
    <w:rsid w:val="00543AD6"/>
    <w:rsid w:val="005442EE"/>
    <w:rsid w:val="00547353"/>
    <w:rsid w:val="005474E7"/>
    <w:rsid w:val="005512A3"/>
    <w:rsid w:val="00556C2C"/>
    <w:rsid w:val="005578CE"/>
    <w:rsid w:val="00562781"/>
    <w:rsid w:val="00563E83"/>
    <w:rsid w:val="0057271C"/>
    <w:rsid w:val="00572845"/>
    <w:rsid w:val="00592772"/>
    <w:rsid w:val="0059574A"/>
    <w:rsid w:val="005A1B9B"/>
    <w:rsid w:val="005A6751"/>
    <w:rsid w:val="005B092E"/>
    <w:rsid w:val="005B152C"/>
    <w:rsid w:val="005B1EE0"/>
    <w:rsid w:val="005B2B24"/>
    <w:rsid w:val="005B4425"/>
    <w:rsid w:val="005B4B94"/>
    <w:rsid w:val="005B5DB6"/>
    <w:rsid w:val="005C3EE8"/>
    <w:rsid w:val="005C644F"/>
    <w:rsid w:val="005D34F9"/>
    <w:rsid w:val="005D4190"/>
    <w:rsid w:val="005D67A3"/>
    <w:rsid w:val="005E2988"/>
    <w:rsid w:val="005E2A43"/>
    <w:rsid w:val="005E3085"/>
    <w:rsid w:val="005E438A"/>
    <w:rsid w:val="005F1F9F"/>
    <w:rsid w:val="005F499A"/>
    <w:rsid w:val="005F51E1"/>
    <w:rsid w:val="00611C80"/>
    <w:rsid w:val="00620692"/>
    <w:rsid w:val="006242CA"/>
    <w:rsid w:val="00627507"/>
    <w:rsid w:val="0063119F"/>
    <w:rsid w:val="00633717"/>
    <w:rsid w:val="00633E63"/>
    <w:rsid w:val="006344E1"/>
    <w:rsid w:val="00637E12"/>
    <w:rsid w:val="0064531B"/>
    <w:rsid w:val="006522A5"/>
    <w:rsid w:val="006545C4"/>
    <w:rsid w:val="00661971"/>
    <w:rsid w:val="00661CE8"/>
    <w:rsid w:val="006623D9"/>
    <w:rsid w:val="0066550C"/>
    <w:rsid w:val="006716F2"/>
    <w:rsid w:val="00682340"/>
    <w:rsid w:val="00682BF2"/>
    <w:rsid w:val="006859CE"/>
    <w:rsid w:val="006909DB"/>
    <w:rsid w:val="00691270"/>
    <w:rsid w:val="00694BA8"/>
    <w:rsid w:val="006A037C"/>
    <w:rsid w:val="006A36F4"/>
    <w:rsid w:val="006A406F"/>
    <w:rsid w:val="006A5D3A"/>
    <w:rsid w:val="006C23D4"/>
    <w:rsid w:val="006C7BB0"/>
    <w:rsid w:val="006C7C1E"/>
    <w:rsid w:val="006D0298"/>
    <w:rsid w:val="006D13DE"/>
    <w:rsid w:val="006D3237"/>
    <w:rsid w:val="006E28F5"/>
    <w:rsid w:val="006E2E37"/>
    <w:rsid w:val="006E3CF1"/>
    <w:rsid w:val="006E64B6"/>
    <w:rsid w:val="006E7E80"/>
    <w:rsid w:val="006F1DF9"/>
    <w:rsid w:val="006F24DB"/>
    <w:rsid w:val="006F431D"/>
    <w:rsid w:val="006F48CA"/>
    <w:rsid w:val="006F64DD"/>
    <w:rsid w:val="007000A7"/>
    <w:rsid w:val="0070468C"/>
    <w:rsid w:val="007102C2"/>
    <w:rsid w:val="00715127"/>
    <w:rsid w:val="00715E8E"/>
    <w:rsid w:val="00717B36"/>
    <w:rsid w:val="00723580"/>
    <w:rsid w:val="00723755"/>
    <w:rsid w:val="0073136C"/>
    <w:rsid w:val="00731F0F"/>
    <w:rsid w:val="00733250"/>
    <w:rsid w:val="00741404"/>
    <w:rsid w:val="007449E5"/>
    <w:rsid w:val="00746085"/>
    <w:rsid w:val="00746C5A"/>
    <w:rsid w:val="00747FF0"/>
    <w:rsid w:val="007509D5"/>
    <w:rsid w:val="00763D74"/>
    <w:rsid w:val="00764D4E"/>
    <w:rsid w:val="00765A1F"/>
    <w:rsid w:val="00774A6E"/>
    <w:rsid w:val="007750F3"/>
    <w:rsid w:val="00775B6D"/>
    <w:rsid w:val="00776D68"/>
    <w:rsid w:val="007850EE"/>
    <w:rsid w:val="00785B95"/>
    <w:rsid w:val="00790E96"/>
    <w:rsid w:val="00793366"/>
    <w:rsid w:val="007A716F"/>
    <w:rsid w:val="007B270A"/>
    <w:rsid w:val="007C0496"/>
    <w:rsid w:val="007C0695"/>
    <w:rsid w:val="007C3AA5"/>
    <w:rsid w:val="007C419A"/>
    <w:rsid w:val="007C469F"/>
    <w:rsid w:val="007C4CC8"/>
    <w:rsid w:val="007C5426"/>
    <w:rsid w:val="007C556A"/>
    <w:rsid w:val="007C5798"/>
    <w:rsid w:val="007D4832"/>
    <w:rsid w:val="007E21B2"/>
    <w:rsid w:val="007E2C4E"/>
    <w:rsid w:val="007F1905"/>
    <w:rsid w:val="0080048F"/>
    <w:rsid w:val="00801300"/>
    <w:rsid w:val="00802C64"/>
    <w:rsid w:val="00805E52"/>
    <w:rsid w:val="008061D0"/>
    <w:rsid w:val="00810B38"/>
    <w:rsid w:val="008204C7"/>
    <w:rsid w:val="00820992"/>
    <w:rsid w:val="00823602"/>
    <w:rsid w:val="008255F5"/>
    <w:rsid w:val="00825A90"/>
    <w:rsid w:val="0083014E"/>
    <w:rsid w:val="0083214A"/>
    <w:rsid w:val="00832F7A"/>
    <w:rsid w:val="00834220"/>
    <w:rsid w:val="00845723"/>
    <w:rsid w:val="00851EF9"/>
    <w:rsid w:val="008577FD"/>
    <w:rsid w:val="00860B03"/>
    <w:rsid w:val="0086497A"/>
    <w:rsid w:val="008713A1"/>
    <w:rsid w:val="008717CE"/>
    <w:rsid w:val="008721D6"/>
    <w:rsid w:val="008754AB"/>
    <w:rsid w:val="0088060C"/>
    <w:rsid w:val="00880B07"/>
    <w:rsid w:val="008843AE"/>
    <w:rsid w:val="00885650"/>
    <w:rsid w:val="00885C89"/>
    <w:rsid w:val="00893576"/>
    <w:rsid w:val="00893E73"/>
    <w:rsid w:val="008942D1"/>
    <w:rsid w:val="008A43C4"/>
    <w:rsid w:val="008A7008"/>
    <w:rsid w:val="008B02DC"/>
    <w:rsid w:val="008B57CE"/>
    <w:rsid w:val="008B659F"/>
    <w:rsid w:val="008C26DE"/>
    <w:rsid w:val="008C7706"/>
    <w:rsid w:val="008D1D96"/>
    <w:rsid w:val="008D2225"/>
    <w:rsid w:val="008D4752"/>
    <w:rsid w:val="008D552A"/>
    <w:rsid w:val="008E271C"/>
    <w:rsid w:val="008E3D5F"/>
    <w:rsid w:val="008E418E"/>
    <w:rsid w:val="008E5BC6"/>
    <w:rsid w:val="008E6A25"/>
    <w:rsid w:val="008E709D"/>
    <w:rsid w:val="008F5193"/>
    <w:rsid w:val="009013A7"/>
    <w:rsid w:val="009017FB"/>
    <w:rsid w:val="009017FC"/>
    <w:rsid w:val="00903B43"/>
    <w:rsid w:val="0090506B"/>
    <w:rsid w:val="009050C9"/>
    <w:rsid w:val="009066FC"/>
    <w:rsid w:val="009140A3"/>
    <w:rsid w:val="009144A2"/>
    <w:rsid w:val="0091510C"/>
    <w:rsid w:val="009259AC"/>
    <w:rsid w:val="00926F38"/>
    <w:rsid w:val="00934301"/>
    <w:rsid w:val="00936CD1"/>
    <w:rsid w:val="00941027"/>
    <w:rsid w:val="00941747"/>
    <w:rsid w:val="00941EFB"/>
    <w:rsid w:val="00947AFB"/>
    <w:rsid w:val="00951D7D"/>
    <w:rsid w:val="00952C12"/>
    <w:rsid w:val="009630C7"/>
    <w:rsid w:val="0096798E"/>
    <w:rsid w:val="00972B55"/>
    <w:rsid w:val="009743B7"/>
    <w:rsid w:val="0098085E"/>
    <w:rsid w:val="00981209"/>
    <w:rsid w:val="0098228B"/>
    <w:rsid w:val="009828DA"/>
    <w:rsid w:val="00985BAB"/>
    <w:rsid w:val="009934D1"/>
    <w:rsid w:val="00994214"/>
    <w:rsid w:val="00997F03"/>
    <w:rsid w:val="009A46DF"/>
    <w:rsid w:val="009B1B5F"/>
    <w:rsid w:val="009B2EC2"/>
    <w:rsid w:val="009B6673"/>
    <w:rsid w:val="009C191B"/>
    <w:rsid w:val="009C2BD6"/>
    <w:rsid w:val="009C35B7"/>
    <w:rsid w:val="009E1F32"/>
    <w:rsid w:val="009E5829"/>
    <w:rsid w:val="009E776C"/>
    <w:rsid w:val="009F534E"/>
    <w:rsid w:val="009F6BD9"/>
    <w:rsid w:val="00A00F77"/>
    <w:rsid w:val="00A130B4"/>
    <w:rsid w:val="00A1726E"/>
    <w:rsid w:val="00A204CF"/>
    <w:rsid w:val="00A23D49"/>
    <w:rsid w:val="00A27004"/>
    <w:rsid w:val="00A30C29"/>
    <w:rsid w:val="00A34DD6"/>
    <w:rsid w:val="00A36819"/>
    <w:rsid w:val="00A36989"/>
    <w:rsid w:val="00A43628"/>
    <w:rsid w:val="00A44392"/>
    <w:rsid w:val="00A54192"/>
    <w:rsid w:val="00A6035E"/>
    <w:rsid w:val="00A6144C"/>
    <w:rsid w:val="00A63340"/>
    <w:rsid w:val="00A66617"/>
    <w:rsid w:val="00A671F8"/>
    <w:rsid w:val="00A673A4"/>
    <w:rsid w:val="00A7213D"/>
    <w:rsid w:val="00A724AE"/>
    <w:rsid w:val="00A73329"/>
    <w:rsid w:val="00A82359"/>
    <w:rsid w:val="00A865D2"/>
    <w:rsid w:val="00A94C20"/>
    <w:rsid w:val="00A96ED6"/>
    <w:rsid w:val="00AA227F"/>
    <w:rsid w:val="00AA3BC7"/>
    <w:rsid w:val="00AA754A"/>
    <w:rsid w:val="00AB099E"/>
    <w:rsid w:val="00AB25A8"/>
    <w:rsid w:val="00AB4328"/>
    <w:rsid w:val="00AB57ED"/>
    <w:rsid w:val="00AB5FA0"/>
    <w:rsid w:val="00AC6AF9"/>
    <w:rsid w:val="00AC7609"/>
    <w:rsid w:val="00AD2AD4"/>
    <w:rsid w:val="00AE0A2E"/>
    <w:rsid w:val="00AE266E"/>
    <w:rsid w:val="00AE354C"/>
    <w:rsid w:val="00AE3FDD"/>
    <w:rsid w:val="00AE4CCF"/>
    <w:rsid w:val="00AE65CD"/>
    <w:rsid w:val="00AF4B07"/>
    <w:rsid w:val="00AF6186"/>
    <w:rsid w:val="00AF7A3A"/>
    <w:rsid w:val="00B049DC"/>
    <w:rsid w:val="00B160DB"/>
    <w:rsid w:val="00B20169"/>
    <w:rsid w:val="00B20836"/>
    <w:rsid w:val="00B235BB"/>
    <w:rsid w:val="00B27A44"/>
    <w:rsid w:val="00B30BBF"/>
    <w:rsid w:val="00B33C03"/>
    <w:rsid w:val="00B44E56"/>
    <w:rsid w:val="00B46543"/>
    <w:rsid w:val="00B47D33"/>
    <w:rsid w:val="00B52BE0"/>
    <w:rsid w:val="00B54133"/>
    <w:rsid w:val="00B60BF3"/>
    <w:rsid w:val="00B637B9"/>
    <w:rsid w:val="00B66A06"/>
    <w:rsid w:val="00B701ED"/>
    <w:rsid w:val="00B8086C"/>
    <w:rsid w:val="00B861B4"/>
    <w:rsid w:val="00B86593"/>
    <w:rsid w:val="00B86DFE"/>
    <w:rsid w:val="00B90990"/>
    <w:rsid w:val="00B922FF"/>
    <w:rsid w:val="00B92491"/>
    <w:rsid w:val="00B9281E"/>
    <w:rsid w:val="00B93925"/>
    <w:rsid w:val="00B95187"/>
    <w:rsid w:val="00BA2D55"/>
    <w:rsid w:val="00BA6A22"/>
    <w:rsid w:val="00BA71B1"/>
    <w:rsid w:val="00BB0637"/>
    <w:rsid w:val="00BB2965"/>
    <w:rsid w:val="00BB345F"/>
    <w:rsid w:val="00BB5883"/>
    <w:rsid w:val="00BB68EA"/>
    <w:rsid w:val="00BC1C27"/>
    <w:rsid w:val="00BC6BBF"/>
    <w:rsid w:val="00BD1572"/>
    <w:rsid w:val="00BD6687"/>
    <w:rsid w:val="00BE14E3"/>
    <w:rsid w:val="00BE3774"/>
    <w:rsid w:val="00BE41E5"/>
    <w:rsid w:val="00BE546B"/>
    <w:rsid w:val="00BE607C"/>
    <w:rsid w:val="00BF0BBB"/>
    <w:rsid w:val="00BF4109"/>
    <w:rsid w:val="00BF456D"/>
    <w:rsid w:val="00BF4CC3"/>
    <w:rsid w:val="00C00CEF"/>
    <w:rsid w:val="00C054C7"/>
    <w:rsid w:val="00C057B5"/>
    <w:rsid w:val="00C22687"/>
    <w:rsid w:val="00C32E4D"/>
    <w:rsid w:val="00C333A0"/>
    <w:rsid w:val="00C33C43"/>
    <w:rsid w:val="00C36A81"/>
    <w:rsid w:val="00C41974"/>
    <w:rsid w:val="00C43538"/>
    <w:rsid w:val="00C447AD"/>
    <w:rsid w:val="00C51B73"/>
    <w:rsid w:val="00C526B2"/>
    <w:rsid w:val="00C5387F"/>
    <w:rsid w:val="00C53F4A"/>
    <w:rsid w:val="00C54125"/>
    <w:rsid w:val="00C55B54"/>
    <w:rsid w:val="00C561E7"/>
    <w:rsid w:val="00C6098E"/>
    <w:rsid w:val="00C6152C"/>
    <w:rsid w:val="00C621C2"/>
    <w:rsid w:val="00C70FF0"/>
    <w:rsid w:val="00C72D11"/>
    <w:rsid w:val="00C74810"/>
    <w:rsid w:val="00C74836"/>
    <w:rsid w:val="00C90D68"/>
    <w:rsid w:val="00C915FB"/>
    <w:rsid w:val="00C939FE"/>
    <w:rsid w:val="00C94E82"/>
    <w:rsid w:val="00CA4BDA"/>
    <w:rsid w:val="00CA6EBE"/>
    <w:rsid w:val="00CB1F66"/>
    <w:rsid w:val="00CB2951"/>
    <w:rsid w:val="00CB6009"/>
    <w:rsid w:val="00CC7B79"/>
    <w:rsid w:val="00CD282B"/>
    <w:rsid w:val="00CD4C35"/>
    <w:rsid w:val="00CD7369"/>
    <w:rsid w:val="00CE0B0E"/>
    <w:rsid w:val="00CE21F2"/>
    <w:rsid w:val="00CE2F1E"/>
    <w:rsid w:val="00CE3831"/>
    <w:rsid w:val="00CF6CEB"/>
    <w:rsid w:val="00D00ABB"/>
    <w:rsid w:val="00D02EEC"/>
    <w:rsid w:val="00D03551"/>
    <w:rsid w:val="00D06A63"/>
    <w:rsid w:val="00D07E0E"/>
    <w:rsid w:val="00D11478"/>
    <w:rsid w:val="00D158E4"/>
    <w:rsid w:val="00D15ED0"/>
    <w:rsid w:val="00D160DE"/>
    <w:rsid w:val="00D21B3E"/>
    <w:rsid w:val="00D21FED"/>
    <w:rsid w:val="00D24251"/>
    <w:rsid w:val="00D343E2"/>
    <w:rsid w:val="00D361A2"/>
    <w:rsid w:val="00D44C2E"/>
    <w:rsid w:val="00D45414"/>
    <w:rsid w:val="00D536C3"/>
    <w:rsid w:val="00D53BDD"/>
    <w:rsid w:val="00D53C0F"/>
    <w:rsid w:val="00D566BD"/>
    <w:rsid w:val="00D57A4D"/>
    <w:rsid w:val="00D60AA7"/>
    <w:rsid w:val="00D60D87"/>
    <w:rsid w:val="00D6435F"/>
    <w:rsid w:val="00D655E7"/>
    <w:rsid w:val="00D75E28"/>
    <w:rsid w:val="00D772C2"/>
    <w:rsid w:val="00D8008E"/>
    <w:rsid w:val="00D82C45"/>
    <w:rsid w:val="00D835EA"/>
    <w:rsid w:val="00D908A8"/>
    <w:rsid w:val="00D93C7B"/>
    <w:rsid w:val="00D9632C"/>
    <w:rsid w:val="00D977B6"/>
    <w:rsid w:val="00DA4A31"/>
    <w:rsid w:val="00DA61F2"/>
    <w:rsid w:val="00DA7B04"/>
    <w:rsid w:val="00DB36C2"/>
    <w:rsid w:val="00DB7196"/>
    <w:rsid w:val="00DC169B"/>
    <w:rsid w:val="00DC2AB9"/>
    <w:rsid w:val="00DC63F0"/>
    <w:rsid w:val="00DD6EE5"/>
    <w:rsid w:val="00DE1B8E"/>
    <w:rsid w:val="00DE386C"/>
    <w:rsid w:val="00DE4D35"/>
    <w:rsid w:val="00DF0549"/>
    <w:rsid w:val="00DF098B"/>
    <w:rsid w:val="00DF11C4"/>
    <w:rsid w:val="00DF210C"/>
    <w:rsid w:val="00DF4B6A"/>
    <w:rsid w:val="00E02C09"/>
    <w:rsid w:val="00E04D59"/>
    <w:rsid w:val="00E07DA1"/>
    <w:rsid w:val="00E11826"/>
    <w:rsid w:val="00E123CB"/>
    <w:rsid w:val="00E1557C"/>
    <w:rsid w:val="00E20E13"/>
    <w:rsid w:val="00E21DBC"/>
    <w:rsid w:val="00E275D7"/>
    <w:rsid w:val="00E27DBE"/>
    <w:rsid w:val="00E32AB1"/>
    <w:rsid w:val="00E36C71"/>
    <w:rsid w:val="00E40404"/>
    <w:rsid w:val="00E4133A"/>
    <w:rsid w:val="00E428B4"/>
    <w:rsid w:val="00E459C6"/>
    <w:rsid w:val="00E47589"/>
    <w:rsid w:val="00E634D3"/>
    <w:rsid w:val="00E64915"/>
    <w:rsid w:val="00E661D4"/>
    <w:rsid w:val="00E70091"/>
    <w:rsid w:val="00E720F5"/>
    <w:rsid w:val="00E76D47"/>
    <w:rsid w:val="00E849F7"/>
    <w:rsid w:val="00E90302"/>
    <w:rsid w:val="00E9597F"/>
    <w:rsid w:val="00E95B92"/>
    <w:rsid w:val="00E97396"/>
    <w:rsid w:val="00EA185E"/>
    <w:rsid w:val="00EA3652"/>
    <w:rsid w:val="00EA592A"/>
    <w:rsid w:val="00EA737F"/>
    <w:rsid w:val="00EB14E4"/>
    <w:rsid w:val="00EB32A5"/>
    <w:rsid w:val="00EB34ED"/>
    <w:rsid w:val="00EB689F"/>
    <w:rsid w:val="00EB7BE0"/>
    <w:rsid w:val="00EC315E"/>
    <w:rsid w:val="00EC539D"/>
    <w:rsid w:val="00ED077C"/>
    <w:rsid w:val="00ED1190"/>
    <w:rsid w:val="00ED54B9"/>
    <w:rsid w:val="00ED6544"/>
    <w:rsid w:val="00EE0277"/>
    <w:rsid w:val="00EE1DA9"/>
    <w:rsid w:val="00EE3E00"/>
    <w:rsid w:val="00EE404E"/>
    <w:rsid w:val="00EE5DD2"/>
    <w:rsid w:val="00EF0073"/>
    <w:rsid w:val="00EF41F1"/>
    <w:rsid w:val="00EF4F08"/>
    <w:rsid w:val="00EF5428"/>
    <w:rsid w:val="00EF573B"/>
    <w:rsid w:val="00EF7FC6"/>
    <w:rsid w:val="00F00A79"/>
    <w:rsid w:val="00F00E86"/>
    <w:rsid w:val="00F00F8B"/>
    <w:rsid w:val="00F0429B"/>
    <w:rsid w:val="00F07C1E"/>
    <w:rsid w:val="00F105DB"/>
    <w:rsid w:val="00F132BC"/>
    <w:rsid w:val="00F13D80"/>
    <w:rsid w:val="00F16AAA"/>
    <w:rsid w:val="00F21161"/>
    <w:rsid w:val="00F218EF"/>
    <w:rsid w:val="00F21BC7"/>
    <w:rsid w:val="00F266A2"/>
    <w:rsid w:val="00F32269"/>
    <w:rsid w:val="00F3478C"/>
    <w:rsid w:val="00F433A4"/>
    <w:rsid w:val="00F4457E"/>
    <w:rsid w:val="00F56A6F"/>
    <w:rsid w:val="00F5709C"/>
    <w:rsid w:val="00F57FD4"/>
    <w:rsid w:val="00F64EF1"/>
    <w:rsid w:val="00F74574"/>
    <w:rsid w:val="00F8765F"/>
    <w:rsid w:val="00F90767"/>
    <w:rsid w:val="00F91776"/>
    <w:rsid w:val="00FA685B"/>
    <w:rsid w:val="00FB0C01"/>
    <w:rsid w:val="00FC18F2"/>
    <w:rsid w:val="00FC39E5"/>
    <w:rsid w:val="00FC3A78"/>
    <w:rsid w:val="00FC5FFE"/>
    <w:rsid w:val="00FD1005"/>
    <w:rsid w:val="00FD3180"/>
    <w:rsid w:val="00FD6C75"/>
    <w:rsid w:val="00FE16B8"/>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17E26"/>
    <w:pPr>
      <w:jc w:val="both"/>
    </w:pPr>
    <w:rPr>
      <w:rFonts w:eastAsiaTheme="minorEastAsia"/>
      <w:sz w:val="24"/>
      <w:lang w:val="en-GB"/>
    </w:rPr>
  </w:style>
  <w:style w:type="paragraph" w:styleId="Nagwek1">
    <w:name w:val="heading 1"/>
    <w:basedOn w:val="Normalny"/>
    <w:next w:val="Normalny"/>
    <w:link w:val="Nagwek1Znak"/>
    <w:uiPriority w:val="99"/>
    <w:semiHidden/>
    <w:rsid w:val="00517E2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7E2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7E2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7E2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7E2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17E2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7E2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17E2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17E2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7E26"/>
    <w:rPr>
      <w:rFonts w:ascii="Tahoma" w:hAnsi="Tahoma" w:cs="Tahoma"/>
      <w:sz w:val="16"/>
      <w:szCs w:val="16"/>
    </w:rPr>
  </w:style>
  <w:style w:type="character" w:customStyle="1" w:styleId="TekstdymkaZnak">
    <w:name w:val="Tekst dymka Znak"/>
    <w:basedOn w:val="Domylnaczcionkaakapitu"/>
    <w:link w:val="Tekstdymka"/>
    <w:uiPriority w:val="99"/>
    <w:semiHidden/>
    <w:rsid w:val="00517E26"/>
    <w:rPr>
      <w:rFonts w:ascii="Tahoma" w:eastAsiaTheme="minorEastAsia" w:hAnsi="Tahoma" w:cs="Tahoma"/>
      <w:sz w:val="16"/>
      <w:szCs w:val="16"/>
      <w:lang w:val="en-GB"/>
    </w:rPr>
  </w:style>
  <w:style w:type="character" w:styleId="Tytuksiki">
    <w:name w:val="Book Title"/>
    <w:uiPriority w:val="99"/>
    <w:semiHidden/>
    <w:qFormat/>
    <w:rsid w:val="00517E26"/>
    <w:rPr>
      <w:i/>
      <w:iCs/>
      <w:smallCaps/>
      <w:spacing w:val="5"/>
    </w:rPr>
  </w:style>
  <w:style w:type="paragraph" w:customStyle="1" w:styleId="ECHRHeader">
    <w:name w:val="ECHR_Header"/>
    <w:aliases w:val="Ju_Header"/>
    <w:basedOn w:val="Nagwek"/>
    <w:uiPriority w:val="4"/>
    <w:qFormat/>
    <w:rsid w:val="00517E2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17E26"/>
    <w:pPr>
      <w:jc w:val="left"/>
    </w:pPr>
    <w:rPr>
      <w:sz w:val="8"/>
    </w:rPr>
  </w:style>
  <w:style w:type="character" w:styleId="Pogrubienie">
    <w:name w:val="Strong"/>
    <w:uiPriority w:val="99"/>
    <w:semiHidden/>
    <w:qFormat/>
    <w:rsid w:val="00517E26"/>
    <w:rPr>
      <w:b/>
      <w:bCs/>
    </w:rPr>
  </w:style>
  <w:style w:type="paragraph" w:styleId="Bezodstpw">
    <w:name w:val="No Spacing"/>
    <w:basedOn w:val="Normalny"/>
    <w:link w:val="BezodstpwZnak"/>
    <w:semiHidden/>
    <w:qFormat/>
    <w:rsid w:val="00517E26"/>
    <w:rPr>
      <w:sz w:val="22"/>
      <w:lang w:val="en-US"/>
    </w:rPr>
  </w:style>
  <w:style w:type="character" w:customStyle="1" w:styleId="BezodstpwZnak">
    <w:name w:val="Bez odstępów Znak"/>
    <w:basedOn w:val="Domylnaczcionkaakapitu"/>
    <w:link w:val="Bezodstpw"/>
    <w:semiHidden/>
    <w:rsid w:val="00517E26"/>
    <w:rPr>
      <w:rFonts w:eastAsiaTheme="minorEastAsia"/>
    </w:rPr>
  </w:style>
  <w:style w:type="paragraph" w:customStyle="1" w:styleId="ECHRFooterLine">
    <w:name w:val="ECHR_Footer_Line"/>
    <w:aliases w:val="Footer_Line"/>
    <w:basedOn w:val="Normalny"/>
    <w:next w:val="ECHRFooter"/>
    <w:uiPriority w:val="57"/>
    <w:semiHidden/>
    <w:rsid w:val="00517E2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17E26"/>
  </w:style>
  <w:style w:type="paragraph" w:customStyle="1" w:styleId="DecList">
    <w:name w:val="Dec_List"/>
    <w:basedOn w:val="Normalny"/>
    <w:uiPriority w:val="9"/>
    <w:semiHidden/>
    <w:qFormat/>
    <w:rsid w:val="00517E26"/>
    <w:pPr>
      <w:spacing w:before="240"/>
      <w:ind w:left="284"/>
    </w:pPr>
  </w:style>
  <w:style w:type="paragraph" w:customStyle="1" w:styleId="DummyStyle">
    <w:name w:val="Dummy_Style"/>
    <w:basedOn w:val="Normalny"/>
    <w:semiHidden/>
    <w:qFormat/>
    <w:rsid w:val="00517E26"/>
    <w:rPr>
      <w:color w:val="00B050"/>
    </w:rPr>
  </w:style>
  <w:style w:type="paragraph" w:customStyle="1" w:styleId="ECHRTitleCentre3">
    <w:name w:val="ECHR_Title_Centre_3"/>
    <w:aliases w:val="Ju_H_Article"/>
    <w:basedOn w:val="Normalny"/>
    <w:next w:val="ECHRParaQuote"/>
    <w:uiPriority w:val="27"/>
    <w:qFormat/>
    <w:rsid w:val="00517E2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17E2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17E26"/>
    <w:pPr>
      <w:numPr>
        <w:numId w:val="34"/>
      </w:numPr>
      <w:jc w:val="left"/>
    </w:pPr>
    <w:rPr>
      <w:b/>
    </w:rPr>
  </w:style>
  <w:style w:type="paragraph" w:customStyle="1" w:styleId="JuCourt">
    <w:name w:val="Ju_Court"/>
    <w:basedOn w:val="Normalny"/>
    <w:next w:val="Normalny"/>
    <w:uiPriority w:val="16"/>
    <w:qFormat/>
    <w:rsid w:val="00517E2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17E2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17E26"/>
    <w:pPr>
      <w:spacing w:after="240"/>
      <w:jc w:val="center"/>
      <w:outlineLvl w:val="0"/>
    </w:pPr>
    <w:rPr>
      <w:rFonts w:asciiTheme="majorHAnsi" w:hAnsiTheme="majorHAnsi"/>
    </w:rPr>
  </w:style>
  <w:style w:type="paragraph" w:customStyle="1" w:styleId="JuInitialled">
    <w:name w:val="Ju_Initialled"/>
    <w:basedOn w:val="Normalny"/>
    <w:uiPriority w:val="31"/>
    <w:qFormat/>
    <w:rsid w:val="00517E26"/>
    <w:pPr>
      <w:tabs>
        <w:tab w:val="center" w:pos="6407"/>
      </w:tabs>
      <w:spacing w:before="720"/>
      <w:jc w:val="right"/>
    </w:pPr>
  </w:style>
  <w:style w:type="paragraph" w:styleId="Tytu">
    <w:name w:val="Title"/>
    <w:basedOn w:val="Normalny"/>
    <w:next w:val="Normalny"/>
    <w:link w:val="TytuZnak"/>
    <w:uiPriority w:val="99"/>
    <w:semiHidden/>
    <w:qFormat/>
    <w:rsid w:val="00517E2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17E2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17E2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17E2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17E2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17E2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17E26"/>
    <w:pPr>
      <w:keepNext/>
      <w:keepLines/>
      <w:spacing w:before="240" w:after="120"/>
      <w:ind w:left="1236"/>
    </w:pPr>
    <w:rPr>
      <w:sz w:val="20"/>
      <w:lang w:val="en-GB"/>
    </w:rPr>
  </w:style>
  <w:style w:type="paragraph" w:customStyle="1" w:styleId="JuListi">
    <w:name w:val="Ju_List_i"/>
    <w:basedOn w:val="Normalny"/>
    <w:next w:val="JuLista"/>
    <w:uiPriority w:val="28"/>
    <w:qFormat/>
    <w:rsid w:val="00517E26"/>
    <w:pPr>
      <w:ind w:left="794"/>
    </w:pPr>
  </w:style>
  <w:style w:type="character" w:customStyle="1" w:styleId="JUNAMES">
    <w:name w:val="JU_NAMES"/>
    <w:uiPriority w:val="17"/>
    <w:qFormat/>
    <w:rsid w:val="00517E26"/>
    <w:rPr>
      <w:caps w:val="0"/>
      <w:smallCaps/>
    </w:rPr>
  </w:style>
  <w:style w:type="paragraph" w:customStyle="1" w:styleId="JuParaSub">
    <w:name w:val="Ju_Para_Sub"/>
    <w:basedOn w:val="ECHRPara"/>
    <w:uiPriority w:val="13"/>
    <w:qFormat/>
    <w:rsid w:val="00517E26"/>
    <w:pPr>
      <w:ind w:left="284"/>
    </w:pPr>
  </w:style>
  <w:style w:type="paragraph" w:styleId="Nagwek">
    <w:name w:val="header"/>
    <w:basedOn w:val="Normalny"/>
    <w:link w:val="NagwekZnak"/>
    <w:uiPriority w:val="57"/>
    <w:semiHidden/>
    <w:rsid w:val="00517E2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7E26"/>
    <w:rPr>
      <w:sz w:val="24"/>
      <w:lang w:val="en-GB"/>
    </w:rPr>
  </w:style>
  <w:style w:type="character" w:customStyle="1" w:styleId="Nagwek1Znak">
    <w:name w:val="Nagłówek 1 Znak"/>
    <w:basedOn w:val="Domylnaczcionkaakapitu"/>
    <w:link w:val="Nagwek1"/>
    <w:uiPriority w:val="99"/>
    <w:semiHidden/>
    <w:rsid w:val="00517E2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517E2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17E2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17E26"/>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517E26"/>
    <w:pPr>
      <w:ind w:left="567"/>
    </w:pPr>
  </w:style>
  <w:style w:type="paragraph" w:customStyle="1" w:styleId="JuCase">
    <w:name w:val="Ju_Case"/>
    <w:basedOn w:val="Normalny"/>
    <w:next w:val="ECHRPara"/>
    <w:uiPriority w:val="10"/>
    <w:rsid w:val="00517E26"/>
    <w:pPr>
      <w:ind w:firstLine="284"/>
    </w:pPr>
    <w:rPr>
      <w:b/>
    </w:rPr>
  </w:style>
  <w:style w:type="character" w:customStyle="1" w:styleId="Nagwek3Znak">
    <w:name w:val="Nagłówek 3 Znak"/>
    <w:basedOn w:val="Domylnaczcionkaakapitu"/>
    <w:link w:val="Nagwek3"/>
    <w:uiPriority w:val="99"/>
    <w:semiHidden/>
    <w:rsid w:val="00517E26"/>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517E26"/>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517E26"/>
    <w:rPr>
      <w:rFonts w:asciiTheme="majorHAnsi" w:eastAsiaTheme="majorEastAsia" w:hAnsiTheme="majorHAnsi" w:cstheme="majorBidi"/>
      <w:b/>
      <w:bCs/>
      <w:color w:val="808080"/>
    </w:rPr>
  </w:style>
  <w:style w:type="character" w:styleId="Wyrnieniedelikatne">
    <w:name w:val="Subtle Emphasis"/>
    <w:uiPriority w:val="99"/>
    <w:semiHidden/>
    <w:qFormat/>
    <w:rsid w:val="00517E2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17E26"/>
    <w:pPr>
      <w:keepNext/>
      <w:keepLines/>
      <w:spacing w:before="720" w:after="240"/>
      <w:outlineLvl w:val="0"/>
    </w:pPr>
    <w:rPr>
      <w:rFonts w:asciiTheme="majorHAnsi" w:hAnsiTheme="majorHAnsi"/>
      <w:sz w:val="28"/>
    </w:rPr>
  </w:style>
  <w:style w:type="character" w:styleId="Uwydatnienie">
    <w:name w:val="Emphasis"/>
    <w:uiPriority w:val="99"/>
    <w:semiHidden/>
    <w:qFormat/>
    <w:rsid w:val="00517E26"/>
    <w:rPr>
      <w:b/>
      <w:bCs/>
      <w:i/>
      <w:iCs/>
      <w:spacing w:val="10"/>
      <w:bdr w:val="none" w:sz="0" w:space="0" w:color="auto"/>
      <w:shd w:val="clear" w:color="auto" w:fill="auto"/>
    </w:rPr>
  </w:style>
  <w:style w:type="paragraph" w:styleId="Stopka">
    <w:name w:val="footer"/>
    <w:basedOn w:val="Normalny"/>
    <w:link w:val="StopkaZnak"/>
    <w:uiPriority w:val="57"/>
    <w:semiHidden/>
    <w:rsid w:val="00517E2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7E26"/>
    <w:rPr>
      <w:sz w:val="24"/>
      <w:lang w:val="en-GB"/>
    </w:rPr>
  </w:style>
  <w:style w:type="character" w:styleId="Odwoanieprzypisudolnego">
    <w:name w:val="footnote reference"/>
    <w:basedOn w:val="Domylnaczcionkaakapitu"/>
    <w:uiPriority w:val="99"/>
    <w:semiHidden/>
    <w:rsid w:val="00517E26"/>
    <w:rPr>
      <w:vertAlign w:val="superscript"/>
    </w:rPr>
  </w:style>
  <w:style w:type="paragraph" w:styleId="Tekstprzypisudolnego">
    <w:name w:val="footnote text"/>
    <w:basedOn w:val="Normalny"/>
    <w:link w:val="TekstprzypisudolnegoZnak"/>
    <w:uiPriority w:val="99"/>
    <w:semiHidden/>
    <w:rsid w:val="00517E26"/>
    <w:rPr>
      <w:sz w:val="20"/>
      <w:szCs w:val="20"/>
    </w:rPr>
  </w:style>
  <w:style w:type="character" w:customStyle="1" w:styleId="TekstprzypisudolnegoZnak">
    <w:name w:val="Tekst przypisu dolnego Znak"/>
    <w:basedOn w:val="Domylnaczcionkaakapitu"/>
    <w:link w:val="Tekstprzypisudolnego"/>
    <w:uiPriority w:val="99"/>
    <w:semiHidden/>
    <w:rsid w:val="00517E26"/>
    <w:rPr>
      <w:rFonts w:eastAsiaTheme="minorEastAsia"/>
      <w:sz w:val="20"/>
      <w:szCs w:val="20"/>
      <w:lang w:val="en-GB"/>
    </w:rPr>
  </w:style>
  <w:style w:type="character" w:customStyle="1" w:styleId="Nagwek6Znak">
    <w:name w:val="Nagłówek 6 Znak"/>
    <w:basedOn w:val="Domylnaczcionkaakapitu"/>
    <w:link w:val="Nagwek6"/>
    <w:uiPriority w:val="99"/>
    <w:semiHidden/>
    <w:rsid w:val="00517E2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17E2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17E2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17E2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17E26"/>
    <w:rPr>
      <w:color w:val="0072BC" w:themeColor="hyperlink"/>
      <w:u w:val="single"/>
    </w:rPr>
  </w:style>
  <w:style w:type="character" w:styleId="Wyrnienieintensywne">
    <w:name w:val="Intense Emphasis"/>
    <w:uiPriority w:val="99"/>
    <w:semiHidden/>
    <w:qFormat/>
    <w:rsid w:val="00517E26"/>
    <w:rPr>
      <w:b/>
      <w:bCs/>
    </w:rPr>
  </w:style>
  <w:style w:type="paragraph" w:styleId="Cytatintensywny">
    <w:name w:val="Intense Quote"/>
    <w:basedOn w:val="Normalny"/>
    <w:next w:val="Normalny"/>
    <w:link w:val="CytatintensywnyZnak"/>
    <w:uiPriority w:val="99"/>
    <w:semiHidden/>
    <w:qFormat/>
    <w:rsid w:val="00517E2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17E26"/>
    <w:rPr>
      <w:rFonts w:eastAsiaTheme="minorEastAsia"/>
      <w:b/>
      <w:bCs/>
      <w:i/>
      <w:iCs/>
      <w:lang w:bidi="en-US"/>
    </w:rPr>
  </w:style>
  <w:style w:type="character" w:styleId="Odwoanieintensywne">
    <w:name w:val="Intense Reference"/>
    <w:uiPriority w:val="99"/>
    <w:semiHidden/>
    <w:qFormat/>
    <w:rsid w:val="00517E26"/>
    <w:rPr>
      <w:smallCaps/>
      <w:spacing w:val="5"/>
      <w:u w:val="single"/>
    </w:rPr>
  </w:style>
  <w:style w:type="paragraph" w:styleId="Akapitzlist">
    <w:name w:val="List Paragraph"/>
    <w:basedOn w:val="Normalny"/>
    <w:uiPriority w:val="99"/>
    <w:semiHidden/>
    <w:qFormat/>
    <w:rsid w:val="00517E2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7E2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17E26"/>
    <w:rPr>
      <w:rFonts w:eastAsiaTheme="minorEastAsia"/>
      <w:i/>
      <w:iCs/>
      <w:lang w:bidi="en-US"/>
    </w:rPr>
  </w:style>
  <w:style w:type="character" w:styleId="Odwoaniedelikatne">
    <w:name w:val="Subtle Reference"/>
    <w:uiPriority w:val="99"/>
    <w:semiHidden/>
    <w:qFormat/>
    <w:rsid w:val="00517E26"/>
    <w:rPr>
      <w:smallCaps/>
    </w:rPr>
  </w:style>
  <w:style w:type="table" w:styleId="Tabela-Siatka">
    <w:name w:val="Table Grid"/>
    <w:basedOn w:val="Standardowy"/>
    <w:uiPriority w:val="59"/>
    <w:semiHidden/>
    <w:rsid w:val="00517E2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7E2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7E2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7E2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7E2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7E2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17E2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7E2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17E26"/>
    <w:pPr>
      <w:spacing w:before="120" w:after="120"/>
      <w:ind w:left="425" w:firstLine="142"/>
    </w:pPr>
    <w:rPr>
      <w:sz w:val="20"/>
    </w:rPr>
  </w:style>
  <w:style w:type="paragraph" w:customStyle="1" w:styleId="ECHRPara">
    <w:name w:val="ECHR_Para"/>
    <w:aliases w:val="Ju_Para"/>
    <w:basedOn w:val="Normalny"/>
    <w:link w:val="ECHRParaChar"/>
    <w:uiPriority w:val="12"/>
    <w:qFormat/>
    <w:rsid w:val="00517E2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17E2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17E2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17E26"/>
    <w:pPr>
      <w:ind w:left="340" w:hanging="340"/>
    </w:pPr>
  </w:style>
  <w:style w:type="paragraph" w:customStyle="1" w:styleId="JuSigned">
    <w:name w:val="Ju_Signed"/>
    <w:basedOn w:val="Normalny"/>
    <w:next w:val="JuParaLast"/>
    <w:uiPriority w:val="32"/>
    <w:qFormat/>
    <w:rsid w:val="00517E26"/>
    <w:pPr>
      <w:tabs>
        <w:tab w:val="center" w:pos="851"/>
        <w:tab w:val="center" w:pos="6407"/>
      </w:tabs>
      <w:spacing w:before="720"/>
      <w:jc w:val="left"/>
    </w:pPr>
  </w:style>
  <w:style w:type="paragraph" w:customStyle="1" w:styleId="JuParaLast">
    <w:name w:val="Ju_Para_Last"/>
    <w:basedOn w:val="Normalny"/>
    <w:next w:val="ECHRPara"/>
    <w:uiPriority w:val="30"/>
    <w:qFormat/>
    <w:rsid w:val="00517E26"/>
    <w:pPr>
      <w:keepNext/>
      <w:keepLines/>
      <w:spacing w:before="240"/>
      <w:ind w:firstLine="284"/>
    </w:pPr>
  </w:style>
  <w:style w:type="paragraph" w:customStyle="1" w:styleId="JuTitle">
    <w:name w:val="Ju_Title"/>
    <w:basedOn w:val="Normalny"/>
    <w:next w:val="ECHRPara"/>
    <w:uiPriority w:val="3"/>
    <w:semiHidden/>
    <w:qFormat/>
    <w:rsid w:val="00517E26"/>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17E26"/>
    <w:pPr>
      <w:ind w:left="346" w:firstLine="0"/>
    </w:pPr>
  </w:style>
  <w:style w:type="paragraph" w:customStyle="1" w:styleId="OpiH1">
    <w:name w:val="Opi_H_1"/>
    <w:basedOn w:val="ECHRHeading2"/>
    <w:uiPriority w:val="42"/>
    <w:qFormat/>
    <w:rsid w:val="00517E26"/>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517E26"/>
    <w:rPr>
      <w:vertAlign w:val="superscript"/>
    </w:rPr>
  </w:style>
  <w:style w:type="paragraph" w:styleId="Tekstprzypisukocowego">
    <w:name w:val="endnote text"/>
    <w:basedOn w:val="Normalny"/>
    <w:link w:val="TekstprzypisukocowegoZnak"/>
    <w:uiPriority w:val="99"/>
    <w:semiHidden/>
    <w:rsid w:val="00517E26"/>
    <w:rPr>
      <w:sz w:val="20"/>
      <w:szCs w:val="20"/>
    </w:rPr>
  </w:style>
  <w:style w:type="character" w:customStyle="1" w:styleId="TekstprzypisukocowegoZnak">
    <w:name w:val="Tekst przypisu końcowego Znak"/>
    <w:basedOn w:val="Domylnaczcionkaakapitu"/>
    <w:link w:val="Tekstprzypisukocowego"/>
    <w:uiPriority w:val="99"/>
    <w:semiHidden/>
    <w:rsid w:val="00517E26"/>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517E26"/>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517E26"/>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17E2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17E2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517E2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17E2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7E2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517E26"/>
    <w:pPr>
      <w:tabs>
        <w:tab w:val="clear" w:pos="357"/>
      </w:tabs>
      <w:outlineLvl w:val="1"/>
    </w:pPr>
    <w:rPr>
      <w:b/>
    </w:rPr>
  </w:style>
  <w:style w:type="paragraph" w:customStyle="1" w:styleId="OpiHi">
    <w:name w:val="Opi_H_i"/>
    <w:basedOn w:val="ECHRHeading4"/>
    <w:uiPriority w:val="44"/>
    <w:qFormat/>
    <w:rsid w:val="00517E26"/>
    <w:pPr>
      <w:ind w:left="1037" w:hanging="357"/>
      <w:outlineLvl w:val="4"/>
    </w:pPr>
    <w:rPr>
      <w:b w:val="0"/>
      <w:i/>
    </w:rPr>
  </w:style>
  <w:style w:type="paragraph" w:customStyle="1" w:styleId="OpiPara">
    <w:name w:val="Opi_Para"/>
    <w:basedOn w:val="ECHRPara"/>
    <w:uiPriority w:val="46"/>
    <w:qFormat/>
    <w:rsid w:val="00517E26"/>
  </w:style>
  <w:style w:type="paragraph" w:customStyle="1" w:styleId="OpiParaSub">
    <w:name w:val="Opi_Para_Sub"/>
    <w:basedOn w:val="JuParaSub"/>
    <w:uiPriority w:val="47"/>
    <w:qFormat/>
    <w:rsid w:val="00517E26"/>
  </w:style>
  <w:style w:type="paragraph" w:customStyle="1" w:styleId="OpiQuot">
    <w:name w:val="Opi_Quot"/>
    <w:basedOn w:val="ECHRParaQuote"/>
    <w:uiPriority w:val="48"/>
    <w:qFormat/>
    <w:rsid w:val="00517E26"/>
  </w:style>
  <w:style w:type="paragraph" w:customStyle="1" w:styleId="OpiQuotSub">
    <w:name w:val="Opi_Quot_Sub"/>
    <w:basedOn w:val="JuQuotSub"/>
    <w:uiPriority w:val="49"/>
    <w:qFormat/>
    <w:rsid w:val="00517E26"/>
  </w:style>
  <w:style w:type="paragraph" w:customStyle="1" w:styleId="OpiTranslation">
    <w:name w:val="Opi_Translation"/>
    <w:basedOn w:val="Normalny"/>
    <w:next w:val="OpiPara"/>
    <w:uiPriority w:val="40"/>
    <w:qFormat/>
    <w:rsid w:val="00517E26"/>
    <w:pPr>
      <w:jc w:val="center"/>
      <w:outlineLvl w:val="0"/>
    </w:pPr>
    <w:rPr>
      <w:i/>
    </w:rPr>
  </w:style>
  <w:style w:type="character" w:customStyle="1" w:styleId="ECHRParaChar">
    <w:name w:val="ECHR_Para Char"/>
    <w:aliases w:val="Ju_Para Char"/>
    <w:link w:val="ECHRPara"/>
    <w:uiPriority w:val="12"/>
    <w:rsid w:val="005F499A"/>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17E26"/>
    <w:pPr>
      <w:jc w:val="both"/>
    </w:pPr>
    <w:rPr>
      <w:rFonts w:eastAsiaTheme="minorEastAsia"/>
      <w:sz w:val="24"/>
      <w:lang w:val="en-GB"/>
    </w:rPr>
  </w:style>
  <w:style w:type="paragraph" w:styleId="Nagwek1">
    <w:name w:val="heading 1"/>
    <w:basedOn w:val="Normalny"/>
    <w:next w:val="Normalny"/>
    <w:link w:val="Nagwek1Znak"/>
    <w:uiPriority w:val="99"/>
    <w:semiHidden/>
    <w:rsid w:val="00517E2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7E2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7E2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7E2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7E2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17E2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7E2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17E2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17E2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7E26"/>
    <w:rPr>
      <w:rFonts w:ascii="Tahoma" w:hAnsi="Tahoma" w:cs="Tahoma"/>
      <w:sz w:val="16"/>
      <w:szCs w:val="16"/>
    </w:rPr>
  </w:style>
  <w:style w:type="character" w:customStyle="1" w:styleId="TekstdymkaZnak">
    <w:name w:val="Tekst dymka Znak"/>
    <w:basedOn w:val="Domylnaczcionkaakapitu"/>
    <w:link w:val="Tekstdymka"/>
    <w:uiPriority w:val="99"/>
    <w:semiHidden/>
    <w:rsid w:val="00517E26"/>
    <w:rPr>
      <w:rFonts w:ascii="Tahoma" w:eastAsiaTheme="minorEastAsia" w:hAnsi="Tahoma" w:cs="Tahoma"/>
      <w:sz w:val="16"/>
      <w:szCs w:val="16"/>
      <w:lang w:val="en-GB"/>
    </w:rPr>
  </w:style>
  <w:style w:type="character" w:styleId="Tytuksiki">
    <w:name w:val="Book Title"/>
    <w:uiPriority w:val="99"/>
    <w:semiHidden/>
    <w:qFormat/>
    <w:rsid w:val="00517E26"/>
    <w:rPr>
      <w:i/>
      <w:iCs/>
      <w:smallCaps/>
      <w:spacing w:val="5"/>
    </w:rPr>
  </w:style>
  <w:style w:type="paragraph" w:customStyle="1" w:styleId="ECHRHeader">
    <w:name w:val="ECHR_Header"/>
    <w:aliases w:val="Ju_Header"/>
    <w:basedOn w:val="Nagwek"/>
    <w:uiPriority w:val="4"/>
    <w:qFormat/>
    <w:rsid w:val="00517E2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17E26"/>
    <w:pPr>
      <w:jc w:val="left"/>
    </w:pPr>
    <w:rPr>
      <w:sz w:val="8"/>
    </w:rPr>
  </w:style>
  <w:style w:type="character" w:styleId="Pogrubienie">
    <w:name w:val="Strong"/>
    <w:uiPriority w:val="99"/>
    <w:semiHidden/>
    <w:qFormat/>
    <w:rsid w:val="00517E26"/>
    <w:rPr>
      <w:b/>
      <w:bCs/>
    </w:rPr>
  </w:style>
  <w:style w:type="paragraph" w:styleId="Bezodstpw">
    <w:name w:val="No Spacing"/>
    <w:basedOn w:val="Normalny"/>
    <w:link w:val="BezodstpwZnak"/>
    <w:semiHidden/>
    <w:qFormat/>
    <w:rsid w:val="00517E26"/>
    <w:rPr>
      <w:sz w:val="22"/>
      <w:lang w:val="en-US"/>
    </w:rPr>
  </w:style>
  <w:style w:type="character" w:customStyle="1" w:styleId="BezodstpwZnak">
    <w:name w:val="Bez odstępów Znak"/>
    <w:basedOn w:val="Domylnaczcionkaakapitu"/>
    <w:link w:val="Bezodstpw"/>
    <w:semiHidden/>
    <w:rsid w:val="00517E26"/>
    <w:rPr>
      <w:rFonts w:eastAsiaTheme="minorEastAsia"/>
    </w:rPr>
  </w:style>
  <w:style w:type="paragraph" w:customStyle="1" w:styleId="ECHRFooterLine">
    <w:name w:val="ECHR_Footer_Line"/>
    <w:aliases w:val="Footer_Line"/>
    <w:basedOn w:val="Normalny"/>
    <w:next w:val="ECHRFooter"/>
    <w:uiPriority w:val="57"/>
    <w:semiHidden/>
    <w:rsid w:val="00517E2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17E26"/>
  </w:style>
  <w:style w:type="paragraph" w:customStyle="1" w:styleId="DecList">
    <w:name w:val="Dec_List"/>
    <w:basedOn w:val="Normalny"/>
    <w:uiPriority w:val="9"/>
    <w:semiHidden/>
    <w:qFormat/>
    <w:rsid w:val="00517E26"/>
    <w:pPr>
      <w:spacing w:before="240"/>
      <w:ind w:left="284"/>
    </w:pPr>
  </w:style>
  <w:style w:type="paragraph" w:customStyle="1" w:styleId="DummyStyle">
    <w:name w:val="Dummy_Style"/>
    <w:basedOn w:val="Normalny"/>
    <w:semiHidden/>
    <w:qFormat/>
    <w:rsid w:val="00517E26"/>
    <w:rPr>
      <w:color w:val="00B050"/>
    </w:rPr>
  </w:style>
  <w:style w:type="paragraph" w:customStyle="1" w:styleId="ECHRTitleCentre3">
    <w:name w:val="ECHR_Title_Centre_3"/>
    <w:aliases w:val="Ju_H_Article"/>
    <w:basedOn w:val="Normalny"/>
    <w:next w:val="ECHRParaQuote"/>
    <w:uiPriority w:val="27"/>
    <w:qFormat/>
    <w:rsid w:val="00517E2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17E2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17E26"/>
    <w:pPr>
      <w:numPr>
        <w:numId w:val="34"/>
      </w:numPr>
      <w:jc w:val="left"/>
    </w:pPr>
    <w:rPr>
      <w:b/>
    </w:rPr>
  </w:style>
  <w:style w:type="paragraph" w:customStyle="1" w:styleId="JuCourt">
    <w:name w:val="Ju_Court"/>
    <w:basedOn w:val="Normalny"/>
    <w:next w:val="Normalny"/>
    <w:uiPriority w:val="16"/>
    <w:qFormat/>
    <w:rsid w:val="00517E2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17E2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17E26"/>
    <w:pPr>
      <w:spacing w:after="240"/>
      <w:jc w:val="center"/>
      <w:outlineLvl w:val="0"/>
    </w:pPr>
    <w:rPr>
      <w:rFonts w:asciiTheme="majorHAnsi" w:hAnsiTheme="majorHAnsi"/>
    </w:rPr>
  </w:style>
  <w:style w:type="paragraph" w:customStyle="1" w:styleId="JuInitialled">
    <w:name w:val="Ju_Initialled"/>
    <w:basedOn w:val="Normalny"/>
    <w:uiPriority w:val="31"/>
    <w:qFormat/>
    <w:rsid w:val="00517E26"/>
    <w:pPr>
      <w:tabs>
        <w:tab w:val="center" w:pos="6407"/>
      </w:tabs>
      <w:spacing w:before="720"/>
      <w:jc w:val="right"/>
    </w:pPr>
  </w:style>
  <w:style w:type="paragraph" w:styleId="Tytu">
    <w:name w:val="Title"/>
    <w:basedOn w:val="Normalny"/>
    <w:next w:val="Normalny"/>
    <w:link w:val="TytuZnak"/>
    <w:uiPriority w:val="99"/>
    <w:semiHidden/>
    <w:qFormat/>
    <w:rsid w:val="00517E2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17E2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17E2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17E2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17E2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17E2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17E26"/>
    <w:pPr>
      <w:keepNext/>
      <w:keepLines/>
      <w:spacing w:before="240" w:after="120"/>
      <w:ind w:left="1236"/>
    </w:pPr>
    <w:rPr>
      <w:sz w:val="20"/>
      <w:lang w:val="en-GB"/>
    </w:rPr>
  </w:style>
  <w:style w:type="paragraph" w:customStyle="1" w:styleId="JuListi">
    <w:name w:val="Ju_List_i"/>
    <w:basedOn w:val="Normalny"/>
    <w:next w:val="JuLista"/>
    <w:uiPriority w:val="28"/>
    <w:qFormat/>
    <w:rsid w:val="00517E26"/>
    <w:pPr>
      <w:ind w:left="794"/>
    </w:pPr>
  </w:style>
  <w:style w:type="character" w:customStyle="1" w:styleId="JUNAMES">
    <w:name w:val="JU_NAMES"/>
    <w:uiPriority w:val="17"/>
    <w:qFormat/>
    <w:rsid w:val="00517E26"/>
    <w:rPr>
      <w:caps w:val="0"/>
      <w:smallCaps/>
    </w:rPr>
  </w:style>
  <w:style w:type="paragraph" w:customStyle="1" w:styleId="JuParaSub">
    <w:name w:val="Ju_Para_Sub"/>
    <w:basedOn w:val="ECHRPara"/>
    <w:uiPriority w:val="13"/>
    <w:qFormat/>
    <w:rsid w:val="00517E26"/>
    <w:pPr>
      <w:ind w:left="284"/>
    </w:pPr>
  </w:style>
  <w:style w:type="paragraph" w:styleId="Nagwek">
    <w:name w:val="header"/>
    <w:basedOn w:val="Normalny"/>
    <w:link w:val="NagwekZnak"/>
    <w:uiPriority w:val="57"/>
    <w:semiHidden/>
    <w:rsid w:val="00517E2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7E26"/>
    <w:rPr>
      <w:sz w:val="24"/>
      <w:lang w:val="en-GB"/>
    </w:rPr>
  </w:style>
  <w:style w:type="character" w:customStyle="1" w:styleId="Nagwek1Znak">
    <w:name w:val="Nagłówek 1 Znak"/>
    <w:basedOn w:val="Domylnaczcionkaakapitu"/>
    <w:link w:val="Nagwek1"/>
    <w:uiPriority w:val="99"/>
    <w:semiHidden/>
    <w:rsid w:val="00517E2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517E2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17E2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17E26"/>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517E26"/>
    <w:pPr>
      <w:ind w:left="567"/>
    </w:pPr>
  </w:style>
  <w:style w:type="paragraph" w:customStyle="1" w:styleId="JuCase">
    <w:name w:val="Ju_Case"/>
    <w:basedOn w:val="Normalny"/>
    <w:next w:val="ECHRPara"/>
    <w:uiPriority w:val="10"/>
    <w:rsid w:val="00517E26"/>
    <w:pPr>
      <w:ind w:firstLine="284"/>
    </w:pPr>
    <w:rPr>
      <w:b/>
    </w:rPr>
  </w:style>
  <w:style w:type="character" w:customStyle="1" w:styleId="Nagwek3Znak">
    <w:name w:val="Nagłówek 3 Znak"/>
    <w:basedOn w:val="Domylnaczcionkaakapitu"/>
    <w:link w:val="Nagwek3"/>
    <w:uiPriority w:val="99"/>
    <w:semiHidden/>
    <w:rsid w:val="00517E26"/>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517E26"/>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517E26"/>
    <w:rPr>
      <w:rFonts w:asciiTheme="majorHAnsi" w:eastAsiaTheme="majorEastAsia" w:hAnsiTheme="majorHAnsi" w:cstheme="majorBidi"/>
      <w:b/>
      <w:bCs/>
      <w:color w:val="808080"/>
    </w:rPr>
  </w:style>
  <w:style w:type="character" w:styleId="Wyrnieniedelikatne">
    <w:name w:val="Subtle Emphasis"/>
    <w:uiPriority w:val="99"/>
    <w:semiHidden/>
    <w:qFormat/>
    <w:rsid w:val="00517E2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17E26"/>
    <w:pPr>
      <w:keepNext/>
      <w:keepLines/>
      <w:spacing w:before="720" w:after="240"/>
      <w:outlineLvl w:val="0"/>
    </w:pPr>
    <w:rPr>
      <w:rFonts w:asciiTheme="majorHAnsi" w:hAnsiTheme="majorHAnsi"/>
      <w:sz w:val="28"/>
    </w:rPr>
  </w:style>
  <w:style w:type="character" w:styleId="Uwydatnienie">
    <w:name w:val="Emphasis"/>
    <w:uiPriority w:val="99"/>
    <w:semiHidden/>
    <w:qFormat/>
    <w:rsid w:val="00517E26"/>
    <w:rPr>
      <w:b/>
      <w:bCs/>
      <w:i/>
      <w:iCs/>
      <w:spacing w:val="10"/>
      <w:bdr w:val="none" w:sz="0" w:space="0" w:color="auto"/>
      <w:shd w:val="clear" w:color="auto" w:fill="auto"/>
    </w:rPr>
  </w:style>
  <w:style w:type="paragraph" w:styleId="Stopka">
    <w:name w:val="footer"/>
    <w:basedOn w:val="Normalny"/>
    <w:link w:val="StopkaZnak"/>
    <w:uiPriority w:val="57"/>
    <w:semiHidden/>
    <w:rsid w:val="00517E2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7E26"/>
    <w:rPr>
      <w:sz w:val="24"/>
      <w:lang w:val="en-GB"/>
    </w:rPr>
  </w:style>
  <w:style w:type="character" w:styleId="Odwoanieprzypisudolnego">
    <w:name w:val="footnote reference"/>
    <w:basedOn w:val="Domylnaczcionkaakapitu"/>
    <w:uiPriority w:val="99"/>
    <w:semiHidden/>
    <w:rsid w:val="00517E26"/>
    <w:rPr>
      <w:vertAlign w:val="superscript"/>
    </w:rPr>
  </w:style>
  <w:style w:type="paragraph" w:styleId="Tekstprzypisudolnego">
    <w:name w:val="footnote text"/>
    <w:basedOn w:val="Normalny"/>
    <w:link w:val="TekstprzypisudolnegoZnak"/>
    <w:uiPriority w:val="99"/>
    <w:semiHidden/>
    <w:rsid w:val="00517E26"/>
    <w:rPr>
      <w:sz w:val="20"/>
      <w:szCs w:val="20"/>
    </w:rPr>
  </w:style>
  <w:style w:type="character" w:customStyle="1" w:styleId="TekstprzypisudolnegoZnak">
    <w:name w:val="Tekst przypisu dolnego Znak"/>
    <w:basedOn w:val="Domylnaczcionkaakapitu"/>
    <w:link w:val="Tekstprzypisudolnego"/>
    <w:uiPriority w:val="99"/>
    <w:semiHidden/>
    <w:rsid w:val="00517E26"/>
    <w:rPr>
      <w:rFonts w:eastAsiaTheme="minorEastAsia"/>
      <w:sz w:val="20"/>
      <w:szCs w:val="20"/>
      <w:lang w:val="en-GB"/>
    </w:rPr>
  </w:style>
  <w:style w:type="character" w:customStyle="1" w:styleId="Nagwek6Znak">
    <w:name w:val="Nagłówek 6 Znak"/>
    <w:basedOn w:val="Domylnaczcionkaakapitu"/>
    <w:link w:val="Nagwek6"/>
    <w:uiPriority w:val="99"/>
    <w:semiHidden/>
    <w:rsid w:val="00517E2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17E2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17E2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17E2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17E26"/>
    <w:rPr>
      <w:color w:val="0072BC" w:themeColor="hyperlink"/>
      <w:u w:val="single"/>
    </w:rPr>
  </w:style>
  <w:style w:type="character" w:styleId="Wyrnienieintensywne">
    <w:name w:val="Intense Emphasis"/>
    <w:uiPriority w:val="99"/>
    <w:semiHidden/>
    <w:qFormat/>
    <w:rsid w:val="00517E26"/>
    <w:rPr>
      <w:b/>
      <w:bCs/>
    </w:rPr>
  </w:style>
  <w:style w:type="paragraph" w:styleId="Cytatintensywny">
    <w:name w:val="Intense Quote"/>
    <w:basedOn w:val="Normalny"/>
    <w:next w:val="Normalny"/>
    <w:link w:val="CytatintensywnyZnak"/>
    <w:uiPriority w:val="99"/>
    <w:semiHidden/>
    <w:qFormat/>
    <w:rsid w:val="00517E2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17E26"/>
    <w:rPr>
      <w:rFonts w:eastAsiaTheme="minorEastAsia"/>
      <w:b/>
      <w:bCs/>
      <w:i/>
      <w:iCs/>
      <w:lang w:bidi="en-US"/>
    </w:rPr>
  </w:style>
  <w:style w:type="character" w:styleId="Odwoanieintensywne">
    <w:name w:val="Intense Reference"/>
    <w:uiPriority w:val="99"/>
    <w:semiHidden/>
    <w:qFormat/>
    <w:rsid w:val="00517E26"/>
    <w:rPr>
      <w:smallCaps/>
      <w:spacing w:val="5"/>
      <w:u w:val="single"/>
    </w:rPr>
  </w:style>
  <w:style w:type="paragraph" w:styleId="Akapitzlist">
    <w:name w:val="List Paragraph"/>
    <w:basedOn w:val="Normalny"/>
    <w:uiPriority w:val="99"/>
    <w:semiHidden/>
    <w:qFormat/>
    <w:rsid w:val="00517E2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7E2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17E26"/>
    <w:rPr>
      <w:rFonts w:eastAsiaTheme="minorEastAsia"/>
      <w:i/>
      <w:iCs/>
      <w:lang w:bidi="en-US"/>
    </w:rPr>
  </w:style>
  <w:style w:type="character" w:styleId="Odwoaniedelikatne">
    <w:name w:val="Subtle Reference"/>
    <w:uiPriority w:val="99"/>
    <w:semiHidden/>
    <w:qFormat/>
    <w:rsid w:val="00517E26"/>
    <w:rPr>
      <w:smallCaps/>
    </w:rPr>
  </w:style>
  <w:style w:type="table" w:styleId="Tabela-Siatka">
    <w:name w:val="Table Grid"/>
    <w:basedOn w:val="Standardowy"/>
    <w:uiPriority w:val="59"/>
    <w:semiHidden/>
    <w:rsid w:val="00517E2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7E2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7E2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7E2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7E2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7E2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17E2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7E2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17E26"/>
    <w:pPr>
      <w:spacing w:before="120" w:after="120"/>
      <w:ind w:left="425" w:firstLine="142"/>
    </w:pPr>
    <w:rPr>
      <w:sz w:val="20"/>
    </w:rPr>
  </w:style>
  <w:style w:type="paragraph" w:customStyle="1" w:styleId="ECHRPara">
    <w:name w:val="ECHR_Para"/>
    <w:aliases w:val="Ju_Para"/>
    <w:basedOn w:val="Normalny"/>
    <w:link w:val="ECHRParaChar"/>
    <w:uiPriority w:val="12"/>
    <w:qFormat/>
    <w:rsid w:val="00517E2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17E2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17E2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17E26"/>
    <w:pPr>
      <w:ind w:left="340" w:hanging="340"/>
    </w:pPr>
  </w:style>
  <w:style w:type="paragraph" w:customStyle="1" w:styleId="JuSigned">
    <w:name w:val="Ju_Signed"/>
    <w:basedOn w:val="Normalny"/>
    <w:next w:val="JuParaLast"/>
    <w:uiPriority w:val="32"/>
    <w:qFormat/>
    <w:rsid w:val="00517E26"/>
    <w:pPr>
      <w:tabs>
        <w:tab w:val="center" w:pos="851"/>
        <w:tab w:val="center" w:pos="6407"/>
      </w:tabs>
      <w:spacing w:before="720"/>
      <w:jc w:val="left"/>
    </w:pPr>
  </w:style>
  <w:style w:type="paragraph" w:customStyle="1" w:styleId="JuParaLast">
    <w:name w:val="Ju_Para_Last"/>
    <w:basedOn w:val="Normalny"/>
    <w:next w:val="ECHRPara"/>
    <w:uiPriority w:val="30"/>
    <w:qFormat/>
    <w:rsid w:val="00517E26"/>
    <w:pPr>
      <w:keepNext/>
      <w:keepLines/>
      <w:spacing w:before="240"/>
      <w:ind w:firstLine="284"/>
    </w:pPr>
  </w:style>
  <w:style w:type="paragraph" w:customStyle="1" w:styleId="JuTitle">
    <w:name w:val="Ju_Title"/>
    <w:basedOn w:val="Normalny"/>
    <w:next w:val="ECHRPara"/>
    <w:uiPriority w:val="3"/>
    <w:semiHidden/>
    <w:qFormat/>
    <w:rsid w:val="00517E26"/>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17E26"/>
    <w:pPr>
      <w:ind w:left="346" w:firstLine="0"/>
    </w:pPr>
  </w:style>
  <w:style w:type="paragraph" w:customStyle="1" w:styleId="OpiH1">
    <w:name w:val="Opi_H_1"/>
    <w:basedOn w:val="ECHRHeading2"/>
    <w:uiPriority w:val="42"/>
    <w:qFormat/>
    <w:rsid w:val="00517E26"/>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517E26"/>
    <w:rPr>
      <w:vertAlign w:val="superscript"/>
    </w:rPr>
  </w:style>
  <w:style w:type="paragraph" w:styleId="Tekstprzypisukocowego">
    <w:name w:val="endnote text"/>
    <w:basedOn w:val="Normalny"/>
    <w:link w:val="TekstprzypisukocowegoZnak"/>
    <w:uiPriority w:val="99"/>
    <w:semiHidden/>
    <w:rsid w:val="00517E26"/>
    <w:rPr>
      <w:sz w:val="20"/>
      <w:szCs w:val="20"/>
    </w:rPr>
  </w:style>
  <w:style w:type="character" w:customStyle="1" w:styleId="TekstprzypisukocowegoZnak">
    <w:name w:val="Tekst przypisu końcowego Znak"/>
    <w:basedOn w:val="Domylnaczcionkaakapitu"/>
    <w:link w:val="Tekstprzypisukocowego"/>
    <w:uiPriority w:val="99"/>
    <w:semiHidden/>
    <w:rsid w:val="00517E26"/>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517E26"/>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517E26"/>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17E2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17E2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517E2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17E2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7E2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517E26"/>
    <w:pPr>
      <w:tabs>
        <w:tab w:val="clear" w:pos="357"/>
      </w:tabs>
      <w:outlineLvl w:val="1"/>
    </w:pPr>
    <w:rPr>
      <w:b/>
    </w:rPr>
  </w:style>
  <w:style w:type="paragraph" w:customStyle="1" w:styleId="OpiHi">
    <w:name w:val="Opi_H_i"/>
    <w:basedOn w:val="ECHRHeading4"/>
    <w:uiPriority w:val="44"/>
    <w:qFormat/>
    <w:rsid w:val="00517E26"/>
    <w:pPr>
      <w:ind w:left="1037" w:hanging="357"/>
      <w:outlineLvl w:val="4"/>
    </w:pPr>
    <w:rPr>
      <w:b w:val="0"/>
      <w:i/>
    </w:rPr>
  </w:style>
  <w:style w:type="paragraph" w:customStyle="1" w:styleId="OpiPara">
    <w:name w:val="Opi_Para"/>
    <w:basedOn w:val="ECHRPara"/>
    <w:uiPriority w:val="46"/>
    <w:qFormat/>
    <w:rsid w:val="00517E26"/>
  </w:style>
  <w:style w:type="paragraph" w:customStyle="1" w:styleId="OpiParaSub">
    <w:name w:val="Opi_Para_Sub"/>
    <w:basedOn w:val="JuParaSub"/>
    <w:uiPriority w:val="47"/>
    <w:qFormat/>
    <w:rsid w:val="00517E26"/>
  </w:style>
  <w:style w:type="paragraph" w:customStyle="1" w:styleId="OpiQuot">
    <w:name w:val="Opi_Quot"/>
    <w:basedOn w:val="ECHRParaQuote"/>
    <w:uiPriority w:val="48"/>
    <w:qFormat/>
    <w:rsid w:val="00517E26"/>
  </w:style>
  <w:style w:type="paragraph" w:customStyle="1" w:styleId="OpiQuotSub">
    <w:name w:val="Opi_Quot_Sub"/>
    <w:basedOn w:val="JuQuotSub"/>
    <w:uiPriority w:val="49"/>
    <w:qFormat/>
    <w:rsid w:val="00517E26"/>
  </w:style>
  <w:style w:type="paragraph" w:customStyle="1" w:styleId="OpiTranslation">
    <w:name w:val="Opi_Translation"/>
    <w:basedOn w:val="Normalny"/>
    <w:next w:val="OpiPara"/>
    <w:uiPriority w:val="40"/>
    <w:qFormat/>
    <w:rsid w:val="00517E26"/>
    <w:pPr>
      <w:jc w:val="center"/>
      <w:outlineLvl w:val="0"/>
    </w:pPr>
    <w:rPr>
      <w:i/>
    </w:rPr>
  </w:style>
  <w:style w:type="character" w:customStyle="1" w:styleId="ECHRParaChar">
    <w:name w:val="ECHR_Para Char"/>
    <w:aliases w:val="Ju_Para Char"/>
    <w:link w:val="ECHRPara"/>
    <w:uiPriority w:val="12"/>
    <w:rsid w:val="005F499A"/>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7E3C6-5C68-47FA-B632-DA047659B3D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993711-9A04-4FBA-B6F2-FB6B7293D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5103479-00A1-4F93-8ED7-0FEE2335E9E2}">
  <ds:schemaRefs>
    <ds:schemaRef ds:uri="http://schemas.microsoft.com/sharepoint/v3/contenttype/forms"/>
  </ds:schemaRefs>
</ds:datastoreItem>
</file>

<file path=customXml/itemProps4.xml><?xml version="1.0" encoding="utf-8"?>
<ds:datastoreItem xmlns:ds="http://schemas.openxmlformats.org/officeDocument/2006/customXml" ds:itemID="{4D2A05E2-DF16-48F4-8F69-E281DBB0C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2785</Words>
  <Characters>16713</Characters>
  <Application>Microsoft Office Word</Application>
  <DocSecurity>0</DocSecurity>
  <Lines>139</Lines>
  <Paragraphs>38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19460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2018-11-22T10:55:00Z</dcterms:created>
  <dcterms:modified xsi:type="dcterms:W3CDTF">2018-11-22T10:55:00Z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15333/16</vt:lpwstr>
  </property>
  <property fmtid="{D5CDD505-2E9C-101B-9397-08002B2CF9AE}" pid="4" name="CASEID">
    <vt:lpwstr>1188831</vt:lpwstr>
  </property>
  <property fmtid="{D5CDD505-2E9C-101B-9397-08002B2CF9AE}" pid="5" name="ContentTypeId">
    <vt:lpwstr>0x010100558EB02BDB9E204AB350EDD385B68E10</vt:lpwstr>
  </property>
</Properties>
</file>