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4C4" w:rsidRPr="007809E4" w:rsidRDefault="006544C4" w:rsidP="007809E4">
      <w:pPr>
        <w:jc w:val="center"/>
      </w:pPr>
    </w:p>
    <w:p w:rsidR="0094178F" w:rsidRPr="007809E4" w:rsidRDefault="0094178F" w:rsidP="007809E4">
      <w:pPr>
        <w:jc w:val="center"/>
        <w:rPr>
          <w:sz w:val="4"/>
          <w:szCs w:val="4"/>
        </w:rPr>
      </w:pPr>
    </w:p>
    <w:p w:rsidR="006544C4" w:rsidRPr="004752DA" w:rsidRDefault="007A4BD5" w:rsidP="007809E4">
      <w:pPr>
        <w:pStyle w:val="DecHTitle"/>
        <w:rPr>
          <w:lang w:val="pl-PL"/>
        </w:rPr>
      </w:pPr>
      <w:r>
        <w:rPr>
          <w:szCs w:val="24"/>
          <w:lang w:val="pl"/>
        </w:rPr>
        <w:t>PIERWSZA SEKCJA</w:t>
      </w:r>
    </w:p>
    <w:p w:rsidR="006544C4" w:rsidRPr="004752DA" w:rsidRDefault="006544C4" w:rsidP="007809E4">
      <w:pPr>
        <w:pStyle w:val="DecHTitle"/>
        <w:rPr>
          <w:caps/>
          <w:sz w:val="32"/>
          <w:lang w:val="pl-PL"/>
        </w:rPr>
      </w:pPr>
      <w:r>
        <w:rPr>
          <w:lang w:val="pl"/>
        </w:rPr>
        <w:t>DECYZJA</w:t>
      </w:r>
    </w:p>
    <w:p w:rsidR="006544C4" w:rsidRPr="004752DA" w:rsidRDefault="007A4BD5" w:rsidP="007809E4">
      <w:pPr>
        <w:pStyle w:val="ECHRTitleCentre2"/>
        <w:rPr>
          <w:lang w:val="pl-PL"/>
        </w:rPr>
      </w:pPr>
      <w:r>
        <w:rPr>
          <w:lang w:val="pl"/>
        </w:rPr>
        <w:t>Skarga nr 29506/09</w:t>
      </w:r>
      <w:r>
        <w:rPr>
          <w:lang w:val="pl"/>
        </w:rPr>
        <w:br/>
        <w:t>Jolanta WROŃSKA i Konrad Krzysztof WROŃSKI</w:t>
      </w:r>
      <w:r>
        <w:rPr>
          <w:lang w:val="pl"/>
        </w:rPr>
        <w:br/>
        <w:t>przeciwko Polsce</w:t>
      </w:r>
    </w:p>
    <w:p w:rsidR="006544C4" w:rsidRPr="004752DA" w:rsidRDefault="006544C4" w:rsidP="007809E4">
      <w:pPr>
        <w:pStyle w:val="ECHRPara"/>
        <w:rPr>
          <w:sz w:val="2"/>
          <w:szCs w:val="2"/>
          <w:lang w:val="pl-PL"/>
        </w:rPr>
      </w:pPr>
    </w:p>
    <w:p w:rsidR="007A4BD5" w:rsidRPr="004752DA" w:rsidRDefault="007A4BD5" w:rsidP="007809E4">
      <w:pPr>
        <w:pStyle w:val="ECHRPara"/>
        <w:rPr>
          <w:lang w:val="pl-PL"/>
        </w:rPr>
      </w:pPr>
      <w:r>
        <w:rPr>
          <w:lang w:val="pl"/>
        </w:rPr>
        <w:t>Europejski Trybunał Praw Człowieka (pierwsza sekcja), obradujący dnia 16 października 2018 r. w komitecie, w którego skład wchodzą:</w:t>
      </w:r>
    </w:p>
    <w:p w:rsidR="007A4BD5" w:rsidRPr="004752DA" w:rsidRDefault="006F47B0" w:rsidP="007809E4">
      <w:pPr>
        <w:pStyle w:val="ECHRDecisionBody"/>
        <w:rPr>
          <w:lang w:val="pl-PL"/>
        </w:rPr>
      </w:pPr>
      <w:r>
        <w:rPr>
          <w:lang w:val="pl"/>
        </w:rPr>
        <w:tab/>
      </w:r>
      <w:proofErr w:type="spellStart"/>
      <w:r>
        <w:rPr>
          <w:lang w:val="pl"/>
        </w:rPr>
        <w:t>Ksenija</w:t>
      </w:r>
      <w:proofErr w:type="spellEnd"/>
      <w:r>
        <w:rPr>
          <w:lang w:val="pl"/>
        </w:rPr>
        <w:t xml:space="preserve"> </w:t>
      </w:r>
      <w:proofErr w:type="spellStart"/>
      <w:r>
        <w:rPr>
          <w:lang w:val="pl"/>
        </w:rPr>
        <w:t>Turković</w:t>
      </w:r>
      <w:proofErr w:type="spellEnd"/>
      <w:r>
        <w:rPr>
          <w:lang w:val="pl"/>
        </w:rPr>
        <w:t>,</w:t>
      </w:r>
      <w:r>
        <w:rPr>
          <w:i/>
          <w:iCs/>
          <w:lang w:val="pl"/>
        </w:rPr>
        <w:t xml:space="preserve"> przewodnicząca,</w:t>
      </w:r>
      <w:r>
        <w:rPr>
          <w:lang w:val="pl"/>
        </w:rPr>
        <w:br/>
      </w:r>
      <w:r>
        <w:rPr>
          <w:lang w:val="pl"/>
        </w:rPr>
        <w:tab/>
      </w:r>
      <w:proofErr w:type="spellStart"/>
      <w:r>
        <w:rPr>
          <w:lang w:val="pl"/>
        </w:rPr>
        <w:t>Armen</w:t>
      </w:r>
      <w:proofErr w:type="spellEnd"/>
      <w:r>
        <w:rPr>
          <w:lang w:val="pl"/>
        </w:rPr>
        <w:t xml:space="preserve"> </w:t>
      </w:r>
      <w:proofErr w:type="spellStart"/>
      <w:r>
        <w:rPr>
          <w:lang w:val="pl"/>
        </w:rPr>
        <w:t>Harutyunyan</w:t>
      </w:r>
      <w:proofErr w:type="spellEnd"/>
      <w:r>
        <w:rPr>
          <w:lang w:val="pl"/>
        </w:rPr>
        <w:t>,</w:t>
      </w:r>
      <w:r>
        <w:rPr>
          <w:lang w:val="pl"/>
        </w:rPr>
        <w:br/>
      </w:r>
      <w:r>
        <w:rPr>
          <w:lang w:val="pl"/>
        </w:rPr>
        <w:tab/>
      </w:r>
      <w:proofErr w:type="spellStart"/>
      <w:r>
        <w:rPr>
          <w:lang w:val="pl"/>
        </w:rPr>
        <w:t>Pauliine</w:t>
      </w:r>
      <w:proofErr w:type="spellEnd"/>
      <w:r>
        <w:rPr>
          <w:lang w:val="pl"/>
        </w:rPr>
        <w:t xml:space="preserve"> </w:t>
      </w:r>
      <w:proofErr w:type="spellStart"/>
      <w:r>
        <w:rPr>
          <w:lang w:val="pl"/>
        </w:rPr>
        <w:t>Koskelo</w:t>
      </w:r>
      <w:proofErr w:type="spellEnd"/>
      <w:r>
        <w:rPr>
          <w:lang w:val="pl"/>
        </w:rPr>
        <w:t>,</w:t>
      </w:r>
      <w:r>
        <w:rPr>
          <w:i/>
          <w:iCs/>
          <w:lang w:val="pl"/>
        </w:rPr>
        <w:t xml:space="preserve"> sędziowie,</w:t>
      </w:r>
    </w:p>
    <w:p w:rsidR="007A4BD5" w:rsidRPr="004752DA" w:rsidRDefault="007A4BD5" w:rsidP="007809E4">
      <w:pPr>
        <w:pStyle w:val="ECHRPara"/>
        <w:ind w:firstLine="0"/>
        <w:rPr>
          <w:lang w:val="pl-PL"/>
        </w:rPr>
      </w:pPr>
      <w:r>
        <w:rPr>
          <w:lang w:val="pl"/>
        </w:rPr>
        <w:t xml:space="preserve">i Renata </w:t>
      </w:r>
      <w:proofErr w:type="spellStart"/>
      <w:r>
        <w:rPr>
          <w:lang w:val="pl"/>
        </w:rPr>
        <w:t>Degener</w:t>
      </w:r>
      <w:proofErr w:type="spellEnd"/>
      <w:r>
        <w:rPr>
          <w:lang w:val="pl"/>
        </w:rPr>
        <w:t xml:space="preserve">, </w:t>
      </w:r>
      <w:r>
        <w:rPr>
          <w:i/>
          <w:iCs/>
          <w:lang w:val="pl"/>
        </w:rPr>
        <w:t>zastępca sekretarza sekcji</w:t>
      </w:r>
      <w:r>
        <w:rPr>
          <w:lang w:val="pl"/>
        </w:rPr>
        <w:t>,</w:t>
      </w:r>
    </w:p>
    <w:p w:rsidR="007A4BD5" w:rsidRPr="004752DA" w:rsidRDefault="007A4BD5" w:rsidP="007809E4">
      <w:pPr>
        <w:pStyle w:val="ECHRPara"/>
        <w:rPr>
          <w:lang w:val="pl-PL"/>
        </w:rPr>
      </w:pPr>
      <w:r>
        <w:rPr>
          <w:lang w:val="pl"/>
        </w:rPr>
        <w:t>Uwzględniając wyżej wymienioną skargę wniesioną dnia 25 maja 2009 r.,</w:t>
      </w:r>
    </w:p>
    <w:p w:rsidR="007A4BD5" w:rsidRPr="004752DA" w:rsidRDefault="007A4BD5" w:rsidP="007809E4">
      <w:pPr>
        <w:pStyle w:val="ECHRPara"/>
        <w:rPr>
          <w:lang w:val="pl-PL"/>
        </w:rPr>
      </w:pPr>
      <w:r>
        <w:rPr>
          <w:lang w:val="pl"/>
        </w:rPr>
        <w:t>Uwzględniając uwagi przedłożone przez pozwany Rząd i uwagi przedstawione w odpowiedzi przez strony skarżące,</w:t>
      </w:r>
    </w:p>
    <w:p w:rsidR="007A4BD5" w:rsidRPr="004752DA" w:rsidRDefault="007A4BD5" w:rsidP="007809E4">
      <w:pPr>
        <w:pStyle w:val="ECHRPara"/>
        <w:rPr>
          <w:lang w:val="pl-PL"/>
        </w:rPr>
      </w:pPr>
      <w:r>
        <w:rPr>
          <w:lang w:val="pl"/>
        </w:rPr>
        <w:t>Po odbyciu narad, postanawia co następuje:</w:t>
      </w:r>
    </w:p>
    <w:p w:rsidR="007A4BD5" w:rsidRPr="009F410E" w:rsidRDefault="007A4BD5" w:rsidP="007809E4">
      <w:pPr>
        <w:pStyle w:val="ECHRTitle1"/>
        <w:rPr>
          <w:lang w:val="pl-PL"/>
        </w:rPr>
      </w:pPr>
      <w:r>
        <w:rPr>
          <w:lang w:val="pl"/>
        </w:rPr>
        <w:t>OKOLICZNOŚCI FAKTYCZNE</w:t>
      </w:r>
    </w:p>
    <w:p w:rsidR="007A4BD5" w:rsidRPr="004752DA" w:rsidRDefault="007A4BD5" w:rsidP="007809E4">
      <w:pPr>
        <w:pStyle w:val="ECHRPara"/>
        <w:rPr>
          <w:lang w:val="pl-PL"/>
        </w:rPr>
      </w:pPr>
      <w:r>
        <w:rPr>
          <w:lang w:val="pl"/>
        </w:rPr>
        <w:t>1.  </w:t>
      </w:r>
      <w:r w:rsidR="004752DA">
        <w:rPr>
          <w:lang w:val="pl"/>
        </w:rPr>
        <w:t>Skarżący</w:t>
      </w:r>
      <w:r>
        <w:rPr>
          <w:lang w:val="pl"/>
        </w:rPr>
        <w:t>, Pani Jolanta Wrońska i Pan Konrad Krzysztof Wroński, są obywatelami polskimi, urodzonymi odpowiednio w 1957 i 1986 r., zamieszkałymi w Warszawie. Przed Trybunałem, byli reprezentowani przez Panią Mecenas Gąsiorowską, adwokata wykonującego swoją działalność w Warszawie.</w:t>
      </w:r>
    </w:p>
    <w:p w:rsidR="00B60D89" w:rsidRPr="004752DA" w:rsidRDefault="007A4BD5" w:rsidP="007809E4">
      <w:pPr>
        <w:pStyle w:val="ECHRPara"/>
        <w:rPr>
          <w:rFonts w:cstheme="minorHAnsi"/>
          <w:lang w:val="pl-PL"/>
        </w:rPr>
      </w:pPr>
      <w:r>
        <w:rPr>
          <w:rFonts w:cstheme="minorHAnsi"/>
          <w:lang w:val="pl"/>
        </w:rPr>
        <w:t>2.  Rząd polski (zwany dalej „Rządem") był reprezentowany przez swojego pełnomocnika, Panią Mecenas J. Chrzanowską, później zastąpioną przez Pana Mecenasa J. Sobczaka z Ministerstwa Spraw Zagranicznych.</w:t>
      </w:r>
    </w:p>
    <w:p w:rsidR="007A4BD5" w:rsidRPr="004752DA" w:rsidRDefault="007A4BD5" w:rsidP="007809E4">
      <w:pPr>
        <w:pStyle w:val="ECHRHeading2"/>
        <w:rPr>
          <w:lang w:val="pl-PL"/>
        </w:rPr>
      </w:pPr>
      <w:r>
        <w:rPr>
          <w:lang w:val="pl"/>
        </w:rPr>
        <w:t>A.  Okoliczności niniejszej sprawy</w:t>
      </w:r>
    </w:p>
    <w:p w:rsidR="007A4BD5" w:rsidRPr="004752DA" w:rsidRDefault="007A4BD5" w:rsidP="007809E4">
      <w:pPr>
        <w:pStyle w:val="ECHRPara"/>
        <w:rPr>
          <w:lang w:val="pl-PL"/>
        </w:rPr>
      </w:pPr>
      <w:r>
        <w:rPr>
          <w:lang w:val="pl"/>
        </w:rPr>
        <w:t>3.  Okoliczności faktyczne niniejszej sprawy, w formie w jakiej zostały przedstawione przez strony, można podsumować w następujący sposób.</w:t>
      </w:r>
    </w:p>
    <w:p w:rsidR="00032211" w:rsidRPr="004752DA" w:rsidRDefault="007A4BD5" w:rsidP="007809E4">
      <w:pPr>
        <w:pStyle w:val="ECHRHeading3"/>
        <w:rPr>
          <w:lang w:val="pl-PL"/>
        </w:rPr>
      </w:pPr>
      <w:r>
        <w:rPr>
          <w:bCs w:val="0"/>
          <w:iCs/>
          <w:lang w:val="pl"/>
        </w:rPr>
        <w:lastRenderedPageBreak/>
        <w:t xml:space="preserve">1.  Postępowanie w sprawie </w:t>
      </w:r>
      <w:r w:rsidR="004752DA">
        <w:rPr>
          <w:bCs w:val="0"/>
          <w:iCs/>
          <w:lang w:val="pl"/>
        </w:rPr>
        <w:t>podziału majątku wspólnego</w:t>
      </w:r>
      <w:r>
        <w:rPr>
          <w:bCs w:val="0"/>
          <w:iCs/>
          <w:lang w:val="pl"/>
        </w:rPr>
        <w:t xml:space="preserve"> skarżącej i jej byłego męża</w:t>
      </w:r>
    </w:p>
    <w:p w:rsidR="007A4BD5" w:rsidRPr="004752DA" w:rsidRDefault="007A4BD5" w:rsidP="007809E4">
      <w:pPr>
        <w:pStyle w:val="ECHRPara"/>
        <w:rPr>
          <w:lang w:val="pl-PL"/>
        </w:rPr>
      </w:pPr>
      <w:r>
        <w:rPr>
          <w:lang w:val="pl"/>
        </w:rPr>
        <w:t xml:space="preserve">4.  W dniu 18 sierpnia 2003 r., w związku </w:t>
      </w:r>
      <w:r w:rsidR="004752DA">
        <w:rPr>
          <w:lang w:val="pl"/>
        </w:rPr>
        <w:t>z</w:t>
      </w:r>
      <w:r>
        <w:rPr>
          <w:lang w:val="pl"/>
        </w:rPr>
        <w:t xml:space="preserve"> rozwodem, s skarżąca wystąpiła do Sądu Rejonowego w Żyrardowie (zwanego dalej „Sądem Rejonowym") o </w:t>
      </w:r>
      <w:r w:rsidR="004752DA">
        <w:rPr>
          <w:lang w:val="pl"/>
        </w:rPr>
        <w:t>podział majątku wspólnego</w:t>
      </w:r>
      <w:r>
        <w:rPr>
          <w:lang w:val="pl"/>
        </w:rPr>
        <w:t xml:space="preserve"> istniejącej pomiędzy nią a jej byłym mężem. Dnia 26 września 2003 r., skarżąca została zwolniona z części kosztów</w:t>
      </w:r>
      <w:r w:rsidR="004752DA">
        <w:rPr>
          <w:lang w:val="pl"/>
        </w:rPr>
        <w:t xml:space="preserve"> sądowych</w:t>
      </w:r>
      <w:r>
        <w:rPr>
          <w:lang w:val="pl"/>
        </w:rPr>
        <w:t xml:space="preserve"> związanych z tym wnioskiem.</w:t>
      </w:r>
    </w:p>
    <w:p w:rsidR="007A4BD5" w:rsidRPr="004752DA" w:rsidRDefault="007A4BD5" w:rsidP="007809E4">
      <w:pPr>
        <w:pStyle w:val="ECHRPara"/>
        <w:rPr>
          <w:lang w:val="pl-PL"/>
        </w:rPr>
      </w:pPr>
      <w:r>
        <w:rPr>
          <w:lang w:val="pl"/>
        </w:rPr>
        <w:t>5.  </w:t>
      </w:r>
      <w:r w:rsidR="00987552">
        <w:rPr>
          <w:lang w:val="pl"/>
        </w:rPr>
        <w:t>W</w:t>
      </w:r>
      <w:r>
        <w:rPr>
          <w:lang w:val="pl"/>
        </w:rPr>
        <w:t xml:space="preserve"> grudniu 2003 r. </w:t>
      </w:r>
      <w:r w:rsidR="00987552">
        <w:rPr>
          <w:lang w:val="pl"/>
        </w:rPr>
        <w:t xml:space="preserve">nastąpiła zmiana referenta, </w:t>
      </w:r>
      <w:r>
        <w:rPr>
          <w:lang w:val="pl"/>
        </w:rPr>
        <w:t>sprawa została przydzielona innemu sędziemu.</w:t>
      </w:r>
    </w:p>
    <w:p w:rsidR="007A4BD5" w:rsidRPr="004752DA" w:rsidRDefault="007A4BD5" w:rsidP="007809E4">
      <w:pPr>
        <w:pStyle w:val="ECHRPara"/>
        <w:rPr>
          <w:lang w:val="pl-PL"/>
        </w:rPr>
      </w:pPr>
      <w:r>
        <w:rPr>
          <w:lang w:val="pl"/>
        </w:rPr>
        <w:t xml:space="preserve">6.  W dniu 12 marca 2004 r. strona skarżąca złożyła wniosek o </w:t>
      </w:r>
      <w:r w:rsidR="00E36177">
        <w:rPr>
          <w:lang w:val="pl"/>
        </w:rPr>
        <w:t>ustanowienie pełnomocnika procesowego z urzędu w osobie adwokata</w:t>
      </w:r>
      <w:r>
        <w:rPr>
          <w:lang w:val="pl"/>
        </w:rPr>
        <w:t xml:space="preserve">. </w:t>
      </w:r>
      <w:r w:rsidR="00E36177">
        <w:rPr>
          <w:lang w:val="pl"/>
        </w:rPr>
        <w:br/>
      </w:r>
      <w:r>
        <w:rPr>
          <w:lang w:val="pl"/>
        </w:rPr>
        <w:t>W kwietniu 2004 r. Sąd Rejonowy uwzględnił jej wniosek.</w:t>
      </w:r>
    </w:p>
    <w:p w:rsidR="007A4BD5" w:rsidRPr="004752DA" w:rsidRDefault="007A4BD5" w:rsidP="007809E4">
      <w:pPr>
        <w:pStyle w:val="ECHRPara"/>
        <w:rPr>
          <w:lang w:val="pl-PL"/>
        </w:rPr>
      </w:pPr>
      <w:r>
        <w:rPr>
          <w:lang w:val="pl"/>
        </w:rPr>
        <w:t>7.  Pierwsza rozprawa w tej sprawie odbyła się dnia 12 lipca 2004 r.</w:t>
      </w:r>
    </w:p>
    <w:p w:rsidR="007A4BD5" w:rsidRPr="004752DA" w:rsidRDefault="007A4BD5" w:rsidP="007809E4">
      <w:pPr>
        <w:pStyle w:val="ECHRPara"/>
        <w:rPr>
          <w:lang w:val="pl-PL"/>
        </w:rPr>
      </w:pPr>
      <w:r>
        <w:rPr>
          <w:lang w:val="pl"/>
        </w:rPr>
        <w:t xml:space="preserve">8.  W dniu 14 lipca 2004 r. strona skarżąca złożyła wniosek o wyłączenie sędziego orzekającego w sprawie. Wniosek ten został </w:t>
      </w:r>
      <w:r w:rsidR="00987552">
        <w:rPr>
          <w:lang w:val="pl"/>
        </w:rPr>
        <w:t>oddalony postanowieniem</w:t>
      </w:r>
      <w:r>
        <w:rPr>
          <w:lang w:val="pl"/>
        </w:rPr>
        <w:t xml:space="preserve"> z dnia 17 sierpnia 2004 r. </w:t>
      </w:r>
      <w:r w:rsidR="00987552">
        <w:rPr>
          <w:lang w:val="pl"/>
        </w:rPr>
        <w:t>S</w:t>
      </w:r>
      <w:r>
        <w:rPr>
          <w:lang w:val="pl"/>
        </w:rPr>
        <w:t xml:space="preserve">karżąca wniosła </w:t>
      </w:r>
      <w:r w:rsidR="00987552">
        <w:rPr>
          <w:lang w:val="pl"/>
        </w:rPr>
        <w:t>zażalenie</w:t>
      </w:r>
      <w:r>
        <w:rPr>
          <w:lang w:val="pl"/>
        </w:rPr>
        <w:t xml:space="preserve"> od </w:t>
      </w:r>
      <w:r w:rsidR="00B66682">
        <w:rPr>
          <w:lang w:val="pl"/>
        </w:rPr>
        <w:t>tego rozstrzygnięcia</w:t>
      </w:r>
      <w:r>
        <w:rPr>
          <w:lang w:val="pl"/>
        </w:rPr>
        <w:t>, które zostało oddalone w dniu 14 października 2004 r.</w:t>
      </w:r>
    </w:p>
    <w:p w:rsidR="007A4BD5" w:rsidRPr="004752DA" w:rsidRDefault="007A4BD5" w:rsidP="007809E4">
      <w:pPr>
        <w:pStyle w:val="ECHRPara"/>
        <w:rPr>
          <w:lang w:val="pl-PL"/>
        </w:rPr>
      </w:pPr>
      <w:r>
        <w:rPr>
          <w:lang w:val="pl"/>
        </w:rPr>
        <w:t>9.  W</w:t>
      </w:r>
      <w:r w:rsidR="00D00AFF">
        <w:rPr>
          <w:lang w:val="pl"/>
        </w:rPr>
        <w:t xml:space="preserve"> dniu 19 października 2004 r., </w:t>
      </w:r>
      <w:r>
        <w:rPr>
          <w:lang w:val="pl"/>
        </w:rPr>
        <w:t xml:space="preserve">skarżąca wniosła do Sądu Okręgowego w Płocku (zwanego dalej „Sądem Okręgowym”), </w:t>
      </w:r>
      <w:r w:rsidR="00D00AFF">
        <w:rPr>
          <w:lang w:val="pl"/>
        </w:rPr>
        <w:t>skargę na przewlekłość postępowania</w:t>
      </w:r>
      <w:r>
        <w:rPr>
          <w:lang w:val="pl"/>
        </w:rPr>
        <w:t xml:space="preserve">. W uzasadnieniu skargi wskazała, że w okresie od września 2003 r. do marca 2004 r., sąd rejonowy pozostał bierny i czekał jedenaście miesięcy zanim przeprowadził pierwszą rozprawę. Skarga strony skarżącej została </w:t>
      </w:r>
      <w:r w:rsidR="00D00AFF">
        <w:rPr>
          <w:lang w:val="pl"/>
        </w:rPr>
        <w:t>oddalona</w:t>
      </w:r>
      <w:r>
        <w:rPr>
          <w:lang w:val="pl"/>
        </w:rPr>
        <w:t xml:space="preserve"> w dniu 4 listopada 2004 r. Następnie, w dniu 30 listopada 2004 r., kolejna wniesiona skarga została uznana za niedopuszczalną. W uzasadnieniu decyzji z dnia 4 listopada Sąd Okręgowy stwierdził, co następuje:</w:t>
      </w:r>
    </w:p>
    <w:p w:rsidR="007A4BD5" w:rsidRPr="004752DA" w:rsidRDefault="007A4BD5" w:rsidP="007809E4">
      <w:pPr>
        <w:pStyle w:val="ECHRPara"/>
        <w:rPr>
          <w:lang w:val="pl-PL"/>
        </w:rPr>
      </w:pPr>
      <w:r>
        <w:rPr>
          <w:lang w:val="pl"/>
        </w:rPr>
        <w:t xml:space="preserve">- organy krajowe nie pozostały bezczynne: zbadały różne wnioski strony skarżącej, a w szczególności wniosek o zwolnienie </w:t>
      </w:r>
      <w:r w:rsidR="00D00AFF">
        <w:rPr>
          <w:lang w:val="pl"/>
        </w:rPr>
        <w:t>od</w:t>
      </w:r>
      <w:r>
        <w:rPr>
          <w:lang w:val="pl"/>
        </w:rPr>
        <w:t xml:space="preserve"> kosztów </w:t>
      </w:r>
      <w:r w:rsidR="00D00AFF">
        <w:rPr>
          <w:lang w:val="pl"/>
        </w:rPr>
        <w:t>sądowych</w:t>
      </w:r>
      <w:r>
        <w:rPr>
          <w:lang w:val="pl"/>
        </w:rPr>
        <w:t xml:space="preserve">, wniosek </w:t>
      </w:r>
      <w:r w:rsidR="00D00AFF">
        <w:rPr>
          <w:lang w:val="pl"/>
        </w:rPr>
        <w:t>o ustanowienie pełnomocnika procesowego</w:t>
      </w:r>
      <w:r>
        <w:rPr>
          <w:lang w:val="pl"/>
        </w:rPr>
        <w:t xml:space="preserve"> oraz wniosek </w:t>
      </w:r>
      <w:r w:rsidR="00E36177">
        <w:rPr>
          <w:lang w:val="pl"/>
        </w:rPr>
        <w:br/>
      </w:r>
      <w:r>
        <w:rPr>
          <w:lang w:val="pl"/>
        </w:rPr>
        <w:t>o wyłączenie sędziego orzekającego w sprawie;</w:t>
      </w:r>
    </w:p>
    <w:p w:rsidR="007A4BD5" w:rsidRPr="004752DA" w:rsidRDefault="007A4BD5" w:rsidP="007809E4">
      <w:pPr>
        <w:pStyle w:val="ECHRPara"/>
        <w:rPr>
          <w:lang w:val="pl-PL"/>
        </w:rPr>
      </w:pPr>
      <w:r>
        <w:rPr>
          <w:lang w:val="pl"/>
        </w:rPr>
        <w:t>- domniemane opóźnienie zostało spowodowane przez odejście sędziego</w:t>
      </w:r>
      <w:r w:rsidR="00376D5A">
        <w:rPr>
          <w:lang w:val="pl"/>
        </w:rPr>
        <w:t xml:space="preserve"> referenta</w:t>
      </w:r>
      <w:r>
        <w:rPr>
          <w:lang w:val="pl"/>
        </w:rPr>
        <w:t>, któremu pierwotnie przy</w:t>
      </w:r>
      <w:r w:rsidR="00376D5A">
        <w:rPr>
          <w:lang w:val="pl"/>
        </w:rPr>
        <w:t>dzielono</w:t>
      </w:r>
      <w:r>
        <w:rPr>
          <w:lang w:val="pl"/>
        </w:rPr>
        <w:t xml:space="preserve"> sprawę;</w:t>
      </w:r>
    </w:p>
    <w:p w:rsidR="007A4BD5" w:rsidRPr="004752DA" w:rsidRDefault="007A4BD5" w:rsidP="007809E4">
      <w:pPr>
        <w:pStyle w:val="ECHRPara"/>
        <w:rPr>
          <w:lang w:val="pl-PL"/>
        </w:rPr>
      </w:pPr>
      <w:r>
        <w:rPr>
          <w:lang w:val="pl"/>
        </w:rPr>
        <w:t>- pierwsza rozprawa została ustalona niezwłocznie po przyznaniu stronie skarżącej obrońcy z urzędu w ramach pomocy prawnej;</w:t>
      </w:r>
    </w:p>
    <w:p w:rsidR="007A4BD5" w:rsidRPr="004752DA" w:rsidRDefault="007A4BD5" w:rsidP="007809E4">
      <w:pPr>
        <w:pStyle w:val="ECHRPara"/>
        <w:rPr>
          <w:lang w:val="pl-PL"/>
        </w:rPr>
      </w:pPr>
      <w:r>
        <w:rPr>
          <w:lang w:val="pl"/>
        </w:rPr>
        <w:t>- postępowanie m</w:t>
      </w:r>
      <w:r w:rsidR="00725B51">
        <w:rPr>
          <w:lang w:val="pl"/>
        </w:rPr>
        <w:t>ogło</w:t>
      </w:r>
      <w:r>
        <w:rPr>
          <w:lang w:val="pl"/>
        </w:rPr>
        <w:t xml:space="preserve"> być kontynuowane, </w:t>
      </w:r>
      <w:r w:rsidR="00725B51">
        <w:rPr>
          <w:lang w:val="pl"/>
        </w:rPr>
        <w:t>od momentu</w:t>
      </w:r>
      <w:r>
        <w:rPr>
          <w:lang w:val="pl"/>
        </w:rPr>
        <w:t xml:space="preserve"> </w:t>
      </w:r>
      <w:r w:rsidR="00725B51">
        <w:rPr>
          <w:lang w:val="pl"/>
        </w:rPr>
        <w:t>zwrotu akt sprawy</w:t>
      </w:r>
      <w:r>
        <w:rPr>
          <w:lang w:val="pl"/>
        </w:rPr>
        <w:t xml:space="preserve"> po rozpatrzeniu </w:t>
      </w:r>
      <w:r w:rsidR="00725B51">
        <w:rPr>
          <w:lang w:val="pl"/>
        </w:rPr>
        <w:t>wniesionego przez skarżącą zażalenia na postanowienie o oddaleniu</w:t>
      </w:r>
      <w:r>
        <w:rPr>
          <w:lang w:val="pl"/>
        </w:rPr>
        <w:t xml:space="preserve"> jej wniosku o wyłączenie sędziego </w:t>
      </w:r>
      <w:r w:rsidR="0000159D">
        <w:rPr>
          <w:lang w:val="pl"/>
        </w:rPr>
        <w:t>rozpoznającego</w:t>
      </w:r>
      <w:r>
        <w:rPr>
          <w:lang w:val="pl"/>
        </w:rPr>
        <w:t xml:space="preserve"> sprawę.</w:t>
      </w:r>
    </w:p>
    <w:p w:rsidR="007A4BD5" w:rsidRPr="004752DA" w:rsidRDefault="007A4BD5" w:rsidP="007809E4">
      <w:pPr>
        <w:pStyle w:val="ECHRPara"/>
        <w:rPr>
          <w:lang w:val="pl-PL"/>
        </w:rPr>
      </w:pPr>
      <w:r>
        <w:rPr>
          <w:lang w:val="pl"/>
        </w:rPr>
        <w:t xml:space="preserve">10.  Zgodnie z informacjami dostarczonymi przez stronę skarżącą, Sąd </w:t>
      </w:r>
      <w:r w:rsidR="0000159D">
        <w:rPr>
          <w:lang w:val="pl"/>
        </w:rPr>
        <w:t>Rejonowy</w:t>
      </w:r>
      <w:r>
        <w:rPr>
          <w:lang w:val="pl"/>
        </w:rPr>
        <w:t xml:space="preserve"> przeprowadził w jej sprawie około 26 rozpraw. </w:t>
      </w:r>
      <w:r w:rsidR="0000159D">
        <w:rPr>
          <w:lang w:val="pl"/>
        </w:rPr>
        <w:t xml:space="preserve">W toku postępowania została sporządzona w 2006 r. opinia na okoliczność </w:t>
      </w:r>
      <w:r>
        <w:rPr>
          <w:lang w:val="pl"/>
        </w:rPr>
        <w:t>wartości</w:t>
      </w:r>
      <w:r w:rsidR="0000159D">
        <w:rPr>
          <w:lang w:val="pl"/>
        </w:rPr>
        <w:t xml:space="preserve"> składników majątku wspólnego</w:t>
      </w:r>
      <w:r>
        <w:rPr>
          <w:lang w:val="pl"/>
        </w:rPr>
        <w:t xml:space="preserve"> oraz </w:t>
      </w:r>
      <w:r w:rsidR="0000159D">
        <w:rPr>
          <w:lang w:val="pl"/>
        </w:rPr>
        <w:t>uzupełniająca opinia</w:t>
      </w:r>
      <w:r>
        <w:rPr>
          <w:lang w:val="pl"/>
        </w:rPr>
        <w:t xml:space="preserve"> w roku 2007.</w:t>
      </w:r>
    </w:p>
    <w:p w:rsidR="007A4BD5" w:rsidRPr="004752DA" w:rsidRDefault="007A4BD5" w:rsidP="007809E4">
      <w:pPr>
        <w:pStyle w:val="ECHRPara"/>
        <w:rPr>
          <w:lang w:val="pl-PL"/>
        </w:rPr>
      </w:pPr>
      <w:r>
        <w:rPr>
          <w:lang w:val="pl"/>
        </w:rPr>
        <w:lastRenderedPageBreak/>
        <w:t xml:space="preserve">W lipcu i październiku 2007 roku oraz w styczniu 2008 roku, skarżąca </w:t>
      </w:r>
      <w:r w:rsidR="00495FE8">
        <w:rPr>
          <w:lang w:val="pl"/>
        </w:rPr>
        <w:t>doprecyzowała</w:t>
      </w:r>
      <w:r>
        <w:rPr>
          <w:lang w:val="pl"/>
        </w:rPr>
        <w:t xml:space="preserve"> swoje roszczenia. Strona przeciwna zrobiła to samo, szczególnie we wrześniu 2004 roku i w październiku 2007 roku.</w:t>
      </w:r>
    </w:p>
    <w:p w:rsidR="007A4BD5" w:rsidRPr="004752DA" w:rsidRDefault="007A4BD5" w:rsidP="007809E4">
      <w:pPr>
        <w:pStyle w:val="ECHRPara"/>
        <w:rPr>
          <w:lang w:val="pl-PL"/>
        </w:rPr>
      </w:pPr>
      <w:r>
        <w:rPr>
          <w:lang w:val="pl"/>
        </w:rPr>
        <w:t xml:space="preserve">Z akt sprawy wynika, że niektóre rozprawy zostały </w:t>
      </w:r>
      <w:r w:rsidR="00F90EDF">
        <w:rPr>
          <w:lang w:val="pl"/>
        </w:rPr>
        <w:t>odroczone</w:t>
      </w:r>
      <w:r>
        <w:rPr>
          <w:lang w:val="pl"/>
        </w:rPr>
        <w:t xml:space="preserve"> z przyczyn leżących po stronie byłego męża </w:t>
      </w:r>
      <w:r w:rsidR="00F90EDF">
        <w:rPr>
          <w:lang w:val="pl"/>
        </w:rPr>
        <w:t>skarżącej</w:t>
      </w:r>
      <w:r>
        <w:rPr>
          <w:lang w:val="pl"/>
        </w:rPr>
        <w:t xml:space="preserve"> i jej </w:t>
      </w:r>
      <w:r w:rsidR="00F90EDF">
        <w:rPr>
          <w:lang w:val="pl"/>
        </w:rPr>
        <w:t>pełnomocnika</w:t>
      </w:r>
      <w:r>
        <w:rPr>
          <w:lang w:val="pl"/>
        </w:rPr>
        <w:t>.</w:t>
      </w:r>
    </w:p>
    <w:p w:rsidR="007A4BD5" w:rsidRPr="004752DA" w:rsidRDefault="007A4BD5" w:rsidP="007809E4">
      <w:pPr>
        <w:pStyle w:val="ECHRPara"/>
        <w:rPr>
          <w:bCs/>
          <w:lang w:val="pl-PL"/>
        </w:rPr>
      </w:pPr>
      <w:r>
        <w:rPr>
          <w:lang w:val="pl"/>
        </w:rPr>
        <w:t>11.</w:t>
      </w:r>
      <w:r>
        <w:rPr>
          <w:b/>
          <w:bCs/>
          <w:lang w:val="pl"/>
        </w:rPr>
        <w:t>  </w:t>
      </w:r>
      <w:r>
        <w:rPr>
          <w:lang w:val="pl"/>
        </w:rPr>
        <w:t xml:space="preserve"> Ogłoszenie </w:t>
      </w:r>
      <w:r w:rsidR="00F90EDF">
        <w:rPr>
          <w:lang w:val="pl"/>
        </w:rPr>
        <w:t>postanowienia</w:t>
      </w:r>
      <w:r>
        <w:rPr>
          <w:lang w:val="pl"/>
        </w:rPr>
        <w:t>, początko</w:t>
      </w:r>
      <w:r w:rsidR="00F90EDF">
        <w:rPr>
          <w:lang w:val="pl"/>
        </w:rPr>
        <w:t>wo wyznaczone w październiku 2007</w:t>
      </w:r>
      <w:r w:rsidR="001B74F1">
        <w:rPr>
          <w:lang w:val="pl"/>
        </w:rPr>
        <w:t xml:space="preserve"> </w:t>
      </w:r>
      <w:r>
        <w:rPr>
          <w:lang w:val="pl"/>
        </w:rPr>
        <w:t xml:space="preserve">r., zostało dwukrotnie odroczone. Z przyczyn nieokreślonych w aktach, </w:t>
      </w:r>
      <w:r w:rsidR="00F90EDF">
        <w:rPr>
          <w:lang w:val="pl"/>
        </w:rPr>
        <w:t>rozprawa została ponownie otwarta</w:t>
      </w:r>
      <w:r>
        <w:rPr>
          <w:lang w:val="pl"/>
        </w:rPr>
        <w:t xml:space="preserve"> w terminie niewskazanym w skardze,</w:t>
      </w:r>
      <w:r w:rsidR="00F90EDF">
        <w:rPr>
          <w:lang w:val="pl"/>
        </w:rPr>
        <w:t xml:space="preserve"> a następnie ponownie zamknięta w dniu</w:t>
      </w:r>
      <w:r w:rsidR="0011089F">
        <w:rPr>
          <w:lang w:val="pl"/>
        </w:rPr>
        <w:t xml:space="preserve"> 19 lutego 2008</w:t>
      </w:r>
      <w:r w:rsidR="001B74F1">
        <w:rPr>
          <w:lang w:val="pl"/>
        </w:rPr>
        <w:t xml:space="preserve"> </w:t>
      </w:r>
      <w:r>
        <w:rPr>
          <w:lang w:val="pl"/>
        </w:rPr>
        <w:t xml:space="preserve">r. Ogłoszenie wyroku było </w:t>
      </w:r>
      <w:r w:rsidR="001B74F1">
        <w:rPr>
          <w:lang w:val="pl"/>
        </w:rPr>
        <w:t>wyznaczone na dzień</w:t>
      </w:r>
      <w:r>
        <w:rPr>
          <w:lang w:val="pl"/>
        </w:rPr>
        <w:t xml:space="preserve"> 28 lutego 2008 r., następnie zostało ponownie</w:t>
      </w:r>
      <w:r w:rsidR="001B74F1">
        <w:rPr>
          <w:lang w:val="pl"/>
        </w:rPr>
        <w:t xml:space="preserve"> odroczone</w:t>
      </w:r>
      <w:r>
        <w:rPr>
          <w:lang w:val="pl"/>
        </w:rPr>
        <w:t xml:space="preserve"> na dzień 6 marca 2008 r., z przyczyn nie</w:t>
      </w:r>
      <w:r w:rsidR="001B74F1">
        <w:rPr>
          <w:lang w:val="pl"/>
        </w:rPr>
        <w:t>wskazanych</w:t>
      </w:r>
      <w:r>
        <w:rPr>
          <w:lang w:val="pl"/>
        </w:rPr>
        <w:t xml:space="preserve"> w aktach sprawy. </w:t>
      </w:r>
      <w:r w:rsidR="001B74F1">
        <w:rPr>
          <w:lang w:val="pl"/>
        </w:rPr>
        <w:t xml:space="preserve">W dniu 6 marca 2008 r.  sąd rejonowy wydał </w:t>
      </w:r>
      <w:r w:rsidR="003161C0">
        <w:rPr>
          <w:lang w:val="pl"/>
        </w:rPr>
        <w:t>postanowienie</w:t>
      </w:r>
      <w:r w:rsidR="001B74F1">
        <w:rPr>
          <w:lang w:val="pl"/>
        </w:rPr>
        <w:t xml:space="preserve"> </w:t>
      </w:r>
      <w:r>
        <w:rPr>
          <w:lang w:val="pl"/>
        </w:rPr>
        <w:t>co do istoty</w:t>
      </w:r>
      <w:r w:rsidR="001B74F1">
        <w:rPr>
          <w:lang w:val="pl"/>
        </w:rPr>
        <w:t xml:space="preserve"> sprawy</w:t>
      </w:r>
      <w:r>
        <w:rPr>
          <w:lang w:val="pl"/>
        </w:rPr>
        <w:t xml:space="preserve">. Każda ze stron wniosła </w:t>
      </w:r>
      <w:r w:rsidR="003161C0">
        <w:rPr>
          <w:lang w:val="pl"/>
        </w:rPr>
        <w:t>apelację</w:t>
      </w:r>
      <w:r>
        <w:rPr>
          <w:lang w:val="pl"/>
        </w:rPr>
        <w:t xml:space="preserve"> </w:t>
      </w:r>
      <w:r w:rsidR="003161C0">
        <w:rPr>
          <w:lang w:val="pl"/>
        </w:rPr>
        <w:t>od tego rozstrzygnięcia do Sądu Okręgowego</w:t>
      </w:r>
      <w:r>
        <w:rPr>
          <w:lang w:val="pl"/>
        </w:rPr>
        <w:t>.</w:t>
      </w:r>
    </w:p>
    <w:p w:rsidR="007A4BD5" w:rsidRPr="004752DA" w:rsidRDefault="007A4BD5" w:rsidP="007809E4">
      <w:pPr>
        <w:pStyle w:val="ECHRPara"/>
        <w:rPr>
          <w:b/>
          <w:lang w:val="pl-PL"/>
        </w:rPr>
      </w:pPr>
      <w:r>
        <w:rPr>
          <w:lang w:val="pl"/>
        </w:rPr>
        <w:t xml:space="preserve">12.  Rozprawy przeprowadzone przed tym sądem odbyły się w dniach 9 lipca i 8 października 2008 r. </w:t>
      </w:r>
      <w:r w:rsidR="0032353A">
        <w:rPr>
          <w:lang w:val="pl"/>
        </w:rPr>
        <w:t>Na</w:t>
      </w:r>
      <w:r>
        <w:rPr>
          <w:lang w:val="pl"/>
        </w:rPr>
        <w:t xml:space="preserve"> drugiej rozpraw</w:t>
      </w:r>
      <w:r w:rsidR="0032353A">
        <w:rPr>
          <w:lang w:val="pl"/>
        </w:rPr>
        <w:t>ie</w:t>
      </w:r>
      <w:r>
        <w:rPr>
          <w:lang w:val="pl"/>
        </w:rPr>
        <w:t xml:space="preserve">, sąd okręgowy </w:t>
      </w:r>
      <w:r w:rsidR="0032353A">
        <w:rPr>
          <w:lang w:val="pl"/>
        </w:rPr>
        <w:t>dopuścił dowód z dodatkowej opinii</w:t>
      </w:r>
      <w:r>
        <w:rPr>
          <w:lang w:val="pl"/>
        </w:rPr>
        <w:t xml:space="preserve">, </w:t>
      </w:r>
      <w:r w:rsidR="0032353A">
        <w:rPr>
          <w:lang w:val="pl"/>
        </w:rPr>
        <w:t>wyznaczając</w:t>
      </w:r>
      <w:r>
        <w:rPr>
          <w:lang w:val="pl"/>
        </w:rPr>
        <w:t xml:space="preserve"> termin czternast</w:t>
      </w:r>
      <w:r w:rsidR="0032353A">
        <w:rPr>
          <w:lang w:val="pl"/>
        </w:rPr>
        <w:t>u</w:t>
      </w:r>
      <w:r>
        <w:rPr>
          <w:lang w:val="pl"/>
        </w:rPr>
        <w:t xml:space="preserve"> dni na jej przedłożenie.</w:t>
      </w:r>
    </w:p>
    <w:p w:rsidR="007A4BD5" w:rsidRPr="004752DA" w:rsidRDefault="007A4BD5" w:rsidP="007809E4">
      <w:pPr>
        <w:pStyle w:val="ECHRPara"/>
        <w:rPr>
          <w:lang w:val="pl-PL"/>
        </w:rPr>
      </w:pPr>
      <w:r>
        <w:rPr>
          <w:lang w:val="pl"/>
        </w:rPr>
        <w:t>13.  </w:t>
      </w:r>
      <w:r w:rsidR="0032353A">
        <w:rPr>
          <w:lang w:val="pl"/>
        </w:rPr>
        <w:t>Wyrokiem</w:t>
      </w:r>
      <w:r>
        <w:rPr>
          <w:lang w:val="pl"/>
        </w:rPr>
        <w:t xml:space="preserve"> z dnia 3 grudnia 2008 r. Sąd Okręgowy oddalił apelację </w:t>
      </w:r>
      <w:r w:rsidR="0032353A">
        <w:rPr>
          <w:lang w:val="pl"/>
        </w:rPr>
        <w:t>skarżącej</w:t>
      </w:r>
      <w:r>
        <w:rPr>
          <w:lang w:val="pl"/>
        </w:rPr>
        <w:t xml:space="preserve"> i częściowo uwzględnił apelację jej byłego małżonka.</w:t>
      </w:r>
    </w:p>
    <w:p w:rsidR="007A4BD5" w:rsidRPr="004752DA" w:rsidRDefault="007A4BD5" w:rsidP="007809E4">
      <w:pPr>
        <w:pStyle w:val="ECHRPara"/>
        <w:rPr>
          <w:lang w:val="pl-PL"/>
        </w:rPr>
      </w:pPr>
      <w:r>
        <w:rPr>
          <w:lang w:val="pl"/>
        </w:rPr>
        <w:t>14.  W dniu 3 marca 2009 r. Rzecznik Praw Obywatelskich odmówił wniesienia skargi kasacyjnej w imieniu i na rzecz strony skarżącej.</w:t>
      </w:r>
    </w:p>
    <w:p w:rsidR="007A4BD5" w:rsidRPr="004752DA" w:rsidRDefault="007A4BD5" w:rsidP="007809E4">
      <w:pPr>
        <w:pStyle w:val="ECHRHeading3"/>
        <w:rPr>
          <w:lang w:val="pl-PL"/>
        </w:rPr>
      </w:pPr>
      <w:r>
        <w:rPr>
          <w:bCs w:val="0"/>
          <w:iCs/>
          <w:lang w:val="pl"/>
        </w:rPr>
        <w:t>2.  Postępowanie w przedmiocie odzyskiwania wierzytelności alimentacyjnych</w:t>
      </w:r>
    </w:p>
    <w:p w:rsidR="007A4BD5" w:rsidRPr="004752DA" w:rsidRDefault="007A4BD5" w:rsidP="007809E4">
      <w:pPr>
        <w:pStyle w:val="ECHRPara"/>
        <w:rPr>
          <w:lang w:val="pl-PL"/>
        </w:rPr>
      </w:pPr>
      <w:r>
        <w:rPr>
          <w:lang w:val="pl"/>
        </w:rPr>
        <w:t xml:space="preserve">15.  Dnia 3 grudnia 2001 r., strona skarżąca zwróciła się do komornika sądowego o </w:t>
      </w:r>
      <w:r w:rsidR="00536E4F">
        <w:rPr>
          <w:lang w:val="pl"/>
        </w:rPr>
        <w:t>wszczęcie</w:t>
      </w:r>
      <w:r>
        <w:rPr>
          <w:lang w:val="pl"/>
        </w:rPr>
        <w:t xml:space="preserve"> postępowania</w:t>
      </w:r>
      <w:r w:rsidR="00536E4F">
        <w:rPr>
          <w:lang w:val="pl"/>
        </w:rPr>
        <w:t xml:space="preserve"> egzekucyjnego</w:t>
      </w:r>
      <w:r>
        <w:rPr>
          <w:lang w:val="pl"/>
        </w:rPr>
        <w:t xml:space="preserve"> w przedmiocie odzyskania świadczeń alimentacyjnych w łącznej miesięcznej kwocie 2 500 polskich złotych (PLN) należnych jej oraz ich synowi</w:t>
      </w:r>
      <w:r w:rsidR="00536E4F">
        <w:rPr>
          <w:lang w:val="pl"/>
        </w:rPr>
        <w:t xml:space="preserve"> (drugiemu ze </w:t>
      </w:r>
      <w:r w:rsidR="00CE3625">
        <w:rPr>
          <w:lang w:val="pl"/>
        </w:rPr>
        <w:t>skarżących</w:t>
      </w:r>
      <w:r w:rsidR="00536E4F">
        <w:rPr>
          <w:lang w:val="pl"/>
        </w:rPr>
        <w:t>)</w:t>
      </w:r>
      <w:r>
        <w:rPr>
          <w:lang w:val="pl"/>
        </w:rPr>
        <w:t xml:space="preserve"> ze strony jej byłego męża, na mocy postanowienia </w:t>
      </w:r>
      <w:r w:rsidR="00536E4F">
        <w:rPr>
          <w:lang w:val="pl"/>
        </w:rPr>
        <w:br/>
      </w:r>
      <w:r>
        <w:rPr>
          <w:lang w:val="pl"/>
        </w:rPr>
        <w:t xml:space="preserve">o </w:t>
      </w:r>
      <w:r w:rsidR="00536E4F">
        <w:rPr>
          <w:lang w:val="pl"/>
        </w:rPr>
        <w:t>zabezpieczeniu</w:t>
      </w:r>
      <w:r>
        <w:rPr>
          <w:lang w:val="pl"/>
        </w:rPr>
        <w:t xml:space="preserve"> wydanego w dniu 2 października 2001 r. w toku postępowania rozwodowego.</w:t>
      </w:r>
    </w:p>
    <w:p w:rsidR="00032211" w:rsidRPr="004752DA" w:rsidRDefault="007A4BD5" w:rsidP="007809E4">
      <w:pPr>
        <w:pStyle w:val="ECHRPara"/>
        <w:rPr>
          <w:lang w:val="pl-PL"/>
        </w:rPr>
      </w:pPr>
      <w:r>
        <w:rPr>
          <w:lang w:val="pl"/>
        </w:rPr>
        <w:t xml:space="preserve">16.  Dnia 5 grudnia 2001 r., komornik sądowy dokonał zajęcia wynagrodzenia byłego małżonka </w:t>
      </w:r>
      <w:r w:rsidR="00536E4F">
        <w:rPr>
          <w:lang w:val="pl"/>
        </w:rPr>
        <w:t>skarżącej</w:t>
      </w:r>
      <w:r>
        <w:rPr>
          <w:lang w:val="pl"/>
        </w:rPr>
        <w:t xml:space="preserve"> w granicach określonych </w:t>
      </w:r>
      <w:r w:rsidR="00536E4F">
        <w:rPr>
          <w:lang w:val="pl"/>
        </w:rPr>
        <w:br/>
      </w:r>
      <w:r>
        <w:rPr>
          <w:lang w:val="pl"/>
        </w:rPr>
        <w:t xml:space="preserve">w ustawie, ustalonych w wysokości 60% </w:t>
      </w:r>
      <w:r w:rsidR="00536E4F">
        <w:rPr>
          <w:lang w:val="pl"/>
        </w:rPr>
        <w:t xml:space="preserve">jego </w:t>
      </w:r>
      <w:r>
        <w:rPr>
          <w:lang w:val="pl"/>
        </w:rPr>
        <w:t>wartości.</w:t>
      </w:r>
    </w:p>
    <w:p w:rsidR="007A4BD5" w:rsidRPr="004752DA" w:rsidRDefault="007A4BD5" w:rsidP="007809E4">
      <w:pPr>
        <w:pStyle w:val="ECHRPara"/>
        <w:rPr>
          <w:lang w:val="pl-PL"/>
        </w:rPr>
      </w:pPr>
      <w:r>
        <w:rPr>
          <w:lang w:val="pl"/>
        </w:rPr>
        <w:t xml:space="preserve">17.  Zajęte kwoty okazały się niewystarczające, aby pokryć </w:t>
      </w:r>
      <w:r w:rsidR="00CE3625">
        <w:rPr>
          <w:lang w:val="pl"/>
        </w:rPr>
        <w:t>całe zobowiązanie</w:t>
      </w:r>
      <w:r>
        <w:rPr>
          <w:lang w:val="pl"/>
        </w:rPr>
        <w:t xml:space="preserve">. </w:t>
      </w:r>
      <w:r w:rsidR="00CE3625">
        <w:rPr>
          <w:lang w:val="pl"/>
        </w:rPr>
        <w:t>W d</w:t>
      </w:r>
      <w:r>
        <w:rPr>
          <w:lang w:val="pl"/>
        </w:rPr>
        <w:t>ni</w:t>
      </w:r>
      <w:r w:rsidR="00CE3625">
        <w:rPr>
          <w:lang w:val="pl"/>
        </w:rPr>
        <w:t>u</w:t>
      </w:r>
      <w:r>
        <w:rPr>
          <w:lang w:val="pl"/>
        </w:rPr>
        <w:t xml:space="preserve"> 18 lutego 2002 r., strona skarżąca zwróciła się do tego samego komornika sądowego </w:t>
      </w:r>
      <w:r w:rsidR="006D1F2D">
        <w:rPr>
          <w:lang w:val="pl"/>
        </w:rPr>
        <w:t>o przeprowadzenie</w:t>
      </w:r>
      <w:r>
        <w:rPr>
          <w:lang w:val="pl"/>
        </w:rPr>
        <w:t xml:space="preserve"> egzekucji </w:t>
      </w:r>
      <w:r w:rsidR="006D1F2D">
        <w:rPr>
          <w:lang w:val="pl"/>
        </w:rPr>
        <w:br/>
      </w:r>
      <w:r>
        <w:rPr>
          <w:lang w:val="pl"/>
        </w:rPr>
        <w:t xml:space="preserve">z nieruchomości znajdującej się w N.L., której współwłaścicielami </w:t>
      </w:r>
      <w:r w:rsidR="006D1F2D">
        <w:rPr>
          <w:lang w:val="pl"/>
        </w:rPr>
        <w:t>na dzień wniesienia wniosku była</w:t>
      </w:r>
      <w:r>
        <w:rPr>
          <w:lang w:val="pl"/>
        </w:rPr>
        <w:t xml:space="preserve"> skarżąca i jej były małżonek.</w:t>
      </w:r>
    </w:p>
    <w:p w:rsidR="007A4BD5" w:rsidRPr="004752DA" w:rsidRDefault="007A4BD5" w:rsidP="007809E4">
      <w:pPr>
        <w:pStyle w:val="ECHRPara"/>
        <w:rPr>
          <w:lang w:val="pl-PL"/>
        </w:rPr>
      </w:pPr>
      <w:r>
        <w:rPr>
          <w:lang w:val="pl"/>
        </w:rPr>
        <w:t>18.  </w:t>
      </w:r>
      <w:r w:rsidR="006D1F2D">
        <w:rPr>
          <w:lang w:val="pl"/>
        </w:rPr>
        <w:t>W d</w:t>
      </w:r>
      <w:r>
        <w:rPr>
          <w:lang w:val="pl"/>
        </w:rPr>
        <w:t xml:space="preserve">nia 8 marca 2002 r., komornik sądowy wezwał </w:t>
      </w:r>
      <w:r w:rsidR="006D1F2D">
        <w:rPr>
          <w:lang w:val="pl"/>
        </w:rPr>
        <w:t>wnioskodawczynię</w:t>
      </w:r>
      <w:r>
        <w:rPr>
          <w:lang w:val="pl"/>
        </w:rPr>
        <w:t xml:space="preserve"> do przedstawienia w terminie czternastu dni stanowiska w sprawie ewentualnej sprzedaży tej nieruchomości.</w:t>
      </w:r>
    </w:p>
    <w:p w:rsidR="007A4BD5" w:rsidRPr="004752DA" w:rsidRDefault="007A4BD5" w:rsidP="007809E4">
      <w:pPr>
        <w:pStyle w:val="ECHRPara"/>
        <w:rPr>
          <w:lang w:val="pl-PL"/>
        </w:rPr>
      </w:pPr>
      <w:r>
        <w:rPr>
          <w:lang w:val="pl"/>
        </w:rPr>
        <w:lastRenderedPageBreak/>
        <w:t>19.  </w:t>
      </w:r>
      <w:r w:rsidR="006D1F2D">
        <w:rPr>
          <w:lang w:val="pl"/>
        </w:rPr>
        <w:t>W dniu</w:t>
      </w:r>
      <w:r>
        <w:rPr>
          <w:lang w:val="pl"/>
        </w:rPr>
        <w:t xml:space="preserve"> 2 lipca 2002 r., właściwy organ (</w:t>
      </w:r>
      <w:r>
        <w:rPr>
          <w:i/>
          <w:iCs/>
          <w:lang w:val="pl"/>
        </w:rPr>
        <w:t>Fundusz Alimentacyjny</w:t>
      </w:r>
      <w:r>
        <w:rPr>
          <w:lang w:val="pl"/>
        </w:rPr>
        <w:t>) uwzględnił wniosek o pokrycie zaległych świadczeń, złożony przez komornika sądowego w imieniu syna skarżącej. Zgodnie z informacjami dostarczonymi przez stronę skarżącą, do ma</w:t>
      </w:r>
      <w:r w:rsidR="006A28C9">
        <w:rPr>
          <w:lang w:val="pl"/>
        </w:rPr>
        <w:t>ja</w:t>
      </w:r>
      <w:r>
        <w:rPr>
          <w:lang w:val="pl"/>
        </w:rPr>
        <w:t xml:space="preserve"> 2004 r. wspomniany organ wypłacał jej miesięcznie kwotę w wysokości około 618 PLN.</w:t>
      </w:r>
    </w:p>
    <w:p w:rsidR="002E785F" w:rsidRPr="004752DA" w:rsidRDefault="007A4BD5" w:rsidP="007809E4">
      <w:pPr>
        <w:pStyle w:val="ECHRPara"/>
        <w:rPr>
          <w:lang w:val="pl-PL"/>
        </w:rPr>
      </w:pPr>
      <w:r>
        <w:rPr>
          <w:lang w:val="pl"/>
        </w:rPr>
        <w:t>20.  Na podstawie wyroku orzekającego rozwód między skarżącą a jej byłym mężem z dnia 25 lutego 2003 r., ten ostatni był zobowiązany do zapłaty na rzecz skarżących miesięcznego świadczenia alimentacyjnego w wysokości 2 500 PLN.</w:t>
      </w:r>
    </w:p>
    <w:p w:rsidR="007A4BD5" w:rsidRPr="004752DA" w:rsidRDefault="007A4BD5" w:rsidP="007809E4">
      <w:pPr>
        <w:pStyle w:val="ECHRPara"/>
        <w:rPr>
          <w:lang w:val="pl-PL"/>
        </w:rPr>
      </w:pPr>
      <w:r>
        <w:rPr>
          <w:lang w:val="pl"/>
        </w:rPr>
        <w:t>21.  Zważywszy na lokalizację przedmiotowej nieruchomości objętej egzekucją, w sierpniu 2003 r. komornik uznał się za niewłaściwego miejscowo do przeprowadzenia postępowania. W wyniku wspomnianej decyzji, we wrześniu 2003 r. akta zostały prz</w:t>
      </w:r>
      <w:r w:rsidR="00DD5D80">
        <w:rPr>
          <w:lang w:val="pl"/>
        </w:rPr>
        <w:t>ekazane</w:t>
      </w:r>
      <w:r>
        <w:rPr>
          <w:lang w:val="pl"/>
        </w:rPr>
        <w:t xml:space="preserve"> innemu komornikowi sądowemu („drugi komornik").</w:t>
      </w:r>
    </w:p>
    <w:p w:rsidR="007A4BD5" w:rsidRPr="004752DA" w:rsidRDefault="007A4BD5" w:rsidP="007809E4">
      <w:pPr>
        <w:pStyle w:val="ECHRPara"/>
        <w:rPr>
          <w:lang w:val="pl-PL"/>
        </w:rPr>
      </w:pPr>
      <w:r>
        <w:rPr>
          <w:lang w:val="pl"/>
        </w:rPr>
        <w:t>22.  </w:t>
      </w:r>
      <w:r w:rsidRPr="00844907">
        <w:rPr>
          <w:lang w:val="pl"/>
        </w:rPr>
        <w:t xml:space="preserve">Dnia 15 października 2003 r., </w:t>
      </w:r>
      <w:r>
        <w:rPr>
          <w:lang w:val="pl"/>
        </w:rPr>
        <w:t xml:space="preserve">drugi komornik sądowy poinformował stronę skarżącą, że bez uprzedniego wpisu do księgi wieczystej </w:t>
      </w:r>
      <w:r w:rsidR="009F410E">
        <w:rPr>
          <w:lang w:val="pl"/>
        </w:rPr>
        <w:t>aktualizujące</w:t>
      </w:r>
      <w:r w:rsidR="00E90568">
        <w:rPr>
          <w:lang w:val="pl"/>
        </w:rPr>
        <w:t>go</w:t>
      </w:r>
      <w:r>
        <w:rPr>
          <w:lang w:val="pl"/>
        </w:rPr>
        <w:t xml:space="preserve"> </w:t>
      </w:r>
      <w:r w:rsidR="008F7C78">
        <w:rPr>
          <w:lang w:val="pl"/>
        </w:rPr>
        <w:t>wysokość udziałów we współwłasności</w:t>
      </w:r>
      <w:r>
        <w:rPr>
          <w:lang w:val="pl"/>
        </w:rPr>
        <w:t xml:space="preserve"> wyżej wymienionej nieruchomości po </w:t>
      </w:r>
      <w:r w:rsidR="009F410E">
        <w:rPr>
          <w:lang w:val="pl"/>
        </w:rPr>
        <w:t>rozwodzie</w:t>
      </w:r>
      <w:r>
        <w:rPr>
          <w:lang w:val="pl"/>
        </w:rPr>
        <w:t xml:space="preserve">, środki egzekucyjne nie mogły być zastosowane. Dnia 23 października 2003 r., </w:t>
      </w:r>
      <w:r w:rsidR="009F410E">
        <w:rPr>
          <w:lang w:val="pl"/>
        </w:rPr>
        <w:t>wnioskodawczyni</w:t>
      </w:r>
      <w:r>
        <w:rPr>
          <w:lang w:val="pl"/>
        </w:rPr>
        <w:t xml:space="preserve"> poinformowała drugiego komornika, że podjęła odpowiednie działania w celu dokonania wspomnianego wpisu.</w:t>
      </w:r>
    </w:p>
    <w:p w:rsidR="00032211" w:rsidRPr="004752DA" w:rsidRDefault="007A4BD5" w:rsidP="007809E4">
      <w:pPr>
        <w:pStyle w:val="ECHRPara"/>
        <w:rPr>
          <w:lang w:val="pl-PL"/>
        </w:rPr>
      </w:pPr>
      <w:r>
        <w:rPr>
          <w:lang w:val="pl"/>
        </w:rPr>
        <w:t>23.  Wyrokiem Sądu Rejonowego w Warszawie z dnia 4 grudnia 2003 r., były mąż strony zainteresowanej został  zobowiązany do wypłaty na rzecz stron skarżących zaległych świadczeń alimentacyjnych należnych im za okres od dnia 1 stycznia 2000 r. do dnia 30 września 2001 r. Łączna miesięczna kwota przedmiotowego świadczenia alimentacyjnego wynosiła 1500 PLN.</w:t>
      </w:r>
    </w:p>
    <w:p w:rsidR="00032211" w:rsidRPr="004752DA" w:rsidRDefault="007A4BD5" w:rsidP="007809E4">
      <w:pPr>
        <w:pStyle w:val="ECHRPara"/>
        <w:rPr>
          <w:lang w:val="pl-PL"/>
        </w:rPr>
      </w:pPr>
      <w:r>
        <w:rPr>
          <w:lang w:val="pl"/>
        </w:rPr>
        <w:t xml:space="preserve">24.  Dnia 19 stycznia 2004 r., strona skarżąca wniosła o dokonanie przez </w:t>
      </w:r>
      <w:r w:rsidR="002151E7">
        <w:rPr>
          <w:lang w:val="pl"/>
        </w:rPr>
        <w:t>biegłego</w:t>
      </w:r>
      <w:r>
        <w:rPr>
          <w:lang w:val="pl"/>
        </w:rPr>
        <w:t xml:space="preserve"> oceny wartości nieruchomości objętej egzekucją i zażądała od drugiego komornika sądowego wszczęcia dochodzenia celem ustalenia ruchomości podlegających zajęciu. Dnia 19 maja 2004 r., strona skarżąca ponownie złożyła swój wniosek.</w:t>
      </w:r>
    </w:p>
    <w:p w:rsidR="007A4BD5" w:rsidRPr="004752DA" w:rsidRDefault="007A4BD5" w:rsidP="007809E4">
      <w:pPr>
        <w:pStyle w:val="ECHRPara"/>
        <w:rPr>
          <w:lang w:val="pl-PL"/>
        </w:rPr>
      </w:pPr>
      <w:r>
        <w:rPr>
          <w:lang w:val="pl"/>
        </w:rPr>
        <w:t>25.  W międzyczasie, w dniach 16 i 22 stycznia 2004 r., drugi komornik poinformował dłużnika o zajęciu jego wynagrodzenia i wezwał go do dokonania wypłaty na rzecz stron skarżących należnych im zaległych świadczeń alimentacyjnych w kwocie wynoszącej ponad 56 000 zł, pod rygorem zajęcia wyżej wspomnianej nieruchomości.</w:t>
      </w:r>
    </w:p>
    <w:p w:rsidR="00032211" w:rsidRPr="004752DA" w:rsidRDefault="007A4BD5" w:rsidP="007809E4">
      <w:pPr>
        <w:pStyle w:val="ECHRPara"/>
        <w:rPr>
          <w:lang w:val="pl-PL"/>
        </w:rPr>
      </w:pPr>
      <w:r>
        <w:rPr>
          <w:lang w:val="pl"/>
        </w:rPr>
        <w:t>26.  Dnia 29 kwietnia 2004 r., strona skarżąca została poinformowana o dokonanym dwa miesiące wcześniej wpisie do księgi wieczystej dotyczącym zastrzeżenia w przedmiocie wszczęcia postępowania egzekucyjnego wobec wspomnianej nieruchomości.</w:t>
      </w:r>
    </w:p>
    <w:p w:rsidR="007A4BD5" w:rsidRPr="004752DA" w:rsidRDefault="007A4BD5" w:rsidP="007809E4">
      <w:pPr>
        <w:pStyle w:val="ECHRPara"/>
        <w:rPr>
          <w:lang w:val="pl-PL"/>
        </w:rPr>
      </w:pPr>
      <w:r>
        <w:rPr>
          <w:lang w:val="pl"/>
        </w:rPr>
        <w:t xml:space="preserve">27.  Dnia 8 października 2004 r., strona skarżąca wniosła do </w:t>
      </w:r>
      <w:r w:rsidR="0080150C">
        <w:rPr>
          <w:lang w:val="pl"/>
        </w:rPr>
        <w:t>sądu okręgowego</w:t>
      </w:r>
      <w:r>
        <w:rPr>
          <w:lang w:val="pl"/>
        </w:rPr>
        <w:t xml:space="preserve"> skargę w przedmiocie nadmiernego czasu trwania postępowania. Strona skarżąca zażądała kwoty w wysokości 10 000 PLN </w:t>
      </w:r>
      <w:r>
        <w:rPr>
          <w:lang w:val="pl"/>
        </w:rPr>
        <w:lastRenderedPageBreak/>
        <w:t xml:space="preserve">tytułem zadośćuczynienia za szkody poniesione przez nią w jej przekonaniu w wyniku opóźnień w postępowaniu, i zwróciła się do </w:t>
      </w:r>
      <w:r w:rsidR="00C62C8B">
        <w:rPr>
          <w:lang w:val="pl"/>
        </w:rPr>
        <w:t>s</w:t>
      </w:r>
      <w:r>
        <w:rPr>
          <w:lang w:val="pl"/>
        </w:rPr>
        <w:t xml:space="preserve">ądu </w:t>
      </w:r>
      <w:r w:rsidR="00C62C8B">
        <w:rPr>
          <w:lang w:val="pl"/>
        </w:rPr>
        <w:t>o</w:t>
      </w:r>
      <w:r>
        <w:rPr>
          <w:lang w:val="pl"/>
        </w:rPr>
        <w:t>kręgowego z wnioskiem o wskazanie drugiemu komornikowi środków, które mogłyby przyspieszyć postępowanie. Strona skarżąca skarżyła się, między innymi, na brak reakcji drugiego komornika na jej wnioski, o których mowa w punkcie 24 powyżej, oraz na wysokość sumy odzyskanych płatności,</w:t>
      </w:r>
      <w:r w:rsidR="00C62C8B">
        <w:rPr>
          <w:lang w:val="pl"/>
        </w:rPr>
        <w:t xml:space="preserve"> która wynosiła wówczas około 5</w:t>
      </w:r>
      <w:r>
        <w:rPr>
          <w:lang w:val="pl"/>
        </w:rPr>
        <w:t>500 PLN oraz którą uważała za niewystarczającą.</w:t>
      </w:r>
    </w:p>
    <w:p w:rsidR="007A4BD5" w:rsidRPr="004752DA" w:rsidRDefault="007A4BD5" w:rsidP="007809E4">
      <w:pPr>
        <w:pStyle w:val="ECHRPara"/>
        <w:rPr>
          <w:lang w:val="pl-PL"/>
        </w:rPr>
      </w:pPr>
      <w:r>
        <w:rPr>
          <w:lang w:val="pl"/>
        </w:rPr>
        <w:t xml:space="preserve">Dnia 25 listopada 2004 r., </w:t>
      </w:r>
      <w:r w:rsidR="0080150C">
        <w:rPr>
          <w:lang w:val="pl"/>
        </w:rPr>
        <w:t>sąd</w:t>
      </w:r>
      <w:r>
        <w:rPr>
          <w:lang w:val="pl"/>
        </w:rPr>
        <w:t xml:space="preserve"> </w:t>
      </w:r>
      <w:r w:rsidR="0080150C">
        <w:rPr>
          <w:lang w:val="pl"/>
        </w:rPr>
        <w:t xml:space="preserve">okręgowego </w:t>
      </w:r>
      <w:r>
        <w:rPr>
          <w:lang w:val="pl"/>
        </w:rPr>
        <w:t>oddalił skargę strony skarżącej. Rozpatrując czas trwania postępowania licząc od momentu przydzielenia sprawy drugiemu komornikowi, sąd uznał, że wymóg zachowania rozsądnego terminu został spełniony. W tym kontekście, sąd zauważył co następuje:</w:t>
      </w:r>
    </w:p>
    <w:p w:rsidR="007A4BD5" w:rsidRPr="004752DA" w:rsidRDefault="007A4BD5" w:rsidP="007809E4">
      <w:pPr>
        <w:pStyle w:val="ECHRPara"/>
        <w:rPr>
          <w:lang w:val="pl-PL"/>
        </w:rPr>
      </w:pPr>
      <w:r>
        <w:rPr>
          <w:lang w:val="pl"/>
        </w:rPr>
        <w:t>- z uwagi na niewielką kwotę wynagrodzenia dłużnika, zajęcia dokonane przez komornika na wspomnianym wynagrodzeniu były niewystarczające, aby pokryć wszystkie należne kwoty;</w:t>
      </w:r>
    </w:p>
    <w:p w:rsidR="007A4BD5" w:rsidRPr="004752DA" w:rsidRDefault="007A4BD5" w:rsidP="007809E4">
      <w:pPr>
        <w:pStyle w:val="ECHRPara"/>
        <w:rPr>
          <w:lang w:val="pl-PL"/>
        </w:rPr>
      </w:pPr>
      <w:r>
        <w:rPr>
          <w:lang w:val="pl"/>
        </w:rPr>
        <w:t>- nawet jeśli strona skarżąca nadal nie przedłożyła drugiemu komornikowi sądowemu wymaganych zaświadczeń z ksiąg wieczystych, ten ostatni podjął kroki w celu wdrożenia środków egzekucyjnych w odniesieniu do nieruchomości objętej postępowaniem egzekucyjnym;</w:t>
      </w:r>
    </w:p>
    <w:p w:rsidR="007A4BD5" w:rsidRPr="004752DA" w:rsidRDefault="007A4BD5" w:rsidP="007809E4">
      <w:pPr>
        <w:pStyle w:val="ECHRPara"/>
        <w:rPr>
          <w:lang w:val="pl-PL"/>
        </w:rPr>
      </w:pPr>
      <w:r>
        <w:rPr>
          <w:lang w:val="pl"/>
        </w:rPr>
        <w:t xml:space="preserve">- zarzuty strony skarżącej dotyczące niezachowania należytej staranności przez </w:t>
      </w:r>
      <w:r w:rsidR="00DF2B36">
        <w:rPr>
          <w:lang w:val="pl"/>
        </w:rPr>
        <w:t>drugi organ egzekucyjny</w:t>
      </w:r>
      <w:r>
        <w:rPr>
          <w:lang w:val="pl"/>
        </w:rPr>
        <w:t xml:space="preserve"> były bezzasadne, ponieważ komornik faktycznie poinformował zainteresowaną stronę o powodach, dla których odmówił dokonania zajęcia wynagrodzenia obecnej żony dłużnika, </w:t>
      </w:r>
      <w:r w:rsidR="00F76668">
        <w:rPr>
          <w:lang w:val="pl"/>
        </w:rPr>
        <w:br/>
      </w:r>
      <w:r>
        <w:rPr>
          <w:lang w:val="pl"/>
        </w:rPr>
        <w:t>a ponadto wskazał zainteresowanej stronie środki, które mogłaby zastosować, aby wymusić na nim ujawnienie składników swojego majątku; drugi komornik wyjaśnił stronie skarżącej, że wobec nieudzielenia przez nią dalszych szczegółowych informacji dotyczących innego mienia, które mogłoby być przedmiotem środków egzekucyjnych, te ostatnie nie mogą zostać wdrożone; na koniec wreszcie, komornik ten stale kontrolował zmiany w wysokości wynagrodzenia dłużnika;</w:t>
      </w:r>
    </w:p>
    <w:p w:rsidR="007A4BD5" w:rsidRPr="004752DA" w:rsidRDefault="007A4BD5" w:rsidP="007809E4">
      <w:pPr>
        <w:pStyle w:val="ECHRPara"/>
        <w:rPr>
          <w:lang w:val="pl-PL"/>
        </w:rPr>
      </w:pPr>
      <w:r>
        <w:rPr>
          <w:lang w:val="pl"/>
        </w:rPr>
        <w:t xml:space="preserve">- w oczekiwaniu na wynik postępowania w sprawie </w:t>
      </w:r>
      <w:r w:rsidR="00F76668">
        <w:rPr>
          <w:lang w:val="pl"/>
        </w:rPr>
        <w:t>podziału wspólności</w:t>
      </w:r>
      <w:r>
        <w:rPr>
          <w:lang w:val="pl"/>
        </w:rPr>
        <w:t xml:space="preserve"> majątkowej skarżącej i jej byłego małżonka, cały majątek ruchomy mogący być przedmiotem przymusowych środków wykonawczych znajdował się w posiadaniu </w:t>
      </w:r>
      <w:r w:rsidR="000018FE">
        <w:rPr>
          <w:lang w:val="pl"/>
        </w:rPr>
        <w:t>skarżącej</w:t>
      </w:r>
      <w:r>
        <w:rPr>
          <w:lang w:val="pl"/>
        </w:rPr>
        <w:t>;</w:t>
      </w:r>
    </w:p>
    <w:p w:rsidR="007A4BD5" w:rsidRPr="004752DA" w:rsidRDefault="007A4BD5" w:rsidP="007809E4">
      <w:pPr>
        <w:pStyle w:val="ECHRPara"/>
        <w:rPr>
          <w:lang w:val="pl-PL"/>
        </w:rPr>
      </w:pPr>
      <w:r>
        <w:rPr>
          <w:lang w:val="pl"/>
        </w:rPr>
        <w:t xml:space="preserve">- wobec braku wcześniejszego wpisu do księgi wieczystej </w:t>
      </w:r>
      <w:r w:rsidR="000018FE">
        <w:rPr>
          <w:lang w:val="pl"/>
        </w:rPr>
        <w:t>aktualizującego wysokość udziałów</w:t>
      </w:r>
      <w:r>
        <w:rPr>
          <w:lang w:val="pl"/>
        </w:rPr>
        <w:t xml:space="preserve"> współwłaścicieli</w:t>
      </w:r>
      <w:r w:rsidR="00C024E4">
        <w:rPr>
          <w:lang w:val="pl"/>
        </w:rPr>
        <w:t xml:space="preserve"> we współwłasności</w:t>
      </w:r>
      <w:r>
        <w:rPr>
          <w:lang w:val="pl"/>
        </w:rPr>
        <w:t xml:space="preserve"> nieruchomości będącej przedmiotem egzekucji, skarga dotycząca tego postępowania była bezzasadna;</w:t>
      </w:r>
    </w:p>
    <w:p w:rsidR="007A4BD5" w:rsidRPr="004752DA" w:rsidRDefault="007A4BD5" w:rsidP="007809E4">
      <w:pPr>
        <w:pStyle w:val="ECHRPara"/>
        <w:rPr>
          <w:lang w:val="pl-PL"/>
        </w:rPr>
      </w:pPr>
      <w:r>
        <w:rPr>
          <w:lang w:val="pl"/>
        </w:rPr>
        <w:t xml:space="preserve">- drugi komornik przeprowadził dochodzenie w celu ustalenia majątku, środków finansowych i miejsca zamieszkania dłużnika; wniosek strony skarżącej w przedmiocie przeprowadzenia takiego dochodzenia na terenie nieruchomości należących do dłużnika, zajmowanych do celów prowadzenia działalności gospodarczej nie mógł zostać dopuszczony, </w:t>
      </w:r>
      <w:r>
        <w:rPr>
          <w:lang w:val="pl"/>
        </w:rPr>
        <w:lastRenderedPageBreak/>
        <w:t>ponieważ dłużnik ten ostatni nie był właścicielem przedmiotowych nieruchomości.</w:t>
      </w:r>
    </w:p>
    <w:p w:rsidR="007A4BD5" w:rsidRPr="004752DA" w:rsidRDefault="007A4BD5" w:rsidP="007809E4">
      <w:pPr>
        <w:pStyle w:val="ECHRPara"/>
        <w:rPr>
          <w:lang w:val="pl-PL"/>
        </w:rPr>
      </w:pPr>
      <w:r>
        <w:rPr>
          <w:lang w:val="pl"/>
        </w:rPr>
        <w:t xml:space="preserve">Dnia 30 listopada 2004 r., </w:t>
      </w:r>
      <w:r w:rsidR="002F278F">
        <w:rPr>
          <w:lang w:val="pl"/>
        </w:rPr>
        <w:t>zażalenie</w:t>
      </w:r>
      <w:r>
        <w:rPr>
          <w:lang w:val="pl"/>
        </w:rPr>
        <w:t xml:space="preserve"> strony skarżącej od decyzji z dnia 25 listopada 2004 r. zostało odrzucone.</w:t>
      </w:r>
    </w:p>
    <w:p w:rsidR="00032211" w:rsidRPr="004752DA" w:rsidRDefault="007A4BD5" w:rsidP="007809E4">
      <w:pPr>
        <w:pStyle w:val="ECHRPara"/>
        <w:rPr>
          <w:lang w:val="pl-PL"/>
        </w:rPr>
      </w:pPr>
      <w:r>
        <w:rPr>
          <w:lang w:val="pl"/>
        </w:rPr>
        <w:t xml:space="preserve">28.  Dnia 2 listopada 2004 r., </w:t>
      </w:r>
      <w:r w:rsidR="002F278F">
        <w:rPr>
          <w:lang w:val="pl"/>
        </w:rPr>
        <w:t>s</w:t>
      </w:r>
      <w:r>
        <w:rPr>
          <w:lang w:val="pl"/>
        </w:rPr>
        <w:t xml:space="preserve">ąd </w:t>
      </w:r>
      <w:r w:rsidR="002F278F">
        <w:rPr>
          <w:lang w:val="pl"/>
        </w:rPr>
        <w:t>r</w:t>
      </w:r>
      <w:r>
        <w:rPr>
          <w:lang w:val="pl"/>
        </w:rPr>
        <w:t xml:space="preserve">ejonowy odrzucił skargę wniesioną przez stronę skarżącą, skierowaną przeciwko drugiemu komornikowi, argumentując to tym, że zainteresowana strona wskazała w niej na niewystarczalność odzyskanych kwot, a nie na ewentualne nieprawidłowości. Tymczasem, </w:t>
      </w:r>
      <w:r w:rsidR="002F278F">
        <w:rPr>
          <w:lang w:val="pl"/>
        </w:rPr>
        <w:t>s</w:t>
      </w:r>
      <w:r>
        <w:rPr>
          <w:lang w:val="pl"/>
        </w:rPr>
        <w:t xml:space="preserve">ąd wskazał komornikowi </w:t>
      </w:r>
      <w:r w:rsidR="00E27CA4">
        <w:rPr>
          <w:lang w:val="pl"/>
        </w:rPr>
        <w:t>czynności</w:t>
      </w:r>
      <w:r>
        <w:rPr>
          <w:lang w:val="pl"/>
        </w:rPr>
        <w:t xml:space="preserve">, które należy podjąć, aby przyspieszyć postępowanie i poprawić jego skuteczność. </w:t>
      </w:r>
      <w:r w:rsidR="00427DEC">
        <w:rPr>
          <w:lang w:val="pl"/>
        </w:rPr>
        <w:t>Zażalenie</w:t>
      </w:r>
      <w:r>
        <w:rPr>
          <w:lang w:val="pl"/>
        </w:rPr>
        <w:t xml:space="preserve"> strony skarżącej od tej decyzji zostało oddalone w dniu 17 lutego 2004 r.</w:t>
      </w:r>
    </w:p>
    <w:p w:rsidR="007A4BD5" w:rsidRPr="004752DA" w:rsidRDefault="007A4BD5" w:rsidP="007809E4">
      <w:pPr>
        <w:pStyle w:val="ECHRPara"/>
        <w:rPr>
          <w:lang w:val="pl-PL"/>
        </w:rPr>
      </w:pPr>
      <w:r>
        <w:rPr>
          <w:lang w:val="pl"/>
        </w:rPr>
        <w:t>29.  Dnia 23 grudnia 2004 r., strona skarżąca przekazała drugiemu komornikowi wymagane zaświadczenia.</w:t>
      </w:r>
    </w:p>
    <w:p w:rsidR="007A4BD5" w:rsidRPr="004752DA" w:rsidRDefault="007A4BD5" w:rsidP="007809E4">
      <w:pPr>
        <w:pStyle w:val="ECHRPara"/>
        <w:rPr>
          <w:lang w:val="pl-PL"/>
        </w:rPr>
      </w:pPr>
      <w:r>
        <w:rPr>
          <w:lang w:val="pl"/>
        </w:rPr>
        <w:t xml:space="preserve">30.  Dnia 3 marca 2005 r., do akt sprawy dołączono </w:t>
      </w:r>
      <w:r w:rsidR="00F70665">
        <w:rPr>
          <w:lang w:val="pl"/>
        </w:rPr>
        <w:t>operat szacunkowy</w:t>
      </w:r>
      <w:r>
        <w:rPr>
          <w:lang w:val="pl"/>
        </w:rPr>
        <w:t xml:space="preserve"> </w:t>
      </w:r>
      <w:r w:rsidR="00111310">
        <w:rPr>
          <w:lang w:val="pl"/>
        </w:rPr>
        <w:t xml:space="preserve">dotyczący </w:t>
      </w:r>
      <w:r>
        <w:rPr>
          <w:lang w:val="pl"/>
        </w:rPr>
        <w:t>wartoś</w:t>
      </w:r>
      <w:r w:rsidR="00111310">
        <w:rPr>
          <w:lang w:val="pl"/>
        </w:rPr>
        <w:t>ci</w:t>
      </w:r>
      <w:r>
        <w:rPr>
          <w:lang w:val="pl"/>
        </w:rPr>
        <w:t xml:space="preserve"> nieruchomości będącej przedmiotem post</w:t>
      </w:r>
      <w:r w:rsidR="00111310">
        <w:rPr>
          <w:lang w:val="pl"/>
        </w:rPr>
        <w:t>ępowania egzekucyjnego. S</w:t>
      </w:r>
      <w:r>
        <w:rPr>
          <w:lang w:val="pl"/>
        </w:rPr>
        <w:t xml:space="preserve">karżąca wniosła </w:t>
      </w:r>
      <w:r w:rsidR="00CB7CF9">
        <w:rPr>
          <w:lang w:val="pl"/>
        </w:rPr>
        <w:t>zażalenia na oszacowanie nieruchomości</w:t>
      </w:r>
      <w:r>
        <w:rPr>
          <w:lang w:val="pl"/>
        </w:rPr>
        <w:t xml:space="preserve">. Wspomniane </w:t>
      </w:r>
      <w:r w:rsidR="00CB7CF9">
        <w:rPr>
          <w:lang w:val="pl"/>
        </w:rPr>
        <w:t>zażalenia</w:t>
      </w:r>
      <w:r>
        <w:rPr>
          <w:lang w:val="pl"/>
        </w:rPr>
        <w:t xml:space="preserve"> zostały odrzucone odpowiednio w sierpniu i listopadzie 2005 r.</w:t>
      </w:r>
    </w:p>
    <w:p w:rsidR="007A4BD5" w:rsidRPr="004752DA" w:rsidRDefault="007A4BD5" w:rsidP="007809E4">
      <w:pPr>
        <w:pStyle w:val="ECHRPara"/>
        <w:rPr>
          <w:lang w:val="pl-PL"/>
        </w:rPr>
      </w:pPr>
      <w:r>
        <w:rPr>
          <w:lang w:val="pl"/>
        </w:rPr>
        <w:t xml:space="preserve">31.  Dnia 31 maja 2005 r., </w:t>
      </w:r>
      <w:r w:rsidR="00CB7CF9">
        <w:rPr>
          <w:lang w:val="pl"/>
        </w:rPr>
        <w:t>s</w:t>
      </w:r>
      <w:r>
        <w:rPr>
          <w:lang w:val="pl"/>
        </w:rPr>
        <w:t xml:space="preserve">ąd </w:t>
      </w:r>
      <w:r w:rsidR="00CB7CF9">
        <w:rPr>
          <w:lang w:val="pl"/>
        </w:rPr>
        <w:t>r</w:t>
      </w:r>
      <w:r>
        <w:rPr>
          <w:lang w:val="pl"/>
        </w:rPr>
        <w:t xml:space="preserve">ejonowy oddalił drugą skargę wniesioną przez skarżącą przeciwko drugiemu komornikowi. W swoim uzasadnieniu </w:t>
      </w:r>
      <w:r w:rsidR="00B638ED">
        <w:rPr>
          <w:lang w:val="pl"/>
        </w:rPr>
        <w:t>s</w:t>
      </w:r>
      <w:r>
        <w:rPr>
          <w:lang w:val="pl"/>
        </w:rPr>
        <w:t>ąd wskazał, że dochodzenie przeprowadzone przez wspomnianego komornika na terenie nieruchomości należących do dłużnika, zajmowanych do celów prowadzenia działalności gospodarczej nie pozwoliło na zidentyfikowanie jakiegokolwiek majątku, który mógłby zostać zajęty, że komornik, o którym mowa, podjął w odpowiednim terminie działania mające na celu sprzedaż nieruchomości i wreszcie, że strona skarżąca nie przedstawiła żadnych informacji, które umożliwiłyby komornikowi zidentyfikowanie mieszkania, którego najemcą, jej zdaniem, był ww. dłużnik.</w:t>
      </w:r>
    </w:p>
    <w:p w:rsidR="007A4BD5" w:rsidRPr="004752DA" w:rsidRDefault="007A4BD5" w:rsidP="007809E4">
      <w:pPr>
        <w:pStyle w:val="ECHRPara"/>
        <w:rPr>
          <w:lang w:val="pl-PL"/>
        </w:rPr>
      </w:pPr>
      <w:r>
        <w:rPr>
          <w:lang w:val="pl"/>
        </w:rPr>
        <w:t>32.</w:t>
      </w:r>
      <w:r>
        <w:rPr>
          <w:b/>
          <w:bCs/>
          <w:lang w:val="pl"/>
        </w:rPr>
        <w:t>  </w:t>
      </w:r>
      <w:r>
        <w:rPr>
          <w:lang w:val="pl"/>
        </w:rPr>
        <w:t xml:space="preserve">W lipcu 2005 r. </w:t>
      </w:r>
      <w:r w:rsidR="009E7B7F">
        <w:rPr>
          <w:lang w:val="pl"/>
        </w:rPr>
        <w:t>s</w:t>
      </w:r>
      <w:r>
        <w:rPr>
          <w:lang w:val="pl"/>
        </w:rPr>
        <w:t xml:space="preserve">ąd orzekł, że wyrok, o którym mowa w punkcie 23 powyżej jest wykonalny wobec obecnej żony dłużnika w granicach </w:t>
      </w:r>
      <w:r w:rsidR="009E7B7F">
        <w:rPr>
          <w:lang w:val="pl"/>
        </w:rPr>
        <w:t>wspólności majątkowej małżeńskiej</w:t>
      </w:r>
      <w:r>
        <w:rPr>
          <w:lang w:val="pl"/>
        </w:rPr>
        <w:t>.</w:t>
      </w:r>
    </w:p>
    <w:p w:rsidR="007A4BD5" w:rsidRPr="004752DA" w:rsidRDefault="007A4BD5" w:rsidP="007809E4">
      <w:pPr>
        <w:pStyle w:val="ECHRPara"/>
        <w:rPr>
          <w:lang w:val="pl-PL"/>
        </w:rPr>
      </w:pPr>
      <w:r>
        <w:rPr>
          <w:lang w:val="pl"/>
        </w:rPr>
        <w:t>33.  W grudniu 2005 r., drugi komornik podjął pewne czynności egzekucyjne: w szczególności poinformował pracodawcę dłużnika o zajęciu jego wynagrodzenia.</w:t>
      </w:r>
    </w:p>
    <w:p w:rsidR="007A4BD5" w:rsidRPr="004752DA" w:rsidRDefault="007A4BD5" w:rsidP="007809E4">
      <w:pPr>
        <w:pStyle w:val="ECHRPara"/>
        <w:rPr>
          <w:lang w:val="pl-PL"/>
        </w:rPr>
      </w:pPr>
      <w:r>
        <w:rPr>
          <w:lang w:val="pl"/>
        </w:rPr>
        <w:t xml:space="preserve">34.  W dniu 24 marca 2006 r., </w:t>
      </w:r>
      <w:r w:rsidR="009E7B7F">
        <w:rPr>
          <w:lang w:val="pl"/>
        </w:rPr>
        <w:t>sąd r</w:t>
      </w:r>
      <w:r>
        <w:rPr>
          <w:lang w:val="pl"/>
        </w:rPr>
        <w:t>ejonowy oddalił trzecią skargę wniesioną przez stronę skarżącą przeciwko drugiemu komornikowi sądowemu w przedmiocie zaskarżenia jego odmowy w zakresie zastosowania szybkich środków egzekucyjnych wobec majątku osobistego partnerki jej byłego małżonka.</w:t>
      </w:r>
    </w:p>
    <w:p w:rsidR="007A4BD5" w:rsidRPr="004752DA" w:rsidRDefault="007A4BD5" w:rsidP="007809E4">
      <w:pPr>
        <w:pStyle w:val="ECHRPara"/>
        <w:rPr>
          <w:lang w:val="pl-PL"/>
        </w:rPr>
      </w:pPr>
      <w:r>
        <w:rPr>
          <w:lang w:val="pl"/>
        </w:rPr>
        <w:t xml:space="preserve">35.  W dniu 9 sierpnia 2006 r. wyżej wspomniany komornik ogłosił </w:t>
      </w:r>
      <w:r w:rsidR="001872BC">
        <w:rPr>
          <w:lang w:val="pl"/>
        </w:rPr>
        <w:t>o</w:t>
      </w:r>
      <w:r>
        <w:rPr>
          <w:lang w:val="pl"/>
        </w:rPr>
        <w:t xml:space="preserve"> licytacji nieruchomości</w:t>
      </w:r>
      <w:r w:rsidR="00106020">
        <w:rPr>
          <w:lang w:val="pl"/>
        </w:rPr>
        <w:t xml:space="preserve"> przez publiczne obwieszczenie</w:t>
      </w:r>
      <w:r>
        <w:rPr>
          <w:lang w:val="pl"/>
        </w:rPr>
        <w:t xml:space="preserve">. </w:t>
      </w:r>
      <w:r w:rsidR="001872BC">
        <w:rPr>
          <w:lang w:val="pl"/>
        </w:rPr>
        <w:t>S</w:t>
      </w:r>
      <w:r>
        <w:rPr>
          <w:lang w:val="pl"/>
        </w:rPr>
        <w:t xml:space="preserve">karżąca wniosła </w:t>
      </w:r>
      <w:r>
        <w:rPr>
          <w:lang w:val="pl"/>
        </w:rPr>
        <w:lastRenderedPageBreak/>
        <w:t xml:space="preserve">skargę </w:t>
      </w:r>
      <w:r w:rsidR="001872BC">
        <w:rPr>
          <w:lang w:val="pl"/>
        </w:rPr>
        <w:t>na dokonane</w:t>
      </w:r>
      <w:r>
        <w:rPr>
          <w:lang w:val="pl"/>
        </w:rPr>
        <w:t xml:space="preserve"> </w:t>
      </w:r>
      <w:r w:rsidR="00106020">
        <w:rPr>
          <w:lang w:val="pl"/>
        </w:rPr>
        <w:t>obwieszczenie</w:t>
      </w:r>
      <w:r>
        <w:rPr>
          <w:lang w:val="pl"/>
        </w:rPr>
        <w:t>. Dnia 20 września 2006 r., jej skarga została oddalona.</w:t>
      </w:r>
    </w:p>
    <w:p w:rsidR="007A4BD5" w:rsidRPr="004752DA" w:rsidRDefault="007A4BD5" w:rsidP="007809E4">
      <w:pPr>
        <w:pStyle w:val="ECHRPara"/>
        <w:rPr>
          <w:lang w:val="pl-PL"/>
        </w:rPr>
      </w:pPr>
      <w:r>
        <w:rPr>
          <w:lang w:val="pl"/>
        </w:rPr>
        <w:t>36.  </w:t>
      </w:r>
      <w:r w:rsidR="00106020">
        <w:rPr>
          <w:lang w:val="pl"/>
        </w:rPr>
        <w:t>Pierwszy termin licytacji odbył się dnia 21 września 2006</w:t>
      </w:r>
      <w:r w:rsidR="00A72383">
        <w:rPr>
          <w:lang w:val="pl"/>
        </w:rPr>
        <w:t xml:space="preserve"> </w:t>
      </w:r>
      <w:r w:rsidR="00106020">
        <w:rPr>
          <w:lang w:val="pl"/>
        </w:rPr>
        <w:t>r. Sprzedaż nie została dokonana</w:t>
      </w:r>
      <w:r>
        <w:rPr>
          <w:lang w:val="pl"/>
        </w:rPr>
        <w:t>, ze względu na brak nabywcy.</w:t>
      </w:r>
    </w:p>
    <w:p w:rsidR="007A4BD5" w:rsidRPr="004752DA" w:rsidRDefault="007A4BD5" w:rsidP="007809E4">
      <w:pPr>
        <w:pStyle w:val="ECHRPara"/>
        <w:rPr>
          <w:lang w:val="pl-PL"/>
        </w:rPr>
      </w:pPr>
      <w:r>
        <w:rPr>
          <w:lang w:val="pl"/>
        </w:rPr>
        <w:t>37.</w:t>
      </w:r>
      <w:r>
        <w:rPr>
          <w:b/>
          <w:bCs/>
          <w:lang w:val="pl"/>
        </w:rPr>
        <w:t>  </w:t>
      </w:r>
      <w:r>
        <w:rPr>
          <w:lang w:val="pl"/>
        </w:rPr>
        <w:t>Dnia 21 listopada 2008 r. drugi komornik poinformował stronę skarżącą, że wysokość kwot podlegających zwrotowi wynosiła wówczas ponad 290 000 PLN.</w:t>
      </w:r>
    </w:p>
    <w:p w:rsidR="00032211" w:rsidRPr="004752DA" w:rsidRDefault="007A4BD5" w:rsidP="007809E4">
      <w:pPr>
        <w:pStyle w:val="ECHRPara"/>
        <w:rPr>
          <w:lang w:val="pl-PL"/>
        </w:rPr>
      </w:pPr>
      <w:r>
        <w:rPr>
          <w:lang w:val="pl"/>
        </w:rPr>
        <w:t xml:space="preserve">38.  Dnia 27 kwietnia 2009 r., w wyniku </w:t>
      </w:r>
      <w:r w:rsidR="00964C1B">
        <w:rPr>
          <w:lang w:val="pl"/>
        </w:rPr>
        <w:t>orzeczenia</w:t>
      </w:r>
      <w:r>
        <w:rPr>
          <w:lang w:val="pl"/>
        </w:rPr>
        <w:t xml:space="preserve"> przyznające</w:t>
      </w:r>
      <w:r w:rsidR="00964C1B">
        <w:rPr>
          <w:lang w:val="pl"/>
        </w:rPr>
        <w:t>go</w:t>
      </w:r>
      <w:r>
        <w:rPr>
          <w:lang w:val="pl"/>
        </w:rPr>
        <w:t xml:space="preserve"> własność nieruchomości na zasadzie wyłączności byłemu mężowi strony skarżącej (zob. punkt 11 powyżej), strona skarżąca zwróciła się do drugiego komornika z wnioskiem o podjęcie szybkich środków egzekucyjnych względem wspomnianej nieruchomości. Dnia 14 maja 2009 r., strona skarżąca wniosła o przeprowadzenie nowej ekspertyzy w celu oszacowania wartości przedmiotowej nieruchomości. Dnia 15 maja 2009 r., akta sprawy zostały przekazane nowemu komornikowi (zwanemu dalej „trzecim komornikiem sądowym") na wniosek złożony w tym względzie przez stronę skarżącą.</w:t>
      </w:r>
    </w:p>
    <w:p w:rsidR="00032211" w:rsidRPr="004752DA" w:rsidRDefault="007A4BD5" w:rsidP="007809E4">
      <w:pPr>
        <w:pStyle w:val="ECHRPara"/>
        <w:rPr>
          <w:lang w:val="pl-PL"/>
        </w:rPr>
      </w:pPr>
      <w:r>
        <w:rPr>
          <w:lang w:val="pl"/>
        </w:rPr>
        <w:t>39.  Dnia 7 sierpnia 2009 r., pojazd należący do byłego męża strony skarżącej został sprzedany na aukcji. Dochód ze sprzedaży (2400 zł) został p</w:t>
      </w:r>
      <w:r w:rsidR="00964C1B">
        <w:rPr>
          <w:lang w:val="pl"/>
        </w:rPr>
        <w:t>rzekazany</w:t>
      </w:r>
      <w:r>
        <w:rPr>
          <w:lang w:val="pl"/>
        </w:rPr>
        <w:t xml:space="preserve"> skarżącej.</w:t>
      </w:r>
    </w:p>
    <w:p w:rsidR="007A4BD5" w:rsidRPr="004752DA" w:rsidRDefault="007A4BD5" w:rsidP="007809E4">
      <w:pPr>
        <w:pStyle w:val="ECHRPara"/>
        <w:rPr>
          <w:lang w:val="pl-PL"/>
        </w:rPr>
      </w:pPr>
      <w:r>
        <w:rPr>
          <w:lang w:val="pl"/>
        </w:rPr>
        <w:t>40.</w:t>
      </w:r>
      <w:r>
        <w:rPr>
          <w:b/>
          <w:bCs/>
          <w:lang w:val="pl"/>
        </w:rPr>
        <w:t>  </w:t>
      </w:r>
      <w:r>
        <w:rPr>
          <w:lang w:val="pl"/>
        </w:rPr>
        <w:t>Dnia 15 września 2009 r., trzeci komornik zlecił ekspertowi przeprowadzenie ekspertyzy w celu oszacowania wartości nieruchomości będących przedmiotem egzekucji.</w:t>
      </w:r>
      <w:r>
        <w:rPr>
          <w:b/>
          <w:bCs/>
          <w:lang w:val="pl"/>
        </w:rPr>
        <w:t xml:space="preserve"> </w:t>
      </w:r>
      <w:r>
        <w:rPr>
          <w:lang w:val="pl"/>
        </w:rPr>
        <w:t>W dniu 8 stycznia 2010 r. ustalenia eksperta w tej sprawie zostały dołączone do akt sprawy.</w:t>
      </w:r>
    </w:p>
    <w:p w:rsidR="00032211" w:rsidRPr="004752DA" w:rsidRDefault="00964C1B" w:rsidP="007809E4">
      <w:pPr>
        <w:pStyle w:val="ECHRPara"/>
        <w:rPr>
          <w:lang w:val="pl-PL"/>
        </w:rPr>
      </w:pPr>
      <w:r>
        <w:rPr>
          <w:lang w:val="pl"/>
        </w:rPr>
        <w:t>41.  </w:t>
      </w:r>
      <w:r w:rsidR="00E41085">
        <w:rPr>
          <w:lang w:val="pl"/>
        </w:rPr>
        <w:t>Kolejny</w:t>
      </w:r>
      <w:r>
        <w:rPr>
          <w:lang w:val="pl"/>
        </w:rPr>
        <w:t xml:space="preserve"> termin licytacji </w:t>
      </w:r>
      <w:r w:rsidR="00B55062">
        <w:rPr>
          <w:lang w:val="pl"/>
        </w:rPr>
        <w:t>odbył się w dniu</w:t>
      </w:r>
      <w:r w:rsidR="007A4BD5">
        <w:rPr>
          <w:lang w:val="pl"/>
        </w:rPr>
        <w:t xml:space="preserve"> 25 marca 2010 r.</w:t>
      </w:r>
      <w:r w:rsidR="00E41085">
        <w:rPr>
          <w:lang w:val="pl"/>
        </w:rPr>
        <w:t>, nieruchomość ponownie nie została sprzedana</w:t>
      </w:r>
      <w:r w:rsidR="007A4BD5">
        <w:rPr>
          <w:lang w:val="pl"/>
        </w:rPr>
        <w:t xml:space="preserve">. Trzecia </w:t>
      </w:r>
      <w:r w:rsidR="00E41085">
        <w:rPr>
          <w:lang w:val="pl"/>
        </w:rPr>
        <w:t>licytacja</w:t>
      </w:r>
      <w:r w:rsidR="007A4BD5">
        <w:rPr>
          <w:lang w:val="pl"/>
        </w:rPr>
        <w:t xml:space="preserve"> odbyła się dnia 26 maja 2010 r. i zakończyła się sprzedażą przedmiotowej nieruchomości. </w:t>
      </w:r>
      <w:r w:rsidR="00BA047B">
        <w:rPr>
          <w:lang w:val="pl"/>
        </w:rPr>
        <w:t>W d</w:t>
      </w:r>
      <w:r w:rsidR="007A4BD5">
        <w:rPr>
          <w:lang w:val="pl"/>
        </w:rPr>
        <w:t>ni</w:t>
      </w:r>
      <w:r w:rsidR="00BA047B">
        <w:rPr>
          <w:lang w:val="pl"/>
        </w:rPr>
        <w:t>u</w:t>
      </w:r>
      <w:r w:rsidR="007A4BD5">
        <w:rPr>
          <w:lang w:val="pl"/>
        </w:rPr>
        <w:t xml:space="preserve"> 29 października 2010 r., uzyskane w ten sposób środki w wysokości wynoszącej ponad 127 000 PLN zostały p</w:t>
      </w:r>
      <w:r w:rsidR="0017784E">
        <w:rPr>
          <w:lang w:val="pl"/>
        </w:rPr>
        <w:t xml:space="preserve">rzekazane </w:t>
      </w:r>
      <w:r w:rsidR="007A4BD5">
        <w:rPr>
          <w:lang w:val="pl"/>
        </w:rPr>
        <w:t xml:space="preserve"> skarżącej.</w:t>
      </w:r>
    </w:p>
    <w:p w:rsidR="007A4BD5" w:rsidRPr="004752DA" w:rsidRDefault="007A4BD5" w:rsidP="007809E4">
      <w:pPr>
        <w:pStyle w:val="ECHRPara"/>
        <w:rPr>
          <w:lang w:val="pl-PL"/>
        </w:rPr>
      </w:pPr>
      <w:r>
        <w:rPr>
          <w:lang w:val="pl"/>
        </w:rPr>
        <w:t>42.  Dnia 20 grudnia 2010 r., trzeci komornik dokonał zajęcia emerytury otrzymywanej przez byłego małżonka zainteresowanej strony.</w:t>
      </w:r>
    </w:p>
    <w:p w:rsidR="007A4BD5" w:rsidRPr="004752DA" w:rsidRDefault="007A4BD5" w:rsidP="007809E4">
      <w:pPr>
        <w:pStyle w:val="ECHRPara"/>
        <w:rPr>
          <w:lang w:val="pl-PL"/>
        </w:rPr>
      </w:pPr>
      <w:r>
        <w:rPr>
          <w:lang w:val="pl"/>
        </w:rPr>
        <w:t>43.  Zgodnie z informacjami, którymi dysponuje Trybunał, w marcu 2011 r. nadal trwało postępowanie w przedmiocie odzyskania świadczeń alimentacyjnych.</w:t>
      </w:r>
    </w:p>
    <w:p w:rsidR="007A4BD5" w:rsidRPr="004752DA" w:rsidRDefault="007A4BD5" w:rsidP="007809E4">
      <w:pPr>
        <w:pStyle w:val="ECHRHeading2"/>
        <w:rPr>
          <w:lang w:val="pl-PL"/>
        </w:rPr>
      </w:pPr>
      <w:r>
        <w:rPr>
          <w:lang w:val="pl"/>
        </w:rPr>
        <w:t>B. Właściwe prawo krajowe</w:t>
      </w:r>
    </w:p>
    <w:p w:rsidR="007A4BD5" w:rsidRPr="004752DA" w:rsidRDefault="007A4BD5" w:rsidP="007809E4">
      <w:pPr>
        <w:pStyle w:val="ECHRPara"/>
        <w:rPr>
          <w:lang w:val="pl-PL"/>
        </w:rPr>
      </w:pPr>
      <w:r>
        <w:rPr>
          <w:lang w:val="pl"/>
        </w:rPr>
        <w:t>44.  Ustawa z dnia 17 czerwca 2004 r. o skar</w:t>
      </w:r>
      <w:r w:rsidR="0017784E">
        <w:rPr>
          <w:lang w:val="pl"/>
        </w:rPr>
        <w:t>dze</w:t>
      </w:r>
      <w:r>
        <w:rPr>
          <w:lang w:val="pl"/>
        </w:rPr>
        <w:t xml:space="preserve"> na naruszenie prawa strony do rozpoznania sprawy w postępowaniu sądowym bez nieuzasadnionej zwłoki (zwana dalej „ustawą z 2004 r.”) weszła w życie </w:t>
      </w:r>
      <w:r w:rsidR="00A83B4B">
        <w:rPr>
          <w:lang w:val="pl"/>
        </w:rPr>
        <w:br/>
      </w:r>
      <w:r>
        <w:rPr>
          <w:lang w:val="pl"/>
        </w:rPr>
        <w:t>w dniu 17 września 2004 r</w:t>
      </w:r>
      <w:r w:rsidR="00A83B4B">
        <w:rPr>
          <w:lang w:val="pl"/>
        </w:rPr>
        <w:t>.</w:t>
      </w:r>
      <w:r>
        <w:rPr>
          <w:lang w:val="pl"/>
        </w:rPr>
        <w:t>. Zgodnie z artyk</w:t>
      </w:r>
      <w:r w:rsidR="00A83B4B">
        <w:rPr>
          <w:lang w:val="pl"/>
        </w:rPr>
        <w:t xml:space="preserve">ułem 2 w związku z artykułem 5 </w:t>
      </w:r>
      <w:r>
        <w:rPr>
          <w:lang w:val="pl"/>
        </w:rPr>
        <w:t xml:space="preserve">paragraf 1 tej ustawy, każda strona toczącego się postępowania może złożyć wniosek o </w:t>
      </w:r>
      <w:r w:rsidR="00A83B4B">
        <w:rPr>
          <w:lang w:val="pl"/>
        </w:rPr>
        <w:t>stwierdzenie przewlekłości postępowania oraz</w:t>
      </w:r>
      <w:r>
        <w:rPr>
          <w:lang w:val="pl"/>
        </w:rPr>
        <w:t xml:space="preserve"> przyznanie </w:t>
      </w:r>
      <w:r w:rsidR="00A83B4B">
        <w:rPr>
          <w:lang w:val="pl"/>
        </w:rPr>
        <w:lastRenderedPageBreak/>
        <w:t>rekompensaty alternatywnie wydanie zaleceń co do dalszego toku postępowania</w:t>
      </w:r>
      <w:r>
        <w:rPr>
          <w:lang w:val="pl"/>
        </w:rPr>
        <w:t xml:space="preserve">. Zgodnie z artykułem 14 tej ustawy, </w:t>
      </w:r>
      <w:r w:rsidR="00A83B4B">
        <w:rPr>
          <w:lang w:val="pl"/>
        </w:rPr>
        <w:t>skarga</w:t>
      </w:r>
      <w:r>
        <w:rPr>
          <w:lang w:val="pl"/>
        </w:rPr>
        <w:t xml:space="preserve"> ten może zostać złożony ponownie w terminie dwunastu miesięcy od </w:t>
      </w:r>
      <w:r w:rsidR="00A83B4B">
        <w:rPr>
          <w:lang w:val="pl"/>
        </w:rPr>
        <w:t>rozpoznania poprzedniej skargi</w:t>
      </w:r>
      <w:r>
        <w:rPr>
          <w:lang w:val="pl"/>
        </w:rPr>
        <w:t xml:space="preserve"> </w:t>
      </w:r>
      <w:proofErr w:type="spellStart"/>
      <w:r>
        <w:rPr>
          <w:lang w:val="pl"/>
        </w:rPr>
        <w:t>skargi</w:t>
      </w:r>
      <w:proofErr w:type="spellEnd"/>
      <w:r>
        <w:rPr>
          <w:lang w:val="pl"/>
        </w:rPr>
        <w:t>.</w:t>
      </w:r>
    </w:p>
    <w:p w:rsidR="007A4BD5" w:rsidRPr="004752DA" w:rsidRDefault="007A4BD5" w:rsidP="007809E4">
      <w:pPr>
        <w:pStyle w:val="ECHRTitle1"/>
        <w:rPr>
          <w:lang w:val="pl-PL"/>
        </w:rPr>
      </w:pPr>
      <w:r>
        <w:rPr>
          <w:lang w:val="pl"/>
        </w:rPr>
        <w:t>ZARZUTY</w:t>
      </w:r>
    </w:p>
    <w:p w:rsidR="007A4BD5" w:rsidRPr="004752DA" w:rsidRDefault="007A4BD5" w:rsidP="007809E4">
      <w:pPr>
        <w:pStyle w:val="ECHRPara"/>
        <w:rPr>
          <w:lang w:val="pl-PL"/>
        </w:rPr>
      </w:pPr>
      <w:r>
        <w:rPr>
          <w:lang w:val="pl"/>
        </w:rPr>
        <w:t>45.  </w:t>
      </w:r>
      <w:r w:rsidR="001837C2">
        <w:rPr>
          <w:lang w:val="pl"/>
        </w:rPr>
        <w:t>S</w:t>
      </w:r>
      <w:r>
        <w:rPr>
          <w:lang w:val="pl"/>
        </w:rPr>
        <w:t>karżąc</w:t>
      </w:r>
      <w:r w:rsidR="001837C2">
        <w:rPr>
          <w:lang w:val="pl"/>
        </w:rPr>
        <w:t>y</w:t>
      </w:r>
      <w:r>
        <w:rPr>
          <w:lang w:val="pl"/>
        </w:rPr>
        <w:t xml:space="preserve"> zarzucają, że czas trwania wyżej wymienionych postępowań narusz</w:t>
      </w:r>
      <w:r w:rsidR="00234D8F">
        <w:rPr>
          <w:lang w:val="pl"/>
        </w:rPr>
        <w:t>ył</w:t>
      </w:r>
      <w:r>
        <w:rPr>
          <w:lang w:val="pl"/>
        </w:rPr>
        <w:t xml:space="preserve"> ich prawo do rozpoznania ich sprawy w rozsądnym term</w:t>
      </w:r>
      <w:r w:rsidR="00925D6B">
        <w:rPr>
          <w:lang w:val="pl"/>
        </w:rPr>
        <w:t>inie chronionym przez artykuł 6</w:t>
      </w:r>
      <w:r>
        <w:rPr>
          <w:lang w:val="pl"/>
        </w:rPr>
        <w:t xml:space="preserve"> paragraf 1 Konwencji.</w:t>
      </w:r>
    </w:p>
    <w:p w:rsidR="00032211" w:rsidRPr="004752DA" w:rsidRDefault="007A4BD5" w:rsidP="007809E4">
      <w:pPr>
        <w:pStyle w:val="ECHRPara"/>
        <w:rPr>
          <w:lang w:val="pl-PL"/>
        </w:rPr>
      </w:pPr>
      <w:r>
        <w:rPr>
          <w:lang w:val="pl"/>
        </w:rPr>
        <w:t>46.  Na podstawie tego samego przepisu Konwencji, strony  skarżące skarżą się, że postępowanie o odzyskanie świadczeń alimentacyjnych było nieskuteczne.</w:t>
      </w:r>
    </w:p>
    <w:p w:rsidR="007A4BD5" w:rsidRPr="004752DA" w:rsidRDefault="007A4BD5" w:rsidP="007809E4">
      <w:pPr>
        <w:pStyle w:val="ECHRPara"/>
        <w:rPr>
          <w:lang w:val="pl-PL"/>
        </w:rPr>
      </w:pPr>
      <w:r>
        <w:rPr>
          <w:lang w:val="pl"/>
        </w:rPr>
        <w:t>47.  Odnosząc się do różnych postanowień Konwencji i do postanowień Artykułu 1 Protokołu nr 1, skarżąc</w:t>
      </w:r>
      <w:r w:rsidR="00234D8F">
        <w:rPr>
          <w:lang w:val="pl"/>
        </w:rPr>
        <w:t>y</w:t>
      </w:r>
      <w:r>
        <w:rPr>
          <w:lang w:val="pl"/>
        </w:rPr>
        <w:t xml:space="preserve"> </w:t>
      </w:r>
      <w:r w:rsidR="00234D8F">
        <w:rPr>
          <w:lang w:val="pl"/>
        </w:rPr>
        <w:t>kwestionują</w:t>
      </w:r>
      <w:r>
        <w:rPr>
          <w:lang w:val="pl"/>
        </w:rPr>
        <w:t xml:space="preserve"> wynik postępowania w sprawie </w:t>
      </w:r>
      <w:r w:rsidR="00234D8F">
        <w:rPr>
          <w:lang w:val="pl"/>
        </w:rPr>
        <w:t>o podział majątku wspólnego</w:t>
      </w:r>
      <w:r>
        <w:rPr>
          <w:lang w:val="pl"/>
        </w:rPr>
        <w:t>. Twierdzą on</w:t>
      </w:r>
      <w:r w:rsidR="00234D8F">
        <w:rPr>
          <w:lang w:val="pl"/>
        </w:rPr>
        <w:t>i</w:t>
      </w:r>
      <w:r>
        <w:rPr>
          <w:lang w:val="pl"/>
        </w:rPr>
        <w:t xml:space="preserve"> w szczególności, że sąd wydający orzeczenie po zakończeniu tego postępowania nie zastosował prawidłowo przepisów krajowych, błędnie ocenił wartość majątku </w:t>
      </w:r>
      <w:r w:rsidR="0071349B">
        <w:rPr>
          <w:lang w:val="pl"/>
        </w:rPr>
        <w:t xml:space="preserve">wspólnego </w:t>
      </w:r>
      <w:r>
        <w:rPr>
          <w:lang w:val="pl"/>
        </w:rPr>
        <w:t>małżonków oraz że sposób podziału przedmiotowej nieruchomości przyjęty przez ten sąd był niewłaściwy.</w:t>
      </w:r>
    </w:p>
    <w:p w:rsidR="007A4BD5" w:rsidRPr="004752DA" w:rsidRDefault="007A4BD5" w:rsidP="007809E4">
      <w:pPr>
        <w:pStyle w:val="ECHRPara"/>
        <w:rPr>
          <w:lang w:val="pl-PL"/>
        </w:rPr>
      </w:pPr>
      <w:r>
        <w:rPr>
          <w:lang w:val="pl"/>
        </w:rPr>
        <w:t xml:space="preserve">48.  Powołując się na artykuł 6 Konwencji, strona skarżąca skarży się na obecność jej poprzedniego adwokata, nieupoważnionego do jej dalszego </w:t>
      </w:r>
      <w:r w:rsidR="0071349B">
        <w:rPr>
          <w:lang w:val="pl"/>
        </w:rPr>
        <w:t>zastępowania</w:t>
      </w:r>
      <w:r>
        <w:rPr>
          <w:lang w:val="pl"/>
        </w:rPr>
        <w:t xml:space="preserve">, podczas rozprawy </w:t>
      </w:r>
      <w:r w:rsidR="0071349B">
        <w:rPr>
          <w:lang w:val="pl"/>
        </w:rPr>
        <w:t>s</w:t>
      </w:r>
      <w:r>
        <w:rPr>
          <w:lang w:val="pl"/>
        </w:rPr>
        <w:t xml:space="preserve">ądu </w:t>
      </w:r>
      <w:r w:rsidR="0071349B">
        <w:rPr>
          <w:lang w:val="pl"/>
        </w:rPr>
        <w:t>o</w:t>
      </w:r>
      <w:r>
        <w:rPr>
          <w:lang w:val="pl"/>
        </w:rPr>
        <w:t xml:space="preserve">kręgowego, która odbyła się dnia 3 grudnia 2008 r. w postępowaniu prowadzącym do </w:t>
      </w:r>
      <w:r w:rsidR="00FE6176">
        <w:rPr>
          <w:lang w:val="pl"/>
        </w:rPr>
        <w:t>podziału wspólności</w:t>
      </w:r>
      <w:r>
        <w:rPr>
          <w:lang w:val="pl"/>
        </w:rPr>
        <w:t xml:space="preserve"> majątkowej istniejącej pomiędzy wspomnianą skarżącą a jej byłym mężem.</w:t>
      </w:r>
    </w:p>
    <w:p w:rsidR="007A4BD5" w:rsidRPr="004752DA" w:rsidRDefault="007A4BD5" w:rsidP="007809E4">
      <w:pPr>
        <w:pStyle w:val="ECHRPara"/>
        <w:rPr>
          <w:lang w:val="pl-PL"/>
        </w:rPr>
      </w:pPr>
      <w:r>
        <w:rPr>
          <w:lang w:val="pl"/>
        </w:rPr>
        <w:t xml:space="preserve">49.  Powołując się na artykuł 13 Konwencji, strona skarżąca zarzuca </w:t>
      </w:r>
      <w:r w:rsidR="00FE6176">
        <w:rPr>
          <w:lang w:val="pl"/>
        </w:rPr>
        <w:t>Rzecznikowi Praw Obywatelskich</w:t>
      </w:r>
      <w:r>
        <w:rPr>
          <w:lang w:val="pl"/>
        </w:rPr>
        <w:t xml:space="preserve"> odmowę wniesienia skargi kasacyjnej na jej korzyść.</w:t>
      </w:r>
    </w:p>
    <w:p w:rsidR="007A4BD5" w:rsidRPr="004752DA" w:rsidRDefault="007A4BD5" w:rsidP="007809E4">
      <w:pPr>
        <w:pStyle w:val="ECHRTitle1"/>
        <w:rPr>
          <w:lang w:val="pl-PL"/>
        </w:rPr>
      </w:pPr>
      <w:r>
        <w:rPr>
          <w:lang w:val="pl"/>
        </w:rPr>
        <w:t>WEDŁUG PRAWA</w:t>
      </w:r>
    </w:p>
    <w:p w:rsidR="00032211" w:rsidRPr="004752DA" w:rsidRDefault="007A4BD5" w:rsidP="007809E4">
      <w:pPr>
        <w:pStyle w:val="ECHRHeading2"/>
        <w:rPr>
          <w:lang w:val="pl-PL"/>
        </w:rPr>
      </w:pPr>
      <w:r>
        <w:rPr>
          <w:lang w:val="pl"/>
        </w:rPr>
        <w:t>A. W przedmiocie zarzutu dotyczącego czasu trwania postępowania</w:t>
      </w:r>
    </w:p>
    <w:p w:rsidR="007A4BD5" w:rsidRPr="004752DA" w:rsidRDefault="007A4BD5" w:rsidP="007809E4">
      <w:pPr>
        <w:pStyle w:val="ECHRPara"/>
        <w:rPr>
          <w:lang w:val="pl-PL"/>
        </w:rPr>
      </w:pPr>
      <w:r>
        <w:rPr>
          <w:lang w:val="pl"/>
        </w:rPr>
        <w:t>50.  Strony skarżące skarżą się na czas trwania wyżej wspomnianych postępowań. Wspomniane strony powołują się na artykuł 6 Konwencji, w części, w jakiej dotyczy on omawianej sprawy:</w:t>
      </w:r>
    </w:p>
    <w:p w:rsidR="007A4BD5" w:rsidRPr="004752DA" w:rsidRDefault="007A4BD5" w:rsidP="007809E4">
      <w:pPr>
        <w:pStyle w:val="ECHRParaQuote"/>
        <w:rPr>
          <w:lang w:val="pl-PL"/>
        </w:rPr>
      </w:pPr>
      <w:r>
        <w:rPr>
          <w:lang w:val="pl"/>
        </w:rPr>
        <w:t xml:space="preserve">„Każdy ma prawo do rozpatrzenia jego sprawy... w rozsądnym terminie przez sąd (...), który rozstrzygnie (...) w przedmiocie jego praw i obowiązków </w:t>
      </w:r>
      <w:r w:rsidR="0024118C">
        <w:rPr>
          <w:lang w:val="pl"/>
        </w:rPr>
        <w:t xml:space="preserve">o charakterze </w:t>
      </w:r>
      <w:r w:rsidR="00C60967">
        <w:rPr>
          <w:lang w:val="pl"/>
        </w:rPr>
        <w:t>cywilnych</w:t>
      </w:r>
      <w:r>
        <w:rPr>
          <w:lang w:val="pl"/>
        </w:rPr>
        <w:t xml:space="preserve"> (...)"</w:t>
      </w:r>
    </w:p>
    <w:p w:rsidR="007A4BD5" w:rsidRPr="004752DA" w:rsidRDefault="007A4BD5" w:rsidP="007809E4">
      <w:pPr>
        <w:pStyle w:val="ECHRPara"/>
        <w:rPr>
          <w:lang w:val="pl-PL"/>
        </w:rPr>
      </w:pPr>
      <w:r>
        <w:rPr>
          <w:lang w:val="pl"/>
        </w:rPr>
        <w:lastRenderedPageBreak/>
        <w:t xml:space="preserve">51.  Rząd podnosi zarzut w przedmiocie braku wyczerpania środków odwoławczych. </w:t>
      </w:r>
      <w:r w:rsidR="005E5CFF">
        <w:rPr>
          <w:lang w:val="pl"/>
        </w:rPr>
        <w:t>Podnosi</w:t>
      </w:r>
      <w:r>
        <w:rPr>
          <w:lang w:val="pl"/>
        </w:rPr>
        <w:t>, że zgodnie z artykułem 14 ustawy z 2004 r. i artykułem 417 kodeksu cywilnego, strony skarżące powinny odpowiednio ponownie wnieść skargi w przedmiocie czasu trwania kwestionowanych postępowań i wystąpić z powództwem o odszkodowanie za szkody poniesione przez nich z powodu rzekomych opóźnień.</w:t>
      </w:r>
    </w:p>
    <w:p w:rsidR="007A4BD5" w:rsidRPr="004752DA" w:rsidRDefault="007A4BD5" w:rsidP="007809E4">
      <w:pPr>
        <w:pStyle w:val="ECHRPara"/>
        <w:rPr>
          <w:lang w:val="pl-PL"/>
        </w:rPr>
      </w:pPr>
      <w:r>
        <w:rPr>
          <w:lang w:val="pl"/>
        </w:rPr>
        <w:t xml:space="preserve">52.  Co się tyczy zasadności zarzutu, Rząd nie wypowiada się </w:t>
      </w:r>
      <w:r w:rsidR="003837B4">
        <w:rPr>
          <w:lang w:val="pl"/>
        </w:rPr>
        <w:br/>
      </w:r>
      <w:r>
        <w:rPr>
          <w:lang w:val="pl"/>
        </w:rPr>
        <w:t xml:space="preserve">w przedmiocie czasu trwania postępowania w sprawie </w:t>
      </w:r>
      <w:r w:rsidR="005E5CFF">
        <w:rPr>
          <w:lang w:val="pl"/>
        </w:rPr>
        <w:t>podziału majątku wspólnego istniejącego</w:t>
      </w:r>
      <w:r>
        <w:rPr>
          <w:lang w:val="pl"/>
        </w:rPr>
        <w:t xml:space="preserve"> pomiędzy skarżącą a jej byłym małżonkiem. </w:t>
      </w:r>
      <w:r w:rsidR="003837B4">
        <w:rPr>
          <w:lang w:val="pl"/>
        </w:rPr>
        <w:br/>
      </w:r>
      <w:r>
        <w:rPr>
          <w:lang w:val="pl"/>
        </w:rPr>
        <w:t xml:space="preserve">W odniesieniu do postępowania w przedmiocie </w:t>
      </w:r>
      <w:r w:rsidR="009D0C5A">
        <w:rPr>
          <w:lang w:val="pl"/>
        </w:rPr>
        <w:t>egzekucji</w:t>
      </w:r>
      <w:r>
        <w:rPr>
          <w:lang w:val="pl"/>
        </w:rPr>
        <w:t xml:space="preserve"> wierzytelności alimentacyjnych, </w:t>
      </w:r>
      <w:r w:rsidR="009D0C5A">
        <w:rPr>
          <w:lang w:val="pl"/>
        </w:rPr>
        <w:t>wskazuje</w:t>
      </w:r>
      <w:r>
        <w:rPr>
          <w:lang w:val="pl"/>
        </w:rPr>
        <w:t xml:space="preserve">, że czas jego trwania był rozsądny. </w:t>
      </w:r>
      <w:r w:rsidR="009D0C5A">
        <w:rPr>
          <w:lang w:val="pl"/>
        </w:rPr>
        <w:t>Zajmuje stanowisko</w:t>
      </w:r>
      <w:r>
        <w:rPr>
          <w:lang w:val="pl"/>
        </w:rPr>
        <w:t xml:space="preserve">, że niewystarczająca wysokość </w:t>
      </w:r>
      <w:r w:rsidR="009D0C5A">
        <w:rPr>
          <w:lang w:val="pl"/>
        </w:rPr>
        <w:t xml:space="preserve">wyegzekwowanych </w:t>
      </w:r>
      <w:r>
        <w:rPr>
          <w:lang w:val="pl"/>
        </w:rPr>
        <w:t>kwot - podczas kolejnych zajęć dokonanych przez różnych komorników - celem całkowitego pokrycia roszczeń strony skarżącej, nie może zostać zarzucona władzom krajowym. Rząd wyjaśnił, że majątek dłużnika był niewystarczający, aby mógł zaspokoić roszczenia strony skarżącej, oraz że nie było możliwe podjęcie szybkich środków egzekucyjnych wobec majątku tego pierwszego przed dokonaniem wstępnego podziału majątku małżonków, którego dokonano w 2008 r</w:t>
      </w:r>
      <w:r w:rsidR="003837B4">
        <w:rPr>
          <w:lang w:val="pl"/>
        </w:rPr>
        <w:t>.</w:t>
      </w:r>
      <w:r>
        <w:rPr>
          <w:lang w:val="pl"/>
        </w:rPr>
        <w:t xml:space="preserve">. Rząd dodaje, że do czasu wspomnianego podziału, większość mienia ruchomego podlegającego zajęciu znajdowała się w posiadaniu </w:t>
      </w:r>
      <w:r w:rsidR="003F521A">
        <w:rPr>
          <w:lang w:val="pl"/>
        </w:rPr>
        <w:t>wierzyciela</w:t>
      </w:r>
      <w:r>
        <w:rPr>
          <w:lang w:val="pl"/>
        </w:rPr>
        <w:t>. Rząd wskazuje ponadto, że w niniejszej sprawie zastosowane środki egzekucyjne częściowo zaspokoiły roszcz</w:t>
      </w:r>
      <w:r w:rsidR="003837B4">
        <w:rPr>
          <w:lang w:val="pl"/>
        </w:rPr>
        <w:t xml:space="preserve">enia stron skarżących, a skutki </w:t>
      </w:r>
      <w:r>
        <w:rPr>
          <w:lang w:val="pl"/>
        </w:rPr>
        <w:t>niewypłacalności dłużnika zostały w pewnym stopniu złagodzone przez płatności dokonane na ich korzyść przez organ, o którym mowa w punkcie 19 powyżej.</w:t>
      </w:r>
    </w:p>
    <w:p w:rsidR="00032211" w:rsidRPr="004752DA" w:rsidRDefault="007A4BD5" w:rsidP="007809E4">
      <w:pPr>
        <w:pStyle w:val="ECHRPara"/>
        <w:rPr>
          <w:lang w:val="pl-PL"/>
        </w:rPr>
      </w:pPr>
      <w:r>
        <w:rPr>
          <w:lang w:val="pl"/>
        </w:rPr>
        <w:t xml:space="preserve">53.  Rząd uważa, że czas trwania postępowania został przedłużony o czas potrzebny skarżącej na przedłożenie żądanych dokumentów oraz potrzebny na wniesienie </w:t>
      </w:r>
      <w:r w:rsidR="00213F6D">
        <w:rPr>
          <w:lang w:val="pl"/>
        </w:rPr>
        <w:t>zażaleń</w:t>
      </w:r>
      <w:r>
        <w:rPr>
          <w:lang w:val="pl"/>
        </w:rPr>
        <w:t xml:space="preserve"> i skarg przez tę ostatnią. Rząd dodaje, że kolejni komornicy zareagowali na wszystkie jego wnioski i że sądy, orzekające w </w:t>
      </w:r>
      <w:r w:rsidR="00023456">
        <w:rPr>
          <w:lang w:val="pl"/>
        </w:rPr>
        <w:t xml:space="preserve">sprawie </w:t>
      </w:r>
      <w:r>
        <w:rPr>
          <w:lang w:val="pl"/>
        </w:rPr>
        <w:t>je</w:t>
      </w:r>
      <w:r w:rsidR="00023456">
        <w:rPr>
          <w:lang w:val="pl"/>
        </w:rPr>
        <w:t>j skarg</w:t>
      </w:r>
      <w:r>
        <w:rPr>
          <w:lang w:val="pl"/>
        </w:rPr>
        <w:t xml:space="preserve"> dotyczących postępowania komorników, nie wykryły żadnych nieprawidłowości, które mogłyby być im przypisane.</w:t>
      </w:r>
    </w:p>
    <w:p w:rsidR="007A4BD5" w:rsidRPr="004752DA" w:rsidRDefault="007A4BD5" w:rsidP="007809E4">
      <w:pPr>
        <w:pStyle w:val="ECHRPara"/>
        <w:rPr>
          <w:lang w:val="pl-PL"/>
        </w:rPr>
      </w:pPr>
      <w:r>
        <w:rPr>
          <w:lang w:val="pl"/>
        </w:rPr>
        <w:t>54.  Strony skarżące kwestionują argumenty Rządu. Wskazują one, że żaden ze środków, zastosowanych przez nie w omawianej sprawie celem przyspieszenia postępowania, nie przyniósł zadowalających rezultatów i że ponowne zastosowanie tych środków będzie bezcelowe. Podsumowując, twierdzą one, że zrobiły wszystko, czego można od nich rozsądnie oczekiwać, celem wyczerpania krajowych środków odwoławczych.</w:t>
      </w:r>
    </w:p>
    <w:p w:rsidR="007A4BD5" w:rsidRPr="004752DA" w:rsidRDefault="007A4BD5" w:rsidP="007809E4">
      <w:pPr>
        <w:pStyle w:val="ECHRPara"/>
        <w:rPr>
          <w:lang w:val="pl-PL"/>
        </w:rPr>
      </w:pPr>
      <w:r>
        <w:rPr>
          <w:lang w:val="pl"/>
        </w:rPr>
        <w:t>55.  Co się tyczy zasadności ich zarzutu, skarżąc</w:t>
      </w:r>
      <w:r w:rsidR="006C296B">
        <w:rPr>
          <w:lang w:val="pl"/>
        </w:rPr>
        <w:t>y</w:t>
      </w:r>
      <w:r>
        <w:rPr>
          <w:lang w:val="pl"/>
        </w:rPr>
        <w:t xml:space="preserve"> twierdzą, że żadne z kwestionowan</w:t>
      </w:r>
      <w:r w:rsidR="009D7B8E">
        <w:rPr>
          <w:lang w:val="pl"/>
        </w:rPr>
        <w:t>ych postępowań naruszało zasadę rozpoznania sprawy w rozsądnym terminie</w:t>
      </w:r>
      <w:r>
        <w:rPr>
          <w:lang w:val="pl"/>
        </w:rPr>
        <w:t xml:space="preserve">. Twierdzą one, że czas trwania postępowania w sprawie </w:t>
      </w:r>
      <w:r w:rsidR="000670A8">
        <w:rPr>
          <w:lang w:val="pl"/>
        </w:rPr>
        <w:t>podziału majątku wspólnego</w:t>
      </w:r>
      <w:r>
        <w:rPr>
          <w:lang w:val="pl"/>
        </w:rPr>
        <w:t xml:space="preserve"> małżonków został </w:t>
      </w:r>
      <w:r w:rsidR="000670A8">
        <w:rPr>
          <w:lang w:val="pl"/>
        </w:rPr>
        <w:t>wydłużony</w:t>
      </w:r>
      <w:r>
        <w:rPr>
          <w:lang w:val="pl"/>
        </w:rPr>
        <w:t xml:space="preserve"> z przyczyn leżących po stronie władz krajowych, i to pomimo tego, że postępowanie nie było szczególnie złożone i nie wymagało zachowania szczególnej staranności ze względu na jego znaczenie dla stron. W odniesieniu do </w:t>
      </w:r>
      <w:r>
        <w:rPr>
          <w:lang w:val="pl"/>
        </w:rPr>
        <w:lastRenderedPageBreak/>
        <w:t xml:space="preserve">postępowania w przedmiocie </w:t>
      </w:r>
      <w:r w:rsidR="000670A8">
        <w:rPr>
          <w:lang w:val="pl"/>
        </w:rPr>
        <w:t>egzekucji</w:t>
      </w:r>
      <w:r>
        <w:rPr>
          <w:lang w:val="pl"/>
        </w:rPr>
        <w:t xml:space="preserve"> należnych świadczeń alimentacyjnych, skarżąc</w:t>
      </w:r>
      <w:r w:rsidR="00C4495F">
        <w:rPr>
          <w:lang w:val="pl"/>
        </w:rPr>
        <w:t>y</w:t>
      </w:r>
      <w:r>
        <w:rPr>
          <w:lang w:val="pl"/>
        </w:rPr>
        <w:t xml:space="preserve"> utrzymują, że postępowanie to przyniosło częściowo satysfakcjonujące rezultaty dopiero w 2010 r.</w:t>
      </w:r>
    </w:p>
    <w:p w:rsidR="00032211" w:rsidRPr="004752DA" w:rsidRDefault="007A4BD5" w:rsidP="007809E4">
      <w:pPr>
        <w:pStyle w:val="ECHRPara"/>
        <w:rPr>
          <w:lang w:val="pl-PL"/>
        </w:rPr>
      </w:pPr>
      <w:r>
        <w:rPr>
          <w:lang w:val="pl"/>
        </w:rPr>
        <w:t>56.  Trybuna</w:t>
      </w:r>
      <w:r w:rsidR="006C296B">
        <w:rPr>
          <w:lang w:val="pl"/>
        </w:rPr>
        <w:t xml:space="preserve">ł zauważa na wstępie, że </w:t>
      </w:r>
      <w:r>
        <w:rPr>
          <w:lang w:val="pl"/>
        </w:rPr>
        <w:t>skarżąc</w:t>
      </w:r>
      <w:r w:rsidR="006C296B">
        <w:rPr>
          <w:lang w:val="pl"/>
        </w:rPr>
        <w:t>y nie był</w:t>
      </w:r>
      <w:r>
        <w:rPr>
          <w:lang w:val="pl"/>
        </w:rPr>
        <w:t xml:space="preserve"> stroną postępowania w sprawie </w:t>
      </w:r>
      <w:r w:rsidR="006C296B">
        <w:rPr>
          <w:lang w:val="pl"/>
        </w:rPr>
        <w:t>podziału wspólności majątkowej</w:t>
      </w:r>
      <w:r>
        <w:rPr>
          <w:lang w:val="pl"/>
        </w:rPr>
        <w:t xml:space="preserve"> istniejącej pomiędzy skarżącą a jej byłym mężem. Dlatego też, w odniesieniu do wspomnianego postępowania, </w:t>
      </w:r>
      <w:r w:rsidR="00CD5836">
        <w:rPr>
          <w:lang w:val="pl"/>
        </w:rPr>
        <w:t>skarżący</w:t>
      </w:r>
      <w:r>
        <w:rPr>
          <w:lang w:val="pl"/>
        </w:rPr>
        <w:t xml:space="preserve"> nie może twierdzić, że jest ofiarą domniemanego naruszenia.</w:t>
      </w:r>
    </w:p>
    <w:p w:rsidR="007A4BD5" w:rsidRPr="004752DA" w:rsidRDefault="007A4BD5" w:rsidP="007809E4">
      <w:pPr>
        <w:pStyle w:val="ECHRPara"/>
        <w:rPr>
          <w:lang w:val="pl-PL"/>
        </w:rPr>
      </w:pPr>
      <w:r>
        <w:rPr>
          <w:lang w:val="pl"/>
        </w:rPr>
        <w:t xml:space="preserve">57.  W związku z tym, co się tyczy </w:t>
      </w:r>
      <w:r w:rsidR="00C4495F">
        <w:rPr>
          <w:lang w:val="pl"/>
        </w:rPr>
        <w:t>skarżącego, odrzuca on</w:t>
      </w:r>
      <w:r>
        <w:rPr>
          <w:lang w:val="pl"/>
        </w:rPr>
        <w:t xml:space="preserve"> skargę dotyczącą czasu trwania postępowania, o którym mowa powyżej, ze względu na niezgodność </w:t>
      </w:r>
      <w:proofErr w:type="spellStart"/>
      <w:r>
        <w:rPr>
          <w:i/>
          <w:iCs/>
          <w:lang w:val="pl"/>
        </w:rPr>
        <w:t>ratione</w:t>
      </w:r>
      <w:proofErr w:type="spellEnd"/>
      <w:r>
        <w:rPr>
          <w:i/>
          <w:iCs/>
          <w:lang w:val="pl"/>
        </w:rPr>
        <w:t xml:space="preserve"> </w:t>
      </w:r>
      <w:proofErr w:type="spellStart"/>
      <w:r>
        <w:rPr>
          <w:i/>
          <w:iCs/>
          <w:lang w:val="pl"/>
        </w:rPr>
        <w:t>personae</w:t>
      </w:r>
      <w:proofErr w:type="spellEnd"/>
      <w:r>
        <w:rPr>
          <w:lang w:val="pl"/>
        </w:rPr>
        <w:t>, zgodnie z artykułem 35, paragrafy 3 i 4 Konwencji</w:t>
      </w:r>
    </w:p>
    <w:p w:rsidR="007A4BD5" w:rsidRPr="004752DA" w:rsidRDefault="007A4BD5" w:rsidP="007809E4">
      <w:pPr>
        <w:pStyle w:val="ECHRPara"/>
        <w:rPr>
          <w:lang w:val="pl-PL"/>
        </w:rPr>
      </w:pPr>
      <w:r>
        <w:rPr>
          <w:lang w:val="pl"/>
        </w:rPr>
        <w:t xml:space="preserve">58.  Trybunał, kontynuując </w:t>
      </w:r>
      <w:r w:rsidR="00C4495F">
        <w:rPr>
          <w:lang w:val="pl"/>
        </w:rPr>
        <w:t xml:space="preserve">rozpatrywanie skargi </w:t>
      </w:r>
      <w:r>
        <w:rPr>
          <w:lang w:val="pl"/>
        </w:rPr>
        <w:t>skarżącej, nie uważa za konieczne rozstrzyganie w sprawie zarzutu podniesionego przez Rząd, zważywszy, że skarga jest w każdym razie niedopuszczalna z przyczyn omówionych poniżej.</w:t>
      </w:r>
    </w:p>
    <w:p w:rsidR="007A4BD5" w:rsidRPr="004752DA" w:rsidRDefault="007A4BD5" w:rsidP="007809E4">
      <w:pPr>
        <w:pStyle w:val="ECHRPara"/>
        <w:rPr>
          <w:lang w:val="pl-PL"/>
        </w:rPr>
      </w:pPr>
      <w:r>
        <w:rPr>
          <w:lang w:val="pl"/>
        </w:rPr>
        <w:t>59.  </w:t>
      </w:r>
      <w:r w:rsidRPr="00D12F6F">
        <w:rPr>
          <w:lang w:val="pl"/>
        </w:rPr>
        <w:t>Trybunał</w:t>
      </w:r>
      <w:r>
        <w:rPr>
          <w:lang w:val="pl"/>
        </w:rPr>
        <w:t xml:space="preserve"> przypomina, że rozsądny </w:t>
      </w:r>
      <w:r w:rsidR="003520DE">
        <w:rPr>
          <w:lang w:val="pl"/>
        </w:rPr>
        <w:t>czas</w:t>
      </w:r>
      <w:r>
        <w:rPr>
          <w:lang w:val="pl"/>
        </w:rPr>
        <w:t xml:space="preserve"> trwania postępowania oceniany jest w świetle kryteriów ustanowionych w jego orzecznictwie, takich jak złożoność sprawy, postępowanie skarżących i właściwych organów. W tym celu należy również wziąć pod uwagę znaczenie sporu dla stron skarżących (patrz, między innymi, Rutkowski i inni przeciwko Polsce (nr 72287/10, 7 lipca 2015 r.).</w:t>
      </w:r>
    </w:p>
    <w:p w:rsidR="007A4BD5" w:rsidRPr="004752DA" w:rsidRDefault="007A4BD5" w:rsidP="007809E4">
      <w:pPr>
        <w:pStyle w:val="ECHRPara"/>
        <w:rPr>
          <w:lang w:val="pl-PL"/>
        </w:rPr>
      </w:pPr>
      <w:r>
        <w:rPr>
          <w:lang w:val="pl"/>
        </w:rPr>
        <w:t xml:space="preserve">60.  Trybunał zauważa, że postępowanie dotyczące </w:t>
      </w:r>
      <w:r w:rsidR="003520DE">
        <w:rPr>
          <w:lang w:val="pl"/>
        </w:rPr>
        <w:t>podziału wspólności majątkowej</w:t>
      </w:r>
      <w:r>
        <w:rPr>
          <w:lang w:val="pl"/>
        </w:rPr>
        <w:t xml:space="preserve"> istniejącej pomiędzy skarżącą i jej byłym małżonkiem rozpoczęło się dnia 18 sierpnia 2003 r. i zakończyło w dniu 3 grudnia 2008 r. Okres, który należy rozważyć, wynosi zatem około pięciu lat i czterech miesięcy w dwóch instancjach.</w:t>
      </w:r>
    </w:p>
    <w:p w:rsidR="007A4BD5" w:rsidRPr="004752DA" w:rsidRDefault="007A4BD5" w:rsidP="007809E4">
      <w:pPr>
        <w:pStyle w:val="ECHRPara"/>
        <w:rPr>
          <w:lang w:val="pl-PL"/>
        </w:rPr>
      </w:pPr>
      <w:r>
        <w:rPr>
          <w:lang w:val="pl"/>
        </w:rPr>
        <w:t xml:space="preserve">61.  Trybunał zauważa, że sprawa - co do zasady pozbawiona szczególnej złożoności - wymagała sporządzenia trzech </w:t>
      </w:r>
      <w:r w:rsidR="00602CCA">
        <w:rPr>
          <w:lang w:val="pl"/>
        </w:rPr>
        <w:t>opinii biegłych</w:t>
      </w:r>
      <w:r>
        <w:rPr>
          <w:lang w:val="pl"/>
        </w:rPr>
        <w:t xml:space="preserve"> (zob. punkty 9 i 11 powyżej).</w:t>
      </w:r>
    </w:p>
    <w:p w:rsidR="007A4BD5" w:rsidRPr="004752DA" w:rsidRDefault="007A4BD5" w:rsidP="007809E4">
      <w:pPr>
        <w:pStyle w:val="ECHRPara"/>
        <w:rPr>
          <w:lang w:val="pl-PL"/>
        </w:rPr>
      </w:pPr>
      <w:r>
        <w:rPr>
          <w:lang w:val="pl"/>
        </w:rPr>
        <w:t>62.  W odniesieniu do postępowania władz krajowych zauważa się, że postępowanie toczące się w pierwszej instancji trwało około czterech lat i czterech i pół miesiąca, podczas gdy postępowanie odwoławcze zostało przeprowadzone zaledwie w ciągu kilku miesięcy.</w:t>
      </w:r>
    </w:p>
    <w:p w:rsidR="007A4BD5" w:rsidRPr="004752DA" w:rsidRDefault="007A4BD5" w:rsidP="007809E4">
      <w:pPr>
        <w:pStyle w:val="ECHRPara"/>
        <w:rPr>
          <w:bCs/>
          <w:lang w:val="pl-PL"/>
        </w:rPr>
      </w:pPr>
      <w:r>
        <w:rPr>
          <w:lang w:val="pl"/>
        </w:rPr>
        <w:t>63.  Mając na uwadze orzecznictwo w tej sprawie, Trybunał uważa, że opóźnienie spowodowane zmianą w przydziale sędziego pierwotnie rozpatrującego sprawę, może zostać przypisane władzom krajowym. Przypomina jednak, że opóźnienie samo w sobie nie może pociągać za sobą naruszenia artykułu 6, paragraf 1 Konwencji, gdy czas trwania postępowania jako całość był rozsądny (</w:t>
      </w:r>
      <w:proofErr w:type="spellStart"/>
      <w:r>
        <w:rPr>
          <w:lang w:val="pl"/>
        </w:rPr>
        <w:t>Skugor</w:t>
      </w:r>
      <w:proofErr w:type="spellEnd"/>
      <w:r>
        <w:rPr>
          <w:lang w:val="pl"/>
        </w:rPr>
        <w:t xml:space="preserve"> przeciwko Niemcom, nr 76680/01, paragraf 76, 24 września 2007 r.).</w:t>
      </w:r>
    </w:p>
    <w:p w:rsidR="007A4BD5" w:rsidRPr="004752DA" w:rsidRDefault="007A4BD5" w:rsidP="007809E4">
      <w:pPr>
        <w:pStyle w:val="ECHRPara"/>
        <w:rPr>
          <w:bCs/>
          <w:lang w:val="pl-PL"/>
        </w:rPr>
      </w:pPr>
      <w:r>
        <w:rPr>
          <w:lang w:val="pl"/>
        </w:rPr>
        <w:t xml:space="preserve">64.  Trybunał zauważa, że w omawianym przypadku sądy krajowe nie pozostały bierne. Odnotowuje w szczególności, że </w:t>
      </w:r>
      <w:r w:rsidR="00881887">
        <w:rPr>
          <w:lang w:val="pl"/>
        </w:rPr>
        <w:t>s</w:t>
      </w:r>
      <w:r>
        <w:rPr>
          <w:lang w:val="pl"/>
        </w:rPr>
        <w:t xml:space="preserve">ąd </w:t>
      </w:r>
      <w:r w:rsidR="00881887">
        <w:rPr>
          <w:lang w:val="pl"/>
        </w:rPr>
        <w:t>o</w:t>
      </w:r>
      <w:r>
        <w:rPr>
          <w:lang w:val="pl"/>
        </w:rPr>
        <w:t xml:space="preserve">kręgowy przeprowadził dwadzieścia sześć rozpraw w ramach omawianego </w:t>
      </w:r>
      <w:r>
        <w:rPr>
          <w:lang w:val="pl"/>
        </w:rPr>
        <w:lastRenderedPageBreak/>
        <w:t xml:space="preserve">postępowania (zob. punkt 9 powyżej), tj. średnio dwie rozprawy na miesiąc. Zauważa, że strona skarżąca nie uzasadniła swoich zarzutów, zgodnie </w:t>
      </w:r>
      <w:r w:rsidR="00881887">
        <w:rPr>
          <w:lang w:val="pl"/>
        </w:rPr>
        <w:br/>
      </w:r>
      <w:r>
        <w:rPr>
          <w:lang w:val="pl"/>
        </w:rPr>
        <w:t xml:space="preserve">z którymi liczba przeprowadzonych rozpraw (jej zdaniem nadmiernie duża), </w:t>
      </w:r>
      <w:r w:rsidR="006F4645">
        <w:rPr>
          <w:lang w:val="pl"/>
        </w:rPr>
        <w:t>odroczenie</w:t>
      </w:r>
      <w:r>
        <w:rPr>
          <w:lang w:val="pl"/>
        </w:rPr>
        <w:t xml:space="preserve"> terminu ogłoszenia </w:t>
      </w:r>
      <w:r w:rsidR="006F4645">
        <w:rPr>
          <w:lang w:val="pl"/>
        </w:rPr>
        <w:t>postanowienia</w:t>
      </w:r>
      <w:r>
        <w:rPr>
          <w:lang w:val="pl"/>
        </w:rPr>
        <w:t xml:space="preserve"> </w:t>
      </w:r>
      <w:r w:rsidR="006F4645">
        <w:rPr>
          <w:lang w:val="pl"/>
        </w:rPr>
        <w:t>s</w:t>
      </w:r>
      <w:r>
        <w:rPr>
          <w:lang w:val="pl"/>
        </w:rPr>
        <w:t xml:space="preserve">ądu </w:t>
      </w:r>
      <w:r w:rsidR="006F4645">
        <w:rPr>
          <w:lang w:val="pl"/>
        </w:rPr>
        <w:t>r</w:t>
      </w:r>
      <w:r>
        <w:rPr>
          <w:lang w:val="pl"/>
        </w:rPr>
        <w:t xml:space="preserve">ejonowego oraz ponowne otwarcie postępowania przez </w:t>
      </w:r>
      <w:r w:rsidR="006F4645">
        <w:rPr>
          <w:lang w:val="pl"/>
        </w:rPr>
        <w:t>s</w:t>
      </w:r>
      <w:r>
        <w:rPr>
          <w:lang w:val="pl"/>
        </w:rPr>
        <w:t xml:space="preserve">ąd </w:t>
      </w:r>
      <w:r w:rsidR="006F4645">
        <w:rPr>
          <w:lang w:val="pl"/>
        </w:rPr>
        <w:t>r</w:t>
      </w:r>
      <w:r>
        <w:rPr>
          <w:lang w:val="pl"/>
        </w:rPr>
        <w:t>ejonowy spowodowały opóźnienia, które mogą być przypisane wyłącznie sądom krajowym.</w:t>
      </w:r>
    </w:p>
    <w:p w:rsidR="007A4BD5" w:rsidRPr="004752DA" w:rsidRDefault="007A4BD5" w:rsidP="007809E4">
      <w:pPr>
        <w:pStyle w:val="ECHRPara"/>
        <w:rPr>
          <w:lang w:val="pl-PL"/>
        </w:rPr>
      </w:pPr>
      <w:r>
        <w:rPr>
          <w:lang w:val="pl"/>
        </w:rPr>
        <w:t xml:space="preserve">65.  Jeśli chodzi o zachowanie skarżącej, Trybunał uważa, że </w:t>
      </w:r>
      <w:r w:rsidR="002C18F8">
        <w:rPr>
          <w:lang w:val="pl"/>
        </w:rPr>
        <w:br/>
      </w:r>
      <w:r>
        <w:rPr>
          <w:lang w:val="pl"/>
        </w:rPr>
        <w:t xml:space="preserve">w pewnym stopniu przyczyniła się ona do czasu trwania postępowania, w szczególności poprzez wnoszenie wzajemnych </w:t>
      </w:r>
      <w:r w:rsidR="00A95D21">
        <w:rPr>
          <w:lang w:val="pl"/>
        </w:rPr>
        <w:t>roszczeń i środków odwoławczych</w:t>
      </w:r>
      <w:r>
        <w:rPr>
          <w:lang w:val="pl"/>
        </w:rPr>
        <w:t xml:space="preserve">. Mimo że nie można jej krytykować za skorzystanie z dostępnych jej środków odwoławczych na mocy prawa krajowego, wydłużenia czasu trwania postępowania nie można przypisać władzom krajowym (zob. w szczególności </w:t>
      </w:r>
      <w:proofErr w:type="spellStart"/>
      <w:r>
        <w:rPr>
          <w:lang w:val="pl"/>
        </w:rPr>
        <w:t>Sürmeli</w:t>
      </w:r>
      <w:proofErr w:type="spellEnd"/>
      <w:r>
        <w:rPr>
          <w:lang w:val="pl"/>
        </w:rPr>
        <w:t xml:space="preserve"> przeciwko Niemcom [GC], nr 75529/01, paragraf 131, EKPC, 2006-VII). Trybunał zauważa, że strona przeciwna również przyczyniła się do przedłużenia postępowania (patrz punkt 9 powyżej).</w:t>
      </w:r>
    </w:p>
    <w:p w:rsidR="007A4BD5" w:rsidRPr="004752DA" w:rsidRDefault="007A4BD5" w:rsidP="007809E4">
      <w:pPr>
        <w:pStyle w:val="ECHRPara"/>
        <w:rPr>
          <w:lang w:val="pl-PL"/>
        </w:rPr>
      </w:pPr>
      <w:r>
        <w:rPr>
          <w:lang w:val="pl"/>
        </w:rPr>
        <w:t xml:space="preserve">66.  Trybunał zauważa, że postępowanie </w:t>
      </w:r>
      <w:r w:rsidR="0031563D">
        <w:rPr>
          <w:lang w:val="pl"/>
        </w:rPr>
        <w:t xml:space="preserve">egzekucyjne w sprawie </w:t>
      </w:r>
      <w:r>
        <w:rPr>
          <w:lang w:val="pl"/>
        </w:rPr>
        <w:t xml:space="preserve"> świadczeń alimentacyjnych rozpoczęło się dnia 3 grudnia 2001 r. i że było nadal w toku w marcu 2011 r., tj. w miesiącu, w którym przekazano mu ostatnie </w:t>
      </w:r>
      <w:r w:rsidR="0031563D">
        <w:rPr>
          <w:lang w:val="pl"/>
        </w:rPr>
        <w:t>dokumenty</w:t>
      </w:r>
      <w:r>
        <w:rPr>
          <w:lang w:val="pl"/>
        </w:rPr>
        <w:t xml:space="preserve"> w tej sprawie.</w:t>
      </w:r>
    </w:p>
    <w:p w:rsidR="007A4BD5" w:rsidRPr="004752DA" w:rsidRDefault="007A4BD5" w:rsidP="007809E4">
      <w:pPr>
        <w:pStyle w:val="ECHRPara"/>
        <w:rPr>
          <w:lang w:val="pl-PL"/>
        </w:rPr>
      </w:pPr>
      <w:r>
        <w:rPr>
          <w:lang w:val="pl"/>
        </w:rPr>
        <w:t>67.  Zauważa również, że przedmiotowe postępowanie dotyczy stałego obowiązku, w ramach którego dłużnik jest zobowiązany co miesiąc wypłacać stronom skarżącym świadczenie alimentacyjne.</w:t>
      </w:r>
    </w:p>
    <w:p w:rsidR="00032211" w:rsidRPr="004752DA" w:rsidRDefault="007A4BD5" w:rsidP="007809E4">
      <w:pPr>
        <w:pStyle w:val="ECHRPara"/>
        <w:rPr>
          <w:lang w:val="pl-PL"/>
        </w:rPr>
      </w:pPr>
      <w:r>
        <w:rPr>
          <w:lang w:val="pl"/>
        </w:rPr>
        <w:t>68.  Nie wydaje się, aby wspomniane postępowanie by</w:t>
      </w:r>
      <w:r w:rsidR="0031563D">
        <w:rPr>
          <w:lang w:val="pl"/>
        </w:rPr>
        <w:t xml:space="preserve">ło szczególnie złożone lub aby </w:t>
      </w:r>
      <w:r>
        <w:rPr>
          <w:lang w:val="pl"/>
        </w:rPr>
        <w:t>skarżąc</w:t>
      </w:r>
      <w:r w:rsidR="0031563D">
        <w:rPr>
          <w:lang w:val="pl"/>
        </w:rPr>
        <w:t>y</w:t>
      </w:r>
      <w:r>
        <w:rPr>
          <w:lang w:val="pl"/>
        </w:rPr>
        <w:t xml:space="preserve"> szczególnie przyczyni</w:t>
      </w:r>
      <w:r w:rsidR="0031563D">
        <w:rPr>
          <w:lang w:val="pl"/>
        </w:rPr>
        <w:t>li</w:t>
      </w:r>
      <w:r>
        <w:rPr>
          <w:lang w:val="pl"/>
        </w:rPr>
        <w:t xml:space="preserve"> się do przedłużenia czasu jego trwania.</w:t>
      </w:r>
    </w:p>
    <w:p w:rsidR="007A4BD5" w:rsidRPr="004752DA" w:rsidRDefault="007A4BD5" w:rsidP="007809E4">
      <w:pPr>
        <w:pStyle w:val="ECHRPara"/>
        <w:rPr>
          <w:lang w:val="pl-PL"/>
        </w:rPr>
      </w:pPr>
      <w:r>
        <w:rPr>
          <w:lang w:val="pl"/>
        </w:rPr>
        <w:t>69.  W odniesieniu do postępowania władz krajowych odpowiedzialnych za przeprowadzenie kwestionowanego postępowania, Trybunał zauważa, że te ostatnie zareagowały zasadniczo szybko na wnioski skarżących dotyczących zastosowania środków egzekucyjnych (punkty 16, 18 i 27 powyżej).</w:t>
      </w:r>
    </w:p>
    <w:p w:rsidR="00032211" w:rsidRPr="004752DA" w:rsidRDefault="007A4BD5" w:rsidP="007809E4">
      <w:pPr>
        <w:pStyle w:val="ECHRPara"/>
        <w:rPr>
          <w:lang w:val="pl-PL"/>
        </w:rPr>
      </w:pPr>
      <w:r>
        <w:rPr>
          <w:lang w:val="pl"/>
        </w:rPr>
        <w:t xml:space="preserve">70.  Trybunał zauważa, że okres upływający między rozpoczęciem postępowania egzekucyjnego przeciwko nieruchomości a jego zakończeniem wynika głównie z oczekiwania na wynik postępowania w sprawie </w:t>
      </w:r>
      <w:r w:rsidR="004D64A5">
        <w:rPr>
          <w:lang w:val="pl"/>
        </w:rPr>
        <w:t>o podział majątku wspólnego</w:t>
      </w:r>
      <w:r>
        <w:rPr>
          <w:lang w:val="pl"/>
        </w:rPr>
        <w:t xml:space="preserve"> małż</w:t>
      </w:r>
      <w:r w:rsidR="004D64A5">
        <w:rPr>
          <w:lang w:val="pl"/>
        </w:rPr>
        <w:t>onków</w:t>
      </w:r>
      <w:r>
        <w:rPr>
          <w:lang w:val="pl"/>
        </w:rPr>
        <w:t xml:space="preserve"> (patrz punkt 38 powyżej). Zauważa, że w międzyczasie komornicy </w:t>
      </w:r>
      <w:r w:rsidR="004D64A5">
        <w:rPr>
          <w:lang w:val="pl"/>
        </w:rPr>
        <w:t xml:space="preserve">sądowi </w:t>
      </w:r>
      <w:r>
        <w:rPr>
          <w:lang w:val="pl"/>
        </w:rPr>
        <w:t xml:space="preserve">nie pozostawali bierni </w:t>
      </w:r>
      <w:r w:rsidR="004D64A5">
        <w:rPr>
          <w:lang w:val="pl"/>
        </w:rPr>
        <w:br/>
      </w:r>
      <w:r>
        <w:rPr>
          <w:lang w:val="pl"/>
        </w:rPr>
        <w:t xml:space="preserve">i podjęli różne kroki w celu sprzedaży nieruchomości </w:t>
      </w:r>
      <w:r w:rsidR="004D64A5">
        <w:rPr>
          <w:lang w:val="pl"/>
        </w:rPr>
        <w:t>w drodze licytacji publicznej</w:t>
      </w:r>
      <w:r>
        <w:rPr>
          <w:lang w:val="pl"/>
        </w:rPr>
        <w:t xml:space="preserve"> (punkty 22, 26, 30, 35, 40 i 41 powyżej). Podkreśla, że sprzedaż pojazdu należącego do byłego małżonka strony skarżącej została przeprowadzona wkrótce po zakończeniu postępowania w sprawie </w:t>
      </w:r>
      <w:r w:rsidR="00CB5D19">
        <w:rPr>
          <w:lang w:val="pl"/>
        </w:rPr>
        <w:t>podziału majątku wspólnego</w:t>
      </w:r>
      <w:r>
        <w:rPr>
          <w:lang w:val="pl"/>
        </w:rPr>
        <w:t xml:space="preserve"> (zob. punkt 39 powyżej). Stwierdza, że należyta staranność kolejnych komorników była kilkakrotnie kontrolowana przez sądy krajowe (zob. punkty 27, 28, 31 i 34 powyżej), które nie zidentyfikowały żadnych nieprawidłowości w </w:t>
      </w:r>
      <w:r w:rsidR="00367D52">
        <w:rPr>
          <w:lang w:val="pl"/>
        </w:rPr>
        <w:t>tym zakresie</w:t>
      </w:r>
      <w:r>
        <w:rPr>
          <w:lang w:val="pl"/>
        </w:rPr>
        <w:t xml:space="preserve">, z wyjątkiem </w:t>
      </w:r>
      <w:r>
        <w:rPr>
          <w:lang w:val="pl"/>
        </w:rPr>
        <w:lastRenderedPageBreak/>
        <w:t>tylko jednej sprawy dotyczącej drugiego komornika (patrz punkt 28 powyżej).</w:t>
      </w:r>
    </w:p>
    <w:p w:rsidR="007A4BD5" w:rsidRPr="004752DA" w:rsidRDefault="007A4BD5" w:rsidP="007809E4">
      <w:pPr>
        <w:pStyle w:val="ECHRPara"/>
        <w:rPr>
          <w:lang w:val="pl-PL"/>
        </w:rPr>
      </w:pPr>
      <w:r>
        <w:rPr>
          <w:lang w:val="pl"/>
        </w:rPr>
        <w:t xml:space="preserve">71.  Mając na względzie te okoliczności, Trybunał uważa, że czas trwania spornego postępowania nie naruszał </w:t>
      </w:r>
      <w:r w:rsidR="00E8022F">
        <w:rPr>
          <w:lang w:val="pl"/>
        </w:rPr>
        <w:t>prawa do rozpoznania sprawy w rozsądnym terminie</w:t>
      </w:r>
      <w:r>
        <w:rPr>
          <w:lang w:val="pl"/>
        </w:rPr>
        <w:t>.</w:t>
      </w:r>
    </w:p>
    <w:p w:rsidR="007A4BD5" w:rsidRPr="004752DA" w:rsidRDefault="007A4BD5" w:rsidP="007809E4">
      <w:pPr>
        <w:pStyle w:val="ECHRPara"/>
        <w:rPr>
          <w:lang w:val="pl-PL"/>
        </w:rPr>
      </w:pPr>
      <w:r>
        <w:rPr>
          <w:lang w:val="pl"/>
        </w:rPr>
        <w:t>72.  Wynika z tego, że skarga jest oczywiście bezzasadna i musi zostać odrzucona jako niedopuszczalna zgodnie z artykułem 35, paragrafy 3 i 4 Konwencji.</w:t>
      </w:r>
    </w:p>
    <w:p w:rsidR="00032211" w:rsidRPr="004752DA" w:rsidRDefault="007A4BD5" w:rsidP="007809E4">
      <w:pPr>
        <w:pStyle w:val="ECHRHeading2"/>
        <w:rPr>
          <w:lang w:val="pl-PL"/>
        </w:rPr>
      </w:pPr>
      <w:r>
        <w:rPr>
          <w:lang w:val="pl"/>
        </w:rPr>
        <w:t>B. Przedmiocie pozostałych zarzutów</w:t>
      </w:r>
    </w:p>
    <w:p w:rsidR="007A4BD5" w:rsidRPr="004752DA" w:rsidRDefault="007A4BD5" w:rsidP="007809E4">
      <w:pPr>
        <w:pStyle w:val="ECHRPara"/>
        <w:rPr>
          <w:lang w:val="pl-PL"/>
        </w:rPr>
      </w:pPr>
      <w:r>
        <w:rPr>
          <w:lang w:val="pl"/>
        </w:rPr>
        <w:t>73.  Powołując się na artykuł 6 Konwencji, skarżąc</w:t>
      </w:r>
      <w:r w:rsidR="007D7FCA">
        <w:rPr>
          <w:lang w:val="pl"/>
        </w:rPr>
        <w:t>y</w:t>
      </w:r>
      <w:r>
        <w:rPr>
          <w:lang w:val="pl"/>
        </w:rPr>
        <w:t xml:space="preserve"> skarżą się na nieskuteczność postępowania </w:t>
      </w:r>
      <w:r w:rsidR="004E7E93">
        <w:rPr>
          <w:lang w:val="pl"/>
        </w:rPr>
        <w:t>o egzekucję</w:t>
      </w:r>
      <w:r>
        <w:rPr>
          <w:lang w:val="pl"/>
        </w:rPr>
        <w:t xml:space="preserve"> wierzytelności alimentacyjnych.</w:t>
      </w:r>
    </w:p>
    <w:p w:rsidR="00032211" w:rsidRPr="004752DA" w:rsidRDefault="007A4BD5" w:rsidP="007809E4">
      <w:pPr>
        <w:pStyle w:val="ECHRPara"/>
        <w:rPr>
          <w:lang w:val="pl-PL"/>
        </w:rPr>
      </w:pPr>
      <w:r>
        <w:rPr>
          <w:lang w:val="pl"/>
        </w:rPr>
        <w:t>74.  Trybunał przypomina, że w odniesieniu do cywilnego postępowania egzekucyjnego, w zakresie, w jakim wierzyciel i dłużnik są osobami fizycznymi, obowiązek spoczywający zgodnie z artykułem 6 Konwencji na władzach działających w charakterze depozytariuszy władzy wykonawczej polega na działaniu z zachowaniem należytej staranności i wspieraniu strony skarżącej w jej działaniach zmierzających do wykonania wyroku wydanego w jej sprawie (</w:t>
      </w:r>
      <w:proofErr w:type="spellStart"/>
      <w:r>
        <w:rPr>
          <w:lang w:val="pl"/>
        </w:rPr>
        <w:t>Ciocan</w:t>
      </w:r>
      <w:proofErr w:type="spellEnd"/>
      <w:r>
        <w:rPr>
          <w:lang w:val="pl"/>
        </w:rPr>
        <w:t xml:space="preserve"> i inni przeciwko Rumunii, nr 6580/03, paragraf 29, 9 grudnia 2008 r.). Jeżeli dłużnikiem jest osoba fizyczna, państwo nie może zostać pociągnięte do odpowiedzialności za </w:t>
      </w:r>
      <w:r w:rsidR="009C7127">
        <w:rPr>
          <w:lang w:val="pl"/>
        </w:rPr>
        <w:t>brak egzekucji</w:t>
      </w:r>
      <w:r>
        <w:rPr>
          <w:lang w:val="pl"/>
        </w:rPr>
        <w:t xml:space="preserve"> roszczenia z powodu niewypłacalności </w:t>
      </w:r>
      <w:r w:rsidR="009C7127">
        <w:rPr>
          <w:lang w:val="pl"/>
        </w:rPr>
        <w:t>niepublicznego</w:t>
      </w:r>
      <w:r w:rsidR="009C7127">
        <w:rPr>
          <w:lang w:val="pl"/>
        </w:rPr>
        <w:t xml:space="preserve"> </w:t>
      </w:r>
      <w:r>
        <w:rPr>
          <w:lang w:val="pl"/>
        </w:rPr>
        <w:t>dłużnika (</w:t>
      </w:r>
      <w:proofErr w:type="spellStart"/>
      <w:r>
        <w:rPr>
          <w:lang w:val="pl"/>
        </w:rPr>
        <w:t>Ciprová</w:t>
      </w:r>
      <w:proofErr w:type="spellEnd"/>
      <w:r>
        <w:rPr>
          <w:lang w:val="pl"/>
        </w:rPr>
        <w:t xml:space="preserve"> przeciwko Republice czeskiej, nr 33273/03, 22 marca 2005 r.).</w:t>
      </w:r>
    </w:p>
    <w:p w:rsidR="007A4BD5" w:rsidRPr="004752DA" w:rsidRDefault="007A4BD5" w:rsidP="007809E4">
      <w:pPr>
        <w:pStyle w:val="ECHRPara"/>
        <w:rPr>
          <w:lang w:val="pl-PL"/>
        </w:rPr>
      </w:pPr>
      <w:r>
        <w:rPr>
          <w:lang w:val="pl"/>
        </w:rPr>
        <w:t xml:space="preserve">75.  W niniejszej sprawie Trybunał odsyła do swojego </w:t>
      </w:r>
      <w:r w:rsidR="005D76D0">
        <w:rPr>
          <w:lang w:val="pl"/>
        </w:rPr>
        <w:t>stanowiska</w:t>
      </w:r>
      <w:r>
        <w:rPr>
          <w:lang w:val="pl"/>
        </w:rPr>
        <w:t xml:space="preserve"> zawartego w punkcie 67 powyżej, dotyczącego przedmiotu postępowania egzekucyjnego. Zauważa, że różne działania egzekucyjne podejmowane przez władze na wniosek stron skarżących (zob. punkty 16, 39, 41 i 42 powyżej) skutkowały częściowym odzyskaniem należnych kwot. Z akt sprawy wynika, że majątek dłużnika był niewystarczający, by </w:t>
      </w:r>
      <w:r w:rsidR="007316A3">
        <w:rPr>
          <w:lang w:val="pl"/>
        </w:rPr>
        <w:t xml:space="preserve">mógł zaspokoić roszczenia </w:t>
      </w:r>
      <w:r>
        <w:rPr>
          <w:lang w:val="pl"/>
        </w:rPr>
        <w:t xml:space="preserve">skarżących (zobacz paragraf 27 powyżej) oraz że niedogodności spowodowane przez tę sytuację dla osób zainteresowanych zostały złagodzone w wyniku częściowego przejęcia kosztów przez organ właściwy w zakresie wypłaty zaległych świadczeń (patrz paragraf 19 powyżej). Trybunał zauważa, że większość </w:t>
      </w:r>
      <w:r w:rsidR="00AD7014">
        <w:rPr>
          <w:lang w:val="pl"/>
        </w:rPr>
        <w:t>wniosków</w:t>
      </w:r>
      <w:r>
        <w:rPr>
          <w:lang w:val="pl"/>
        </w:rPr>
        <w:t xml:space="preserve"> złożonych przez strony skarżące i skierowanych do kolejnych komorników została uwzględniona (punkty 16, 18, 31 i 40 powyżej) i że odrzucenie niektórych z nich było uzasadnione (zob. punkty 27 i 33 powyżej). Trybunał podkreśla, że strona skarżąca nie precyzuje, które środki egzekucyjne, spośród dostępnych środków, nie zostały wdrożone. Zauważa, że postępowanie kolejnych komorników było kilkakrotnie przedmiotem kontroli sądów krajowych i że kontrole te nie wykazały żadnych nieprawidłowości w tym zakresie, z wyjątkiem jednego przypadku (punkt 28 powyżej).</w:t>
      </w:r>
    </w:p>
    <w:p w:rsidR="007A4BD5" w:rsidRPr="004752DA" w:rsidRDefault="007A4BD5" w:rsidP="007809E4">
      <w:pPr>
        <w:pStyle w:val="ECHRPara"/>
        <w:rPr>
          <w:lang w:val="pl-PL"/>
        </w:rPr>
      </w:pPr>
      <w:r>
        <w:rPr>
          <w:lang w:val="pl"/>
        </w:rPr>
        <w:lastRenderedPageBreak/>
        <w:t>76.  Jeśli chodzi o kwestię, czy władze działały z zachowaniem należytej staranności, Trybunał odsyła do wniosku, do którego doszedł w punkcie 71 powyżej, zgodnie z którym wymóg rozsądnego terminu został spełniony w spornym postępowaniu.</w:t>
      </w:r>
    </w:p>
    <w:p w:rsidR="007A4BD5" w:rsidRPr="004752DA" w:rsidRDefault="007A4BD5" w:rsidP="007809E4">
      <w:pPr>
        <w:pStyle w:val="ECHRPara"/>
        <w:rPr>
          <w:lang w:val="pl-PL"/>
        </w:rPr>
      </w:pPr>
      <w:r>
        <w:rPr>
          <w:lang w:val="pl"/>
        </w:rPr>
        <w:t xml:space="preserve">77.  Podsumowując, Trybunał uznaje skargę za oczywiście bezzasadną </w:t>
      </w:r>
      <w:r w:rsidR="001011EF">
        <w:rPr>
          <w:lang w:val="pl"/>
        </w:rPr>
        <w:br/>
      </w:r>
      <w:r>
        <w:rPr>
          <w:lang w:val="pl"/>
        </w:rPr>
        <w:t>i odrzuca ją na podstawie artykułu 35, paragrafy 3 i 4 Konwencji</w:t>
      </w:r>
    </w:p>
    <w:p w:rsidR="00032211" w:rsidRPr="004752DA" w:rsidRDefault="007A4BD5" w:rsidP="007809E4">
      <w:pPr>
        <w:pStyle w:val="ECHRPara"/>
        <w:rPr>
          <w:lang w:val="pl-PL"/>
        </w:rPr>
      </w:pPr>
      <w:r>
        <w:rPr>
          <w:lang w:val="pl"/>
        </w:rPr>
        <w:t>78.  Odnosząc się do różnych postanowień Konwencji oraz postanowień artykułu 1 Protokołu nr 1, skarżąc</w:t>
      </w:r>
      <w:r w:rsidR="002417E9">
        <w:rPr>
          <w:lang w:val="pl"/>
        </w:rPr>
        <w:t>y</w:t>
      </w:r>
      <w:r>
        <w:rPr>
          <w:lang w:val="pl"/>
        </w:rPr>
        <w:t xml:space="preserve"> </w:t>
      </w:r>
      <w:r w:rsidR="002417E9">
        <w:rPr>
          <w:lang w:val="pl"/>
        </w:rPr>
        <w:t>kwestionują rozstrzygnięcie</w:t>
      </w:r>
      <w:r>
        <w:rPr>
          <w:lang w:val="pl"/>
        </w:rPr>
        <w:t xml:space="preserve"> </w:t>
      </w:r>
      <w:r w:rsidR="002417E9">
        <w:rPr>
          <w:lang w:val="pl"/>
        </w:rPr>
        <w:t>w przedmiocie podziału majątku wspólnego</w:t>
      </w:r>
      <w:r>
        <w:rPr>
          <w:lang w:val="pl"/>
        </w:rPr>
        <w:t>.</w:t>
      </w:r>
    </w:p>
    <w:p w:rsidR="007A4BD5" w:rsidRPr="004752DA" w:rsidRDefault="007A4BD5" w:rsidP="007809E4">
      <w:pPr>
        <w:pStyle w:val="ECHRPara"/>
        <w:rPr>
          <w:lang w:val="pl-PL"/>
        </w:rPr>
      </w:pPr>
      <w:r>
        <w:rPr>
          <w:lang w:val="pl"/>
        </w:rPr>
        <w:t xml:space="preserve">79.  W tym względzie Trybunał powtarza swoją uwagę w punkcie 56 powyżej, zgodnie z którą </w:t>
      </w:r>
      <w:r w:rsidR="00F2223C">
        <w:rPr>
          <w:lang w:val="pl"/>
        </w:rPr>
        <w:t>skarżący nie był</w:t>
      </w:r>
      <w:r>
        <w:rPr>
          <w:lang w:val="pl"/>
        </w:rPr>
        <w:t xml:space="preserve"> stroną </w:t>
      </w:r>
      <w:r w:rsidR="001011EF">
        <w:rPr>
          <w:lang w:val="pl"/>
        </w:rPr>
        <w:br/>
      </w:r>
      <w:r>
        <w:rPr>
          <w:lang w:val="pl"/>
        </w:rPr>
        <w:t>w kwestionowanym postępowaniu.</w:t>
      </w:r>
    </w:p>
    <w:p w:rsidR="007A4BD5" w:rsidRPr="004752DA" w:rsidRDefault="007A4BD5" w:rsidP="007809E4">
      <w:pPr>
        <w:pStyle w:val="ECHRPara"/>
        <w:rPr>
          <w:lang w:val="pl-PL"/>
        </w:rPr>
      </w:pPr>
      <w:r>
        <w:rPr>
          <w:lang w:val="pl"/>
        </w:rPr>
        <w:t xml:space="preserve">80.  W związku z tym, jeśli chodzi o </w:t>
      </w:r>
      <w:r w:rsidR="00F2223C">
        <w:rPr>
          <w:lang w:val="pl"/>
        </w:rPr>
        <w:t>skarżącego</w:t>
      </w:r>
      <w:r>
        <w:rPr>
          <w:lang w:val="pl"/>
        </w:rPr>
        <w:t xml:space="preserve">, Trybunał odrzuca ten zarzut w związku z niezgodnością </w:t>
      </w:r>
      <w:proofErr w:type="spellStart"/>
      <w:r>
        <w:rPr>
          <w:i/>
          <w:iCs/>
          <w:lang w:val="pl"/>
        </w:rPr>
        <w:t>ratione</w:t>
      </w:r>
      <w:proofErr w:type="spellEnd"/>
      <w:r>
        <w:rPr>
          <w:i/>
          <w:iCs/>
          <w:lang w:val="pl"/>
        </w:rPr>
        <w:t xml:space="preserve"> </w:t>
      </w:r>
      <w:proofErr w:type="spellStart"/>
      <w:r>
        <w:rPr>
          <w:i/>
          <w:iCs/>
          <w:lang w:val="pl"/>
        </w:rPr>
        <w:t>personae</w:t>
      </w:r>
      <w:proofErr w:type="spellEnd"/>
      <w:r>
        <w:rPr>
          <w:lang w:val="pl"/>
        </w:rPr>
        <w:t xml:space="preserve">, zgodnie </w:t>
      </w:r>
      <w:r w:rsidR="001011EF">
        <w:rPr>
          <w:lang w:val="pl"/>
        </w:rPr>
        <w:br/>
      </w:r>
      <w:r>
        <w:rPr>
          <w:lang w:val="pl"/>
        </w:rPr>
        <w:t>z artykułem 35, paragrafy 3 i 4 Konwencji.</w:t>
      </w:r>
    </w:p>
    <w:p w:rsidR="00032211" w:rsidRPr="004752DA" w:rsidRDefault="005F6DFC" w:rsidP="007809E4">
      <w:pPr>
        <w:pStyle w:val="ECHRPara"/>
        <w:rPr>
          <w:lang w:val="pl-PL"/>
        </w:rPr>
      </w:pPr>
      <w:r>
        <w:rPr>
          <w:lang w:val="pl"/>
        </w:rPr>
        <w:t xml:space="preserve">81.  Trybunał, kontynuując rozpatrywanie tego zarzutu w odniesieniu do skarżącej, zauważa, że strona zainteresowana nie wniosła skargi kasacyjnej od </w:t>
      </w:r>
      <w:r w:rsidR="00F2223C">
        <w:rPr>
          <w:lang w:val="pl"/>
        </w:rPr>
        <w:t>zakwestionowanego rozstrzygnięcia</w:t>
      </w:r>
      <w:r>
        <w:rPr>
          <w:lang w:val="pl"/>
        </w:rPr>
        <w:t>.</w:t>
      </w:r>
    </w:p>
    <w:p w:rsidR="007A4BD5" w:rsidRPr="004752DA" w:rsidRDefault="007A4BD5" w:rsidP="007809E4">
      <w:pPr>
        <w:pStyle w:val="ECHRPara"/>
        <w:rPr>
          <w:lang w:val="pl-PL"/>
        </w:rPr>
      </w:pPr>
      <w:r>
        <w:rPr>
          <w:lang w:val="pl"/>
        </w:rPr>
        <w:t xml:space="preserve">82.  Z powyższego wynika, że zarzut ten musi zostać odrzucony </w:t>
      </w:r>
      <w:r w:rsidR="001011EF">
        <w:rPr>
          <w:lang w:val="pl"/>
        </w:rPr>
        <w:br/>
      </w:r>
      <w:r>
        <w:rPr>
          <w:lang w:val="pl"/>
        </w:rPr>
        <w:t xml:space="preserve">z powodu niewyczerpania krajowych środków odwoławczych, zgodnie </w:t>
      </w:r>
      <w:r w:rsidR="001011EF">
        <w:rPr>
          <w:lang w:val="pl"/>
        </w:rPr>
        <w:br/>
      </w:r>
      <w:r w:rsidR="00E43A8B">
        <w:rPr>
          <w:lang w:val="pl"/>
        </w:rPr>
        <w:t xml:space="preserve">z artykułem 35 </w:t>
      </w:r>
      <w:r>
        <w:rPr>
          <w:lang w:val="pl"/>
        </w:rPr>
        <w:t>paragrafy 3 i 4 Konwencji.</w:t>
      </w:r>
    </w:p>
    <w:p w:rsidR="007A4BD5" w:rsidRPr="004752DA" w:rsidRDefault="00E43A8B" w:rsidP="007809E4">
      <w:pPr>
        <w:pStyle w:val="ECHRPara"/>
        <w:rPr>
          <w:lang w:val="pl-PL"/>
        </w:rPr>
      </w:pPr>
      <w:r>
        <w:rPr>
          <w:lang w:val="pl"/>
        </w:rPr>
        <w:t>83.  Powołując się na artykuł 6</w:t>
      </w:r>
      <w:r w:rsidR="007A4BD5">
        <w:rPr>
          <w:lang w:val="pl"/>
        </w:rPr>
        <w:t xml:space="preserve"> paragraf 1 Konwencji, skarżąca skarży się na obecność jej byłego prawnika na rozprawie </w:t>
      </w:r>
      <w:r>
        <w:rPr>
          <w:lang w:val="pl"/>
        </w:rPr>
        <w:t>s</w:t>
      </w:r>
      <w:r w:rsidR="007A4BD5">
        <w:rPr>
          <w:lang w:val="pl"/>
        </w:rPr>
        <w:t xml:space="preserve">ądu </w:t>
      </w:r>
      <w:r>
        <w:rPr>
          <w:lang w:val="pl"/>
        </w:rPr>
        <w:t>o</w:t>
      </w:r>
      <w:r w:rsidR="007A4BD5">
        <w:rPr>
          <w:lang w:val="pl"/>
        </w:rPr>
        <w:t xml:space="preserve">kręgowego w dniu 3 grudnia 2008 r. w postępowaniu dotyczącym </w:t>
      </w:r>
      <w:r>
        <w:rPr>
          <w:lang w:val="pl"/>
        </w:rPr>
        <w:t>podziału majątku wspólnego</w:t>
      </w:r>
      <w:r w:rsidR="007A4BD5">
        <w:rPr>
          <w:lang w:val="pl"/>
        </w:rPr>
        <w:t xml:space="preserve"> </w:t>
      </w:r>
      <w:r>
        <w:rPr>
          <w:lang w:val="pl"/>
        </w:rPr>
        <w:t>z udziałem</w:t>
      </w:r>
      <w:r w:rsidR="007A4BD5">
        <w:rPr>
          <w:lang w:val="pl"/>
        </w:rPr>
        <w:t xml:space="preserve"> był</w:t>
      </w:r>
      <w:r>
        <w:rPr>
          <w:lang w:val="pl"/>
        </w:rPr>
        <w:t>ego</w:t>
      </w:r>
      <w:r w:rsidR="007A4BD5">
        <w:rPr>
          <w:lang w:val="pl"/>
        </w:rPr>
        <w:t xml:space="preserve"> męż</w:t>
      </w:r>
      <w:r>
        <w:rPr>
          <w:lang w:val="pl"/>
        </w:rPr>
        <w:t>a</w:t>
      </w:r>
      <w:r w:rsidR="007A4BD5">
        <w:rPr>
          <w:lang w:val="pl"/>
        </w:rPr>
        <w:t>.</w:t>
      </w:r>
    </w:p>
    <w:p w:rsidR="007A4BD5" w:rsidRPr="004752DA" w:rsidRDefault="007A4BD5" w:rsidP="007809E4">
      <w:pPr>
        <w:pStyle w:val="ECHRPara"/>
        <w:rPr>
          <w:bCs/>
          <w:lang w:val="pl-PL"/>
        </w:rPr>
      </w:pPr>
      <w:r>
        <w:rPr>
          <w:lang w:val="pl"/>
        </w:rPr>
        <w:t>84.  Trybunał zauważa, że skarżąca, sama obecna na wyżej wspomnianej rozprawie, nie wykazała, że podniosła ten zarzut przed sądem krajowym.</w:t>
      </w:r>
    </w:p>
    <w:p w:rsidR="00032211" w:rsidRPr="004752DA" w:rsidRDefault="007A4BD5" w:rsidP="007809E4">
      <w:pPr>
        <w:pStyle w:val="ECHRPara"/>
        <w:rPr>
          <w:lang w:val="pl-PL"/>
        </w:rPr>
      </w:pPr>
      <w:r>
        <w:rPr>
          <w:lang w:val="pl"/>
        </w:rPr>
        <w:t>85.  W związku z powyższym, Trybunał odrzuca ten zarzut z powodu niewyczerpania krajowych środków odwoł</w:t>
      </w:r>
      <w:r w:rsidR="00E66614">
        <w:rPr>
          <w:lang w:val="pl"/>
        </w:rPr>
        <w:t>awczych, zgodnie z artykułem 35</w:t>
      </w:r>
      <w:r>
        <w:rPr>
          <w:lang w:val="pl"/>
        </w:rPr>
        <w:t xml:space="preserve"> paragrafy 1 i 4 Konwencji.</w:t>
      </w:r>
    </w:p>
    <w:p w:rsidR="007A4BD5" w:rsidRPr="004752DA" w:rsidRDefault="007A4BD5" w:rsidP="007809E4">
      <w:pPr>
        <w:pStyle w:val="ECHRPara"/>
        <w:rPr>
          <w:lang w:val="pl-PL"/>
        </w:rPr>
      </w:pPr>
      <w:r>
        <w:rPr>
          <w:lang w:val="pl"/>
        </w:rPr>
        <w:t xml:space="preserve">86.  Powołując się na artykuł 13 Konwencji, strona skarżąca zarzuca </w:t>
      </w:r>
      <w:r w:rsidR="00E66614">
        <w:rPr>
          <w:lang w:val="pl"/>
        </w:rPr>
        <w:t>Rzecznikowi praw Obywatelskich</w:t>
      </w:r>
      <w:r>
        <w:rPr>
          <w:lang w:val="pl"/>
        </w:rPr>
        <w:t xml:space="preserve"> odmowę wniesienia skargi kasacyjnej na jej korzyść.</w:t>
      </w:r>
    </w:p>
    <w:p w:rsidR="007A4BD5" w:rsidRPr="004752DA" w:rsidRDefault="007A4BD5" w:rsidP="007809E4">
      <w:pPr>
        <w:pStyle w:val="ECHRPara"/>
        <w:rPr>
          <w:lang w:val="pl-PL"/>
        </w:rPr>
      </w:pPr>
      <w:r>
        <w:rPr>
          <w:lang w:val="pl"/>
        </w:rPr>
        <w:t>87.  Trybunał przypomina, że jednorazowe środki odwoławcze, których zastosowanie zależy od uprawnień dyskrecjonalnych władzy, która nimi dysponuje, pozostają poza zakresem stosowania artykułu 13 Konwencji.</w:t>
      </w:r>
    </w:p>
    <w:p w:rsidR="007A4BD5" w:rsidRPr="004752DA" w:rsidRDefault="007A4BD5" w:rsidP="007809E4">
      <w:pPr>
        <w:pStyle w:val="ECHRPara"/>
        <w:rPr>
          <w:lang w:val="pl-PL"/>
        </w:rPr>
      </w:pPr>
      <w:r>
        <w:rPr>
          <w:lang w:val="pl"/>
        </w:rPr>
        <w:t>88.  W związku z powyższym, Trybunał odrzuca ten zarzut ze względu na niezgodność</w:t>
      </w:r>
      <w:r>
        <w:rPr>
          <w:i/>
          <w:iCs/>
          <w:lang w:val="pl"/>
        </w:rPr>
        <w:t xml:space="preserve"> </w:t>
      </w:r>
      <w:proofErr w:type="spellStart"/>
      <w:r>
        <w:rPr>
          <w:i/>
          <w:iCs/>
          <w:lang w:val="pl"/>
        </w:rPr>
        <w:t>ratione</w:t>
      </w:r>
      <w:proofErr w:type="spellEnd"/>
      <w:r>
        <w:rPr>
          <w:i/>
          <w:iCs/>
          <w:lang w:val="pl"/>
        </w:rPr>
        <w:t xml:space="preserve"> </w:t>
      </w:r>
      <w:proofErr w:type="spellStart"/>
      <w:r>
        <w:rPr>
          <w:i/>
          <w:iCs/>
          <w:lang w:val="pl"/>
        </w:rPr>
        <w:t>materiae</w:t>
      </w:r>
      <w:proofErr w:type="spellEnd"/>
      <w:r w:rsidR="008E6824">
        <w:rPr>
          <w:lang w:val="pl"/>
        </w:rPr>
        <w:t>, zgodnie z artykułem 35</w:t>
      </w:r>
      <w:bookmarkStart w:id="0" w:name="_GoBack"/>
      <w:bookmarkEnd w:id="0"/>
      <w:r>
        <w:rPr>
          <w:lang w:val="pl"/>
        </w:rPr>
        <w:t xml:space="preserve"> paragrafy 3 i 4 Konwencji.</w:t>
      </w:r>
    </w:p>
    <w:p w:rsidR="007A4BD5" w:rsidRPr="004752DA" w:rsidRDefault="007A4BD5" w:rsidP="007809E4">
      <w:pPr>
        <w:pStyle w:val="JuParaLast"/>
        <w:rPr>
          <w:lang w:val="pl-PL"/>
        </w:rPr>
      </w:pPr>
      <w:r>
        <w:rPr>
          <w:lang w:val="pl"/>
        </w:rPr>
        <w:t>Na podstawie powyższych rozważań, Trybunał jednogłośnie</w:t>
      </w:r>
    </w:p>
    <w:p w:rsidR="00032211" w:rsidRPr="004752DA" w:rsidRDefault="007A4BD5" w:rsidP="007809E4">
      <w:pPr>
        <w:pStyle w:val="DecList"/>
        <w:rPr>
          <w:lang w:val="pl-PL"/>
        </w:rPr>
      </w:pPr>
      <w:r>
        <w:rPr>
          <w:i/>
          <w:iCs/>
          <w:lang w:val="pl"/>
        </w:rPr>
        <w:t>Uznaje</w:t>
      </w:r>
      <w:r>
        <w:rPr>
          <w:lang w:val="pl"/>
        </w:rPr>
        <w:t xml:space="preserve"> skargę za niedopuszczalną.</w:t>
      </w:r>
    </w:p>
    <w:p w:rsidR="00050A32" w:rsidRPr="004752DA" w:rsidRDefault="00F40988" w:rsidP="007809E4">
      <w:pPr>
        <w:pStyle w:val="JuParaLast"/>
        <w:rPr>
          <w:lang w:val="pl-PL"/>
        </w:rPr>
      </w:pPr>
      <w:r>
        <w:rPr>
          <w:szCs w:val="24"/>
          <w:lang w:val="pl"/>
        </w:rPr>
        <w:lastRenderedPageBreak/>
        <w:t>Dokument sporządzono w języku francuskim, a następnie przekazano na piśmie w dniu 8 listopada 2018 r.</w:t>
      </w:r>
    </w:p>
    <w:p w:rsidR="00234E8A" w:rsidRPr="004752DA" w:rsidRDefault="00050A32" w:rsidP="007809E4">
      <w:pPr>
        <w:pStyle w:val="JuSigned"/>
        <w:rPr>
          <w:lang w:val="pl-PL"/>
        </w:rPr>
      </w:pPr>
      <w:r>
        <w:rPr>
          <w:lang w:val="pl"/>
        </w:rPr>
        <w:tab/>
      </w:r>
      <w:r>
        <w:rPr>
          <w:szCs w:val="24"/>
          <w:lang w:val="pl"/>
        </w:rPr>
        <w:t xml:space="preserve">Renata </w:t>
      </w:r>
      <w:proofErr w:type="spellStart"/>
      <w:r>
        <w:rPr>
          <w:szCs w:val="24"/>
          <w:lang w:val="pl"/>
        </w:rPr>
        <w:t>Degener</w:t>
      </w:r>
      <w:proofErr w:type="spellEnd"/>
      <w:r>
        <w:rPr>
          <w:lang w:val="pl"/>
        </w:rPr>
        <w:tab/>
      </w:r>
      <w:proofErr w:type="spellStart"/>
      <w:r>
        <w:rPr>
          <w:lang w:val="pl"/>
        </w:rPr>
        <w:t>Ksenija</w:t>
      </w:r>
      <w:proofErr w:type="spellEnd"/>
      <w:r>
        <w:rPr>
          <w:lang w:val="pl"/>
        </w:rPr>
        <w:t xml:space="preserve"> </w:t>
      </w:r>
      <w:proofErr w:type="spellStart"/>
      <w:r>
        <w:rPr>
          <w:lang w:val="pl"/>
        </w:rPr>
        <w:t>Turković</w:t>
      </w:r>
      <w:proofErr w:type="spellEnd"/>
      <w:r>
        <w:rPr>
          <w:lang w:val="pl"/>
        </w:rPr>
        <w:br/>
      </w:r>
      <w:r>
        <w:rPr>
          <w:lang w:val="pl"/>
        </w:rPr>
        <w:tab/>
      </w:r>
      <w:r>
        <w:rPr>
          <w:szCs w:val="24"/>
          <w:lang w:val="pl"/>
        </w:rPr>
        <w:t>Zastępca sekretarza</w:t>
      </w:r>
      <w:r>
        <w:rPr>
          <w:lang w:val="pl"/>
        </w:rPr>
        <w:tab/>
        <w:t>Przewodnicząca</w:t>
      </w:r>
    </w:p>
    <w:sectPr w:rsidR="00234E8A" w:rsidRPr="004752DA" w:rsidSect="00AF7102">
      <w:headerReference w:type="even" r:id="rId12"/>
      <w:headerReference w:type="default" r:id="rId13"/>
      <w:headerReference w:type="first" r:id="rId14"/>
      <w:footerReference w:type="first" r:id="rId15"/>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263" w:rsidRPr="007A6280" w:rsidRDefault="00FB2263" w:rsidP="006544C4">
      <w:r>
        <w:separator/>
      </w:r>
    </w:p>
  </w:endnote>
  <w:endnote w:type="continuationSeparator" w:id="0">
    <w:p w:rsidR="00FB2263" w:rsidRPr="007A6280" w:rsidRDefault="00FB2263" w:rsidP="00654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D5" w:rsidRPr="00150BFA" w:rsidRDefault="007A4BD5" w:rsidP="0020718E">
    <w:pPr>
      <w:jc w:val="center"/>
    </w:pPr>
    <w:r>
      <w:rPr>
        <w:noProof/>
        <w:lang w:val="pl-PL" w:eastAsia="pl-PL"/>
      </w:rPr>
      <w:drawing>
        <wp:inline distT="0" distB="0" distL="0" distR="0" wp14:anchorId="198C2801" wp14:editId="30E77FE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D62" w:rsidRPr="007A6280" w:rsidRDefault="00FB2263" w:rsidP="003146E4">
    <w:pPr>
      <w:jc w:val="center"/>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263" w:rsidRPr="007A6280" w:rsidRDefault="00FB2263" w:rsidP="006544C4">
      <w:r>
        <w:separator/>
      </w:r>
    </w:p>
  </w:footnote>
  <w:footnote w:type="continuationSeparator" w:id="0">
    <w:p w:rsidR="00FB2263" w:rsidRPr="007A6280" w:rsidRDefault="00FB2263" w:rsidP="00654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62" w:rsidRPr="004752DA" w:rsidRDefault="006F47B0" w:rsidP="003312A3">
    <w:pPr>
      <w:pStyle w:val="ECHR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8E6824">
      <w:rPr>
        <w:rStyle w:val="Numerstrony"/>
        <w:noProof/>
        <w:lang w:val="pl"/>
      </w:rPr>
      <w:t>14</w:t>
    </w:r>
    <w:r>
      <w:rPr>
        <w:rStyle w:val="Numerstrony"/>
        <w:lang w:val="pl"/>
      </w:rPr>
      <w:fldChar w:fldCharType="end"/>
    </w:r>
    <w:r>
      <w:rPr>
        <w:lang w:val="pl"/>
      </w:rPr>
      <w:tab/>
      <w:t>DECYZJA W SPRAWIE WROŃSCY PRZECIWKO POLSCE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62" w:rsidRPr="004752DA" w:rsidRDefault="00334EC5" w:rsidP="006544C4">
    <w:pPr>
      <w:pStyle w:val="ECHRHeader"/>
      <w:rPr>
        <w:lang w:val="pl-PL"/>
      </w:rPr>
    </w:pPr>
    <w:r>
      <w:rPr>
        <w:lang w:val="pl"/>
      </w:rPr>
      <w:tab/>
      <w:t>DECYZJA W SPRAWIE WROŃSCY PRZECIWKO POLSCE</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8E6824">
      <w:rPr>
        <w:rStyle w:val="Numerstrony"/>
        <w:noProof/>
        <w:lang w:val="pl"/>
      </w:rPr>
      <w:t>13</w:t>
    </w:r>
    <w:r>
      <w:rPr>
        <w:rStyle w:val="Numerstrony"/>
        <w:lang w:val="p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D5" w:rsidRPr="00A45145" w:rsidRDefault="007A4BD5" w:rsidP="00A45145">
    <w:pPr>
      <w:jc w:val="center"/>
    </w:pPr>
    <w:r>
      <w:rPr>
        <w:noProof/>
        <w:lang w:val="pl-PL" w:eastAsia="pl-PL"/>
      </w:rPr>
      <w:drawing>
        <wp:inline distT="0" distB="0" distL="0" distR="0" wp14:anchorId="071608AF" wp14:editId="7357CFB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D62" w:rsidRPr="007A6280" w:rsidRDefault="00FB2263" w:rsidP="003146E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6C560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784B494"/>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52BEA742"/>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50CE4694"/>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BBB0CDAA"/>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D3FAB61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97A584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3A5A10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DE83B6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215E9F46"/>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CD2930"/>
    <w:multiLevelType w:val="multilevel"/>
    <w:tmpl w:val="0409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A4BD5"/>
    <w:rsid w:val="0000159D"/>
    <w:rsid w:val="000018FE"/>
    <w:rsid w:val="000041F8"/>
    <w:rsid w:val="000042A8"/>
    <w:rsid w:val="00004308"/>
    <w:rsid w:val="0000520F"/>
    <w:rsid w:val="00005BF0"/>
    <w:rsid w:val="00007154"/>
    <w:rsid w:val="000103AE"/>
    <w:rsid w:val="00011D69"/>
    <w:rsid w:val="00012AD3"/>
    <w:rsid w:val="00015C2D"/>
    <w:rsid w:val="00015F00"/>
    <w:rsid w:val="00022C1D"/>
    <w:rsid w:val="00023456"/>
    <w:rsid w:val="000279B8"/>
    <w:rsid w:val="00032211"/>
    <w:rsid w:val="00034987"/>
    <w:rsid w:val="0004153D"/>
    <w:rsid w:val="00050A32"/>
    <w:rsid w:val="000602DF"/>
    <w:rsid w:val="00061B05"/>
    <w:rsid w:val="000632D5"/>
    <w:rsid w:val="000644EE"/>
    <w:rsid w:val="000670A8"/>
    <w:rsid w:val="0007216A"/>
    <w:rsid w:val="000925AD"/>
    <w:rsid w:val="000A24EB"/>
    <w:rsid w:val="000B6923"/>
    <w:rsid w:val="000C5F3C"/>
    <w:rsid w:val="000C6DCC"/>
    <w:rsid w:val="000D47AA"/>
    <w:rsid w:val="000D721F"/>
    <w:rsid w:val="000E069B"/>
    <w:rsid w:val="000E0E82"/>
    <w:rsid w:val="000E1DC5"/>
    <w:rsid w:val="000E223F"/>
    <w:rsid w:val="000E7D45"/>
    <w:rsid w:val="000F7851"/>
    <w:rsid w:val="001011EF"/>
    <w:rsid w:val="00104E23"/>
    <w:rsid w:val="00106020"/>
    <w:rsid w:val="0011089F"/>
    <w:rsid w:val="00111310"/>
    <w:rsid w:val="00111B0C"/>
    <w:rsid w:val="00112EA5"/>
    <w:rsid w:val="00120D6C"/>
    <w:rsid w:val="001257EC"/>
    <w:rsid w:val="00133D33"/>
    <w:rsid w:val="00134D64"/>
    <w:rsid w:val="00135A30"/>
    <w:rsid w:val="0013612C"/>
    <w:rsid w:val="00137FF6"/>
    <w:rsid w:val="00141650"/>
    <w:rsid w:val="00162A12"/>
    <w:rsid w:val="00166234"/>
    <w:rsid w:val="00166530"/>
    <w:rsid w:val="0016678F"/>
    <w:rsid w:val="0017784E"/>
    <w:rsid w:val="001832BD"/>
    <w:rsid w:val="001837C2"/>
    <w:rsid w:val="001872BC"/>
    <w:rsid w:val="001943B5"/>
    <w:rsid w:val="00195134"/>
    <w:rsid w:val="001A145B"/>
    <w:rsid w:val="001A674C"/>
    <w:rsid w:val="001B3B24"/>
    <w:rsid w:val="001B74F1"/>
    <w:rsid w:val="001C0F98"/>
    <w:rsid w:val="001C2A42"/>
    <w:rsid w:val="001C39C0"/>
    <w:rsid w:val="001D63ED"/>
    <w:rsid w:val="001D7348"/>
    <w:rsid w:val="001E035B"/>
    <w:rsid w:val="001E0961"/>
    <w:rsid w:val="001E3EAE"/>
    <w:rsid w:val="001E6F32"/>
    <w:rsid w:val="001F2145"/>
    <w:rsid w:val="001F6262"/>
    <w:rsid w:val="001F67B0"/>
    <w:rsid w:val="001F7B3D"/>
    <w:rsid w:val="00205F9F"/>
    <w:rsid w:val="00210338"/>
    <w:rsid w:val="002115FC"/>
    <w:rsid w:val="00213F6D"/>
    <w:rsid w:val="0021423C"/>
    <w:rsid w:val="002151E7"/>
    <w:rsid w:val="00230D00"/>
    <w:rsid w:val="00231DF7"/>
    <w:rsid w:val="00231FD1"/>
    <w:rsid w:val="002339E0"/>
    <w:rsid w:val="00233CF8"/>
    <w:rsid w:val="00234D8F"/>
    <w:rsid w:val="00234E8A"/>
    <w:rsid w:val="0023575D"/>
    <w:rsid w:val="00237148"/>
    <w:rsid w:val="00240F98"/>
    <w:rsid w:val="0024118C"/>
    <w:rsid w:val="002417E9"/>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18F8"/>
    <w:rsid w:val="002C3040"/>
    <w:rsid w:val="002D022D"/>
    <w:rsid w:val="002D24BB"/>
    <w:rsid w:val="002E785F"/>
    <w:rsid w:val="002F278F"/>
    <w:rsid w:val="002F2AF7"/>
    <w:rsid w:val="002F7E1C"/>
    <w:rsid w:val="00301A75"/>
    <w:rsid w:val="00302F70"/>
    <w:rsid w:val="0030336F"/>
    <w:rsid w:val="0030375E"/>
    <w:rsid w:val="00312A30"/>
    <w:rsid w:val="0031563D"/>
    <w:rsid w:val="003161C0"/>
    <w:rsid w:val="00320F72"/>
    <w:rsid w:val="0032353A"/>
    <w:rsid w:val="0032463E"/>
    <w:rsid w:val="00326224"/>
    <w:rsid w:val="003312A3"/>
    <w:rsid w:val="00334EC5"/>
    <w:rsid w:val="00337EE4"/>
    <w:rsid w:val="00340FFD"/>
    <w:rsid w:val="003506B1"/>
    <w:rsid w:val="003520DE"/>
    <w:rsid w:val="0035621E"/>
    <w:rsid w:val="00356AC7"/>
    <w:rsid w:val="003609FA"/>
    <w:rsid w:val="00367D52"/>
    <w:rsid w:val="003710C8"/>
    <w:rsid w:val="003750BE"/>
    <w:rsid w:val="00376D5A"/>
    <w:rsid w:val="00381AF0"/>
    <w:rsid w:val="003837B4"/>
    <w:rsid w:val="00387B9D"/>
    <w:rsid w:val="0039055E"/>
    <w:rsid w:val="0039364F"/>
    <w:rsid w:val="00396686"/>
    <w:rsid w:val="0039778E"/>
    <w:rsid w:val="003B4941"/>
    <w:rsid w:val="003C5714"/>
    <w:rsid w:val="003C5F5B"/>
    <w:rsid w:val="003C6B9F"/>
    <w:rsid w:val="003C6E2A"/>
    <w:rsid w:val="003D0299"/>
    <w:rsid w:val="003D1A95"/>
    <w:rsid w:val="003E35A0"/>
    <w:rsid w:val="003E56D7"/>
    <w:rsid w:val="003E6D80"/>
    <w:rsid w:val="003E747B"/>
    <w:rsid w:val="003F05FA"/>
    <w:rsid w:val="003F244A"/>
    <w:rsid w:val="003F30B8"/>
    <w:rsid w:val="003F4C45"/>
    <w:rsid w:val="003F521A"/>
    <w:rsid w:val="003F5F7B"/>
    <w:rsid w:val="003F7D64"/>
    <w:rsid w:val="004047FE"/>
    <w:rsid w:val="00414300"/>
    <w:rsid w:val="00425C67"/>
    <w:rsid w:val="00427DEC"/>
    <w:rsid w:val="00427E7A"/>
    <w:rsid w:val="004366ED"/>
    <w:rsid w:val="00436C49"/>
    <w:rsid w:val="00445366"/>
    <w:rsid w:val="00447F5B"/>
    <w:rsid w:val="00461DB0"/>
    <w:rsid w:val="00463926"/>
    <w:rsid w:val="00464C9A"/>
    <w:rsid w:val="00466BC9"/>
    <w:rsid w:val="00474F3D"/>
    <w:rsid w:val="004752DA"/>
    <w:rsid w:val="00477E3A"/>
    <w:rsid w:val="00483E5F"/>
    <w:rsid w:val="00485FF9"/>
    <w:rsid w:val="00487343"/>
    <w:rsid w:val="004907F0"/>
    <w:rsid w:val="0049140B"/>
    <w:rsid w:val="004923A5"/>
    <w:rsid w:val="00495FE8"/>
    <w:rsid w:val="00496BFB"/>
    <w:rsid w:val="004A15C7"/>
    <w:rsid w:val="004B013B"/>
    <w:rsid w:val="004B112B"/>
    <w:rsid w:val="004B4D9C"/>
    <w:rsid w:val="004C01E4"/>
    <w:rsid w:val="004C086C"/>
    <w:rsid w:val="004C1F56"/>
    <w:rsid w:val="004C27BC"/>
    <w:rsid w:val="004D15F3"/>
    <w:rsid w:val="004D5311"/>
    <w:rsid w:val="004D5DCC"/>
    <w:rsid w:val="004D64A5"/>
    <w:rsid w:val="004E7E93"/>
    <w:rsid w:val="004F10AF"/>
    <w:rsid w:val="004F11A4"/>
    <w:rsid w:val="004F2389"/>
    <w:rsid w:val="004F304D"/>
    <w:rsid w:val="004F61BE"/>
    <w:rsid w:val="004F66B1"/>
    <w:rsid w:val="0050795E"/>
    <w:rsid w:val="00511C07"/>
    <w:rsid w:val="005173A6"/>
    <w:rsid w:val="00520BAA"/>
    <w:rsid w:val="00525208"/>
    <w:rsid w:val="005257A5"/>
    <w:rsid w:val="005264C0"/>
    <w:rsid w:val="00526A8A"/>
    <w:rsid w:val="00531DF2"/>
    <w:rsid w:val="00536E4F"/>
    <w:rsid w:val="005442EE"/>
    <w:rsid w:val="00547353"/>
    <w:rsid w:val="005474E7"/>
    <w:rsid w:val="005512A3"/>
    <w:rsid w:val="005578CE"/>
    <w:rsid w:val="00562781"/>
    <w:rsid w:val="0057271C"/>
    <w:rsid w:val="00572845"/>
    <w:rsid w:val="0058193F"/>
    <w:rsid w:val="005839DF"/>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D76D0"/>
    <w:rsid w:val="005E2988"/>
    <w:rsid w:val="005E3085"/>
    <w:rsid w:val="005E5CFF"/>
    <w:rsid w:val="005F51E1"/>
    <w:rsid w:val="005F6DFC"/>
    <w:rsid w:val="00602CCA"/>
    <w:rsid w:val="00606C8E"/>
    <w:rsid w:val="00611C80"/>
    <w:rsid w:val="00620692"/>
    <w:rsid w:val="006242CA"/>
    <w:rsid w:val="00627507"/>
    <w:rsid w:val="00633717"/>
    <w:rsid w:val="006344E1"/>
    <w:rsid w:val="006544C4"/>
    <w:rsid w:val="006545C4"/>
    <w:rsid w:val="00661971"/>
    <w:rsid w:val="00661CE8"/>
    <w:rsid w:val="006623D9"/>
    <w:rsid w:val="0066550C"/>
    <w:rsid w:val="006716F2"/>
    <w:rsid w:val="0067406C"/>
    <w:rsid w:val="00682BF2"/>
    <w:rsid w:val="006859CE"/>
    <w:rsid w:val="00691270"/>
    <w:rsid w:val="00694BA8"/>
    <w:rsid w:val="006A037C"/>
    <w:rsid w:val="006A28C9"/>
    <w:rsid w:val="006A36F4"/>
    <w:rsid w:val="006A406F"/>
    <w:rsid w:val="006A5D3A"/>
    <w:rsid w:val="006B7E08"/>
    <w:rsid w:val="006C23D4"/>
    <w:rsid w:val="006C296B"/>
    <w:rsid w:val="006C7BB0"/>
    <w:rsid w:val="006D1F2D"/>
    <w:rsid w:val="006D3237"/>
    <w:rsid w:val="006D35A4"/>
    <w:rsid w:val="006E2E37"/>
    <w:rsid w:val="006E3CF1"/>
    <w:rsid w:val="006E7E80"/>
    <w:rsid w:val="006F19B0"/>
    <w:rsid w:val="006F4645"/>
    <w:rsid w:val="006F47B0"/>
    <w:rsid w:val="006F48CA"/>
    <w:rsid w:val="006F64DD"/>
    <w:rsid w:val="0071349B"/>
    <w:rsid w:val="00713C17"/>
    <w:rsid w:val="00715127"/>
    <w:rsid w:val="00715E8E"/>
    <w:rsid w:val="00723580"/>
    <w:rsid w:val="00723755"/>
    <w:rsid w:val="00725B51"/>
    <w:rsid w:val="0073136C"/>
    <w:rsid w:val="007316A3"/>
    <w:rsid w:val="00731F0F"/>
    <w:rsid w:val="00733250"/>
    <w:rsid w:val="00741404"/>
    <w:rsid w:val="007449E5"/>
    <w:rsid w:val="00747FF0"/>
    <w:rsid w:val="00764D4E"/>
    <w:rsid w:val="00765A1F"/>
    <w:rsid w:val="00775B6D"/>
    <w:rsid w:val="00776D68"/>
    <w:rsid w:val="007809E4"/>
    <w:rsid w:val="007850EE"/>
    <w:rsid w:val="00785B95"/>
    <w:rsid w:val="00790E96"/>
    <w:rsid w:val="00793366"/>
    <w:rsid w:val="0079487A"/>
    <w:rsid w:val="007A4BD5"/>
    <w:rsid w:val="007A6280"/>
    <w:rsid w:val="007A716F"/>
    <w:rsid w:val="007B270A"/>
    <w:rsid w:val="007C0695"/>
    <w:rsid w:val="007C151F"/>
    <w:rsid w:val="007C419A"/>
    <w:rsid w:val="007C4CC8"/>
    <w:rsid w:val="007C5426"/>
    <w:rsid w:val="007C5798"/>
    <w:rsid w:val="007D1300"/>
    <w:rsid w:val="007D4832"/>
    <w:rsid w:val="007D7FCA"/>
    <w:rsid w:val="007E21B2"/>
    <w:rsid w:val="007E2C4E"/>
    <w:rsid w:val="007F1905"/>
    <w:rsid w:val="00801300"/>
    <w:rsid w:val="0080150C"/>
    <w:rsid w:val="00802C64"/>
    <w:rsid w:val="00805E52"/>
    <w:rsid w:val="008061D0"/>
    <w:rsid w:val="00810B38"/>
    <w:rsid w:val="008204C7"/>
    <w:rsid w:val="00820992"/>
    <w:rsid w:val="00823602"/>
    <w:rsid w:val="008255F5"/>
    <w:rsid w:val="0083014E"/>
    <w:rsid w:val="0083214A"/>
    <w:rsid w:val="00834220"/>
    <w:rsid w:val="00836071"/>
    <w:rsid w:val="00844907"/>
    <w:rsid w:val="00845723"/>
    <w:rsid w:val="00851EF9"/>
    <w:rsid w:val="008577FD"/>
    <w:rsid w:val="00860B03"/>
    <w:rsid w:val="0086497A"/>
    <w:rsid w:val="008713A1"/>
    <w:rsid w:val="008754AB"/>
    <w:rsid w:val="0088060C"/>
    <w:rsid w:val="00881887"/>
    <w:rsid w:val="00890EA2"/>
    <w:rsid w:val="00893576"/>
    <w:rsid w:val="00893E73"/>
    <w:rsid w:val="008A119A"/>
    <w:rsid w:val="008B02DC"/>
    <w:rsid w:val="008B0BD9"/>
    <w:rsid w:val="008B57CE"/>
    <w:rsid w:val="008C26DE"/>
    <w:rsid w:val="008C4AA6"/>
    <w:rsid w:val="008D2225"/>
    <w:rsid w:val="008D4752"/>
    <w:rsid w:val="008E271C"/>
    <w:rsid w:val="008E418E"/>
    <w:rsid w:val="008E5BC6"/>
    <w:rsid w:val="008E6824"/>
    <w:rsid w:val="008E6A25"/>
    <w:rsid w:val="008F5193"/>
    <w:rsid w:val="008F7C78"/>
    <w:rsid w:val="009013A7"/>
    <w:rsid w:val="009017FB"/>
    <w:rsid w:val="009017FC"/>
    <w:rsid w:val="0090506B"/>
    <w:rsid w:val="009050C9"/>
    <w:rsid w:val="009066FC"/>
    <w:rsid w:val="009140A3"/>
    <w:rsid w:val="009144A2"/>
    <w:rsid w:val="0091478F"/>
    <w:rsid w:val="0091510C"/>
    <w:rsid w:val="00924E78"/>
    <w:rsid w:val="009259AC"/>
    <w:rsid w:val="00925D6B"/>
    <w:rsid w:val="00926F38"/>
    <w:rsid w:val="00934301"/>
    <w:rsid w:val="00934A97"/>
    <w:rsid w:val="00936CD1"/>
    <w:rsid w:val="00941747"/>
    <w:rsid w:val="0094178F"/>
    <w:rsid w:val="00941EFB"/>
    <w:rsid w:val="009448FC"/>
    <w:rsid w:val="00947AFB"/>
    <w:rsid w:val="00951D7D"/>
    <w:rsid w:val="009630C7"/>
    <w:rsid w:val="00964C1B"/>
    <w:rsid w:val="00972B55"/>
    <w:rsid w:val="009743B7"/>
    <w:rsid w:val="00977DA8"/>
    <w:rsid w:val="0098228B"/>
    <w:rsid w:val="009828DA"/>
    <w:rsid w:val="00985BAB"/>
    <w:rsid w:val="00987552"/>
    <w:rsid w:val="009921E4"/>
    <w:rsid w:val="009B1B5F"/>
    <w:rsid w:val="009B1FC7"/>
    <w:rsid w:val="009B43C0"/>
    <w:rsid w:val="009B6673"/>
    <w:rsid w:val="009C191B"/>
    <w:rsid w:val="009C2BD6"/>
    <w:rsid w:val="009C7127"/>
    <w:rsid w:val="009D0C5A"/>
    <w:rsid w:val="009D7B8E"/>
    <w:rsid w:val="009E1F32"/>
    <w:rsid w:val="009E776C"/>
    <w:rsid w:val="009E7B7F"/>
    <w:rsid w:val="009F1D6B"/>
    <w:rsid w:val="009F410E"/>
    <w:rsid w:val="00A031E2"/>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383"/>
    <w:rsid w:val="00A724AE"/>
    <w:rsid w:val="00A73329"/>
    <w:rsid w:val="00A82359"/>
    <w:rsid w:val="00A83B4B"/>
    <w:rsid w:val="00A865D2"/>
    <w:rsid w:val="00A94C20"/>
    <w:rsid w:val="00A95D21"/>
    <w:rsid w:val="00AA227F"/>
    <w:rsid w:val="00AA3BC7"/>
    <w:rsid w:val="00AA754A"/>
    <w:rsid w:val="00AB099E"/>
    <w:rsid w:val="00AB4328"/>
    <w:rsid w:val="00AC6FC1"/>
    <w:rsid w:val="00AD4F05"/>
    <w:rsid w:val="00AD7014"/>
    <w:rsid w:val="00AE0A2E"/>
    <w:rsid w:val="00AE354C"/>
    <w:rsid w:val="00AF4B07"/>
    <w:rsid w:val="00AF6186"/>
    <w:rsid w:val="00AF7102"/>
    <w:rsid w:val="00AF7A3A"/>
    <w:rsid w:val="00B01FB0"/>
    <w:rsid w:val="00B160DB"/>
    <w:rsid w:val="00B20836"/>
    <w:rsid w:val="00B235BB"/>
    <w:rsid w:val="00B27A44"/>
    <w:rsid w:val="00B30BBF"/>
    <w:rsid w:val="00B33C03"/>
    <w:rsid w:val="00B44E56"/>
    <w:rsid w:val="00B46543"/>
    <w:rsid w:val="00B47D33"/>
    <w:rsid w:val="00B52BE0"/>
    <w:rsid w:val="00B54133"/>
    <w:rsid w:val="00B55062"/>
    <w:rsid w:val="00B60D89"/>
    <w:rsid w:val="00B622F1"/>
    <w:rsid w:val="00B638ED"/>
    <w:rsid w:val="00B66682"/>
    <w:rsid w:val="00B701ED"/>
    <w:rsid w:val="00B8086C"/>
    <w:rsid w:val="00B861B4"/>
    <w:rsid w:val="00B86DFE"/>
    <w:rsid w:val="00B87FB1"/>
    <w:rsid w:val="00B90990"/>
    <w:rsid w:val="00B922FF"/>
    <w:rsid w:val="00B9281E"/>
    <w:rsid w:val="00B93925"/>
    <w:rsid w:val="00B95187"/>
    <w:rsid w:val="00BA047B"/>
    <w:rsid w:val="00BA1CA3"/>
    <w:rsid w:val="00BA2D55"/>
    <w:rsid w:val="00BA71B1"/>
    <w:rsid w:val="00BB0637"/>
    <w:rsid w:val="00BB345F"/>
    <w:rsid w:val="00BB68EA"/>
    <w:rsid w:val="00BC1C27"/>
    <w:rsid w:val="00BC6BBF"/>
    <w:rsid w:val="00BD1572"/>
    <w:rsid w:val="00BE14E3"/>
    <w:rsid w:val="00BE3774"/>
    <w:rsid w:val="00BE41E5"/>
    <w:rsid w:val="00BF4109"/>
    <w:rsid w:val="00BF4CC3"/>
    <w:rsid w:val="00C024E4"/>
    <w:rsid w:val="00C054C7"/>
    <w:rsid w:val="00C057B5"/>
    <w:rsid w:val="00C22687"/>
    <w:rsid w:val="00C25040"/>
    <w:rsid w:val="00C32E4D"/>
    <w:rsid w:val="00C333A0"/>
    <w:rsid w:val="00C36408"/>
    <w:rsid w:val="00C36A81"/>
    <w:rsid w:val="00C41974"/>
    <w:rsid w:val="00C4495F"/>
    <w:rsid w:val="00C53F4A"/>
    <w:rsid w:val="00C54125"/>
    <w:rsid w:val="00C559CB"/>
    <w:rsid w:val="00C55B54"/>
    <w:rsid w:val="00C60967"/>
    <w:rsid w:val="00C6098E"/>
    <w:rsid w:val="00C6152C"/>
    <w:rsid w:val="00C62C8B"/>
    <w:rsid w:val="00C74810"/>
    <w:rsid w:val="00C90D68"/>
    <w:rsid w:val="00C939FE"/>
    <w:rsid w:val="00CA4BDA"/>
    <w:rsid w:val="00CB1F66"/>
    <w:rsid w:val="00CB2951"/>
    <w:rsid w:val="00CB5D19"/>
    <w:rsid w:val="00CB7CF9"/>
    <w:rsid w:val="00CD282B"/>
    <w:rsid w:val="00CD4C35"/>
    <w:rsid w:val="00CD5836"/>
    <w:rsid w:val="00CD7369"/>
    <w:rsid w:val="00CE0B0E"/>
    <w:rsid w:val="00CE3625"/>
    <w:rsid w:val="00CE3831"/>
    <w:rsid w:val="00CE6ED9"/>
    <w:rsid w:val="00D00ABB"/>
    <w:rsid w:val="00D00AFF"/>
    <w:rsid w:val="00D02EEC"/>
    <w:rsid w:val="00D03551"/>
    <w:rsid w:val="00D0400F"/>
    <w:rsid w:val="00D06A63"/>
    <w:rsid w:val="00D07E0E"/>
    <w:rsid w:val="00D11478"/>
    <w:rsid w:val="00D12F6F"/>
    <w:rsid w:val="00D15ED0"/>
    <w:rsid w:val="00D21B3E"/>
    <w:rsid w:val="00D21FED"/>
    <w:rsid w:val="00D24251"/>
    <w:rsid w:val="00D343E2"/>
    <w:rsid w:val="00D361A2"/>
    <w:rsid w:val="00D43F5E"/>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5D80"/>
    <w:rsid w:val="00DD6EE5"/>
    <w:rsid w:val="00DE386C"/>
    <w:rsid w:val="00DE4D35"/>
    <w:rsid w:val="00DF098B"/>
    <w:rsid w:val="00DF1114"/>
    <w:rsid w:val="00DF11C4"/>
    <w:rsid w:val="00DF210C"/>
    <w:rsid w:val="00DF2B36"/>
    <w:rsid w:val="00DF4B6A"/>
    <w:rsid w:val="00E02897"/>
    <w:rsid w:val="00E02C09"/>
    <w:rsid w:val="00E04D59"/>
    <w:rsid w:val="00E07DA1"/>
    <w:rsid w:val="00E123CB"/>
    <w:rsid w:val="00E17227"/>
    <w:rsid w:val="00E20E13"/>
    <w:rsid w:val="00E21DB2"/>
    <w:rsid w:val="00E21DBC"/>
    <w:rsid w:val="00E275D7"/>
    <w:rsid w:val="00E27CA4"/>
    <w:rsid w:val="00E27DBE"/>
    <w:rsid w:val="00E32AB1"/>
    <w:rsid w:val="00E36177"/>
    <w:rsid w:val="00E36C71"/>
    <w:rsid w:val="00E40404"/>
    <w:rsid w:val="00E41085"/>
    <w:rsid w:val="00E43A8B"/>
    <w:rsid w:val="00E44F64"/>
    <w:rsid w:val="00E459C6"/>
    <w:rsid w:val="00E47589"/>
    <w:rsid w:val="00E64915"/>
    <w:rsid w:val="00E661D4"/>
    <w:rsid w:val="00E66614"/>
    <w:rsid w:val="00E70091"/>
    <w:rsid w:val="00E720F5"/>
    <w:rsid w:val="00E76D47"/>
    <w:rsid w:val="00E8022F"/>
    <w:rsid w:val="00E849F7"/>
    <w:rsid w:val="00E8668A"/>
    <w:rsid w:val="00E90302"/>
    <w:rsid w:val="00E90568"/>
    <w:rsid w:val="00E97396"/>
    <w:rsid w:val="00EA185E"/>
    <w:rsid w:val="00EA592A"/>
    <w:rsid w:val="00EA6B28"/>
    <w:rsid w:val="00EB14E4"/>
    <w:rsid w:val="00EB32A5"/>
    <w:rsid w:val="00EB34ED"/>
    <w:rsid w:val="00EB7BE0"/>
    <w:rsid w:val="00EC315E"/>
    <w:rsid w:val="00EC78A3"/>
    <w:rsid w:val="00ED077C"/>
    <w:rsid w:val="00ED1190"/>
    <w:rsid w:val="00ED6544"/>
    <w:rsid w:val="00EE0277"/>
    <w:rsid w:val="00EE3E00"/>
    <w:rsid w:val="00EE5DD2"/>
    <w:rsid w:val="00F00A79"/>
    <w:rsid w:val="00F00E86"/>
    <w:rsid w:val="00F07C1E"/>
    <w:rsid w:val="00F105DB"/>
    <w:rsid w:val="00F132BC"/>
    <w:rsid w:val="00F13B88"/>
    <w:rsid w:val="00F13D80"/>
    <w:rsid w:val="00F15AB3"/>
    <w:rsid w:val="00F16AAA"/>
    <w:rsid w:val="00F21161"/>
    <w:rsid w:val="00F218EF"/>
    <w:rsid w:val="00F21BC7"/>
    <w:rsid w:val="00F2223C"/>
    <w:rsid w:val="00F266A2"/>
    <w:rsid w:val="00F32269"/>
    <w:rsid w:val="00F40988"/>
    <w:rsid w:val="00F56A6F"/>
    <w:rsid w:val="00F5709C"/>
    <w:rsid w:val="00F64EF1"/>
    <w:rsid w:val="00F70665"/>
    <w:rsid w:val="00F76668"/>
    <w:rsid w:val="00F8765F"/>
    <w:rsid w:val="00F90767"/>
    <w:rsid w:val="00F90EDF"/>
    <w:rsid w:val="00F9130D"/>
    <w:rsid w:val="00FA685B"/>
    <w:rsid w:val="00FB0C01"/>
    <w:rsid w:val="00FB2263"/>
    <w:rsid w:val="00FC18F2"/>
    <w:rsid w:val="00FC39E5"/>
    <w:rsid w:val="00FC3A78"/>
    <w:rsid w:val="00FD1005"/>
    <w:rsid w:val="00FD6C75"/>
    <w:rsid w:val="00FE6176"/>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A119A"/>
    <w:pPr>
      <w:jc w:val="both"/>
    </w:pPr>
    <w:rPr>
      <w:rFonts w:eastAsiaTheme="minorEastAsia"/>
      <w:sz w:val="24"/>
      <w:lang w:val="en-GB"/>
    </w:rPr>
  </w:style>
  <w:style w:type="paragraph" w:styleId="Nagwek1">
    <w:name w:val="heading 1"/>
    <w:basedOn w:val="Normalny"/>
    <w:next w:val="Normalny"/>
    <w:link w:val="Nagwek1Znak"/>
    <w:uiPriority w:val="99"/>
    <w:semiHidden/>
    <w:rsid w:val="008A11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A11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A119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A119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A119A"/>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8A11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A119A"/>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8A119A"/>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8A119A"/>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A119A"/>
    <w:rPr>
      <w:rFonts w:ascii="Tahoma" w:hAnsi="Tahoma" w:cs="Tahoma"/>
      <w:sz w:val="16"/>
      <w:szCs w:val="16"/>
    </w:rPr>
  </w:style>
  <w:style w:type="character" w:customStyle="1" w:styleId="TekstdymkaZnak">
    <w:name w:val="Tekst dymka Znak"/>
    <w:basedOn w:val="Domylnaczcionkaakapitu"/>
    <w:link w:val="Tekstdymka"/>
    <w:uiPriority w:val="99"/>
    <w:semiHidden/>
    <w:rsid w:val="008A119A"/>
    <w:rPr>
      <w:rFonts w:ascii="Tahoma" w:eastAsiaTheme="minorEastAsia" w:hAnsi="Tahoma" w:cs="Tahoma"/>
      <w:sz w:val="16"/>
      <w:szCs w:val="16"/>
      <w:lang w:val="en-GB"/>
    </w:rPr>
  </w:style>
  <w:style w:type="character" w:styleId="Tytuksiki">
    <w:name w:val="Book Title"/>
    <w:uiPriority w:val="99"/>
    <w:semiHidden/>
    <w:qFormat/>
    <w:rsid w:val="008A119A"/>
    <w:rPr>
      <w:i/>
      <w:iCs/>
      <w:smallCaps/>
      <w:spacing w:val="5"/>
    </w:rPr>
  </w:style>
  <w:style w:type="paragraph" w:customStyle="1" w:styleId="ECHRHeader">
    <w:name w:val="ECHR_Header"/>
    <w:aliases w:val="Ju_Header"/>
    <w:basedOn w:val="Nagwek"/>
    <w:uiPriority w:val="4"/>
    <w:qFormat/>
    <w:rsid w:val="008A119A"/>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8A119A"/>
    <w:rPr>
      <w:color w:val="00B050"/>
    </w:rPr>
  </w:style>
  <w:style w:type="character" w:styleId="Pogrubienie">
    <w:name w:val="Strong"/>
    <w:uiPriority w:val="99"/>
    <w:semiHidden/>
    <w:qFormat/>
    <w:rsid w:val="008A119A"/>
    <w:rPr>
      <w:b/>
      <w:bCs/>
    </w:rPr>
  </w:style>
  <w:style w:type="paragraph" w:styleId="Bezodstpw">
    <w:name w:val="No Spacing"/>
    <w:basedOn w:val="Normalny"/>
    <w:link w:val="BezodstpwZnak"/>
    <w:semiHidden/>
    <w:qFormat/>
    <w:rsid w:val="008A119A"/>
    <w:rPr>
      <w:sz w:val="22"/>
      <w:lang w:val="en-US"/>
    </w:rPr>
  </w:style>
  <w:style w:type="character" w:customStyle="1" w:styleId="BezodstpwZnak">
    <w:name w:val="Bez odstępów Znak"/>
    <w:basedOn w:val="Domylnaczcionkaakapitu"/>
    <w:link w:val="Bezodstpw"/>
    <w:semiHidden/>
    <w:rsid w:val="008A119A"/>
    <w:rPr>
      <w:rFonts w:eastAsiaTheme="minorEastAsia"/>
    </w:rPr>
  </w:style>
  <w:style w:type="paragraph" w:customStyle="1" w:styleId="JuAppQuestion">
    <w:name w:val="Ju_App_Question"/>
    <w:basedOn w:val="Normalny"/>
    <w:uiPriority w:val="5"/>
    <w:qFormat/>
    <w:rsid w:val="008A119A"/>
    <w:pPr>
      <w:numPr>
        <w:numId w:val="33"/>
      </w:numPr>
      <w:jc w:val="left"/>
    </w:pPr>
    <w:rPr>
      <w:b/>
    </w:rPr>
  </w:style>
  <w:style w:type="paragraph" w:customStyle="1" w:styleId="ECHRParaQuote">
    <w:name w:val="ECHR_Para_Quote"/>
    <w:aliases w:val="Ju_Quot"/>
    <w:basedOn w:val="Normalny"/>
    <w:uiPriority w:val="14"/>
    <w:qFormat/>
    <w:rsid w:val="008A119A"/>
    <w:pPr>
      <w:spacing w:before="120" w:after="120"/>
      <w:ind w:left="425" w:firstLine="142"/>
    </w:pPr>
    <w:rPr>
      <w:sz w:val="20"/>
    </w:rPr>
  </w:style>
  <w:style w:type="paragraph" w:customStyle="1" w:styleId="JuCase">
    <w:name w:val="Ju_Case"/>
    <w:basedOn w:val="Normalny"/>
    <w:next w:val="ECHRPara"/>
    <w:uiPriority w:val="10"/>
    <w:semiHidden/>
    <w:rsid w:val="008A119A"/>
    <w:pPr>
      <w:ind w:firstLine="284"/>
    </w:pPr>
    <w:rPr>
      <w:b/>
    </w:rPr>
  </w:style>
  <w:style w:type="paragraph" w:customStyle="1" w:styleId="JuCourt">
    <w:name w:val="Ju_Court"/>
    <w:basedOn w:val="Normalny"/>
    <w:next w:val="Normalny"/>
    <w:uiPriority w:val="16"/>
    <w:qFormat/>
    <w:rsid w:val="008A119A"/>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8A119A"/>
    <w:pPr>
      <w:tabs>
        <w:tab w:val="center" w:pos="6407"/>
      </w:tabs>
      <w:spacing w:before="720"/>
      <w:jc w:val="right"/>
    </w:pPr>
  </w:style>
  <w:style w:type="paragraph" w:customStyle="1" w:styleId="JuList">
    <w:name w:val="Ju_List"/>
    <w:basedOn w:val="Normalny"/>
    <w:uiPriority w:val="28"/>
    <w:qFormat/>
    <w:rsid w:val="008A119A"/>
    <w:pPr>
      <w:ind w:left="340" w:hanging="340"/>
    </w:pPr>
  </w:style>
  <w:style w:type="paragraph" w:customStyle="1" w:styleId="ECHRTitleCentre3">
    <w:name w:val="ECHR_Title_Centre_3"/>
    <w:aliases w:val="Ju_H_Article"/>
    <w:basedOn w:val="Normalny"/>
    <w:next w:val="ECHRParaQuote"/>
    <w:uiPriority w:val="27"/>
    <w:qFormat/>
    <w:rsid w:val="008A119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A119A"/>
    <w:pPr>
      <w:keepNext/>
      <w:keepLines/>
      <w:spacing w:after="240"/>
      <w:jc w:val="center"/>
      <w:outlineLvl w:val="0"/>
    </w:pPr>
    <w:rPr>
      <w:rFonts w:asciiTheme="majorHAnsi" w:hAnsiTheme="majorHAnsi"/>
      <w:sz w:val="28"/>
    </w:rPr>
  </w:style>
  <w:style w:type="paragraph" w:customStyle="1" w:styleId="JuLista">
    <w:name w:val="Ju_List_a"/>
    <w:basedOn w:val="JuList"/>
    <w:uiPriority w:val="28"/>
    <w:qFormat/>
    <w:rsid w:val="008A119A"/>
    <w:pPr>
      <w:ind w:left="346" w:firstLine="0"/>
    </w:pPr>
  </w:style>
  <w:style w:type="paragraph" w:customStyle="1" w:styleId="ECHRTitle1">
    <w:name w:val="ECHR_Title_1"/>
    <w:aliases w:val="Ju_H_Head"/>
    <w:basedOn w:val="Normalny"/>
    <w:next w:val="ECHRPara"/>
    <w:uiPriority w:val="18"/>
    <w:qFormat/>
    <w:rsid w:val="008A119A"/>
    <w:pPr>
      <w:keepNext/>
      <w:keepLines/>
      <w:spacing w:before="720" w:after="240"/>
      <w:outlineLvl w:val="0"/>
    </w:pPr>
    <w:rPr>
      <w:rFonts w:asciiTheme="majorHAnsi" w:hAnsiTheme="majorHAnsi"/>
      <w:sz w:val="28"/>
    </w:rPr>
  </w:style>
  <w:style w:type="paragraph" w:customStyle="1" w:styleId="JuListi">
    <w:name w:val="Ju_List_i"/>
    <w:basedOn w:val="Normalny"/>
    <w:next w:val="JuLista"/>
    <w:uiPriority w:val="28"/>
    <w:qFormat/>
    <w:rsid w:val="008A119A"/>
    <w:pPr>
      <w:ind w:left="794"/>
    </w:pPr>
  </w:style>
  <w:style w:type="paragraph" w:styleId="Tytu">
    <w:name w:val="Title"/>
    <w:basedOn w:val="Normalny"/>
    <w:next w:val="Normalny"/>
    <w:link w:val="TytuZnak"/>
    <w:uiPriority w:val="99"/>
    <w:semiHidden/>
    <w:qFormat/>
    <w:rsid w:val="008A119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8A119A"/>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8A119A"/>
    <w:rPr>
      <w:caps w:val="0"/>
      <w:smallCaps/>
    </w:rPr>
  </w:style>
  <w:style w:type="paragraph" w:customStyle="1" w:styleId="JuParaSub">
    <w:name w:val="Ju_Para_Sub"/>
    <w:basedOn w:val="ECHRPara"/>
    <w:uiPriority w:val="13"/>
    <w:qFormat/>
    <w:rsid w:val="008A119A"/>
    <w:pPr>
      <w:ind w:left="284"/>
    </w:pPr>
  </w:style>
  <w:style w:type="character" w:customStyle="1" w:styleId="JuITMark">
    <w:name w:val="Ju_ITMark"/>
    <w:basedOn w:val="Domylnaczcionkaakapitu"/>
    <w:uiPriority w:val="38"/>
    <w:qFormat/>
    <w:rsid w:val="008A119A"/>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8A119A"/>
    <w:pPr>
      <w:ind w:left="567"/>
    </w:pPr>
  </w:style>
  <w:style w:type="paragraph" w:customStyle="1" w:styleId="JuTitle">
    <w:name w:val="Ju_Title"/>
    <w:basedOn w:val="Normalny"/>
    <w:next w:val="ECHRPara"/>
    <w:uiPriority w:val="3"/>
    <w:qFormat/>
    <w:rsid w:val="008A119A"/>
    <w:pPr>
      <w:spacing w:before="720" w:after="240"/>
      <w:jc w:val="center"/>
      <w:outlineLvl w:val="0"/>
    </w:pPr>
    <w:rPr>
      <w:rFonts w:asciiTheme="majorHAnsi" w:hAnsiTheme="majorHAnsi"/>
      <w:b/>
      <w:caps/>
    </w:rPr>
  </w:style>
  <w:style w:type="paragraph" w:customStyle="1" w:styleId="ECHRHeading1">
    <w:name w:val="ECHR_Heading_1"/>
    <w:aliases w:val="Ju_H_I_Roman"/>
    <w:basedOn w:val="Nagwek1"/>
    <w:next w:val="ECHRPara"/>
    <w:uiPriority w:val="19"/>
    <w:qFormat/>
    <w:rsid w:val="008A11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A119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8A119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A119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A119A"/>
    <w:rPr>
      <w:sz w:val="24"/>
      <w:lang w:val="en-GB"/>
    </w:rPr>
  </w:style>
  <w:style w:type="character" w:customStyle="1" w:styleId="Nagwek1Znak">
    <w:name w:val="Nagłówek 1 Znak"/>
    <w:basedOn w:val="Domylnaczcionkaakapitu"/>
    <w:link w:val="Nagwek1"/>
    <w:uiPriority w:val="99"/>
    <w:semiHidden/>
    <w:rsid w:val="008A119A"/>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8A11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A119A"/>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8A119A"/>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8A119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A119A"/>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8A119A"/>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8A119A"/>
    <w:pPr>
      <w:keepNext/>
      <w:keepLines/>
      <w:spacing w:before="240"/>
      <w:ind w:firstLine="284"/>
    </w:pPr>
  </w:style>
  <w:style w:type="paragraph" w:customStyle="1" w:styleId="DecList">
    <w:name w:val="Dec_List"/>
    <w:basedOn w:val="Normalny"/>
    <w:uiPriority w:val="9"/>
    <w:qFormat/>
    <w:rsid w:val="008A119A"/>
    <w:pPr>
      <w:spacing w:before="240"/>
      <w:ind w:left="284"/>
    </w:pPr>
  </w:style>
  <w:style w:type="character" w:customStyle="1" w:styleId="Nagwek4Znak">
    <w:name w:val="Nagłówek 4 Znak"/>
    <w:basedOn w:val="Domylnaczcionkaakapitu"/>
    <w:link w:val="Nagwek4"/>
    <w:uiPriority w:val="99"/>
    <w:semiHidden/>
    <w:rsid w:val="008A119A"/>
    <w:rPr>
      <w:rFonts w:asciiTheme="majorHAnsi" w:eastAsiaTheme="majorEastAsia" w:hAnsiTheme="majorHAnsi" w:cstheme="majorBidi"/>
      <w:b/>
      <w:bCs/>
      <w:i/>
      <w:iCs/>
      <w:color w:val="777777"/>
      <w:sz w:val="24"/>
      <w:lang w:val="en-GB"/>
    </w:rPr>
  </w:style>
  <w:style w:type="paragraph" w:customStyle="1" w:styleId="ECHRDecisionBody">
    <w:name w:val="ECHR_Decision_Body"/>
    <w:aliases w:val="Ju_Judges"/>
    <w:basedOn w:val="Normalny"/>
    <w:uiPriority w:val="11"/>
    <w:qFormat/>
    <w:rsid w:val="008A119A"/>
    <w:pPr>
      <w:tabs>
        <w:tab w:val="left" w:pos="567"/>
        <w:tab w:val="left" w:pos="1134"/>
      </w:tabs>
      <w:jc w:val="left"/>
    </w:pPr>
  </w:style>
  <w:style w:type="character" w:customStyle="1" w:styleId="Nagwek5Znak">
    <w:name w:val="Nagłówek 5 Znak"/>
    <w:basedOn w:val="Domylnaczcionkaakapitu"/>
    <w:link w:val="Nagwek5"/>
    <w:uiPriority w:val="99"/>
    <w:semiHidden/>
    <w:rsid w:val="008A119A"/>
    <w:rPr>
      <w:rFonts w:asciiTheme="majorHAnsi" w:eastAsiaTheme="majorEastAsia" w:hAnsiTheme="majorHAnsi" w:cstheme="majorBidi"/>
      <w:b/>
      <w:bCs/>
      <w:color w:val="808080"/>
    </w:rPr>
  </w:style>
  <w:style w:type="paragraph" w:customStyle="1" w:styleId="OpiH1">
    <w:name w:val="Opi_H_1"/>
    <w:basedOn w:val="ECHRHeading2"/>
    <w:uiPriority w:val="42"/>
    <w:semiHidden/>
    <w:qFormat/>
    <w:rsid w:val="008A119A"/>
    <w:pPr>
      <w:ind w:left="635" w:hanging="357"/>
      <w:outlineLvl w:val="2"/>
    </w:pPr>
  </w:style>
  <w:style w:type="paragraph" w:customStyle="1" w:styleId="OpiHa">
    <w:name w:val="Opi_H_a"/>
    <w:basedOn w:val="ECHRHeading3"/>
    <w:uiPriority w:val="43"/>
    <w:semiHidden/>
    <w:qFormat/>
    <w:rsid w:val="008A119A"/>
    <w:pPr>
      <w:ind w:left="833" w:hanging="357"/>
      <w:outlineLvl w:val="3"/>
    </w:pPr>
    <w:rPr>
      <w:b/>
      <w:i w:val="0"/>
      <w:sz w:val="20"/>
    </w:rPr>
  </w:style>
  <w:style w:type="character" w:styleId="Wyrnieniedelikatne">
    <w:name w:val="Subtle Emphasis"/>
    <w:uiPriority w:val="99"/>
    <w:semiHidden/>
    <w:qFormat/>
    <w:rsid w:val="008A119A"/>
    <w:rPr>
      <w:i/>
      <w:iCs/>
    </w:rPr>
  </w:style>
  <w:style w:type="paragraph" w:customStyle="1" w:styleId="OpiHA0">
    <w:name w:val="Opi_H_A"/>
    <w:basedOn w:val="ECHRHeading1"/>
    <w:next w:val="OpiPara"/>
    <w:uiPriority w:val="41"/>
    <w:semiHidden/>
    <w:qFormat/>
    <w:rsid w:val="008A119A"/>
    <w:pPr>
      <w:tabs>
        <w:tab w:val="clear" w:pos="357"/>
      </w:tabs>
      <w:outlineLvl w:val="1"/>
    </w:pPr>
    <w:rPr>
      <w:b/>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semiHidden/>
    <w:qFormat/>
    <w:rsid w:val="008A119A"/>
    <w:pPr>
      <w:ind w:left="1037" w:hanging="357"/>
      <w:outlineLvl w:val="4"/>
    </w:pPr>
    <w:rPr>
      <w:b w:val="0"/>
      <w:i/>
    </w:rPr>
  </w:style>
  <w:style w:type="paragraph" w:customStyle="1" w:styleId="OpiPara">
    <w:name w:val="Opi_Para"/>
    <w:basedOn w:val="ECHRPara"/>
    <w:uiPriority w:val="46"/>
    <w:semiHidden/>
    <w:qFormat/>
    <w:rsid w:val="008A119A"/>
  </w:style>
  <w:style w:type="paragraph" w:customStyle="1" w:styleId="ECHRTitleCentre2">
    <w:name w:val="ECHR_Title_Centre_2"/>
    <w:aliases w:val="Dec_H_Case"/>
    <w:basedOn w:val="Normalny"/>
    <w:next w:val="ECHRPara"/>
    <w:uiPriority w:val="8"/>
    <w:qFormat/>
    <w:rsid w:val="008A119A"/>
    <w:pPr>
      <w:spacing w:after="240"/>
      <w:jc w:val="center"/>
      <w:outlineLvl w:val="0"/>
    </w:pPr>
    <w:rPr>
      <w:rFonts w:asciiTheme="majorHAnsi" w:hAnsiTheme="majorHAnsi"/>
    </w:rPr>
  </w:style>
  <w:style w:type="character" w:styleId="Uwydatnienie">
    <w:name w:val="Emphasis"/>
    <w:uiPriority w:val="99"/>
    <w:semiHidden/>
    <w:qFormat/>
    <w:rsid w:val="008A119A"/>
    <w:rPr>
      <w:b/>
      <w:bCs/>
      <w:i/>
      <w:iCs/>
      <w:spacing w:val="10"/>
      <w:bdr w:val="none" w:sz="0" w:space="0" w:color="auto"/>
      <w:shd w:val="clear" w:color="auto" w:fill="auto"/>
    </w:rPr>
  </w:style>
  <w:style w:type="paragraph" w:styleId="Stopka">
    <w:name w:val="footer"/>
    <w:basedOn w:val="Normalny"/>
    <w:link w:val="StopkaZnak"/>
    <w:uiPriority w:val="57"/>
    <w:semiHidden/>
    <w:rsid w:val="008A119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A119A"/>
    <w:rPr>
      <w:sz w:val="24"/>
      <w:lang w:val="en-GB"/>
    </w:rPr>
  </w:style>
  <w:style w:type="character" w:styleId="Odwoanieprzypisudolnego">
    <w:name w:val="footnote reference"/>
    <w:basedOn w:val="Domylnaczcionkaakapitu"/>
    <w:uiPriority w:val="99"/>
    <w:semiHidden/>
    <w:rsid w:val="008A119A"/>
    <w:rPr>
      <w:vertAlign w:val="superscript"/>
    </w:rPr>
  </w:style>
  <w:style w:type="paragraph" w:styleId="Tekstprzypisudolnego">
    <w:name w:val="footnote text"/>
    <w:basedOn w:val="Normalny"/>
    <w:link w:val="TekstprzypisudolnegoZnak"/>
    <w:uiPriority w:val="99"/>
    <w:semiHidden/>
    <w:rsid w:val="008A119A"/>
    <w:rPr>
      <w:sz w:val="20"/>
      <w:szCs w:val="20"/>
    </w:rPr>
  </w:style>
  <w:style w:type="character" w:customStyle="1" w:styleId="TekstprzypisudolnegoZnak">
    <w:name w:val="Tekst przypisu dolnego Znak"/>
    <w:basedOn w:val="Domylnaczcionkaakapitu"/>
    <w:link w:val="Tekstprzypisudolnego"/>
    <w:uiPriority w:val="99"/>
    <w:semiHidden/>
    <w:rsid w:val="008A119A"/>
    <w:rPr>
      <w:rFonts w:eastAsiaTheme="minorEastAsia"/>
      <w:sz w:val="20"/>
      <w:szCs w:val="20"/>
      <w:lang w:val="en-GB"/>
    </w:rPr>
  </w:style>
  <w:style w:type="character" w:customStyle="1" w:styleId="Nagwek6Znak">
    <w:name w:val="Nagłówek 6 Znak"/>
    <w:basedOn w:val="Domylnaczcionkaakapitu"/>
    <w:link w:val="Nagwek6"/>
    <w:uiPriority w:val="99"/>
    <w:semiHidden/>
    <w:rsid w:val="008A119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8A119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A119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A119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A119A"/>
    <w:rPr>
      <w:color w:val="0072BC" w:themeColor="hyperlink"/>
      <w:u w:val="single"/>
    </w:rPr>
  </w:style>
  <w:style w:type="character" w:styleId="Wyrnienieintensywne">
    <w:name w:val="Intense Emphasis"/>
    <w:uiPriority w:val="99"/>
    <w:semiHidden/>
    <w:qFormat/>
    <w:rsid w:val="008A119A"/>
    <w:rPr>
      <w:b/>
      <w:bCs/>
    </w:rPr>
  </w:style>
  <w:style w:type="paragraph" w:styleId="Cytatintensywny">
    <w:name w:val="Intense Quote"/>
    <w:basedOn w:val="Normalny"/>
    <w:next w:val="Normalny"/>
    <w:link w:val="CytatintensywnyZnak"/>
    <w:uiPriority w:val="99"/>
    <w:semiHidden/>
    <w:qFormat/>
    <w:rsid w:val="008A119A"/>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8A119A"/>
    <w:rPr>
      <w:rFonts w:eastAsiaTheme="minorEastAsia"/>
      <w:b/>
      <w:bCs/>
      <w:i/>
      <w:iCs/>
      <w:lang w:bidi="en-US"/>
    </w:rPr>
  </w:style>
  <w:style w:type="character" w:styleId="Odwoanieintensywne">
    <w:name w:val="Intense Reference"/>
    <w:uiPriority w:val="99"/>
    <w:semiHidden/>
    <w:qFormat/>
    <w:rsid w:val="008A119A"/>
    <w:rPr>
      <w:smallCaps/>
      <w:spacing w:val="5"/>
      <w:u w:val="single"/>
    </w:rPr>
  </w:style>
  <w:style w:type="paragraph" w:styleId="Akapitzlist">
    <w:name w:val="List Paragraph"/>
    <w:basedOn w:val="Normalny"/>
    <w:uiPriority w:val="99"/>
    <w:semiHidden/>
    <w:qFormat/>
    <w:rsid w:val="008A119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A119A"/>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8A119A"/>
    <w:rPr>
      <w:rFonts w:eastAsiaTheme="minorEastAsia"/>
      <w:i/>
      <w:iCs/>
      <w:lang w:bidi="en-US"/>
    </w:rPr>
  </w:style>
  <w:style w:type="character" w:styleId="Odwoaniedelikatne">
    <w:name w:val="Subtle Reference"/>
    <w:uiPriority w:val="99"/>
    <w:semiHidden/>
    <w:qFormat/>
    <w:rsid w:val="008A119A"/>
    <w:rPr>
      <w:smallCaps/>
    </w:rPr>
  </w:style>
  <w:style w:type="table" w:styleId="Tabela-Siatka">
    <w:name w:val="Table Grid"/>
    <w:basedOn w:val="Standardowy"/>
    <w:uiPriority w:val="59"/>
    <w:semiHidden/>
    <w:rsid w:val="008A119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A11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A11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A11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A119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A11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A119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A119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ParaSub">
    <w:name w:val="Opi_Para_Sub"/>
    <w:basedOn w:val="JuParaSub"/>
    <w:uiPriority w:val="47"/>
    <w:semiHidden/>
    <w:qFormat/>
    <w:rsid w:val="008A119A"/>
  </w:style>
  <w:style w:type="paragraph" w:customStyle="1" w:styleId="OpiQuot">
    <w:name w:val="Opi_Quot"/>
    <w:basedOn w:val="ECHRParaQuote"/>
    <w:uiPriority w:val="48"/>
    <w:semiHidden/>
    <w:qFormat/>
    <w:rsid w:val="008A119A"/>
  </w:style>
  <w:style w:type="paragraph" w:styleId="Podtytu">
    <w:name w:val="Subtitle"/>
    <w:basedOn w:val="Normalny"/>
    <w:next w:val="Normalny"/>
    <w:link w:val="PodtytuZnak"/>
    <w:uiPriority w:val="99"/>
    <w:semiHidden/>
    <w:qFormat/>
    <w:rsid w:val="008A119A"/>
    <w:pPr>
      <w:spacing w:after="600"/>
    </w:pPr>
    <w:rPr>
      <w:rFonts w:asciiTheme="majorHAnsi" w:eastAsiaTheme="majorEastAsia" w:hAnsiTheme="majorHAnsi" w:cstheme="majorBidi"/>
      <w:i/>
      <w:iCs/>
      <w:spacing w:val="13"/>
      <w:szCs w:val="24"/>
      <w:lang w:val="en-US" w:bidi="en-US"/>
    </w:rPr>
  </w:style>
  <w:style w:type="paragraph" w:customStyle="1" w:styleId="ECHRPara">
    <w:name w:val="ECHR_Para"/>
    <w:aliases w:val="Ju_Para"/>
    <w:basedOn w:val="Normalny"/>
    <w:link w:val="ECHRParaChar"/>
    <w:uiPriority w:val="12"/>
    <w:qFormat/>
    <w:rsid w:val="008A119A"/>
    <w:pPr>
      <w:ind w:firstLine="284"/>
    </w:pPr>
  </w:style>
  <w:style w:type="character" w:customStyle="1" w:styleId="PodtytuZnak">
    <w:name w:val="Podtytuł Znak"/>
    <w:basedOn w:val="Domylnaczcionkaakapitu"/>
    <w:link w:val="Podtytu"/>
    <w:uiPriority w:val="99"/>
    <w:semiHidden/>
    <w:rsid w:val="008A119A"/>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A119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uiPriority w:val="99"/>
    <w:semiHidden/>
    <w:rsid w:val="006544C4"/>
    <w:rPr>
      <w:sz w:val="20"/>
    </w:rPr>
  </w:style>
  <w:style w:type="character" w:customStyle="1" w:styleId="TekstkomentarzaZnak">
    <w:name w:val="Tekst komentarza Znak"/>
    <w:basedOn w:val="Domylnaczcionkaakapitu"/>
    <w:link w:val="Tekstkomentarza"/>
    <w:uiPriority w:val="99"/>
    <w:semiHidden/>
    <w:rsid w:val="006544C4"/>
    <w:rPr>
      <w:rFonts w:eastAsiaTheme="minorEastAsia"/>
      <w:sz w:val="20"/>
    </w:rPr>
  </w:style>
  <w:style w:type="paragraph" w:customStyle="1" w:styleId="JuSigned">
    <w:name w:val="Ju_Signed"/>
    <w:basedOn w:val="Normalny"/>
    <w:next w:val="JuParaLast"/>
    <w:uiPriority w:val="32"/>
    <w:qFormat/>
    <w:rsid w:val="008A119A"/>
    <w:pPr>
      <w:tabs>
        <w:tab w:val="center" w:pos="851"/>
        <w:tab w:val="center" w:pos="6407"/>
      </w:tabs>
      <w:spacing w:before="720"/>
      <w:jc w:val="left"/>
    </w:pPr>
  </w:style>
  <w:style w:type="paragraph" w:customStyle="1" w:styleId="OpiQuotSub">
    <w:name w:val="Opi_Quot_Sub"/>
    <w:basedOn w:val="JuQuotSub"/>
    <w:uiPriority w:val="49"/>
    <w:semiHidden/>
    <w:qFormat/>
    <w:rsid w:val="008A119A"/>
  </w:style>
  <w:style w:type="paragraph" w:customStyle="1" w:styleId="DecHTitle">
    <w:name w:val="Dec_H_Title"/>
    <w:basedOn w:val="ECHRTitleCentre1"/>
    <w:uiPriority w:val="7"/>
    <w:qFormat/>
    <w:rsid w:val="008A119A"/>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uiPriority w:val="99"/>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99"/>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8A119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A11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A11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paragraph" w:customStyle="1" w:styleId="ECHRFooter">
    <w:name w:val="ECHR_Footer"/>
    <w:aliases w:val="Footer_ECHR"/>
    <w:basedOn w:val="Stopka"/>
    <w:uiPriority w:val="57"/>
    <w:semiHidden/>
    <w:rsid w:val="008A119A"/>
    <w:pPr>
      <w:jc w:val="left"/>
    </w:pPr>
    <w:rPr>
      <w:sz w:val="8"/>
    </w:rPr>
  </w:style>
  <w:style w:type="paragraph" w:customStyle="1" w:styleId="ECHRFooterLine">
    <w:name w:val="ECHR_Footer_Line"/>
    <w:aliases w:val="Footer_Line"/>
    <w:basedOn w:val="Normalny"/>
    <w:next w:val="ECHRFooter"/>
    <w:uiPriority w:val="57"/>
    <w:semiHidden/>
    <w:rsid w:val="008A119A"/>
    <w:pPr>
      <w:pBdr>
        <w:top w:val="single" w:sz="6" w:space="1" w:color="5F5F5F"/>
      </w:pBdr>
      <w:tabs>
        <w:tab w:val="center" w:pos="4536"/>
        <w:tab w:val="right" w:pos="9696"/>
      </w:tabs>
      <w:ind w:left="-680" w:right="-680"/>
      <w:jc w:val="left"/>
    </w:pPr>
    <w:rPr>
      <w:color w:val="5F5F5F"/>
    </w:rPr>
  </w:style>
  <w:style w:type="paragraph" w:customStyle="1" w:styleId="OpiTranslation">
    <w:name w:val="Opi_Translation"/>
    <w:basedOn w:val="Normalny"/>
    <w:next w:val="OpiPara"/>
    <w:uiPriority w:val="40"/>
    <w:semiHidden/>
    <w:qFormat/>
    <w:rsid w:val="008A119A"/>
    <w:pPr>
      <w:jc w:val="center"/>
      <w:outlineLvl w:val="0"/>
    </w:pPr>
    <w:rPr>
      <w:i/>
    </w:rPr>
  </w:style>
  <w:style w:type="paragraph" w:customStyle="1" w:styleId="JuHeaderLandscape">
    <w:name w:val="Ju_Header_Landscape"/>
    <w:basedOn w:val="ECHRHeader"/>
    <w:uiPriority w:val="4"/>
    <w:qFormat/>
    <w:rsid w:val="008A119A"/>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7A4BD5"/>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A119A"/>
    <w:pPr>
      <w:jc w:val="both"/>
    </w:pPr>
    <w:rPr>
      <w:rFonts w:eastAsiaTheme="minorEastAsia"/>
      <w:sz w:val="24"/>
      <w:lang w:val="en-GB"/>
    </w:rPr>
  </w:style>
  <w:style w:type="paragraph" w:styleId="Nagwek1">
    <w:name w:val="heading 1"/>
    <w:basedOn w:val="Normalny"/>
    <w:next w:val="Normalny"/>
    <w:link w:val="Nagwek1Znak"/>
    <w:uiPriority w:val="99"/>
    <w:semiHidden/>
    <w:rsid w:val="008A11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A11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A119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A119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A119A"/>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8A11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A119A"/>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8A119A"/>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8A119A"/>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A119A"/>
    <w:rPr>
      <w:rFonts w:ascii="Tahoma" w:hAnsi="Tahoma" w:cs="Tahoma"/>
      <w:sz w:val="16"/>
      <w:szCs w:val="16"/>
    </w:rPr>
  </w:style>
  <w:style w:type="character" w:customStyle="1" w:styleId="TekstdymkaZnak">
    <w:name w:val="Tekst dymka Znak"/>
    <w:basedOn w:val="Domylnaczcionkaakapitu"/>
    <w:link w:val="Tekstdymka"/>
    <w:uiPriority w:val="99"/>
    <w:semiHidden/>
    <w:rsid w:val="008A119A"/>
    <w:rPr>
      <w:rFonts w:ascii="Tahoma" w:eastAsiaTheme="minorEastAsia" w:hAnsi="Tahoma" w:cs="Tahoma"/>
      <w:sz w:val="16"/>
      <w:szCs w:val="16"/>
      <w:lang w:val="en-GB"/>
    </w:rPr>
  </w:style>
  <w:style w:type="character" w:styleId="Tytuksiki">
    <w:name w:val="Book Title"/>
    <w:uiPriority w:val="99"/>
    <w:semiHidden/>
    <w:qFormat/>
    <w:rsid w:val="008A119A"/>
    <w:rPr>
      <w:i/>
      <w:iCs/>
      <w:smallCaps/>
      <w:spacing w:val="5"/>
    </w:rPr>
  </w:style>
  <w:style w:type="paragraph" w:customStyle="1" w:styleId="ECHRHeader">
    <w:name w:val="ECHR_Header"/>
    <w:aliases w:val="Ju_Header"/>
    <w:basedOn w:val="Nagwek"/>
    <w:uiPriority w:val="4"/>
    <w:qFormat/>
    <w:rsid w:val="008A119A"/>
    <w:pPr>
      <w:tabs>
        <w:tab w:val="clear" w:pos="4536"/>
        <w:tab w:val="clear" w:pos="9072"/>
        <w:tab w:val="center" w:pos="3686"/>
        <w:tab w:val="right" w:pos="7371"/>
      </w:tabs>
      <w:jc w:val="left"/>
    </w:pPr>
    <w:rPr>
      <w:sz w:val="18"/>
    </w:rPr>
  </w:style>
  <w:style w:type="paragraph" w:customStyle="1" w:styleId="DummyStyle">
    <w:name w:val="Dummy_Style"/>
    <w:basedOn w:val="Normalny"/>
    <w:semiHidden/>
    <w:qFormat/>
    <w:rsid w:val="008A119A"/>
    <w:rPr>
      <w:color w:val="00B050"/>
    </w:rPr>
  </w:style>
  <w:style w:type="character" w:styleId="Pogrubienie">
    <w:name w:val="Strong"/>
    <w:uiPriority w:val="99"/>
    <w:semiHidden/>
    <w:qFormat/>
    <w:rsid w:val="008A119A"/>
    <w:rPr>
      <w:b/>
      <w:bCs/>
    </w:rPr>
  </w:style>
  <w:style w:type="paragraph" w:styleId="Bezodstpw">
    <w:name w:val="No Spacing"/>
    <w:basedOn w:val="Normalny"/>
    <w:link w:val="BezodstpwZnak"/>
    <w:semiHidden/>
    <w:qFormat/>
    <w:rsid w:val="008A119A"/>
    <w:rPr>
      <w:sz w:val="22"/>
      <w:lang w:val="en-US"/>
    </w:rPr>
  </w:style>
  <w:style w:type="character" w:customStyle="1" w:styleId="BezodstpwZnak">
    <w:name w:val="Bez odstępów Znak"/>
    <w:basedOn w:val="Domylnaczcionkaakapitu"/>
    <w:link w:val="Bezodstpw"/>
    <w:semiHidden/>
    <w:rsid w:val="008A119A"/>
    <w:rPr>
      <w:rFonts w:eastAsiaTheme="minorEastAsia"/>
    </w:rPr>
  </w:style>
  <w:style w:type="paragraph" w:customStyle="1" w:styleId="JuAppQuestion">
    <w:name w:val="Ju_App_Question"/>
    <w:basedOn w:val="Normalny"/>
    <w:uiPriority w:val="5"/>
    <w:qFormat/>
    <w:rsid w:val="008A119A"/>
    <w:pPr>
      <w:numPr>
        <w:numId w:val="33"/>
      </w:numPr>
      <w:jc w:val="left"/>
    </w:pPr>
    <w:rPr>
      <w:b/>
    </w:rPr>
  </w:style>
  <w:style w:type="paragraph" w:customStyle="1" w:styleId="ECHRParaQuote">
    <w:name w:val="ECHR_Para_Quote"/>
    <w:aliases w:val="Ju_Quot"/>
    <w:basedOn w:val="Normalny"/>
    <w:uiPriority w:val="14"/>
    <w:qFormat/>
    <w:rsid w:val="008A119A"/>
    <w:pPr>
      <w:spacing w:before="120" w:after="120"/>
      <w:ind w:left="425" w:firstLine="142"/>
    </w:pPr>
    <w:rPr>
      <w:sz w:val="20"/>
    </w:rPr>
  </w:style>
  <w:style w:type="paragraph" w:customStyle="1" w:styleId="JuCase">
    <w:name w:val="Ju_Case"/>
    <w:basedOn w:val="Normalny"/>
    <w:next w:val="ECHRPara"/>
    <w:uiPriority w:val="10"/>
    <w:semiHidden/>
    <w:rsid w:val="008A119A"/>
    <w:pPr>
      <w:ind w:firstLine="284"/>
    </w:pPr>
    <w:rPr>
      <w:b/>
    </w:rPr>
  </w:style>
  <w:style w:type="paragraph" w:customStyle="1" w:styleId="JuCourt">
    <w:name w:val="Ju_Court"/>
    <w:basedOn w:val="Normalny"/>
    <w:next w:val="Normalny"/>
    <w:uiPriority w:val="16"/>
    <w:qFormat/>
    <w:rsid w:val="008A119A"/>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8A119A"/>
    <w:pPr>
      <w:tabs>
        <w:tab w:val="center" w:pos="6407"/>
      </w:tabs>
      <w:spacing w:before="720"/>
      <w:jc w:val="right"/>
    </w:pPr>
  </w:style>
  <w:style w:type="paragraph" w:customStyle="1" w:styleId="JuList">
    <w:name w:val="Ju_List"/>
    <w:basedOn w:val="Normalny"/>
    <w:uiPriority w:val="28"/>
    <w:qFormat/>
    <w:rsid w:val="008A119A"/>
    <w:pPr>
      <w:ind w:left="340" w:hanging="340"/>
    </w:pPr>
  </w:style>
  <w:style w:type="paragraph" w:customStyle="1" w:styleId="ECHRTitleCentre3">
    <w:name w:val="ECHR_Title_Centre_3"/>
    <w:aliases w:val="Ju_H_Article"/>
    <w:basedOn w:val="Normalny"/>
    <w:next w:val="ECHRParaQuote"/>
    <w:uiPriority w:val="27"/>
    <w:qFormat/>
    <w:rsid w:val="008A119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A119A"/>
    <w:pPr>
      <w:keepNext/>
      <w:keepLines/>
      <w:spacing w:after="240"/>
      <w:jc w:val="center"/>
      <w:outlineLvl w:val="0"/>
    </w:pPr>
    <w:rPr>
      <w:rFonts w:asciiTheme="majorHAnsi" w:hAnsiTheme="majorHAnsi"/>
      <w:sz w:val="28"/>
    </w:rPr>
  </w:style>
  <w:style w:type="paragraph" w:customStyle="1" w:styleId="JuLista">
    <w:name w:val="Ju_List_a"/>
    <w:basedOn w:val="JuList"/>
    <w:uiPriority w:val="28"/>
    <w:qFormat/>
    <w:rsid w:val="008A119A"/>
    <w:pPr>
      <w:ind w:left="346" w:firstLine="0"/>
    </w:pPr>
  </w:style>
  <w:style w:type="paragraph" w:customStyle="1" w:styleId="ECHRTitle1">
    <w:name w:val="ECHR_Title_1"/>
    <w:aliases w:val="Ju_H_Head"/>
    <w:basedOn w:val="Normalny"/>
    <w:next w:val="ECHRPara"/>
    <w:uiPriority w:val="18"/>
    <w:qFormat/>
    <w:rsid w:val="008A119A"/>
    <w:pPr>
      <w:keepNext/>
      <w:keepLines/>
      <w:spacing w:before="720" w:after="240"/>
      <w:outlineLvl w:val="0"/>
    </w:pPr>
    <w:rPr>
      <w:rFonts w:asciiTheme="majorHAnsi" w:hAnsiTheme="majorHAnsi"/>
      <w:sz w:val="28"/>
    </w:rPr>
  </w:style>
  <w:style w:type="paragraph" w:customStyle="1" w:styleId="JuListi">
    <w:name w:val="Ju_List_i"/>
    <w:basedOn w:val="Normalny"/>
    <w:next w:val="JuLista"/>
    <w:uiPriority w:val="28"/>
    <w:qFormat/>
    <w:rsid w:val="008A119A"/>
    <w:pPr>
      <w:ind w:left="794"/>
    </w:pPr>
  </w:style>
  <w:style w:type="paragraph" w:styleId="Tytu">
    <w:name w:val="Title"/>
    <w:basedOn w:val="Normalny"/>
    <w:next w:val="Normalny"/>
    <w:link w:val="TytuZnak"/>
    <w:uiPriority w:val="99"/>
    <w:semiHidden/>
    <w:qFormat/>
    <w:rsid w:val="008A119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8A119A"/>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8A119A"/>
    <w:rPr>
      <w:caps w:val="0"/>
      <w:smallCaps/>
    </w:rPr>
  </w:style>
  <w:style w:type="paragraph" w:customStyle="1" w:styleId="JuParaSub">
    <w:name w:val="Ju_Para_Sub"/>
    <w:basedOn w:val="ECHRPara"/>
    <w:uiPriority w:val="13"/>
    <w:qFormat/>
    <w:rsid w:val="008A119A"/>
    <w:pPr>
      <w:ind w:left="284"/>
    </w:pPr>
  </w:style>
  <w:style w:type="character" w:customStyle="1" w:styleId="JuITMark">
    <w:name w:val="Ju_ITMark"/>
    <w:basedOn w:val="Domylnaczcionkaakapitu"/>
    <w:uiPriority w:val="38"/>
    <w:qFormat/>
    <w:rsid w:val="008A119A"/>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8A119A"/>
    <w:pPr>
      <w:ind w:left="567"/>
    </w:pPr>
  </w:style>
  <w:style w:type="paragraph" w:customStyle="1" w:styleId="JuTitle">
    <w:name w:val="Ju_Title"/>
    <w:basedOn w:val="Normalny"/>
    <w:next w:val="ECHRPara"/>
    <w:uiPriority w:val="3"/>
    <w:qFormat/>
    <w:rsid w:val="008A119A"/>
    <w:pPr>
      <w:spacing w:before="720" w:after="240"/>
      <w:jc w:val="center"/>
      <w:outlineLvl w:val="0"/>
    </w:pPr>
    <w:rPr>
      <w:rFonts w:asciiTheme="majorHAnsi" w:hAnsiTheme="majorHAnsi"/>
      <w:b/>
      <w:caps/>
    </w:rPr>
  </w:style>
  <w:style w:type="paragraph" w:customStyle="1" w:styleId="ECHRHeading1">
    <w:name w:val="ECHR_Heading_1"/>
    <w:aliases w:val="Ju_H_I_Roman"/>
    <w:basedOn w:val="Nagwek1"/>
    <w:next w:val="ECHRPara"/>
    <w:uiPriority w:val="19"/>
    <w:qFormat/>
    <w:rsid w:val="008A11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A119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8A119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A119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A119A"/>
    <w:rPr>
      <w:sz w:val="24"/>
      <w:lang w:val="en-GB"/>
    </w:rPr>
  </w:style>
  <w:style w:type="character" w:customStyle="1" w:styleId="Nagwek1Znak">
    <w:name w:val="Nagłówek 1 Znak"/>
    <w:basedOn w:val="Domylnaczcionkaakapitu"/>
    <w:link w:val="Nagwek1"/>
    <w:uiPriority w:val="99"/>
    <w:semiHidden/>
    <w:rsid w:val="008A119A"/>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8A11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A119A"/>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8A119A"/>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8A119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A119A"/>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8A119A"/>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8A119A"/>
    <w:pPr>
      <w:keepNext/>
      <w:keepLines/>
      <w:spacing w:before="240"/>
      <w:ind w:firstLine="284"/>
    </w:pPr>
  </w:style>
  <w:style w:type="paragraph" w:customStyle="1" w:styleId="DecList">
    <w:name w:val="Dec_List"/>
    <w:basedOn w:val="Normalny"/>
    <w:uiPriority w:val="9"/>
    <w:qFormat/>
    <w:rsid w:val="008A119A"/>
    <w:pPr>
      <w:spacing w:before="240"/>
      <w:ind w:left="284"/>
    </w:pPr>
  </w:style>
  <w:style w:type="character" w:customStyle="1" w:styleId="Nagwek4Znak">
    <w:name w:val="Nagłówek 4 Znak"/>
    <w:basedOn w:val="Domylnaczcionkaakapitu"/>
    <w:link w:val="Nagwek4"/>
    <w:uiPriority w:val="99"/>
    <w:semiHidden/>
    <w:rsid w:val="008A119A"/>
    <w:rPr>
      <w:rFonts w:asciiTheme="majorHAnsi" w:eastAsiaTheme="majorEastAsia" w:hAnsiTheme="majorHAnsi" w:cstheme="majorBidi"/>
      <w:b/>
      <w:bCs/>
      <w:i/>
      <w:iCs/>
      <w:color w:val="777777"/>
      <w:sz w:val="24"/>
      <w:lang w:val="en-GB"/>
    </w:rPr>
  </w:style>
  <w:style w:type="paragraph" w:customStyle="1" w:styleId="ECHRDecisionBody">
    <w:name w:val="ECHR_Decision_Body"/>
    <w:aliases w:val="Ju_Judges"/>
    <w:basedOn w:val="Normalny"/>
    <w:uiPriority w:val="11"/>
    <w:qFormat/>
    <w:rsid w:val="008A119A"/>
    <w:pPr>
      <w:tabs>
        <w:tab w:val="left" w:pos="567"/>
        <w:tab w:val="left" w:pos="1134"/>
      </w:tabs>
      <w:jc w:val="left"/>
    </w:pPr>
  </w:style>
  <w:style w:type="character" w:customStyle="1" w:styleId="Nagwek5Znak">
    <w:name w:val="Nagłówek 5 Znak"/>
    <w:basedOn w:val="Domylnaczcionkaakapitu"/>
    <w:link w:val="Nagwek5"/>
    <w:uiPriority w:val="99"/>
    <w:semiHidden/>
    <w:rsid w:val="008A119A"/>
    <w:rPr>
      <w:rFonts w:asciiTheme="majorHAnsi" w:eastAsiaTheme="majorEastAsia" w:hAnsiTheme="majorHAnsi" w:cstheme="majorBidi"/>
      <w:b/>
      <w:bCs/>
      <w:color w:val="808080"/>
    </w:rPr>
  </w:style>
  <w:style w:type="paragraph" w:customStyle="1" w:styleId="OpiH1">
    <w:name w:val="Opi_H_1"/>
    <w:basedOn w:val="ECHRHeading2"/>
    <w:uiPriority w:val="42"/>
    <w:semiHidden/>
    <w:qFormat/>
    <w:rsid w:val="008A119A"/>
    <w:pPr>
      <w:ind w:left="635" w:hanging="357"/>
      <w:outlineLvl w:val="2"/>
    </w:pPr>
  </w:style>
  <w:style w:type="paragraph" w:customStyle="1" w:styleId="OpiHa">
    <w:name w:val="Opi_H_a"/>
    <w:basedOn w:val="ECHRHeading3"/>
    <w:uiPriority w:val="43"/>
    <w:semiHidden/>
    <w:qFormat/>
    <w:rsid w:val="008A119A"/>
    <w:pPr>
      <w:ind w:left="833" w:hanging="357"/>
      <w:outlineLvl w:val="3"/>
    </w:pPr>
    <w:rPr>
      <w:b/>
      <w:i w:val="0"/>
      <w:sz w:val="20"/>
    </w:rPr>
  </w:style>
  <w:style w:type="character" w:styleId="Wyrnieniedelikatne">
    <w:name w:val="Subtle Emphasis"/>
    <w:uiPriority w:val="99"/>
    <w:semiHidden/>
    <w:qFormat/>
    <w:rsid w:val="008A119A"/>
    <w:rPr>
      <w:i/>
      <w:iCs/>
    </w:rPr>
  </w:style>
  <w:style w:type="paragraph" w:customStyle="1" w:styleId="OpiHA0">
    <w:name w:val="Opi_H_A"/>
    <w:basedOn w:val="ECHRHeading1"/>
    <w:next w:val="OpiPara"/>
    <w:uiPriority w:val="41"/>
    <w:semiHidden/>
    <w:qFormat/>
    <w:rsid w:val="008A119A"/>
    <w:pPr>
      <w:tabs>
        <w:tab w:val="clear" w:pos="357"/>
      </w:tabs>
      <w:outlineLvl w:val="1"/>
    </w:pPr>
    <w:rPr>
      <w:b/>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semiHidden/>
    <w:qFormat/>
    <w:rsid w:val="008A119A"/>
    <w:pPr>
      <w:ind w:left="1037" w:hanging="357"/>
      <w:outlineLvl w:val="4"/>
    </w:pPr>
    <w:rPr>
      <w:b w:val="0"/>
      <w:i/>
    </w:rPr>
  </w:style>
  <w:style w:type="paragraph" w:customStyle="1" w:styleId="OpiPara">
    <w:name w:val="Opi_Para"/>
    <w:basedOn w:val="ECHRPara"/>
    <w:uiPriority w:val="46"/>
    <w:semiHidden/>
    <w:qFormat/>
    <w:rsid w:val="008A119A"/>
  </w:style>
  <w:style w:type="paragraph" w:customStyle="1" w:styleId="ECHRTitleCentre2">
    <w:name w:val="ECHR_Title_Centre_2"/>
    <w:aliases w:val="Dec_H_Case"/>
    <w:basedOn w:val="Normalny"/>
    <w:next w:val="ECHRPara"/>
    <w:uiPriority w:val="8"/>
    <w:qFormat/>
    <w:rsid w:val="008A119A"/>
    <w:pPr>
      <w:spacing w:after="240"/>
      <w:jc w:val="center"/>
      <w:outlineLvl w:val="0"/>
    </w:pPr>
    <w:rPr>
      <w:rFonts w:asciiTheme="majorHAnsi" w:hAnsiTheme="majorHAnsi"/>
    </w:rPr>
  </w:style>
  <w:style w:type="character" w:styleId="Uwydatnienie">
    <w:name w:val="Emphasis"/>
    <w:uiPriority w:val="99"/>
    <w:semiHidden/>
    <w:qFormat/>
    <w:rsid w:val="008A119A"/>
    <w:rPr>
      <w:b/>
      <w:bCs/>
      <w:i/>
      <w:iCs/>
      <w:spacing w:val="10"/>
      <w:bdr w:val="none" w:sz="0" w:space="0" w:color="auto"/>
      <w:shd w:val="clear" w:color="auto" w:fill="auto"/>
    </w:rPr>
  </w:style>
  <w:style w:type="paragraph" w:styleId="Stopka">
    <w:name w:val="footer"/>
    <w:basedOn w:val="Normalny"/>
    <w:link w:val="StopkaZnak"/>
    <w:uiPriority w:val="57"/>
    <w:semiHidden/>
    <w:rsid w:val="008A119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A119A"/>
    <w:rPr>
      <w:sz w:val="24"/>
      <w:lang w:val="en-GB"/>
    </w:rPr>
  </w:style>
  <w:style w:type="character" w:styleId="Odwoanieprzypisudolnego">
    <w:name w:val="footnote reference"/>
    <w:basedOn w:val="Domylnaczcionkaakapitu"/>
    <w:uiPriority w:val="99"/>
    <w:semiHidden/>
    <w:rsid w:val="008A119A"/>
    <w:rPr>
      <w:vertAlign w:val="superscript"/>
    </w:rPr>
  </w:style>
  <w:style w:type="paragraph" w:styleId="Tekstprzypisudolnego">
    <w:name w:val="footnote text"/>
    <w:basedOn w:val="Normalny"/>
    <w:link w:val="TekstprzypisudolnegoZnak"/>
    <w:uiPriority w:val="99"/>
    <w:semiHidden/>
    <w:rsid w:val="008A119A"/>
    <w:rPr>
      <w:sz w:val="20"/>
      <w:szCs w:val="20"/>
    </w:rPr>
  </w:style>
  <w:style w:type="character" w:customStyle="1" w:styleId="TekstprzypisudolnegoZnak">
    <w:name w:val="Tekst przypisu dolnego Znak"/>
    <w:basedOn w:val="Domylnaczcionkaakapitu"/>
    <w:link w:val="Tekstprzypisudolnego"/>
    <w:uiPriority w:val="99"/>
    <w:semiHidden/>
    <w:rsid w:val="008A119A"/>
    <w:rPr>
      <w:rFonts w:eastAsiaTheme="minorEastAsia"/>
      <w:sz w:val="20"/>
      <w:szCs w:val="20"/>
      <w:lang w:val="en-GB"/>
    </w:rPr>
  </w:style>
  <w:style w:type="character" w:customStyle="1" w:styleId="Nagwek6Znak">
    <w:name w:val="Nagłówek 6 Znak"/>
    <w:basedOn w:val="Domylnaczcionkaakapitu"/>
    <w:link w:val="Nagwek6"/>
    <w:uiPriority w:val="99"/>
    <w:semiHidden/>
    <w:rsid w:val="008A119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8A119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A119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A119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A119A"/>
    <w:rPr>
      <w:color w:val="0072BC" w:themeColor="hyperlink"/>
      <w:u w:val="single"/>
    </w:rPr>
  </w:style>
  <w:style w:type="character" w:styleId="Wyrnienieintensywne">
    <w:name w:val="Intense Emphasis"/>
    <w:uiPriority w:val="99"/>
    <w:semiHidden/>
    <w:qFormat/>
    <w:rsid w:val="008A119A"/>
    <w:rPr>
      <w:b/>
      <w:bCs/>
    </w:rPr>
  </w:style>
  <w:style w:type="paragraph" w:styleId="Cytatintensywny">
    <w:name w:val="Intense Quote"/>
    <w:basedOn w:val="Normalny"/>
    <w:next w:val="Normalny"/>
    <w:link w:val="CytatintensywnyZnak"/>
    <w:uiPriority w:val="99"/>
    <w:semiHidden/>
    <w:qFormat/>
    <w:rsid w:val="008A119A"/>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8A119A"/>
    <w:rPr>
      <w:rFonts w:eastAsiaTheme="minorEastAsia"/>
      <w:b/>
      <w:bCs/>
      <w:i/>
      <w:iCs/>
      <w:lang w:bidi="en-US"/>
    </w:rPr>
  </w:style>
  <w:style w:type="character" w:styleId="Odwoanieintensywne">
    <w:name w:val="Intense Reference"/>
    <w:uiPriority w:val="99"/>
    <w:semiHidden/>
    <w:qFormat/>
    <w:rsid w:val="008A119A"/>
    <w:rPr>
      <w:smallCaps/>
      <w:spacing w:val="5"/>
      <w:u w:val="single"/>
    </w:rPr>
  </w:style>
  <w:style w:type="paragraph" w:styleId="Akapitzlist">
    <w:name w:val="List Paragraph"/>
    <w:basedOn w:val="Normalny"/>
    <w:uiPriority w:val="99"/>
    <w:semiHidden/>
    <w:qFormat/>
    <w:rsid w:val="008A119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A119A"/>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8A119A"/>
    <w:rPr>
      <w:rFonts w:eastAsiaTheme="minorEastAsia"/>
      <w:i/>
      <w:iCs/>
      <w:lang w:bidi="en-US"/>
    </w:rPr>
  </w:style>
  <w:style w:type="character" w:styleId="Odwoaniedelikatne">
    <w:name w:val="Subtle Reference"/>
    <w:uiPriority w:val="99"/>
    <w:semiHidden/>
    <w:qFormat/>
    <w:rsid w:val="008A119A"/>
    <w:rPr>
      <w:smallCaps/>
    </w:rPr>
  </w:style>
  <w:style w:type="table" w:styleId="Tabela-Siatka">
    <w:name w:val="Table Grid"/>
    <w:basedOn w:val="Standardowy"/>
    <w:uiPriority w:val="59"/>
    <w:semiHidden/>
    <w:rsid w:val="008A119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A11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A11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A11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A119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A11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A119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A119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ParaSub">
    <w:name w:val="Opi_Para_Sub"/>
    <w:basedOn w:val="JuParaSub"/>
    <w:uiPriority w:val="47"/>
    <w:semiHidden/>
    <w:qFormat/>
    <w:rsid w:val="008A119A"/>
  </w:style>
  <w:style w:type="paragraph" w:customStyle="1" w:styleId="OpiQuot">
    <w:name w:val="Opi_Quot"/>
    <w:basedOn w:val="ECHRParaQuote"/>
    <w:uiPriority w:val="48"/>
    <w:semiHidden/>
    <w:qFormat/>
    <w:rsid w:val="008A119A"/>
  </w:style>
  <w:style w:type="paragraph" w:styleId="Podtytu">
    <w:name w:val="Subtitle"/>
    <w:basedOn w:val="Normalny"/>
    <w:next w:val="Normalny"/>
    <w:link w:val="PodtytuZnak"/>
    <w:uiPriority w:val="99"/>
    <w:semiHidden/>
    <w:qFormat/>
    <w:rsid w:val="008A119A"/>
    <w:pPr>
      <w:spacing w:after="600"/>
    </w:pPr>
    <w:rPr>
      <w:rFonts w:asciiTheme="majorHAnsi" w:eastAsiaTheme="majorEastAsia" w:hAnsiTheme="majorHAnsi" w:cstheme="majorBidi"/>
      <w:i/>
      <w:iCs/>
      <w:spacing w:val="13"/>
      <w:szCs w:val="24"/>
      <w:lang w:val="en-US" w:bidi="en-US"/>
    </w:rPr>
  </w:style>
  <w:style w:type="paragraph" w:customStyle="1" w:styleId="ECHRPara">
    <w:name w:val="ECHR_Para"/>
    <w:aliases w:val="Ju_Para"/>
    <w:basedOn w:val="Normalny"/>
    <w:link w:val="ECHRParaChar"/>
    <w:uiPriority w:val="12"/>
    <w:qFormat/>
    <w:rsid w:val="008A119A"/>
    <w:pPr>
      <w:ind w:firstLine="284"/>
    </w:pPr>
  </w:style>
  <w:style w:type="character" w:customStyle="1" w:styleId="PodtytuZnak">
    <w:name w:val="Podtytuł Znak"/>
    <w:basedOn w:val="Domylnaczcionkaakapitu"/>
    <w:link w:val="Podtytu"/>
    <w:uiPriority w:val="99"/>
    <w:semiHidden/>
    <w:rsid w:val="008A119A"/>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A119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uiPriority w:val="99"/>
    <w:semiHidden/>
    <w:rsid w:val="006544C4"/>
    <w:rPr>
      <w:sz w:val="20"/>
    </w:rPr>
  </w:style>
  <w:style w:type="character" w:customStyle="1" w:styleId="TekstkomentarzaZnak">
    <w:name w:val="Tekst komentarza Znak"/>
    <w:basedOn w:val="Domylnaczcionkaakapitu"/>
    <w:link w:val="Tekstkomentarza"/>
    <w:uiPriority w:val="99"/>
    <w:semiHidden/>
    <w:rsid w:val="006544C4"/>
    <w:rPr>
      <w:rFonts w:eastAsiaTheme="minorEastAsia"/>
      <w:sz w:val="20"/>
    </w:rPr>
  </w:style>
  <w:style w:type="paragraph" w:customStyle="1" w:styleId="JuSigned">
    <w:name w:val="Ju_Signed"/>
    <w:basedOn w:val="Normalny"/>
    <w:next w:val="JuParaLast"/>
    <w:uiPriority w:val="32"/>
    <w:qFormat/>
    <w:rsid w:val="008A119A"/>
    <w:pPr>
      <w:tabs>
        <w:tab w:val="center" w:pos="851"/>
        <w:tab w:val="center" w:pos="6407"/>
      </w:tabs>
      <w:spacing w:before="720"/>
      <w:jc w:val="left"/>
    </w:pPr>
  </w:style>
  <w:style w:type="paragraph" w:customStyle="1" w:styleId="OpiQuotSub">
    <w:name w:val="Opi_Quot_Sub"/>
    <w:basedOn w:val="JuQuotSub"/>
    <w:uiPriority w:val="49"/>
    <w:semiHidden/>
    <w:qFormat/>
    <w:rsid w:val="008A119A"/>
  </w:style>
  <w:style w:type="paragraph" w:customStyle="1" w:styleId="DecHTitle">
    <w:name w:val="Dec_H_Title"/>
    <w:basedOn w:val="ECHRTitleCentre1"/>
    <w:uiPriority w:val="7"/>
    <w:qFormat/>
    <w:rsid w:val="008A119A"/>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uiPriority w:val="99"/>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99"/>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8A119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A11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A11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paragraph" w:customStyle="1" w:styleId="ECHRFooter">
    <w:name w:val="ECHR_Footer"/>
    <w:aliases w:val="Footer_ECHR"/>
    <w:basedOn w:val="Stopka"/>
    <w:uiPriority w:val="57"/>
    <w:semiHidden/>
    <w:rsid w:val="008A119A"/>
    <w:pPr>
      <w:jc w:val="left"/>
    </w:pPr>
    <w:rPr>
      <w:sz w:val="8"/>
    </w:rPr>
  </w:style>
  <w:style w:type="paragraph" w:customStyle="1" w:styleId="ECHRFooterLine">
    <w:name w:val="ECHR_Footer_Line"/>
    <w:aliases w:val="Footer_Line"/>
    <w:basedOn w:val="Normalny"/>
    <w:next w:val="ECHRFooter"/>
    <w:uiPriority w:val="57"/>
    <w:semiHidden/>
    <w:rsid w:val="008A119A"/>
    <w:pPr>
      <w:pBdr>
        <w:top w:val="single" w:sz="6" w:space="1" w:color="5F5F5F"/>
      </w:pBdr>
      <w:tabs>
        <w:tab w:val="center" w:pos="4536"/>
        <w:tab w:val="right" w:pos="9696"/>
      </w:tabs>
      <w:ind w:left="-680" w:right="-680"/>
      <w:jc w:val="left"/>
    </w:pPr>
    <w:rPr>
      <w:color w:val="5F5F5F"/>
    </w:rPr>
  </w:style>
  <w:style w:type="paragraph" w:customStyle="1" w:styleId="OpiTranslation">
    <w:name w:val="Opi_Translation"/>
    <w:basedOn w:val="Normalny"/>
    <w:next w:val="OpiPara"/>
    <w:uiPriority w:val="40"/>
    <w:semiHidden/>
    <w:qFormat/>
    <w:rsid w:val="008A119A"/>
    <w:pPr>
      <w:jc w:val="center"/>
      <w:outlineLvl w:val="0"/>
    </w:pPr>
    <w:rPr>
      <w:i/>
    </w:rPr>
  </w:style>
  <w:style w:type="paragraph" w:customStyle="1" w:styleId="JuHeaderLandscape">
    <w:name w:val="Ju_Header_Landscape"/>
    <w:basedOn w:val="ECHRHeader"/>
    <w:uiPriority w:val="4"/>
    <w:qFormat/>
    <w:rsid w:val="008A119A"/>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7A4BD5"/>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A8B62-32AA-4614-AC6A-0DAE586102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3B5535-5720-41B6-8C58-7D1DDF211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2D70DFC-59EA-49E9-B2FC-CCC0875EB3F6}">
  <ds:schemaRefs>
    <ds:schemaRef ds:uri="http://schemas.microsoft.com/sharepoint/v3/contenttype/forms"/>
  </ds:schemaRefs>
</ds:datastoreItem>
</file>

<file path=customXml/itemProps4.xml><?xml version="1.0" encoding="utf-8"?>
<ds:datastoreItem xmlns:ds="http://schemas.openxmlformats.org/officeDocument/2006/customXml" ds:itemID="{6C6014A8-5998-4847-8AD7-187210506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4613</Words>
  <Characters>27684</Characters>
  <Application>Microsoft Office Word</Application>
  <DocSecurity>0</DocSecurity>
  <Lines>230</Lines>
  <Paragraphs>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Décision</vt:lpstr>
    </vt:vector>
  </TitlesOfParts>
  <LinksUpToDate>false</LinksUpToDate>
  <CharactersWithSpaces>32233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2018-11-26T14:36:00Z</dcterms:created>
  <dcterms:modified xsi:type="dcterms:W3CDTF">2019-01-04T10:07:00Z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29506/09</vt:lpwstr>
  </property>
  <property fmtid="{D5CDD505-2E9C-101B-9397-08002B2CF9AE}" pid="4" name="CASEID">
    <vt:lpwstr>575680</vt:lpwstr>
  </property>
  <property fmtid="{D5CDD505-2E9C-101B-9397-08002B2CF9AE}" pid="5" name="ContentTypeId">
    <vt:lpwstr>0x010100558EB02BDB9E204AB350EDD385B68E10</vt:lpwstr>
  </property>
</Properties>
</file>