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349" w:rsidRPr="00AA0D85" w:rsidRDefault="00DA4349" w:rsidP="00AA0D85">
      <w:pPr>
        <w:jc w:val="center"/>
      </w:pPr>
    </w:p>
    <w:p w:rsidR="007A6EE6" w:rsidRPr="00AA0D85" w:rsidRDefault="007A6EE6" w:rsidP="00AA0D85">
      <w:pPr>
        <w:jc w:val="center"/>
      </w:pPr>
    </w:p>
    <w:p w:rsidR="007A6EE6" w:rsidRPr="00AA0D85" w:rsidRDefault="007A6EE6" w:rsidP="00AA0D85">
      <w:pPr>
        <w:jc w:val="center"/>
      </w:pPr>
    </w:p>
    <w:p w:rsidR="00DA4349" w:rsidRPr="00AA0D85" w:rsidRDefault="00F65F15" w:rsidP="00AA0D85">
      <w:pPr>
        <w:jc w:val="center"/>
      </w:pPr>
      <w:r>
        <w:t>SEKCJA PIERWSZA</w:t>
      </w:r>
    </w:p>
    <w:p w:rsidR="00DA4349" w:rsidRPr="00AA0D85" w:rsidRDefault="00DA4349" w:rsidP="00AA0D85">
      <w:pPr>
        <w:jc w:val="center"/>
      </w:pPr>
    </w:p>
    <w:p w:rsidR="007A6EE6" w:rsidRPr="00AA0D85" w:rsidRDefault="007A6EE6" w:rsidP="00AA0D85">
      <w:pPr>
        <w:jc w:val="center"/>
      </w:pPr>
    </w:p>
    <w:p w:rsidR="007A6EE6" w:rsidRPr="00AA0D85" w:rsidRDefault="007A6EE6" w:rsidP="00AA0D85">
      <w:pPr>
        <w:jc w:val="center"/>
      </w:pPr>
    </w:p>
    <w:p w:rsidR="007A6EE6" w:rsidRPr="00AA0D85" w:rsidRDefault="007A6EE6" w:rsidP="00AA0D85">
      <w:pPr>
        <w:jc w:val="center"/>
      </w:pPr>
    </w:p>
    <w:p w:rsidR="007A6EE6" w:rsidRPr="00AA0D85" w:rsidRDefault="007A6EE6" w:rsidP="00AA0D85">
      <w:pPr>
        <w:jc w:val="center"/>
      </w:pPr>
    </w:p>
    <w:p w:rsidR="007A6EE6" w:rsidRPr="00AA0D85" w:rsidRDefault="007A6EE6" w:rsidP="00AA0D85">
      <w:pPr>
        <w:jc w:val="center"/>
      </w:pPr>
    </w:p>
    <w:p w:rsidR="00DA4349" w:rsidRPr="00AA0D85" w:rsidRDefault="009E2683" w:rsidP="00AA0D85">
      <w:pPr>
        <w:jc w:val="center"/>
        <w:rPr>
          <w:b/>
        </w:rPr>
      </w:pPr>
      <w:bookmarkStart w:id="0" w:name="To"/>
      <w:r>
        <w:rPr>
          <w:b/>
        </w:rPr>
        <w:t xml:space="preserve">SPRAWA </w:t>
      </w:r>
      <w:bookmarkEnd w:id="0"/>
      <w:r>
        <w:rPr>
          <w:b/>
        </w:rPr>
        <w:t>WALASEK PRZECIWKO POLSCE</w:t>
      </w:r>
    </w:p>
    <w:p w:rsidR="00DA4349" w:rsidRPr="00AA0D85" w:rsidRDefault="00DA4349" w:rsidP="00AA0D85">
      <w:pPr>
        <w:jc w:val="center"/>
      </w:pPr>
    </w:p>
    <w:p w:rsidR="00DA4349" w:rsidRPr="00AA0D85" w:rsidRDefault="009E2683" w:rsidP="00AA0D85">
      <w:pPr>
        <w:jc w:val="center"/>
        <w:rPr>
          <w:i/>
        </w:rPr>
      </w:pPr>
      <w:r>
        <w:rPr>
          <w:i/>
        </w:rPr>
        <w:t>(Skarga nr 33946/15)</w:t>
      </w:r>
    </w:p>
    <w:p w:rsidR="00DA4349" w:rsidRPr="00AA0D85" w:rsidRDefault="00DA4349" w:rsidP="00AA0D85">
      <w:pPr>
        <w:jc w:val="center"/>
      </w:pPr>
    </w:p>
    <w:p w:rsidR="00DA4349" w:rsidRPr="00AA0D85" w:rsidRDefault="00DA4349" w:rsidP="00AA0D85">
      <w:pPr>
        <w:jc w:val="center"/>
      </w:pPr>
    </w:p>
    <w:p w:rsidR="00DA4349" w:rsidRPr="00AA0D85" w:rsidRDefault="00DA4349" w:rsidP="00AA0D85">
      <w:pPr>
        <w:jc w:val="center"/>
      </w:pPr>
    </w:p>
    <w:p w:rsidR="00DA4349" w:rsidRPr="00AA0D85" w:rsidRDefault="00DA4349" w:rsidP="00AA0D85">
      <w:pPr>
        <w:jc w:val="center"/>
      </w:pPr>
    </w:p>
    <w:p w:rsidR="00DA4349" w:rsidRPr="00AA0D85" w:rsidRDefault="00DA4349" w:rsidP="00AA0D85">
      <w:pPr>
        <w:jc w:val="center"/>
      </w:pPr>
    </w:p>
    <w:p w:rsidR="00DA4349" w:rsidRPr="00AA0D85" w:rsidRDefault="00DA4349" w:rsidP="00AA0D85">
      <w:pPr>
        <w:jc w:val="center"/>
      </w:pPr>
    </w:p>
    <w:p w:rsidR="00311901" w:rsidRPr="00AA0D85" w:rsidRDefault="00311901" w:rsidP="00AA0D85">
      <w:pPr>
        <w:jc w:val="center"/>
      </w:pPr>
    </w:p>
    <w:p w:rsidR="00AA0D85" w:rsidRPr="00AA0D85" w:rsidRDefault="00AA0D85" w:rsidP="00AA0D85">
      <w:pPr>
        <w:jc w:val="center"/>
      </w:pPr>
    </w:p>
    <w:p w:rsidR="00AA0D85" w:rsidRPr="00AA0D85" w:rsidRDefault="00AA0D85" w:rsidP="00AA0D85">
      <w:pPr>
        <w:jc w:val="center"/>
      </w:pPr>
    </w:p>
    <w:p w:rsidR="00AA0D85" w:rsidRPr="00AA0D85" w:rsidRDefault="00AA0D85" w:rsidP="00AA0D85">
      <w:pPr>
        <w:jc w:val="center"/>
      </w:pPr>
    </w:p>
    <w:p w:rsidR="00311901" w:rsidRPr="00AA0D85" w:rsidRDefault="00311901" w:rsidP="00AA0D85">
      <w:pPr>
        <w:jc w:val="center"/>
      </w:pPr>
    </w:p>
    <w:p w:rsidR="00311901" w:rsidRPr="00AA0D85" w:rsidRDefault="00311901" w:rsidP="00AA0D85">
      <w:pPr>
        <w:jc w:val="center"/>
      </w:pPr>
    </w:p>
    <w:p w:rsidR="00311901" w:rsidRPr="00AA0D85" w:rsidRDefault="00311901" w:rsidP="00AA0D85">
      <w:pPr>
        <w:jc w:val="center"/>
      </w:pPr>
    </w:p>
    <w:p w:rsidR="00311901" w:rsidRPr="00AA0D85" w:rsidRDefault="00311901" w:rsidP="00AA0D85">
      <w:pPr>
        <w:jc w:val="center"/>
      </w:pPr>
      <w:r>
        <w:t>WYROK</w:t>
      </w:r>
    </w:p>
    <w:p w:rsidR="00311901" w:rsidRPr="00AA0D85" w:rsidRDefault="00311901" w:rsidP="00AA0D85">
      <w:pPr>
        <w:jc w:val="center"/>
      </w:pPr>
    </w:p>
    <w:p w:rsidR="00311901" w:rsidRPr="00AA0D85" w:rsidRDefault="00311901" w:rsidP="00AA0D85">
      <w:pPr>
        <w:jc w:val="center"/>
      </w:pPr>
    </w:p>
    <w:p w:rsidR="00311901" w:rsidRPr="00AA0D85" w:rsidRDefault="00311901" w:rsidP="00AA0D85">
      <w:pPr>
        <w:jc w:val="center"/>
      </w:pPr>
    </w:p>
    <w:p w:rsidR="007A6EE6" w:rsidRPr="00AA0D85" w:rsidRDefault="007A6EE6" w:rsidP="00AA0D85">
      <w:pPr>
        <w:jc w:val="center"/>
        <w:rPr>
          <w:szCs w:val="24"/>
        </w:rPr>
      </w:pPr>
    </w:p>
    <w:p w:rsidR="007A6EE6" w:rsidRPr="00AA0D85" w:rsidRDefault="007A6EE6" w:rsidP="00AA0D85">
      <w:pPr>
        <w:jc w:val="center"/>
        <w:rPr>
          <w:szCs w:val="24"/>
        </w:rPr>
      </w:pPr>
      <w:r>
        <w:t>STRASBURG</w:t>
      </w:r>
    </w:p>
    <w:p w:rsidR="007A6EE6" w:rsidRPr="00AA0D85" w:rsidRDefault="007A6EE6" w:rsidP="00AA0D85">
      <w:pPr>
        <w:jc w:val="center"/>
        <w:rPr>
          <w:szCs w:val="24"/>
        </w:rPr>
      </w:pPr>
    </w:p>
    <w:p w:rsidR="007A6EE6" w:rsidRPr="00AA0D85" w:rsidRDefault="009A3160" w:rsidP="00AA0D85">
      <w:pPr>
        <w:jc w:val="center"/>
        <w:rPr>
          <w:szCs w:val="24"/>
        </w:rPr>
      </w:pPr>
      <w:r>
        <w:t>18 października 2018 r.</w:t>
      </w:r>
    </w:p>
    <w:p w:rsidR="007A6EE6" w:rsidRPr="00AA0D85" w:rsidRDefault="007A6EE6" w:rsidP="00AA0D85">
      <w:pPr>
        <w:jc w:val="center"/>
        <w:rPr>
          <w:szCs w:val="24"/>
        </w:rPr>
      </w:pPr>
    </w:p>
    <w:p w:rsidR="007A6EE6" w:rsidRPr="00AA0D85" w:rsidRDefault="007A6EE6" w:rsidP="00AA0D85">
      <w:pPr>
        <w:jc w:val="center"/>
        <w:rPr>
          <w:szCs w:val="24"/>
        </w:rPr>
      </w:pPr>
    </w:p>
    <w:p w:rsidR="007A6EE6" w:rsidRPr="00AA0D85" w:rsidRDefault="007A6EE6" w:rsidP="00AA0D85">
      <w:pPr>
        <w:jc w:val="center"/>
        <w:rPr>
          <w:szCs w:val="24"/>
        </w:rPr>
      </w:pPr>
    </w:p>
    <w:p w:rsidR="00AA0D85" w:rsidRPr="00AA0D85" w:rsidRDefault="007A6EE6" w:rsidP="00AA0D85">
      <w:pPr>
        <w:rPr>
          <w:i/>
          <w:sz w:val="22"/>
          <w:szCs w:val="24"/>
        </w:rPr>
      </w:pPr>
      <w:r>
        <w:rPr>
          <w:i/>
          <w:sz w:val="22"/>
          <w:szCs w:val="24"/>
        </w:rPr>
        <w:t>Wyrok jest ostateczny, jednak może podlegać korekcie wydawniczej.</w:t>
      </w:r>
    </w:p>
    <w:p w:rsidR="007A6EE6" w:rsidRPr="00AA0D85" w:rsidRDefault="007A6EE6" w:rsidP="00AA0D85">
      <w:pPr>
        <w:pStyle w:val="JuCase"/>
        <w:sectPr w:rsidR="007A6EE6" w:rsidRPr="00AA0D85" w:rsidSect="007A6EE6">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DA4349" w:rsidRPr="00AA0D85" w:rsidRDefault="009E2683" w:rsidP="00AA0D85">
      <w:pPr>
        <w:pStyle w:val="JuCase"/>
        <w:rPr>
          <w:bCs/>
        </w:rPr>
      </w:pPr>
      <w:r>
        <w:lastRenderedPageBreak/>
        <w:t>W sprawie Walasek przeciwko Polsce,</w:t>
      </w:r>
    </w:p>
    <w:p w:rsidR="00DA4349" w:rsidRPr="00AA0D85" w:rsidRDefault="009E2683" w:rsidP="00AA0D85">
      <w:pPr>
        <w:pStyle w:val="ECHRPara"/>
      </w:pPr>
      <w:r>
        <w:t>Europejski Trybunał Praw Człowieka (Sekcja Pierwsza), zasiadając jako Izba w składzie:</w:t>
      </w:r>
    </w:p>
    <w:p w:rsidR="00DA4349" w:rsidRPr="00AA0D85" w:rsidRDefault="009A3160" w:rsidP="00AA0D85">
      <w:pPr>
        <w:pStyle w:val="ECHRDecisionBody"/>
      </w:pPr>
      <w:r>
        <w:tab/>
      </w:r>
      <w:proofErr w:type="spellStart"/>
      <w:r>
        <w:t>Aleš</w:t>
      </w:r>
      <w:proofErr w:type="spellEnd"/>
      <w:r>
        <w:t xml:space="preserve"> </w:t>
      </w:r>
      <w:proofErr w:type="spellStart"/>
      <w:r>
        <w:t>Pejchal</w:t>
      </w:r>
      <w:proofErr w:type="spellEnd"/>
      <w:r>
        <w:t>,</w:t>
      </w:r>
      <w:r>
        <w:rPr>
          <w:i/>
        </w:rPr>
        <w:t xml:space="preserve"> Przewodniczący,</w:t>
      </w:r>
      <w:r>
        <w:rPr>
          <w:i/>
        </w:rPr>
        <w:br/>
      </w:r>
      <w:r>
        <w:tab/>
        <w:t xml:space="preserve">Krzysztof </w:t>
      </w:r>
      <w:proofErr w:type="spellStart"/>
      <w:r>
        <w:t>Wojtyczek</w:t>
      </w:r>
      <w:proofErr w:type="spellEnd"/>
      <w:r>
        <w:t>,</w:t>
      </w:r>
      <w:r>
        <w:rPr>
          <w:i/>
        </w:rPr>
        <w:br/>
      </w:r>
      <w:r>
        <w:tab/>
      </w:r>
      <w:proofErr w:type="spellStart"/>
      <w:r>
        <w:t>Jovan</w:t>
      </w:r>
      <w:proofErr w:type="spellEnd"/>
      <w:r>
        <w:t xml:space="preserve"> </w:t>
      </w:r>
      <w:proofErr w:type="spellStart"/>
      <w:r>
        <w:t>Ilievski</w:t>
      </w:r>
      <w:proofErr w:type="spellEnd"/>
      <w:r>
        <w:t>,</w:t>
      </w:r>
      <w:r>
        <w:rPr>
          <w:i/>
        </w:rPr>
        <w:t xml:space="preserve"> sędziowie,</w:t>
      </w:r>
      <w:r>
        <w:br/>
        <w:t xml:space="preserve">oraz Renata </w:t>
      </w:r>
      <w:proofErr w:type="spellStart"/>
      <w:r>
        <w:t>Degener</w:t>
      </w:r>
      <w:proofErr w:type="spellEnd"/>
      <w:r>
        <w:t xml:space="preserve">, </w:t>
      </w:r>
      <w:r>
        <w:rPr>
          <w:i/>
          <w:iCs/>
        </w:rPr>
        <w:t>Zastępca Kanclerza Sekcji</w:t>
      </w:r>
      <w:r>
        <w:rPr>
          <w:i/>
        </w:rPr>
        <w:t>,</w:t>
      </w:r>
    </w:p>
    <w:p w:rsidR="00DA4349" w:rsidRPr="00AA0D85" w:rsidRDefault="009E2683" w:rsidP="00AA0D85">
      <w:pPr>
        <w:pStyle w:val="ECHRPara"/>
      </w:pPr>
      <w:r>
        <w:t>obradując na posiedzeniu niejawnym w dniu 25 września 2018 r.,</w:t>
      </w:r>
    </w:p>
    <w:p w:rsidR="00DA4349" w:rsidRPr="00AA0D85" w:rsidRDefault="009E2683" w:rsidP="00AA0D85">
      <w:pPr>
        <w:pStyle w:val="ECHRPara"/>
      </w:pPr>
      <w:r>
        <w:t>wydaje następujący wyrok, który został przyjęty w tym dniu:</w:t>
      </w:r>
    </w:p>
    <w:p w:rsidR="00DA4349" w:rsidRPr="00AA0D85" w:rsidRDefault="009E2683" w:rsidP="00AA0D85">
      <w:pPr>
        <w:pStyle w:val="ECHRTitle1"/>
      </w:pPr>
      <w:r>
        <w:t>POSTĘPOWANIE</w:t>
      </w:r>
    </w:p>
    <w:p w:rsidR="00860D9B" w:rsidRPr="00AA0D85" w:rsidRDefault="008418AD" w:rsidP="00AA0D85">
      <w:pPr>
        <w:pStyle w:val="ECHRPara"/>
      </w:pPr>
      <w:r>
        <w:fldChar w:fldCharType="begin"/>
      </w:r>
      <w:r>
        <w:instrText xml:space="preserve"> SE</w:instrText>
      </w:r>
      <w:r>
        <w:instrText xml:space="preserve">Q level0 \*arabic </w:instrText>
      </w:r>
      <w:r>
        <w:fldChar w:fldCharType="separate"/>
      </w:r>
      <w:r w:rsidR="00AA0D85" w:rsidRPr="00AA0D85">
        <w:t>1</w:t>
      </w:r>
      <w:r>
        <w:fldChar w:fldCharType="end"/>
      </w:r>
      <w:r w:rsidR="00F65F15">
        <w:t>.  Sprawa wywodzi się ze skargi (nr 33946/15) przeciwko Rzeczypospolitej Polskiej wniesionej do Trybunału 6 lipca 2015 r. na podstawie art. 34 Konwencji o ochronie praw człowieka i podstawowych wolności („Konwencji”) przez obywatela Rze</w:t>
      </w:r>
      <w:r w:rsidR="00190F6A">
        <w:t>czypospolitej Polskiej, Pana</w:t>
      </w:r>
      <w:r w:rsidR="00503A48">
        <w:t> </w:t>
      </w:r>
      <w:r w:rsidR="00F65F15">
        <w:t>Sebastiana Walaska („skarżącego”).</w:t>
      </w:r>
    </w:p>
    <w:p w:rsidR="00655960" w:rsidRPr="008418AD" w:rsidRDefault="008418AD" w:rsidP="00AA0D85">
      <w:pPr>
        <w:pStyle w:val="ECHRPara"/>
        <w:rPr>
          <w:color w:val="1F497D"/>
        </w:rPr>
      </w:pPr>
      <w:r>
        <w:fldChar w:fldCharType="begin"/>
      </w:r>
      <w:r>
        <w:instrText xml:space="preserve"> SEQ level0 \*arabic </w:instrText>
      </w:r>
      <w:r>
        <w:fldChar w:fldCharType="separate"/>
      </w:r>
      <w:r w:rsidR="00AA0D85" w:rsidRPr="00AA0D85">
        <w:t>2</w:t>
      </w:r>
      <w:r>
        <w:fldChar w:fldCharType="end"/>
      </w:r>
      <w:r w:rsidR="00F65F15">
        <w:t>.  Skarżący był reprezentowany przez</w:t>
      </w:r>
      <w:r w:rsidR="00190F6A">
        <w:t xml:space="preserve"> Pana</w:t>
      </w:r>
      <w:r w:rsidR="00F65F15">
        <w:t xml:space="preserve"> P. </w:t>
      </w:r>
      <w:proofErr w:type="spellStart"/>
      <w:r w:rsidR="00F65F15">
        <w:t>Rała</w:t>
      </w:r>
      <w:proofErr w:type="spellEnd"/>
      <w:r w:rsidR="00F65F15">
        <w:t xml:space="preserve">, adwokata praktykującego w Warszawie. Rząd Rzeczypospolitej Polskiej („Rząd”) był reprezentowany przez swojego </w:t>
      </w:r>
      <w:r w:rsidR="00190F6A">
        <w:t>P</w:t>
      </w:r>
      <w:r w:rsidR="00F65F15">
        <w:t xml:space="preserve">ełnomocnika, </w:t>
      </w:r>
      <w:r w:rsidR="00190F6A">
        <w:t>Panią</w:t>
      </w:r>
      <w:r w:rsidR="00F65F15">
        <w:t xml:space="preserve"> J. Chrzanowską, </w:t>
      </w:r>
      <w:r w:rsidR="00AD3609">
        <w:t xml:space="preserve">którą </w:t>
      </w:r>
      <w:r w:rsidR="00F65F15">
        <w:t xml:space="preserve">później </w:t>
      </w:r>
      <w:r w:rsidR="00AD3609">
        <w:t xml:space="preserve">zastąpiła </w:t>
      </w:r>
      <w:r>
        <w:t xml:space="preserve">jej Zastępca </w:t>
      </w:r>
      <w:r w:rsidR="00190F6A">
        <w:t>Pani</w:t>
      </w:r>
      <w:r w:rsidR="00F65F15">
        <w:t xml:space="preserve"> A. Mężykowską</w:t>
      </w:r>
      <w:r w:rsidR="00190F6A">
        <w:t xml:space="preserve">, </w:t>
      </w:r>
      <w:r w:rsidR="00F65F15" w:rsidRPr="008418AD">
        <w:t>z Ministerstwa Spraw Zagranicznych.</w:t>
      </w:r>
    </w:p>
    <w:p w:rsidR="00F65F15" w:rsidRPr="00AA0D85" w:rsidRDefault="008418AD" w:rsidP="00AA0D85">
      <w:pPr>
        <w:pStyle w:val="ECHRPara"/>
      </w:pPr>
      <w:r>
        <w:fldChar w:fldCharType="begin"/>
      </w:r>
      <w:r>
        <w:instrText xml:space="preserve"> SEQ level0 \*arabic </w:instrText>
      </w:r>
      <w:r>
        <w:fldChar w:fldCharType="separate"/>
      </w:r>
      <w:r w:rsidR="00AA0D85" w:rsidRPr="00AA0D85">
        <w:t>3</w:t>
      </w:r>
      <w:r>
        <w:fldChar w:fldCharType="end"/>
      </w:r>
      <w:r w:rsidR="00F65F15">
        <w:t>.  Skarżący twierdzi</w:t>
      </w:r>
      <w:r w:rsidR="00BC0ED7">
        <w:t>ł</w:t>
      </w:r>
      <w:r w:rsidR="00F65F15">
        <w:t xml:space="preserve">, że warunki </w:t>
      </w:r>
      <w:r w:rsidR="00501745">
        <w:t>jego pobytu w zakładzie penitencjarnym</w:t>
      </w:r>
      <w:r w:rsidR="00F65F15">
        <w:t xml:space="preserve"> doprowadziły do nieludzkiego i poniżającego traktowania.</w:t>
      </w:r>
    </w:p>
    <w:p w:rsidR="00DA4349" w:rsidRPr="00AA0D85" w:rsidRDefault="008418AD" w:rsidP="00AA0D85">
      <w:pPr>
        <w:pStyle w:val="ECHRPara"/>
      </w:pPr>
      <w:r>
        <w:fldChar w:fldCharType="begin"/>
      </w:r>
      <w:r>
        <w:instrText xml:space="preserve"> SEQ level0 \*arabic </w:instrText>
      </w:r>
      <w:r>
        <w:fldChar w:fldCharType="separate"/>
      </w:r>
      <w:r w:rsidR="00AA0D85" w:rsidRPr="00AA0D85">
        <w:t>4</w:t>
      </w:r>
      <w:r>
        <w:fldChar w:fldCharType="end"/>
      </w:r>
      <w:r w:rsidR="00F65F15">
        <w:t xml:space="preserve">.  Dnia 23 listopada 2016 r. skarga dotycząca warunków pobytu </w:t>
      </w:r>
      <w:r w:rsidR="00AD3609">
        <w:t xml:space="preserve">skarżącego </w:t>
      </w:r>
      <w:r w:rsidR="00F65F15">
        <w:t xml:space="preserve">w Kieleckim Areszcie Śledczym </w:t>
      </w:r>
      <w:r w:rsidR="00AD3609">
        <w:t xml:space="preserve">w okresie </w:t>
      </w:r>
      <w:r w:rsidR="00F65F15">
        <w:t>od 6 września do 4 października 2012 r. została zakomunikowana Rządowi, zaś w pozostałym zakresie skarga została uznana za niedopuszczalną, zgodnie z Regułą 54 § 3 Regulaminu Trybunału.</w:t>
      </w:r>
    </w:p>
    <w:p w:rsidR="00DA4349" w:rsidRPr="00AA0D85" w:rsidRDefault="009E2683" w:rsidP="00AA0D85">
      <w:pPr>
        <w:pStyle w:val="ECHRTitle1"/>
      </w:pPr>
      <w:r>
        <w:t>FAKTY</w:t>
      </w:r>
      <w:bookmarkStart w:id="1" w:name="_GoBack"/>
      <w:bookmarkEnd w:id="1"/>
    </w:p>
    <w:p w:rsidR="00DA4349" w:rsidRPr="00AA0D85" w:rsidRDefault="009E2683" w:rsidP="00AA0D85">
      <w:pPr>
        <w:pStyle w:val="ECHRHeading1"/>
      </w:pPr>
      <w:r>
        <w:t>I.  OKOLICZNOŚCI SPRAWY</w:t>
      </w:r>
    </w:p>
    <w:p w:rsidR="00DA4349" w:rsidRPr="00AA0D85" w:rsidRDefault="008418AD" w:rsidP="00AA0D85">
      <w:pPr>
        <w:pStyle w:val="ECHRPara"/>
      </w:pPr>
      <w:r>
        <w:fldChar w:fldCharType="begin"/>
      </w:r>
      <w:r>
        <w:instrText xml:space="preserve"> SEQ level0 \*arabic </w:instrText>
      </w:r>
      <w:r>
        <w:fldChar w:fldCharType="separate"/>
      </w:r>
      <w:r w:rsidR="00AA0D85" w:rsidRPr="00AA0D85">
        <w:t>5</w:t>
      </w:r>
      <w:r>
        <w:fldChar w:fldCharType="end"/>
      </w:r>
      <w:r w:rsidR="00F65F15">
        <w:t>.  Skarżący urodził się w 1985 r. i mieszka w Łatanicach.</w:t>
      </w:r>
    </w:p>
    <w:p w:rsidR="00DA4349" w:rsidRPr="00AA0D85" w:rsidRDefault="008418AD" w:rsidP="00AA0D85">
      <w:pPr>
        <w:pStyle w:val="ECHRPara"/>
      </w:pPr>
      <w:r>
        <w:fldChar w:fldCharType="begin"/>
      </w:r>
      <w:r>
        <w:instrText xml:space="preserve"> SEQ level0 \*arabic </w:instrText>
      </w:r>
      <w:r>
        <w:fldChar w:fldCharType="separate"/>
      </w:r>
      <w:r w:rsidR="00AA0D85" w:rsidRPr="00AA0D85">
        <w:t>6</w:t>
      </w:r>
      <w:r>
        <w:fldChar w:fldCharType="end"/>
      </w:r>
      <w:r w:rsidR="00F65F15">
        <w:t>.  </w:t>
      </w:r>
      <w:r w:rsidR="00AD3609">
        <w:t xml:space="preserve">Okoliczności faktyczne </w:t>
      </w:r>
      <w:r w:rsidR="00F65F15">
        <w:t>sprawy można streścić w następujący sposób.</w:t>
      </w:r>
    </w:p>
    <w:p w:rsidR="005972FB" w:rsidRPr="00AA0D85" w:rsidRDefault="00E127DB" w:rsidP="00AA0D85">
      <w:pPr>
        <w:pStyle w:val="ECHRHeading2"/>
      </w:pPr>
      <w:r>
        <w:lastRenderedPageBreak/>
        <w:t xml:space="preserve">A. Okres </w:t>
      </w:r>
      <w:r w:rsidR="00AD3609">
        <w:t xml:space="preserve">pobytu </w:t>
      </w:r>
      <w:r>
        <w:t>skarżącego</w:t>
      </w:r>
      <w:r w:rsidR="00AD3609">
        <w:t xml:space="preserve"> w </w:t>
      </w:r>
      <w:r w:rsidR="003E5D45">
        <w:t>zakładzie penitencjarnym</w:t>
      </w:r>
    </w:p>
    <w:p w:rsidR="00F65F15" w:rsidRPr="00AA0D85" w:rsidRDefault="008418AD" w:rsidP="00AA0D85">
      <w:pPr>
        <w:pStyle w:val="ECHRPara"/>
      </w:pPr>
      <w:r>
        <w:fldChar w:fldCharType="begin"/>
      </w:r>
      <w:r>
        <w:instrText xml:space="preserve"> SEQ level0 \*arabic </w:instrText>
      </w:r>
      <w:r>
        <w:fldChar w:fldCharType="separate"/>
      </w:r>
      <w:r w:rsidR="00AA0D85" w:rsidRPr="00AA0D85">
        <w:t>7</w:t>
      </w:r>
      <w:r>
        <w:fldChar w:fldCharType="end"/>
      </w:r>
      <w:r w:rsidR="00B07810">
        <w:t xml:space="preserve">.  Skarżący przebywał w Kieleckim Areszcie Śledczym </w:t>
      </w:r>
      <w:r w:rsidR="00AD3609">
        <w:t xml:space="preserve">w okresie </w:t>
      </w:r>
      <w:r w:rsidR="00B07810">
        <w:t>od 6 września do 4 października 2012 r. (28 dni).</w:t>
      </w:r>
    </w:p>
    <w:p w:rsidR="005972FB" w:rsidRPr="00AA0D85" w:rsidRDefault="00E127DB" w:rsidP="00AA0D85">
      <w:pPr>
        <w:pStyle w:val="ECHRHeading2"/>
        <w:keepLines w:val="0"/>
      </w:pPr>
      <w:r>
        <w:t xml:space="preserve">B. Warunki pobytu skarżącego w </w:t>
      </w:r>
      <w:r w:rsidR="003E5D45">
        <w:t>zakładzie penitencjarnym</w:t>
      </w:r>
    </w:p>
    <w:p w:rsidR="005972FB" w:rsidRPr="00AA0D85" w:rsidRDefault="008418AD" w:rsidP="00AA0D85">
      <w:pPr>
        <w:pStyle w:val="ECHRPara"/>
      </w:pPr>
      <w:r>
        <w:fldChar w:fldCharType="begin"/>
      </w:r>
      <w:r>
        <w:instrText xml:space="preserve"> SEQ level0 \*arabic </w:instrText>
      </w:r>
      <w:r>
        <w:fldChar w:fldCharType="separate"/>
      </w:r>
      <w:r w:rsidR="00AA0D85" w:rsidRPr="00AA0D85">
        <w:t>8</w:t>
      </w:r>
      <w:r>
        <w:fldChar w:fldCharType="end"/>
      </w:r>
      <w:r w:rsidR="00B07810">
        <w:t xml:space="preserve">.  Skarżący </w:t>
      </w:r>
      <w:r w:rsidR="00BC0ED7">
        <w:t>podniósł</w:t>
      </w:r>
      <w:r w:rsidR="00B07810">
        <w:t xml:space="preserve">, że podczas jego pobytu w Kieleckim Areszcie Śledczym został osadzony w przeludnionych celach, gdzie powierzchnia przypadająca na </w:t>
      </w:r>
      <w:r w:rsidR="00BC0ED7">
        <w:t xml:space="preserve">osobę </w:t>
      </w:r>
      <w:r w:rsidR="00B07810">
        <w:t xml:space="preserve">wynosiła </w:t>
      </w:r>
      <w:r w:rsidR="003E5D45">
        <w:t>poniżej</w:t>
      </w:r>
      <w:r w:rsidR="00B07810">
        <w:t xml:space="preserve"> minimaln</w:t>
      </w:r>
      <w:r w:rsidR="003E5D45">
        <w:t>ej</w:t>
      </w:r>
      <w:r w:rsidR="00B07810">
        <w:t xml:space="preserve"> polsk</w:t>
      </w:r>
      <w:r w:rsidR="003E5D45">
        <w:t>iej</w:t>
      </w:r>
      <w:r w:rsidR="00B07810">
        <w:t xml:space="preserve"> norm</w:t>
      </w:r>
      <w:r w:rsidR="003E5D45">
        <w:t>y</w:t>
      </w:r>
      <w:r w:rsidR="00B07810">
        <w:t xml:space="preserve"> ustawow</w:t>
      </w:r>
      <w:r w:rsidR="003E5D45">
        <w:t>ej</w:t>
      </w:r>
      <w:r w:rsidR="00B07810">
        <w:t xml:space="preserve"> 3 m².</w:t>
      </w:r>
    </w:p>
    <w:p w:rsidR="005972FB" w:rsidRPr="00AA0D85" w:rsidRDefault="008418AD" w:rsidP="00AA0D85">
      <w:pPr>
        <w:pStyle w:val="ECHRPara"/>
      </w:pPr>
      <w:r>
        <w:fldChar w:fldCharType="begin"/>
      </w:r>
      <w:r>
        <w:instrText xml:space="preserve"> SEQ level0 \*arabic </w:instrText>
      </w:r>
      <w:r>
        <w:fldChar w:fldCharType="separate"/>
      </w:r>
      <w:r w:rsidR="00AA0D85" w:rsidRPr="00AA0D85">
        <w:t>9</w:t>
      </w:r>
      <w:r>
        <w:fldChar w:fldCharType="end"/>
      </w:r>
      <w:r w:rsidR="00B07810">
        <w:t xml:space="preserve">.  W swoich uwagach Rząd </w:t>
      </w:r>
      <w:r w:rsidR="003E5D45">
        <w:t>przyznał</w:t>
      </w:r>
      <w:r w:rsidR="00B07810">
        <w:t xml:space="preserve">, że skarżący </w:t>
      </w:r>
      <w:r w:rsidR="003E5D45">
        <w:t xml:space="preserve">przebywał </w:t>
      </w:r>
      <w:r w:rsidR="00B07810">
        <w:t>w przeludnionej celi</w:t>
      </w:r>
      <w:r w:rsidR="00AD3609">
        <w:t>, przy czym</w:t>
      </w:r>
      <w:r w:rsidR="00B07810">
        <w:t xml:space="preserve"> podkreślił , że przestrzeń na osadzonego w każdej z cel przekraczała 2 m², zaś spowodowane </w:t>
      </w:r>
      <w:r w:rsidR="00AD3609">
        <w:t xml:space="preserve">tym uciążliwości </w:t>
      </w:r>
      <w:r w:rsidR="00B07810">
        <w:t>kompensowan</w:t>
      </w:r>
      <w:r w:rsidR="00AD3609">
        <w:t>o</w:t>
      </w:r>
      <w:r w:rsidR="00B07810">
        <w:t xml:space="preserve"> przedłuż</w:t>
      </w:r>
      <w:r w:rsidR="00AD3609">
        <w:t>a</w:t>
      </w:r>
      <w:r w:rsidR="00B07810">
        <w:t>nie</w:t>
      </w:r>
      <w:r w:rsidR="00AD3609">
        <w:t>m</w:t>
      </w:r>
      <w:r w:rsidR="00B07810">
        <w:t xml:space="preserve"> codziennego spaceru o 30 minut, a także dodatkowymi zajęciami </w:t>
      </w:r>
      <w:r w:rsidR="00AD3609">
        <w:t>kulturalnymi</w:t>
      </w:r>
      <w:r w:rsidR="00B07810">
        <w:t>, edukacyjnymi i sportowymi.</w:t>
      </w:r>
    </w:p>
    <w:p w:rsidR="007A6EE6" w:rsidRPr="00AA0D85" w:rsidRDefault="008418AD" w:rsidP="00AA0D85">
      <w:pPr>
        <w:pStyle w:val="ECHRPara"/>
      </w:pPr>
      <w:r>
        <w:fldChar w:fldCharType="begin"/>
      </w:r>
      <w:r>
        <w:instrText xml:space="preserve"> SEQ level0 \*arabic </w:instrText>
      </w:r>
      <w:r>
        <w:fldChar w:fldCharType="separate"/>
      </w:r>
      <w:r w:rsidR="00AA0D85" w:rsidRPr="00AA0D85">
        <w:t>10</w:t>
      </w:r>
      <w:r>
        <w:fldChar w:fldCharType="end"/>
      </w:r>
      <w:r w:rsidR="00B07810">
        <w:t xml:space="preserve">.  W </w:t>
      </w:r>
      <w:r w:rsidR="001D1725">
        <w:t xml:space="preserve">toku </w:t>
      </w:r>
      <w:r w:rsidR="00B07810">
        <w:t xml:space="preserve">postępowania cywilnego wszczętego przez skarżącego sądy krajowe ustaliły, że </w:t>
      </w:r>
      <w:r w:rsidR="001D1725">
        <w:t xml:space="preserve">w przeludnionej celi </w:t>
      </w:r>
      <w:r w:rsidR="00B07810">
        <w:t>skarżący spędził dwadzieścia osiem dni (zob. par. 13).</w:t>
      </w:r>
    </w:p>
    <w:p w:rsidR="007A6EE6" w:rsidRPr="00AA0D85" w:rsidRDefault="008418AD" w:rsidP="00AA0D85">
      <w:pPr>
        <w:pStyle w:val="ECHRPara"/>
      </w:pPr>
      <w:r>
        <w:fldChar w:fldCharType="begin"/>
      </w:r>
      <w:r>
        <w:instrText xml:space="preserve"> SEQ level0 \*arabic </w:instrText>
      </w:r>
      <w:r>
        <w:fldChar w:fldCharType="separate"/>
      </w:r>
      <w:r w:rsidR="00AA0D85" w:rsidRPr="00AA0D85">
        <w:t>11</w:t>
      </w:r>
      <w:r>
        <w:fldChar w:fldCharType="end"/>
      </w:r>
      <w:r w:rsidR="00B07810">
        <w:t xml:space="preserve">.  W odniesieniu do warunków </w:t>
      </w:r>
      <w:r w:rsidR="001413F8">
        <w:t>pobytu w zakładzie penitencjarnym</w:t>
      </w:r>
      <w:r w:rsidR="00B07810">
        <w:t xml:space="preserve"> sądy krajowe uznały, że w celi panowały odpowiednie warunki. Cele wyposażono zgodnie z obowiązującym</w:t>
      </w:r>
      <w:r w:rsidR="001D1725">
        <w:t>i w tym zakresie przepisami</w:t>
      </w:r>
      <w:r w:rsidR="00B07810">
        <w:t xml:space="preserve"> </w:t>
      </w:r>
      <w:r w:rsidR="001D1725">
        <w:t>prawa</w:t>
      </w:r>
      <w:r w:rsidR="00B07810">
        <w:t xml:space="preserve">; były one odpowiednio wentylowane, a </w:t>
      </w:r>
      <w:r w:rsidR="001D1725">
        <w:t xml:space="preserve">kąciki </w:t>
      </w:r>
      <w:r w:rsidR="00B07810">
        <w:t>sanitarn</w:t>
      </w:r>
      <w:r w:rsidR="001D1725">
        <w:t>e</w:t>
      </w:r>
      <w:r w:rsidR="00B07810">
        <w:t xml:space="preserve"> był</w:t>
      </w:r>
      <w:r w:rsidR="001413F8">
        <w:t>y</w:t>
      </w:r>
      <w:r w:rsidR="00B07810">
        <w:t xml:space="preserve"> oddzielon</w:t>
      </w:r>
      <w:r w:rsidR="001D1725">
        <w:t xml:space="preserve">e </w:t>
      </w:r>
      <w:r w:rsidR="00B07810">
        <w:t>od pozostałej części mieszkalne.</w:t>
      </w:r>
    </w:p>
    <w:p w:rsidR="005972FB" w:rsidRPr="00AA0D85" w:rsidRDefault="00E127DB" w:rsidP="00AA0D85">
      <w:pPr>
        <w:pStyle w:val="ECHRHeading2"/>
      </w:pPr>
      <w:r>
        <w:t>C. Postępowanie cywilne przeciwko Skarbowi Państwa</w:t>
      </w:r>
    </w:p>
    <w:p w:rsidR="00860D9B" w:rsidRPr="00AA0D85" w:rsidRDefault="008418AD" w:rsidP="00AA0D85">
      <w:pPr>
        <w:pStyle w:val="ECHRPara"/>
      </w:pPr>
      <w:r>
        <w:fldChar w:fldCharType="begin"/>
      </w:r>
      <w:r>
        <w:instrText xml:space="preserve"> SEQ level0 \*arabic </w:instrText>
      </w:r>
      <w:r>
        <w:fldChar w:fldCharType="separate"/>
      </w:r>
      <w:r w:rsidR="00AA0D85" w:rsidRPr="00AA0D85">
        <w:t>12</w:t>
      </w:r>
      <w:r>
        <w:fldChar w:fldCharType="end"/>
      </w:r>
      <w:r w:rsidR="00B07810">
        <w:t xml:space="preserve">.  Dnia 12 sierpnia 2013 r. skarżący wytoczył powództwo cywilne przeciwko Skarbowi Państwa za naruszenie jego dóbr osobistych i wystąpił o zadośćuczynienie za pobyt w przeludnionych celach w różnych </w:t>
      </w:r>
      <w:r w:rsidR="003E5D45">
        <w:t>zakładach</w:t>
      </w:r>
      <w:r w:rsidR="001D1725">
        <w:t xml:space="preserve"> </w:t>
      </w:r>
      <w:r w:rsidR="00B07810">
        <w:t xml:space="preserve">penitencjarnych. </w:t>
      </w:r>
      <w:r w:rsidR="001D1725">
        <w:t>Dochodził on</w:t>
      </w:r>
      <w:r w:rsidR="00B07810">
        <w:t xml:space="preserve"> 35 000 </w:t>
      </w:r>
      <w:r w:rsidR="001D1725">
        <w:t>PLN</w:t>
      </w:r>
      <w:r w:rsidR="00B07810">
        <w:t xml:space="preserve"> (ok. 8 750 </w:t>
      </w:r>
      <w:r w:rsidR="001D1725">
        <w:t>EUR</w:t>
      </w:r>
      <w:r w:rsidR="00B07810">
        <w:t xml:space="preserve">) </w:t>
      </w:r>
      <w:r w:rsidR="001D1725">
        <w:t xml:space="preserve">tytułem </w:t>
      </w:r>
      <w:r w:rsidR="00B07810">
        <w:t>słusznego zadośćuczynienia.</w:t>
      </w:r>
    </w:p>
    <w:p w:rsidR="007A6EE6" w:rsidRPr="00AA0D85" w:rsidRDefault="008418AD" w:rsidP="00AA0D85">
      <w:pPr>
        <w:pStyle w:val="ECHRPara"/>
      </w:pPr>
      <w:r>
        <w:fldChar w:fldCharType="begin"/>
      </w:r>
      <w:r>
        <w:instrText xml:space="preserve"> SEQ level0 \*arabic </w:instrText>
      </w:r>
      <w:r>
        <w:fldChar w:fldCharType="separate"/>
      </w:r>
      <w:r w:rsidR="00AA0D85" w:rsidRPr="00AA0D85">
        <w:t>13</w:t>
      </w:r>
      <w:r>
        <w:fldChar w:fldCharType="end"/>
      </w:r>
      <w:r w:rsidR="00454F58">
        <w:t>.  Dnia 28 maja 2014 r. Sąd Okręgowy w Warszawie oddalił powództwo skarżącego. Sąd potwierdził jednak, że przez pewien czas (od 6 września do 4 października 2012 r.) skarżący przebywał w celach, gdzie powierzchnia przypadająca na os</w:t>
      </w:r>
      <w:r w:rsidR="00BC0ED7">
        <w:t>obę</w:t>
      </w:r>
      <w:r w:rsidR="00454F58">
        <w:t xml:space="preserve"> wynosiła </w:t>
      </w:r>
      <w:r w:rsidR="001413F8">
        <w:t>poniżej</w:t>
      </w:r>
      <w:r w:rsidR="00454F58">
        <w:t xml:space="preserve"> minimaln</w:t>
      </w:r>
      <w:r w:rsidR="001413F8">
        <w:t>ej</w:t>
      </w:r>
      <w:r w:rsidR="00454F58">
        <w:t xml:space="preserve"> polsk</w:t>
      </w:r>
      <w:r w:rsidR="001413F8">
        <w:t>iej</w:t>
      </w:r>
      <w:r w:rsidR="00454F58">
        <w:t xml:space="preserve"> norm</w:t>
      </w:r>
      <w:r w:rsidR="001413F8">
        <w:t>y</w:t>
      </w:r>
      <w:r w:rsidR="00454F58">
        <w:t xml:space="preserve"> ustawow</w:t>
      </w:r>
      <w:r w:rsidR="001413F8">
        <w:t>ej</w:t>
      </w:r>
      <w:r w:rsidR="00454F58">
        <w:t xml:space="preserve"> 3 m², jednak nie mniej niż 2 m².</w:t>
      </w:r>
    </w:p>
    <w:p w:rsidR="0031788A" w:rsidRPr="00AA0D85" w:rsidRDefault="008418AD" w:rsidP="00AA0D85">
      <w:pPr>
        <w:pStyle w:val="ECHRPara"/>
      </w:pPr>
      <w:r>
        <w:fldChar w:fldCharType="begin"/>
      </w:r>
      <w:r>
        <w:instrText xml:space="preserve"> SEQ level0 \*arabic </w:instrText>
      </w:r>
      <w:r>
        <w:fldChar w:fldCharType="separate"/>
      </w:r>
      <w:r w:rsidR="00AA0D85" w:rsidRPr="00AA0D85">
        <w:t>14</w:t>
      </w:r>
      <w:r>
        <w:fldChar w:fldCharType="end"/>
      </w:r>
      <w:r w:rsidR="00454F58">
        <w:t>.  Dnia 1 kwietnia 2015 r. Sąd Apelacyjny w Warszawie oddalił apelację skarżącego.</w:t>
      </w:r>
    </w:p>
    <w:p w:rsidR="00DA4349" w:rsidRPr="00AA0D85" w:rsidRDefault="009E2683" w:rsidP="00AA0D85">
      <w:pPr>
        <w:pStyle w:val="ECHRHeading1"/>
      </w:pPr>
      <w:r>
        <w:t>II.  WŁAŚCIWE PRAWO KRAJOWE I PRAKTYKA</w:t>
      </w:r>
    </w:p>
    <w:p w:rsidR="00DA4349" w:rsidRPr="00AA0D85" w:rsidRDefault="008418AD" w:rsidP="00AA0D85">
      <w:pPr>
        <w:pStyle w:val="ECHRPara"/>
      </w:pPr>
      <w:r>
        <w:fldChar w:fldCharType="begin"/>
      </w:r>
      <w:r>
        <w:instrText xml:space="preserve"> SEQ level0 \*arabic </w:instrText>
      </w:r>
      <w:r>
        <w:fldChar w:fldCharType="separate"/>
      </w:r>
      <w:r w:rsidR="00AA0D85" w:rsidRPr="00AA0D85">
        <w:t>15</w:t>
      </w:r>
      <w:r>
        <w:fldChar w:fldCharType="end"/>
      </w:r>
      <w:r w:rsidR="00F65F15">
        <w:t xml:space="preserve">.  Szczegółowe omówienie odpowiednich przepisów krajowych i praktyki dotyczących ogólnych zasad rządzących warunkami </w:t>
      </w:r>
      <w:r w:rsidR="00F168BE">
        <w:t xml:space="preserve">pobytu w </w:t>
      </w:r>
      <w:r w:rsidR="001413F8">
        <w:t>zakładach penitencjarnych</w:t>
      </w:r>
      <w:r w:rsidR="00BC0ED7">
        <w:t xml:space="preserve"> </w:t>
      </w:r>
      <w:r w:rsidR="00F65F15">
        <w:t xml:space="preserve">w Polsce oraz krajowych środków odwoławczych dostępnych osadzonym </w:t>
      </w:r>
      <w:r w:rsidR="00F168BE">
        <w:t xml:space="preserve">w </w:t>
      </w:r>
      <w:r w:rsidR="001413F8">
        <w:t>zakładach penitencjarnych</w:t>
      </w:r>
      <w:r w:rsidR="00F168BE">
        <w:t xml:space="preserve">, którzy </w:t>
      </w:r>
      <w:r w:rsidR="001D1725">
        <w:t>twierdzą</w:t>
      </w:r>
      <w:r w:rsidR="00F65F15">
        <w:t xml:space="preserve">, że warunki ich </w:t>
      </w:r>
      <w:r w:rsidR="00F168BE">
        <w:t xml:space="preserve">pobytu w </w:t>
      </w:r>
      <w:r w:rsidR="001413F8">
        <w:t>zakładzie penitencjarnym</w:t>
      </w:r>
      <w:r w:rsidR="00F168BE">
        <w:t xml:space="preserve"> </w:t>
      </w:r>
      <w:r w:rsidR="00F65F15">
        <w:t xml:space="preserve">były </w:t>
      </w:r>
      <w:r w:rsidR="00F168BE">
        <w:t xml:space="preserve">niewłaściwe, </w:t>
      </w:r>
      <w:r w:rsidR="00F65F15">
        <w:t>przedstawion</w:t>
      </w:r>
      <w:r w:rsidR="00F168BE">
        <w:t>o</w:t>
      </w:r>
      <w:r w:rsidR="00F65F15">
        <w:t xml:space="preserve"> w wyrokach pilotażowych Trybunału w sprawach </w:t>
      </w:r>
      <w:r w:rsidR="00F65F15">
        <w:rPr>
          <w:i/>
          <w:iCs/>
        </w:rPr>
        <w:t>Orchowski przeciwko Polsce</w:t>
      </w:r>
      <w:r w:rsidR="00F168BE">
        <w:rPr>
          <w:i/>
          <w:iCs/>
        </w:rPr>
        <w:t>,</w:t>
      </w:r>
      <w:r w:rsidR="00F65F15">
        <w:t xml:space="preserve"> skarga nr 17885/04</w:t>
      </w:r>
      <w:r w:rsidR="00F168BE">
        <w:t>,</w:t>
      </w:r>
      <w:r w:rsidR="00F65F15">
        <w:t xml:space="preserve"> oraz </w:t>
      </w:r>
      <w:r w:rsidR="00F65F15">
        <w:rPr>
          <w:i/>
          <w:iCs/>
        </w:rPr>
        <w:t>Norbert Sikorski przeciwko Polsce</w:t>
      </w:r>
      <w:r w:rsidR="00F168BE">
        <w:rPr>
          <w:i/>
          <w:iCs/>
        </w:rPr>
        <w:t>,</w:t>
      </w:r>
      <w:r w:rsidR="00F65F15">
        <w:t xml:space="preserve"> skarga nr 17599/05</w:t>
      </w:r>
      <w:r w:rsidR="00F168BE">
        <w:t>,</w:t>
      </w:r>
      <w:r w:rsidR="00F65F15">
        <w:t xml:space="preserve"> 22 października 2009 r. (zob. odpowiednio §§ 75-85 oraz §§ 45-88). Najnowsze zmiany zostały opisane w decyzji Trybunału w sprawie</w:t>
      </w:r>
      <w:r w:rsidR="00F65F15">
        <w:rPr>
          <w:i/>
          <w:iCs/>
        </w:rPr>
        <w:t xml:space="preserve"> </w:t>
      </w:r>
      <w:proofErr w:type="spellStart"/>
      <w:r w:rsidR="00F65F15">
        <w:rPr>
          <w:i/>
          <w:iCs/>
        </w:rPr>
        <w:t>Łatak</w:t>
      </w:r>
      <w:proofErr w:type="spellEnd"/>
      <w:r w:rsidR="00F65F15">
        <w:rPr>
          <w:i/>
          <w:iCs/>
        </w:rPr>
        <w:t xml:space="preserve"> przeciwko Polsce</w:t>
      </w:r>
      <w:r w:rsidR="00F168BE">
        <w:rPr>
          <w:i/>
          <w:iCs/>
        </w:rPr>
        <w:t>,</w:t>
      </w:r>
      <w:r w:rsidR="00F65F15">
        <w:t xml:space="preserve"> skarga nr 52070/08, 12 października 2010 r. §§ 25-54.</w:t>
      </w:r>
    </w:p>
    <w:p w:rsidR="00DA4349" w:rsidRPr="00AA0D85" w:rsidRDefault="009E2683" w:rsidP="00AA0D85">
      <w:pPr>
        <w:pStyle w:val="ECHRTitle1"/>
      </w:pPr>
      <w:r>
        <w:t>PRAWO</w:t>
      </w:r>
    </w:p>
    <w:p w:rsidR="00DA4349" w:rsidRPr="00AA0D85" w:rsidRDefault="009E2683" w:rsidP="00AA0D85">
      <w:pPr>
        <w:pStyle w:val="ECHRHeading1"/>
      </w:pPr>
      <w:r>
        <w:t>I.  DOMNIEMANE NARUSZENIE ART. 3 KONWENCJI</w:t>
      </w:r>
    </w:p>
    <w:p w:rsidR="00DA4349" w:rsidRPr="00AA0D85" w:rsidRDefault="008418AD" w:rsidP="00AA0D85">
      <w:pPr>
        <w:pStyle w:val="ECHRPara"/>
      </w:pPr>
      <w:r>
        <w:fldChar w:fldCharType="begin"/>
      </w:r>
      <w:r>
        <w:instrText xml:space="preserve"> SEQ level0 \*arabic </w:instrText>
      </w:r>
      <w:r>
        <w:fldChar w:fldCharType="separate"/>
      </w:r>
      <w:r w:rsidR="00AA0D85" w:rsidRPr="00AA0D85">
        <w:t>16</w:t>
      </w:r>
      <w:r>
        <w:fldChar w:fldCharType="end"/>
      </w:r>
      <w:r w:rsidR="00F65F15">
        <w:t xml:space="preserve">.  Skarżący </w:t>
      </w:r>
      <w:r w:rsidR="00F168BE">
        <w:t>zarzuc</w:t>
      </w:r>
      <w:r w:rsidR="00BC0ED7">
        <w:t>ił</w:t>
      </w:r>
      <w:r w:rsidR="00F65F15">
        <w:t>, że warunki jego pobytu oraz przeludnienie w Kieleckim Areszcie Śledczym, gdzie przebywał od 6 września do 4 października 2012 r. (28 dni) doprowadziły do nieludzkiego i poniżającego traktowania, zgodnie z art. 3 Konwencji, który</w:t>
      </w:r>
      <w:r w:rsidR="00BC0ED7">
        <w:t xml:space="preserve"> stanowi</w:t>
      </w:r>
      <w:r w:rsidR="00F65F15">
        <w:t>:</w:t>
      </w:r>
    </w:p>
    <w:p w:rsidR="00DA4349" w:rsidRPr="00AA0D85" w:rsidRDefault="00860D9B" w:rsidP="00AA0D85">
      <w:pPr>
        <w:pStyle w:val="ECHRParaQuote"/>
      </w:pPr>
      <w:r>
        <w:t>„Nikt nie może być poddany torturom ani nieludzkiemu lub poniżającemu traktowaniu albo karaniu”.</w:t>
      </w:r>
    </w:p>
    <w:p w:rsidR="00AA0D85" w:rsidRPr="00AA0D85" w:rsidRDefault="009E2683" w:rsidP="00AA0D85">
      <w:pPr>
        <w:pStyle w:val="ECHRHeading2"/>
      </w:pPr>
      <w:r>
        <w:t>A.  Dopuszczalność</w:t>
      </w:r>
    </w:p>
    <w:p w:rsidR="00DA4349" w:rsidRPr="00AA0D85" w:rsidRDefault="008418AD" w:rsidP="00AA0D85">
      <w:pPr>
        <w:pStyle w:val="ECHRPara"/>
      </w:pPr>
      <w:r>
        <w:fldChar w:fldCharType="begin"/>
      </w:r>
      <w:r>
        <w:instrText xml:space="preserve"> SEQ level0 \*arabic </w:instrText>
      </w:r>
      <w:r>
        <w:fldChar w:fldCharType="separate"/>
      </w:r>
      <w:r w:rsidR="00AA0D85" w:rsidRPr="00AA0D85">
        <w:t>17</w:t>
      </w:r>
      <w:r>
        <w:fldChar w:fldCharType="end"/>
      </w:r>
      <w:r w:rsidR="00873957">
        <w:t xml:space="preserve">.  Trybunał zauważa, że skarga ta nie jest w sposób oczywisty nieuzasadniona w rozumieniu art. 35 ust. 3 lit. a Konwencji. Ponadto odnotowuje, że nie jest ona </w:t>
      </w:r>
      <w:r w:rsidR="00F168BE">
        <w:t xml:space="preserve">również </w:t>
      </w:r>
      <w:r w:rsidR="00873957">
        <w:t>niedopuszczalna na żadnym innym gruncie. Należy ją zatem uznać za dopuszczalną.</w:t>
      </w:r>
    </w:p>
    <w:p w:rsidR="00DA4349" w:rsidRPr="00AA0D85" w:rsidRDefault="009E2683" w:rsidP="00AA0D85">
      <w:pPr>
        <w:pStyle w:val="ECHRHeading2"/>
      </w:pPr>
      <w:r>
        <w:t>B.  Przedmiot skargi</w:t>
      </w:r>
    </w:p>
    <w:p w:rsidR="00DA4349" w:rsidRPr="00AA0D85" w:rsidRDefault="008418AD" w:rsidP="00AA0D85">
      <w:pPr>
        <w:pStyle w:val="ECHRPara"/>
      </w:pPr>
      <w:r>
        <w:fldChar w:fldCharType="begin"/>
      </w:r>
      <w:r>
        <w:instrText xml:space="preserve"> SEQ level0 \*arabic </w:instrText>
      </w:r>
      <w:r>
        <w:fldChar w:fldCharType="separate"/>
      </w:r>
      <w:r w:rsidR="00AA0D85" w:rsidRPr="00AA0D85">
        <w:t>18</w:t>
      </w:r>
      <w:r>
        <w:fldChar w:fldCharType="end"/>
      </w:r>
      <w:r w:rsidR="00F65F15">
        <w:t xml:space="preserve">.  Skarżący </w:t>
      </w:r>
      <w:r w:rsidR="009E180C">
        <w:t>podniósł</w:t>
      </w:r>
      <w:r w:rsidR="00F65F15">
        <w:t xml:space="preserve">, że przeludnienie oraz warunki </w:t>
      </w:r>
      <w:r w:rsidR="00A53D8F">
        <w:t xml:space="preserve">osadzenia </w:t>
      </w:r>
      <w:r w:rsidR="00F65F15">
        <w:t xml:space="preserve">nie </w:t>
      </w:r>
      <w:r w:rsidR="009E180C">
        <w:t>spełniały standardów wynikających z a</w:t>
      </w:r>
      <w:r w:rsidR="00F65F15">
        <w:t>rt. 3 Konwencji.</w:t>
      </w:r>
    </w:p>
    <w:p w:rsidR="009C20D3" w:rsidRPr="00AA0D85" w:rsidRDefault="008418AD" w:rsidP="00AA0D85">
      <w:pPr>
        <w:pStyle w:val="ECHRPara"/>
      </w:pPr>
      <w:r>
        <w:fldChar w:fldCharType="begin"/>
      </w:r>
      <w:r>
        <w:instrText xml:space="preserve"> SEQ level0 \*arabic </w:instrText>
      </w:r>
      <w:r>
        <w:fldChar w:fldCharType="separate"/>
      </w:r>
      <w:r w:rsidR="00AA0D85" w:rsidRPr="00AA0D85">
        <w:t>19</w:t>
      </w:r>
      <w:r>
        <w:fldChar w:fldCharType="end"/>
      </w:r>
      <w:r w:rsidR="009C20D3">
        <w:t xml:space="preserve">.  Rząd </w:t>
      </w:r>
      <w:r w:rsidR="00A53D8F">
        <w:t>s</w:t>
      </w:r>
      <w:r w:rsidR="009C20D3">
        <w:t>twierdzi</w:t>
      </w:r>
      <w:r w:rsidR="00A53D8F">
        <w:t>ł</w:t>
      </w:r>
      <w:r w:rsidR="009C20D3">
        <w:t xml:space="preserve">, że warunki </w:t>
      </w:r>
      <w:r w:rsidR="00F168BE">
        <w:t xml:space="preserve">pobytu </w:t>
      </w:r>
      <w:r w:rsidR="009C20D3">
        <w:t xml:space="preserve">skarżącego </w:t>
      </w:r>
      <w:r w:rsidR="00F168BE">
        <w:t xml:space="preserve">w areszcie śledczym </w:t>
      </w:r>
      <w:r w:rsidR="009C20D3">
        <w:t xml:space="preserve">nie osiągnęły minimalnego stopnia </w:t>
      </w:r>
      <w:r w:rsidR="00F168BE">
        <w:t xml:space="preserve">dolegliwości, jaki pozwoliłby  </w:t>
      </w:r>
      <w:r w:rsidR="009C20D3">
        <w:t>uznać jego traktowani</w:t>
      </w:r>
      <w:r w:rsidR="00A53D8F">
        <w:t>e</w:t>
      </w:r>
      <w:r w:rsidR="009C20D3">
        <w:t xml:space="preserve"> za nieludzkie lub poniżające </w:t>
      </w:r>
      <w:r w:rsidR="00F168BE">
        <w:t>w rozumieniu</w:t>
      </w:r>
      <w:r w:rsidR="009C20D3">
        <w:t xml:space="preserve"> art. 3 Konwencji.</w:t>
      </w:r>
    </w:p>
    <w:p w:rsidR="007A6EE6" w:rsidRPr="00AA0D85" w:rsidRDefault="008418AD" w:rsidP="00AA0D85">
      <w:pPr>
        <w:pStyle w:val="ECHRPara"/>
      </w:pPr>
      <w:r>
        <w:fldChar w:fldCharType="begin"/>
      </w:r>
      <w:r>
        <w:instrText xml:space="preserve"> SEQ level0 \*arabic </w:instrText>
      </w:r>
      <w:r>
        <w:fldChar w:fldCharType="separate"/>
      </w:r>
      <w:r w:rsidR="00AA0D85" w:rsidRPr="00AA0D85">
        <w:t>20</w:t>
      </w:r>
      <w:r>
        <w:fldChar w:fldCharType="end"/>
      </w:r>
      <w:r w:rsidR="00F65F15">
        <w:t xml:space="preserve">.  Rząd potwierdził </w:t>
      </w:r>
      <w:r w:rsidR="00F168BE">
        <w:t xml:space="preserve">ustalenia </w:t>
      </w:r>
      <w:r w:rsidR="00F65F15">
        <w:t>sądów krajowych, że skarżący spędził dwadzieścia osiem dni w przeludnionej celi, gdzie powierzchnia przypadająca na osadzonego w</w:t>
      </w:r>
      <w:r w:rsidR="00F168BE">
        <w:t>y</w:t>
      </w:r>
      <w:r w:rsidR="00F65F15">
        <w:t xml:space="preserve">nosiła </w:t>
      </w:r>
      <w:r w:rsidR="001413F8">
        <w:t>poniżej</w:t>
      </w:r>
      <w:r w:rsidR="00F65F15">
        <w:t xml:space="preserve"> minimaln</w:t>
      </w:r>
      <w:r w:rsidR="001413F8">
        <w:t>ej</w:t>
      </w:r>
      <w:r w:rsidR="00F65F15">
        <w:t xml:space="preserve"> polsk</w:t>
      </w:r>
      <w:r w:rsidR="001413F8">
        <w:t>iej</w:t>
      </w:r>
      <w:r w:rsidR="00F65F15">
        <w:t xml:space="preserve"> norm</w:t>
      </w:r>
      <w:r w:rsidR="001413F8">
        <w:t>y</w:t>
      </w:r>
      <w:r w:rsidR="00F65F15">
        <w:t xml:space="preserve"> ustawow</w:t>
      </w:r>
      <w:r w:rsidR="001413F8">
        <w:t>ej</w:t>
      </w:r>
      <w:r w:rsidR="00F65F15">
        <w:t xml:space="preserve"> 3 m². Rząd uznał</w:t>
      </w:r>
      <w:r w:rsidR="00F168BE">
        <w:t xml:space="preserve"> jednak</w:t>
      </w:r>
      <w:r w:rsidR="00F65F15">
        <w:t xml:space="preserve">, że powierzchnia w celi przypadająca na </w:t>
      </w:r>
      <w:r w:rsidR="00F168BE">
        <w:t xml:space="preserve">skarżącego </w:t>
      </w:r>
      <w:r w:rsidR="00F65F15">
        <w:t xml:space="preserve">w </w:t>
      </w:r>
      <w:r w:rsidR="00F168BE">
        <w:t>okresie jego pobytu</w:t>
      </w:r>
      <w:r w:rsidR="00F65F15">
        <w:t xml:space="preserve"> </w:t>
      </w:r>
      <w:r w:rsidR="001413F8">
        <w:t xml:space="preserve">w areszcie śledczym </w:t>
      </w:r>
      <w:r w:rsidR="00F65F15">
        <w:t xml:space="preserve">przekraczała 2 m². Rząd podniósł, że pobyt skarżącego w przeludnionej celi był stosunkowo krótki i stanowił pojedynczy epizod podczas całego okresu pozbawienia wolności. Ponadto skarżący cieszył się wystarczającą swobodą poruszania się poza celą. Przyznano mu dodatkowe pół godziny codziennego spaceru, a </w:t>
      </w:r>
      <w:r w:rsidR="00F168BE">
        <w:t xml:space="preserve">jego cela była otwarta w ciągu dnia, bowiem </w:t>
      </w:r>
      <w:r w:rsidR="00F65F15">
        <w:t>od 27 września 2012 r. odbywał on karę w zak</w:t>
      </w:r>
      <w:r w:rsidR="00A53D8F">
        <w:t>ładzie karnym typu półotwartego</w:t>
      </w:r>
      <w:r w:rsidR="00F65F15">
        <w:t xml:space="preserve">. Rząd podkreślił, że ogólne warunki pobytu skarżącego w Kieleckim Areszcie Śledczym były bardzo dobre i nie zaszły inne okoliczności pogarszające warunki pozbawienia wolności skarżącego. Rząd oparł się </w:t>
      </w:r>
      <w:r w:rsidR="001413F8">
        <w:t xml:space="preserve">w tym względzie </w:t>
      </w:r>
      <w:r w:rsidR="00F65F15">
        <w:t>na wyrokach</w:t>
      </w:r>
      <w:r w:rsidR="00C52E2B">
        <w:t xml:space="preserve"> w sprawach</w:t>
      </w:r>
      <w:r w:rsidR="00F65F15">
        <w:t xml:space="preserve"> </w:t>
      </w:r>
      <w:r w:rsidR="00F65F15">
        <w:rPr>
          <w:i/>
          <w:iCs/>
        </w:rPr>
        <w:t xml:space="preserve">Vladimir </w:t>
      </w:r>
      <w:proofErr w:type="spellStart"/>
      <w:r w:rsidR="00F65F15">
        <w:rPr>
          <w:i/>
          <w:iCs/>
        </w:rPr>
        <w:t>Belyayev</w:t>
      </w:r>
      <w:proofErr w:type="spellEnd"/>
      <w:r w:rsidR="00F65F15">
        <w:rPr>
          <w:i/>
          <w:iCs/>
        </w:rPr>
        <w:t xml:space="preserve"> przeciwko Rosji</w:t>
      </w:r>
      <w:r w:rsidR="00F65F15">
        <w:rPr>
          <w:snapToGrid w:val="0"/>
        </w:rPr>
        <w:t xml:space="preserve">, </w:t>
      </w:r>
      <w:r w:rsidR="00F65F15">
        <w:t>skarga nr 9967/06</w:t>
      </w:r>
      <w:r w:rsidR="00F65F15">
        <w:rPr>
          <w:snapToGrid w:val="0"/>
        </w:rPr>
        <w:t xml:space="preserve">, 17 października 2013 r. oraz </w:t>
      </w:r>
      <w:proofErr w:type="spellStart"/>
      <w:r w:rsidR="00F65F15">
        <w:rPr>
          <w:i/>
        </w:rPr>
        <w:t>Muršić</w:t>
      </w:r>
      <w:proofErr w:type="spellEnd"/>
      <w:r w:rsidR="00F65F15">
        <w:rPr>
          <w:i/>
        </w:rPr>
        <w:t xml:space="preserve"> przeciwko Chorwacji</w:t>
      </w:r>
      <w:r w:rsidR="00F65F15">
        <w:rPr>
          <w:snapToGrid w:val="0"/>
        </w:rPr>
        <w:t xml:space="preserve"> [WI], skarga nr 7334/13</w:t>
      </w:r>
      <w:r w:rsidR="00F65F15">
        <w:t xml:space="preserve">, </w:t>
      </w:r>
      <w:proofErr w:type="spellStart"/>
      <w:r w:rsidR="00F65F15">
        <w:t>ETPCz</w:t>
      </w:r>
      <w:proofErr w:type="spellEnd"/>
      <w:r w:rsidR="00F65F15">
        <w:t xml:space="preserve"> 2016.</w:t>
      </w:r>
    </w:p>
    <w:p w:rsidR="00C02AEC" w:rsidRPr="00AA0D85" w:rsidRDefault="008418AD" w:rsidP="00AA0D85">
      <w:pPr>
        <w:pStyle w:val="ECHRPara"/>
      </w:pPr>
      <w:r>
        <w:fldChar w:fldCharType="begin"/>
      </w:r>
      <w:r>
        <w:instrText xml:space="preserve"> SEQ level0 \*arabic </w:instrText>
      </w:r>
      <w:r>
        <w:fldChar w:fldCharType="separate"/>
      </w:r>
      <w:r w:rsidR="00AA0D85" w:rsidRPr="00AA0D85">
        <w:t>21</w:t>
      </w:r>
      <w:r>
        <w:fldChar w:fldCharType="end"/>
      </w:r>
      <w:r w:rsidR="00C02AEC">
        <w:t xml:space="preserve">.  Zestawienie ogólnych zasad dotyczących </w:t>
      </w:r>
      <w:r w:rsidR="00AF0C0D">
        <w:t xml:space="preserve">badania zgodności z art. 3 </w:t>
      </w:r>
      <w:r w:rsidR="00C02AEC">
        <w:t xml:space="preserve">warunków </w:t>
      </w:r>
      <w:r w:rsidR="00A53D8F">
        <w:t>osadzenia</w:t>
      </w:r>
      <w:r w:rsidR="00AF0C0D">
        <w:t xml:space="preserve"> </w:t>
      </w:r>
      <w:r w:rsidR="00C02AEC">
        <w:t xml:space="preserve">znajduje się w pilotażowych wyrokach Trybunału w sprawach przeciwko Polsce [zob. </w:t>
      </w:r>
      <w:r w:rsidR="00C02AEC">
        <w:rPr>
          <w:i/>
          <w:iCs/>
        </w:rPr>
        <w:t>Orchowski</w:t>
      </w:r>
      <w:r w:rsidR="00C02AEC">
        <w:t xml:space="preserve"> (</w:t>
      </w:r>
      <w:r w:rsidR="00A53D8F" w:rsidRPr="00AF0C0D">
        <w:rPr>
          <w:iCs/>
        </w:rPr>
        <w:t>cyt. powyżej</w:t>
      </w:r>
      <w:r w:rsidR="00C02AEC" w:rsidRPr="00AF0C0D">
        <w:t>, §§ 119-131),</w:t>
      </w:r>
      <w:r w:rsidR="00C02AEC">
        <w:t xml:space="preserve"> </w:t>
      </w:r>
      <w:r w:rsidR="00C02AEC">
        <w:rPr>
          <w:i/>
          <w:iCs/>
        </w:rPr>
        <w:t>Norbert Sikorski</w:t>
      </w:r>
      <w:r w:rsidR="00C02AEC">
        <w:t xml:space="preserve"> (</w:t>
      </w:r>
      <w:r w:rsidR="00A53D8F" w:rsidRPr="00AF0C0D">
        <w:t>cyt. powyżej</w:t>
      </w:r>
      <w:r w:rsidR="00C02AEC" w:rsidRPr="00AF0C0D">
        <w:rPr>
          <w:iCs/>
        </w:rPr>
        <w:t>.</w:t>
      </w:r>
      <w:r w:rsidR="00C02AEC" w:rsidRPr="00AF0C0D">
        <w:t>,</w:t>
      </w:r>
      <w:r w:rsidR="00C02AEC">
        <w:t xml:space="preserve"> §§ 126-141)] oraz w sprawie </w:t>
      </w:r>
      <w:proofErr w:type="spellStart"/>
      <w:r w:rsidR="00C02AEC">
        <w:rPr>
          <w:i/>
        </w:rPr>
        <w:t>Muršić</w:t>
      </w:r>
      <w:proofErr w:type="spellEnd"/>
      <w:r w:rsidR="00C02AEC">
        <w:t xml:space="preserve"> (</w:t>
      </w:r>
      <w:r w:rsidR="00AF0C0D">
        <w:t>cyt. powyżej</w:t>
      </w:r>
      <w:r w:rsidR="00C02AEC">
        <w:t>, §§ 102-141).</w:t>
      </w:r>
    </w:p>
    <w:p w:rsidR="00DA4349" w:rsidRPr="00AA0D85" w:rsidRDefault="008418AD" w:rsidP="00AA0D85">
      <w:pPr>
        <w:pStyle w:val="ECHRPara"/>
      </w:pPr>
      <w:r>
        <w:fldChar w:fldCharType="begin"/>
      </w:r>
      <w:r>
        <w:instrText xml:space="preserve"> SEQ level0 \*arabic </w:instrText>
      </w:r>
      <w:r>
        <w:fldChar w:fldCharType="separate"/>
      </w:r>
      <w:r w:rsidR="00AA0D85" w:rsidRPr="00AA0D85">
        <w:t>22</w:t>
      </w:r>
      <w:r>
        <w:fldChar w:fldCharType="end"/>
      </w:r>
      <w:r w:rsidR="00F65F15">
        <w:t xml:space="preserve">.  Trybunał podkreślił, że w znaczącej liczbie spraw, gdy powierzchnia w wieloosobowej celi przypadająca na osadzonego wynosiła </w:t>
      </w:r>
      <w:r w:rsidR="001413F8">
        <w:t>poniżej</w:t>
      </w:r>
      <w:r w:rsidR="00F65F15">
        <w:t xml:space="preserve"> 3</w:t>
      </w:r>
      <w:r w:rsidR="00A7722A">
        <w:t> </w:t>
      </w:r>
      <w:r w:rsidR="00F65F15">
        <w:t xml:space="preserve">m², uznawał to za przeludnienie na tyle poważne, aby uznać je za naruszenie art. 3 (zob. </w:t>
      </w:r>
      <w:r w:rsidR="00F65F15">
        <w:rPr>
          <w:i/>
          <w:iCs/>
        </w:rPr>
        <w:t>Orchowski</w:t>
      </w:r>
      <w:r w:rsidR="00F65F15">
        <w:t xml:space="preserve">, </w:t>
      </w:r>
      <w:r w:rsidR="00AF0C0D">
        <w:t>cyt. powyżej</w:t>
      </w:r>
      <w:r w:rsidR="00F65F15">
        <w:t>, § 122 i dalsze orzecznictwo).</w:t>
      </w:r>
    </w:p>
    <w:p w:rsidR="00F32C22" w:rsidRPr="00AA0D85" w:rsidRDefault="008418AD" w:rsidP="00AA0D85">
      <w:pPr>
        <w:pStyle w:val="ECHRPara"/>
      </w:pPr>
      <w:r>
        <w:fldChar w:fldCharType="begin"/>
      </w:r>
      <w:r>
        <w:instrText xml:space="preserve"> SEQ level0 \*arabic </w:instrText>
      </w:r>
      <w:r>
        <w:fldChar w:fldCharType="separate"/>
      </w:r>
      <w:r w:rsidR="00AA0D85" w:rsidRPr="00AA0D85">
        <w:t>23</w:t>
      </w:r>
      <w:r>
        <w:fldChar w:fldCharType="end"/>
      </w:r>
      <w:r w:rsidR="00F32C22">
        <w:t xml:space="preserve">.  Trybunał </w:t>
      </w:r>
      <w:r w:rsidR="001413F8">
        <w:t xml:space="preserve">stwierdzał </w:t>
      </w:r>
      <w:r w:rsidR="00F32C22">
        <w:t>już</w:t>
      </w:r>
      <w:r w:rsidR="001413F8">
        <w:t>, że w sytuacji</w:t>
      </w:r>
      <w:r w:rsidR="00F32C22">
        <w:t xml:space="preserve">, gdy przestrzeń osobista przypadająca na osadzonego w celi wieloosobowej </w:t>
      </w:r>
      <w:r w:rsidR="001413F8">
        <w:t>wynosi poniżej</w:t>
      </w:r>
      <w:r w:rsidR="00F32C22">
        <w:t xml:space="preserve"> 3 m²</w:t>
      </w:r>
      <w:r w:rsidR="001413F8">
        <w:t>, zachodzi silne domniemanie naruszenia art. 3</w:t>
      </w:r>
      <w:r w:rsidR="00F32C22">
        <w:t xml:space="preserve">. </w:t>
      </w:r>
      <w:r w:rsidR="00C52E2B">
        <w:t xml:space="preserve">Obalenie </w:t>
      </w:r>
      <w:r w:rsidR="001413F8">
        <w:t>tego domniemania</w:t>
      </w:r>
      <w:r w:rsidR="00F32C22">
        <w:t xml:space="preserve"> </w:t>
      </w:r>
      <w:r w:rsidR="00C52E2B">
        <w:t xml:space="preserve">może nastąpić </w:t>
      </w:r>
      <w:r w:rsidR="00F32C22">
        <w:t xml:space="preserve">wyłącznie w </w:t>
      </w:r>
      <w:r w:rsidR="00C52E2B">
        <w:t xml:space="preserve">przypadku kumulatywnego spełnienia </w:t>
      </w:r>
      <w:r w:rsidR="001413F8">
        <w:t>przesłanek</w:t>
      </w:r>
      <w:r w:rsidR="00F32C22">
        <w:t xml:space="preserve">, to znaczy, gdy dochodzi do krótkich, okazjonalnych i nieznacznych ograniczeń przestrzeni osobistej w połączeniu z wystarczającą swobodą poruszania się oraz odpowiednimi aktywnościami poza celą, co w ogólnym rozrachunku daje obraz </w:t>
      </w:r>
      <w:r w:rsidR="001413F8">
        <w:t xml:space="preserve">pozbawienia wolności </w:t>
      </w:r>
      <w:r w:rsidR="00F32C22">
        <w:t xml:space="preserve">w odpowiednim zakładzie karnym (zob. </w:t>
      </w:r>
      <w:proofErr w:type="spellStart"/>
      <w:r w:rsidR="00F32C22">
        <w:rPr>
          <w:i/>
          <w:iCs/>
        </w:rPr>
        <w:t>Muršić</w:t>
      </w:r>
      <w:proofErr w:type="spellEnd"/>
      <w:r w:rsidR="00F32C22">
        <w:t xml:space="preserve">, </w:t>
      </w:r>
      <w:r w:rsidR="00AF0C0D">
        <w:t>cyt. powyżej</w:t>
      </w:r>
      <w:r w:rsidR="00F32C22">
        <w:t>, § 138).</w:t>
      </w:r>
    </w:p>
    <w:p w:rsidR="006E1440" w:rsidRPr="00AA0D85" w:rsidRDefault="008418AD" w:rsidP="00AA0D85">
      <w:pPr>
        <w:pStyle w:val="ECHRPara"/>
      </w:pPr>
      <w:r>
        <w:fldChar w:fldCharType="begin"/>
      </w:r>
      <w:r>
        <w:instrText xml:space="preserve"> SEQ level0 \*arabic </w:instrText>
      </w:r>
      <w:r>
        <w:fldChar w:fldCharType="separate"/>
      </w:r>
      <w:r w:rsidR="00AA0D85" w:rsidRPr="00AA0D85">
        <w:t>24</w:t>
      </w:r>
      <w:r>
        <w:fldChar w:fldCharType="end"/>
      </w:r>
      <w:r w:rsidR="006E1440">
        <w:t xml:space="preserve">.  Trybunał zauważa, że w sprawie </w:t>
      </w:r>
      <w:r w:rsidR="006E1440">
        <w:rPr>
          <w:i/>
          <w:iCs/>
        </w:rPr>
        <w:t xml:space="preserve">Vladimir </w:t>
      </w:r>
      <w:proofErr w:type="spellStart"/>
      <w:r w:rsidR="006E1440">
        <w:rPr>
          <w:i/>
          <w:iCs/>
        </w:rPr>
        <w:t>Belyayev</w:t>
      </w:r>
      <w:proofErr w:type="spellEnd"/>
      <w:r w:rsidR="006E1440">
        <w:rPr>
          <w:i/>
          <w:iCs/>
        </w:rPr>
        <w:t xml:space="preserve"> przeciwko Rosji</w:t>
      </w:r>
      <w:r w:rsidR="006E1440">
        <w:t xml:space="preserve"> (</w:t>
      </w:r>
      <w:r w:rsidR="00AF0C0D">
        <w:t>cyt. powyżej</w:t>
      </w:r>
      <w:r w:rsidR="006E1440">
        <w:t>), do której odniósł się Rząd, skarżący miał do dyspozycji</w:t>
      </w:r>
      <w:r w:rsidR="00501745">
        <w:t>, podczas swojego pobytu w zakładzie karnym trwającym dwadzieścia sześć dni,</w:t>
      </w:r>
      <w:r w:rsidR="006E1440">
        <w:t xml:space="preserve"> 2,97 m² przestrzeni osobistej w przeludnionej celi. Trybunał zauważa również, że w sprawie </w:t>
      </w:r>
      <w:proofErr w:type="spellStart"/>
      <w:r w:rsidR="006E1440">
        <w:rPr>
          <w:i/>
          <w:iCs/>
        </w:rPr>
        <w:t>Muršić</w:t>
      </w:r>
      <w:proofErr w:type="spellEnd"/>
      <w:r w:rsidR="006E1440">
        <w:t xml:space="preserve"> (</w:t>
      </w:r>
      <w:r w:rsidR="00AF0C0D">
        <w:t>cyt. powyżej</w:t>
      </w:r>
      <w:r w:rsidR="006E1440">
        <w:t xml:space="preserve">) pobyt przez dwadzieścia siedem dni w celi, gdzie powierzchnia na osobę wynosiła 2,62 m², </w:t>
      </w:r>
      <w:r w:rsidR="00C52E2B">
        <w:t xml:space="preserve">uznano </w:t>
      </w:r>
      <w:r w:rsidR="006E1440">
        <w:t xml:space="preserve">za naruszenie art. 3. W niniejszej sprawie Rząd </w:t>
      </w:r>
      <w:r w:rsidR="00C52E2B">
        <w:t>wywodził</w:t>
      </w:r>
      <w:r w:rsidR="006E1440">
        <w:t>, że przestrzeń w celi przypadająca na osadzonego</w:t>
      </w:r>
      <w:r w:rsidR="00C52E2B">
        <w:t xml:space="preserve"> skarżącego </w:t>
      </w:r>
      <w:r w:rsidR="006E1440">
        <w:t>w wyżej wymienionym terminie przekraczała 2 m²</w:t>
      </w:r>
      <w:r w:rsidR="003E5D45">
        <w:t xml:space="preserve">, przy czym </w:t>
      </w:r>
      <w:r w:rsidR="006E1440">
        <w:t>nie przedstawił Trybunałowi bardziej szczegółowych informacji w tym zakresie.</w:t>
      </w:r>
    </w:p>
    <w:p w:rsidR="00006F9B" w:rsidRPr="00AA0D85" w:rsidRDefault="008418AD" w:rsidP="00AA0D85">
      <w:pPr>
        <w:pStyle w:val="ECHRPara"/>
      </w:pPr>
      <w:r>
        <w:fldChar w:fldCharType="begin"/>
      </w:r>
      <w:r>
        <w:instrText xml:space="preserve"> SEQ level0 \*arabic </w:instrText>
      </w:r>
      <w:r>
        <w:fldChar w:fldCharType="separate"/>
      </w:r>
      <w:r w:rsidR="00AA0D85" w:rsidRPr="00AA0D85">
        <w:t>25</w:t>
      </w:r>
      <w:r>
        <w:fldChar w:fldCharType="end"/>
      </w:r>
      <w:r w:rsidR="00601370">
        <w:t xml:space="preserve">.  Trybunał odnotowuje, że </w:t>
      </w:r>
      <w:r w:rsidR="003E5D45">
        <w:t xml:space="preserve">uciążliwości, których doświadczał </w:t>
      </w:r>
      <w:r w:rsidR="00601370">
        <w:t>skarżąc</w:t>
      </w:r>
      <w:r w:rsidR="003E5D45">
        <w:t>y podczas pobytu</w:t>
      </w:r>
      <w:r w:rsidR="00601370">
        <w:t xml:space="preserve"> w przeludnionej celi</w:t>
      </w:r>
      <w:r w:rsidR="00501745">
        <w:t>,</w:t>
      </w:r>
      <w:r w:rsidR="00601370">
        <w:t xml:space="preserve"> częściowo </w:t>
      </w:r>
      <w:r w:rsidR="00501745">
        <w:t xml:space="preserve">kompensowano </w:t>
      </w:r>
      <w:r w:rsidR="00601370">
        <w:t xml:space="preserve">dłuższymi codziennymi spacerami oraz dodatkowymi zajęciami </w:t>
      </w:r>
      <w:r w:rsidR="00D71745">
        <w:t>kulturalnymi</w:t>
      </w:r>
      <w:r w:rsidR="00601370">
        <w:t xml:space="preserve">, edukacyjnymi oraz sportowymi, a także, że nie zaszły inne okoliczności pogarszające ogólne warunki pozbawienia wolności skarżącego. Niemniej jednak mając na uwadze fakt, że Rząd nie przedstawił dokładnych informacji w kwestii przestrzeni osobistej, Trybunał uznaje, </w:t>
      </w:r>
      <w:r w:rsidR="003E5D45">
        <w:t xml:space="preserve">zgodnie z orzecznictwem Trybunału w sprawie </w:t>
      </w:r>
      <w:proofErr w:type="spellStart"/>
      <w:r w:rsidR="003E5D45">
        <w:rPr>
          <w:i/>
          <w:iCs/>
        </w:rPr>
        <w:t>Muršić</w:t>
      </w:r>
      <w:proofErr w:type="spellEnd"/>
      <w:r w:rsidR="003E5D45">
        <w:t xml:space="preserve">, </w:t>
      </w:r>
      <w:r w:rsidR="00601370">
        <w:t xml:space="preserve">że w niniejszych okolicznościach ograniczenie przestrzeni osobistej nie może zostać uznane za „krótkie, okazjonalne i nieznaczne” w rozumieniu orzecznictwa Trybunału (zob. </w:t>
      </w:r>
      <w:proofErr w:type="spellStart"/>
      <w:r w:rsidR="00601370">
        <w:rPr>
          <w:i/>
          <w:iCs/>
        </w:rPr>
        <w:t>Muršić</w:t>
      </w:r>
      <w:proofErr w:type="spellEnd"/>
      <w:r w:rsidR="00601370">
        <w:t xml:space="preserve">, </w:t>
      </w:r>
      <w:r w:rsidR="00CE01AC">
        <w:t>cyt. powyżej</w:t>
      </w:r>
      <w:r w:rsidR="00601370">
        <w:t>, § 130).</w:t>
      </w:r>
    </w:p>
    <w:p w:rsidR="007A6EE6" w:rsidRPr="00AA0D85" w:rsidRDefault="008418AD" w:rsidP="00AA0D85">
      <w:pPr>
        <w:pStyle w:val="ECHRPara"/>
      </w:pPr>
      <w:r>
        <w:fldChar w:fldCharType="begin"/>
      </w:r>
      <w:r>
        <w:instrText xml:space="preserve"> SEQ level0 \*arabic </w:instrText>
      </w:r>
      <w:r>
        <w:fldChar w:fldCharType="separate"/>
      </w:r>
      <w:r w:rsidR="00AA0D85" w:rsidRPr="00AA0D85">
        <w:t>26</w:t>
      </w:r>
      <w:r>
        <w:fldChar w:fldCharType="end"/>
      </w:r>
      <w:r w:rsidR="00736760">
        <w:t>.  </w:t>
      </w:r>
      <w:r w:rsidR="003E5D45">
        <w:t>Z powyższego w</w:t>
      </w:r>
      <w:r w:rsidR="00736760">
        <w:t>ynika, że w kontekście niniejszej sprawy zachodz</w:t>
      </w:r>
      <w:r w:rsidR="003E5D45">
        <w:t>i</w:t>
      </w:r>
      <w:r w:rsidR="00736760">
        <w:t xml:space="preserve"> </w:t>
      </w:r>
      <w:r w:rsidR="00501745">
        <w:t xml:space="preserve">silne </w:t>
      </w:r>
      <w:r w:rsidR="003E5D45">
        <w:t xml:space="preserve">domniemanie </w:t>
      </w:r>
      <w:r w:rsidR="00736760">
        <w:t xml:space="preserve">naruszenia art. 3, </w:t>
      </w:r>
      <w:r w:rsidR="003E5D45">
        <w:t xml:space="preserve">którego </w:t>
      </w:r>
      <w:r w:rsidR="00736760">
        <w:t>nie można obalić.</w:t>
      </w:r>
    </w:p>
    <w:p w:rsidR="007A6EE6" w:rsidRPr="00AA0D85" w:rsidRDefault="008418AD" w:rsidP="00AA0D85">
      <w:pPr>
        <w:pStyle w:val="ECHRPara"/>
      </w:pPr>
      <w:r>
        <w:fldChar w:fldCharType="begin"/>
      </w:r>
      <w:r>
        <w:instrText xml:space="preserve"> SEQ level0 \*arabic </w:instrText>
      </w:r>
      <w:r>
        <w:fldChar w:fldCharType="separate"/>
      </w:r>
      <w:r w:rsidR="00AA0D85" w:rsidRPr="00AA0D85">
        <w:t>27</w:t>
      </w:r>
      <w:r>
        <w:fldChar w:fldCharType="end"/>
      </w:r>
      <w:r w:rsidR="007765F4">
        <w:t xml:space="preserve">.  Mając na względzie wszystkie powyższe okoliczności, Trybunał uznaje, że w niniejszej sprawie </w:t>
      </w:r>
      <w:r w:rsidR="003E5D45">
        <w:t xml:space="preserve">osadzenie </w:t>
      </w:r>
      <w:r w:rsidR="007765F4">
        <w:t>skarżącego w celi, gdzie w okresie dwudziestu ośmiu dni powierzchnia przypadająca na osadzonego wynosiła mniej niż 3 m², doprowadziło do nieludzkiego i poniżającego traktowania.</w:t>
      </w:r>
    </w:p>
    <w:p w:rsidR="00F32C22" w:rsidRPr="00AA0D85" w:rsidRDefault="008418AD" w:rsidP="00AA0D85">
      <w:pPr>
        <w:pStyle w:val="ECHRPara"/>
      </w:pPr>
      <w:r>
        <w:fldChar w:fldCharType="begin"/>
      </w:r>
      <w:r>
        <w:instrText xml:space="preserve"> SEQ level0 \*arabic </w:instrText>
      </w:r>
      <w:r>
        <w:fldChar w:fldCharType="separate"/>
      </w:r>
      <w:r w:rsidR="00AA0D85" w:rsidRPr="00AA0D85">
        <w:t>28</w:t>
      </w:r>
      <w:r>
        <w:fldChar w:fldCharType="end"/>
      </w:r>
      <w:r w:rsidR="00EA783A">
        <w:t>.  </w:t>
      </w:r>
      <w:r w:rsidR="003E5D45">
        <w:t>Z tego względu</w:t>
      </w:r>
      <w:r w:rsidR="00EA783A">
        <w:t xml:space="preserve"> Trybunał oddala zastrzeżenie wstępne Rządu i </w:t>
      </w:r>
      <w:r w:rsidR="003E5D45">
        <w:t>stwierdza</w:t>
      </w:r>
      <w:r w:rsidR="00EA783A">
        <w:t>, że doszło do naruszenia art. 3 Konwencji.</w:t>
      </w:r>
    </w:p>
    <w:p w:rsidR="00DA4349" w:rsidRPr="00AA0D85" w:rsidRDefault="002B3727" w:rsidP="00AA0D85">
      <w:pPr>
        <w:pStyle w:val="ECHRHeading1"/>
      </w:pPr>
      <w:r>
        <w:t>II.  ZASTOSOWANIE ART. 41 KONWENCJI</w:t>
      </w:r>
    </w:p>
    <w:p w:rsidR="00DA4349" w:rsidRPr="00AA0D85" w:rsidRDefault="008418AD" w:rsidP="00AA0D85">
      <w:pPr>
        <w:pStyle w:val="ECHRPara"/>
      </w:pPr>
      <w:r>
        <w:fldChar w:fldCharType="begin"/>
      </w:r>
      <w:r>
        <w:instrText xml:space="preserve"> SEQ level0 \*arabic </w:instrText>
      </w:r>
      <w:r>
        <w:fldChar w:fldCharType="separate"/>
      </w:r>
      <w:r w:rsidR="00AA0D85" w:rsidRPr="00AA0D85">
        <w:t>29</w:t>
      </w:r>
      <w:r>
        <w:fldChar w:fldCharType="end"/>
      </w:r>
      <w:r w:rsidR="002B3727">
        <w:t>.  Artykuł 41 Konwencji stanowi:</w:t>
      </w:r>
    </w:p>
    <w:p w:rsidR="00DA4349" w:rsidRPr="00AA0D85" w:rsidRDefault="009E2683" w:rsidP="00AA0D85">
      <w:pPr>
        <w:pStyle w:val="ECHRParaQuote"/>
        <w:keepNext/>
        <w:keepLines/>
      </w:pPr>
      <w: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9C20D3" w:rsidRPr="00AA0D85" w:rsidRDefault="008418AD" w:rsidP="00AA0D85">
      <w:pPr>
        <w:pStyle w:val="ECHRPara"/>
      </w:pPr>
      <w:r>
        <w:fldChar w:fldCharType="begin"/>
      </w:r>
      <w:r>
        <w:instrText xml:space="preserve"> SEQ lev</w:instrText>
      </w:r>
      <w:r>
        <w:instrText xml:space="preserve">el0 \*arabic </w:instrText>
      </w:r>
      <w:r>
        <w:fldChar w:fldCharType="separate"/>
      </w:r>
      <w:r w:rsidR="00AA0D85" w:rsidRPr="00AA0D85">
        <w:t>30</w:t>
      </w:r>
      <w:r>
        <w:fldChar w:fldCharType="end"/>
      </w:r>
      <w:r w:rsidR="00F65F15">
        <w:t xml:space="preserve">.  Skarżący nie dochodził słusznego zadośćuczynienia. W związku z powyższym Trybunał nie przyznaje skarżącemu żadnej </w:t>
      </w:r>
      <w:r w:rsidR="003E5D45">
        <w:t xml:space="preserve">kwoty </w:t>
      </w:r>
      <w:r w:rsidR="00F65F15">
        <w:t>z tego tytułu.</w:t>
      </w:r>
    </w:p>
    <w:p w:rsidR="00DA4349" w:rsidRPr="00AA0D85" w:rsidRDefault="009E2683" w:rsidP="00AA0D85">
      <w:pPr>
        <w:pStyle w:val="ECHRTitle1"/>
      </w:pPr>
      <w:r>
        <w:t>Z TYCH PRZYCZYN TRYBUNAŁ JEDNOGŁOŚNIE</w:t>
      </w:r>
    </w:p>
    <w:p w:rsidR="00DA4349" w:rsidRPr="00AA0D85" w:rsidRDefault="009E2683" w:rsidP="00AA0D85">
      <w:pPr>
        <w:pStyle w:val="JuList"/>
      </w:pPr>
      <w:r>
        <w:t>1.  </w:t>
      </w:r>
      <w:r>
        <w:rPr>
          <w:i/>
          <w:iCs/>
        </w:rPr>
        <w:t>uznaje</w:t>
      </w:r>
      <w:r>
        <w:t xml:space="preserve"> skargę za dopuszczalną;</w:t>
      </w:r>
    </w:p>
    <w:p w:rsidR="00DA4349" w:rsidRPr="00AA0D85" w:rsidRDefault="00DA4349" w:rsidP="00AA0D85">
      <w:pPr>
        <w:pStyle w:val="JuList"/>
        <w:ind w:left="0" w:firstLine="0"/>
      </w:pPr>
    </w:p>
    <w:p w:rsidR="00DA4349" w:rsidRPr="00AA0D85" w:rsidRDefault="004D5D0D" w:rsidP="00AA0D85">
      <w:pPr>
        <w:pStyle w:val="JuList"/>
      </w:pPr>
      <w:r>
        <w:t>2.  </w:t>
      </w:r>
      <w:r>
        <w:rPr>
          <w:i/>
          <w:iCs/>
        </w:rPr>
        <w:t>uznaje</w:t>
      </w:r>
      <w:r>
        <w:t>, że doszło do naruszenia art. 3 Konwencji.</w:t>
      </w:r>
    </w:p>
    <w:p w:rsidR="00DA4349" w:rsidRPr="00AA0D85" w:rsidRDefault="009E2683" w:rsidP="00AA0D85">
      <w:pPr>
        <w:pStyle w:val="JuParaLast"/>
      </w:pPr>
      <w:r>
        <w:t>Sporządzono w języku angielskim i obwieszczono pisemnie 18 października 2018 r., zgodnie z Regułą 77 §§ 2 i 3 Regulaminu Trybunału.</w:t>
      </w:r>
    </w:p>
    <w:p w:rsidR="00AA0D85" w:rsidRPr="00AA0D85" w:rsidRDefault="009E2683" w:rsidP="00AA0D85">
      <w:pPr>
        <w:pStyle w:val="JuSigned"/>
      </w:pPr>
      <w:r>
        <w:tab/>
        <w:t xml:space="preserve">Renata </w:t>
      </w:r>
      <w:proofErr w:type="spellStart"/>
      <w:r>
        <w:t>Degener</w:t>
      </w:r>
      <w:proofErr w:type="spellEnd"/>
      <w:r>
        <w:tab/>
      </w:r>
      <w:proofErr w:type="spellStart"/>
      <w:r>
        <w:t>Aleš</w:t>
      </w:r>
      <w:proofErr w:type="spellEnd"/>
      <w:r>
        <w:t xml:space="preserve"> </w:t>
      </w:r>
      <w:proofErr w:type="spellStart"/>
      <w:r>
        <w:t>Pejchal</w:t>
      </w:r>
      <w:proofErr w:type="spellEnd"/>
      <w:r>
        <w:br/>
      </w:r>
      <w:r>
        <w:tab/>
        <w:t>Zastępca Kanclerza</w:t>
      </w:r>
      <w:r>
        <w:tab/>
        <w:t>Przewodniczący</w:t>
      </w:r>
    </w:p>
    <w:sectPr w:rsidR="00AA0D85" w:rsidRPr="00AA0D85" w:rsidSect="007A6EE6">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06D12A8" w15:done="0"/>
  <w15:commentEx w15:paraId="33717D3D" w15:done="0"/>
  <w15:commentEx w15:paraId="23DE6E92" w15:done="0"/>
  <w15:commentEx w15:paraId="27448F9D" w15:done="0"/>
  <w15:commentEx w15:paraId="0C4632D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06D12A8" w16cid:durableId="1FB38164"/>
  <w16cid:commentId w16cid:paraId="33717D3D" w16cid:durableId="1FB38BC9"/>
  <w16cid:commentId w16cid:paraId="23DE6E92" w16cid:durableId="1FB3810C"/>
  <w16cid:commentId w16cid:paraId="27448F9D" w16cid:durableId="1FB3810D"/>
  <w16cid:commentId w16cid:paraId="0C4632D6" w16cid:durableId="1FB3810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10EA" w:rsidRDefault="001F10EA">
      <w:r>
        <w:separator/>
      </w:r>
    </w:p>
  </w:endnote>
  <w:endnote w:type="continuationSeparator" w:id="0">
    <w:p w:rsidR="001F10EA" w:rsidRDefault="001F1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EE6" w:rsidRPr="00150BFA" w:rsidRDefault="007A6EE6" w:rsidP="0020718E">
    <w:pPr>
      <w:jc w:val="center"/>
    </w:pPr>
    <w:r>
      <w:rPr>
        <w:noProof/>
        <w:lang w:eastAsia="pl-PL"/>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A6EE6" w:rsidRDefault="007A6EE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10EA" w:rsidRPr="003152BA" w:rsidRDefault="001F10EA" w:rsidP="00DA4349">
      <w:r w:rsidRPr="003152BA">
        <w:separator/>
      </w:r>
    </w:p>
  </w:footnote>
  <w:footnote w:type="continuationSeparator" w:id="0">
    <w:p w:rsidR="001F10EA" w:rsidRPr="003152BA" w:rsidRDefault="001F10EA" w:rsidP="00DA4349">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2FB" w:rsidRPr="007A6EE6" w:rsidRDefault="005972FB" w:rsidP="007A6EE6">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EE6" w:rsidRPr="00A45145" w:rsidRDefault="007A6EE6" w:rsidP="00A45145">
    <w:pPr>
      <w:jc w:val="center"/>
    </w:pPr>
    <w:r>
      <w:rPr>
        <w:noProof/>
        <w:lang w:eastAsia="pl-PL"/>
      </w:rPr>
      <w:drawing>
        <wp:inline distT="0" distB="0" distL="0" distR="0">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972FB" w:rsidRDefault="005972F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EE6" w:rsidRPr="003152BA" w:rsidRDefault="00DD232D" w:rsidP="00DA4349">
    <w:pPr>
      <w:pStyle w:val="ECHRHeader"/>
    </w:pPr>
    <w:r>
      <w:rPr>
        <w:rStyle w:val="Numerstrony"/>
        <w:szCs w:val="18"/>
      </w:rPr>
      <w:fldChar w:fldCharType="begin"/>
    </w:r>
    <w:r w:rsidR="007A6EE6">
      <w:rPr>
        <w:rStyle w:val="Numerstrony"/>
        <w:szCs w:val="18"/>
      </w:rPr>
      <w:instrText xml:space="preserve"> PAGE </w:instrText>
    </w:r>
    <w:r>
      <w:rPr>
        <w:rStyle w:val="Numerstrony"/>
        <w:szCs w:val="18"/>
      </w:rPr>
      <w:fldChar w:fldCharType="separate"/>
    </w:r>
    <w:r w:rsidR="008418AD">
      <w:rPr>
        <w:rStyle w:val="Numerstrony"/>
        <w:noProof/>
        <w:szCs w:val="18"/>
      </w:rPr>
      <w:t>2</w:t>
    </w:r>
    <w:r>
      <w:rPr>
        <w:rStyle w:val="Numerstrony"/>
        <w:szCs w:val="18"/>
      </w:rPr>
      <w:fldChar w:fldCharType="end"/>
    </w:r>
    <w:r w:rsidR="007A6EE6">
      <w:tab/>
      <w:t>WYROK W SPRAWIE WALASEK PRZECIWKO POLSCE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EE6" w:rsidRPr="003152BA" w:rsidRDefault="007A6EE6" w:rsidP="00DA4349">
    <w:pPr>
      <w:pStyle w:val="ECHRHeader"/>
    </w:pPr>
    <w:r>
      <w:tab/>
      <w:t>WYROK W SPRAWIE WALASEK PRZECIWKO POLSCE</w:t>
    </w:r>
    <w:r>
      <w:tab/>
    </w:r>
    <w:r w:rsidR="00DD232D">
      <w:rPr>
        <w:rStyle w:val="Numerstrony"/>
        <w:szCs w:val="18"/>
      </w:rPr>
      <w:fldChar w:fldCharType="begin"/>
    </w:r>
    <w:r>
      <w:rPr>
        <w:rStyle w:val="Numerstrony"/>
        <w:szCs w:val="18"/>
      </w:rPr>
      <w:instrText xml:space="preserve"> PAGE </w:instrText>
    </w:r>
    <w:r w:rsidR="00DD232D">
      <w:rPr>
        <w:rStyle w:val="Numerstrony"/>
        <w:szCs w:val="18"/>
      </w:rPr>
      <w:fldChar w:fldCharType="separate"/>
    </w:r>
    <w:r w:rsidR="008418AD">
      <w:rPr>
        <w:rStyle w:val="Numerstrony"/>
        <w:noProof/>
        <w:szCs w:val="18"/>
      </w:rPr>
      <w:t>1</w:t>
    </w:r>
    <w:r w:rsidR="00DD232D">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5840E398">
      <w:start w:val="1"/>
      <w:numFmt w:val="bullet"/>
      <w:pStyle w:val="Listapunktowana"/>
      <w:lvlText w:val=""/>
      <w:lvlJc w:val="left"/>
      <w:pPr>
        <w:tabs>
          <w:tab w:val="num" w:pos="851"/>
        </w:tabs>
        <w:ind w:left="568" w:firstLine="0"/>
      </w:pPr>
      <w:rPr>
        <w:rFonts w:ascii="Wingdings" w:hAnsi="Wingdings" w:hint="default"/>
        <w:color w:val="808080"/>
        <w:sz w:val="16"/>
      </w:rPr>
    </w:lvl>
    <w:lvl w:ilvl="1" w:tplc="C4B4A4D4" w:tentative="1">
      <w:start w:val="1"/>
      <w:numFmt w:val="bullet"/>
      <w:lvlText w:val="o"/>
      <w:lvlJc w:val="left"/>
      <w:pPr>
        <w:tabs>
          <w:tab w:val="num" w:pos="1724"/>
        </w:tabs>
        <w:ind w:left="1724" w:hanging="360"/>
      </w:pPr>
      <w:rPr>
        <w:rFonts w:ascii="Courier New" w:hAnsi="Courier New" w:cs="Courier New" w:hint="default"/>
      </w:rPr>
    </w:lvl>
    <w:lvl w:ilvl="2" w:tplc="D26E76C8" w:tentative="1">
      <w:start w:val="1"/>
      <w:numFmt w:val="bullet"/>
      <w:lvlText w:val=""/>
      <w:lvlJc w:val="left"/>
      <w:pPr>
        <w:tabs>
          <w:tab w:val="num" w:pos="2444"/>
        </w:tabs>
        <w:ind w:left="2444" w:hanging="360"/>
      </w:pPr>
      <w:rPr>
        <w:rFonts w:ascii="Wingdings" w:hAnsi="Wingdings" w:hint="default"/>
      </w:rPr>
    </w:lvl>
    <w:lvl w:ilvl="3" w:tplc="709A54C0" w:tentative="1">
      <w:start w:val="1"/>
      <w:numFmt w:val="bullet"/>
      <w:lvlText w:val=""/>
      <w:lvlJc w:val="left"/>
      <w:pPr>
        <w:tabs>
          <w:tab w:val="num" w:pos="3164"/>
        </w:tabs>
        <w:ind w:left="3164" w:hanging="360"/>
      </w:pPr>
      <w:rPr>
        <w:rFonts w:ascii="Symbol" w:hAnsi="Symbol" w:hint="default"/>
      </w:rPr>
    </w:lvl>
    <w:lvl w:ilvl="4" w:tplc="B7A49566" w:tentative="1">
      <w:start w:val="1"/>
      <w:numFmt w:val="bullet"/>
      <w:lvlText w:val="o"/>
      <w:lvlJc w:val="left"/>
      <w:pPr>
        <w:tabs>
          <w:tab w:val="num" w:pos="3884"/>
        </w:tabs>
        <w:ind w:left="3884" w:hanging="360"/>
      </w:pPr>
      <w:rPr>
        <w:rFonts w:ascii="Courier New" w:hAnsi="Courier New" w:cs="Courier New" w:hint="default"/>
      </w:rPr>
    </w:lvl>
    <w:lvl w:ilvl="5" w:tplc="CD60541A" w:tentative="1">
      <w:start w:val="1"/>
      <w:numFmt w:val="bullet"/>
      <w:lvlText w:val=""/>
      <w:lvlJc w:val="left"/>
      <w:pPr>
        <w:tabs>
          <w:tab w:val="num" w:pos="4604"/>
        </w:tabs>
        <w:ind w:left="4604" w:hanging="360"/>
      </w:pPr>
      <w:rPr>
        <w:rFonts w:ascii="Wingdings" w:hAnsi="Wingdings" w:hint="default"/>
      </w:rPr>
    </w:lvl>
    <w:lvl w:ilvl="6" w:tplc="E79CDB52" w:tentative="1">
      <w:start w:val="1"/>
      <w:numFmt w:val="bullet"/>
      <w:lvlText w:val=""/>
      <w:lvlJc w:val="left"/>
      <w:pPr>
        <w:tabs>
          <w:tab w:val="num" w:pos="5324"/>
        </w:tabs>
        <w:ind w:left="5324" w:hanging="360"/>
      </w:pPr>
      <w:rPr>
        <w:rFonts w:ascii="Symbol" w:hAnsi="Symbol" w:hint="default"/>
      </w:rPr>
    </w:lvl>
    <w:lvl w:ilvl="7" w:tplc="8CE6E36C" w:tentative="1">
      <w:start w:val="1"/>
      <w:numFmt w:val="bullet"/>
      <w:lvlText w:val="o"/>
      <w:lvlJc w:val="left"/>
      <w:pPr>
        <w:tabs>
          <w:tab w:val="num" w:pos="6044"/>
        </w:tabs>
        <w:ind w:left="6044" w:hanging="360"/>
      </w:pPr>
      <w:rPr>
        <w:rFonts w:ascii="Courier New" w:hAnsi="Courier New" w:cs="Courier New" w:hint="default"/>
      </w:rPr>
    </w:lvl>
    <w:lvl w:ilvl="8" w:tplc="3D681AB4"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2"/>
  </w:compat>
  <w:docVars>
    <w:docVar w:name="EMM" w:val="0"/>
    <w:docVar w:name="LW_DocType" w:val="NORMAL"/>
    <w:docVar w:name="NBEMMDOC" w:val="0"/>
  </w:docVars>
  <w:rsids>
    <w:rsidRoot w:val="00F65F15"/>
    <w:rsid w:val="00003B4B"/>
    <w:rsid w:val="00006F9B"/>
    <w:rsid w:val="00030129"/>
    <w:rsid w:val="00070AAC"/>
    <w:rsid w:val="000E0365"/>
    <w:rsid w:val="00103985"/>
    <w:rsid w:val="00115B61"/>
    <w:rsid w:val="001413F8"/>
    <w:rsid w:val="00156AF8"/>
    <w:rsid w:val="001664E3"/>
    <w:rsid w:val="00190F6A"/>
    <w:rsid w:val="001A26A5"/>
    <w:rsid w:val="001B5D1B"/>
    <w:rsid w:val="001D1725"/>
    <w:rsid w:val="001D7B4C"/>
    <w:rsid w:val="001F10EA"/>
    <w:rsid w:val="00205F23"/>
    <w:rsid w:val="0020743E"/>
    <w:rsid w:val="002B180B"/>
    <w:rsid w:val="002B3727"/>
    <w:rsid w:val="002B526B"/>
    <w:rsid w:val="002E6D89"/>
    <w:rsid w:val="003078B1"/>
    <w:rsid w:val="003105F3"/>
    <w:rsid w:val="00311901"/>
    <w:rsid w:val="0031788A"/>
    <w:rsid w:val="00337412"/>
    <w:rsid w:val="00366C7A"/>
    <w:rsid w:val="003821BD"/>
    <w:rsid w:val="003D7ADF"/>
    <w:rsid w:val="003E5D45"/>
    <w:rsid w:val="00432B8D"/>
    <w:rsid w:val="00447E98"/>
    <w:rsid w:val="00454F58"/>
    <w:rsid w:val="00482E53"/>
    <w:rsid w:val="004D5D0D"/>
    <w:rsid w:val="004E081E"/>
    <w:rsid w:val="004E354C"/>
    <w:rsid w:val="00501745"/>
    <w:rsid w:val="0050288E"/>
    <w:rsid w:val="00503A48"/>
    <w:rsid w:val="005460C2"/>
    <w:rsid w:val="005702CB"/>
    <w:rsid w:val="005741A1"/>
    <w:rsid w:val="0057566E"/>
    <w:rsid w:val="005972FB"/>
    <w:rsid w:val="005B6F27"/>
    <w:rsid w:val="005D3AA6"/>
    <w:rsid w:val="005F0AFD"/>
    <w:rsid w:val="005F2AF2"/>
    <w:rsid w:val="00601370"/>
    <w:rsid w:val="00604553"/>
    <w:rsid w:val="00627D84"/>
    <w:rsid w:val="006348AB"/>
    <w:rsid w:val="00655960"/>
    <w:rsid w:val="006620FD"/>
    <w:rsid w:val="006B1E7A"/>
    <w:rsid w:val="006B2319"/>
    <w:rsid w:val="006D284F"/>
    <w:rsid w:val="006E1440"/>
    <w:rsid w:val="006E3688"/>
    <w:rsid w:val="0070789E"/>
    <w:rsid w:val="00716972"/>
    <w:rsid w:val="007268F5"/>
    <w:rsid w:val="00736760"/>
    <w:rsid w:val="0074573A"/>
    <w:rsid w:val="00752693"/>
    <w:rsid w:val="0076159D"/>
    <w:rsid w:val="007765F4"/>
    <w:rsid w:val="007A6394"/>
    <w:rsid w:val="007A6EE6"/>
    <w:rsid w:val="007B0C61"/>
    <w:rsid w:val="007B7FBC"/>
    <w:rsid w:val="007C5AA6"/>
    <w:rsid w:val="007D28D0"/>
    <w:rsid w:val="007E0451"/>
    <w:rsid w:val="007F53B2"/>
    <w:rsid w:val="00837A03"/>
    <w:rsid w:val="008418AD"/>
    <w:rsid w:val="00852A7E"/>
    <w:rsid w:val="00860D9B"/>
    <w:rsid w:val="00866AE1"/>
    <w:rsid w:val="00873957"/>
    <w:rsid w:val="00881894"/>
    <w:rsid w:val="008D5FD1"/>
    <w:rsid w:val="008F625E"/>
    <w:rsid w:val="009240BD"/>
    <w:rsid w:val="00946E96"/>
    <w:rsid w:val="009A3160"/>
    <w:rsid w:val="009B681A"/>
    <w:rsid w:val="009C20D3"/>
    <w:rsid w:val="009E180C"/>
    <w:rsid w:val="009E2683"/>
    <w:rsid w:val="009F1BE9"/>
    <w:rsid w:val="009F768E"/>
    <w:rsid w:val="00A25A89"/>
    <w:rsid w:val="00A45560"/>
    <w:rsid w:val="00A53D8F"/>
    <w:rsid w:val="00A7722A"/>
    <w:rsid w:val="00A96340"/>
    <w:rsid w:val="00AA0D85"/>
    <w:rsid w:val="00AC5294"/>
    <w:rsid w:val="00AC571A"/>
    <w:rsid w:val="00AD11D6"/>
    <w:rsid w:val="00AD3609"/>
    <w:rsid w:val="00AF0C0D"/>
    <w:rsid w:val="00B07810"/>
    <w:rsid w:val="00B1470F"/>
    <w:rsid w:val="00B17EAB"/>
    <w:rsid w:val="00B22CB6"/>
    <w:rsid w:val="00B61B13"/>
    <w:rsid w:val="00BC0ED7"/>
    <w:rsid w:val="00BC41B1"/>
    <w:rsid w:val="00BD0FBB"/>
    <w:rsid w:val="00BE7D85"/>
    <w:rsid w:val="00BF4159"/>
    <w:rsid w:val="00C02AEC"/>
    <w:rsid w:val="00C42C4B"/>
    <w:rsid w:val="00C52E2B"/>
    <w:rsid w:val="00C86AF3"/>
    <w:rsid w:val="00C949AB"/>
    <w:rsid w:val="00CB60D4"/>
    <w:rsid w:val="00CE01AC"/>
    <w:rsid w:val="00CE5250"/>
    <w:rsid w:val="00D038AD"/>
    <w:rsid w:val="00D102EA"/>
    <w:rsid w:val="00D34231"/>
    <w:rsid w:val="00D43ACB"/>
    <w:rsid w:val="00D71745"/>
    <w:rsid w:val="00D865C4"/>
    <w:rsid w:val="00D90EBD"/>
    <w:rsid w:val="00DA4349"/>
    <w:rsid w:val="00DD232D"/>
    <w:rsid w:val="00DE06A7"/>
    <w:rsid w:val="00DE494B"/>
    <w:rsid w:val="00E127DB"/>
    <w:rsid w:val="00E159C6"/>
    <w:rsid w:val="00E25AA2"/>
    <w:rsid w:val="00E33F81"/>
    <w:rsid w:val="00E84432"/>
    <w:rsid w:val="00E85AAE"/>
    <w:rsid w:val="00EA59DA"/>
    <w:rsid w:val="00EA783A"/>
    <w:rsid w:val="00F12103"/>
    <w:rsid w:val="00F14D8F"/>
    <w:rsid w:val="00F168BE"/>
    <w:rsid w:val="00F32C22"/>
    <w:rsid w:val="00F65F15"/>
    <w:rsid w:val="00F66C8D"/>
    <w:rsid w:val="00F7317B"/>
    <w:rsid w:val="00F8319D"/>
    <w:rsid w:val="00FA2C1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uiPriority="59"/>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F2AF2"/>
    <w:pPr>
      <w:jc w:val="both"/>
    </w:pPr>
    <w:rPr>
      <w:rFonts w:eastAsiaTheme="minorEastAsia"/>
      <w:sz w:val="24"/>
    </w:rPr>
  </w:style>
  <w:style w:type="paragraph" w:styleId="Nagwek1">
    <w:name w:val="heading 1"/>
    <w:basedOn w:val="Normalny"/>
    <w:next w:val="Normalny"/>
    <w:link w:val="Nagwek1Znak"/>
    <w:uiPriority w:val="99"/>
    <w:semiHidden/>
    <w:rsid w:val="005F2AF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F2AF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F2AF2"/>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F2AF2"/>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F2AF2"/>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5F2AF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F2AF2"/>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5F2AF2"/>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F2AF2"/>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F2AF2"/>
    <w:rPr>
      <w:rFonts w:ascii="Tahoma" w:hAnsi="Tahoma" w:cs="Tahoma"/>
      <w:sz w:val="16"/>
      <w:szCs w:val="16"/>
    </w:rPr>
  </w:style>
  <w:style w:type="character" w:customStyle="1" w:styleId="TekstdymkaZnak">
    <w:name w:val="Tekst dymka Znak"/>
    <w:basedOn w:val="Domylnaczcionkaakapitu"/>
    <w:link w:val="Tekstdymka"/>
    <w:uiPriority w:val="99"/>
    <w:semiHidden/>
    <w:rsid w:val="005F2AF2"/>
    <w:rPr>
      <w:rFonts w:ascii="Tahoma" w:eastAsiaTheme="minorEastAsia" w:hAnsi="Tahoma" w:cs="Tahoma"/>
      <w:sz w:val="16"/>
      <w:szCs w:val="16"/>
      <w:lang w:val="pl-PL"/>
    </w:rPr>
  </w:style>
  <w:style w:type="character" w:styleId="Tytuksiki">
    <w:name w:val="Book Title"/>
    <w:uiPriority w:val="99"/>
    <w:semiHidden/>
    <w:qFormat/>
    <w:rsid w:val="005F2AF2"/>
    <w:rPr>
      <w:i/>
      <w:iCs/>
      <w:smallCaps/>
      <w:spacing w:val="5"/>
    </w:rPr>
  </w:style>
  <w:style w:type="paragraph" w:customStyle="1" w:styleId="ECHRHeader">
    <w:name w:val="ECHR_Header"/>
    <w:aliases w:val="Ju_Header"/>
    <w:basedOn w:val="Nagwek"/>
    <w:uiPriority w:val="4"/>
    <w:qFormat/>
    <w:rsid w:val="005F2AF2"/>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F2AF2"/>
    <w:pPr>
      <w:jc w:val="left"/>
    </w:pPr>
    <w:rPr>
      <w:sz w:val="8"/>
    </w:rPr>
  </w:style>
  <w:style w:type="character" w:styleId="Pogrubienie">
    <w:name w:val="Strong"/>
    <w:uiPriority w:val="99"/>
    <w:semiHidden/>
    <w:qFormat/>
    <w:rsid w:val="005F2AF2"/>
    <w:rPr>
      <w:b/>
      <w:bCs/>
    </w:rPr>
  </w:style>
  <w:style w:type="paragraph" w:styleId="Bezodstpw">
    <w:name w:val="No Spacing"/>
    <w:basedOn w:val="Normalny"/>
    <w:link w:val="BezodstpwZnak"/>
    <w:semiHidden/>
    <w:qFormat/>
    <w:rsid w:val="005F2AF2"/>
    <w:rPr>
      <w:sz w:val="22"/>
    </w:rPr>
  </w:style>
  <w:style w:type="character" w:customStyle="1" w:styleId="BezodstpwZnak">
    <w:name w:val="Bez odstępów Znak"/>
    <w:basedOn w:val="Domylnaczcionkaakapitu"/>
    <w:link w:val="Bezodstpw"/>
    <w:semiHidden/>
    <w:rsid w:val="005F2AF2"/>
    <w:rPr>
      <w:rFonts w:eastAsiaTheme="minorEastAsia"/>
    </w:rPr>
  </w:style>
  <w:style w:type="paragraph" w:customStyle="1" w:styleId="ECHRFooterLine">
    <w:name w:val="ECHR_Footer_Line"/>
    <w:aliases w:val="Footer_Line"/>
    <w:basedOn w:val="Normalny"/>
    <w:next w:val="ECHRFooter"/>
    <w:uiPriority w:val="57"/>
    <w:semiHidden/>
    <w:rsid w:val="005F2AF2"/>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5F2AF2"/>
  </w:style>
  <w:style w:type="paragraph" w:customStyle="1" w:styleId="DecList">
    <w:name w:val="Dec_List"/>
    <w:basedOn w:val="Normalny"/>
    <w:uiPriority w:val="9"/>
    <w:semiHidden/>
    <w:qFormat/>
    <w:rsid w:val="005F2AF2"/>
    <w:pPr>
      <w:spacing w:before="240"/>
      <w:ind w:left="284"/>
    </w:pPr>
  </w:style>
  <w:style w:type="paragraph" w:customStyle="1" w:styleId="DummyStyle">
    <w:name w:val="Dummy_Style"/>
    <w:basedOn w:val="Normalny"/>
    <w:semiHidden/>
    <w:qFormat/>
    <w:rsid w:val="005F2AF2"/>
    <w:rPr>
      <w:color w:val="00B050"/>
    </w:rPr>
  </w:style>
  <w:style w:type="paragraph" w:customStyle="1" w:styleId="ECHRTitleCentre3">
    <w:name w:val="ECHR_Title_Centre_3"/>
    <w:aliases w:val="Ju_H_Article"/>
    <w:basedOn w:val="Normalny"/>
    <w:next w:val="ECHRParaQuote"/>
    <w:uiPriority w:val="27"/>
    <w:qFormat/>
    <w:rsid w:val="005F2AF2"/>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F2AF2"/>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5F2AF2"/>
    <w:pPr>
      <w:numPr>
        <w:numId w:val="24"/>
      </w:numPr>
      <w:jc w:val="left"/>
    </w:pPr>
    <w:rPr>
      <w:b/>
    </w:rPr>
  </w:style>
  <w:style w:type="paragraph" w:customStyle="1" w:styleId="JuCourt">
    <w:name w:val="Ju_Court"/>
    <w:basedOn w:val="Normalny"/>
    <w:next w:val="Normalny"/>
    <w:uiPriority w:val="16"/>
    <w:qFormat/>
    <w:rsid w:val="005F2AF2"/>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5F2AF2"/>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5F2AF2"/>
    <w:pPr>
      <w:spacing w:after="240"/>
      <w:jc w:val="center"/>
      <w:outlineLvl w:val="0"/>
    </w:pPr>
    <w:rPr>
      <w:rFonts w:asciiTheme="majorHAnsi" w:hAnsiTheme="majorHAnsi"/>
    </w:rPr>
  </w:style>
  <w:style w:type="paragraph" w:customStyle="1" w:styleId="JuInitialled">
    <w:name w:val="Ju_Initialled"/>
    <w:basedOn w:val="Normalny"/>
    <w:uiPriority w:val="31"/>
    <w:qFormat/>
    <w:rsid w:val="005F2AF2"/>
    <w:pPr>
      <w:tabs>
        <w:tab w:val="center" w:pos="6407"/>
      </w:tabs>
      <w:spacing w:before="720"/>
      <w:jc w:val="right"/>
    </w:pPr>
  </w:style>
  <w:style w:type="paragraph" w:styleId="Tytu">
    <w:name w:val="Title"/>
    <w:basedOn w:val="Normalny"/>
    <w:next w:val="Normalny"/>
    <w:link w:val="TytuZnak"/>
    <w:uiPriority w:val="99"/>
    <w:semiHidden/>
    <w:qFormat/>
    <w:rsid w:val="005F2AF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F2AF2"/>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F2AF2"/>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F2AF2"/>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F2AF2"/>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5F2AF2"/>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5F2AF2"/>
    <w:pPr>
      <w:keepNext/>
      <w:keepLines/>
      <w:spacing w:before="240" w:after="120"/>
      <w:ind w:left="1236"/>
    </w:pPr>
    <w:rPr>
      <w:sz w:val="20"/>
    </w:rPr>
  </w:style>
  <w:style w:type="paragraph" w:customStyle="1" w:styleId="JuLista">
    <w:name w:val="Ju_List_a"/>
    <w:basedOn w:val="JuList"/>
    <w:uiPriority w:val="28"/>
    <w:qFormat/>
    <w:rsid w:val="005F2AF2"/>
    <w:pPr>
      <w:ind w:left="346" w:firstLine="0"/>
    </w:pPr>
  </w:style>
  <w:style w:type="paragraph" w:customStyle="1" w:styleId="JuListi">
    <w:name w:val="Ju_List_i"/>
    <w:basedOn w:val="Normalny"/>
    <w:next w:val="JuLista"/>
    <w:uiPriority w:val="28"/>
    <w:qFormat/>
    <w:rsid w:val="005F2AF2"/>
    <w:pPr>
      <w:ind w:left="794"/>
    </w:pPr>
  </w:style>
  <w:style w:type="character" w:customStyle="1" w:styleId="JUNAMES">
    <w:name w:val="JU_NAMES"/>
    <w:uiPriority w:val="17"/>
    <w:qFormat/>
    <w:rsid w:val="005F2AF2"/>
    <w:rPr>
      <w:caps w:val="0"/>
      <w:smallCaps/>
    </w:rPr>
  </w:style>
  <w:style w:type="paragraph" w:styleId="Nagwek">
    <w:name w:val="header"/>
    <w:basedOn w:val="Normalny"/>
    <w:link w:val="NagwekZnak"/>
    <w:uiPriority w:val="57"/>
    <w:semiHidden/>
    <w:rsid w:val="005F2AF2"/>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F2AF2"/>
    <w:rPr>
      <w:sz w:val="24"/>
      <w:lang w:val="pl-PL"/>
    </w:rPr>
  </w:style>
  <w:style w:type="character" w:customStyle="1" w:styleId="Nagwek1Znak">
    <w:name w:val="Nagłówek 1 Znak"/>
    <w:basedOn w:val="Domylnaczcionkaakapitu"/>
    <w:link w:val="Nagwek1"/>
    <w:uiPriority w:val="99"/>
    <w:semiHidden/>
    <w:rsid w:val="005F2AF2"/>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uiPriority w:val="19"/>
    <w:qFormat/>
    <w:rsid w:val="005F2AF2"/>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F2AF2"/>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F2AF2"/>
    <w:rPr>
      <w:rFonts w:asciiTheme="majorHAnsi" w:eastAsiaTheme="majorEastAsia" w:hAnsiTheme="majorHAnsi" w:cstheme="majorBidi"/>
      <w:b/>
      <w:bCs/>
      <w:color w:val="4D4D4D"/>
      <w:sz w:val="26"/>
      <w:szCs w:val="26"/>
      <w:lang w:val="pl-PL"/>
    </w:rPr>
  </w:style>
  <w:style w:type="paragraph" w:customStyle="1" w:styleId="JuParaSub">
    <w:name w:val="Ju_Para_Sub"/>
    <w:basedOn w:val="ECHRPara"/>
    <w:uiPriority w:val="13"/>
    <w:qFormat/>
    <w:rsid w:val="005F2AF2"/>
    <w:pPr>
      <w:ind w:left="284"/>
    </w:pPr>
  </w:style>
  <w:style w:type="paragraph" w:customStyle="1" w:styleId="JuCase">
    <w:name w:val="Ju_Case"/>
    <w:basedOn w:val="Normalny"/>
    <w:next w:val="ECHRPara"/>
    <w:uiPriority w:val="10"/>
    <w:rsid w:val="005F2AF2"/>
    <w:pPr>
      <w:ind w:firstLine="284"/>
    </w:pPr>
    <w:rPr>
      <w:b/>
    </w:rPr>
  </w:style>
  <w:style w:type="character" w:customStyle="1" w:styleId="Nagwek3Znak">
    <w:name w:val="Nagłówek 3 Znak"/>
    <w:basedOn w:val="Domylnaczcionkaakapitu"/>
    <w:link w:val="Nagwek3"/>
    <w:uiPriority w:val="99"/>
    <w:semiHidden/>
    <w:rsid w:val="005F2AF2"/>
    <w:rPr>
      <w:rFonts w:asciiTheme="majorHAnsi" w:eastAsiaTheme="majorEastAsia" w:hAnsiTheme="majorHAnsi" w:cstheme="majorBidi"/>
      <w:b/>
      <w:bCs/>
      <w:color w:val="5F5F5F"/>
      <w:sz w:val="24"/>
      <w:lang w:val="pl-PL"/>
    </w:rPr>
  </w:style>
  <w:style w:type="character" w:customStyle="1" w:styleId="Nagwek4Znak">
    <w:name w:val="Nagłówek 4 Znak"/>
    <w:basedOn w:val="Domylnaczcionkaakapitu"/>
    <w:link w:val="Nagwek4"/>
    <w:uiPriority w:val="99"/>
    <w:semiHidden/>
    <w:rsid w:val="005F2AF2"/>
    <w:rPr>
      <w:rFonts w:asciiTheme="majorHAnsi" w:eastAsiaTheme="majorEastAsia" w:hAnsiTheme="majorHAnsi" w:cstheme="majorBidi"/>
      <w:b/>
      <w:bCs/>
      <w:i/>
      <w:iCs/>
      <w:color w:val="777777"/>
      <w:sz w:val="24"/>
      <w:lang w:val="pl-PL"/>
    </w:rPr>
  </w:style>
  <w:style w:type="character" w:customStyle="1" w:styleId="Nagwek5Znak">
    <w:name w:val="Nagłówek 5 Znak"/>
    <w:basedOn w:val="Domylnaczcionkaakapitu"/>
    <w:link w:val="Nagwek5"/>
    <w:uiPriority w:val="99"/>
    <w:semiHidden/>
    <w:rsid w:val="005F2AF2"/>
    <w:rPr>
      <w:rFonts w:asciiTheme="majorHAnsi" w:eastAsiaTheme="majorEastAsia" w:hAnsiTheme="majorHAnsi" w:cstheme="majorBidi"/>
      <w:b/>
      <w:bCs/>
      <w:color w:val="808080"/>
    </w:rPr>
  </w:style>
  <w:style w:type="character" w:styleId="Wyrnieniedelikatne">
    <w:name w:val="Subtle Emphasis"/>
    <w:uiPriority w:val="99"/>
    <w:semiHidden/>
    <w:qFormat/>
    <w:rsid w:val="005F2AF2"/>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F2AF2"/>
    <w:pPr>
      <w:keepNext/>
      <w:keepLines/>
      <w:spacing w:before="720" w:after="240"/>
      <w:outlineLvl w:val="0"/>
    </w:pPr>
    <w:rPr>
      <w:rFonts w:asciiTheme="majorHAnsi" w:hAnsiTheme="majorHAnsi"/>
      <w:sz w:val="28"/>
    </w:rPr>
  </w:style>
  <w:style w:type="character" w:styleId="Uwydatnienie">
    <w:name w:val="Emphasis"/>
    <w:uiPriority w:val="99"/>
    <w:semiHidden/>
    <w:qFormat/>
    <w:rsid w:val="005F2AF2"/>
    <w:rPr>
      <w:b/>
      <w:bCs/>
      <w:i/>
      <w:iCs/>
      <w:spacing w:val="10"/>
      <w:bdr w:val="none" w:sz="0" w:space="0" w:color="auto"/>
      <w:shd w:val="clear" w:color="auto" w:fill="auto"/>
    </w:rPr>
  </w:style>
  <w:style w:type="paragraph" w:styleId="Stopka">
    <w:name w:val="footer"/>
    <w:basedOn w:val="Normalny"/>
    <w:link w:val="StopkaZnak"/>
    <w:uiPriority w:val="57"/>
    <w:semiHidden/>
    <w:rsid w:val="005F2AF2"/>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F2AF2"/>
    <w:rPr>
      <w:sz w:val="24"/>
      <w:lang w:val="pl-PL"/>
    </w:rPr>
  </w:style>
  <w:style w:type="character" w:styleId="Odwoanieprzypisudolnego">
    <w:name w:val="footnote reference"/>
    <w:basedOn w:val="Domylnaczcionkaakapitu"/>
    <w:uiPriority w:val="99"/>
    <w:semiHidden/>
    <w:rsid w:val="005F2AF2"/>
    <w:rPr>
      <w:vertAlign w:val="superscript"/>
    </w:rPr>
  </w:style>
  <w:style w:type="paragraph" w:styleId="Tekstprzypisudolnego">
    <w:name w:val="footnote text"/>
    <w:basedOn w:val="Normalny"/>
    <w:link w:val="TekstprzypisudolnegoZnak"/>
    <w:uiPriority w:val="99"/>
    <w:semiHidden/>
    <w:rsid w:val="005F2AF2"/>
    <w:rPr>
      <w:sz w:val="20"/>
      <w:szCs w:val="20"/>
    </w:rPr>
  </w:style>
  <w:style w:type="character" w:customStyle="1" w:styleId="TekstprzypisudolnegoZnak">
    <w:name w:val="Tekst przypisu dolnego Znak"/>
    <w:basedOn w:val="Domylnaczcionkaakapitu"/>
    <w:link w:val="Tekstprzypisudolnego"/>
    <w:uiPriority w:val="99"/>
    <w:semiHidden/>
    <w:rsid w:val="005F2AF2"/>
    <w:rPr>
      <w:rFonts w:eastAsiaTheme="minorEastAsia"/>
      <w:sz w:val="20"/>
      <w:szCs w:val="20"/>
      <w:lang w:val="pl-PL"/>
    </w:rPr>
  </w:style>
  <w:style w:type="character" w:customStyle="1" w:styleId="Nagwek6Znak">
    <w:name w:val="Nagłówek 6 Znak"/>
    <w:basedOn w:val="Domylnaczcionkaakapitu"/>
    <w:link w:val="Nagwek6"/>
    <w:uiPriority w:val="99"/>
    <w:semiHidden/>
    <w:rsid w:val="005F2AF2"/>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5F2AF2"/>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F2AF2"/>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F2AF2"/>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F2AF2"/>
    <w:rPr>
      <w:color w:val="0072BC" w:themeColor="hyperlink"/>
      <w:u w:val="single"/>
    </w:rPr>
  </w:style>
  <w:style w:type="character" w:styleId="Wyrnienieintensywne">
    <w:name w:val="Intense Emphasis"/>
    <w:uiPriority w:val="99"/>
    <w:semiHidden/>
    <w:qFormat/>
    <w:rsid w:val="005F2AF2"/>
    <w:rPr>
      <w:b/>
      <w:bCs/>
    </w:rPr>
  </w:style>
  <w:style w:type="paragraph" w:styleId="Cytatintensywny">
    <w:name w:val="Intense Quote"/>
    <w:basedOn w:val="Normalny"/>
    <w:next w:val="Normalny"/>
    <w:link w:val="CytatintensywnyZnak"/>
    <w:uiPriority w:val="99"/>
    <w:semiHidden/>
    <w:qFormat/>
    <w:rsid w:val="005F2AF2"/>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5F2AF2"/>
    <w:rPr>
      <w:rFonts w:eastAsiaTheme="minorEastAsia"/>
      <w:b/>
      <w:bCs/>
      <w:i/>
      <w:iCs/>
      <w:lang w:bidi="en-US"/>
    </w:rPr>
  </w:style>
  <w:style w:type="character" w:styleId="Odwoanieintensywne">
    <w:name w:val="Intense Reference"/>
    <w:uiPriority w:val="99"/>
    <w:semiHidden/>
    <w:qFormat/>
    <w:rsid w:val="005F2AF2"/>
    <w:rPr>
      <w:smallCaps/>
      <w:spacing w:val="5"/>
      <w:u w:val="single"/>
    </w:rPr>
  </w:style>
  <w:style w:type="paragraph" w:styleId="Akapitzlist">
    <w:name w:val="List Paragraph"/>
    <w:basedOn w:val="Normalny"/>
    <w:uiPriority w:val="99"/>
    <w:semiHidden/>
    <w:qFormat/>
    <w:rsid w:val="005F2AF2"/>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F2AF2"/>
    <w:pPr>
      <w:spacing w:before="200"/>
      <w:ind w:left="360" w:right="360"/>
    </w:pPr>
    <w:rPr>
      <w:i/>
      <w:iCs/>
      <w:sz w:val="22"/>
      <w:lang w:bidi="en-US"/>
    </w:rPr>
  </w:style>
  <w:style w:type="character" w:customStyle="1" w:styleId="CytatZnak">
    <w:name w:val="Cytat Znak"/>
    <w:basedOn w:val="Domylnaczcionkaakapitu"/>
    <w:link w:val="Cytat"/>
    <w:uiPriority w:val="99"/>
    <w:semiHidden/>
    <w:rsid w:val="005F2AF2"/>
    <w:rPr>
      <w:rFonts w:eastAsiaTheme="minorEastAsia"/>
      <w:i/>
      <w:iCs/>
      <w:lang w:bidi="en-US"/>
    </w:rPr>
  </w:style>
  <w:style w:type="character" w:styleId="Odwoaniedelikatne">
    <w:name w:val="Subtle Reference"/>
    <w:uiPriority w:val="99"/>
    <w:semiHidden/>
    <w:qFormat/>
    <w:rsid w:val="005F2AF2"/>
    <w:rPr>
      <w:smallCaps/>
    </w:rPr>
  </w:style>
  <w:style w:type="table" w:styleId="Tabela-Siatka">
    <w:name w:val="Table Grid"/>
    <w:basedOn w:val="Standardowy"/>
    <w:uiPriority w:val="59"/>
    <w:semiHidden/>
    <w:rsid w:val="005F2AF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F2AF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F2AF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F2AF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F2AF2"/>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F2AF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F2AF2"/>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F2AF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5F2AF2"/>
    <w:pPr>
      <w:spacing w:before="120" w:after="120"/>
      <w:ind w:left="425" w:firstLine="142"/>
    </w:pPr>
    <w:rPr>
      <w:sz w:val="20"/>
    </w:rPr>
  </w:style>
  <w:style w:type="paragraph" w:customStyle="1" w:styleId="ECHRPara">
    <w:name w:val="ECHR_Para"/>
    <w:aliases w:val="Ju_Para"/>
    <w:basedOn w:val="Normalny"/>
    <w:link w:val="ECHRParaChar"/>
    <w:uiPriority w:val="12"/>
    <w:qFormat/>
    <w:rsid w:val="005F2AF2"/>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F2AF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5F2AF2"/>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5F2AF2"/>
    <w:pPr>
      <w:ind w:left="340" w:hanging="340"/>
    </w:pPr>
  </w:style>
  <w:style w:type="paragraph" w:customStyle="1" w:styleId="JuSigned">
    <w:name w:val="Ju_Signed"/>
    <w:basedOn w:val="Normalny"/>
    <w:next w:val="JuParaLast"/>
    <w:uiPriority w:val="32"/>
    <w:qFormat/>
    <w:rsid w:val="005F2AF2"/>
    <w:pPr>
      <w:tabs>
        <w:tab w:val="center" w:pos="851"/>
        <w:tab w:val="center" w:pos="6407"/>
      </w:tabs>
      <w:spacing w:before="720"/>
      <w:jc w:val="left"/>
    </w:pPr>
  </w:style>
  <w:style w:type="paragraph" w:customStyle="1" w:styleId="JuParaLast">
    <w:name w:val="Ju_Para_Last"/>
    <w:basedOn w:val="Normalny"/>
    <w:next w:val="ECHRPara"/>
    <w:uiPriority w:val="30"/>
    <w:qFormat/>
    <w:rsid w:val="005F2AF2"/>
    <w:pPr>
      <w:keepNext/>
      <w:keepLines/>
      <w:spacing w:before="240"/>
      <w:ind w:firstLine="284"/>
    </w:pPr>
  </w:style>
  <w:style w:type="paragraph" w:customStyle="1" w:styleId="JuQuotSub">
    <w:name w:val="Ju_Quot_Sub"/>
    <w:basedOn w:val="ECHRParaQuote"/>
    <w:uiPriority w:val="15"/>
    <w:qFormat/>
    <w:rsid w:val="005F2AF2"/>
    <w:pPr>
      <w:ind w:left="567"/>
    </w:pPr>
  </w:style>
  <w:style w:type="character" w:styleId="Numerstrony">
    <w:name w:val="page number"/>
    <w:uiPriority w:val="99"/>
    <w:semiHidden/>
    <w:rsid w:val="00014566"/>
    <w:rPr>
      <w:sz w:val="18"/>
    </w:rPr>
  </w:style>
  <w:style w:type="paragraph" w:customStyle="1" w:styleId="JuTitle">
    <w:name w:val="Ju_Title"/>
    <w:basedOn w:val="Normalny"/>
    <w:next w:val="ECHRPara"/>
    <w:uiPriority w:val="3"/>
    <w:semiHidden/>
    <w:qFormat/>
    <w:rsid w:val="005F2AF2"/>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5F2AF2"/>
    <w:pPr>
      <w:ind w:left="635" w:hanging="357"/>
      <w:outlineLvl w:val="2"/>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5F2AF2"/>
    <w:rPr>
      <w:vertAlign w:val="superscript"/>
    </w:rPr>
  </w:style>
  <w:style w:type="paragraph" w:styleId="Tekstprzypisukocowego">
    <w:name w:val="endnote text"/>
    <w:basedOn w:val="Normalny"/>
    <w:link w:val="TekstprzypisukocowegoZnak"/>
    <w:uiPriority w:val="99"/>
    <w:semiHidden/>
    <w:rsid w:val="005F2AF2"/>
    <w:rPr>
      <w:sz w:val="20"/>
      <w:szCs w:val="20"/>
    </w:rPr>
  </w:style>
  <w:style w:type="character" w:customStyle="1" w:styleId="TekstprzypisukocowegoZnak">
    <w:name w:val="Tekst przypisu końcowego Znak"/>
    <w:basedOn w:val="Domylnaczcionkaakapitu"/>
    <w:link w:val="Tekstprzypisukocowego"/>
    <w:uiPriority w:val="99"/>
    <w:semiHidden/>
    <w:rsid w:val="005F2AF2"/>
    <w:rPr>
      <w:rFonts w:eastAsiaTheme="minorEastAsia"/>
      <w:sz w:val="20"/>
      <w:szCs w:val="20"/>
      <w:lang w:val="pl-PL"/>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5F2AF2"/>
    <w:pPr>
      <w:ind w:left="833" w:hanging="357"/>
      <w:outlineLvl w:val="3"/>
    </w:pPr>
    <w:rPr>
      <w:b/>
      <w:i w:val="0"/>
      <w:sz w:val="20"/>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5F2AF2"/>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5F2AF2"/>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F2AF2"/>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OpiHA0">
    <w:name w:val="Opi_H_A"/>
    <w:basedOn w:val="ECHRHeading1"/>
    <w:next w:val="OpiPara"/>
    <w:uiPriority w:val="41"/>
    <w:qFormat/>
    <w:rsid w:val="005F2AF2"/>
    <w:pPr>
      <w:tabs>
        <w:tab w:val="clear" w:pos="357"/>
      </w:tabs>
      <w:outlineLvl w:val="1"/>
    </w:pPr>
    <w:rPr>
      <w:b/>
    </w:rPr>
  </w:style>
  <w:style w:type="paragraph" w:customStyle="1" w:styleId="OpiHi">
    <w:name w:val="Opi_H_i"/>
    <w:basedOn w:val="ECHRHeading4"/>
    <w:uiPriority w:val="44"/>
    <w:qFormat/>
    <w:rsid w:val="005F2AF2"/>
    <w:pPr>
      <w:ind w:left="1037" w:hanging="357"/>
      <w:outlineLvl w:val="4"/>
    </w:pPr>
    <w:rPr>
      <w:b w:val="0"/>
      <w:i/>
    </w:rPr>
  </w:style>
  <w:style w:type="character" w:styleId="Tekstzastpczy">
    <w:name w:val="Placeholder Text"/>
    <w:basedOn w:val="Domylnaczcionkaakapitu"/>
    <w:uiPriority w:val="99"/>
    <w:semiHidden/>
    <w:rsid w:val="005F2AF2"/>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F2AF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F2AF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Para">
    <w:name w:val="Opi_Para"/>
    <w:basedOn w:val="ECHRPara"/>
    <w:uiPriority w:val="46"/>
    <w:qFormat/>
    <w:rsid w:val="005F2AF2"/>
  </w:style>
  <w:style w:type="paragraph" w:customStyle="1" w:styleId="OpiParaSub">
    <w:name w:val="Opi_Para_Sub"/>
    <w:basedOn w:val="JuParaSub"/>
    <w:uiPriority w:val="47"/>
    <w:qFormat/>
    <w:rsid w:val="005F2AF2"/>
  </w:style>
  <w:style w:type="paragraph" w:customStyle="1" w:styleId="OpiQuot">
    <w:name w:val="Opi_Quot"/>
    <w:basedOn w:val="ECHRParaQuote"/>
    <w:uiPriority w:val="48"/>
    <w:qFormat/>
    <w:rsid w:val="005F2AF2"/>
  </w:style>
  <w:style w:type="paragraph" w:customStyle="1" w:styleId="OpiQuotSub">
    <w:name w:val="Opi_Quot_Sub"/>
    <w:basedOn w:val="JuQuotSub"/>
    <w:uiPriority w:val="49"/>
    <w:qFormat/>
    <w:rsid w:val="005F2AF2"/>
  </w:style>
  <w:style w:type="paragraph" w:customStyle="1" w:styleId="OpiTranslation">
    <w:name w:val="Opi_Translation"/>
    <w:basedOn w:val="Normalny"/>
    <w:next w:val="OpiPara"/>
    <w:uiPriority w:val="40"/>
    <w:qFormat/>
    <w:rsid w:val="005F2AF2"/>
    <w:pPr>
      <w:jc w:val="center"/>
      <w:outlineLvl w:val="0"/>
    </w:pPr>
    <w:rPr>
      <w:i/>
    </w:rPr>
  </w:style>
  <w:style w:type="paragraph" w:styleId="Nagweknotatki">
    <w:name w:val="Note Heading"/>
    <w:basedOn w:val="Normalny"/>
    <w:next w:val="Normalny"/>
    <w:link w:val="NagweknotatkiZnak"/>
    <w:uiPriority w:val="99"/>
    <w:semiHidden/>
    <w:rsid w:val="00E127DB"/>
  </w:style>
  <w:style w:type="character" w:customStyle="1" w:styleId="NagweknotatkiZnak">
    <w:name w:val="Nagłówek notatki Znak"/>
    <w:basedOn w:val="Domylnaczcionkaakapitu"/>
    <w:link w:val="Nagweknotatki"/>
    <w:uiPriority w:val="99"/>
    <w:semiHidden/>
    <w:rsid w:val="00E127DB"/>
    <w:rPr>
      <w:rFonts w:eastAsiaTheme="minorEastAsia"/>
      <w:sz w:val="24"/>
      <w:lang w:val="pl-PL"/>
    </w:rPr>
  </w:style>
  <w:style w:type="character" w:customStyle="1" w:styleId="ECHRParaChar">
    <w:name w:val="ECHR_Para Char"/>
    <w:aliases w:val="Ju_Para Char"/>
    <w:link w:val="ECHRPara"/>
    <w:uiPriority w:val="12"/>
    <w:rsid w:val="00B1470F"/>
    <w:rPr>
      <w:rFonts w:eastAsiaTheme="minorEastAsia"/>
      <w:sz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Tekstdymka">
    <w:name w:val="1ai"/>
    <w:pPr>
      <w:numPr>
        <w:numId w:val="3"/>
      </w:numPr>
    </w:pPr>
  </w:style>
  <w:style w:type="numbering" w:customStyle="1" w:styleId="TekstdymkaZnak">
    <w:name w:val="111111"/>
    <w:pPr>
      <w:numPr>
        <w:numId w:val="2"/>
      </w:numPr>
    </w:pPr>
  </w:style>
  <w:style w:type="numbering" w:customStyle="1" w:styleId="Tytuksiki">
    <w:name w:val="Artykusekcja"/>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C98D9-32EE-4BF1-9F6B-74D97B661AD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CEE3E5C-882B-42F0-A5A6-B1CD6C4A4B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6083FA7-473F-4419-B311-71386A427036}">
  <ds:schemaRefs>
    <ds:schemaRef ds:uri="http://schemas.microsoft.com/sharepoint/v3/contenttype/forms"/>
  </ds:schemaRefs>
</ds:datastoreItem>
</file>

<file path=customXml/itemProps4.xml><?xml version="1.0" encoding="utf-8"?>
<ds:datastoreItem xmlns:ds="http://schemas.openxmlformats.org/officeDocument/2006/customXml" ds:itemID="{44E3D71C-4BAE-48BD-A82D-1483F4549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1629</Words>
  <Characters>9774</Characters>
  <Application>Microsoft Office Word</Application>
  <DocSecurity>0</DocSecurity>
  <Lines>81</Lines>
  <Paragraphs>22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11381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2018-12-06T11:10:00Z</dcterms:created>
  <dcterms:modified xsi:type="dcterms:W3CDTF">2018-12-14T10:40:00Z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33946/15</vt:lpwstr>
  </property>
  <property fmtid="{D5CDD505-2E9C-101B-9397-08002B2CF9AE}" pid="4" name="CASEID">
    <vt:lpwstr>1144304</vt:lpwstr>
  </property>
  <property fmtid="{D5CDD505-2E9C-101B-9397-08002B2CF9AE}" pid="5" name="ContentTypeId">
    <vt:lpwstr>0x010100558EB02BDB9E204AB350EDD385B68E10</vt:lpwstr>
  </property>
</Properties>
</file>