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E0" w:rsidRPr="00CA4ACD" w:rsidRDefault="00DE61E0" w:rsidP="00CA4ACD">
      <w:pPr>
        <w:jc w:val="center"/>
      </w:pPr>
      <w:bookmarkStart w:id="0" w:name="_GoBack"/>
      <w:bookmarkEnd w:id="0"/>
    </w:p>
    <w:p w:rsidR="0092643E" w:rsidRPr="00CA4ACD" w:rsidRDefault="0092643E" w:rsidP="00CA4ACD">
      <w:pPr>
        <w:jc w:val="center"/>
      </w:pPr>
    </w:p>
    <w:p w:rsidR="0092643E" w:rsidRPr="00CA4ACD" w:rsidRDefault="0092643E" w:rsidP="00CA4ACD">
      <w:pPr>
        <w:jc w:val="center"/>
      </w:pPr>
    </w:p>
    <w:p w:rsidR="00DE61E0" w:rsidRPr="00CA4ACD" w:rsidRDefault="00552A19" w:rsidP="00CA4ACD">
      <w:pPr>
        <w:jc w:val="center"/>
      </w:pPr>
      <w:r w:rsidRPr="00CA4ACD">
        <w:t>SEKCJA PIERWSZA</w:t>
      </w:r>
    </w:p>
    <w:p w:rsidR="00DE61E0" w:rsidRPr="00CA4ACD" w:rsidRDefault="00DE61E0" w:rsidP="00CA4ACD">
      <w:pPr>
        <w:jc w:val="center"/>
      </w:pPr>
    </w:p>
    <w:p w:rsidR="0092643E" w:rsidRPr="00CA4ACD" w:rsidRDefault="0092643E" w:rsidP="00CA4ACD">
      <w:pPr>
        <w:jc w:val="center"/>
      </w:pPr>
    </w:p>
    <w:p w:rsidR="0092643E" w:rsidRPr="00CA4ACD" w:rsidRDefault="0092643E" w:rsidP="00CA4ACD">
      <w:pPr>
        <w:jc w:val="center"/>
      </w:pPr>
    </w:p>
    <w:p w:rsidR="0092643E" w:rsidRPr="00CA4ACD" w:rsidRDefault="0092643E" w:rsidP="00CA4ACD">
      <w:pPr>
        <w:jc w:val="center"/>
      </w:pPr>
    </w:p>
    <w:p w:rsidR="005B0D89" w:rsidRPr="00CA4ACD" w:rsidRDefault="005B0D89" w:rsidP="00CA4ACD">
      <w:pPr>
        <w:jc w:val="center"/>
      </w:pPr>
    </w:p>
    <w:p w:rsidR="0092643E" w:rsidRPr="00CA4ACD" w:rsidRDefault="0092643E" w:rsidP="00CA4ACD">
      <w:pPr>
        <w:jc w:val="center"/>
      </w:pPr>
    </w:p>
    <w:p w:rsidR="0092643E" w:rsidRPr="00CA4ACD" w:rsidRDefault="0092643E" w:rsidP="00CA4ACD">
      <w:pPr>
        <w:jc w:val="center"/>
      </w:pPr>
    </w:p>
    <w:p w:rsidR="00DE61E0" w:rsidRPr="00CA4ACD" w:rsidRDefault="00DE61E0" w:rsidP="00CA4ACD">
      <w:pPr>
        <w:jc w:val="center"/>
        <w:rPr>
          <w:b/>
        </w:rPr>
      </w:pPr>
      <w:bookmarkStart w:id="1" w:name="To"/>
      <w:r w:rsidRPr="00CA4ACD">
        <w:rPr>
          <w:b/>
        </w:rPr>
        <w:t xml:space="preserve">SPRAWA </w:t>
      </w:r>
      <w:bookmarkEnd w:id="1"/>
      <w:r w:rsidRPr="00CA4ACD">
        <w:rPr>
          <w:b/>
        </w:rPr>
        <w:t xml:space="preserve">BUKOWSKI I INNI </w:t>
      </w:r>
      <w:r w:rsidR="00F67EA8">
        <w:rPr>
          <w:b/>
        </w:rPr>
        <w:t>PRZECIWKO</w:t>
      </w:r>
      <w:r w:rsidR="00F67EA8" w:rsidRPr="00CA4ACD">
        <w:rPr>
          <w:b/>
        </w:rPr>
        <w:t xml:space="preserve"> </w:t>
      </w:r>
      <w:r w:rsidRPr="00CA4ACD">
        <w:rPr>
          <w:b/>
        </w:rPr>
        <w:t>POLSCE</w:t>
      </w:r>
    </w:p>
    <w:p w:rsidR="00DE61E0" w:rsidRPr="00CA4ACD" w:rsidRDefault="00DE61E0" w:rsidP="00CA4ACD">
      <w:pPr>
        <w:jc w:val="center"/>
      </w:pPr>
    </w:p>
    <w:p w:rsidR="00DE61E0" w:rsidRPr="00CA4ACD" w:rsidRDefault="00DE61E0" w:rsidP="00CA4ACD">
      <w:pPr>
        <w:jc w:val="center"/>
        <w:rPr>
          <w:i/>
        </w:rPr>
      </w:pPr>
      <w:r w:rsidRPr="00CA4ACD">
        <w:rPr>
          <w:i/>
        </w:rPr>
        <w:t>(Skarga nr 47395/09)</w:t>
      </w:r>
    </w:p>
    <w:p w:rsidR="00DE61E0" w:rsidRPr="00CA4ACD" w:rsidRDefault="00DE61E0" w:rsidP="00CA4ACD">
      <w:pPr>
        <w:jc w:val="center"/>
      </w:pPr>
    </w:p>
    <w:p w:rsidR="00DE61E0" w:rsidRPr="00CA4ACD" w:rsidRDefault="00DE61E0" w:rsidP="00CA4ACD">
      <w:pPr>
        <w:jc w:val="center"/>
        <w:rPr>
          <w:szCs w:val="24"/>
        </w:rPr>
      </w:pPr>
    </w:p>
    <w:p w:rsidR="005B0D89" w:rsidRPr="00CA4ACD" w:rsidRDefault="005B0D89" w:rsidP="00CA4ACD">
      <w:pPr>
        <w:jc w:val="center"/>
        <w:rPr>
          <w:szCs w:val="24"/>
        </w:rPr>
      </w:pPr>
    </w:p>
    <w:p w:rsidR="005B0D89" w:rsidRPr="00CA4ACD" w:rsidRDefault="005B0D89" w:rsidP="00CA4ACD">
      <w:pPr>
        <w:jc w:val="center"/>
        <w:rPr>
          <w:szCs w:val="24"/>
        </w:rPr>
      </w:pPr>
    </w:p>
    <w:p w:rsidR="00DE61E0" w:rsidRPr="00CA4ACD" w:rsidRDefault="00DE61E0" w:rsidP="00CA4ACD">
      <w:pPr>
        <w:jc w:val="center"/>
        <w:rPr>
          <w:szCs w:val="24"/>
        </w:rPr>
      </w:pPr>
    </w:p>
    <w:p w:rsidR="00DE61E0" w:rsidRPr="00CA4ACD" w:rsidRDefault="00DE61E0" w:rsidP="00CA4ACD">
      <w:pPr>
        <w:jc w:val="center"/>
        <w:rPr>
          <w:szCs w:val="24"/>
        </w:rPr>
      </w:pPr>
    </w:p>
    <w:p w:rsidR="00CA36A9" w:rsidRPr="00CA4ACD" w:rsidRDefault="00CA36A9" w:rsidP="00CA4ACD">
      <w:pPr>
        <w:jc w:val="center"/>
        <w:rPr>
          <w:szCs w:val="24"/>
        </w:rPr>
      </w:pPr>
    </w:p>
    <w:p w:rsidR="00CA36A9" w:rsidRPr="00CA4ACD" w:rsidRDefault="00CA36A9" w:rsidP="00CA4ACD">
      <w:pPr>
        <w:jc w:val="center"/>
        <w:rPr>
          <w:szCs w:val="24"/>
        </w:rPr>
      </w:pPr>
    </w:p>
    <w:p w:rsidR="0092643E" w:rsidRPr="00CA4ACD" w:rsidRDefault="0092643E" w:rsidP="00CA4ACD">
      <w:pPr>
        <w:jc w:val="center"/>
      </w:pPr>
      <w:r w:rsidRPr="00CA4ACD">
        <w:t>WYROK</w:t>
      </w:r>
    </w:p>
    <w:p w:rsidR="0092643E" w:rsidRPr="00CA4ACD" w:rsidRDefault="0092643E" w:rsidP="00CA4ACD">
      <w:pPr>
        <w:jc w:val="center"/>
      </w:pPr>
    </w:p>
    <w:p w:rsidR="008C2D79" w:rsidRPr="00CA4ACD" w:rsidRDefault="008C2D79" w:rsidP="00CA4ACD">
      <w:pPr>
        <w:jc w:val="center"/>
      </w:pPr>
    </w:p>
    <w:p w:rsidR="0092643E" w:rsidRPr="00CA4ACD" w:rsidRDefault="0092643E" w:rsidP="00CA4ACD">
      <w:pPr>
        <w:jc w:val="center"/>
      </w:pPr>
      <w:r w:rsidRPr="00CA4ACD">
        <w:t>STRASBURG</w:t>
      </w:r>
    </w:p>
    <w:p w:rsidR="00531D59" w:rsidRPr="00CA4ACD" w:rsidRDefault="00531D59" w:rsidP="00CA4ACD">
      <w:pPr>
        <w:jc w:val="center"/>
      </w:pPr>
    </w:p>
    <w:p w:rsidR="0092643E" w:rsidRPr="00CA4ACD" w:rsidRDefault="0092643E" w:rsidP="00CA4ACD">
      <w:pPr>
        <w:jc w:val="center"/>
      </w:pPr>
      <w:r w:rsidRPr="00CA4ACD">
        <w:t>6 grudnia 2018 r.</w:t>
      </w:r>
    </w:p>
    <w:p w:rsidR="0092643E" w:rsidRPr="00CA4ACD" w:rsidRDefault="0092643E" w:rsidP="00CA4ACD">
      <w:pPr>
        <w:jc w:val="center"/>
      </w:pPr>
    </w:p>
    <w:p w:rsidR="00531D59" w:rsidRPr="00CA4ACD" w:rsidRDefault="00531D59" w:rsidP="00CA4ACD">
      <w:pPr>
        <w:jc w:val="center"/>
      </w:pPr>
    </w:p>
    <w:p w:rsidR="005B0D89" w:rsidRPr="00CA4ACD" w:rsidRDefault="005B0D89" w:rsidP="00CA4ACD">
      <w:pPr>
        <w:jc w:val="center"/>
      </w:pPr>
    </w:p>
    <w:p w:rsidR="005B0D89" w:rsidRPr="00CA4ACD" w:rsidRDefault="005B0D89" w:rsidP="00CA4ACD">
      <w:pPr>
        <w:jc w:val="center"/>
      </w:pPr>
    </w:p>
    <w:p w:rsidR="005B0D89" w:rsidRPr="00CA4ACD" w:rsidRDefault="005B0D89" w:rsidP="00CA4ACD">
      <w:pPr>
        <w:jc w:val="center"/>
      </w:pPr>
    </w:p>
    <w:p w:rsidR="0092643E" w:rsidRPr="00CA4ACD" w:rsidRDefault="0092643E" w:rsidP="00CA4ACD">
      <w:pPr>
        <w:jc w:val="center"/>
      </w:pPr>
    </w:p>
    <w:p w:rsidR="0092643E" w:rsidRPr="00CA4ACD" w:rsidRDefault="0092643E" w:rsidP="00CA4ACD">
      <w:pPr>
        <w:jc w:val="left"/>
        <w:rPr>
          <w:i/>
          <w:sz w:val="22"/>
        </w:rPr>
      </w:pPr>
      <w:r w:rsidRPr="00CA4ACD">
        <w:rPr>
          <w:i/>
          <w:sz w:val="22"/>
        </w:rPr>
        <w:t xml:space="preserve">Wyrok </w:t>
      </w:r>
      <w:r w:rsidR="003D4B3E">
        <w:rPr>
          <w:i/>
          <w:sz w:val="22"/>
        </w:rPr>
        <w:t xml:space="preserve">jest </w:t>
      </w:r>
      <w:r w:rsidRPr="00CA4ACD">
        <w:rPr>
          <w:i/>
          <w:sz w:val="22"/>
        </w:rPr>
        <w:t xml:space="preserve"> ostateczny, lecz może podlegać korekcie wydawniczej.</w:t>
      </w:r>
    </w:p>
    <w:p w:rsidR="005B0D89" w:rsidRPr="00CA4ACD" w:rsidRDefault="005B0D89" w:rsidP="00CA4ACD">
      <w:pPr>
        <w:jc w:val="left"/>
        <w:rPr>
          <w:i/>
          <w:sz w:val="22"/>
        </w:rPr>
      </w:pPr>
    </w:p>
    <w:p w:rsidR="005B0D89" w:rsidRPr="00CA4ACD" w:rsidRDefault="005B0D89" w:rsidP="00CA4ACD">
      <w:pPr>
        <w:jc w:val="left"/>
        <w:sectPr w:rsidR="005B0D89" w:rsidRPr="00CA4ACD" w:rsidSect="0092643E">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DE61E0" w:rsidRPr="00CA4ACD" w:rsidRDefault="00DE61E0" w:rsidP="00CA4ACD">
      <w:pPr>
        <w:pStyle w:val="JuCase"/>
        <w:rPr>
          <w:b w:val="0"/>
          <w:bCs/>
        </w:rPr>
      </w:pPr>
      <w:r w:rsidRPr="00CA4ACD">
        <w:lastRenderedPageBreak/>
        <w:t>W sprawie Bukowski i Inni przeciwko Polsce</w:t>
      </w:r>
    </w:p>
    <w:p w:rsidR="00DE61E0" w:rsidRPr="00CA4ACD" w:rsidRDefault="00DE61E0" w:rsidP="00CA4ACD">
      <w:pPr>
        <w:pStyle w:val="ECHRPara"/>
        <w:rPr>
          <w:b/>
        </w:rPr>
      </w:pPr>
      <w:r w:rsidRPr="00CA4ACD">
        <w:t>Europejski Trybunał Praw Człowieka (sekcja pierwsza), zasiadając jako Komitet w składzie:</w:t>
      </w:r>
    </w:p>
    <w:p w:rsidR="001A1FAB" w:rsidRPr="00CA4ACD" w:rsidRDefault="0092643E" w:rsidP="00CA4ACD">
      <w:pPr>
        <w:pStyle w:val="ECHRDecisionBody"/>
      </w:pPr>
      <w:r w:rsidRPr="00CA4ACD">
        <w:tab/>
      </w:r>
      <w:proofErr w:type="spellStart"/>
      <w:r w:rsidRPr="00CA4ACD">
        <w:t>Ksenija</w:t>
      </w:r>
      <w:proofErr w:type="spellEnd"/>
      <w:r w:rsidRPr="00CA4ACD">
        <w:t xml:space="preserve"> </w:t>
      </w:r>
      <w:proofErr w:type="spellStart"/>
      <w:r w:rsidRPr="00CA4ACD">
        <w:t>Turković</w:t>
      </w:r>
      <w:proofErr w:type="spellEnd"/>
      <w:r w:rsidRPr="00CA4ACD">
        <w:t>,</w:t>
      </w:r>
      <w:r w:rsidRPr="00CA4ACD">
        <w:rPr>
          <w:i/>
        </w:rPr>
        <w:t xml:space="preserve"> Przewodnicząca,</w:t>
      </w:r>
      <w:r w:rsidRPr="00CA4ACD">
        <w:rPr>
          <w:i/>
        </w:rPr>
        <w:br/>
      </w:r>
      <w:r w:rsidRPr="00CA4ACD">
        <w:tab/>
        <w:t xml:space="preserve">Krzysztof </w:t>
      </w:r>
      <w:proofErr w:type="spellStart"/>
      <w:r w:rsidRPr="00CA4ACD">
        <w:t>Wojtyczek</w:t>
      </w:r>
      <w:proofErr w:type="spellEnd"/>
      <w:r w:rsidRPr="00CA4ACD">
        <w:t>,</w:t>
      </w:r>
      <w:r w:rsidRPr="00CA4ACD">
        <w:rPr>
          <w:i/>
        </w:rPr>
        <w:br/>
      </w:r>
      <w:r w:rsidRPr="00CA4ACD">
        <w:tab/>
      </w:r>
      <w:proofErr w:type="spellStart"/>
      <w:r w:rsidRPr="00CA4ACD">
        <w:t>Pauliine</w:t>
      </w:r>
      <w:proofErr w:type="spellEnd"/>
      <w:r w:rsidRPr="00CA4ACD">
        <w:t xml:space="preserve"> </w:t>
      </w:r>
      <w:proofErr w:type="spellStart"/>
      <w:r w:rsidRPr="00CA4ACD">
        <w:t>Koskelo</w:t>
      </w:r>
      <w:proofErr w:type="spellEnd"/>
      <w:r w:rsidRPr="00CA4ACD">
        <w:t>,</w:t>
      </w:r>
      <w:r w:rsidRPr="00CA4ACD">
        <w:rPr>
          <w:i/>
        </w:rPr>
        <w:t xml:space="preserve"> sędziowie,</w:t>
      </w:r>
    </w:p>
    <w:p w:rsidR="00DE61E0" w:rsidRPr="00CA4ACD" w:rsidRDefault="00BA595E" w:rsidP="00CA4ACD">
      <w:pPr>
        <w:pStyle w:val="ECHRDecisionBody"/>
      </w:pPr>
      <w:r w:rsidRPr="00CA4ACD">
        <w:t xml:space="preserve">oraz Abel Campos, </w:t>
      </w:r>
      <w:r w:rsidRPr="00CA4ACD">
        <w:rPr>
          <w:i/>
          <w:iCs/>
        </w:rPr>
        <w:t>Kanclerz Sekcji</w:t>
      </w:r>
      <w:r w:rsidRPr="00CA4ACD">
        <w:rPr>
          <w:i/>
        </w:rPr>
        <w:t>,</w:t>
      </w:r>
    </w:p>
    <w:p w:rsidR="00DE61E0" w:rsidRPr="00CA4ACD" w:rsidRDefault="00DE61E0" w:rsidP="00CA4ACD">
      <w:pPr>
        <w:pStyle w:val="ECHRPara"/>
      </w:pPr>
      <w:r w:rsidRPr="00CA4ACD">
        <w:t>obradując na posiedzeniu niejawnym w dniu 13 listopada 2018 r.,</w:t>
      </w:r>
    </w:p>
    <w:p w:rsidR="00DE61E0" w:rsidRPr="00CA4ACD" w:rsidRDefault="00DE61E0" w:rsidP="00CA4ACD">
      <w:pPr>
        <w:pStyle w:val="ECHRPara"/>
      </w:pPr>
      <w:r w:rsidRPr="00CA4ACD">
        <w:t>wydaje następujący wyrok, który został przyjęty w tym dniu:</w:t>
      </w:r>
    </w:p>
    <w:p w:rsidR="00DE61E0" w:rsidRPr="00CA4ACD" w:rsidRDefault="00DE61E0" w:rsidP="00CA4ACD">
      <w:pPr>
        <w:pStyle w:val="ECHRTitle1"/>
      </w:pPr>
      <w:r w:rsidRPr="00CA4ACD">
        <w:t>POSTĘPOWANIE</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1</w:t>
      </w:r>
      <w:r>
        <w:rPr>
          <w:noProof/>
        </w:rPr>
        <w:fldChar w:fldCharType="end"/>
      </w:r>
      <w:r w:rsidR="00552A19" w:rsidRPr="00CA4ACD">
        <w:t xml:space="preserve">.  Sprawa wywodzi się ze </w:t>
      </w:r>
      <w:r w:rsidR="00552A19" w:rsidRPr="00CA4ACD">
        <w:rPr>
          <w:rStyle w:val="ECHRParaChar"/>
        </w:rPr>
        <w:t>skargi</w:t>
      </w:r>
      <w:r w:rsidR="00552A19" w:rsidRPr="00CA4ACD">
        <w:t xml:space="preserve"> (nr 47395/09) </w:t>
      </w:r>
      <w:r w:rsidR="00552A19" w:rsidRPr="00CA4ACD">
        <w:rPr>
          <w:rStyle w:val="ECHRParaChar"/>
        </w:rPr>
        <w:t>przeciwko</w:t>
      </w:r>
      <w:r w:rsidR="00552A19" w:rsidRPr="00CA4ACD">
        <w:t xml:space="preserve"> </w:t>
      </w:r>
      <w:r w:rsidR="00552A19" w:rsidRPr="00CA4ACD">
        <w:rPr>
          <w:rStyle w:val="ECHRParaChar"/>
        </w:rPr>
        <w:t>Rzeczypospolitej Polskiej,</w:t>
      </w:r>
      <w:r w:rsidR="00552A19" w:rsidRPr="00CA4ACD">
        <w:t xml:space="preserve"> wniesionej do </w:t>
      </w:r>
      <w:r w:rsidR="00552A19" w:rsidRPr="00CA4ACD">
        <w:rPr>
          <w:rStyle w:val="ECHRParaChar"/>
        </w:rPr>
        <w:t>Trybunału</w:t>
      </w:r>
      <w:r w:rsidR="00552A19" w:rsidRPr="00CA4ACD">
        <w:t xml:space="preserve"> </w:t>
      </w:r>
      <w:r w:rsidR="00552A19" w:rsidRPr="00CA4ACD">
        <w:rPr>
          <w:rStyle w:val="ECHRParaChar"/>
        </w:rPr>
        <w:t>na podstawie art. 34</w:t>
      </w:r>
      <w:r w:rsidR="00552A19" w:rsidRPr="00CA4ACD">
        <w:t xml:space="preserve"> Konwencji o ochronie praw człowieka i podstawowych wolności („Konwencja”) przez trzech obywateli polskich, p. Eugeniusza Bukowskiego („pierwszy skarżący”), p. Grażynę Zmysłowską („druga skarżąca”) oraz p.</w:t>
      </w:r>
      <w:r w:rsidR="00CA4ACD">
        <w:t> </w:t>
      </w:r>
      <w:r w:rsidR="00552A19" w:rsidRPr="00CA4ACD">
        <w:t xml:space="preserve">Jolantę Barszcz („trzecia skarżąca”) w dniu </w:t>
      </w:r>
      <w:r w:rsidR="00DD1AAB">
        <w:t>13</w:t>
      </w:r>
      <w:r w:rsidR="00552A19" w:rsidRPr="00CA4ACD">
        <w:t xml:space="preserve"> sierpnia 2009 r.</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w:t>
      </w:r>
      <w:r>
        <w:rPr>
          <w:noProof/>
        </w:rPr>
        <w:fldChar w:fldCharType="end"/>
      </w:r>
      <w:r w:rsidR="00E13DFB" w:rsidRPr="00CA4ACD">
        <w:t xml:space="preserve">.  Początkowo rząd polski („Rząd”) reprezentowany był przez pełnomocnika p. J. </w:t>
      </w:r>
      <w:proofErr w:type="spellStart"/>
      <w:r w:rsidR="00E13DFB" w:rsidRPr="00CA4ACD">
        <w:t>Wołąsiewicza</w:t>
      </w:r>
      <w:proofErr w:type="spellEnd"/>
      <w:r w:rsidR="00E13DFB" w:rsidRPr="00CA4ACD">
        <w:t>, a następnie przez p. J. Chrzanowską, którą zastąpił p. J. Sobczak z Ministerstwa Spraw Zagranicznych.</w:t>
      </w:r>
    </w:p>
    <w:p w:rsidR="004D28DF" w:rsidRPr="00CA4ACD" w:rsidRDefault="0040450B" w:rsidP="00CA4ACD">
      <w:pPr>
        <w:pStyle w:val="ECHRPara"/>
        <w:outlineLvl w:val="0"/>
      </w:pPr>
      <w:r>
        <w:rPr>
          <w:noProof/>
        </w:rPr>
        <w:fldChar w:fldCharType="begin"/>
      </w:r>
      <w:r w:rsidR="00E26111">
        <w:rPr>
          <w:noProof/>
        </w:rPr>
        <w:instrText xml:space="preserve"> SEQ level0 \*arabic </w:instrText>
      </w:r>
      <w:r>
        <w:rPr>
          <w:noProof/>
        </w:rPr>
        <w:fldChar w:fldCharType="separate"/>
      </w:r>
      <w:r w:rsidR="00CA4ACD" w:rsidRPr="00CA4ACD">
        <w:rPr>
          <w:noProof/>
        </w:rPr>
        <w:t>3</w:t>
      </w:r>
      <w:r>
        <w:rPr>
          <w:noProof/>
        </w:rPr>
        <w:fldChar w:fldCharType="end"/>
      </w:r>
      <w:r w:rsidR="00E13DFB" w:rsidRPr="00CA4ACD">
        <w:t xml:space="preserve">.  W dniu </w:t>
      </w:r>
      <w:r w:rsidR="00E13DFB" w:rsidRPr="00CA4ACD">
        <w:rPr>
          <w:rStyle w:val="ECHRParaChar"/>
        </w:rPr>
        <w:t>18 kwietnia 2011 r.</w:t>
      </w:r>
      <w:r w:rsidR="00E13DFB" w:rsidRPr="00CA4ACD">
        <w:t xml:space="preserve"> skargę dotyczącą </w:t>
      </w:r>
      <w:r w:rsidR="00CA4ACD">
        <w:t>przewlekłości</w:t>
      </w:r>
      <w:r w:rsidR="00E13DFB" w:rsidRPr="00CA4ACD">
        <w:t xml:space="preserve"> postępowania w sprawie</w:t>
      </w:r>
      <w:r w:rsidR="00F11335">
        <w:t xml:space="preserve"> dotyczącej</w:t>
      </w:r>
      <w:r w:rsidR="00E13DFB" w:rsidRPr="00CA4ACD">
        <w:t xml:space="preserve"> prawa użytkowania wieczystego zakomunikowano Rządowi zgodnie z art. 6 Konwencji.</w:t>
      </w:r>
    </w:p>
    <w:p w:rsidR="004D28DF" w:rsidRPr="00CA4ACD" w:rsidRDefault="0040450B" w:rsidP="00CA4ACD">
      <w:pPr>
        <w:pStyle w:val="ECHRPara"/>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w:t>
      </w:r>
      <w:r w:rsidRPr="00CA4ACD">
        <w:rPr>
          <w:szCs w:val="24"/>
        </w:rPr>
        <w:fldChar w:fldCharType="end"/>
      </w:r>
      <w:r w:rsidR="004D28DF" w:rsidRPr="00CA4ACD">
        <w:t>.  Rząd sprzeciwił się rozpatrzeniu skargi przez Komitet. Po rozpoznaniu sprzeciwu Rządu Trybunał oddala go.</w:t>
      </w:r>
    </w:p>
    <w:p w:rsidR="00DE61E0" w:rsidRPr="00CA4ACD" w:rsidRDefault="00DE61E0" w:rsidP="00CA4ACD">
      <w:pPr>
        <w:pStyle w:val="ECHRTitle1"/>
      </w:pPr>
      <w:r w:rsidRPr="00CA4ACD">
        <w:t>FAKTY</w:t>
      </w:r>
    </w:p>
    <w:p w:rsidR="004D28DF" w:rsidRPr="00CA4ACD" w:rsidRDefault="004D28DF" w:rsidP="00CA4ACD">
      <w:pPr>
        <w:pStyle w:val="ECHRHeading1"/>
      </w:pPr>
      <w:r w:rsidRPr="00CA4ACD">
        <w:t>I.  OKOLICZNOŚCI SPRAWY</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w:t>
      </w:r>
      <w:r>
        <w:rPr>
          <w:noProof/>
        </w:rPr>
        <w:fldChar w:fldCharType="end"/>
      </w:r>
      <w:r w:rsidR="004D28DF" w:rsidRPr="00CA4ACD">
        <w:t>.  Pierwszy skarżący, p. Eugeniusz Bukowski, druga skarżąca, p.</w:t>
      </w:r>
      <w:r w:rsidR="00CA4ACD">
        <w:t> </w:t>
      </w:r>
      <w:r w:rsidR="004D28DF" w:rsidRPr="00CA4ACD">
        <w:t xml:space="preserve">Grażyna Zmysłowska, oraz trzecia skarżąca, p. Jolanta Barszcz, urodzili się odpowiednio w 1931 r., 1960 r. </w:t>
      </w:r>
      <w:r w:rsidR="00BA2033">
        <w:t xml:space="preserve">oraz </w:t>
      </w:r>
      <w:r w:rsidR="004D28DF" w:rsidRPr="00CA4ACD">
        <w:t>w 1959 r.</w:t>
      </w:r>
      <w:r w:rsidR="00BA2033">
        <w:t xml:space="preserve"> i</w:t>
      </w:r>
      <w:r w:rsidR="004D28DF" w:rsidRPr="00CA4ACD">
        <w:t xml:space="preserve"> mieszkają w</w:t>
      </w:r>
      <w:r w:rsidR="00CA4ACD">
        <w:t> </w:t>
      </w:r>
      <w:r w:rsidR="004D28DF" w:rsidRPr="00CA4ACD">
        <w:t>Warszawie.</w:t>
      </w:r>
    </w:p>
    <w:p w:rsidR="004D28DF" w:rsidRPr="00CA4ACD" w:rsidRDefault="004D28DF" w:rsidP="00CA4ACD">
      <w:pPr>
        <w:pStyle w:val="ECHRHeading2"/>
      </w:pPr>
      <w:r w:rsidRPr="00CA4ACD">
        <w:lastRenderedPageBreak/>
        <w:t>A.  Kontekst</w:t>
      </w:r>
    </w:p>
    <w:p w:rsidR="004D28DF" w:rsidRPr="00CA4ACD" w:rsidRDefault="0040450B" w:rsidP="00CA4ACD">
      <w:pPr>
        <w:pStyle w:val="ECHRPara"/>
        <w:rPr>
          <w:b/>
        </w:rPr>
      </w:pPr>
      <w:r>
        <w:rPr>
          <w:noProof/>
        </w:rPr>
        <w:fldChar w:fldCharType="begin"/>
      </w:r>
      <w:r w:rsidR="00E26111">
        <w:rPr>
          <w:noProof/>
        </w:rPr>
        <w:instrText xml:space="preserve"> SEQ level0 \*arabic </w:instrText>
      </w:r>
      <w:r>
        <w:rPr>
          <w:noProof/>
        </w:rPr>
        <w:fldChar w:fldCharType="separate"/>
      </w:r>
      <w:r w:rsidR="00CA4ACD" w:rsidRPr="00CA4ACD">
        <w:rPr>
          <w:noProof/>
        </w:rPr>
        <w:t>6</w:t>
      </w:r>
      <w:r>
        <w:rPr>
          <w:noProof/>
        </w:rPr>
        <w:fldChar w:fldCharType="end"/>
      </w:r>
      <w:r w:rsidR="004D28DF" w:rsidRPr="00CA4ACD">
        <w:t>.  Nieruchomość w Warszawie, będąca przedmiotem niniejszej skargi (dwie sąsiednie działki z posadowionym na nich domem jednorodzinnym), pierwotnie należała do poprzedników skarżących, rodziny D. i rodziny K. (współwłaścicieli).</w:t>
      </w:r>
    </w:p>
    <w:bookmarkStart w:id="2" w:name="decision"/>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7</w:t>
      </w:r>
      <w:r w:rsidRPr="00CA4ACD">
        <w:fldChar w:fldCharType="end"/>
      </w:r>
      <w:bookmarkEnd w:id="2"/>
      <w:r w:rsidR="004D28DF" w:rsidRPr="00CA4ACD">
        <w:t>.  Przedmiotowy grunt i budynek objęte są dekretem z dnia 26 października 1945 r. o własności i użytkowaniu gruntów na obszarze m.st. Warszawy, na mocy którego gmina m.st. Warszawy (a po 1950 r. – Skarb Państwa) stała się właścicielem wszystkich działek położonych w</w:t>
      </w:r>
      <w:r w:rsidR="00CA4ACD">
        <w:t> </w:t>
      </w:r>
      <w:r w:rsidR="004D28DF" w:rsidRPr="00CA4ACD">
        <w:t>Warszawie. W związku z późniejszymi nowelizacjami w dniu 6 stycznia 1992 r. („decyzja z 1992 r.”) przedmiotowy grunt z mocy prawa przeszedł na własność gminy m.st. Warszawy.</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8</w:t>
      </w:r>
      <w:r>
        <w:rPr>
          <w:noProof/>
        </w:rPr>
        <w:fldChar w:fldCharType="end"/>
      </w:r>
      <w:r w:rsidR="00E13DFB" w:rsidRPr="00CA4ACD">
        <w:t xml:space="preserve">.  Na mocy późniejszej umowy darowizny, umowy sprzedaży </w:t>
      </w:r>
      <w:r w:rsidR="00CA4ACD">
        <w:t>oraz</w:t>
      </w:r>
      <w:r w:rsidR="00E13DFB" w:rsidRPr="00CA4ACD">
        <w:t xml:space="preserve"> spadkobrania, od 1998 r. prawa i roszczenia do gruntu i budynku w udziale 3/6 należały do trzeciej skarżącej, w udziale 2/6 do drugiej skarżącej</w:t>
      </w:r>
      <w:r w:rsidR="00CA4ACD">
        <w:t xml:space="preserve">, zaś </w:t>
      </w:r>
      <w:r w:rsidR="00E13DFB" w:rsidRPr="00CA4ACD">
        <w:t>w</w:t>
      </w:r>
      <w:r w:rsidR="00CA4ACD">
        <w:t> </w:t>
      </w:r>
      <w:r w:rsidR="00E13DFB" w:rsidRPr="00CA4ACD">
        <w:t>udziale 1/6 do pierwszego skarżącego.</w:t>
      </w:r>
    </w:p>
    <w:p w:rsidR="0092643E" w:rsidRPr="00CA4ACD" w:rsidRDefault="004D28DF" w:rsidP="00CA4ACD">
      <w:pPr>
        <w:pStyle w:val="ECHRHeading2"/>
      </w:pPr>
      <w:r w:rsidRPr="00CA4ACD">
        <w:t>B.  Pierwsze postępowanie (prawo własności i prawo użytkowania wieczystego)</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9</w:t>
      </w:r>
      <w:r>
        <w:rPr>
          <w:noProof/>
        </w:rPr>
        <w:fldChar w:fldCharType="end"/>
      </w:r>
      <w:r w:rsidR="00EA581C" w:rsidRPr="00CA4ACD">
        <w:t>.  W dniu 22 czerwca 1988 r. trzecia skarżąca wystąpiła do prezydenta m.st. Warszawy z wnioskiem o przywrócenie prawa własności przedmiotowego budynku i gruntu w trybie ustawy z dnia 29 kwietnia 1985</w:t>
      </w:r>
      <w:r w:rsidR="00466A90">
        <w:t> </w:t>
      </w:r>
      <w:r w:rsidR="00EA581C" w:rsidRPr="00CA4ACD">
        <w:t>r. o gospodarce gruntami i wywłaszczaniu nieruchomości. W dniu 12</w:t>
      </w:r>
      <w:r w:rsidR="00CA4ACD">
        <w:t> </w:t>
      </w:r>
      <w:r w:rsidR="00EA581C" w:rsidRPr="00CA4ACD">
        <w:t xml:space="preserve">września 1996 r. pierwszy skarżący, </w:t>
      </w:r>
      <w:r w:rsidR="00CA4ACD">
        <w:t>zaś</w:t>
      </w:r>
      <w:r w:rsidR="00EA581C" w:rsidRPr="00CA4ACD">
        <w:t xml:space="preserve"> w dniu 25 lutego 1998 r. druga skarżąca, przystąpili do postępowania.</w:t>
      </w:r>
    </w:p>
    <w:bookmarkStart w:id="3" w:name="pierwszadec"/>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10</w:t>
      </w:r>
      <w:r w:rsidRPr="00CA4ACD">
        <w:fldChar w:fldCharType="end"/>
      </w:r>
      <w:bookmarkEnd w:id="3"/>
      <w:r w:rsidR="004D28DF" w:rsidRPr="00CA4ACD">
        <w:t>.  Decyzją z dnia 3 stycznia 2005 r. prezydent m.st. Warszawy stwierdził, że z dniem 1 stycznia 1998 r. weszła w życie nowa ustawa z dnia 21 sierpnia 1997 r. o gospodarce nieruchomościami. Zgodnie z art. 214 tej ustawy przywrócenie prawa własności nieruchomości było niemożliwe. Poprzedni właściciele, których własność została przejęta przez państwo i</w:t>
      </w:r>
      <w:r w:rsidR="00CA4ACD">
        <w:t> </w:t>
      </w:r>
      <w:r w:rsidR="004D28DF" w:rsidRPr="00CA4ACD">
        <w:t>których roszczenia o przywrócenie wygasły, mogli ubiegać się wyłącznie o przyznanie prawa użytkowania wieczystego gruntu. W związku z</w:t>
      </w:r>
      <w:r w:rsidR="00CA4ACD">
        <w:t> </w:t>
      </w:r>
      <w:r w:rsidR="004D28DF" w:rsidRPr="00CA4ACD">
        <w:t>powyższym prezydent przyznał skarżącym prawo użytkowania wieczystego gruntu i oświadczył, że przysługuje im własność posadowionego na nim budynku.</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11</w:t>
      </w:r>
      <w:r>
        <w:rPr>
          <w:noProof/>
        </w:rPr>
        <w:fldChar w:fldCharType="end"/>
      </w:r>
      <w:r w:rsidR="00E13DFB" w:rsidRPr="00CA4ACD">
        <w:t>.  W dniu 17 stycznia 2005 r. skarżący wystąpili z wnioskiem o zmianę tej decyzji i o przywrócenie prawa własności nieruchomości.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12</w:t>
      </w:r>
      <w:r>
        <w:rPr>
          <w:noProof/>
        </w:rPr>
        <w:fldChar w:fldCharType="end"/>
      </w:r>
      <w:r w:rsidR="00E13DFB" w:rsidRPr="00CA4ACD">
        <w:t>.  W dniu 6 czerwca 2005 r. Samorządowe Kolegium Odwoławcze w</w:t>
      </w:r>
      <w:r w:rsidR="00CA4ACD">
        <w:t> </w:t>
      </w:r>
      <w:r w:rsidR="00E13DFB" w:rsidRPr="00CA4ACD">
        <w:t>Warszawie uchyliło zaskarżoną decyzję i przekazało sprawę do ponownego rozpoznania.</w:t>
      </w:r>
    </w:p>
    <w:bookmarkStart w:id="4" w:name="dec21112005"/>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13</w:t>
      </w:r>
      <w:r w:rsidRPr="00CA4ACD">
        <w:fldChar w:fldCharType="end"/>
      </w:r>
      <w:bookmarkEnd w:id="4"/>
      <w:r w:rsidR="004D28DF" w:rsidRPr="00CA4ACD">
        <w:t xml:space="preserve">.  W dniu 21 listopada 2005 r. prezydent m.st. Warszawy wydał decyzję przyznającą skarżącym prawo użytkowania wieczystego gruntu. </w:t>
      </w:r>
      <w:r w:rsidR="004D28DF" w:rsidRPr="00CA4ACD">
        <w:lastRenderedPageBreak/>
        <w:t>Prezydent zdecydował o dokonaniu zwrotu własności budynku na rzecz skarżących i</w:t>
      </w:r>
      <w:r w:rsidR="00CA4ACD">
        <w:t> </w:t>
      </w:r>
      <w:r w:rsidR="004D28DF" w:rsidRPr="00CA4ACD">
        <w:t>ustalił wysokość rocznych opłat za użytkowanie wieczyste gruntu.</w:t>
      </w:r>
    </w:p>
    <w:bookmarkStart w:id="5" w:name="appealdecision"/>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14</w:t>
      </w:r>
      <w:r w:rsidRPr="00CA4ACD">
        <w:fldChar w:fldCharType="end"/>
      </w:r>
      <w:bookmarkEnd w:id="5"/>
      <w:r w:rsidR="004D28DF" w:rsidRPr="00CA4ACD">
        <w:t>.  W dniu 8 grudnia 2005 r. skarżący odwołali się od tej decyzji, sprzeciwiając się wysokości opłat.</w:t>
      </w:r>
    </w:p>
    <w:bookmarkStart w:id="6" w:name="self"/>
    <w:p w:rsidR="0092643E"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15</w:t>
      </w:r>
      <w:r w:rsidRPr="00CA4ACD">
        <w:fldChar w:fldCharType="end"/>
      </w:r>
      <w:bookmarkEnd w:id="6"/>
      <w:r w:rsidR="004D28DF" w:rsidRPr="00CA4ACD">
        <w:t>.  W dniu 5 grudnia 2007 r. Samorządowe Kolegium Odwoławcze w</w:t>
      </w:r>
      <w:r w:rsidR="00CA4ACD">
        <w:t> </w:t>
      </w:r>
      <w:r w:rsidR="004D28DF" w:rsidRPr="00CA4ACD">
        <w:t>Warszawie uchyliło decyzję z dnia 21 listopada 2005 r. (zob. paragraf 13 powyżej) i przekazało sprawę do ponownego rozpoznania.</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16</w:t>
      </w:r>
      <w:r>
        <w:rPr>
          <w:noProof/>
        </w:rPr>
        <w:fldChar w:fldCharType="end"/>
      </w:r>
      <w:r w:rsidR="00E13DFB" w:rsidRPr="00CA4ACD">
        <w:t>.  W dniu 15 października 2008 r. skarżący złożyli do Wojewódzkiego Sądu Administracyjnego w Warszawie skargę na bezczynność prezydenta m.st. Warszawy.</w:t>
      </w:r>
    </w:p>
    <w:bookmarkStart w:id="7" w:name="inactivity"/>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17</w:t>
      </w:r>
      <w:r w:rsidRPr="00CA4ACD">
        <w:fldChar w:fldCharType="end"/>
      </w:r>
      <w:bookmarkEnd w:id="7"/>
      <w:r w:rsidR="004D28DF" w:rsidRPr="00CA4ACD">
        <w:t>.  Wyrokiem z dnia 28 stycznia 2009 r. Wojewódzki Sąd Administracyjny w Warszawie zobowiązał prezydenta m.st. Warszawy do wydania decyzji w terminie czterech tygodni.</w:t>
      </w:r>
    </w:p>
    <w:bookmarkStart w:id="8" w:name="granting"/>
    <w:bookmarkStart w:id="9" w:name="junedecision"/>
    <w:p w:rsidR="0092643E"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18</w:t>
      </w:r>
      <w:r w:rsidRPr="00CA4ACD">
        <w:fldChar w:fldCharType="end"/>
      </w:r>
      <w:bookmarkEnd w:id="8"/>
      <w:bookmarkEnd w:id="9"/>
      <w:r w:rsidR="004D28DF" w:rsidRPr="00CA4ACD">
        <w:t>.  W dniu 18 czerwca 2009 r. prezydent m.st. Warszawy wydał nową decyzję przyznającą skarżącym prawo użytkowania wieczystego gruntu oraz prawo własności budynku. Ponadto ustalił wysokość opłat rocznych należnych za użytkowanie wieczyste gruntu.</w:t>
      </w:r>
    </w:p>
    <w:p w:rsidR="0092643E" w:rsidRPr="00CA4ACD" w:rsidRDefault="009E2741" w:rsidP="00CA4ACD">
      <w:pPr>
        <w:pStyle w:val="ECHRHeading2"/>
      </w:pPr>
      <w:r w:rsidRPr="00CA4ACD">
        <w:t>C.  Drugie postępowanie (wysokość opłat za użytkowanie wieczyste gruntu)</w:t>
      </w:r>
    </w:p>
    <w:p w:rsidR="009E2741"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19</w:t>
      </w:r>
      <w:r>
        <w:rPr>
          <w:noProof/>
        </w:rPr>
        <w:fldChar w:fldCharType="end"/>
      </w:r>
      <w:r w:rsidR="00E13DFB" w:rsidRPr="00CA4ACD">
        <w:t>.  W dniu 30 czerwca 2009 r. skarżący wystąpili do Samorządowego Kolegium Odwoławczego w Warszawie, kwestionując wysokość opłat za użytkowanie wieczyste gruntu.</w:t>
      </w:r>
    </w:p>
    <w:p w:rsidR="009E2741"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20</w:t>
      </w:r>
      <w:r>
        <w:rPr>
          <w:noProof/>
        </w:rPr>
        <w:fldChar w:fldCharType="end"/>
      </w:r>
      <w:r w:rsidR="00E13DFB" w:rsidRPr="00CA4ACD">
        <w:t>.  W dniu 5 listopada 2009 r. Samorządowe Kolegium Odwoławcze w</w:t>
      </w:r>
      <w:r w:rsidR="00CA4ACD">
        <w:t> </w:t>
      </w:r>
      <w:r w:rsidR="00E13DFB" w:rsidRPr="00CA4ACD">
        <w:t>Warszawie utrzymało w mocy zaskarżoną decyzję.</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21</w:t>
      </w:r>
      <w:r>
        <w:rPr>
          <w:noProof/>
        </w:rPr>
        <w:fldChar w:fldCharType="end"/>
      </w:r>
      <w:r w:rsidR="00E13DFB" w:rsidRPr="00CA4ACD">
        <w:t xml:space="preserve">.  W dniu 27 listopada 2009 r. skarżący wnieśli skargę do Wojewódzkiego Sądu Administracyjnego w Warszawie. W dniu 1 czerwca 2010 r. Wojewódzki Sąd Administracyjny w Warszawie odrzucił skargę skarżących jako spóźnioną, a następnie uwzględnił wniosek o przywrócenie terminu na </w:t>
      </w:r>
      <w:r w:rsidR="00CA4ACD">
        <w:t xml:space="preserve">jej </w:t>
      </w:r>
      <w:r w:rsidR="00E13DFB" w:rsidRPr="00CA4ACD">
        <w:t>wniesienie.</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22</w:t>
      </w:r>
      <w:r>
        <w:rPr>
          <w:noProof/>
        </w:rPr>
        <w:fldChar w:fldCharType="end"/>
      </w:r>
      <w:r w:rsidR="00E13DFB" w:rsidRPr="00CA4ACD">
        <w:t>.  W dniu 26 stycznia 2011 r. Wojewódzki Sąd Administracyjny w</w:t>
      </w:r>
      <w:r w:rsidR="00CA4ACD">
        <w:t> </w:t>
      </w:r>
      <w:r w:rsidR="00E13DFB" w:rsidRPr="00CA4ACD">
        <w:t>Warszawie oddalił skargę skarżących.</w:t>
      </w:r>
    </w:p>
    <w:bookmarkStart w:id="10" w:name="nsa"/>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23</w:t>
      </w:r>
      <w:r w:rsidRPr="00CA4ACD">
        <w:fldChar w:fldCharType="end"/>
      </w:r>
      <w:bookmarkEnd w:id="10"/>
      <w:r w:rsidR="004D28DF" w:rsidRPr="00CA4ACD">
        <w:t>.  Skarżący wnieśli do Naczelnego Sądu Administracyjnego skargę kasacyjną, która został</w:t>
      </w:r>
      <w:r w:rsidR="00CA4ACD">
        <w:t>a</w:t>
      </w:r>
      <w:r w:rsidR="004D28DF" w:rsidRPr="00CA4ACD">
        <w:t xml:space="preserve"> oddalona w dniu 9 sierpnia 2012 r.</w:t>
      </w:r>
    </w:p>
    <w:bookmarkStart w:id="11" w:name="notarial"/>
    <w:p w:rsidR="0092643E"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24</w:t>
      </w:r>
      <w:r w:rsidRPr="00CA4ACD">
        <w:fldChar w:fldCharType="end"/>
      </w:r>
      <w:bookmarkEnd w:id="11"/>
      <w:r w:rsidR="004D28DF" w:rsidRPr="00CA4ACD">
        <w:t>.  W dniu 24 maja 2013 r. skarżący podpisali akt notarialny, na mocy którego nabyli prawo własności budynku i prawo użytkowania wieczystego gruntu.</w:t>
      </w:r>
    </w:p>
    <w:p w:rsidR="0092643E" w:rsidRPr="00CA4ACD" w:rsidRDefault="009E2741" w:rsidP="00CA4ACD">
      <w:pPr>
        <w:pStyle w:val="ECHRHeading2"/>
      </w:pPr>
      <w:r w:rsidRPr="00CA4ACD">
        <w:lastRenderedPageBreak/>
        <w:t>D.  Trzecie postępowanie (wniosek o stwierdzenie nieważności decyzji z 1992 r.)</w:t>
      </w:r>
    </w:p>
    <w:bookmarkStart w:id="12" w:name="nullvoid"/>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25</w:t>
      </w:r>
      <w:r w:rsidRPr="00CA4ACD">
        <w:fldChar w:fldCharType="end"/>
      </w:r>
      <w:bookmarkEnd w:id="12"/>
      <w:r w:rsidR="004D28DF" w:rsidRPr="00CA4ACD">
        <w:t>.  W dniu 6 kwietnia 2010 r. skarżący złożyli wniosek o stwierdzenie nieważności decyzji z 1992 r. (zob. paragraf 7 powyżej).</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26</w:t>
      </w:r>
      <w:r>
        <w:rPr>
          <w:noProof/>
        </w:rPr>
        <w:fldChar w:fldCharType="end"/>
      </w:r>
      <w:r w:rsidR="00E13DFB" w:rsidRPr="00CA4ACD">
        <w:t>.  W dniu 25 lutego 2011 r. Minister Spraw Wewnętrznych odmówił stwierdzenia nieważności decyzji z 1992 r.</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27</w:t>
      </w:r>
      <w:r>
        <w:rPr>
          <w:noProof/>
        </w:rPr>
        <w:fldChar w:fldCharType="end"/>
      </w:r>
      <w:r w:rsidR="00E13DFB" w:rsidRPr="00CA4ACD">
        <w:t xml:space="preserve">.  Następnie, w różnych terminach, skarżący złożyli wniosek o ponowne </w:t>
      </w:r>
      <w:r w:rsidR="00F10EAF">
        <w:t>rozpoznanie</w:t>
      </w:r>
      <w:r w:rsidR="00F10EAF" w:rsidRPr="00CA4ACD">
        <w:t xml:space="preserve"> </w:t>
      </w:r>
      <w:r w:rsidR="00E13DFB" w:rsidRPr="00CA4ACD">
        <w:t>sprawy. Po kilkukrotnym przekaz</w:t>
      </w:r>
      <w:r w:rsidR="00CA4ACD">
        <w:t>yw</w:t>
      </w:r>
      <w:r w:rsidR="00E13DFB" w:rsidRPr="00CA4ACD">
        <w:t>aniu sprawy, w dniu 12 lutego 2013 r. Wojewódzki Sąd Administracyjny w Warszawie oddalił wniosek skarżących.</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28</w:t>
      </w:r>
      <w:r>
        <w:rPr>
          <w:noProof/>
        </w:rPr>
        <w:fldChar w:fldCharType="end"/>
      </w:r>
      <w:r w:rsidR="00E13DFB" w:rsidRPr="00CA4ACD">
        <w:t>.  W dniu 14 marca 2013 r. skarżący wnieśli skargę kasacyjną do Naczelnego Sądu Administracyjnego. Nie przekazali oni jednak żadnych informacji o dalszym przebiegu postępowania.</w:t>
      </w:r>
    </w:p>
    <w:p w:rsidR="004D28DF" w:rsidRPr="00CA4ACD" w:rsidRDefault="009E2741" w:rsidP="00CA4ACD">
      <w:pPr>
        <w:pStyle w:val="ECHRHeading2"/>
      </w:pPr>
      <w:r w:rsidRPr="00CA4ACD">
        <w:t>E.  Czwarte postępowanie (przekształcenie prawa użytkowania wieczystego w prawo własności)</w:t>
      </w:r>
    </w:p>
    <w:bookmarkStart w:id="13" w:name="ownership"/>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29</w:t>
      </w:r>
      <w:r w:rsidRPr="00CA4ACD">
        <w:fldChar w:fldCharType="end"/>
      </w:r>
      <w:bookmarkEnd w:id="13"/>
      <w:r w:rsidR="004D28DF" w:rsidRPr="00CA4ACD">
        <w:t xml:space="preserve">.  W dniu 20 czerwca 2013 r. skarżący wystąpili do </w:t>
      </w:r>
      <w:r w:rsidR="00096798">
        <w:t>p</w:t>
      </w:r>
      <w:r w:rsidR="004D28DF" w:rsidRPr="00CA4ACD">
        <w:t>rezydenta m.st. Warszawy z wnioskiem o przekształcenie prawa użytkowania wieczystego gruntu w prawo własności w trybie ustawy z dnia 25 lipca 2005 r. o</w:t>
      </w:r>
      <w:r w:rsidR="00CA4ACD">
        <w:t> </w:t>
      </w:r>
      <w:r w:rsidR="004D28DF" w:rsidRPr="00CA4ACD">
        <w:t>przekształceniu prawa użytkowania wieczystego w prawo własności.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30</w:t>
      </w:r>
      <w:r>
        <w:rPr>
          <w:noProof/>
        </w:rPr>
        <w:fldChar w:fldCharType="end"/>
      </w:r>
      <w:r w:rsidR="00E13DFB" w:rsidRPr="00CA4ACD">
        <w:t>.  W dniu 28 sierpnia 2013 r. Zarząd Dzielnicy Mokotów odmówił uwzględnienia wniosku. Skarżący odwołali się od tej decyzji w dniu 13</w:t>
      </w:r>
      <w:r w:rsidR="00CA4ACD">
        <w:t> </w:t>
      </w:r>
      <w:r w:rsidR="00E13DFB" w:rsidRPr="00CA4ACD">
        <w:t>września 2013 r.</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31</w:t>
      </w:r>
      <w:r>
        <w:rPr>
          <w:noProof/>
        </w:rPr>
        <w:fldChar w:fldCharType="end"/>
      </w:r>
      <w:r w:rsidR="00E13DFB" w:rsidRPr="00CA4ACD">
        <w:t>.  W dniach 3 października 2013 r. oraz 3 września 2014 r. Samorządowe Kolegium Odwoławcze w Warszawie oraz Wojewódzki Sąd Administracyjny w Warszawie utrzymały w mocy decyzję wydaną w</w:t>
      </w:r>
      <w:r w:rsidR="00CA4ACD">
        <w:t> </w:t>
      </w:r>
      <w:r w:rsidR="00E13DFB" w:rsidRPr="00CA4ACD">
        <w:t>pierwszej instancji.</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32</w:t>
      </w:r>
      <w:r>
        <w:rPr>
          <w:noProof/>
        </w:rPr>
        <w:fldChar w:fldCharType="end"/>
      </w:r>
      <w:r w:rsidR="00E13DFB" w:rsidRPr="00CA4ACD">
        <w:t>.  W dniu 3 listopada 2015 r. Naczelny Sąd Administracyjny uchylił obie decyzje.</w:t>
      </w:r>
    </w:p>
    <w:bookmarkStart w:id="14" w:name="finalone"/>
    <w:p w:rsidR="0092643E" w:rsidRPr="00CA4ACD" w:rsidRDefault="0040450B" w:rsidP="00CA4ACD">
      <w:pPr>
        <w:pStyle w:val="ECHRPara"/>
      </w:pPr>
      <w:r w:rsidRPr="00CA4ACD">
        <w:fldChar w:fldCharType="begin"/>
      </w:r>
      <w:r w:rsidR="00E13DFB" w:rsidRPr="00CA4ACD">
        <w:instrText xml:space="preserve"> SEQ level0 \*arabic </w:instrText>
      </w:r>
      <w:r w:rsidRPr="00CA4ACD">
        <w:fldChar w:fldCharType="separate"/>
      </w:r>
      <w:r w:rsidR="00CA4ACD" w:rsidRPr="00CA4ACD">
        <w:rPr>
          <w:noProof/>
        </w:rPr>
        <w:t>33</w:t>
      </w:r>
      <w:r w:rsidRPr="00CA4ACD">
        <w:fldChar w:fldCharType="end"/>
      </w:r>
      <w:bookmarkEnd w:id="14"/>
      <w:r w:rsidR="00E13DFB" w:rsidRPr="00CA4ACD">
        <w:t>.  W dniu 14 kwietnia 2016 r. Zarząd Dzielnicy Mokotów wydał decyzję o nieodpłatnym przekształceniu prawa użytkowania wieczystego gruntu w</w:t>
      </w:r>
      <w:r w:rsidR="00CA4ACD">
        <w:t> </w:t>
      </w:r>
      <w:r w:rsidR="00E13DFB" w:rsidRPr="00CA4ACD">
        <w:t>prawo własności.</w:t>
      </w:r>
    </w:p>
    <w:p w:rsidR="0092643E" w:rsidRPr="00CA4ACD" w:rsidRDefault="004D28DF" w:rsidP="00CA4ACD">
      <w:pPr>
        <w:pStyle w:val="ECHRHeading1"/>
      </w:pPr>
      <w:r w:rsidRPr="00CA4ACD">
        <w:t>II.  WŁAŚCIWE PRAWO KRAJOWE</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34</w:t>
      </w:r>
      <w:r>
        <w:rPr>
          <w:noProof/>
        </w:rPr>
        <w:fldChar w:fldCharType="end"/>
      </w:r>
      <w:r w:rsidR="004D28DF" w:rsidRPr="00CA4ACD">
        <w:t xml:space="preserve">.  Właściwe prawo krajowe dotyczące środków zaskarżenia </w:t>
      </w:r>
      <w:r w:rsidR="00CA4ACD">
        <w:t xml:space="preserve">w przedmiocie </w:t>
      </w:r>
      <w:r w:rsidR="004D28DF" w:rsidRPr="00CA4ACD">
        <w:t>przewlekłości postępowania administracyjnego określono w</w:t>
      </w:r>
      <w:r w:rsidR="00CA4ACD">
        <w:t> </w:t>
      </w:r>
      <w:r w:rsidR="004D28DF" w:rsidRPr="00CA4ACD">
        <w:t xml:space="preserve">wyroku Trybunału w sprawie </w:t>
      </w:r>
      <w:r w:rsidR="004D28DF" w:rsidRPr="00CA4ACD">
        <w:rPr>
          <w:i/>
          <w:iCs/>
        </w:rPr>
        <w:t>Wcisło i Cabaj przeciwko Polsce</w:t>
      </w:r>
      <w:r w:rsidR="004D28DF" w:rsidRPr="00CA4ACD">
        <w:t xml:space="preserve"> (nr 49725/11 i 79950/13, §§ 88-102, 8 listopada 2018 r.).</w:t>
      </w:r>
    </w:p>
    <w:p w:rsidR="007A0F8A"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35</w:t>
      </w:r>
      <w:r>
        <w:rPr>
          <w:noProof/>
        </w:rPr>
        <w:fldChar w:fldCharType="end"/>
      </w:r>
      <w:r w:rsidR="00EA581C" w:rsidRPr="00CA4ACD">
        <w:t xml:space="preserve">.  Odpowiednie przepisy Kodeksu postępowania administracyjnego dotyczące możliwości uchylenia ostatecznej decyzji administracyjnej określono w decyzji Trybunału w sprawie </w:t>
      </w:r>
      <w:r w:rsidR="00EA581C" w:rsidRPr="003F1F3F">
        <w:rPr>
          <w:i/>
        </w:rPr>
        <w:t xml:space="preserve">Lubelskiej Fabryki Maszyn </w:t>
      </w:r>
      <w:r w:rsidR="00EA581C" w:rsidRPr="003F1F3F">
        <w:rPr>
          <w:i/>
        </w:rPr>
        <w:lastRenderedPageBreak/>
        <w:t>i</w:t>
      </w:r>
      <w:r w:rsidR="00CA4ACD" w:rsidRPr="003F1F3F">
        <w:rPr>
          <w:i/>
        </w:rPr>
        <w:t> </w:t>
      </w:r>
      <w:r w:rsidR="00EA581C" w:rsidRPr="003F1F3F">
        <w:rPr>
          <w:i/>
        </w:rPr>
        <w:t>Narzędzi Rolniczych „Plon”</w:t>
      </w:r>
      <w:r w:rsidR="00EA581C" w:rsidRPr="00CA4ACD">
        <w:t xml:space="preserve"> i 2 innych skarg ((</w:t>
      </w:r>
      <w:proofErr w:type="spellStart"/>
      <w:r w:rsidR="00EA581C" w:rsidRPr="00CA4ACD">
        <w:t>dec</w:t>
      </w:r>
      <w:proofErr w:type="spellEnd"/>
      <w:r w:rsidR="00EA581C" w:rsidRPr="00CA4ACD">
        <w:t xml:space="preserve">.) </w:t>
      </w:r>
      <w:hyperlink r:id="rId18" w:anchor="{&quot;appno&quot;:[&quot;1680/08&quot;]}" w:tgtFrame="_blank" w:history="1">
        <w:r w:rsidR="00EA581C" w:rsidRPr="00CA4ACD">
          <w:t>1680/08</w:t>
        </w:r>
      </w:hyperlink>
      <w:r w:rsidR="00EA581C" w:rsidRPr="00CA4ACD">
        <w:t>, §§ 63</w:t>
      </w:r>
      <w:r w:rsidR="00EA581C" w:rsidRPr="00CA4ACD">
        <w:noBreakHyphen/>
        <w:t>64, 3 października 2017 r.).</w:t>
      </w:r>
    </w:p>
    <w:p w:rsidR="00DE61E0" w:rsidRPr="00CA4ACD" w:rsidRDefault="00DE61E0" w:rsidP="00CA4ACD">
      <w:pPr>
        <w:pStyle w:val="ECHRTitle1"/>
      </w:pPr>
      <w:r w:rsidRPr="00CA4ACD">
        <w:t>PRAWO</w:t>
      </w:r>
    </w:p>
    <w:p w:rsidR="004D28DF" w:rsidRPr="00CA4ACD" w:rsidRDefault="004D28DF" w:rsidP="00CA4ACD">
      <w:pPr>
        <w:pStyle w:val="ECHRHeading1"/>
      </w:pPr>
      <w:r w:rsidRPr="00CA4ACD">
        <w:t>I.  DOMNIEMANE NARUSZENIE ART. 6 UST. 1 KONWENCJI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36</w:t>
      </w:r>
      <w:r>
        <w:rPr>
          <w:noProof/>
        </w:rPr>
        <w:fldChar w:fldCharType="end"/>
      </w:r>
      <w:r w:rsidR="004D28DF" w:rsidRPr="00CA4ACD">
        <w:t>.  Skarżący skarżyli się, że czas trwania postępowania był niezgodny z</w:t>
      </w:r>
      <w:r w:rsidR="00344DC3">
        <w:t> </w:t>
      </w:r>
      <w:r w:rsidR="004D28DF" w:rsidRPr="00CA4ACD">
        <w:t>wymogiem „rozsądnego terminu”, o którym mowa w art. 6 ust. 1 Konwencji, który w odpowiedniej części stanowi:</w:t>
      </w:r>
    </w:p>
    <w:p w:rsidR="004D28DF" w:rsidRPr="00CA4ACD" w:rsidRDefault="004D28DF" w:rsidP="00CA4ACD">
      <w:pPr>
        <w:pStyle w:val="ECHRParaQuote"/>
        <w:ind w:firstLine="0"/>
      </w:pPr>
      <w:r w:rsidRPr="00CA4ACD">
        <w:t>„Każdy ma prawo do […] rozpatrzenia jego sprawy w rozsądnym terminie przez […] sąd […] przy rozstrzyganiu o jego prawach i obowiązkach o charakterze cywilnym […]”</w:t>
      </w:r>
    </w:p>
    <w:p w:rsidR="004D28DF" w:rsidRPr="00CA4ACD" w:rsidRDefault="004D28DF" w:rsidP="00CA4ACD">
      <w:pPr>
        <w:pStyle w:val="ECHRHeading2"/>
      </w:pPr>
      <w:r w:rsidRPr="00CA4ACD">
        <w:t>A.  Zakres sprawy</w:t>
      </w:r>
    </w:p>
    <w:p w:rsidR="004D28DF" w:rsidRPr="00CA4ACD" w:rsidRDefault="0040450B" w:rsidP="00CA4ACD">
      <w:pPr>
        <w:pStyle w:val="ECHRPara"/>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37</w:t>
      </w:r>
      <w:r w:rsidRPr="00CA4ACD">
        <w:rPr>
          <w:szCs w:val="24"/>
        </w:rPr>
        <w:fldChar w:fldCharType="end"/>
      </w:r>
      <w:r w:rsidR="004D28DF" w:rsidRPr="00CA4ACD">
        <w:t xml:space="preserve">.  W niniejszej sprawie skarżący zasadniczo skarżą się na </w:t>
      </w:r>
      <w:r w:rsidR="00CA4ACD">
        <w:t>przewlekłość</w:t>
      </w:r>
      <w:r w:rsidR="004D28DF" w:rsidRPr="00CA4ACD">
        <w:t xml:space="preserve"> postępowania administracyjnego. Trybunał zauważa przy tym, że w sprawie prowadzono cztery odrębne postępowania.</w:t>
      </w:r>
    </w:p>
    <w:bookmarkStart w:id="15" w:name="firstset"/>
    <w:p w:rsidR="002025AC"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38</w:t>
      </w:r>
      <w:r w:rsidRPr="00CA4ACD">
        <w:fldChar w:fldCharType="end"/>
      </w:r>
      <w:bookmarkEnd w:id="15"/>
      <w:r w:rsidR="004D28DF" w:rsidRPr="00CA4ACD">
        <w:t>.  Pierwsze postępowanie dotyczyło prawa własności i prawa użytkowania wieczystego gruntu (zob. paragrafy 9-18 powyżej).</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39</w:t>
      </w:r>
      <w:r>
        <w:rPr>
          <w:noProof/>
        </w:rPr>
        <w:fldChar w:fldCharType="end"/>
      </w:r>
      <w:r w:rsidR="00E13DFB" w:rsidRPr="00CA4ACD">
        <w:t>.  Drugie postępowanie dotyczyło wysokości opłat za użytkowanie wieczyste gruntu (zob. paragrafy 19-24 powyżej).</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40</w:t>
      </w:r>
      <w:r>
        <w:rPr>
          <w:noProof/>
        </w:rPr>
        <w:fldChar w:fldCharType="end"/>
      </w:r>
      <w:r w:rsidR="00E13DFB" w:rsidRPr="00CA4ACD">
        <w:t>.  Trzecie postępowanie dotyczyło wniosku o stwierdzenie nieważności decyzji z 1992 r. (zob. paragrafy 25 i 26 powyżej).</w:t>
      </w:r>
    </w:p>
    <w:bookmarkStart w:id="16" w:name="thirdset"/>
    <w:p w:rsidR="004D28DF" w:rsidRPr="00CA4ACD" w:rsidRDefault="0040450B" w:rsidP="00CA4ACD">
      <w:pPr>
        <w:pStyle w:val="ECHRPara"/>
      </w:pPr>
      <w:r w:rsidRPr="00CA4ACD">
        <w:fldChar w:fldCharType="begin"/>
      </w:r>
      <w:r w:rsidR="004D28DF" w:rsidRPr="00CA4ACD">
        <w:instrText xml:space="preserve"> SEQ level0 \*arabic </w:instrText>
      </w:r>
      <w:r w:rsidRPr="00CA4ACD">
        <w:fldChar w:fldCharType="separate"/>
      </w:r>
      <w:r w:rsidR="00CA4ACD" w:rsidRPr="00CA4ACD">
        <w:rPr>
          <w:noProof/>
        </w:rPr>
        <w:t>41</w:t>
      </w:r>
      <w:r w:rsidRPr="00CA4ACD">
        <w:fldChar w:fldCharType="end"/>
      </w:r>
      <w:bookmarkEnd w:id="16"/>
      <w:r w:rsidR="004D28DF" w:rsidRPr="00CA4ACD">
        <w:t>.  Czwarte postępowanie dotyczyło przekształcenia prawa użytkowania wieczystego w prawo własności (zob. paragrafy 27-31 powyżej).</w:t>
      </w:r>
    </w:p>
    <w:p w:rsidR="004D28DF" w:rsidRPr="00CA4ACD" w:rsidRDefault="004D28DF" w:rsidP="00CA4ACD">
      <w:pPr>
        <w:pStyle w:val="ECHRHeading2"/>
      </w:pPr>
      <w:r w:rsidRPr="00CA4ACD">
        <w:t>A.  Dopuszczalność</w:t>
      </w:r>
    </w:p>
    <w:p w:rsidR="004D28DF" w:rsidRPr="00CA4ACD" w:rsidRDefault="004D28DF" w:rsidP="00CA4ACD">
      <w:pPr>
        <w:pStyle w:val="ECHRHeading3"/>
      </w:pPr>
      <w:r w:rsidRPr="00CA4ACD">
        <w:t xml:space="preserve">1.  Wstępne </w:t>
      </w:r>
      <w:r w:rsidR="00BB0210">
        <w:t>zarzuty</w:t>
      </w:r>
      <w:r w:rsidR="00BB0210" w:rsidRPr="00CA4ACD">
        <w:t xml:space="preserve"> </w:t>
      </w:r>
      <w:r w:rsidRPr="00CA4ACD">
        <w:t>Rządu</w:t>
      </w:r>
    </w:p>
    <w:p w:rsidR="004D28DF" w:rsidRPr="00CA4ACD" w:rsidRDefault="004D28DF" w:rsidP="00CA4ACD">
      <w:pPr>
        <w:pStyle w:val="ECHRHeading4"/>
      </w:pPr>
      <w:r w:rsidRPr="00CA4ACD">
        <w:t>a)  Zarzut niewyczerpania krajowych środków odwoławczych</w:t>
      </w:r>
    </w:p>
    <w:p w:rsidR="004D28DF" w:rsidRPr="00CA4ACD" w:rsidRDefault="0040450B" w:rsidP="00CA4ACD">
      <w:pPr>
        <w:pStyle w:val="ECHRPara"/>
        <w:rPr>
          <w:szCs w:val="24"/>
        </w:rPr>
      </w:pPr>
      <w:r>
        <w:rPr>
          <w:noProof/>
        </w:rPr>
        <w:fldChar w:fldCharType="begin"/>
      </w:r>
      <w:r w:rsidR="00E26111">
        <w:rPr>
          <w:noProof/>
        </w:rPr>
        <w:instrText xml:space="preserve"> SEQ level0 \*arabic </w:instrText>
      </w:r>
      <w:r>
        <w:rPr>
          <w:noProof/>
        </w:rPr>
        <w:fldChar w:fldCharType="separate"/>
      </w:r>
      <w:r w:rsidR="00CA4ACD" w:rsidRPr="00CA4ACD">
        <w:rPr>
          <w:noProof/>
        </w:rPr>
        <w:t>42</w:t>
      </w:r>
      <w:r>
        <w:rPr>
          <w:noProof/>
        </w:rPr>
        <w:fldChar w:fldCharType="end"/>
      </w:r>
      <w:r w:rsidR="004D28DF" w:rsidRPr="00CA4ACD">
        <w:t>.  </w:t>
      </w:r>
      <w:r w:rsidR="00CA4ACD">
        <w:t>W pierwszej kolejności</w:t>
      </w:r>
      <w:r w:rsidR="004D28DF" w:rsidRPr="00CA4ACD">
        <w:t xml:space="preserve"> Rząd podniósł zarzut niewyczerpania przez skarżących krajowych środków odwoławczych przysługujących im na mocy prawa polskiego, zgodnie z wymogiem art. 35 ust. 1 Konwencji. W</w:t>
      </w:r>
      <w:r w:rsidR="00CA4ACD">
        <w:t> </w:t>
      </w:r>
      <w:r w:rsidR="004D28DF" w:rsidRPr="00CA4ACD">
        <w:t>szczególności nie domagali się odszkodowania za szkodę wynikającą z</w:t>
      </w:r>
      <w:r w:rsidR="00344DC3">
        <w:t> </w:t>
      </w:r>
      <w:r w:rsidR="004D28DF" w:rsidRPr="00CA4ACD">
        <w:t>przewlekłości postępowania na podstawie art. 417 Kodeksu cywilnego.</w:t>
      </w:r>
    </w:p>
    <w:p w:rsidR="004D28DF" w:rsidRPr="00CA4ACD" w:rsidRDefault="0040450B" w:rsidP="00CA4ACD">
      <w:pPr>
        <w:pStyle w:val="ECHRPara"/>
        <w:rPr>
          <w:szCs w:val="24"/>
        </w:rPr>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43</w:t>
      </w:r>
      <w:r w:rsidRPr="00CA4ACD">
        <w:rPr>
          <w:szCs w:val="24"/>
        </w:rPr>
        <w:fldChar w:fldCharType="end"/>
      </w:r>
      <w:r w:rsidR="004D28DF" w:rsidRPr="00CA4ACD">
        <w:t>.  Skarżący nie podzielili tego stanowiska.</w:t>
      </w:r>
    </w:p>
    <w:p w:rsidR="004D28DF" w:rsidRPr="00CA4ACD" w:rsidRDefault="0040450B" w:rsidP="00CA4ACD">
      <w:pPr>
        <w:pStyle w:val="ECHRPara"/>
        <w:rPr>
          <w:szCs w:val="24"/>
        </w:rPr>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44</w:t>
      </w:r>
      <w:r w:rsidRPr="00CA4ACD">
        <w:rPr>
          <w:szCs w:val="24"/>
        </w:rPr>
        <w:fldChar w:fldCharType="end"/>
      </w:r>
      <w:r w:rsidR="004D28DF" w:rsidRPr="00CA4ACD">
        <w:t xml:space="preserve">.  Trybunał badał już podobny zarzut i nie uwzględnił go (zob. </w:t>
      </w:r>
      <w:r w:rsidR="004D28DF" w:rsidRPr="00CA4ACD">
        <w:rPr>
          <w:i/>
          <w:iCs/>
        </w:rPr>
        <w:t>Mularz przeciwko Polsc</w:t>
      </w:r>
      <w:r w:rsidR="004D28DF" w:rsidRPr="00CA4ACD">
        <w:t xml:space="preserve">e, nr 9834/08, § 46, 4 października 2011 r.). Trybunał nie </w:t>
      </w:r>
      <w:r w:rsidR="004D28DF" w:rsidRPr="00CA4ACD">
        <w:lastRenderedPageBreak/>
        <w:t>dostrzega przyczyn uzasadniających odstąpienie od powyższych ustaleń w</w:t>
      </w:r>
      <w:r w:rsidR="00CA4ACD">
        <w:t> </w:t>
      </w:r>
      <w:r w:rsidR="004D28DF" w:rsidRPr="00CA4ACD">
        <w:t>niniejszej sprawie.</w:t>
      </w:r>
    </w:p>
    <w:p w:rsidR="004D28DF" w:rsidRPr="00CA4ACD" w:rsidRDefault="0040450B" w:rsidP="00CA4ACD">
      <w:pPr>
        <w:pStyle w:val="ECHRPara"/>
        <w:rPr>
          <w:szCs w:val="24"/>
        </w:rPr>
      </w:pPr>
      <w:r w:rsidRPr="00CA4ACD">
        <w:rPr>
          <w:szCs w:val="24"/>
        </w:rPr>
        <w:fldChar w:fldCharType="begin"/>
      </w:r>
      <w:r w:rsidR="008D75C5" w:rsidRPr="00CA4ACD">
        <w:rPr>
          <w:szCs w:val="24"/>
        </w:rPr>
        <w:instrText xml:space="preserve"> SEQ level0 \*arabic </w:instrText>
      </w:r>
      <w:r w:rsidRPr="00CA4ACD">
        <w:rPr>
          <w:szCs w:val="24"/>
        </w:rPr>
        <w:fldChar w:fldCharType="separate"/>
      </w:r>
      <w:r w:rsidR="00CA4ACD" w:rsidRPr="00CA4ACD">
        <w:rPr>
          <w:noProof/>
          <w:szCs w:val="24"/>
        </w:rPr>
        <w:t>45</w:t>
      </w:r>
      <w:r w:rsidRPr="00CA4ACD">
        <w:rPr>
          <w:szCs w:val="24"/>
        </w:rPr>
        <w:fldChar w:fldCharType="end"/>
      </w:r>
      <w:r w:rsidR="008D75C5" w:rsidRPr="00CA4ACD">
        <w:t xml:space="preserve">.  Z tego względu podniesiony przez Rząd zarzut niedopuszczalności ze </w:t>
      </w:r>
      <w:r w:rsidR="007A58C0">
        <w:t>uwagi</w:t>
      </w:r>
      <w:r w:rsidR="007A58C0" w:rsidRPr="00CA4ACD">
        <w:t xml:space="preserve"> </w:t>
      </w:r>
      <w:r w:rsidR="008D75C5" w:rsidRPr="00CA4ACD">
        <w:t>na niewyczerpanie krajowych środków odwoławczych nie zasługuje na uwzględnienie.</w:t>
      </w:r>
    </w:p>
    <w:p w:rsidR="0092643E" w:rsidRPr="00CA4ACD" w:rsidRDefault="004D28DF" w:rsidP="00CA4ACD">
      <w:pPr>
        <w:pStyle w:val="ECHRHeading4"/>
      </w:pPr>
      <w:r w:rsidRPr="00CA4ACD">
        <w:t>b)  Zarzut braku doznania przez skarżących znaczącego uszczerbku</w:t>
      </w:r>
    </w:p>
    <w:p w:rsidR="004D28DF" w:rsidRPr="00CA4ACD" w:rsidRDefault="0040450B" w:rsidP="00CA4ACD">
      <w:pPr>
        <w:pStyle w:val="ECHRPara"/>
        <w:rPr>
          <w:szCs w:val="24"/>
        </w:rPr>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46</w:t>
      </w:r>
      <w:r w:rsidRPr="00CA4ACD">
        <w:rPr>
          <w:szCs w:val="24"/>
        </w:rPr>
        <w:fldChar w:fldCharType="end"/>
      </w:r>
      <w:r w:rsidR="004D28DF" w:rsidRPr="00CA4ACD">
        <w:t>.  W dalszej kolejności Rząd wywodził, że skargę należy uznać za niedopuszczalną na podstawie art. 35 ust. 3</w:t>
      </w:r>
      <w:r w:rsidR="006D12A7">
        <w:t xml:space="preserve"> lit.</w:t>
      </w:r>
      <w:r w:rsidR="004D28DF" w:rsidRPr="00CA4ACD">
        <w:t xml:space="preserve"> b Konwencji. Rząd utrzymywał, że ze względu na przywrócenie skarżącym prawa użytkowania wieczystego gruntu i prawa własności budynku, nie sposób uznać, że doznali oni znaczącego uszczerbku.</w:t>
      </w:r>
    </w:p>
    <w:p w:rsidR="0092643E" w:rsidRPr="00CA4ACD" w:rsidRDefault="0040450B" w:rsidP="00CA4ACD">
      <w:pPr>
        <w:pStyle w:val="ECHRPara"/>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47</w:t>
      </w:r>
      <w:r w:rsidRPr="00CA4ACD">
        <w:rPr>
          <w:szCs w:val="24"/>
        </w:rPr>
        <w:fldChar w:fldCharType="end"/>
      </w:r>
      <w:r w:rsidR="004D28DF" w:rsidRPr="00CA4ACD">
        <w:t xml:space="preserve">.  Trybunał zauważa, że argument Rządu nie dotyczy czasu trwania samego postępowania, lecz jego wyniku. Podstawą skargi skarżących jest rzekomy istotny niekorzystny wpływ przewlekłości postępowania na sytuację skarżących. Co więcej skarżący nie otrzymali żadnej rekompensaty z tego tytułu (por. </w:t>
      </w:r>
      <w:proofErr w:type="spellStart"/>
      <w:r w:rsidR="004D28DF" w:rsidRPr="00CA4ACD">
        <w:rPr>
          <w:i/>
          <w:iCs/>
        </w:rPr>
        <w:t>Galović</w:t>
      </w:r>
      <w:proofErr w:type="spellEnd"/>
      <w:r w:rsidR="004D28DF" w:rsidRPr="00CA4ACD">
        <w:rPr>
          <w:i/>
          <w:iCs/>
        </w:rPr>
        <w:t xml:space="preserve"> przeciwko Chorwacji </w:t>
      </w:r>
      <w:r w:rsidR="004D28DF" w:rsidRPr="00CA4ACD">
        <w:t>(</w:t>
      </w:r>
      <w:proofErr w:type="spellStart"/>
      <w:r w:rsidR="004D28DF" w:rsidRPr="00CA4ACD">
        <w:t>dec</w:t>
      </w:r>
      <w:proofErr w:type="spellEnd"/>
      <w:r w:rsidR="004D28DF" w:rsidRPr="00CA4ACD">
        <w:t>.), nr 54388/09, § 74, 5</w:t>
      </w:r>
      <w:r w:rsidR="00CA4ACD">
        <w:t> </w:t>
      </w:r>
      <w:r w:rsidR="004D28DF" w:rsidRPr="00CA4ACD">
        <w:t>marca 2013 r.).</w:t>
      </w:r>
    </w:p>
    <w:p w:rsidR="004D28DF" w:rsidRPr="00CA4ACD" w:rsidRDefault="0040450B" w:rsidP="00CA4ACD">
      <w:pPr>
        <w:pStyle w:val="ECHRPara"/>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48</w:t>
      </w:r>
      <w:r w:rsidRPr="00CA4ACD">
        <w:rPr>
          <w:szCs w:val="24"/>
        </w:rPr>
        <w:fldChar w:fldCharType="end"/>
      </w:r>
      <w:r w:rsidR="004D28DF" w:rsidRPr="00CA4ACD">
        <w:t>.  W świetle powyższego zarzut ten również nie zasługuje na uwzględnienie.</w:t>
      </w:r>
    </w:p>
    <w:p w:rsidR="0092643E" w:rsidRPr="00CA4ACD" w:rsidRDefault="0011365A" w:rsidP="00CA4ACD">
      <w:pPr>
        <w:pStyle w:val="ECHRHeading3"/>
      </w:pPr>
      <w:r w:rsidRPr="00CA4ACD">
        <w:t>2.  Konkluzja Trybunału</w:t>
      </w:r>
    </w:p>
    <w:p w:rsidR="0092643E" w:rsidRPr="00CA4ACD" w:rsidRDefault="004D28DF" w:rsidP="00CA4ACD">
      <w:pPr>
        <w:pStyle w:val="ECHRHeading4"/>
      </w:pPr>
      <w:r w:rsidRPr="00CA4ACD">
        <w:t>a)  Pierwsze postępowanie</w:t>
      </w:r>
    </w:p>
    <w:p w:rsidR="002025AC"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49</w:t>
      </w:r>
      <w:r>
        <w:rPr>
          <w:noProof/>
        </w:rPr>
        <w:fldChar w:fldCharType="end"/>
      </w:r>
      <w:r w:rsidR="00E13DFB" w:rsidRPr="00CA4ACD">
        <w:t xml:space="preserve">.  Trybunał stwierdza, że skarga dotycząca </w:t>
      </w:r>
      <w:r w:rsidR="00CA4ACD">
        <w:t>przewlekłości</w:t>
      </w:r>
      <w:r w:rsidR="00E13DFB" w:rsidRPr="00CA4ACD">
        <w:t xml:space="preserve"> pierwszego postępowania nie jest w sposób oczywisty nieuzasadniona w rozumieniu art. 35 ust. 3 lit. a Konwencji. Nadto Trybunał zauważa, że nie jest ona niedopuszczalna na żadnym innym gruncie. </w:t>
      </w:r>
      <w:r w:rsidR="007A58C0">
        <w:t>z uwagi na to</w:t>
      </w:r>
      <w:r w:rsidR="00E13DFB" w:rsidRPr="00CA4ACD">
        <w:t xml:space="preserve"> należy ją uznać za dopuszczalną.</w:t>
      </w:r>
    </w:p>
    <w:p w:rsidR="0092643E" w:rsidRPr="00CA4ACD" w:rsidRDefault="0011365A" w:rsidP="00CA4ACD">
      <w:pPr>
        <w:pStyle w:val="ECHRHeading4"/>
      </w:pPr>
      <w:r w:rsidRPr="00CA4ACD">
        <w:t>b)  Drugie postępowanie</w:t>
      </w:r>
    </w:p>
    <w:p w:rsidR="00BE7337"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50</w:t>
      </w:r>
      <w:r>
        <w:rPr>
          <w:noProof/>
        </w:rPr>
        <w:fldChar w:fldCharType="end"/>
      </w:r>
      <w:r w:rsidR="002025AC" w:rsidRPr="00CA4ACD">
        <w:t xml:space="preserve">.  Trybunał zauważa, że postępowanie dotyczące opłat za użytkowanie wieczyste rozpoczęło się w dniu 18 czerwca 2009 r. i zakończyło się wydaniem wyroku </w:t>
      </w:r>
      <w:r w:rsidR="002613E4">
        <w:t xml:space="preserve"> przez </w:t>
      </w:r>
      <w:r w:rsidR="002025AC" w:rsidRPr="00CA4ACD">
        <w:t>Naczeln</w:t>
      </w:r>
      <w:r w:rsidR="006847A0">
        <w:t>y</w:t>
      </w:r>
      <w:r w:rsidR="002025AC" w:rsidRPr="00CA4ACD">
        <w:t xml:space="preserve"> Sąd Administracyjn</w:t>
      </w:r>
      <w:r w:rsidR="006847A0">
        <w:t>y</w:t>
      </w:r>
      <w:r w:rsidR="002025AC" w:rsidRPr="00CA4ACD">
        <w:t xml:space="preserve"> z dnia 9 sierpnia 2012 r. Okres, który należy przy tym wziąć pod uwagę, rozpoczął się jednak dopiero w dniu 27 listopada 2009 r., kiedy to skarżący zaskarżyli decyzję Samorządowego Kolegium Odwoławczego w Warszawie (zob. paragraf 21 powyżej). To właśnie wówczas powstał „spór” </w:t>
      </w:r>
      <w:r w:rsidR="00CA4ACD">
        <w:t>na gruncie</w:t>
      </w:r>
      <w:r w:rsidR="002025AC" w:rsidRPr="00CA4ACD">
        <w:t xml:space="preserve"> art. 6 ust. 1 (zob. np. </w:t>
      </w:r>
      <w:r w:rsidR="002025AC" w:rsidRPr="00CA4ACD">
        <w:rPr>
          <w:i/>
          <w:iCs/>
        </w:rPr>
        <w:t>Wcisło i Cabaj</w:t>
      </w:r>
      <w:r w:rsidR="002025AC" w:rsidRPr="00CA4ACD">
        <w:t xml:space="preserve">, </w:t>
      </w:r>
      <w:r w:rsidR="002025AC" w:rsidRPr="00CA4ACD">
        <w:rPr>
          <w:i/>
          <w:iCs/>
        </w:rPr>
        <w:t>op. cit.</w:t>
      </w:r>
      <w:r w:rsidR="002025AC" w:rsidRPr="00CA4ACD">
        <w:t xml:space="preserve">, § 173). Okres, który należy wziąć pod uwagę, trwał zatem niewiele ponad dwa lata i dziewięć miesięcy. Trybunał nie dostrzega istnienia w ramach postępowania okresów bezczynności, które czyniłyby postępowanie sprzecznym z art. 6 ust. 1 Konwencji. Również łączny czas trwania postępowania nie jest sprzeczny z wymogiem „rozsądnego terminu” w rozumieniu tego postanowienia. Z powyższego </w:t>
      </w:r>
      <w:r w:rsidR="002025AC" w:rsidRPr="00CA4ACD">
        <w:lastRenderedPageBreak/>
        <w:t>wynika, że ta część skargi podlega odrzuceniu jako w sposób oczywisty nieuzasadniona, zgodnie z art. 35 ust. 3 i 4 Konwencji.</w:t>
      </w:r>
    </w:p>
    <w:p w:rsidR="0092643E" w:rsidRPr="00CA4ACD" w:rsidRDefault="0011365A" w:rsidP="00CA4ACD">
      <w:pPr>
        <w:pStyle w:val="ECHRHeading4"/>
      </w:pPr>
      <w:r w:rsidRPr="00CA4ACD">
        <w:t>c)  Trzecie postępowanie</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51</w:t>
      </w:r>
      <w:r>
        <w:rPr>
          <w:noProof/>
        </w:rPr>
        <w:fldChar w:fldCharType="end"/>
      </w:r>
      <w:r w:rsidR="00EA581C" w:rsidRPr="00CA4ACD">
        <w:t>.  Trybunał zauważa, że postępowanie dotyczące wniosku o</w:t>
      </w:r>
      <w:r w:rsidR="00CA4ACD">
        <w:t> </w:t>
      </w:r>
      <w:r w:rsidR="00EA581C" w:rsidRPr="00CA4ACD">
        <w:t xml:space="preserve">stwierdzenie nieważności decyzji z 1992 r. zakończyło się w dniu 25 lutego 2011 r. odmową stwierdzenia nieważności zaskarżonej decyzji przez Ministra Spraw Wewnętrznych (zob. paragraf 26 powyżej). Skarżący bezskutecznie wystąpili z wnioskiem o ponowne </w:t>
      </w:r>
      <w:r w:rsidR="006847A0">
        <w:t>rozpoznanie</w:t>
      </w:r>
      <w:r w:rsidR="006847A0" w:rsidRPr="00CA4ACD">
        <w:t xml:space="preserve"> </w:t>
      </w:r>
      <w:r w:rsidR="00EA581C" w:rsidRPr="00CA4ACD">
        <w:t>sprawy (zob. paragraf 27 powyżej).</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52</w:t>
      </w:r>
      <w:r>
        <w:rPr>
          <w:noProof/>
        </w:rPr>
        <w:fldChar w:fldCharType="end"/>
      </w:r>
      <w:r w:rsidR="00EA581C" w:rsidRPr="00CA4ACD">
        <w:t>.  Ponadto Trybunał zauważa, że przedmiotowe postępowanie, które wszczęto w trybie art. 156 Kodeksu postępowania administracyjnego, dotyczy stwierdzenia nieważności ostatecznej decyzji administracyjnej (zob. paragraf 35 powyżej).</w:t>
      </w:r>
    </w:p>
    <w:p w:rsidR="007A0F8A"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53</w:t>
      </w:r>
      <w:r>
        <w:rPr>
          <w:noProof/>
        </w:rPr>
        <w:fldChar w:fldCharType="end"/>
      </w:r>
      <w:r w:rsidR="00A2321D" w:rsidRPr="00CA4ACD">
        <w:t xml:space="preserve">.  Trybunał ponownie podkreśla przy tym, że zgodnie z utrwalonym orzecznictwem Konwencja nie gwarantuje prawa do wznowienia postępowania zakończonego wydaniem decyzji ostatecznej (zob. m. in. </w:t>
      </w:r>
      <w:proofErr w:type="spellStart"/>
      <w:r w:rsidR="00A2321D" w:rsidRPr="00CA4ACD">
        <w:rPr>
          <w:i/>
          <w:iCs/>
        </w:rPr>
        <w:t>Bochan</w:t>
      </w:r>
      <w:proofErr w:type="spellEnd"/>
      <w:r w:rsidR="00A2321D" w:rsidRPr="00CA4ACD">
        <w:rPr>
          <w:i/>
          <w:iCs/>
        </w:rPr>
        <w:t xml:space="preserve"> przeciwko Ukrainie</w:t>
      </w:r>
      <w:r w:rsidR="00A2321D" w:rsidRPr="00CA4ACD">
        <w:t xml:space="preserve"> (nr 2) [WI], nr 22251/08, § 44, </w:t>
      </w:r>
      <w:proofErr w:type="spellStart"/>
      <w:r w:rsidR="00A2321D" w:rsidRPr="00CA4ACD">
        <w:t>ETPCz</w:t>
      </w:r>
      <w:proofErr w:type="spellEnd"/>
      <w:r w:rsidR="00A2321D" w:rsidRPr="00CA4ACD">
        <w:t xml:space="preserve"> 2015, z</w:t>
      </w:r>
      <w:r w:rsidR="00344DC3">
        <w:t> </w:t>
      </w:r>
      <w:r w:rsidR="00A2321D" w:rsidRPr="00CA4ACD">
        <w:t>dalszymi odniesieniami). Z powyższego wynika, że skarga skarżących w</w:t>
      </w:r>
      <w:r w:rsidR="00CA4ACD">
        <w:t> </w:t>
      </w:r>
      <w:r w:rsidR="00A2321D" w:rsidRPr="00CA4ACD">
        <w:t xml:space="preserve">części dotyczącej czasu trwania trzeciego postępowania jest niezgodna </w:t>
      </w:r>
      <w:proofErr w:type="spellStart"/>
      <w:r w:rsidR="00A2321D" w:rsidRPr="00CA4ACD">
        <w:rPr>
          <w:i/>
          <w:iCs/>
        </w:rPr>
        <w:t>ratione</w:t>
      </w:r>
      <w:proofErr w:type="spellEnd"/>
      <w:r w:rsidR="00A2321D" w:rsidRPr="00CA4ACD">
        <w:rPr>
          <w:i/>
          <w:iCs/>
        </w:rPr>
        <w:t xml:space="preserve"> </w:t>
      </w:r>
      <w:proofErr w:type="spellStart"/>
      <w:r w:rsidR="00A2321D" w:rsidRPr="00CA4ACD">
        <w:rPr>
          <w:i/>
          <w:iCs/>
        </w:rPr>
        <w:t>materiae</w:t>
      </w:r>
      <w:proofErr w:type="spellEnd"/>
      <w:r w:rsidR="00A2321D" w:rsidRPr="00CA4ACD">
        <w:t xml:space="preserve"> z postanowieniami Konwencji w rozumieniu art. 35 ust. 3</w:t>
      </w:r>
      <w:r w:rsidR="006D12A7">
        <w:t xml:space="preserve"> lit.</w:t>
      </w:r>
      <w:r w:rsidR="00A2321D" w:rsidRPr="00CA4ACD">
        <w:t xml:space="preserve"> a, w związku z czym podlega odrzuceniu w trybie art. 35 ust. 4.</w:t>
      </w:r>
    </w:p>
    <w:p w:rsidR="004D28DF" w:rsidRPr="00CA4ACD" w:rsidRDefault="00F511F3" w:rsidP="00CA4ACD">
      <w:pPr>
        <w:pStyle w:val="ECHRHeading3"/>
      </w:pPr>
      <w:r w:rsidRPr="00CA4ACD">
        <w:t>3.  Czwarte postępowanie</w:t>
      </w:r>
    </w:p>
    <w:p w:rsidR="00BE7337"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54</w:t>
      </w:r>
      <w:r>
        <w:rPr>
          <w:noProof/>
        </w:rPr>
        <w:fldChar w:fldCharType="end"/>
      </w:r>
      <w:r w:rsidR="00EA581C" w:rsidRPr="00CA4ACD">
        <w:t>.  Czwarte postępowanie rozpoczęło się w dniu 20 czerwca 2013 r. i</w:t>
      </w:r>
      <w:r w:rsidR="00CA4ACD">
        <w:t> </w:t>
      </w:r>
      <w:r w:rsidR="00EA581C" w:rsidRPr="00CA4ACD">
        <w:t xml:space="preserve">zakończyło w dniu 14 kwietnia 2016 r. Okres, który należy przy tym wziąć pod uwagę, rozpoczął się jednak dopiero 13 września 2013 r. (zob. </w:t>
      </w:r>
      <w:r w:rsidR="00EA581C" w:rsidRPr="00CA4ACD">
        <w:rPr>
          <w:i/>
          <w:iCs/>
        </w:rPr>
        <w:t>Wcisło i</w:t>
      </w:r>
      <w:r w:rsidR="00344DC3">
        <w:rPr>
          <w:i/>
          <w:iCs/>
        </w:rPr>
        <w:t> </w:t>
      </w:r>
      <w:r w:rsidR="00EA581C" w:rsidRPr="00CA4ACD">
        <w:rPr>
          <w:i/>
          <w:iCs/>
        </w:rPr>
        <w:t>Cabaj</w:t>
      </w:r>
      <w:r w:rsidR="00EA581C" w:rsidRPr="00CA4ACD">
        <w:t>, op. cit., § 173). Postępowanie trwało zatem dwa lata i siedem miesięcy. Trybunał nie dostrzega istnienia w ramach postępowania okresów bezczynności, które czyniłyby postępowanie sprzecznym z art. 6 ust. 1 Konwencji. Również łączny czas trwania postępowania nie jest sprzeczny z</w:t>
      </w:r>
      <w:r w:rsidR="00CA4ACD">
        <w:t> </w:t>
      </w:r>
      <w:r w:rsidR="00EA581C" w:rsidRPr="00CA4ACD">
        <w:t>wymogiem „rozsądnego terminu” w rozumieniu tego postanowienia. Z</w:t>
      </w:r>
      <w:r w:rsidR="00CA4ACD">
        <w:t> </w:t>
      </w:r>
      <w:r w:rsidR="00EA581C" w:rsidRPr="00CA4ACD">
        <w:t>powyższego wynika, że ta część skargi podlega odrzuceniu</w:t>
      </w:r>
      <w:r w:rsidR="0074285E">
        <w:t>,</w:t>
      </w:r>
      <w:r w:rsidR="00EA581C" w:rsidRPr="00CA4ACD">
        <w:t xml:space="preserve"> jako w sposób oczywisty nieuzasadniona, zgodnie z art. 35 ust. 3 i 4 Konwencji.</w:t>
      </w:r>
    </w:p>
    <w:p w:rsidR="004D28DF" w:rsidRPr="00CA4ACD" w:rsidRDefault="004D28DF" w:rsidP="00CA4ACD">
      <w:pPr>
        <w:pStyle w:val="ECHRHeading2"/>
      </w:pPr>
      <w:r w:rsidRPr="00CA4ACD">
        <w:t>C.  Przedmiot skargi</w:t>
      </w:r>
    </w:p>
    <w:p w:rsidR="004D28DF" w:rsidRPr="00CA4ACD" w:rsidRDefault="004D28DF" w:rsidP="00CA4ACD">
      <w:pPr>
        <w:pStyle w:val="ECHRHeading3"/>
      </w:pPr>
      <w:r w:rsidRPr="00CA4ACD">
        <w:t>1.  Okres, który należy wziąć pod uwagę</w:t>
      </w:r>
    </w:p>
    <w:p w:rsidR="004D28DF" w:rsidRPr="00CA4ACD" w:rsidRDefault="0040450B" w:rsidP="00CA4ACD">
      <w:pPr>
        <w:pStyle w:val="ECHRPara"/>
        <w:rPr>
          <w:szCs w:val="24"/>
        </w:rPr>
      </w:pPr>
      <w:r w:rsidRPr="00CA4ACD">
        <w:rPr>
          <w:szCs w:val="24"/>
        </w:rPr>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55</w:t>
      </w:r>
      <w:r w:rsidRPr="00CA4ACD">
        <w:rPr>
          <w:szCs w:val="24"/>
        </w:rPr>
        <w:fldChar w:fldCharType="end"/>
      </w:r>
      <w:r w:rsidR="004D28DF" w:rsidRPr="00CA4ACD">
        <w:t xml:space="preserve">.  Trybunał zauważa, że pierwsze postępowanie administracyjne wszczęto w dniu 22 czerwca 1988 r. (zob. paragraf 9 powyżej). Okres, który należy wziąć przy tym pod uwagę, rozpoczął się jednak dopiero w dniu 17 stycznia 2005 r., kiedy to skarżący odwołali się od decyzji prezydenta m.st. Warszawy (zob. </w:t>
      </w:r>
      <w:r w:rsidR="004D28DF" w:rsidRPr="00CA4ACD">
        <w:rPr>
          <w:i/>
        </w:rPr>
        <w:t>Wcisło and Cabaj</w:t>
      </w:r>
      <w:r w:rsidR="004D28DF" w:rsidRPr="00CA4ACD">
        <w:t xml:space="preserve">, </w:t>
      </w:r>
      <w:r w:rsidR="004D28DF" w:rsidRPr="00CA4ACD">
        <w:rPr>
          <w:i/>
          <w:iCs/>
        </w:rPr>
        <w:t>op. cit.</w:t>
      </w:r>
      <w:r w:rsidR="004D28DF" w:rsidRPr="00CA4ACD">
        <w:t xml:space="preserve">, § 173). Postępowanie </w:t>
      </w:r>
      <w:r w:rsidR="004D28DF" w:rsidRPr="00CA4ACD">
        <w:lastRenderedPageBreak/>
        <w:t>zakończyło się w dniu 18 czerwca 2009 r. (zob. paragraf 18 powyżej). Okres, który należy wziąć pod uwagę, trwał zatem cztery lata, pięć miesięcy i jeden dzień.</w:t>
      </w:r>
    </w:p>
    <w:p w:rsidR="004D28DF" w:rsidRPr="00CA4ACD" w:rsidRDefault="004D28DF" w:rsidP="00CA4ACD">
      <w:pPr>
        <w:pStyle w:val="ECHRHeading3"/>
      </w:pPr>
      <w:r w:rsidRPr="00CA4ACD">
        <w:t>2.  Rozsądny charakter tego okresu</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56</w:t>
      </w:r>
      <w:r>
        <w:rPr>
          <w:noProof/>
        </w:rPr>
        <w:fldChar w:fldCharType="end"/>
      </w:r>
      <w:r w:rsidR="004D28DF" w:rsidRPr="00CA4ACD">
        <w:t>.  Trybunał podkreśla, że rozsądny charakter czasu trwania postępowania należy oceniać w świetle okoliczności sprawy i</w:t>
      </w:r>
      <w:r w:rsidR="00344DC3">
        <w:t> </w:t>
      </w:r>
      <w:r w:rsidR="004D28DF" w:rsidRPr="00CA4ACD">
        <w:t>z</w:t>
      </w:r>
      <w:r w:rsidR="00344DC3">
        <w:t> </w:t>
      </w:r>
      <w:r w:rsidR="004D28DF" w:rsidRPr="00CA4ACD">
        <w:t>uwzględnieniem następujących kryteriów: złożoności sprawy, zachowania skarżącego i organów procesowych oraz znaczenia sprawy dla interesów skarżącego (zob. m.in. </w:t>
      </w:r>
      <w:proofErr w:type="spellStart"/>
      <w:r w:rsidR="004D28DF" w:rsidRPr="00CA4ACD">
        <w:rPr>
          <w:i/>
        </w:rPr>
        <w:t>Frydlender</w:t>
      </w:r>
      <w:proofErr w:type="spellEnd"/>
      <w:r w:rsidR="004D28DF" w:rsidRPr="00CA4ACD">
        <w:rPr>
          <w:i/>
        </w:rPr>
        <w:t xml:space="preserve"> </w:t>
      </w:r>
      <w:r w:rsidR="004D28DF" w:rsidRPr="00CA4ACD">
        <w:rPr>
          <w:i/>
          <w:iCs/>
        </w:rPr>
        <w:t>przeciwko Francji</w:t>
      </w:r>
      <w:r w:rsidR="004D28DF" w:rsidRPr="00CA4ACD">
        <w:rPr>
          <w:i/>
        </w:rPr>
        <w:t xml:space="preserve"> </w:t>
      </w:r>
      <w:r w:rsidR="004D28DF" w:rsidRPr="00CA4ACD">
        <w:t xml:space="preserve">[WI], nr 30979/96, § 43, </w:t>
      </w:r>
      <w:proofErr w:type="spellStart"/>
      <w:r w:rsidR="004D28DF" w:rsidRPr="00CA4ACD">
        <w:t>ETPCz</w:t>
      </w:r>
      <w:proofErr w:type="spellEnd"/>
      <w:r w:rsidR="004D28DF" w:rsidRPr="00CA4ACD">
        <w:t> 2000-VII).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57</w:t>
      </w:r>
      <w:r>
        <w:rPr>
          <w:noProof/>
        </w:rPr>
        <w:fldChar w:fldCharType="end"/>
      </w:r>
      <w:r w:rsidR="00E13DFB" w:rsidRPr="00CA4ACD">
        <w:t>.  Trybunał przyznaje, że przedmiotowa sprawa była zawiła tak pod względem faktycznym</w:t>
      </w:r>
      <w:r w:rsidR="00D13881">
        <w:t>,</w:t>
      </w:r>
      <w:r w:rsidR="00E13DFB" w:rsidRPr="00CA4ACD">
        <w:t xml:space="preserve"> jak i prawnym.</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58</w:t>
      </w:r>
      <w:r>
        <w:rPr>
          <w:noProof/>
        </w:rPr>
        <w:fldChar w:fldCharType="end"/>
      </w:r>
      <w:r w:rsidR="00E13DFB" w:rsidRPr="00CA4ACD">
        <w:t>.  </w:t>
      </w:r>
      <w:r w:rsidR="00344DC3">
        <w:t>W zakresie</w:t>
      </w:r>
      <w:r w:rsidR="00E13DFB" w:rsidRPr="00CA4ACD">
        <w:t xml:space="preserve"> </w:t>
      </w:r>
      <w:r w:rsidR="00344DC3">
        <w:t>działania</w:t>
      </w:r>
      <w:r w:rsidR="00E13DFB" w:rsidRPr="00CA4ACD">
        <w:t xml:space="preserve"> organów Trybunał dostrzega okres dwóch lat bezczynności</w:t>
      </w:r>
      <w:r w:rsidR="00344DC3">
        <w:t>, tj.</w:t>
      </w:r>
      <w:r w:rsidR="00E13DFB" w:rsidRPr="00CA4ACD">
        <w:t xml:space="preserve"> od dnia 8 grudnia 2005 r., kiedy to skarżący odwołali się od decyzji prezydenta z dnia 21 listopada 2005 r., do dnia 5 grudnia 2007 r., kiedy to decyzję w tej sprawie wydało Samorządowe Kolegium Odwoławcze w Warszawie (zob. paragrafy 14 i 15 powyżej).</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59</w:t>
      </w:r>
      <w:r>
        <w:rPr>
          <w:noProof/>
        </w:rPr>
        <w:fldChar w:fldCharType="end"/>
      </w:r>
      <w:r w:rsidR="00EA581C" w:rsidRPr="00CA4ACD">
        <w:t>.  Trybunał dostrzega brak postępów w sprawie w okresie od dnia 5 grudnia 2007 r., kiedy to Samorządowe Kolegium Odwoławcze w Warszawie uchyliło decyzję wydaną w pierwszej instancji i przekazało sprawę do ponownego rozpoznania, do dnia 18 czerwca 2009 r., kiedy to prezydent m.st. Warszawy wydał nową decyzję (zob. paragraf 18 powyżej). Postępowanie nie uległo przyspieszeniu pomimo zobowiązania organu w</w:t>
      </w:r>
      <w:r w:rsidR="00344DC3">
        <w:t> </w:t>
      </w:r>
      <w:r w:rsidR="00EA581C" w:rsidRPr="00CA4ACD">
        <w:t>dniu 28 stycznia 2009 r. przez Wojewódzki Sąd Administracyjny do dotrzymania czterotygodniowego terminu (zob. paragraf 17 powyżej).</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60</w:t>
      </w:r>
      <w:r>
        <w:rPr>
          <w:noProof/>
        </w:rPr>
        <w:fldChar w:fldCharType="end"/>
      </w:r>
      <w:r w:rsidR="00EA581C" w:rsidRPr="00CA4ACD">
        <w:t xml:space="preserve">.  Chociaż skarżący brali czynny udział w postępowaniu, nic nie wskazuje na to, aby przyczynili się do </w:t>
      </w:r>
      <w:r w:rsidR="00ED1D40">
        <w:t>jego przedłużenia</w:t>
      </w:r>
      <w:r w:rsidR="00EA581C" w:rsidRPr="00CA4ACD">
        <w:t>.</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61</w:t>
      </w:r>
      <w:r>
        <w:rPr>
          <w:noProof/>
        </w:rPr>
        <w:fldChar w:fldCharType="end"/>
      </w:r>
      <w:r w:rsidR="0070642A" w:rsidRPr="00CA4ACD">
        <w:t>.  Mając na uwadze przekazany materiał, Trybunał stwierdza, że Rząd nie przytoczył żadnych faktów ani argumentów, które mogłyby być na tyle przekonujące, aby uzasadniać łączny czas trwania postępowania w niniejszej sprawie. W związku z powyższym Trybunał uważa, że łączny czas trwania postępowania będącego przedmiotem skargi przekroczył rozsądny termin.</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62</w:t>
      </w:r>
      <w:r>
        <w:rPr>
          <w:noProof/>
        </w:rPr>
        <w:fldChar w:fldCharType="end"/>
      </w:r>
      <w:r w:rsidR="00EA581C" w:rsidRPr="00CA4ACD">
        <w:t>.  W związku z powyższym doszło do naruszenia art. 6 ust. 1 Konwencji.</w:t>
      </w:r>
    </w:p>
    <w:p w:rsidR="004D28DF" w:rsidRPr="00CA4ACD" w:rsidRDefault="004D28DF" w:rsidP="00CA4ACD">
      <w:pPr>
        <w:pStyle w:val="ECHRHeading1"/>
      </w:pPr>
      <w:r w:rsidRPr="00CA4ACD">
        <w:t xml:space="preserve">II.  DOMNIEMANE NARUSZENIE ART. 1 PROTOKOŁU </w:t>
      </w:r>
      <w:r w:rsidR="00344DC3">
        <w:t>NR</w:t>
      </w:r>
      <w:r w:rsidRPr="00CA4ACD">
        <w:t> 1 DO KONWENCJI</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63</w:t>
      </w:r>
      <w:r>
        <w:rPr>
          <w:noProof/>
        </w:rPr>
        <w:fldChar w:fldCharType="end"/>
      </w:r>
      <w:r w:rsidR="004D28DF" w:rsidRPr="00CA4ACD">
        <w:t>.  Skarżący skarżyli się, na podstawie art. 1 Protokołu nr 1 do Konwencji, na nieprzywrócenie ich prawa własności oraz że w</w:t>
      </w:r>
      <w:r w:rsidR="00344DC3">
        <w:t> </w:t>
      </w:r>
      <w:r w:rsidR="004D28DF" w:rsidRPr="00CA4ACD">
        <w:t>konsekwencji zobowiązani byli ponosić roczne opłaty za użytkowanie wieczyste gruntu.</w:t>
      </w:r>
    </w:p>
    <w:p w:rsidR="0092643E" w:rsidRPr="00CA4ACD" w:rsidRDefault="0040450B" w:rsidP="00CA4ACD">
      <w:pPr>
        <w:pStyle w:val="ECHRPara"/>
      </w:pPr>
      <w:r w:rsidRPr="00CA4ACD">
        <w:rPr>
          <w:szCs w:val="24"/>
        </w:rPr>
        <w:lastRenderedPageBreak/>
        <w:fldChar w:fldCharType="begin"/>
      </w:r>
      <w:r w:rsidR="004D28DF" w:rsidRPr="00CA4ACD">
        <w:rPr>
          <w:szCs w:val="24"/>
        </w:rPr>
        <w:instrText xml:space="preserve"> SEQ level0 \*arabic </w:instrText>
      </w:r>
      <w:r w:rsidRPr="00CA4ACD">
        <w:rPr>
          <w:szCs w:val="24"/>
        </w:rPr>
        <w:fldChar w:fldCharType="separate"/>
      </w:r>
      <w:r w:rsidR="00CA4ACD" w:rsidRPr="00CA4ACD">
        <w:rPr>
          <w:noProof/>
          <w:szCs w:val="24"/>
        </w:rPr>
        <w:t>64</w:t>
      </w:r>
      <w:r w:rsidRPr="00CA4ACD">
        <w:rPr>
          <w:szCs w:val="24"/>
        </w:rPr>
        <w:fldChar w:fldCharType="end"/>
      </w:r>
      <w:r w:rsidR="004D28DF" w:rsidRPr="00CA4ACD">
        <w:t>.  Trybunał zauważa, że w dniu 14 kwietnia 2016 r. Zarząd Dzielnicy Mokotów wydał decyzję o nieodpłatnym przekształceniu użytkowania wieczystego gruntu w prawo własności (zob. paragraf 33 powyżej).</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65</w:t>
      </w:r>
      <w:r>
        <w:rPr>
          <w:noProof/>
        </w:rPr>
        <w:fldChar w:fldCharType="end"/>
      </w:r>
      <w:r w:rsidR="00E13DFB" w:rsidRPr="00CA4ACD">
        <w:t>.  Tym samym skarżący utracili status ofiary w związku z</w:t>
      </w:r>
      <w:r w:rsidR="00344DC3">
        <w:t> </w:t>
      </w:r>
      <w:r w:rsidR="00E13DFB" w:rsidRPr="00CA4ACD">
        <w:t>domniemanym naruszeniem art. 1 Protokołu nr 1 do Konwencji.</w:t>
      </w:r>
    </w:p>
    <w:p w:rsidR="004D28DF" w:rsidRPr="00CA4ACD" w:rsidRDefault="0040450B" w:rsidP="00CA4ACD">
      <w:pPr>
        <w:pStyle w:val="ECHRPara"/>
        <w:rPr>
          <w:szCs w:val="24"/>
        </w:rPr>
      </w:pPr>
      <w:r>
        <w:rPr>
          <w:noProof/>
        </w:rPr>
        <w:fldChar w:fldCharType="begin"/>
      </w:r>
      <w:r w:rsidR="00E26111">
        <w:rPr>
          <w:noProof/>
        </w:rPr>
        <w:instrText xml:space="preserve"> SEQ level0 \*arabic </w:instrText>
      </w:r>
      <w:r>
        <w:rPr>
          <w:noProof/>
        </w:rPr>
        <w:fldChar w:fldCharType="separate"/>
      </w:r>
      <w:r w:rsidR="00CA4ACD" w:rsidRPr="00CA4ACD">
        <w:rPr>
          <w:noProof/>
        </w:rPr>
        <w:t>66</w:t>
      </w:r>
      <w:r>
        <w:rPr>
          <w:noProof/>
        </w:rPr>
        <w:fldChar w:fldCharType="end"/>
      </w:r>
      <w:r w:rsidR="00E13DFB" w:rsidRPr="00CA4ACD">
        <w:t xml:space="preserve">.  Niniejsza skarga jest zatem niezgodna </w:t>
      </w:r>
      <w:proofErr w:type="spellStart"/>
      <w:r w:rsidR="00E13DFB" w:rsidRPr="00CA4ACD">
        <w:rPr>
          <w:i/>
          <w:iCs/>
        </w:rPr>
        <w:t>ratione</w:t>
      </w:r>
      <w:proofErr w:type="spellEnd"/>
      <w:r w:rsidR="00E13DFB" w:rsidRPr="00CA4ACD">
        <w:rPr>
          <w:i/>
          <w:iCs/>
        </w:rPr>
        <w:t xml:space="preserve"> </w:t>
      </w:r>
      <w:proofErr w:type="spellStart"/>
      <w:r w:rsidR="00E13DFB" w:rsidRPr="00CA4ACD">
        <w:rPr>
          <w:i/>
          <w:iCs/>
        </w:rPr>
        <w:t>personae</w:t>
      </w:r>
      <w:proofErr w:type="spellEnd"/>
      <w:r w:rsidR="00E13DFB" w:rsidRPr="00CA4ACD">
        <w:t xml:space="preserve"> z</w:t>
      </w:r>
      <w:r w:rsidR="00344DC3">
        <w:t> </w:t>
      </w:r>
      <w:r w:rsidR="00E13DFB" w:rsidRPr="00CA4ACD">
        <w:t>postanowieniami Konwencji w rozumieniu art. 35 ust. 3 lit. a, w związku z</w:t>
      </w:r>
      <w:r w:rsidR="00344DC3">
        <w:t> </w:t>
      </w:r>
      <w:r w:rsidR="00E13DFB" w:rsidRPr="00CA4ACD">
        <w:t>czym podlega odrzuceniu w trybie art. 35 ust. 4.</w:t>
      </w:r>
    </w:p>
    <w:p w:rsidR="004D28DF" w:rsidRPr="00CA4ACD" w:rsidRDefault="004D28DF" w:rsidP="00CA4ACD">
      <w:pPr>
        <w:pStyle w:val="ECHRHeading1"/>
        <w:keepNext w:val="0"/>
        <w:keepLines w:val="0"/>
      </w:pPr>
      <w:r w:rsidRPr="00CA4ACD">
        <w:t>III.  ZASTOSOWANIE ART. 41 KONWENCJI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67</w:t>
      </w:r>
      <w:r>
        <w:rPr>
          <w:noProof/>
        </w:rPr>
        <w:fldChar w:fldCharType="end"/>
      </w:r>
      <w:r w:rsidR="004D28DF" w:rsidRPr="00CA4ACD">
        <w:t>.  Artykuł 41 Konwencji stanowi:</w:t>
      </w:r>
    </w:p>
    <w:p w:rsidR="004D28DF" w:rsidRPr="00CA4ACD" w:rsidRDefault="004D28DF" w:rsidP="00344DC3">
      <w:pPr>
        <w:pStyle w:val="ECHRParaQuote"/>
        <w:ind w:firstLine="0"/>
      </w:pPr>
      <w:r w:rsidRPr="00CA4ACD">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rsidR="004D28DF" w:rsidRPr="00CA4ACD" w:rsidRDefault="004D28DF" w:rsidP="00CA4ACD">
      <w:pPr>
        <w:pStyle w:val="ECHRHeading2"/>
        <w:outlineLvl w:val="0"/>
      </w:pPr>
      <w:r w:rsidRPr="00CA4ACD">
        <w:t>A.  Szkoda</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68</w:t>
      </w:r>
      <w:r>
        <w:rPr>
          <w:noProof/>
        </w:rPr>
        <w:fldChar w:fldCharType="end"/>
      </w:r>
      <w:r w:rsidR="004D28DF" w:rsidRPr="00CA4ACD">
        <w:t>.  Skarżący domagali się 300 000 złotych (PLN) (ok. 75 000 euro (EUR)) z tytułu szkody majątkowej i niemajątkowej.</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69</w:t>
      </w:r>
      <w:r>
        <w:rPr>
          <w:noProof/>
        </w:rPr>
        <w:fldChar w:fldCharType="end"/>
      </w:r>
      <w:r w:rsidR="004D28DF" w:rsidRPr="00CA4ACD">
        <w:t>.  Rząd zakwestionował to żądanie.</w:t>
      </w:r>
    </w:p>
    <w:p w:rsidR="0092643E"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70</w:t>
      </w:r>
      <w:r>
        <w:rPr>
          <w:noProof/>
        </w:rPr>
        <w:fldChar w:fldCharType="end"/>
      </w:r>
      <w:r w:rsidR="004D28DF" w:rsidRPr="00CA4ACD">
        <w:t xml:space="preserve">.  Trybunał nie dostrzega żadnego związku </w:t>
      </w:r>
      <w:proofErr w:type="spellStart"/>
      <w:r w:rsidR="004D28DF" w:rsidRPr="00CA4ACD">
        <w:t>przyczynowo-skutkowego</w:t>
      </w:r>
      <w:proofErr w:type="spellEnd"/>
      <w:r w:rsidR="004D28DF" w:rsidRPr="00CA4ACD">
        <w:t xml:space="preserve"> między stwierdzonym naruszeniem a zarzucaną szkodą majątkową, w</w:t>
      </w:r>
      <w:r w:rsidR="00344DC3">
        <w:t> </w:t>
      </w:r>
      <w:r w:rsidR="004D28DF" w:rsidRPr="00CA4ACD">
        <w:t>związku z czym nie uwzględnia żądania. Jednocześnie Trybunał stwierdza, że wskutek przewlekłości postępowania skarżący niewątpliwie ponieśli szkodę niemajątkową. Orzekając na zasadzie słuszności, Trybunał zasądza na rzecz każdego ze skarżących kwotę 1625 EUR.</w:t>
      </w:r>
    </w:p>
    <w:p w:rsidR="004D28DF" w:rsidRPr="00CA4ACD" w:rsidRDefault="004D28DF" w:rsidP="00CA4ACD">
      <w:pPr>
        <w:pStyle w:val="ECHRHeading2"/>
        <w:outlineLvl w:val="0"/>
      </w:pPr>
      <w:r w:rsidRPr="00CA4ACD">
        <w:t>B.  Koszty i wydatki</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71</w:t>
      </w:r>
      <w:r>
        <w:rPr>
          <w:noProof/>
        </w:rPr>
        <w:fldChar w:fldCharType="end"/>
      </w:r>
      <w:r w:rsidR="004D28DF" w:rsidRPr="00CA4ACD">
        <w:t>.  Skarżący domagali się również zwrotu kosztów poniesionych przed sądami krajowymi oraz zwrotu innych wydatków, które nie są związane z</w:t>
      </w:r>
      <w:r w:rsidR="00344DC3">
        <w:t> </w:t>
      </w:r>
      <w:r w:rsidR="004D28DF" w:rsidRPr="00CA4ACD">
        <w:t>dopuszczalną skargą do Trybunału.</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72</w:t>
      </w:r>
      <w:r>
        <w:rPr>
          <w:noProof/>
        </w:rPr>
        <w:fldChar w:fldCharType="end"/>
      </w:r>
      <w:r w:rsidR="004D28DF" w:rsidRPr="00CA4ACD">
        <w:t>.  W świetle posiadanych dokumentów i orzecznictwa Trybunał odrzuca żądanie zwrotu kosztów i wydatków.</w:t>
      </w:r>
    </w:p>
    <w:p w:rsidR="004D28DF" w:rsidRPr="00CA4ACD" w:rsidRDefault="004D28DF" w:rsidP="00CA4ACD">
      <w:pPr>
        <w:pStyle w:val="ECHRHeading2"/>
        <w:outlineLvl w:val="0"/>
      </w:pPr>
      <w:r w:rsidRPr="00CA4ACD">
        <w:t>C.  Odsetki za zwłokę</w:t>
      </w:r>
    </w:p>
    <w:p w:rsidR="004D28DF" w:rsidRPr="00CA4ACD" w:rsidRDefault="0040450B" w:rsidP="00CA4ACD">
      <w:pPr>
        <w:pStyle w:val="ECHRPara"/>
      </w:pPr>
      <w:r>
        <w:rPr>
          <w:noProof/>
        </w:rPr>
        <w:fldChar w:fldCharType="begin"/>
      </w:r>
      <w:r w:rsidR="00E26111">
        <w:rPr>
          <w:noProof/>
        </w:rPr>
        <w:instrText xml:space="preserve"> SEQ level0 \*arabic </w:instrText>
      </w:r>
      <w:r>
        <w:rPr>
          <w:noProof/>
        </w:rPr>
        <w:fldChar w:fldCharType="separate"/>
      </w:r>
      <w:r w:rsidR="00CA4ACD" w:rsidRPr="00CA4ACD">
        <w:rPr>
          <w:noProof/>
        </w:rPr>
        <w:t>73</w:t>
      </w:r>
      <w:r>
        <w:rPr>
          <w:noProof/>
        </w:rPr>
        <w:fldChar w:fldCharType="end"/>
      </w:r>
      <w:r w:rsidR="004D28DF" w:rsidRPr="00CA4ACD">
        <w:t>.  Trybunał za słuszne uznaje wyznaczenie wysokości odsetek za zwłokę na podstawie marginalnej stopy procentowej Europejskiego Banku Centralnego powiększonej o trzy punkty procentowe.</w:t>
      </w:r>
    </w:p>
    <w:p w:rsidR="00DE61E0" w:rsidRPr="00CA4ACD" w:rsidRDefault="002E044C" w:rsidP="00CA4ACD">
      <w:pPr>
        <w:pStyle w:val="ECHRTitle1"/>
      </w:pPr>
      <w:r w:rsidRPr="00CA4ACD">
        <w:lastRenderedPageBreak/>
        <w:t>Z POWYŻSZYCH WZGLĘDÓW TRYBUNAŁ JEDNOGŁOŚNIE</w:t>
      </w:r>
    </w:p>
    <w:p w:rsidR="004D28DF" w:rsidRPr="00CA4ACD" w:rsidRDefault="004D28DF" w:rsidP="00CA4ACD">
      <w:pPr>
        <w:pStyle w:val="JuList"/>
      </w:pPr>
      <w:r w:rsidRPr="00CA4ACD">
        <w:t>1.  </w:t>
      </w:r>
      <w:r w:rsidRPr="00CA4ACD">
        <w:rPr>
          <w:i/>
          <w:iCs/>
        </w:rPr>
        <w:t>uznaje</w:t>
      </w:r>
      <w:r w:rsidRPr="00CA4ACD">
        <w:t xml:space="preserve"> skargę za dopuszczalną w zakresie dotyczącym przewlekłości pierwszego postępowania administracyjnego, zaś w pozostałej części – za niedopuszczalną;</w:t>
      </w:r>
    </w:p>
    <w:p w:rsidR="004D28DF" w:rsidRPr="00CA4ACD" w:rsidRDefault="004D28DF" w:rsidP="00CA4ACD">
      <w:pPr>
        <w:pStyle w:val="JuLista"/>
      </w:pPr>
    </w:p>
    <w:p w:rsidR="004D28DF" w:rsidRPr="00CA4ACD" w:rsidRDefault="004D28DF" w:rsidP="00CA4ACD">
      <w:pPr>
        <w:pStyle w:val="JuList"/>
      </w:pPr>
      <w:r w:rsidRPr="00CA4ACD">
        <w:t>2.  </w:t>
      </w:r>
      <w:r w:rsidRPr="00CA4ACD">
        <w:rPr>
          <w:i/>
          <w:iCs/>
        </w:rPr>
        <w:t>stwierdza</w:t>
      </w:r>
      <w:r w:rsidRPr="00CA4ACD">
        <w:t>, że doszło do naruszenia art. 6 ust. 1 Konwencji;</w:t>
      </w:r>
    </w:p>
    <w:p w:rsidR="004D28DF" w:rsidRPr="00CA4ACD" w:rsidRDefault="004D28DF" w:rsidP="00CA4ACD">
      <w:pPr>
        <w:pStyle w:val="JuList"/>
      </w:pPr>
    </w:p>
    <w:p w:rsidR="004D28DF" w:rsidRPr="00CA4ACD" w:rsidRDefault="004D28DF" w:rsidP="00CA4ACD">
      <w:pPr>
        <w:pStyle w:val="JuList"/>
        <w:rPr>
          <w:i/>
        </w:rPr>
      </w:pPr>
      <w:r w:rsidRPr="00CA4ACD">
        <w:t>3.  </w:t>
      </w:r>
      <w:r w:rsidR="00344DC3">
        <w:rPr>
          <w:i/>
        </w:rPr>
        <w:t>s</w:t>
      </w:r>
      <w:r w:rsidRPr="00CA4ACD">
        <w:rPr>
          <w:i/>
        </w:rPr>
        <w:t>twierdza</w:t>
      </w:r>
    </w:p>
    <w:p w:rsidR="0092643E" w:rsidRPr="00CA4ACD" w:rsidRDefault="004D28DF" w:rsidP="00CA4ACD">
      <w:pPr>
        <w:pStyle w:val="JuLista"/>
      </w:pPr>
      <w:r w:rsidRPr="00CA4ACD">
        <w:t xml:space="preserve">a)  że pozwane państwo winno, w terminie trzech miesięcy, uiścić na rzecz </w:t>
      </w:r>
      <w:r w:rsidR="002A3521">
        <w:t xml:space="preserve">każdego ze </w:t>
      </w:r>
      <w:r w:rsidRPr="00CA4ACD">
        <w:t xml:space="preserve">skarżących kwotę 1625 EUR (tysiąc sześćset dwadzieścia pięć euro) plus wszelkie </w:t>
      </w:r>
      <w:r w:rsidR="00BA2C6E">
        <w:t>należne</w:t>
      </w:r>
      <w:r w:rsidR="007D4508">
        <w:t xml:space="preserve"> </w:t>
      </w:r>
      <w:r w:rsidRPr="00CA4ACD">
        <w:t>podatk</w:t>
      </w:r>
      <w:r w:rsidR="00A6047A">
        <w:t>i</w:t>
      </w:r>
      <w:r w:rsidRPr="00CA4ACD">
        <w:t>, tytułem poniesionej szkody niemajątkowej, przeliczoną na walutę pozwanego państwa według kursu obowiązującego w dniu płatności;</w:t>
      </w:r>
    </w:p>
    <w:p w:rsidR="004D28DF" w:rsidRPr="00CA4ACD" w:rsidRDefault="004D28DF" w:rsidP="00CA4ACD">
      <w:pPr>
        <w:pStyle w:val="JuLista"/>
      </w:pPr>
      <w:r w:rsidRPr="00CA4ACD">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4D28DF" w:rsidRPr="00CA4ACD" w:rsidRDefault="004D28DF" w:rsidP="00CA4ACD">
      <w:pPr>
        <w:pStyle w:val="JuLista"/>
      </w:pPr>
    </w:p>
    <w:p w:rsidR="004D28DF" w:rsidRPr="00CA4ACD" w:rsidRDefault="004D28DF" w:rsidP="00CA4ACD">
      <w:pPr>
        <w:pStyle w:val="JuList"/>
      </w:pPr>
      <w:r w:rsidRPr="00CA4ACD">
        <w:t>4.  </w:t>
      </w:r>
      <w:r w:rsidRPr="00CA4ACD">
        <w:rPr>
          <w:i/>
          <w:iCs/>
        </w:rPr>
        <w:t xml:space="preserve">oddala </w:t>
      </w:r>
      <w:r w:rsidRPr="00CA4ACD">
        <w:t>pozostałą część roszczenia skarżących dotyczącego słusznego zadośćuczynienia.</w:t>
      </w:r>
    </w:p>
    <w:p w:rsidR="004D28DF" w:rsidRPr="00CA4ACD" w:rsidRDefault="004D28DF" w:rsidP="00CA4ACD">
      <w:pPr>
        <w:pStyle w:val="JuParaLast"/>
      </w:pPr>
      <w:r w:rsidRPr="00CA4ACD">
        <w:t>Sporządzono w języku angielskim i obwieszczono pisemnie dnia 6 grudnia 2018 r., zgodnie z regułą 77 §§ 2 i 3 Regulaminu Trybunału.</w:t>
      </w:r>
    </w:p>
    <w:p w:rsidR="00EB447C" w:rsidRPr="00CA4ACD" w:rsidRDefault="0030583C" w:rsidP="00CA4ACD">
      <w:pPr>
        <w:pStyle w:val="JuSigned"/>
      </w:pPr>
      <w:r w:rsidRPr="00CA4ACD">
        <w:tab/>
        <w:t>Abel Campos</w:t>
      </w:r>
      <w:r w:rsidRPr="00CA4ACD">
        <w:tab/>
      </w:r>
      <w:proofErr w:type="spellStart"/>
      <w:r w:rsidRPr="00CA4ACD">
        <w:t>Ksenija</w:t>
      </w:r>
      <w:proofErr w:type="spellEnd"/>
      <w:r w:rsidRPr="00CA4ACD">
        <w:t xml:space="preserve"> </w:t>
      </w:r>
      <w:proofErr w:type="spellStart"/>
      <w:r w:rsidRPr="00CA4ACD">
        <w:t>Turković</w:t>
      </w:r>
      <w:proofErr w:type="spellEnd"/>
      <w:r w:rsidRPr="00CA4ACD">
        <w:br/>
      </w:r>
      <w:r w:rsidRPr="00CA4ACD">
        <w:tab/>
        <w:t>Kanclerz</w:t>
      </w:r>
      <w:r w:rsidRPr="00CA4ACD">
        <w:tab/>
        <w:t>Przewodnicząca</w:t>
      </w:r>
    </w:p>
    <w:p w:rsidR="005B0D89" w:rsidRPr="00CA4ACD" w:rsidRDefault="005B0D89" w:rsidP="00CA4ACD">
      <w:pPr>
        <w:pStyle w:val="JuParaLast"/>
      </w:pPr>
    </w:p>
    <w:sectPr w:rsidR="005B0D89" w:rsidRPr="00CA4ACD" w:rsidSect="0092643E">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80B" w:rsidRPr="00B50C7A" w:rsidRDefault="00C0080B" w:rsidP="000055E6">
      <w:r w:rsidRPr="00B50C7A">
        <w:separator/>
      </w:r>
    </w:p>
  </w:endnote>
  <w:endnote w:type="continuationSeparator" w:id="0">
    <w:p w:rsidR="00C0080B" w:rsidRPr="00B50C7A" w:rsidRDefault="00C0080B" w:rsidP="000055E6">
      <w:r w:rsidRPr="00B50C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150BFA" w:rsidRDefault="0092643E" w:rsidP="0020718E">
    <w:pPr>
      <w:jc w:val="center"/>
    </w:pPr>
    <w:r>
      <w:rPr>
        <w:noProof/>
        <w:lang w:eastAsia="pl-PL"/>
      </w:rPr>
      <w:drawing>
        <wp:inline distT="0" distB="0" distL="0" distR="0" wp14:anchorId="2F64C06C" wp14:editId="4736CB19">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2643E" w:rsidRDefault="0092643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80B" w:rsidRPr="00B50C7A" w:rsidRDefault="00C0080B" w:rsidP="000055E6">
      <w:r w:rsidRPr="00B50C7A">
        <w:separator/>
      </w:r>
    </w:p>
  </w:footnote>
  <w:footnote w:type="continuationSeparator" w:id="0">
    <w:p w:rsidR="00C0080B" w:rsidRPr="00B50C7A" w:rsidRDefault="00C0080B" w:rsidP="000055E6">
      <w:r w:rsidRPr="00B50C7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15" w:rsidRPr="0092643E" w:rsidRDefault="00666515" w:rsidP="0092643E">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A45145" w:rsidRDefault="0092643E" w:rsidP="00A45145">
    <w:pPr>
      <w:jc w:val="center"/>
    </w:pPr>
    <w:r>
      <w:rPr>
        <w:noProof/>
        <w:lang w:eastAsia="pl-PL"/>
      </w:rPr>
      <w:drawing>
        <wp:inline distT="0" distB="0" distL="0" distR="0" wp14:anchorId="2BABFF3B" wp14:editId="006B4C8F">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66515" w:rsidRDefault="0066651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B50C7A" w:rsidRDefault="0040450B" w:rsidP="00D0189E">
    <w:pPr>
      <w:pStyle w:val="ECHRHeader"/>
    </w:pPr>
    <w:r>
      <w:rPr>
        <w:rStyle w:val="Numerstrony"/>
        <w:szCs w:val="18"/>
      </w:rPr>
      <w:fldChar w:fldCharType="begin"/>
    </w:r>
    <w:r w:rsidR="0092643E">
      <w:rPr>
        <w:rStyle w:val="Numerstrony"/>
        <w:szCs w:val="18"/>
      </w:rPr>
      <w:instrText xml:space="preserve"> PAGE </w:instrText>
    </w:r>
    <w:r>
      <w:rPr>
        <w:rStyle w:val="Numerstrony"/>
        <w:szCs w:val="18"/>
      </w:rPr>
      <w:fldChar w:fldCharType="separate"/>
    </w:r>
    <w:r w:rsidR="003F1F3F">
      <w:rPr>
        <w:rStyle w:val="Numerstrony"/>
        <w:noProof/>
        <w:szCs w:val="18"/>
      </w:rPr>
      <w:t>10</w:t>
    </w:r>
    <w:r>
      <w:rPr>
        <w:rStyle w:val="Numerstrony"/>
        <w:szCs w:val="18"/>
      </w:rPr>
      <w:fldChar w:fldCharType="end"/>
    </w:r>
    <w:r w:rsidR="0092643E">
      <w:tab/>
      <w:t xml:space="preserve">WYROK W SPRAWIE BUKOWSKI I INNI </w:t>
    </w:r>
    <w:r w:rsidR="00F67EA8">
      <w:t xml:space="preserve">PRZECIWKO </w:t>
    </w:r>
    <w:r w:rsidR="0092643E">
      <w:t>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B50C7A" w:rsidRDefault="0092643E" w:rsidP="00D0189E">
    <w:pPr>
      <w:pStyle w:val="ECHRHeader"/>
    </w:pPr>
    <w:r>
      <w:tab/>
      <w:t xml:space="preserve">WYROK W SPRAWIE BUKOWSKI I INNI </w:t>
    </w:r>
    <w:r w:rsidR="00F67EA8">
      <w:t xml:space="preserve">PRZECIWKO </w:t>
    </w:r>
    <w:r>
      <w:t>POLSCE</w:t>
    </w:r>
    <w:r w:rsidR="00F67EA8">
      <w:tab/>
    </w:r>
    <w:r w:rsidR="0040450B">
      <w:rPr>
        <w:rStyle w:val="Numerstrony"/>
      </w:rPr>
      <w:fldChar w:fldCharType="begin"/>
    </w:r>
    <w:r>
      <w:rPr>
        <w:rStyle w:val="Numerstrony"/>
      </w:rPr>
      <w:instrText xml:space="preserve"> PAGE </w:instrText>
    </w:r>
    <w:r w:rsidR="0040450B">
      <w:rPr>
        <w:rStyle w:val="Numerstrony"/>
      </w:rPr>
      <w:fldChar w:fldCharType="separate"/>
    </w:r>
    <w:r w:rsidR="003F1F3F">
      <w:rPr>
        <w:rStyle w:val="Numerstrony"/>
        <w:noProof/>
      </w:rPr>
      <w:t>9</w:t>
    </w:r>
    <w:r w:rsidR="0040450B">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648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0C521FF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91E3B8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1FA6CF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168685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7F4E0C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4A341DD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45AF4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56542F8A"/>
    <w:lvl w:ilvl="0">
      <w:start w:val="1"/>
      <w:numFmt w:val="decimal"/>
      <w:pStyle w:val="Listanumerowana"/>
      <w:lvlText w:val="%1."/>
      <w:lvlJc w:val="left"/>
      <w:pPr>
        <w:tabs>
          <w:tab w:val="num" w:pos="360"/>
        </w:tabs>
        <w:ind w:left="360" w:hanging="360"/>
      </w:pPr>
    </w:lvl>
  </w:abstractNum>
  <w:abstractNum w:abstractNumId="9">
    <w:nsid w:val="10165EA3"/>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32A0EF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48A1952"/>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9"/>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552A19"/>
    <w:rsid w:val="000041F8"/>
    <w:rsid w:val="000042A8"/>
    <w:rsid w:val="00004308"/>
    <w:rsid w:val="000055E6"/>
    <w:rsid w:val="00005BF0"/>
    <w:rsid w:val="00006FEE"/>
    <w:rsid w:val="00007154"/>
    <w:rsid w:val="000103AE"/>
    <w:rsid w:val="00011D69"/>
    <w:rsid w:val="00012AD3"/>
    <w:rsid w:val="00015C2D"/>
    <w:rsid w:val="00015F00"/>
    <w:rsid w:val="00020949"/>
    <w:rsid w:val="000212C7"/>
    <w:rsid w:val="00022C1D"/>
    <w:rsid w:val="000242AC"/>
    <w:rsid w:val="00034987"/>
    <w:rsid w:val="00043AC8"/>
    <w:rsid w:val="000602DF"/>
    <w:rsid w:val="00061B05"/>
    <w:rsid w:val="000632D5"/>
    <w:rsid w:val="000644EE"/>
    <w:rsid w:val="00066DD0"/>
    <w:rsid w:val="000925AD"/>
    <w:rsid w:val="000937DC"/>
    <w:rsid w:val="000956C7"/>
    <w:rsid w:val="00096798"/>
    <w:rsid w:val="000A24EB"/>
    <w:rsid w:val="000B4F1E"/>
    <w:rsid w:val="000B6923"/>
    <w:rsid w:val="000C2AA3"/>
    <w:rsid w:val="000C5F3C"/>
    <w:rsid w:val="000C6DCC"/>
    <w:rsid w:val="000D47AA"/>
    <w:rsid w:val="000D530C"/>
    <w:rsid w:val="000D721F"/>
    <w:rsid w:val="000E069B"/>
    <w:rsid w:val="000E0E82"/>
    <w:rsid w:val="000E1DC5"/>
    <w:rsid w:val="000E223F"/>
    <w:rsid w:val="000E7D45"/>
    <w:rsid w:val="000F7851"/>
    <w:rsid w:val="00104E23"/>
    <w:rsid w:val="00111B0C"/>
    <w:rsid w:val="0011365A"/>
    <w:rsid w:val="00120D6C"/>
    <w:rsid w:val="001257EC"/>
    <w:rsid w:val="00131A4C"/>
    <w:rsid w:val="00133D33"/>
    <w:rsid w:val="00134D64"/>
    <w:rsid w:val="00135A30"/>
    <w:rsid w:val="00135B2F"/>
    <w:rsid w:val="0013612C"/>
    <w:rsid w:val="00137FF6"/>
    <w:rsid w:val="00141650"/>
    <w:rsid w:val="00143C50"/>
    <w:rsid w:val="0016071E"/>
    <w:rsid w:val="00160AE1"/>
    <w:rsid w:val="00162A12"/>
    <w:rsid w:val="00166530"/>
    <w:rsid w:val="00180A98"/>
    <w:rsid w:val="001832BD"/>
    <w:rsid w:val="00186994"/>
    <w:rsid w:val="001943B5"/>
    <w:rsid w:val="00195134"/>
    <w:rsid w:val="00196240"/>
    <w:rsid w:val="001A145B"/>
    <w:rsid w:val="001A1FAB"/>
    <w:rsid w:val="001A674C"/>
    <w:rsid w:val="001B3B24"/>
    <w:rsid w:val="001C0F98"/>
    <w:rsid w:val="001C2A42"/>
    <w:rsid w:val="001D63ED"/>
    <w:rsid w:val="001D7348"/>
    <w:rsid w:val="001E035B"/>
    <w:rsid w:val="001E0961"/>
    <w:rsid w:val="001E3EAE"/>
    <w:rsid w:val="001E6F32"/>
    <w:rsid w:val="001F2145"/>
    <w:rsid w:val="001F3D06"/>
    <w:rsid w:val="001F6262"/>
    <w:rsid w:val="001F66FE"/>
    <w:rsid w:val="001F67B0"/>
    <w:rsid w:val="001F7B3D"/>
    <w:rsid w:val="002025AC"/>
    <w:rsid w:val="00205F9F"/>
    <w:rsid w:val="0020655F"/>
    <w:rsid w:val="00210338"/>
    <w:rsid w:val="002115FC"/>
    <w:rsid w:val="002126FC"/>
    <w:rsid w:val="0021423C"/>
    <w:rsid w:val="00220836"/>
    <w:rsid w:val="00230D00"/>
    <w:rsid w:val="002310F7"/>
    <w:rsid w:val="00231DF7"/>
    <w:rsid w:val="00231FD1"/>
    <w:rsid w:val="002339E0"/>
    <w:rsid w:val="00233CF8"/>
    <w:rsid w:val="0023575D"/>
    <w:rsid w:val="00235B4B"/>
    <w:rsid w:val="00237148"/>
    <w:rsid w:val="00242124"/>
    <w:rsid w:val="0024222D"/>
    <w:rsid w:val="00244B0E"/>
    <w:rsid w:val="00244F6C"/>
    <w:rsid w:val="002532C5"/>
    <w:rsid w:val="00257B3F"/>
    <w:rsid w:val="00260C03"/>
    <w:rsid w:val="002613E4"/>
    <w:rsid w:val="0026540E"/>
    <w:rsid w:val="00275123"/>
    <w:rsid w:val="00282240"/>
    <w:rsid w:val="00290F14"/>
    <w:rsid w:val="002948AD"/>
    <w:rsid w:val="002A01CC"/>
    <w:rsid w:val="002A3521"/>
    <w:rsid w:val="002A61B1"/>
    <w:rsid w:val="002A663C"/>
    <w:rsid w:val="002B444B"/>
    <w:rsid w:val="002B5887"/>
    <w:rsid w:val="002C0E27"/>
    <w:rsid w:val="002C3040"/>
    <w:rsid w:val="002C6BB4"/>
    <w:rsid w:val="002D022D"/>
    <w:rsid w:val="002D24BB"/>
    <w:rsid w:val="002D6181"/>
    <w:rsid w:val="002E044C"/>
    <w:rsid w:val="002E6A02"/>
    <w:rsid w:val="002F2AF7"/>
    <w:rsid w:val="002F387E"/>
    <w:rsid w:val="002F3E79"/>
    <w:rsid w:val="002F7A19"/>
    <w:rsid w:val="002F7E1C"/>
    <w:rsid w:val="00301A75"/>
    <w:rsid w:val="00302F70"/>
    <w:rsid w:val="0030336F"/>
    <w:rsid w:val="0030375E"/>
    <w:rsid w:val="0030583C"/>
    <w:rsid w:val="00312A30"/>
    <w:rsid w:val="00320F72"/>
    <w:rsid w:val="0032463E"/>
    <w:rsid w:val="003249B0"/>
    <w:rsid w:val="00326224"/>
    <w:rsid w:val="003356D0"/>
    <w:rsid w:val="00337EE4"/>
    <w:rsid w:val="00340FFD"/>
    <w:rsid w:val="003410A0"/>
    <w:rsid w:val="00344DC3"/>
    <w:rsid w:val="00347B85"/>
    <w:rsid w:val="003506B1"/>
    <w:rsid w:val="00356AC7"/>
    <w:rsid w:val="003609FA"/>
    <w:rsid w:val="00361CB4"/>
    <w:rsid w:val="00365F48"/>
    <w:rsid w:val="003710C8"/>
    <w:rsid w:val="003750BE"/>
    <w:rsid w:val="003802D6"/>
    <w:rsid w:val="00387B9D"/>
    <w:rsid w:val="0039364F"/>
    <w:rsid w:val="00394565"/>
    <w:rsid w:val="00396686"/>
    <w:rsid w:val="0039778E"/>
    <w:rsid w:val="003B4941"/>
    <w:rsid w:val="003B78EB"/>
    <w:rsid w:val="003C3D56"/>
    <w:rsid w:val="003C5714"/>
    <w:rsid w:val="003C6B9F"/>
    <w:rsid w:val="003C6E2A"/>
    <w:rsid w:val="003D0299"/>
    <w:rsid w:val="003D0C69"/>
    <w:rsid w:val="003D4B3E"/>
    <w:rsid w:val="003E6D80"/>
    <w:rsid w:val="003F05FA"/>
    <w:rsid w:val="003F1F3F"/>
    <w:rsid w:val="003F244A"/>
    <w:rsid w:val="003F30B8"/>
    <w:rsid w:val="003F4C45"/>
    <w:rsid w:val="003F5F7B"/>
    <w:rsid w:val="003F7D64"/>
    <w:rsid w:val="0040450B"/>
    <w:rsid w:val="00414300"/>
    <w:rsid w:val="0042358F"/>
    <w:rsid w:val="00425C67"/>
    <w:rsid w:val="00427E7A"/>
    <w:rsid w:val="00432730"/>
    <w:rsid w:val="00436C49"/>
    <w:rsid w:val="00445366"/>
    <w:rsid w:val="00447F5B"/>
    <w:rsid w:val="00452109"/>
    <w:rsid w:val="0045568E"/>
    <w:rsid w:val="00461DB0"/>
    <w:rsid w:val="00463926"/>
    <w:rsid w:val="00463A8F"/>
    <w:rsid w:val="00464C9A"/>
    <w:rsid w:val="00466A90"/>
    <w:rsid w:val="00474F3D"/>
    <w:rsid w:val="00477E3A"/>
    <w:rsid w:val="00483E5F"/>
    <w:rsid w:val="00485FF9"/>
    <w:rsid w:val="004907F0"/>
    <w:rsid w:val="0049140B"/>
    <w:rsid w:val="004923A5"/>
    <w:rsid w:val="00496BFB"/>
    <w:rsid w:val="004A15C7"/>
    <w:rsid w:val="004A5A55"/>
    <w:rsid w:val="004A5D5E"/>
    <w:rsid w:val="004B013B"/>
    <w:rsid w:val="004B112B"/>
    <w:rsid w:val="004C01E4"/>
    <w:rsid w:val="004C086C"/>
    <w:rsid w:val="004C1F56"/>
    <w:rsid w:val="004C27BC"/>
    <w:rsid w:val="004C6C2B"/>
    <w:rsid w:val="004D1012"/>
    <w:rsid w:val="004D15F3"/>
    <w:rsid w:val="004D28DF"/>
    <w:rsid w:val="004D5311"/>
    <w:rsid w:val="004D5DCC"/>
    <w:rsid w:val="004E5CD1"/>
    <w:rsid w:val="004F10AF"/>
    <w:rsid w:val="004F11A4"/>
    <w:rsid w:val="004F2389"/>
    <w:rsid w:val="004F304D"/>
    <w:rsid w:val="004F61BE"/>
    <w:rsid w:val="004F66B1"/>
    <w:rsid w:val="004F6D31"/>
    <w:rsid w:val="0050011D"/>
    <w:rsid w:val="0050258B"/>
    <w:rsid w:val="00511C07"/>
    <w:rsid w:val="0051386B"/>
    <w:rsid w:val="005173A6"/>
    <w:rsid w:val="00520BAA"/>
    <w:rsid w:val="005220E9"/>
    <w:rsid w:val="00525208"/>
    <w:rsid w:val="005257A5"/>
    <w:rsid w:val="005264C0"/>
    <w:rsid w:val="00526A8A"/>
    <w:rsid w:val="00531D59"/>
    <w:rsid w:val="00531DF2"/>
    <w:rsid w:val="00541F00"/>
    <w:rsid w:val="00542E76"/>
    <w:rsid w:val="005442EE"/>
    <w:rsid w:val="00547353"/>
    <w:rsid w:val="005474E7"/>
    <w:rsid w:val="005512A3"/>
    <w:rsid w:val="00551A06"/>
    <w:rsid w:val="00552A19"/>
    <w:rsid w:val="005578CE"/>
    <w:rsid w:val="00562781"/>
    <w:rsid w:val="00566DF9"/>
    <w:rsid w:val="0057271C"/>
    <w:rsid w:val="00572845"/>
    <w:rsid w:val="00592772"/>
    <w:rsid w:val="005946D5"/>
    <w:rsid w:val="0059574A"/>
    <w:rsid w:val="00597EE1"/>
    <w:rsid w:val="005A1B9B"/>
    <w:rsid w:val="005A6751"/>
    <w:rsid w:val="005B092E"/>
    <w:rsid w:val="005B0D89"/>
    <w:rsid w:val="005B152C"/>
    <w:rsid w:val="005B1EE0"/>
    <w:rsid w:val="005B2B24"/>
    <w:rsid w:val="005B4425"/>
    <w:rsid w:val="005B4B94"/>
    <w:rsid w:val="005C1C5D"/>
    <w:rsid w:val="005C3A6B"/>
    <w:rsid w:val="005C3EE8"/>
    <w:rsid w:val="005D22AC"/>
    <w:rsid w:val="005D34F9"/>
    <w:rsid w:val="005D4190"/>
    <w:rsid w:val="005D57F5"/>
    <w:rsid w:val="005D67A3"/>
    <w:rsid w:val="005D7D44"/>
    <w:rsid w:val="005E2988"/>
    <w:rsid w:val="005E3085"/>
    <w:rsid w:val="005F51E1"/>
    <w:rsid w:val="00611C80"/>
    <w:rsid w:val="00620692"/>
    <w:rsid w:val="006242CA"/>
    <w:rsid w:val="00627507"/>
    <w:rsid w:val="006314FD"/>
    <w:rsid w:val="00633717"/>
    <w:rsid w:val="006344E1"/>
    <w:rsid w:val="00637248"/>
    <w:rsid w:val="006377EA"/>
    <w:rsid w:val="00647475"/>
    <w:rsid w:val="006502D3"/>
    <w:rsid w:val="006538BA"/>
    <w:rsid w:val="00653C66"/>
    <w:rsid w:val="006545C4"/>
    <w:rsid w:val="00661971"/>
    <w:rsid w:val="00661CE8"/>
    <w:rsid w:val="006623D9"/>
    <w:rsid w:val="00664DF1"/>
    <w:rsid w:val="0066550C"/>
    <w:rsid w:val="00666515"/>
    <w:rsid w:val="006716F2"/>
    <w:rsid w:val="00671DBA"/>
    <w:rsid w:val="00682BF2"/>
    <w:rsid w:val="006847A0"/>
    <w:rsid w:val="006859CE"/>
    <w:rsid w:val="00691270"/>
    <w:rsid w:val="00694BA8"/>
    <w:rsid w:val="006A037C"/>
    <w:rsid w:val="006A36F4"/>
    <w:rsid w:val="006A406F"/>
    <w:rsid w:val="006A4B6E"/>
    <w:rsid w:val="006A5D3A"/>
    <w:rsid w:val="006B1289"/>
    <w:rsid w:val="006B2773"/>
    <w:rsid w:val="006C23D4"/>
    <w:rsid w:val="006C7BB0"/>
    <w:rsid w:val="006D028D"/>
    <w:rsid w:val="006D12A7"/>
    <w:rsid w:val="006D3237"/>
    <w:rsid w:val="006D4B81"/>
    <w:rsid w:val="006E2E37"/>
    <w:rsid w:val="006E3CF1"/>
    <w:rsid w:val="006E3DF5"/>
    <w:rsid w:val="006E7E80"/>
    <w:rsid w:val="006F48CA"/>
    <w:rsid w:val="006F64DD"/>
    <w:rsid w:val="0070642A"/>
    <w:rsid w:val="00715127"/>
    <w:rsid w:val="00715E8E"/>
    <w:rsid w:val="00721D3A"/>
    <w:rsid w:val="00723580"/>
    <w:rsid w:val="00723755"/>
    <w:rsid w:val="0073136C"/>
    <w:rsid w:val="00731F0F"/>
    <w:rsid w:val="00733250"/>
    <w:rsid w:val="00734240"/>
    <w:rsid w:val="00741404"/>
    <w:rsid w:val="0074285E"/>
    <w:rsid w:val="007449E5"/>
    <w:rsid w:val="00747FF0"/>
    <w:rsid w:val="00764D4E"/>
    <w:rsid w:val="00765A1F"/>
    <w:rsid w:val="00775B6D"/>
    <w:rsid w:val="00776D68"/>
    <w:rsid w:val="00783F38"/>
    <w:rsid w:val="007850EE"/>
    <w:rsid w:val="00785B95"/>
    <w:rsid w:val="00790E96"/>
    <w:rsid w:val="00793366"/>
    <w:rsid w:val="007A0F8A"/>
    <w:rsid w:val="007A58C0"/>
    <w:rsid w:val="007A716F"/>
    <w:rsid w:val="007B270A"/>
    <w:rsid w:val="007C0695"/>
    <w:rsid w:val="007C419A"/>
    <w:rsid w:val="007C4CC8"/>
    <w:rsid w:val="007C5426"/>
    <w:rsid w:val="007C5798"/>
    <w:rsid w:val="007C7C2F"/>
    <w:rsid w:val="007D4508"/>
    <w:rsid w:val="007D4832"/>
    <w:rsid w:val="007D61D9"/>
    <w:rsid w:val="007D7B88"/>
    <w:rsid w:val="007E21B2"/>
    <w:rsid w:val="007E2C4E"/>
    <w:rsid w:val="007E5E77"/>
    <w:rsid w:val="007E6DF6"/>
    <w:rsid w:val="007F1905"/>
    <w:rsid w:val="007F4509"/>
    <w:rsid w:val="00802C64"/>
    <w:rsid w:val="00805E52"/>
    <w:rsid w:val="008061D0"/>
    <w:rsid w:val="008062C2"/>
    <w:rsid w:val="00807ACB"/>
    <w:rsid w:val="00810144"/>
    <w:rsid w:val="00810B38"/>
    <w:rsid w:val="008204C7"/>
    <w:rsid w:val="00820992"/>
    <w:rsid w:val="00823602"/>
    <w:rsid w:val="008255F5"/>
    <w:rsid w:val="0082561B"/>
    <w:rsid w:val="0083014E"/>
    <w:rsid w:val="0083214A"/>
    <w:rsid w:val="00834220"/>
    <w:rsid w:val="00845723"/>
    <w:rsid w:val="00851EF9"/>
    <w:rsid w:val="008577FD"/>
    <w:rsid w:val="00860B03"/>
    <w:rsid w:val="0086497A"/>
    <w:rsid w:val="008660E0"/>
    <w:rsid w:val="00866902"/>
    <w:rsid w:val="0086704E"/>
    <w:rsid w:val="008713A1"/>
    <w:rsid w:val="008754AB"/>
    <w:rsid w:val="0088060C"/>
    <w:rsid w:val="00893576"/>
    <w:rsid w:val="00893E73"/>
    <w:rsid w:val="008A7883"/>
    <w:rsid w:val="008B02DC"/>
    <w:rsid w:val="008B57CE"/>
    <w:rsid w:val="008C26DE"/>
    <w:rsid w:val="008C2D79"/>
    <w:rsid w:val="008C5462"/>
    <w:rsid w:val="008D2225"/>
    <w:rsid w:val="008D4752"/>
    <w:rsid w:val="008D75C5"/>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1CC"/>
    <w:rsid w:val="0092643E"/>
    <w:rsid w:val="00926F38"/>
    <w:rsid w:val="0093401C"/>
    <w:rsid w:val="00934144"/>
    <w:rsid w:val="00934301"/>
    <w:rsid w:val="00936CD1"/>
    <w:rsid w:val="00941747"/>
    <w:rsid w:val="00941EFB"/>
    <w:rsid w:val="00943304"/>
    <w:rsid w:val="00947AFB"/>
    <w:rsid w:val="00951D7D"/>
    <w:rsid w:val="009630C7"/>
    <w:rsid w:val="00972B55"/>
    <w:rsid w:val="00973109"/>
    <w:rsid w:val="009743B7"/>
    <w:rsid w:val="0098228B"/>
    <w:rsid w:val="009828DA"/>
    <w:rsid w:val="00985BAB"/>
    <w:rsid w:val="0098725D"/>
    <w:rsid w:val="009A6DEA"/>
    <w:rsid w:val="009B0D6F"/>
    <w:rsid w:val="009B1B5F"/>
    <w:rsid w:val="009B6673"/>
    <w:rsid w:val="009C191B"/>
    <w:rsid w:val="009C2BD6"/>
    <w:rsid w:val="009E1F32"/>
    <w:rsid w:val="009E2741"/>
    <w:rsid w:val="009E776C"/>
    <w:rsid w:val="00A01F8B"/>
    <w:rsid w:val="00A02D3B"/>
    <w:rsid w:val="00A13042"/>
    <w:rsid w:val="00A1726E"/>
    <w:rsid w:val="00A204CF"/>
    <w:rsid w:val="00A21049"/>
    <w:rsid w:val="00A2321D"/>
    <w:rsid w:val="00A23D49"/>
    <w:rsid w:val="00A26026"/>
    <w:rsid w:val="00A27004"/>
    <w:rsid w:val="00A30C29"/>
    <w:rsid w:val="00A34DD6"/>
    <w:rsid w:val="00A35A82"/>
    <w:rsid w:val="00A36819"/>
    <w:rsid w:val="00A36989"/>
    <w:rsid w:val="00A427E9"/>
    <w:rsid w:val="00A43628"/>
    <w:rsid w:val="00A44914"/>
    <w:rsid w:val="00A54192"/>
    <w:rsid w:val="00A6035E"/>
    <w:rsid w:val="00A6047A"/>
    <w:rsid w:val="00A6144C"/>
    <w:rsid w:val="00A63CC6"/>
    <w:rsid w:val="00A66617"/>
    <w:rsid w:val="00A671F8"/>
    <w:rsid w:val="00A673A4"/>
    <w:rsid w:val="00A724AE"/>
    <w:rsid w:val="00A73329"/>
    <w:rsid w:val="00A806BD"/>
    <w:rsid w:val="00A82359"/>
    <w:rsid w:val="00A865D2"/>
    <w:rsid w:val="00A94C20"/>
    <w:rsid w:val="00AA1551"/>
    <w:rsid w:val="00AA227F"/>
    <w:rsid w:val="00AA3BC7"/>
    <w:rsid w:val="00AA754A"/>
    <w:rsid w:val="00AB099E"/>
    <w:rsid w:val="00AB0C9D"/>
    <w:rsid w:val="00AB4328"/>
    <w:rsid w:val="00AC7CC4"/>
    <w:rsid w:val="00AE0A2E"/>
    <w:rsid w:val="00AE354C"/>
    <w:rsid w:val="00AE3905"/>
    <w:rsid w:val="00AF076D"/>
    <w:rsid w:val="00AF2C8B"/>
    <w:rsid w:val="00AF4B07"/>
    <w:rsid w:val="00AF6186"/>
    <w:rsid w:val="00AF6511"/>
    <w:rsid w:val="00AF7969"/>
    <w:rsid w:val="00AF7A3A"/>
    <w:rsid w:val="00B014D9"/>
    <w:rsid w:val="00B160DB"/>
    <w:rsid w:val="00B20836"/>
    <w:rsid w:val="00B235BB"/>
    <w:rsid w:val="00B27A44"/>
    <w:rsid w:val="00B30BBF"/>
    <w:rsid w:val="00B33C03"/>
    <w:rsid w:val="00B40E37"/>
    <w:rsid w:val="00B44E56"/>
    <w:rsid w:val="00B46543"/>
    <w:rsid w:val="00B47D33"/>
    <w:rsid w:val="00B50C7A"/>
    <w:rsid w:val="00B52BE0"/>
    <w:rsid w:val="00B54133"/>
    <w:rsid w:val="00B701ED"/>
    <w:rsid w:val="00B8086C"/>
    <w:rsid w:val="00B861B4"/>
    <w:rsid w:val="00B865E3"/>
    <w:rsid w:val="00B86DFE"/>
    <w:rsid w:val="00B90990"/>
    <w:rsid w:val="00B922FF"/>
    <w:rsid w:val="00B9281E"/>
    <w:rsid w:val="00B93925"/>
    <w:rsid w:val="00B95187"/>
    <w:rsid w:val="00BA2033"/>
    <w:rsid w:val="00BA2C6E"/>
    <w:rsid w:val="00BA2D55"/>
    <w:rsid w:val="00BA595E"/>
    <w:rsid w:val="00BA71B1"/>
    <w:rsid w:val="00BB0210"/>
    <w:rsid w:val="00BB0637"/>
    <w:rsid w:val="00BB345F"/>
    <w:rsid w:val="00BB4C87"/>
    <w:rsid w:val="00BB68EA"/>
    <w:rsid w:val="00BC1C27"/>
    <w:rsid w:val="00BC6BBF"/>
    <w:rsid w:val="00BD1572"/>
    <w:rsid w:val="00BE14E3"/>
    <w:rsid w:val="00BE29DB"/>
    <w:rsid w:val="00BE3774"/>
    <w:rsid w:val="00BE41E5"/>
    <w:rsid w:val="00BE7337"/>
    <w:rsid w:val="00BF4109"/>
    <w:rsid w:val="00BF4CC3"/>
    <w:rsid w:val="00C0080B"/>
    <w:rsid w:val="00C054C7"/>
    <w:rsid w:val="00C057B5"/>
    <w:rsid w:val="00C22687"/>
    <w:rsid w:val="00C3194F"/>
    <w:rsid w:val="00C32E4D"/>
    <w:rsid w:val="00C333A0"/>
    <w:rsid w:val="00C36A81"/>
    <w:rsid w:val="00C36AC0"/>
    <w:rsid w:val="00C41974"/>
    <w:rsid w:val="00C438F3"/>
    <w:rsid w:val="00C46DBA"/>
    <w:rsid w:val="00C510F4"/>
    <w:rsid w:val="00C53F4A"/>
    <w:rsid w:val="00C54125"/>
    <w:rsid w:val="00C55B54"/>
    <w:rsid w:val="00C6098E"/>
    <w:rsid w:val="00C6152C"/>
    <w:rsid w:val="00C72A42"/>
    <w:rsid w:val="00C74810"/>
    <w:rsid w:val="00C82550"/>
    <w:rsid w:val="00C90D68"/>
    <w:rsid w:val="00C939FE"/>
    <w:rsid w:val="00CA36A9"/>
    <w:rsid w:val="00CA4ACD"/>
    <w:rsid w:val="00CA4BDA"/>
    <w:rsid w:val="00CB1F66"/>
    <w:rsid w:val="00CB28D4"/>
    <w:rsid w:val="00CB2951"/>
    <w:rsid w:val="00CB332F"/>
    <w:rsid w:val="00CD282B"/>
    <w:rsid w:val="00CD4C35"/>
    <w:rsid w:val="00CD7369"/>
    <w:rsid w:val="00CD777E"/>
    <w:rsid w:val="00CE0B0E"/>
    <w:rsid w:val="00CE3831"/>
    <w:rsid w:val="00CE684A"/>
    <w:rsid w:val="00D00ABB"/>
    <w:rsid w:val="00D0189E"/>
    <w:rsid w:val="00D02EEC"/>
    <w:rsid w:val="00D03551"/>
    <w:rsid w:val="00D06A63"/>
    <w:rsid w:val="00D07E0E"/>
    <w:rsid w:val="00D11478"/>
    <w:rsid w:val="00D13881"/>
    <w:rsid w:val="00D15ED0"/>
    <w:rsid w:val="00D21B3E"/>
    <w:rsid w:val="00D21FED"/>
    <w:rsid w:val="00D24251"/>
    <w:rsid w:val="00D343E2"/>
    <w:rsid w:val="00D361A2"/>
    <w:rsid w:val="00D44C2E"/>
    <w:rsid w:val="00D45414"/>
    <w:rsid w:val="00D46837"/>
    <w:rsid w:val="00D566BD"/>
    <w:rsid w:val="00D57A4D"/>
    <w:rsid w:val="00D60AA7"/>
    <w:rsid w:val="00D6435F"/>
    <w:rsid w:val="00D66777"/>
    <w:rsid w:val="00D75E28"/>
    <w:rsid w:val="00D772C2"/>
    <w:rsid w:val="00D8008E"/>
    <w:rsid w:val="00D82C45"/>
    <w:rsid w:val="00D908A8"/>
    <w:rsid w:val="00D96A5A"/>
    <w:rsid w:val="00D977B6"/>
    <w:rsid w:val="00DA4A31"/>
    <w:rsid w:val="00DA7B04"/>
    <w:rsid w:val="00DB36C2"/>
    <w:rsid w:val="00DB639A"/>
    <w:rsid w:val="00DC169B"/>
    <w:rsid w:val="00DC2AB9"/>
    <w:rsid w:val="00DC48B4"/>
    <w:rsid w:val="00DC63F0"/>
    <w:rsid w:val="00DD1AAB"/>
    <w:rsid w:val="00DD6EE5"/>
    <w:rsid w:val="00DE386C"/>
    <w:rsid w:val="00DE4D35"/>
    <w:rsid w:val="00DE61E0"/>
    <w:rsid w:val="00DF06DD"/>
    <w:rsid w:val="00DF098B"/>
    <w:rsid w:val="00DF11C4"/>
    <w:rsid w:val="00DF210C"/>
    <w:rsid w:val="00DF4B6A"/>
    <w:rsid w:val="00E02C09"/>
    <w:rsid w:val="00E04D59"/>
    <w:rsid w:val="00E07DA1"/>
    <w:rsid w:val="00E123CB"/>
    <w:rsid w:val="00E13DFB"/>
    <w:rsid w:val="00E20E13"/>
    <w:rsid w:val="00E21DBC"/>
    <w:rsid w:val="00E26111"/>
    <w:rsid w:val="00E275D7"/>
    <w:rsid w:val="00E27DBE"/>
    <w:rsid w:val="00E32AB1"/>
    <w:rsid w:val="00E36C71"/>
    <w:rsid w:val="00E40404"/>
    <w:rsid w:val="00E459C6"/>
    <w:rsid w:val="00E47589"/>
    <w:rsid w:val="00E64915"/>
    <w:rsid w:val="00E661D4"/>
    <w:rsid w:val="00E70091"/>
    <w:rsid w:val="00E720F5"/>
    <w:rsid w:val="00E75400"/>
    <w:rsid w:val="00E760EB"/>
    <w:rsid w:val="00E765F8"/>
    <w:rsid w:val="00E76D47"/>
    <w:rsid w:val="00E772C4"/>
    <w:rsid w:val="00E849F7"/>
    <w:rsid w:val="00E90302"/>
    <w:rsid w:val="00E97396"/>
    <w:rsid w:val="00EA185E"/>
    <w:rsid w:val="00EA581C"/>
    <w:rsid w:val="00EA592A"/>
    <w:rsid w:val="00EB14E4"/>
    <w:rsid w:val="00EB32A5"/>
    <w:rsid w:val="00EB34ED"/>
    <w:rsid w:val="00EB447C"/>
    <w:rsid w:val="00EB7BE0"/>
    <w:rsid w:val="00EC315E"/>
    <w:rsid w:val="00ED077C"/>
    <w:rsid w:val="00ED1190"/>
    <w:rsid w:val="00ED1D40"/>
    <w:rsid w:val="00ED6544"/>
    <w:rsid w:val="00EE0277"/>
    <w:rsid w:val="00EE3E00"/>
    <w:rsid w:val="00EE5DD2"/>
    <w:rsid w:val="00F0049F"/>
    <w:rsid w:val="00F00A79"/>
    <w:rsid w:val="00F00E86"/>
    <w:rsid w:val="00F04A5D"/>
    <w:rsid w:val="00F06BD2"/>
    <w:rsid w:val="00F07C1E"/>
    <w:rsid w:val="00F105DB"/>
    <w:rsid w:val="00F10EAF"/>
    <w:rsid w:val="00F11335"/>
    <w:rsid w:val="00F12F92"/>
    <w:rsid w:val="00F132BC"/>
    <w:rsid w:val="00F13ADD"/>
    <w:rsid w:val="00F13D80"/>
    <w:rsid w:val="00F16AAA"/>
    <w:rsid w:val="00F21161"/>
    <w:rsid w:val="00F218EF"/>
    <w:rsid w:val="00F21BC7"/>
    <w:rsid w:val="00F266A2"/>
    <w:rsid w:val="00F32269"/>
    <w:rsid w:val="00F35CA5"/>
    <w:rsid w:val="00F45819"/>
    <w:rsid w:val="00F47747"/>
    <w:rsid w:val="00F511F3"/>
    <w:rsid w:val="00F56A6F"/>
    <w:rsid w:val="00F5709C"/>
    <w:rsid w:val="00F64EF1"/>
    <w:rsid w:val="00F67EA8"/>
    <w:rsid w:val="00F74B33"/>
    <w:rsid w:val="00F8765F"/>
    <w:rsid w:val="00F90767"/>
    <w:rsid w:val="00FA685B"/>
    <w:rsid w:val="00FB0C01"/>
    <w:rsid w:val="00FB0F60"/>
    <w:rsid w:val="00FB4952"/>
    <w:rsid w:val="00FC11A0"/>
    <w:rsid w:val="00FC18F2"/>
    <w:rsid w:val="00FC39E5"/>
    <w:rsid w:val="00FC3A78"/>
    <w:rsid w:val="00FD1005"/>
    <w:rsid w:val="00FD6C75"/>
    <w:rsid w:val="00FE71B3"/>
    <w:rsid w:val="00FF0BF1"/>
    <w:rsid w:val="00FF42C5"/>
    <w:rsid w:val="00FF56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1D59"/>
    <w:pPr>
      <w:jc w:val="both"/>
    </w:pPr>
    <w:rPr>
      <w:rFonts w:eastAsiaTheme="minorEastAsia"/>
      <w:sz w:val="24"/>
    </w:rPr>
  </w:style>
  <w:style w:type="paragraph" w:styleId="Nagwek1">
    <w:name w:val="heading 1"/>
    <w:basedOn w:val="Normalny"/>
    <w:next w:val="Normalny"/>
    <w:link w:val="Nagwek1Znak"/>
    <w:uiPriority w:val="99"/>
    <w:semiHidden/>
    <w:rsid w:val="00531D5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1D5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1D5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1D5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1D5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1D5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1D5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1D5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1D5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1D59"/>
    <w:rPr>
      <w:rFonts w:ascii="Tahoma" w:hAnsi="Tahoma" w:cs="Tahoma"/>
      <w:sz w:val="16"/>
      <w:szCs w:val="16"/>
    </w:rPr>
  </w:style>
  <w:style w:type="character" w:customStyle="1" w:styleId="TekstdymkaZnak">
    <w:name w:val="Tekst dymka Znak"/>
    <w:basedOn w:val="Domylnaczcionkaakapitu"/>
    <w:link w:val="Tekstdymka"/>
    <w:uiPriority w:val="99"/>
    <w:semiHidden/>
    <w:rsid w:val="00531D59"/>
    <w:rPr>
      <w:rFonts w:ascii="Tahoma" w:eastAsiaTheme="minorEastAsia" w:hAnsi="Tahoma" w:cs="Tahoma"/>
      <w:sz w:val="16"/>
      <w:szCs w:val="16"/>
      <w:lang w:val="pl-PL"/>
    </w:rPr>
  </w:style>
  <w:style w:type="character" w:styleId="Tytuksiki">
    <w:name w:val="Book Title"/>
    <w:uiPriority w:val="99"/>
    <w:semiHidden/>
    <w:qFormat/>
    <w:rsid w:val="00531D59"/>
    <w:rPr>
      <w:i/>
      <w:iCs/>
      <w:smallCaps/>
      <w:spacing w:val="5"/>
    </w:rPr>
  </w:style>
  <w:style w:type="paragraph" w:customStyle="1" w:styleId="ECHRHeader">
    <w:name w:val="ECHR_Header"/>
    <w:aliases w:val="Ju_Header"/>
    <w:basedOn w:val="Nagwek"/>
    <w:uiPriority w:val="4"/>
    <w:qFormat/>
    <w:rsid w:val="00531D5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1D59"/>
    <w:pPr>
      <w:jc w:val="left"/>
    </w:pPr>
    <w:rPr>
      <w:sz w:val="8"/>
    </w:rPr>
  </w:style>
  <w:style w:type="character" w:styleId="Pogrubienie">
    <w:name w:val="Strong"/>
    <w:uiPriority w:val="99"/>
    <w:semiHidden/>
    <w:qFormat/>
    <w:rsid w:val="00531D59"/>
    <w:rPr>
      <w:b/>
      <w:bCs/>
    </w:rPr>
  </w:style>
  <w:style w:type="paragraph" w:styleId="Bezodstpw">
    <w:name w:val="No Spacing"/>
    <w:basedOn w:val="Normalny"/>
    <w:link w:val="BezodstpwZnak"/>
    <w:semiHidden/>
    <w:qFormat/>
    <w:rsid w:val="00531D59"/>
    <w:rPr>
      <w:sz w:val="22"/>
    </w:rPr>
  </w:style>
  <w:style w:type="character" w:customStyle="1" w:styleId="BezodstpwZnak">
    <w:name w:val="Bez odstępów Znak"/>
    <w:basedOn w:val="Domylnaczcionkaakapitu"/>
    <w:link w:val="Bezodstpw"/>
    <w:semiHidden/>
    <w:rsid w:val="00531D59"/>
    <w:rPr>
      <w:rFonts w:eastAsiaTheme="minorEastAsia"/>
    </w:rPr>
  </w:style>
  <w:style w:type="paragraph" w:customStyle="1" w:styleId="ECHRFooterLine">
    <w:name w:val="ECHR_Footer_Line"/>
    <w:aliases w:val="Footer_Line"/>
    <w:basedOn w:val="Normalny"/>
    <w:next w:val="ECHRFooter"/>
    <w:uiPriority w:val="57"/>
    <w:semiHidden/>
    <w:rsid w:val="00531D5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1D59"/>
  </w:style>
  <w:style w:type="paragraph" w:customStyle="1" w:styleId="DecList">
    <w:name w:val="Dec_List"/>
    <w:basedOn w:val="Normalny"/>
    <w:uiPriority w:val="9"/>
    <w:semiHidden/>
    <w:qFormat/>
    <w:rsid w:val="00531D59"/>
    <w:pPr>
      <w:spacing w:before="240"/>
      <w:ind w:left="284"/>
    </w:pPr>
  </w:style>
  <w:style w:type="paragraph" w:customStyle="1" w:styleId="DummyStyle">
    <w:name w:val="Dummy_Style"/>
    <w:basedOn w:val="Normalny"/>
    <w:semiHidden/>
    <w:qFormat/>
    <w:rsid w:val="00531D59"/>
    <w:rPr>
      <w:color w:val="00B050"/>
    </w:rPr>
  </w:style>
  <w:style w:type="paragraph" w:customStyle="1" w:styleId="ECHRTitleCentre3">
    <w:name w:val="ECHR_Title_Centre_3"/>
    <w:aliases w:val="Ju_H_Article"/>
    <w:basedOn w:val="Normalny"/>
    <w:next w:val="ECHRParaQuote"/>
    <w:uiPriority w:val="27"/>
    <w:qFormat/>
    <w:rsid w:val="00531D5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1D5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1D59"/>
    <w:pPr>
      <w:numPr>
        <w:numId w:val="35"/>
      </w:numPr>
      <w:jc w:val="left"/>
    </w:pPr>
    <w:rPr>
      <w:b/>
    </w:rPr>
  </w:style>
  <w:style w:type="paragraph" w:customStyle="1" w:styleId="JuCourt">
    <w:name w:val="Ju_Court"/>
    <w:basedOn w:val="Normalny"/>
    <w:next w:val="Normalny"/>
    <w:uiPriority w:val="16"/>
    <w:qFormat/>
    <w:rsid w:val="00531D59"/>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31D59"/>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31D59"/>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31D59"/>
    <w:pPr>
      <w:ind w:left="794"/>
    </w:pPr>
  </w:style>
  <w:style w:type="paragraph" w:styleId="Tytu">
    <w:name w:val="Title"/>
    <w:basedOn w:val="Normalny"/>
    <w:next w:val="Normalny"/>
    <w:link w:val="TytuZnak"/>
    <w:uiPriority w:val="99"/>
    <w:semiHidden/>
    <w:qFormat/>
    <w:rsid w:val="00531D5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1D59"/>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531D59"/>
    <w:rPr>
      <w:caps w:val="0"/>
      <w:smallCaps/>
    </w:rPr>
  </w:style>
  <w:style w:type="paragraph" w:customStyle="1" w:styleId="ECHRHeading3">
    <w:name w:val="ECHR_Heading_3"/>
    <w:aliases w:val="Ju_H_1."/>
    <w:basedOn w:val="Nagwek3"/>
    <w:next w:val="ECHRPara"/>
    <w:uiPriority w:val="21"/>
    <w:qFormat/>
    <w:rsid w:val="00531D5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1D5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1D5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1D5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31D59"/>
    <w:pPr>
      <w:keepNext/>
      <w:keepLines/>
      <w:spacing w:before="240" w:after="120"/>
      <w:ind w:left="1236"/>
    </w:pPr>
    <w:rPr>
      <w:sz w:val="20"/>
    </w:rPr>
  </w:style>
  <w:style w:type="paragraph" w:customStyle="1" w:styleId="JuParaSub">
    <w:name w:val="Ju_Para_Sub"/>
    <w:basedOn w:val="ECHRPara"/>
    <w:uiPriority w:val="13"/>
    <w:qFormat/>
    <w:rsid w:val="00531D59"/>
    <w:pPr>
      <w:ind w:left="284"/>
    </w:pPr>
  </w:style>
  <w:style w:type="paragraph" w:customStyle="1" w:styleId="JuQuotSub">
    <w:name w:val="Ju_Quot_Sub"/>
    <w:basedOn w:val="ECHRParaQuote"/>
    <w:uiPriority w:val="15"/>
    <w:qFormat/>
    <w:rsid w:val="00531D59"/>
    <w:pPr>
      <w:ind w:left="567"/>
    </w:pPr>
  </w:style>
  <w:style w:type="paragraph" w:styleId="Nagwek">
    <w:name w:val="header"/>
    <w:basedOn w:val="Normalny"/>
    <w:link w:val="NagwekZnak"/>
    <w:uiPriority w:val="57"/>
    <w:semiHidden/>
    <w:rsid w:val="00531D5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1D59"/>
    <w:rPr>
      <w:sz w:val="24"/>
      <w:lang w:val="pl-PL"/>
    </w:rPr>
  </w:style>
  <w:style w:type="character" w:customStyle="1" w:styleId="Nagwek1Znak">
    <w:name w:val="Nagłówek 1 Znak"/>
    <w:basedOn w:val="Domylnaczcionkaakapitu"/>
    <w:link w:val="Nagwek1"/>
    <w:uiPriority w:val="99"/>
    <w:semiHidden/>
    <w:rsid w:val="00531D59"/>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link w:val="JuHIRomanChar"/>
    <w:uiPriority w:val="19"/>
    <w:qFormat/>
    <w:rsid w:val="00531D5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1D5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1D59"/>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531D59"/>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31D59"/>
    <w:pPr>
      <w:ind w:left="635" w:hanging="357"/>
      <w:outlineLvl w:val="2"/>
    </w:pPr>
  </w:style>
  <w:style w:type="character" w:customStyle="1" w:styleId="Nagwek3Znak">
    <w:name w:val="Nagłówek 3 Znak"/>
    <w:basedOn w:val="Domylnaczcionkaakapitu"/>
    <w:link w:val="Nagwek3"/>
    <w:uiPriority w:val="99"/>
    <w:semiHidden/>
    <w:rsid w:val="00531D59"/>
    <w:rPr>
      <w:rFonts w:asciiTheme="majorHAnsi" w:eastAsiaTheme="majorEastAsia" w:hAnsiTheme="majorHAnsi" w:cstheme="majorBidi"/>
      <w:b/>
      <w:bCs/>
      <w:color w:val="5F5F5F"/>
      <w:sz w:val="24"/>
      <w:lang w:val="pl-PL"/>
    </w:rPr>
  </w:style>
  <w:style w:type="paragraph" w:customStyle="1" w:styleId="ECHRDecisionBody">
    <w:name w:val="ECHR_Decision_Body"/>
    <w:aliases w:val="Ju_Judges"/>
    <w:basedOn w:val="Normalny"/>
    <w:uiPriority w:val="11"/>
    <w:qFormat/>
    <w:rsid w:val="00531D59"/>
    <w:pPr>
      <w:tabs>
        <w:tab w:val="left" w:pos="567"/>
        <w:tab w:val="left" w:pos="1134"/>
      </w:tabs>
      <w:jc w:val="left"/>
    </w:pPr>
  </w:style>
  <w:style w:type="paragraph" w:customStyle="1" w:styleId="ECHRPara">
    <w:name w:val="ECHR_Para"/>
    <w:aliases w:val="Ju_Para"/>
    <w:basedOn w:val="Normalny"/>
    <w:link w:val="ECHRParaChar"/>
    <w:uiPriority w:val="12"/>
    <w:qFormat/>
    <w:rsid w:val="00531D59"/>
    <w:pPr>
      <w:ind w:firstLine="284"/>
    </w:pPr>
  </w:style>
  <w:style w:type="character" w:customStyle="1" w:styleId="Nagwek4Znak">
    <w:name w:val="Nagłówek 4 Znak"/>
    <w:basedOn w:val="Domylnaczcionkaakapitu"/>
    <w:link w:val="Nagwek4"/>
    <w:uiPriority w:val="99"/>
    <w:semiHidden/>
    <w:rsid w:val="00531D59"/>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531D59"/>
    <w:pPr>
      <w:ind w:left="340" w:hanging="340"/>
    </w:pPr>
  </w:style>
  <w:style w:type="character" w:customStyle="1" w:styleId="Nagwek5Znak">
    <w:name w:val="Nagłówek 5 Znak"/>
    <w:basedOn w:val="Domylnaczcionkaakapitu"/>
    <w:link w:val="Nagwek5"/>
    <w:uiPriority w:val="99"/>
    <w:semiHidden/>
    <w:rsid w:val="00531D59"/>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531D59"/>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531D59"/>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1D59"/>
    <w:pPr>
      <w:keepNext/>
      <w:keepLines/>
      <w:spacing w:before="720" w:after="240"/>
      <w:outlineLvl w:val="0"/>
    </w:pPr>
    <w:rPr>
      <w:rFonts w:asciiTheme="majorHAnsi" w:hAnsiTheme="majorHAnsi"/>
      <w:sz w:val="28"/>
    </w:rPr>
  </w:style>
  <w:style w:type="character" w:styleId="Uwydatnienie">
    <w:name w:val="Emphasis"/>
    <w:uiPriority w:val="99"/>
    <w:semiHidden/>
    <w:qFormat/>
    <w:rsid w:val="00531D59"/>
    <w:rPr>
      <w:b/>
      <w:bCs/>
      <w:i/>
      <w:iCs/>
      <w:spacing w:val="10"/>
      <w:bdr w:val="none" w:sz="0" w:space="0" w:color="auto"/>
      <w:shd w:val="clear" w:color="auto" w:fill="auto"/>
    </w:rPr>
  </w:style>
  <w:style w:type="paragraph" w:styleId="Stopka">
    <w:name w:val="footer"/>
    <w:basedOn w:val="Normalny"/>
    <w:link w:val="StopkaZnak"/>
    <w:uiPriority w:val="57"/>
    <w:semiHidden/>
    <w:rsid w:val="00531D5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1D59"/>
    <w:rPr>
      <w:sz w:val="24"/>
      <w:lang w:val="pl-PL"/>
    </w:rPr>
  </w:style>
  <w:style w:type="character" w:styleId="Odwoanieprzypisudolnego">
    <w:name w:val="footnote reference"/>
    <w:basedOn w:val="Domylnaczcionkaakapitu"/>
    <w:uiPriority w:val="99"/>
    <w:semiHidden/>
    <w:rsid w:val="00531D59"/>
    <w:rPr>
      <w:vertAlign w:val="superscript"/>
    </w:rPr>
  </w:style>
  <w:style w:type="paragraph" w:styleId="Tekstprzypisudolnego">
    <w:name w:val="footnote text"/>
    <w:basedOn w:val="Normalny"/>
    <w:link w:val="TekstprzypisudolnegoZnak"/>
    <w:uiPriority w:val="99"/>
    <w:semiHidden/>
    <w:rsid w:val="00531D59"/>
    <w:rPr>
      <w:sz w:val="20"/>
      <w:szCs w:val="20"/>
    </w:rPr>
  </w:style>
  <w:style w:type="character" w:customStyle="1" w:styleId="TekstprzypisudolnegoZnak">
    <w:name w:val="Tekst przypisu dolnego Znak"/>
    <w:basedOn w:val="Domylnaczcionkaakapitu"/>
    <w:link w:val="Tekstprzypisudolnego"/>
    <w:uiPriority w:val="99"/>
    <w:semiHidden/>
    <w:rsid w:val="00531D59"/>
    <w:rPr>
      <w:rFonts w:eastAsiaTheme="minorEastAsia"/>
      <w:sz w:val="20"/>
      <w:szCs w:val="20"/>
      <w:lang w:val="pl-PL"/>
    </w:rPr>
  </w:style>
  <w:style w:type="character" w:customStyle="1" w:styleId="Nagwek6Znak">
    <w:name w:val="Nagłówek 6 Znak"/>
    <w:basedOn w:val="Domylnaczcionkaakapitu"/>
    <w:link w:val="Nagwek6"/>
    <w:uiPriority w:val="99"/>
    <w:semiHidden/>
    <w:rsid w:val="00531D59"/>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31D5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1D5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1D5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1D59"/>
    <w:rPr>
      <w:color w:val="0072BC" w:themeColor="hyperlink"/>
      <w:u w:val="single"/>
    </w:rPr>
  </w:style>
  <w:style w:type="character" w:styleId="Wyrnienieintensywne">
    <w:name w:val="Intense Emphasis"/>
    <w:uiPriority w:val="99"/>
    <w:semiHidden/>
    <w:qFormat/>
    <w:rsid w:val="00531D59"/>
    <w:rPr>
      <w:b/>
      <w:bCs/>
    </w:rPr>
  </w:style>
  <w:style w:type="paragraph" w:styleId="Cytatintensywny">
    <w:name w:val="Intense Quote"/>
    <w:basedOn w:val="Normalny"/>
    <w:next w:val="Normalny"/>
    <w:link w:val="CytatintensywnyZnak"/>
    <w:uiPriority w:val="99"/>
    <w:semiHidden/>
    <w:qFormat/>
    <w:rsid w:val="00531D5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1D59"/>
    <w:rPr>
      <w:rFonts w:eastAsiaTheme="minorEastAsia"/>
      <w:b/>
      <w:bCs/>
      <w:i/>
      <w:iCs/>
      <w:lang w:bidi="en-US"/>
    </w:rPr>
  </w:style>
  <w:style w:type="character" w:styleId="Odwoanieintensywne">
    <w:name w:val="Intense Reference"/>
    <w:uiPriority w:val="99"/>
    <w:semiHidden/>
    <w:qFormat/>
    <w:rsid w:val="00531D59"/>
    <w:rPr>
      <w:smallCaps/>
      <w:spacing w:val="5"/>
      <w:u w:val="single"/>
    </w:rPr>
  </w:style>
  <w:style w:type="paragraph" w:styleId="Akapitzlist">
    <w:name w:val="List Paragraph"/>
    <w:basedOn w:val="Normalny"/>
    <w:uiPriority w:val="99"/>
    <w:semiHidden/>
    <w:qFormat/>
    <w:rsid w:val="00531D5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1D59"/>
    <w:pPr>
      <w:spacing w:before="200"/>
      <w:ind w:left="360" w:right="360"/>
    </w:pPr>
    <w:rPr>
      <w:i/>
      <w:iCs/>
      <w:sz w:val="22"/>
      <w:lang w:bidi="en-US"/>
    </w:rPr>
  </w:style>
  <w:style w:type="character" w:customStyle="1" w:styleId="CytatZnak">
    <w:name w:val="Cytat Znak"/>
    <w:basedOn w:val="Domylnaczcionkaakapitu"/>
    <w:link w:val="Cytat"/>
    <w:uiPriority w:val="99"/>
    <w:semiHidden/>
    <w:rsid w:val="00531D59"/>
    <w:rPr>
      <w:rFonts w:eastAsiaTheme="minorEastAsia"/>
      <w:i/>
      <w:iCs/>
      <w:lang w:bidi="en-US"/>
    </w:rPr>
  </w:style>
  <w:style w:type="character" w:styleId="Odwoaniedelikatne">
    <w:name w:val="Subtle Reference"/>
    <w:uiPriority w:val="99"/>
    <w:semiHidden/>
    <w:qFormat/>
    <w:rsid w:val="00531D59"/>
    <w:rPr>
      <w:smallCaps/>
    </w:rPr>
  </w:style>
  <w:style w:type="table" w:styleId="Tabela-Siatka">
    <w:name w:val="Table Grid"/>
    <w:basedOn w:val="Standardowy"/>
    <w:uiPriority w:val="59"/>
    <w:semiHidden/>
    <w:rsid w:val="00531D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1D5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1D5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1D5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1D5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1D5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1D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1D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31D5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1D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531D59"/>
    <w:pPr>
      <w:keepNext/>
      <w:keepLines/>
      <w:spacing w:before="240"/>
      <w:ind w:firstLine="284"/>
    </w:pPr>
  </w:style>
  <w:style w:type="paragraph" w:customStyle="1" w:styleId="JuCase">
    <w:name w:val="Ju_Case"/>
    <w:basedOn w:val="Normalny"/>
    <w:next w:val="ECHRPara"/>
    <w:uiPriority w:val="10"/>
    <w:rsid w:val="00531D59"/>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531D59"/>
    <w:pPr>
      <w:ind w:left="346" w:firstLine="0"/>
    </w:pPr>
  </w:style>
  <w:style w:type="paragraph" w:customStyle="1" w:styleId="OpiHa">
    <w:name w:val="Opi_H_a"/>
    <w:basedOn w:val="ECHRHeading3"/>
    <w:uiPriority w:val="43"/>
    <w:qFormat/>
    <w:rsid w:val="00531D59"/>
    <w:pPr>
      <w:ind w:left="833" w:hanging="357"/>
      <w:outlineLvl w:val="3"/>
    </w:pPr>
    <w:rPr>
      <w:b/>
      <w:i w:val="0"/>
      <w:sz w:val="20"/>
    </w:r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531D59"/>
    <w:rPr>
      <w:vertAlign w:val="superscript"/>
    </w:rPr>
  </w:style>
  <w:style w:type="paragraph" w:styleId="Tekstprzypisukocowego">
    <w:name w:val="endnote text"/>
    <w:basedOn w:val="Normalny"/>
    <w:link w:val="TekstprzypisukocowegoZnak"/>
    <w:uiPriority w:val="99"/>
    <w:semiHidden/>
    <w:rsid w:val="00531D59"/>
    <w:rPr>
      <w:sz w:val="20"/>
      <w:szCs w:val="20"/>
    </w:rPr>
  </w:style>
  <w:style w:type="character" w:customStyle="1" w:styleId="TekstprzypisukocowegoZnak">
    <w:name w:val="Tekst przypisu końcowego Znak"/>
    <w:basedOn w:val="Domylnaczcionkaakapitu"/>
    <w:link w:val="Tekstprzypisukocowego"/>
    <w:uiPriority w:val="99"/>
    <w:semiHidden/>
    <w:rsid w:val="00531D59"/>
    <w:rPr>
      <w:rFonts w:eastAsiaTheme="minorEastAsia"/>
      <w:sz w:val="20"/>
      <w:szCs w:val="20"/>
      <w:lang w:val="pl-PL"/>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531D5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31D5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1D5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pl-PL" w:eastAsia="fr-FR"/>
    </w:rPr>
  </w:style>
  <w:style w:type="table" w:styleId="redniasiatka1">
    <w:name w:val="Medium Grid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531D5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1D5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1D5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0">
    <w:name w:val="Opi_H_A"/>
    <w:basedOn w:val="ECHRHeading1"/>
    <w:next w:val="OpiPara"/>
    <w:uiPriority w:val="41"/>
    <w:qFormat/>
    <w:rsid w:val="00531D59"/>
    <w:pPr>
      <w:tabs>
        <w:tab w:val="clear" w:pos="357"/>
      </w:tabs>
      <w:outlineLvl w:val="1"/>
    </w:pPr>
    <w:rPr>
      <w:b/>
    </w:rPr>
  </w:style>
  <w:style w:type="paragraph" w:customStyle="1" w:styleId="OpiHi">
    <w:name w:val="Opi_H_i"/>
    <w:basedOn w:val="ECHRHeading4"/>
    <w:uiPriority w:val="44"/>
    <w:qFormat/>
    <w:rsid w:val="00531D59"/>
    <w:pPr>
      <w:ind w:left="1037" w:hanging="357"/>
      <w:outlineLvl w:val="4"/>
    </w:pPr>
    <w:rPr>
      <w:b w:val="0"/>
      <w:i/>
    </w:rPr>
  </w:style>
  <w:style w:type="paragraph" w:customStyle="1" w:styleId="OpiPara">
    <w:name w:val="Opi_Para"/>
    <w:basedOn w:val="ECHRPara"/>
    <w:uiPriority w:val="46"/>
    <w:qFormat/>
    <w:rsid w:val="00531D59"/>
  </w:style>
  <w:style w:type="paragraph" w:customStyle="1" w:styleId="OpiParaSub">
    <w:name w:val="Opi_Para_Sub"/>
    <w:basedOn w:val="JuParaSub"/>
    <w:uiPriority w:val="47"/>
    <w:qFormat/>
    <w:rsid w:val="00531D59"/>
  </w:style>
  <w:style w:type="paragraph" w:customStyle="1" w:styleId="OpiQuot">
    <w:name w:val="Opi_Quot"/>
    <w:basedOn w:val="ECHRParaQuote"/>
    <w:uiPriority w:val="48"/>
    <w:qFormat/>
    <w:rsid w:val="00531D59"/>
  </w:style>
  <w:style w:type="paragraph" w:customStyle="1" w:styleId="OpiQuotSub">
    <w:name w:val="Opi_Quot_Sub"/>
    <w:basedOn w:val="JuQuotSub"/>
    <w:uiPriority w:val="49"/>
    <w:qFormat/>
    <w:rsid w:val="00531D59"/>
  </w:style>
  <w:style w:type="paragraph" w:customStyle="1" w:styleId="OpiTranslation">
    <w:name w:val="Opi_Translation"/>
    <w:basedOn w:val="Normalny"/>
    <w:next w:val="OpiPara"/>
    <w:uiPriority w:val="40"/>
    <w:qFormat/>
    <w:rsid w:val="00531D59"/>
    <w:pPr>
      <w:jc w:val="center"/>
      <w:outlineLvl w:val="0"/>
    </w:pPr>
    <w:rPr>
      <w:i/>
    </w:rPr>
  </w:style>
  <w:style w:type="paragraph" w:customStyle="1" w:styleId="JuHeaderLandscape">
    <w:name w:val="Ju_Header_Landscape"/>
    <w:basedOn w:val="ECHRHeader"/>
    <w:uiPriority w:val="4"/>
    <w:qFormat/>
    <w:rsid w:val="00531D5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D28DF"/>
    <w:rPr>
      <w:rFonts w:eastAsiaTheme="minorEastAsia"/>
      <w:sz w:val="24"/>
      <w:lang w:val="pl-PL"/>
    </w:rPr>
  </w:style>
  <w:style w:type="character" w:customStyle="1" w:styleId="JuHIRomanChar">
    <w:name w:val="Ju_H_I_Roman Char"/>
    <w:link w:val="ECHRHeading1"/>
    <w:uiPriority w:val="19"/>
    <w:rsid w:val="004D28DF"/>
    <w:rPr>
      <w:rFonts w:asciiTheme="majorHAnsi" w:eastAsiaTheme="majorEastAsia" w:hAnsiTheme="majorHAnsi" w:cstheme="majorBidi"/>
      <w:bCs/>
      <w:sz w:val="24"/>
      <w:szCs w:val="28"/>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1D59"/>
    <w:pPr>
      <w:jc w:val="both"/>
    </w:pPr>
    <w:rPr>
      <w:rFonts w:eastAsiaTheme="minorEastAsia"/>
      <w:sz w:val="24"/>
    </w:rPr>
  </w:style>
  <w:style w:type="paragraph" w:styleId="Nagwek1">
    <w:name w:val="heading 1"/>
    <w:basedOn w:val="Normalny"/>
    <w:next w:val="Normalny"/>
    <w:link w:val="Nagwek1Znak"/>
    <w:uiPriority w:val="99"/>
    <w:semiHidden/>
    <w:rsid w:val="00531D5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1D5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1D5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1D5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1D5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1D5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1D5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1D5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1D5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1D59"/>
    <w:rPr>
      <w:rFonts w:ascii="Tahoma" w:hAnsi="Tahoma" w:cs="Tahoma"/>
      <w:sz w:val="16"/>
      <w:szCs w:val="16"/>
    </w:rPr>
  </w:style>
  <w:style w:type="character" w:customStyle="1" w:styleId="TekstdymkaZnak">
    <w:name w:val="Tekst dymka Znak"/>
    <w:basedOn w:val="Domylnaczcionkaakapitu"/>
    <w:link w:val="Tekstdymka"/>
    <w:uiPriority w:val="99"/>
    <w:semiHidden/>
    <w:rsid w:val="00531D59"/>
    <w:rPr>
      <w:rFonts w:ascii="Tahoma" w:eastAsiaTheme="minorEastAsia" w:hAnsi="Tahoma" w:cs="Tahoma"/>
      <w:sz w:val="16"/>
      <w:szCs w:val="16"/>
      <w:lang w:val="pl-PL"/>
    </w:rPr>
  </w:style>
  <w:style w:type="character" w:styleId="Tytuksiki">
    <w:name w:val="Book Title"/>
    <w:uiPriority w:val="99"/>
    <w:semiHidden/>
    <w:qFormat/>
    <w:rsid w:val="00531D59"/>
    <w:rPr>
      <w:i/>
      <w:iCs/>
      <w:smallCaps/>
      <w:spacing w:val="5"/>
    </w:rPr>
  </w:style>
  <w:style w:type="paragraph" w:customStyle="1" w:styleId="ECHRHeader">
    <w:name w:val="ECHR_Header"/>
    <w:aliases w:val="Ju_Header"/>
    <w:basedOn w:val="Nagwek"/>
    <w:uiPriority w:val="4"/>
    <w:qFormat/>
    <w:rsid w:val="00531D5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1D59"/>
    <w:pPr>
      <w:jc w:val="left"/>
    </w:pPr>
    <w:rPr>
      <w:sz w:val="8"/>
    </w:rPr>
  </w:style>
  <w:style w:type="character" w:styleId="Pogrubienie">
    <w:name w:val="Strong"/>
    <w:uiPriority w:val="99"/>
    <w:semiHidden/>
    <w:qFormat/>
    <w:rsid w:val="00531D59"/>
    <w:rPr>
      <w:b/>
      <w:bCs/>
    </w:rPr>
  </w:style>
  <w:style w:type="paragraph" w:styleId="Bezodstpw">
    <w:name w:val="No Spacing"/>
    <w:basedOn w:val="Normalny"/>
    <w:link w:val="BezodstpwZnak"/>
    <w:semiHidden/>
    <w:qFormat/>
    <w:rsid w:val="00531D59"/>
    <w:rPr>
      <w:sz w:val="22"/>
    </w:rPr>
  </w:style>
  <w:style w:type="character" w:customStyle="1" w:styleId="BezodstpwZnak">
    <w:name w:val="Bez odstępów Znak"/>
    <w:basedOn w:val="Domylnaczcionkaakapitu"/>
    <w:link w:val="Bezodstpw"/>
    <w:semiHidden/>
    <w:rsid w:val="00531D59"/>
    <w:rPr>
      <w:rFonts w:eastAsiaTheme="minorEastAsia"/>
    </w:rPr>
  </w:style>
  <w:style w:type="paragraph" w:customStyle="1" w:styleId="ECHRFooterLine">
    <w:name w:val="ECHR_Footer_Line"/>
    <w:aliases w:val="Footer_Line"/>
    <w:basedOn w:val="Normalny"/>
    <w:next w:val="ECHRFooter"/>
    <w:uiPriority w:val="57"/>
    <w:semiHidden/>
    <w:rsid w:val="00531D5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1D59"/>
  </w:style>
  <w:style w:type="paragraph" w:customStyle="1" w:styleId="DecList">
    <w:name w:val="Dec_List"/>
    <w:basedOn w:val="Normalny"/>
    <w:uiPriority w:val="9"/>
    <w:semiHidden/>
    <w:qFormat/>
    <w:rsid w:val="00531D59"/>
    <w:pPr>
      <w:spacing w:before="240"/>
      <w:ind w:left="284"/>
    </w:pPr>
  </w:style>
  <w:style w:type="paragraph" w:customStyle="1" w:styleId="DummyStyle">
    <w:name w:val="Dummy_Style"/>
    <w:basedOn w:val="Normalny"/>
    <w:semiHidden/>
    <w:qFormat/>
    <w:rsid w:val="00531D59"/>
    <w:rPr>
      <w:color w:val="00B050"/>
    </w:rPr>
  </w:style>
  <w:style w:type="paragraph" w:customStyle="1" w:styleId="ECHRTitleCentre3">
    <w:name w:val="ECHR_Title_Centre_3"/>
    <w:aliases w:val="Ju_H_Article"/>
    <w:basedOn w:val="Normalny"/>
    <w:next w:val="ECHRParaQuote"/>
    <w:uiPriority w:val="27"/>
    <w:qFormat/>
    <w:rsid w:val="00531D5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1D5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1D59"/>
    <w:pPr>
      <w:numPr>
        <w:numId w:val="35"/>
      </w:numPr>
      <w:jc w:val="left"/>
    </w:pPr>
    <w:rPr>
      <w:b/>
    </w:rPr>
  </w:style>
  <w:style w:type="paragraph" w:customStyle="1" w:styleId="JuCourt">
    <w:name w:val="Ju_Court"/>
    <w:basedOn w:val="Normalny"/>
    <w:next w:val="Normalny"/>
    <w:uiPriority w:val="16"/>
    <w:qFormat/>
    <w:rsid w:val="00531D59"/>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31D59"/>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31D59"/>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31D59"/>
    <w:pPr>
      <w:ind w:left="794"/>
    </w:pPr>
  </w:style>
  <w:style w:type="paragraph" w:styleId="Tytu">
    <w:name w:val="Title"/>
    <w:basedOn w:val="Normalny"/>
    <w:next w:val="Normalny"/>
    <w:link w:val="TytuZnak"/>
    <w:uiPriority w:val="99"/>
    <w:semiHidden/>
    <w:qFormat/>
    <w:rsid w:val="00531D5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1D59"/>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531D59"/>
    <w:rPr>
      <w:caps w:val="0"/>
      <w:smallCaps/>
    </w:rPr>
  </w:style>
  <w:style w:type="paragraph" w:customStyle="1" w:styleId="ECHRHeading3">
    <w:name w:val="ECHR_Heading_3"/>
    <w:aliases w:val="Ju_H_1."/>
    <w:basedOn w:val="Nagwek3"/>
    <w:next w:val="ECHRPara"/>
    <w:uiPriority w:val="21"/>
    <w:qFormat/>
    <w:rsid w:val="00531D5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1D5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1D5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1D5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31D59"/>
    <w:pPr>
      <w:keepNext/>
      <w:keepLines/>
      <w:spacing w:before="240" w:after="120"/>
      <w:ind w:left="1236"/>
    </w:pPr>
    <w:rPr>
      <w:sz w:val="20"/>
    </w:rPr>
  </w:style>
  <w:style w:type="paragraph" w:customStyle="1" w:styleId="JuParaSub">
    <w:name w:val="Ju_Para_Sub"/>
    <w:basedOn w:val="ECHRPara"/>
    <w:uiPriority w:val="13"/>
    <w:qFormat/>
    <w:rsid w:val="00531D59"/>
    <w:pPr>
      <w:ind w:left="284"/>
    </w:pPr>
  </w:style>
  <w:style w:type="paragraph" w:customStyle="1" w:styleId="JuQuotSub">
    <w:name w:val="Ju_Quot_Sub"/>
    <w:basedOn w:val="ECHRParaQuote"/>
    <w:uiPriority w:val="15"/>
    <w:qFormat/>
    <w:rsid w:val="00531D59"/>
    <w:pPr>
      <w:ind w:left="567"/>
    </w:pPr>
  </w:style>
  <w:style w:type="paragraph" w:styleId="Nagwek">
    <w:name w:val="header"/>
    <w:basedOn w:val="Normalny"/>
    <w:link w:val="NagwekZnak"/>
    <w:uiPriority w:val="57"/>
    <w:semiHidden/>
    <w:rsid w:val="00531D5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1D59"/>
    <w:rPr>
      <w:sz w:val="24"/>
      <w:lang w:val="pl-PL"/>
    </w:rPr>
  </w:style>
  <w:style w:type="character" w:customStyle="1" w:styleId="Nagwek1Znak">
    <w:name w:val="Nagłówek 1 Znak"/>
    <w:basedOn w:val="Domylnaczcionkaakapitu"/>
    <w:link w:val="Nagwek1"/>
    <w:uiPriority w:val="99"/>
    <w:semiHidden/>
    <w:rsid w:val="00531D59"/>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link w:val="JuHIRomanChar"/>
    <w:uiPriority w:val="19"/>
    <w:qFormat/>
    <w:rsid w:val="00531D5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1D5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1D59"/>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531D59"/>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31D59"/>
    <w:pPr>
      <w:ind w:left="635" w:hanging="357"/>
      <w:outlineLvl w:val="2"/>
    </w:pPr>
  </w:style>
  <w:style w:type="character" w:customStyle="1" w:styleId="Nagwek3Znak">
    <w:name w:val="Nagłówek 3 Znak"/>
    <w:basedOn w:val="Domylnaczcionkaakapitu"/>
    <w:link w:val="Nagwek3"/>
    <w:uiPriority w:val="99"/>
    <w:semiHidden/>
    <w:rsid w:val="00531D59"/>
    <w:rPr>
      <w:rFonts w:asciiTheme="majorHAnsi" w:eastAsiaTheme="majorEastAsia" w:hAnsiTheme="majorHAnsi" w:cstheme="majorBidi"/>
      <w:b/>
      <w:bCs/>
      <w:color w:val="5F5F5F"/>
      <w:sz w:val="24"/>
      <w:lang w:val="pl-PL"/>
    </w:rPr>
  </w:style>
  <w:style w:type="paragraph" w:customStyle="1" w:styleId="ECHRDecisionBody">
    <w:name w:val="ECHR_Decision_Body"/>
    <w:aliases w:val="Ju_Judges"/>
    <w:basedOn w:val="Normalny"/>
    <w:uiPriority w:val="11"/>
    <w:qFormat/>
    <w:rsid w:val="00531D59"/>
    <w:pPr>
      <w:tabs>
        <w:tab w:val="left" w:pos="567"/>
        <w:tab w:val="left" w:pos="1134"/>
      </w:tabs>
      <w:jc w:val="left"/>
    </w:pPr>
  </w:style>
  <w:style w:type="paragraph" w:customStyle="1" w:styleId="ECHRPara">
    <w:name w:val="ECHR_Para"/>
    <w:aliases w:val="Ju_Para"/>
    <w:basedOn w:val="Normalny"/>
    <w:link w:val="ECHRParaChar"/>
    <w:uiPriority w:val="12"/>
    <w:qFormat/>
    <w:rsid w:val="00531D59"/>
    <w:pPr>
      <w:ind w:firstLine="284"/>
    </w:pPr>
  </w:style>
  <w:style w:type="character" w:customStyle="1" w:styleId="Nagwek4Znak">
    <w:name w:val="Nagłówek 4 Znak"/>
    <w:basedOn w:val="Domylnaczcionkaakapitu"/>
    <w:link w:val="Nagwek4"/>
    <w:uiPriority w:val="99"/>
    <w:semiHidden/>
    <w:rsid w:val="00531D59"/>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531D59"/>
    <w:pPr>
      <w:ind w:left="340" w:hanging="340"/>
    </w:pPr>
  </w:style>
  <w:style w:type="character" w:customStyle="1" w:styleId="Nagwek5Znak">
    <w:name w:val="Nagłówek 5 Znak"/>
    <w:basedOn w:val="Domylnaczcionkaakapitu"/>
    <w:link w:val="Nagwek5"/>
    <w:uiPriority w:val="99"/>
    <w:semiHidden/>
    <w:rsid w:val="00531D59"/>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531D59"/>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531D59"/>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1D59"/>
    <w:pPr>
      <w:keepNext/>
      <w:keepLines/>
      <w:spacing w:before="720" w:after="240"/>
      <w:outlineLvl w:val="0"/>
    </w:pPr>
    <w:rPr>
      <w:rFonts w:asciiTheme="majorHAnsi" w:hAnsiTheme="majorHAnsi"/>
      <w:sz w:val="28"/>
    </w:rPr>
  </w:style>
  <w:style w:type="character" w:styleId="Uwydatnienie">
    <w:name w:val="Emphasis"/>
    <w:uiPriority w:val="99"/>
    <w:semiHidden/>
    <w:qFormat/>
    <w:rsid w:val="00531D59"/>
    <w:rPr>
      <w:b/>
      <w:bCs/>
      <w:i/>
      <w:iCs/>
      <w:spacing w:val="10"/>
      <w:bdr w:val="none" w:sz="0" w:space="0" w:color="auto"/>
      <w:shd w:val="clear" w:color="auto" w:fill="auto"/>
    </w:rPr>
  </w:style>
  <w:style w:type="paragraph" w:styleId="Stopka">
    <w:name w:val="footer"/>
    <w:basedOn w:val="Normalny"/>
    <w:link w:val="StopkaZnak"/>
    <w:uiPriority w:val="57"/>
    <w:semiHidden/>
    <w:rsid w:val="00531D5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1D59"/>
    <w:rPr>
      <w:sz w:val="24"/>
      <w:lang w:val="pl-PL"/>
    </w:rPr>
  </w:style>
  <w:style w:type="character" w:styleId="Odwoanieprzypisudolnego">
    <w:name w:val="footnote reference"/>
    <w:basedOn w:val="Domylnaczcionkaakapitu"/>
    <w:uiPriority w:val="99"/>
    <w:semiHidden/>
    <w:rsid w:val="00531D59"/>
    <w:rPr>
      <w:vertAlign w:val="superscript"/>
    </w:rPr>
  </w:style>
  <w:style w:type="paragraph" w:styleId="Tekstprzypisudolnego">
    <w:name w:val="footnote text"/>
    <w:basedOn w:val="Normalny"/>
    <w:link w:val="TekstprzypisudolnegoZnak"/>
    <w:uiPriority w:val="99"/>
    <w:semiHidden/>
    <w:rsid w:val="00531D59"/>
    <w:rPr>
      <w:sz w:val="20"/>
      <w:szCs w:val="20"/>
    </w:rPr>
  </w:style>
  <w:style w:type="character" w:customStyle="1" w:styleId="TekstprzypisudolnegoZnak">
    <w:name w:val="Tekst przypisu dolnego Znak"/>
    <w:basedOn w:val="Domylnaczcionkaakapitu"/>
    <w:link w:val="Tekstprzypisudolnego"/>
    <w:uiPriority w:val="99"/>
    <w:semiHidden/>
    <w:rsid w:val="00531D59"/>
    <w:rPr>
      <w:rFonts w:eastAsiaTheme="minorEastAsia"/>
      <w:sz w:val="20"/>
      <w:szCs w:val="20"/>
      <w:lang w:val="pl-PL"/>
    </w:rPr>
  </w:style>
  <w:style w:type="character" w:customStyle="1" w:styleId="Nagwek6Znak">
    <w:name w:val="Nagłówek 6 Znak"/>
    <w:basedOn w:val="Domylnaczcionkaakapitu"/>
    <w:link w:val="Nagwek6"/>
    <w:uiPriority w:val="99"/>
    <w:semiHidden/>
    <w:rsid w:val="00531D59"/>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31D5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1D5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1D5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1D59"/>
    <w:rPr>
      <w:color w:val="0072BC" w:themeColor="hyperlink"/>
      <w:u w:val="single"/>
    </w:rPr>
  </w:style>
  <w:style w:type="character" w:styleId="Wyrnienieintensywne">
    <w:name w:val="Intense Emphasis"/>
    <w:uiPriority w:val="99"/>
    <w:semiHidden/>
    <w:qFormat/>
    <w:rsid w:val="00531D59"/>
    <w:rPr>
      <w:b/>
      <w:bCs/>
    </w:rPr>
  </w:style>
  <w:style w:type="paragraph" w:styleId="Cytatintensywny">
    <w:name w:val="Intense Quote"/>
    <w:basedOn w:val="Normalny"/>
    <w:next w:val="Normalny"/>
    <w:link w:val="CytatintensywnyZnak"/>
    <w:uiPriority w:val="99"/>
    <w:semiHidden/>
    <w:qFormat/>
    <w:rsid w:val="00531D5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1D59"/>
    <w:rPr>
      <w:rFonts w:eastAsiaTheme="minorEastAsia"/>
      <w:b/>
      <w:bCs/>
      <w:i/>
      <w:iCs/>
      <w:lang w:bidi="en-US"/>
    </w:rPr>
  </w:style>
  <w:style w:type="character" w:styleId="Odwoanieintensywne">
    <w:name w:val="Intense Reference"/>
    <w:uiPriority w:val="99"/>
    <w:semiHidden/>
    <w:qFormat/>
    <w:rsid w:val="00531D59"/>
    <w:rPr>
      <w:smallCaps/>
      <w:spacing w:val="5"/>
      <w:u w:val="single"/>
    </w:rPr>
  </w:style>
  <w:style w:type="paragraph" w:styleId="Akapitzlist">
    <w:name w:val="List Paragraph"/>
    <w:basedOn w:val="Normalny"/>
    <w:uiPriority w:val="99"/>
    <w:semiHidden/>
    <w:qFormat/>
    <w:rsid w:val="00531D5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1D59"/>
    <w:pPr>
      <w:spacing w:before="200"/>
      <w:ind w:left="360" w:right="360"/>
    </w:pPr>
    <w:rPr>
      <w:i/>
      <w:iCs/>
      <w:sz w:val="22"/>
      <w:lang w:bidi="en-US"/>
    </w:rPr>
  </w:style>
  <w:style w:type="character" w:customStyle="1" w:styleId="CytatZnak">
    <w:name w:val="Cytat Znak"/>
    <w:basedOn w:val="Domylnaczcionkaakapitu"/>
    <w:link w:val="Cytat"/>
    <w:uiPriority w:val="99"/>
    <w:semiHidden/>
    <w:rsid w:val="00531D59"/>
    <w:rPr>
      <w:rFonts w:eastAsiaTheme="minorEastAsia"/>
      <w:i/>
      <w:iCs/>
      <w:lang w:bidi="en-US"/>
    </w:rPr>
  </w:style>
  <w:style w:type="character" w:styleId="Odwoaniedelikatne">
    <w:name w:val="Subtle Reference"/>
    <w:uiPriority w:val="99"/>
    <w:semiHidden/>
    <w:qFormat/>
    <w:rsid w:val="00531D59"/>
    <w:rPr>
      <w:smallCaps/>
    </w:rPr>
  </w:style>
  <w:style w:type="table" w:styleId="Tabela-Siatka">
    <w:name w:val="Table Grid"/>
    <w:basedOn w:val="Standardowy"/>
    <w:uiPriority w:val="59"/>
    <w:semiHidden/>
    <w:rsid w:val="00531D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1D5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1D5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1D5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1D5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1D5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1D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1D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31D5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1D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531D59"/>
    <w:pPr>
      <w:keepNext/>
      <w:keepLines/>
      <w:spacing w:before="240"/>
      <w:ind w:firstLine="284"/>
    </w:pPr>
  </w:style>
  <w:style w:type="paragraph" w:customStyle="1" w:styleId="JuCase">
    <w:name w:val="Ju_Case"/>
    <w:basedOn w:val="Normalny"/>
    <w:next w:val="ECHRPara"/>
    <w:uiPriority w:val="10"/>
    <w:rsid w:val="00531D59"/>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531D59"/>
    <w:pPr>
      <w:ind w:left="346" w:firstLine="0"/>
    </w:pPr>
  </w:style>
  <w:style w:type="paragraph" w:customStyle="1" w:styleId="OpiHa">
    <w:name w:val="Opi_H_a"/>
    <w:basedOn w:val="ECHRHeading3"/>
    <w:uiPriority w:val="43"/>
    <w:qFormat/>
    <w:rsid w:val="00531D59"/>
    <w:pPr>
      <w:ind w:left="833" w:hanging="357"/>
      <w:outlineLvl w:val="3"/>
    </w:pPr>
    <w:rPr>
      <w:b/>
      <w:i w:val="0"/>
      <w:sz w:val="20"/>
    </w:r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531D59"/>
    <w:rPr>
      <w:vertAlign w:val="superscript"/>
    </w:rPr>
  </w:style>
  <w:style w:type="paragraph" w:styleId="Tekstprzypisukocowego">
    <w:name w:val="endnote text"/>
    <w:basedOn w:val="Normalny"/>
    <w:link w:val="TekstprzypisukocowegoZnak"/>
    <w:uiPriority w:val="99"/>
    <w:semiHidden/>
    <w:rsid w:val="00531D59"/>
    <w:rPr>
      <w:sz w:val="20"/>
      <w:szCs w:val="20"/>
    </w:rPr>
  </w:style>
  <w:style w:type="character" w:customStyle="1" w:styleId="TekstprzypisukocowegoZnak">
    <w:name w:val="Tekst przypisu końcowego Znak"/>
    <w:basedOn w:val="Domylnaczcionkaakapitu"/>
    <w:link w:val="Tekstprzypisukocowego"/>
    <w:uiPriority w:val="99"/>
    <w:semiHidden/>
    <w:rsid w:val="00531D59"/>
    <w:rPr>
      <w:rFonts w:eastAsiaTheme="minorEastAsia"/>
      <w:sz w:val="20"/>
      <w:szCs w:val="20"/>
      <w:lang w:val="pl-PL"/>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531D5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31D5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1D5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pl-PL" w:eastAsia="fr-FR"/>
    </w:rPr>
  </w:style>
  <w:style w:type="table" w:styleId="redniasiatka1">
    <w:name w:val="Medium Grid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531D5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1D5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1D5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0">
    <w:name w:val="Opi_H_A"/>
    <w:basedOn w:val="ECHRHeading1"/>
    <w:next w:val="OpiPara"/>
    <w:uiPriority w:val="41"/>
    <w:qFormat/>
    <w:rsid w:val="00531D59"/>
    <w:pPr>
      <w:tabs>
        <w:tab w:val="clear" w:pos="357"/>
      </w:tabs>
      <w:outlineLvl w:val="1"/>
    </w:pPr>
    <w:rPr>
      <w:b/>
    </w:rPr>
  </w:style>
  <w:style w:type="paragraph" w:customStyle="1" w:styleId="OpiHi">
    <w:name w:val="Opi_H_i"/>
    <w:basedOn w:val="ECHRHeading4"/>
    <w:uiPriority w:val="44"/>
    <w:qFormat/>
    <w:rsid w:val="00531D59"/>
    <w:pPr>
      <w:ind w:left="1037" w:hanging="357"/>
      <w:outlineLvl w:val="4"/>
    </w:pPr>
    <w:rPr>
      <w:b w:val="0"/>
      <w:i/>
    </w:rPr>
  </w:style>
  <w:style w:type="paragraph" w:customStyle="1" w:styleId="OpiPara">
    <w:name w:val="Opi_Para"/>
    <w:basedOn w:val="ECHRPara"/>
    <w:uiPriority w:val="46"/>
    <w:qFormat/>
    <w:rsid w:val="00531D59"/>
  </w:style>
  <w:style w:type="paragraph" w:customStyle="1" w:styleId="OpiParaSub">
    <w:name w:val="Opi_Para_Sub"/>
    <w:basedOn w:val="JuParaSub"/>
    <w:uiPriority w:val="47"/>
    <w:qFormat/>
    <w:rsid w:val="00531D59"/>
  </w:style>
  <w:style w:type="paragraph" w:customStyle="1" w:styleId="OpiQuot">
    <w:name w:val="Opi_Quot"/>
    <w:basedOn w:val="ECHRParaQuote"/>
    <w:uiPriority w:val="48"/>
    <w:qFormat/>
    <w:rsid w:val="00531D59"/>
  </w:style>
  <w:style w:type="paragraph" w:customStyle="1" w:styleId="OpiQuotSub">
    <w:name w:val="Opi_Quot_Sub"/>
    <w:basedOn w:val="JuQuotSub"/>
    <w:uiPriority w:val="49"/>
    <w:qFormat/>
    <w:rsid w:val="00531D59"/>
  </w:style>
  <w:style w:type="paragraph" w:customStyle="1" w:styleId="OpiTranslation">
    <w:name w:val="Opi_Translation"/>
    <w:basedOn w:val="Normalny"/>
    <w:next w:val="OpiPara"/>
    <w:uiPriority w:val="40"/>
    <w:qFormat/>
    <w:rsid w:val="00531D59"/>
    <w:pPr>
      <w:jc w:val="center"/>
      <w:outlineLvl w:val="0"/>
    </w:pPr>
    <w:rPr>
      <w:i/>
    </w:rPr>
  </w:style>
  <w:style w:type="paragraph" w:customStyle="1" w:styleId="JuHeaderLandscape">
    <w:name w:val="Ju_Header_Landscape"/>
    <w:basedOn w:val="ECHRHeader"/>
    <w:uiPriority w:val="4"/>
    <w:qFormat/>
    <w:rsid w:val="00531D5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D28DF"/>
    <w:rPr>
      <w:rFonts w:eastAsiaTheme="minorEastAsia"/>
      <w:sz w:val="24"/>
      <w:lang w:val="pl-PL"/>
    </w:rPr>
  </w:style>
  <w:style w:type="character" w:customStyle="1" w:styleId="JuHIRomanChar">
    <w:name w:val="Ju_H_I_Roman Char"/>
    <w:link w:val="ECHRHeading1"/>
    <w:uiPriority w:val="19"/>
    <w:rsid w:val="004D28DF"/>
    <w:rPr>
      <w:rFonts w:asciiTheme="majorHAnsi" w:eastAsiaTheme="majorEastAsia" w:hAnsiTheme="majorHAnsi" w:cstheme="majorBidi"/>
      <w:bCs/>
      <w:sz w:val="24"/>
      <w:szCs w:val="28"/>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6153">
      <w:bodyDiv w:val="1"/>
      <w:marLeft w:val="0"/>
      <w:marRight w:val="0"/>
      <w:marTop w:val="0"/>
      <w:marBottom w:val="0"/>
      <w:divBdr>
        <w:top w:val="none" w:sz="0" w:space="0" w:color="auto"/>
        <w:left w:val="none" w:sz="0" w:space="0" w:color="auto"/>
        <w:bottom w:val="none" w:sz="0" w:space="0" w:color="auto"/>
        <w:right w:val="none" w:sz="0" w:space="0" w:color="auto"/>
      </w:divBdr>
      <w:divsChild>
        <w:div w:id="1799444723">
          <w:marLeft w:val="0"/>
          <w:marRight w:val="0"/>
          <w:marTop w:val="0"/>
          <w:marBottom w:val="0"/>
          <w:divBdr>
            <w:top w:val="none" w:sz="0" w:space="0" w:color="auto"/>
            <w:left w:val="none" w:sz="0" w:space="0" w:color="auto"/>
            <w:bottom w:val="none" w:sz="0" w:space="0" w:color="auto"/>
            <w:right w:val="none" w:sz="0" w:space="0" w:color="auto"/>
          </w:divBdr>
          <w:divsChild>
            <w:div w:id="1683437324">
              <w:marLeft w:val="0"/>
              <w:marRight w:val="0"/>
              <w:marTop w:val="0"/>
              <w:marBottom w:val="0"/>
              <w:divBdr>
                <w:top w:val="none" w:sz="0" w:space="0" w:color="auto"/>
                <w:left w:val="none" w:sz="0" w:space="0" w:color="auto"/>
                <w:bottom w:val="none" w:sz="0" w:space="0" w:color="auto"/>
                <w:right w:val="none" w:sz="0" w:space="0" w:color="auto"/>
              </w:divBdr>
              <w:divsChild>
                <w:div w:id="239561421">
                  <w:marLeft w:val="0"/>
                  <w:marRight w:val="0"/>
                  <w:marTop w:val="0"/>
                  <w:marBottom w:val="0"/>
                  <w:divBdr>
                    <w:top w:val="none" w:sz="0" w:space="0" w:color="auto"/>
                    <w:left w:val="none" w:sz="0" w:space="0" w:color="auto"/>
                    <w:bottom w:val="none" w:sz="0" w:space="0" w:color="auto"/>
                    <w:right w:val="none" w:sz="0" w:space="0" w:color="auto"/>
                  </w:divBdr>
                  <w:divsChild>
                    <w:div w:id="1625885937">
                      <w:marLeft w:val="0"/>
                      <w:marRight w:val="0"/>
                      <w:marTop w:val="0"/>
                      <w:marBottom w:val="0"/>
                      <w:divBdr>
                        <w:top w:val="none" w:sz="0" w:space="0" w:color="auto"/>
                        <w:left w:val="none" w:sz="0" w:space="0" w:color="auto"/>
                        <w:bottom w:val="none" w:sz="0" w:space="0" w:color="auto"/>
                        <w:right w:val="none" w:sz="0" w:space="0" w:color="auto"/>
                      </w:divBdr>
                      <w:divsChild>
                        <w:div w:id="1680505166">
                          <w:marLeft w:val="0"/>
                          <w:marRight w:val="0"/>
                          <w:marTop w:val="0"/>
                          <w:marBottom w:val="0"/>
                          <w:divBdr>
                            <w:top w:val="none" w:sz="0" w:space="0" w:color="auto"/>
                            <w:left w:val="none" w:sz="0" w:space="0" w:color="auto"/>
                            <w:bottom w:val="none" w:sz="0" w:space="0" w:color="auto"/>
                            <w:right w:val="none" w:sz="0" w:space="0" w:color="auto"/>
                          </w:divBdr>
                          <w:divsChild>
                            <w:div w:id="10011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889357">
      <w:bodyDiv w:val="1"/>
      <w:marLeft w:val="0"/>
      <w:marRight w:val="0"/>
      <w:marTop w:val="0"/>
      <w:marBottom w:val="0"/>
      <w:divBdr>
        <w:top w:val="none" w:sz="0" w:space="0" w:color="auto"/>
        <w:left w:val="none" w:sz="0" w:space="0" w:color="auto"/>
        <w:bottom w:val="none" w:sz="0" w:space="0" w:color="auto"/>
        <w:right w:val="none" w:sz="0" w:space="0" w:color="auto"/>
      </w:divBdr>
      <w:divsChild>
        <w:div w:id="114832039">
          <w:marLeft w:val="0"/>
          <w:marRight w:val="0"/>
          <w:marTop w:val="0"/>
          <w:marBottom w:val="0"/>
          <w:divBdr>
            <w:top w:val="none" w:sz="0" w:space="0" w:color="auto"/>
            <w:left w:val="none" w:sz="0" w:space="0" w:color="auto"/>
            <w:bottom w:val="none" w:sz="0" w:space="0" w:color="auto"/>
            <w:right w:val="none" w:sz="0" w:space="0" w:color="auto"/>
          </w:divBdr>
          <w:divsChild>
            <w:div w:id="1876772268">
              <w:marLeft w:val="0"/>
              <w:marRight w:val="0"/>
              <w:marTop w:val="0"/>
              <w:marBottom w:val="0"/>
              <w:divBdr>
                <w:top w:val="none" w:sz="0" w:space="0" w:color="auto"/>
                <w:left w:val="none" w:sz="0" w:space="0" w:color="auto"/>
                <w:bottom w:val="none" w:sz="0" w:space="0" w:color="auto"/>
                <w:right w:val="none" w:sz="0" w:space="0" w:color="auto"/>
              </w:divBdr>
              <w:divsChild>
                <w:div w:id="464279067">
                  <w:marLeft w:val="0"/>
                  <w:marRight w:val="0"/>
                  <w:marTop w:val="0"/>
                  <w:marBottom w:val="0"/>
                  <w:divBdr>
                    <w:top w:val="none" w:sz="0" w:space="0" w:color="auto"/>
                    <w:left w:val="none" w:sz="0" w:space="0" w:color="auto"/>
                    <w:bottom w:val="none" w:sz="0" w:space="0" w:color="auto"/>
                    <w:right w:val="none" w:sz="0" w:space="0" w:color="auto"/>
                  </w:divBdr>
                  <w:divsChild>
                    <w:div w:id="348483285">
                      <w:marLeft w:val="0"/>
                      <w:marRight w:val="0"/>
                      <w:marTop w:val="0"/>
                      <w:marBottom w:val="0"/>
                      <w:divBdr>
                        <w:top w:val="none" w:sz="0" w:space="0" w:color="auto"/>
                        <w:left w:val="none" w:sz="0" w:space="0" w:color="auto"/>
                        <w:bottom w:val="none" w:sz="0" w:space="0" w:color="auto"/>
                        <w:right w:val="none" w:sz="0" w:space="0" w:color="auto"/>
                      </w:divBdr>
                      <w:divsChild>
                        <w:div w:id="614143248">
                          <w:marLeft w:val="0"/>
                          <w:marRight w:val="0"/>
                          <w:marTop w:val="0"/>
                          <w:marBottom w:val="0"/>
                          <w:divBdr>
                            <w:top w:val="none" w:sz="0" w:space="0" w:color="auto"/>
                            <w:left w:val="none" w:sz="0" w:space="0" w:color="auto"/>
                            <w:bottom w:val="none" w:sz="0" w:space="0" w:color="auto"/>
                            <w:right w:val="none" w:sz="0" w:space="0" w:color="auto"/>
                          </w:divBdr>
                          <w:divsChild>
                            <w:div w:id="122606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86329701">
      <w:bodyDiv w:val="1"/>
      <w:marLeft w:val="0"/>
      <w:marRight w:val="0"/>
      <w:marTop w:val="0"/>
      <w:marBottom w:val="0"/>
      <w:divBdr>
        <w:top w:val="none" w:sz="0" w:space="0" w:color="auto"/>
        <w:left w:val="none" w:sz="0" w:space="0" w:color="auto"/>
        <w:bottom w:val="none" w:sz="0" w:space="0" w:color="auto"/>
        <w:right w:val="none" w:sz="0" w:space="0" w:color="auto"/>
      </w:divBdr>
    </w:div>
    <w:div w:id="2038238195">
      <w:bodyDiv w:val="1"/>
      <w:marLeft w:val="0"/>
      <w:marRight w:val="0"/>
      <w:marTop w:val="0"/>
      <w:marBottom w:val="0"/>
      <w:divBdr>
        <w:top w:val="none" w:sz="0" w:space="0" w:color="auto"/>
        <w:left w:val="none" w:sz="0" w:space="0" w:color="auto"/>
        <w:bottom w:val="none" w:sz="0" w:space="0" w:color="auto"/>
        <w:right w:val="none" w:sz="0" w:space="0" w:color="auto"/>
      </w:divBdr>
      <w:divsChild>
        <w:div w:id="1505827538">
          <w:marLeft w:val="0"/>
          <w:marRight w:val="0"/>
          <w:marTop w:val="0"/>
          <w:marBottom w:val="0"/>
          <w:divBdr>
            <w:top w:val="none" w:sz="0" w:space="0" w:color="auto"/>
            <w:left w:val="none" w:sz="0" w:space="0" w:color="auto"/>
            <w:bottom w:val="none" w:sz="0" w:space="0" w:color="auto"/>
            <w:right w:val="none" w:sz="0" w:space="0" w:color="auto"/>
          </w:divBdr>
          <w:divsChild>
            <w:div w:id="1539468084">
              <w:marLeft w:val="0"/>
              <w:marRight w:val="0"/>
              <w:marTop w:val="0"/>
              <w:marBottom w:val="0"/>
              <w:divBdr>
                <w:top w:val="none" w:sz="0" w:space="0" w:color="auto"/>
                <w:left w:val="none" w:sz="0" w:space="0" w:color="auto"/>
                <w:bottom w:val="none" w:sz="0" w:space="0" w:color="auto"/>
                <w:right w:val="none" w:sz="0" w:space="0" w:color="auto"/>
              </w:divBdr>
              <w:divsChild>
                <w:div w:id="850605696">
                  <w:marLeft w:val="0"/>
                  <w:marRight w:val="0"/>
                  <w:marTop w:val="0"/>
                  <w:marBottom w:val="0"/>
                  <w:divBdr>
                    <w:top w:val="none" w:sz="0" w:space="0" w:color="auto"/>
                    <w:left w:val="none" w:sz="0" w:space="0" w:color="auto"/>
                    <w:bottom w:val="none" w:sz="0" w:space="0" w:color="auto"/>
                    <w:right w:val="none" w:sz="0" w:space="0" w:color="auto"/>
                  </w:divBdr>
                  <w:divsChild>
                    <w:div w:id="1299801196">
                      <w:marLeft w:val="0"/>
                      <w:marRight w:val="0"/>
                      <w:marTop w:val="0"/>
                      <w:marBottom w:val="0"/>
                      <w:divBdr>
                        <w:top w:val="none" w:sz="0" w:space="0" w:color="auto"/>
                        <w:left w:val="none" w:sz="0" w:space="0" w:color="auto"/>
                        <w:bottom w:val="none" w:sz="0" w:space="0" w:color="auto"/>
                        <w:right w:val="none" w:sz="0" w:space="0" w:color="auto"/>
                      </w:divBdr>
                      <w:divsChild>
                        <w:div w:id="2105803902">
                          <w:marLeft w:val="0"/>
                          <w:marRight w:val="0"/>
                          <w:marTop w:val="0"/>
                          <w:marBottom w:val="0"/>
                          <w:divBdr>
                            <w:top w:val="none" w:sz="0" w:space="0" w:color="auto"/>
                            <w:left w:val="none" w:sz="0" w:space="0" w:color="auto"/>
                            <w:bottom w:val="none" w:sz="0" w:space="0" w:color="auto"/>
                            <w:right w:val="none" w:sz="0" w:space="0" w:color="auto"/>
                          </w:divBdr>
                          <w:divsChild>
                            <w:div w:id="19860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hudoc.echr.coe.int/e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7596F-CC34-47F7-BA89-9BD598B9E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A0480DA-B45B-4BD8-87B9-718DAC1EB828}">
  <ds:schemaRefs>
    <ds:schemaRef ds:uri="http://schemas.microsoft.com/sharepoint/v3/contenttype/forms"/>
  </ds:schemaRefs>
</ds:datastoreItem>
</file>

<file path=customXml/itemProps3.xml><?xml version="1.0" encoding="utf-8"?>
<ds:datastoreItem xmlns:ds="http://schemas.openxmlformats.org/officeDocument/2006/customXml" ds:itemID="{D1354C02-85FE-4231-B225-6F42D8DA63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1641E5-427A-4082-8223-7B97C99A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3188</Words>
  <Characters>19128</Characters>
  <Application>Microsoft Office Word</Application>
  <DocSecurity>0</DocSecurity>
  <Lines>159</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2019-01-08T12:10:00Z</dcterms:created>
  <dcterms:modified xsi:type="dcterms:W3CDTF">2019-01-29T08:40:00Z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47395/09</vt:lpwstr>
  </property>
  <property fmtid="{D5CDD505-2E9C-101B-9397-08002B2CF9AE}" pid="4" name="CASEID">
    <vt:lpwstr>593649</vt:lpwstr>
  </property>
  <property fmtid="{D5CDD505-2E9C-101B-9397-08002B2CF9AE}" pid="5" name="ContentTypeId">
    <vt:lpwstr>0x010100558EB02BDB9E204AB350EDD385B68E10</vt:lpwstr>
  </property>
</Properties>
</file>