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E0" w:rsidRPr="000937DC" w:rsidRDefault="00DE61E0" w:rsidP="000937DC">
      <w:pPr>
        <w:jc w:val="center"/>
      </w:pPr>
      <w:bookmarkStart w:id="0" w:name="_GoBack"/>
      <w:bookmarkEnd w:id="0"/>
    </w:p>
    <w:p w:rsidR="0092643E" w:rsidRPr="000937DC" w:rsidRDefault="0092643E" w:rsidP="000937DC">
      <w:pPr>
        <w:jc w:val="center"/>
      </w:pPr>
    </w:p>
    <w:p w:rsidR="0092643E" w:rsidRPr="000937DC" w:rsidRDefault="0092643E" w:rsidP="000937DC">
      <w:pPr>
        <w:jc w:val="center"/>
      </w:pPr>
    </w:p>
    <w:p w:rsidR="00DE61E0" w:rsidRPr="000937DC" w:rsidRDefault="00552A19" w:rsidP="000937DC">
      <w:pPr>
        <w:jc w:val="center"/>
      </w:pPr>
      <w:r w:rsidRPr="000937DC">
        <w:t>F</w:t>
      </w:r>
      <w:r w:rsidR="00B014D9" w:rsidRPr="000937DC">
        <w:t>IRST</w:t>
      </w:r>
      <w:r w:rsidRPr="000937DC">
        <w:t xml:space="preserve"> SECTION</w:t>
      </w:r>
    </w:p>
    <w:p w:rsidR="00DE61E0" w:rsidRPr="000937DC" w:rsidRDefault="00DE61E0" w:rsidP="000937DC">
      <w:pPr>
        <w:jc w:val="center"/>
      </w:pPr>
    </w:p>
    <w:p w:rsidR="0092643E" w:rsidRPr="000937DC" w:rsidRDefault="0092643E" w:rsidP="000937DC">
      <w:pPr>
        <w:jc w:val="center"/>
      </w:pPr>
    </w:p>
    <w:p w:rsidR="0092643E" w:rsidRPr="000937DC" w:rsidRDefault="0092643E" w:rsidP="000937DC">
      <w:pPr>
        <w:jc w:val="center"/>
      </w:pPr>
    </w:p>
    <w:p w:rsidR="0092643E" w:rsidRPr="000937DC" w:rsidRDefault="0092643E" w:rsidP="000937DC">
      <w:pPr>
        <w:jc w:val="center"/>
      </w:pPr>
    </w:p>
    <w:p w:rsidR="005B0D89" w:rsidRPr="000937DC" w:rsidRDefault="005B0D89" w:rsidP="000937DC">
      <w:pPr>
        <w:jc w:val="center"/>
      </w:pPr>
    </w:p>
    <w:p w:rsidR="0092643E" w:rsidRPr="000937DC" w:rsidRDefault="0092643E" w:rsidP="000937DC">
      <w:pPr>
        <w:jc w:val="center"/>
      </w:pPr>
    </w:p>
    <w:p w:rsidR="0092643E" w:rsidRPr="000937DC" w:rsidRDefault="0092643E" w:rsidP="000937DC">
      <w:pPr>
        <w:jc w:val="center"/>
      </w:pPr>
    </w:p>
    <w:p w:rsidR="00DE61E0" w:rsidRPr="000937DC" w:rsidRDefault="00DE61E0" w:rsidP="000937DC">
      <w:pPr>
        <w:jc w:val="center"/>
        <w:rPr>
          <w:b/>
        </w:rPr>
      </w:pPr>
      <w:bookmarkStart w:id="1" w:name="To"/>
      <w:r w:rsidRPr="000937DC">
        <w:rPr>
          <w:b/>
        </w:rPr>
        <w:t xml:space="preserve">CASE OF </w:t>
      </w:r>
      <w:bookmarkEnd w:id="1"/>
      <w:r w:rsidR="00552A19" w:rsidRPr="000937DC">
        <w:rPr>
          <w:b/>
        </w:rPr>
        <w:t>BUKOWSKI AND OTHERS v. POLAND</w:t>
      </w:r>
    </w:p>
    <w:p w:rsidR="00DE61E0" w:rsidRPr="000937DC" w:rsidRDefault="00DE61E0" w:rsidP="000937DC">
      <w:pPr>
        <w:jc w:val="center"/>
      </w:pPr>
    </w:p>
    <w:p w:rsidR="00DE61E0" w:rsidRPr="000937DC" w:rsidRDefault="00DE61E0" w:rsidP="000937DC">
      <w:pPr>
        <w:jc w:val="center"/>
        <w:rPr>
          <w:i/>
        </w:rPr>
      </w:pPr>
      <w:r w:rsidRPr="000937DC">
        <w:rPr>
          <w:i/>
        </w:rPr>
        <w:t>(</w:t>
      </w:r>
      <w:r w:rsidR="00552A19" w:rsidRPr="000937DC">
        <w:rPr>
          <w:i/>
        </w:rPr>
        <w:t>Application no. 47395/09</w:t>
      </w:r>
      <w:r w:rsidRPr="000937DC">
        <w:rPr>
          <w:i/>
        </w:rPr>
        <w:t>)</w:t>
      </w:r>
    </w:p>
    <w:p w:rsidR="00DE61E0" w:rsidRPr="000937DC" w:rsidRDefault="00DE61E0" w:rsidP="000937DC">
      <w:pPr>
        <w:jc w:val="center"/>
      </w:pPr>
    </w:p>
    <w:p w:rsidR="00DE61E0" w:rsidRPr="000937DC" w:rsidRDefault="00DE61E0" w:rsidP="000937DC">
      <w:pPr>
        <w:jc w:val="center"/>
        <w:rPr>
          <w:szCs w:val="24"/>
        </w:rPr>
      </w:pPr>
    </w:p>
    <w:p w:rsidR="005B0D89" w:rsidRPr="000937DC" w:rsidRDefault="005B0D89" w:rsidP="000937DC">
      <w:pPr>
        <w:jc w:val="center"/>
        <w:rPr>
          <w:szCs w:val="24"/>
        </w:rPr>
      </w:pPr>
    </w:p>
    <w:p w:rsidR="005B0D89" w:rsidRPr="000937DC" w:rsidRDefault="005B0D89" w:rsidP="000937DC">
      <w:pPr>
        <w:jc w:val="center"/>
        <w:rPr>
          <w:szCs w:val="24"/>
        </w:rPr>
      </w:pPr>
    </w:p>
    <w:p w:rsidR="00DE61E0" w:rsidRPr="000937DC" w:rsidRDefault="00DE61E0" w:rsidP="000937DC">
      <w:pPr>
        <w:jc w:val="center"/>
        <w:rPr>
          <w:szCs w:val="24"/>
        </w:rPr>
      </w:pPr>
    </w:p>
    <w:p w:rsidR="00DE61E0" w:rsidRPr="000937DC" w:rsidRDefault="00DE61E0" w:rsidP="000937DC">
      <w:pPr>
        <w:jc w:val="center"/>
        <w:rPr>
          <w:szCs w:val="24"/>
        </w:rPr>
      </w:pPr>
    </w:p>
    <w:p w:rsidR="00CA36A9" w:rsidRPr="000937DC" w:rsidRDefault="00CA36A9" w:rsidP="000937DC">
      <w:pPr>
        <w:jc w:val="center"/>
        <w:rPr>
          <w:szCs w:val="24"/>
        </w:rPr>
      </w:pPr>
    </w:p>
    <w:p w:rsidR="00CA36A9" w:rsidRPr="000937DC" w:rsidRDefault="00CA36A9" w:rsidP="000937DC">
      <w:pPr>
        <w:jc w:val="center"/>
        <w:rPr>
          <w:szCs w:val="24"/>
        </w:rPr>
      </w:pPr>
    </w:p>
    <w:p w:rsidR="0092643E" w:rsidRPr="000937DC" w:rsidRDefault="0092643E" w:rsidP="000937DC">
      <w:pPr>
        <w:jc w:val="center"/>
      </w:pPr>
      <w:r w:rsidRPr="000937DC">
        <w:rPr>
          <w:szCs w:val="24"/>
        </w:rPr>
        <w:t>JUDGMENT</w:t>
      </w:r>
    </w:p>
    <w:p w:rsidR="0092643E" w:rsidRPr="000937DC" w:rsidRDefault="0092643E" w:rsidP="000937DC">
      <w:pPr>
        <w:jc w:val="center"/>
      </w:pPr>
    </w:p>
    <w:p w:rsidR="008C2D79" w:rsidRPr="000937DC" w:rsidRDefault="008C2D79" w:rsidP="000937DC">
      <w:pPr>
        <w:jc w:val="center"/>
      </w:pPr>
    </w:p>
    <w:p w:rsidR="0092643E" w:rsidRPr="000937DC" w:rsidRDefault="0092643E" w:rsidP="000937DC">
      <w:pPr>
        <w:jc w:val="center"/>
      </w:pPr>
      <w:r w:rsidRPr="000937DC">
        <w:t>STRASBOURG</w:t>
      </w:r>
    </w:p>
    <w:p w:rsidR="00531D59" w:rsidRPr="000937DC" w:rsidRDefault="00531D59" w:rsidP="000937DC">
      <w:pPr>
        <w:jc w:val="center"/>
      </w:pPr>
    </w:p>
    <w:p w:rsidR="0092643E" w:rsidRPr="000937DC" w:rsidRDefault="0092643E" w:rsidP="000937DC">
      <w:pPr>
        <w:jc w:val="center"/>
      </w:pPr>
      <w:r w:rsidRPr="000937DC">
        <w:t>6 December 2018</w:t>
      </w:r>
    </w:p>
    <w:p w:rsidR="0092643E" w:rsidRPr="000937DC" w:rsidRDefault="0092643E" w:rsidP="000937DC">
      <w:pPr>
        <w:jc w:val="center"/>
      </w:pPr>
    </w:p>
    <w:p w:rsidR="00531D59" w:rsidRPr="000937DC" w:rsidRDefault="00531D59" w:rsidP="000937DC">
      <w:pPr>
        <w:jc w:val="center"/>
      </w:pPr>
    </w:p>
    <w:p w:rsidR="005B0D89" w:rsidRPr="000937DC" w:rsidRDefault="005B0D89" w:rsidP="000937DC">
      <w:pPr>
        <w:jc w:val="center"/>
      </w:pPr>
    </w:p>
    <w:p w:rsidR="005B0D89" w:rsidRPr="000937DC" w:rsidRDefault="005B0D89" w:rsidP="000937DC">
      <w:pPr>
        <w:jc w:val="center"/>
      </w:pPr>
    </w:p>
    <w:p w:rsidR="005B0D89" w:rsidRPr="000937DC" w:rsidRDefault="005B0D89" w:rsidP="000937DC">
      <w:pPr>
        <w:jc w:val="center"/>
      </w:pPr>
    </w:p>
    <w:p w:rsidR="0092643E" w:rsidRPr="000937DC" w:rsidRDefault="0092643E" w:rsidP="000937DC">
      <w:pPr>
        <w:jc w:val="center"/>
      </w:pPr>
    </w:p>
    <w:p w:rsidR="0092643E" w:rsidRPr="000937DC" w:rsidRDefault="0092643E" w:rsidP="000937DC">
      <w:pPr>
        <w:jc w:val="left"/>
        <w:rPr>
          <w:i/>
          <w:sz w:val="22"/>
        </w:rPr>
      </w:pPr>
      <w:r w:rsidRPr="000937DC">
        <w:rPr>
          <w:i/>
          <w:sz w:val="22"/>
        </w:rPr>
        <w:t>This judgment is final but it may be subject to editorial revision.</w:t>
      </w:r>
    </w:p>
    <w:p w:rsidR="005B0D89" w:rsidRPr="000937DC" w:rsidRDefault="005B0D89" w:rsidP="000937DC">
      <w:pPr>
        <w:jc w:val="left"/>
        <w:rPr>
          <w:i/>
          <w:sz w:val="22"/>
        </w:rPr>
      </w:pPr>
    </w:p>
    <w:p w:rsidR="005B0D89" w:rsidRPr="000937DC" w:rsidRDefault="005B0D89" w:rsidP="000937DC">
      <w:pPr>
        <w:jc w:val="left"/>
        <w:sectPr w:rsidR="005B0D89" w:rsidRPr="000937DC" w:rsidSect="0092643E">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DE61E0" w:rsidRPr="000937DC" w:rsidRDefault="00DE61E0" w:rsidP="000937DC">
      <w:pPr>
        <w:pStyle w:val="JuCase"/>
        <w:rPr>
          <w:b w:val="0"/>
          <w:bCs/>
        </w:rPr>
      </w:pPr>
      <w:r w:rsidRPr="000937DC">
        <w:lastRenderedPageBreak/>
        <w:t xml:space="preserve">In the case of </w:t>
      </w:r>
      <w:r w:rsidR="00552A19" w:rsidRPr="000937DC">
        <w:t>Bukowski and Others v. Poland</w:t>
      </w:r>
      <w:r w:rsidRPr="000937DC">
        <w:t>,</w:t>
      </w:r>
    </w:p>
    <w:p w:rsidR="00DE61E0" w:rsidRPr="000937DC" w:rsidRDefault="00DE61E0" w:rsidP="000937DC">
      <w:pPr>
        <w:pStyle w:val="ECHRPara"/>
        <w:rPr>
          <w:b/>
        </w:rPr>
      </w:pPr>
      <w:r w:rsidRPr="000937DC">
        <w:t xml:space="preserve">The </w:t>
      </w:r>
      <w:r w:rsidR="00BA595E" w:rsidRPr="000937DC">
        <w:t xml:space="preserve">European Court of Human Rights </w:t>
      </w:r>
      <w:r w:rsidR="00552A19" w:rsidRPr="000937DC">
        <w:t>(F</w:t>
      </w:r>
      <w:r w:rsidR="00B014D9" w:rsidRPr="000937DC">
        <w:t>irst</w:t>
      </w:r>
      <w:r w:rsidR="00552A19" w:rsidRPr="000937DC">
        <w:t xml:space="preserve"> Section)</w:t>
      </w:r>
      <w:r w:rsidRPr="000937DC">
        <w:t xml:space="preserve"> sitting as a</w:t>
      </w:r>
      <w:r w:rsidR="00BA595E" w:rsidRPr="000937DC">
        <w:t> </w:t>
      </w:r>
      <w:r w:rsidR="00552A19" w:rsidRPr="000937DC">
        <w:t>Committee</w:t>
      </w:r>
      <w:r w:rsidRPr="000937DC">
        <w:t xml:space="preserve"> composed of:</w:t>
      </w:r>
    </w:p>
    <w:p w:rsidR="001A1FAB" w:rsidRPr="000937DC" w:rsidRDefault="0092643E" w:rsidP="000937DC">
      <w:pPr>
        <w:pStyle w:val="ECHRDecisionBody"/>
        <w:rPr>
          <w:lang w:val="pl-PL"/>
        </w:rPr>
      </w:pPr>
      <w:r w:rsidRPr="000937DC">
        <w:tab/>
      </w:r>
      <w:r w:rsidRPr="000937DC">
        <w:rPr>
          <w:lang w:val="pl-PL"/>
        </w:rPr>
        <w:t>Ksenija Turković,</w:t>
      </w:r>
      <w:r w:rsidRPr="000937DC">
        <w:rPr>
          <w:i/>
          <w:lang w:val="pl-PL"/>
        </w:rPr>
        <w:t xml:space="preserve"> President,</w:t>
      </w:r>
      <w:r w:rsidRPr="000937DC">
        <w:rPr>
          <w:i/>
          <w:lang w:val="pl-PL"/>
        </w:rPr>
        <w:br/>
      </w:r>
      <w:r w:rsidRPr="000937DC">
        <w:rPr>
          <w:lang w:val="pl-PL"/>
        </w:rPr>
        <w:tab/>
        <w:t>Krzysztof Wojtyczek,</w:t>
      </w:r>
      <w:r w:rsidRPr="000937DC">
        <w:rPr>
          <w:i/>
          <w:lang w:val="pl-PL"/>
        </w:rPr>
        <w:br/>
      </w:r>
      <w:r w:rsidRPr="000937DC">
        <w:rPr>
          <w:lang w:val="pl-PL"/>
        </w:rPr>
        <w:tab/>
        <w:t>Pauliine Koskelo,</w:t>
      </w:r>
      <w:r w:rsidRPr="000937DC">
        <w:rPr>
          <w:i/>
          <w:lang w:val="pl-PL"/>
        </w:rPr>
        <w:t xml:space="preserve"> judges,</w:t>
      </w:r>
    </w:p>
    <w:p w:rsidR="00DE61E0" w:rsidRPr="000937DC" w:rsidRDefault="00BA595E" w:rsidP="000937DC">
      <w:pPr>
        <w:pStyle w:val="ECHRDecisionBody"/>
      </w:pPr>
      <w:r w:rsidRPr="000937DC">
        <w:t>a</w:t>
      </w:r>
      <w:r w:rsidR="00DE61E0" w:rsidRPr="000937DC">
        <w:t>nd</w:t>
      </w:r>
      <w:r w:rsidR="00131A4C" w:rsidRPr="000937DC">
        <w:t xml:space="preserve"> </w:t>
      </w:r>
      <w:r w:rsidR="00531D59" w:rsidRPr="000937DC">
        <w:t>Abel Campos</w:t>
      </w:r>
      <w:r w:rsidR="00DE61E0" w:rsidRPr="000937DC">
        <w:t xml:space="preserve">, </w:t>
      </w:r>
      <w:r w:rsidR="00552A19" w:rsidRPr="000937DC">
        <w:rPr>
          <w:i/>
        </w:rPr>
        <w:t xml:space="preserve">Section </w:t>
      </w:r>
      <w:r w:rsidR="00552A19" w:rsidRPr="000937DC">
        <w:rPr>
          <w:i/>
          <w:iCs/>
        </w:rPr>
        <w:t>Registrar</w:t>
      </w:r>
      <w:r w:rsidR="00DE61E0" w:rsidRPr="000937DC">
        <w:rPr>
          <w:i/>
        </w:rPr>
        <w:t>,</w:t>
      </w:r>
    </w:p>
    <w:p w:rsidR="00DE61E0" w:rsidRPr="000937DC" w:rsidRDefault="00DE61E0" w:rsidP="000937DC">
      <w:pPr>
        <w:pStyle w:val="ECHRPara"/>
      </w:pPr>
      <w:r w:rsidRPr="000937DC">
        <w:t xml:space="preserve">Having deliberated in private on </w:t>
      </w:r>
      <w:r w:rsidR="0092643E" w:rsidRPr="000937DC">
        <w:t>13 November 2018</w:t>
      </w:r>
      <w:r w:rsidRPr="000937DC">
        <w:t>,</w:t>
      </w:r>
    </w:p>
    <w:p w:rsidR="00DE61E0" w:rsidRPr="000937DC" w:rsidRDefault="00DE61E0" w:rsidP="000937DC">
      <w:pPr>
        <w:pStyle w:val="ECHRPara"/>
      </w:pPr>
      <w:r w:rsidRPr="000937DC">
        <w:t>Delivers the following judgment, which was adopted on that date:</w:t>
      </w:r>
    </w:p>
    <w:p w:rsidR="00DE61E0" w:rsidRPr="000937DC" w:rsidRDefault="00DE61E0" w:rsidP="000937DC">
      <w:pPr>
        <w:pStyle w:val="ECHRTitle1"/>
      </w:pPr>
      <w:r w:rsidRPr="000937DC">
        <w:t>PROCEDURE</w:t>
      </w:r>
    </w:p>
    <w:p w:rsidR="004D28DF" w:rsidRPr="000937DC" w:rsidRDefault="00552A19"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w:t>
      </w:r>
      <w:r w:rsidRPr="000937DC">
        <w:fldChar w:fldCharType="end"/>
      </w:r>
      <w:r w:rsidR="004D28DF" w:rsidRPr="000937DC">
        <w:t xml:space="preserve">.  The case originated in </w:t>
      </w:r>
      <w:r w:rsidR="004D28DF" w:rsidRPr="000937DC">
        <w:rPr>
          <w:rStyle w:val="ECHRParaChar"/>
        </w:rPr>
        <w:t xml:space="preserve">an </w:t>
      </w:r>
      <w:r w:rsidR="004D28DF" w:rsidRPr="000937DC">
        <w:t xml:space="preserve">application </w:t>
      </w:r>
      <w:r w:rsidR="004D28DF" w:rsidRPr="000937DC">
        <w:rPr>
          <w:rStyle w:val="ECHRParaChar"/>
        </w:rPr>
        <w:t>(no. 47395/09)</w:t>
      </w:r>
      <w:r w:rsidR="004D28DF" w:rsidRPr="000937DC">
        <w:t xml:space="preserve"> against </w:t>
      </w:r>
      <w:r w:rsidR="004D28DF" w:rsidRPr="000937DC">
        <w:rPr>
          <w:rStyle w:val="ECHRParaChar"/>
        </w:rPr>
        <w:t>the Republic of Poland,</w:t>
      </w:r>
      <w:r w:rsidR="004D28DF" w:rsidRPr="000937DC">
        <w:t xml:space="preserve"> lodged with the </w:t>
      </w:r>
      <w:r w:rsidR="004D28DF" w:rsidRPr="000937DC">
        <w:rPr>
          <w:rStyle w:val="ECHRParaChar"/>
        </w:rPr>
        <w:t xml:space="preserve">Court </w:t>
      </w:r>
      <w:r w:rsidR="004D28DF" w:rsidRPr="000937DC">
        <w:t xml:space="preserve">on 13 August 2009 </w:t>
      </w:r>
      <w:r w:rsidR="004D28DF" w:rsidRPr="000937DC">
        <w:rPr>
          <w:rStyle w:val="ECHRParaChar"/>
        </w:rPr>
        <w:t>under Article 34</w:t>
      </w:r>
      <w:r w:rsidR="004D28DF" w:rsidRPr="000937DC">
        <w:t xml:space="preserve"> of the Convention for the Protection of Human Rights and Fundamental Freedoms (“the Convention”) by three Polish nationals, Mr Eugeniusz Bukowski (“the first applicant”), Ms Grażyna Zmysłowska (“the second applicant”) and Ms Jolanta Barszcz (“the third applicant”).</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w:t>
      </w:r>
      <w:r w:rsidRPr="000937DC">
        <w:rPr>
          <w:noProof/>
        </w:rPr>
        <w:fldChar w:fldCharType="end"/>
      </w:r>
      <w:r w:rsidR="007E6DF6" w:rsidRPr="000937DC">
        <w:t>.  </w:t>
      </w:r>
      <w:r w:rsidR="004D28DF" w:rsidRPr="000937DC">
        <w:t xml:space="preserve">The Polish Government (“the Government”) were initially represented by their Agent, Mr J. Wołąsiewicz, </w:t>
      </w:r>
      <w:r w:rsidR="00066DD0" w:rsidRPr="000937DC">
        <w:t xml:space="preserve">subsequently </w:t>
      </w:r>
      <w:r w:rsidR="004D28DF" w:rsidRPr="000937DC">
        <w:t>by Ms J. Chrzanowska,</w:t>
      </w:r>
      <w:r w:rsidR="00666515" w:rsidRPr="000937DC">
        <w:t xml:space="preserve"> </w:t>
      </w:r>
      <w:r w:rsidR="00066DD0" w:rsidRPr="000937DC">
        <w:t>and later by Mr J. Sobczak</w:t>
      </w:r>
      <w:r w:rsidR="00666515" w:rsidRPr="000937DC">
        <w:t>, of the Ministry for Foreign Affairs</w:t>
      </w:r>
      <w:r w:rsidR="004D28DF" w:rsidRPr="000937DC">
        <w:t>.</w:t>
      </w:r>
    </w:p>
    <w:p w:rsidR="004D28DF" w:rsidRPr="000937DC" w:rsidRDefault="00E13DFB" w:rsidP="000937DC">
      <w:pPr>
        <w:pStyle w:val="ECHRPara"/>
        <w:outlineLvl w:val="0"/>
      </w:pPr>
      <w:r w:rsidRPr="000937DC">
        <w:fldChar w:fldCharType="begin"/>
      </w:r>
      <w:r w:rsidRPr="000937DC">
        <w:instrText xml:space="preserve"> SEQ level0 \*arabic </w:instrText>
      </w:r>
      <w:r w:rsidRPr="000937DC">
        <w:fldChar w:fldCharType="separate"/>
      </w:r>
      <w:r w:rsidR="000937DC" w:rsidRPr="000937DC">
        <w:rPr>
          <w:noProof/>
        </w:rPr>
        <w:t>3</w:t>
      </w:r>
      <w:r w:rsidRPr="000937DC">
        <w:rPr>
          <w:noProof/>
        </w:rPr>
        <w:fldChar w:fldCharType="end"/>
      </w:r>
      <w:r w:rsidR="004D28DF" w:rsidRPr="000937DC">
        <w:t xml:space="preserve">.  On </w:t>
      </w:r>
      <w:r w:rsidR="004D28DF" w:rsidRPr="000937DC">
        <w:rPr>
          <w:rStyle w:val="ECHRParaChar"/>
        </w:rPr>
        <w:t>18 April 2011</w:t>
      </w:r>
      <w:r w:rsidR="004D28DF" w:rsidRPr="000937DC">
        <w:t xml:space="preserve"> the complaint concerning the length of the proceedings for the right of perpetual use was communicated to the Government under Article 6 of the Convention.</w:t>
      </w:r>
    </w:p>
    <w:p w:rsidR="004D28DF" w:rsidRPr="000937DC" w:rsidRDefault="004D28DF" w:rsidP="000937DC">
      <w:pPr>
        <w:pStyle w:val="ECHRPara"/>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w:t>
      </w:r>
      <w:r w:rsidRPr="000937DC">
        <w:rPr>
          <w:szCs w:val="24"/>
        </w:rPr>
        <w:fldChar w:fldCharType="end"/>
      </w:r>
      <w:r w:rsidRPr="000937DC">
        <w:rPr>
          <w:szCs w:val="24"/>
        </w:rPr>
        <w:t xml:space="preserve">.  The Government objected to the examination of the application by a Committee. </w:t>
      </w:r>
      <w:r w:rsidRPr="000937DC">
        <w:t>After having considered the Government</w:t>
      </w:r>
      <w:r w:rsidR="000937DC" w:rsidRPr="000937DC">
        <w:t>’</w:t>
      </w:r>
      <w:r w:rsidRPr="000937DC">
        <w:t>s objection, the Court rejects it.</w:t>
      </w:r>
    </w:p>
    <w:p w:rsidR="00DE61E0" w:rsidRPr="000937DC" w:rsidRDefault="00DE61E0" w:rsidP="000937DC">
      <w:pPr>
        <w:pStyle w:val="ECHRTitle1"/>
      </w:pPr>
      <w:r w:rsidRPr="000937DC">
        <w:t>THE FACTS</w:t>
      </w:r>
    </w:p>
    <w:p w:rsidR="004D28DF" w:rsidRPr="000937DC" w:rsidRDefault="004D28DF" w:rsidP="000937DC">
      <w:pPr>
        <w:pStyle w:val="ECHRHeading1"/>
      </w:pPr>
      <w:r w:rsidRPr="000937DC">
        <w:t>I.  THE CIRCUMSTANCES OF THE CASE</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w:t>
      </w:r>
      <w:r w:rsidRPr="000937DC">
        <w:fldChar w:fldCharType="end"/>
      </w:r>
      <w:r w:rsidRPr="000937DC">
        <w:t>.  The first applicant, Mr Eugeniusz Bukowski, the second applicant, Ms Grażyna Zmysłowska, and the third applicant, Ms Jolanta Barszcz, were born in 1931, in 1960 and 1959 respectively and live in Warsaw.</w:t>
      </w:r>
    </w:p>
    <w:p w:rsidR="004D28DF" w:rsidRPr="000937DC" w:rsidRDefault="004D28DF" w:rsidP="000937DC">
      <w:pPr>
        <w:pStyle w:val="ECHRHeading2"/>
      </w:pPr>
      <w:r w:rsidRPr="000937DC">
        <w:lastRenderedPageBreak/>
        <w:t>A.  Background to the case</w:t>
      </w:r>
    </w:p>
    <w:p w:rsidR="004D28DF" w:rsidRPr="000937DC" w:rsidRDefault="004D28DF" w:rsidP="000937DC">
      <w:pPr>
        <w:pStyle w:val="ECHRPara"/>
        <w:rPr>
          <w:b/>
        </w:rPr>
      </w:pPr>
      <w:r w:rsidRPr="000937DC">
        <w:rPr>
          <w:b/>
        </w:rPr>
        <w:fldChar w:fldCharType="begin"/>
      </w:r>
      <w:r w:rsidRPr="000937DC">
        <w:instrText xml:space="preserve"> SEQ level0 \*arabic </w:instrText>
      </w:r>
      <w:r w:rsidRPr="000937DC">
        <w:rPr>
          <w:b/>
        </w:rPr>
        <w:fldChar w:fldCharType="separate"/>
      </w:r>
      <w:r w:rsidR="000937DC" w:rsidRPr="000937DC">
        <w:rPr>
          <w:noProof/>
        </w:rPr>
        <w:t>6</w:t>
      </w:r>
      <w:r w:rsidRPr="000937DC">
        <w:rPr>
          <w:b/>
        </w:rPr>
        <w:fldChar w:fldCharType="end"/>
      </w:r>
      <w:r w:rsidRPr="000937DC">
        <w:t>.  The property in Warsaw which gives rise to the present application (two adjacent plots of land with a detached house situated on it) was originally co-owned by the applicants</w:t>
      </w:r>
      <w:r w:rsidR="000937DC" w:rsidRPr="000937DC">
        <w:t>’</w:t>
      </w:r>
      <w:r w:rsidRPr="000937DC">
        <w:t xml:space="preserve"> predecessors, the D. family and the K. family.</w:t>
      </w:r>
    </w:p>
    <w:bookmarkStart w:id="2" w:name="decision"/>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7</w:t>
      </w:r>
      <w:r w:rsidRPr="000937DC">
        <w:fldChar w:fldCharType="end"/>
      </w:r>
      <w:bookmarkEnd w:id="2"/>
      <w:r w:rsidRPr="000937DC">
        <w:t>.  The land and the building in question fell under the Decree of 26 October 1945 on Ownership and Use of Land in Warsaw by virtue of which the Warsaw Municipality (and after 1950, the State Treasury) became the owner of all plots of land located in Warsaw. Due to subsequent amendments of law, on 6 January 1992</w:t>
      </w:r>
      <w:r w:rsidR="000B4F1E" w:rsidRPr="000937DC">
        <w:t xml:space="preserve"> (“the 1992 decision”)</w:t>
      </w:r>
      <w:r w:rsidRPr="000937DC">
        <w:t xml:space="preserve"> the land in question was transferred </w:t>
      </w:r>
      <w:r w:rsidRPr="000937DC">
        <w:rPr>
          <w:i/>
        </w:rPr>
        <w:t>ex lege</w:t>
      </w:r>
      <w:r w:rsidRPr="000937DC">
        <w:t xml:space="preserve"> to the Warsaw Municipality.</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8</w:t>
      </w:r>
      <w:r w:rsidRPr="000937DC">
        <w:rPr>
          <w:noProof/>
        </w:rPr>
        <w:fldChar w:fldCharType="end"/>
      </w:r>
      <w:r w:rsidR="004D28DF" w:rsidRPr="000937DC">
        <w:t>.  According to a further donation contract, a sale contract and the rules on inheritance, since 1998 the rights and claims to the land and the building have belonged in 3/6 to the third applicant, in 2/6 to the second applicant and in 1/6 to the first applicant.</w:t>
      </w:r>
    </w:p>
    <w:p w:rsidR="0092643E" w:rsidRPr="000937DC" w:rsidRDefault="004D28DF" w:rsidP="000937DC">
      <w:pPr>
        <w:pStyle w:val="ECHRHeading2"/>
      </w:pPr>
      <w:r w:rsidRPr="000937DC">
        <w:t>B.</w:t>
      </w:r>
      <w:r w:rsidR="00B014D9" w:rsidRPr="000937DC">
        <w:t> </w:t>
      </w:r>
      <w:r w:rsidRPr="000937DC">
        <w:t> </w:t>
      </w:r>
      <w:r w:rsidR="00CA36A9" w:rsidRPr="000937DC">
        <w:t>First set of the proceedings (</w:t>
      </w:r>
      <w:r w:rsidRPr="000937DC">
        <w:t>the right of ownership and the right of perpetual use</w:t>
      </w:r>
      <w:r w:rsidR="00CA36A9" w:rsidRPr="000937DC">
        <w:t>)</w:t>
      </w:r>
    </w:p>
    <w:p w:rsidR="004D28DF"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9</w:t>
      </w:r>
      <w:r w:rsidRPr="000937DC">
        <w:rPr>
          <w:noProof/>
        </w:rPr>
        <w:fldChar w:fldCharType="end"/>
      </w:r>
      <w:r w:rsidR="008D75C5" w:rsidRPr="000937DC">
        <w:t>.  </w:t>
      </w:r>
      <w:r w:rsidR="004D28DF" w:rsidRPr="000937DC">
        <w:t>On 22 June 1988 the third applicant filed with the Mayor of Warsaw an application for restitution of the right of ownership of the building and the land in question pursuant to the Land Administration and Expropriation Act of 29 April 1985 (</w:t>
      </w:r>
      <w:r w:rsidR="004D28DF" w:rsidRPr="000937DC">
        <w:rPr>
          <w:i/>
        </w:rPr>
        <w:t>Ustawa o gospodarce gruntami i wywłaszczaniu nieruchomości</w:t>
      </w:r>
      <w:r w:rsidR="004D28DF" w:rsidRPr="000937DC">
        <w:t>). On 12 September 1996 the first applicant and on 25 February 1998 the second applicant joined the proceedings.</w:t>
      </w:r>
    </w:p>
    <w:bookmarkStart w:id="3" w:name="pierwszadec"/>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10</w:t>
      </w:r>
      <w:r w:rsidRPr="000937DC">
        <w:rPr>
          <w:noProof/>
        </w:rPr>
        <w:fldChar w:fldCharType="end"/>
      </w:r>
      <w:bookmarkEnd w:id="3"/>
      <w:r w:rsidRPr="000937DC">
        <w:t>.  In a decision of 3 January 2005 the Mayor of Warsaw noted</w:t>
      </w:r>
      <w:r w:rsidR="00131A4C" w:rsidRPr="000937DC">
        <w:t xml:space="preserve"> that on 1 </w:t>
      </w:r>
      <w:r w:rsidRPr="000937DC">
        <w:t>January 1998 the new Land Administration Act of 21 August 1997 had entered into force. Pursuant to section 214 of that act restitution of the right of ownership of the land was not possible. The former owners whose property had been taken over by the State and whose claims for restoration had expired were only entitled to apply for perpetual use of the land. Consequently, the Mayor granted the applicants the right of perpetual use of the land and declared that they retained the ownership of the building located thereon.</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11</w:t>
      </w:r>
      <w:r w:rsidRPr="000937DC">
        <w:rPr>
          <w:noProof/>
        </w:rPr>
        <w:fldChar w:fldCharType="end"/>
      </w:r>
      <w:r w:rsidR="004D28DF" w:rsidRPr="000937DC">
        <w:t>.  On 17 January 2005 the applicants applied to have this decision amended and the ownership of the land restored.</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12</w:t>
      </w:r>
      <w:r w:rsidRPr="000937DC">
        <w:rPr>
          <w:noProof/>
        </w:rPr>
        <w:fldChar w:fldCharType="end"/>
      </w:r>
      <w:r w:rsidR="004D28DF" w:rsidRPr="000937DC">
        <w:t>.  On 6 June 2005 the Warsaw Self-Government Board of Appeal quashed the impugned decision and remitted the case for re-examination.</w:t>
      </w:r>
    </w:p>
    <w:bookmarkStart w:id="4" w:name="dec21112005"/>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13</w:t>
      </w:r>
      <w:r w:rsidRPr="000937DC">
        <w:rPr>
          <w:noProof/>
        </w:rPr>
        <w:fldChar w:fldCharType="end"/>
      </w:r>
      <w:bookmarkEnd w:id="4"/>
      <w:r w:rsidRPr="000937DC">
        <w:t>.  On 21 November 2005 the Mayor of Warsaw issued a decision, granting the applicants the right of perpetual use of the land. The Mayor decided to return the ownership of the building to the applicants and decided on the annual amount of fees to be paid for the perpetual use of the land.</w:t>
      </w:r>
    </w:p>
    <w:bookmarkStart w:id="5" w:name="appealdecision"/>
    <w:p w:rsidR="004D28DF" w:rsidRPr="000937DC" w:rsidRDefault="004D28DF" w:rsidP="000937DC">
      <w:pPr>
        <w:pStyle w:val="ECHRPara"/>
      </w:pPr>
      <w:r w:rsidRPr="000937DC">
        <w:lastRenderedPageBreak/>
        <w:fldChar w:fldCharType="begin"/>
      </w:r>
      <w:r w:rsidRPr="000937DC">
        <w:instrText xml:space="preserve"> SEQ level0 \*arabic </w:instrText>
      </w:r>
      <w:r w:rsidRPr="000937DC">
        <w:fldChar w:fldCharType="separate"/>
      </w:r>
      <w:r w:rsidR="000937DC" w:rsidRPr="000937DC">
        <w:rPr>
          <w:noProof/>
        </w:rPr>
        <w:t>14</w:t>
      </w:r>
      <w:r w:rsidRPr="000937DC">
        <w:rPr>
          <w:noProof/>
        </w:rPr>
        <w:fldChar w:fldCharType="end"/>
      </w:r>
      <w:bookmarkEnd w:id="5"/>
      <w:r w:rsidRPr="000937DC">
        <w:t>.  On 8 December 2005 the applicants appealed against this decision objecting to the amount of fees.</w:t>
      </w:r>
    </w:p>
    <w:bookmarkStart w:id="6" w:name="self"/>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15</w:t>
      </w:r>
      <w:r w:rsidRPr="000937DC">
        <w:rPr>
          <w:noProof/>
        </w:rPr>
        <w:fldChar w:fldCharType="end"/>
      </w:r>
      <w:bookmarkEnd w:id="6"/>
      <w:r w:rsidRPr="000937DC">
        <w:t xml:space="preserve">.  On 5 December 2007 the Warsaw Self-Government Board of Appeal quashed the decision of 21 November 2005 (see paragraph </w:t>
      </w:r>
      <w:r w:rsidR="00783F38" w:rsidRPr="000937DC">
        <w:t>13</w:t>
      </w:r>
      <w:r w:rsidRPr="000937DC">
        <w:t xml:space="preserve"> above) and remitted the case for re-examination.</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16</w:t>
      </w:r>
      <w:r w:rsidRPr="000937DC">
        <w:rPr>
          <w:noProof/>
        </w:rPr>
        <w:fldChar w:fldCharType="end"/>
      </w:r>
      <w:r w:rsidR="004D28DF" w:rsidRPr="000937DC">
        <w:t>.  On 15 October 2008 the applicants lodged with the Warsaw Regional Administrative Court a complaint about the inactivity on the part of the Mayor of Warsaw.</w:t>
      </w:r>
    </w:p>
    <w:bookmarkStart w:id="7" w:name="inactivity"/>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17</w:t>
      </w:r>
      <w:r w:rsidRPr="000937DC">
        <w:rPr>
          <w:noProof/>
        </w:rPr>
        <w:fldChar w:fldCharType="end"/>
      </w:r>
      <w:bookmarkEnd w:id="7"/>
      <w:r w:rsidRPr="000937DC">
        <w:t>.  By a judgment of 28 January 2009 the Warsaw Regional Administrative Court obliged the Mayor of Warsaw to issue a decision within four weeks.</w:t>
      </w:r>
    </w:p>
    <w:bookmarkStart w:id="8" w:name="granting"/>
    <w:bookmarkStart w:id="9" w:name="junedecision"/>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18</w:t>
      </w:r>
      <w:r w:rsidRPr="000937DC">
        <w:rPr>
          <w:noProof/>
        </w:rPr>
        <w:fldChar w:fldCharType="end"/>
      </w:r>
      <w:bookmarkEnd w:id="8"/>
      <w:bookmarkEnd w:id="9"/>
      <w:r w:rsidRPr="000937DC">
        <w:t>.  On 18 June 2009 the Mayor of Warsaw issued a new decision, granting the applicants a right of perpetual use of the land and the ownership of the house.</w:t>
      </w:r>
      <w:r w:rsidR="003D0C69" w:rsidRPr="000937DC">
        <w:t xml:space="preserve"> It further fixed the amount of annual fees to be paid for the perpetual use of land.</w:t>
      </w:r>
    </w:p>
    <w:p w:rsidR="0092643E" w:rsidRPr="000937DC" w:rsidRDefault="009E2741" w:rsidP="000937DC">
      <w:pPr>
        <w:pStyle w:val="ECHRHeading2"/>
      </w:pPr>
      <w:r w:rsidRPr="000937DC">
        <w:t>C.  </w:t>
      </w:r>
      <w:r w:rsidR="00CA36A9" w:rsidRPr="000937DC">
        <w:t>Second set of the proceedings (</w:t>
      </w:r>
      <w:r w:rsidRPr="000937DC">
        <w:t>amount of fees for the perpetual use of land</w:t>
      </w:r>
      <w:r w:rsidR="00CA36A9" w:rsidRPr="000937DC">
        <w:t>)</w:t>
      </w:r>
    </w:p>
    <w:p w:rsidR="009E2741"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19</w:t>
      </w:r>
      <w:r w:rsidRPr="000937DC">
        <w:rPr>
          <w:noProof/>
        </w:rPr>
        <w:fldChar w:fldCharType="end"/>
      </w:r>
      <w:r w:rsidR="009E2741" w:rsidRPr="000937DC">
        <w:t>.  </w:t>
      </w:r>
      <w:r w:rsidR="003D0C69" w:rsidRPr="000937DC">
        <w:t>On 30 June 2009 t</w:t>
      </w:r>
      <w:r w:rsidR="009E2741" w:rsidRPr="000937DC">
        <w:t>he applicants appl</w:t>
      </w:r>
      <w:r w:rsidR="003D0C69" w:rsidRPr="000937DC">
        <w:t>i</w:t>
      </w:r>
      <w:r w:rsidR="009E2741" w:rsidRPr="000937DC">
        <w:t>ed to the Warsaw Self</w:t>
      </w:r>
      <w:r w:rsidR="003B78EB" w:rsidRPr="000937DC">
        <w:noBreakHyphen/>
      </w:r>
      <w:r w:rsidR="009E2741" w:rsidRPr="000937DC">
        <w:t>Government Board of Appeal contesting the amount of fees for the perpetual use of land.</w:t>
      </w:r>
    </w:p>
    <w:p w:rsidR="009E2741"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20</w:t>
      </w:r>
      <w:r w:rsidRPr="000937DC">
        <w:rPr>
          <w:noProof/>
        </w:rPr>
        <w:fldChar w:fldCharType="end"/>
      </w:r>
      <w:r w:rsidR="009E2741" w:rsidRPr="000937DC">
        <w:t>.  On 5 November 2009 the Warsaw Self-Government Board of Appeal upheld the impugned decision.</w:t>
      </w:r>
    </w:p>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21</w:t>
      </w:r>
      <w:r w:rsidRPr="000937DC">
        <w:rPr>
          <w:noProof/>
        </w:rPr>
        <w:fldChar w:fldCharType="end"/>
      </w:r>
      <w:r w:rsidR="009E2741" w:rsidRPr="000937DC">
        <w:t>.  </w:t>
      </w:r>
      <w:r w:rsidR="00FF5630" w:rsidRPr="000937DC">
        <w:t>On 27 November 2009 t</w:t>
      </w:r>
      <w:r w:rsidR="004D28DF" w:rsidRPr="000937DC">
        <w:t xml:space="preserve">he applicants lodged an appeal with the Warsaw Regional Administrative Court. On 1 June 2010 the Warsaw Regional Administrative Court rejected their appeal as lodged out of time. </w:t>
      </w:r>
      <w:r w:rsidR="003D0C69" w:rsidRPr="000937DC">
        <w:t>However, s</w:t>
      </w:r>
      <w:r w:rsidR="004D28DF" w:rsidRPr="000937DC">
        <w:t xml:space="preserve">ubsequently, </w:t>
      </w:r>
      <w:r w:rsidR="003D0C69" w:rsidRPr="000937DC">
        <w:t xml:space="preserve">it </w:t>
      </w:r>
      <w:r w:rsidR="004D28DF" w:rsidRPr="000937DC">
        <w:t xml:space="preserve">granted them leave </w:t>
      </w:r>
      <w:r w:rsidR="003D0C69" w:rsidRPr="000937DC">
        <w:t xml:space="preserve">to </w:t>
      </w:r>
      <w:r w:rsidR="004D28DF" w:rsidRPr="000937DC">
        <w:t>appeal out of time.</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22</w:t>
      </w:r>
      <w:r w:rsidRPr="000937DC">
        <w:rPr>
          <w:noProof/>
        </w:rPr>
        <w:fldChar w:fldCharType="end"/>
      </w:r>
      <w:r w:rsidR="004D28DF" w:rsidRPr="000937DC">
        <w:t>.  On 26 January 2011 the Warsaw Regional Administrative Court dismissed the applicants</w:t>
      </w:r>
      <w:r w:rsidR="000937DC" w:rsidRPr="000937DC">
        <w:t>’</w:t>
      </w:r>
      <w:r w:rsidR="004D28DF" w:rsidRPr="000937DC">
        <w:t xml:space="preserve"> appeal.</w:t>
      </w:r>
    </w:p>
    <w:bookmarkStart w:id="10" w:name="nsa"/>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23</w:t>
      </w:r>
      <w:r w:rsidRPr="000937DC">
        <w:rPr>
          <w:noProof/>
        </w:rPr>
        <w:fldChar w:fldCharType="end"/>
      </w:r>
      <w:bookmarkEnd w:id="10"/>
      <w:r w:rsidRPr="000937DC">
        <w:t>.  The applicants lodged a cassation appeal with the Supreme Administrative Court, which was dismissed on 9 August 2012.</w:t>
      </w:r>
    </w:p>
    <w:bookmarkStart w:id="11" w:name="notarial"/>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24</w:t>
      </w:r>
      <w:r w:rsidRPr="000937DC">
        <w:rPr>
          <w:noProof/>
        </w:rPr>
        <w:fldChar w:fldCharType="end"/>
      </w:r>
      <w:bookmarkEnd w:id="11"/>
      <w:r w:rsidRPr="000937DC">
        <w:t>.  On 24 May 2013 the applicants signed a notarial deed by virtue of which they acquired the ownership of the building and a right of perpetual use of the land.</w:t>
      </w:r>
    </w:p>
    <w:p w:rsidR="0092643E" w:rsidRPr="000937DC" w:rsidRDefault="009E2741" w:rsidP="000937DC">
      <w:pPr>
        <w:pStyle w:val="ECHRHeading2"/>
      </w:pPr>
      <w:r w:rsidRPr="000937DC">
        <w:t>D</w:t>
      </w:r>
      <w:r w:rsidR="004D28DF" w:rsidRPr="000937DC">
        <w:t>.  </w:t>
      </w:r>
      <w:r w:rsidR="000B4F1E" w:rsidRPr="000937DC">
        <w:t xml:space="preserve">Third set of the proceedings (a request to </w:t>
      </w:r>
      <w:r w:rsidR="004D28DF" w:rsidRPr="000937DC">
        <w:t xml:space="preserve">declare the </w:t>
      </w:r>
      <w:r w:rsidR="000B4F1E" w:rsidRPr="000937DC">
        <w:t xml:space="preserve">1992 </w:t>
      </w:r>
      <w:r w:rsidR="004D28DF" w:rsidRPr="000937DC">
        <w:t>decision null and void</w:t>
      </w:r>
      <w:r w:rsidR="000B4F1E" w:rsidRPr="000937DC">
        <w:t>)</w:t>
      </w:r>
    </w:p>
    <w:bookmarkStart w:id="12" w:name="nullvoid"/>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25</w:t>
      </w:r>
      <w:r w:rsidRPr="000937DC">
        <w:rPr>
          <w:noProof/>
        </w:rPr>
        <w:fldChar w:fldCharType="end"/>
      </w:r>
      <w:bookmarkEnd w:id="12"/>
      <w:r w:rsidRPr="000937DC">
        <w:t xml:space="preserve">.  On 6 April 2010 the applicants filed an application to declare the </w:t>
      </w:r>
      <w:r w:rsidR="000B4F1E" w:rsidRPr="000937DC">
        <w:t xml:space="preserve">1992 </w:t>
      </w:r>
      <w:r w:rsidRPr="000937DC">
        <w:t xml:space="preserve">decision (see </w:t>
      </w:r>
      <w:r w:rsidRPr="000937DC">
        <w:rPr>
          <w:rFonts w:cstheme="minorHAnsi"/>
        </w:rPr>
        <w:t>paragraph</w:t>
      </w:r>
      <w:r w:rsidRPr="000937DC">
        <w:t xml:space="preserve"> </w:t>
      </w:r>
      <w:r w:rsidR="00AA1551" w:rsidRPr="000937DC">
        <w:t>7</w:t>
      </w:r>
      <w:r w:rsidRPr="000937DC">
        <w:t xml:space="preserve"> above) null and void.</w:t>
      </w:r>
    </w:p>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26</w:t>
      </w:r>
      <w:r w:rsidRPr="000937DC">
        <w:rPr>
          <w:noProof/>
        </w:rPr>
        <w:fldChar w:fldCharType="end"/>
      </w:r>
      <w:r w:rsidR="006B1289" w:rsidRPr="000937DC">
        <w:t>.  On 25 February 2011 the Minister of the Interior refused to declare the 1992 decision null and void.</w:t>
      </w:r>
    </w:p>
    <w:p w:rsidR="0092643E" w:rsidRPr="000937DC" w:rsidRDefault="00E13DFB" w:rsidP="000937DC">
      <w:pPr>
        <w:pStyle w:val="ECHRPara"/>
      </w:pPr>
      <w:r w:rsidRPr="000937DC">
        <w:lastRenderedPageBreak/>
        <w:fldChar w:fldCharType="begin"/>
      </w:r>
      <w:r w:rsidRPr="000937DC">
        <w:instrText xml:space="preserve"> SEQ level0 \*arabic </w:instrText>
      </w:r>
      <w:r w:rsidRPr="000937DC">
        <w:fldChar w:fldCharType="separate"/>
      </w:r>
      <w:r w:rsidR="000937DC" w:rsidRPr="000937DC">
        <w:rPr>
          <w:noProof/>
        </w:rPr>
        <w:t>27</w:t>
      </w:r>
      <w:r w:rsidRPr="000937DC">
        <w:rPr>
          <w:noProof/>
        </w:rPr>
        <w:fldChar w:fldCharType="end"/>
      </w:r>
      <w:r w:rsidR="006B1289" w:rsidRPr="000937DC">
        <w:t>.  Subsequently, on various dates, the applicants applied to have the case re-examined.</w:t>
      </w:r>
      <w:r w:rsidR="00734240" w:rsidRPr="000937DC">
        <w:t xml:space="preserve"> </w:t>
      </w:r>
      <w:r w:rsidR="00AB0C9D" w:rsidRPr="000937DC">
        <w:t xml:space="preserve">Following several remittals on 12 February 2013 </w:t>
      </w:r>
      <w:r w:rsidR="000B4F1E" w:rsidRPr="000937DC">
        <w:t>the</w:t>
      </w:r>
      <w:r w:rsidR="004D28DF" w:rsidRPr="000937DC">
        <w:t xml:space="preserve"> Warsaw Regional Administrative Court</w:t>
      </w:r>
      <w:r w:rsidR="000B4F1E" w:rsidRPr="000937DC">
        <w:t xml:space="preserve"> </w:t>
      </w:r>
      <w:r w:rsidR="00AB0C9D" w:rsidRPr="000937DC">
        <w:t>refused the applicants</w:t>
      </w:r>
      <w:r w:rsidR="000937DC" w:rsidRPr="000937DC">
        <w:t>’</w:t>
      </w:r>
      <w:r w:rsidR="00AB0C9D" w:rsidRPr="000937DC">
        <w:t xml:space="preserve"> request.</w:t>
      </w:r>
    </w:p>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28</w:t>
      </w:r>
      <w:r w:rsidRPr="000937DC">
        <w:rPr>
          <w:noProof/>
        </w:rPr>
        <w:fldChar w:fldCharType="end"/>
      </w:r>
      <w:r w:rsidR="006B1289" w:rsidRPr="000937DC">
        <w:t>.  </w:t>
      </w:r>
      <w:r w:rsidR="00AB0C9D" w:rsidRPr="000937DC">
        <w:t xml:space="preserve">On 14 March 2013 the applicants lodged a cassation appeal with the Supreme Administrative Court. </w:t>
      </w:r>
      <w:r w:rsidR="00866902" w:rsidRPr="000937DC">
        <w:t>However, they have failed to submit any information about the further course of the proceedings.</w:t>
      </w:r>
    </w:p>
    <w:p w:rsidR="004D28DF" w:rsidRPr="000937DC" w:rsidRDefault="009E2741" w:rsidP="000937DC">
      <w:pPr>
        <w:pStyle w:val="ECHRHeading2"/>
      </w:pPr>
      <w:r w:rsidRPr="000937DC">
        <w:t>E</w:t>
      </w:r>
      <w:r w:rsidR="004D28DF" w:rsidRPr="000937DC">
        <w:t>.  </w:t>
      </w:r>
      <w:r w:rsidR="000B4F1E" w:rsidRPr="000937DC">
        <w:t>Fourth set of the proceedings (</w:t>
      </w:r>
      <w:r w:rsidR="004D28DF" w:rsidRPr="000937DC">
        <w:t>transformation of the right of perpetual use into the right of ownership</w:t>
      </w:r>
      <w:r w:rsidR="000B4F1E" w:rsidRPr="000937DC">
        <w:t>)</w:t>
      </w:r>
    </w:p>
    <w:bookmarkStart w:id="13" w:name="ownershi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29</w:t>
      </w:r>
      <w:r w:rsidRPr="000937DC">
        <w:fldChar w:fldCharType="end"/>
      </w:r>
      <w:bookmarkEnd w:id="13"/>
      <w:r w:rsidRPr="000937DC">
        <w:t>.  On 20 June 2013 the applicants applied to the Mayor of Warsaw for transformation of their right of perpetual use of land into the right of ownership under the Act of 25 July 2005 on Transformation of a Right of Perpetual Use into a Right of Ownership.</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30</w:t>
      </w:r>
      <w:r w:rsidRPr="000937DC">
        <w:rPr>
          <w:noProof/>
        </w:rPr>
        <w:fldChar w:fldCharType="end"/>
      </w:r>
      <w:r w:rsidR="004D28DF" w:rsidRPr="000937DC">
        <w:t>.  On 28 August 2013 the Board of the Mokotów District (</w:t>
      </w:r>
      <w:r w:rsidR="004D28DF" w:rsidRPr="000937DC">
        <w:rPr>
          <w:i/>
        </w:rPr>
        <w:t>Zarząd Dzielnicy Mokotów</w:t>
      </w:r>
      <w:r w:rsidR="004D28DF" w:rsidRPr="000937DC">
        <w:t>) refused to grant the application</w:t>
      </w:r>
      <w:r w:rsidR="000B4F1E" w:rsidRPr="000937DC">
        <w:t>.</w:t>
      </w:r>
      <w:r w:rsidR="00734240" w:rsidRPr="000937DC">
        <w:t xml:space="preserve"> </w:t>
      </w:r>
      <w:r w:rsidR="004D28DF" w:rsidRPr="000937DC">
        <w:t>The applicants appealed</w:t>
      </w:r>
      <w:r w:rsidR="00542E76" w:rsidRPr="000937DC">
        <w:t xml:space="preserve"> </w:t>
      </w:r>
      <w:r w:rsidR="008D75C5" w:rsidRPr="000937DC">
        <w:t xml:space="preserve">against this decision </w:t>
      </w:r>
      <w:r w:rsidR="00542E76" w:rsidRPr="000937DC">
        <w:t>on 13 September 2013</w:t>
      </w:r>
      <w:r w:rsidR="004D28DF" w:rsidRPr="000937DC">
        <w:t>.</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31</w:t>
      </w:r>
      <w:r w:rsidRPr="000937DC">
        <w:rPr>
          <w:noProof/>
        </w:rPr>
        <w:fldChar w:fldCharType="end"/>
      </w:r>
      <w:r w:rsidR="004D28DF" w:rsidRPr="000937DC">
        <w:t xml:space="preserve">.  On 3 October 2013 </w:t>
      </w:r>
      <w:r w:rsidR="00542E76" w:rsidRPr="000937DC">
        <w:t xml:space="preserve">and 3 September 2014 </w:t>
      </w:r>
      <w:r w:rsidR="004D28DF" w:rsidRPr="000937DC">
        <w:t>the Warsaw Self</w:t>
      </w:r>
      <w:r w:rsidR="0092643E" w:rsidRPr="000937DC">
        <w:noBreakHyphen/>
      </w:r>
      <w:r w:rsidR="004D28DF" w:rsidRPr="000937DC">
        <w:t xml:space="preserve">Government Board of Appeal </w:t>
      </w:r>
      <w:r w:rsidR="00542E76" w:rsidRPr="000937DC">
        <w:t xml:space="preserve">and the Warsaw Regional Administrative Court, respectively, </w:t>
      </w:r>
      <w:r w:rsidR="004D28DF" w:rsidRPr="000937DC">
        <w:t>upheld the first-instance decision.</w:t>
      </w:r>
    </w:p>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32</w:t>
      </w:r>
      <w:r w:rsidRPr="000937DC">
        <w:rPr>
          <w:noProof/>
        </w:rPr>
        <w:fldChar w:fldCharType="end"/>
      </w:r>
      <w:r w:rsidR="004D28DF" w:rsidRPr="000937DC">
        <w:t xml:space="preserve">.  On 3 November 2015 the Supreme Administrative Court quashed </w:t>
      </w:r>
      <w:r w:rsidR="00542E76" w:rsidRPr="000937DC">
        <w:t>both decisions.</w:t>
      </w:r>
    </w:p>
    <w:bookmarkStart w:id="14" w:name="finalone"/>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33</w:t>
      </w:r>
      <w:r w:rsidRPr="000937DC">
        <w:rPr>
          <w:noProof/>
        </w:rPr>
        <w:fldChar w:fldCharType="end"/>
      </w:r>
      <w:bookmarkEnd w:id="14"/>
      <w:r w:rsidR="004D28DF" w:rsidRPr="000937DC">
        <w:t>.  On 14 April 2016 the Board of the Mokot</w:t>
      </w:r>
      <w:r w:rsidR="004D28DF" w:rsidRPr="000937DC">
        <w:rPr>
          <w:rFonts w:cstheme="minorHAnsi"/>
        </w:rPr>
        <w:t>ó</w:t>
      </w:r>
      <w:r w:rsidR="004D28DF" w:rsidRPr="000937DC">
        <w:t>w District issued a decision on the free of charge transformation of the right of perpetual use of the land into the right of ownership.</w:t>
      </w:r>
    </w:p>
    <w:p w:rsidR="0092643E" w:rsidRPr="000937DC" w:rsidRDefault="004D28DF" w:rsidP="000937DC">
      <w:pPr>
        <w:pStyle w:val="ECHRHeading1"/>
      </w:pPr>
      <w:r w:rsidRPr="000937DC">
        <w:t>II.  RELEVANT DOMESTIC LAW</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34</w:t>
      </w:r>
      <w:r w:rsidRPr="000937DC">
        <w:fldChar w:fldCharType="end"/>
      </w:r>
      <w:r w:rsidRPr="000937DC">
        <w:t>.  The relevant domestic law concerning the remedies against the excessive length of administrative proceedings is set out in the Court</w:t>
      </w:r>
      <w:r w:rsidR="000937DC" w:rsidRPr="000937DC">
        <w:t>’</w:t>
      </w:r>
      <w:r w:rsidRPr="000937DC">
        <w:t xml:space="preserve">s judgment in the case </w:t>
      </w:r>
      <w:r w:rsidR="008D75C5" w:rsidRPr="000937DC">
        <w:rPr>
          <w:i/>
        </w:rPr>
        <w:t>Wcis</w:t>
      </w:r>
      <w:r w:rsidR="008D75C5" w:rsidRPr="000937DC">
        <w:rPr>
          <w:rFonts w:cstheme="minorHAnsi"/>
          <w:i/>
        </w:rPr>
        <w:t>ł</w:t>
      </w:r>
      <w:r w:rsidR="008D75C5" w:rsidRPr="000937DC">
        <w:rPr>
          <w:i/>
        </w:rPr>
        <w:t xml:space="preserve">o and Cabaj </w:t>
      </w:r>
      <w:r w:rsidRPr="000937DC">
        <w:rPr>
          <w:i/>
        </w:rPr>
        <w:t>v. Poland</w:t>
      </w:r>
      <w:r w:rsidRPr="000937DC">
        <w:t xml:space="preserve"> (no</w:t>
      </w:r>
      <w:r w:rsidR="008D75C5" w:rsidRPr="000937DC">
        <w:t>s</w:t>
      </w:r>
      <w:r w:rsidRPr="000937DC">
        <w:t>. </w:t>
      </w:r>
      <w:r w:rsidR="00734240" w:rsidRPr="000937DC">
        <w:t xml:space="preserve">49725/11 and </w:t>
      </w:r>
      <w:r w:rsidR="008D75C5" w:rsidRPr="000937DC">
        <w:t>79950/13</w:t>
      </w:r>
      <w:r w:rsidRPr="000937DC">
        <w:t>, §§ </w:t>
      </w:r>
      <w:r w:rsidR="008D75C5" w:rsidRPr="000937DC">
        <w:t>88</w:t>
      </w:r>
      <w:r w:rsidRPr="000937DC">
        <w:t>-</w:t>
      </w:r>
      <w:r w:rsidR="008D75C5" w:rsidRPr="000937DC">
        <w:t>102</w:t>
      </w:r>
      <w:r w:rsidRPr="000937DC">
        <w:t xml:space="preserve">, </w:t>
      </w:r>
      <w:r w:rsidR="00EA581C" w:rsidRPr="000937DC">
        <w:t xml:space="preserve">8 November </w:t>
      </w:r>
      <w:r w:rsidRPr="000937DC">
        <w:t>20</w:t>
      </w:r>
      <w:r w:rsidR="008D75C5" w:rsidRPr="000937DC">
        <w:t>18</w:t>
      </w:r>
      <w:r w:rsidRPr="000937DC">
        <w:t>).</w:t>
      </w:r>
    </w:p>
    <w:p w:rsidR="007A0F8A"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35</w:t>
      </w:r>
      <w:r w:rsidRPr="000937DC">
        <w:rPr>
          <w:noProof/>
        </w:rPr>
        <w:fldChar w:fldCharType="end"/>
      </w:r>
      <w:r w:rsidR="007A0F8A" w:rsidRPr="000937DC">
        <w:t>.  The relevant provisions of the Code of Administrative Procedure relating to situations when a final administrative decision may be annulled are set out in the Court</w:t>
      </w:r>
      <w:r w:rsidR="000937DC" w:rsidRPr="000937DC">
        <w:t>’</w:t>
      </w:r>
      <w:r w:rsidR="007A0F8A" w:rsidRPr="000937DC">
        <w:t xml:space="preserve">s decision in the case of </w:t>
      </w:r>
      <w:r w:rsidR="007A0F8A" w:rsidRPr="000937DC">
        <w:rPr>
          <w:i/>
        </w:rPr>
        <w:t xml:space="preserve">Lubelska Fabryka Maszyn </w:t>
      </w:r>
      <w:r w:rsidR="0092643E" w:rsidRPr="000937DC">
        <w:rPr>
          <w:i/>
        </w:rPr>
        <w:t>i </w:t>
      </w:r>
      <w:r w:rsidR="007A0F8A" w:rsidRPr="000937DC">
        <w:rPr>
          <w:i/>
        </w:rPr>
        <w:t xml:space="preserve">Narzędzi Rolniczych </w:t>
      </w:r>
      <w:r w:rsidR="000937DC" w:rsidRPr="000937DC">
        <w:rPr>
          <w:i/>
        </w:rPr>
        <w:t>‘</w:t>
      </w:r>
      <w:r w:rsidR="007A0F8A" w:rsidRPr="000937DC">
        <w:rPr>
          <w:i/>
        </w:rPr>
        <w:t>Plon</w:t>
      </w:r>
      <w:r w:rsidR="000937DC" w:rsidRPr="000937DC">
        <w:rPr>
          <w:i/>
        </w:rPr>
        <w:t>’</w:t>
      </w:r>
      <w:r w:rsidR="007A0F8A" w:rsidRPr="000937DC">
        <w:rPr>
          <w:i/>
        </w:rPr>
        <w:t xml:space="preserve"> and 2 other applications</w:t>
      </w:r>
      <w:r w:rsidR="007A0F8A" w:rsidRPr="000937DC">
        <w:t xml:space="preserve"> ((dec.) </w:t>
      </w:r>
      <w:hyperlink r:id="rId18" w:anchor="{&quot;appno&quot;:[&quot;1680/08&quot;]}" w:tgtFrame="_blank" w:history="1">
        <w:r w:rsidR="007A0F8A" w:rsidRPr="000937DC">
          <w:t>1680/08</w:t>
        </w:r>
      </w:hyperlink>
      <w:r w:rsidR="007A0F8A" w:rsidRPr="000937DC">
        <w:t>, §§</w:t>
      </w:r>
      <w:r w:rsidR="003B78EB" w:rsidRPr="000937DC">
        <w:t> </w:t>
      </w:r>
      <w:r w:rsidR="007A0F8A" w:rsidRPr="000937DC">
        <w:t>63</w:t>
      </w:r>
      <w:r w:rsidR="003B78EB" w:rsidRPr="000937DC">
        <w:noBreakHyphen/>
      </w:r>
      <w:r w:rsidR="007A0F8A" w:rsidRPr="000937DC">
        <w:t>64, 3 October 2017).</w:t>
      </w:r>
    </w:p>
    <w:p w:rsidR="00DE61E0" w:rsidRPr="000937DC" w:rsidRDefault="00DE61E0" w:rsidP="000937DC">
      <w:pPr>
        <w:pStyle w:val="ECHRTitle1"/>
      </w:pPr>
      <w:r w:rsidRPr="000937DC">
        <w:lastRenderedPageBreak/>
        <w:t>THE LAW</w:t>
      </w:r>
    </w:p>
    <w:p w:rsidR="004D28DF" w:rsidRPr="000937DC" w:rsidRDefault="004D28DF" w:rsidP="000937DC">
      <w:pPr>
        <w:pStyle w:val="ECHRHeading1"/>
      </w:pPr>
      <w:r w:rsidRPr="000937DC">
        <w:t>I.  ALLEGED VIOLATION OF ARTICLE 6 § 1 OF THE CONVENTION</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36</w:t>
      </w:r>
      <w:r w:rsidRPr="000937DC">
        <w:fldChar w:fldCharType="end"/>
      </w:r>
      <w:r w:rsidRPr="000937DC">
        <w:t>.  The applicants complained that the length of the proceedings had been incompatible with the “reasonable time” requirement, laid down in Article 6 § 1 of the Convention, which, in so far as relevant, reads as follows:</w:t>
      </w:r>
    </w:p>
    <w:p w:rsidR="004D28DF" w:rsidRPr="000937DC" w:rsidRDefault="004D28DF" w:rsidP="000937DC">
      <w:pPr>
        <w:pStyle w:val="ECHRParaQuote"/>
      </w:pPr>
      <w:r w:rsidRPr="000937DC">
        <w:t>“In the determination of his civil rights and obligations ..., everyone is entitled to a ... hearing within a reasonable time by a ... tribunal...”</w:t>
      </w:r>
    </w:p>
    <w:p w:rsidR="004D28DF" w:rsidRPr="000937DC" w:rsidRDefault="004D28DF" w:rsidP="000937DC">
      <w:pPr>
        <w:pStyle w:val="ECHRHeading2"/>
      </w:pPr>
      <w:r w:rsidRPr="000937DC">
        <w:t>A.  Scope of the case</w:t>
      </w:r>
    </w:p>
    <w:p w:rsidR="004D28DF" w:rsidRPr="000937DC" w:rsidRDefault="004D28DF" w:rsidP="000937DC">
      <w:pPr>
        <w:pStyle w:val="ECHRPara"/>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37</w:t>
      </w:r>
      <w:r w:rsidRPr="000937DC">
        <w:rPr>
          <w:szCs w:val="24"/>
        </w:rPr>
        <w:fldChar w:fldCharType="end"/>
      </w:r>
      <w:r w:rsidRPr="000937DC">
        <w:rPr>
          <w:szCs w:val="24"/>
        </w:rPr>
        <w:t>.  </w:t>
      </w:r>
      <w:r w:rsidRPr="000937DC">
        <w:t xml:space="preserve">In the present case, the applicants generally complain about the length of the administrative proceedings. However, the Court notes that there were, in fact, </w:t>
      </w:r>
      <w:r w:rsidR="002025AC" w:rsidRPr="000937DC">
        <w:t>four</w:t>
      </w:r>
      <w:r w:rsidRPr="000937DC">
        <w:t xml:space="preserve"> distinct sets of proceedings.</w:t>
      </w:r>
    </w:p>
    <w:bookmarkStart w:id="15" w:name="firstset"/>
    <w:p w:rsidR="002025AC"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38</w:t>
      </w:r>
      <w:r w:rsidRPr="000937DC">
        <w:rPr>
          <w:noProof/>
        </w:rPr>
        <w:fldChar w:fldCharType="end"/>
      </w:r>
      <w:bookmarkEnd w:id="15"/>
      <w:r w:rsidRPr="000937DC">
        <w:t>.  The first set of proceedings concerned the right of ownership of the land and the right of perpetual use of it</w:t>
      </w:r>
      <w:r w:rsidR="008D75C5" w:rsidRPr="000937DC">
        <w:t xml:space="preserve"> </w:t>
      </w:r>
      <w:r w:rsidR="002025AC" w:rsidRPr="000937DC">
        <w:t>(see paragraph</w:t>
      </w:r>
      <w:r w:rsidR="008D75C5" w:rsidRPr="000937DC">
        <w:t>s 9-</w:t>
      </w:r>
      <w:r w:rsidR="00783F38" w:rsidRPr="000937DC">
        <w:t>18</w:t>
      </w:r>
      <w:r w:rsidR="002025AC" w:rsidRPr="000937DC">
        <w:t xml:space="preserve"> above).</w:t>
      </w:r>
    </w:p>
    <w:p w:rsidR="0092643E"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39</w:t>
      </w:r>
      <w:r w:rsidRPr="000937DC">
        <w:rPr>
          <w:noProof/>
        </w:rPr>
        <w:fldChar w:fldCharType="end"/>
      </w:r>
      <w:r w:rsidR="002025AC" w:rsidRPr="000937DC">
        <w:t>.  </w:t>
      </w:r>
      <w:r w:rsidR="00432730" w:rsidRPr="000937DC">
        <w:t>The second set of proceedings concerned the amount of fees for the perpetual use of land</w:t>
      </w:r>
      <w:r w:rsidR="008D75C5" w:rsidRPr="000937DC">
        <w:t xml:space="preserve"> </w:t>
      </w:r>
      <w:r w:rsidR="002F3E79" w:rsidRPr="000937DC">
        <w:t>(see paragraph</w:t>
      </w:r>
      <w:r w:rsidR="008D75C5" w:rsidRPr="000937DC">
        <w:t>s</w:t>
      </w:r>
      <w:r w:rsidR="002F3E79" w:rsidRPr="000937DC">
        <w:t xml:space="preserve"> </w:t>
      </w:r>
      <w:r w:rsidR="008D75C5" w:rsidRPr="000937DC">
        <w:t>19-24</w:t>
      </w:r>
      <w:r w:rsidR="002F3E79" w:rsidRPr="000937DC">
        <w:t xml:space="preserve"> above)</w:t>
      </w:r>
      <w:r w:rsidR="008D75C5" w:rsidRPr="000937DC">
        <w:t>.</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40</w:t>
      </w:r>
      <w:r w:rsidRPr="000937DC">
        <w:rPr>
          <w:noProof/>
        </w:rPr>
        <w:fldChar w:fldCharType="end"/>
      </w:r>
      <w:r w:rsidR="004D28DF" w:rsidRPr="000937DC">
        <w:t xml:space="preserve">.  The </w:t>
      </w:r>
      <w:r w:rsidR="002025AC" w:rsidRPr="000937DC">
        <w:t>third</w:t>
      </w:r>
      <w:r w:rsidR="004D28DF" w:rsidRPr="000937DC">
        <w:t xml:space="preserve"> set of proceedings concerned the request </w:t>
      </w:r>
      <w:r w:rsidR="008D75C5" w:rsidRPr="000937DC">
        <w:t>for</w:t>
      </w:r>
      <w:r w:rsidR="004D28DF" w:rsidRPr="000937DC">
        <w:t xml:space="preserve"> annulment of the</w:t>
      </w:r>
      <w:r w:rsidR="008D75C5" w:rsidRPr="000937DC">
        <w:t xml:space="preserve">1992 </w:t>
      </w:r>
      <w:r w:rsidR="004D28DF" w:rsidRPr="000937DC">
        <w:t xml:space="preserve">decision </w:t>
      </w:r>
      <w:r w:rsidR="008D75C5" w:rsidRPr="000937DC">
        <w:t>(see paragraphs 25 and 26 above)</w:t>
      </w:r>
      <w:r w:rsidR="00186994" w:rsidRPr="000937DC">
        <w:t>.</w:t>
      </w:r>
    </w:p>
    <w:bookmarkStart w:id="16" w:name="thirdset"/>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41</w:t>
      </w:r>
      <w:r w:rsidRPr="000937DC">
        <w:rPr>
          <w:noProof/>
        </w:rPr>
        <w:fldChar w:fldCharType="end"/>
      </w:r>
      <w:bookmarkEnd w:id="16"/>
      <w:r w:rsidRPr="000937DC">
        <w:t xml:space="preserve">.  The </w:t>
      </w:r>
      <w:r w:rsidR="002025AC" w:rsidRPr="000937DC">
        <w:t>fourth</w:t>
      </w:r>
      <w:r w:rsidRPr="000937DC">
        <w:t xml:space="preserve"> set of proceedings is related to the transformation of the right of perpetual use into the right of ownership</w:t>
      </w:r>
      <w:r w:rsidR="00531D59" w:rsidRPr="000937DC">
        <w:t xml:space="preserve"> (see paragraphs </w:t>
      </w:r>
      <w:r w:rsidR="008D75C5" w:rsidRPr="000937DC">
        <w:t>27-31 above)</w:t>
      </w:r>
      <w:r w:rsidRPr="000937DC">
        <w:t>.</w:t>
      </w:r>
    </w:p>
    <w:p w:rsidR="004D28DF" w:rsidRPr="000937DC" w:rsidRDefault="004D28DF" w:rsidP="000937DC">
      <w:pPr>
        <w:pStyle w:val="ECHRHeading2"/>
      </w:pPr>
      <w:r w:rsidRPr="000937DC">
        <w:t>B.  Admissibility</w:t>
      </w:r>
    </w:p>
    <w:p w:rsidR="004D28DF" w:rsidRPr="000937DC" w:rsidRDefault="004D28DF" w:rsidP="000937DC">
      <w:pPr>
        <w:pStyle w:val="ECHRHeading3"/>
      </w:pPr>
      <w:r w:rsidRPr="000937DC">
        <w:t>1.  </w:t>
      </w:r>
      <w:r w:rsidR="0011365A" w:rsidRPr="000937DC">
        <w:t>The Government</w:t>
      </w:r>
      <w:r w:rsidR="000937DC" w:rsidRPr="000937DC">
        <w:t>’</w:t>
      </w:r>
      <w:r w:rsidR="0011365A" w:rsidRPr="000937DC">
        <w:t>s preliminary objections</w:t>
      </w:r>
    </w:p>
    <w:p w:rsidR="004D28DF" w:rsidRPr="000937DC" w:rsidRDefault="004D28DF" w:rsidP="000937DC">
      <w:pPr>
        <w:pStyle w:val="ECHRHeading4"/>
      </w:pPr>
      <w:r w:rsidRPr="000937DC">
        <w:t>(a)  The Government</w:t>
      </w:r>
      <w:r w:rsidR="000937DC" w:rsidRPr="000937DC">
        <w:t>’</w:t>
      </w:r>
      <w:r w:rsidRPr="000937DC">
        <w:t>s objection of non-exhaustion of domestic remedies</w:t>
      </w:r>
    </w:p>
    <w:p w:rsidR="004D28DF" w:rsidRPr="000937DC" w:rsidRDefault="004D28DF" w:rsidP="000937DC">
      <w:pPr>
        <w:pStyle w:val="ECHRPara"/>
        <w:rPr>
          <w:szCs w:val="24"/>
        </w:rPr>
      </w:pPr>
      <w:r w:rsidRPr="000937DC">
        <w:fldChar w:fldCharType="begin"/>
      </w:r>
      <w:r w:rsidRPr="000937DC">
        <w:instrText xml:space="preserve"> SEQ level0 \*arabic </w:instrText>
      </w:r>
      <w:r w:rsidRPr="000937DC">
        <w:fldChar w:fldCharType="separate"/>
      </w:r>
      <w:r w:rsidR="000937DC" w:rsidRPr="000937DC">
        <w:rPr>
          <w:noProof/>
        </w:rPr>
        <w:t>42</w:t>
      </w:r>
      <w:r w:rsidRPr="000937DC">
        <w:fldChar w:fldCharType="end"/>
      </w:r>
      <w:r w:rsidRPr="000937DC">
        <w:t xml:space="preserve">.  The Government </w:t>
      </w:r>
      <w:r w:rsidR="00734240" w:rsidRPr="000937DC">
        <w:rPr>
          <w:szCs w:val="24"/>
        </w:rPr>
        <w:t xml:space="preserve">raised a </w:t>
      </w:r>
      <w:r w:rsidRPr="000937DC">
        <w:rPr>
          <w:szCs w:val="24"/>
        </w:rPr>
        <w:t xml:space="preserve">preliminary objection that the applicants failed to exhaust the domestic remedies available to them under Polish law, as required by Article 35 § 1 of the Convention. In particular, they did not </w:t>
      </w:r>
      <w:r w:rsidRPr="000937DC">
        <w:t>seek compensation for the damage resulting from the excessive length of proceedings under Article 417 of the Civil Code.</w:t>
      </w:r>
    </w:p>
    <w:p w:rsidR="004D28DF" w:rsidRPr="000937DC" w:rsidRDefault="004D28DF" w:rsidP="000937DC">
      <w:pPr>
        <w:pStyle w:val="ECHRPara"/>
        <w:rPr>
          <w:szCs w:val="24"/>
        </w:rPr>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43</w:t>
      </w:r>
      <w:r w:rsidRPr="000937DC">
        <w:rPr>
          <w:szCs w:val="24"/>
        </w:rPr>
        <w:fldChar w:fldCharType="end"/>
      </w:r>
      <w:r w:rsidRPr="000937DC">
        <w:rPr>
          <w:szCs w:val="24"/>
        </w:rPr>
        <w:t>.  The applicants disagreed.</w:t>
      </w:r>
    </w:p>
    <w:p w:rsidR="004D28DF" w:rsidRPr="000937DC" w:rsidRDefault="004D28DF" w:rsidP="000937DC">
      <w:pPr>
        <w:pStyle w:val="ECHRPara"/>
        <w:rPr>
          <w:szCs w:val="24"/>
        </w:rPr>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44</w:t>
      </w:r>
      <w:r w:rsidRPr="000937DC">
        <w:rPr>
          <w:szCs w:val="24"/>
        </w:rPr>
        <w:fldChar w:fldCharType="end"/>
      </w:r>
      <w:r w:rsidRPr="000937DC">
        <w:rPr>
          <w:szCs w:val="24"/>
        </w:rPr>
        <w:t>.  The Court has</w:t>
      </w:r>
      <w:r w:rsidR="008D75C5" w:rsidRPr="000937DC">
        <w:rPr>
          <w:szCs w:val="24"/>
        </w:rPr>
        <w:t xml:space="preserve"> already examined a similar objection and dismissed it </w:t>
      </w:r>
      <w:r w:rsidRPr="000937DC">
        <w:rPr>
          <w:szCs w:val="24"/>
        </w:rPr>
        <w:t xml:space="preserve">(see </w:t>
      </w:r>
      <w:r w:rsidRPr="000937DC">
        <w:rPr>
          <w:i/>
          <w:szCs w:val="24"/>
        </w:rPr>
        <w:t>Mularz</w:t>
      </w:r>
      <w:r w:rsidRPr="000937DC">
        <w:rPr>
          <w:szCs w:val="24"/>
        </w:rPr>
        <w:t xml:space="preserve"> </w:t>
      </w:r>
      <w:r w:rsidRPr="000937DC">
        <w:rPr>
          <w:i/>
          <w:szCs w:val="24"/>
        </w:rPr>
        <w:t>v. Poland</w:t>
      </w:r>
      <w:r w:rsidR="00734240" w:rsidRPr="000937DC">
        <w:rPr>
          <w:szCs w:val="24"/>
        </w:rPr>
        <w:t xml:space="preserve">, no. 9834/08, § 46, 4 </w:t>
      </w:r>
      <w:r w:rsidRPr="000937DC">
        <w:rPr>
          <w:szCs w:val="24"/>
        </w:rPr>
        <w:t>October 2011). The Court sees no reasons to depart from those findings in the present case.</w:t>
      </w:r>
    </w:p>
    <w:p w:rsidR="004D28DF" w:rsidRPr="000937DC" w:rsidRDefault="008D75C5" w:rsidP="000937DC">
      <w:pPr>
        <w:pStyle w:val="ECHRPara"/>
        <w:rPr>
          <w:szCs w:val="24"/>
        </w:rPr>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45</w:t>
      </w:r>
      <w:r w:rsidRPr="000937DC">
        <w:rPr>
          <w:szCs w:val="24"/>
        </w:rPr>
        <w:fldChar w:fldCharType="end"/>
      </w:r>
      <w:r w:rsidRPr="000937DC">
        <w:rPr>
          <w:szCs w:val="24"/>
        </w:rPr>
        <w:t>.  </w:t>
      </w:r>
      <w:r w:rsidR="004D28DF" w:rsidRPr="000937DC">
        <w:rPr>
          <w:szCs w:val="24"/>
        </w:rPr>
        <w:t>Accordingly, the Government</w:t>
      </w:r>
      <w:r w:rsidR="000937DC" w:rsidRPr="000937DC">
        <w:rPr>
          <w:szCs w:val="24"/>
        </w:rPr>
        <w:t>’</w:t>
      </w:r>
      <w:r w:rsidR="004D28DF" w:rsidRPr="000937DC">
        <w:rPr>
          <w:szCs w:val="24"/>
        </w:rPr>
        <w:t>s plea of inadmissibility on the ground of non</w:t>
      </w:r>
      <w:r w:rsidR="004D28DF" w:rsidRPr="000937DC">
        <w:rPr>
          <w:rFonts w:ascii="MS Mincho" w:eastAsia="MS Mincho" w:hAnsi="MS Mincho" w:cs="MS Mincho"/>
          <w:szCs w:val="24"/>
        </w:rPr>
        <w:t>-</w:t>
      </w:r>
      <w:r w:rsidR="004D28DF" w:rsidRPr="000937DC">
        <w:rPr>
          <w:szCs w:val="24"/>
        </w:rPr>
        <w:t>exhaustion of domestic remedies must be dismissed.</w:t>
      </w:r>
    </w:p>
    <w:p w:rsidR="0092643E" w:rsidRPr="000937DC" w:rsidRDefault="004D28DF" w:rsidP="000937DC">
      <w:pPr>
        <w:pStyle w:val="ECHRHeading4"/>
      </w:pPr>
      <w:r w:rsidRPr="000937DC">
        <w:lastRenderedPageBreak/>
        <w:t>(b)  The Government</w:t>
      </w:r>
      <w:r w:rsidR="000937DC" w:rsidRPr="000937DC">
        <w:t>’</w:t>
      </w:r>
      <w:r w:rsidRPr="000937DC">
        <w:t>s objection that the applicants did not suffer a significant disadvantage</w:t>
      </w:r>
    </w:p>
    <w:p w:rsidR="004D28DF" w:rsidRPr="000937DC" w:rsidRDefault="004D28DF" w:rsidP="000937DC">
      <w:pPr>
        <w:pStyle w:val="ECHRPara"/>
        <w:rPr>
          <w:szCs w:val="24"/>
        </w:rPr>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46</w:t>
      </w:r>
      <w:r w:rsidRPr="000937DC">
        <w:rPr>
          <w:szCs w:val="24"/>
        </w:rPr>
        <w:fldChar w:fldCharType="end"/>
      </w:r>
      <w:r w:rsidRPr="000937DC">
        <w:rPr>
          <w:szCs w:val="24"/>
        </w:rPr>
        <w:t>.  The Government further argued, that the application should be found inadmissible under Article 35 § 3(b) of the Convention. They maintained that taking into account the fact that the right of perpetual use of the land and the ownership of the building had already been returned to the applicants, it cannot be said that they suffered a significant disadvantage.</w:t>
      </w:r>
    </w:p>
    <w:p w:rsidR="0092643E" w:rsidRPr="000937DC" w:rsidRDefault="004D28DF" w:rsidP="000937DC">
      <w:pPr>
        <w:pStyle w:val="ECHRPara"/>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47</w:t>
      </w:r>
      <w:r w:rsidRPr="000937DC">
        <w:rPr>
          <w:szCs w:val="24"/>
        </w:rPr>
        <w:fldChar w:fldCharType="end"/>
      </w:r>
      <w:r w:rsidRPr="000937DC">
        <w:rPr>
          <w:szCs w:val="24"/>
        </w:rPr>
        <w:t>.  The Court observes that the Government</w:t>
      </w:r>
      <w:r w:rsidR="000937DC" w:rsidRPr="000937DC">
        <w:rPr>
          <w:szCs w:val="24"/>
        </w:rPr>
        <w:t>’</w:t>
      </w:r>
      <w:r w:rsidRPr="000937DC">
        <w:rPr>
          <w:szCs w:val="24"/>
        </w:rPr>
        <w:t>s argument does not concern the length of the proceedings as such, but their outcome. The applicants</w:t>
      </w:r>
      <w:r w:rsidR="000937DC" w:rsidRPr="000937DC">
        <w:rPr>
          <w:szCs w:val="24"/>
        </w:rPr>
        <w:t>’</w:t>
      </w:r>
      <w:r w:rsidRPr="000937DC">
        <w:rPr>
          <w:szCs w:val="24"/>
        </w:rPr>
        <w:t xml:space="preserve"> complaint is based </w:t>
      </w:r>
      <w:r w:rsidRPr="000937DC">
        <w:t xml:space="preserve">on the allegedly important adverse consequences caused to them by the excessive length of the proceedings. Moreover, they were not in any way compensated for it (see by contrast, </w:t>
      </w:r>
      <w:r w:rsidRPr="000937DC">
        <w:rPr>
          <w:i/>
        </w:rPr>
        <w:t>Galović v. Croatia</w:t>
      </w:r>
      <w:r w:rsidRPr="000937DC">
        <w:t xml:space="preserve"> (dec.), no. 54388/09</w:t>
      </w:r>
      <w:r w:rsidR="00734240" w:rsidRPr="000937DC">
        <w:t xml:space="preserve">, § 74, 5 </w:t>
      </w:r>
      <w:r w:rsidRPr="000937DC">
        <w:t>March 2013).</w:t>
      </w:r>
    </w:p>
    <w:p w:rsidR="004D28DF" w:rsidRPr="000937DC" w:rsidRDefault="004D28DF" w:rsidP="000937DC">
      <w:pPr>
        <w:pStyle w:val="ECHRPara"/>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48</w:t>
      </w:r>
      <w:r w:rsidRPr="000937DC">
        <w:rPr>
          <w:szCs w:val="24"/>
        </w:rPr>
        <w:fldChar w:fldCharType="end"/>
      </w:r>
      <w:r w:rsidRPr="000937DC">
        <w:rPr>
          <w:szCs w:val="24"/>
        </w:rPr>
        <w:t>.  </w:t>
      </w:r>
      <w:r w:rsidRPr="000937DC">
        <w:t>This objection must therefore also be dismissed.</w:t>
      </w:r>
    </w:p>
    <w:p w:rsidR="0092643E" w:rsidRPr="000937DC" w:rsidRDefault="0011365A" w:rsidP="000937DC">
      <w:pPr>
        <w:pStyle w:val="ECHRHeading3"/>
      </w:pPr>
      <w:r w:rsidRPr="000937DC">
        <w:t>2.</w:t>
      </w:r>
      <w:r w:rsidR="003B78EB" w:rsidRPr="000937DC">
        <w:t>  </w:t>
      </w:r>
      <w:r w:rsidRPr="000937DC">
        <w:t>The Court</w:t>
      </w:r>
      <w:r w:rsidR="000937DC" w:rsidRPr="000937DC">
        <w:t>’</w:t>
      </w:r>
      <w:r w:rsidRPr="000937DC">
        <w:t>s conclusion</w:t>
      </w:r>
    </w:p>
    <w:p w:rsidR="0092643E" w:rsidRPr="000937DC" w:rsidRDefault="004D28DF" w:rsidP="000937DC">
      <w:pPr>
        <w:pStyle w:val="ECHRHeading4"/>
      </w:pPr>
      <w:r w:rsidRPr="000937DC">
        <w:t>(</w:t>
      </w:r>
      <w:r w:rsidR="0011365A" w:rsidRPr="000937DC">
        <w:t>a</w:t>
      </w:r>
      <w:r w:rsidRPr="000937DC">
        <w:t>)</w:t>
      </w:r>
      <w:r w:rsidR="003B78EB" w:rsidRPr="000937DC">
        <w:t> </w:t>
      </w:r>
      <w:r w:rsidRPr="000937DC">
        <w:t> </w:t>
      </w:r>
      <w:r w:rsidR="0011365A" w:rsidRPr="000937DC">
        <w:t>First set of the proceedings</w:t>
      </w:r>
    </w:p>
    <w:p w:rsidR="002025AC"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49</w:t>
      </w:r>
      <w:r w:rsidRPr="000937DC">
        <w:rPr>
          <w:noProof/>
        </w:rPr>
        <w:fldChar w:fldCharType="end"/>
      </w:r>
      <w:r w:rsidR="004D28DF" w:rsidRPr="000937DC">
        <w:t>.  The Court notes that the complaint concerning the length of the first set of the proceedings is not manifestly ill-founded within the meaning of Article 35 § 3 (a) of the Convention. It further notes that it is not inadmissible on any other grounds. It must therefore be declared admissible.</w:t>
      </w:r>
    </w:p>
    <w:p w:rsidR="0092643E" w:rsidRPr="000937DC" w:rsidRDefault="0011365A" w:rsidP="000937DC">
      <w:pPr>
        <w:pStyle w:val="ECHRHeading4"/>
      </w:pPr>
      <w:r w:rsidRPr="000937DC">
        <w:t>(b)</w:t>
      </w:r>
      <w:r w:rsidR="002025AC" w:rsidRPr="000937DC">
        <w:t>  </w:t>
      </w:r>
      <w:r w:rsidRPr="000937DC">
        <w:t>S</w:t>
      </w:r>
      <w:r w:rsidR="002025AC" w:rsidRPr="000937DC">
        <w:t>econd set of the proceedings</w:t>
      </w:r>
    </w:p>
    <w:p w:rsidR="00BE7337" w:rsidRPr="000937DC" w:rsidRDefault="002025A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50</w:t>
      </w:r>
      <w:r w:rsidRPr="000937DC">
        <w:fldChar w:fldCharType="end"/>
      </w:r>
      <w:r w:rsidRPr="000937DC">
        <w:t xml:space="preserve">.  The Court observes that the proceedings </w:t>
      </w:r>
      <w:r w:rsidR="002F387E" w:rsidRPr="000937DC">
        <w:t>concerning the fees for the perpetual use started on 18 June 2009</w:t>
      </w:r>
      <w:r w:rsidR="00FF5630" w:rsidRPr="000937DC">
        <w:t xml:space="preserve"> and were terminated by the Supreme Administrative Court</w:t>
      </w:r>
      <w:r w:rsidR="000937DC" w:rsidRPr="000937DC">
        <w:t>’</w:t>
      </w:r>
      <w:r w:rsidR="00FF5630" w:rsidRPr="000937DC">
        <w:t>s judgment of 9 August 2012</w:t>
      </w:r>
      <w:r w:rsidR="0011365A" w:rsidRPr="000937DC">
        <w:t>. However the period to be taken into consideration began only on</w:t>
      </w:r>
      <w:r w:rsidR="00FF5630" w:rsidRPr="000937DC">
        <w:t xml:space="preserve"> 27 November 2009 when the applicants appealed against the decision of the Warsaw Self-Government Board of Appeal (see paragraph</w:t>
      </w:r>
      <w:r w:rsidR="00866902" w:rsidRPr="000937DC">
        <w:t xml:space="preserve"> 21 </w:t>
      </w:r>
      <w:r w:rsidR="00FF5630" w:rsidRPr="000937DC">
        <w:t xml:space="preserve">above). It was then that a “dispute” within the meaning of Article 6 § 1 arose (see, for example, </w:t>
      </w:r>
      <w:r w:rsidR="00FF5630" w:rsidRPr="000937DC">
        <w:rPr>
          <w:i/>
        </w:rPr>
        <w:t>Wcis</w:t>
      </w:r>
      <w:r w:rsidR="00FF5630" w:rsidRPr="000937DC">
        <w:rPr>
          <w:rFonts w:cstheme="minorHAnsi"/>
          <w:i/>
        </w:rPr>
        <w:t>ł</w:t>
      </w:r>
      <w:r w:rsidR="00FF5630" w:rsidRPr="000937DC">
        <w:rPr>
          <w:i/>
        </w:rPr>
        <w:t>o and Cabaj</w:t>
      </w:r>
      <w:r w:rsidR="00FF5630" w:rsidRPr="000937DC">
        <w:t xml:space="preserve">, cited above § 173). The period to be taken into consideration thus lasted </w:t>
      </w:r>
      <w:r w:rsidR="00BE7337" w:rsidRPr="000937DC">
        <w:t xml:space="preserve">little more than </w:t>
      </w:r>
      <w:r w:rsidR="006B1289" w:rsidRPr="000937DC">
        <w:t xml:space="preserve">two </w:t>
      </w:r>
      <w:r w:rsidR="00BE7337" w:rsidRPr="000937DC">
        <w:t>years</w:t>
      </w:r>
      <w:r w:rsidR="006B1289" w:rsidRPr="000937DC">
        <w:t xml:space="preserve"> and nine months</w:t>
      </w:r>
      <w:r w:rsidR="00BE7337" w:rsidRPr="000937DC">
        <w:t>. The Court finds that the proceedings do not disclose periods of inactivity such as to render them incompatible with Article 6 § 1 of the Convention. Nor does the overall length of the proceedings infringe the reasonableness requirement of that provision. It follows that this part of the application must be rejected as being manifestly ill-founded, pursuant to Article 35 §§ 3 and 4 of the Convention.</w:t>
      </w:r>
    </w:p>
    <w:p w:rsidR="0092643E" w:rsidRPr="000937DC" w:rsidRDefault="0011365A" w:rsidP="000937DC">
      <w:pPr>
        <w:pStyle w:val="ECHRHeading4"/>
      </w:pPr>
      <w:r w:rsidRPr="000937DC">
        <w:t>(c)</w:t>
      </w:r>
      <w:r w:rsidR="002F387E" w:rsidRPr="000937DC">
        <w:t>  Third set of the proceedings</w:t>
      </w:r>
    </w:p>
    <w:p w:rsidR="0092643E"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51</w:t>
      </w:r>
      <w:r w:rsidRPr="000937DC">
        <w:rPr>
          <w:noProof/>
        </w:rPr>
        <w:fldChar w:fldCharType="end"/>
      </w:r>
      <w:r w:rsidR="00A2321D" w:rsidRPr="000937DC">
        <w:t>.  </w:t>
      </w:r>
      <w:r w:rsidR="004D28DF" w:rsidRPr="000937DC">
        <w:t xml:space="preserve">The Court </w:t>
      </w:r>
      <w:r w:rsidR="007A0F8A" w:rsidRPr="000937DC">
        <w:t xml:space="preserve">notes </w:t>
      </w:r>
      <w:r w:rsidR="004D28DF" w:rsidRPr="000937DC">
        <w:t xml:space="preserve">that the proceedings concerning the request for annulment of the </w:t>
      </w:r>
      <w:r w:rsidR="007A0F8A" w:rsidRPr="000937DC">
        <w:t xml:space="preserve">1992 </w:t>
      </w:r>
      <w:r w:rsidR="004D28DF" w:rsidRPr="000937DC">
        <w:t>decision were terminated on 25</w:t>
      </w:r>
      <w:r w:rsidR="00734240" w:rsidRPr="000937DC">
        <w:t xml:space="preserve"> </w:t>
      </w:r>
      <w:r w:rsidR="004D28DF" w:rsidRPr="000937DC">
        <w:t xml:space="preserve">February 2011, when the Minister of </w:t>
      </w:r>
      <w:r w:rsidR="00131A4C" w:rsidRPr="000937DC">
        <w:t xml:space="preserve">the Interior </w:t>
      </w:r>
      <w:r w:rsidR="004D28DF" w:rsidRPr="000937DC">
        <w:t xml:space="preserve">refused to declare the impugned decision null </w:t>
      </w:r>
      <w:r w:rsidR="004D28DF" w:rsidRPr="000937DC">
        <w:lastRenderedPageBreak/>
        <w:t>and void (see paragraph</w:t>
      </w:r>
      <w:r w:rsidR="00866902" w:rsidRPr="000937DC">
        <w:t xml:space="preserve"> 26</w:t>
      </w:r>
      <w:r w:rsidR="004D28DF" w:rsidRPr="000937DC">
        <w:t xml:space="preserve"> above). </w:t>
      </w:r>
      <w:r w:rsidR="007A0F8A" w:rsidRPr="000937DC">
        <w:t xml:space="preserve">Subsequently, the applicants unsuccessfully </w:t>
      </w:r>
      <w:r w:rsidR="004D28DF" w:rsidRPr="000937DC">
        <w:t>requested the re</w:t>
      </w:r>
      <w:r w:rsidR="004D28DF" w:rsidRPr="000937DC">
        <w:noBreakHyphen/>
        <w:t>examination of the case (see paragraph</w:t>
      </w:r>
      <w:r w:rsidR="00066DD0" w:rsidRPr="000937DC">
        <w:t> </w:t>
      </w:r>
      <w:r w:rsidR="00866902" w:rsidRPr="000937DC">
        <w:t>27</w:t>
      </w:r>
      <w:r w:rsidR="004D28DF" w:rsidRPr="000937DC">
        <w:t xml:space="preserve"> above).</w:t>
      </w:r>
    </w:p>
    <w:p w:rsidR="0092643E"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52</w:t>
      </w:r>
      <w:r w:rsidRPr="000937DC">
        <w:rPr>
          <w:noProof/>
        </w:rPr>
        <w:fldChar w:fldCharType="end"/>
      </w:r>
      <w:r w:rsidR="00A2321D" w:rsidRPr="000937DC">
        <w:t>.  </w:t>
      </w:r>
      <w:r w:rsidR="007A0F8A" w:rsidRPr="000937DC">
        <w:t>The Court further observes that th</w:t>
      </w:r>
      <w:r w:rsidR="00866902" w:rsidRPr="000937DC">
        <w:t>is set of the</w:t>
      </w:r>
      <w:r w:rsidR="007A0F8A" w:rsidRPr="000937DC">
        <w:t xml:space="preserve"> proceedings</w:t>
      </w:r>
      <w:r w:rsidR="00A2321D" w:rsidRPr="000937DC">
        <w:t>,</w:t>
      </w:r>
      <w:r w:rsidR="007A0F8A" w:rsidRPr="000937DC">
        <w:t xml:space="preserve"> instituted </w:t>
      </w:r>
      <w:r w:rsidR="00A2321D" w:rsidRPr="000937DC">
        <w:t xml:space="preserve">under </w:t>
      </w:r>
      <w:r w:rsidR="007A0F8A" w:rsidRPr="000937DC">
        <w:t>Article 156 of the Code of Administrative Procedure</w:t>
      </w:r>
      <w:r w:rsidR="00A2321D" w:rsidRPr="000937DC">
        <w:t>,</w:t>
      </w:r>
      <w:r w:rsidR="007A0F8A" w:rsidRPr="000937DC">
        <w:t xml:space="preserve"> relate</w:t>
      </w:r>
      <w:r w:rsidR="00866902" w:rsidRPr="000937DC">
        <w:t>s</w:t>
      </w:r>
      <w:r w:rsidR="007A0F8A" w:rsidRPr="000937DC">
        <w:t xml:space="preserve"> to declaring a final administrative decisi</w:t>
      </w:r>
      <w:r w:rsidR="00721D3A" w:rsidRPr="000937DC">
        <w:t>on null and void (see paragraph</w:t>
      </w:r>
      <w:r w:rsidR="00066DD0" w:rsidRPr="000937DC">
        <w:t> </w:t>
      </w:r>
      <w:r w:rsidR="00866902" w:rsidRPr="000937DC">
        <w:t>35</w:t>
      </w:r>
      <w:r w:rsidR="007A0F8A" w:rsidRPr="000937DC">
        <w:t xml:space="preserve"> above).</w:t>
      </w:r>
    </w:p>
    <w:p w:rsidR="007A0F8A" w:rsidRPr="000937DC" w:rsidRDefault="00A2321D"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53</w:t>
      </w:r>
      <w:r w:rsidRPr="000937DC">
        <w:fldChar w:fldCharType="end"/>
      </w:r>
      <w:r w:rsidRPr="000937DC">
        <w:t>.  </w:t>
      </w:r>
      <w:r w:rsidR="007A0F8A" w:rsidRPr="000937DC">
        <w:t xml:space="preserve">However, the Court reiterates in that respect that, according to its established case-law, the Convention does not guarantee a right to have proceedings terminated by a final decision reopened (see, </w:t>
      </w:r>
      <w:r w:rsidR="007A0F8A" w:rsidRPr="000937DC">
        <w:rPr>
          <w:i/>
        </w:rPr>
        <w:t>inter alia</w:t>
      </w:r>
      <w:r w:rsidR="007A0F8A" w:rsidRPr="000937DC">
        <w:t xml:space="preserve">, </w:t>
      </w:r>
      <w:r w:rsidR="007A0F8A" w:rsidRPr="000937DC">
        <w:rPr>
          <w:i/>
        </w:rPr>
        <w:t>Bochan</w:t>
      </w:r>
      <w:r w:rsidR="00066DD0" w:rsidRPr="000937DC">
        <w:rPr>
          <w:i/>
        </w:rPr>
        <w:t xml:space="preserve"> v. </w:t>
      </w:r>
      <w:r w:rsidR="007A0F8A" w:rsidRPr="000937DC">
        <w:rPr>
          <w:i/>
        </w:rPr>
        <w:t>Ukraine</w:t>
      </w:r>
      <w:r w:rsidR="007A0F8A" w:rsidRPr="000937DC">
        <w:t xml:space="preserve"> (no. 2) [GC], no. 22251/08, § 44, ECHR 2015, with further references). It follows that the applicants</w:t>
      </w:r>
      <w:r w:rsidR="000937DC" w:rsidRPr="000937DC">
        <w:t>’</w:t>
      </w:r>
      <w:r w:rsidR="007A0F8A" w:rsidRPr="000937DC">
        <w:t xml:space="preserve"> complaint concerning the length of the </w:t>
      </w:r>
      <w:r w:rsidR="00866902" w:rsidRPr="000937DC">
        <w:t xml:space="preserve">third set of the </w:t>
      </w:r>
      <w:r w:rsidR="007A0F8A" w:rsidRPr="000937DC">
        <w:t xml:space="preserve">proceedings is incompatible </w:t>
      </w:r>
      <w:r w:rsidR="007A0F8A" w:rsidRPr="000937DC">
        <w:rPr>
          <w:i/>
        </w:rPr>
        <w:t>ratione materiae</w:t>
      </w:r>
      <w:r w:rsidR="007A0F8A" w:rsidRPr="000937DC">
        <w:t xml:space="preserve"> with the provisions of the Convention within the meaning of Article 35 § 3 (a) and must be rejected in accordance with Article 35 § 4.</w:t>
      </w:r>
    </w:p>
    <w:p w:rsidR="004D28DF" w:rsidRPr="000937DC" w:rsidRDefault="00F511F3" w:rsidP="000937DC">
      <w:pPr>
        <w:pStyle w:val="ECHRHeading3"/>
      </w:pPr>
      <w:r w:rsidRPr="000937DC">
        <w:t>3</w:t>
      </w:r>
      <w:r w:rsidR="004D28DF" w:rsidRPr="000937DC">
        <w:t xml:space="preserve">.  The </w:t>
      </w:r>
      <w:r w:rsidR="002025AC" w:rsidRPr="000937DC">
        <w:t>fourth</w:t>
      </w:r>
      <w:r w:rsidR="004D28DF" w:rsidRPr="000937DC">
        <w:t xml:space="preserve"> set of the proceedings</w:t>
      </w:r>
    </w:p>
    <w:p w:rsidR="00BE7337"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54</w:t>
      </w:r>
      <w:r w:rsidRPr="000937DC">
        <w:rPr>
          <w:noProof/>
        </w:rPr>
        <w:fldChar w:fldCharType="end"/>
      </w:r>
      <w:r w:rsidR="00A2321D" w:rsidRPr="000937DC">
        <w:t>.  T</w:t>
      </w:r>
      <w:r w:rsidR="004D28DF" w:rsidRPr="000937DC">
        <w:t xml:space="preserve">he </w:t>
      </w:r>
      <w:r w:rsidR="002E6A02" w:rsidRPr="000937DC">
        <w:t>fourth</w:t>
      </w:r>
      <w:r w:rsidR="004D28DF" w:rsidRPr="000937DC">
        <w:t xml:space="preserve"> set of proceedings began </w:t>
      </w:r>
      <w:r w:rsidR="00531D59" w:rsidRPr="000937DC">
        <w:t>on 20 June 2013 and ended on 14 </w:t>
      </w:r>
      <w:r w:rsidR="004D28DF" w:rsidRPr="000937DC">
        <w:t xml:space="preserve">April 2016. </w:t>
      </w:r>
      <w:r w:rsidR="00A2321D" w:rsidRPr="000937DC">
        <w:t xml:space="preserve">However, the </w:t>
      </w:r>
      <w:r w:rsidR="004D28DF" w:rsidRPr="000937DC">
        <w:t xml:space="preserve">period to be taken into consideration </w:t>
      </w:r>
      <w:r w:rsidR="00A2321D" w:rsidRPr="000937DC">
        <w:t xml:space="preserve">began only on 13 September 2013 (see </w:t>
      </w:r>
      <w:r w:rsidR="00A2321D" w:rsidRPr="000937DC">
        <w:rPr>
          <w:i/>
        </w:rPr>
        <w:t>Wcis</w:t>
      </w:r>
      <w:r w:rsidR="00A2321D" w:rsidRPr="000937DC">
        <w:rPr>
          <w:rFonts w:cstheme="minorHAnsi"/>
          <w:i/>
        </w:rPr>
        <w:t>ł</w:t>
      </w:r>
      <w:r w:rsidR="00A2321D" w:rsidRPr="000937DC">
        <w:rPr>
          <w:i/>
        </w:rPr>
        <w:t>o and Cabaj</w:t>
      </w:r>
      <w:r w:rsidR="00A2321D" w:rsidRPr="000937DC">
        <w:t>, cited above, §</w:t>
      </w:r>
      <w:r w:rsidR="00734240" w:rsidRPr="000937DC">
        <w:t xml:space="preserve"> </w:t>
      </w:r>
      <w:r w:rsidR="00866902" w:rsidRPr="000937DC">
        <w:t>173</w:t>
      </w:r>
      <w:r w:rsidR="00A2321D" w:rsidRPr="000937DC">
        <w:t xml:space="preserve">). It thus lasted </w:t>
      </w:r>
      <w:r w:rsidR="004D28DF" w:rsidRPr="000937DC">
        <w:t xml:space="preserve">two years and </w:t>
      </w:r>
      <w:r w:rsidR="00A2321D" w:rsidRPr="000937DC">
        <w:t>seven</w:t>
      </w:r>
      <w:r w:rsidR="004D28DF" w:rsidRPr="000937DC">
        <w:t xml:space="preserve"> months. </w:t>
      </w:r>
      <w:r w:rsidR="00BE7337" w:rsidRPr="000937DC">
        <w:t>The Court finds that the proceedings do not disclose periods of inactivity such as to render them incompatible with Article 6 § 1 of the Convention. Nor does the overall length of the proceedings infringe the reasonableness requirement of that provision. It follows that this part of the application must be rejected as being manifestly ill-founded, pursuant to Article 35 §§ 3 and 4 of the Convention.</w:t>
      </w:r>
    </w:p>
    <w:p w:rsidR="004D28DF" w:rsidRPr="000937DC" w:rsidRDefault="004D28DF" w:rsidP="000937DC">
      <w:pPr>
        <w:pStyle w:val="ECHRHeading2"/>
      </w:pPr>
      <w:r w:rsidRPr="000937DC">
        <w:t>C.  Merits</w:t>
      </w:r>
    </w:p>
    <w:p w:rsidR="004D28DF" w:rsidRPr="000937DC" w:rsidRDefault="004D28DF" w:rsidP="000937DC">
      <w:pPr>
        <w:pStyle w:val="ECHRHeading3"/>
      </w:pPr>
      <w:r w:rsidRPr="000937DC">
        <w:t>1.  Period to be taken into consideration</w:t>
      </w:r>
    </w:p>
    <w:p w:rsidR="004D28DF" w:rsidRPr="000937DC" w:rsidRDefault="004D28DF" w:rsidP="000937DC">
      <w:pPr>
        <w:pStyle w:val="ECHRPara"/>
        <w:rPr>
          <w:szCs w:val="24"/>
        </w:rPr>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55</w:t>
      </w:r>
      <w:r w:rsidRPr="000937DC">
        <w:rPr>
          <w:szCs w:val="24"/>
        </w:rPr>
        <w:fldChar w:fldCharType="end"/>
      </w:r>
      <w:r w:rsidRPr="000937DC">
        <w:rPr>
          <w:szCs w:val="24"/>
        </w:rPr>
        <w:t xml:space="preserve">.  The Court </w:t>
      </w:r>
      <w:r w:rsidR="00A2321D" w:rsidRPr="000937DC">
        <w:rPr>
          <w:szCs w:val="24"/>
        </w:rPr>
        <w:t xml:space="preserve">observes that </w:t>
      </w:r>
      <w:r w:rsidRPr="000937DC">
        <w:rPr>
          <w:szCs w:val="24"/>
        </w:rPr>
        <w:t xml:space="preserve">the first set of administrative proceedings was </w:t>
      </w:r>
      <w:r w:rsidR="00A2321D" w:rsidRPr="000937DC">
        <w:rPr>
          <w:szCs w:val="24"/>
        </w:rPr>
        <w:t xml:space="preserve">instituted on </w:t>
      </w:r>
      <w:r w:rsidRPr="000937DC">
        <w:rPr>
          <w:szCs w:val="24"/>
        </w:rPr>
        <w:t>22</w:t>
      </w:r>
      <w:r w:rsidR="00734240" w:rsidRPr="000937DC">
        <w:rPr>
          <w:szCs w:val="24"/>
        </w:rPr>
        <w:t xml:space="preserve"> </w:t>
      </w:r>
      <w:r w:rsidRPr="000937DC">
        <w:rPr>
          <w:szCs w:val="24"/>
        </w:rPr>
        <w:t>June 1988</w:t>
      </w:r>
      <w:r w:rsidR="00A2321D" w:rsidRPr="000937DC">
        <w:rPr>
          <w:szCs w:val="24"/>
        </w:rPr>
        <w:t xml:space="preserve"> </w:t>
      </w:r>
      <w:r w:rsidRPr="000937DC">
        <w:rPr>
          <w:szCs w:val="24"/>
        </w:rPr>
        <w:t xml:space="preserve">(see paragraph </w:t>
      </w:r>
      <w:r w:rsidR="00866902" w:rsidRPr="000937DC">
        <w:rPr>
          <w:szCs w:val="24"/>
        </w:rPr>
        <w:t>9</w:t>
      </w:r>
      <w:r w:rsidRPr="000937DC">
        <w:rPr>
          <w:szCs w:val="24"/>
        </w:rPr>
        <w:t xml:space="preserve"> above). However, the </w:t>
      </w:r>
      <w:r w:rsidR="00A2321D" w:rsidRPr="000937DC">
        <w:rPr>
          <w:szCs w:val="24"/>
        </w:rPr>
        <w:t xml:space="preserve">period to be taken into consideration began only on 17 January 2005 when the applicants appealed against the decision of the Mayor of Warsaw </w:t>
      </w:r>
      <w:r w:rsidRPr="000937DC">
        <w:rPr>
          <w:szCs w:val="24"/>
        </w:rPr>
        <w:t xml:space="preserve">(see </w:t>
      </w:r>
      <w:r w:rsidR="00A2321D" w:rsidRPr="000937DC">
        <w:rPr>
          <w:i/>
        </w:rPr>
        <w:t>Wcis</w:t>
      </w:r>
      <w:r w:rsidR="00A2321D" w:rsidRPr="000937DC">
        <w:rPr>
          <w:rFonts w:cstheme="minorHAnsi"/>
          <w:i/>
        </w:rPr>
        <w:t>ł</w:t>
      </w:r>
      <w:r w:rsidR="00A2321D" w:rsidRPr="000937DC">
        <w:rPr>
          <w:i/>
        </w:rPr>
        <w:t>o and Cabaj</w:t>
      </w:r>
      <w:r w:rsidR="00A2321D" w:rsidRPr="000937DC">
        <w:t xml:space="preserve">, cited above, § </w:t>
      </w:r>
      <w:r w:rsidR="00866902" w:rsidRPr="000937DC">
        <w:t>173</w:t>
      </w:r>
      <w:r w:rsidRPr="000937DC">
        <w:rPr>
          <w:szCs w:val="24"/>
        </w:rPr>
        <w:t>).</w:t>
      </w:r>
      <w:r w:rsidR="00A2321D" w:rsidRPr="000937DC">
        <w:rPr>
          <w:szCs w:val="24"/>
        </w:rPr>
        <w:t xml:space="preserve"> </w:t>
      </w:r>
      <w:r w:rsidRPr="000937DC">
        <w:t xml:space="preserve">The proceedings ended on </w:t>
      </w:r>
      <w:r w:rsidR="002025AC" w:rsidRPr="000937DC">
        <w:t>18</w:t>
      </w:r>
      <w:r w:rsidR="00866902" w:rsidRPr="000937DC">
        <w:t> </w:t>
      </w:r>
      <w:r w:rsidR="002025AC" w:rsidRPr="000937DC">
        <w:t>June</w:t>
      </w:r>
      <w:r w:rsidR="00866902" w:rsidRPr="000937DC">
        <w:t> </w:t>
      </w:r>
      <w:r w:rsidR="002025AC" w:rsidRPr="000937DC">
        <w:t>2009</w:t>
      </w:r>
      <w:r w:rsidRPr="000937DC">
        <w:t xml:space="preserve"> (see paragraph </w:t>
      </w:r>
      <w:r w:rsidR="00AA1551" w:rsidRPr="000937DC">
        <w:t>18</w:t>
      </w:r>
      <w:r w:rsidRPr="000937DC">
        <w:t xml:space="preserve"> above). The period to be taken into consideration thus lasted </w:t>
      </w:r>
      <w:r w:rsidR="00866902" w:rsidRPr="000937DC">
        <w:t>four</w:t>
      </w:r>
      <w:r w:rsidR="00A13042" w:rsidRPr="000937DC">
        <w:t xml:space="preserve"> years</w:t>
      </w:r>
      <w:r w:rsidR="00866902" w:rsidRPr="000937DC">
        <w:t>, five</w:t>
      </w:r>
      <w:r w:rsidRPr="000937DC">
        <w:rPr>
          <w:szCs w:val="24"/>
        </w:rPr>
        <w:t xml:space="preserve"> months </w:t>
      </w:r>
      <w:r w:rsidR="00A13042" w:rsidRPr="000937DC">
        <w:rPr>
          <w:szCs w:val="24"/>
        </w:rPr>
        <w:t>and</w:t>
      </w:r>
      <w:r w:rsidR="00866902" w:rsidRPr="000937DC">
        <w:rPr>
          <w:szCs w:val="24"/>
        </w:rPr>
        <w:t xml:space="preserve"> one</w:t>
      </w:r>
      <w:r w:rsidR="00A13042" w:rsidRPr="000937DC">
        <w:rPr>
          <w:szCs w:val="24"/>
        </w:rPr>
        <w:t xml:space="preserve"> day</w:t>
      </w:r>
      <w:r w:rsidRPr="000937DC">
        <w:rPr>
          <w:szCs w:val="24"/>
        </w:rPr>
        <w:t>.</w:t>
      </w:r>
    </w:p>
    <w:p w:rsidR="004D28DF" w:rsidRPr="000937DC" w:rsidRDefault="004D28DF" w:rsidP="000937DC">
      <w:pPr>
        <w:pStyle w:val="ECHRHeading3"/>
      </w:pPr>
      <w:r w:rsidRPr="000937DC">
        <w:t>2.  Reasonableness of the length of that period</w:t>
      </w:r>
    </w:p>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56</w:t>
      </w:r>
      <w:r w:rsidRPr="000937DC">
        <w:fldChar w:fldCharType="end"/>
      </w:r>
      <w:r w:rsidRPr="000937DC">
        <w:t xml:space="preserve">.  The Court reiterates that the reasonableness of the length of proceedings must be assessed in the light of the circumstances of the case and with reference to the following criteria: the complexity of the case, the </w:t>
      </w:r>
      <w:r w:rsidRPr="000937DC">
        <w:lastRenderedPageBreak/>
        <w:t xml:space="preserve">conduct of the applicants and the relevant authorities and what was at stake for the applicants in the dispute (see, among many other authorities, </w:t>
      </w:r>
      <w:r w:rsidRPr="000937DC">
        <w:rPr>
          <w:i/>
        </w:rPr>
        <w:t>Frydlender v. France</w:t>
      </w:r>
      <w:r w:rsidRPr="000937DC">
        <w:t xml:space="preserve"> [GC], no. 30979/96, § 43, ECHR 2000-VII).</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57</w:t>
      </w:r>
      <w:r w:rsidRPr="000937DC">
        <w:rPr>
          <w:noProof/>
        </w:rPr>
        <w:fldChar w:fldCharType="end"/>
      </w:r>
      <w:r w:rsidR="004D28DF" w:rsidRPr="000937DC">
        <w:t>.  The Court acknowledges that the case was complex both as to the facts and as to the law.</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58</w:t>
      </w:r>
      <w:r w:rsidRPr="000937DC">
        <w:rPr>
          <w:noProof/>
        </w:rPr>
        <w:fldChar w:fldCharType="end"/>
      </w:r>
      <w:r w:rsidR="004D28DF" w:rsidRPr="000937DC">
        <w:t>.  As regards the conduct of the authorities, the Court notes that there was a period of tw</w:t>
      </w:r>
      <w:r w:rsidR="00734240" w:rsidRPr="000937DC">
        <w:t xml:space="preserve">o years of inactivity between 8 </w:t>
      </w:r>
      <w:r w:rsidR="004D28DF" w:rsidRPr="000937DC">
        <w:t>December 2005, when the applicants appealed against the Mayor</w:t>
      </w:r>
      <w:r w:rsidR="000937DC" w:rsidRPr="000937DC">
        <w:t>’</w:t>
      </w:r>
      <w:r w:rsidR="004D28DF" w:rsidRPr="000937DC">
        <w:t>s decision</w:t>
      </w:r>
      <w:r w:rsidR="00F13ADD" w:rsidRPr="000937DC">
        <w:t xml:space="preserve"> of 21 November 2005, and 5 </w:t>
      </w:r>
      <w:r w:rsidR="004D28DF" w:rsidRPr="000937DC">
        <w:t xml:space="preserve">December 2007, when the decision in this respect was given by the Warsaw Self-Government Board of Appeal (see paragraphs </w:t>
      </w:r>
      <w:r w:rsidR="00AA1551" w:rsidRPr="000937DC">
        <w:t>14</w:t>
      </w:r>
      <w:r w:rsidR="004D28DF" w:rsidRPr="000937DC">
        <w:t xml:space="preserve"> and</w:t>
      </w:r>
      <w:r w:rsidR="00066DD0" w:rsidRPr="000937DC">
        <w:t> </w:t>
      </w:r>
      <w:r w:rsidR="00AA1551" w:rsidRPr="000937DC">
        <w:t>15</w:t>
      </w:r>
      <w:r w:rsidR="004D28DF" w:rsidRPr="000937DC">
        <w:t xml:space="preserve"> above).</w:t>
      </w:r>
    </w:p>
    <w:p w:rsidR="004D28DF"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59</w:t>
      </w:r>
      <w:r w:rsidRPr="000937DC">
        <w:rPr>
          <w:noProof/>
        </w:rPr>
        <w:fldChar w:fldCharType="end"/>
      </w:r>
      <w:r w:rsidR="00A13042" w:rsidRPr="000937DC">
        <w:t>.  </w:t>
      </w:r>
      <w:r w:rsidR="004D28DF" w:rsidRPr="000937DC">
        <w:t xml:space="preserve">The Court observes that there was </w:t>
      </w:r>
      <w:r w:rsidR="00866902" w:rsidRPr="000937DC">
        <w:t xml:space="preserve">further </w:t>
      </w:r>
      <w:r w:rsidR="004D28DF" w:rsidRPr="000937DC">
        <w:t>no progre</w:t>
      </w:r>
      <w:r w:rsidR="00734240" w:rsidRPr="000937DC">
        <w:t xml:space="preserve">ss in the proceedings between 5 </w:t>
      </w:r>
      <w:r w:rsidR="004D28DF" w:rsidRPr="000937DC">
        <w:t>December 2007, when the Warsaw Self-Government Board of Appeal quashed the first-instance decision and remitted the case for re-examination, and 18 June 2009, wh</w:t>
      </w:r>
      <w:r w:rsidR="00734240" w:rsidRPr="000937DC">
        <w:t xml:space="preserve">en the Mayor of Warsaw issued a </w:t>
      </w:r>
      <w:r w:rsidR="004D28DF" w:rsidRPr="000937DC">
        <w:t xml:space="preserve">new decision (see paragraph </w:t>
      </w:r>
      <w:r w:rsidR="00AA1551" w:rsidRPr="000937DC">
        <w:t>18</w:t>
      </w:r>
      <w:r w:rsidR="004D28DF" w:rsidRPr="000937DC">
        <w:t xml:space="preserve"> above). The proceedings were not accelerated despite the instruction issued on 28</w:t>
      </w:r>
      <w:r w:rsidR="00734240" w:rsidRPr="000937DC">
        <w:t xml:space="preserve"> </w:t>
      </w:r>
      <w:r w:rsidR="004D28DF" w:rsidRPr="000937DC">
        <w:t xml:space="preserve">January 2009 by the Regional Administrative Court to comply with the deadline of four weeks (see paragraph </w:t>
      </w:r>
      <w:r w:rsidR="00AA1551" w:rsidRPr="000937DC">
        <w:t>17</w:t>
      </w:r>
      <w:r w:rsidR="004D28DF" w:rsidRPr="000937DC">
        <w:t xml:space="preserve"> above).</w:t>
      </w:r>
    </w:p>
    <w:p w:rsidR="004D28DF"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60</w:t>
      </w:r>
      <w:r w:rsidRPr="000937DC">
        <w:rPr>
          <w:noProof/>
        </w:rPr>
        <w:fldChar w:fldCharType="end"/>
      </w:r>
      <w:r w:rsidR="00A13042" w:rsidRPr="000937DC">
        <w:t>.  </w:t>
      </w:r>
      <w:r w:rsidR="004D28DF" w:rsidRPr="000937DC">
        <w:t>While the applicants were active in the proceedings, yet there is no indication that they contributed to their length.</w:t>
      </w:r>
    </w:p>
    <w:p w:rsidR="0092643E" w:rsidRPr="000937DC" w:rsidRDefault="0070642A"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61</w:t>
      </w:r>
      <w:r w:rsidRPr="000937DC">
        <w:fldChar w:fldCharType="end"/>
      </w:r>
      <w:r w:rsidRPr="000937DC">
        <w:t>.  </w:t>
      </w:r>
      <w:r w:rsidR="004D28DF" w:rsidRPr="000937DC">
        <w:t xml:space="preserve">Having regard to the material submitted to it, the Court considers that the Government have not put forward any fact or argument capable of persuading it to </w:t>
      </w:r>
      <w:r w:rsidRPr="000937DC">
        <w:t>justify the overall length of the proceedings</w:t>
      </w:r>
      <w:r w:rsidR="004D28DF" w:rsidRPr="000937DC">
        <w:t xml:space="preserve"> in the present case. Consequently, the Court considers that the overall length of the proceedings complained of exceeded what was reasonable.</w:t>
      </w:r>
    </w:p>
    <w:p w:rsidR="004D28DF" w:rsidRPr="000937DC" w:rsidRDefault="00EA581C"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62</w:t>
      </w:r>
      <w:r w:rsidRPr="000937DC">
        <w:rPr>
          <w:noProof/>
        </w:rPr>
        <w:fldChar w:fldCharType="end"/>
      </w:r>
      <w:r w:rsidR="00A13042" w:rsidRPr="000937DC">
        <w:t>.  </w:t>
      </w:r>
      <w:r w:rsidR="004D28DF" w:rsidRPr="000937DC">
        <w:t>There has therefore been a violation of Article 6 § 1 of the Convention.</w:t>
      </w:r>
    </w:p>
    <w:p w:rsidR="004D28DF" w:rsidRPr="000937DC" w:rsidRDefault="004D28DF" w:rsidP="000937DC">
      <w:pPr>
        <w:pStyle w:val="ECHRHeading1"/>
      </w:pPr>
      <w:r w:rsidRPr="000937DC">
        <w:t>II.  ALLEGED VIOLATION OF ARTICLE 1 OF PROTOCOL N</w:t>
      </w:r>
      <w:r w:rsidR="005B0D89" w:rsidRPr="000937DC">
        <w:t>o</w:t>
      </w:r>
      <w:r w:rsidRPr="000937DC">
        <w:t>. 1 TO THE CONVENTION</w:t>
      </w:r>
    </w:p>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63</w:t>
      </w:r>
      <w:r w:rsidRPr="000937DC">
        <w:fldChar w:fldCharType="end"/>
      </w:r>
      <w:r w:rsidRPr="000937DC">
        <w:t>. </w:t>
      </w:r>
      <w:r w:rsidR="00531D59" w:rsidRPr="000937DC">
        <w:t> </w:t>
      </w:r>
      <w:r w:rsidRPr="000937DC">
        <w:t>The applicants complained under Article 1 of Protocol No. 1 to the Convention that their ownership had not been restored and that, as a result, they had to bear annual fees for the perpetual use of the land.</w:t>
      </w:r>
    </w:p>
    <w:p w:rsidR="0092643E" w:rsidRPr="000937DC" w:rsidRDefault="004D28DF" w:rsidP="000937DC">
      <w:pPr>
        <w:pStyle w:val="ECHRPara"/>
      </w:pPr>
      <w:r w:rsidRPr="000937DC">
        <w:rPr>
          <w:szCs w:val="24"/>
        </w:rPr>
        <w:fldChar w:fldCharType="begin"/>
      </w:r>
      <w:r w:rsidRPr="000937DC">
        <w:rPr>
          <w:szCs w:val="24"/>
        </w:rPr>
        <w:instrText xml:space="preserve"> SEQ level0 \*arabic </w:instrText>
      </w:r>
      <w:r w:rsidRPr="000937DC">
        <w:rPr>
          <w:szCs w:val="24"/>
        </w:rPr>
        <w:fldChar w:fldCharType="separate"/>
      </w:r>
      <w:r w:rsidR="000937DC" w:rsidRPr="000937DC">
        <w:rPr>
          <w:noProof/>
          <w:szCs w:val="24"/>
        </w:rPr>
        <w:t>64</w:t>
      </w:r>
      <w:r w:rsidRPr="000937DC">
        <w:rPr>
          <w:szCs w:val="24"/>
        </w:rPr>
        <w:fldChar w:fldCharType="end"/>
      </w:r>
      <w:r w:rsidRPr="000937DC">
        <w:rPr>
          <w:szCs w:val="24"/>
        </w:rPr>
        <w:t>. </w:t>
      </w:r>
      <w:r w:rsidRPr="000937DC">
        <w:t> The Court notes that on 14 April 2016 the Board of the Mokot</w:t>
      </w:r>
      <w:r w:rsidRPr="000937DC">
        <w:rPr>
          <w:rFonts w:cstheme="minorHAnsi"/>
        </w:rPr>
        <w:t>ó</w:t>
      </w:r>
      <w:r w:rsidRPr="000937DC">
        <w:t>w District issued a decision on the free of charge transformation of the perpetual use of the land into the right of the ownership (see paragraph</w:t>
      </w:r>
      <w:r w:rsidR="00F13ADD" w:rsidRPr="000937DC">
        <w:t> </w:t>
      </w:r>
      <w:r w:rsidR="00866902" w:rsidRPr="000937DC">
        <w:t xml:space="preserve">33 </w:t>
      </w:r>
      <w:r w:rsidRPr="000937DC">
        <w:t>above).</w:t>
      </w:r>
    </w:p>
    <w:p w:rsidR="004D28DF" w:rsidRPr="000937DC" w:rsidRDefault="00E13DFB"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65</w:t>
      </w:r>
      <w:r w:rsidRPr="000937DC">
        <w:rPr>
          <w:noProof/>
        </w:rPr>
        <w:fldChar w:fldCharType="end"/>
      </w:r>
      <w:r w:rsidR="004D28DF" w:rsidRPr="000937DC">
        <w:t>.  Therefore, the applicants ha</w:t>
      </w:r>
      <w:r w:rsidR="00866902" w:rsidRPr="000937DC">
        <w:t xml:space="preserve">d </w:t>
      </w:r>
      <w:r w:rsidR="004D28DF" w:rsidRPr="000937DC">
        <w:t>lost victim status in respect of the alleged violation of Article 1 of Protocol No. 1 to the Convention.</w:t>
      </w:r>
    </w:p>
    <w:p w:rsidR="004D28DF" w:rsidRPr="000937DC" w:rsidRDefault="00E13DFB" w:rsidP="000937DC">
      <w:pPr>
        <w:pStyle w:val="ECHRPara"/>
        <w:rPr>
          <w:szCs w:val="24"/>
        </w:rPr>
      </w:pPr>
      <w:r w:rsidRPr="000937DC">
        <w:fldChar w:fldCharType="begin"/>
      </w:r>
      <w:r w:rsidRPr="000937DC">
        <w:instrText xml:space="preserve"> SEQ level0 \*arabic </w:instrText>
      </w:r>
      <w:r w:rsidRPr="000937DC">
        <w:fldChar w:fldCharType="separate"/>
      </w:r>
      <w:r w:rsidR="000937DC" w:rsidRPr="000937DC">
        <w:rPr>
          <w:noProof/>
        </w:rPr>
        <w:t>66</w:t>
      </w:r>
      <w:r w:rsidRPr="000937DC">
        <w:rPr>
          <w:noProof/>
        </w:rPr>
        <w:fldChar w:fldCharType="end"/>
      </w:r>
      <w:r w:rsidR="004D28DF" w:rsidRPr="000937DC">
        <w:t xml:space="preserve">.  Accordingly, this complaint is incompatible </w:t>
      </w:r>
      <w:r w:rsidR="004D28DF" w:rsidRPr="000937DC">
        <w:rPr>
          <w:i/>
        </w:rPr>
        <w:t>ratione personae</w:t>
      </w:r>
      <w:r w:rsidR="004D28DF" w:rsidRPr="000937DC">
        <w:t xml:space="preserve"> with the provisions of the Convention within the meaning of Article 35 § 3 (a) and must be rejected in accordance with Article 35 § 4.</w:t>
      </w:r>
    </w:p>
    <w:p w:rsidR="004D28DF" w:rsidRPr="000937DC" w:rsidRDefault="004D28DF" w:rsidP="000937DC">
      <w:pPr>
        <w:pStyle w:val="ECHRHeading1"/>
        <w:keepNext w:val="0"/>
        <w:keepLines w:val="0"/>
      </w:pPr>
      <w:r w:rsidRPr="000937DC">
        <w:lastRenderedPageBreak/>
        <w:t>III.  APPLICATION OF ARTICLE 41 OF THE CONVENTION</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67</w:t>
      </w:r>
      <w:r w:rsidRPr="000937DC">
        <w:fldChar w:fldCharType="end"/>
      </w:r>
      <w:r w:rsidRPr="000937DC">
        <w:t>.  Article 41 of the Convention provides:</w:t>
      </w:r>
    </w:p>
    <w:p w:rsidR="004D28DF" w:rsidRPr="000937DC" w:rsidRDefault="004D28DF" w:rsidP="000937DC">
      <w:pPr>
        <w:pStyle w:val="ECHRParaQuote"/>
      </w:pPr>
      <w:r w:rsidRPr="000937D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4D28DF" w:rsidRPr="000937DC" w:rsidRDefault="004D28DF" w:rsidP="000937DC">
      <w:pPr>
        <w:pStyle w:val="ECHRHeading2"/>
        <w:outlineLvl w:val="0"/>
      </w:pPr>
      <w:r w:rsidRPr="000937DC">
        <w:t>A.  Damage</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68</w:t>
      </w:r>
      <w:r w:rsidRPr="000937DC">
        <w:fldChar w:fldCharType="end"/>
      </w:r>
      <w:r w:rsidRPr="000937DC">
        <w:t xml:space="preserve">.  The applicants claimed 300,000 Polish zlotys (PLN) (approximately </w:t>
      </w:r>
      <w:r w:rsidR="00066DD0" w:rsidRPr="000937DC">
        <w:t>75,000 </w:t>
      </w:r>
      <w:r w:rsidRPr="000937DC">
        <w:t>euros (EUR)) in respect of pecuniary and non-pecuniary damage.</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69</w:t>
      </w:r>
      <w:r w:rsidRPr="000937DC">
        <w:fldChar w:fldCharType="end"/>
      </w:r>
      <w:r w:rsidRPr="000937DC">
        <w:t>.  The Government contested the claim.</w:t>
      </w:r>
    </w:p>
    <w:p w:rsidR="0092643E"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70</w:t>
      </w:r>
      <w:r w:rsidRPr="000937DC">
        <w:fldChar w:fldCharType="end"/>
      </w:r>
      <w:r w:rsidRPr="000937DC">
        <w:t>.  The Court does not discern any causal link between the violation found and the pecuniary damage alleged; it therefore rejects this claim. At the same time, it considers that the applicants must have sustained non</w:t>
      </w:r>
      <w:r w:rsidR="003B78EB" w:rsidRPr="000937DC">
        <w:noBreakHyphen/>
      </w:r>
      <w:r w:rsidRPr="000937DC">
        <w:t xml:space="preserve">pecuniary damage on account of the protracted length of the proceedings. Ruling on an equitable basis it </w:t>
      </w:r>
      <w:r w:rsidR="002F387E" w:rsidRPr="000937DC">
        <w:t>awards EUR 1</w:t>
      </w:r>
      <w:r w:rsidR="00A13042" w:rsidRPr="000937DC">
        <w:t>,625</w:t>
      </w:r>
      <w:r w:rsidRPr="000937DC">
        <w:t xml:space="preserve"> to </w:t>
      </w:r>
      <w:r w:rsidR="00A13042" w:rsidRPr="000937DC">
        <w:t>each of the applicants.</w:t>
      </w:r>
    </w:p>
    <w:p w:rsidR="004D28DF" w:rsidRPr="000937DC" w:rsidRDefault="004D28DF" w:rsidP="000937DC">
      <w:pPr>
        <w:pStyle w:val="ECHRHeading2"/>
        <w:outlineLvl w:val="0"/>
      </w:pPr>
      <w:r w:rsidRPr="000937DC">
        <w:t>B.  Costs and expenses</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71</w:t>
      </w:r>
      <w:r w:rsidRPr="000937DC">
        <w:fldChar w:fldCharType="end"/>
      </w:r>
      <w:r w:rsidRPr="000937DC">
        <w:t>.  The applicants also claimed reimbursement of the costs incurred before the domestic courts and of other expenses which are unrelated to the admissible complaint before the Court.</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72</w:t>
      </w:r>
      <w:r w:rsidRPr="000937DC">
        <w:fldChar w:fldCharType="end"/>
      </w:r>
      <w:r w:rsidRPr="000937DC">
        <w:t>.  Regard being had to the documents in its possession and to its case</w:t>
      </w:r>
      <w:r w:rsidR="0093401C" w:rsidRPr="000937DC">
        <w:noBreakHyphen/>
      </w:r>
      <w:r w:rsidRPr="000937DC">
        <w:t>law, the Court rejects the claim for costs and expenses.</w:t>
      </w:r>
    </w:p>
    <w:p w:rsidR="004D28DF" w:rsidRPr="000937DC" w:rsidRDefault="004D28DF" w:rsidP="000937DC">
      <w:pPr>
        <w:pStyle w:val="ECHRHeading2"/>
        <w:outlineLvl w:val="0"/>
      </w:pPr>
      <w:r w:rsidRPr="000937DC">
        <w:t>C.  Default interest</w:t>
      </w:r>
    </w:p>
    <w:p w:rsidR="004D28DF" w:rsidRPr="000937DC" w:rsidRDefault="004D28DF" w:rsidP="000937DC">
      <w:pPr>
        <w:pStyle w:val="ECHRPara"/>
      </w:pPr>
      <w:r w:rsidRPr="000937DC">
        <w:fldChar w:fldCharType="begin"/>
      </w:r>
      <w:r w:rsidRPr="000937DC">
        <w:instrText xml:space="preserve"> SEQ level0 \*arabic </w:instrText>
      </w:r>
      <w:r w:rsidRPr="000937DC">
        <w:fldChar w:fldCharType="separate"/>
      </w:r>
      <w:r w:rsidR="000937DC" w:rsidRPr="000937DC">
        <w:rPr>
          <w:noProof/>
        </w:rPr>
        <w:t>73</w:t>
      </w:r>
      <w:r w:rsidRPr="000937DC">
        <w:fldChar w:fldCharType="end"/>
      </w:r>
      <w:r w:rsidRPr="000937DC">
        <w:t>.  The Court considers it appropriate that the default interest rate should be based on the marginal lending rate of the European Central Bank, to which should be added three percentage points.</w:t>
      </w:r>
    </w:p>
    <w:p w:rsidR="00DE61E0" w:rsidRPr="000937DC" w:rsidRDefault="002E044C" w:rsidP="000937DC">
      <w:pPr>
        <w:pStyle w:val="ECHRTitle1"/>
      </w:pPr>
      <w:r w:rsidRPr="000937DC">
        <w:t>FOR THESE REASONS, THE COURT</w:t>
      </w:r>
      <w:r w:rsidR="00552A19" w:rsidRPr="000937DC">
        <w:t>, UNANIMOUSLY,</w:t>
      </w:r>
    </w:p>
    <w:p w:rsidR="004D28DF" w:rsidRPr="000937DC" w:rsidRDefault="004D28DF" w:rsidP="000937DC">
      <w:pPr>
        <w:pStyle w:val="JuList"/>
      </w:pPr>
      <w:r w:rsidRPr="000937DC">
        <w:t>1.  </w:t>
      </w:r>
      <w:r w:rsidRPr="000937DC">
        <w:rPr>
          <w:i/>
        </w:rPr>
        <w:t xml:space="preserve">Declares </w:t>
      </w:r>
      <w:r w:rsidRPr="000937DC">
        <w:t>the complaint concerning the excessive length of the first set of the administrative proceedings admissible and the remainder of the application inadmissible;</w:t>
      </w:r>
    </w:p>
    <w:p w:rsidR="004D28DF" w:rsidRPr="000937DC" w:rsidRDefault="004D28DF" w:rsidP="000937DC">
      <w:pPr>
        <w:pStyle w:val="JuLista"/>
      </w:pPr>
    </w:p>
    <w:p w:rsidR="004D28DF" w:rsidRPr="000937DC" w:rsidRDefault="004D28DF" w:rsidP="000937DC">
      <w:pPr>
        <w:pStyle w:val="JuList"/>
      </w:pPr>
      <w:r w:rsidRPr="000937DC">
        <w:t>2.  </w:t>
      </w:r>
      <w:r w:rsidRPr="000937DC">
        <w:rPr>
          <w:i/>
        </w:rPr>
        <w:t xml:space="preserve">Holds </w:t>
      </w:r>
      <w:r w:rsidRPr="000937DC">
        <w:t>that there has been a violation of Article 6 § 1 of the Convention;</w:t>
      </w:r>
    </w:p>
    <w:p w:rsidR="004D28DF" w:rsidRPr="000937DC" w:rsidRDefault="004D28DF" w:rsidP="000937DC">
      <w:pPr>
        <w:pStyle w:val="JuList"/>
      </w:pPr>
    </w:p>
    <w:p w:rsidR="004D28DF" w:rsidRPr="000937DC" w:rsidRDefault="004D28DF" w:rsidP="000937DC">
      <w:pPr>
        <w:pStyle w:val="JuList"/>
        <w:rPr>
          <w:i/>
        </w:rPr>
      </w:pPr>
      <w:r w:rsidRPr="000937DC">
        <w:lastRenderedPageBreak/>
        <w:t>3.  </w:t>
      </w:r>
      <w:r w:rsidRPr="000937DC">
        <w:rPr>
          <w:i/>
        </w:rPr>
        <w:t>Holds</w:t>
      </w:r>
    </w:p>
    <w:p w:rsidR="0092643E" w:rsidRPr="000937DC" w:rsidRDefault="004D28DF" w:rsidP="000937DC">
      <w:pPr>
        <w:pStyle w:val="JuLista"/>
      </w:pPr>
      <w:r w:rsidRPr="000937DC">
        <w:t>(a)  that the respondent State is to pay</w:t>
      </w:r>
      <w:r w:rsidR="00866902" w:rsidRPr="000937DC">
        <w:t xml:space="preserve"> each of the applicants</w:t>
      </w:r>
      <w:r w:rsidRPr="000937DC">
        <w:t xml:space="preserve">, within three months, </w:t>
      </w:r>
      <w:r w:rsidR="00866902" w:rsidRPr="000937DC">
        <w:t>EUR 1,625 (one thousand six hundred</w:t>
      </w:r>
      <w:r w:rsidR="00CE684A" w:rsidRPr="000937DC">
        <w:t xml:space="preserve"> and</w:t>
      </w:r>
      <w:r w:rsidR="00866902" w:rsidRPr="000937DC">
        <w:t xml:space="preserve"> twenty</w:t>
      </w:r>
      <w:r w:rsidR="00CE684A" w:rsidRPr="000937DC">
        <w:t>-</w:t>
      </w:r>
      <w:r w:rsidR="00866902" w:rsidRPr="000937DC">
        <w:t xml:space="preserve">five euros) plus any tax that may be chargeable, in respect of non-pecuniary damage, </w:t>
      </w:r>
      <w:r w:rsidRPr="000937DC">
        <w:t>to be converted into the currency of the respondent State at the rate applicable at the date of settlement</w:t>
      </w:r>
      <w:r w:rsidR="00A13042" w:rsidRPr="000937DC">
        <w:t>;</w:t>
      </w:r>
    </w:p>
    <w:p w:rsidR="004D28DF" w:rsidRPr="000937DC" w:rsidRDefault="004D28DF" w:rsidP="000937DC">
      <w:pPr>
        <w:pStyle w:val="JuLista"/>
      </w:pPr>
      <w:r w:rsidRPr="000937DC">
        <w:t>(b)  that from the expiry of the above-mentioned three months until settlement simple interest shall be payable on the above amount at a rate equal to the marginal lending rate of the European Central Bank during the default period plus three percentage points</w:t>
      </w:r>
      <w:r w:rsidR="00A13042" w:rsidRPr="000937DC">
        <w:t>.</w:t>
      </w:r>
    </w:p>
    <w:p w:rsidR="004D28DF" w:rsidRPr="000937DC" w:rsidRDefault="004D28DF" w:rsidP="000937DC">
      <w:pPr>
        <w:pStyle w:val="JuLista"/>
      </w:pPr>
    </w:p>
    <w:p w:rsidR="004D28DF" w:rsidRPr="000937DC" w:rsidRDefault="004D28DF" w:rsidP="000937DC">
      <w:pPr>
        <w:pStyle w:val="JuList"/>
      </w:pPr>
      <w:r w:rsidRPr="000937DC">
        <w:t>4.  </w:t>
      </w:r>
      <w:r w:rsidRPr="000937DC">
        <w:rPr>
          <w:i/>
          <w:iCs/>
        </w:rPr>
        <w:t>Dismisses</w:t>
      </w:r>
      <w:r w:rsidRPr="000937DC">
        <w:t xml:space="preserve"> the remainder of the applicants</w:t>
      </w:r>
      <w:r w:rsidR="000937DC" w:rsidRPr="000937DC">
        <w:t>’</w:t>
      </w:r>
      <w:r w:rsidRPr="000937DC">
        <w:t xml:space="preserve"> claims for just satisfaction.</w:t>
      </w:r>
    </w:p>
    <w:p w:rsidR="004D28DF" w:rsidRPr="000937DC" w:rsidRDefault="004D28DF" w:rsidP="000937DC">
      <w:pPr>
        <w:pStyle w:val="JuParaLast"/>
      </w:pPr>
      <w:r w:rsidRPr="000937DC">
        <w:t xml:space="preserve">Done in English, and notified in writing on </w:t>
      </w:r>
      <w:r w:rsidR="0092643E" w:rsidRPr="000937DC">
        <w:t>6 December 2018</w:t>
      </w:r>
      <w:r w:rsidRPr="000937DC">
        <w:t>, pursuant to Rule 77 §§ 2 and 3 of the Rules of Court.</w:t>
      </w:r>
    </w:p>
    <w:p w:rsidR="00EB447C" w:rsidRPr="000937DC" w:rsidRDefault="0030583C" w:rsidP="000937DC">
      <w:pPr>
        <w:pStyle w:val="JuSigned"/>
        <w:rPr>
          <w:lang w:val="it-IT"/>
        </w:rPr>
      </w:pPr>
      <w:r w:rsidRPr="000937DC">
        <w:tab/>
      </w:r>
      <w:r w:rsidR="00531D59" w:rsidRPr="000937DC">
        <w:rPr>
          <w:lang w:val="it-IT"/>
        </w:rPr>
        <w:t>Abel Campos</w:t>
      </w:r>
      <w:r w:rsidR="00DE61E0" w:rsidRPr="000937DC">
        <w:rPr>
          <w:lang w:val="it-IT"/>
        </w:rPr>
        <w:tab/>
      </w:r>
      <w:r w:rsidR="0092643E" w:rsidRPr="000937DC">
        <w:rPr>
          <w:lang w:val="pl-PL"/>
        </w:rPr>
        <w:t>Ksenija Turković</w:t>
      </w:r>
      <w:r w:rsidR="0045568E" w:rsidRPr="000937DC">
        <w:rPr>
          <w:szCs w:val="24"/>
          <w:lang w:val="it-IT"/>
        </w:rPr>
        <w:br/>
      </w:r>
      <w:r w:rsidR="00DE61E0" w:rsidRPr="000937DC">
        <w:rPr>
          <w:lang w:val="it-IT"/>
        </w:rPr>
        <w:tab/>
      </w:r>
      <w:r w:rsidR="00552A19" w:rsidRPr="000937DC">
        <w:rPr>
          <w:iCs/>
          <w:lang w:val="it-IT"/>
        </w:rPr>
        <w:t>Registrar</w:t>
      </w:r>
      <w:r w:rsidR="00DE61E0" w:rsidRPr="000937DC">
        <w:rPr>
          <w:lang w:val="it-IT"/>
        </w:rPr>
        <w:tab/>
        <w:t>President</w:t>
      </w:r>
    </w:p>
    <w:p w:rsidR="005B0D89" w:rsidRPr="000937DC" w:rsidRDefault="005B0D89" w:rsidP="000937DC">
      <w:pPr>
        <w:pStyle w:val="JuParaLast"/>
        <w:rPr>
          <w:lang w:val="it-IT"/>
        </w:rPr>
      </w:pPr>
    </w:p>
    <w:sectPr w:rsidR="005B0D89" w:rsidRPr="000937DC" w:rsidSect="0092643E">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A06" w:rsidRPr="00B50C7A" w:rsidRDefault="00551A06" w:rsidP="000055E6">
      <w:r w:rsidRPr="00B50C7A">
        <w:separator/>
      </w:r>
    </w:p>
  </w:endnote>
  <w:endnote w:type="continuationSeparator" w:id="0">
    <w:p w:rsidR="00551A06" w:rsidRPr="00B50C7A" w:rsidRDefault="00551A06" w:rsidP="000055E6">
      <w:r w:rsidRPr="00B50C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150BFA" w:rsidRDefault="0092643E" w:rsidP="0020718E">
    <w:pPr>
      <w:jc w:val="center"/>
    </w:pPr>
    <w:r>
      <w:rPr>
        <w:noProof/>
        <w:lang w:val="pl-PL" w:eastAsia="pl-PL"/>
      </w:rPr>
      <w:drawing>
        <wp:inline distT="0" distB="0" distL="0" distR="0" wp14:anchorId="649A5E29" wp14:editId="111B3D2A">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2643E" w:rsidRDefault="0092643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A06" w:rsidRPr="00B50C7A" w:rsidRDefault="00551A06" w:rsidP="000055E6">
      <w:r w:rsidRPr="00B50C7A">
        <w:separator/>
      </w:r>
    </w:p>
  </w:footnote>
  <w:footnote w:type="continuationSeparator" w:id="0">
    <w:p w:rsidR="00551A06" w:rsidRPr="00B50C7A" w:rsidRDefault="00551A06" w:rsidP="000055E6">
      <w:r w:rsidRPr="00B50C7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Default="0092643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15" w:rsidRPr="0092643E" w:rsidRDefault="00666515" w:rsidP="0092643E">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A45145" w:rsidRDefault="0092643E" w:rsidP="00A45145">
    <w:pPr>
      <w:jc w:val="center"/>
    </w:pPr>
    <w:r>
      <w:rPr>
        <w:noProof/>
        <w:lang w:val="pl-PL" w:eastAsia="pl-PL"/>
      </w:rPr>
      <w:drawing>
        <wp:inline distT="0" distB="0" distL="0" distR="0" wp14:anchorId="2BE602A9" wp14:editId="3200D28E">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66515" w:rsidRDefault="0066651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B50C7A" w:rsidRDefault="0092643E" w:rsidP="00D0189E">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9A6DEA">
      <w:rPr>
        <w:rStyle w:val="Numerstrony"/>
        <w:noProof/>
        <w:szCs w:val="18"/>
      </w:rPr>
      <w:t>10</w:t>
    </w:r>
    <w:r>
      <w:rPr>
        <w:rStyle w:val="Numerstrony"/>
        <w:szCs w:val="18"/>
      </w:rPr>
      <w:fldChar w:fldCharType="end"/>
    </w:r>
    <w:r w:rsidRPr="00B50C7A">
      <w:tab/>
    </w:r>
    <w:r>
      <w:t>BUKOWSKI AND OTHERS v. POLAND</w:t>
    </w:r>
    <w:r w:rsidRPr="00B50C7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3E" w:rsidRPr="00B50C7A" w:rsidRDefault="0092643E" w:rsidP="00D0189E">
    <w:pPr>
      <w:pStyle w:val="ECHRHeader"/>
    </w:pPr>
    <w:r w:rsidRPr="00B50C7A">
      <w:tab/>
    </w:r>
    <w:r>
      <w:t>BUKOWSKI AND OTHERS v. POLAND</w:t>
    </w:r>
    <w:r w:rsidRPr="00B50C7A">
      <w:t xml:space="preserve"> </w:t>
    </w:r>
    <w:r>
      <w:t>JUDGMENT</w:t>
    </w:r>
    <w:r w:rsidRPr="00B50C7A">
      <w:tab/>
    </w:r>
    <w:r>
      <w:rPr>
        <w:rStyle w:val="Numerstrony"/>
      </w:rPr>
      <w:fldChar w:fldCharType="begin"/>
    </w:r>
    <w:r>
      <w:rPr>
        <w:rStyle w:val="Numerstrony"/>
      </w:rPr>
      <w:instrText xml:space="preserve"> PAGE </w:instrText>
    </w:r>
    <w:r>
      <w:rPr>
        <w:rStyle w:val="Numerstrony"/>
      </w:rPr>
      <w:fldChar w:fldCharType="separate"/>
    </w:r>
    <w:r w:rsidR="009A6DEA">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7648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0C521FF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691E3B8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1FA6CF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168685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7F4E0C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4A341DD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45AF4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56542F8A"/>
    <w:lvl w:ilvl="0">
      <w:start w:val="1"/>
      <w:numFmt w:val="decimal"/>
      <w:pStyle w:val="Listanumerowana"/>
      <w:lvlText w:val="%1."/>
      <w:lvlJc w:val="left"/>
      <w:pPr>
        <w:tabs>
          <w:tab w:val="num" w:pos="360"/>
        </w:tabs>
        <w:ind w:left="360" w:hanging="360"/>
      </w:pPr>
    </w:lvl>
  </w:abstractNum>
  <w:abstractNum w:abstractNumId="9">
    <w:nsid w:val="10165EA3"/>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32A0EF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48A1952"/>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9"/>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52A19"/>
    <w:rsid w:val="000041F8"/>
    <w:rsid w:val="000042A8"/>
    <w:rsid w:val="00004308"/>
    <w:rsid w:val="000055E6"/>
    <w:rsid w:val="00005BF0"/>
    <w:rsid w:val="00006FEE"/>
    <w:rsid w:val="00007154"/>
    <w:rsid w:val="000103AE"/>
    <w:rsid w:val="00011D69"/>
    <w:rsid w:val="00012AD3"/>
    <w:rsid w:val="00015C2D"/>
    <w:rsid w:val="00015F00"/>
    <w:rsid w:val="000212C7"/>
    <w:rsid w:val="00022C1D"/>
    <w:rsid w:val="000242AC"/>
    <w:rsid w:val="00034987"/>
    <w:rsid w:val="00043AC8"/>
    <w:rsid w:val="000602DF"/>
    <w:rsid w:val="00061B05"/>
    <w:rsid w:val="000632D5"/>
    <w:rsid w:val="000644EE"/>
    <w:rsid w:val="00066DD0"/>
    <w:rsid w:val="000925AD"/>
    <w:rsid w:val="000937DC"/>
    <w:rsid w:val="000956C7"/>
    <w:rsid w:val="000A24EB"/>
    <w:rsid w:val="000B4F1E"/>
    <w:rsid w:val="000B6923"/>
    <w:rsid w:val="000C2AA3"/>
    <w:rsid w:val="000C5F3C"/>
    <w:rsid w:val="000C6DCC"/>
    <w:rsid w:val="000D47AA"/>
    <w:rsid w:val="000D530C"/>
    <w:rsid w:val="000D721F"/>
    <w:rsid w:val="000E069B"/>
    <w:rsid w:val="000E0E82"/>
    <w:rsid w:val="000E1DC5"/>
    <w:rsid w:val="000E223F"/>
    <w:rsid w:val="000E7D45"/>
    <w:rsid w:val="000F7851"/>
    <w:rsid w:val="00104E23"/>
    <w:rsid w:val="00111B0C"/>
    <w:rsid w:val="0011365A"/>
    <w:rsid w:val="00120D6C"/>
    <w:rsid w:val="001257EC"/>
    <w:rsid w:val="00131A4C"/>
    <w:rsid w:val="00133D33"/>
    <w:rsid w:val="00134D64"/>
    <w:rsid w:val="00135A30"/>
    <w:rsid w:val="0013612C"/>
    <w:rsid w:val="00137FF6"/>
    <w:rsid w:val="00141650"/>
    <w:rsid w:val="0016071E"/>
    <w:rsid w:val="00160AE1"/>
    <w:rsid w:val="00162A12"/>
    <w:rsid w:val="00166530"/>
    <w:rsid w:val="00180A98"/>
    <w:rsid w:val="001832BD"/>
    <w:rsid w:val="00186994"/>
    <w:rsid w:val="001943B5"/>
    <w:rsid w:val="00195134"/>
    <w:rsid w:val="001A145B"/>
    <w:rsid w:val="001A1FAB"/>
    <w:rsid w:val="001A674C"/>
    <w:rsid w:val="001B3B24"/>
    <w:rsid w:val="001C0F98"/>
    <w:rsid w:val="001C2A42"/>
    <w:rsid w:val="001D63ED"/>
    <w:rsid w:val="001D7348"/>
    <w:rsid w:val="001E035B"/>
    <w:rsid w:val="001E0961"/>
    <w:rsid w:val="001E3EAE"/>
    <w:rsid w:val="001E6F32"/>
    <w:rsid w:val="001F2145"/>
    <w:rsid w:val="001F3D06"/>
    <w:rsid w:val="001F6262"/>
    <w:rsid w:val="001F66FE"/>
    <w:rsid w:val="001F67B0"/>
    <w:rsid w:val="001F7B3D"/>
    <w:rsid w:val="002025AC"/>
    <w:rsid w:val="00205F9F"/>
    <w:rsid w:val="0020655F"/>
    <w:rsid w:val="00210338"/>
    <w:rsid w:val="002115FC"/>
    <w:rsid w:val="002126FC"/>
    <w:rsid w:val="0021423C"/>
    <w:rsid w:val="00220836"/>
    <w:rsid w:val="00230D00"/>
    <w:rsid w:val="00231DF7"/>
    <w:rsid w:val="00231FD1"/>
    <w:rsid w:val="002339E0"/>
    <w:rsid w:val="00233CF8"/>
    <w:rsid w:val="0023575D"/>
    <w:rsid w:val="00237148"/>
    <w:rsid w:val="00242124"/>
    <w:rsid w:val="0024222D"/>
    <w:rsid w:val="00244B0E"/>
    <w:rsid w:val="00244F6C"/>
    <w:rsid w:val="002532C5"/>
    <w:rsid w:val="00260C03"/>
    <w:rsid w:val="0026540E"/>
    <w:rsid w:val="00275123"/>
    <w:rsid w:val="00282240"/>
    <w:rsid w:val="00290F14"/>
    <w:rsid w:val="002948AD"/>
    <w:rsid w:val="002A01CC"/>
    <w:rsid w:val="002A61B1"/>
    <w:rsid w:val="002A663C"/>
    <w:rsid w:val="002B444B"/>
    <w:rsid w:val="002B5887"/>
    <w:rsid w:val="002C0E27"/>
    <w:rsid w:val="002C3040"/>
    <w:rsid w:val="002C6BB4"/>
    <w:rsid w:val="002D022D"/>
    <w:rsid w:val="002D24BB"/>
    <w:rsid w:val="002D6181"/>
    <w:rsid w:val="002E044C"/>
    <w:rsid w:val="002E6A02"/>
    <w:rsid w:val="002F2AF7"/>
    <w:rsid w:val="002F387E"/>
    <w:rsid w:val="002F3E79"/>
    <w:rsid w:val="002F7E1C"/>
    <w:rsid w:val="00301A75"/>
    <w:rsid w:val="00302F70"/>
    <w:rsid w:val="0030336F"/>
    <w:rsid w:val="0030375E"/>
    <w:rsid w:val="0030583C"/>
    <w:rsid w:val="00312A30"/>
    <w:rsid w:val="00320F72"/>
    <w:rsid w:val="0032463E"/>
    <w:rsid w:val="003249B0"/>
    <w:rsid w:val="00326224"/>
    <w:rsid w:val="00337EE4"/>
    <w:rsid w:val="00340FFD"/>
    <w:rsid w:val="003410A0"/>
    <w:rsid w:val="00347B85"/>
    <w:rsid w:val="003506B1"/>
    <w:rsid w:val="00356AC7"/>
    <w:rsid w:val="003609FA"/>
    <w:rsid w:val="00361CB4"/>
    <w:rsid w:val="003710C8"/>
    <w:rsid w:val="003750BE"/>
    <w:rsid w:val="003802D6"/>
    <w:rsid w:val="00387B9D"/>
    <w:rsid w:val="0039364F"/>
    <w:rsid w:val="00394565"/>
    <w:rsid w:val="00396686"/>
    <w:rsid w:val="0039778E"/>
    <w:rsid w:val="003B4941"/>
    <w:rsid w:val="003B78EB"/>
    <w:rsid w:val="003C3D56"/>
    <w:rsid w:val="003C5714"/>
    <w:rsid w:val="003C6B9F"/>
    <w:rsid w:val="003C6E2A"/>
    <w:rsid w:val="003D0299"/>
    <w:rsid w:val="003D0C69"/>
    <w:rsid w:val="003E6D80"/>
    <w:rsid w:val="003F05FA"/>
    <w:rsid w:val="003F244A"/>
    <w:rsid w:val="003F30B8"/>
    <w:rsid w:val="003F4C45"/>
    <w:rsid w:val="003F5F7B"/>
    <w:rsid w:val="003F7D64"/>
    <w:rsid w:val="00414300"/>
    <w:rsid w:val="00425C67"/>
    <w:rsid w:val="00427E7A"/>
    <w:rsid w:val="00432730"/>
    <w:rsid w:val="00436C49"/>
    <w:rsid w:val="00445366"/>
    <w:rsid w:val="00447F5B"/>
    <w:rsid w:val="00452109"/>
    <w:rsid w:val="0045568E"/>
    <w:rsid w:val="00461DB0"/>
    <w:rsid w:val="00463926"/>
    <w:rsid w:val="00463A8F"/>
    <w:rsid w:val="00464C9A"/>
    <w:rsid w:val="00474F3D"/>
    <w:rsid w:val="00477E3A"/>
    <w:rsid w:val="00483E5F"/>
    <w:rsid w:val="00485FF9"/>
    <w:rsid w:val="004907F0"/>
    <w:rsid w:val="0049140B"/>
    <w:rsid w:val="004923A5"/>
    <w:rsid w:val="00496BFB"/>
    <w:rsid w:val="004A15C7"/>
    <w:rsid w:val="004A5A55"/>
    <w:rsid w:val="004B013B"/>
    <w:rsid w:val="004B112B"/>
    <w:rsid w:val="004C01E4"/>
    <w:rsid w:val="004C086C"/>
    <w:rsid w:val="004C1F56"/>
    <w:rsid w:val="004C27BC"/>
    <w:rsid w:val="004C6C2B"/>
    <w:rsid w:val="004D1012"/>
    <w:rsid w:val="004D15F3"/>
    <w:rsid w:val="004D28DF"/>
    <w:rsid w:val="004D5311"/>
    <w:rsid w:val="004D5DCC"/>
    <w:rsid w:val="004F10AF"/>
    <w:rsid w:val="004F11A4"/>
    <w:rsid w:val="004F2389"/>
    <w:rsid w:val="004F304D"/>
    <w:rsid w:val="004F61BE"/>
    <w:rsid w:val="004F66B1"/>
    <w:rsid w:val="004F6D31"/>
    <w:rsid w:val="0050258B"/>
    <w:rsid w:val="00511C07"/>
    <w:rsid w:val="005173A6"/>
    <w:rsid w:val="00520BAA"/>
    <w:rsid w:val="00525208"/>
    <w:rsid w:val="005257A5"/>
    <w:rsid w:val="005264C0"/>
    <w:rsid w:val="00526A8A"/>
    <w:rsid w:val="00531D59"/>
    <w:rsid w:val="00531DF2"/>
    <w:rsid w:val="00541F00"/>
    <w:rsid w:val="00542E76"/>
    <w:rsid w:val="005442EE"/>
    <w:rsid w:val="00547353"/>
    <w:rsid w:val="005474E7"/>
    <w:rsid w:val="005512A3"/>
    <w:rsid w:val="00551A06"/>
    <w:rsid w:val="00552A19"/>
    <w:rsid w:val="005578CE"/>
    <w:rsid w:val="00562781"/>
    <w:rsid w:val="0057271C"/>
    <w:rsid w:val="00572845"/>
    <w:rsid w:val="00592772"/>
    <w:rsid w:val="005946D5"/>
    <w:rsid w:val="0059574A"/>
    <w:rsid w:val="005A1B9B"/>
    <w:rsid w:val="005A6751"/>
    <w:rsid w:val="005B092E"/>
    <w:rsid w:val="005B0D89"/>
    <w:rsid w:val="005B152C"/>
    <w:rsid w:val="005B1EE0"/>
    <w:rsid w:val="005B2B24"/>
    <w:rsid w:val="005B4425"/>
    <w:rsid w:val="005B4B94"/>
    <w:rsid w:val="005C1C5D"/>
    <w:rsid w:val="005C3EE8"/>
    <w:rsid w:val="005D22AC"/>
    <w:rsid w:val="005D34F9"/>
    <w:rsid w:val="005D4190"/>
    <w:rsid w:val="005D57F5"/>
    <w:rsid w:val="005D67A3"/>
    <w:rsid w:val="005E2988"/>
    <w:rsid w:val="005E3085"/>
    <w:rsid w:val="005F51E1"/>
    <w:rsid w:val="00611C80"/>
    <w:rsid w:val="00620692"/>
    <w:rsid w:val="006242CA"/>
    <w:rsid w:val="00627507"/>
    <w:rsid w:val="00633717"/>
    <w:rsid w:val="006344E1"/>
    <w:rsid w:val="00637248"/>
    <w:rsid w:val="006377EA"/>
    <w:rsid w:val="006502D3"/>
    <w:rsid w:val="006538BA"/>
    <w:rsid w:val="00653C66"/>
    <w:rsid w:val="006545C4"/>
    <w:rsid w:val="00661971"/>
    <w:rsid w:val="00661CE8"/>
    <w:rsid w:val="006623D9"/>
    <w:rsid w:val="00664DF1"/>
    <w:rsid w:val="0066550C"/>
    <w:rsid w:val="00666515"/>
    <w:rsid w:val="006716F2"/>
    <w:rsid w:val="00671DBA"/>
    <w:rsid w:val="00682BF2"/>
    <w:rsid w:val="006859CE"/>
    <w:rsid w:val="00691270"/>
    <w:rsid w:val="00694BA8"/>
    <w:rsid w:val="006A037C"/>
    <w:rsid w:val="006A36F4"/>
    <w:rsid w:val="006A406F"/>
    <w:rsid w:val="006A5D3A"/>
    <w:rsid w:val="006B1289"/>
    <w:rsid w:val="006B2773"/>
    <w:rsid w:val="006C23D4"/>
    <w:rsid w:val="006C7BB0"/>
    <w:rsid w:val="006D028D"/>
    <w:rsid w:val="006D3237"/>
    <w:rsid w:val="006D4B81"/>
    <w:rsid w:val="006E2E37"/>
    <w:rsid w:val="006E3CF1"/>
    <w:rsid w:val="006E7E80"/>
    <w:rsid w:val="006F48CA"/>
    <w:rsid w:val="006F64DD"/>
    <w:rsid w:val="0070642A"/>
    <w:rsid w:val="00715127"/>
    <w:rsid w:val="00715E8E"/>
    <w:rsid w:val="00721D3A"/>
    <w:rsid w:val="00723580"/>
    <w:rsid w:val="00723755"/>
    <w:rsid w:val="0073136C"/>
    <w:rsid w:val="00731F0F"/>
    <w:rsid w:val="00733250"/>
    <w:rsid w:val="00734240"/>
    <w:rsid w:val="00741404"/>
    <w:rsid w:val="007449E5"/>
    <w:rsid w:val="00747FF0"/>
    <w:rsid w:val="00764D4E"/>
    <w:rsid w:val="00765A1F"/>
    <w:rsid w:val="00775B6D"/>
    <w:rsid w:val="00776D68"/>
    <w:rsid w:val="00783F38"/>
    <w:rsid w:val="007850EE"/>
    <w:rsid w:val="00785B95"/>
    <w:rsid w:val="00790E96"/>
    <w:rsid w:val="00793366"/>
    <w:rsid w:val="007A0F8A"/>
    <w:rsid w:val="007A716F"/>
    <w:rsid w:val="007B270A"/>
    <w:rsid w:val="007C0695"/>
    <w:rsid w:val="007C419A"/>
    <w:rsid w:val="007C4CC8"/>
    <w:rsid w:val="007C5426"/>
    <w:rsid w:val="007C5798"/>
    <w:rsid w:val="007D4832"/>
    <w:rsid w:val="007D61D9"/>
    <w:rsid w:val="007D7B88"/>
    <w:rsid w:val="007E21B2"/>
    <w:rsid w:val="007E2C4E"/>
    <w:rsid w:val="007E5E77"/>
    <w:rsid w:val="007E6DF6"/>
    <w:rsid w:val="007F1905"/>
    <w:rsid w:val="00802C64"/>
    <w:rsid w:val="00805E52"/>
    <w:rsid w:val="008061D0"/>
    <w:rsid w:val="008062C2"/>
    <w:rsid w:val="00810144"/>
    <w:rsid w:val="00810B38"/>
    <w:rsid w:val="008204C7"/>
    <w:rsid w:val="00820992"/>
    <w:rsid w:val="00823602"/>
    <w:rsid w:val="008255F5"/>
    <w:rsid w:val="0082561B"/>
    <w:rsid w:val="0083014E"/>
    <w:rsid w:val="0083214A"/>
    <w:rsid w:val="00834220"/>
    <w:rsid w:val="00845723"/>
    <w:rsid w:val="00851EF9"/>
    <w:rsid w:val="008577FD"/>
    <w:rsid w:val="00860B03"/>
    <w:rsid w:val="0086497A"/>
    <w:rsid w:val="008660E0"/>
    <w:rsid w:val="00866902"/>
    <w:rsid w:val="008713A1"/>
    <w:rsid w:val="008754AB"/>
    <w:rsid w:val="0088060C"/>
    <w:rsid w:val="00893576"/>
    <w:rsid w:val="00893E73"/>
    <w:rsid w:val="008A7883"/>
    <w:rsid w:val="008B02DC"/>
    <w:rsid w:val="008B57CE"/>
    <w:rsid w:val="008C26DE"/>
    <w:rsid w:val="008C2D79"/>
    <w:rsid w:val="008D2225"/>
    <w:rsid w:val="008D4752"/>
    <w:rsid w:val="008D75C5"/>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43E"/>
    <w:rsid w:val="00926F38"/>
    <w:rsid w:val="0093401C"/>
    <w:rsid w:val="00934144"/>
    <w:rsid w:val="00934301"/>
    <w:rsid w:val="00936CD1"/>
    <w:rsid w:val="00941747"/>
    <w:rsid w:val="00941EFB"/>
    <w:rsid w:val="00943304"/>
    <w:rsid w:val="00947AFB"/>
    <w:rsid w:val="00951D7D"/>
    <w:rsid w:val="009630C7"/>
    <w:rsid w:val="00972B55"/>
    <w:rsid w:val="00973109"/>
    <w:rsid w:val="009743B7"/>
    <w:rsid w:val="0098228B"/>
    <w:rsid w:val="009828DA"/>
    <w:rsid w:val="00985BAB"/>
    <w:rsid w:val="0098725D"/>
    <w:rsid w:val="009A6DEA"/>
    <w:rsid w:val="009B1B5F"/>
    <w:rsid w:val="009B6673"/>
    <w:rsid w:val="009C191B"/>
    <w:rsid w:val="009C2BD6"/>
    <w:rsid w:val="009E1F32"/>
    <w:rsid w:val="009E2741"/>
    <w:rsid w:val="009E776C"/>
    <w:rsid w:val="00A01F8B"/>
    <w:rsid w:val="00A02D3B"/>
    <w:rsid w:val="00A13042"/>
    <w:rsid w:val="00A1726E"/>
    <w:rsid w:val="00A204CF"/>
    <w:rsid w:val="00A2321D"/>
    <w:rsid w:val="00A23D49"/>
    <w:rsid w:val="00A26026"/>
    <w:rsid w:val="00A27004"/>
    <w:rsid w:val="00A30C29"/>
    <w:rsid w:val="00A34DD6"/>
    <w:rsid w:val="00A36819"/>
    <w:rsid w:val="00A36989"/>
    <w:rsid w:val="00A43628"/>
    <w:rsid w:val="00A54192"/>
    <w:rsid w:val="00A6035E"/>
    <w:rsid w:val="00A6144C"/>
    <w:rsid w:val="00A63CC6"/>
    <w:rsid w:val="00A66617"/>
    <w:rsid w:val="00A671F8"/>
    <w:rsid w:val="00A673A4"/>
    <w:rsid w:val="00A724AE"/>
    <w:rsid w:val="00A73329"/>
    <w:rsid w:val="00A806BD"/>
    <w:rsid w:val="00A82359"/>
    <w:rsid w:val="00A865D2"/>
    <w:rsid w:val="00A94C20"/>
    <w:rsid w:val="00AA1551"/>
    <w:rsid w:val="00AA227F"/>
    <w:rsid w:val="00AA3BC7"/>
    <w:rsid w:val="00AA754A"/>
    <w:rsid w:val="00AB099E"/>
    <w:rsid w:val="00AB0C9D"/>
    <w:rsid w:val="00AB4328"/>
    <w:rsid w:val="00AC7CC4"/>
    <w:rsid w:val="00AE0A2E"/>
    <w:rsid w:val="00AE354C"/>
    <w:rsid w:val="00AE3905"/>
    <w:rsid w:val="00AF076D"/>
    <w:rsid w:val="00AF2C8B"/>
    <w:rsid w:val="00AF4B07"/>
    <w:rsid w:val="00AF6186"/>
    <w:rsid w:val="00AF6511"/>
    <w:rsid w:val="00AF7969"/>
    <w:rsid w:val="00AF7A3A"/>
    <w:rsid w:val="00B014D9"/>
    <w:rsid w:val="00B160DB"/>
    <w:rsid w:val="00B20836"/>
    <w:rsid w:val="00B235BB"/>
    <w:rsid w:val="00B27A44"/>
    <w:rsid w:val="00B30BBF"/>
    <w:rsid w:val="00B33C03"/>
    <w:rsid w:val="00B40E37"/>
    <w:rsid w:val="00B44E56"/>
    <w:rsid w:val="00B46543"/>
    <w:rsid w:val="00B47D33"/>
    <w:rsid w:val="00B50C7A"/>
    <w:rsid w:val="00B52BE0"/>
    <w:rsid w:val="00B54133"/>
    <w:rsid w:val="00B701ED"/>
    <w:rsid w:val="00B8086C"/>
    <w:rsid w:val="00B861B4"/>
    <w:rsid w:val="00B865E3"/>
    <w:rsid w:val="00B86DFE"/>
    <w:rsid w:val="00B90990"/>
    <w:rsid w:val="00B922FF"/>
    <w:rsid w:val="00B9281E"/>
    <w:rsid w:val="00B93925"/>
    <w:rsid w:val="00B95187"/>
    <w:rsid w:val="00BA2D55"/>
    <w:rsid w:val="00BA595E"/>
    <w:rsid w:val="00BA71B1"/>
    <w:rsid w:val="00BB0637"/>
    <w:rsid w:val="00BB345F"/>
    <w:rsid w:val="00BB68EA"/>
    <w:rsid w:val="00BC1C27"/>
    <w:rsid w:val="00BC6BBF"/>
    <w:rsid w:val="00BD1572"/>
    <w:rsid w:val="00BE14E3"/>
    <w:rsid w:val="00BE29DB"/>
    <w:rsid w:val="00BE3774"/>
    <w:rsid w:val="00BE41E5"/>
    <w:rsid w:val="00BE7337"/>
    <w:rsid w:val="00BF4109"/>
    <w:rsid w:val="00BF4CC3"/>
    <w:rsid w:val="00C054C7"/>
    <w:rsid w:val="00C057B5"/>
    <w:rsid w:val="00C22687"/>
    <w:rsid w:val="00C3194F"/>
    <w:rsid w:val="00C32E4D"/>
    <w:rsid w:val="00C333A0"/>
    <w:rsid w:val="00C36A81"/>
    <w:rsid w:val="00C41974"/>
    <w:rsid w:val="00C438F3"/>
    <w:rsid w:val="00C53F4A"/>
    <w:rsid w:val="00C54125"/>
    <w:rsid w:val="00C55B54"/>
    <w:rsid w:val="00C6098E"/>
    <w:rsid w:val="00C6152C"/>
    <w:rsid w:val="00C72A42"/>
    <w:rsid w:val="00C74810"/>
    <w:rsid w:val="00C90D68"/>
    <w:rsid w:val="00C939FE"/>
    <w:rsid w:val="00CA36A9"/>
    <w:rsid w:val="00CA4BDA"/>
    <w:rsid w:val="00CB1F66"/>
    <w:rsid w:val="00CB28D4"/>
    <w:rsid w:val="00CB2951"/>
    <w:rsid w:val="00CB332F"/>
    <w:rsid w:val="00CD282B"/>
    <w:rsid w:val="00CD4C35"/>
    <w:rsid w:val="00CD7369"/>
    <w:rsid w:val="00CE0B0E"/>
    <w:rsid w:val="00CE3831"/>
    <w:rsid w:val="00CE684A"/>
    <w:rsid w:val="00D00ABB"/>
    <w:rsid w:val="00D0189E"/>
    <w:rsid w:val="00D02EEC"/>
    <w:rsid w:val="00D03551"/>
    <w:rsid w:val="00D06A63"/>
    <w:rsid w:val="00D07E0E"/>
    <w:rsid w:val="00D11478"/>
    <w:rsid w:val="00D15ED0"/>
    <w:rsid w:val="00D21B3E"/>
    <w:rsid w:val="00D21FED"/>
    <w:rsid w:val="00D24251"/>
    <w:rsid w:val="00D343E2"/>
    <w:rsid w:val="00D361A2"/>
    <w:rsid w:val="00D44C2E"/>
    <w:rsid w:val="00D45414"/>
    <w:rsid w:val="00D46837"/>
    <w:rsid w:val="00D566BD"/>
    <w:rsid w:val="00D57A4D"/>
    <w:rsid w:val="00D60AA7"/>
    <w:rsid w:val="00D6435F"/>
    <w:rsid w:val="00D66777"/>
    <w:rsid w:val="00D75E28"/>
    <w:rsid w:val="00D772C2"/>
    <w:rsid w:val="00D8008E"/>
    <w:rsid w:val="00D82C45"/>
    <w:rsid w:val="00D908A8"/>
    <w:rsid w:val="00D977B6"/>
    <w:rsid w:val="00DA4A31"/>
    <w:rsid w:val="00DA7B04"/>
    <w:rsid w:val="00DB36C2"/>
    <w:rsid w:val="00DC169B"/>
    <w:rsid w:val="00DC2AB9"/>
    <w:rsid w:val="00DC48B4"/>
    <w:rsid w:val="00DC63F0"/>
    <w:rsid w:val="00DD6EE5"/>
    <w:rsid w:val="00DE386C"/>
    <w:rsid w:val="00DE4D35"/>
    <w:rsid w:val="00DE61E0"/>
    <w:rsid w:val="00DF098B"/>
    <w:rsid w:val="00DF11C4"/>
    <w:rsid w:val="00DF210C"/>
    <w:rsid w:val="00DF4B6A"/>
    <w:rsid w:val="00E02C09"/>
    <w:rsid w:val="00E04D59"/>
    <w:rsid w:val="00E07DA1"/>
    <w:rsid w:val="00E123CB"/>
    <w:rsid w:val="00E13DFB"/>
    <w:rsid w:val="00E20E13"/>
    <w:rsid w:val="00E21DBC"/>
    <w:rsid w:val="00E275D7"/>
    <w:rsid w:val="00E27DBE"/>
    <w:rsid w:val="00E32AB1"/>
    <w:rsid w:val="00E36C71"/>
    <w:rsid w:val="00E40404"/>
    <w:rsid w:val="00E459C6"/>
    <w:rsid w:val="00E47589"/>
    <w:rsid w:val="00E64915"/>
    <w:rsid w:val="00E661D4"/>
    <w:rsid w:val="00E70091"/>
    <w:rsid w:val="00E720F5"/>
    <w:rsid w:val="00E75400"/>
    <w:rsid w:val="00E760EB"/>
    <w:rsid w:val="00E765F8"/>
    <w:rsid w:val="00E76D47"/>
    <w:rsid w:val="00E772C4"/>
    <w:rsid w:val="00E849F7"/>
    <w:rsid w:val="00E90302"/>
    <w:rsid w:val="00E97396"/>
    <w:rsid w:val="00EA185E"/>
    <w:rsid w:val="00EA581C"/>
    <w:rsid w:val="00EA592A"/>
    <w:rsid w:val="00EB14E4"/>
    <w:rsid w:val="00EB32A5"/>
    <w:rsid w:val="00EB34ED"/>
    <w:rsid w:val="00EB447C"/>
    <w:rsid w:val="00EB7BE0"/>
    <w:rsid w:val="00EC315E"/>
    <w:rsid w:val="00ED077C"/>
    <w:rsid w:val="00ED1190"/>
    <w:rsid w:val="00ED6544"/>
    <w:rsid w:val="00EE0277"/>
    <w:rsid w:val="00EE3E00"/>
    <w:rsid w:val="00EE5DD2"/>
    <w:rsid w:val="00F0049F"/>
    <w:rsid w:val="00F00A79"/>
    <w:rsid w:val="00F00E86"/>
    <w:rsid w:val="00F04A5D"/>
    <w:rsid w:val="00F07C1E"/>
    <w:rsid w:val="00F105DB"/>
    <w:rsid w:val="00F132BC"/>
    <w:rsid w:val="00F13ADD"/>
    <w:rsid w:val="00F13D80"/>
    <w:rsid w:val="00F16AAA"/>
    <w:rsid w:val="00F21161"/>
    <w:rsid w:val="00F218EF"/>
    <w:rsid w:val="00F21BC7"/>
    <w:rsid w:val="00F266A2"/>
    <w:rsid w:val="00F32269"/>
    <w:rsid w:val="00F35CA5"/>
    <w:rsid w:val="00F45819"/>
    <w:rsid w:val="00F511F3"/>
    <w:rsid w:val="00F56A6F"/>
    <w:rsid w:val="00F5709C"/>
    <w:rsid w:val="00F64EF1"/>
    <w:rsid w:val="00F74B33"/>
    <w:rsid w:val="00F8765F"/>
    <w:rsid w:val="00F90767"/>
    <w:rsid w:val="00FA685B"/>
    <w:rsid w:val="00FB0C01"/>
    <w:rsid w:val="00FB0F60"/>
    <w:rsid w:val="00FB4952"/>
    <w:rsid w:val="00FC11A0"/>
    <w:rsid w:val="00FC18F2"/>
    <w:rsid w:val="00FC39E5"/>
    <w:rsid w:val="00FC3A78"/>
    <w:rsid w:val="00FD1005"/>
    <w:rsid w:val="00FD6C75"/>
    <w:rsid w:val="00FE71B3"/>
    <w:rsid w:val="00FF0BF1"/>
    <w:rsid w:val="00FF42C5"/>
    <w:rsid w:val="00FF56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1D59"/>
    <w:pPr>
      <w:jc w:val="both"/>
    </w:pPr>
    <w:rPr>
      <w:rFonts w:eastAsiaTheme="minorEastAsia"/>
      <w:sz w:val="24"/>
      <w:lang w:val="en-GB"/>
    </w:rPr>
  </w:style>
  <w:style w:type="paragraph" w:styleId="Nagwek1">
    <w:name w:val="heading 1"/>
    <w:basedOn w:val="Normalny"/>
    <w:next w:val="Normalny"/>
    <w:link w:val="Nagwek1Znak"/>
    <w:uiPriority w:val="99"/>
    <w:semiHidden/>
    <w:rsid w:val="00531D5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1D5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1D5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1D5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1D5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31D5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1D5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31D5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31D5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1D59"/>
    <w:rPr>
      <w:rFonts w:ascii="Tahoma" w:hAnsi="Tahoma" w:cs="Tahoma"/>
      <w:sz w:val="16"/>
      <w:szCs w:val="16"/>
    </w:rPr>
  </w:style>
  <w:style w:type="character" w:customStyle="1" w:styleId="TekstdymkaZnak">
    <w:name w:val="Tekst dymka Znak"/>
    <w:basedOn w:val="Domylnaczcionkaakapitu"/>
    <w:link w:val="Tekstdymka"/>
    <w:uiPriority w:val="99"/>
    <w:semiHidden/>
    <w:rsid w:val="00531D59"/>
    <w:rPr>
      <w:rFonts w:ascii="Tahoma" w:eastAsiaTheme="minorEastAsia" w:hAnsi="Tahoma" w:cs="Tahoma"/>
      <w:sz w:val="16"/>
      <w:szCs w:val="16"/>
      <w:lang w:val="en-GB"/>
    </w:rPr>
  </w:style>
  <w:style w:type="character" w:styleId="Tytuksiki">
    <w:name w:val="Book Title"/>
    <w:uiPriority w:val="99"/>
    <w:semiHidden/>
    <w:qFormat/>
    <w:rsid w:val="00531D59"/>
    <w:rPr>
      <w:i/>
      <w:iCs/>
      <w:smallCaps/>
      <w:spacing w:val="5"/>
    </w:rPr>
  </w:style>
  <w:style w:type="paragraph" w:customStyle="1" w:styleId="ECHRHeader">
    <w:name w:val="ECHR_Header"/>
    <w:aliases w:val="Ju_Header"/>
    <w:basedOn w:val="Nagwek"/>
    <w:uiPriority w:val="4"/>
    <w:qFormat/>
    <w:rsid w:val="00531D5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1D59"/>
    <w:pPr>
      <w:jc w:val="left"/>
    </w:pPr>
    <w:rPr>
      <w:sz w:val="8"/>
    </w:rPr>
  </w:style>
  <w:style w:type="character" w:styleId="Pogrubienie">
    <w:name w:val="Strong"/>
    <w:uiPriority w:val="99"/>
    <w:semiHidden/>
    <w:qFormat/>
    <w:rsid w:val="00531D59"/>
    <w:rPr>
      <w:b/>
      <w:bCs/>
    </w:rPr>
  </w:style>
  <w:style w:type="paragraph" w:styleId="Bezodstpw">
    <w:name w:val="No Spacing"/>
    <w:basedOn w:val="Normalny"/>
    <w:link w:val="BezodstpwZnak"/>
    <w:semiHidden/>
    <w:qFormat/>
    <w:rsid w:val="00531D59"/>
    <w:rPr>
      <w:sz w:val="22"/>
      <w:lang w:val="en-US"/>
    </w:rPr>
  </w:style>
  <w:style w:type="character" w:customStyle="1" w:styleId="BezodstpwZnak">
    <w:name w:val="Bez odstępów Znak"/>
    <w:basedOn w:val="Domylnaczcionkaakapitu"/>
    <w:link w:val="Bezodstpw"/>
    <w:semiHidden/>
    <w:rsid w:val="00531D59"/>
    <w:rPr>
      <w:rFonts w:eastAsiaTheme="minorEastAsia"/>
    </w:rPr>
  </w:style>
  <w:style w:type="paragraph" w:customStyle="1" w:styleId="ECHRFooterLine">
    <w:name w:val="ECHR_Footer_Line"/>
    <w:aliases w:val="Footer_Line"/>
    <w:basedOn w:val="Normalny"/>
    <w:next w:val="ECHRFooter"/>
    <w:uiPriority w:val="57"/>
    <w:semiHidden/>
    <w:rsid w:val="00531D5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1D59"/>
  </w:style>
  <w:style w:type="paragraph" w:customStyle="1" w:styleId="DecList">
    <w:name w:val="Dec_List"/>
    <w:basedOn w:val="Normalny"/>
    <w:uiPriority w:val="9"/>
    <w:semiHidden/>
    <w:qFormat/>
    <w:rsid w:val="00531D59"/>
    <w:pPr>
      <w:spacing w:before="240"/>
      <w:ind w:left="284"/>
    </w:pPr>
  </w:style>
  <w:style w:type="paragraph" w:customStyle="1" w:styleId="DummyStyle">
    <w:name w:val="Dummy_Style"/>
    <w:basedOn w:val="Normalny"/>
    <w:semiHidden/>
    <w:qFormat/>
    <w:rsid w:val="00531D59"/>
    <w:rPr>
      <w:color w:val="00B050"/>
    </w:rPr>
  </w:style>
  <w:style w:type="paragraph" w:customStyle="1" w:styleId="ECHRTitleCentre3">
    <w:name w:val="ECHR_Title_Centre_3"/>
    <w:aliases w:val="Ju_H_Article"/>
    <w:basedOn w:val="Normalny"/>
    <w:next w:val="ECHRParaQuote"/>
    <w:uiPriority w:val="27"/>
    <w:qFormat/>
    <w:rsid w:val="00531D5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1D5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1D59"/>
    <w:pPr>
      <w:numPr>
        <w:numId w:val="35"/>
      </w:numPr>
      <w:jc w:val="left"/>
    </w:pPr>
    <w:rPr>
      <w:b/>
    </w:rPr>
  </w:style>
  <w:style w:type="paragraph" w:customStyle="1" w:styleId="JuCourt">
    <w:name w:val="Ju_Court"/>
    <w:basedOn w:val="Normalny"/>
    <w:next w:val="Normalny"/>
    <w:uiPriority w:val="16"/>
    <w:qFormat/>
    <w:rsid w:val="00531D59"/>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31D59"/>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31D59"/>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31D59"/>
    <w:pPr>
      <w:ind w:left="794"/>
    </w:pPr>
  </w:style>
  <w:style w:type="paragraph" w:styleId="Tytu">
    <w:name w:val="Title"/>
    <w:basedOn w:val="Normalny"/>
    <w:next w:val="Normalny"/>
    <w:link w:val="TytuZnak"/>
    <w:uiPriority w:val="99"/>
    <w:semiHidden/>
    <w:qFormat/>
    <w:rsid w:val="00531D5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31D59"/>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531D59"/>
    <w:rPr>
      <w:caps w:val="0"/>
      <w:smallCaps/>
    </w:rPr>
  </w:style>
  <w:style w:type="paragraph" w:customStyle="1" w:styleId="ECHRHeading3">
    <w:name w:val="ECHR_Heading_3"/>
    <w:aliases w:val="Ju_H_1."/>
    <w:basedOn w:val="Nagwek3"/>
    <w:next w:val="ECHRPara"/>
    <w:uiPriority w:val="21"/>
    <w:qFormat/>
    <w:rsid w:val="00531D5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1D5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1D5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31D5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31D59"/>
    <w:pPr>
      <w:keepNext/>
      <w:keepLines/>
      <w:spacing w:before="240" w:after="120"/>
      <w:ind w:left="1236"/>
    </w:pPr>
    <w:rPr>
      <w:sz w:val="20"/>
      <w:lang w:val="en-GB"/>
    </w:rPr>
  </w:style>
  <w:style w:type="paragraph" w:customStyle="1" w:styleId="JuParaSub">
    <w:name w:val="Ju_Para_Sub"/>
    <w:basedOn w:val="ECHRPara"/>
    <w:uiPriority w:val="13"/>
    <w:qFormat/>
    <w:rsid w:val="00531D59"/>
    <w:pPr>
      <w:ind w:left="284"/>
    </w:pPr>
  </w:style>
  <w:style w:type="paragraph" w:customStyle="1" w:styleId="JuQuotSub">
    <w:name w:val="Ju_Quot_Sub"/>
    <w:basedOn w:val="ECHRParaQuote"/>
    <w:uiPriority w:val="15"/>
    <w:qFormat/>
    <w:rsid w:val="00531D59"/>
    <w:pPr>
      <w:ind w:left="567"/>
    </w:pPr>
  </w:style>
  <w:style w:type="paragraph" w:styleId="Nagwek">
    <w:name w:val="header"/>
    <w:basedOn w:val="Normalny"/>
    <w:link w:val="NagwekZnak"/>
    <w:uiPriority w:val="57"/>
    <w:semiHidden/>
    <w:rsid w:val="00531D5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1D59"/>
    <w:rPr>
      <w:sz w:val="24"/>
      <w:lang w:val="en-GB"/>
    </w:rPr>
  </w:style>
  <w:style w:type="character" w:customStyle="1" w:styleId="Nagwek1Znak">
    <w:name w:val="Nagłówek 1 Znak"/>
    <w:basedOn w:val="Domylnaczcionkaakapitu"/>
    <w:link w:val="Nagwek1"/>
    <w:uiPriority w:val="99"/>
    <w:semiHidden/>
    <w:rsid w:val="00531D5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531D5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1D5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1D59"/>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531D59"/>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31D59"/>
    <w:pPr>
      <w:ind w:left="635" w:hanging="357"/>
      <w:outlineLvl w:val="2"/>
    </w:pPr>
  </w:style>
  <w:style w:type="character" w:customStyle="1" w:styleId="Nagwek3Znak">
    <w:name w:val="Nagłówek 3 Znak"/>
    <w:basedOn w:val="Domylnaczcionkaakapitu"/>
    <w:link w:val="Nagwek3"/>
    <w:uiPriority w:val="99"/>
    <w:semiHidden/>
    <w:rsid w:val="00531D59"/>
    <w:rPr>
      <w:rFonts w:asciiTheme="majorHAnsi" w:eastAsiaTheme="majorEastAsia" w:hAnsiTheme="majorHAnsi" w:cstheme="majorBidi"/>
      <w:b/>
      <w:bCs/>
      <w:color w:val="5F5F5F"/>
      <w:sz w:val="24"/>
      <w:lang w:val="en-GB"/>
    </w:rPr>
  </w:style>
  <w:style w:type="paragraph" w:customStyle="1" w:styleId="ECHRDecisionBody">
    <w:name w:val="ECHR_Decision_Body"/>
    <w:aliases w:val="Ju_Judges"/>
    <w:basedOn w:val="Normalny"/>
    <w:uiPriority w:val="11"/>
    <w:qFormat/>
    <w:rsid w:val="00531D59"/>
    <w:pPr>
      <w:tabs>
        <w:tab w:val="left" w:pos="567"/>
        <w:tab w:val="left" w:pos="1134"/>
      </w:tabs>
      <w:jc w:val="left"/>
    </w:pPr>
  </w:style>
  <w:style w:type="paragraph" w:customStyle="1" w:styleId="ECHRPara">
    <w:name w:val="ECHR_Para"/>
    <w:aliases w:val="Ju_Para"/>
    <w:basedOn w:val="Normalny"/>
    <w:link w:val="ECHRParaChar"/>
    <w:uiPriority w:val="12"/>
    <w:qFormat/>
    <w:rsid w:val="00531D59"/>
    <w:pPr>
      <w:ind w:firstLine="284"/>
    </w:pPr>
  </w:style>
  <w:style w:type="character" w:customStyle="1" w:styleId="Nagwek4Znak">
    <w:name w:val="Nagłówek 4 Znak"/>
    <w:basedOn w:val="Domylnaczcionkaakapitu"/>
    <w:link w:val="Nagwek4"/>
    <w:uiPriority w:val="99"/>
    <w:semiHidden/>
    <w:rsid w:val="00531D59"/>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531D59"/>
    <w:pPr>
      <w:ind w:left="340" w:hanging="340"/>
    </w:pPr>
  </w:style>
  <w:style w:type="character" w:customStyle="1" w:styleId="Nagwek5Znak">
    <w:name w:val="Nagłówek 5 Znak"/>
    <w:basedOn w:val="Domylnaczcionkaakapitu"/>
    <w:link w:val="Nagwek5"/>
    <w:uiPriority w:val="99"/>
    <w:semiHidden/>
    <w:rsid w:val="00531D59"/>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531D59"/>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531D5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1D59"/>
    <w:pPr>
      <w:keepNext/>
      <w:keepLines/>
      <w:spacing w:before="720" w:after="240"/>
      <w:outlineLvl w:val="0"/>
    </w:pPr>
    <w:rPr>
      <w:rFonts w:asciiTheme="majorHAnsi" w:hAnsiTheme="majorHAnsi"/>
      <w:sz w:val="28"/>
    </w:rPr>
  </w:style>
  <w:style w:type="character" w:styleId="Uwydatnienie">
    <w:name w:val="Emphasis"/>
    <w:uiPriority w:val="99"/>
    <w:semiHidden/>
    <w:qFormat/>
    <w:rsid w:val="00531D59"/>
    <w:rPr>
      <w:b/>
      <w:bCs/>
      <w:i/>
      <w:iCs/>
      <w:spacing w:val="10"/>
      <w:bdr w:val="none" w:sz="0" w:space="0" w:color="auto"/>
      <w:shd w:val="clear" w:color="auto" w:fill="auto"/>
    </w:rPr>
  </w:style>
  <w:style w:type="paragraph" w:styleId="Stopka">
    <w:name w:val="footer"/>
    <w:basedOn w:val="Normalny"/>
    <w:link w:val="StopkaZnak"/>
    <w:uiPriority w:val="57"/>
    <w:semiHidden/>
    <w:rsid w:val="00531D5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1D59"/>
    <w:rPr>
      <w:sz w:val="24"/>
      <w:lang w:val="en-GB"/>
    </w:rPr>
  </w:style>
  <w:style w:type="character" w:styleId="Odwoanieprzypisudolnego">
    <w:name w:val="footnote reference"/>
    <w:basedOn w:val="Domylnaczcionkaakapitu"/>
    <w:uiPriority w:val="99"/>
    <w:semiHidden/>
    <w:rsid w:val="00531D59"/>
    <w:rPr>
      <w:vertAlign w:val="superscript"/>
    </w:rPr>
  </w:style>
  <w:style w:type="paragraph" w:styleId="Tekstprzypisudolnego">
    <w:name w:val="footnote text"/>
    <w:basedOn w:val="Normalny"/>
    <w:link w:val="TekstprzypisudolnegoZnak"/>
    <w:uiPriority w:val="99"/>
    <w:semiHidden/>
    <w:rsid w:val="00531D59"/>
    <w:rPr>
      <w:sz w:val="20"/>
      <w:szCs w:val="20"/>
    </w:rPr>
  </w:style>
  <w:style w:type="character" w:customStyle="1" w:styleId="TekstprzypisudolnegoZnak">
    <w:name w:val="Tekst przypisu dolnego Znak"/>
    <w:basedOn w:val="Domylnaczcionkaakapitu"/>
    <w:link w:val="Tekstprzypisudolnego"/>
    <w:uiPriority w:val="99"/>
    <w:semiHidden/>
    <w:rsid w:val="00531D59"/>
    <w:rPr>
      <w:rFonts w:eastAsiaTheme="minorEastAsia"/>
      <w:sz w:val="20"/>
      <w:szCs w:val="20"/>
      <w:lang w:val="en-GB"/>
    </w:rPr>
  </w:style>
  <w:style w:type="character" w:customStyle="1" w:styleId="Nagwek6Znak">
    <w:name w:val="Nagłówek 6 Znak"/>
    <w:basedOn w:val="Domylnaczcionkaakapitu"/>
    <w:link w:val="Nagwek6"/>
    <w:uiPriority w:val="99"/>
    <w:semiHidden/>
    <w:rsid w:val="00531D5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31D5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1D5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1D5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1D59"/>
    <w:rPr>
      <w:color w:val="0072BC" w:themeColor="hyperlink"/>
      <w:u w:val="single"/>
    </w:rPr>
  </w:style>
  <w:style w:type="character" w:styleId="Wyrnienieintensywne">
    <w:name w:val="Intense Emphasis"/>
    <w:uiPriority w:val="99"/>
    <w:semiHidden/>
    <w:qFormat/>
    <w:rsid w:val="00531D59"/>
    <w:rPr>
      <w:b/>
      <w:bCs/>
    </w:rPr>
  </w:style>
  <w:style w:type="paragraph" w:styleId="Cytatintensywny">
    <w:name w:val="Intense Quote"/>
    <w:basedOn w:val="Normalny"/>
    <w:next w:val="Normalny"/>
    <w:link w:val="CytatintensywnyZnak"/>
    <w:uiPriority w:val="99"/>
    <w:semiHidden/>
    <w:qFormat/>
    <w:rsid w:val="00531D5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31D59"/>
    <w:rPr>
      <w:rFonts w:eastAsiaTheme="minorEastAsia"/>
      <w:b/>
      <w:bCs/>
      <w:i/>
      <w:iCs/>
      <w:lang w:bidi="en-US"/>
    </w:rPr>
  </w:style>
  <w:style w:type="character" w:styleId="Odwoanieintensywne">
    <w:name w:val="Intense Reference"/>
    <w:uiPriority w:val="99"/>
    <w:semiHidden/>
    <w:qFormat/>
    <w:rsid w:val="00531D59"/>
    <w:rPr>
      <w:smallCaps/>
      <w:spacing w:val="5"/>
      <w:u w:val="single"/>
    </w:rPr>
  </w:style>
  <w:style w:type="paragraph" w:styleId="Akapitzlist">
    <w:name w:val="List Paragraph"/>
    <w:basedOn w:val="Normalny"/>
    <w:uiPriority w:val="99"/>
    <w:semiHidden/>
    <w:qFormat/>
    <w:rsid w:val="00531D5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1D5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31D59"/>
    <w:rPr>
      <w:rFonts w:eastAsiaTheme="minorEastAsia"/>
      <w:i/>
      <w:iCs/>
      <w:lang w:bidi="en-US"/>
    </w:rPr>
  </w:style>
  <w:style w:type="character" w:styleId="Odwoaniedelikatne">
    <w:name w:val="Subtle Reference"/>
    <w:uiPriority w:val="99"/>
    <w:semiHidden/>
    <w:qFormat/>
    <w:rsid w:val="00531D59"/>
    <w:rPr>
      <w:smallCaps/>
    </w:rPr>
  </w:style>
  <w:style w:type="table" w:styleId="Tabela-Siatka">
    <w:name w:val="Table Grid"/>
    <w:basedOn w:val="Standardowy"/>
    <w:uiPriority w:val="59"/>
    <w:semiHidden/>
    <w:rsid w:val="00531D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1D5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1D5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1D5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1D5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1D5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1D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1D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31D5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1D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531D59"/>
    <w:pPr>
      <w:keepNext/>
      <w:keepLines/>
      <w:spacing w:before="240"/>
      <w:ind w:firstLine="284"/>
    </w:pPr>
  </w:style>
  <w:style w:type="paragraph" w:customStyle="1" w:styleId="JuCase">
    <w:name w:val="Ju_Case"/>
    <w:basedOn w:val="Normalny"/>
    <w:next w:val="ECHRPara"/>
    <w:uiPriority w:val="10"/>
    <w:rsid w:val="00531D59"/>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531D59"/>
    <w:pPr>
      <w:ind w:left="346" w:firstLine="0"/>
    </w:pPr>
  </w:style>
  <w:style w:type="paragraph" w:customStyle="1" w:styleId="OpiHa">
    <w:name w:val="Opi_H_a"/>
    <w:basedOn w:val="ECHRHeading3"/>
    <w:uiPriority w:val="43"/>
    <w:qFormat/>
    <w:rsid w:val="00531D59"/>
    <w:pPr>
      <w:ind w:left="833" w:hanging="357"/>
      <w:outlineLvl w:val="3"/>
    </w:pPr>
    <w:rPr>
      <w:b/>
      <w:i w:val="0"/>
      <w:sz w:val="20"/>
    </w:r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531D59"/>
    <w:rPr>
      <w:vertAlign w:val="superscript"/>
    </w:rPr>
  </w:style>
  <w:style w:type="paragraph" w:styleId="Tekstprzypisukocowego">
    <w:name w:val="endnote text"/>
    <w:basedOn w:val="Normalny"/>
    <w:link w:val="TekstprzypisukocowegoZnak"/>
    <w:uiPriority w:val="99"/>
    <w:semiHidden/>
    <w:rsid w:val="00531D59"/>
    <w:rPr>
      <w:sz w:val="20"/>
      <w:szCs w:val="20"/>
    </w:rPr>
  </w:style>
  <w:style w:type="character" w:customStyle="1" w:styleId="TekstprzypisukocowegoZnak">
    <w:name w:val="Tekst przypisu końcowego Znak"/>
    <w:basedOn w:val="Domylnaczcionkaakapitu"/>
    <w:link w:val="Tekstprzypisukocowego"/>
    <w:uiPriority w:val="99"/>
    <w:semiHidden/>
    <w:rsid w:val="00531D59"/>
    <w:rPr>
      <w:rFonts w:eastAsiaTheme="minorEastAsia"/>
      <w:sz w:val="20"/>
      <w:szCs w:val="20"/>
      <w:lang w:val="en-GB"/>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531D5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31D5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31D5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en-GB" w:eastAsia="fr-FR"/>
    </w:rPr>
  </w:style>
  <w:style w:type="table" w:styleId="redniasiatka1">
    <w:name w:val="Medium Grid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531D5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1D5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1D5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0">
    <w:name w:val="Opi_H_A"/>
    <w:basedOn w:val="ECHRHeading1"/>
    <w:next w:val="OpiPara"/>
    <w:uiPriority w:val="41"/>
    <w:qFormat/>
    <w:rsid w:val="00531D59"/>
    <w:pPr>
      <w:tabs>
        <w:tab w:val="clear" w:pos="357"/>
      </w:tabs>
      <w:outlineLvl w:val="1"/>
    </w:pPr>
    <w:rPr>
      <w:b/>
    </w:rPr>
  </w:style>
  <w:style w:type="paragraph" w:customStyle="1" w:styleId="OpiHi">
    <w:name w:val="Opi_H_i"/>
    <w:basedOn w:val="ECHRHeading4"/>
    <w:uiPriority w:val="44"/>
    <w:qFormat/>
    <w:rsid w:val="00531D59"/>
    <w:pPr>
      <w:ind w:left="1037" w:hanging="357"/>
      <w:outlineLvl w:val="4"/>
    </w:pPr>
    <w:rPr>
      <w:b w:val="0"/>
      <w:i/>
    </w:rPr>
  </w:style>
  <w:style w:type="paragraph" w:customStyle="1" w:styleId="OpiPara">
    <w:name w:val="Opi_Para"/>
    <w:basedOn w:val="ECHRPara"/>
    <w:uiPriority w:val="46"/>
    <w:qFormat/>
    <w:rsid w:val="00531D59"/>
  </w:style>
  <w:style w:type="paragraph" w:customStyle="1" w:styleId="OpiParaSub">
    <w:name w:val="Opi_Para_Sub"/>
    <w:basedOn w:val="JuParaSub"/>
    <w:uiPriority w:val="47"/>
    <w:qFormat/>
    <w:rsid w:val="00531D59"/>
  </w:style>
  <w:style w:type="paragraph" w:customStyle="1" w:styleId="OpiQuot">
    <w:name w:val="Opi_Quot"/>
    <w:basedOn w:val="ECHRParaQuote"/>
    <w:uiPriority w:val="48"/>
    <w:qFormat/>
    <w:rsid w:val="00531D59"/>
  </w:style>
  <w:style w:type="paragraph" w:customStyle="1" w:styleId="OpiQuotSub">
    <w:name w:val="Opi_Quot_Sub"/>
    <w:basedOn w:val="JuQuotSub"/>
    <w:uiPriority w:val="49"/>
    <w:qFormat/>
    <w:rsid w:val="00531D59"/>
  </w:style>
  <w:style w:type="paragraph" w:customStyle="1" w:styleId="OpiTranslation">
    <w:name w:val="Opi_Translation"/>
    <w:basedOn w:val="Normalny"/>
    <w:next w:val="OpiPara"/>
    <w:uiPriority w:val="40"/>
    <w:qFormat/>
    <w:rsid w:val="00531D59"/>
    <w:pPr>
      <w:jc w:val="center"/>
      <w:outlineLvl w:val="0"/>
    </w:pPr>
    <w:rPr>
      <w:i/>
    </w:rPr>
  </w:style>
  <w:style w:type="paragraph" w:customStyle="1" w:styleId="JuHeaderLandscape">
    <w:name w:val="Ju_Header_Landscape"/>
    <w:basedOn w:val="ECHRHeader"/>
    <w:uiPriority w:val="4"/>
    <w:qFormat/>
    <w:rsid w:val="00531D5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D28DF"/>
    <w:rPr>
      <w:rFonts w:eastAsiaTheme="minorEastAsia"/>
      <w:sz w:val="24"/>
      <w:lang w:val="en-GB"/>
    </w:rPr>
  </w:style>
  <w:style w:type="character" w:customStyle="1" w:styleId="JuHIRomanChar">
    <w:name w:val="Ju_H_I_Roman Char"/>
    <w:link w:val="ECHRHeading1"/>
    <w:uiPriority w:val="19"/>
    <w:rsid w:val="004D28DF"/>
    <w:rPr>
      <w:rFonts w:asciiTheme="majorHAnsi" w:eastAsiaTheme="majorEastAsia" w:hAnsiTheme="majorHAnsi" w:cstheme="majorBidi"/>
      <w:bCs/>
      <w:sz w:val="24"/>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1D59"/>
    <w:pPr>
      <w:jc w:val="both"/>
    </w:pPr>
    <w:rPr>
      <w:rFonts w:eastAsiaTheme="minorEastAsia"/>
      <w:sz w:val="24"/>
      <w:lang w:val="en-GB"/>
    </w:rPr>
  </w:style>
  <w:style w:type="paragraph" w:styleId="Nagwek1">
    <w:name w:val="heading 1"/>
    <w:basedOn w:val="Normalny"/>
    <w:next w:val="Normalny"/>
    <w:link w:val="Nagwek1Znak"/>
    <w:uiPriority w:val="99"/>
    <w:semiHidden/>
    <w:rsid w:val="00531D5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1D5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1D5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1D5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1D5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31D5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1D5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31D5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31D5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1D59"/>
    <w:rPr>
      <w:rFonts w:ascii="Tahoma" w:hAnsi="Tahoma" w:cs="Tahoma"/>
      <w:sz w:val="16"/>
      <w:szCs w:val="16"/>
    </w:rPr>
  </w:style>
  <w:style w:type="character" w:customStyle="1" w:styleId="TekstdymkaZnak">
    <w:name w:val="Tekst dymka Znak"/>
    <w:basedOn w:val="Domylnaczcionkaakapitu"/>
    <w:link w:val="Tekstdymka"/>
    <w:uiPriority w:val="99"/>
    <w:semiHidden/>
    <w:rsid w:val="00531D59"/>
    <w:rPr>
      <w:rFonts w:ascii="Tahoma" w:eastAsiaTheme="minorEastAsia" w:hAnsi="Tahoma" w:cs="Tahoma"/>
      <w:sz w:val="16"/>
      <w:szCs w:val="16"/>
      <w:lang w:val="en-GB"/>
    </w:rPr>
  </w:style>
  <w:style w:type="character" w:styleId="Tytuksiki">
    <w:name w:val="Book Title"/>
    <w:uiPriority w:val="99"/>
    <w:semiHidden/>
    <w:qFormat/>
    <w:rsid w:val="00531D59"/>
    <w:rPr>
      <w:i/>
      <w:iCs/>
      <w:smallCaps/>
      <w:spacing w:val="5"/>
    </w:rPr>
  </w:style>
  <w:style w:type="paragraph" w:customStyle="1" w:styleId="ECHRHeader">
    <w:name w:val="ECHR_Header"/>
    <w:aliases w:val="Ju_Header"/>
    <w:basedOn w:val="Nagwek"/>
    <w:uiPriority w:val="4"/>
    <w:qFormat/>
    <w:rsid w:val="00531D5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1D59"/>
    <w:pPr>
      <w:jc w:val="left"/>
    </w:pPr>
    <w:rPr>
      <w:sz w:val="8"/>
    </w:rPr>
  </w:style>
  <w:style w:type="character" w:styleId="Pogrubienie">
    <w:name w:val="Strong"/>
    <w:uiPriority w:val="99"/>
    <w:semiHidden/>
    <w:qFormat/>
    <w:rsid w:val="00531D59"/>
    <w:rPr>
      <w:b/>
      <w:bCs/>
    </w:rPr>
  </w:style>
  <w:style w:type="paragraph" w:styleId="Bezodstpw">
    <w:name w:val="No Spacing"/>
    <w:basedOn w:val="Normalny"/>
    <w:link w:val="BezodstpwZnak"/>
    <w:semiHidden/>
    <w:qFormat/>
    <w:rsid w:val="00531D59"/>
    <w:rPr>
      <w:sz w:val="22"/>
      <w:lang w:val="en-US"/>
    </w:rPr>
  </w:style>
  <w:style w:type="character" w:customStyle="1" w:styleId="BezodstpwZnak">
    <w:name w:val="Bez odstępów Znak"/>
    <w:basedOn w:val="Domylnaczcionkaakapitu"/>
    <w:link w:val="Bezodstpw"/>
    <w:semiHidden/>
    <w:rsid w:val="00531D59"/>
    <w:rPr>
      <w:rFonts w:eastAsiaTheme="minorEastAsia"/>
    </w:rPr>
  </w:style>
  <w:style w:type="paragraph" w:customStyle="1" w:styleId="ECHRFooterLine">
    <w:name w:val="ECHR_Footer_Line"/>
    <w:aliases w:val="Footer_Line"/>
    <w:basedOn w:val="Normalny"/>
    <w:next w:val="ECHRFooter"/>
    <w:uiPriority w:val="57"/>
    <w:semiHidden/>
    <w:rsid w:val="00531D5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1D59"/>
  </w:style>
  <w:style w:type="paragraph" w:customStyle="1" w:styleId="DecList">
    <w:name w:val="Dec_List"/>
    <w:basedOn w:val="Normalny"/>
    <w:uiPriority w:val="9"/>
    <w:semiHidden/>
    <w:qFormat/>
    <w:rsid w:val="00531D59"/>
    <w:pPr>
      <w:spacing w:before="240"/>
      <w:ind w:left="284"/>
    </w:pPr>
  </w:style>
  <w:style w:type="paragraph" w:customStyle="1" w:styleId="DummyStyle">
    <w:name w:val="Dummy_Style"/>
    <w:basedOn w:val="Normalny"/>
    <w:semiHidden/>
    <w:qFormat/>
    <w:rsid w:val="00531D59"/>
    <w:rPr>
      <w:color w:val="00B050"/>
    </w:rPr>
  </w:style>
  <w:style w:type="paragraph" w:customStyle="1" w:styleId="ECHRTitleCentre3">
    <w:name w:val="ECHR_Title_Centre_3"/>
    <w:aliases w:val="Ju_H_Article"/>
    <w:basedOn w:val="Normalny"/>
    <w:next w:val="ECHRParaQuote"/>
    <w:uiPriority w:val="27"/>
    <w:qFormat/>
    <w:rsid w:val="00531D5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1D5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1D59"/>
    <w:pPr>
      <w:numPr>
        <w:numId w:val="35"/>
      </w:numPr>
      <w:jc w:val="left"/>
    </w:pPr>
    <w:rPr>
      <w:b/>
    </w:rPr>
  </w:style>
  <w:style w:type="paragraph" w:customStyle="1" w:styleId="JuCourt">
    <w:name w:val="Ju_Court"/>
    <w:basedOn w:val="Normalny"/>
    <w:next w:val="Normalny"/>
    <w:uiPriority w:val="16"/>
    <w:qFormat/>
    <w:rsid w:val="00531D59"/>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31D59"/>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31D59"/>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31D59"/>
    <w:pPr>
      <w:ind w:left="794"/>
    </w:pPr>
  </w:style>
  <w:style w:type="paragraph" w:styleId="Tytu">
    <w:name w:val="Title"/>
    <w:basedOn w:val="Normalny"/>
    <w:next w:val="Normalny"/>
    <w:link w:val="TytuZnak"/>
    <w:uiPriority w:val="99"/>
    <w:semiHidden/>
    <w:qFormat/>
    <w:rsid w:val="00531D5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31D59"/>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531D59"/>
    <w:rPr>
      <w:caps w:val="0"/>
      <w:smallCaps/>
    </w:rPr>
  </w:style>
  <w:style w:type="paragraph" w:customStyle="1" w:styleId="ECHRHeading3">
    <w:name w:val="ECHR_Heading_3"/>
    <w:aliases w:val="Ju_H_1."/>
    <w:basedOn w:val="Nagwek3"/>
    <w:next w:val="ECHRPara"/>
    <w:uiPriority w:val="21"/>
    <w:qFormat/>
    <w:rsid w:val="00531D5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1D5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1D5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31D5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31D59"/>
    <w:pPr>
      <w:keepNext/>
      <w:keepLines/>
      <w:spacing w:before="240" w:after="120"/>
      <w:ind w:left="1236"/>
    </w:pPr>
    <w:rPr>
      <w:sz w:val="20"/>
      <w:lang w:val="en-GB"/>
    </w:rPr>
  </w:style>
  <w:style w:type="paragraph" w:customStyle="1" w:styleId="JuParaSub">
    <w:name w:val="Ju_Para_Sub"/>
    <w:basedOn w:val="ECHRPara"/>
    <w:uiPriority w:val="13"/>
    <w:qFormat/>
    <w:rsid w:val="00531D59"/>
    <w:pPr>
      <w:ind w:left="284"/>
    </w:pPr>
  </w:style>
  <w:style w:type="paragraph" w:customStyle="1" w:styleId="JuQuotSub">
    <w:name w:val="Ju_Quot_Sub"/>
    <w:basedOn w:val="ECHRParaQuote"/>
    <w:uiPriority w:val="15"/>
    <w:qFormat/>
    <w:rsid w:val="00531D59"/>
    <w:pPr>
      <w:ind w:left="567"/>
    </w:pPr>
  </w:style>
  <w:style w:type="paragraph" w:styleId="Nagwek">
    <w:name w:val="header"/>
    <w:basedOn w:val="Normalny"/>
    <w:link w:val="NagwekZnak"/>
    <w:uiPriority w:val="57"/>
    <w:semiHidden/>
    <w:rsid w:val="00531D5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1D59"/>
    <w:rPr>
      <w:sz w:val="24"/>
      <w:lang w:val="en-GB"/>
    </w:rPr>
  </w:style>
  <w:style w:type="character" w:customStyle="1" w:styleId="Nagwek1Znak">
    <w:name w:val="Nagłówek 1 Znak"/>
    <w:basedOn w:val="Domylnaczcionkaakapitu"/>
    <w:link w:val="Nagwek1"/>
    <w:uiPriority w:val="99"/>
    <w:semiHidden/>
    <w:rsid w:val="00531D5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link w:val="JuHIRomanChar"/>
    <w:uiPriority w:val="19"/>
    <w:qFormat/>
    <w:rsid w:val="00531D5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1D5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1D59"/>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531D59"/>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531D59"/>
    <w:pPr>
      <w:ind w:left="635" w:hanging="357"/>
      <w:outlineLvl w:val="2"/>
    </w:pPr>
  </w:style>
  <w:style w:type="character" w:customStyle="1" w:styleId="Nagwek3Znak">
    <w:name w:val="Nagłówek 3 Znak"/>
    <w:basedOn w:val="Domylnaczcionkaakapitu"/>
    <w:link w:val="Nagwek3"/>
    <w:uiPriority w:val="99"/>
    <w:semiHidden/>
    <w:rsid w:val="00531D59"/>
    <w:rPr>
      <w:rFonts w:asciiTheme="majorHAnsi" w:eastAsiaTheme="majorEastAsia" w:hAnsiTheme="majorHAnsi" w:cstheme="majorBidi"/>
      <w:b/>
      <w:bCs/>
      <w:color w:val="5F5F5F"/>
      <w:sz w:val="24"/>
      <w:lang w:val="en-GB"/>
    </w:rPr>
  </w:style>
  <w:style w:type="paragraph" w:customStyle="1" w:styleId="ECHRDecisionBody">
    <w:name w:val="ECHR_Decision_Body"/>
    <w:aliases w:val="Ju_Judges"/>
    <w:basedOn w:val="Normalny"/>
    <w:uiPriority w:val="11"/>
    <w:qFormat/>
    <w:rsid w:val="00531D59"/>
    <w:pPr>
      <w:tabs>
        <w:tab w:val="left" w:pos="567"/>
        <w:tab w:val="left" w:pos="1134"/>
      </w:tabs>
      <w:jc w:val="left"/>
    </w:pPr>
  </w:style>
  <w:style w:type="paragraph" w:customStyle="1" w:styleId="ECHRPara">
    <w:name w:val="ECHR_Para"/>
    <w:aliases w:val="Ju_Para"/>
    <w:basedOn w:val="Normalny"/>
    <w:link w:val="ECHRParaChar"/>
    <w:uiPriority w:val="12"/>
    <w:qFormat/>
    <w:rsid w:val="00531D59"/>
    <w:pPr>
      <w:ind w:firstLine="284"/>
    </w:pPr>
  </w:style>
  <w:style w:type="character" w:customStyle="1" w:styleId="Nagwek4Znak">
    <w:name w:val="Nagłówek 4 Znak"/>
    <w:basedOn w:val="Domylnaczcionkaakapitu"/>
    <w:link w:val="Nagwek4"/>
    <w:uiPriority w:val="99"/>
    <w:semiHidden/>
    <w:rsid w:val="00531D59"/>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531D59"/>
    <w:pPr>
      <w:ind w:left="340" w:hanging="340"/>
    </w:pPr>
  </w:style>
  <w:style w:type="character" w:customStyle="1" w:styleId="Nagwek5Znak">
    <w:name w:val="Nagłówek 5 Znak"/>
    <w:basedOn w:val="Domylnaczcionkaakapitu"/>
    <w:link w:val="Nagwek5"/>
    <w:uiPriority w:val="99"/>
    <w:semiHidden/>
    <w:rsid w:val="00531D59"/>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531D59"/>
    <w:pPr>
      <w:tabs>
        <w:tab w:val="center" w:pos="851"/>
        <w:tab w:val="center" w:pos="6407"/>
      </w:tabs>
      <w:spacing w:before="720"/>
      <w:jc w:val="left"/>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531D5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1D59"/>
    <w:pPr>
      <w:keepNext/>
      <w:keepLines/>
      <w:spacing w:before="720" w:after="240"/>
      <w:outlineLvl w:val="0"/>
    </w:pPr>
    <w:rPr>
      <w:rFonts w:asciiTheme="majorHAnsi" w:hAnsiTheme="majorHAnsi"/>
      <w:sz w:val="28"/>
    </w:rPr>
  </w:style>
  <w:style w:type="character" w:styleId="Uwydatnienie">
    <w:name w:val="Emphasis"/>
    <w:uiPriority w:val="99"/>
    <w:semiHidden/>
    <w:qFormat/>
    <w:rsid w:val="00531D59"/>
    <w:rPr>
      <w:b/>
      <w:bCs/>
      <w:i/>
      <w:iCs/>
      <w:spacing w:val="10"/>
      <w:bdr w:val="none" w:sz="0" w:space="0" w:color="auto"/>
      <w:shd w:val="clear" w:color="auto" w:fill="auto"/>
    </w:rPr>
  </w:style>
  <w:style w:type="paragraph" w:styleId="Stopka">
    <w:name w:val="footer"/>
    <w:basedOn w:val="Normalny"/>
    <w:link w:val="StopkaZnak"/>
    <w:uiPriority w:val="57"/>
    <w:semiHidden/>
    <w:rsid w:val="00531D5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1D59"/>
    <w:rPr>
      <w:sz w:val="24"/>
      <w:lang w:val="en-GB"/>
    </w:rPr>
  </w:style>
  <w:style w:type="character" w:styleId="Odwoanieprzypisudolnego">
    <w:name w:val="footnote reference"/>
    <w:basedOn w:val="Domylnaczcionkaakapitu"/>
    <w:uiPriority w:val="99"/>
    <w:semiHidden/>
    <w:rsid w:val="00531D59"/>
    <w:rPr>
      <w:vertAlign w:val="superscript"/>
    </w:rPr>
  </w:style>
  <w:style w:type="paragraph" w:styleId="Tekstprzypisudolnego">
    <w:name w:val="footnote text"/>
    <w:basedOn w:val="Normalny"/>
    <w:link w:val="TekstprzypisudolnegoZnak"/>
    <w:uiPriority w:val="99"/>
    <w:semiHidden/>
    <w:rsid w:val="00531D59"/>
    <w:rPr>
      <w:sz w:val="20"/>
      <w:szCs w:val="20"/>
    </w:rPr>
  </w:style>
  <w:style w:type="character" w:customStyle="1" w:styleId="TekstprzypisudolnegoZnak">
    <w:name w:val="Tekst przypisu dolnego Znak"/>
    <w:basedOn w:val="Domylnaczcionkaakapitu"/>
    <w:link w:val="Tekstprzypisudolnego"/>
    <w:uiPriority w:val="99"/>
    <w:semiHidden/>
    <w:rsid w:val="00531D59"/>
    <w:rPr>
      <w:rFonts w:eastAsiaTheme="minorEastAsia"/>
      <w:sz w:val="20"/>
      <w:szCs w:val="20"/>
      <w:lang w:val="en-GB"/>
    </w:rPr>
  </w:style>
  <w:style w:type="character" w:customStyle="1" w:styleId="Nagwek6Znak">
    <w:name w:val="Nagłówek 6 Znak"/>
    <w:basedOn w:val="Domylnaczcionkaakapitu"/>
    <w:link w:val="Nagwek6"/>
    <w:uiPriority w:val="99"/>
    <w:semiHidden/>
    <w:rsid w:val="00531D5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31D5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1D5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1D5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1D59"/>
    <w:rPr>
      <w:color w:val="0072BC" w:themeColor="hyperlink"/>
      <w:u w:val="single"/>
    </w:rPr>
  </w:style>
  <w:style w:type="character" w:styleId="Wyrnienieintensywne">
    <w:name w:val="Intense Emphasis"/>
    <w:uiPriority w:val="99"/>
    <w:semiHidden/>
    <w:qFormat/>
    <w:rsid w:val="00531D59"/>
    <w:rPr>
      <w:b/>
      <w:bCs/>
    </w:rPr>
  </w:style>
  <w:style w:type="paragraph" w:styleId="Cytatintensywny">
    <w:name w:val="Intense Quote"/>
    <w:basedOn w:val="Normalny"/>
    <w:next w:val="Normalny"/>
    <w:link w:val="CytatintensywnyZnak"/>
    <w:uiPriority w:val="99"/>
    <w:semiHidden/>
    <w:qFormat/>
    <w:rsid w:val="00531D5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31D59"/>
    <w:rPr>
      <w:rFonts w:eastAsiaTheme="minorEastAsia"/>
      <w:b/>
      <w:bCs/>
      <w:i/>
      <w:iCs/>
      <w:lang w:bidi="en-US"/>
    </w:rPr>
  </w:style>
  <w:style w:type="character" w:styleId="Odwoanieintensywne">
    <w:name w:val="Intense Reference"/>
    <w:uiPriority w:val="99"/>
    <w:semiHidden/>
    <w:qFormat/>
    <w:rsid w:val="00531D59"/>
    <w:rPr>
      <w:smallCaps/>
      <w:spacing w:val="5"/>
      <w:u w:val="single"/>
    </w:rPr>
  </w:style>
  <w:style w:type="paragraph" w:styleId="Akapitzlist">
    <w:name w:val="List Paragraph"/>
    <w:basedOn w:val="Normalny"/>
    <w:uiPriority w:val="99"/>
    <w:semiHidden/>
    <w:qFormat/>
    <w:rsid w:val="00531D5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1D5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31D59"/>
    <w:rPr>
      <w:rFonts w:eastAsiaTheme="minorEastAsia"/>
      <w:i/>
      <w:iCs/>
      <w:lang w:bidi="en-US"/>
    </w:rPr>
  </w:style>
  <w:style w:type="character" w:styleId="Odwoaniedelikatne">
    <w:name w:val="Subtle Reference"/>
    <w:uiPriority w:val="99"/>
    <w:semiHidden/>
    <w:qFormat/>
    <w:rsid w:val="00531D59"/>
    <w:rPr>
      <w:smallCaps/>
    </w:rPr>
  </w:style>
  <w:style w:type="table" w:styleId="Tabela-Siatka">
    <w:name w:val="Table Grid"/>
    <w:basedOn w:val="Standardowy"/>
    <w:uiPriority w:val="59"/>
    <w:semiHidden/>
    <w:rsid w:val="00531D5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1D5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1D5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1D5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1D5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1D5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1D5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1D5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31D5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1D5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ny"/>
    <w:next w:val="ECHRPara"/>
    <w:uiPriority w:val="30"/>
    <w:qFormat/>
    <w:rsid w:val="00531D59"/>
    <w:pPr>
      <w:keepNext/>
      <w:keepLines/>
      <w:spacing w:before="240"/>
      <w:ind w:firstLine="284"/>
    </w:pPr>
  </w:style>
  <w:style w:type="paragraph" w:customStyle="1" w:styleId="JuCase">
    <w:name w:val="Ju_Case"/>
    <w:basedOn w:val="Normalny"/>
    <w:next w:val="ECHRPara"/>
    <w:uiPriority w:val="10"/>
    <w:rsid w:val="00531D59"/>
    <w:pPr>
      <w:ind w:firstLine="284"/>
    </w:pPr>
    <w:rPr>
      <w:b/>
    </w:rPr>
  </w:style>
  <w:style w:type="character" w:styleId="Numerstrony">
    <w:name w:val="page number"/>
    <w:uiPriority w:val="99"/>
    <w:semiHidden/>
    <w:rsid w:val="00DE61E0"/>
    <w:rPr>
      <w:sz w:val="18"/>
    </w:rPr>
  </w:style>
  <w:style w:type="paragraph" w:customStyle="1" w:styleId="JuLista">
    <w:name w:val="Ju_List_a"/>
    <w:basedOn w:val="JuList"/>
    <w:uiPriority w:val="28"/>
    <w:qFormat/>
    <w:rsid w:val="00531D59"/>
    <w:pPr>
      <w:ind w:left="346" w:firstLine="0"/>
    </w:pPr>
  </w:style>
  <w:style w:type="paragraph" w:customStyle="1" w:styleId="OpiHa">
    <w:name w:val="Opi_H_a"/>
    <w:basedOn w:val="ECHRHeading3"/>
    <w:uiPriority w:val="43"/>
    <w:qFormat/>
    <w:rsid w:val="00531D59"/>
    <w:pPr>
      <w:ind w:left="833" w:hanging="357"/>
      <w:outlineLvl w:val="3"/>
    </w:pPr>
    <w:rPr>
      <w:b/>
      <w:i w:val="0"/>
      <w:sz w:val="20"/>
    </w:rPr>
  </w:style>
  <w:style w:type="character" w:styleId="Odwoaniedokomentarza">
    <w:name w:val="annotation reference"/>
    <w:uiPriority w:val="99"/>
    <w:semiHidden/>
    <w:rsid w:val="00DE61E0"/>
    <w:rPr>
      <w:sz w:val="16"/>
    </w:rPr>
  </w:style>
  <w:style w:type="paragraph" w:styleId="Tekstkomentarza">
    <w:name w:val="annotation text"/>
    <w:basedOn w:val="Normalny"/>
    <w:link w:val="TekstkomentarzaZnak"/>
    <w:semiHidden/>
    <w:rsid w:val="00DE61E0"/>
    <w:rPr>
      <w:sz w:val="20"/>
    </w:rPr>
  </w:style>
  <w:style w:type="character" w:customStyle="1" w:styleId="TekstkomentarzaZnak">
    <w:name w:val="Tekst komentarza Znak"/>
    <w:basedOn w:val="Domylnaczcionkaakapitu"/>
    <w:link w:val="Tekstkomentarza"/>
    <w:semiHidden/>
    <w:rsid w:val="00DE61E0"/>
    <w:rPr>
      <w:rFonts w:eastAsiaTheme="minorEastAsia"/>
      <w:sz w:val="20"/>
    </w:rPr>
  </w:style>
  <w:style w:type="paragraph" w:styleId="Tematkomentarza">
    <w:name w:val="annotation subject"/>
    <w:basedOn w:val="Tekstkomentarza"/>
    <w:next w:val="Tekstkomentarza"/>
    <w:link w:val="TematkomentarzaZnak"/>
    <w:uiPriority w:val="99"/>
    <w:semiHidden/>
    <w:rsid w:val="00DE61E0"/>
    <w:rPr>
      <w:b/>
      <w:bCs/>
    </w:rPr>
  </w:style>
  <w:style w:type="character" w:customStyle="1" w:styleId="TematkomentarzaZnak">
    <w:name w:val="Temat komentarza Znak"/>
    <w:basedOn w:val="TekstkomentarzaZnak"/>
    <w:link w:val="Tematkomentarza"/>
    <w:uiPriority w:val="99"/>
    <w:semiHidden/>
    <w:rsid w:val="00DE61E0"/>
    <w:rPr>
      <w:rFonts w:eastAsiaTheme="minorEastAsia"/>
      <w:b/>
      <w:bCs/>
      <w:sz w:val="20"/>
    </w:rPr>
  </w:style>
  <w:style w:type="character" w:styleId="Odwoanieprzypisukocowego">
    <w:name w:val="endnote reference"/>
    <w:basedOn w:val="Domylnaczcionkaakapitu"/>
    <w:uiPriority w:val="99"/>
    <w:semiHidden/>
    <w:rsid w:val="00531D59"/>
    <w:rPr>
      <w:vertAlign w:val="superscript"/>
    </w:rPr>
  </w:style>
  <w:style w:type="paragraph" w:styleId="Tekstprzypisukocowego">
    <w:name w:val="endnote text"/>
    <w:basedOn w:val="Normalny"/>
    <w:link w:val="TekstprzypisukocowegoZnak"/>
    <w:uiPriority w:val="99"/>
    <w:semiHidden/>
    <w:rsid w:val="00531D59"/>
    <w:rPr>
      <w:sz w:val="20"/>
      <w:szCs w:val="20"/>
    </w:rPr>
  </w:style>
  <w:style w:type="character" w:customStyle="1" w:styleId="TekstprzypisukocowegoZnak">
    <w:name w:val="Tekst przypisu końcowego Znak"/>
    <w:basedOn w:val="Domylnaczcionkaakapitu"/>
    <w:link w:val="Tekstprzypisukocowego"/>
    <w:uiPriority w:val="99"/>
    <w:semiHidden/>
    <w:rsid w:val="00531D59"/>
    <w:rPr>
      <w:rFonts w:eastAsiaTheme="minorEastAsia"/>
      <w:sz w:val="20"/>
      <w:szCs w:val="20"/>
      <w:lang w:val="en-GB"/>
    </w:rPr>
  </w:style>
  <w:style w:type="character" w:styleId="UyteHipercze">
    <w:name w:val="FollowedHyperlink"/>
    <w:uiPriority w:val="99"/>
    <w:semiHidden/>
    <w:rsid w:val="00DE61E0"/>
    <w:rPr>
      <w:color w:val="800080"/>
      <w:u w:val="single"/>
    </w:rPr>
  </w:style>
  <w:style w:type="paragraph" w:styleId="Mapadokumentu">
    <w:name w:val="Document Map"/>
    <w:basedOn w:val="Normalny"/>
    <w:link w:val="MapadokumentuZnak"/>
    <w:uiPriority w:val="99"/>
    <w:semiHidden/>
    <w:rsid w:val="00DE61E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E61E0"/>
    <w:rPr>
      <w:rFonts w:ascii="Tahoma" w:eastAsiaTheme="minorEastAsia" w:hAnsi="Tahoma" w:cs="Tahoma"/>
      <w:sz w:val="20"/>
      <w:shd w:val="clear" w:color="auto" w:fill="000080"/>
    </w:rPr>
  </w:style>
  <w:style w:type="paragraph" w:styleId="Listapunktowana">
    <w:name w:val="List Bullet"/>
    <w:basedOn w:val="Normalny"/>
    <w:uiPriority w:val="99"/>
    <w:semiHidden/>
    <w:rsid w:val="00DE61E0"/>
    <w:pPr>
      <w:numPr>
        <w:numId w:val="1"/>
      </w:numPr>
    </w:pPr>
  </w:style>
  <w:style w:type="character" w:customStyle="1" w:styleId="JuITMark">
    <w:name w:val="Ju_ITMark"/>
    <w:basedOn w:val="Domylnaczcionkaakapitu"/>
    <w:uiPriority w:val="38"/>
    <w:qFormat/>
    <w:rsid w:val="00531D5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31D5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31D5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E61E0"/>
    <w:pPr>
      <w:numPr>
        <w:numId w:val="2"/>
      </w:numPr>
    </w:pPr>
  </w:style>
  <w:style w:type="numbering" w:styleId="1ai">
    <w:name w:val="Outline List 1"/>
    <w:basedOn w:val="Bezlisty"/>
    <w:uiPriority w:val="99"/>
    <w:semiHidden/>
    <w:rsid w:val="00DE61E0"/>
    <w:pPr>
      <w:numPr>
        <w:numId w:val="3"/>
      </w:numPr>
    </w:pPr>
  </w:style>
  <w:style w:type="numbering" w:styleId="Artykusekcja">
    <w:name w:val="Outline List 3"/>
    <w:basedOn w:val="Bezlisty"/>
    <w:uiPriority w:val="99"/>
    <w:semiHidden/>
    <w:rsid w:val="00DE61E0"/>
    <w:pPr>
      <w:numPr>
        <w:numId w:val="4"/>
      </w:numPr>
    </w:pPr>
  </w:style>
  <w:style w:type="paragraph" w:styleId="Bibliografia">
    <w:name w:val="Bibliography"/>
    <w:basedOn w:val="Normalny"/>
    <w:next w:val="Normalny"/>
    <w:uiPriority w:val="99"/>
    <w:semiHidden/>
    <w:unhideWhenUsed/>
    <w:rsid w:val="00DE61E0"/>
  </w:style>
  <w:style w:type="paragraph" w:styleId="Tekstblokowy">
    <w:name w:val="Block Text"/>
    <w:basedOn w:val="Normalny"/>
    <w:uiPriority w:val="99"/>
    <w:semiHidden/>
    <w:rsid w:val="00DE61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E61E0"/>
    <w:pPr>
      <w:spacing w:after="120"/>
    </w:pPr>
  </w:style>
  <w:style w:type="character" w:customStyle="1" w:styleId="TekstpodstawowyZnak">
    <w:name w:val="Tekst podstawowy Znak"/>
    <w:basedOn w:val="Domylnaczcionkaakapitu"/>
    <w:link w:val="Tekstpodstawowy"/>
    <w:uiPriority w:val="99"/>
    <w:semiHidden/>
    <w:rsid w:val="00DE61E0"/>
    <w:rPr>
      <w:rFonts w:eastAsiaTheme="minorEastAsia"/>
      <w:sz w:val="24"/>
    </w:rPr>
  </w:style>
  <w:style w:type="paragraph" w:styleId="Tekstpodstawowy2">
    <w:name w:val="Body Text 2"/>
    <w:basedOn w:val="Normalny"/>
    <w:link w:val="Tekstpodstawowy2Znak"/>
    <w:uiPriority w:val="99"/>
    <w:semiHidden/>
    <w:rsid w:val="00DE61E0"/>
    <w:pPr>
      <w:spacing w:after="120" w:line="480" w:lineRule="auto"/>
    </w:pPr>
  </w:style>
  <w:style w:type="character" w:customStyle="1" w:styleId="Tekstpodstawowy2Znak">
    <w:name w:val="Tekst podstawowy 2 Znak"/>
    <w:basedOn w:val="Domylnaczcionkaakapitu"/>
    <w:link w:val="Tekstpodstawowy2"/>
    <w:uiPriority w:val="99"/>
    <w:semiHidden/>
    <w:rsid w:val="00DE61E0"/>
    <w:rPr>
      <w:rFonts w:eastAsiaTheme="minorEastAsia"/>
      <w:sz w:val="24"/>
    </w:rPr>
  </w:style>
  <w:style w:type="paragraph" w:styleId="Tekstpodstawowy3">
    <w:name w:val="Body Text 3"/>
    <w:basedOn w:val="Normalny"/>
    <w:link w:val="Tekstpodstawowy3Znak"/>
    <w:uiPriority w:val="99"/>
    <w:semiHidden/>
    <w:rsid w:val="00DE61E0"/>
    <w:pPr>
      <w:spacing w:after="120"/>
    </w:pPr>
    <w:rPr>
      <w:sz w:val="16"/>
      <w:szCs w:val="16"/>
    </w:rPr>
  </w:style>
  <w:style w:type="character" w:customStyle="1" w:styleId="Tekstpodstawowy3Znak">
    <w:name w:val="Tekst podstawowy 3 Znak"/>
    <w:basedOn w:val="Domylnaczcionkaakapitu"/>
    <w:link w:val="Tekstpodstawowy3"/>
    <w:uiPriority w:val="99"/>
    <w:semiHidden/>
    <w:rsid w:val="00DE61E0"/>
    <w:rPr>
      <w:rFonts w:eastAsiaTheme="minorEastAsia"/>
      <w:sz w:val="16"/>
      <w:szCs w:val="16"/>
    </w:rPr>
  </w:style>
  <w:style w:type="paragraph" w:styleId="Tekstpodstawowyzwciciem">
    <w:name w:val="Body Text First Indent"/>
    <w:basedOn w:val="Tekstpodstawowy"/>
    <w:link w:val="TekstpodstawowyzwciciemZnak"/>
    <w:uiPriority w:val="99"/>
    <w:semiHidden/>
    <w:rsid w:val="00DE61E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E61E0"/>
    <w:rPr>
      <w:rFonts w:eastAsiaTheme="minorEastAsia"/>
      <w:sz w:val="24"/>
    </w:rPr>
  </w:style>
  <w:style w:type="paragraph" w:styleId="Tekstpodstawowywcity">
    <w:name w:val="Body Text Indent"/>
    <w:basedOn w:val="Normalny"/>
    <w:link w:val="TekstpodstawowywcityZnak"/>
    <w:uiPriority w:val="99"/>
    <w:semiHidden/>
    <w:rsid w:val="00DE61E0"/>
    <w:pPr>
      <w:spacing w:after="120"/>
      <w:ind w:left="283"/>
    </w:pPr>
  </w:style>
  <w:style w:type="character" w:customStyle="1" w:styleId="TekstpodstawowywcityZnak">
    <w:name w:val="Tekst podstawowy wcięty Znak"/>
    <w:basedOn w:val="Domylnaczcionkaakapitu"/>
    <w:link w:val="Tekstpodstawowywcity"/>
    <w:uiPriority w:val="99"/>
    <w:semiHidden/>
    <w:rsid w:val="00DE61E0"/>
    <w:rPr>
      <w:rFonts w:eastAsiaTheme="minorEastAsia"/>
      <w:sz w:val="24"/>
    </w:rPr>
  </w:style>
  <w:style w:type="paragraph" w:styleId="Tekstpodstawowyzwciciem2">
    <w:name w:val="Body Text First Indent 2"/>
    <w:basedOn w:val="Tekstpodstawowywcity"/>
    <w:link w:val="Tekstpodstawowyzwciciem2Znak"/>
    <w:uiPriority w:val="99"/>
    <w:semiHidden/>
    <w:rsid w:val="00DE61E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E61E0"/>
    <w:rPr>
      <w:rFonts w:eastAsiaTheme="minorEastAsia"/>
      <w:sz w:val="24"/>
    </w:rPr>
  </w:style>
  <w:style w:type="paragraph" w:styleId="Tekstpodstawowywcity2">
    <w:name w:val="Body Text Indent 2"/>
    <w:basedOn w:val="Normalny"/>
    <w:link w:val="Tekstpodstawowywcity2Znak"/>
    <w:uiPriority w:val="99"/>
    <w:semiHidden/>
    <w:rsid w:val="00DE61E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E61E0"/>
    <w:rPr>
      <w:rFonts w:eastAsiaTheme="minorEastAsia"/>
      <w:sz w:val="24"/>
    </w:rPr>
  </w:style>
  <w:style w:type="paragraph" w:styleId="Tekstpodstawowywcity3">
    <w:name w:val="Body Text Indent 3"/>
    <w:basedOn w:val="Normalny"/>
    <w:link w:val="Tekstpodstawowywcity3Znak"/>
    <w:uiPriority w:val="99"/>
    <w:semiHidden/>
    <w:rsid w:val="00DE61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E61E0"/>
    <w:rPr>
      <w:rFonts w:eastAsiaTheme="minorEastAsia"/>
      <w:sz w:val="16"/>
      <w:szCs w:val="16"/>
    </w:rPr>
  </w:style>
  <w:style w:type="paragraph" w:styleId="Legenda">
    <w:name w:val="caption"/>
    <w:basedOn w:val="Normalny"/>
    <w:next w:val="Normalny"/>
    <w:uiPriority w:val="99"/>
    <w:semiHidden/>
    <w:qFormat/>
    <w:rsid w:val="00DE61E0"/>
    <w:pPr>
      <w:spacing w:after="200"/>
    </w:pPr>
    <w:rPr>
      <w:b/>
      <w:bCs/>
      <w:color w:val="0072BC" w:themeColor="accent1"/>
      <w:sz w:val="18"/>
      <w:szCs w:val="18"/>
    </w:rPr>
  </w:style>
  <w:style w:type="paragraph" w:styleId="Zwrotpoegnalny">
    <w:name w:val="Closing"/>
    <w:basedOn w:val="Normalny"/>
    <w:link w:val="ZwrotpoegnalnyZnak"/>
    <w:uiPriority w:val="99"/>
    <w:semiHidden/>
    <w:rsid w:val="00DE61E0"/>
    <w:pPr>
      <w:ind w:left="4252"/>
    </w:pPr>
  </w:style>
  <w:style w:type="character" w:customStyle="1" w:styleId="ZwrotpoegnalnyZnak">
    <w:name w:val="Zwrot pożegnalny Znak"/>
    <w:basedOn w:val="Domylnaczcionkaakapitu"/>
    <w:link w:val="Zwrotpoegnalny"/>
    <w:uiPriority w:val="99"/>
    <w:semiHidden/>
    <w:rsid w:val="00DE61E0"/>
    <w:rPr>
      <w:rFonts w:eastAsiaTheme="minorEastAsia"/>
      <w:sz w:val="24"/>
    </w:rPr>
  </w:style>
  <w:style w:type="table" w:styleId="Kolorowasiatka">
    <w:name w:val="Colorful Grid"/>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E61E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E61E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E61E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E61E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E61E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E61E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E61E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E61E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E61E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E61E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E61E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E61E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E61E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E61E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E61E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E61E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E61E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E61E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E61E0"/>
  </w:style>
  <w:style w:type="character" w:customStyle="1" w:styleId="DataZnak">
    <w:name w:val="Data Znak"/>
    <w:basedOn w:val="Domylnaczcionkaakapitu"/>
    <w:link w:val="Data"/>
    <w:uiPriority w:val="99"/>
    <w:semiHidden/>
    <w:rsid w:val="00DE61E0"/>
    <w:rPr>
      <w:rFonts w:eastAsiaTheme="minorEastAsia"/>
      <w:sz w:val="24"/>
    </w:rPr>
  </w:style>
  <w:style w:type="paragraph" w:styleId="Podpise-mail">
    <w:name w:val="E-mail Signature"/>
    <w:basedOn w:val="Normalny"/>
    <w:link w:val="Podpise-mailZnak"/>
    <w:uiPriority w:val="99"/>
    <w:semiHidden/>
    <w:rsid w:val="00DE61E0"/>
  </w:style>
  <w:style w:type="character" w:customStyle="1" w:styleId="Podpise-mailZnak">
    <w:name w:val="Podpis e-mail Znak"/>
    <w:basedOn w:val="Domylnaczcionkaakapitu"/>
    <w:link w:val="Podpise-mail"/>
    <w:uiPriority w:val="99"/>
    <w:semiHidden/>
    <w:rsid w:val="00DE61E0"/>
    <w:rPr>
      <w:rFonts w:eastAsiaTheme="minorEastAsia"/>
      <w:sz w:val="24"/>
    </w:rPr>
  </w:style>
  <w:style w:type="paragraph" w:styleId="Adresnakopercie">
    <w:name w:val="envelope address"/>
    <w:basedOn w:val="Normalny"/>
    <w:uiPriority w:val="99"/>
    <w:semiHidden/>
    <w:rsid w:val="00DE61E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E61E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E61E0"/>
  </w:style>
  <w:style w:type="paragraph" w:styleId="HTML-adres">
    <w:name w:val="HTML Address"/>
    <w:basedOn w:val="Normalny"/>
    <w:link w:val="HTML-adresZnak"/>
    <w:uiPriority w:val="99"/>
    <w:semiHidden/>
    <w:rsid w:val="00DE61E0"/>
    <w:rPr>
      <w:i/>
      <w:iCs/>
    </w:rPr>
  </w:style>
  <w:style w:type="character" w:customStyle="1" w:styleId="HTML-adresZnak">
    <w:name w:val="HTML - adres Znak"/>
    <w:basedOn w:val="Domylnaczcionkaakapitu"/>
    <w:link w:val="HTML-adres"/>
    <w:uiPriority w:val="99"/>
    <w:semiHidden/>
    <w:rsid w:val="00DE61E0"/>
    <w:rPr>
      <w:rFonts w:eastAsiaTheme="minorEastAsia"/>
      <w:i/>
      <w:iCs/>
      <w:sz w:val="24"/>
    </w:rPr>
  </w:style>
  <w:style w:type="character" w:styleId="HTML-cytat">
    <w:name w:val="HTML Cite"/>
    <w:basedOn w:val="Domylnaczcionkaakapitu"/>
    <w:uiPriority w:val="99"/>
    <w:semiHidden/>
    <w:rsid w:val="00DE61E0"/>
    <w:rPr>
      <w:i/>
      <w:iCs/>
    </w:rPr>
  </w:style>
  <w:style w:type="character" w:styleId="HTML-kod">
    <w:name w:val="HTML Code"/>
    <w:basedOn w:val="Domylnaczcionkaakapitu"/>
    <w:uiPriority w:val="99"/>
    <w:semiHidden/>
    <w:rsid w:val="00DE61E0"/>
    <w:rPr>
      <w:rFonts w:ascii="Consolas" w:hAnsi="Consolas" w:cs="Consolas"/>
      <w:sz w:val="20"/>
      <w:szCs w:val="20"/>
    </w:rPr>
  </w:style>
  <w:style w:type="character" w:styleId="HTML-definicja">
    <w:name w:val="HTML Definition"/>
    <w:basedOn w:val="Domylnaczcionkaakapitu"/>
    <w:uiPriority w:val="99"/>
    <w:semiHidden/>
    <w:rsid w:val="00DE61E0"/>
    <w:rPr>
      <w:i/>
      <w:iCs/>
    </w:rPr>
  </w:style>
  <w:style w:type="character" w:styleId="HTML-klawiatura">
    <w:name w:val="HTML Keyboard"/>
    <w:basedOn w:val="Domylnaczcionkaakapitu"/>
    <w:uiPriority w:val="99"/>
    <w:semiHidden/>
    <w:rsid w:val="00DE61E0"/>
    <w:rPr>
      <w:rFonts w:ascii="Consolas" w:hAnsi="Consolas" w:cs="Consolas"/>
      <w:sz w:val="20"/>
      <w:szCs w:val="20"/>
    </w:rPr>
  </w:style>
  <w:style w:type="paragraph" w:styleId="HTML-wstpniesformatowany">
    <w:name w:val="HTML Preformatted"/>
    <w:basedOn w:val="Normalny"/>
    <w:link w:val="HTML-wstpniesformatowanyZnak"/>
    <w:uiPriority w:val="99"/>
    <w:semiHidden/>
    <w:rsid w:val="00DE61E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E61E0"/>
    <w:rPr>
      <w:rFonts w:ascii="Consolas" w:eastAsiaTheme="minorEastAsia" w:hAnsi="Consolas" w:cs="Consolas"/>
      <w:sz w:val="20"/>
      <w:szCs w:val="20"/>
    </w:rPr>
  </w:style>
  <w:style w:type="character" w:styleId="HTML-przykad">
    <w:name w:val="HTML Sample"/>
    <w:basedOn w:val="Domylnaczcionkaakapitu"/>
    <w:uiPriority w:val="99"/>
    <w:semiHidden/>
    <w:rsid w:val="00DE61E0"/>
    <w:rPr>
      <w:rFonts w:ascii="Consolas" w:hAnsi="Consolas" w:cs="Consolas"/>
      <w:sz w:val="24"/>
      <w:szCs w:val="24"/>
    </w:rPr>
  </w:style>
  <w:style w:type="character" w:styleId="HTML-staaszeroko">
    <w:name w:val="HTML Typewriter"/>
    <w:basedOn w:val="Domylnaczcionkaakapitu"/>
    <w:uiPriority w:val="99"/>
    <w:semiHidden/>
    <w:rsid w:val="00DE61E0"/>
    <w:rPr>
      <w:rFonts w:ascii="Consolas" w:hAnsi="Consolas" w:cs="Consolas"/>
      <w:sz w:val="20"/>
      <w:szCs w:val="20"/>
    </w:rPr>
  </w:style>
  <w:style w:type="character" w:styleId="HTML-zmienna">
    <w:name w:val="HTML Variable"/>
    <w:basedOn w:val="Domylnaczcionkaakapitu"/>
    <w:uiPriority w:val="99"/>
    <w:semiHidden/>
    <w:rsid w:val="00DE61E0"/>
    <w:rPr>
      <w:i/>
      <w:iCs/>
    </w:rPr>
  </w:style>
  <w:style w:type="paragraph" w:styleId="Indeks1">
    <w:name w:val="index 1"/>
    <w:basedOn w:val="Normalny"/>
    <w:next w:val="Normalny"/>
    <w:autoRedefine/>
    <w:uiPriority w:val="99"/>
    <w:semiHidden/>
    <w:rsid w:val="00DE61E0"/>
    <w:pPr>
      <w:ind w:left="240" w:hanging="240"/>
    </w:pPr>
  </w:style>
  <w:style w:type="paragraph" w:styleId="Indeks2">
    <w:name w:val="index 2"/>
    <w:basedOn w:val="Normalny"/>
    <w:next w:val="Normalny"/>
    <w:autoRedefine/>
    <w:uiPriority w:val="99"/>
    <w:semiHidden/>
    <w:rsid w:val="00DE61E0"/>
    <w:pPr>
      <w:ind w:left="480" w:hanging="240"/>
    </w:pPr>
  </w:style>
  <w:style w:type="paragraph" w:styleId="Indeks3">
    <w:name w:val="index 3"/>
    <w:basedOn w:val="Normalny"/>
    <w:next w:val="Normalny"/>
    <w:autoRedefine/>
    <w:uiPriority w:val="99"/>
    <w:semiHidden/>
    <w:rsid w:val="00DE61E0"/>
    <w:pPr>
      <w:ind w:left="720" w:hanging="240"/>
    </w:pPr>
  </w:style>
  <w:style w:type="paragraph" w:styleId="Indeks4">
    <w:name w:val="index 4"/>
    <w:basedOn w:val="Normalny"/>
    <w:next w:val="Normalny"/>
    <w:autoRedefine/>
    <w:uiPriority w:val="99"/>
    <w:semiHidden/>
    <w:rsid w:val="00DE61E0"/>
    <w:pPr>
      <w:ind w:left="960" w:hanging="240"/>
    </w:pPr>
  </w:style>
  <w:style w:type="paragraph" w:styleId="Indeks5">
    <w:name w:val="index 5"/>
    <w:basedOn w:val="Normalny"/>
    <w:next w:val="Normalny"/>
    <w:autoRedefine/>
    <w:uiPriority w:val="99"/>
    <w:semiHidden/>
    <w:rsid w:val="00DE61E0"/>
    <w:pPr>
      <w:ind w:left="1200" w:hanging="240"/>
    </w:pPr>
  </w:style>
  <w:style w:type="paragraph" w:styleId="Indeks6">
    <w:name w:val="index 6"/>
    <w:basedOn w:val="Normalny"/>
    <w:next w:val="Normalny"/>
    <w:autoRedefine/>
    <w:uiPriority w:val="99"/>
    <w:semiHidden/>
    <w:rsid w:val="00DE61E0"/>
    <w:pPr>
      <w:ind w:left="1440" w:hanging="240"/>
    </w:pPr>
  </w:style>
  <w:style w:type="paragraph" w:styleId="Indeks7">
    <w:name w:val="index 7"/>
    <w:basedOn w:val="Normalny"/>
    <w:next w:val="Normalny"/>
    <w:autoRedefine/>
    <w:uiPriority w:val="99"/>
    <w:semiHidden/>
    <w:rsid w:val="00DE61E0"/>
    <w:pPr>
      <w:ind w:left="1680" w:hanging="240"/>
    </w:pPr>
  </w:style>
  <w:style w:type="paragraph" w:styleId="Indeks8">
    <w:name w:val="index 8"/>
    <w:basedOn w:val="Normalny"/>
    <w:next w:val="Normalny"/>
    <w:autoRedefine/>
    <w:uiPriority w:val="99"/>
    <w:semiHidden/>
    <w:rsid w:val="00DE61E0"/>
    <w:pPr>
      <w:ind w:left="1920" w:hanging="240"/>
    </w:pPr>
  </w:style>
  <w:style w:type="paragraph" w:styleId="Indeks9">
    <w:name w:val="index 9"/>
    <w:basedOn w:val="Normalny"/>
    <w:next w:val="Normalny"/>
    <w:autoRedefine/>
    <w:uiPriority w:val="99"/>
    <w:semiHidden/>
    <w:rsid w:val="00DE61E0"/>
    <w:pPr>
      <w:ind w:left="2160" w:hanging="240"/>
    </w:pPr>
  </w:style>
  <w:style w:type="paragraph" w:styleId="Nagwekindeksu">
    <w:name w:val="index heading"/>
    <w:basedOn w:val="Normalny"/>
    <w:next w:val="Indeks1"/>
    <w:uiPriority w:val="99"/>
    <w:semiHidden/>
    <w:rsid w:val="00DE61E0"/>
    <w:rPr>
      <w:rFonts w:asciiTheme="majorHAnsi" w:eastAsiaTheme="majorEastAsia" w:hAnsiTheme="majorHAnsi" w:cstheme="majorBidi"/>
      <w:b/>
      <w:bCs/>
    </w:rPr>
  </w:style>
  <w:style w:type="table" w:styleId="Jasnasiatka">
    <w:name w:val="Light Grid"/>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E61E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E61E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E61E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E61E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E61E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E61E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E61E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E61E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E61E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E61E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E61E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E61E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E61E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E61E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E61E0"/>
  </w:style>
  <w:style w:type="paragraph" w:styleId="Lista">
    <w:name w:val="List"/>
    <w:basedOn w:val="Normalny"/>
    <w:uiPriority w:val="99"/>
    <w:semiHidden/>
    <w:rsid w:val="00DE61E0"/>
    <w:pPr>
      <w:ind w:left="283" w:hanging="283"/>
      <w:contextualSpacing/>
    </w:pPr>
  </w:style>
  <w:style w:type="paragraph" w:styleId="Lista2">
    <w:name w:val="List 2"/>
    <w:basedOn w:val="Normalny"/>
    <w:uiPriority w:val="99"/>
    <w:semiHidden/>
    <w:rsid w:val="00DE61E0"/>
    <w:pPr>
      <w:ind w:left="566" w:hanging="283"/>
      <w:contextualSpacing/>
    </w:pPr>
  </w:style>
  <w:style w:type="paragraph" w:styleId="Lista3">
    <w:name w:val="List 3"/>
    <w:basedOn w:val="Normalny"/>
    <w:uiPriority w:val="99"/>
    <w:semiHidden/>
    <w:rsid w:val="00DE61E0"/>
    <w:pPr>
      <w:ind w:left="849" w:hanging="283"/>
      <w:contextualSpacing/>
    </w:pPr>
  </w:style>
  <w:style w:type="paragraph" w:styleId="Lista4">
    <w:name w:val="List 4"/>
    <w:basedOn w:val="Normalny"/>
    <w:uiPriority w:val="99"/>
    <w:semiHidden/>
    <w:rsid w:val="00DE61E0"/>
    <w:pPr>
      <w:ind w:left="1132" w:hanging="283"/>
      <w:contextualSpacing/>
    </w:pPr>
  </w:style>
  <w:style w:type="paragraph" w:styleId="Lista5">
    <w:name w:val="List 5"/>
    <w:basedOn w:val="Normalny"/>
    <w:uiPriority w:val="99"/>
    <w:semiHidden/>
    <w:rsid w:val="00DE61E0"/>
    <w:pPr>
      <w:ind w:left="1415" w:hanging="283"/>
      <w:contextualSpacing/>
    </w:pPr>
  </w:style>
  <w:style w:type="paragraph" w:styleId="Listapunktowana2">
    <w:name w:val="List Bullet 2"/>
    <w:basedOn w:val="Normalny"/>
    <w:uiPriority w:val="99"/>
    <w:semiHidden/>
    <w:rsid w:val="00DE61E0"/>
    <w:pPr>
      <w:numPr>
        <w:numId w:val="5"/>
      </w:numPr>
      <w:contextualSpacing/>
    </w:pPr>
  </w:style>
  <w:style w:type="paragraph" w:styleId="Listapunktowana3">
    <w:name w:val="List Bullet 3"/>
    <w:basedOn w:val="Normalny"/>
    <w:uiPriority w:val="99"/>
    <w:semiHidden/>
    <w:rsid w:val="00DE61E0"/>
    <w:pPr>
      <w:numPr>
        <w:numId w:val="6"/>
      </w:numPr>
      <w:contextualSpacing/>
    </w:pPr>
  </w:style>
  <w:style w:type="paragraph" w:styleId="Listapunktowana4">
    <w:name w:val="List Bullet 4"/>
    <w:basedOn w:val="Normalny"/>
    <w:uiPriority w:val="99"/>
    <w:semiHidden/>
    <w:rsid w:val="00DE61E0"/>
    <w:pPr>
      <w:numPr>
        <w:numId w:val="7"/>
      </w:numPr>
      <w:contextualSpacing/>
    </w:pPr>
  </w:style>
  <w:style w:type="paragraph" w:styleId="Listapunktowana5">
    <w:name w:val="List Bullet 5"/>
    <w:basedOn w:val="Normalny"/>
    <w:uiPriority w:val="99"/>
    <w:semiHidden/>
    <w:rsid w:val="00DE61E0"/>
    <w:pPr>
      <w:numPr>
        <w:numId w:val="8"/>
      </w:numPr>
      <w:contextualSpacing/>
    </w:pPr>
  </w:style>
  <w:style w:type="paragraph" w:styleId="Lista-kontynuacja">
    <w:name w:val="List Continue"/>
    <w:basedOn w:val="Normalny"/>
    <w:uiPriority w:val="99"/>
    <w:semiHidden/>
    <w:rsid w:val="00DE61E0"/>
    <w:pPr>
      <w:spacing w:after="120"/>
      <w:ind w:left="283"/>
      <w:contextualSpacing/>
    </w:pPr>
  </w:style>
  <w:style w:type="paragraph" w:styleId="Lista-kontynuacja2">
    <w:name w:val="List Continue 2"/>
    <w:basedOn w:val="Normalny"/>
    <w:uiPriority w:val="99"/>
    <w:semiHidden/>
    <w:rsid w:val="00DE61E0"/>
    <w:pPr>
      <w:spacing w:after="120"/>
      <w:ind w:left="566"/>
      <w:contextualSpacing/>
    </w:pPr>
  </w:style>
  <w:style w:type="paragraph" w:styleId="Lista-kontynuacja3">
    <w:name w:val="List Continue 3"/>
    <w:basedOn w:val="Normalny"/>
    <w:uiPriority w:val="99"/>
    <w:semiHidden/>
    <w:rsid w:val="00DE61E0"/>
    <w:pPr>
      <w:spacing w:after="120"/>
      <w:ind w:left="849"/>
      <w:contextualSpacing/>
    </w:pPr>
  </w:style>
  <w:style w:type="paragraph" w:styleId="Lista-kontynuacja4">
    <w:name w:val="List Continue 4"/>
    <w:basedOn w:val="Normalny"/>
    <w:uiPriority w:val="99"/>
    <w:semiHidden/>
    <w:rsid w:val="00DE61E0"/>
    <w:pPr>
      <w:spacing w:after="120"/>
      <w:ind w:left="1132"/>
      <w:contextualSpacing/>
    </w:pPr>
  </w:style>
  <w:style w:type="paragraph" w:styleId="Lista-kontynuacja5">
    <w:name w:val="List Continue 5"/>
    <w:basedOn w:val="Normalny"/>
    <w:uiPriority w:val="99"/>
    <w:semiHidden/>
    <w:rsid w:val="00DE61E0"/>
    <w:pPr>
      <w:spacing w:after="120"/>
      <w:ind w:left="1415"/>
      <w:contextualSpacing/>
    </w:pPr>
  </w:style>
  <w:style w:type="paragraph" w:styleId="Listanumerowana">
    <w:name w:val="List Number"/>
    <w:basedOn w:val="Normalny"/>
    <w:uiPriority w:val="99"/>
    <w:semiHidden/>
    <w:rsid w:val="00DE61E0"/>
    <w:pPr>
      <w:numPr>
        <w:numId w:val="9"/>
      </w:numPr>
      <w:contextualSpacing/>
    </w:pPr>
  </w:style>
  <w:style w:type="paragraph" w:styleId="Listanumerowana2">
    <w:name w:val="List Number 2"/>
    <w:basedOn w:val="Normalny"/>
    <w:uiPriority w:val="99"/>
    <w:semiHidden/>
    <w:rsid w:val="00DE61E0"/>
    <w:pPr>
      <w:numPr>
        <w:numId w:val="10"/>
      </w:numPr>
      <w:contextualSpacing/>
    </w:pPr>
  </w:style>
  <w:style w:type="paragraph" w:styleId="Listanumerowana3">
    <w:name w:val="List Number 3"/>
    <w:basedOn w:val="Normalny"/>
    <w:uiPriority w:val="99"/>
    <w:semiHidden/>
    <w:rsid w:val="00DE61E0"/>
    <w:pPr>
      <w:numPr>
        <w:numId w:val="11"/>
      </w:numPr>
      <w:contextualSpacing/>
    </w:pPr>
  </w:style>
  <w:style w:type="paragraph" w:styleId="Listanumerowana4">
    <w:name w:val="List Number 4"/>
    <w:basedOn w:val="Normalny"/>
    <w:uiPriority w:val="99"/>
    <w:semiHidden/>
    <w:rsid w:val="00DE61E0"/>
    <w:pPr>
      <w:numPr>
        <w:numId w:val="12"/>
      </w:numPr>
      <w:contextualSpacing/>
    </w:pPr>
  </w:style>
  <w:style w:type="paragraph" w:styleId="Listanumerowana5">
    <w:name w:val="List Number 5"/>
    <w:basedOn w:val="Normalny"/>
    <w:uiPriority w:val="99"/>
    <w:semiHidden/>
    <w:rsid w:val="00DE61E0"/>
    <w:pPr>
      <w:numPr>
        <w:numId w:val="13"/>
      </w:numPr>
      <w:contextualSpacing/>
    </w:pPr>
  </w:style>
  <w:style w:type="paragraph" w:styleId="Tekstmakra">
    <w:name w:val="macro"/>
    <w:link w:val="TekstmakraZnak"/>
    <w:uiPriority w:val="99"/>
    <w:semiHidden/>
    <w:rsid w:val="00DE61E0"/>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E61E0"/>
    <w:rPr>
      <w:rFonts w:ascii="Consolas" w:hAnsi="Consolas" w:cs="Consolas"/>
      <w:sz w:val="20"/>
      <w:szCs w:val="20"/>
      <w:lang w:val="en-GB" w:eastAsia="fr-FR"/>
    </w:rPr>
  </w:style>
  <w:style w:type="table" w:styleId="redniasiatka1">
    <w:name w:val="Medium Grid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E61E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E61E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E61E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E61E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E61E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E61E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E61E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E61E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E61E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E61E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E61E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E61E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E61E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E61E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E61E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E61E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E61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E61E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E61E0"/>
    <w:rPr>
      <w:rFonts w:ascii="Times New Roman" w:hAnsi="Times New Roman" w:cs="Times New Roman"/>
      <w:szCs w:val="24"/>
    </w:rPr>
  </w:style>
  <w:style w:type="paragraph" w:styleId="Wcicienormalne">
    <w:name w:val="Normal Indent"/>
    <w:basedOn w:val="Normalny"/>
    <w:uiPriority w:val="99"/>
    <w:semiHidden/>
    <w:rsid w:val="00DE61E0"/>
    <w:pPr>
      <w:ind w:left="720"/>
    </w:pPr>
  </w:style>
  <w:style w:type="paragraph" w:styleId="Nagweknotatki">
    <w:name w:val="Note Heading"/>
    <w:basedOn w:val="Normalny"/>
    <w:next w:val="Normalny"/>
    <w:link w:val="NagweknotatkiZnak"/>
    <w:uiPriority w:val="99"/>
    <w:semiHidden/>
    <w:rsid w:val="00DE61E0"/>
  </w:style>
  <w:style w:type="character" w:customStyle="1" w:styleId="NagweknotatkiZnak">
    <w:name w:val="Nagłówek notatki Znak"/>
    <w:basedOn w:val="Domylnaczcionkaakapitu"/>
    <w:link w:val="Nagweknotatki"/>
    <w:uiPriority w:val="99"/>
    <w:semiHidden/>
    <w:rsid w:val="00DE61E0"/>
    <w:rPr>
      <w:rFonts w:eastAsiaTheme="minorEastAsia"/>
      <w:sz w:val="24"/>
    </w:rPr>
  </w:style>
  <w:style w:type="character" w:styleId="Tekstzastpczy">
    <w:name w:val="Placeholder Text"/>
    <w:basedOn w:val="Domylnaczcionkaakapitu"/>
    <w:uiPriority w:val="99"/>
    <w:semiHidden/>
    <w:rsid w:val="00531D5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E61E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E61E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E61E0"/>
  </w:style>
  <w:style w:type="character" w:customStyle="1" w:styleId="ZwrotgrzecznociowyZnak">
    <w:name w:val="Zwrot grzecznościowy Znak"/>
    <w:basedOn w:val="Domylnaczcionkaakapitu"/>
    <w:link w:val="Zwrotgrzecznociowy"/>
    <w:uiPriority w:val="99"/>
    <w:semiHidden/>
    <w:rsid w:val="00DE61E0"/>
    <w:rPr>
      <w:rFonts w:eastAsiaTheme="minorEastAsia"/>
      <w:sz w:val="24"/>
    </w:rPr>
  </w:style>
  <w:style w:type="paragraph" w:styleId="Podpis">
    <w:name w:val="Signature"/>
    <w:basedOn w:val="Normalny"/>
    <w:link w:val="PodpisZnak"/>
    <w:uiPriority w:val="99"/>
    <w:semiHidden/>
    <w:rsid w:val="00DE61E0"/>
    <w:pPr>
      <w:ind w:left="4252"/>
    </w:pPr>
  </w:style>
  <w:style w:type="character" w:customStyle="1" w:styleId="PodpisZnak">
    <w:name w:val="Podpis Znak"/>
    <w:basedOn w:val="Domylnaczcionkaakapitu"/>
    <w:link w:val="Podpis"/>
    <w:uiPriority w:val="99"/>
    <w:semiHidden/>
    <w:rsid w:val="00DE61E0"/>
    <w:rPr>
      <w:rFonts w:eastAsiaTheme="minorEastAsia"/>
      <w:sz w:val="24"/>
    </w:rPr>
  </w:style>
  <w:style w:type="table" w:styleId="Tabela-Efekty3W1">
    <w:name w:val="Table 3D effects 1"/>
    <w:basedOn w:val="Standardowy"/>
    <w:uiPriority w:val="99"/>
    <w:semiHidden/>
    <w:rsid w:val="00DE61E0"/>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E61E0"/>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E61E0"/>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E61E0"/>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E61E0"/>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E61E0"/>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E61E0"/>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E61E0"/>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E61E0"/>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E61E0"/>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E61E0"/>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E61E0"/>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E61E0"/>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E61E0"/>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E61E0"/>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E61E0"/>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E61E0"/>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E61E0"/>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E61E0"/>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E61E0"/>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E61E0"/>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E61E0"/>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E61E0"/>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E61E0"/>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E61E0"/>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E61E0"/>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E61E0"/>
    <w:pPr>
      <w:ind w:left="240" w:hanging="240"/>
    </w:pPr>
  </w:style>
  <w:style w:type="paragraph" w:styleId="Spisilustracji">
    <w:name w:val="table of figures"/>
    <w:basedOn w:val="Normalny"/>
    <w:next w:val="Normalny"/>
    <w:uiPriority w:val="99"/>
    <w:semiHidden/>
    <w:rsid w:val="00DE61E0"/>
  </w:style>
  <w:style w:type="table" w:styleId="Tabela-Profesjonalny">
    <w:name w:val="Table Professional"/>
    <w:basedOn w:val="Standardowy"/>
    <w:uiPriority w:val="99"/>
    <w:semiHidden/>
    <w:rsid w:val="00DE61E0"/>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E61E0"/>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E61E0"/>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E61E0"/>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E61E0"/>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E61E0"/>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E61E0"/>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E61E0"/>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E61E0"/>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E61E0"/>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1D5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1D5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E61E0"/>
    <w:pPr>
      <w:spacing w:after="100"/>
      <w:ind w:left="1680"/>
    </w:pPr>
  </w:style>
  <w:style w:type="paragraph" w:styleId="Spistreci9">
    <w:name w:val="toc 9"/>
    <w:basedOn w:val="Normalny"/>
    <w:next w:val="Normalny"/>
    <w:autoRedefine/>
    <w:uiPriority w:val="99"/>
    <w:semiHidden/>
    <w:rsid w:val="00DE61E0"/>
    <w:pPr>
      <w:spacing w:after="100"/>
      <w:ind w:left="1920"/>
    </w:pPr>
  </w:style>
  <w:style w:type="paragraph" w:customStyle="1" w:styleId="OpiHA0">
    <w:name w:val="Opi_H_A"/>
    <w:basedOn w:val="ECHRHeading1"/>
    <w:next w:val="OpiPara"/>
    <w:uiPriority w:val="41"/>
    <w:qFormat/>
    <w:rsid w:val="00531D59"/>
    <w:pPr>
      <w:tabs>
        <w:tab w:val="clear" w:pos="357"/>
      </w:tabs>
      <w:outlineLvl w:val="1"/>
    </w:pPr>
    <w:rPr>
      <w:b/>
    </w:rPr>
  </w:style>
  <w:style w:type="paragraph" w:customStyle="1" w:styleId="OpiHi">
    <w:name w:val="Opi_H_i"/>
    <w:basedOn w:val="ECHRHeading4"/>
    <w:uiPriority w:val="44"/>
    <w:qFormat/>
    <w:rsid w:val="00531D59"/>
    <w:pPr>
      <w:ind w:left="1037" w:hanging="357"/>
      <w:outlineLvl w:val="4"/>
    </w:pPr>
    <w:rPr>
      <w:b w:val="0"/>
      <w:i/>
    </w:rPr>
  </w:style>
  <w:style w:type="paragraph" w:customStyle="1" w:styleId="OpiPara">
    <w:name w:val="Opi_Para"/>
    <w:basedOn w:val="ECHRPara"/>
    <w:uiPriority w:val="46"/>
    <w:qFormat/>
    <w:rsid w:val="00531D59"/>
  </w:style>
  <w:style w:type="paragraph" w:customStyle="1" w:styleId="OpiParaSub">
    <w:name w:val="Opi_Para_Sub"/>
    <w:basedOn w:val="JuParaSub"/>
    <w:uiPriority w:val="47"/>
    <w:qFormat/>
    <w:rsid w:val="00531D59"/>
  </w:style>
  <w:style w:type="paragraph" w:customStyle="1" w:styleId="OpiQuot">
    <w:name w:val="Opi_Quot"/>
    <w:basedOn w:val="ECHRParaQuote"/>
    <w:uiPriority w:val="48"/>
    <w:qFormat/>
    <w:rsid w:val="00531D59"/>
  </w:style>
  <w:style w:type="paragraph" w:customStyle="1" w:styleId="OpiQuotSub">
    <w:name w:val="Opi_Quot_Sub"/>
    <w:basedOn w:val="JuQuotSub"/>
    <w:uiPriority w:val="49"/>
    <w:qFormat/>
    <w:rsid w:val="00531D59"/>
  </w:style>
  <w:style w:type="paragraph" w:customStyle="1" w:styleId="OpiTranslation">
    <w:name w:val="Opi_Translation"/>
    <w:basedOn w:val="Normalny"/>
    <w:next w:val="OpiPara"/>
    <w:uiPriority w:val="40"/>
    <w:qFormat/>
    <w:rsid w:val="00531D59"/>
    <w:pPr>
      <w:jc w:val="center"/>
      <w:outlineLvl w:val="0"/>
    </w:pPr>
    <w:rPr>
      <w:i/>
    </w:rPr>
  </w:style>
  <w:style w:type="paragraph" w:customStyle="1" w:styleId="JuHeaderLandscape">
    <w:name w:val="Ju_Header_Landscape"/>
    <w:basedOn w:val="ECHRHeader"/>
    <w:uiPriority w:val="4"/>
    <w:qFormat/>
    <w:rsid w:val="00531D5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D28DF"/>
    <w:rPr>
      <w:rFonts w:eastAsiaTheme="minorEastAsia"/>
      <w:sz w:val="24"/>
      <w:lang w:val="en-GB"/>
    </w:rPr>
  </w:style>
  <w:style w:type="character" w:customStyle="1" w:styleId="JuHIRomanChar">
    <w:name w:val="Ju_H_I_Roman Char"/>
    <w:link w:val="ECHRHeading1"/>
    <w:uiPriority w:val="19"/>
    <w:rsid w:val="004D28DF"/>
    <w:rPr>
      <w:rFonts w:asciiTheme="majorHAnsi" w:eastAsiaTheme="majorEastAsia" w:hAnsiTheme="majorHAnsi" w:cstheme="majorBidi"/>
      <w:bCs/>
      <w:sz w:val="24"/>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6153">
      <w:bodyDiv w:val="1"/>
      <w:marLeft w:val="0"/>
      <w:marRight w:val="0"/>
      <w:marTop w:val="0"/>
      <w:marBottom w:val="0"/>
      <w:divBdr>
        <w:top w:val="none" w:sz="0" w:space="0" w:color="auto"/>
        <w:left w:val="none" w:sz="0" w:space="0" w:color="auto"/>
        <w:bottom w:val="none" w:sz="0" w:space="0" w:color="auto"/>
        <w:right w:val="none" w:sz="0" w:space="0" w:color="auto"/>
      </w:divBdr>
      <w:divsChild>
        <w:div w:id="1799444723">
          <w:marLeft w:val="0"/>
          <w:marRight w:val="0"/>
          <w:marTop w:val="0"/>
          <w:marBottom w:val="0"/>
          <w:divBdr>
            <w:top w:val="none" w:sz="0" w:space="0" w:color="auto"/>
            <w:left w:val="none" w:sz="0" w:space="0" w:color="auto"/>
            <w:bottom w:val="none" w:sz="0" w:space="0" w:color="auto"/>
            <w:right w:val="none" w:sz="0" w:space="0" w:color="auto"/>
          </w:divBdr>
          <w:divsChild>
            <w:div w:id="1683437324">
              <w:marLeft w:val="0"/>
              <w:marRight w:val="0"/>
              <w:marTop w:val="0"/>
              <w:marBottom w:val="0"/>
              <w:divBdr>
                <w:top w:val="none" w:sz="0" w:space="0" w:color="auto"/>
                <w:left w:val="none" w:sz="0" w:space="0" w:color="auto"/>
                <w:bottom w:val="none" w:sz="0" w:space="0" w:color="auto"/>
                <w:right w:val="none" w:sz="0" w:space="0" w:color="auto"/>
              </w:divBdr>
              <w:divsChild>
                <w:div w:id="239561421">
                  <w:marLeft w:val="0"/>
                  <w:marRight w:val="0"/>
                  <w:marTop w:val="0"/>
                  <w:marBottom w:val="0"/>
                  <w:divBdr>
                    <w:top w:val="none" w:sz="0" w:space="0" w:color="auto"/>
                    <w:left w:val="none" w:sz="0" w:space="0" w:color="auto"/>
                    <w:bottom w:val="none" w:sz="0" w:space="0" w:color="auto"/>
                    <w:right w:val="none" w:sz="0" w:space="0" w:color="auto"/>
                  </w:divBdr>
                  <w:divsChild>
                    <w:div w:id="1625885937">
                      <w:marLeft w:val="0"/>
                      <w:marRight w:val="0"/>
                      <w:marTop w:val="0"/>
                      <w:marBottom w:val="0"/>
                      <w:divBdr>
                        <w:top w:val="none" w:sz="0" w:space="0" w:color="auto"/>
                        <w:left w:val="none" w:sz="0" w:space="0" w:color="auto"/>
                        <w:bottom w:val="none" w:sz="0" w:space="0" w:color="auto"/>
                        <w:right w:val="none" w:sz="0" w:space="0" w:color="auto"/>
                      </w:divBdr>
                      <w:divsChild>
                        <w:div w:id="1680505166">
                          <w:marLeft w:val="0"/>
                          <w:marRight w:val="0"/>
                          <w:marTop w:val="0"/>
                          <w:marBottom w:val="0"/>
                          <w:divBdr>
                            <w:top w:val="none" w:sz="0" w:space="0" w:color="auto"/>
                            <w:left w:val="none" w:sz="0" w:space="0" w:color="auto"/>
                            <w:bottom w:val="none" w:sz="0" w:space="0" w:color="auto"/>
                            <w:right w:val="none" w:sz="0" w:space="0" w:color="auto"/>
                          </w:divBdr>
                          <w:divsChild>
                            <w:div w:id="10011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889357">
      <w:bodyDiv w:val="1"/>
      <w:marLeft w:val="0"/>
      <w:marRight w:val="0"/>
      <w:marTop w:val="0"/>
      <w:marBottom w:val="0"/>
      <w:divBdr>
        <w:top w:val="none" w:sz="0" w:space="0" w:color="auto"/>
        <w:left w:val="none" w:sz="0" w:space="0" w:color="auto"/>
        <w:bottom w:val="none" w:sz="0" w:space="0" w:color="auto"/>
        <w:right w:val="none" w:sz="0" w:space="0" w:color="auto"/>
      </w:divBdr>
      <w:divsChild>
        <w:div w:id="114832039">
          <w:marLeft w:val="0"/>
          <w:marRight w:val="0"/>
          <w:marTop w:val="0"/>
          <w:marBottom w:val="0"/>
          <w:divBdr>
            <w:top w:val="none" w:sz="0" w:space="0" w:color="auto"/>
            <w:left w:val="none" w:sz="0" w:space="0" w:color="auto"/>
            <w:bottom w:val="none" w:sz="0" w:space="0" w:color="auto"/>
            <w:right w:val="none" w:sz="0" w:space="0" w:color="auto"/>
          </w:divBdr>
          <w:divsChild>
            <w:div w:id="1876772268">
              <w:marLeft w:val="0"/>
              <w:marRight w:val="0"/>
              <w:marTop w:val="0"/>
              <w:marBottom w:val="0"/>
              <w:divBdr>
                <w:top w:val="none" w:sz="0" w:space="0" w:color="auto"/>
                <w:left w:val="none" w:sz="0" w:space="0" w:color="auto"/>
                <w:bottom w:val="none" w:sz="0" w:space="0" w:color="auto"/>
                <w:right w:val="none" w:sz="0" w:space="0" w:color="auto"/>
              </w:divBdr>
              <w:divsChild>
                <w:div w:id="464279067">
                  <w:marLeft w:val="0"/>
                  <w:marRight w:val="0"/>
                  <w:marTop w:val="0"/>
                  <w:marBottom w:val="0"/>
                  <w:divBdr>
                    <w:top w:val="none" w:sz="0" w:space="0" w:color="auto"/>
                    <w:left w:val="none" w:sz="0" w:space="0" w:color="auto"/>
                    <w:bottom w:val="none" w:sz="0" w:space="0" w:color="auto"/>
                    <w:right w:val="none" w:sz="0" w:space="0" w:color="auto"/>
                  </w:divBdr>
                  <w:divsChild>
                    <w:div w:id="348483285">
                      <w:marLeft w:val="0"/>
                      <w:marRight w:val="0"/>
                      <w:marTop w:val="0"/>
                      <w:marBottom w:val="0"/>
                      <w:divBdr>
                        <w:top w:val="none" w:sz="0" w:space="0" w:color="auto"/>
                        <w:left w:val="none" w:sz="0" w:space="0" w:color="auto"/>
                        <w:bottom w:val="none" w:sz="0" w:space="0" w:color="auto"/>
                        <w:right w:val="none" w:sz="0" w:space="0" w:color="auto"/>
                      </w:divBdr>
                      <w:divsChild>
                        <w:div w:id="614143248">
                          <w:marLeft w:val="0"/>
                          <w:marRight w:val="0"/>
                          <w:marTop w:val="0"/>
                          <w:marBottom w:val="0"/>
                          <w:divBdr>
                            <w:top w:val="none" w:sz="0" w:space="0" w:color="auto"/>
                            <w:left w:val="none" w:sz="0" w:space="0" w:color="auto"/>
                            <w:bottom w:val="none" w:sz="0" w:space="0" w:color="auto"/>
                            <w:right w:val="none" w:sz="0" w:space="0" w:color="auto"/>
                          </w:divBdr>
                          <w:divsChild>
                            <w:div w:id="122606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86329701">
      <w:bodyDiv w:val="1"/>
      <w:marLeft w:val="0"/>
      <w:marRight w:val="0"/>
      <w:marTop w:val="0"/>
      <w:marBottom w:val="0"/>
      <w:divBdr>
        <w:top w:val="none" w:sz="0" w:space="0" w:color="auto"/>
        <w:left w:val="none" w:sz="0" w:space="0" w:color="auto"/>
        <w:bottom w:val="none" w:sz="0" w:space="0" w:color="auto"/>
        <w:right w:val="none" w:sz="0" w:space="0" w:color="auto"/>
      </w:divBdr>
    </w:div>
    <w:div w:id="2038238195">
      <w:bodyDiv w:val="1"/>
      <w:marLeft w:val="0"/>
      <w:marRight w:val="0"/>
      <w:marTop w:val="0"/>
      <w:marBottom w:val="0"/>
      <w:divBdr>
        <w:top w:val="none" w:sz="0" w:space="0" w:color="auto"/>
        <w:left w:val="none" w:sz="0" w:space="0" w:color="auto"/>
        <w:bottom w:val="none" w:sz="0" w:space="0" w:color="auto"/>
        <w:right w:val="none" w:sz="0" w:space="0" w:color="auto"/>
      </w:divBdr>
      <w:divsChild>
        <w:div w:id="1505827538">
          <w:marLeft w:val="0"/>
          <w:marRight w:val="0"/>
          <w:marTop w:val="0"/>
          <w:marBottom w:val="0"/>
          <w:divBdr>
            <w:top w:val="none" w:sz="0" w:space="0" w:color="auto"/>
            <w:left w:val="none" w:sz="0" w:space="0" w:color="auto"/>
            <w:bottom w:val="none" w:sz="0" w:space="0" w:color="auto"/>
            <w:right w:val="none" w:sz="0" w:space="0" w:color="auto"/>
          </w:divBdr>
          <w:divsChild>
            <w:div w:id="1539468084">
              <w:marLeft w:val="0"/>
              <w:marRight w:val="0"/>
              <w:marTop w:val="0"/>
              <w:marBottom w:val="0"/>
              <w:divBdr>
                <w:top w:val="none" w:sz="0" w:space="0" w:color="auto"/>
                <w:left w:val="none" w:sz="0" w:space="0" w:color="auto"/>
                <w:bottom w:val="none" w:sz="0" w:space="0" w:color="auto"/>
                <w:right w:val="none" w:sz="0" w:space="0" w:color="auto"/>
              </w:divBdr>
              <w:divsChild>
                <w:div w:id="850605696">
                  <w:marLeft w:val="0"/>
                  <w:marRight w:val="0"/>
                  <w:marTop w:val="0"/>
                  <w:marBottom w:val="0"/>
                  <w:divBdr>
                    <w:top w:val="none" w:sz="0" w:space="0" w:color="auto"/>
                    <w:left w:val="none" w:sz="0" w:space="0" w:color="auto"/>
                    <w:bottom w:val="none" w:sz="0" w:space="0" w:color="auto"/>
                    <w:right w:val="none" w:sz="0" w:space="0" w:color="auto"/>
                  </w:divBdr>
                  <w:divsChild>
                    <w:div w:id="1299801196">
                      <w:marLeft w:val="0"/>
                      <w:marRight w:val="0"/>
                      <w:marTop w:val="0"/>
                      <w:marBottom w:val="0"/>
                      <w:divBdr>
                        <w:top w:val="none" w:sz="0" w:space="0" w:color="auto"/>
                        <w:left w:val="none" w:sz="0" w:space="0" w:color="auto"/>
                        <w:bottom w:val="none" w:sz="0" w:space="0" w:color="auto"/>
                        <w:right w:val="none" w:sz="0" w:space="0" w:color="auto"/>
                      </w:divBdr>
                      <w:divsChild>
                        <w:div w:id="2105803902">
                          <w:marLeft w:val="0"/>
                          <w:marRight w:val="0"/>
                          <w:marTop w:val="0"/>
                          <w:marBottom w:val="0"/>
                          <w:divBdr>
                            <w:top w:val="none" w:sz="0" w:space="0" w:color="auto"/>
                            <w:left w:val="none" w:sz="0" w:space="0" w:color="auto"/>
                            <w:bottom w:val="none" w:sz="0" w:space="0" w:color="auto"/>
                            <w:right w:val="none" w:sz="0" w:space="0" w:color="auto"/>
                          </w:divBdr>
                          <w:divsChild>
                            <w:div w:id="19860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hudoc.echr.coe.int/e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54C02-85FE-4231-B225-6F42D8DA63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87596F-CC34-47F7-BA89-9BD598B9E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A0480DA-B45B-4BD8-87B9-718DAC1EB828}">
  <ds:schemaRefs>
    <ds:schemaRef ds:uri="http://schemas.microsoft.com/sharepoint/v3/contenttype/forms"/>
  </ds:schemaRefs>
</ds:datastoreItem>
</file>

<file path=customXml/itemProps4.xml><?xml version="1.0" encoding="utf-8"?>
<ds:datastoreItem xmlns:ds="http://schemas.openxmlformats.org/officeDocument/2006/customXml" ds:itemID="{3D5FDC68-1A43-48C6-BC05-89B7CE212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3234</Words>
  <Characters>19408</Characters>
  <Application>Microsoft Office Word</Application>
  <DocSecurity>0</DocSecurity>
  <Lines>161</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2018-12-13T11:43:00Z</dcterms:created>
  <dcterms:modified xsi:type="dcterms:W3CDTF">2018-12-13T11:43:00Z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47395/09</vt:lpwstr>
  </property>
  <property fmtid="{D5CDD505-2E9C-101B-9397-08002B2CF9AE}" pid="4" name="CASEID">
    <vt:lpwstr>593649</vt:lpwstr>
  </property>
  <property fmtid="{D5CDD505-2E9C-101B-9397-08002B2CF9AE}" pid="5" name="ContentTypeId">
    <vt:lpwstr>0x010100558EB02BDB9E204AB350EDD385B68E10</vt:lpwstr>
  </property>
</Properties>
</file>