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66EE" w:rsidRPr="00E915EE" w:rsidRDefault="005766EE" w:rsidP="00E915EE">
      <w:pPr>
        <w:tabs>
          <w:tab w:val="left" w:pos="567"/>
          <w:tab w:val="left" w:pos="1134"/>
        </w:tabs>
        <w:jc w:val="center"/>
        <w:rPr>
          <w:rFonts w:ascii="Times New Roman" w:eastAsia="Times New Roman" w:hAnsi="Times New Roman" w:cs="Times New Roman"/>
        </w:rPr>
      </w:pPr>
      <w:bookmarkStart w:id="0" w:name="_GoBack"/>
      <w:bookmarkEnd w:id="0"/>
    </w:p>
    <w:p w:rsidR="005937F7" w:rsidRPr="00E915EE" w:rsidRDefault="005937F7" w:rsidP="00E915EE">
      <w:pPr>
        <w:tabs>
          <w:tab w:val="left" w:pos="567"/>
          <w:tab w:val="left" w:pos="1134"/>
        </w:tabs>
        <w:jc w:val="center"/>
        <w:rPr>
          <w:rFonts w:ascii="Times New Roman" w:eastAsia="Times New Roman" w:hAnsi="Times New Roman" w:cs="Times New Roman"/>
        </w:rPr>
      </w:pPr>
    </w:p>
    <w:p w:rsidR="005937F7" w:rsidRPr="00E915EE" w:rsidRDefault="005937F7" w:rsidP="00E915EE">
      <w:pPr>
        <w:tabs>
          <w:tab w:val="left" w:pos="567"/>
          <w:tab w:val="left" w:pos="1134"/>
        </w:tabs>
        <w:jc w:val="center"/>
        <w:rPr>
          <w:rFonts w:ascii="Times New Roman" w:eastAsia="Times New Roman" w:hAnsi="Times New Roman" w:cs="Times New Roman"/>
        </w:rPr>
      </w:pPr>
    </w:p>
    <w:p w:rsidR="005766EE" w:rsidRPr="00E915EE" w:rsidRDefault="00F63FC3" w:rsidP="00E915EE">
      <w:pPr>
        <w:jc w:val="center"/>
        <w:rPr>
          <w:rFonts w:ascii="Times New Roman" w:eastAsia="Times New Roman" w:hAnsi="Times New Roman" w:cs="Times New Roman"/>
        </w:rPr>
      </w:pPr>
      <w:r w:rsidRPr="00E915EE">
        <w:rPr>
          <w:rFonts w:ascii="Times New Roman" w:eastAsia="Times New Roman" w:hAnsi="Times New Roman" w:cs="Times New Roman"/>
        </w:rPr>
        <w:t xml:space="preserve">FORMER </w:t>
      </w:r>
      <w:r w:rsidR="005766EE" w:rsidRPr="00E915EE">
        <w:rPr>
          <w:rFonts w:ascii="Times New Roman" w:eastAsia="Times New Roman" w:hAnsi="Times New Roman" w:cs="Times New Roman"/>
        </w:rPr>
        <w:t>FOURTH SECTION</w:t>
      </w:r>
    </w:p>
    <w:p w:rsidR="005766EE" w:rsidRPr="00E915EE" w:rsidRDefault="005766EE"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766EE" w:rsidRPr="00E915EE" w:rsidRDefault="005766EE" w:rsidP="00E915EE">
      <w:pPr>
        <w:jc w:val="center"/>
        <w:rPr>
          <w:rFonts w:ascii="Times New Roman" w:eastAsia="Times New Roman" w:hAnsi="Times New Roman" w:cs="Times New Roman"/>
          <w:b/>
        </w:rPr>
      </w:pPr>
      <w:bookmarkStart w:id="1" w:name="To"/>
      <w:r w:rsidRPr="00E915EE">
        <w:rPr>
          <w:rFonts w:ascii="Times New Roman" w:eastAsia="Times New Roman" w:hAnsi="Times New Roman" w:cs="Times New Roman"/>
          <w:b/>
        </w:rPr>
        <w:t xml:space="preserve">CASE OF </w:t>
      </w:r>
      <w:bookmarkEnd w:id="1"/>
      <w:r w:rsidRPr="00E915EE">
        <w:rPr>
          <w:rFonts w:ascii="Times New Roman" w:eastAsia="Times New Roman" w:hAnsi="Times New Roman" w:cs="Times New Roman"/>
          <w:b/>
        </w:rPr>
        <w:t>BISTIEVA AND OTHERS v. POLAND</w:t>
      </w:r>
    </w:p>
    <w:p w:rsidR="005766EE" w:rsidRPr="00E915EE" w:rsidRDefault="005766EE" w:rsidP="00E915EE">
      <w:pPr>
        <w:jc w:val="center"/>
        <w:rPr>
          <w:rFonts w:ascii="Times New Roman" w:eastAsia="Times New Roman" w:hAnsi="Times New Roman" w:cs="Times New Roman"/>
        </w:rPr>
      </w:pPr>
    </w:p>
    <w:p w:rsidR="005766EE" w:rsidRPr="00E915EE" w:rsidRDefault="005766EE" w:rsidP="00E915EE">
      <w:pPr>
        <w:jc w:val="center"/>
        <w:rPr>
          <w:rFonts w:ascii="Times New Roman" w:eastAsia="Times New Roman" w:hAnsi="Times New Roman" w:cs="Times New Roman"/>
          <w:i/>
        </w:rPr>
      </w:pPr>
      <w:r w:rsidRPr="00E915EE">
        <w:rPr>
          <w:rFonts w:ascii="Times New Roman" w:eastAsia="Times New Roman" w:hAnsi="Times New Roman" w:cs="Times New Roman"/>
          <w:i/>
        </w:rPr>
        <w:t>(Application no. 75157/14)</w:t>
      </w:r>
    </w:p>
    <w:p w:rsidR="005766EE" w:rsidRPr="00E915EE" w:rsidRDefault="005766EE" w:rsidP="00E915EE">
      <w:pPr>
        <w:jc w:val="center"/>
        <w:rPr>
          <w:rFonts w:ascii="Times New Roman" w:eastAsia="Times New Roman" w:hAnsi="Times New Roman" w:cs="Times New Roman"/>
          <w:b/>
        </w:rPr>
      </w:pPr>
    </w:p>
    <w:p w:rsidR="005766EE" w:rsidRPr="00E915EE" w:rsidRDefault="005766EE" w:rsidP="00E915EE">
      <w:pPr>
        <w:jc w:val="center"/>
        <w:rPr>
          <w:rFonts w:ascii="Times New Roman" w:eastAsia="Times New Roman" w:hAnsi="Times New Roman" w:cs="Times New Roman"/>
        </w:rPr>
      </w:pPr>
    </w:p>
    <w:p w:rsidR="00D263D9" w:rsidRPr="00E915EE" w:rsidRDefault="00D263D9" w:rsidP="00E915EE">
      <w:pPr>
        <w:jc w:val="center"/>
        <w:rPr>
          <w:rFonts w:ascii="Times New Roman" w:eastAsia="Times New Roman" w:hAnsi="Times New Roman" w:cs="Times New Roman"/>
          <w:sz w:val="22"/>
        </w:rPr>
      </w:pPr>
    </w:p>
    <w:p w:rsidR="00D2635A" w:rsidRPr="00E915EE" w:rsidRDefault="00D2635A" w:rsidP="00E915EE">
      <w:pPr>
        <w:jc w:val="center"/>
        <w:rPr>
          <w:rFonts w:ascii="Times New Roman" w:eastAsia="Times New Roman" w:hAnsi="Times New Roman" w:cs="Times New Roman"/>
          <w:sz w:val="22"/>
        </w:rPr>
      </w:pPr>
    </w:p>
    <w:p w:rsidR="00D2635A" w:rsidRPr="00E915EE" w:rsidRDefault="00D2635A" w:rsidP="00E915EE">
      <w:pPr>
        <w:jc w:val="center"/>
        <w:rPr>
          <w:rFonts w:ascii="Times New Roman" w:eastAsia="Times New Roman" w:hAnsi="Times New Roman" w:cs="Times New Roman"/>
          <w:sz w:val="22"/>
        </w:rPr>
      </w:pPr>
    </w:p>
    <w:p w:rsidR="00D2635A" w:rsidRPr="00E915EE" w:rsidRDefault="00D2635A" w:rsidP="00E915EE">
      <w:pPr>
        <w:jc w:val="center"/>
        <w:rPr>
          <w:rFonts w:ascii="Times New Roman" w:eastAsia="Times New Roman" w:hAnsi="Times New Roman" w:cs="Times New Roman"/>
          <w:sz w:val="22"/>
        </w:rPr>
      </w:pPr>
    </w:p>
    <w:p w:rsidR="00D2635A" w:rsidRPr="00E915EE" w:rsidRDefault="00D2635A" w:rsidP="00E915EE">
      <w:pPr>
        <w:jc w:val="center"/>
        <w:rPr>
          <w:rFonts w:ascii="Times New Roman" w:eastAsia="Times New Roman" w:hAnsi="Times New Roman" w:cs="Times New Roman"/>
          <w:sz w:val="22"/>
        </w:rPr>
      </w:pPr>
    </w:p>
    <w:p w:rsidR="00AC5B23" w:rsidRPr="00E915EE" w:rsidRDefault="00AC5B23" w:rsidP="00E915EE">
      <w:pPr>
        <w:jc w:val="center"/>
        <w:rPr>
          <w:szCs w:val="24"/>
        </w:rPr>
      </w:pPr>
      <w:r w:rsidRPr="00E915EE">
        <w:rPr>
          <w:szCs w:val="24"/>
        </w:rPr>
        <w:t>JUDGMENT</w:t>
      </w: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r w:rsidRPr="00E915EE">
        <w:rPr>
          <w:rFonts w:ascii="Times New Roman" w:eastAsia="Times New Roman" w:hAnsi="Times New Roman" w:cs="Times New Roman"/>
        </w:rPr>
        <w:t>STRASBOURG</w:t>
      </w:r>
    </w:p>
    <w:p w:rsidR="005937F7" w:rsidRPr="00E915EE" w:rsidRDefault="005937F7" w:rsidP="00E915EE">
      <w:pPr>
        <w:jc w:val="center"/>
        <w:rPr>
          <w:rFonts w:ascii="Times New Roman" w:eastAsia="Times New Roman" w:hAnsi="Times New Roman" w:cs="Times New Roman"/>
        </w:rPr>
      </w:pPr>
    </w:p>
    <w:p w:rsidR="005937F7" w:rsidRPr="00E915EE" w:rsidRDefault="00CD49AC" w:rsidP="00E915EE">
      <w:pPr>
        <w:jc w:val="center"/>
        <w:rPr>
          <w:rFonts w:ascii="Times New Roman" w:eastAsia="Times New Roman" w:hAnsi="Times New Roman" w:cs="Times New Roman"/>
        </w:rPr>
      </w:pPr>
      <w:r w:rsidRPr="00E915EE">
        <w:rPr>
          <w:rFonts w:ascii="Times New Roman" w:eastAsia="Times New Roman" w:hAnsi="Times New Roman" w:cs="Times New Roman"/>
        </w:rPr>
        <w:t>10 April 2018</w:t>
      </w: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5937F7" w:rsidRPr="00E915EE" w:rsidRDefault="005937F7" w:rsidP="00E915EE">
      <w:pPr>
        <w:jc w:val="center"/>
        <w:rPr>
          <w:rFonts w:ascii="Times New Roman" w:eastAsia="Times New Roman" w:hAnsi="Times New Roman" w:cs="Times New Roman"/>
        </w:rPr>
      </w:pPr>
    </w:p>
    <w:p w:rsidR="00E915EE" w:rsidRPr="00E915EE" w:rsidRDefault="00E915EE" w:rsidP="00E915EE">
      <w:pPr>
        <w:pStyle w:val="jucase0"/>
        <w:ind w:firstLine="0"/>
        <w:jc w:val="center"/>
        <w:rPr>
          <w:color w:val="FF0000"/>
          <w:sz w:val="28"/>
          <w:szCs w:val="28"/>
          <w:u w:val="single"/>
        </w:rPr>
      </w:pPr>
      <w:r w:rsidRPr="00E915EE">
        <w:rPr>
          <w:color w:val="FF0000"/>
          <w:sz w:val="28"/>
          <w:szCs w:val="28"/>
          <w:u w:val="single"/>
        </w:rPr>
        <w:t>FINAL</w:t>
      </w:r>
    </w:p>
    <w:p w:rsidR="00E915EE" w:rsidRPr="00E915EE" w:rsidRDefault="00E915EE" w:rsidP="00E915EE">
      <w:pPr>
        <w:pStyle w:val="jupara"/>
        <w:tabs>
          <w:tab w:val="left" w:pos="4650"/>
        </w:tabs>
        <w:ind w:firstLine="0"/>
        <w:jc w:val="center"/>
        <w:rPr>
          <w:color w:val="FF0000"/>
          <w:sz w:val="28"/>
          <w:szCs w:val="28"/>
        </w:rPr>
      </w:pPr>
    </w:p>
    <w:p w:rsidR="00E915EE" w:rsidRPr="00E915EE" w:rsidRDefault="00E915EE" w:rsidP="00E915EE">
      <w:pPr>
        <w:pStyle w:val="jupara"/>
        <w:ind w:firstLine="0"/>
        <w:jc w:val="center"/>
        <w:rPr>
          <w:color w:val="FF0000"/>
          <w:sz w:val="28"/>
          <w:szCs w:val="28"/>
        </w:rPr>
      </w:pPr>
      <w:r w:rsidRPr="00E915EE">
        <w:rPr>
          <w:color w:val="FF0000"/>
          <w:sz w:val="28"/>
          <w:szCs w:val="28"/>
        </w:rPr>
        <w:t>10/07/2018</w:t>
      </w:r>
    </w:p>
    <w:p w:rsidR="00E915EE" w:rsidRPr="00E915EE" w:rsidRDefault="00E915EE" w:rsidP="00E915EE">
      <w:pPr>
        <w:pStyle w:val="jupara"/>
        <w:ind w:firstLine="0"/>
        <w:jc w:val="center"/>
      </w:pPr>
    </w:p>
    <w:p w:rsidR="00E915EE" w:rsidRPr="00E915EE" w:rsidRDefault="00E915EE" w:rsidP="00E915EE">
      <w:pPr>
        <w:jc w:val="center"/>
        <w:rPr>
          <w:i/>
          <w:iCs/>
          <w:sz w:val="22"/>
        </w:rPr>
      </w:pPr>
      <w:r w:rsidRPr="00E915EE">
        <w:rPr>
          <w:i/>
          <w:iCs/>
          <w:sz w:val="22"/>
        </w:rPr>
        <w:t>This judgment has become final under Article 44 § 2 of the Convention. It may be subject to editorial revision.</w:t>
      </w:r>
    </w:p>
    <w:p w:rsidR="005937F7" w:rsidRPr="00E915EE" w:rsidRDefault="005937F7" w:rsidP="00E915EE">
      <w:pPr>
        <w:rPr>
          <w:rFonts w:ascii="Times New Roman" w:eastAsia="Times New Roman" w:hAnsi="Times New Roman" w:cs="Times New Roman"/>
          <w:b/>
          <w:szCs w:val="24"/>
        </w:rPr>
      </w:pPr>
    </w:p>
    <w:p w:rsidR="00737B28" w:rsidRPr="00E915EE" w:rsidRDefault="00737B28" w:rsidP="00E915EE">
      <w:pPr>
        <w:rPr>
          <w:rFonts w:ascii="Times New Roman" w:eastAsia="Times New Roman" w:hAnsi="Times New Roman" w:cs="Times New Roman"/>
          <w:b/>
          <w:szCs w:val="24"/>
        </w:rPr>
        <w:sectPr w:rsidR="00737B28" w:rsidRPr="00E915EE" w:rsidSect="005937F7">
          <w:headerReference w:type="default" r:id="rId12"/>
          <w:headerReference w:type="first" r:id="rId13"/>
          <w:footerReference w:type="first" r:id="rId14"/>
          <w:footnotePr>
            <w:numRestart w:val="eachSect"/>
          </w:footnotePr>
          <w:pgSz w:w="11906" w:h="16838" w:code="9"/>
          <w:pgMar w:top="1985" w:right="2274" w:bottom="2274" w:left="2274" w:header="1701" w:footer="720" w:gutter="0"/>
          <w:pgNumType w:start="1"/>
          <w:cols w:space="720"/>
          <w:titlePg/>
          <w:docGrid w:linePitch="326"/>
        </w:sectPr>
      </w:pPr>
    </w:p>
    <w:p w:rsidR="005766EE" w:rsidRPr="00E915EE" w:rsidRDefault="005766EE" w:rsidP="00E915EE">
      <w:pPr>
        <w:pStyle w:val="JuCase"/>
        <w:rPr>
          <w:rFonts w:eastAsia="Times New Roman"/>
          <w:bCs/>
        </w:rPr>
      </w:pPr>
      <w:r w:rsidRPr="00E915EE">
        <w:rPr>
          <w:rFonts w:eastAsia="Times New Roman"/>
        </w:rPr>
        <w:lastRenderedPageBreak/>
        <w:t>In the case of Bistieva and Others v. Poland,</w:t>
      </w:r>
    </w:p>
    <w:p w:rsidR="005766EE" w:rsidRPr="00E915EE" w:rsidRDefault="005766EE" w:rsidP="00E915EE">
      <w:pPr>
        <w:ind w:firstLine="284"/>
        <w:rPr>
          <w:rFonts w:ascii="Times New Roman" w:eastAsia="Times New Roman" w:hAnsi="Times New Roman" w:cs="Times New Roman"/>
        </w:rPr>
      </w:pPr>
      <w:r w:rsidRPr="00E915EE">
        <w:rPr>
          <w:rStyle w:val="ECHRParaChar"/>
        </w:rPr>
        <w:t>The European Court of Human Rights (Fourth Section), sitting as a Chamber composed</w:t>
      </w:r>
      <w:r w:rsidRPr="00E915EE">
        <w:rPr>
          <w:rFonts w:ascii="Times New Roman" w:eastAsia="Times New Roman" w:hAnsi="Times New Roman" w:cs="Times New Roman"/>
        </w:rPr>
        <w:t xml:space="preserve"> of:</w:t>
      </w:r>
    </w:p>
    <w:p w:rsidR="00D33A3A" w:rsidRPr="00E915EE" w:rsidRDefault="00D8635F" w:rsidP="00E915EE">
      <w:pPr>
        <w:pStyle w:val="ECHRDecisionBody"/>
        <w:ind w:left="567" w:hanging="425"/>
        <w:rPr>
          <w:lang w:val="fr-FR"/>
        </w:rPr>
      </w:pPr>
      <w:r w:rsidRPr="00E915EE">
        <w:tab/>
      </w:r>
      <w:r w:rsidRPr="00E915EE">
        <w:rPr>
          <w:lang w:val="fr-FR"/>
        </w:rPr>
        <w:t>Vincent A. De Gaetano,</w:t>
      </w:r>
      <w:r w:rsidRPr="00E915EE">
        <w:rPr>
          <w:i/>
          <w:lang w:val="fr-FR"/>
        </w:rPr>
        <w:t xml:space="preserve"> President,</w:t>
      </w:r>
      <w:r w:rsidRPr="00E915EE">
        <w:rPr>
          <w:i/>
          <w:lang w:val="fr-FR"/>
        </w:rPr>
        <w:br/>
      </w:r>
      <w:r w:rsidR="00D33A3A" w:rsidRPr="00E915EE">
        <w:rPr>
          <w:lang w:val="fr-FR"/>
        </w:rPr>
        <w:t>András Sajó,</w:t>
      </w:r>
    </w:p>
    <w:p w:rsidR="005766EE" w:rsidRPr="00E915EE" w:rsidRDefault="00D8635F" w:rsidP="00E915EE">
      <w:pPr>
        <w:pStyle w:val="ECHRDecisionBody"/>
        <w:rPr>
          <w:rFonts w:eastAsia="Times New Roman"/>
          <w:lang w:val="en-US"/>
        </w:rPr>
      </w:pPr>
      <w:r w:rsidRPr="00E915EE">
        <w:rPr>
          <w:lang w:val="fr-FR"/>
        </w:rPr>
        <w:tab/>
      </w:r>
      <w:r w:rsidRPr="00E915EE">
        <w:rPr>
          <w:lang w:val="en-US"/>
        </w:rPr>
        <w:t>Paulo Pinto de Albuquerque,</w:t>
      </w:r>
      <w:r w:rsidRPr="00E915EE">
        <w:rPr>
          <w:i/>
          <w:lang w:val="en-US"/>
        </w:rPr>
        <w:br/>
      </w:r>
      <w:r w:rsidRPr="00E915EE">
        <w:rPr>
          <w:lang w:val="en-US"/>
        </w:rPr>
        <w:tab/>
        <w:t>Krzysztof Wojtyczek,</w:t>
      </w:r>
      <w:r w:rsidRPr="00E915EE">
        <w:rPr>
          <w:i/>
          <w:lang w:val="en-US"/>
        </w:rPr>
        <w:br/>
      </w:r>
      <w:r w:rsidRPr="00E915EE">
        <w:rPr>
          <w:lang w:val="en-US"/>
        </w:rPr>
        <w:tab/>
        <w:t>Iulia Motoc,</w:t>
      </w:r>
      <w:r w:rsidRPr="00E915EE">
        <w:rPr>
          <w:i/>
          <w:lang w:val="en-US"/>
        </w:rPr>
        <w:br/>
      </w:r>
      <w:r w:rsidRPr="00E915EE">
        <w:rPr>
          <w:lang w:val="en-US"/>
        </w:rPr>
        <w:tab/>
        <w:t>Gabriele Kucsko-Stadlmayer,</w:t>
      </w:r>
      <w:r w:rsidRPr="00E915EE">
        <w:rPr>
          <w:i/>
          <w:lang w:val="en-US"/>
        </w:rPr>
        <w:br/>
      </w:r>
      <w:r w:rsidRPr="00E915EE">
        <w:rPr>
          <w:lang w:val="en-US"/>
        </w:rPr>
        <w:tab/>
        <w:t>Marko Bošnjak,</w:t>
      </w:r>
      <w:r w:rsidRPr="00E915EE">
        <w:rPr>
          <w:i/>
          <w:lang w:val="en-US"/>
        </w:rPr>
        <w:t xml:space="preserve"> judges,</w:t>
      </w:r>
      <w:r w:rsidRPr="00E915EE">
        <w:rPr>
          <w:lang w:val="en-US"/>
        </w:rPr>
        <w:tab/>
      </w:r>
      <w:r w:rsidR="005766EE" w:rsidRPr="00E915EE">
        <w:rPr>
          <w:rFonts w:eastAsia="Times New Roman"/>
          <w:lang w:val="en-US"/>
        </w:rPr>
        <w:br/>
        <w:t xml:space="preserve">and Marialena Tsirli, </w:t>
      </w:r>
      <w:r w:rsidR="005766EE" w:rsidRPr="00E915EE">
        <w:rPr>
          <w:rFonts w:eastAsia="Times New Roman"/>
          <w:i/>
          <w:lang w:val="en-US"/>
        </w:rPr>
        <w:t xml:space="preserve">Section </w:t>
      </w:r>
      <w:r w:rsidR="005766EE" w:rsidRPr="00E915EE">
        <w:rPr>
          <w:rFonts w:eastAsia="Times New Roman"/>
          <w:i/>
          <w:iCs/>
          <w:lang w:val="en-US"/>
        </w:rPr>
        <w:t>Registrar</w:t>
      </w:r>
      <w:r w:rsidR="005766EE" w:rsidRPr="00E915EE">
        <w:rPr>
          <w:rFonts w:eastAsia="Times New Roman"/>
          <w:i/>
          <w:lang w:val="en-US"/>
        </w:rPr>
        <w:t>,</w:t>
      </w:r>
    </w:p>
    <w:p w:rsidR="005766EE" w:rsidRPr="00E915EE" w:rsidRDefault="005766EE" w:rsidP="00E915EE">
      <w:pPr>
        <w:pStyle w:val="ECHRPara"/>
        <w:rPr>
          <w:rFonts w:eastAsia="Times New Roman"/>
        </w:rPr>
      </w:pPr>
      <w:r w:rsidRPr="00E915EE">
        <w:rPr>
          <w:rFonts w:eastAsia="Times New Roman"/>
        </w:rPr>
        <w:t xml:space="preserve">Having deliberated in private on </w:t>
      </w:r>
      <w:r w:rsidR="00F949BD" w:rsidRPr="00E915EE">
        <w:rPr>
          <w:rFonts w:eastAsia="Times New Roman"/>
        </w:rPr>
        <w:t xml:space="preserve">16 May 2017 and </w:t>
      </w:r>
      <w:r w:rsidR="00D8635F" w:rsidRPr="00E915EE">
        <w:rPr>
          <w:rFonts w:eastAsia="Times New Roman"/>
        </w:rPr>
        <w:t>20 February 2018</w:t>
      </w:r>
      <w:r w:rsidRPr="00E915EE">
        <w:rPr>
          <w:rFonts w:eastAsia="Times New Roman"/>
        </w:rPr>
        <w:t>,</w:t>
      </w:r>
    </w:p>
    <w:p w:rsidR="005766EE" w:rsidRPr="00E915EE" w:rsidRDefault="005766EE" w:rsidP="00E915EE">
      <w:pPr>
        <w:pStyle w:val="ECHRPara"/>
        <w:rPr>
          <w:rFonts w:eastAsia="Times New Roman"/>
        </w:rPr>
      </w:pPr>
      <w:r w:rsidRPr="00E915EE">
        <w:rPr>
          <w:rFonts w:eastAsia="Times New Roman"/>
        </w:rPr>
        <w:t xml:space="preserve">Delivers the following judgment, which was adopted on that </w:t>
      </w:r>
      <w:r w:rsidR="00F949BD" w:rsidRPr="00E915EE">
        <w:rPr>
          <w:rFonts w:eastAsia="Times New Roman"/>
        </w:rPr>
        <w:t xml:space="preserve">last </w:t>
      </w:r>
      <w:r w:rsidRPr="00E915EE">
        <w:rPr>
          <w:rFonts w:eastAsia="Times New Roman"/>
        </w:rPr>
        <w:t>date:</w:t>
      </w:r>
    </w:p>
    <w:p w:rsidR="005766EE" w:rsidRPr="00E915EE" w:rsidRDefault="005766EE" w:rsidP="00E915EE">
      <w:pPr>
        <w:pStyle w:val="ECHRTitle1"/>
        <w:rPr>
          <w:rFonts w:eastAsia="Times New Roman"/>
        </w:rPr>
      </w:pPr>
      <w:r w:rsidRPr="00E915EE">
        <w:rPr>
          <w:rFonts w:eastAsia="Times New Roman"/>
        </w:rPr>
        <w:t>PROCEDURE</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1</w:t>
      </w:r>
      <w:r w:rsidRPr="00E915EE">
        <w:rPr>
          <w:rFonts w:eastAsia="Times New Roman"/>
        </w:rPr>
        <w:fldChar w:fldCharType="end"/>
      </w:r>
      <w:r w:rsidRPr="00E915EE">
        <w:rPr>
          <w:rFonts w:eastAsia="Times New Roman"/>
        </w:rPr>
        <w:t>.  The case originated in an application (no. 75157/14) against the Republic of Poland lodged with the Court under Article 34 of the Convention for the Protection of Human Rights and Fundamental Freedoms (“the Convention”) by a Russian national, Ms Zita Bistieva, and her three minor children (“the applicants”), on 26 November 2014.</w:t>
      </w:r>
    </w:p>
    <w:p w:rsidR="00B30003"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2</w:t>
      </w:r>
      <w:r w:rsidRPr="00E915EE">
        <w:rPr>
          <w:rFonts w:eastAsia="Times New Roman"/>
        </w:rPr>
        <w:fldChar w:fldCharType="end"/>
      </w:r>
      <w:r w:rsidRPr="00E915EE">
        <w:rPr>
          <w:rFonts w:eastAsia="Times New Roman"/>
        </w:rPr>
        <w:t>.  The applicants were represented by Mr J. Białas, a lawyer practising in Warsaw. The Polish Government (“the Government”) were represented by their Agent, Ms J. Chrzanowska of the Ministry of Foreign Affairs.</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3</w:t>
      </w:r>
      <w:r w:rsidRPr="00E915EE">
        <w:rPr>
          <w:rFonts w:eastAsia="Times New Roman"/>
        </w:rPr>
        <w:fldChar w:fldCharType="end"/>
      </w:r>
      <w:r w:rsidRPr="00E915EE">
        <w:rPr>
          <w:rFonts w:eastAsia="Times New Roman"/>
        </w:rPr>
        <w:t>.  The applicants alleged that their administrative detention for nearly six months pending their removal to Russia had been in breach of Articles 5 § 1, 5 § 4 and 8 of the Convention.</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4</w:t>
      </w:r>
      <w:r w:rsidRPr="00E915EE">
        <w:rPr>
          <w:rFonts w:eastAsia="Times New Roman"/>
        </w:rPr>
        <w:fldChar w:fldCharType="end"/>
      </w:r>
      <w:r w:rsidRPr="00E915EE">
        <w:rPr>
          <w:rFonts w:eastAsia="Times New Roman"/>
        </w:rPr>
        <w:t xml:space="preserve">.  On </w:t>
      </w:r>
      <w:r w:rsidRPr="00E915EE">
        <w:rPr>
          <w:rFonts w:eastAsia="Times New Roman"/>
          <w:szCs w:val="24"/>
        </w:rPr>
        <w:t>28 September 2015</w:t>
      </w:r>
      <w:r w:rsidRPr="00E915EE">
        <w:rPr>
          <w:rFonts w:eastAsia="Times New Roman"/>
        </w:rPr>
        <w:t xml:space="preserve"> the application was communicated to the Government.</w:t>
      </w:r>
    </w:p>
    <w:p w:rsidR="005766EE" w:rsidRPr="00E915EE" w:rsidRDefault="005766EE" w:rsidP="00E915EE">
      <w:pPr>
        <w:pStyle w:val="ECHRTitle1"/>
        <w:rPr>
          <w:rFonts w:eastAsia="Times New Roman"/>
        </w:rPr>
      </w:pPr>
      <w:r w:rsidRPr="00E915EE">
        <w:rPr>
          <w:rFonts w:eastAsia="Times New Roman"/>
        </w:rPr>
        <w:t>THE FACTS</w:t>
      </w:r>
    </w:p>
    <w:p w:rsidR="005766EE" w:rsidRPr="00E915EE" w:rsidRDefault="005766EE" w:rsidP="00E915EE">
      <w:pPr>
        <w:pStyle w:val="ECHRHeading1"/>
        <w:rPr>
          <w:rFonts w:eastAsia="Times New Roman"/>
        </w:rPr>
      </w:pPr>
      <w:r w:rsidRPr="00E915EE">
        <w:rPr>
          <w:rFonts w:eastAsia="Times New Roman"/>
        </w:rPr>
        <w:t>I.  THE CIRCUMSTANCES OF THE CASE</w:t>
      </w:r>
    </w:p>
    <w:bookmarkStart w:id="2" w:name="p5"/>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5</w:t>
      </w:r>
      <w:r w:rsidRPr="00E915EE">
        <w:rPr>
          <w:rFonts w:eastAsia="Times New Roman"/>
        </w:rPr>
        <w:fldChar w:fldCharType="end"/>
      </w:r>
      <w:bookmarkEnd w:id="2"/>
      <w:r w:rsidRPr="00E915EE">
        <w:rPr>
          <w:rFonts w:eastAsia="Times New Roman"/>
        </w:rPr>
        <w:t>.  The applicants are Ms Zita Bistieva, who was born in 1976, and her three minor children, who were born in 2006, 2008 and 2013, respectively. The applicants live in Herne, Germany.</w:t>
      </w:r>
    </w:p>
    <w:bookmarkStart w:id="3" w:name="p6"/>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w:t>
      </w:r>
      <w:r w:rsidRPr="00E915EE">
        <w:rPr>
          <w:rFonts w:eastAsia="Times New Roman"/>
        </w:rPr>
        <w:fldChar w:fldCharType="end"/>
      </w:r>
      <w:bookmarkEnd w:id="3"/>
      <w:r w:rsidRPr="00E915EE">
        <w:rPr>
          <w:rFonts w:eastAsia="Times New Roman"/>
        </w:rPr>
        <w:t>.  In 2012 Ms Bistieva</w:t>
      </w:r>
      <w:r w:rsidR="00E915EE" w:rsidRPr="00E915EE">
        <w:rPr>
          <w:rFonts w:eastAsia="Times New Roman"/>
        </w:rPr>
        <w:t>’</w:t>
      </w:r>
      <w:r w:rsidRPr="00E915EE">
        <w:rPr>
          <w:rFonts w:eastAsia="Times New Roman"/>
        </w:rPr>
        <w:t>s husband, M.A., and their two elder children arrived in Poland. M.A. applied for asylum for himself and his family.</w:t>
      </w:r>
    </w:p>
    <w:bookmarkStart w:id="4" w:name="p7"/>
    <w:p w:rsidR="005766EE" w:rsidRPr="00E915EE" w:rsidRDefault="005766EE" w:rsidP="00E915EE">
      <w:pPr>
        <w:pStyle w:val="ECHRPara"/>
        <w:rPr>
          <w:rFonts w:eastAsia="Times New Roman"/>
        </w:rPr>
      </w:pPr>
      <w:r w:rsidRPr="00E915EE">
        <w:rPr>
          <w:rFonts w:eastAsia="Times New Roman"/>
        </w:rPr>
        <w:lastRenderedPageBreak/>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7</w:t>
      </w:r>
      <w:r w:rsidRPr="00E915EE">
        <w:rPr>
          <w:rFonts w:eastAsia="Times New Roman"/>
        </w:rPr>
        <w:fldChar w:fldCharType="end"/>
      </w:r>
      <w:bookmarkEnd w:id="4"/>
      <w:r w:rsidRPr="00E915EE">
        <w:rPr>
          <w:rFonts w:eastAsia="Times New Roman"/>
        </w:rPr>
        <w:t>.  On 6 March 2013 the head of the Aliens Office (</w:t>
      </w:r>
      <w:r w:rsidRPr="00E915EE">
        <w:rPr>
          <w:rFonts w:eastAsia="Times New Roman"/>
          <w:i/>
        </w:rPr>
        <w:t>Szef Urzędu do Spraw Cudzoziemców</w:t>
      </w:r>
      <w:r w:rsidRPr="00E915EE">
        <w:rPr>
          <w:rFonts w:eastAsia="Times New Roman"/>
        </w:rPr>
        <w:t>) decided not to grant M.A. and his family refugee status and to expel them from Poland (decision no. PU</w:t>
      </w:r>
      <w:r w:rsidRPr="00E915EE">
        <w:rPr>
          <w:rFonts w:eastAsia="Times New Roman"/>
        </w:rPr>
        <w:noBreakHyphen/>
        <w:t>420</w:t>
      </w:r>
      <w:r w:rsidRPr="00E915EE">
        <w:rPr>
          <w:rFonts w:eastAsia="Times New Roman"/>
        </w:rPr>
        <w:noBreakHyphen/>
        <w:t>37001/SU/2012). That decision was upheld by the Refugee Council on 10 May 2013 (no. RdU-133-1/S/13). No appeal was lodged before the administrative court.</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8</w:t>
      </w:r>
      <w:r w:rsidRPr="00E915EE">
        <w:rPr>
          <w:rFonts w:eastAsia="Times New Roman"/>
        </w:rPr>
        <w:fldChar w:fldCharType="end"/>
      </w:r>
      <w:r w:rsidRPr="00E915EE">
        <w:rPr>
          <w:rFonts w:eastAsia="Times New Roman"/>
        </w:rPr>
        <w:t>.  Soon afterwards the family fled to Germany, where Ms Bistieva</w:t>
      </w:r>
      <w:r w:rsidR="00E915EE" w:rsidRPr="00E915EE">
        <w:rPr>
          <w:rFonts w:eastAsia="Times New Roman"/>
        </w:rPr>
        <w:t>’</w:t>
      </w:r>
      <w:r w:rsidRPr="00E915EE">
        <w:rPr>
          <w:rFonts w:eastAsia="Times New Roman"/>
        </w:rPr>
        <w:t>s third child was born in July 2013.</w:t>
      </w:r>
    </w:p>
    <w:bookmarkStart w:id="5" w:name="p9"/>
    <w:p w:rsidR="00B30003"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9</w:t>
      </w:r>
      <w:r w:rsidRPr="00E915EE">
        <w:rPr>
          <w:rFonts w:eastAsia="Times New Roman"/>
        </w:rPr>
        <w:fldChar w:fldCharType="end"/>
      </w:r>
      <w:bookmarkEnd w:id="5"/>
      <w:r w:rsidRPr="00E915EE">
        <w:rPr>
          <w:rFonts w:eastAsia="Times New Roman"/>
        </w:rPr>
        <w:t>.  On 28 May 2013 the Polish authorities took over the jurisdiction over the family</w:t>
      </w:r>
      <w:r w:rsidR="00E915EE" w:rsidRPr="00E915EE">
        <w:rPr>
          <w:rFonts w:eastAsia="Times New Roman"/>
        </w:rPr>
        <w:t>’</w:t>
      </w:r>
      <w:r w:rsidRPr="00E915EE">
        <w:rPr>
          <w:rFonts w:eastAsia="Times New Roman"/>
        </w:rPr>
        <w:t>s case under Council Regulation (EC) No. 343/2003 (“the Dublin</w:t>
      </w:r>
      <w:r w:rsidR="003B1608" w:rsidRPr="00E915EE">
        <w:rPr>
          <w:rFonts w:eastAsia="Times New Roman"/>
        </w:rPr>
        <w:t> </w:t>
      </w:r>
      <w:r w:rsidRPr="00E915EE">
        <w:rPr>
          <w:rFonts w:eastAsia="Times New Roman"/>
        </w:rPr>
        <w:t>II Regulation”). On 9 January 2014 Ms Bistieva and her three children were sent back to Poland.</w:t>
      </w:r>
    </w:p>
    <w:bookmarkStart w:id="6" w:name="p10"/>
    <w:p w:rsidR="00B30003" w:rsidRPr="00E915EE" w:rsidRDefault="005766EE" w:rsidP="00E915EE">
      <w:pPr>
        <w:pStyle w:val="ECHRPara"/>
        <w:rPr>
          <w:rFonts w:eastAsia="Times New Roman"/>
          <w:lang w:val="en-US"/>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10</w:t>
      </w:r>
      <w:r w:rsidRPr="00E915EE">
        <w:rPr>
          <w:rFonts w:eastAsia="Times New Roman"/>
        </w:rPr>
        <w:fldChar w:fldCharType="end"/>
      </w:r>
      <w:bookmarkEnd w:id="6"/>
      <w:r w:rsidRPr="00E915EE">
        <w:rPr>
          <w:rFonts w:eastAsia="Times New Roman"/>
        </w:rPr>
        <w:t>.  On 9 January 2014 the S</w:t>
      </w:r>
      <w:r w:rsidRPr="00E915EE">
        <w:rPr>
          <w:rFonts w:eastAsia="Times New Roman"/>
          <w:lang w:val="en-US"/>
        </w:rPr>
        <w:t>łubice District Court (</w:t>
      </w:r>
      <w:r w:rsidRPr="00E915EE">
        <w:rPr>
          <w:rFonts w:eastAsia="Times New Roman"/>
          <w:i/>
          <w:lang w:val="en-US"/>
        </w:rPr>
        <w:t>Sąd Rejonowy</w:t>
      </w:r>
      <w:r w:rsidRPr="00E915EE">
        <w:rPr>
          <w:rFonts w:eastAsia="Times New Roman"/>
          <w:lang w:val="en-US"/>
        </w:rPr>
        <w:t>) ordered the applicants</w:t>
      </w:r>
      <w:r w:rsidR="00E915EE" w:rsidRPr="00E915EE">
        <w:rPr>
          <w:rFonts w:eastAsia="Times New Roman"/>
          <w:lang w:val="en-US"/>
        </w:rPr>
        <w:t>’</w:t>
      </w:r>
      <w:r w:rsidRPr="00E915EE">
        <w:rPr>
          <w:rFonts w:eastAsia="Times New Roman"/>
          <w:lang w:val="en-US"/>
        </w:rPr>
        <w:t xml:space="preserve"> committal until 8 April 2014 to the family wing of a guarded centre for aliens (</w:t>
      </w:r>
      <w:r w:rsidRPr="00E915EE">
        <w:rPr>
          <w:rFonts w:eastAsia="Times New Roman"/>
          <w:i/>
          <w:lang w:val="en-US"/>
        </w:rPr>
        <w:t>Strzeżony Ośrodek dla Cudzoziemców</w:t>
      </w:r>
      <w:r w:rsidRPr="00E915EE">
        <w:rPr>
          <w:rFonts w:eastAsia="Times New Roman"/>
          <w:lang w:val="en-US"/>
        </w:rPr>
        <w:t>) in Kętrzyn. It was held that the applicants should be detained pending their expulsion, which had been ordered by the head of the Aliens Office (</w:t>
      </w:r>
      <w:r w:rsidRPr="00E915EE">
        <w:rPr>
          <w:rFonts w:eastAsia="Times New Roman"/>
          <w:i/>
          <w:lang w:val="en-US"/>
        </w:rPr>
        <w:t>Szef Urzędu do Spraw Cudzoziemców</w:t>
      </w:r>
      <w:r w:rsidRPr="00E915EE">
        <w:rPr>
          <w:rFonts w:eastAsia="Times New Roman"/>
          <w:lang w:val="en-US"/>
        </w:rPr>
        <w:t>) on 6 March 2013 and in view of the risk that they might again flee the country.</w:t>
      </w:r>
    </w:p>
    <w:bookmarkStart w:id="7" w:name="p11"/>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11</w:t>
      </w:r>
      <w:r w:rsidRPr="00E915EE">
        <w:rPr>
          <w:rFonts w:eastAsia="Times New Roman"/>
          <w:noProof/>
          <w:lang w:val="en-US"/>
        </w:rPr>
        <w:fldChar w:fldCharType="end"/>
      </w:r>
      <w:bookmarkEnd w:id="7"/>
      <w:r w:rsidRPr="00E915EE">
        <w:rPr>
          <w:rFonts w:eastAsia="Times New Roman"/>
          <w:lang w:val="en-US"/>
        </w:rPr>
        <w:t>.  The information about the guarded centre for aliens in Kętrzyn</w:t>
      </w:r>
      <w:r w:rsidR="002378F4" w:rsidRPr="00E915EE">
        <w:rPr>
          <w:rFonts w:eastAsia="Times New Roman"/>
          <w:lang w:val="en-US"/>
        </w:rPr>
        <w:t xml:space="preserve"> which is presented in paragraphs 12-16 below,</w:t>
      </w:r>
      <w:r w:rsidRPr="00E915EE">
        <w:rPr>
          <w:rFonts w:eastAsia="Times New Roman"/>
          <w:lang w:val="en-US"/>
        </w:rPr>
        <w:t xml:space="preserve"> is </w:t>
      </w:r>
      <w:r w:rsidR="00580624" w:rsidRPr="00E915EE">
        <w:rPr>
          <w:rFonts w:eastAsia="Times New Roman"/>
          <w:lang w:val="en-US"/>
        </w:rPr>
        <w:t>derived from</w:t>
      </w:r>
      <w:r w:rsidRPr="00E915EE">
        <w:rPr>
          <w:rFonts w:eastAsia="Times New Roman"/>
          <w:lang w:val="en-US"/>
        </w:rPr>
        <w:t xml:space="preserve"> the reports of the Helsinki Foundation for Human Rights, which resulted from their monitoring visits in 2012 and in January and February of 2014.</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12</w:t>
      </w:r>
      <w:r w:rsidRPr="00E915EE">
        <w:rPr>
          <w:rFonts w:eastAsia="Times New Roman"/>
          <w:noProof/>
          <w:lang w:val="en-US"/>
        </w:rPr>
        <w:fldChar w:fldCharType="end"/>
      </w:r>
      <w:r w:rsidRPr="00E915EE">
        <w:rPr>
          <w:rFonts w:eastAsia="Times New Roman"/>
          <w:lang w:val="en-US"/>
        </w:rPr>
        <w:t>.  The Kętrzyn centre was opened in 2008. At the material time, it only hosted families and unaccompanied children. In January and February 2014, 70 migrants were held there. That number included 13 men, 19 women and 38</w:t>
      </w:r>
      <w:r w:rsidR="003B1608" w:rsidRPr="00E915EE">
        <w:rPr>
          <w:rFonts w:eastAsia="Times New Roman"/>
          <w:lang w:val="en-US"/>
        </w:rPr>
        <w:t> </w:t>
      </w:r>
      <w:r w:rsidRPr="00E915EE">
        <w:rPr>
          <w:rFonts w:eastAsia="Times New Roman"/>
          <w:lang w:val="en-US"/>
        </w:rPr>
        <w:t>minors. The majority of migrants in the centre were Russian nationals. The centre was surrounded with a high wall or fence with a single barbed wire on top. Kętrzyn was one of the two guarded centres in Poland which had done away with an additional barbed wire on the fence. Unlike in many other guarded centres, the one in Kętrzyn had outer but no inner bars on the windows and the windows in the day rooms (</w:t>
      </w:r>
      <w:r w:rsidRPr="00E915EE">
        <w:rPr>
          <w:rFonts w:eastAsia="Times New Roman"/>
          <w:i/>
          <w:lang w:val="en-US"/>
        </w:rPr>
        <w:t>świetlica</w:t>
      </w:r>
      <w:r w:rsidRPr="00E915EE">
        <w:rPr>
          <w:rFonts w:eastAsia="Times New Roman"/>
          <w:lang w:val="en-US"/>
        </w:rPr>
        <w:t>) were without any bars. Unlike in all other guarded centres, the bars allowed for windows to be opened sufficiently wide.</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13</w:t>
      </w:r>
      <w:r w:rsidRPr="00E915EE">
        <w:rPr>
          <w:rFonts w:eastAsia="Times New Roman"/>
          <w:noProof/>
          <w:lang w:val="en-US"/>
        </w:rPr>
        <w:fldChar w:fldCharType="end"/>
      </w:r>
      <w:r w:rsidRPr="00E915EE">
        <w:rPr>
          <w:rFonts w:eastAsia="Times New Roman"/>
          <w:lang w:val="en-US"/>
        </w:rPr>
        <w:t xml:space="preserve">.  The overall living conditions in the centre were </w:t>
      </w:r>
      <w:r w:rsidR="00DB10CE" w:rsidRPr="00E915EE">
        <w:rPr>
          <w:rFonts w:eastAsia="Times New Roman"/>
          <w:lang w:val="en-US"/>
        </w:rPr>
        <w:t xml:space="preserve">assessed as </w:t>
      </w:r>
      <w:r w:rsidRPr="00E915EE">
        <w:rPr>
          <w:rFonts w:eastAsia="Times New Roman"/>
          <w:lang w:val="en-US"/>
        </w:rPr>
        <w:t>good. Each family occupied one room which was equipped with basic furniture. They had, in principle, unlimited access to common areas in the building, which included, a dining room, a number of kitchenettes, laundry rooms and day rooms (equipped with a TV-set, board games, video games and toys, a small gym and a library (containing a large number of publications in Russian and other languages). Migrants in Kętrzyn had also access to outdoor recreational grounds for adults and children. Outdoor time was limited to one hour per day unless, a migrant participated in sport or other type of activities.</w:t>
      </w:r>
    </w:p>
    <w:p w:rsidR="00B30003" w:rsidRPr="00E915EE" w:rsidRDefault="005766EE" w:rsidP="00E915EE">
      <w:pPr>
        <w:pStyle w:val="ECHRPara"/>
        <w:rPr>
          <w:rFonts w:eastAsia="Times New Roman"/>
          <w:lang w:val="en-US"/>
        </w:rPr>
      </w:pPr>
      <w:r w:rsidRPr="00E915EE">
        <w:rPr>
          <w:rFonts w:eastAsia="Times New Roman"/>
          <w:lang w:val="en-US"/>
        </w:rPr>
        <w:lastRenderedPageBreak/>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14</w:t>
      </w:r>
      <w:r w:rsidRPr="00E915EE">
        <w:rPr>
          <w:rFonts w:eastAsia="Times New Roman"/>
          <w:noProof/>
          <w:lang w:val="en-US"/>
        </w:rPr>
        <w:fldChar w:fldCharType="end"/>
      </w:r>
      <w:r w:rsidRPr="00E915EE">
        <w:rPr>
          <w:rFonts w:eastAsia="Times New Roman"/>
          <w:lang w:val="en-US"/>
        </w:rPr>
        <w:t>.  Adequate medical care, including dental and psychological care, was provided in the Kętrzyn centre.</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15</w:t>
      </w:r>
      <w:r w:rsidRPr="00E915EE">
        <w:rPr>
          <w:rFonts w:eastAsia="Times New Roman"/>
          <w:noProof/>
          <w:lang w:val="en-US"/>
        </w:rPr>
        <w:fldChar w:fldCharType="end"/>
      </w:r>
      <w:r w:rsidRPr="00E915EE">
        <w:rPr>
          <w:rFonts w:eastAsia="Times New Roman"/>
          <w:lang w:val="en-US"/>
        </w:rPr>
        <w:t xml:space="preserve">.  The staff of that establishment had received particularly positive evaluation from its occupants. Many staff members spoke Russian, they were closely supervised by the governor, who regularly talked to the migrants. The security measures were much more relaxed than in other </w:t>
      </w:r>
      <w:r w:rsidRPr="00E915EE">
        <w:rPr>
          <w:rFonts w:eastAsia="Times New Roman"/>
        </w:rPr>
        <w:t>centres</w:t>
      </w:r>
      <w:r w:rsidRPr="00E915EE">
        <w:rPr>
          <w:rFonts w:eastAsia="Times New Roman"/>
          <w:lang w:val="en-US"/>
        </w:rPr>
        <w:t xml:space="preserve"> for aliens. The premises were clean and adapted to children.</w:t>
      </w:r>
    </w:p>
    <w:bookmarkStart w:id="8" w:name="new16"/>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16</w:t>
      </w:r>
      <w:r w:rsidRPr="00E915EE">
        <w:rPr>
          <w:rFonts w:eastAsia="Times New Roman"/>
          <w:noProof/>
          <w:lang w:val="en-US"/>
        </w:rPr>
        <w:fldChar w:fldCharType="end"/>
      </w:r>
      <w:bookmarkEnd w:id="8"/>
      <w:r w:rsidRPr="00E915EE">
        <w:rPr>
          <w:rFonts w:eastAsia="Times New Roman"/>
          <w:lang w:val="en-US"/>
        </w:rPr>
        <w:t xml:space="preserve">.  Education of migrant children and adults was provided on the </w:t>
      </w:r>
      <w:r w:rsidRPr="00E915EE">
        <w:rPr>
          <w:rFonts w:eastAsia="Times New Roman"/>
        </w:rPr>
        <w:t>centre</w:t>
      </w:r>
      <w:r w:rsidR="00E915EE" w:rsidRPr="00E915EE">
        <w:rPr>
          <w:rFonts w:eastAsia="Times New Roman"/>
        </w:rPr>
        <w:t>’</w:t>
      </w:r>
      <w:r w:rsidRPr="00E915EE">
        <w:rPr>
          <w:rFonts w:eastAsia="Times New Roman"/>
        </w:rPr>
        <w:t>s</w:t>
      </w:r>
      <w:r w:rsidRPr="00E915EE">
        <w:rPr>
          <w:rFonts w:eastAsia="Times New Roman"/>
          <w:lang w:val="en-US"/>
        </w:rPr>
        <w:t xml:space="preserve"> premises by the local authorities and pedagogy students from a nearby university. The classes of Polish, mathematics and geography were run by qualified teachers and the students either received school report cards or certificates of attendance. The classes were organised every day and, in early 2014, lasted from one hour to one hour and a half. In principle, children of all school ages and different language levels were mixed. Individual </w:t>
      </w:r>
      <w:r w:rsidRPr="00E915EE">
        <w:rPr>
          <w:rFonts w:eastAsia="Times New Roman"/>
        </w:rPr>
        <w:t>programmes</w:t>
      </w:r>
      <w:r w:rsidRPr="00E915EE">
        <w:rPr>
          <w:rFonts w:eastAsia="Times New Roman"/>
          <w:lang w:val="en-US"/>
        </w:rPr>
        <w:t xml:space="preserve"> had, occasionally been offered to those children who had previously studied in a Polish school. A wide range of outdoor and indoor activities, and events were available. They were run by staff members dressed in civilian clothing or visitors from the local school of music.</w:t>
      </w:r>
    </w:p>
    <w:bookmarkStart w:id="9" w:name="p12"/>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17</w:t>
      </w:r>
      <w:r w:rsidRPr="00E915EE">
        <w:rPr>
          <w:rFonts w:eastAsia="Times New Roman"/>
          <w:noProof/>
          <w:lang w:val="en-US"/>
        </w:rPr>
        <w:fldChar w:fldCharType="end"/>
      </w:r>
      <w:bookmarkEnd w:id="9"/>
      <w:r w:rsidRPr="00E915EE">
        <w:rPr>
          <w:rFonts w:eastAsia="Times New Roman"/>
          <w:lang w:val="en-US"/>
        </w:rPr>
        <w:t>.  Ms Bistieva appealed, arguing that the administrative detention of herself and her children was unjustified and disregarded the fact that her husband had stayed behind in Germany, having been</w:t>
      </w:r>
      <w:r w:rsidRPr="00E915EE">
        <w:rPr>
          <w:rFonts w:eastAsia="Times New Roman"/>
        </w:rPr>
        <w:t xml:space="preserve"> hospitalised</w:t>
      </w:r>
      <w:r w:rsidRPr="00E915EE">
        <w:rPr>
          <w:rFonts w:eastAsia="Times New Roman"/>
          <w:lang w:val="en-US"/>
        </w:rPr>
        <w:t xml:space="preserve"> when his family was sent back to Poland.</w:t>
      </w:r>
    </w:p>
    <w:bookmarkStart w:id="10" w:name="p13"/>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18</w:t>
      </w:r>
      <w:r w:rsidRPr="00E915EE">
        <w:rPr>
          <w:rFonts w:eastAsia="Times New Roman"/>
          <w:noProof/>
          <w:lang w:val="en-US"/>
        </w:rPr>
        <w:fldChar w:fldCharType="end"/>
      </w:r>
      <w:bookmarkEnd w:id="10"/>
      <w:r w:rsidRPr="00E915EE">
        <w:rPr>
          <w:rFonts w:eastAsia="Times New Roman"/>
          <w:lang w:val="en-US"/>
        </w:rPr>
        <w:t>.  On 27 January 2014 the Warmińsko-Mazurski Governor (</w:t>
      </w:r>
      <w:r w:rsidRPr="00E915EE">
        <w:rPr>
          <w:rFonts w:eastAsia="Times New Roman"/>
          <w:i/>
          <w:lang w:val="en-US"/>
        </w:rPr>
        <w:t>Wojewoda</w:t>
      </w:r>
      <w:r w:rsidRPr="00E915EE">
        <w:rPr>
          <w:rFonts w:eastAsia="Times New Roman"/>
          <w:lang w:val="en-US"/>
        </w:rPr>
        <w:t>) refused to order the expulsion of Ms Bistieva</w:t>
      </w:r>
      <w:r w:rsidR="00E915EE" w:rsidRPr="00E915EE">
        <w:rPr>
          <w:rFonts w:eastAsia="Times New Roman"/>
          <w:lang w:val="en-US"/>
        </w:rPr>
        <w:t>’</w:t>
      </w:r>
      <w:r w:rsidRPr="00E915EE">
        <w:rPr>
          <w:rFonts w:eastAsia="Times New Roman"/>
          <w:lang w:val="en-US"/>
        </w:rPr>
        <w:t>s youngest child, which was sought by the head of the Świecko Border Guard (</w:t>
      </w:r>
      <w:r w:rsidRPr="00E915EE">
        <w:rPr>
          <w:rFonts w:eastAsia="Times New Roman"/>
          <w:i/>
          <w:lang w:val="en-US"/>
        </w:rPr>
        <w:t>Komendant Placówki Straży Granicznej</w:t>
      </w:r>
      <w:r w:rsidRPr="00E915EE">
        <w:rPr>
          <w:rFonts w:eastAsia="Times New Roman"/>
          <w:lang w:val="en-US"/>
        </w:rPr>
        <w:t>). It was held that the 2013 expulsion decision did not cover the child, who was born later in Germany and whose presence in Poland resulted from a decision of the German authorities. It followed that the child</w:t>
      </w:r>
      <w:r w:rsidR="00E915EE" w:rsidRPr="00E915EE">
        <w:rPr>
          <w:rFonts w:eastAsia="Times New Roman"/>
          <w:lang w:val="en-US"/>
        </w:rPr>
        <w:t>’</w:t>
      </w:r>
      <w:r w:rsidRPr="00E915EE">
        <w:rPr>
          <w:rFonts w:eastAsia="Times New Roman"/>
          <w:lang w:val="en-US"/>
        </w:rPr>
        <w:t>s presence in Poland, unlike that of the rest of his family, was not illegal.</w:t>
      </w:r>
    </w:p>
    <w:bookmarkStart w:id="11" w:name="p14"/>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19</w:t>
      </w:r>
      <w:r w:rsidRPr="00E915EE">
        <w:rPr>
          <w:rFonts w:eastAsia="Times New Roman"/>
          <w:noProof/>
          <w:lang w:val="en-US"/>
        </w:rPr>
        <w:fldChar w:fldCharType="end"/>
      </w:r>
      <w:bookmarkEnd w:id="11"/>
      <w:r w:rsidRPr="00E915EE">
        <w:rPr>
          <w:rFonts w:eastAsia="Times New Roman"/>
          <w:lang w:val="en-US"/>
        </w:rPr>
        <w:t>.  On 28 January 2014 Ms Bistieva applied for refugee status for herself and her three children. She also applied for a stay of the enforcement of the 2013 expulsion decision.</w:t>
      </w:r>
    </w:p>
    <w:bookmarkStart w:id="12" w:name="p15"/>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20</w:t>
      </w:r>
      <w:r w:rsidRPr="00E915EE">
        <w:rPr>
          <w:rFonts w:eastAsia="Times New Roman"/>
          <w:noProof/>
          <w:lang w:val="en-US"/>
        </w:rPr>
        <w:fldChar w:fldCharType="end"/>
      </w:r>
      <w:bookmarkEnd w:id="12"/>
      <w:r w:rsidRPr="00E915EE">
        <w:rPr>
          <w:rFonts w:eastAsia="Times New Roman"/>
          <w:lang w:val="en-US"/>
        </w:rPr>
        <w:t>.  On 4 February 2014 the Kętrzyn District Court decided to extend the detention of all the applicants at the guarded centre for aliens until 27 April 2014. The domestic court relied on the fact that the 2013 expulsion decision was enforceable despite Ms Bistieva</w:t>
      </w:r>
      <w:r w:rsidR="00E915EE" w:rsidRPr="00E915EE">
        <w:rPr>
          <w:rFonts w:eastAsia="Times New Roman"/>
          <w:lang w:val="en-US"/>
        </w:rPr>
        <w:t>’</w:t>
      </w:r>
      <w:r w:rsidRPr="00E915EE">
        <w:rPr>
          <w:rFonts w:eastAsia="Times New Roman"/>
          <w:lang w:val="en-US"/>
        </w:rPr>
        <w:t>s renewed asylum application and that the identification of the family members was being carried out by the Polish authorities. The applicant did not appeal against that decision.</w:t>
      </w:r>
    </w:p>
    <w:bookmarkStart w:id="13" w:name="p16"/>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21</w:t>
      </w:r>
      <w:r w:rsidRPr="00E915EE">
        <w:rPr>
          <w:rFonts w:eastAsia="Times New Roman"/>
          <w:noProof/>
          <w:lang w:val="en-US"/>
        </w:rPr>
        <w:fldChar w:fldCharType="end"/>
      </w:r>
      <w:bookmarkEnd w:id="13"/>
      <w:r w:rsidRPr="00E915EE">
        <w:rPr>
          <w:rFonts w:eastAsia="Times New Roman"/>
          <w:lang w:val="en-US"/>
        </w:rPr>
        <w:t>.  On 5 February 2014 the Gorzów Wlkp. Regional Court (</w:t>
      </w:r>
      <w:r w:rsidRPr="00E915EE">
        <w:rPr>
          <w:rFonts w:eastAsia="Times New Roman"/>
          <w:i/>
          <w:lang w:val="en-US"/>
        </w:rPr>
        <w:t>Sąd Okręgowy</w:t>
      </w:r>
      <w:r w:rsidRPr="00E915EE">
        <w:rPr>
          <w:rFonts w:eastAsia="Times New Roman"/>
          <w:lang w:val="en-US"/>
        </w:rPr>
        <w:t xml:space="preserve">) upheld the decision of 9 January 2014. It was held that the decision to place Ms Bistieva in administrative detention was justified because she was an illegal alien in Poland and she had crossed the German </w:t>
      </w:r>
      <w:r w:rsidRPr="00E915EE">
        <w:rPr>
          <w:rFonts w:eastAsia="Times New Roman"/>
          <w:lang w:val="en-US"/>
        </w:rPr>
        <w:lastRenderedPageBreak/>
        <w:t>border illegally. The fact that she had minor children could not be considered as a sufficient reason for quashing the impugned decision. The guarded centre for aliens in Kętrzyn provided adequate living conditions and medical care to the family. Any inconvenience suffered by Ms Bistieva</w:t>
      </w:r>
      <w:r w:rsidR="00E915EE" w:rsidRPr="00E915EE">
        <w:rPr>
          <w:rFonts w:eastAsia="Times New Roman"/>
          <w:lang w:val="en-US"/>
        </w:rPr>
        <w:t>’</w:t>
      </w:r>
      <w:r w:rsidRPr="00E915EE">
        <w:rPr>
          <w:rFonts w:eastAsia="Times New Roman"/>
          <w:lang w:val="en-US"/>
        </w:rPr>
        <w:t>s family was the result not of their placement at the guarded centre but rather of Ms Bistieva</w:t>
      </w:r>
      <w:r w:rsidR="00E915EE" w:rsidRPr="00E915EE">
        <w:rPr>
          <w:rFonts w:eastAsia="Times New Roman"/>
          <w:lang w:val="en-US"/>
        </w:rPr>
        <w:t>’</w:t>
      </w:r>
      <w:r w:rsidRPr="00E915EE">
        <w:rPr>
          <w:rFonts w:eastAsia="Times New Roman"/>
          <w:lang w:val="en-US"/>
        </w:rPr>
        <w:t>s illegal immigration to Poland.</w:t>
      </w:r>
    </w:p>
    <w:bookmarkStart w:id="14" w:name="p17"/>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22</w:t>
      </w:r>
      <w:r w:rsidRPr="00E915EE">
        <w:rPr>
          <w:rFonts w:eastAsia="Times New Roman"/>
          <w:noProof/>
          <w:lang w:val="en-US"/>
        </w:rPr>
        <w:fldChar w:fldCharType="end"/>
      </w:r>
      <w:bookmarkEnd w:id="14"/>
      <w:r w:rsidRPr="00E915EE">
        <w:rPr>
          <w:rFonts w:eastAsia="Times New Roman"/>
          <w:lang w:val="en-US"/>
        </w:rPr>
        <w:t>.  On 19 February 2014 the head of the Aliens Office decided not to grant the application to stay the enforcement of the 2013 expulsion decision. It was noted that the decision covered all the applicants. The authority considered that Ms Bistieva</w:t>
      </w:r>
      <w:r w:rsidR="00E915EE" w:rsidRPr="00E915EE">
        <w:rPr>
          <w:rFonts w:eastAsia="Times New Roman"/>
          <w:lang w:val="en-US"/>
        </w:rPr>
        <w:t>’</w:t>
      </w:r>
      <w:r w:rsidRPr="00E915EE">
        <w:rPr>
          <w:rFonts w:eastAsia="Times New Roman"/>
          <w:lang w:val="en-US"/>
        </w:rPr>
        <w:t>s new application for asylum was likely to fail as it was based on similar grounds as the one rejected in 2013. The applicant did not appeal. On 11 March 2014 the head of the Aliens Office issued a corrigendum to that decision and removed Ms Bistieva</w:t>
      </w:r>
      <w:r w:rsidR="00E915EE" w:rsidRPr="00E915EE">
        <w:rPr>
          <w:rFonts w:eastAsia="Times New Roman"/>
          <w:lang w:val="en-US"/>
        </w:rPr>
        <w:t>’</w:t>
      </w:r>
      <w:r w:rsidRPr="00E915EE">
        <w:rPr>
          <w:rFonts w:eastAsia="Times New Roman"/>
          <w:lang w:val="en-US"/>
        </w:rPr>
        <w:t>s youngest child from its scope.</w:t>
      </w:r>
    </w:p>
    <w:bookmarkStart w:id="15" w:name="p18"/>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23</w:t>
      </w:r>
      <w:r w:rsidRPr="00E915EE">
        <w:rPr>
          <w:rFonts w:eastAsia="Times New Roman"/>
          <w:noProof/>
          <w:lang w:val="en-US"/>
        </w:rPr>
        <w:fldChar w:fldCharType="end"/>
      </w:r>
      <w:bookmarkEnd w:id="15"/>
      <w:r w:rsidRPr="00E915EE">
        <w:rPr>
          <w:rFonts w:eastAsia="Times New Roman"/>
          <w:lang w:val="en-US"/>
        </w:rPr>
        <w:t>.  It appears that on 20 February 2014 Ms Bistieva</w:t>
      </w:r>
      <w:r w:rsidR="00E915EE" w:rsidRPr="00E915EE">
        <w:rPr>
          <w:rFonts w:eastAsia="Times New Roman"/>
          <w:lang w:val="en-US"/>
        </w:rPr>
        <w:t>’</w:t>
      </w:r>
      <w:r w:rsidRPr="00E915EE">
        <w:rPr>
          <w:rFonts w:eastAsia="Times New Roman"/>
          <w:lang w:val="en-US"/>
        </w:rPr>
        <w:t>s husband was transferred to Poland and placed in the same guarded centre as the applicants.</w:t>
      </w:r>
    </w:p>
    <w:bookmarkStart w:id="16" w:name="p19"/>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24</w:t>
      </w:r>
      <w:r w:rsidRPr="00E915EE">
        <w:rPr>
          <w:rFonts w:eastAsia="Times New Roman"/>
          <w:noProof/>
          <w:lang w:val="en-US"/>
        </w:rPr>
        <w:fldChar w:fldCharType="end"/>
      </w:r>
      <w:bookmarkEnd w:id="16"/>
      <w:r w:rsidRPr="00E915EE">
        <w:rPr>
          <w:rFonts w:eastAsia="Times New Roman"/>
          <w:lang w:val="en-US"/>
        </w:rPr>
        <w:t>.  In view of the 2013 decision, which was enforceable, on 18 April 2014 the head of the Aliens Office discontinued the applicants</w:t>
      </w:r>
      <w:r w:rsidR="00E915EE" w:rsidRPr="00E915EE">
        <w:rPr>
          <w:rFonts w:eastAsia="Times New Roman"/>
          <w:lang w:val="en-US"/>
        </w:rPr>
        <w:t>’</w:t>
      </w:r>
      <w:r w:rsidRPr="00E915EE">
        <w:rPr>
          <w:rFonts w:eastAsia="Times New Roman"/>
          <w:lang w:val="en-US"/>
        </w:rPr>
        <w:t xml:space="preserve"> asylum proceedings (decision no. DPU-420-214/SU/2014). That decision was served on Ms Bistieva on 23 April 2014. She did not appeal.</w:t>
      </w:r>
    </w:p>
    <w:bookmarkStart w:id="17" w:name="p20"/>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25</w:t>
      </w:r>
      <w:r w:rsidRPr="00E915EE">
        <w:rPr>
          <w:rFonts w:eastAsia="Times New Roman"/>
          <w:noProof/>
          <w:lang w:val="en-US"/>
        </w:rPr>
        <w:fldChar w:fldCharType="end"/>
      </w:r>
      <w:bookmarkEnd w:id="17"/>
      <w:r w:rsidRPr="00E915EE">
        <w:rPr>
          <w:rFonts w:eastAsia="Times New Roman"/>
          <w:lang w:val="en-US"/>
        </w:rPr>
        <w:t>.  On 25 April 2014 the Kętrzyn District Court decided to extend the administrative detention of the applicants until 29 June 2014, given the discontinuation of the latest set of asylum proceedings.</w:t>
      </w:r>
    </w:p>
    <w:bookmarkStart w:id="18" w:name="p21"/>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26</w:t>
      </w:r>
      <w:r w:rsidRPr="00E915EE">
        <w:rPr>
          <w:rFonts w:eastAsia="Times New Roman"/>
          <w:noProof/>
          <w:lang w:val="en-US"/>
        </w:rPr>
        <w:fldChar w:fldCharType="end"/>
      </w:r>
      <w:bookmarkEnd w:id="18"/>
      <w:r w:rsidRPr="00E915EE">
        <w:rPr>
          <w:rFonts w:eastAsia="Times New Roman"/>
          <w:lang w:val="en-US"/>
        </w:rPr>
        <w:t>.  Ms Bistieva appealed, arguing that her youngest child was not an illegal alien and, as such, he could not be the subject of administrative detention. She also argued that her own and her other children</w:t>
      </w:r>
      <w:r w:rsidR="00E915EE" w:rsidRPr="00E915EE">
        <w:rPr>
          <w:rFonts w:eastAsia="Times New Roman"/>
          <w:lang w:val="en-US"/>
        </w:rPr>
        <w:t>’</w:t>
      </w:r>
      <w:r w:rsidRPr="00E915EE">
        <w:rPr>
          <w:rFonts w:eastAsia="Times New Roman"/>
          <w:lang w:val="en-US"/>
        </w:rPr>
        <w:t>s placement in the guarded centre was unjustified.</w:t>
      </w:r>
    </w:p>
    <w:bookmarkStart w:id="19" w:name="p22"/>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27</w:t>
      </w:r>
      <w:r w:rsidRPr="00E915EE">
        <w:rPr>
          <w:rFonts w:eastAsia="Times New Roman"/>
          <w:noProof/>
          <w:lang w:val="en-US"/>
        </w:rPr>
        <w:fldChar w:fldCharType="end"/>
      </w:r>
      <w:bookmarkEnd w:id="19"/>
      <w:r w:rsidRPr="00E915EE">
        <w:rPr>
          <w:rFonts w:eastAsia="Times New Roman"/>
          <w:lang w:val="en-US"/>
        </w:rPr>
        <w:t>.  On 22 May 2014 Ms Bistieva lodged a new application for asylum, also asking that the enforcement of the 2013 expulsion decision be put on hold. She argued that her application was justified because on 27 January 2014 the Warmińsko-Mazurski Governor had refused to order the expulsion of her youngest child and because, in a separate set of proceedings, on 25 April 2014 the Refugee Council (</w:t>
      </w:r>
      <w:r w:rsidRPr="00E915EE">
        <w:rPr>
          <w:rFonts w:eastAsia="Times New Roman"/>
          <w:i/>
          <w:lang w:val="en-US"/>
        </w:rPr>
        <w:t>Rada do Spraw Uchodźców</w:t>
      </w:r>
      <w:r w:rsidRPr="00E915EE">
        <w:rPr>
          <w:rFonts w:eastAsia="Times New Roman"/>
          <w:lang w:val="en-US"/>
        </w:rPr>
        <w:t>) had granted refugee status to her father, mother and siblings.</w:t>
      </w:r>
    </w:p>
    <w:bookmarkStart w:id="20" w:name="p23"/>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28</w:t>
      </w:r>
      <w:r w:rsidRPr="00E915EE">
        <w:rPr>
          <w:rFonts w:eastAsia="Times New Roman"/>
          <w:noProof/>
          <w:lang w:val="en-US"/>
        </w:rPr>
        <w:fldChar w:fldCharType="end"/>
      </w:r>
      <w:bookmarkEnd w:id="20"/>
      <w:r w:rsidRPr="00E915EE">
        <w:rPr>
          <w:rFonts w:eastAsia="Times New Roman"/>
          <w:lang w:val="en-US"/>
        </w:rPr>
        <w:t>.  On 5 June 2014 the head of the Aliens Office decided to temporarily suspend the enforcement of the 2013 expulsion decision, until the delivery of a new decision, on the grounds that new circumstances had arisen in the case.</w:t>
      </w:r>
    </w:p>
    <w:bookmarkStart w:id="21" w:name="p24"/>
    <w:p w:rsidR="005937F7"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29</w:t>
      </w:r>
      <w:r w:rsidRPr="00E915EE">
        <w:rPr>
          <w:rFonts w:eastAsia="Times New Roman"/>
          <w:noProof/>
          <w:lang w:val="en-US"/>
        </w:rPr>
        <w:fldChar w:fldCharType="end"/>
      </w:r>
      <w:bookmarkEnd w:id="21"/>
      <w:r w:rsidRPr="00E915EE">
        <w:rPr>
          <w:rFonts w:eastAsia="Times New Roman"/>
          <w:lang w:val="en-US"/>
        </w:rPr>
        <w:t>.  On 6 June 2014 the Olsztyn Regional Court upheld the decision of 25</w:t>
      </w:r>
      <w:r w:rsidR="003B1608" w:rsidRPr="00E915EE">
        <w:rPr>
          <w:rFonts w:eastAsia="Times New Roman"/>
          <w:lang w:val="en-US"/>
        </w:rPr>
        <w:t> </w:t>
      </w:r>
      <w:r w:rsidRPr="00E915EE">
        <w:rPr>
          <w:rFonts w:eastAsia="Times New Roman"/>
          <w:lang w:val="en-US"/>
        </w:rPr>
        <w:t>April 2014 extending Ms Bistieva</w:t>
      </w:r>
      <w:r w:rsidR="00E915EE" w:rsidRPr="00E915EE">
        <w:rPr>
          <w:rFonts w:eastAsia="Times New Roman"/>
          <w:lang w:val="en-US"/>
        </w:rPr>
        <w:t>’</w:t>
      </w:r>
      <w:r w:rsidRPr="00E915EE">
        <w:rPr>
          <w:rFonts w:eastAsia="Times New Roman"/>
          <w:lang w:val="en-US"/>
        </w:rPr>
        <w:t xml:space="preserve">s administrative detention. It was observed that the decision to extend the measure of administrative detention was justified by the need to secure the course of the proceedings concerning the refusal of refugee status and expulsion. It was also noted that the last </w:t>
      </w:r>
      <w:r w:rsidRPr="00E915EE">
        <w:rPr>
          <w:rFonts w:eastAsia="Times New Roman"/>
          <w:lang w:val="en-US"/>
        </w:rPr>
        <w:lastRenderedPageBreak/>
        <w:t xml:space="preserve">relevant decision had been delivered by the head of the Aliens Office on 18 April 2014 and served on Ms Bistieva within the statutory time-limit. It followed that her detention was in accordance with the law. The domestic court held that section 107 of the 2003 Aliens Act had not been breached by the fact that the youngest child had been detained along with Ms Bistieva and the rest of the family even though his own expulsion had not been </w:t>
      </w:r>
      <w:r w:rsidRPr="00E915EE">
        <w:rPr>
          <w:rFonts w:eastAsia="Times New Roman"/>
        </w:rPr>
        <w:t>authorised by the Governor</w:t>
      </w:r>
      <w:r w:rsidRPr="00E915EE">
        <w:rPr>
          <w:rFonts w:eastAsia="Times New Roman"/>
          <w:lang w:val="en-US"/>
        </w:rPr>
        <w:t xml:space="preserve">. It sufficed that the mother herself was covered by the 2013 expulsion decision and that the child was in her care. Separating Ms Bistieva from any of her children would be contrary to their best interests. Lastly, </w:t>
      </w:r>
      <w:r w:rsidR="004C2A08" w:rsidRPr="00E915EE">
        <w:rPr>
          <w:rFonts w:eastAsia="Times New Roman"/>
          <w:lang w:val="en-US"/>
        </w:rPr>
        <w:t>the court</w:t>
      </w:r>
      <w:r w:rsidRPr="00E915EE">
        <w:rPr>
          <w:rFonts w:eastAsia="Times New Roman"/>
          <w:lang w:val="en-US"/>
        </w:rPr>
        <w:t xml:space="preserve"> considered</w:t>
      </w:r>
      <w:r w:rsidR="004C2A08" w:rsidRPr="00E915EE">
        <w:rPr>
          <w:rFonts w:eastAsia="Times New Roman"/>
          <w:lang w:val="en-US"/>
        </w:rPr>
        <w:t xml:space="preserve">, </w:t>
      </w:r>
      <w:r w:rsidR="00DB10CE" w:rsidRPr="00E915EE">
        <w:rPr>
          <w:rFonts w:eastAsia="Times New Roman"/>
          <w:lang w:val="en-US"/>
        </w:rPr>
        <w:t xml:space="preserve">without providing </w:t>
      </w:r>
      <w:r w:rsidR="004C2A08" w:rsidRPr="00E915EE">
        <w:rPr>
          <w:rFonts w:eastAsia="Times New Roman"/>
          <w:lang w:val="en-US"/>
        </w:rPr>
        <w:t>detailed reasons,</w:t>
      </w:r>
      <w:r w:rsidRPr="00E915EE">
        <w:rPr>
          <w:rFonts w:eastAsia="Times New Roman"/>
          <w:lang w:val="en-US"/>
        </w:rPr>
        <w:t xml:space="preserve"> that the possible alternative measure, namely placing the applicants at the aliens centre in Podkowa Leśna and providing them with social care, was not called for in the circumstances of the case.</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30</w:t>
      </w:r>
      <w:r w:rsidRPr="00E915EE">
        <w:rPr>
          <w:rFonts w:eastAsia="Times New Roman"/>
          <w:noProof/>
          <w:lang w:val="en-US"/>
        </w:rPr>
        <w:fldChar w:fldCharType="end"/>
      </w:r>
      <w:r w:rsidRPr="00E915EE">
        <w:rPr>
          <w:rFonts w:eastAsia="Times New Roman"/>
          <w:lang w:val="en-US"/>
        </w:rPr>
        <w:t>.  On 12 June 2014 Ms Bistieva applied to be released from administrative detention.</w:t>
      </w:r>
    </w:p>
    <w:bookmarkStart w:id="22" w:name="p26"/>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31</w:t>
      </w:r>
      <w:r w:rsidRPr="00E915EE">
        <w:rPr>
          <w:rFonts w:eastAsia="Times New Roman"/>
          <w:noProof/>
          <w:lang w:val="en-US"/>
        </w:rPr>
        <w:fldChar w:fldCharType="end"/>
      </w:r>
      <w:bookmarkEnd w:id="22"/>
      <w:r w:rsidRPr="00E915EE">
        <w:rPr>
          <w:rFonts w:eastAsia="Times New Roman"/>
          <w:lang w:val="en-US"/>
        </w:rPr>
        <w:t>.  On 29 June 2014 the applicants were released. They started living in Warsaw. Later, on an unspecified date in August 2014 the applicants left for Germany. As submitted by their lawyer, they currently live in Herne.</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32</w:t>
      </w:r>
      <w:r w:rsidRPr="00E915EE">
        <w:rPr>
          <w:rFonts w:eastAsia="Times New Roman"/>
          <w:noProof/>
          <w:lang w:val="en-US"/>
        </w:rPr>
        <w:fldChar w:fldCharType="end"/>
      </w:r>
      <w:r w:rsidRPr="00E915EE">
        <w:rPr>
          <w:rFonts w:eastAsia="Times New Roman"/>
          <w:lang w:val="en-US"/>
        </w:rPr>
        <w:t>.  On 28 October 2014 the head of Aliens Office discontinued the applicants</w:t>
      </w:r>
      <w:r w:rsidR="00E915EE" w:rsidRPr="00E915EE">
        <w:rPr>
          <w:rFonts w:eastAsia="Times New Roman"/>
          <w:lang w:val="en-US"/>
        </w:rPr>
        <w:t>’</w:t>
      </w:r>
      <w:r w:rsidRPr="00E915EE">
        <w:rPr>
          <w:rFonts w:eastAsia="Times New Roman"/>
          <w:lang w:val="en-US"/>
        </w:rPr>
        <w:t xml:space="preserve"> asylum proceedings on the grounds that they had not appeared for questioning (decision no. DPU-420-1114/SU/2014).</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33</w:t>
      </w:r>
      <w:r w:rsidRPr="00E915EE">
        <w:rPr>
          <w:rFonts w:eastAsia="Times New Roman"/>
          <w:noProof/>
          <w:lang w:val="en-US"/>
        </w:rPr>
        <w:fldChar w:fldCharType="end"/>
      </w:r>
      <w:r w:rsidRPr="00E915EE">
        <w:rPr>
          <w:rFonts w:eastAsia="Times New Roman"/>
          <w:lang w:val="en-US"/>
        </w:rPr>
        <w:t>.  The applicants did not bring an action for compensation for unjustified detention in a guarded centre under section 407 of the Aliens Act of 12 December 2013.</w:t>
      </w:r>
    </w:p>
    <w:p w:rsidR="005766EE" w:rsidRPr="00E915EE" w:rsidRDefault="005766EE" w:rsidP="00E915EE">
      <w:pPr>
        <w:pStyle w:val="ECHRHeading1"/>
        <w:rPr>
          <w:rFonts w:eastAsia="Times New Roman"/>
        </w:rPr>
      </w:pPr>
      <w:r w:rsidRPr="00E915EE">
        <w:rPr>
          <w:rFonts w:eastAsia="Times New Roman"/>
        </w:rPr>
        <w:t>II.  RELEVANT DOMESTIC LAW AND PRACTICE</w:t>
      </w:r>
    </w:p>
    <w:bookmarkStart w:id="23" w:name="p29"/>
    <w:p w:rsidR="005766EE" w:rsidRPr="00E915EE" w:rsidRDefault="005766EE" w:rsidP="00E915EE">
      <w:pPr>
        <w:pStyle w:val="ECHRPara"/>
        <w:rPr>
          <w:rFonts w:eastAsia="Times New Roman"/>
          <w:lang w:val="en-US"/>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34</w:t>
      </w:r>
      <w:r w:rsidRPr="00E915EE">
        <w:rPr>
          <w:rFonts w:eastAsia="Times New Roman"/>
        </w:rPr>
        <w:fldChar w:fldCharType="end"/>
      </w:r>
      <w:bookmarkEnd w:id="23"/>
      <w:r w:rsidRPr="00E915EE">
        <w:rPr>
          <w:rFonts w:eastAsia="Times New Roman"/>
        </w:rPr>
        <w:t>.  The p</w:t>
      </w:r>
      <w:r w:rsidRPr="00E915EE">
        <w:rPr>
          <w:rFonts w:eastAsia="Times New Roman"/>
          <w:lang w:val="en-US"/>
        </w:rPr>
        <w:t>rocedure for granting foreigners refugee status and tolerated stays and for their expulsion and detention is regulated by the Aliens Act of 13 June 2003, which grants protection to aliens within the territory of the Republic of Poland (</w:t>
      </w:r>
      <w:r w:rsidRPr="00E915EE">
        <w:rPr>
          <w:rFonts w:eastAsia="Times New Roman"/>
          <w:i/>
          <w:lang w:val="en-US"/>
        </w:rPr>
        <w:t xml:space="preserve">Ustawa o udzielaniu cudzoziemcom ochrony na terytorium Rzeczypospolitej Polskiej – </w:t>
      </w:r>
      <w:r w:rsidRPr="00E915EE">
        <w:rPr>
          <w:rFonts w:eastAsia="Times New Roman"/>
          <w:lang w:val="en-US"/>
        </w:rPr>
        <w:t>“the 2003 Act”). The relevant provisions are sections 24(2), 33(4), 40(2)(2), 62(2), 67(1), 87, 88(a), 88(b), 89 and 89(b).</w:t>
      </w:r>
    </w:p>
    <w:bookmarkStart w:id="24" w:name="p30"/>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35</w:t>
      </w:r>
      <w:r w:rsidRPr="00E915EE">
        <w:rPr>
          <w:rFonts w:eastAsia="Times New Roman"/>
          <w:noProof/>
          <w:lang w:val="en-US"/>
        </w:rPr>
        <w:fldChar w:fldCharType="end"/>
      </w:r>
      <w:bookmarkEnd w:id="24"/>
      <w:r w:rsidRPr="00E915EE">
        <w:rPr>
          <w:rFonts w:eastAsia="Times New Roman"/>
          <w:lang w:val="en-US"/>
        </w:rPr>
        <w:t>.  Matters related to the administrative detention of aliens, their placement in and release from guarded</w:t>
      </w:r>
      <w:r w:rsidRPr="00E915EE">
        <w:rPr>
          <w:rFonts w:eastAsia="Times New Roman"/>
        </w:rPr>
        <w:t xml:space="preserve"> centres</w:t>
      </w:r>
      <w:r w:rsidRPr="00E915EE">
        <w:rPr>
          <w:rFonts w:eastAsia="Times New Roman"/>
          <w:lang w:val="en-US"/>
        </w:rPr>
        <w:t>, the living conditions in such facilities, including admission of families with minor children and provision of healthcare and education, are regulated by the 2003 Act in so far as they have not been repealed by the Aliens Act of 12 December 2013 (</w:t>
      </w:r>
      <w:r w:rsidRPr="00E915EE">
        <w:rPr>
          <w:rFonts w:eastAsia="Times New Roman"/>
          <w:i/>
          <w:lang w:val="en-US"/>
        </w:rPr>
        <w:t xml:space="preserve">Ustawa o cudzoziemcach – </w:t>
      </w:r>
      <w:r w:rsidRPr="00E915EE">
        <w:rPr>
          <w:rFonts w:eastAsia="Times New Roman"/>
          <w:lang w:val="en-US"/>
        </w:rPr>
        <w:t>“the 2013 Act”), which entered into force on 1 May 2014. The applicable provisions of the 2013 Act are sections 398(1)(2) and (2)(1), 401, 403, 406, 407, 414(3), 416((1)(2) a</w:t>
      </w:r>
      <w:r w:rsidR="00D8635F" w:rsidRPr="00E915EE">
        <w:rPr>
          <w:rFonts w:eastAsia="Times New Roman"/>
          <w:lang w:val="en-US"/>
        </w:rPr>
        <w:t>nd (2), 417 and 426 of the 2013 </w:t>
      </w:r>
      <w:r w:rsidRPr="00E915EE">
        <w:rPr>
          <w:rFonts w:eastAsia="Times New Roman"/>
          <w:lang w:val="en-US"/>
        </w:rPr>
        <w:t>Act.</w:t>
      </w:r>
    </w:p>
    <w:bookmarkStart w:id="25" w:name="p31"/>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36</w:t>
      </w:r>
      <w:r w:rsidRPr="00E915EE">
        <w:rPr>
          <w:rFonts w:eastAsia="Times New Roman"/>
          <w:noProof/>
          <w:lang w:val="en-US"/>
        </w:rPr>
        <w:fldChar w:fldCharType="end"/>
      </w:r>
      <w:bookmarkEnd w:id="25"/>
      <w:r w:rsidRPr="00E915EE">
        <w:rPr>
          <w:rFonts w:eastAsia="Times New Roman"/>
          <w:lang w:val="en-US"/>
        </w:rPr>
        <w:t xml:space="preserve">.  Under the above-mentioned </w:t>
      </w:r>
      <w:r w:rsidR="003F49E0" w:rsidRPr="00E915EE">
        <w:rPr>
          <w:rFonts w:eastAsia="Times New Roman"/>
          <w:lang w:val="en-US"/>
        </w:rPr>
        <w:t xml:space="preserve">section </w:t>
      </w:r>
      <w:r w:rsidRPr="00E915EE">
        <w:rPr>
          <w:rFonts w:eastAsia="Times New Roman"/>
          <w:lang w:val="en-US"/>
        </w:rPr>
        <w:t>401</w:t>
      </w:r>
      <w:r w:rsidR="003F49E0" w:rsidRPr="00E915EE">
        <w:rPr>
          <w:rFonts w:eastAsia="Times New Roman"/>
          <w:lang w:val="en-US"/>
        </w:rPr>
        <w:t>(</w:t>
      </w:r>
      <w:r w:rsidR="007579F6" w:rsidRPr="00E915EE">
        <w:rPr>
          <w:rFonts w:eastAsia="Times New Roman"/>
          <w:lang w:val="en-US"/>
        </w:rPr>
        <w:t>4</w:t>
      </w:r>
      <w:r w:rsidR="003F49E0" w:rsidRPr="00E915EE">
        <w:rPr>
          <w:rFonts w:eastAsia="Times New Roman"/>
          <w:lang w:val="en-US"/>
        </w:rPr>
        <w:t>)</w:t>
      </w:r>
      <w:r w:rsidRPr="00E915EE">
        <w:rPr>
          <w:rFonts w:eastAsia="Times New Roman"/>
          <w:lang w:val="en-US"/>
        </w:rPr>
        <w:t xml:space="preserve"> of the 2013 Act the court must also consider the child</w:t>
      </w:r>
      <w:r w:rsidR="00E915EE" w:rsidRPr="00E915EE">
        <w:rPr>
          <w:rFonts w:eastAsia="Times New Roman"/>
          <w:lang w:val="en-US"/>
        </w:rPr>
        <w:t>’</w:t>
      </w:r>
      <w:r w:rsidRPr="00E915EE">
        <w:rPr>
          <w:rFonts w:eastAsia="Times New Roman"/>
          <w:lang w:val="en-US"/>
        </w:rPr>
        <w:t xml:space="preserve">s best interests when examining a request that a </w:t>
      </w:r>
      <w:r w:rsidRPr="00E915EE">
        <w:rPr>
          <w:rFonts w:eastAsia="Times New Roman"/>
          <w:lang w:val="en-US"/>
        </w:rPr>
        <w:lastRenderedPageBreak/>
        <w:t>migrant who is accompanying a child be placed at the guarded centre for aliens.</w:t>
      </w:r>
    </w:p>
    <w:p w:rsidR="005766EE" w:rsidRPr="00E915EE" w:rsidRDefault="005766EE" w:rsidP="00E915EE">
      <w:pPr>
        <w:pStyle w:val="ECHRPara"/>
        <w:rPr>
          <w:rFonts w:eastAsia="Times New Roman"/>
          <w:lang w:val="pl-PL"/>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37</w:t>
      </w:r>
      <w:r w:rsidRPr="00E915EE">
        <w:rPr>
          <w:rFonts w:eastAsia="Times New Roman"/>
          <w:noProof/>
          <w:lang w:val="en-US"/>
        </w:rPr>
        <w:fldChar w:fldCharType="end"/>
      </w:r>
      <w:r w:rsidRPr="00E915EE">
        <w:rPr>
          <w:rFonts w:eastAsia="Times New Roman"/>
          <w:lang w:val="en-US"/>
        </w:rPr>
        <w:t>.  At the relevant time the organisation and the living conditions in guarded</w:t>
      </w:r>
      <w:r w:rsidRPr="00E915EE">
        <w:rPr>
          <w:rFonts w:eastAsia="Times New Roman"/>
        </w:rPr>
        <w:t xml:space="preserve"> centres</w:t>
      </w:r>
      <w:r w:rsidRPr="00E915EE">
        <w:rPr>
          <w:rFonts w:eastAsia="Times New Roman"/>
          <w:lang w:val="en-US"/>
        </w:rPr>
        <w:t xml:space="preserve"> for aliens were further regulated by the following Ordinances issued by the Minister of Internal Affairs:</w:t>
      </w:r>
      <w:r w:rsidR="00B30003" w:rsidRPr="00E915EE">
        <w:rPr>
          <w:rFonts w:eastAsia="Times New Roman"/>
          <w:lang w:val="en-US"/>
        </w:rPr>
        <w:t xml:space="preserve"> </w:t>
      </w:r>
      <w:r w:rsidRPr="00E915EE">
        <w:rPr>
          <w:rFonts w:eastAsia="Times New Roman"/>
          <w:lang w:val="en-US"/>
        </w:rPr>
        <w:t xml:space="preserve">the Ordinance of </w:t>
      </w:r>
      <w:r w:rsidRPr="00E915EE">
        <w:rPr>
          <w:rFonts w:eastAsia="Times New Roman"/>
          <w:szCs w:val="24"/>
          <w:lang w:val="en-US"/>
        </w:rPr>
        <w:t>26 </w:t>
      </w:r>
      <w:r w:rsidRPr="00E915EE">
        <w:rPr>
          <w:rFonts w:eastAsia="Times New Roman"/>
          <w:lang w:val="en-US"/>
        </w:rPr>
        <w:t xml:space="preserve">August </w:t>
      </w:r>
      <w:r w:rsidRPr="00E915EE">
        <w:rPr>
          <w:rFonts w:eastAsia="Times New Roman"/>
          <w:szCs w:val="24"/>
          <w:lang w:val="en-US"/>
        </w:rPr>
        <w:t>2004</w:t>
      </w:r>
      <w:r w:rsidRPr="00E915EE">
        <w:rPr>
          <w:rFonts w:eastAsia="Times New Roman"/>
          <w:lang w:val="en-US"/>
        </w:rPr>
        <w:t xml:space="preserve"> on conditions in guarded</w:t>
      </w:r>
      <w:r w:rsidRPr="00E915EE">
        <w:rPr>
          <w:rFonts w:eastAsia="Times New Roman"/>
        </w:rPr>
        <w:t xml:space="preserve"> centres</w:t>
      </w:r>
      <w:r w:rsidRPr="00E915EE">
        <w:rPr>
          <w:rFonts w:eastAsia="Times New Roman"/>
          <w:lang w:val="en-US"/>
        </w:rPr>
        <w:t xml:space="preserve"> and detention</w:t>
      </w:r>
      <w:r w:rsidRPr="00E915EE">
        <w:rPr>
          <w:rFonts w:eastAsia="Times New Roman"/>
        </w:rPr>
        <w:t xml:space="preserve"> centres</w:t>
      </w:r>
      <w:r w:rsidRPr="00E915EE">
        <w:rPr>
          <w:rFonts w:eastAsia="Times New Roman"/>
          <w:lang w:val="en-US"/>
        </w:rPr>
        <w:t xml:space="preserve"> for aliens, and on internal rules concerning organisation and order during aliens</w:t>
      </w:r>
      <w:r w:rsidR="00E915EE" w:rsidRPr="00E915EE">
        <w:rPr>
          <w:rFonts w:eastAsia="Times New Roman"/>
          <w:lang w:val="en-US"/>
        </w:rPr>
        <w:t>’</w:t>
      </w:r>
      <w:r w:rsidRPr="00E915EE">
        <w:rPr>
          <w:rFonts w:eastAsia="Times New Roman"/>
          <w:lang w:val="en-US"/>
        </w:rPr>
        <w:t xml:space="preserve"> stay at a guarded centre or in detention pending expulsion (</w:t>
      </w:r>
      <w:r w:rsidRPr="00E915EE">
        <w:rPr>
          <w:rFonts w:eastAsia="Times New Roman"/>
          <w:i/>
          <w:lang w:val="en-US"/>
        </w:rPr>
        <w:t>Rozporządzenie w sprawie warunków, jakim powinny odpowiadać strzeżone ośrodki i areszty w celu wydalenia oraz regulaminu organizacyjno-porządkowego pobytu cudzoziemców w strzeżonym ośrodku i areszcie w celu wydalenia</w:t>
      </w:r>
      <w:r w:rsidRPr="00E915EE">
        <w:rPr>
          <w:rFonts w:eastAsia="Times New Roman"/>
          <w:lang w:val="en-US"/>
        </w:rPr>
        <w:t>),</w:t>
      </w:r>
      <w:r w:rsidRPr="00E915EE">
        <w:rPr>
          <w:rFonts w:eastAsia="Times New Roman"/>
          <w:szCs w:val="24"/>
          <w:lang w:val="en-US"/>
        </w:rPr>
        <w:t xml:space="preserve"> </w:t>
      </w:r>
      <w:r w:rsidRPr="00E915EE">
        <w:rPr>
          <w:rFonts w:eastAsia="Times New Roman"/>
          <w:lang w:val="en-US"/>
        </w:rPr>
        <w:t xml:space="preserve">and </w:t>
      </w:r>
      <w:bookmarkStart w:id="26" w:name="docTitle"/>
      <w:r w:rsidRPr="00E915EE">
        <w:rPr>
          <w:rFonts w:eastAsia="Times New Roman"/>
          <w:lang w:val="en-US"/>
        </w:rPr>
        <w:t>the Ordinance of 6 December 2011 on the Internal Rules on the retention of asylum seekers at centres for aliens (</w:t>
      </w:r>
      <w:r w:rsidRPr="00E915EE">
        <w:rPr>
          <w:rFonts w:eastAsia="Times New Roman"/>
          <w:i/>
          <w:lang w:val="en-US"/>
        </w:rPr>
        <w:t>Regulamin pobytu w ośrodku dla cudzoziemców ubiegających się o nadanie status uchodźcy</w:t>
      </w:r>
      <w:r w:rsidRPr="00E915EE">
        <w:rPr>
          <w:rFonts w:eastAsia="Times New Roman"/>
          <w:lang w:val="en-US"/>
        </w:rPr>
        <w:t>)</w:t>
      </w:r>
      <w:bookmarkEnd w:id="26"/>
      <w:r w:rsidRPr="00E915EE">
        <w:rPr>
          <w:rFonts w:eastAsia="Times New Roman"/>
          <w:bCs/>
          <w:lang w:val="en-US"/>
        </w:rPr>
        <w:t>.</w:t>
      </w:r>
      <w:r w:rsidRPr="00E915EE">
        <w:rPr>
          <w:rFonts w:eastAsia="Times New Roman"/>
        </w:rPr>
        <w:t xml:space="preserve"> </w:t>
      </w:r>
      <w:r w:rsidRPr="00E915EE">
        <w:rPr>
          <w:rFonts w:eastAsia="Times New Roman"/>
          <w:lang w:val="pl-PL"/>
        </w:rPr>
        <w:t>The Kętrzyn guarded centre was set up by the Minister of Internal Affairs Ordinance of</w:t>
      </w:r>
      <w:r w:rsidRPr="00E915EE">
        <w:rPr>
          <w:rFonts w:eastAsia="Times New Roman"/>
          <w:i/>
          <w:lang w:val="pl-PL"/>
        </w:rPr>
        <w:t xml:space="preserve"> </w:t>
      </w:r>
      <w:r w:rsidRPr="00E915EE">
        <w:rPr>
          <w:rFonts w:eastAsia="Times New Roman"/>
          <w:lang w:val="pl-PL"/>
        </w:rPr>
        <w:t>27 September 2007</w:t>
      </w:r>
      <w:r w:rsidRPr="00E915EE">
        <w:rPr>
          <w:rFonts w:eastAsia="Times New Roman"/>
          <w:i/>
          <w:lang w:val="pl-PL"/>
        </w:rPr>
        <w:t xml:space="preserve"> (Rozporządzenie Ministra Spraw Wewnętrznych w sprawie strzeżonego ośrodka dla cudzoziemców</w:t>
      </w:r>
      <w:r w:rsidRPr="00E915EE">
        <w:rPr>
          <w:rFonts w:eastAsia="Times New Roman"/>
          <w:szCs w:val="24"/>
          <w:lang w:val="pl-PL"/>
        </w:rPr>
        <w:t xml:space="preserve"> </w:t>
      </w:r>
      <w:r w:rsidRPr="00E915EE">
        <w:rPr>
          <w:rFonts w:eastAsia="Times New Roman"/>
          <w:i/>
          <w:szCs w:val="24"/>
          <w:lang w:val="pl-PL"/>
        </w:rPr>
        <w:t>w Kętrzynie</w:t>
      </w:r>
      <w:r w:rsidRPr="00E915EE">
        <w:rPr>
          <w:rFonts w:eastAsia="Times New Roman"/>
          <w:lang w:val="pl-PL"/>
        </w:rPr>
        <w:t>).</w:t>
      </w:r>
    </w:p>
    <w:bookmarkStart w:id="27" w:name="p33"/>
    <w:p w:rsidR="00DB10C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38</w:t>
      </w:r>
      <w:r w:rsidRPr="00E915EE">
        <w:rPr>
          <w:rFonts w:eastAsia="Times New Roman"/>
        </w:rPr>
        <w:fldChar w:fldCharType="end"/>
      </w:r>
      <w:bookmarkEnd w:id="27"/>
      <w:r w:rsidRPr="00E915EE">
        <w:rPr>
          <w:rFonts w:eastAsia="Times New Roman"/>
        </w:rPr>
        <w:t>.  </w:t>
      </w:r>
      <w:r w:rsidR="00DB10CE" w:rsidRPr="00E915EE">
        <w:rPr>
          <w:rFonts w:eastAsia="Times New Roman"/>
        </w:rPr>
        <w:t>A</w:t>
      </w:r>
      <w:r w:rsidRPr="00E915EE">
        <w:rPr>
          <w:rFonts w:eastAsia="Times New Roman"/>
        </w:rPr>
        <w:t xml:space="preserve"> remedy entitling an alien to seek compensation for his or her manifestly unjustified placement in a guarded centre for aliens</w:t>
      </w:r>
      <w:r w:rsidR="00DB10CE" w:rsidRPr="00E915EE">
        <w:rPr>
          <w:rFonts w:eastAsia="Times New Roman"/>
        </w:rPr>
        <w:t xml:space="preserve"> is provided for under</w:t>
      </w:r>
      <w:r w:rsidRPr="00E915EE">
        <w:rPr>
          <w:rFonts w:eastAsia="Times New Roman"/>
        </w:rPr>
        <w:t xml:space="preserve"> </w:t>
      </w:r>
      <w:r w:rsidR="00DB10CE" w:rsidRPr="00E915EE">
        <w:rPr>
          <w:rFonts w:eastAsia="Times New Roman"/>
        </w:rPr>
        <w:t>Section 407 of the 2013 Act, which</w:t>
      </w:r>
      <w:r w:rsidR="00BC57CB" w:rsidRPr="00E915EE">
        <w:rPr>
          <w:rFonts w:eastAsia="Times New Roman"/>
        </w:rPr>
        <w:t>, in so far as relevant,</w:t>
      </w:r>
      <w:r w:rsidR="00DB10CE" w:rsidRPr="00E915EE">
        <w:rPr>
          <w:rFonts w:eastAsia="Times New Roman"/>
        </w:rPr>
        <w:t xml:space="preserve"> reads a as follows:</w:t>
      </w:r>
    </w:p>
    <w:p w:rsidR="00BC57CB" w:rsidRPr="00E915EE" w:rsidRDefault="00D8635F" w:rsidP="00E915EE">
      <w:pPr>
        <w:pStyle w:val="ECHRParaQuote"/>
        <w:rPr>
          <w:rFonts w:eastAsia="Times New Roman"/>
          <w:lang w:val="en-US"/>
        </w:rPr>
      </w:pPr>
      <w:r w:rsidRPr="00E915EE">
        <w:rPr>
          <w:rFonts w:eastAsia="Times New Roman"/>
        </w:rPr>
        <w:t>“1.  </w:t>
      </w:r>
      <w:r w:rsidR="00BC57CB" w:rsidRPr="00E915EE">
        <w:rPr>
          <w:rFonts w:eastAsia="Times New Roman"/>
        </w:rPr>
        <w:t xml:space="preserve">An alien is entitled to obtain from the State Treasury compensation for pecuniary and non-pecuniary damage in the event of unjustified </w:t>
      </w:r>
      <w:r w:rsidR="005937F7" w:rsidRPr="00E915EE">
        <w:rPr>
          <w:rFonts w:eastAsia="Times New Roman"/>
        </w:rPr>
        <w:t>...</w:t>
      </w:r>
      <w:r w:rsidR="00BC57CB" w:rsidRPr="00E915EE">
        <w:rPr>
          <w:rFonts w:eastAsia="Times New Roman"/>
        </w:rPr>
        <w:t xml:space="preserve"> placement of the alien in a guarded centre or of the imposition of detention for aliens.”</w:t>
      </w:r>
    </w:p>
    <w:p w:rsidR="005937F7" w:rsidRPr="00E915EE" w:rsidRDefault="000379B5" w:rsidP="00E915EE">
      <w:pPr>
        <w:pStyle w:val="ECHRPara"/>
      </w:pPr>
      <w:r w:rsidRPr="00E915EE">
        <w:rPr>
          <w:rFonts w:eastAsia="Times New Roman"/>
        </w:rPr>
        <w:t xml:space="preserve">This procedure is further regulated </w:t>
      </w:r>
      <w:r w:rsidR="005D54D6" w:rsidRPr="00E915EE">
        <w:rPr>
          <w:rFonts w:eastAsia="Times New Roman"/>
        </w:rPr>
        <w:t xml:space="preserve">under Articles 552 </w:t>
      </w:r>
      <w:r w:rsidR="005D54D6" w:rsidRPr="00E915EE">
        <w:rPr>
          <w:rFonts w:eastAsia="Times New Roman"/>
          <w:lang w:val="en-US"/>
        </w:rPr>
        <w:t xml:space="preserve">§ </w:t>
      </w:r>
      <w:r w:rsidR="005D54D6" w:rsidRPr="00E915EE">
        <w:rPr>
          <w:rFonts w:eastAsia="Times New Roman"/>
        </w:rPr>
        <w:t>4 – 555 of</w:t>
      </w:r>
      <w:r w:rsidRPr="00E915EE">
        <w:rPr>
          <w:rFonts w:eastAsia="Times New Roman"/>
        </w:rPr>
        <w:t xml:space="preserve"> the Code of Criminal Procedure</w:t>
      </w:r>
      <w:r w:rsidR="005D54D6" w:rsidRPr="00E915EE">
        <w:rPr>
          <w:rFonts w:eastAsia="Times New Roman"/>
        </w:rPr>
        <w:t>, in so far as applicable</w:t>
      </w:r>
      <w:r w:rsidR="00DB10CE" w:rsidRPr="00E915EE">
        <w:rPr>
          <w:rFonts w:eastAsia="Times New Roman"/>
        </w:rPr>
        <w:t xml:space="preserve">. </w:t>
      </w:r>
      <w:r w:rsidR="008B383D" w:rsidRPr="00E915EE">
        <w:rPr>
          <w:rFonts w:eastAsia="Times New Roman"/>
        </w:rPr>
        <w:t xml:space="preserve">A claim for compensation is time-barred one year after </w:t>
      </w:r>
      <w:r w:rsidR="00426AA8" w:rsidRPr="00E915EE">
        <w:rPr>
          <w:rFonts w:eastAsia="Times New Roman"/>
        </w:rPr>
        <w:t>release from detention (Article </w:t>
      </w:r>
      <w:r w:rsidR="008B383D" w:rsidRPr="00E915EE">
        <w:rPr>
          <w:rFonts w:eastAsia="Times New Roman"/>
        </w:rPr>
        <w:t>555).</w:t>
      </w:r>
    </w:p>
    <w:p w:rsidR="005937F7" w:rsidRPr="00E915EE" w:rsidRDefault="00DB10CE" w:rsidP="00E915EE">
      <w:pPr>
        <w:pStyle w:val="ECHRPara"/>
        <w:rPr>
          <w:rFonts w:eastAsia="Times New Roman"/>
          <w:lang w:val="en-US"/>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39</w:t>
      </w:r>
      <w:r w:rsidRPr="00E915EE">
        <w:rPr>
          <w:rFonts w:eastAsia="Times New Roman"/>
        </w:rPr>
        <w:fldChar w:fldCharType="end"/>
      </w:r>
      <w:r w:rsidRPr="00E915EE">
        <w:rPr>
          <w:rFonts w:eastAsia="Times New Roman"/>
        </w:rPr>
        <w:t>.  </w:t>
      </w:r>
      <w:r w:rsidR="00D6727E" w:rsidRPr="00E915EE">
        <w:rPr>
          <w:rFonts w:eastAsia="Times New Roman"/>
        </w:rPr>
        <w:t>According to the case-law of Polish courts, detention is considered manifestly unjustified in the event the measure has been ordered in breach of law or if it turns out</w:t>
      </w:r>
      <w:r w:rsidR="000379B5" w:rsidRPr="00E915EE">
        <w:rPr>
          <w:rFonts w:eastAsia="Times New Roman"/>
        </w:rPr>
        <w:t>, in view of a</w:t>
      </w:r>
      <w:r w:rsidR="00500607" w:rsidRPr="00E915EE">
        <w:rPr>
          <w:rFonts w:eastAsia="Times New Roman"/>
        </w:rPr>
        <w:t>ll the circumstance of the case -</w:t>
      </w:r>
      <w:r w:rsidR="000379B5" w:rsidRPr="00E915EE">
        <w:rPr>
          <w:rFonts w:eastAsia="Times New Roman"/>
        </w:rPr>
        <w:t xml:space="preserve"> in particular the outcome of the proceedings</w:t>
      </w:r>
      <w:r w:rsidR="00500607" w:rsidRPr="00E915EE">
        <w:rPr>
          <w:rFonts w:eastAsia="Times New Roman"/>
        </w:rPr>
        <w:t xml:space="preserve"> -</w:t>
      </w:r>
      <w:r w:rsidR="000379B5" w:rsidRPr="00E915EE">
        <w:rPr>
          <w:rFonts w:eastAsia="Times New Roman"/>
        </w:rPr>
        <w:t xml:space="preserve"> that </w:t>
      </w:r>
      <w:r w:rsidR="005D54D6" w:rsidRPr="00E915EE">
        <w:rPr>
          <w:rFonts w:eastAsia="Times New Roman"/>
        </w:rPr>
        <w:t>it</w:t>
      </w:r>
      <w:r w:rsidR="000379B5" w:rsidRPr="00E915EE">
        <w:rPr>
          <w:rFonts w:eastAsia="Times New Roman"/>
        </w:rPr>
        <w:t xml:space="preserve"> was redundant (see </w:t>
      </w:r>
      <w:r w:rsidR="00316F9C" w:rsidRPr="00E915EE">
        <w:rPr>
          <w:rFonts w:eastAsia="Times New Roman"/>
        </w:rPr>
        <w:t>the Supreme Court</w:t>
      </w:r>
      <w:r w:rsidR="00E915EE" w:rsidRPr="00E915EE">
        <w:rPr>
          <w:rFonts w:eastAsia="Times New Roman"/>
        </w:rPr>
        <w:t>’</w:t>
      </w:r>
      <w:r w:rsidR="00316F9C" w:rsidRPr="00E915EE">
        <w:rPr>
          <w:rFonts w:eastAsia="Times New Roman"/>
        </w:rPr>
        <w:t xml:space="preserve">s </w:t>
      </w:r>
      <w:r w:rsidR="00C87FDA" w:rsidRPr="00E915EE">
        <w:rPr>
          <w:rFonts w:eastAsia="Times New Roman"/>
        </w:rPr>
        <w:t>judgment</w:t>
      </w:r>
      <w:r w:rsidR="00316F9C" w:rsidRPr="00E915EE">
        <w:rPr>
          <w:rFonts w:eastAsia="Times New Roman"/>
        </w:rPr>
        <w:t xml:space="preserve"> </w:t>
      </w:r>
      <w:r w:rsidR="00316F9C" w:rsidRPr="00E915EE">
        <w:rPr>
          <w:rFonts w:eastAsia="Times New Roman"/>
          <w:lang w:val="en-US"/>
        </w:rPr>
        <w:t xml:space="preserve">of 17 March 2015, no. V KK 417/14 and </w:t>
      </w:r>
      <w:r w:rsidR="000379B5" w:rsidRPr="00E915EE">
        <w:rPr>
          <w:rFonts w:eastAsia="Times New Roman"/>
          <w:lang w:val="en-US"/>
        </w:rPr>
        <w:t>the Szczecin Court of Appeal</w:t>
      </w:r>
      <w:r w:rsidR="00E915EE" w:rsidRPr="00E915EE">
        <w:rPr>
          <w:rFonts w:eastAsia="Times New Roman"/>
          <w:lang w:val="en-US"/>
        </w:rPr>
        <w:t>’</w:t>
      </w:r>
      <w:r w:rsidR="000379B5" w:rsidRPr="00E915EE">
        <w:rPr>
          <w:rFonts w:eastAsia="Times New Roman"/>
          <w:lang w:val="en-US"/>
        </w:rPr>
        <w:t>s judgment of 5</w:t>
      </w:r>
      <w:r w:rsidR="00B62C6E" w:rsidRPr="00E915EE">
        <w:rPr>
          <w:rFonts w:eastAsia="Times New Roman"/>
          <w:lang w:val="en-US"/>
        </w:rPr>
        <w:t> </w:t>
      </w:r>
      <w:r w:rsidR="00E5262A" w:rsidRPr="00E915EE">
        <w:rPr>
          <w:rFonts w:eastAsia="Times New Roman"/>
          <w:lang w:val="en-US"/>
        </w:rPr>
        <w:t>May 2016, no. </w:t>
      </w:r>
      <w:r w:rsidR="000379B5" w:rsidRPr="00E915EE">
        <w:rPr>
          <w:rFonts w:eastAsia="Times New Roman"/>
          <w:lang w:val="en-US"/>
        </w:rPr>
        <w:t>II Aka</w:t>
      </w:r>
      <w:r w:rsidR="00D8635F" w:rsidRPr="00E915EE">
        <w:rPr>
          <w:rFonts w:eastAsia="Times New Roman"/>
          <w:lang w:val="en-US"/>
        </w:rPr>
        <w:t> </w:t>
      </w:r>
      <w:r w:rsidR="000379B5" w:rsidRPr="00E915EE">
        <w:rPr>
          <w:rFonts w:eastAsia="Times New Roman"/>
          <w:lang w:val="en-US"/>
        </w:rPr>
        <w:t>49/16).</w:t>
      </w:r>
      <w:r w:rsidR="005D54D6" w:rsidRPr="00E915EE">
        <w:rPr>
          <w:rFonts w:eastAsia="Times New Roman"/>
          <w:lang w:val="en-US"/>
        </w:rPr>
        <w:t xml:space="preserve"> </w:t>
      </w:r>
      <w:r w:rsidR="00326B4E" w:rsidRPr="00E915EE">
        <w:rPr>
          <w:rFonts w:eastAsia="Times New Roman"/>
          <w:lang w:val="en-US"/>
        </w:rPr>
        <w:t xml:space="preserve">Any unlawful detention (such which is in </w:t>
      </w:r>
      <w:r w:rsidR="00D8635F" w:rsidRPr="00E915EE">
        <w:rPr>
          <w:rFonts w:eastAsia="Times New Roman"/>
          <w:lang w:val="en-US"/>
        </w:rPr>
        <w:t>breach of provisions of Chapter </w:t>
      </w:r>
      <w:r w:rsidR="00326B4E" w:rsidRPr="00E915EE">
        <w:rPr>
          <w:rFonts w:eastAsia="Times New Roman"/>
          <w:lang w:val="en-US"/>
        </w:rPr>
        <w:t>28 of the Code of Criminal Procedure) is necessarily manifestly unjustified (see the Supreme Court</w:t>
      </w:r>
      <w:r w:rsidR="00E915EE" w:rsidRPr="00E915EE">
        <w:rPr>
          <w:rFonts w:eastAsia="Times New Roman"/>
          <w:lang w:val="en-US"/>
        </w:rPr>
        <w:t>’</w:t>
      </w:r>
      <w:r w:rsidR="00D8635F" w:rsidRPr="00E915EE">
        <w:rPr>
          <w:rFonts w:eastAsia="Times New Roman"/>
          <w:lang w:val="en-US"/>
        </w:rPr>
        <w:t>s decision of 12 </w:t>
      </w:r>
      <w:r w:rsidR="00326B4E" w:rsidRPr="00E915EE">
        <w:rPr>
          <w:rFonts w:eastAsia="Times New Roman"/>
          <w:lang w:val="en-US"/>
        </w:rPr>
        <w:t>April 2010; V</w:t>
      </w:r>
      <w:r w:rsidR="00D8635F" w:rsidRPr="00E915EE">
        <w:rPr>
          <w:rFonts w:eastAsia="Times New Roman"/>
          <w:lang w:val="en-US"/>
        </w:rPr>
        <w:t> KK </w:t>
      </w:r>
      <w:r w:rsidR="00326B4E" w:rsidRPr="00E915EE">
        <w:rPr>
          <w:rFonts w:eastAsia="Times New Roman"/>
          <w:lang w:val="en-US"/>
        </w:rPr>
        <w:t>308/09).</w:t>
      </w:r>
      <w:r w:rsidR="00D84969" w:rsidRPr="00E915EE">
        <w:rPr>
          <w:rFonts w:eastAsia="Times New Roman"/>
          <w:lang w:val="en-US"/>
        </w:rPr>
        <w:t xml:space="preserve"> </w:t>
      </w:r>
      <w:r w:rsidR="001D4442" w:rsidRPr="00E915EE">
        <w:rPr>
          <w:rFonts w:eastAsia="Times New Roman"/>
          <w:lang w:val="en-US"/>
        </w:rPr>
        <w:t xml:space="preserve">The claim for compensation will not arise, however, in the event of </w:t>
      </w:r>
      <w:r w:rsidR="0012262F" w:rsidRPr="00E915EE">
        <w:rPr>
          <w:rFonts w:eastAsia="Times New Roman"/>
          <w:lang w:val="en-US"/>
        </w:rPr>
        <w:t xml:space="preserve">only </w:t>
      </w:r>
      <w:r w:rsidR="001D4442" w:rsidRPr="00E915EE">
        <w:rPr>
          <w:rFonts w:eastAsia="Times New Roman"/>
          <w:lang w:val="en-US"/>
        </w:rPr>
        <w:t xml:space="preserve">a minor procedural shortcoming in the course of the proceedings concerning </w:t>
      </w:r>
      <w:r w:rsidR="00326B4E" w:rsidRPr="00E915EE">
        <w:rPr>
          <w:rFonts w:eastAsia="Times New Roman"/>
          <w:lang w:val="en-US"/>
        </w:rPr>
        <w:t xml:space="preserve">a </w:t>
      </w:r>
      <w:r w:rsidR="001D4442" w:rsidRPr="00E915EE">
        <w:rPr>
          <w:rFonts w:eastAsia="Times New Roman"/>
          <w:lang w:val="en-US"/>
        </w:rPr>
        <w:t>detention measure (</w:t>
      </w:r>
      <w:r w:rsidR="00320F3F" w:rsidRPr="00E915EE">
        <w:rPr>
          <w:rFonts w:eastAsia="Times New Roman"/>
          <w:lang w:val="en-US"/>
        </w:rPr>
        <w:t xml:space="preserve">see </w:t>
      </w:r>
      <w:r w:rsidR="001D4442" w:rsidRPr="00E915EE">
        <w:rPr>
          <w:rFonts w:eastAsia="Times New Roman"/>
          <w:lang w:val="en-US"/>
        </w:rPr>
        <w:t>the Supreme Court</w:t>
      </w:r>
      <w:r w:rsidR="00E915EE" w:rsidRPr="00E915EE">
        <w:rPr>
          <w:rFonts w:eastAsia="Times New Roman"/>
          <w:lang w:val="en-US"/>
        </w:rPr>
        <w:t>’</w:t>
      </w:r>
      <w:r w:rsidR="00D8635F" w:rsidRPr="00E915EE">
        <w:rPr>
          <w:rFonts w:eastAsia="Times New Roman"/>
          <w:lang w:val="en-US"/>
        </w:rPr>
        <w:t>s decision of 4 May 2016, no. V KK </w:t>
      </w:r>
      <w:r w:rsidR="001D4442" w:rsidRPr="00E915EE">
        <w:rPr>
          <w:rFonts w:eastAsia="Times New Roman"/>
          <w:lang w:val="en-US"/>
        </w:rPr>
        <w:t>375/15).</w:t>
      </w:r>
    </w:p>
    <w:bookmarkStart w:id="28" w:name="p34"/>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40</w:t>
      </w:r>
      <w:r w:rsidRPr="00E915EE">
        <w:rPr>
          <w:rFonts w:eastAsia="Times New Roman"/>
        </w:rPr>
        <w:fldChar w:fldCharType="end"/>
      </w:r>
      <w:bookmarkEnd w:id="28"/>
      <w:r w:rsidRPr="00E915EE">
        <w:rPr>
          <w:rFonts w:eastAsia="Times New Roman"/>
        </w:rPr>
        <w:t xml:space="preserve">.  It appears that the first action brought under that provision by an Iranian woman awaiting a decision on her first asylum application is </w:t>
      </w:r>
      <w:r w:rsidRPr="00E915EE">
        <w:rPr>
          <w:rFonts w:eastAsia="Times New Roman"/>
        </w:rPr>
        <w:lastRenderedPageBreak/>
        <w:t>currently pending (</w:t>
      </w:r>
      <w:r w:rsidR="00320F3F" w:rsidRPr="00E915EE">
        <w:rPr>
          <w:rFonts w:eastAsia="Times New Roman"/>
        </w:rPr>
        <w:t xml:space="preserve">see </w:t>
      </w:r>
      <w:r w:rsidRPr="00E915EE">
        <w:rPr>
          <w:rFonts w:eastAsia="Times New Roman"/>
        </w:rPr>
        <w:t>decision on applicability issued on 4 June 2014 by the Lublin Court of Appeal; no. II AKz 277/14).</w:t>
      </w:r>
    </w:p>
    <w:p w:rsidR="005937F7" w:rsidRPr="00E915EE" w:rsidRDefault="005766EE" w:rsidP="00E915EE">
      <w:pPr>
        <w:pStyle w:val="ECHRPara"/>
        <w:rPr>
          <w:rFonts w:eastAsia="Times New Roman"/>
          <w:lang w:val="en-US"/>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41</w:t>
      </w:r>
      <w:r w:rsidRPr="00E915EE">
        <w:rPr>
          <w:rFonts w:eastAsia="Times New Roman"/>
        </w:rPr>
        <w:fldChar w:fldCharType="end"/>
      </w:r>
      <w:r w:rsidRPr="00E915EE">
        <w:rPr>
          <w:rFonts w:eastAsia="Times New Roman"/>
        </w:rPr>
        <w:t xml:space="preserve">.  In addition, </w:t>
      </w:r>
      <w:r w:rsidRPr="00E915EE">
        <w:rPr>
          <w:rFonts w:eastAsia="Times New Roman"/>
          <w:lang w:val="en-US"/>
        </w:rPr>
        <w:t>Article 246 of the Code of Criminal Procedure provides a remedy aimed at examination of the lawfulness and legitimacy of arrest. It is not limited to the detention of aliens. Article 552 of the Code of Criminal Procedure (action for compensation for manifestly unjustified remand in custody) enables a detainee to seek, retrospectively, a ruling as to whether in criminal proceedings that have already been terminated, a decision to detain him or her was justified, and to obtain compensation if it was not.</w:t>
      </w:r>
    </w:p>
    <w:p w:rsidR="00B30003" w:rsidRPr="00E915EE" w:rsidRDefault="005766EE" w:rsidP="00E915EE">
      <w:pPr>
        <w:pStyle w:val="ECHRHeading1"/>
        <w:ind w:left="0" w:firstLine="0"/>
        <w:rPr>
          <w:rFonts w:eastAsia="Times New Roman"/>
        </w:rPr>
      </w:pPr>
      <w:r w:rsidRPr="00E915EE">
        <w:rPr>
          <w:rFonts w:eastAsia="Times New Roman"/>
        </w:rPr>
        <w:t>III.  RELEVANT INTERNATIONAL LAW</w:t>
      </w:r>
    </w:p>
    <w:p w:rsidR="005766EE" w:rsidRPr="00E915EE" w:rsidRDefault="005766EE" w:rsidP="00E915EE">
      <w:pPr>
        <w:pStyle w:val="ECHRPara"/>
        <w:rPr>
          <w:rFonts w:eastAsia="Times New Roman"/>
          <w:lang w:val="en-US"/>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42</w:t>
      </w:r>
      <w:r w:rsidRPr="00E915EE">
        <w:rPr>
          <w:rFonts w:eastAsia="Times New Roman"/>
        </w:rPr>
        <w:fldChar w:fldCharType="end"/>
      </w:r>
      <w:r w:rsidRPr="00E915EE">
        <w:rPr>
          <w:rFonts w:eastAsia="Times New Roman"/>
        </w:rPr>
        <w:t>.  The relevant sources of international law are set out in the Court</w:t>
      </w:r>
      <w:r w:rsidR="00E915EE" w:rsidRPr="00E915EE">
        <w:rPr>
          <w:rFonts w:eastAsia="Times New Roman"/>
        </w:rPr>
        <w:t>’</w:t>
      </w:r>
      <w:r w:rsidRPr="00E915EE">
        <w:rPr>
          <w:rFonts w:eastAsia="Times New Roman"/>
        </w:rPr>
        <w:t>s judgment in the case of</w:t>
      </w:r>
      <w:r w:rsidRPr="00E915EE">
        <w:rPr>
          <w:rFonts w:eastAsia="Times New Roman"/>
          <w:i/>
          <w:lang w:val="en-US"/>
        </w:rPr>
        <w:t xml:space="preserve"> A.B.</w:t>
      </w:r>
      <w:r w:rsidRPr="00E915EE">
        <w:rPr>
          <w:rFonts w:eastAsia="Times New Roman"/>
          <w:lang w:val="en-US"/>
        </w:rPr>
        <w:t xml:space="preserve"> </w:t>
      </w:r>
      <w:r w:rsidRPr="00E915EE">
        <w:rPr>
          <w:rFonts w:eastAsia="Times New Roman"/>
          <w:i/>
          <w:lang w:val="en-US"/>
        </w:rPr>
        <w:t>and Others v. France</w:t>
      </w:r>
      <w:r w:rsidRPr="00E915EE">
        <w:rPr>
          <w:rFonts w:eastAsia="Times New Roman"/>
          <w:snapToGrid w:val="0"/>
          <w:lang w:val="en-US"/>
        </w:rPr>
        <w:t xml:space="preserve">, </w:t>
      </w:r>
      <w:r w:rsidRPr="00E915EE">
        <w:rPr>
          <w:rFonts w:eastAsia="Times New Roman"/>
          <w:lang w:val="en-US"/>
        </w:rPr>
        <w:t>no. 11593/12</w:t>
      </w:r>
      <w:r w:rsidRPr="00E915EE">
        <w:rPr>
          <w:rFonts w:eastAsia="Times New Roman"/>
          <w:snapToGrid w:val="0"/>
          <w:lang w:val="en-US"/>
        </w:rPr>
        <w:t>, §§</w:t>
      </w:r>
      <w:r w:rsidR="00D8635F" w:rsidRPr="00E915EE">
        <w:rPr>
          <w:rFonts w:eastAsia="Times New Roman"/>
          <w:snapToGrid w:val="0"/>
          <w:lang w:val="en-US"/>
        </w:rPr>
        <w:t> </w:t>
      </w:r>
      <w:r w:rsidRPr="00E915EE">
        <w:rPr>
          <w:rFonts w:eastAsia="Times New Roman"/>
          <w:snapToGrid w:val="0"/>
          <w:lang w:val="en-US"/>
        </w:rPr>
        <w:t>60</w:t>
      </w:r>
      <w:r w:rsidR="00D8635F" w:rsidRPr="00E915EE">
        <w:rPr>
          <w:rFonts w:eastAsia="Times New Roman"/>
          <w:snapToGrid w:val="0"/>
          <w:lang w:val="en-US"/>
        </w:rPr>
        <w:noBreakHyphen/>
      </w:r>
      <w:r w:rsidRPr="00E915EE">
        <w:rPr>
          <w:rFonts w:eastAsia="Times New Roman"/>
          <w:snapToGrid w:val="0"/>
          <w:lang w:val="en-US"/>
        </w:rPr>
        <w:t>91, 12</w:t>
      </w:r>
      <w:r w:rsidR="00D8635F" w:rsidRPr="00E915EE">
        <w:rPr>
          <w:rFonts w:eastAsia="Times New Roman"/>
          <w:snapToGrid w:val="0"/>
          <w:lang w:val="en-US"/>
        </w:rPr>
        <w:t> </w:t>
      </w:r>
      <w:r w:rsidRPr="00E915EE">
        <w:rPr>
          <w:rFonts w:eastAsia="Times New Roman"/>
          <w:snapToGrid w:val="0"/>
          <w:lang w:val="en-US"/>
        </w:rPr>
        <w:t>July 2016</w:t>
      </w:r>
      <w:r w:rsidRPr="00E915EE">
        <w:rPr>
          <w:rFonts w:eastAsia="Times New Roman"/>
          <w:snapToGrid w:val="0"/>
          <w:szCs w:val="24"/>
        </w:rPr>
        <w:t>).</w:t>
      </w:r>
    </w:p>
    <w:p w:rsidR="005766EE" w:rsidRPr="00E915EE" w:rsidRDefault="005766EE" w:rsidP="00E915EE">
      <w:pPr>
        <w:pStyle w:val="ECHRTitle1"/>
        <w:rPr>
          <w:rFonts w:eastAsia="Times New Roman"/>
        </w:rPr>
      </w:pPr>
      <w:r w:rsidRPr="00E915EE">
        <w:rPr>
          <w:rFonts w:eastAsia="Times New Roman"/>
        </w:rPr>
        <w:t>THE LAW</w:t>
      </w:r>
    </w:p>
    <w:p w:rsidR="005766EE" w:rsidRPr="00E915EE" w:rsidRDefault="005766EE" w:rsidP="00E915EE">
      <w:pPr>
        <w:pStyle w:val="ECHRHeading1"/>
        <w:rPr>
          <w:rFonts w:eastAsia="Times New Roman"/>
        </w:rPr>
      </w:pPr>
      <w:r w:rsidRPr="00E915EE">
        <w:rPr>
          <w:rFonts w:eastAsia="Times New Roman"/>
        </w:rPr>
        <w:t>I.  ALLEGED VIOLATION OF ARTICLE 5 §</w:t>
      </w:r>
      <w:r w:rsidRPr="00E915EE">
        <w:rPr>
          <w:rFonts w:eastAsia="Times New Roman"/>
          <w:lang w:val="en-US"/>
        </w:rPr>
        <w:t>§</w:t>
      </w:r>
      <w:r w:rsidRPr="00E915EE">
        <w:rPr>
          <w:rFonts w:eastAsia="Times New Roman"/>
        </w:rPr>
        <w:t xml:space="preserve"> 1 AND 4 OF THE CONVENTION</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43</w:t>
      </w:r>
      <w:r w:rsidRPr="00E915EE">
        <w:rPr>
          <w:rFonts w:eastAsia="Times New Roman"/>
        </w:rPr>
        <w:fldChar w:fldCharType="end"/>
      </w:r>
      <w:r w:rsidRPr="00E915EE">
        <w:rPr>
          <w:rFonts w:eastAsia="Times New Roman"/>
        </w:rPr>
        <w:t>. The applicants complained that their administrative detention had been in breach of Article 5 § 1 of the Convention. This provision, in so far as relevant, reads as follows:</w:t>
      </w:r>
    </w:p>
    <w:p w:rsidR="005766EE" w:rsidRPr="00E915EE" w:rsidRDefault="005766EE" w:rsidP="00E915EE">
      <w:pPr>
        <w:pStyle w:val="ECHRParaQuote"/>
        <w:rPr>
          <w:rFonts w:eastAsia="Times New Roman"/>
          <w:lang w:val="en-US"/>
        </w:rPr>
      </w:pPr>
      <w:r w:rsidRPr="00E915EE">
        <w:rPr>
          <w:rFonts w:eastAsia="Times New Roman"/>
          <w:lang w:val="en-US"/>
        </w:rPr>
        <w:t>“1.  Everyone has the right to liberty and security of person. No one shall be deprived of his liberty save in the following cases and in accordance with a procedure prescribed by law:</w:t>
      </w:r>
    </w:p>
    <w:p w:rsidR="005766EE" w:rsidRPr="00E915EE" w:rsidRDefault="00B30003" w:rsidP="00E915EE">
      <w:pPr>
        <w:pStyle w:val="ECHRParaQuote"/>
        <w:rPr>
          <w:rFonts w:eastAsia="Times New Roman"/>
          <w:lang w:val="en-US"/>
        </w:rPr>
      </w:pPr>
      <w:r w:rsidRPr="00E915EE">
        <w:rPr>
          <w:rFonts w:eastAsia="Times New Roman"/>
          <w:lang w:val="en-US"/>
        </w:rPr>
        <w:t>...</w:t>
      </w:r>
    </w:p>
    <w:p w:rsidR="005766EE" w:rsidRPr="00E915EE" w:rsidRDefault="005766EE" w:rsidP="00E915EE">
      <w:pPr>
        <w:pStyle w:val="ECHRParaQuote"/>
        <w:rPr>
          <w:rFonts w:eastAsia="Times New Roman"/>
          <w:lang w:val="en-US"/>
        </w:rPr>
      </w:pPr>
      <w:r w:rsidRPr="00E915EE">
        <w:rPr>
          <w:rFonts w:eastAsia="Times New Roman"/>
          <w:lang w:val="en-US"/>
        </w:rPr>
        <w:t>(f)  the lawful arrest or detention of a person to prevent his effecting an</w:t>
      </w:r>
      <w:r w:rsidRPr="00E915EE">
        <w:rPr>
          <w:rFonts w:eastAsia="Times New Roman"/>
        </w:rPr>
        <w:t xml:space="preserve"> unauthorised</w:t>
      </w:r>
      <w:r w:rsidRPr="00E915EE">
        <w:rPr>
          <w:rFonts w:eastAsia="Times New Roman"/>
          <w:lang w:val="en-US"/>
        </w:rPr>
        <w:t xml:space="preserve"> entry into the country or of a person against whom action is being taken with a view to deportation or extradition </w:t>
      </w:r>
      <w:r w:rsidR="00B30003" w:rsidRPr="00E915EE">
        <w:rPr>
          <w:rFonts w:eastAsia="Times New Roman"/>
          <w:lang w:val="en-US"/>
        </w:rPr>
        <w:t>...</w:t>
      </w:r>
      <w:r w:rsidRPr="00E915EE">
        <w:rPr>
          <w:rFonts w:eastAsia="Times New Roman"/>
          <w:lang w:val="en-US"/>
        </w:rPr>
        <w:t>”</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44</w:t>
      </w:r>
      <w:r w:rsidRPr="00E915EE">
        <w:rPr>
          <w:rFonts w:eastAsia="Times New Roman"/>
        </w:rPr>
        <w:fldChar w:fldCharType="end"/>
      </w:r>
      <w:r w:rsidRPr="00E915EE">
        <w:rPr>
          <w:rFonts w:eastAsia="Times New Roman"/>
        </w:rPr>
        <w:t>.  Ms Bistieva also complained under Article 5 § 4 of the Convention that under Polish law a stay of enforcement of an expulsion decision did not result in automatic release of the alien concerned from administrative detention. She also complained that her youngest child had been deprived of judicial review of his detention because his situation had been linked with his mother</w:t>
      </w:r>
      <w:r w:rsidR="00E915EE" w:rsidRPr="00E915EE">
        <w:rPr>
          <w:rFonts w:eastAsia="Times New Roman"/>
        </w:rPr>
        <w:t>’</w:t>
      </w:r>
      <w:r w:rsidRPr="00E915EE">
        <w:rPr>
          <w:rFonts w:eastAsia="Times New Roman"/>
        </w:rPr>
        <w:t>s immigration status. This provision reads:</w:t>
      </w:r>
    </w:p>
    <w:p w:rsidR="005766EE" w:rsidRPr="00E915EE" w:rsidRDefault="005766EE" w:rsidP="00E915EE">
      <w:pPr>
        <w:pStyle w:val="ECHRParaQuote"/>
        <w:rPr>
          <w:rFonts w:eastAsia="Times New Roman"/>
        </w:rPr>
      </w:pPr>
      <w:r w:rsidRPr="00E915EE">
        <w:rPr>
          <w:rFonts w:eastAsia="Times New Roman"/>
          <w:lang w:val="en-US"/>
        </w:rPr>
        <w:t>“4.  Everyone who is deprived of his liberty by arrest or detention shall be entitled to take proceedings by which the lawfulness of his detention shall be decided speedily by a court and his release ordered if the detention is not lawful.”</w:t>
      </w:r>
    </w:p>
    <w:p w:rsidR="005766EE" w:rsidRPr="00E915EE" w:rsidRDefault="005766EE" w:rsidP="00E915EE">
      <w:pPr>
        <w:pStyle w:val="ECHRHeading2"/>
        <w:rPr>
          <w:rFonts w:eastAsia="Times New Roman"/>
          <w:lang w:val="en-US"/>
        </w:rPr>
      </w:pPr>
      <w:r w:rsidRPr="00E915EE">
        <w:rPr>
          <w:rFonts w:eastAsia="Times New Roman"/>
        </w:rPr>
        <w:lastRenderedPageBreak/>
        <w:t>A.  The parties</w:t>
      </w:r>
      <w:r w:rsidR="00E915EE" w:rsidRPr="00E915EE">
        <w:rPr>
          <w:rFonts w:eastAsia="Times New Roman"/>
        </w:rPr>
        <w:t>’</w:t>
      </w:r>
      <w:r w:rsidRPr="00E915EE">
        <w:rPr>
          <w:rFonts w:eastAsia="Times New Roman"/>
        </w:rPr>
        <w:t xml:space="preserve"> submissions</w:t>
      </w:r>
    </w:p>
    <w:p w:rsidR="005766EE" w:rsidRPr="00E915EE" w:rsidRDefault="005766EE" w:rsidP="00E915EE">
      <w:pPr>
        <w:pStyle w:val="ECHRHeading3"/>
        <w:rPr>
          <w:rFonts w:eastAsia="Times New Roman"/>
          <w:lang w:val="en-US"/>
        </w:rPr>
      </w:pPr>
      <w:r w:rsidRPr="00E915EE">
        <w:rPr>
          <w:rFonts w:eastAsia="Times New Roman"/>
          <w:lang w:val="en-US"/>
        </w:rPr>
        <w:t>1.  The Government</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45</w:t>
      </w:r>
      <w:r w:rsidRPr="00E915EE">
        <w:rPr>
          <w:rFonts w:eastAsia="Times New Roman"/>
          <w:noProof/>
          <w:lang w:val="en-US"/>
        </w:rPr>
        <w:fldChar w:fldCharType="end"/>
      </w:r>
      <w:r w:rsidRPr="00E915EE">
        <w:rPr>
          <w:rFonts w:eastAsia="Times New Roman"/>
          <w:lang w:val="en-US"/>
        </w:rPr>
        <w:t>.  The Government claimed that the applicants had not exhausted the domestic remedies available to them. In particular, they had not pursued the appeal against the 2013 expulsion decision which was at the origin of their subsequent administrative detention; had not challenged the detention measure under Article 246 of the Code of Criminal Procedure; had not appealed against the decision of the Kętrzyn District Court of 4 February 2014; had not appealed against the respective decisions of the head of the Aliens Office of 19 February and 18 April 2014; and had not brought an action for compensation for unjustified detention in a guarded centre under section 407 of the Aliens Act of 12 December 2013.</w:t>
      </w:r>
    </w:p>
    <w:p w:rsidR="005766EE" w:rsidRPr="00E915EE" w:rsidRDefault="005766EE" w:rsidP="00E915EE">
      <w:pPr>
        <w:pStyle w:val="ECHRHeading3"/>
        <w:rPr>
          <w:rFonts w:eastAsia="Times New Roman"/>
          <w:lang w:val="en-US"/>
        </w:rPr>
      </w:pPr>
      <w:r w:rsidRPr="00E915EE">
        <w:rPr>
          <w:rFonts w:eastAsia="Times New Roman"/>
          <w:lang w:val="en-US"/>
        </w:rPr>
        <w:t>2.  The applicants</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46</w:t>
      </w:r>
      <w:r w:rsidRPr="00E915EE">
        <w:rPr>
          <w:rFonts w:eastAsia="Times New Roman"/>
          <w:noProof/>
          <w:lang w:val="en-US"/>
        </w:rPr>
        <w:fldChar w:fldCharType="end"/>
      </w:r>
      <w:r w:rsidRPr="00E915EE">
        <w:rPr>
          <w:rFonts w:eastAsia="Times New Roman"/>
          <w:lang w:val="en-US"/>
        </w:rPr>
        <w:t>.  The applicants argued that the remedies referred to by the Government were either ineffective, not available to them or had no prospects of success for the purpose of challenging their administrative detention.</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47</w:t>
      </w:r>
      <w:r w:rsidRPr="00E915EE">
        <w:rPr>
          <w:rFonts w:eastAsia="Times New Roman"/>
          <w:noProof/>
          <w:lang w:val="en-US"/>
        </w:rPr>
        <w:fldChar w:fldCharType="end"/>
      </w:r>
      <w:r w:rsidRPr="00E915EE">
        <w:rPr>
          <w:rFonts w:eastAsia="Times New Roman"/>
          <w:lang w:val="en-US"/>
        </w:rPr>
        <w:t>.  Firstly, the decisions issued by the Refugees Council (on 10 May 2013) and by the head of Aliens Office (on 19 February and 18 April 2014) concerned the asylum proceedings and had no direct effect on the detention measure, which had been ordered by domestic courts.</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48</w:t>
      </w:r>
      <w:r w:rsidRPr="00E915EE">
        <w:rPr>
          <w:rFonts w:eastAsia="Times New Roman"/>
          <w:noProof/>
          <w:lang w:val="en-US"/>
        </w:rPr>
        <w:fldChar w:fldCharType="end"/>
      </w:r>
      <w:r w:rsidRPr="00E915EE">
        <w:rPr>
          <w:rFonts w:eastAsia="Times New Roman"/>
          <w:lang w:val="en-US"/>
        </w:rPr>
        <w:t>.  Secondly, referring to the Court</w:t>
      </w:r>
      <w:r w:rsidR="00E915EE" w:rsidRPr="00E915EE">
        <w:rPr>
          <w:rFonts w:eastAsia="Times New Roman"/>
          <w:lang w:val="en-US"/>
        </w:rPr>
        <w:t>’</w:t>
      </w:r>
      <w:r w:rsidRPr="00E915EE">
        <w:rPr>
          <w:rFonts w:eastAsia="Times New Roman"/>
          <w:lang w:val="en-US"/>
        </w:rPr>
        <w:t xml:space="preserve">s well-established case-law, for example, </w:t>
      </w:r>
      <w:r w:rsidRPr="00E915EE">
        <w:rPr>
          <w:rFonts w:eastAsia="Times New Roman"/>
          <w:i/>
        </w:rPr>
        <w:t>Kacprzyk v. Poland</w:t>
      </w:r>
      <w:r w:rsidRPr="00E915EE">
        <w:rPr>
          <w:rFonts w:eastAsia="Times New Roman"/>
        </w:rPr>
        <w:t xml:space="preserve"> (no. 50020/06</w:t>
      </w:r>
      <w:r w:rsidRPr="00E915EE">
        <w:rPr>
          <w:rFonts w:eastAsia="Times New Roman"/>
          <w:snapToGrid w:val="0"/>
        </w:rPr>
        <w:t>, § 29, 21 July 2009)</w:t>
      </w:r>
      <w:r w:rsidRPr="00E915EE">
        <w:rPr>
          <w:rFonts w:eastAsia="Times New Roman"/>
          <w:lang w:val="en-US"/>
        </w:rPr>
        <w:t xml:space="preserve"> the applicants argued that they were not required to appeal against each and every decision extending their detention in order to comply with the requirement of exhaustion of domestic remedies. Consequently, Ms Bistieva</w:t>
      </w:r>
      <w:r w:rsidR="00E915EE" w:rsidRPr="00E915EE">
        <w:rPr>
          <w:rFonts w:eastAsia="Times New Roman"/>
          <w:lang w:val="en-US"/>
        </w:rPr>
        <w:t>’</w:t>
      </w:r>
      <w:r w:rsidRPr="00E915EE">
        <w:rPr>
          <w:rFonts w:eastAsia="Times New Roman"/>
          <w:lang w:val="en-US"/>
        </w:rPr>
        <w:t>s failure to appeal against the Kętrzyn District Court</w:t>
      </w:r>
      <w:r w:rsidR="00E915EE" w:rsidRPr="00E915EE">
        <w:rPr>
          <w:rFonts w:eastAsia="Times New Roman"/>
          <w:lang w:val="en-US"/>
        </w:rPr>
        <w:t>’</w:t>
      </w:r>
      <w:r w:rsidRPr="00E915EE">
        <w:rPr>
          <w:rFonts w:eastAsia="Times New Roman"/>
          <w:lang w:val="en-US"/>
        </w:rPr>
        <w:t>s decision of 4 February 2014 had no bearing on that issue because she had appealed against the Słubice District Court</w:t>
      </w:r>
      <w:r w:rsidR="00E915EE" w:rsidRPr="00E915EE">
        <w:rPr>
          <w:rFonts w:eastAsia="Times New Roman"/>
          <w:lang w:val="en-US"/>
        </w:rPr>
        <w:t>’</w:t>
      </w:r>
      <w:r w:rsidRPr="00E915EE">
        <w:rPr>
          <w:rFonts w:eastAsia="Times New Roman"/>
          <w:lang w:val="en-US"/>
        </w:rPr>
        <w:t>s decision of 9 January 2014 to order the applicants</w:t>
      </w:r>
      <w:r w:rsidR="00E915EE" w:rsidRPr="00E915EE">
        <w:rPr>
          <w:rFonts w:eastAsia="Times New Roman"/>
          <w:lang w:val="en-US"/>
        </w:rPr>
        <w:t>’</w:t>
      </w:r>
      <w:r w:rsidRPr="00E915EE">
        <w:rPr>
          <w:rFonts w:eastAsia="Times New Roman"/>
          <w:lang w:val="en-US"/>
        </w:rPr>
        <w:t xml:space="preserve"> detention, and against the Kętrzyn District Court</w:t>
      </w:r>
      <w:r w:rsidR="00E915EE" w:rsidRPr="00E915EE">
        <w:rPr>
          <w:rFonts w:eastAsia="Times New Roman"/>
          <w:lang w:val="en-US"/>
        </w:rPr>
        <w:t>’</w:t>
      </w:r>
      <w:r w:rsidRPr="00E915EE">
        <w:rPr>
          <w:rFonts w:eastAsia="Times New Roman"/>
          <w:lang w:val="en-US"/>
        </w:rPr>
        <w:t>s decision of</w:t>
      </w:r>
      <w:r w:rsidR="00F65061" w:rsidRPr="00E915EE">
        <w:rPr>
          <w:rFonts w:eastAsia="Times New Roman"/>
          <w:lang w:val="en-US"/>
        </w:rPr>
        <w:t xml:space="preserve"> 25 </w:t>
      </w:r>
      <w:r w:rsidRPr="00E915EE">
        <w:rPr>
          <w:rFonts w:eastAsia="Times New Roman"/>
          <w:lang w:val="en-US"/>
        </w:rPr>
        <w:t>April 2014 to extend the measure.</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49</w:t>
      </w:r>
      <w:r w:rsidRPr="00E915EE">
        <w:rPr>
          <w:rFonts w:eastAsia="Times New Roman"/>
          <w:noProof/>
          <w:lang w:val="en-US"/>
        </w:rPr>
        <w:fldChar w:fldCharType="end"/>
      </w:r>
      <w:r w:rsidRPr="00E915EE">
        <w:rPr>
          <w:rFonts w:eastAsia="Times New Roman"/>
          <w:lang w:val="en-US"/>
        </w:rPr>
        <w:t>. Thirdly, the remedy provided by the Aliens Act was only of a compensatory nature and did not entail the release of the foreigner or any change in his or her detention conditions. The applicants compared that remedy to the one provided for under Article 552 of the Code of Criminal Procedure. Referring to the Court</w:t>
      </w:r>
      <w:r w:rsidR="00E915EE" w:rsidRPr="00E915EE">
        <w:rPr>
          <w:rFonts w:eastAsia="Times New Roman"/>
          <w:lang w:val="en-US"/>
        </w:rPr>
        <w:t>’</w:t>
      </w:r>
      <w:r w:rsidRPr="00E915EE">
        <w:rPr>
          <w:rFonts w:eastAsia="Times New Roman"/>
          <w:lang w:val="en-US"/>
        </w:rPr>
        <w:t xml:space="preserve">s case-law, for example, </w:t>
      </w:r>
      <w:r w:rsidR="00D8635F" w:rsidRPr="00E915EE">
        <w:rPr>
          <w:rFonts w:eastAsia="Times New Roman"/>
          <w:i/>
        </w:rPr>
        <w:t>Sławomir Musiał v. </w:t>
      </w:r>
      <w:r w:rsidRPr="00E915EE">
        <w:rPr>
          <w:rFonts w:eastAsia="Times New Roman"/>
          <w:i/>
        </w:rPr>
        <w:t>Poland</w:t>
      </w:r>
      <w:r w:rsidR="00D8635F" w:rsidRPr="00E915EE">
        <w:rPr>
          <w:rFonts w:eastAsia="Times New Roman"/>
        </w:rPr>
        <w:t xml:space="preserve"> (no. </w:t>
      </w:r>
      <w:r w:rsidRPr="00E915EE">
        <w:rPr>
          <w:rFonts w:eastAsia="Times New Roman"/>
        </w:rPr>
        <w:t>28300/06, §§ 77 and 82, 20</w:t>
      </w:r>
      <w:r w:rsidR="00D8635F" w:rsidRPr="00E915EE">
        <w:rPr>
          <w:rFonts w:eastAsia="Times New Roman"/>
        </w:rPr>
        <w:t> </w:t>
      </w:r>
      <w:r w:rsidRPr="00E915EE">
        <w:rPr>
          <w:rFonts w:eastAsia="Times New Roman"/>
        </w:rPr>
        <w:t xml:space="preserve">January 2009) the applicants argued that </w:t>
      </w:r>
      <w:r w:rsidRPr="00E915EE">
        <w:rPr>
          <w:rFonts w:eastAsia="Times New Roman"/>
          <w:lang w:val="en-US"/>
        </w:rPr>
        <w:t>the use of that remedy was not required in cases where lawfulness or conditions of detention were at issue.</w:t>
      </w:r>
    </w:p>
    <w:p w:rsidR="008B383D"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50</w:t>
      </w:r>
      <w:r w:rsidRPr="00E915EE">
        <w:rPr>
          <w:rFonts w:eastAsia="Times New Roman"/>
          <w:noProof/>
          <w:lang w:val="en-US"/>
        </w:rPr>
        <w:fldChar w:fldCharType="end"/>
      </w:r>
      <w:r w:rsidRPr="00E915EE">
        <w:rPr>
          <w:rFonts w:eastAsia="Times New Roman"/>
          <w:lang w:val="en-US"/>
        </w:rPr>
        <w:t xml:space="preserve">.  The applicants also argued that in the absence of any examples of national case-law concerning the detention of adult foreigners or their </w:t>
      </w:r>
      <w:r w:rsidRPr="00E915EE">
        <w:rPr>
          <w:rFonts w:eastAsia="Times New Roman"/>
          <w:lang w:val="en-US"/>
        </w:rPr>
        <w:lastRenderedPageBreak/>
        <w:t>children, especially those whose first asylum application had been rejected, the remedy in question co</w:t>
      </w:r>
      <w:r w:rsidR="008B383D" w:rsidRPr="00E915EE">
        <w:rPr>
          <w:rFonts w:eastAsia="Times New Roman"/>
          <w:lang w:val="en-US"/>
        </w:rPr>
        <w:t>uld not be considered effective.</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51</w:t>
      </w:r>
      <w:r w:rsidRPr="00E915EE">
        <w:rPr>
          <w:rFonts w:eastAsia="Times New Roman"/>
          <w:noProof/>
          <w:lang w:val="en-US"/>
        </w:rPr>
        <w:fldChar w:fldCharType="end"/>
      </w:r>
      <w:r w:rsidRPr="00E915EE">
        <w:rPr>
          <w:rFonts w:eastAsia="Times New Roman"/>
          <w:lang w:val="en-US"/>
        </w:rPr>
        <w:t>.  In any event, Ms Bistieva could not have participated in proceedings for compensation, as she had been under an obligation to leave Polish territory.</w:t>
      </w:r>
    </w:p>
    <w:p w:rsidR="005766EE" w:rsidRPr="00E915EE" w:rsidRDefault="005766EE" w:rsidP="00E915EE">
      <w:pPr>
        <w:pStyle w:val="ECHRHeading2"/>
        <w:rPr>
          <w:rFonts w:eastAsia="Times New Roman"/>
          <w:lang w:val="en-US"/>
        </w:rPr>
      </w:pPr>
      <w:r w:rsidRPr="00E915EE">
        <w:rPr>
          <w:rFonts w:eastAsia="Times New Roman"/>
          <w:lang w:val="en-US"/>
        </w:rPr>
        <w:t>B.  The Court</w:t>
      </w:r>
      <w:r w:rsidR="00E915EE" w:rsidRPr="00E915EE">
        <w:rPr>
          <w:rFonts w:eastAsia="Times New Roman"/>
          <w:lang w:val="en-US"/>
        </w:rPr>
        <w:t>’</w:t>
      </w:r>
      <w:r w:rsidRPr="00E915EE">
        <w:rPr>
          <w:rFonts w:eastAsia="Times New Roman"/>
          <w:lang w:val="en-US"/>
        </w:rPr>
        <w:t>s assessment</w:t>
      </w:r>
    </w:p>
    <w:p w:rsidR="005766EE" w:rsidRPr="00E915EE" w:rsidRDefault="005766EE" w:rsidP="00E915EE">
      <w:pPr>
        <w:pStyle w:val="ECHRHeading3"/>
        <w:rPr>
          <w:rFonts w:eastAsia="Times New Roman"/>
          <w:lang w:val="en-US"/>
        </w:rPr>
      </w:pPr>
      <w:r w:rsidRPr="00E915EE">
        <w:rPr>
          <w:rFonts w:eastAsia="Times New Roman"/>
          <w:lang w:val="en-US"/>
        </w:rPr>
        <w:t>1.  General principles relating to exhaustion of domestic remedies</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52</w:t>
      </w:r>
      <w:r w:rsidRPr="00E915EE">
        <w:rPr>
          <w:rFonts w:eastAsia="Times New Roman"/>
          <w:lang w:val="en-US"/>
        </w:rPr>
        <w:fldChar w:fldCharType="end"/>
      </w:r>
      <w:r w:rsidRPr="00E915EE">
        <w:rPr>
          <w:rFonts w:eastAsia="Times New Roman"/>
          <w:lang w:val="en-US"/>
        </w:rPr>
        <w:t xml:space="preserve">. The rule of exhaustion of domestic remedies referred to in Article 35 § 1 of the Convention obliges applicants to use first 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(see </w:t>
      </w:r>
      <w:r w:rsidRPr="00E915EE">
        <w:rPr>
          <w:rFonts w:eastAsia="Times New Roman"/>
          <w:i/>
          <w:lang w:val="en-US"/>
        </w:rPr>
        <w:t>Demopoulos and Others v. Turkey</w:t>
      </w:r>
      <w:r w:rsidR="00D8635F" w:rsidRPr="00E915EE">
        <w:rPr>
          <w:rFonts w:eastAsia="Times New Roman"/>
          <w:lang w:val="en-US"/>
        </w:rPr>
        <w:t xml:space="preserve"> (dec.) [GC], nos. </w:t>
      </w:r>
      <w:hyperlink r:id="rId15" w:anchor="{&quot;appno&quot;:[&quot;46113/99&quot;]}" w:tgtFrame="_blank" w:history="1">
        <w:r w:rsidRPr="00E915EE">
          <w:rPr>
            <w:rFonts w:eastAsia="Times New Roman"/>
            <w:lang w:val="en-US"/>
          </w:rPr>
          <w:t>46113/99</w:t>
        </w:r>
      </w:hyperlink>
      <w:r w:rsidR="00D8635F" w:rsidRPr="00E915EE">
        <w:rPr>
          <w:rFonts w:eastAsia="Times New Roman"/>
          <w:lang w:val="en-US"/>
        </w:rPr>
        <w:t xml:space="preserve"> et al., ECHR </w:t>
      </w:r>
      <w:r w:rsidRPr="00E915EE">
        <w:rPr>
          <w:rFonts w:eastAsia="Times New Roman"/>
          <w:lang w:val="en-US"/>
        </w:rPr>
        <w:t xml:space="preserve">2010, and </w:t>
      </w:r>
      <w:r w:rsidRPr="00E915EE">
        <w:rPr>
          <w:rFonts w:eastAsia="Times New Roman"/>
          <w:i/>
          <w:lang w:val="en-US"/>
        </w:rPr>
        <w:t>Włoch v. Poland</w:t>
      </w:r>
      <w:r w:rsidRPr="00E915EE">
        <w:rPr>
          <w:rFonts w:eastAsia="Times New Roman"/>
          <w:lang w:val="en-US"/>
        </w:rPr>
        <w:t>, no. 27785/95, § 89 with further references, ECHR 2000</w:t>
      </w:r>
      <w:r w:rsidRPr="00E915EE">
        <w:rPr>
          <w:rFonts w:eastAsia="Times New Roman"/>
          <w:lang w:val="en-US"/>
        </w:rPr>
        <w:noBreakHyphen/>
        <w:t>XI).</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53</w:t>
      </w:r>
      <w:r w:rsidRPr="00E915EE">
        <w:rPr>
          <w:rFonts w:eastAsia="Times New Roman"/>
          <w:lang w:val="en-US"/>
        </w:rPr>
        <w:fldChar w:fldCharType="end"/>
      </w:r>
      <w:r w:rsidRPr="00E915EE">
        <w:rPr>
          <w:rFonts w:eastAsia="Times New Roman"/>
          <w:lang w:val="en-US"/>
        </w:rPr>
        <w:t>.  Moreover, it is incumbent on the Government claiming non</w:t>
      </w:r>
      <w:r w:rsidRPr="00E915EE">
        <w:rPr>
          <w:rFonts w:eastAsia="Times New Roman"/>
          <w:lang w:val="en-US"/>
        </w:rPr>
        <w:noBreakHyphen/>
        <w:t>exhaustion to satisfy the Court that the remedy was accessible, was one which was capable of providing redress in respect of the applicant</w:t>
      </w:r>
      <w:r w:rsidR="00E915EE" w:rsidRPr="00E915EE">
        <w:rPr>
          <w:rFonts w:eastAsia="Times New Roman"/>
          <w:lang w:val="en-US"/>
        </w:rPr>
        <w:t>’</w:t>
      </w:r>
      <w:r w:rsidRPr="00E915EE">
        <w:rPr>
          <w:rFonts w:eastAsia="Times New Roman"/>
          <w:lang w:val="en-US"/>
        </w:rPr>
        <w:t>s complaints and offered reasonable prospects of success (see</w:t>
      </w:r>
      <w:r w:rsidR="001B7C93" w:rsidRPr="00E915EE">
        <w:rPr>
          <w:rFonts w:eastAsia="Times New Roman"/>
          <w:lang w:val="en-US"/>
        </w:rPr>
        <w:t xml:space="preserve"> </w:t>
      </w:r>
      <w:r w:rsidRPr="00E915EE">
        <w:rPr>
          <w:rFonts w:eastAsia="Times New Roman"/>
          <w:i/>
          <w:iCs/>
          <w:lang w:val="en-US"/>
        </w:rPr>
        <w:t>Kennedy</w:t>
      </w:r>
      <w:r w:rsidR="001B7C93" w:rsidRPr="00E915EE">
        <w:rPr>
          <w:rFonts w:eastAsia="Times New Roman"/>
          <w:i/>
          <w:iCs/>
          <w:lang w:val="en-US"/>
        </w:rPr>
        <w:t xml:space="preserve"> </w:t>
      </w:r>
      <w:r w:rsidRPr="00E915EE">
        <w:rPr>
          <w:rFonts w:eastAsia="Times New Roman"/>
          <w:i/>
          <w:iCs/>
          <w:lang w:val="en-US"/>
        </w:rPr>
        <w:t>v. the United Kingdom</w:t>
      </w:r>
      <w:r w:rsidRPr="00E915EE">
        <w:rPr>
          <w:rFonts w:eastAsia="Times New Roman"/>
          <w:lang w:val="en-US"/>
        </w:rPr>
        <w:t>, no. 26839/05, § 109, 18 May 2010).</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54</w:t>
      </w:r>
      <w:r w:rsidRPr="00E915EE">
        <w:rPr>
          <w:rFonts w:eastAsia="Times New Roman"/>
          <w:noProof/>
          <w:lang w:val="en-US"/>
        </w:rPr>
        <w:fldChar w:fldCharType="end"/>
      </w:r>
      <w:r w:rsidRPr="00E915EE">
        <w:rPr>
          <w:rFonts w:eastAsia="Times New Roman"/>
          <w:lang w:val="en-US"/>
        </w:rPr>
        <w:t>.  It is for the Government to submit to the Court any pertinent examples of domestic case-law with a view to demonstrating the scope of a newly established remedy and its application in practice (see</w:t>
      </w:r>
      <w:r w:rsidR="001B7C93" w:rsidRPr="00E915EE">
        <w:rPr>
          <w:rFonts w:eastAsia="Times New Roman"/>
          <w:lang w:val="en-US"/>
        </w:rPr>
        <w:t xml:space="preserve"> </w:t>
      </w:r>
      <w:r w:rsidRPr="00E915EE">
        <w:rPr>
          <w:rFonts w:eastAsia="Times New Roman"/>
          <w:i/>
          <w:lang w:val="en-US"/>
        </w:rPr>
        <w:t>Melnītis</w:t>
      </w:r>
      <w:r w:rsidR="001B7C93" w:rsidRPr="00E915EE">
        <w:rPr>
          <w:rFonts w:eastAsia="Times New Roman"/>
          <w:i/>
          <w:lang w:val="en-US"/>
        </w:rPr>
        <w:t xml:space="preserve"> </w:t>
      </w:r>
      <w:r w:rsidRPr="00E915EE">
        <w:rPr>
          <w:rFonts w:eastAsia="Times New Roman"/>
          <w:i/>
          <w:lang w:val="en-US"/>
        </w:rPr>
        <w:t>v.  Latvia</w:t>
      </w:r>
      <w:r w:rsidRPr="00E915EE">
        <w:rPr>
          <w:rFonts w:eastAsia="Times New Roman"/>
          <w:lang w:val="en-US"/>
        </w:rPr>
        <w:t>, no. 30779/05</w:t>
      </w:r>
      <w:r w:rsidRPr="00E915EE">
        <w:rPr>
          <w:rFonts w:eastAsia="Times New Roman"/>
          <w:snapToGrid w:val="0"/>
          <w:szCs w:val="24"/>
          <w:lang w:val="en-US"/>
        </w:rPr>
        <w:t>, § 50, 28 February 2012)</w:t>
      </w:r>
      <w:r w:rsidRPr="00E915EE">
        <w:rPr>
          <w:rFonts w:eastAsia="Times New Roman"/>
          <w:lang w:val="en-US"/>
        </w:rPr>
        <w:t>.</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55</w:t>
      </w:r>
      <w:r w:rsidRPr="00E915EE">
        <w:rPr>
          <w:rFonts w:eastAsia="Times New Roman"/>
          <w:lang w:val="en-US"/>
        </w:rPr>
        <w:fldChar w:fldCharType="end"/>
      </w:r>
      <w:r w:rsidRPr="00E915EE">
        <w:rPr>
          <w:rFonts w:eastAsia="Times New Roman"/>
          <w:lang w:val="en-US"/>
        </w:rPr>
        <w:t xml:space="preserve">.  Once this burden of proof has been satisfied, it falls to the applicant to establish that the remedy advanced by the Government was in fact exhausted or was for some reason inadequate and ineffective in the particular circumstances of the case (see </w:t>
      </w:r>
      <w:r w:rsidR="00AE1DCE" w:rsidRPr="00E915EE">
        <w:rPr>
          <w:rFonts w:eastAsia="Times New Roman"/>
          <w:i/>
          <w:lang w:val="en-US"/>
        </w:rPr>
        <w:t>Betteridge v. </w:t>
      </w:r>
      <w:r w:rsidRPr="00E915EE">
        <w:rPr>
          <w:rFonts w:eastAsia="Times New Roman"/>
          <w:i/>
          <w:lang w:val="en-US"/>
        </w:rPr>
        <w:t>the United Kingdom</w:t>
      </w:r>
      <w:r w:rsidR="005B1B26" w:rsidRPr="00E915EE">
        <w:rPr>
          <w:rFonts w:eastAsia="Times New Roman"/>
          <w:lang w:val="en-US"/>
        </w:rPr>
        <w:t>, no. </w:t>
      </w:r>
      <w:hyperlink r:id="rId16" w:anchor="{&quot;appno&quot;:[&quot;1497/10&quot;]}" w:tgtFrame="_blank" w:history="1">
        <w:r w:rsidRPr="00E915EE">
          <w:rPr>
            <w:rFonts w:eastAsia="Times New Roman"/>
            <w:lang w:val="en-US"/>
          </w:rPr>
          <w:t>1497/10</w:t>
        </w:r>
      </w:hyperlink>
      <w:r w:rsidRPr="00E915EE">
        <w:rPr>
          <w:rFonts w:eastAsia="Times New Roman"/>
          <w:lang w:val="en-US"/>
        </w:rPr>
        <w:t>, § 48, 29 January 2013).</w:t>
      </w:r>
    </w:p>
    <w:bookmarkStart w:id="29" w:name="p50"/>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56</w:t>
      </w:r>
      <w:r w:rsidRPr="00E915EE">
        <w:rPr>
          <w:rFonts w:eastAsia="Times New Roman"/>
          <w:noProof/>
          <w:lang w:val="en-US"/>
        </w:rPr>
        <w:fldChar w:fldCharType="end"/>
      </w:r>
      <w:bookmarkEnd w:id="29"/>
      <w:r w:rsidRPr="00E915EE">
        <w:rPr>
          <w:rFonts w:eastAsia="Times New Roman"/>
          <w:lang w:val="en-US"/>
        </w:rPr>
        <w:t>.  Where the applicant</w:t>
      </w:r>
      <w:r w:rsidR="00E915EE" w:rsidRPr="00E915EE">
        <w:rPr>
          <w:rFonts w:eastAsia="Times New Roman"/>
          <w:lang w:val="en-US"/>
        </w:rPr>
        <w:t>’</w:t>
      </w:r>
      <w:r w:rsidRPr="00E915EE">
        <w:rPr>
          <w:rFonts w:eastAsia="Times New Roman"/>
          <w:lang w:val="en-US"/>
        </w:rPr>
        <w:t xml:space="preserve">s complaint of a violation of Article 5 § 1 of the Convention is mainly based on the alleged unlawfulness of his or her detention under domestic law, and where that detention has come to an end, an action capable of leading to a declaration that it was unlawful and to a consequent award of compensation is an effective remedy which needs to be exhausted, if its practicability has been convincingly established. To hold otherwise would mean to duplicate the domestic process with proceedings before the Court, which would hardly be compatible with its subsidiary character (see </w:t>
      </w:r>
      <w:r w:rsidRPr="00E915EE">
        <w:rPr>
          <w:rFonts w:eastAsia="Times New Roman"/>
          <w:i/>
        </w:rPr>
        <w:t>Gavril Yosifov v. Bulgaria</w:t>
      </w:r>
      <w:r w:rsidRPr="00E915EE">
        <w:rPr>
          <w:rFonts w:eastAsia="Times New Roman"/>
        </w:rPr>
        <w:t>, no. 74012/01, § 42, 6</w:t>
      </w:r>
      <w:r w:rsidR="00AE1DCE" w:rsidRPr="00E915EE">
        <w:rPr>
          <w:rFonts w:eastAsia="Times New Roman"/>
        </w:rPr>
        <w:t> </w:t>
      </w:r>
      <w:r w:rsidRPr="00E915EE">
        <w:rPr>
          <w:rFonts w:eastAsia="Times New Roman"/>
        </w:rPr>
        <w:t xml:space="preserve">November 2008, with a further reference, and </w:t>
      </w:r>
      <w:r w:rsidR="00AE1DCE" w:rsidRPr="00E915EE">
        <w:rPr>
          <w:rFonts w:eastAsia="Times New Roman"/>
          <w:i/>
        </w:rPr>
        <w:t>Ławniczak v. </w:t>
      </w:r>
      <w:r w:rsidRPr="00E915EE">
        <w:rPr>
          <w:rFonts w:eastAsia="Times New Roman"/>
          <w:i/>
        </w:rPr>
        <w:t>Poland</w:t>
      </w:r>
      <w:r w:rsidRPr="00E915EE">
        <w:rPr>
          <w:rFonts w:eastAsia="Times New Roman"/>
        </w:rPr>
        <w:t xml:space="preserve"> (dec.), no. 22857/07, §§ 41-44, 23 October 2012)</w:t>
      </w:r>
      <w:r w:rsidRPr="00E915EE">
        <w:rPr>
          <w:rFonts w:eastAsia="Times New Roman"/>
          <w:lang w:val="en-US"/>
        </w:rPr>
        <w:t>.</w:t>
      </w:r>
    </w:p>
    <w:p w:rsidR="005766EE" w:rsidRPr="00E915EE" w:rsidRDefault="005766EE" w:rsidP="00E915EE">
      <w:pPr>
        <w:pStyle w:val="ECHRPara"/>
        <w:rPr>
          <w:rFonts w:eastAsia="Times New Roman"/>
          <w:lang w:val="en-US"/>
        </w:rPr>
      </w:pPr>
      <w:r w:rsidRPr="00E915EE">
        <w:rPr>
          <w:rFonts w:eastAsia="Times New Roman"/>
          <w:lang w:val="en-US"/>
        </w:rPr>
        <w:lastRenderedPageBreak/>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57</w:t>
      </w:r>
      <w:r w:rsidRPr="00E915EE">
        <w:rPr>
          <w:rFonts w:eastAsia="Times New Roman"/>
          <w:lang w:val="en-US"/>
        </w:rPr>
        <w:fldChar w:fldCharType="end"/>
      </w:r>
      <w:r w:rsidRPr="00E915EE">
        <w:rPr>
          <w:rFonts w:eastAsia="Times New Roman"/>
          <w:lang w:val="en-US"/>
        </w:rPr>
        <w:t xml:space="preserve">.  The issue whether domestic remedies have been exhausted is normally determined by reference to the date when the application was lodged with the Court (see </w:t>
      </w:r>
      <w:r w:rsidRPr="00E915EE">
        <w:rPr>
          <w:rFonts w:eastAsia="Times New Roman"/>
          <w:i/>
          <w:lang w:val="en-US"/>
        </w:rPr>
        <w:t>Baumann v. France</w:t>
      </w:r>
      <w:r w:rsidR="00AE1DCE" w:rsidRPr="00E915EE">
        <w:rPr>
          <w:rFonts w:eastAsia="Times New Roman"/>
          <w:lang w:val="en-US"/>
        </w:rPr>
        <w:t>, no. 33592/96 § 47, ECHR 2001</w:t>
      </w:r>
      <w:r w:rsidR="00AE1DCE" w:rsidRPr="00E915EE">
        <w:rPr>
          <w:rFonts w:eastAsia="Times New Roman"/>
          <w:lang w:val="en-US"/>
        </w:rPr>
        <w:noBreakHyphen/>
      </w:r>
      <w:r w:rsidRPr="00E915EE">
        <w:rPr>
          <w:rFonts w:eastAsia="Times New Roman"/>
          <w:lang w:val="en-US"/>
        </w:rPr>
        <w:t>V (extracts)).</w:t>
      </w:r>
    </w:p>
    <w:p w:rsidR="005766EE" w:rsidRPr="00E915EE" w:rsidRDefault="005766EE" w:rsidP="00E915EE">
      <w:pPr>
        <w:pStyle w:val="ECHRHeading3"/>
        <w:rPr>
          <w:rFonts w:eastAsia="Times New Roman"/>
          <w:lang w:val="en-US"/>
        </w:rPr>
      </w:pPr>
      <w:r w:rsidRPr="00E915EE">
        <w:rPr>
          <w:rFonts w:eastAsia="Times New Roman"/>
          <w:lang w:val="en-US"/>
        </w:rPr>
        <w:t>2.  Application of these principles to the present case</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58</w:t>
      </w:r>
      <w:r w:rsidRPr="00E915EE">
        <w:rPr>
          <w:rFonts w:eastAsia="Times New Roman"/>
          <w:lang w:val="en-US"/>
        </w:rPr>
        <w:fldChar w:fldCharType="end"/>
      </w:r>
      <w:r w:rsidRPr="00E915EE">
        <w:rPr>
          <w:rFonts w:eastAsia="Times New Roman"/>
          <w:lang w:val="en-US"/>
        </w:rPr>
        <w:t xml:space="preserve">.  The present application was brought before the Court on 26 November 2014, that is, </w:t>
      </w:r>
      <w:r w:rsidR="001216F6" w:rsidRPr="00E915EE">
        <w:rPr>
          <w:rFonts w:eastAsia="Times New Roman"/>
          <w:lang w:val="en-US"/>
        </w:rPr>
        <w:t>when the applicants were already at liberty</w:t>
      </w:r>
      <w:r w:rsidR="005937F7" w:rsidRPr="00E915EE">
        <w:rPr>
          <w:rFonts w:eastAsia="Times New Roman"/>
          <w:lang w:val="en-US"/>
        </w:rPr>
        <w:t xml:space="preserve"> </w:t>
      </w:r>
      <w:r w:rsidR="001216F6" w:rsidRPr="00E915EE">
        <w:rPr>
          <w:rFonts w:eastAsia="Times New Roman"/>
          <w:lang w:val="en-US"/>
        </w:rPr>
        <w:t xml:space="preserve">- </w:t>
      </w:r>
      <w:r w:rsidRPr="00E915EE">
        <w:rPr>
          <w:rFonts w:eastAsia="Times New Roman"/>
          <w:lang w:val="en-US"/>
        </w:rPr>
        <w:t xml:space="preserve">nearly five months after </w:t>
      </w:r>
      <w:r w:rsidR="001216F6" w:rsidRPr="00E915EE">
        <w:rPr>
          <w:rFonts w:eastAsia="Times New Roman"/>
          <w:lang w:val="en-US"/>
        </w:rPr>
        <w:t>their</w:t>
      </w:r>
      <w:r w:rsidRPr="00E915EE">
        <w:rPr>
          <w:rFonts w:eastAsia="Times New Roman"/>
          <w:lang w:val="en-US"/>
        </w:rPr>
        <w:t xml:space="preserve"> release from administrative detention (see paragraph</w:t>
      </w:r>
      <w:r w:rsidR="00AE1DCE" w:rsidRPr="00E915EE">
        <w:rPr>
          <w:rFonts w:eastAsia="Times New Roman"/>
          <w:lang w:val="en-US"/>
        </w:rPr>
        <w:t xml:space="preserve"> 31</w:t>
      </w:r>
      <w:r w:rsidRPr="00E915EE">
        <w:rPr>
          <w:rFonts w:eastAsia="Times New Roman"/>
          <w:lang w:val="en-US"/>
        </w:rPr>
        <w:t xml:space="preserve"> above).</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59</w:t>
      </w:r>
      <w:r w:rsidRPr="00E915EE">
        <w:rPr>
          <w:rFonts w:eastAsia="Times New Roman"/>
          <w:lang w:val="en-US"/>
        </w:rPr>
        <w:fldChar w:fldCharType="end"/>
      </w:r>
      <w:r w:rsidRPr="00E915EE">
        <w:rPr>
          <w:rFonts w:eastAsia="Times New Roman"/>
          <w:lang w:val="en-US"/>
        </w:rPr>
        <w:t>.  </w:t>
      </w:r>
      <w:r w:rsidR="007579F6" w:rsidRPr="00E915EE">
        <w:rPr>
          <w:rFonts w:eastAsia="Times New Roman"/>
          <w:lang w:val="en-US"/>
        </w:rPr>
        <w:t>Consequently, i</w:t>
      </w:r>
      <w:r w:rsidRPr="00E915EE">
        <w:rPr>
          <w:rFonts w:eastAsia="Times New Roman"/>
          <w:lang w:val="en-US"/>
        </w:rPr>
        <w:t>n view of the Convention principles as described above, an action capable of leading to a declaration that the impugned measure was unlawful and to a consequent award of compensation must be considered an effective remedy (see paragraph</w:t>
      </w:r>
      <w:r w:rsidR="00AE1DCE" w:rsidRPr="00E915EE">
        <w:rPr>
          <w:rFonts w:eastAsia="Times New Roman"/>
          <w:lang w:val="en-US"/>
        </w:rPr>
        <w:t xml:space="preserve"> 56</w:t>
      </w:r>
      <w:r w:rsidRPr="00E915EE">
        <w:rPr>
          <w:rFonts w:eastAsia="Times New Roman"/>
          <w:lang w:val="en-US"/>
        </w:rPr>
        <w:t xml:space="preserve"> above).</w:t>
      </w:r>
    </w:p>
    <w:p w:rsidR="005766EE" w:rsidRPr="00E915EE" w:rsidRDefault="005766EE" w:rsidP="00E915EE">
      <w:pPr>
        <w:pStyle w:val="ECHRPara"/>
        <w:rPr>
          <w:rFonts w:eastAsia="Times New Roman"/>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60</w:t>
      </w:r>
      <w:r w:rsidRPr="00E915EE">
        <w:rPr>
          <w:rFonts w:eastAsia="Times New Roman"/>
          <w:lang w:val="en-US"/>
        </w:rPr>
        <w:fldChar w:fldCharType="end"/>
      </w:r>
      <w:r w:rsidRPr="00E915EE">
        <w:rPr>
          <w:rFonts w:eastAsia="Times New Roman"/>
          <w:lang w:val="en-US"/>
        </w:rPr>
        <w:t>.  </w:t>
      </w:r>
      <w:r w:rsidRPr="00E915EE">
        <w:rPr>
          <w:rFonts w:eastAsia="Times New Roman"/>
        </w:rPr>
        <w:t>Section 407 of t</w:t>
      </w:r>
      <w:r w:rsidRPr="00E915EE">
        <w:rPr>
          <w:rFonts w:eastAsia="Times New Roman"/>
          <w:lang w:val="en-US"/>
        </w:rPr>
        <w:t xml:space="preserve">he 2013 Act, which entered into force on 1 May 2014, </w:t>
      </w:r>
      <w:r w:rsidRPr="00E915EE">
        <w:rPr>
          <w:rFonts w:eastAsia="Times New Roman"/>
        </w:rPr>
        <w:t>provides for a remedy whereby an alien is entitled to seek compensation for his or her manifestly unjustified placement in a guarded centre for aliens. Such an action is available for one year after the foreigner</w:t>
      </w:r>
      <w:r w:rsidR="00E915EE" w:rsidRPr="00E915EE">
        <w:rPr>
          <w:rFonts w:eastAsia="Times New Roman"/>
        </w:rPr>
        <w:t>’</w:t>
      </w:r>
      <w:r w:rsidRPr="00E915EE">
        <w:rPr>
          <w:rFonts w:eastAsia="Times New Roman"/>
        </w:rPr>
        <w:t>s release from detention (see paragraph</w:t>
      </w:r>
      <w:r w:rsidR="00AE1DCE" w:rsidRPr="00E915EE">
        <w:rPr>
          <w:rFonts w:eastAsia="Times New Roman"/>
        </w:rPr>
        <w:t xml:space="preserve"> 38</w:t>
      </w:r>
      <w:r w:rsidRPr="00E915EE">
        <w:rPr>
          <w:rFonts w:eastAsia="Times New Roman"/>
        </w:rPr>
        <w:t xml:space="preserve"> above).</w:t>
      </w:r>
    </w:p>
    <w:p w:rsidR="00B30003"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61</w:t>
      </w:r>
      <w:r w:rsidRPr="00E915EE">
        <w:rPr>
          <w:rFonts w:eastAsia="Times New Roman"/>
        </w:rPr>
        <w:fldChar w:fldCharType="end"/>
      </w:r>
      <w:r w:rsidRPr="00E915EE">
        <w:rPr>
          <w:rFonts w:eastAsia="Times New Roman"/>
        </w:rPr>
        <w:t xml:space="preserve">.  Under Polish law, the </w:t>
      </w:r>
      <w:r w:rsidRPr="00E915EE">
        <w:rPr>
          <w:rFonts w:eastAsia="Times New Roman"/>
          <w:lang w:val="en-US"/>
        </w:rPr>
        <w:t xml:space="preserve">remedy in question is not dependent on the discretion of the executive. </w:t>
      </w:r>
      <w:r w:rsidRPr="00E915EE">
        <w:rPr>
          <w:rFonts w:eastAsia="Times New Roman"/>
        </w:rPr>
        <w:t xml:space="preserve">The resulting judgment of the domestic court is necessarily binding on the parties to the proceedings </w:t>
      </w:r>
      <w:r w:rsidRPr="00E915EE">
        <w:rPr>
          <w:rFonts w:eastAsia="Times New Roman"/>
          <w:lang w:val="en-US"/>
        </w:rPr>
        <w:t xml:space="preserve">(see, by contrast, </w:t>
      </w:r>
      <w:r w:rsidRPr="00E915EE">
        <w:rPr>
          <w:rFonts w:eastAsia="Times New Roman"/>
          <w:i/>
          <w:lang w:val="en-US"/>
        </w:rPr>
        <w:t>Burden</w:t>
      </w:r>
      <w:r w:rsidRPr="00E915EE">
        <w:rPr>
          <w:rFonts w:eastAsia="Times New Roman"/>
          <w:lang w:val="en-US"/>
        </w:rPr>
        <w:t xml:space="preserve">, §§ 40 and 43, cited above, and </w:t>
      </w:r>
      <w:r w:rsidR="00AE1DCE" w:rsidRPr="00E915EE">
        <w:rPr>
          <w:rFonts w:eastAsia="Times New Roman"/>
          <w:i/>
          <w:lang w:val="en-US"/>
        </w:rPr>
        <w:t xml:space="preserve">B. and L. </w:t>
      </w:r>
      <w:r w:rsidRPr="00E915EE">
        <w:rPr>
          <w:rFonts w:eastAsia="Times New Roman"/>
          <w:i/>
          <w:lang w:val="en-US"/>
        </w:rPr>
        <w:t>v. the United Kingdom</w:t>
      </w:r>
      <w:r w:rsidR="00AE1DCE" w:rsidRPr="00E915EE">
        <w:rPr>
          <w:rFonts w:eastAsia="Times New Roman"/>
          <w:lang w:val="en-US"/>
        </w:rPr>
        <w:t xml:space="preserve"> (dec.), no. </w:t>
      </w:r>
      <w:r w:rsidRPr="00E915EE">
        <w:rPr>
          <w:rFonts w:eastAsia="Times New Roman"/>
          <w:lang w:val="en-US"/>
        </w:rPr>
        <w:t>36536/02, 29 June 2004</w:t>
      </w:r>
      <w:r w:rsidRPr="00E915EE">
        <w:rPr>
          <w:rFonts w:eastAsia="Times New Roman"/>
        </w:rPr>
        <w:t>).</w:t>
      </w:r>
    </w:p>
    <w:p w:rsidR="008B383D"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62</w:t>
      </w:r>
      <w:r w:rsidRPr="00E915EE">
        <w:rPr>
          <w:rFonts w:eastAsia="Times New Roman"/>
        </w:rPr>
        <w:fldChar w:fldCharType="end"/>
      </w:r>
      <w:r w:rsidRPr="00E915EE">
        <w:rPr>
          <w:rFonts w:eastAsia="Times New Roman"/>
        </w:rPr>
        <w:t>.  The applicants submitted that the remedy in question could not be considered effective in the absence of any examples of domestic court practice other than the decision on applicability issued on 4 June 2014 by the Lublin Court of Appeal (see paragraph</w:t>
      </w:r>
      <w:r w:rsidR="00AE1DCE" w:rsidRPr="00E915EE">
        <w:rPr>
          <w:rFonts w:eastAsia="Times New Roman"/>
        </w:rPr>
        <w:t xml:space="preserve"> 40</w:t>
      </w:r>
      <w:r w:rsidR="008B383D" w:rsidRPr="00E915EE">
        <w:rPr>
          <w:rFonts w:eastAsia="Times New Roman"/>
        </w:rPr>
        <w:t xml:space="preserve"> above).</w:t>
      </w:r>
    </w:p>
    <w:p w:rsidR="00B30003" w:rsidRPr="00E915EE" w:rsidRDefault="005766EE" w:rsidP="00E915EE">
      <w:pPr>
        <w:pStyle w:val="ECHRPara"/>
        <w:rPr>
          <w:rFonts w:eastAsia="Times New Roman"/>
          <w:lang w:val="en-US"/>
        </w:rPr>
      </w:pPr>
      <w:r w:rsidRPr="00E915EE">
        <w:rPr>
          <w:rFonts w:eastAsia="Times New Roman"/>
        </w:rPr>
        <w:t>The Court observes that adhering to the applicants</w:t>
      </w:r>
      <w:r w:rsidR="00E915EE" w:rsidRPr="00E915EE">
        <w:rPr>
          <w:rFonts w:eastAsia="Times New Roman"/>
        </w:rPr>
        <w:t>’</w:t>
      </w:r>
      <w:r w:rsidRPr="00E915EE">
        <w:rPr>
          <w:rFonts w:eastAsia="Times New Roman"/>
        </w:rPr>
        <w:t xml:space="preserve"> reasoning would mean that all remedies which have not been in place long enough to be tested before the domestic courts by interested individuals would have automatically to be declared ineffective and that </w:t>
      </w:r>
      <w:r w:rsidRPr="00E915EE">
        <w:rPr>
          <w:rFonts w:eastAsia="Times New Roman"/>
          <w:lang w:val="en-US"/>
        </w:rPr>
        <w:t>applicants would be discouraged from pursuing the means at their disposal within the State to obtain available redress.</w:t>
      </w:r>
      <w:r w:rsidRPr="00E915EE">
        <w:rPr>
          <w:rFonts w:eastAsia="Times New Roman"/>
        </w:rPr>
        <w:t xml:space="preserve"> Such an approach, in turn, would defeat </w:t>
      </w:r>
      <w:r w:rsidRPr="00E915EE">
        <w:rPr>
          <w:rFonts w:eastAsia="Times New Roman"/>
          <w:lang w:val="en-US"/>
        </w:rPr>
        <w:t>the object and purpose underlying the Convention that rights and freedoms should be secured by the Contracting State within its jurisdiction and undermine the subsidiary nature of the Court</w:t>
      </w:r>
      <w:r w:rsidR="00E915EE" w:rsidRPr="00E915EE">
        <w:rPr>
          <w:rFonts w:eastAsia="Times New Roman"/>
          <w:lang w:val="en-US"/>
        </w:rPr>
        <w:t>’</w:t>
      </w:r>
      <w:r w:rsidRPr="00E915EE">
        <w:rPr>
          <w:rFonts w:eastAsia="Times New Roman"/>
          <w:lang w:val="en-US"/>
        </w:rPr>
        <w:t xml:space="preserve">s own role and capacity to function (see </w:t>
      </w:r>
      <w:r w:rsidR="00AE1DCE" w:rsidRPr="00E915EE">
        <w:rPr>
          <w:rFonts w:eastAsia="Times New Roman"/>
          <w:i/>
          <w:lang w:val="en-US"/>
        </w:rPr>
        <w:t>B. </w:t>
      </w:r>
      <w:r w:rsidRPr="00E915EE">
        <w:rPr>
          <w:rFonts w:eastAsia="Times New Roman"/>
          <w:i/>
          <w:lang w:val="en-US"/>
        </w:rPr>
        <w:t>and L. v. the United Kingdom</w:t>
      </w:r>
      <w:r w:rsidRPr="00E915EE">
        <w:rPr>
          <w:rFonts w:eastAsia="Times New Roman"/>
          <w:lang w:val="en-US"/>
        </w:rPr>
        <w:t xml:space="preserve"> (dec.), no. 36536/02, 29 June 2004, and </w:t>
      </w:r>
      <w:r w:rsidRPr="00E915EE">
        <w:rPr>
          <w:rFonts w:eastAsia="Times New Roman"/>
          <w:i/>
        </w:rPr>
        <w:t>Burden v. the United Kingdom</w:t>
      </w:r>
      <w:r w:rsidRPr="00E915EE">
        <w:rPr>
          <w:rFonts w:eastAsia="Times New Roman"/>
        </w:rPr>
        <w:t xml:space="preserve"> [GC], no. 13378/05, § 42, ECHR 2008</w:t>
      </w:r>
      <w:r w:rsidRPr="00E915EE">
        <w:rPr>
          <w:rFonts w:eastAsia="Times New Roman"/>
          <w:lang w:val="en-US"/>
        </w:rPr>
        <w:t>).</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63</w:t>
      </w:r>
      <w:r w:rsidRPr="00E915EE">
        <w:rPr>
          <w:rFonts w:eastAsia="Times New Roman"/>
        </w:rPr>
        <w:fldChar w:fldCharType="end"/>
      </w:r>
      <w:r w:rsidRPr="00E915EE">
        <w:rPr>
          <w:rFonts w:eastAsia="Times New Roman"/>
        </w:rPr>
        <w:t>. As to the applicants</w:t>
      </w:r>
      <w:r w:rsidR="00E915EE" w:rsidRPr="00E915EE">
        <w:rPr>
          <w:rFonts w:eastAsia="Times New Roman"/>
        </w:rPr>
        <w:t>’</w:t>
      </w:r>
      <w:r w:rsidRPr="00E915EE">
        <w:rPr>
          <w:rFonts w:eastAsia="Times New Roman"/>
        </w:rPr>
        <w:t xml:space="preserve"> argument that the remedy in question was unavailable to them in practice as their stay in Poland was illegal, the Court notes that an action for compensation under the 2013 Act is not conditional on a foreigner</w:t>
      </w:r>
      <w:r w:rsidR="00E915EE" w:rsidRPr="00E915EE">
        <w:rPr>
          <w:rFonts w:eastAsia="Times New Roman"/>
        </w:rPr>
        <w:t>’</w:t>
      </w:r>
      <w:r w:rsidRPr="00E915EE">
        <w:rPr>
          <w:rFonts w:eastAsia="Times New Roman"/>
        </w:rPr>
        <w:t>s presence in the jurisdiction. In any event, when the applicants were released from detenti</w:t>
      </w:r>
      <w:r w:rsidR="00E5262A" w:rsidRPr="00E915EE">
        <w:rPr>
          <w:rFonts w:eastAsia="Times New Roman"/>
        </w:rPr>
        <w:t xml:space="preserve">on, the enforcement of the </w:t>
      </w:r>
      <w:r w:rsidR="00E5262A" w:rsidRPr="00E915EE">
        <w:rPr>
          <w:rFonts w:eastAsia="Times New Roman"/>
        </w:rPr>
        <w:lastRenderedPageBreak/>
        <w:t>2013 </w:t>
      </w:r>
      <w:r w:rsidRPr="00E915EE">
        <w:rPr>
          <w:rFonts w:eastAsia="Times New Roman"/>
        </w:rPr>
        <w:t xml:space="preserve">decision to deport them had already been suspended </w:t>
      </w:r>
      <w:r w:rsidR="00426AA8" w:rsidRPr="00E915EE">
        <w:rPr>
          <w:rFonts w:eastAsia="Times New Roman"/>
        </w:rPr>
        <w:t xml:space="preserve">(see </w:t>
      </w:r>
      <w:r w:rsidRPr="00E915EE">
        <w:rPr>
          <w:rFonts w:eastAsia="Times New Roman"/>
        </w:rPr>
        <w:t>paragraph</w:t>
      </w:r>
      <w:r w:rsidR="0066491F" w:rsidRPr="00E915EE">
        <w:rPr>
          <w:rFonts w:eastAsia="Times New Roman"/>
        </w:rPr>
        <w:t> </w:t>
      </w:r>
      <w:r w:rsidR="00AE1DCE" w:rsidRPr="00E915EE">
        <w:rPr>
          <w:rFonts w:eastAsia="Times New Roman"/>
        </w:rPr>
        <w:t>28</w:t>
      </w:r>
      <w:r w:rsidR="0066491F" w:rsidRPr="00E915EE">
        <w:rPr>
          <w:rFonts w:eastAsia="Times New Roman"/>
        </w:rPr>
        <w:t xml:space="preserve"> </w:t>
      </w:r>
      <w:r w:rsidRPr="00E915EE">
        <w:rPr>
          <w:rFonts w:eastAsia="Times New Roman"/>
        </w:rPr>
        <w:t>above) and the examination of Ms Bistieva</w:t>
      </w:r>
      <w:r w:rsidR="00E915EE" w:rsidRPr="00E915EE">
        <w:rPr>
          <w:rFonts w:eastAsia="Times New Roman"/>
        </w:rPr>
        <w:t>’</w:t>
      </w:r>
      <w:r w:rsidRPr="00E915EE">
        <w:rPr>
          <w:rFonts w:eastAsia="Times New Roman"/>
        </w:rPr>
        <w:t>s renewed asylum application was under way in view of the new circumstances of the case, namely that her relatives had obtaine</w:t>
      </w:r>
      <w:r w:rsidR="0066491F" w:rsidRPr="00E915EE">
        <w:rPr>
          <w:rFonts w:eastAsia="Times New Roman"/>
        </w:rPr>
        <w:t xml:space="preserve">d refugee status in Poland (see </w:t>
      </w:r>
      <w:r w:rsidRPr="00E915EE">
        <w:rPr>
          <w:rFonts w:eastAsia="Times New Roman"/>
        </w:rPr>
        <w:t>paragraph</w:t>
      </w:r>
      <w:r w:rsidR="0066491F" w:rsidRPr="00E915EE">
        <w:rPr>
          <w:rFonts w:eastAsia="Times New Roman"/>
        </w:rPr>
        <w:t> 27</w:t>
      </w:r>
      <w:r w:rsidRPr="00E915EE">
        <w:rPr>
          <w:rFonts w:eastAsia="Times New Roman"/>
        </w:rPr>
        <w:t xml:space="preserve"> above). No objective obstacle therefore existed to the applicants lodging the impugned action and being fully engaged in the proceedings.</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64</w:t>
      </w:r>
      <w:r w:rsidRPr="00E915EE">
        <w:rPr>
          <w:rFonts w:eastAsia="Times New Roman"/>
          <w:lang w:val="en-US"/>
        </w:rPr>
        <w:fldChar w:fldCharType="end"/>
      </w:r>
      <w:r w:rsidRPr="00E915EE">
        <w:rPr>
          <w:rFonts w:eastAsia="Times New Roman"/>
          <w:lang w:val="en-US"/>
        </w:rPr>
        <w:t>.  In keeping with the principle of subsidiarity, the Court therefore observes that, before having their Convention claim examined by this Court, the applicants should have sought redress at domestic level and brought an action for compensation under section 407 of the 2013 Act.</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65</w:t>
      </w:r>
      <w:r w:rsidRPr="00E915EE">
        <w:rPr>
          <w:rFonts w:eastAsia="Times New Roman"/>
          <w:lang w:val="en-US"/>
        </w:rPr>
        <w:fldChar w:fldCharType="end"/>
      </w:r>
      <w:r w:rsidRPr="00E915EE">
        <w:rPr>
          <w:rFonts w:eastAsia="Times New Roman"/>
          <w:lang w:val="en-US"/>
        </w:rPr>
        <w:t>.  In view of the above consideration, the Court does not have to examine the remainder of the Government</w:t>
      </w:r>
      <w:r w:rsidR="00E915EE" w:rsidRPr="00E915EE">
        <w:rPr>
          <w:rFonts w:eastAsia="Times New Roman"/>
          <w:lang w:val="en-US"/>
        </w:rPr>
        <w:t>’</w:t>
      </w:r>
      <w:r w:rsidRPr="00E915EE">
        <w:rPr>
          <w:rFonts w:eastAsia="Times New Roman"/>
          <w:lang w:val="en-US"/>
        </w:rPr>
        <w:t>s objection.</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66</w:t>
      </w:r>
      <w:r w:rsidRPr="00E915EE">
        <w:rPr>
          <w:rFonts w:eastAsia="Times New Roman"/>
        </w:rPr>
        <w:fldChar w:fldCharType="end"/>
      </w:r>
      <w:r w:rsidRPr="00E915EE">
        <w:rPr>
          <w:rFonts w:eastAsia="Times New Roman"/>
        </w:rPr>
        <w:t>.  </w:t>
      </w:r>
      <w:r w:rsidRPr="00E915EE">
        <w:rPr>
          <w:rFonts w:eastAsia="Times New Roman"/>
          <w:lang w:val="en-US"/>
        </w:rPr>
        <w:t xml:space="preserve">Accordingly, the complaints under Article 5 </w:t>
      </w:r>
      <w:r w:rsidRPr="00E915EE">
        <w:rPr>
          <w:rFonts w:eastAsia="Times New Roman"/>
        </w:rPr>
        <w:t>§</w:t>
      </w:r>
      <w:r w:rsidRPr="00E915EE">
        <w:rPr>
          <w:rFonts w:eastAsia="Times New Roman"/>
          <w:lang w:val="en-US"/>
        </w:rPr>
        <w:t>§</w:t>
      </w:r>
      <w:r w:rsidRPr="00E915EE">
        <w:rPr>
          <w:rFonts w:eastAsia="Times New Roman"/>
        </w:rPr>
        <w:t xml:space="preserve"> 1 and 4 of the Convention</w:t>
      </w:r>
      <w:r w:rsidRPr="00E915EE">
        <w:rPr>
          <w:rFonts w:eastAsia="Times New Roman"/>
          <w:lang w:val="en-US"/>
        </w:rPr>
        <w:t xml:space="preserve"> must be rejected under Article 35 §§ 1 and 4 of the Convention for non</w:t>
      </w:r>
      <w:r w:rsidR="00E5262A" w:rsidRPr="00E915EE">
        <w:rPr>
          <w:rFonts w:eastAsia="Times New Roman"/>
          <w:lang w:val="en-US"/>
        </w:rPr>
        <w:noBreakHyphen/>
      </w:r>
      <w:r w:rsidRPr="00E915EE">
        <w:rPr>
          <w:rFonts w:eastAsia="Times New Roman"/>
          <w:lang w:val="en-US"/>
        </w:rPr>
        <w:t>exhaustion of domestic remedies.</w:t>
      </w:r>
    </w:p>
    <w:p w:rsidR="005766EE" w:rsidRPr="00E915EE" w:rsidRDefault="005766EE" w:rsidP="00E915EE">
      <w:pPr>
        <w:pStyle w:val="ECHRHeading1"/>
        <w:rPr>
          <w:rFonts w:eastAsia="Times New Roman"/>
        </w:rPr>
      </w:pPr>
      <w:r w:rsidRPr="00E915EE">
        <w:rPr>
          <w:rFonts w:eastAsia="Times New Roman"/>
        </w:rPr>
        <w:t>II.  ALLEGED VIOLATION OF ARTICLE 8 OF THE CONVENTION</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67</w:t>
      </w:r>
      <w:r w:rsidRPr="00E915EE">
        <w:rPr>
          <w:rFonts w:eastAsia="Times New Roman"/>
        </w:rPr>
        <w:fldChar w:fldCharType="end"/>
      </w:r>
      <w:r w:rsidRPr="00E915EE">
        <w:rPr>
          <w:rFonts w:eastAsia="Times New Roman"/>
        </w:rPr>
        <w:t>.  Lastly, the applicants complained under Article 8 of the Convention that their placement in administrative detention had not been a necessary measure in relation to the aim pursued, and that it had constituted a disproportionate interference with her right to respect for her private and family life. The relevant part of Article 8 reads:</w:t>
      </w:r>
    </w:p>
    <w:p w:rsidR="00B30003" w:rsidRPr="00E915EE" w:rsidRDefault="005766EE" w:rsidP="00E915EE">
      <w:pPr>
        <w:pStyle w:val="ECHRParaQuote"/>
        <w:rPr>
          <w:rFonts w:eastAsia="Times New Roman"/>
          <w:lang w:val="en-US"/>
        </w:rPr>
      </w:pPr>
      <w:r w:rsidRPr="00E915EE">
        <w:rPr>
          <w:rFonts w:eastAsia="Times New Roman"/>
          <w:lang w:val="en-US"/>
        </w:rPr>
        <w:t xml:space="preserve">“1.  Everyone has the right to respect for his </w:t>
      </w:r>
      <w:r w:rsidR="00B30003" w:rsidRPr="00E915EE">
        <w:rPr>
          <w:rFonts w:eastAsia="Times New Roman"/>
          <w:lang w:val="en-US"/>
        </w:rPr>
        <w:t>...</w:t>
      </w:r>
      <w:r w:rsidRPr="00E915EE">
        <w:rPr>
          <w:rFonts w:eastAsia="Times New Roman"/>
          <w:lang w:val="en-US"/>
        </w:rPr>
        <w:t xml:space="preserve"> family life </w:t>
      </w:r>
      <w:r w:rsidR="00B30003" w:rsidRPr="00E915EE">
        <w:rPr>
          <w:rFonts w:eastAsia="Times New Roman"/>
          <w:lang w:val="en-US"/>
        </w:rPr>
        <w:t>...</w:t>
      </w:r>
    </w:p>
    <w:p w:rsidR="005766EE" w:rsidRPr="00E915EE" w:rsidRDefault="005766EE" w:rsidP="00E915EE">
      <w:pPr>
        <w:pStyle w:val="ECHRParaQuote"/>
        <w:rPr>
          <w:rFonts w:eastAsia="Times New Roman"/>
        </w:rPr>
      </w:pPr>
      <w:r w:rsidRPr="00E915EE">
        <w:rPr>
          <w:rFonts w:eastAsia="Times New Roman"/>
          <w:lang w:val="en-US"/>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5766EE" w:rsidRPr="00E915EE" w:rsidRDefault="005766EE" w:rsidP="00E915EE">
      <w:pPr>
        <w:pStyle w:val="ECHRHeading2"/>
        <w:rPr>
          <w:rFonts w:eastAsia="Times New Roman"/>
        </w:rPr>
      </w:pPr>
      <w:r w:rsidRPr="00E915EE">
        <w:rPr>
          <w:rFonts w:eastAsia="Times New Roman"/>
        </w:rPr>
        <w:t>A.  Admissibility</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68</w:t>
      </w:r>
      <w:r w:rsidRPr="00E915EE">
        <w:rPr>
          <w:rFonts w:eastAsia="Times New Roman"/>
        </w:rPr>
        <w:fldChar w:fldCharType="end"/>
      </w:r>
      <w:r w:rsidRPr="00E915EE">
        <w:rPr>
          <w:rFonts w:eastAsia="Times New Roman"/>
        </w:rPr>
        <w:t>.  The Court notes that this complaint is not manifestly ill</w:t>
      </w:r>
      <w:r w:rsidR="0066491F" w:rsidRPr="00E915EE">
        <w:rPr>
          <w:rFonts w:eastAsia="Times New Roman"/>
        </w:rPr>
        <w:noBreakHyphen/>
      </w:r>
      <w:r w:rsidRPr="00E915EE">
        <w:rPr>
          <w:rFonts w:eastAsia="Times New Roman"/>
        </w:rPr>
        <w:t>founded within the meaning of Article 35 § 3 (a) of the Convention. It further notes that it is not inadmissible on any other grounds. It must therefore be declared admissible.</w:t>
      </w:r>
    </w:p>
    <w:p w:rsidR="005766EE" w:rsidRPr="00E915EE" w:rsidRDefault="005766EE" w:rsidP="00E915EE">
      <w:pPr>
        <w:pStyle w:val="ECHRHeading2"/>
        <w:rPr>
          <w:rFonts w:eastAsia="Times New Roman"/>
        </w:rPr>
      </w:pPr>
      <w:r w:rsidRPr="00E915EE">
        <w:rPr>
          <w:rFonts w:eastAsia="Times New Roman"/>
        </w:rPr>
        <w:t>B.  Merits</w:t>
      </w:r>
    </w:p>
    <w:p w:rsidR="005766EE" w:rsidRPr="00E915EE" w:rsidRDefault="005766EE" w:rsidP="00E915EE">
      <w:pPr>
        <w:pStyle w:val="ECHRPara"/>
        <w:rPr>
          <w:rFonts w:eastAsia="Times New Roman"/>
        </w:rPr>
      </w:pPr>
      <w:r w:rsidRPr="00E915EE">
        <w:rPr>
          <w:rFonts w:eastAsia="Times New Roman"/>
        </w:rPr>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69</w:t>
      </w:r>
      <w:r w:rsidRPr="00E915EE">
        <w:rPr>
          <w:rFonts w:eastAsia="Times New Roman"/>
        </w:rPr>
        <w:fldChar w:fldCharType="end"/>
      </w:r>
      <w:r w:rsidRPr="00E915EE">
        <w:rPr>
          <w:rFonts w:eastAsia="Times New Roman"/>
        </w:rPr>
        <w:t>.  The applicants submitted that the family</w:t>
      </w:r>
      <w:r w:rsidR="00E915EE" w:rsidRPr="00E915EE">
        <w:rPr>
          <w:rFonts w:eastAsia="Times New Roman"/>
        </w:rPr>
        <w:t>’</w:t>
      </w:r>
      <w:r w:rsidRPr="00E915EE">
        <w:rPr>
          <w:rFonts w:eastAsia="Times New Roman"/>
        </w:rPr>
        <w:t>s administrative detention had constituted an unjustified and disproportionate interference with the effective exercise of their family life. They claimed that there had been no risk of absconding because Ms Bistieva would not have left Poland without her youngest child, whose stay in Poland had not been illegal.</w:t>
      </w:r>
    </w:p>
    <w:p w:rsidR="00B30003" w:rsidRPr="00E915EE" w:rsidRDefault="005766EE" w:rsidP="00E915EE">
      <w:pPr>
        <w:pStyle w:val="ECHRPara"/>
        <w:rPr>
          <w:rFonts w:eastAsia="Times New Roman"/>
        </w:rPr>
      </w:pPr>
      <w:r w:rsidRPr="00E915EE">
        <w:rPr>
          <w:rFonts w:eastAsia="Times New Roman"/>
        </w:rPr>
        <w:lastRenderedPageBreak/>
        <w:fldChar w:fldCharType="begin"/>
      </w:r>
      <w:r w:rsidRPr="00E915EE">
        <w:rPr>
          <w:rFonts w:eastAsia="Times New Roman"/>
        </w:rPr>
        <w:instrText xml:space="preserve"> SEQ level0 \*arabic </w:instrText>
      </w:r>
      <w:r w:rsidRPr="00E915EE">
        <w:rPr>
          <w:rFonts w:eastAsia="Times New Roman"/>
        </w:rPr>
        <w:fldChar w:fldCharType="separate"/>
      </w:r>
      <w:r w:rsidR="00E915EE" w:rsidRPr="00E915EE">
        <w:rPr>
          <w:rFonts w:eastAsia="Times New Roman"/>
          <w:noProof/>
        </w:rPr>
        <w:t>70</w:t>
      </w:r>
      <w:r w:rsidRPr="00E915EE">
        <w:rPr>
          <w:rFonts w:eastAsia="Times New Roman"/>
        </w:rPr>
        <w:fldChar w:fldCharType="end"/>
      </w:r>
      <w:r w:rsidRPr="00E915EE">
        <w:rPr>
          <w:rFonts w:eastAsia="Times New Roman"/>
        </w:rPr>
        <w:t>.  The Government argued that there had been no interference with Ms Bistieva</w:t>
      </w:r>
      <w:r w:rsidR="00E915EE" w:rsidRPr="00E915EE">
        <w:rPr>
          <w:rFonts w:eastAsia="Times New Roman"/>
        </w:rPr>
        <w:t>’</w:t>
      </w:r>
      <w:r w:rsidRPr="00E915EE">
        <w:rPr>
          <w:rFonts w:eastAsia="Times New Roman"/>
        </w:rPr>
        <w:t>s rights under Article 8 because she had not been separated from her children. Alternatively, the Government submitted that the applicants</w:t>
      </w:r>
      <w:r w:rsidR="00E915EE" w:rsidRPr="00E915EE">
        <w:rPr>
          <w:rFonts w:eastAsia="Times New Roman"/>
        </w:rPr>
        <w:t>’</w:t>
      </w:r>
      <w:r w:rsidRPr="00E915EE">
        <w:rPr>
          <w:rFonts w:eastAsia="Times New Roman"/>
        </w:rPr>
        <w:t xml:space="preserve"> administrative detention had been justified under paragraph</w:t>
      </w:r>
      <w:r w:rsidR="0066491F" w:rsidRPr="00E915EE">
        <w:rPr>
          <w:rFonts w:eastAsia="Times New Roman"/>
        </w:rPr>
        <w:t> </w:t>
      </w:r>
      <w:r w:rsidRPr="00E915EE">
        <w:rPr>
          <w:rFonts w:eastAsia="Times New Roman"/>
        </w:rPr>
        <w:t>2 of that provision.</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71</w:t>
      </w:r>
      <w:r w:rsidRPr="00E915EE">
        <w:rPr>
          <w:rFonts w:eastAsia="Times New Roman"/>
          <w:lang w:val="en-US"/>
        </w:rPr>
        <w:fldChar w:fldCharType="end"/>
      </w:r>
      <w:r w:rsidRPr="00E915EE">
        <w:rPr>
          <w:rFonts w:eastAsia="Times New Roman"/>
          <w:lang w:val="en-US"/>
        </w:rPr>
        <w:t>.  The Court finds that there is no doubt as to the existence of “family life”, within the meaning of its case-law, in the present case.</w:t>
      </w:r>
    </w:p>
    <w:p w:rsidR="00B30003" w:rsidRPr="00E915EE" w:rsidRDefault="005766EE" w:rsidP="00E915EE">
      <w:pPr>
        <w:pStyle w:val="ECHRPara"/>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72</w:t>
      </w:r>
      <w:r w:rsidRPr="00E915EE">
        <w:rPr>
          <w:rFonts w:eastAsia="Times New Roman"/>
          <w:lang w:val="en-US"/>
        </w:rPr>
        <w:fldChar w:fldCharType="end"/>
      </w:r>
      <w:r w:rsidRPr="00E915EE">
        <w:rPr>
          <w:rFonts w:eastAsia="Times New Roman"/>
          <w:lang w:val="en-US"/>
        </w:rPr>
        <w:t>.  </w:t>
      </w:r>
      <w:r w:rsidRPr="00E915EE">
        <w:rPr>
          <w:rFonts w:eastAsia="Times New Roman"/>
          <w:szCs w:val="24"/>
          <w:lang w:val="en-US"/>
        </w:rPr>
        <w:t xml:space="preserve">The essential object of Article 8 is to protect the individual against arbitrary action by public authorities. This creates positive obligations inherent in effective “respect” for family life. States are under an obligation to “act in a manner calculated to allow those concerned to lead a normal family life” (see </w:t>
      </w:r>
      <w:r w:rsidR="0066491F" w:rsidRPr="00E915EE">
        <w:rPr>
          <w:i/>
        </w:rPr>
        <w:t>Popov v. </w:t>
      </w:r>
      <w:r w:rsidR="008F2EBF" w:rsidRPr="00E915EE">
        <w:rPr>
          <w:i/>
        </w:rPr>
        <w:t>France</w:t>
      </w:r>
      <w:r w:rsidR="008F2EBF" w:rsidRPr="00E915EE">
        <w:t>, nos. 39472/07 and 39474/07, §</w:t>
      </w:r>
      <w:r w:rsidR="0066491F" w:rsidRPr="00E915EE">
        <w:t> </w:t>
      </w:r>
      <w:r w:rsidR="008F2EBF" w:rsidRPr="00E915EE">
        <w:t>133, 19 January 2012</w:t>
      </w:r>
      <w:r w:rsidRPr="00E915EE">
        <w:rPr>
          <w:rFonts w:eastAsia="Times New Roman"/>
        </w:rPr>
        <w:t xml:space="preserve">, </w:t>
      </w:r>
      <w:r w:rsidRPr="00E915EE">
        <w:rPr>
          <w:rFonts w:eastAsia="Times New Roman"/>
          <w:snapToGrid w:val="0"/>
          <w:szCs w:val="24"/>
        </w:rPr>
        <w:t>with further references).</w:t>
      </w:r>
    </w:p>
    <w:p w:rsidR="005766EE" w:rsidRPr="00E915EE" w:rsidRDefault="005766EE" w:rsidP="00E915EE">
      <w:pPr>
        <w:pStyle w:val="ECHRPara"/>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73</w:t>
      </w:r>
      <w:r w:rsidRPr="00E915EE">
        <w:rPr>
          <w:rFonts w:eastAsia="Times New Roman"/>
          <w:szCs w:val="24"/>
          <w:lang w:val="en-US"/>
        </w:rPr>
        <w:fldChar w:fldCharType="end"/>
      </w:r>
      <w:r w:rsidRPr="00E915EE">
        <w:rPr>
          <w:rFonts w:eastAsia="Times New Roman"/>
          <w:szCs w:val="24"/>
          <w:lang w:val="en-US"/>
        </w:rPr>
        <w:t>.  Whilst mutual enjoyment by parent and child of each other</w:t>
      </w:r>
      <w:r w:rsidR="00E915EE" w:rsidRPr="00E915EE">
        <w:rPr>
          <w:rFonts w:eastAsia="Times New Roman"/>
          <w:szCs w:val="24"/>
          <w:lang w:val="en-US"/>
        </w:rPr>
        <w:t>’</w:t>
      </w:r>
      <w:r w:rsidRPr="00E915EE">
        <w:rPr>
          <w:rFonts w:eastAsia="Times New Roman"/>
          <w:szCs w:val="24"/>
          <w:lang w:val="en-US"/>
        </w:rPr>
        <w:t>s company constitutes a fundamental element of family life, it cannot be inferred from this that the sole fact that the family unit is maintained necessarily guarantees respect for the right to a family life, particularly where the family is detained. The Court finds that, even though Ms</w:t>
      </w:r>
      <w:r w:rsidR="0066491F" w:rsidRPr="00E915EE">
        <w:rPr>
          <w:rFonts w:eastAsia="Times New Roman"/>
          <w:szCs w:val="24"/>
          <w:lang w:val="en-US"/>
        </w:rPr>
        <w:t> </w:t>
      </w:r>
      <w:r w:rsidRPr="00E915EE">
        <w:rPr>
          <w:rFonts w:eastAsia="Times New Roman"/>
          <w:szCs w:val="24"/>
          <w:lang w:val="en-US"/>
        </w:rPr>
        <w:t xml:space="preserve">Bistieva was not separated from her children, the fact of confining the applicants to a detention centre for almost six months, thereby subjecting them to </w:t>
      </w:r>
      <w:r w:rsidR="00805EF1" w:rsidRPr="00E915EE">
        <w:rPr>
          <w:rFonts w:eastAsia="Times New Roman"/>
          <w:szCs w:val="24"/>
          <w:lang w:val="en-US"/>
        </w:rPr>
        <w:t>to living conditions typical of a custodial institution</w:t>
      </w:r>
      <w:r w:rsidRPr="00E915EE">
        <w:rPr>
          <w:rFonts w:eastAsia="Times New Roman"/>
          <w:szCs w:val="24"/>
          <w:lang w:val="en-US"/>
        </w:rPr>
        <w:t xml:space="preserve">, can be regarded as an interference with the effective exercise of their family life (see, </w:t>
      </w:r>
      <w:r w:rsidRPr="00E915EE">
        <w:rPr>
          <w:rFonts w:eastAsia="Times New Roman"/>
          <w:i/>
          <w:szCs w:val="24"/>
          <w:lang w:val="en-US"/>
        </w:rPr>
        <w:t>mutatis mutandis, Popov</w:t>
      </w:r>
      <w:r w:rsidRPr="00E915EE">
        <w:rPr>
          <w:rFonts w:eastAsia="Times New Roman"/>
          <w:szCs w:val="24"/>
          <w:lang w:val="en-US"/>
        </w:rPr>
        <w:t xml:space="preserve">, cited above, </w:t>
      </w:r>
      <w:r w:rsidRPr="00E915EE">
        <w:rPr>
          <w:rFonts w:eastAsia="Times New Roman"/>
          <w:snapToGrid w:val="0"/>
          <w:szCs w:val="24"/>
        </w:rPr>
        <w:t xml:space="preserve">§ </w:t>
      </w:r>
      <w:r w:rsidRPr="00E915EE">
        <w:rPr>
          <w:rFonts w:eastAsia="Times New Roman"/>
          <w:szCs w:val="24"/>
          <w:lang w:val="en-US"/>
        </w:rPr>
        <w:t>134;</w:t>
      </w:r>
      <w:r w:rsidRPr="00E915EE">
        <w:rPr>
          <w:rFonts w:eastAsia="Times New Roman"/>
          <w:lang w:val="en-US"/>
        </w:rPr>
        <w:t xml:space="preserve"> </w:t>
      </w:r>
      <w:r w:rsidR="0066491F" w:rsidRPr="00E915EE">
        <w:rPr>
          <w:rFonts w:eastAsia="Times New Roman"/>
          <w:i/>
          <w:szCs w:val="24"/>
          <w:lang w:val="en-US"/>
        </w:rPr>
        <w:t>A.B. and Others v. </w:t>
      </w:r>
      <w:r w:rsidRPr="00E915EE">
        <w:rPr>
          <w:rFonts w:eastAsia="Times New Roman"/>
          <w:i/>
          <w:szCs w:val="24"/>
          <w:lang w:val="en-US"/>
        </w:rPr>
        <w:t>France</w:t>
      </w:r>
      <w:r w:rsidRPr="00E915EE">
        <w:rPr>
          <w:rFonts w:eastAsia="Times New Roman"/>
          <w:szCs w:val="24"/>
          <w:lang w:val="en-US"/>
        </w:rPr>
        <w:t xml:space="preserve">, no. 11593/12, § 145, 12 July 2016; </w:t>
      </w:r>
      <w:r w:rsidRPr="00E915EE">
        <w:rPr>
          <w:rFonts w:eastAsia="Times New Roman"/>
          <w:i/>
          <w:szCs w:val="24"/>
          <w:lang w:val="en-US"/>
        </w:rPr>
        <w:t>R.K. and Others v</w:t>
      </w:r>
      <w:r w:rsidR="0066491F" w:rsidRPr="00E915EE">
        <w:rPr>
          <w:rFonts w:eastAsia="Times New Roman"/>
          <w:i/>
          <w:szCs w:val="24"/>
          <w:lang w:val="en-US"/>
        </w:rPr>
        <w:t>. </w:t>
      </w:r>
      <w:r w:rsidRPr="00E915EE">
        <w:rPr>
          <w:rFonts w:eastAsia="Times New Roman"/>
          <w:i/>
          <w:szCs w:val="24"/>
          <w:lang w:val="en-US"/>
        </w:rPr>
        <w:t>France</w:t>
      </w:r>
      <w:r w:rsidRPr="00E915EE">
        <w:rPr>
          <w:rFonts w:eastAsia="Times New Roman"/>
          <w:szCs w:val="24"/>
          <w:lang w:val="en-US"/>
        </w:rPr>
        <w:t xml:space="preserve">, no. 68264/14, § 106, 12 July 2016; </w:t>
      </w:r>
      <w:r w:rsidR="00221C02" w:rsidRPr="00E915EE">
        <w:rPr>
          <w:i/>
        </w:rPr>
        <w:t xml:space="preserve">A.M. </w:t>
      </w:r>
      <w:r w:rsidR="0066491F" w:rsidRPr="00E915EE">
        <w:rPr>
          <w:i/>
        </w:rPr>
        <w:t>and Others v. </w:t>
      </w:r>
      <w:r w:rsidR="00221C02" w:rsidRPr="00E915EE">
        <w:rPr>
          <w:i/>
        </w:rPr>
        <w:t>France</w:t>
      </w:r>
      <w:r w:rsidR="00221C02" w:rsidRPr="00E915EE">
        <w:rPr>
          <w:snapToGrid w:val="0"/>
        </w:rPr>
        <w:t xml:space="preserve">, </w:t>
      </w:r>
      <w:r w:rsidR="0066491F" w:rsidRPr="00E915EE">
        <w:t>no. </w:t>
      </w:r>
      <w:r w:rsidR="00221C02" w:rsidRPr="00E915EE">
        <w:t>24587/12</w:t>
      </w:r>
      <w:r w:rsidR="00221C02" w:rsidRPr="00E915EE">
        <w:rPr>
          <w:snapToGrid w:val="0"/>
        </w:rPr>
        <w:t>, § 86, 12 July 2016</w:t>
      </w:r>
      <w:r w:rsidRPr="00E915EE">
        <w:rPr>
          <w:rFonts w:eastAsia="Times New Roman"/>
          <w:snapToGrid w:val="0"/>
          <w:lang w:val="en-US"/>
        </w:rPr>
        <w:t xml:space="preserve">; and </w:t>
      </w:r>
      <w:r w:rsidRPr="00E915EE">
        <w:rPr>
          <w:rFonts w:eastAsia="Times New Roman"/>
          <w:i/>
          <w:iCs/>
        </w:rPr>
        <w:t>R.C. and V.C.</w:t>
      </w:r>
      <w:r w:rsidRPr="00E915EE">
        <w:rPr>
          <w:rFonts w:eastAsia="Times New Roman"/>
          <w:lang w:val="en-US"/>
        </w:rPr>
        <w:t xml:space="preserve"> </w:t>
      </w:r>
      <w:r w:rsidR="0066491F" w:rsidRPr="00E915EE">
        <w:rPr>
          <w:rFonts w:eastAsia="Times New Roman"/>
          <w:i/>
          <w:iCs/>
        </w:rPr>
        <w:t>v. </w:t>
      </w:r>
      <w:r w:rsidRPr="00E915EE">
        <w:rPr>
          <w:rFonts w:eastAsia="Times New Roman"/>
          <w:i/>
          <w:iCs/>
        </w:rPr>
        <w:t>France</w:t>
      </w:r>
      <w:r w:rsidRPr="00E915EE">
        <w:rPr>
          <w:rFonts w:eastAsia="Times New Roman"/>
          <w:snapToGrid w:val="0"/>
          <w:lang w:val="en-US"/>
        </w:rPr>
        <w:t xml:space="preserve">, </w:t>
      </w:r>
      <w:r w:rsidR="0066491F" w:rsidRPr="00E915EE">
        <w:rPr>
          <w:rFonts w:eastAsia="Times New Roman"/>
          <w:lang w:val="en-US"/>
        </w:rPr>
        <w:t>no. </w:t>
      </w:r>
      <w:r w:rsidRPr="00E915EE">
        <w:rPr>
          <w:rFonts w:eastAsia="Times New Roman"/>
          <w:lang w:val="en-US"/>
        </w:rPr>
        <w:t>76491/14</w:t>
      </w:r>
      <w:r w:rsidRPr="00E915EE">
        <w:rPr>
          <w:rFonts w:eastAsia="Times New Roman"/>
          <w:snapToGrid w:val="0"/>
          <w:lang w:val="en-US"/>
        </w:rPr>
        <w:t>, § 72, 12</w:t>
      </w:r>
      <w:r w:rsidR="001B7C93" w:rsidRPr="00E915EE">
        <w:rPr>
          <w:rFonts w:eastAsia="Times New Roman"/>
          <w:snapToGrid w:val="0"/>
          <w:lang w:val="en-US"/>
        </w:rPr>
        <w:t> </w:t>
      </w:r>
      <w:r w:rsidRPr="00E915EE">
        <w:rPr>
          <w:rFonts w:eastAsia="Times New Roman"/>
          <w:snapToGrid w:val="0"/>
          <w:lang w:val="en-US"/>
        </w:rPr>
        <w:t>July 2016</w:t>
      </w:r>
      <w:r w:rsidRPr="00E915EE">
        <w:rPr>
          <w:rFonts w:eastAsia="Times New Roman"/>
          <w:szCs w:val="24"/>
          <w:lang w:val="en-US"/>
        </w:rPr>
        <w:t>).</w:t>
      </w:r>
    </w:p>
    <w:p w:rsidR="005766EE" w:rsidRPr="00E915EE" w:rsidRDefault="005766EE" w:rsidP="00E915EE">
      <w:pPr>
        <w:pStyle w:val="ECHRPara"/>
        <w:rPr>
          <w:rFonts w:eastAsia="Times New Roman"/>
          <w:szCs w:val="24"/>
          <w:lang w:val="en-US"/>
        </w:rPr>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74</w:t>
      </w:r>
      <w:r w:rsidRPr="00E915EE">
        <w:rPr>
          <w:rFonts w:eastAsia="Times New Roman"/>
          <w:szCs w:val="24"/>
          <w:lang w:val="en-US"/>
        </w:rPr>
        <w:fldChar w:fldCharType="end"/>
      </w:r>
      <w:r w:rsidRPr="00E915EE">
        <w:rPr>
          <w:rFonts w:eastAsia="Times New Roman"/>
          <w:szCs w:val="24"/>
          <w:lang w:val="en-US"/>
        </w:rPr>
        <w:t>.  Such an interference entails a violation of Article 8 of the Convention unless it can be justified under paragraph 2 of that Article, that is, if it is “in accordance with the law”, pursues one or more of the aims enumerated in that provision, and is “necessary in a democratic society” for the fulfilment of the said aim or aims.</w:t>
      </w:r>
    </w:p>
    <w:p w:rsidR="005766EE" w:rsidRPr="00E915EE" w:rsidRDefault="005766EE" w:rsidP="00E915EE">
      <w:pPr>
        <w:pStyle w:val="ECHRPara"/>
        <w:rPr>
          <w:rFonts w:eastAsia="Times New Roman"/>
          <w:szCs w:val="24"/>
          <w:lang w:val="en-US"/>
        </w:rPr>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75</w:t>
      </w:r>
      <w:r w:rsidRPr="00E915EE">
        <w:rPr>
          <w:rFonts w:eastAsia="Times New Roman"/>
          <w:szCs w:val="24"/>
          <w:lang w:val="en-US"/>
        </w:rPr>
        <w:fldChar w:fldCharType="end"/>
      </w:r>
      <w:r w:rsidRPr="00E915EE">
        <w:rPr>
          <w:rFonts w:eastAsia="Times New Roman"/>
          <w:szCs w:val="24"/>
          <w:lang w:val="en-US"/>
        </w:rPr>
        <w:t>.  The legal bases for the first three applicants</w:t>
      </w:r>
      <w:r w:rsidR="00E915EE" w:rsidRPr="00E915EE">
        <w:rPr>
          <w:rFonts w:eastAsia="Times New Roman"/>
          <w:szCs w:val="24"/>
          <w:lang w:val="en-US"/>
        </w:rPr>
        <w:t>’</w:t>
      </w:r>
      <w:r w:rsidRPr="00E915EE">
        <w:rPr>
          <w:rFonts w:eastAsia="Times New Roman"/>
          <w:szCs w:val="24"/>
          <w:lang w:val="en-US"/>
        </w:rPr>
        <w:t xml:space="preserve"> detention were the relevant provisions of the</w:t>
      </w:r>
      <w:r w:rsidR="00E5262A" w:rsidRPr="00E915EE">
        <w:rPr>
          <w:rFonts w:eastAsia="Times New Roman"/>
          <w:szCs w:val="24"/>
          <w:lang w:val="en-US"/>
        </w:rPr>
        <w:t xml:space="preserve"> 2003 Act and the 2013 Act (see </w:t>
      </w:r>
      <w:r w:rsidRPr="00E915EE">
        <w:rPr>
          <w:rFonts w:eastAsia="Times New Roman"/>
          <w:szCs w:val="24"/>
          <w:lang w:val="en-US"/>
        </w:rPr>
        <w:t>paragraphs</w:t>
      </w:r>
      <w:r w:rsidR="00E5262A" w:rsidRPr="00E915EE">
        <w:rPr>
          <w:rFonts w:eastAsia="Times New Roman"/>
          <w:szCs w:val="24"/>
          <w:lang w:val="en-US"/>
        </w:rPr>
        <w:t xml:space="preserve"> 34 </w:t>
      </w:r>
      <w:r w:rsidRPr="00E915EE">
        <w:rPr>
          <w:rFonts w:eastAsia="Times New Roman"/>
          <w:szCs w:val="24"/>
          <w:lang w:val="en-US"/>
        </w:rPr>
        <w:t>and</w:t>
      </w:r>
      <w:r w:rsidR="00E5262A" w:rsidRPr="00E915EE">
        <w:rPr>
          <w:rFonts w:eastAsia="Times New Roman"/>
          <w:szCs w:val="24"/>
          <w:lang w:val="en-US"/>
        </w:rPr>
        <w:t xml:space="preserve"> 35 </w:t>
      </w:r>
      <w:r w:rsidRPr="00E915EE">
        <w:rPr>
          <w:rFonts w:eastAsia="Times New Roman"/>
          <w:szCs w:val="24"/>
          <w:lang w:val="en-US"/>
        </w:rPr>
        <w:t>above</w:t>
      </w:r>
      <w:r w:rsidR="00E5262A" w:rsidRPr="00E915EE">
        <w:rPr>
          <w:rFonts w:eastAsia="Times New Roman"/>
          <w:szCs w:val="24"/>
          <w:lang w:val="en-US"/>
        </w:rPr>
        <w:t>)</w:t>
      </w:r>
      <w:r w:rsidRPr="00E915EE">
        <w:rPr>
          <w:rFonts w:eastAsia="Times New Roman"/>
          <w:szCs w:val="24"/>
          <w:lang w:val="en-US"/>
        </w:rPr>
        <w:t>; see also</w:t>
      </w:r>
      <w:r w:rsidRPr="00E915EE">
        <w:rPr>
          <w:rFonts w:eastAsia="Times New Roman"/>
          <w:i/>
          <w:szCs w:val="24"/>
          <w:lang w:val="en-US"/>
        </w:rPr>
        <w:t xml:space="preserve"> Popov</w:t>
      </w:r>
      <w:r w:rsidRPr="00E915EE">
        <w:rPr>
          <w:rFonts w:eastAsia="Times New Roman"/>
          <w:szCs w:val="24"/>
          <w:lang w:val="en-US"/>
        </w:rPr>
        <w:t>, cited above,</w:t>
      </w:r>
      <w:r w:rsidRPr="00E915EE">
        <w:rPr>
          <w:rFonts w:eastAsia="Times New Roman"/>
          <w:lang w:val="en-US"/>
        </w:rPr>
        <w:t xml:space="preserve"> </w:t>
      </w:r>
      <w:r w:rsidRPr="00E915EE">
        <w:rPr>
          <w:rFonts w:eastAsia="Times New Roman"/>
          <w:szCs w:val="24"/>
          <w:lang w:val="en-US"/>
        </w:rPr>
        <w:t xml:space="preserve">§ 136; </w:t>
      </w:r>
      <w:r w:rsidRPr="00E915EE">
        <w:rPr>
          <w:rFonts w:eastAsia="Times New Roman"/>
          <w:i/>
          <w:szCs w:val="24"/>
          <w:lang w:val="en-US"/>
        </w:rPr>
        <w:t>A.B.</w:t>
      </w:r>
      <w:r w:rsidRPr="00E915EE">
        <w:rPr>
          <w:rFonts w:eastAsia="Times New Roman"/>
          <w:lang w:val="en-US"/>
        </w:rPr>
        <w:t xml:space="preserve"> </w:t>
      </w:r>
      <w:r w:rsidR="00E5262A" w:rsidRPr="00E915EE">
        <w:rPr>
          <w:rFonts w:eastAsia="Times New Roman"/>
          <w:i/>
          <w:szCs w:val="24"/>
          <w:lang w:val="en-US"/>
        </w:rPr>
        <w:t>and Others v. </w:t>
      </w:r>
      <w:r w:rsidRPr="00E915EE">
        <w:rPr>
          <w:rFonts w:eastAsia="Times New Roman"/>
          <w:i/>
          <w:szCs w:val="24"/>
          <w:lang w:val="en-US"/>
        </w:rPr>
        <w:t>France</w:t>
      </w:r>
      <w:r w:rsidRPr="00E915EE">
        <w:rPr>
          <w:rFonts w:eastAsia="Times New Roman"/>
          <w:szCs w:val="24"/>
          <w:lang w:val="en-US"/>
        </w:rPr>
        <w:t xml:space="preserve">, cited above, § 147; and </w:t>
      </w:r>
      <w:r w:rsidR="00E5262A" w:rsidRPr="00E915EE">
        <w:rPr>
          <w:rFonts w:eastAsia="Times New Roman"/>
          <w:i/>
          <w:szCs w:val="24"/>
          <w:lang w:val="en-US"/>
        </w:rPr>
        <w:t>R.K. and Others v. </w:t>
      </w:r>
      <w:r w:rsidRPr="00E915EE">
        <w:rPr>
          <w:rFonts w:eastAsia="Times New Roman"/>
          <w:i/>
          <w:szCs w:val="24"/>
          <w:lang w:val="en-US"/>
        </w:rPr>
        <w:t>France,</w:t>
      </w:r>
      <w:r w:rsidRPr="00E915EE">
        <w:rPr>
          <w:rFonts w:eastAsia="Times New Roman"/>
          <w:szCs w:val="24"/>
          <w:lang w:val="en-US"/>
        </w:rPr>
        <w:t xml:space="preserve"> cited above, </w:t>
      </w:r>
      <w:r w:rsidR="00E5262A" w:rsidRPr="00E915EE">
        <w:rPr>
          <w:rFonts w:eastAsia="Times New Roman"/>
          <w:snapToGrid w:val="0"/>
          <w:szCs w:val="24"/>
        </w:rPr>
        <w:t>§ </w:t>
      </w:r>
      <w:r w:rsidRPr="00E915EE">
        <w:rPr>
          <w:rFonts w:eastAsia="Times New Roman"/>
          <w:snapToGrid w:val="0"/>
          <w:szCs w:val="24"/>
        </w:rPr>
        <w:t>108</w:t>
      </w:r>
      <w:r w:rsidRPr="00E915EE">
        <w:rPr>
          <w:rFonts w:eastAsia="Times New Roman"/>
          <w:szCs w:val="24"/>
          <w:lang w:val="en-US"/>
        </w:rPr>
        <w:t>).</w:t>
      </w:r>
    </w:p>
    <w:p w:rsidR="005766EE" w:rsidRPr="00E915EE" w:rsidRDefault="005766EE" w:rsidP="00E915EE">
      <w:pPr>
        <w:pStyle w:val="ECHRPara"/>
        <w:rPr>
          <w:rFonts w:eastAsia="Times New Roman"/>
          <w:szCs w:val="24"/>
          <w:lang w:val="en-US"/>
        </w:rPr>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76</w:t>
      </w:r>
      <w:r w:rsidRPr="00E915EE">
        <w:rPr>
          <w:rFonts w:eastAsia="Times New Roman"/>
          <w:szCs w:val="24"/>
          <w:lang w:val="en-US"/>
        </w:rPr>
        <w:fldChar w:fldCharType="end"/>
      </w:r>
      <w:r w:rsidRPr="00E915EE">
        <w:rPr>
          <w:rFonts w:eastAsia="Times New Roman"/>
          <w:szCs w:val="24"/>
          <w:lang w:val="en-US"/>
        </w:rPr>
        <w:t xml:space="preserve">.  When the </w:t>
      </w:r>
      <w:r w:rsidR="00221C02" w:rsidRPr="00E915EE">
        <w:rPr>
          <w:rFonts w:eastAsia="Times New Roman"/>
          <w:szCs w:val="24"/>
          <w:lang w:val="en-US"/>
        </w:rPr>
        <w:t xml:space="preserve">first three </w:t>
      </w:r>
      <w:r w:rsidRPr="00E915EE">
        <w:rPr>
          <w:rFonts w:eastAsia="Times New Roman"/>
          <w:szCs w:val="24"/>
          <w:lang w:val="en-US"/>
        </w:rPr>
        <w:t>applicants w</w:t>
      </w:r>
      <w:r w:rsidR="0066491F" w:rsidRPr="00E915EE">
        <w:rPr>
          <w:rFonts w:eastAsia="Times New Roman"/>
          <w:szCs w:val="24"/>
          <w:lang w:val="en-US"/>
        </w:rPr>
        <w:t>ere brought back to Poland on 9 </w:t>
      </w:r>
      <w:r w:rsidRPr="00E915EE">
        <w:rPr>
          <w:rFonts w:eastAsia="Times New Roman"/>
          <w:szCs w:val="24"/>
          <w:lang w:val="en-US"/>
        </w:rPr>
        <w:t>January 2014 (see paragraph 9 above), the Polish authorities</w:t>
      </w:r>
      <w:r w:rsidR="00E915EE" w:rsidRPr="00E915EE">
        <w:rPr>
          <w:rFonts w:eastAsia="Times New Roman"/>
          <w:szCs w:val="24"/>
          <w:lang w:val="en-US"/>
        </w:rPr>
        <w:t>’</w:t>
      </w:r>
      <w:r w:rsidRPr="00E915EE">
        <w:rPr>
          <w:rFonts w:eastAsia="Times New Roman"/>
          <w:szCs w:val="24"/>
          <w:lang w:val="en-US"/>
        </w:rPr>
        <w:t xml:space="preserve"> original expulsion decision of 6 March 2013</w:t>
      </w:r>
      <w:r w:rsidRPr="00E915EE">
        <w:rPr>
          <w:rFonts w:eastAsia="Times New Roman"/>
          <w:lang w:val="en-US"/>
        </w:rPr>
        <w:t xml:space="preserve"> </w:t>
      </w:r>
      <w:r w:rsidRPr="00E915EE">
        <w:rPr>
          <w:rFonts w:eastAsia="Times New Roman"/>
          <w:szCs w:val="24"/>
          <w:lang w:val="en-US"/>
        </w:rPr>
        <w:t>was in force (see paragraph 7 above). It remained enforceable until it was temporarily suspended on 5</w:t>
      </w:r>
      <w:r w:rsidR="0066491F" w:rsidRPr="00E915EE">
        <w:rPr>
          <w:rFonts w:eastAsia="Times New Roman"/>
          <w:szCs w:val="24"/>
          <w:lang w:val="en-US"/>
        </w:rPr>
        <w:t> </w:t>
      </w:r>
      <w:r w:rsidRPr="00E915EE">
        <w:rPr>
          <w:rFonts w:eastAsia="Times New Roman"/>
          <w:szCs w:val="24"/>
          <w:lang w:val="en-US"/>
        </w:rPr>
        <w:t>June 2014 (see paragraph 28 above). That legal effect was not altered despite the fact that the applicants</w:t>
      </w:r>
      <w:r w:rsidR="00E915EE" w:rsidRPr="00E915EE">
        <w:rPr>
          <w:rFonts w:eastAsia="Times New Roman"/>
          <w:szCs w:val="24"/>
          <w:lang w:val="en-US"/>
        </w:rPr>
        <w:t>’</w:t>
      </w:r>
      <w:r w:rsidRPr="00E915EE">
        <w:rPr>
          <w:rFonts w:eastAsia="Times New Roman"/>
          <w:szCs w:val="24"/>
          <w:lang w:val="en-US"/>
        </w:rPr>
        <w:t xml:space="preserve"> new asylum proceedings were pending between 28</w:t>
      </w:r>
      <w:r w:rsidR="003B6FB7" w:rsidRPr="00E915EE">
        <w:rPr>
          <w:rFonts w:eastAsia="Times New Roman"/>
          <w:szCs w:val="24"/>
          <w:lang w:val="en-US"/>
        </w:rPr>
        <w:t> </w:t>
      </w:r>
      <w:r w:rsidRPr="00E915EE">
        <w:rPr>
          <w:rFonts w:eastAsia="Times New Roman"/>
          <w:szCs w:val="24"/>
          <w:lang w:val="en-US"/>
        </w:rPr>
        <w:t xml:space="preserve">January and 18 April 2014 and between 22 May and 29 June 2014, when </w:t>
      </w:r>
      <w:r w:rsidRPr="00E915EE">
        <w:rPr>
          <w:rFonts w:eastAsia="Times New Roman"/>
          <w:szCs w:val="24"/>
          <w:lang w:val="en-US"/>
        </w:rPr>
        <w:lastRenderedPageBreak/>
        <w:t>the applicants were ultimately released from administrative detention (see paragraphs 19,</w:t>
      </w:r>
      <w:r w:rsidR="00486486" w:rsidRPr="00E915EE">
        <w:rPr>
          <w:rFonts w:eastAsia="Times New Roman"/>
          <w:szCs w:val="24"/>
          <w:lang w:val="en-US"/>
        </w:rPr>
        <w:t xml:space="preserve"> 20, 22, 24, 27 and 31 above).</w:t>
      </w:r>
      <w:r w:rsidRPr="00E915EE">
        <w:rPr>
          <w:rFonts w:eastAsia="Times New Roman"/>
          <w:szCs w:val="24"/>
          <w:lang w:val="en-US"/>
        </w:rPr>
        <w:t xml:space="preserve"> In view of the timeline described above, it must be considered that the detention measure was taken in the context of the prevention of illegal immigration</w:t>
      </w:r>
      <w:r w:rsidR="00221C02" w:rsidRPr="00E915EE">
        <w:rPr>
          <w:rFonts w:eastAsia="Times New Roman"/>
          <w:szCs w:val="24"/>
          <w:lang w:val="en-US"/>
        </w:rPr>
        <w:t xml:space="preserve">, in </w:t>
      </w:r>
      <w:r w:rsidR="003B6FB7" w:rsidRPr="00E915EE">
        <w:rPr>
          <w:rFonts w:eastAsia="Times New Roman"/>
          <w:szCs w:val="24"/>
          <w:lang w:val="en-US"/>
        </w:rPr>
        <w:t>particular</w:t>
      </w:r>
      <w:r w:rsidR="00221C02" w:rsidRPr="00E915EE">
        <w:rPr>
          <w:rFonts w:eastAsia="Times New Roman"/>
          <w:szCs w:val="24"/>
          <w:lang w:val="en-US"/>
        </w:rPr>
        <w:t xml:space="preserve"> for the purpose of expulsion</w:t>
      </w:r>
      <w:r w:rsidRPr="00E915EE">
        <w:rPr>
          <w:rFonts w:eastAsia="Times New Roman"/>
          <w:szCs w:val="24"/>
          <w:lang w:val="en-US"/>
        </w:rPr>
        <w:t>.</w:t>
      </w:r>
      <w:r w:rsidR="00221C02" w:rsidRPr="00E915EE">
        <w:rPr>
          <w:rFonts w:eastAsia="Times New Roman"/>
          <w:szCs w:val="24"/>
          <w:lang w:val="en-US"/>
        </w:rPr>
        <w:t xml:space="preserve"> </w:t>
      </w:r>
      <w:r w:rsidRPr="00E915EE">
        <w:rPr>
          <w:rFonts w:eastAsia="Times New Roman"/>
          <w:szCs w:val="24"/>
          <w:lang w:val="en-US"/>
        </w:rPr>
        <w:t xml:space="preserve">The interference therefore pursued a legitimate aim for the purposes of Article 8 § 2 of the Convention (see </w:t>
      </w:r>
      <w:r w:rsidRPr="00E915EE">
        <w:rPr>
          <w:rFonts w:eastAsia="Times New Roman"/>
          <w:i/>
          <w:szCs w:val="24"/>
          <w:lang w:val="en-US"/>
        </w:rPr>
        <w:t>Popov</w:t>
      </w:r>
      <w:r w:rsidRPr="00E915EE">
        <w:rPr>
          <w:rFonts w:eastAsia="Times New Roman"/>
          <w:szCs w:val="24"/>
          <w:lang w:val="en-US"/>
        </w:rPr>
        <w:t>, cited above,</w:t>
      </w:r>
      <w:r w:rsidRPr="00E915EE">
        <w:rPr>
          <w:rFonts w:eastAsia="Times New Roman"/>
          <w:lang w:val="en-US"/>
        </w:rPr>
        <w:t xml:space="preserve"> </w:t>
      </w:r>
      <w:r w:rsidRPr="00E915EE">
        <w:rPr>
          <w:rFonts w:eastAsia="Times New Roman"/>
          <w:szCs w:val="24"/>
          <w:lang w:val="en-US"/>
        </w:rPr>
        <w:t xml:space="preserve">§ 137; </w:t>
      </w:r>
      <w:r w:rsidRPr="00E915EE">
        <w:rPr>
          <w:rFonts w:eastAsia="Times New Roman"/>
          <w:i/>
          <w:szCs w:val="24"/>
          <w:lang w:val="en-US"/>
        </w:rPr>
        <w:t>A.B.</w:t>
      </w:r>
      <w:r w:rsidRPr="00E915EE">
        <w:rPr>
          <w:rFonts w:eastAsia="Times New Roman"/>
          <w:lang w:val="en-US"/>
        </w:rPr>
        <w:t xml:space="preserve"> </w:t>
      </w:r>
      <w:r w:rsidRPr="00E915EE">
        <w:rPr>
          <w:rFonts w:eastAsia="Times New Roman"/>
          <w:i/>
          <w:szCs w:val="24"/>
          <w:lang w:val="en-US"/>
        </w:rPr>
        <w:t>and Others v. France</w:t>
      </w:r>
      <w:r w:rsidR="00F63FC3" w:rsidRPr="00E915EE">
        <w:rPr>
          <w:rFonts w:eastAsia="Times New Roman"/>
          <w:szCs w:val="24"/>
          <w:lang w:val="en-US"/>
        </w:rPr>
        <w:t>, cited above, § </w:t>
      </w:r>
      <w:r w:rsidRPr="00E915EE">
        <w:rPr>
          <w:rFonts w:eastAsia="Times New Roman"/>
          <w:szCs w:val="24"/>
          <w:lang w:val="en-US"/>
        </w:rPr>
        <w:t xml:space="preserve">148; and </w:t>
      </w:r>
      <w:r w:rsidR="0066491F" w:rsidRPr="00E915EE">
        <w:rPr>
          <w:rFonts w:eastAsia="Times New Roman"/>
          <w:i/>
          <w:szCs w:val="24"/>
          <w:lang w:val="en-US"/>
        </w:rPr>
        <w:t>R.K. and Others v. </w:t>
      </w:r>
      <w:r w:rsidRPr="00E915EE">
        <w:rPr>
          <w:rFonts w:eastAsia="Times New Roman"/>
          <w:i/>
          <w:szCs w:val="24"/>
          <w:lang w:val="en-US"/>
        </w:rPr>
        <w:t>France,</w:t>
      </w:r>
      <w:r w:rsidRPr="00E915EE">
        <w:rPr>
          <w:rFonts w:eastAsia="Times New Roman"/>
          <w:szCs w:val="24"/>
          <w:lang w:val="en-US"/>
        </w:rPr>
        <w:t xml:space="preserve"> cited above, </w:t>
      </w:r>
      <w:r w:rsidRPr="00E915EE">
        <w:rPr>
          <w:rFonts w:eastAsia="Times New Roman"/>
          <w:snapToGrid w:val="0"/>
          <w:szCs w:val="24"/>
        </w:rPr>
        <w:t>§</w:t>
      </w:r>
      <w:r w:rsidR="0066491F" w:rsidRPr="00E915EE">
        <w:rPr>
          <w:rFonts w:eastAsia="Times New Roman"/>
          <w:snapToGrid w:val="0"/>
          <w:szCs w:val="24"/>
        </w:rPr>
        <w:t> </w:t>
      </w:r>
      <w:r w:rsidRPr="00E915EE">
        <w:rPr>
          <w:rFonts w:eastAsia="Times New Roman"/>
          <w:snapToGrid w:val="0"/>
          <w:szCs w:val="24"/>
        </w:rPr>
        <w:t>109</w:t>
      </w:r>
      <w:r w:rsidRPr="00E915EE">
        <w:rPr>
          <w:rFonts w:eastAsia="Times New Roman"/>
          <w:szCs w:val="24"/>
          <w:lang w:val="en-US"/>
        </w:rPr>
        <w:t>).</w:t>
      </w:r>
    </w:p>
    <w:p w:rsidR="005766EE" w:rsidRPr="00E915EE" w:rsidRDefault="005766EE" w:rsidP="00E915EE">
      <w:pPr>
        <w:pStyle w:val="ECHRPara"/>
        <w:rPr>
          <w:rFonts w:eastAsia="Times New Roman"/>
          <w:szCs w:val="24"/>
          <w:lang w:val="en-US"/>
        </w:rPr>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77</w:t>
      </w:r>
      <w:r w:rsidRPr="00E915EE">
        <w:rPr>
          <w:rFonts w:eastAsia="Times New Roman"/>
          <w:szCs w:val="24"/>
          <w:lang w:val="en-US"/>
        </w:rPr>
        <w:fldChar w:fldCharType="end"/>
      </w:r>
      <w:r w:rsidRPr="00E915EE">
        <w:rPr>
          <w:rFonts w:eastAsia="Times New Roman"/>
          <w:szCs w:val="24"/>
          <w:lang w:val="en-US"/>
        </w:rPr>
        <w:t>.  The Court must further determine whether the family</w:t>
      </w:r>
      <w:r w:rsidR="00E915EE" w:rsidRPr="00E915EE">
        <w:rPr>
          <w:rFonts w:eastAsia="Times New Roman"/>
          <w:szCs w:val="24"/>
          <w:lang w:val="en-US"/>
        </w:rPr>
        <w:t>’</w:t>
      </w:r>
      <w:r w:rsidRPr="00E915EE">
        <w:rPr>
          <w:rFonts w:eastAsia="Times New Roman"/>
          <w:szCs w:val="24"/>
          <w:lang w:val="en-US"/>
        </w:rPr>
        <w:t xml:space="preserve">s placement in detention, for a duration such as that in the present case, was necessary within the meaning of Article 8 § 2 of the Convention, that is to say, whether it was justified by a pressing social need and, in particular, proportionate to the legitimate aim pursued (see </w:t>
      </w:r>
      <w:r w:rsidRPr="00E915EE">
        <w:rPr>
          <w:rFonts w:eastAsia="Times New Roman"/>
          <w:i/>
          <w:szCs w:val="24"/>
          <w:lang w:val="en-US"/>
        </w:rPr>
        <w:t>Popov</w:t>
      </w:r>
      <w:r w:rsidRPr="00E915EE">
        <w:rPr>
          <w:rFonts w:eastAsia="Times New Roman"/>
          <w:szCs w:val="24"/>
          <w:lang w:val="en-US"/>
        </w:rPr>
        <w:t xml:space="preserve">, cited above, </w:t>
      </w:r>
      <w:r w:rsidRPr="00E915EE">
        <w:rPr>
          <w:rFonts w:eastAsia="Times New Roman"/>
          <w:snapToGrid w:val="0"/>
          <w:szCs w:val="24"/>
        </w:rPr>
        <w:t>§</w:t>
      </w:r>
      <w:r w:rsidR="0066491F" w:rsidRPr="00E915EE">
        <w:rPr>
          <w:rFonts w:eastAsia="Times New Roman"/>
          <w:snapToGrid w:val="0"/>
          <w:szCs w:val="24"/>
        </w:rPr>
        <w:t> </w:t>
      </w:r>
      <w:r w:rsidRPr="00E915EE">
        <w:rPr>
          <w:rFonts w:eastAsia="Times New Roman"/>
          <w:szCs w:val="24"/>
          <w:lang w:val="en-US"/>
        </w:rPr>
        <w:t>138).</w:t>
      </w:r>
    </w:p>
    <w:p w:rsidR="005766EE" w:rsidRPr="00E915EE" w:rsidRDefault="005766EE" w:rsidP="00E915EE">
      <w:pPr>
        <w:pStyle w:val="ECHRPara"/>
        <w:rPr>
          <w:rFonts w:eastAsia="Times New Roman"/>
          <w:szCs w:val="24"/>
          <w:lang w:val="en-US"/>
        </w:rPr>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78</w:t>
      </w:r>
      <w:r w:rsidRPr="00E915EE">
        <w:rPr>
          <w:rFonts w:eastAsia="Times New Roman"/>
          <w:szCs w:val="24"/>
          <w:lang w:val="en-US"/>
        </w:rPr>
        <w:fldChar w:fldCharType="end"/>
      </w:r>
      <w:r w:rsidRPr="00E915EE">
        <w:rPr>
          <w:rFonts w:eastAsia="Times New Roman"/>
          <w:szCs w:val="24"/>
          <w:lang w:val="en-US"/>
        </w:rPr>
        <w:t>.  The authorities have a duty to strike a fair balance between the competing interests of the individual and of society as a whole. This balance should be guaranteed taking account of international conventions, in particular the Convention on the Rights of the Child. The protection of fundamental rights and the constraints imposed by a State</w:t>
      </w:r>
      <w:r w:rsidR="00E915EE" w:rsidRPr="00E915EE">
        <w:rPr>
          <w:rFonts w:eastAsia="Times New Roman"/>
          <w:szCs w:val="24"/>
          <w:lang w:val="en-US"/>
        </w:rPr>
        <w:t>’</w:t>
      </w:r>
      <w:r w:rsidRPr="00E915EE">
        <w:rPr>
          <w:rFonts w:eastAsia="Times New Roman"/>
          <w:szCs w:val="24"/>
          <w:lang w:val="en-US"/>
        </w:rPr>
        <w:t>s immigration policy must therefore be reconciled. A measure of confinement must therefore be proportionate to the aim pursued by the authorities, namely the enforcement of a removal decision in the present case. It can be seen from the Court</w:t>
      </w:r>
      <w:r w:rsidR="00E915EE" w:rsidRPr="00E915EE">
        <w:rPr>
          <w:rFonts w:eastAsia="Times New Roman"/>
          <w:szCs w:val="24"/>
          <w:lang w:val="en-US"/>
        </w:rPr>
        <w:t>’</w:t>
      </w:r>
      <w:r w:rsidRPr="00E915EE">
        <w:rPr>
          <w:rFonts w:eastAsia="Times New Roman"/>
          <w:szCs w:val="24"/>
          <w:lang w:val="en-US"/>
        </w:rPr>
        <w:t>s case-law that, where families are concerned, the authorities must, in assessing proportionality, take account of the child</w:t>
      </w:r>
      <w:r w:rsidR="00E915EE" w:rsidRPr="00E915EE">
        <w:rPr>
          <w:rFonts w:eastAsia="Times New Roman"/>
          <w:szCs w:val="24"/>
          <w:lang w:val="en-US"/>
        </w:rPr>
        <w:t>’</w:t>
      </w:r>
      <w:r w:rsidRPr="00E915EE">
        <w:rPr>
          <w:rFonts w:eastAsia="Times New Roman"/>
          <w:szCs w:val="24"/>
          <w:lang w:val="en-US"/>
        </w:rPr>
        <w:t>s best interests. In this connection, the Court would point out that there is currently a broad consensus – including in international law – in support of the idea that in all decisions concerning children, their best interests must be paramount (ibid.</w:t>
      </w:r>
      <w:r w:rsidR="00836383" w:rsidRPr="00E915EE">
        <w:rPr>
          <w:rFonts w:eastAsia="Times New Roman"/>
          <w:szCs w:val="24"/>
          <w:lang w:val="en-US"/>
        </w:rPr>
        <w:t>,</w:t>
      </w:r>
      <w:r w:rsidRPr="00E915EE">
        <w:rPr>
          <w:rFonts w:eastAsia="Times New Roman"/>
          <w:snapToGrid w:val="0"/>
          <w:szCs w:val="24"/>
        </w:rPr>
        <w:t xml:space="preserve"> §§ 139</w:t>
      </w:r>
      <w:r w:rsidR="00B30003" w:rsidRPr="00E915EE">
        <w:rPr>
          <w:rFonts w:eastAsia="Times New Roman"/>
          <w:snapToGrid w:val="0"/>
          <w:szCs w:val="24"/>
        </w:rPr>
        <w:t xml:space="preserve"> </w:t>
      </w:r>
      <w:r w:rsidRPr="00E915EE">
        <w:rPr>
          <w:rFonts w:eastAsia="Times New Roman"/>
          <w:snapToGrid w:val="0"/>
          <w:szCs w:val="24"/>
        </w:rPr>
        <w:t>and 140,</w:t>
      </w:r>
      <w:r w:rsidRPr="00E915EE">
        <w:rPr>
          <w:rFonts w:eastAsia="Times New Roman"/>
          <w:szCs w:val="24"/>
          <w:lang w:val="en-US"/>
        </w:rPr>
        <w:t xml:space="preserve"> </w:t>
      </w:r>
      <w:r w:rsidRPr="00E915EE">
        <w:rPr>
          <w:rFonts w:eastAsia="Times New Roman"/>
          <w:snapToGrid w:val="0"/>
          <w:szCs w:val="24"/>
        </w:rPr>
        <w:t>with further references</w:t>
      </w:r>
      <w:r w:rsidRPr="00E915EE">
        <w:rPr>
          <w:rFonts w:eastAsia="Times New Roman"/>
          <w:szCs w:val="24"/>
          <w:lang w:val="en-US"/>
        </w:rPr>
        <w:t>). It can also be seen from international reports that the protection of the child</w:t>
      </w:r>
      <w:r w:rsidR="00E915EE" w:rsidRPr="00E915EE">
        <w:rPr>
          <w:rFonts w:eastAsia="Times New Roman"/>
          <w:szCs w:val="24"/>
          <w:lang w:val="en-US"/>
        </w:rPr>
        <w:t>’</w:t>
      </w:r>
      <w:r w:rsidRPr="00E915EE">
        <w:rPr>
          <w:rFonts w:eastAsia="Times New Roman"/>
          <w:szCs w:val="24"/>
          <w:lang w:val="en-US"/>
        </w:rPr>
        <w:t>s best interests involves both keeping the family together, as far as possible, and considering alternatives so that the detention of minors is only a measure of last resort (ibid.</w:t>
      </w:r>
      <w:r w:rsidR="00836383" w:rsidRPr="00E915EE">
        <w:rPr>
          <w:rFonts w:eastAsia="Times New Roman"/>
          <w:szCs w:val="24"/>
          <w:lang w:val="en-US"/>
        </w:rPr>
        <w:t>,</w:t>
      </w:r>
      <w:r w:rsidRPr="00E915EE">
        <w:rPr>
          <w:rFonts w:eastAsia="Times New Roman"/>
          <w:szCs w:val="24"/>
          <w:lang w:val="en-US"/>
        </w:rPr>
        <w:t xml:space="preserve"> </w:t>
      </w:r>
      <w:r w:rsidRPr="00E915EE">
        <w:rPr>
          <w:rFonts w:eastAsia="Times New Roman"/>
          <w:snapToGrid w:val="0"/>
          <w:szCs w:val="24"/>
        </w:rPr>
        <w:t>§</w:t>
      </w:r>
      <w:r w:rsidR="0066491F" w:rsidRPr="00E915EE">
        <w:rPr>
          <w:rFonts w:eastAsia="Times New Roman"/>
          <w:snapToGrid w:val="0"/>
          <w:szCs w:val="24"/>
        </w:rPr>
        <w:t> </w:t>
      </w:r>
      <w:r w:rsidRPr="00E915EE">
        <w:rPr>
          <w:rFonts w:eastAsia="Times New Roman"/>
          <w:snapToGrid w:val="0"/>
          <w:szCs w:val="24"/>
        </w:rPr>
        <w:t>141).</w:t>
      </w:r>
    </w:p>
    <w:p w:rsidR="005766EE" w:rsidRPr="00E915EE" w:rsidRDefault="005766EE" w:rsidP="00E915EE">
      <w:pPr>
        <w:pStyle w:val="ECHRPara"/>
        <w:rPr>
          <w:rFonts w:eastAsia="Times New Roman"/>
          <w:lang w:val="en-US"/>
        </w:rPr>
      </w:pPr>
      <w:r w:rsidRPr="00E915EE">
        <w:rPr>
          <w:rFonts w:eastAsia="Times New Roman"/>
          <w:szCs w:val="24"/>
          <w:lang w:val="en-US"/>
        </w:rPr>
        <w:fldChar w:fldCharType="begin"/>
      </w:r>
      <w:r w:rsidRPr="00E915EE">
        <w:rPr>
          <w:rFonts w:eastAsia="Times New Roman"/>
          <w:szCs w:val="24"/>
          <w:lang w:val="en-US"/>
        </w:rPr>
        <w:instrText xml:space="preserve"> SEQ level0 \*arabic </w:instrText>
      </w:r>
      <w:r w:rsidRPr="00E915EE">
        <w:rPr>
          <w:rFonts w:eastAsia="Times New Roman"/>
          <w:szCs w:val="24"/>
          <w:lang w:val="en-US"/>
        </w:rPr>
        <w:fldChar w:fldCharType="separate"/>
      </w:r>
      <w:r w:rsidR="00E915EE" w:rsidRPr="00E915EE">
        <w:rPr>
          <w:rFonts w:eastAsia="Times New Roman"/>
          <w:noProof/>
          <w:szCs w:val="24"/>
          <w:lang w:val="en-US"/>
        </w:rPr>
        <w:t>79</w:t>
      </w:r>
      <w:r w:rsidRPr="00E915EE">
        <w:rPr>
          <w:rFonts w:eastAsia="Times New Roman"/>
          <w:szCs w:val="24"/>
          <w:lang w:val="en-US"/>
        </w:rPr>
        <w:fldChar w:fldCharType="end"/>
      </w:r>
      <w:r w:rsidRPr="00E915EE">
        <w:rPr>
          <w:rFonts w:eastAsia="Times New Roman"/>
          <w:szCs w:val="24"/>
          <w:lang w:val="en-US"/>
        </w:rPr>
        <w:t>. </w:t>
      </w:r>
      <w:r w:rsidRPr="00E915EE">
        <w:rPr>
          <w:rFonts w:eastAsia="Times New Roman"/>
          <w:lang w:val="en-US"/>
        </w:rPr>
        <w:t>In the present case, the applicants were placed in administrative detention following their transfer from Germany, where they had fled shortly after their first asylum application had been rejected by the second</w:t>
      </w:r>
      <w:r w:rsidR="0066491F" w:rsidRPr="00E915EE">
        <w:rPr>
          <w:rFonts w:eastAsia="Times New Roman"/>
          <w:lang w:val="en-US"/>
        </w:rPr>
        <w:noBreakHyphen/>
      </w:r>
      <w:r w:rsidRPr="00E915EE">
        <w:rPr>
          <w:rFonts w:eastAsia="Times New Roman"/>
          <w:lang w:val="en-US"/>
        </w:rPr>
        <w:t>instance authority in Poland (see paragraphs</w:t>
      </w:r>
      <w:r w:rsidR="0066491F" w:rsidRPr="00E915EE">
        <w:rPr>
          <w:rFonts w:eastAsia="Times New Roman"/>
          <w:lang w:val="en-US"/>
        </w:rPr>
        <w:t xml:space="preserve"> 7-9</w:t>
      </w:r>
      <w:r w:rsidRPr="00E915EE">
        <w:rPr>
          <w:rFonts w:eastAsia="Times New Roman"/>
          <w:lang w:val="en-US"/>
        </w:rPr>
        <w:t xml:space="preserve"> above).</w:t>
      </w:r>
    </w:p>
    <w:p w:rsidR="00816DA0"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80</w:t>
      </w:r>
      <w:r w:rsidRPr="00E915EE">
        <w:rPr>
          <w:rFonts w:eastAsia="Times New Roman"/>
          <w:lang w:val="en-US"/>
        </w:rPr>
        <w:fldChar w:fldCharType="end"/>
      </w:r>
      <w:r w:rsidRPr="00E915EE">
        <w:rPr>
          <w:rFonts w:eastAsia="Times New Roman"/>
          <w:lang w:val="en-US"/>
        </w:rPr>
        <w:t>.  Throughout the applicants</w:t>
      </w:r>
      <w:r w:rsidR="00E915EE" w:rsidRPr="00E915EE">
        <w:rPr>
          <w:rFonts w:eastAsia="Times New Roman"/>
          <w:lang w:val="en-US"/>
        </w:rPr>
        <w:t>’</w:t>
      </w:r>
      <w:r w:rsidRPr="00E915EE">
        <w:rPr>
          <w:rFonts w:eastAsia="Times New Roman"/>
          <w:lang w:val="en-US"/>
        </w:rPr>
        <w:t xml:space="preserve"> detention, until early June 2014, the 2013 expulsion decision remained binding and enforceable (see paragraphs</w:t>
      </w:r>
      <w:r w:rsidR="0066491F" w:rsidRPr="00E915EE">
        <w:rPr>
          <w:rFonts w:eastAsia="Times New Roman"/>
          <w:lang w:val="en-US"/>
        </w:rPr>
        <w:t xml:space="preserve"> 7, 20, 22, 24 and 28</w:t>
      </w:r>
      <w:r w:rsidRPr="00E915EE">
        <w:rPr>
          <w:rFonts w:eastAsia="Times New Roman"/>
          <w:lang w:val="en-US"/>
        </w:rPr>
        <w:t xml:space="preserve"> above), despite numerous requests on the part of </w:t>
      </w:r>
      <w:r w:rsidR="000575E7" w:rsidRPr="00E915EE">
        <w:rPr>
          <w:rFonts w:eastAsia="Times New Roman"/>
          <w:lang w:val="en-US"/>
        </w:rPr>
        <w:t xml:space="preserve">the </w:t>
      </w:r>
      <w:r w:rsidR="00D852C8" w:rsidRPr="00E915EE">
        <w:rPr>
          <w:rFonts w:eastAsia="Times New Roman"/>
          <w:lang w:val="en-US"/>
        </w:rPr>
        <w:t xml:space="preserve">first applicant </w:t>
      </w:r>
      <w:r w:rsidRPr="00E915EE">
        <w:rPr>
          <w:rFonts w:eastAsia="Times New Roman"/>
          <w:lang w:val="en-US"/>
        </w:rPr>
        <w:t>to stay its enforcement</w:t>
      </w:r>
      <w:r w:rsidR="00816DA0" w:rsidRPr="00E915EE">
        <w:rPr>
          <w:rFonts w:eastAsia="Times New Roman"/>
          <w:lang w:val="en-US"/>
        </w:rPr>
        <w:t>.</w:t>
      </w:r>
    </w:p>
    <w:p w:rsidR="00B30003"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81</w:t>
      </w:r>
      <w:r w:rsidRPr="00E915EE">
        <w:rPr>
          <w:rFonts w:eastAsia="Times New Roman"/>
          <w:lang w:val="en-US"/>
        </w:rPr>
        <w:fldChar w:fldCharType="end"/>
      </w:r>
      <w:r w:rsidRPr="00E915EE">
        <w:rPr>
          <w:rFonts w:eastAsia="Times New Roman"/>
          <w:lang w:val="en-US"/>
        </w:rPr>
        <w:t>.  </w:t>
      </w:r>
      <w:r w:rsidR="00816DA0" w:rsidRPr="00E915EE">
        <w:rPr>
          <w:rFonts w:eastAsia="Times New Roman"/>
          <w:lang w:val="en-US"/>
        </w:rPr>
        <w:t xml:space="preserve">The Court notes that </w:t>
      </w:r>
      <w:r w:rsidR="000575E7" w:rsidRPr="00E915EE">
        <w:rPr>
          <w:rFonts w:eastAsia="Times New Roman"/>
          <w:lang w:val="en-US"/>
        </w:rPr>
        <w:t xml:space="preserve">the </w:t>
      </w:r>
      <w:r w:rsidR="00D852C8" w:rsidRPr="00E915EE">
        <w:rPr>
          <w:rFonts w:eastAsia="Times New Roman"/>
          <w:lang w:val="en-US"/>
        </w:rPr>
        <w:t>first applicant</w:t>
      </w:r>
      <w:r w:rsidR="00E915EE" w:rsidRPr="00E915EE">
        <w:rPr>
          <w:rFonts w:eastAsia="Times New Roman"/>
          <w:lang w:val="en-US"/>
        </w:rPr>
        <w:t>’</w:t>
      </w:r>
      <w:r w:rsidR="00D852C8" w:rsidRPr="00E915EE">
        <w:rPr>
          <w:rFonts w:eastAsia="Times New Roman"/>
          <w:lang w:val="en-US"/>
        </w:rPr>
        <w:t>s</w:t>
      </w:r>
      <w:r w:rsidRPr="00E915EE">
        <w:rPr>
          <w:rFonts w:eastAsia="Times New Roman"/>
          <w:lang w:val="en-US"/>
        </w:rPr>
        <w:t xml:space="preserve"> youngest child was not covered by the family</w:t>
      </w:r>
      <w:r w:rsidR="00E915EE" w:rsidRPr="00E915EE">
        <w:rPr>
          <w:rFonts w:eastAsia="Times New Roman"/>
          <w:lang w:val="en-US"/>
        </w:rPr>
        <w:t>’</w:t>
      </w:r>
      <w:r w:rsidRPr="00E915EE">
        <w:rPr>
          <w:rFonts w:eastAsia="Times New Roman"/>
          <w:lang w:val="en-US"/>
        </w:rPr>
        <w:t>s first asylum application (see paragraph</w:t>
      </w:r>
      <w:r w:rsidR="0066491F" w:rsidRPr="00E915EE">
        <w:rPr>
          <w:rFonts w:eastAsia="Times New Roman"/>
          <w:lang w:val="en-US"/>
        </w:rPr>
        <w:t xml:space="preserve">6 </w:t>
      </w:r>
      <w:r w:rsidRPr="00E915EE">
        <w:rPr>
          <w:rFonts w:eastAsia="Times New Roman"/>
          <w:lang w:val="en-US"/>
        </w:rPr>
        <w:t>above) and that he had not crossed the Polish border illegally (see paragraph</w:t>
      </w:r>
      <w:r w:rsidR="0066491F" w:rsidRPr="00E915EE">
        <w:rPr>
          <w:rFonts w:eastAsia="Times New Roman"/>
          <w:lang w:val="en-US"/>
        </w:rPr>
        <w:t xml:space="preserve"> 18</w:t>
      </w:r>
      <w:r w:rsidRPr="00E915EE">
        <w:rPr>
          <w:rFonts w:eastAsia="Times New Roman"/>
          <w:lang w:val="en-US"/>
        </w:rPr>
        <w:t xml:space="preserve"> above). </w:t>
      </w:r>
      <w:r w:rsidR="00816DA0" w:rsidRPr="00E915EE">
        <w:rPr>
          <w:rFonts w:eastAsia="Times New Roman"/>
          <w:lang w:val="en-US"/>
        </w:rPr>
        <w:t>T</w:t>
      </w:r>
      <w:r w:rsidRPr="00E915EE">
        <w:rPr>
          <w:rFonts w:eastAsia="Times New Roman"/>
          <w:lang w:val="en-US"/>
        </w:rPr>
        <w:t>he Warmińsko-Mazurski Governor refused to order the expulsion of Ms</w:t>
      </w:r>
      <w:r w:rsidR="001B7C93" w:rsidRPr="00E915EE">
        <w:rPr>
          <w:rFonts w:eastAsia="Times New Roman"/>
          <w:lang w:val="en-US"/>
        </w:rPr>
        <w:t> </w:t>
      </w:r>
      <w:r w:rsidRPr="00E915EE">
        <w:rPr>
          <w:rFonts w:eastAsia="Times New Roman"/>
          <w:lang w:val="en-US"/>
        </w:rPr>
        <w:t>Bistieva</w:t>
      </w:r>
      <w:r w:rsidR="00E915EE" w:rsidRPr="00E915EE">
        <w:rPr>
          <w:rFonts w:eastAsia="Times New Roman"/>
          <w:lang w:val="en-US"/>
        </w:rPr>
        <w:t>’</w:t>
      </w:r>
      <w:r w:rsidRPr="00E915EE">
        <w:rPr>
          <w:rFonts w:eastAsia="Times New Roman"/>
          <w:lang w:val="en-US"/>
        </w:rPr>
        <w:t>s youngest child on 27 January 2014 (see paragraph</w:t>
      </w:r>
      <w:r w:rsidR="0066491F" w:rsidRPr="00E915EE">
        <w:rPr>
          <w:rFonts w:eastAsia="Times New Roman"/>
          <w:lang w:val="en-US"/>
        </w:rPr>
        <w:t>18</w:t>
      </w:r>
      <w:r w:rsidRPr="00E915EE">
        <w:rPr>
          <w:rFonts w:eastAsia="Times New Roman"/>
          <w:lang w:val="en-US"/>
        </w:rPr>
        <w:t xml:space="preserve"> above)</w:t>
      </w:r>
      <w:r w:rsidR="00816DA0" w:rsidRPr="00E915EE">
        <w:rPr>
          <w:rFonts w:eastAsia="Times New Roman"/>
          <w:lang w:val="en-US"/>
        </w:rPr>
        <w:t xml:space="preserve">. </w:t>
      </w:r>
      <w:r w:rsidR="00816DA0" w:rsidRPr="00E915EE">
        <w:rPr>
          <w:rFonts w:eastAsia="Times New Roman"/>
          <w:lang w:val="en-US"/>
        </w:rPr>
        <w:lastRenderedPageBreak/>
        <w:t>T</w:t>
      </w:r>
      <w:r w:rsidRPr="00E915EE">
        <w:rPr>
          <w:rFonts w:eastAsia="Times New Roman"/>
          <w:lang w:val="en-US"/>
        </w:rPr>
        <w:t>hree weeks later the head of the Aliens Office held that the expulsion decision concerned all four applicants (see paragraph</w:t>
      </w:r>
      <w:r w:rsidR="0066491F" w:rsidRPr="00E915EE">
        <w:rPr>
          <w:rFonts w:eastAsia="Times New Roman"/>
          <w:lang w:val="en-US"/>
        </w:rPr>
        <w:t xml:space="preserve"> 22</w:t>
      </w:r>
      <w:r w:rsidRPr="00E915EE">
        <w:rPr>
          <w:rFonts w:eastAsia="Times New Roman"/>
          <w:lang w:val="en-US"/>
        </w:rPr>
        <w:t xml:space="preserve"> above). On 11 March 2014 the same authority removed the child from the scope of the original expulsion decision (see paragraph</w:t>
      </w:r>
      <w:r w:rsidR="0066491F" w:rsidRPr="00E915EE">
        <w:rPr>
          <w:rFonts w:eastAsia="Times New Roman"/>
          <w:lang w:val="en-US"/>
        </w:rPr>
        <w:t xml:space="preserve"> 22</w:t>
      </w:r>
      <w:r w:rsidRPr="00E915EE">
        <w:rPr>
          <w:rFonts w:eastAsia="Times New Roman"/>
          <w:lang w:val="en-US"/>
        </w:rPr>
        <w:t xml:space="preserve"> above). Nonetheless, on 18 April 2014 the new asylum proceedings, which also concerned the youngest child, were discontinued on the grounds that the 2013 expulsion decision was enforceable (see paragraph</w:t>
      </w:r>
      <w:r w:rsidR="0066491F" w:rsidRPr="00E915EE">
        <w:rPr>
          <w:rFonts w:eastAsia="Times New Roman"/>
          <w:lang w:val="en-US"/>
        </w:rPr>
        <w:t xml:space="preserve"> 24</w:t>
      </w:r>
      <w:r w:rsidR="00733921" w:rsidRPr="00E915EE">
        <w:rPr>
          <w:rFonts w:eastAsia="Times New Roman"/>
          <w:lang w:val="en-US"/>
        </w:rPr>
        <w:t xml:space="preserve"> above). Ultimately </w:t>
      </w:r>
      <w:r w:rsidRPr="00E915EE">
        <w:rPr>
          <w:rFonts w:eastAsia="Times New Roman"/>
          <w:lang w:val="en-US"/>
        </w:rPr>
        <w:t>the applicants</w:t>
      </w:r>
      <w:r w:rsidR="00E915EE" w:rsidRPr="00E915EE">
        <w:rPr>
          <w:rFonts w:eastAsia="Times New Roman"/>
          <w:lang w:val="en-US"/>
        </w:rPr>
        <w:t>’</w:t>
      </w:r>
      <w:r w:rsidRPr="00E915EE">
        <w:rPr>
          <w:rFonts w:eastAsia="Times New Roman"/>
          <w:lang w:val="en-US"/>
        </w:rPr>
        <w:t xml:space="preserve"> expulsion was stayed </w:t>
      </w:r>
      <w:r w:rsidR="00733921" w:rsidRPr="00E915EE">
        <w:rPr>
          <w:rFonts w:eastAsia="Times New Roman"/>
          <w:lang w:val="en-US"/>
        </w:rPr>
        <w:t>on the ground that new circumstances have arisen in the case (see paragraph 28).</w:t>
      </w:r>
    </w:p>
    <w:p w:rsidR="005766EE" w:rsidRPr="00E915EE" w:rsidRDefault="005766EE"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82</w:t>
      </w:r>
      <w:r w:rsidRPr="00E915EE">
        <w:rPr>
          <w:rFonts w:eastAsia="Times New Roman"/>
          <w:lang w:val="en-US"/>
        </w:rPr>
        <w:fldChar w:fldCharType="end"/>
      </w:r>
      <w:r w:rsidRPr="00E915EE">
        <w:rPr>
          <w:rFonts w:eastAsia="Times New Roman"/>
          <w:lang w:val="en-US"/>
        </w:rPr>
        <w:t>.  Lastly, in the initial phase of the applicants</w:t>
      </w:r>
      <w:r w:rsidR="00E915EE" w:rsidRPr="00E915EE">
        <w:rPr>
          <w:rFonts w:eastAsia="Times New Roman"/>
          <w:lang w:val="en-US"/>
        </w:rPr>
        <w:t>’</w:t>
      </w:r>
      <w:r w:rsidRPr="00E915EE">
        <w:rPr>
          <w:rFonts w:eastAsia="Times New Roman"/>
          <w:lang w:val="en-US"/>
        </w:rPr>
        <w:t xml:space="preserve"> detention in Poland, </w:t>
      </w:r>
      <w:r w:rsidR="000575E7" w:rsidRPr="00E915EE">
        <w:rPr>
          <w:rFonts w:eastAsia="Times New Roman"/>
          <w:lang w:val="en-US"/>
        </w:rPr>
        <w:t xml:space="preserve">the </w:t>
      </w:r>
      <w:r w:rsidR="00D852C8" w:rsidRPr="00E915EE">
        <w:rPr>
          <w:rFonts w:eastAsia="Times New Roman"/>
          <w:lang w:val="en-US"/>
        </w:rPr>
        <w:t>first applicant</w:t>
      </w:r>
      <w:r w:rsidR="00E915EE" w:rsidRPr="00E915EE">
        <w:rPr>
          <w:rFonts w:eastAsia="Times New Roman"/>
          <w:lang w:val="en-US"/>
        </w:rPr>
        <w:t>’</w:t>
      </w:r>
      <w:r w:rsidR="00D852C8" w:rsidRPr="00E915EE">
        <w:rPr>
          <w:rFonts w:eastAsia="Times New Roman"/>
          <w:lang w:val="en-US"/>
        </w:rPr>
        <w:t xml:space="preserve">s </w:t>
      </w:r>
      <w:r w:rsidRPr="00E915EE">
        <w:rPr>
          <w:rFonts w:eastAsia="Times New Roman"/>
          <w:lang w:val="en-US"/>
        </w:rPr>
        <w:t>husband was hospitalised in Germany (see paragraphs</w:t>
      </w:r>
      <w:r w:rsidR="0066491F" w:rsidRPr="00E915EE">
        <w:rPr>
          <w:rFonts w:eastAsia="Times New Roman"/>
          <w:lang w:val="en-US"/>
        </w:rPr>
        <w:t xml:space="preserve"> 17 and 23</w:t>
      </w:r>
      <w:r w:rsidRPr="00E915EE">
        <w:rPr>
          <w:rFonts w:eastAsia="Times New Roman"/>
          <w:lang w:val="en-US"/>
        </w:rPr>
        <w:t xml:space="preserve"> above).</w:t>
      </w:r>
    </w:p>
    <w:p w:rsidR="00B30003" w:rsidRPr="00E915EE" w:rsidRDefault="005766EE" w:rsidP="00E915EE">
      <w:pPr>
        <w:pStyle w:val="ECHRPara"/>
        <w:rPr>
          <w:rFonts w:eastAsia="Times New Roman"/>
          <w:noProof/>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83</w:t>
      </w:r>
      <w:r w:rsidRPr="00E915EE">
        <w:rPr>
          <w:rFonts w:eastAsia="Times New Roman"/>
          <w:lang w:val="en-US"/>
        </w:rPr>
        <w:fldChar w:fldCharType="end"/>
      </w:r>
      <w:r w:rsidRPr="00E915EE">
        <w:rPr>
          <w:rFonts w:eastAsia="Times New Roman"/>
          <w:lang w:val="en-US"/>
        </w:rPr>
        <w:t xml:space="preserve">.  In view of all the above-mentioned elements, the Court concludes that the applicants clearly presented a risk of absconding, </w:t>
      </w:r>
      <w:r w:rsidR="003B6FB7" w:rsidRPr="00E915EE">
        <w:rPr>
          <w:rFonts w:eastAsia="Times New Roman"/>
          <w:lang w:val="en-US"/>
        </w:rPr>
        <w:t xml:space="preserve">the three of them, </w:t>
      </w:r>
      <w:r w:rsidRPr="00E915EE">
        <w:rPr>
          <w:rFonts w:eastAsia="Times New Roman"/>
          <w:lang w:val="en-US"/>
        </w:rPr>
        <w:t>having previously fled to Germany and</w:t>
      </w:r>
      <w:r w:rsidR="003B6FB7" w:rsidRPr="00E915EE">
        <w:rPr>
          <w:rFonts w:eastAsia="Times New Roman"/>
          <w:lang w:val="en-US"/>
        </w:rPr>
        <w:t>, all four of them,</w:t>
      </w:r>
      <w:r w:rsidRPr="00E915EE">
        <w:rPr>
          <w:rFonts w:eastAsia="Times New Roman"/>
          <w:lang w:val="en-US"/>
        </w:rPr>
        <w:t xml:space="preserve"> having been separated from their husband and father who had initially stayed behind in that country. </w:t>
      </w:r>
      <w:r w:rsidRPr="00E915EE">
        <w:rPr>
          <w:rFonts w:eastAsia="Times New Roman"/>
          <w:noProof/>
          <w:lang w:val="en-US"/>
        </w:rPr>
        <w:t xml:space="preserve">Their confinement in a guarded centre could therefore appear to be justified by a pressing social need (see, </w:t>
      </w:r>
      <w:r w:rsidRPr="00E915EE">
        <w:rPr>
          <w:rFonts w:eastAsia="Times New Roman"/>
          <w:i/>
          <w:noProof/>
          <w:lang w:val="en-US"/>
        </w:rPr>
        <w:t>mutatis mutandis</w:t>
      </w:r>
      <w:r w:rsidRPr="00E915EE">
        <w:rPr>
          <w:rFonts w:eastAsia="Times New Roman"/>
          <w:noProof/>
          <w:lang w:val="en-US"/>
        </w:rPr>
        <w:t xml:space="preserve">, </w:t>
      </w:r>
      <w:r w:rsidRPr="00E915EE">
        <w:rPr>
          <w:rFonts w:eastAsia="Times New Roman"/>
          <w:i/>
          <w:noProof/>
          <w:lang w:val="en-US"/>
        </w:rPr>
        <w:t xml:space="preserve">A.M. </w:t>
      </w:r>
      <w:r w:rsidR="003B6FB7" w:rsidRPr="00E915EE">
        <w:rPr>
          <w:rFonts w:eastAsia="Times New Roman"/>
          <w:i/>
          <w:noProof/>
          <w:lang w:val="en-US"/>
        </w:rPr>
        <w:t xml:space="preserve">and Others </w:t>
      </w:r>
      <w:r w:rsidRPr="00E915EE">
        <w:rPr>
          <w:rFonts w:eastAsia="Times New Roman"/>
          <w:i/>
          <w:noProof/>
          <w:lang w:val="en-US"/>
        </w:rPr>
        <w:t>v.</w:t>
      </w:r>
      <w:r w:rsidR="0066491F" w:rsidRPr="00E915EE">
        <w:rPr>
          <w:rFonts w:eastAsia="Times New Roman"/>
          <w:i/>
          <w:noProof/>
          <w:lang w:val="en-US"/>
        </w:rPr>
        <w:t> </w:t>
      </w:r>
      <w:r w:rsidRPr="00E915EE">
        <w:rPr>
          <w:rFonts w:eastAsia="Times New Roman"/>
          <w:i/>
          <w:noProof/>
          <w:lang w:val="en-US"/>
        </w:rPr>
        <w:t>France</w:t>
      </w:r>
      <w:r w:rsidRPr="00E915EE">
        <w:rPr>
          <w:rFonts w:eastAsia="Times New Roman"/>
          <w:noProof/>
          <w:lang w:val="en-US"/>
        </w:rPr>
        <w:t>, cited above, §</w:t>
      </w:r>
      <w:r w:rsidR="00B30003" w:rsidRPr="00E915EE">
        <w:rPr>
          <w:rFonts w:eastAsia="Times New Roman"/>
          <w:noProof/>
          <w:lang w:val="en-US"/>
        </w:rPr>
        <w:t> </w:t>
      </w:r>
      <w:r w:rsidRPr="00E915EE">
        <w:rPr>
          <w:rFonts w:eastAsia="Times New Roman"/>
          <w:noProof/>
          <w:lang w:val="en-US"/>
        </w:rPr>
        <w:t xml:space="preserve">95, and, by contrast, </w:t>
      </w:r>
      <w:r w:rsidRPr="00E915EE">
        <w:rPr>
          <w:rFonts w:eastAsia="Times New Roman"/>
          <w:i/>
          <w:noProof/>
          <w:lang w:val="en-US"/>
        </w:rPr>
        <w:t>Popov</w:t>
      </w:r>
      <w:r w:rsidR="0066491F" w:rsidRPr="00E915EE">
        <w:rPr>
          <w:rFonts w:eastAsia="Times New Roman"/>
          <w:noProof/>
          <w:lang w:val="en-US"/>
        </w:rPr>
        <w:t>, cited above, § </w:t>
      </w:r>
      <w:r w:rsidRPr="00E915EE">
        <w:rPr>
          <w:rFonts w:eastAsia="Times New Roman"/>
          <w:noProof/>
          <w:lang w:val="en-US"/>
        </w:rPr>
        <w:t xml:space="preserve">145; </w:t>
      </w:r>
      <w:r w:rsidRPr="00E915EE">
        <w:rPr>
          <w:rFonts w:eastAsia="Times New Roman"/>
          <w:i/>
          <w:noProof/>
          <w:lang w:val="en-US"/>
        </w:rPr>
        <w:t>A.B. and Others v. France</w:t>
      </w:r>
      <w:r w:rsidRPr="00E915EE">
        <w:rPr>
          <w:rFonts w:eastAsia="Times New Roman"/>
          <w:noProof/>
          <w:lang w:val="en-US"/>
        </w:rPr>
        <w:t xml:space="preserve">, cited above § 154; and </w:t>
      </w:r>
      <w:r w:rsidR="0066491F" w:rsidRPr="00E915EE">
        <w:rPr>
          <w:rFonts w:eastAsia="Times New Roman"/>
          <w:i/>
          <w:noProof/>
          <w:lang w:val="en-US"/>
        </w:rPr>
        <w:t>R.K. and Others v. </w:t>
      </w:r>
      <w:r w:rsidRPr="00E915EE">
        <w:rPr>
          <w:rFonts w:eastAsia="Times New Roman"/>
          <w:i/>
          <w:noProof/>
          <w:lang w:val="en-US"/>
        </w:rPr>
        <w:t>France</w:t>
      </w:r>
      <w:r w:rsidRPr="00E915EE">
        <w:rPr>
          <w:rFonts w:eastAsia="Times New Roman"/>
          <w:noProof/>
          <w:lang w:val="en-US"/>
        </w:rPr>
        <w:t>, cited above, §</w:t>
      </w:r>
      <w:r w:rsidR="00B30003" w:rsidRPr="00E915EE">
        <w:rPr>
          <w:rFonts w:eastAsia="Times New Roman"/>
          <w:noProof/>
          <w:lang w:val="en-US"/>
        </w:rPr>
        <w:t> </w:t>
      </w:r>
      <w:r w:rsidRPr="00E915EE">
        <w:rPr>
          <w:rFonts w:eastAsia="Times New Roman"/>
          <w:noProof/>
          <w:lang w:val="en-US"/>
        </w:rPr>
        <w:t>115).</w:t>
      </w:r>
    </w:p>
    <w:p w:rsidR="005937F7" w:rsidRPr="00E915EE" w:rsidRDefault="003B6FB7"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84</w:t>
      </w:r>
      <w:r w:rsidRPr="00E915EE">
        <w:rPr>
          <w:rFonts w:eastAsia="Times New Roman"/>
          <w:lang w:val="en-US"/>
        </w:rPr>
        <w:fldChar w:fldCharType="end"/>
      </w:r>
      <w:r w:rsidRPr="00E915EE">
        <w:rPr>
          <w:rFonts w:eastAsia="Times New Roman"/>
          <w:lang w:val="en-US"/>
        </w:rPr>
        <w:t>.  </w:t>
      </w:r>
      <w:r w:rsidR="00FC45E6" w:rsidRPr="00E915EE">
        <w:rPr>
          <w:rFonts w:eastAsia="Times New Roman"/>
          <w:lang w:val="en-US"/>
        </w:rPr>
        <w:t xml:space="preserve">The Court notes </w:t>
      </w:r>
      <w:r w:rsidR="00D34ECC" w:rsidRPr="00E915EE">
        <w:rPr>
          <w:rFonts w:eastAsia="Times New Roman"/>
          <w:lang w:val="en-US"/>
        </w:rPr>
        <w:t xml:space="preserve">furthermore </w:t>
      </w:r>
      <w:r w:rsidR="00FC45E6" w:rsidRPr="00E915EE">
        <w:rPr>
          <w:rFonts w:eastAsia="Times New Roman"/>
          <w:lang w:val="en-US"/>
        </w:rPr>
        <w:t xml:space="preserve">that the Helsinki Foundation issued a relatively positive evaluation of the organisation and the living conditions in the Kętrzyn guarded centre when compared to similar facilities in the country (see paragraphs 11-16 and 21 above; see also, by contrast, </w:t>
      </w:r>
      <w:r w:rsidR="00FC45E6" w:rsidRPr="00E915EE">
        <w:rPr>
          <w:rFonts w:eastAsia="Times New Roman"/>
          <w:i/>
          <w:lang w:val="en-US"/>
        </w:rPr>
        <w:t>Popov</w:t>
      </w:r>
      <w:r w:rsidR="00FC45E6" w:rsidRPr="00E915EE">
        <w:rPr>
          <w:rFonts w:eastAsia="Times New Roman"/>
          <w:lang w:val="en-US"/>
        </w:rPr>
        <w:t>, cited above, §§</w:t>
      </w:r>
      <w:r w:rsidR="0066491F" w:rsidRPr="00E915EE">
        <w:rPr>
          <w:rFonts w:eastAsia="Times New Roman"/>
          <w:lang w:val="en-US"/>
        </w:rPr>
        <w:t> </w:t>
      </w:r>
      <w:r w:rsidR="00FC45E6" w:rsidRPr="00E915EE">
        <w:rPr>
          <w:rFonts w:eastAsia="Times New Roman"/>
          <w:lang w:val="en-US"/>
        </w:rPr>
        <w:t xml:space="preserve">91-103; </w:t>
      </w:r>
      <w:r w:rsidR="00FC45E6" w:rsidRPr="00E915EE">
        <w:rPr>
          <w:rFonts w:eastAsia="Times New Roman"/>
          <w:i/>
          <w:lang w:val="en-US"/>
        </w:rPr>
        <w:t>A.B. and Others v. France</w:t>
      </w:r>
      <w:r w:rsidR="00FC45E6" w:rsidRPr="00E915EE">
        <w:rPr>
          <w:rFonts w:eastAsia="Times New Roman"/>
          <w:lang w:val="en-US"/>
        </w:rPr>
        <w:t>, cited above, §§</w:t>
      </w:r>
      <w:r w:rsidR="0066491F" w:rsidRPr="00E915EE">
        <w:rPr>
          <w:rFonts w:eastAsia="Times New Roman"/>
          <w:lang w:val="en-US"/>
        </w:rPr>
        <w:t> </w:t>
      </w:r>
      <w:r w:rsidR="00FC45E6" w:rsidRPr="00E915EE">
        <w:rPr>
          <w:rFonts w:eastAsia="Times New Roman"/>
          <w:lang w:val="en-US"/>
        </w:rPr>
        <w:t>112</w:t>
      </w:r>
      <w:r w:rsidR="0066491F" w:rsidRPr="00E915EE">
        <w:rPr>
          <w:rFonts w:eastAsia="Times New Roman"/>
          <w:lang w:val="en-US"/>
        </w:rPr>
        <w:noBreakHyphen/>
      </w:r>
      <w:r w:rsidR="00FC45E6" w:rsidRPr="00E915EE">
        <w:rPr>
          <w:rFonts w:eastAsia="Times New Roman"/>
          <w:lang w:val="en-US"/>
        </w:rPr>
        <w:t xml:space="preserve">15; </w:t>
      </w:r>
      <w:r w:rsidR="00FC45E6" w:rsidRPr="00E915EE">
        <w:rPr>
          <w:rFonts w:eastAsia="Times New Roman"/>
          <w:i/>
          <w:lang w:val="en-US"/>
        </w:rPr>
        <w:t>R.K. and Others v. France</w:t>
      </w:r>
      <w:r w:rsidR="00FC45E6" w:rsidRPr="00E915EE">
        <w:rPr>
          <w:rFonts w:eastAsia="Times New Roman"/>
          <w:lang w:val="en-US"/>
        </w:rPr>
        <w:t xml:space="preserve">, cited above, §§ 67-72; and </w:t>
      </w:r>
      <w:r w:rsidR="00F63FC3" w:rsidRPr="00E915EE">
        <w:rPr>
          <w:rFonts w:eastAsia="Times New Roman"/>
          <w:i/>
          <w:lang w:val="en-US"/>
        </w:rPr>
        <w:t>R.C. and V.C. v. </w:t>
      </w:r>
      <w:r w:rsidR="00FC45E6" w:rsidRPr="00E915EE">
        <w:rPr>
          <w:rFonts w:eastAsia="Times New Roman"/>
          <w:i/>
          <w:lang w:val="en-US"/>
        </w:rPr>
        <w:t>France</w:t>
      </w:r>
      <w:r w:rsidR="00FC45E6" w:rsidRPr="00E915EE">
        <w:rPr>
          <w:rFonts w:eastAsia="Times New Roman"/>
          <w:lang w:val="en-US"/>
        </w:rPr>
        <w:t>, cited above, §§ 35-40, in which the Court found a violation of Article 3 on account of inadequate conditions of the children</w:t>
      </w:r>
      <w:r w:rsidR="00E915EE" w:rsidRPr="00E915EE">
        <w:rPr>
          <w:rFonts w:eastAsia="Times New Roman"/>
          <w:lang w:val="en-US"/>
        </w:rPr>
        <w:t>’</w:t>
      </w:r>
      <w:r w:rsidR="00FC45E6" w:rsidRPr="00E915EE">
        <w:rPr>
          <w:rFonts w:eastAsia="Times New Roman"/>
          <w:lang w:val="en-US"/>
        </w:rPr>
        <w:t>s detention). It cannot</w:t>
      </w:r>
      <w:r w:rsidR="004336F7" w:rsidRPr="00E915EE">
        <w:rPr>
          <w:rFonts w:eastAsia="Times New Roman"/>
          <w:lang w:val="en-US"/>
        </w:rPr>
        <w:t>,</w:t>
      </w:r>
      <w:r w:rsidR="00FC45E6" w:rsidRPr="00E915EE">
        <w:rPr>
          <w:rFonts w:eastAsia="Times New Roman"/>
          <w:lang w:val="en-US"/>
        </w:rPr>
        <w:t xml:space="preserve"> however</w:t>
      </w:r>
      <w:r w:rsidR="004336F7" w:rsidRPr="00E915EE">
        <w:rPr>
          <w:rFonts w:eastAsia="Times New Roman"/>
          <w:lang w:val="en-US"/>
        </w:rPr>
        <w:t>,</w:t>
      </w:r>
      <w:r w:rsidR="00FC45E6" w:rsidRPr="00E915EE">
        <w:rPr>
          <w:rFonts w:eastAsia="Times New Roman"/>
          <w:lang w:val="en-US"/>
        </w:rPr>
        <w:t xml:space="preserve"> overlook the fact that the centre had many features of a custodial facility.</w:t>
      </w:r>
      <w:r w:rsidR="004336F7" w:rsidRPr="00E915EE">
        <w:rPr>
          <w:rFonts w:eastAsia="Times New Roman"/>
          <w:lang w:val="en-US"/>
        </w:rPr>
        <w:t xml:space="preserve"> Indeed, it amounted to such a facility.</w:t>
      </w:r>
    </w:p>
    <w:p w:rsidR="00B30003" w:rsidRPr="00E915EE" w:rsidRDefault="003B6FB7"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85</w:t>
      </w:r>
      <w:r w:rsidRPr="00E915EE">
        <w:rPr>
          <w:rFonts w:eastAsia="Times New Roman"/>
          <w:lang w:val="en-US"/>
        </w:rPr>
        <w:fldChar w:fldCharType="end"/>
      </w:r>
      <w:r w:rsidRPr="00E915EE">
        <w:rPr>
          <w:rFonts w:eastAsia="Times New Roman"/>
          <w:lang w:val="en-US"/>
        </w:rPr>
        <w:t>.  </w:t>
      </w:r>
      <w:r w:rsidR="00733921" w:rsidRPr="00E915EE">
        <w:rPr>
          <w:rFonts w:eastAsia="Times New Roman"/>
          <w:lang w:val="en-US"/>
        </w:rPr>
        <w:t>The Court is of the view that the child</w:t>
      </w:r>
      <w:r w:rsidR="00E915EE" w:rsidRPr="00E915EE">
        <w:rPr>
          <w:rFonts w:eastAsia="Times New Roman"/>
          <w:lang w:val="en-US"/>
        </w:rPr>
        <w:t>’</w:t>
      </w:r>
      <w:r w:rsidR="00733921" w:rsidRPr="00E915EE">
        <w:rPr>
          <w:rFonts w:eastAsia="Times New Roman"/>
          <w:lang w:val="en-US"/>
        </w:rPr>
        <w:t xml:space="preserve">s best interests cannot be confined to keeping the family together and that the authorities have to take all the necessary steps to limit, as far as possible, the detention of families accompanied by children and effectively preserve the right to family life (see, </w:t>
      </w:r>
      <w:r w:rsidR="00733921" w:rsidRPr="00E915EE">
        <w:rPr>
          <w:rFonts w:eastAsia="Times New Roman"/>
          <w:i/>
          <w:lang w:val="en-US"/>
        </w:rPr>
        <w:t>mutatis mutandis</w:t>
      </w:r>
      <w:r w:rsidR="00733921" w:rsidRPr="00E915EE">
        <w:rPr>
          <w:rFonts w:eastAsia="Times New Roman"/>
          <w:lang w:val="en-US"/>
        </w:rPr>
        <w:t xml:space="preserve">, </w:t>
      </w:r>
      <w:r w:rsidR="00733921" w:rsidRPr="00E915EE">
        <w:rPr>
          <w:rFonts w:eastAsia="Times New Roman"/>
          <w:i/>
          <w:lang w:val="en-US"/>
        </w:rPr>
        <w:t>Popov</w:t>
      </w:r>
      <w:r w:rsidR="00733921" w:rsidRPr="00E915EE">
        <w:rPr>
          <w:rFonts w:eastAsia="Times New Roman"/>
          <w:lang w:val="en-US"/>
        </w:rPr>
        <w:t>, cited above</w:t>
      </w:r>
      <w:r w:rsidR="00486486" w:rsidRPr="00E915EE">
        <w:rPr>
          <w:rFonts w:eastAsia="Times New Roman"/>
          <w:lang w:val="en-US"/>
        </w:rPr>
        <w:t>,</w:t>
      </w:r>
      <w:r w:rsidR="00733921" w:rsidRPr="00E915EE">
        <w:rPr>
          <w:rFonts w:eastAsia="Times New Roman"/>
          <w:lang w:val="en-US"/>
        </w:rPr>
        <w:t xml:space="preserve"> § 147).</w:t>
      </w:r>
    </w:p>
    <w:p w:rsidR="00B30003" w:rsidRPr="00E915EE" w:rsidRDefault="003B6FB7"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86</w:t>
      </w:r>
      <w:r w:rsidRPr="00E915EE">
        <w:rPr>
          <w:rFonts w:eastAsia="Times New Roman"/>
          <w:lang w:val="en-US"/>
        </w:rPr>
        <w:fldChar w:fldCharType="end"/>
      </w:r>
      <w:r w:rsidRPr="00E915EE">
        <w:rPr>
          <w:rFonts w:eastAsia="Times New Roman"/>
          <w:lang w:val="en-US"/>
        </w:rPr>
        <w:t>.  </w:t>
      </w:r>
      <w:r w:rsidR="00D34ECC" w:rsidRPr="00E915EE">
        <w:rPr>
          <w:rFonts w:eastAsia="Times New Roman"/>
          <w:lang w:val="en-US"/>
        </w:rPr>
        <w:t xml:space="preserve">In this context, </w:t>
      </w:r>
      <w:r w:rsidR="00376092" w:rsidRPr="00E915EE">
        <w:rPr>
          <w:rFonts w:eastAsia="Times New Roman"/>
          <w:lang w:val="en-US"/>
        </w:rPr>
        <w:t>given the reasoning of the domestic authorities</w:t>
      </w:r>
      <w:r w:rsidR="00E915EE" w:rsidRPr="00E915EE">
        <w:rPr>
          <w:rFonts w:eastAsia="Times New Roman"/>
          <w:lang w:val="en-US"/>
        </w:rPr>
        <w:t>’</w:t>
      </w:r>
      <w:r w:rsidR="00376092" w:rsidRPr="00E915EE">
        <w:rPr>
          <w:rFonts w:eastAsia="Times New Roman"/>
          <w:lang w:val="en-US"/>
        </w:rPr>
        <w:t xml:space="preserve"> decisions, </w:t>
      </w:r>
      <w:r w:rsidR="00D34ECC" w:rsidRPr="00E915EE">
        <w:rPr>
          <w:rFonts w:eastAsia="Times New Roman"/>
          <w:lang w:val="en-US"/>
        </w:rPr>
        <w:t xml:space="preserve">the Court is not convinced that the </w:t>
      </w:r>
      <w:r w:rsidR="00376092" w:rsidRPr="00E915EE">
        <w:rPr>
          <w:rFonts w:eastAsia="Times New Roman"/>
          <w:lang w:val="en-US"/>
        </w:rPr>
        <w:t xml:space="preserve">Polish </w:t>
      </w:r>
      <w:r w:rsidR="00D34ECC" w:rsidRPr="00E915EE">
        <w:rPr>
          <w:rFonts w:eastAsia="Times New Roman"/>
          <w:lang w:val="en-US"/>
        </w:rPr>
        <w:t>authorities had in fact, as they should have, viewed the family</w:t>
      </w:r>
      <w:r w:rsidR="00E915EE" w:rsidRPr="00E915EE">
        <w:rPr>
          <w:rFonts w:eastAsia="Times New Roman"/>
          <w:lang w:val="en-US"/>
        </w:rPr>
        <w:t>’</w:t>
      </w:r>
      <w:r w:rsidR="00D34ECC" w:rsidRPr="00E915EE">
        <w:rPr>
          <w:rFonts w:eastAsia="Times New Roman"/>
          <w:lang w:val="en-US"/>
        </w:rPr>
        <w:t>s administrative detention as a measure of last resort</w:t>
      </w:r>
      <w:r w:rsidR="004336F7" w:rsidRPr="00E915EE">
        <w:rPr>
          <w:rFonts w:eastAsia="Times New Roman"/>
          <w:lang w:val="en-US"/>
        </w:rPr>
        <w:t>.</w:t>
      </w:r>
      <w:r w:rsidR="00D34ECC" w:rsidRPr="00E915EE">
        <w:rPr>
          <w:rFonts w:eastAsia="Times New Roman"/>
          <w:lang w:val="en-US"/>
        </w:rPr>
        <w:t xml:space="preserve"> </w:t>
      </w:r>
      <w:r w:rsidR="004336F7" w:rsidRPr="00E915EE">
        <w:rPr>
          <w:rFonts w:eastAsia="Times New Roman"/>
          <w:lang w:val="en-US"/>
        </w:rPr>
        <w:t xml:space="preserve">Nor </w:t>
      </w:r>
      <w:r w:rsidR="00D34ECC" w:rsidRPr="00E915EE">
        <w:rPr>
          <w:rFonts w:eastAsia="Times New Roman"/>
          <w:lang w:val="en-US"/>
        </w:rPr>
        <w:t xml:space="preserve">had </w:t>
      </w:r>
      <w:r w:rsidR="004336F7" w:rsidRPr="00E915EE">
        <w:rPr>
          <w:rFonts w:eastAsia="Times New Roman"/>
          <w:lang w:val="en-US"/>
        </w:rPr>
        <w:t xml:space="preserve">they </w:t>
      </w:r>
      <w:r w:rsidR="00D34ECC" w:rsidRPr="00E915EE">
        <w:rPr>
          <w:rFonts w:eastAsia="Times New Roman"/>
          <w:lang w:val="en-US"/>
        </w:rPr>
        <w:t>given due consideration to possible alternative measures, especially in the period of time when the applicants were reunited with their husband and father. T</w:t>
      </w:r>
      <w:r w:rsidR="00733921" w:rsidRPr="00E915EE">
        <w:rPr>
          <w:rFonts w:eastAsia="Times New Roman"/>
          <w:lang w:val="en-US"/>
        </w:rPr>
        <w:t xml:space="preserve">he Court </w:t>
      </w:r>
      <w:r w:rsidR="004336F7" w:rsidRPr="00E915EE">
        <w:rPr>
          <w:rFonts w:eastAsia="Times New Roman"/>
          <w:lang w:val="en-US"/>
        </w:rPr>
        <w:t xml:space="preserve">also </w:t>
      </w:r>
      <w:r w:rsidR="00733921" w:rsidRPr="00E915EE">
        <w:rPr>
          <w:rFonts w:eastAsia="Times New Roman"/>
          <w:lang w:val="en-US"/>
        </w:rPr>
        <w:t xml:space="preserve">has </w:t>
      </w:r>
      <w:r w:rsidR="003F49E0" w:rsidRPr="00E915EE">
        <w:rPr>
          <w:rFonts w:eastAsia="Times New Roman"/>
          <w:lang w:val="en-US"/>
        </w:rPr>
        <w:t xml:space="preserve">serious </w:t>
      </w:r>
      <w:r w:rsidR="00733921" w:rsidRPr="00E915EE">
        <w:rPr>
          <w:rFonts w:eastAsia="Times New Roman"/>
          <w:lang w:val="en-US"/>
        </w:rPr>
        <w:t xml:space="preserve">doubts as to whether the authorities had given </w:t>
      </w:r>
      <w:r w:rsidR="00376092" w:rsidRPr="00E915EE">
        <w:rPr>
          <w:rFonts w:eastAsia="Times New Roman"/>
          <w:lang w:val="en-US"/>
        </w:rPr>
        <w:t xml:space="preserve">sufficient </w:t>
      </w:r>
      <w:r w:rsidR="00733921" w:rsidRPr="00E915EE">
        <w:rPr>
          <w:rFonts w:eastAsia="Times New Roman"/>
          <w:lang w:val="en-US"/>
        </w:rPr>
        <w:t xml:space="preserve">consideration to the best interests of </w:t>
      </w:r>
      <w:r w:rsidR="000575E7" w:rsidRPr="00E915EE">
        <w:rPr>
          <w:rFonts w:eastAsia="Times New Roman"/>
          <w:lang w:val="en-US"/>
        </w:rPr>
        <w:t xml:space="preserve">the </w:t>
      </w:r>
      <w:r w:rsidR="00D852C8" w:rsidRPr="00E915EE">
        <w:rPr>
          <w:rFonts w:eastAsia="Times New Roman"/>
          <w:lang w:val="en-US"/>
        </w:rPr>
        <w:t>first applicant</w:t>
      </w:r>
      <w:r w:rsidR="00E915EE" w:rsidRPr="00E915EE">
        <w:rPr>
          <w:rFonts w:eastAsia="Times New Roman"/>
          <w:lang w:val="en-US"/>
        </w:rPr>
        <w:t>’</w:t>
      </w:r>
      <w:r w:rsidR="00D852C8" w:rsidRPr="00E915EE">
        <w:rPr>
          <w:rFonts w:eastAsia="Times New Roman"/>
          <w:lang w:val="en-US"/>
        </w:rPr>
        <w:t xml:space="preserve">s </w:t>
      </w:r>
      <w:r w:rsidR="00733921" w:rsidRPr="00E915EE">
        <w:rPr>
          <w:rFonts w:eastAsia="Times New Roman"/>
          <w:lang w:val="en-US"/>
        </w:rPr>
        <w:t xml:space="preserve">three children, in compliance with </w:t>
      </w:r>
      <w:r w:rsidR="00733921" w:rsidRPr="00E915EE">
        <w:rPr>
          <w:rFonts w:eastAsia="Times New Roman"/>
          <w:lang w:val="en-US"/>
        </w:rPr>
        <w:lastRenderedPageBreak/>
        <w:t xml:space="preserve">obligations stemming from international law and from </w:t>
      </w:r>
      <w:r w:rsidR="003F49E0" w:rsidRPr="00E915EE">
        <w:rPr>
          <w:rFonts w:eastAsia="Times New Roman"/>
          <w:lang w:val="en-US"/>
        </w:rPr>
        <w:t xml:space="preserve">section 401(4) </w:t>
      </w:r>
      <w:r w:rsidR="00733921" w:rsidRPr="00E915EE">
        <w:rPr>
          <w:rFonts w:eastAsia="Times New Roman"/>
          <w:lang w:val="en-US"/>
        </w:rPr>
        <w:t>of the 2013 Act (see paragraphs 36 and 4</w:t>
      </w:r>
      <w:r w:rsidR="007579F6" w:rsidRPr="00E915EE">
        <w:rPr>
          <w:rFonts w:eastAsia="Times New Roman"/>
          <w:lang w:val="en-US"/>
        </w:rPr>
        <w:t>2</w:t>
      </w:r>
      <w:r w:rsidR="00733921" w:rsidRPr="00E915EE">
        <w:rPr>
          <w:rFonts w:eastAsia="Times New Roman"/>
          <w:lang w:val="en-US"/>
        </w:rPr>
        <w:t xml:space="preserve"> above).</w:t>
      </w:r>
    </w:p>
    <w:p w:rsidR="005766EE" w:rsidRPr="00E915EE" w:rsidRDefault="003B6FB7"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87</w:t>
      </w:r>
      <w:r w:rsidRPr="00E915EE">
        <w:rPr>
          <w:rFonts w:eastAsia="Times New Roman"/>
          <w:lang w:val="en-US"/>
        </w:rPr>
        <w:fldChar w:fldCharType="end"/>
      </w:r>
      <w:r w:rsidRPr="00E915EE">
        <w:rPr>
          <w:rFonts w:eastAsia="Times New Roman"/>
          <w:lang w:val="en-US"/>
        </w:rPr>
        <w:t>.  </w:t>
      </w:r>
      <w:r w:rsidR="005766EE" w:rsidRPr="00E915EE">
        <w:rPr>
          <w:rFonts w:eastAsia="Times New Roman"/>
          <w:lang w:val="en-US"/>
        </w:rPr>
        <w:t>Lastly, the Court observes that the applicants</w:t>
      </w:r>
      <w:r w:rsidR="00E915EE" w:rsidRPr="00E915EE">
        <w:rPr>
          <w:rFonts w:eastAsia="Times New Roman"/>
          <w:lang w:val="en-US"/>
        </w:rPr>
        <w:t>’</w:t>
      </w:r>
      <w:r w:rsidR="005766EE" w:rsidRPr="00E915EE">
        <w:rPr>
          <w:rFonts w:eastAsia="Times New Roman"/>
          <w:lang w:val="en-US"/>
        </w:rPr>
        <w:t xml:space="preserve"> administrative detention lasted five months and twenty days, which is many times longer than in the reference cases against France (see, </w:t>
      </w:r>
      <w:r w:rsidR="00552CEC" w:rsidRPr="00E915EE">
        <w:rPr>
          <w:rFonts w:eastAsia="Times New Roman"/>
          <w:lang w:val="en-US"/>
        </w:rPr>
        <w:t>fifteen</w:t>
      </w:r>
      <w:r w:rsidR="005766EE" w:rsidRPr="00E915EE">
        <w:rPr>
          <w:rFonts w:eastAsia="Times New Roman"/>
          <w:lang w:val="en-US"/>
        </w:rPr>
        <w:t xml:space="preserve"> days in </w:t>
      </w:r>
      <w:r w:rsidR="005766EE" w:rsidRPr="00E915EE">
        <w:rPr>
          <w:rFonts w:eastAsia="Times New Roman"/>
          <w:i/>
          <w:lang w:val="en-US"/>
        </w:rPr>
        <w:t>Popov</w:t>
      </w:r>
      <w:r w:rsidR="005766EE" w:rsidRPr="00E915EE">
        <w:rPr>
          <w:rFonts w:eastAsia="Times New Roman"/>
          <w:lang w:val="en-US"/>
        </w:rPr>
        <w:t xml:space="preserve">; </w:t>
      </w:r>
      <w:r w:rsidR="00552CEC" w:rsidRPr="00E915EE">
        <w:rPr>
          <w:rFonts w:eastAsia="Times New Roman"/>
          <w:lang w:val="en-US"/>
        </w:rPr>
        <w:t>eighteen</w:t>
      </w:r>
      <w:r w:rsidR="005766EE" w:rsidRPr="00E915EE">
        <w:rPr>
          <w:rFonts w:eastAsia="Times New Roman"/>
          <w:lang w:val="en-US"/>
        </w:rPr>
        <w:t xml:space="preserve"> days in </w:t>
      </w:r>
      <w:r w:rsidR="005766EE" w:rsidRPr="00E915EE">
        <w:rPr>
          <w:rFonts w:eastAsia="Times New Roman"/>
          <w:i/>
          <w:iCs/>
          <w:lang w:val="en-US"/>
        </w:rPr>
        <w:t>A.B. and Others v. France</w:t>
      </w:r>
      <w:r w:rsidR="005766EE" w:rsidRPr="00E915EE">
        <w:rPr>
          <w:rFonts w:eastAsia="Times New Roman"/>
          <w:lang w:val="en-US"/>
        </w:rPr>
        <w:t xml:space="preserve">; </w:t>
      </w:r>
      <w:r w:rsidR="00A63F30" w:rsidRPr="00E915EE">
        <w:rPr>
          <w:rFonts w:eastAsia="Times New Roman"/>
          <w:lang w:val="en-US"/>
        </w:rPr>
        <w:t xml:space="preserve">ten days in </w:t>
      </w:r>
      <w:r w:rsidR="005B1B26" w:rsidRPr="00E915EE">
        <w:rPr>
          <w:rFonts w:eastAsia="Times New Roman"/>
          <w:i/>
          <w:lang w:val="en-US"/>
        </w:rPr>
        <w:t>R.C. and V.C. v. </w:t>
      </w:r>
      <w:r w:rsidR="00A63F30" w:rsidRPr="00E915EE">
        <w:rPr>
          <w:rFonts w:eastAsia="Times New Roman"/>
          <w:i/>
          <w:lang w:val="en-US"/>
        </w:rPr>
        <w:t>France</w:t>
      </w:r>
      <w:r w:rsidR="00A63F30" w:rsidRPr="00E915EE">
        <w:rPr>
          <w:rFonts w:eastAsia="Times New Roman"/>
          <w:lang w:val="en-US"/>
        </w:rPr>
        <w:t xml:space="preserve">, </w:t>
      </w:r>
      <w:r w:rsidR="005766EE" w:rsidRPr="00E915EE">
        <w:rPr>
          <w:rFonts w:eastAsia="Times New Roman"/>
          <w:lang w:val="en-US"/>
        </w:rPr>
        <w:t xml:space="preserve">and </w:t>
      </w:r>
      <w:r w:rsidR="00552CEC" w:rsidRPr="00E915EE">
        <w:rPr>
          <w:rFonts w:eastAsia="Times New Roman"/>
          <w:lang w:val="en-US"/>
        </w:rPr>
        <w:t>nine</w:t>
      </w:r>
      <w:r w:rsidR="005766EE" w:rsidRPr="00E915EE">
        <w:rPr>
          <w:rFonts w:eastAsia="Times New Roman"/>
          <w:lang w:val="en-US"/>
        </w:rPr>
        <w:t xml:space="preserve"> days in </w:t>
      </w:r>
      <w:r w:rsidR="005766EE" w:rsidRPr="00E915EE">
        <w:rPr>
          <w:rFonts w:eastAsia="Times New Roman"/>
          <w:i/>
          <w:lang w:val="en-US"/>
        </w:rPr>
        <w:t>R.K. and Others v. France</w:t>
      </w:r>
      <w:r w:rsidR="00486486" w:rsidRPr="00E915EE">
        <w:rPr>
          <w:rFonts w:eastAsia="Times New Roman"/>
          <w:lang w:val="en-US"/>
        </w:rPr>
        <w:t>;</w:t>
      </w:r>
      <w:r w:rsidR="00A63F30" w:rsidRPr="00E915EE">
        <w:rPr>
          <w:rFonts w:eastAsia="Times New Roman"/>
          <w:lang w:val="en-US"/>
        </w:rPr>
        <w:t xml:space="preserve"> </w:t>
      </w:r>
      <w:r w:rsidR="005766EE" w:rsidRPr="00E915EE">
        <w:rPr>
          <w:rFonts w:eastAsia="Times New Roman"/>
          <w:lang w:val="en-US"/>
        </w:rPr>
        <w:t xml:space="preserve">all cited above). </w:t>
      </w:r>
      <w:r w:rsidR="00FC45E6" w:rsidRPr="00E915EE">
        <w:rPr>
          <w:rFonts w:eastAsia="Times New Roman"/>
          <w:lang w:val="en-US"/>
        </w:rPr>
        <w:t>I</w:t>
      </w:r>
      <w:r w:rsidR="005766EE" w:rsidRPr="00E915EE">
        <w:rPr>
          <w:rFonts w:eastAsia="Times New Roman"/>
          <w:lang w:val="en-US"/>
        </w:rPr>
        <w:t xml:space="preserve">n that time, the authorities examined three appeals and two asylum applications lodged by </w:t>
      </w:r>
      <w:r w:rsidR="000575E7" w:rsidRPr="00E915EE">
        <w:rPr>
          <w:rFonts w:eastAsia="Times New Roman"/>
          <w:lang w:val="en-US"/>
        </w:rPr>
        <w:t>the first applicant</w:t>
      </w:r>
      <w:r w:rsidR="005766EE" w:rsidRPr="00E915EE">
        <w:rPr>
          <w:rFonts w:eastAsia="Times New Roman"/>
          <w:lang w:val="en-US"/>
        </w:rPr>
        <w:t xml:space="preserve"> (see paragraphs 17, 19,</w:t>
      </w:r>
      <w:r w:rsidR="00B30003" w:rsidRPr="00E915EE">
        <w:rPr>
          <w:rFonts w:eastAsia="Times New Roman"/>
          <w:lang w:val="en-US"/>
        </w:rPr>
        <w:t xml:space="preserve"> </w:t>
      </w:r>
      <w:r w:rsidR="005766EE" w:rsidRPr="00E915EE">
        <w:rPr>
          <w:rFonts w:eastAsia="Times New Roman"/>
          <w:lang w:val="en-US"/>
        </w:rPr>
        <w:t>26, 27 and</w:t>
      </w:r>
      <w:r w:rsidR="00D9056D" w:rsidRPr="00E915EE">
        <w:rPr>
          <w:rFonts w:eastAsia="Times New Roman"/>
          <w:lang w:val="en-US"/>
        </w:rPr>
        <w:t> </w:t>
      </w:r>
      <w:r w:rsidR="005766EE" w:rsidRPr="00E915EE">
        <w:rPr>
          <w:rFonts w:eastAsia="Times New Roman"/>
          <w:lang w:val="en-US"/>
        </w:rPr>
        <w:t>30 above), carried out verification of the applicants</w:t>
      </w:r>
      <w:r w:rsidR="00E915EE" w:rsidRPr="00E915EE">
        <w:rPr>
          <w:rFonts w:eastAsia="Times New Roman"/>
          <w:lang w:val="en-US"/>
        </w:rPr>
        <w:t>’</w:t>
      </w:r>
      <w:r w:rsidR="005766EE" w:rsidRPr="00E915EE">
        <w:rPr>
          <w:rFonts w:eastAsia="Times New Roman"/>
          <w:lang w:val="en-US"/>
        </w:rPr>
        <w:t xml:space="preserve"> identity (see paragraph</w:t>
      </w:r>
      <w:r w:rsidR="001B7C93" w:rsidRPr="00E915EE">
        <w:rPr>
          <w:rFonts w:eastAsia="Times New Roman"/>
          <w:lang w:val="en-US"/>
        </w:rPr>
        <w:t> </w:t>
      </w:r>
      <w:r w:rsidR="005766EE" w:rsidRPr="00E915EE">
        <w:rPr>
          <w:rFonts w:eastAsia="Times New Roman"/>
          <w:lang w:val="en-US"/>
        </w:rPr>
        <w:t xml:space="preserve">20 above) and had </w:t>
      </w:r>
      <w:r w:rsidR="00D852C8" w:rsidRPr="00E915EE">
        <w:rPr>
          <w:rFonts w:eastAsia="Times New Roman"/>
          <w:lang w:val="en-US"/>
        </w:rPr>
        <w:t>first applicant</w:t>
      </w:r>
      <w:r w:rsidR="00E915EE" w:rsidRPr="00E915EE">
        <w:rPr>
          <w:rFonts w:eastAsia="Times New Roman"/>
          <w:lang w:val="en-US"/>
        </w:rPr>
        <w:t>’</w:t>
      </w:r>
      <w:r w:rsidR="00D852C8" w:rsidRPr="00E915EE">
        <w:rPr>
          <w:rFonts w:eastAsia="Times New Roman"/>
          <w:lang w:val="en-US"/>
        </w:rPr>
        <w:t xml:space="preserve">s </w:t>
      </w:r>
      <w:r w:rsidR="005766EE" w:rsidRPr="00E915EE">
        <w:rPr>
          <w:rFonts w:eastAsia="Times New Roman"/>
          <w:lang w:val="en-US"/>
        </w:rPr>
        <w:t>husband transferred back from Germany (see paragraph</w:t>
      </w:r>
      <w:r w:rsidR="005B1B26" w:rsidRPr="00E915EE">
        <w:rPr>
          <w:rFonts w:eastAsia="Times New Roman"/>
          <w:lang w:val="en-US"/>
        </w:rPr>
        <w:t> </w:t>
      </w:r>
      <w:r w:rsidR="005766EE" w:rsidRPr="00E915EE">
        <w:rPr>
          <w:rFonts w:eastAsia="Times New Roman"/>
          <w:lang w:val="en-US"/>
        </w:rPr>
        <w:t xml:space="preserve">23 above). </w:t>
      </w:r>
      <w:r w:rsidR="000A47B0" w:rsidRPr="00E915EE">
        <w:rPr>
          <w:rFonts w:eastAsia="Times New Roman"/>
          <w:lang w:val="en-US"/>
        </w:rPr>
        <w:t xml:space="preserve">Nevertheless, the Court </w:t>
      </w:r>
      <w:r w:rsidR="00FC45E6" w:rsidRPr="00E915EE">
        <w:rPr>
          <w:rFonts w:eastAsia="Times New Roman"/>
          <w:lang w:val="en-US"/>
        </w:rPr>
        <w:t xml:space="preserve">has to note </w:t>
      </w:r>
      <w:r w:rsidR="000A47B0" w:rsidRPr="00E915EE">
        <w:rPr>
          <w:rFonts w:eastAsia="Times New Roman"/>
          <w:lang w:val="en-US"/>
        </w:rPr>
        <w:t>that the examination of the asylum application lodge</w:t>
      </w:r>
      <w:r w:rsidR="006C65F9" w:rsidRPr="00E915EE">
        <w:rPr>
          <w:rFonts w:eastAsia="Times New Roman"/>
          <w:lang w:val="en-US"/>
        </w:rPr>
        <w:t>d</w:t>
      </w:r>
      <w:r w:rsidR="000A47B0" w:rsidRPr="00E915EE">
        <w:rPr>
          <w:rFonts w:eastAsia="Times New Roman"/>
          <w:lang w:val="en-US"/>
        </w:rPr>
        <w:t xml:space="preserve"> by the applicants on 28</w:t>
      </w:r>
      <w:r w:rsidR="001B7C93" w:rsidRPr="00E915EE">
        <w:rPr>
          <w:rFonts w:eastAsia="Times New Roman"/>
          <w:lang w:val="en-US"/>
        </w:rPr>
        <w:t> </w:t>
      </w:r>
      <w:r w:rsidR="000A47B0" w:rsidRPr="00E915EE">
        <w:rPr>
          <w:rFonts w:eastAsia="Times New Roman"/>
          <w:lang w:val="en-US"/>
        </w:rPr>
        <w:t xml:space="preserve">January 2014 took </w:t>
      </w:r>
      <w:r w:rsidR="00FC45E6" w:rsidRPr="00E915EE">
        <w:rPr>
          <w:rFonts w:eastAsia="Times New Roman"/>
          <w:lang w:val="en-US"/>
        </w:rPr>
        <w:t xml:space="preserve">more than two </w:t>
      </w:r>
      <w:r w:rsidR="000A47B0" w:rsidRPr="00E915EE">
        <w:rPr>
          <w:rFonts w:eastAsia="Times New Roman"/>
          <w:lang w:val="en-US"/>
        </w:rPr>
        <w:t>months</w:t>
      </w:r>
      <w:r w:rsidR="006C65F9" w:rsidRPr="00E915EE">
        <w:rPr>
          <w:rFonts w:eastAsia="Times New Roman"/>
          <w:lang w:val="en-US"/>
        </w:rPr>
        <w:t>,</w:t>
      </w:r>
      <w:r w:rsidR="000A47B0" w:rsidRPr="00E915EE">
        <w:rPr>
          <w:rFonts w:eastAsia="Times New Roman"/>
          <w:lang w:val="en-US"/>
        </w:rPr>
        <w:t xml:space="preserve"> </w:t>
      </w:r>
      <w:r w:rsidR="006C65F9" w:rsidRPr="00E915EE">
        <w:rPr>
          <w:rFonts w:eastAsia="Times New Roman"/>
          <w:lang w:val="en-US"/>
        </w:rPr>
        <w:t xml:space="preserve">ending </w:t>
      </w:r>
      <w:r w:rsidR="000A47B0" w:rsidRPr="00E915EE">
        <w:rPr>
          <w:rFonts w:eastAsia="Times New Roman"/>
          <w:lang w:val="en-US"/>
        </w:rPr>
        <w:t xml:space="preserve">with the decision </w:t>
      </w:r>
      <w:r w:rsidR="00FC45E6" w:rsidRPr="00E915EE">
        <w:rPr>
          <w:rFonts w:eastAsia="Times New Roman"/>
          <w:lang w:val="en-US"/>
        </w:rPr>
        <w:t>of 18</w:t>
      </w:r>
      <w:r w:rsidR="001B7C93" w:rsidRPr="00E915EE">
        <w:rPr>
          <w:rFonts w:eastAsia="Times New Roman"/>
          <w:lang w:val="en-US"/>
        </w:rPr>
        <w:t> </w:t>
      </w:r>
      <w:r w:rsidR="00FC45E6" w:rsidRPr="00E915EE">
        <w:rPr>
          <w:rFonts w:eastAsia="Times New Roman"/>
          <w:lang w:val="en-US"/>
        </w:rPr>
        <w:t>April 2014 to discontinue the proceedings (s</w:t>
      </w:r>
      <w:r w:rsidR="00486486" w:rsidRPr="00E915EE">
        <w:rPr>
          <w:rFonts w:eastAsia="Times New Roman"/>
          <w:lang w:val="en-US"/>
        </w:rPr>
        <w:t>ee paragraph</w:t>
      </w:r>
      <w:r w:rsidR="000A47B0" w:rsidRPr="00E915EE">
        <w:rPr>
          <w:rFonts w:eastAsia="Times New Roman"/>
          <w:lang w:val="en-US"/>
        </w:rPr>
        <w:t xml:space="preserve"> 24</w:t>
      </w:r>
      <w:r w:rsidR="00486486" w:rsidRPr="00E915EE">
        <w:rPr>
          <w:rFonts w:eastAsia="Times New Roman"/>
          <w:lang w:val="en-US"/>
        </w:rPr>
        <w:t xml:space="preserve"> above</w:t>
      </w:r>
      <w:r w:rsidR="000A47B0" w:rsidRPr="00E915EE">
        <w:rPr>
          <w:rFonts w:eastAsia="Times New Roman"/>
          <w:lang w:val="en-US"/>
        </w:rPr>
        <w:t>). Apparently the authorities remained inactive from that date until 2</w:t>
      </w:r>
      <w:r w:rsidR="008E75CC" w:rsidRPr="00E915EE">
        <w:rPr>
          <w:rFonts w:eastAsia="Times New Roman"/>
          <w:lang w:val="en-US"/>
        </w:rPr>
        <w:t> </w:t>
      </w:r>
      <w:r w:rsidR="000A47B0" w:rsidRPr="00E915EE">
        <w:rPr>
          <w:rFonts w:eastAsia="Times New Roman"/>
          <w:lang w:val="en-US"/>
        </w:rPr>
        <w:t xml:space="preserve">May </w:t>
      </w:r>
      <w:r w:rsidR="00FC45E6" w:rsidRPr="00E915EE">
        <w:rPr>
          <w:rFonts w:eastAsia="Times New Roman"/>
          <w:lang w:val="en-US"/>
        </w:rPr>
        <w:t xml:space="preserve">2014 </w:t>
      </w:r>
      <w:r w:rsidR="000A47B0" w:rsidRPr="00E915EE">
        <w:rPr>
          <w:rFonts w:eastAsia="Times New Roman"/>
          <w:lang w:val="en-US"/>
        </w:rPr>
        <w:t>when a new application for asylum was lodged</w:t>
      </w:r>
      <w:r w:rsidR="00376092" w:rsidRPr="00E915EE">
        <w:rPr>
          <w:rFonts w:eastAsia="Times New Roman"/>
          <w:lang w:val="en-US"/>
        </w:rPr>
        <w:t xml:space="preserve"> by the applicants</w:t>
      </w:r>
      <w:r w:rsidR="000A47B0" w:rsidRPr="00E915EE">
        <w:rPr>
          <w:rFonts w:eastAsia="Times New Roman"/>
          <w:lang w:val="en-US"/>
        </w:rPr>
        <w:t>. In this context, t</w:t>
      </w:r>
      <w:r w:rsidR="00D34ECC" w:rsidRPr="00E915EE">
        <w:rPr>
          <w:rFonts w:eastAsia="Times New Roman"/>
          <w:lang w:val="en-US"/>
        </w:rPr>
        <w:t>he Court is</w:t>
      </w:r>
      <w:r w:rsidR="005766EE" w:rsidRPr="00E915EE">
        <w:rPr>
          <w:rFonts w:eastAsia="Times New Roman"/>
          <w:lang w:val="en-US"/>
        </w:rPr>
        <w:t xml:space="preserve"> of the view that the detention of minors called for greater speed and diligence on the part of the authorities.</w:t>
      </w:r>
    </w:p>
    <w:p w:rsidR="00486486" w:rsidRPr="00E915EE" w:rsidRDefault="003B6FB7" w:rsidP="00E915EE">
      <w:pPr>
        <w:pStyle w:val="ECHRPara"/>
        <w:rPr>
          <w:rFonts w:eastAsia="Times New Roman"/>
          <w:lang w:val="en-US"/>
        </w:rPr>
      </w:pPr>
      <w:r w:rsidRPr="00E915EE">
        <w:rPr>
          <w:rFonts w:eastAsia="Times New Roman"/>
          <w:lang w:val="en-US"/>
        </w:rPr>
        <w:fldChar w:fldCharType="begin"/>
      </w:r>
      <w:r w:rsidRPr="00E915EE">
        <w:rPr>
          <w:rFonts w:eastAsia="Times New Roman"/>
          <w:lang w:val="en-US"/>
        </w:rPr>
        <w:instrText xml:space="preserve"> SEQ level0 \*arabic </w:instrText>
      </w:r>
      <w:r w:rsidRPr="00E915EE">
        <w:rPr>
          <w:rFonts w:eastAsia="Times New Roman"/>
          <w:lang w:val="en-US"/>
        </w:rPr>
        <w:fldChar w:fldCharType="separate"/>
      </w:r>
      <w:r w:rsidR="00E915EE" w:rsidRPr="00E915EE">
        <w:rPr>
          <w:rFonts w:eastAsia="Times New Roman"/>
          <w:noProof/>
          <w:lang w:val="en-US"/>
        </w:rPr>
        <w:t>88</w:t>
      </w:r>
      <w:r w:rsidRPr="00E915EE">
        <w:rPr>
          <w:rFonts w:eastAsia="Times New Roman"/>
          <w:lang w:val="en-US"/>
        </w:rPr>
        <w:fldChar w:fldCharType="end"/>
      </w:r>
      <w:r w:rsidRPr="00E915EE">
        <w:rPr>
          <w:rFonts w:eastAsia="Times New Roman"/>
          <w:lang w:val="en-US"/>
        </w:rPr>
        <w:t>.  </w:t>
      </w:r>
      <w:r w:rsidR="005766EE" w:rsidRPr="00E915EE">
        <w:rPr>
          <w:rFonts w:eastAsia="Times New Roman"/>
          <w:lang w:val="en-US"/>
        </w:rPr>
        <w:t xml:space="preserve">Accordingly, the Court finds that, </w:t>
      </w:r>
      <w:r w:rsidR="00D34ECC" w:rsidRPr="00E915EE">
        <w:rPr>
          <w:rFonts w:eastAsia="Times New Roman"/>
          <w:lang w:val="en-US"/>
        </w:rPr>
        <w:t>e</w:t>
      </w:r>
      <w:r w:rsidR="005766EE" w:rsidRPr="00E915EE">
        <w:rPr>
          <w:rFonts w:eastAsia="Times New Roman"/>
          <w:lang w:val="en-US"/>
        </w:rPr>
        <w:t xml:space="preserve">ven in the light of the risk that the family </w:t>
      </w:r>
      <w:r w:rsidR="006C65F9" w:rsidRPr="00E915EE">
        <w:rPr>
          <w:rFonts w:eastAsia="Times New Roman"/>
          <w:lang w:val="en-US"/>
        </w:rPr>
        <w:t xml:space="preserve">might </w:t>
      </w:r>
      <w:r w:rsidR="005766EE" w:rsidRPr="00E915EE">
        <w:rPr>
          <w:rFonts w:eastAsia="Times New Roman"/>
          <w:lang w:val="en-US"/>
        </w:rPr>
        <w:t xml:space="preserve">abscond, the </w:t>
      </w:r>
      <w:r w:rsidR="000A47B0" w:rsidRPr="00E915EE">
        <w:rPr>
          <w:rFonts w:eastAsia="Times New Roman"/>
          <w:lang w:val="en-US"/>
        </w:rPr>
        <w:t>authorities failed to provide sufficient reasons to justify the de</w:t>
      </w:r>
      <w:r w:rsidR="005766EE" w:rsidRPr="00E915EE">
        <w:rPr>
          <w:rFonts w:eastAsia="Times New Roman"/>
          <w:lang w:val="en-US"/>
        </w:rPr>
        <w:t xml:space="preserve">tention </w:t>
      </w:r>
      <w:r w:rsidR="000A47B0" w:rsidRPr="00E915EE">
        <w:rPr>
          <w:rFonts w:eastAsia="Times New Roman"/>
          <w:lang w:val="en-US"/>
        </w:rPr>
        <w:t xml:space="preserve">for </w:t>
      </w:r>
      <w:r w:rsidR="005766EE" w:rsidRPr="00E915EE">
        <w:rPr>
          <w:rFonts w:eastAsia="Times New Roman"/>
          <w:lang w:val="en-US"/>
        </w:rPr>
        <w:t xml:space="preserve">five months and twenty days in a secure centre, </w:t>
      </w:r>
      <w:r w:rsidR="000A47B0" w:rsidRPr="00E915EE">
        <w:rPr>
          <w:rFonts w:eastAsia="Times New Roman"/>
          <w:lang w:val="en-US"/>
        </w:rPr>
        <w:t xml:space="preserve">and as </w:t>
      </w:r>
      <w:r w:rsidR="006C65F9" w:rsidRPr="00E915EE">
        <w:rPr>
          <w:rFonts w:eastAsia="Times New Roman"/>
          <w:lang w:val="en-US"/>
        </w:rPr>
        <w:t xml:space="preserve">a </w:t>
      </w:r>
      <w:r w:rsidR="000A47B0" w:rsidRPr="00E915EE">
        <w:rPr>
          <w:rFonts w:eastAsia="Times New Roman"/>
          <w:lang w:val="en-US"/>
        </w:rPr>
        <w:t xml:space="preserve">result that there </w:t>
      </w:r>
      <w:r w:rsidR="005766EE" w:rsidRPr="00E915EE">
        <w:rPr>
          <w:rFonts w:eastAsia="Times New Roman"/>
          <w:lang w:val="en-US"/>
        </w:rPr>
        <w:t xml:space="preserve">has been a violation of Article 8 of the Convention (see </w:t>
      </w:r>
      <w:r w:rsidR="005766EE" w:rsidRPr="00E915EE">
        <w:rPr>
          <w:rFonts w:eastAsia="Times New Roman"/>
          <w:i/>
          <w:lang w:val="en-US"/>
        </w:rPr>
        <w:t>Popov</w:t>
      </w:r>
      <w:r w:rsidR="005766EE" w:rsidRPr="00E915EE">
        <w:rPr>
          <w:rFonts w:eastAsia="Times New Roman"/>
          <w:lang w:val="en-US"/>
        </w:rPr>
        <w:t xml:space="preserve">, cited above, § 148; </w:t>
      </w:r>
      <w:r w:rsidR="005766EE" w:rsidRPr="00E915EE">
        <w:rPr>
          <w:rFonts w:eastAsia="Times New Roman"/>
          <w:i/>
          <w:lang w:val="en-US"/>
        </w:rPr>
        <w:t>A.B. and Others v. France</w:t>
      </w:r>
      <w:r w:rsidR="008E75CC" w:rsidRPr="00E915EE">
        <w:rPr>
          <w:rFonts w:eastAsia="Times New Roman"/>
          <w:lang w:val="en-US"/>
        </w:rPr>
        <w:t>, cited above § </w:t>
      </w:r>
      <w:r w:rsidR="005766EE" w:rsidRPr="00E915EE">
        <w:rPr>
          <w:rFonts w:eastAsia="Times New Roman"/>
          <w:lang w:val="en-US"/>
        </w:rPr>
        <w:t xml:space="preserve">156; and </w:t>
      </w:r>
      <w:r w:rsidR="005766EE" w:rsidRPr="00E915EE">
        <w:rPr>
          <w:rFonts w:eastAsia="Times New Roman"/>
          <w:i/>
          <w:lang w:val="en-US"/>
        </w:rPr>
        <w:t>R.K. and Others v. France</w:t>
      </w:r>
      <w:r w:rsidR="005766EE" w:rsidRPr="00E915EE">
        <w:rPr>
          <w:rFonts w:eastAsia="Times New Roman"/>
          <w:lang w:val="en-US"/>
        </w:rPr>
        <w:t>, cited above, § 117).</w:t>
      </w:r>
    </w:p>
    <w:p w:rsidR="00740806" w:rsidRPr="00E915EE" w:rsidRDefault="00D9056D" w:rsidP="00E915EE">
      <w:pPr>
        <w:pStyle w:val="ECHRHeading1"/>
      </w:pPr>
      <w:r w:rsidRPr="00E915EE">
        <w:t>III.  </w:t>
      </w:r>
      <w:r w:rsidR="00740806" w:rsidRPr="00E915EE">
        <w:t>APPLICATION OF ARTICLE 41 OF THE CONVENTION</w:t>
      </w:r>
    </w:p>
    <w:p w:rsidR="00740806" w:rsidRPr="00E915EE" w:rsidRDefault="00740806" w:rsidP="00E915EE">
      <w:pPr>
        <w:pStyle w:val="ECHRPara"/>
      </w:pPr>
      <w:r w:rsidRPr="00E915EE">
        <w:fldChar w:fldCharType="begin"/>
      </w:r>
      <w:r w:rsidRPr="00E915EE">
        <w:instrText xml:space="preserve"> SEQ level0 \*arabic </w:instrText>
      </w:r>
      <w:r w:rsidRPr="00E915EE">
        <w:fldChar w:fldCharType="separate"/>
      </w:r>
      <w:r w:rsidR="00E915EE" w:rsidRPr="00E915EE">
        <w:rPr>
          <w:noProof/>
        </w:rPr>
        <w:t>89</w:t>
      </w:r>
      <w:r w:rsidRPr="00E915EE">
        <w:fldChar w:fldCharType="end"/>
      </w:r>
      <w:r w:rsidRPr="00E915EE">
        <w:t>.  Article 41 of the Convention provides:</w:t>
      </w:r>
    </w:p>
    <w:p w:rsidR="00740806" w:rsidRPr="00E915EE" w:rsidRDefault="00740806" w:rsidP="00E915EE">
      <w:pPr>
        <w:pStyle w:val="ECHRParaQuote"/>
        <w:keepNext/>
        <w:keepLines/>
      </w:pPr>
      <w:r w:rsidRPr="00E915E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740806" w:rsidRPr="00E915EE" w:rsidRDefault="00740806" w:rsidP="00E915EE">
      <w:pPr>
        <w:pStyle w:val="ECHRHeading2"/>
      </w:pPr>
      <w:r w:rsidRPr="00E915EE">
        <w:t>A.  Damage</w:t>
      </w:r>
    </w:p>
    <w:p w:rsidR="00740806" w:rsidRPr="00E915EE" w:rsidRDefault="00740806" w:rsidP="00E915EE">
      <w:pPr>
        <w:pStyle w:val="ECHRPara"/>
      </w:pPr>
      <w:r w:rsidRPr="00E915EE">
        <w:fldChar w:fldCharType="begin"/>
      </w:r>
      <w:r w:rsidRPr="00E915EE">
        <w:instrText xml:space="preserve"> SEQ level0 \*arabic </w:instrText>
      </w:r>
      <w:r w:rsidRPr="00E915EE">
        <w:fldChar w:fldCharType="separate"/>
      </w:r>
      <w:r w:rsidR="00E915EE" w:rsidRPr="00E915EE">
        <w:rPr>
          <w:noProof/>
        </w:rPr>
        <w:t>90</w:t>
      </w:r>
      <w:r w:rsidRPr="00E915EE">
        <w:fldChar w:fldCharType="end"/>
      </w:r>
      <w:r w:rsidRPr="00E915EE">
        <w:t>.  The applicant</w:t>
      </w:r>
      <w:r w:rsidR="009329BC" w:rsidRPr="00E915EE">
        <w:t>s</w:t>
      </w:r>
      <w:r w:rsidRPr="00E915EE">
        <w:t xml:space="preserve"> claimed 12,000 euros (EUR) in respect of </w:t>
      </w:r>
      <w:r w:rsidR="009329BC" w:rsidRPr="00E915EE">
        <w:t xml:space="preserve">non-pecuniary damage, stressing that their administrative detention was lengthy and that two of the children were of age to have an understanding of the </w:t>
      </w:r>
      <w:r w:rsidR="00A42479" w:rsidRPr="00E915EE">
        <w:t>situation giving rise to the violation in the present case and to suffer distress due to the detention measure imposed on the family.</w:t>
      </w:r>
    </w:p>
    <w:p w:rsidR="00740806" w:rsidRPr="00E915EE" w:rsidRDefault="00740806" w:rsidP="00E915EE">
      <w:pPr>
        <w:pStyle w:val="ECHRPara"/>
      </w:pPr>
      <w:r w:rsidRPr="00E915EE">
        <w:fldChar w:fldCharType="begin"/>
      </w:r>
      <w:r w:rsidRPr="00E915EE">
        <w:instrText xml:space="preserve"> SEQ level0 \*arabic </w:instrText>
      </w:r>
      <w:r w:rsidRPr="00E915EE">
        <w:fldChar w:fldCharType="separate"/>
      </w:r>
      <w:r w:rsidR="00E915EE" w:rsidRPr="00E915EE">
        <w:rPr>
          <w:noProof/>
        </w:rPr>
        <w:t>91</w:t>
      </w:r>
      <w:r w:rsidRPr="00E915EE">
        <w:fldChar w:fldCharType="end"/>
      </w:r>
      <w:r w:rsidRPr="00E915EE">
        <w:t xml:space="preserve">.  The Government argued that that claim was excessive in comparison to what the Court awarded in the cases of </w:t>
      </w:r>
      <w:r w:rsidRPr="00E915EE">
        <w:rPr>
          <w:i/>
          <w:lang w:val="en-US"/>
        </w:rPr>
        <w:t>Dagirat Dzhabrailova v. Poland</w:t>
      </w:r>
      <w:r w:rsidR="00D65A40" w:rsidRPr="00E915EE">
        <w:rPr>
          <w:lang w:val="en-US"/>
        </w:rPr>
        <w:t xml:space="preserve"> </w:t>
      </w:r>
      <w:r w:rsidR="00D65A40" w:rsidRPr="00E915EE">
        <w:rPr>
          <w:lang w:val="en-US"/>
        </w:rPr>
        <w:lastRenderedPageBreak/>
        <w:t>(friendly settlement)</w:t>
      </w:r>
      <w:r w:rsidRPr="00E915EE">
        <w:rPr>
          <w:lang w:val="en-US"/>
        </w:rPr>
        <w:t>, no. 78244/11</w:t>
      </w:r>
      <w:r w:rsidR="00D65A40" w:rsidRPr="00E915EE">
        <w:rPr>
          <w:lang w:val="en-US"/>
        </w:rPr>
        <w:t xml:space="preserve">, </w:t>
      </w:r>
      <w:r w:rsidRPr="00E915EE">
        <w:rPr>
          <w:lang w:val="en-US"/>
        </w:rPr>
        <w:t xml:space="preserve">9 </w:t>
      </w:r>
      <w:r w:rsidR="00D65A40" w:rsidRPr="00E915EE">
        <w:rPr>
          <w:lang w:val="en-US"/>
        </w:rPr>
        <w:t xml:space="preserve">September </w:t>
      </w:r>
      <w:r w:rsidRPr="00E915EE">
        <w:rPr>
          <w:lang w:val="en-US"/>
        </w:rPr>
        <w:t>2014</w:t>
      </w:r>
      <w:r w:rsidR="00D65A40" w:rsidRPr="00E915EE">
        <w:rPr>
          <w:lang w:val="en-US"/>
        </w:rPr>
        <w:t xml:space="preserve"> and</w:t>
      </w:r>
      <w:r w:rsidR="00D65A40" w:rsidRPr="00E915EE">
        <w:rPr>
          <w:i/>
        </w:rPr>
        <w:t xml:space="preserve"> Muskhadzhiyeva and Others v. Belgium</w:t>
      </w:r>
      <w:r w:rsidR="00D65A40" w:rsidRPr="00E915EE">
        <w:t>, no. 41442/07</w:t>
      </w:r>
      <w:r w:rsidR="00D65A40" w:rsidRPr="00E915EE">
        <w:rPr>
          <w:snapToGrid w:val="0"/>
        </w:rPr>
        <w:t>, 19 January 2010.</w:t>
      </w:r>
    </w:p>
    <w:p w:rsidR="00740806" w:rsidRPr="00E915EE" w:rsidRDefault="00740806" w:rsidP="00E915EE">
      <w:pPr>
        <w:pStyle w:val="ECHRPara"/>
      </w:pPr>
      <w:r w:rsidRPr="00E915EE">
        <w:fldChar w:fldCharType="begin"/>
      </w:r>
      <w:r w:rsidRPr="00E915EE">
        <w:rPr>
          <w:lang w:val="en-US"/>
        </w:rPr>
        <w:instrText xml:space="preserve"> SEQ level0 \*arabic </w:instrText>
      </w:r>
      <w:r w:rsidRPr="00E915EE">
        <w:fldChar w:fldCharType="separate"/>
      </w:r>
      <w:r w:rsidR="00E915EE" w:rsidRPr="00E915EE">
        <w:rPr>
          <w:noProof/>
          <w:lang w:val="en-US"/>
        </w:rPr>
        <w:t>92</w:t>
      </w:r>
      <w:r w:rsidRPr="00E915EE">
        <w:fldChar w:fldCharType="end"/>
      </w:r>
      <w:r w:rsidRPr="00E915EE">
        <w:t>.  The Court</w:t>
      </w:r>
      <w:r w:rsidR="00D65A40" w:rsidRPr="00E915EE">
        <w:t>, in view of the circumstances of this case</w:t>
      </w:r>
      <w:r w:rsidR="00B13AE3" w:rsidRPr="00E915EE">
        <w:t>, in particular the length of the applicants</w:t>
      </w:r>
      <w:r w:rsidR="00E915EE" w:rsidRPr="00E915EE">
        <w:t>’</w:t>
      </w:r>
      <w:r w:rsidR="00B13AE3" w:rsidRPr="00E915EE">
        <w:t xml:space="preserve"> detention,</w:t>
      </w:r>
      <w:r w:rsidR="00D65A40" w:rsidRPr="00E915EE">
        <w:t xml:space="preserve"> and in light of its </w:t>
      </w:r>
      <w:r w:rsidR="00B13AE3" w:rsidRPr="00E915EE">
        <w:t>practice</w:t>
      </w:r>
      <w:r w:rsidR="00D65A40" w:rsidRPr="00E915EE">
        <w:t>,</w:t>
      </w:r>
      <w:r w:rsidRPr="00E915EE">
        <w:t xml:space="preserve"> awards </w:t>
      </w:r>
      <w:r w:rsidR="00A42479" w:rsidRPr="00E915EE">
        <w:t>jointly to all four</w:t>
      </w:r>
      <w:r w:rsidRPr="00E915EE">
        <w:t xml:space="preserve"> applicant</w:t>
      </w:r>
      <w:r w:rsidR="00A42479" w:rsidRPr="00E915EE">
        <w:t>s</w:t>
      </w:r>
      <w:r w:rsidRPr="00E915EE">
        <w:t xml:space="preserve"> EUR </w:t>
      </w:r>
      <w:r w:rsidR="00B13AE3" w:rsidRPr="00E915EE">
        <w:t>12,000</w:t>
      </w:r>
      <w:r w:rsidRPr="00E915EE">
        <w:t xml:space="preserve"> in respect of non-pecuniary damage.</w:t>
      </w:r>
    </w:p>
    <w:p w:rsidR="00740806" w:rsidRPr="00E915EE" w:rsidRDefault="00740806" w:rsidP="00E915EE">
      <w:pPr>
        <w:pStyle w:val="ECHRHeading2"/>
      </w:pPr>
      <w:r w:rsidRPr="00E915EE">
        <w:t>B.  Costs and expenses</w:t>
      </w:r>
    </w:p>
    <w:p w:rsidR="00740806" w:rsidRPr="00E915EE" w:rsidRDefault="00740806" w:rsidP="00E915EE">
      <w:pPr>
        <w:pStyle w:val="ECHRPara"/>
      </w:pPr>
      <w:r w:rsidRPr="00E915EE">
        <w:fldChar w:fldCharType="begin"/>
      </w:r>
      <w:r w:rsidRPr="00E915EE">
        <w:instrText xml:space="preserve"> SEQ level0 \*arabic </w:instrText>
      </w:r>
      <w:r w:rsidRPr="00E915EE">
        <w:fldChar w:fldCharType="separate"/>
      </w:r>
      <w:r w:rsidR="00E915EE" w:rsidRPr="00E915EE">
        <w:rPr>
          <w:noProof/>
        </w:rPr>
        <w:t>93</w:t>
      </w:r>
      <w:r w:rsidRPr="00E915EE">
        <w:fldChar w:fldCharType="end"/>
      </w:r>
      <w:r w:rsidRPr="00E915EE">
        <w:t>.  </w:t>
      </w:r>
      <w:r w:rsidR="00FE21FA" w:rsidRPr="00E915EE">
        <w:t>The applicants did not submit any claims under this head. The Court therefore makes no award.</w:t>
      </w:r>
    </w:p>
    <w:p w:rsidR="00740806" w:rsidRPr="00E915EE" w:rsidRDefault="00740806" w:rsidP="00E915EE">
      <w:pPr>
        <w:pStyle w:val="ECHRHeading2"/>
      </w:pPr>
      <w:r w:rsidRPr="00E915EE">
        <w:t>C.  Default interest</w:t>
      </w:r>
    </w:p>
    <w:p w:rsidR="005766EE" w:rsidRPr="00E915EE" w:rsidRDefault="00740806" w:rsidP="00E915EE">
      <w:pPr>
        <w:pStyle w:val="ECHRPara"/>
        <w:rPr>
          <w:rFonts w:ascii="Times New Roman" w:eastAsia="Times New Roman" w:hAnsi="Times New Roman" w:cs="Times New Roman"/>
        </w:rPr>
      </w:pPr>
      <w:r w:rsidRPr="00E915EE">
        <w:fldChar w:fldCharType="begin"/>
      </w:r>
      <w:r w:rsidRPr="00E915EE">
        <w:instrText xml:space="preserve"> SEQ level0 \*arabic </w:instrText>
      </w:r>
      <w:r w:rsidRPr="00E915EE">
        <w:fldChar w:fldCharType="separate"/>
      </w:r>
      <w:r w:rsidR="00E915EE" w:rsidRPr="00E915EE">
        <w:rPr>
          <w:noProof/>
        </w:rPr>
        <w:t>94</w:t>
      </w:r>
      <w:r w:rsidRPr="00E915EE">
        <w:fldChar w:fldCharType="end"/>
      </w:r>
      <w:r w:rsidRPr="00E915EE">
        <w:t>.  The Court considers it appropriate that the default interest rate should be based on the marginal lending rate of the European Central Bank, to which should be added three percentage points.</w:t>
      </w:r>
    </w:p>
    <w:p w:rsidR="005766EE" w:rsidRPr="00E915EE" w:rsidRDefault="005766EE" w:rsidP="00E915EE">
      <w:pPr>
        <w:pStyle w:val="ECHRTitle1"/>
        <w:spacing w:before="600"/>
        <w:rPr>
          <w:rFonts w:eastAsia="Times New Roman"/>
        </w:rPr>
      </w:pPr>
      <w:r w:rsidRPr="00E915EE">
        <w:rPr>
          <w:rFonts w:eastAsia="Times New Roman"/>
        </w:rPr>
        <w:t>FOR THESE REASONS, THE COURT, UNANIMOUSLY,</w:t>
      </w:r>
    </w:p>
    <w:p w:rsidR="005766EE" w:rsidRPr="00E915EE" w:rsidRDefault="005766EE" w:rsidP="00E915EE">
      <w:pPr>
        <w:pStyle w:val="JuList"/>
      </w:pPr>
      <w:r w:rsidRPr="00E915EE">
        <w:t>1.  </w:t>
      </w:r>
      <w:r w:rsidRPr="00E915EE">
        <w:rPr>
          <w:i/>
        </w:rPr>
        <w:t>Declares</w:t>
      </w:r>
      <w:r w:rsidR="008E75CC" w:rsidRPr="00E915EE">
        <w:rPr>
          <w:i/>
        </w:rPr>
        <w:t xml:space="preserve"> </w:t>
      </w:r>
      <w:r w:rsidRPr="00E915EE">
        <w:t>the complaint under Article 8 of the Convention admissible and the remainder of the application inadmissible;</w:t>
      </w:r>
    </w:p>
    <w:p w:rsidR="005766EE" w:rsidRPr="00E915EE" w:rsidRDefault="005766EE" w:rsidP="00E915EE">
      <w:pPr>
        <w:pStyle w:val="JuList"/>
      </w:pPr>
    </w:p>
    <w:p w:rsidR="00FE21FA" w:rsidRPr="00E915EE" w:rsidRDefault="005766EE" w:rsidP="00E915EE">
      <w:pPr>
        <w:pStyle w:val="JuList"/>
      </w:pPr>
      <w:r w:rsidRPr="00E915EE">
        <w:t>2.  </w:t>
      </w:r>
      <w:r w:rsidRPr="00E915EE">
        <w:rPr>
          <w:i/>
        </w:rPr>
        <w:t>Holds</w:t>
      </w:r>
      <w:r w:rsidRPr="00E915EE">
        <w:t xml:space="preserve"> </w:t>
      </w:r>
      <w:r w:rsidR="00FE21FA" w:rsidRPr="00E915EE">
        <w:t>that there has been a</w:t>
      </w:r>
      <w:r w:rsidRPr="00E915EE">
        <w:t xml:space="preserve"> violation of Article 8 of the Convention.</w:t>
      </w:r>
    </w:p>
    <w:p w:rsidR="00FE21FA" w:rsidRPr="00E915EE" w:rsidRDefault="00FE21FA" w:rsidP="00E915EE">
      <w:pPr>
        <w:pStyle w:val="JuList"/>
      </w:pPr>
    </w:p>
    <w:p w:rsidR="00FE21FA" w:rsidRPr="00E915EE" w:rsidRDefault="008E75CC" w:rsidP="00E915EE">
      <w:pPr>
        <w:pStyle w:val="JuList"/>
        <w:rPr>
          <w:rFonts w:eastAsia="Times New Roman"/>
        </w:rPr>
      </w:pPr>
      <w:r w:rsidRPr="00E915EE">
        <w:t>3.  </w:t>
      </w:r>
      <w:r w:rsidR="00FE21FA" w:rsidRPr="00E915EE">
        <w:rPr>
          <w:i/>
        </w:rPr>
        <w:t>Holds</w:t>
      </w:r>
    </w:p>
    <w:p w:rsidR="003D79D4" w:rsidRPr="00E915EE" w:rsidRDefault="0032770C" w:rsidP="00E915EE">
      <w:pPr>
        <w:pStyle w:val="JuLista"/>
      </w:pPr>
      <w:r w:rsidRPr="00E915EE">
        <w:rPr>
          <w:rFonts w:eastAsiaTheme="majorEastAsia"/>
        </w:rPr>
        <w:t>(a)  </w:t>
      </w:r>
      <w:r w:rsidR="00FE21FA" w:rsidRPr="00E915EE">
        <w:rPr>
          <w:rFonts w:eastAsiaTheme="majorEastAsia"/>
        </w:rPr>
        <w:t>that the respondent State is to pay the applicants</w:t>
      </w:r>
      <w:r w:rsidR="00D852C8" w:rsidRPr="00E915EE">
        <w:rPr>
          <w:rFonts w:eastAsiaTheme="majorEastAsia"/>
        </w:rPr>
        <w:t xml:space="preserve"> jointly</w:t>
      </w:r>
      <w:r w:rsidR="00FE21FA" w:rsidRPr="00E915EE">
        <w:rPr>
          <w:rFonts w:eastAsiaTheme="majorEastAsia"/>
        </w:rPr>
        <w:t xml:space="preserve">, </w:t>
      </w:r>
      <w:r w:rsidR="006041E6" w:rsidRPr="00E915EE">
        <w:t xml:space="preserve">within three months </w:t>
      </w:r>
      <w:r w:rsidR="006041E6" w:rsidRPr="00E915EE">
        <w:rPr>
          <w:rFonts w:eastAsiaTheme="majorEastAsia"/>
        </w:rPr>
        <w:t xml:space="preserve">from the date on which the judgment becomes final in accordance with Article 44 § 2 of the Convention, </w:t>
      </w:r>
      <w:r w:rsidR="00FE21FA" w:rsidRPr="00E915EE">
        <w:rPr>
          <w:rFonts w:eastAsiaTheme="majorEastAsia"/>
        </w:rPr>
        <w:t xml:space="preserve">EUR 12,000 (twelve thousand </w:t>
      </w:r>
      <w:r w:rsidR="006041E6" w:rsidRPr="00E915EE">
        <w:rPr>
          <w:rFonts w:eastAsiaTheme="majorEastAsia"/>
        </w:rPr>
        <w:t>euros)</w:t>
      </w:r>
      <w:r w:rsidR="003D79D4" w:rsidRPr="00E915EE">
        <w:t xml:space="preserve"> </w:t>
      </w:r>
      <w:r w:rsidR="003D79D4" w:rsidRPr="00E915EE">
        <w:rPr>
          <w:rFonts w:eastAsiaTheme="majorEastAsia"/>
        </w:rPr>
        <w:t>in respect of non-pecuniary damage,</w:t>
      </w:r>
      <w:r w:rsidR="003D79D4" w:rsidRPr="00E915EE">
        <w:t xml:space="preserve"> </w:t>
      </w:r>
      <w:r w:rsidR="00FE21FA" w:rsidRPr="00E915EE">
        <w:rPr>
          <w:rFonts w:eastAsiaTheme="majorEastAsia"/>
        </w:rPr>
        <w:t xml:space="preserve">plus any tax that may be chargeable on that amount, </w:t>
      </w:r>
      <w:r w:rsidR="003D79D4" w:rsidRPr="00E915EE">
        <w:rPr>
          <w:rFonts w:eastAsiaTheme="majorEastAsia"/>
        </w:rPr>
        <w:t>to be converted into the currency of the respondent State at the rate applicable at the date of settlement</w:t>
      </w:r>
      <w:r w:rsidR="001B38E6" w:rsidRPr="00E915EE">
        <w:rPr>
          <w:rFonts w:eastAsiaTheme="majorEastAsia"/>
        </w:rPr>
        <w:t>;</w:t>
      </w:r>
    </w:p>
    <w:p w:rsidR="00FE21FA" w:rsidRPr="00E915EE" w:rsidRDefault="0032770C" w:rsidP="00E915EE">
      <w:pPr>
        <w:pStyle w:val="JuLista"/>
      </w:pPr>
      <w:r w:rsidRPr="00E915EE">
        <w:rPr>
          <w:rFonts w:eastAsiaTheme="majorEastAsia"/>
        </w:rPr>
        <w:t>(b)  </w:t>
      </w:r>
      <w:r w:rsidR="00FE21FA" w:rsidRPr="00E915EE">
        <w:rPr>
          <w:rFonts w:eastAsiaTheme="majorEastAsia"/>
        </w:rPr>
        <w:t>that from the expiry of the above-mentioned three months until settlement simple interest shall be payable on the above amount at a rate equal to the marginal lending rate of the European Central Bank during the default period plus three percentage points.</w:t>
      </w:r>
    </w:p>
    <w:p w:rsidR="005766EE" w:rsidRPr="00E915EE" w:rsidRDefault="005766EE" w:rsidP="00E915EE">
      <w:pPr>
        <w:pStyle w:val="JuParaLast"/>
        <w:rPr>
          <w:rFonts w:eastAsia="Times New Roman"/>
        </w:rPr>
      </w:pPr>
      <w:r w:rsidRPr="00E915EE">
        <w:rPr>
          <w:rFonts w:eastAsia="Times New Roman"/>
        </w:rPr>
        <w:t xml:space="preserve">Done in English, and notified in writing on </w:t>
      </w:r>
      <w:r w:rsidR="008E75CC" w:rsidRPr="00E915EE">
        <w:rPr>
          <w:rFonts w:eastAsia="Times New Roman"/>
        </w:rPr>
        <w:t>10 April 2018</w:t>
      </w:r>
      <w:r w:rsidRPr="00E915EE">
        <w:rPr>
          <w:rFonts w:eastAsia="Times New Roman"/>
        </w:rPr>
        <w:t>, pursuant to Rule 77 §§ 2 and 3 of the Rules of Court.</w:t>
      </w:r>
    </w:p>
    <w:p w:rsidR="00D66544" w:rsidRPr="00E915EE" w:rsidRDefault="005766EE" w:rsidP="00E915EE">
      <w:pPr>
        <w:pStyle w:val="JuSigned"/>
        <w:spacing w:before="440"/>
        <w:rPr>
          <w:rFonts w:eastAsia="Times New Roman"/>
          <w:lang w:val="it-IT"/>
        </w:rPr>
      </w:pPr>
      <w:r w:rsidRPr="00E915EE">
        <w:rPr>
          <w:rFonts w:eastAsia="Times New Roman"/>
        </w:rPr>
        <w:tab/>
      </w:r>
      <w:r w:rsidRPr="00E915EE">
        <w:rPr>
          <w:rFonts w:eastAsia="Times New Roman"/>
          <w:lang w:val="it-IT"/>
        </w:rPr>
        <w:t>Marialena Tsirli</w:t>
      </w:r>
      <w:r w:rsidRPr="00E915EE">
        <w:rPr>
          <w:rFonts w:eastAsia="Times New Roman"/>
          <w:lang w:val="it-IT"/>
        </w:rPr>
        <w:tab/>
      </w:r>
      <w:r w:rsidR="00486486" w:rsidRPr="00E915EE">
        <w:rPr>
          <w:rFonts w:eastAsia="Times New Roman"/>
          <w:szCs w:val="24"/>
          <w:lang w:val="it-IT"/>
        </w:rPr>
        <w:t xml:space="preserve">Vincent </w:t>
      </w:r>
      <w:r w:rsidR="00D33A3A" w:rsidRPr="00E915EE">
        <w:rPr>
          <w:rFonts w:eastAsia="Times New Roman"/>
          <w:szCs w:val="24"/>
          <w:lang w:val="it-IT"/>
        </w:rPr>
        <w:t xml:space="preserve">A. </w:t>
      </w:r>
      <w:r w:rsidR="00C06F2B" w:rsidRPr="00E915EE">
        <w:rPr>
          <w:rFonts w:eastAsia="Times New Roman"/>
          <w:szCs w:val="24"/>
          <w:lang w:val="it-IT"/>
        </w:rPr>
        <w:t xml:space="preserve">De </w:t>
      </w:r>
      <w:r w:rsidR="00486486" w:rsidRPr="00E915EE">
        <w:rPr>
          <w:rFonts w:eastAsia="Times New Roman"/>
          <w:szCs w:val="24"/>
          <w:lang w:val="it-IT"/>
        </w:rPr>
        <w:t>Gaetano</w:t>
      </w:r>
      <w:r w:rsidRPr="00E915EE">
        <w:rPr>
          <w:rFonts w:eastAsia="Times New Roman"/>
          <w:szCs w:val="24"/>
          <w:lang w:val="it-IT"/>
        </w:rPr>
        <w:br/>
      </w:r>
      <w:r w:rsidRPr="00E915EE">
        <w:rPr>
          <w:rFonts w:eastAsia="Times New Roman"/>
          <w:lang w:val="it-IT"/>
        </w:rPr>
        <w:tab/>
      </w:r>
      <w:r w:rsidRPr="00E915EE">
        <w:rPr>
          <w:rFonts w:eastAsia="Times New Roman"/>
          <w:iCs/>
          <w:lang w:val="it-IT"/>
        </w:rPr>
        <w:t>Registrar</w:t>
      </w:r>
      <w:r w:rsidRPr="00E915EE">
        <w:rPr>
          <w:rFonts w:eastAsia="Times New Roman"/>
          <w:lang w:val="it-IT"/>
        </w:rPr>
        <w:tab/>
        <w:t>President</w:t>
      </w:r>
    </w:p>
    <w:p w:rsidR="00AC5B23" w:rsidRPr="00E915EE" w:rsidRDefault="00AC5B23" w:rsidP="00E915EE">
      <w:pPr>
        <w:pStyle w:val="JuParaLast"/>
        <w:spacing w:before="0"/>
        <w:rPr>
          <w:lang w:val="it-IT"/>
        </w:rPr>
      </w:pPr>
    </w:p>
    <w:sectPr w:rsidR="00AC5B23" w:rsidRPr="00E915EE" w:rsidSect="00D33A3A">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1FE" w:rsidRDefault="002B31FE" w:rsidP="005766EE">
      <w:r>
        <w:separator/>
      </w:r>
    </w:p>
  </w:endnote>
  <w:endnote w:type="continuationSeparator" w:id="0">
    <w:p w:rsidR="002B31FE" w:rsidRDefault="002B31FE" w:rsidP="00576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7F7" w:rsidRPr="00150BFA" w:rsidRDefault="005937F7" w:rsidP="005937F7">
    <w:pPr>
      <w:jc w:val="center"/>
    </w:pPr>
    <w:r>
      <w:rPr>
        <w:noProof/>
        <w:lang w:val="pl-PL" w:eastAsia="pl-PL"/>
      </w:rPr>
      <w:drawing>
        <wp:inline distT="0" distB="0" distL="0" distR="0" wp14:anchorId="05D19B84" wp14:editId="5547D6A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937F7" w:rsidRDefault="005937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1FE" w:rsidRDefault="002B31FE" w:rsidP="005766EE">
      <w:r>
        <w:separator/>
      </w:r>
    </w:p>
  </w:footnote>
  <w:footnote w:type="continuationSeparator" w:id="0">
    <w:p w:rsidR="002B31FE" w:rsidRDefault="002B31FE" w:rsidP="005766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7F7" w:rsidRPr="005937F7" w:rsidRDefault="005937F7" w:rsidP="005937F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7F7" w:rsidRPr="00A45145" w:rsidRDefault="005937F7" w:rsidP="005937F7">
    <w:pPr>
      <w:jc w:val="center"/>
    </w:pPr>
    <w:r>
      <w:rPr>
        <w:noProof/>
        <w:lang w:val="pl-PL" w:eastAsia="pl-PL"/>
      </w:rPr>
      <w:drawing>
        <wp:inline distT="0" distB="0" distL="0" distR="0" wp14:anchorId="7551E7E9" wp14:editId="623AD38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937F7" w:rsidRDefault="005937F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7F7" w:rsidRPr="0032676F" w:rsidRDefault="005937F7" w:rsidP="00816DA0">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3355F8">
      <w:rPr>
        <w:rStyle w:val="Numerstrony"/>
        <w:noProof/>
        <w:szCs w:val="18"/>
      </w:rPr>
      <w:t>16</w:t>
    </w:r>
    <w:r>
      <w:rPr>
        <w:rStyle w:val="Numerstrony"/>
        <w:szCs w:val="18"/>
      </w:rPr>
      <w:fldChar w:fldCharType="end"/>
    </w:r>
    <w:r w:rsidRPr="0032676F">
      <w:tab/>
    </w:r>
    <w:r>
      <w:t>BISTIEVA AND OTHERS v. POLAND</w:t>
    </w:r>
    <w:r w:rsidRPr="0032676F">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7F7" w:rsidRPr="0032676F" w:rsidRDefault="005937F7" w:rsidP="00816DA0">
    <w:pPr>
      <w:pStyle w:val="ECHRHeader"/>
    </w:pPr>
    <w:r w:rsidRPr="0032676F">
      <w:tab/>
    </w:r>
    <w:r>
      <w:t>BISTIEVA AND OTHERS v. POLAND</w:t>
    </w:r>
    <w:r w:rsidRPr="0032676F">
      <w:t xml:space="preserve"> </w:t>
    </w:r>
    <w:r>
      <w:t>JUDGMENT</w:t>
    </w:r>
    <w:r w:rsidRPr="0032676F">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3355F8">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lvlText w:val="%1."/>
      <w:lvlJc w:val="left"/>
      <w:pPr>
        <w:tabs>
          <w:tab w:val="num" w:pos="1492"/>
        </w:tabs>
        <w:ind w:left="1492" w:hanging="360"/>
      </w:pPr>
    </w:lvl>
  </w:abstractNum>
  <w:abstractNum w:abstractNumId="1">
    <w:nsid w:val="FFFFFF7D"/>
    <w:multiLevelType w:val="singleLevel"/>
    <w:tmpl w:val="23283F32"/>
    <w:lvl w:ilvl="0">
      <w:start w:val="1"/>
      <w:numFmt w:val="decimal"/>
      <w:lvlText w:val="%1."/>
      <w:lvlJc w:val="left"/>
      <w:pPr>
        <w:tabs>
          <w:tab w:val="num" w:pos="1209"/>
        </w:tabs>
        <w:ind w:left="1209" w:hanging="360"/>
      </w:pPr>
    </w:lvl>
  </w:abstractNum>
  <w:abstractNum w:abstractNumId="2">
    <w:nsid w:val="FFFFFF7E"/>
    <w:multiLevelType w:val="singleLevel"/>
    <w:tmpl w:val="2F369A7C"/>
    <w:lvl w:ilvl="0">
      <w:start w:val="1"/>
      <w:numFmt w:val="decimal"/>
      <w:lvlText w:val="%1."/>
      <w:lvlJc w:val="left"/>
      <w:pPr>
        <w:tabs>
          <w:tab w:val="num" w:pos="926"/>
        </w:tabs>
        <w:ind w:left="926" w:hanging="360"/>
      </w:pPr>
    </w:lvl>
  </w:abstractNum>
  <w:abstractNum w:abstractNumId="3">
    <w:nsid w:val="FFFFFF7F"/>
    <w:multiLevelType w:val="singleLevel"/>
    <w:tmpl w:val="3346880A"/>
    <w:lvl w:ilvl="0">
      <w:start w:val="1"/>
      <w:numFmt w:val="decimal"/>
      <w:lvlText w:val="%1."/>
      <w:lvlJc w:val="left"/>
      <w:pPr>
        <w:tabs>
          <w:tab w:val="num" w:pos="643"/>
        </w:tabs>
        <w:ind w:left="643" w:hanging="360"/>
      </w:pPr>
    </w:lvl>
  </w:abstractNum>
  <w:abstractNum w:abstractNumId="4">
    <w:nsid w:val="FFFFFF80"/>
    <w:multiLevelType w:val="singleLevel"/>
    <w:tmpl w:val="552A83E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227407A"/>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0CE31721"/>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7D5546B"/>
    <w:multiLevelType w:val="multilevel"/>
    <w:tmpl w:val="EAB0152A"/>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EAB0152A"/>
    <w:numStyleLink w:val="ECHRA1StyleList"/>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E4C3B6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3EE64282"/>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9">
    <w:nsid w:val="4333366E"/>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474B45CC"/>
    <w:multiLevelType w:val="multilevel"/>
    <w:tmpl w:val="886C1D44"/>
    <w:lvl w:ilvl="0">
      <w:start w:val="1"/>
      <w:numFmt w:val="bullet"/>
      <w:lvlText w:val=""/>
      <w:lvlJc w:val="left"/>
      <w:pPr>
        <w:tabs>
          <w:tab w:val="num" w:pos="964"/>
        </w:tabs>
        <w:ind w:left="964" w:hanging="397"/>
      </w:pPr>
      <w:rPr>
        <w:rFonts w:ascii="Wingdings" w:hAnsi="Wingdings" w:hint="default"/>
        <w:color w:val="0072BC" w:themeColor="background1"/>
      </w:rPr>
    </w:lvl>
    <w:lvl w:ilvl="1">
      <w:start w:val="1"/>
      <w:numFmt w:val="bullet"/>
      <w:lvlText w:val=""/>
      <w:lvlJc w:val="left"/>
      <w:pPr>
        <w:tabs>
          <w:tab w:val="num" w:pos="1191"/>
        </w:tabs>
        <w:ind w:left="1191" w:hanging="227"/>
      </w:pPr>
      <w:rPr>
        <w:rFonts w:ascii="Wingdings" w:hAnsi="Wingdings" w:hint="default"/>
        <w:color w:val="0072BC" w:themeColor="background1"/>
      </w:rPr>
    </w:lvl>
    <w:lvl w:ilvl="2">
      <w:start w:val="1"/>
      <w:numFmt w:val="bullet"/>
      <w:lvlText w:val=""/>
      <w:lvlJc w:val="left"/>
      <w:pPr>
        <w:tabs>
          <w:tab w:val="num" w:pos="1588"/>
        </w:tabs>
        <w:ind w:left="1588" w:hanging="397"/>
      </w:pPr>
      <w:rPr>
        <w:rFonts w:ascii="Wingdings" w:hAnsi="Wingdings" w:hint="default"/>
        <w:color w:val="7F7F7F" w:themeColor="text1" w:themeTint="80"/>
      </w:rPr>
    </w:lvl>
    <w:lvl w:ilvl="3">
      <w:start w:val="1"/>
      <w:numFmt w:val="bullet"/>
      <w:lvlText w:val=""/>
      <w:lvlJc w:val="left"/>
      <w:pPr>
        <w:tabs>
          <w:tab w:val="num" w:pos="1985"/>
        </w:tabs>
        <w:ind w:left="1985" w:hanging="397"/>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nsid w:val="510746C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6">
    <w:nsid w:val="73F438C5"/>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3"/>
  </w:num>
  <w:num w:numId="2">
    <w:abstractNumId w:val="24"/>
  </w:num>
  <w:num w:numId="3">
    <w:abstractNumId w:val="16"/>
  </w:num>
  <w:num w:numId="4">
    <w:abstractNumId w:val="20"/>
  </w:num>
  <w:num w:numId="5">
    <w:abstractNumId w:val="11"/>
  </w:num>
  <w:num w:numId="6">
    <w:abstractNumId w:val="17"/>
  </w:num>
  <w:num w:numId="7">
    <w:abstractNumId w:val="19"/>
  </w:num>
  <w:num w:numId="8">
    <w:abstractNumId w:val="18"/>
  </w:num>
  <w:num w:numId="9">
    <w:abstractNumId w:val="15"/>
  </w:num>
  <w:num w:numId="10">
    <w:abstractNumId w:val="26"/>
  </w:num>
  <w:num w:numId="11">
    <w:abstractNumId w:val="10"/>
  </w:num>
  <w:num w:numId="12">
    <w:abstractNumId w:val="25"/>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1"/>
  </w:num>
  <w:num w:numId="23">
    <w:abstractNumId w:val="22"/>
  </w:num>
  <w:num w:numId="24">
    <w:abstractNumId w:val="21"/>
  </w:num>
  <w:num w:numId="25">
    <w:abstractNumId w:val="21"/>
  </w:num>
  <w:num w:numId="26">
    <w:abstractNumId w:val="21"/>
  </w:num>
  <w:num w:numId="27">
    <w:abstractNumId w:val="21"/>
  </w:num>
  <w:num w:numId="28">
    <w:abstractNumId w:val="15"/>
  </w:num>
  <w:num w:numId="29">
    <w:abstractNumId w:val="22"/>
  </w:num>
  <w:num w:numId="30">
    <w:abstractNumId w:val="22"/>
  </w:num>
  <w:num w:numId="31">
    <w:abstractNumId w:val="22"/>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14"/>
  </w:num>
  <w:num w:numId="35">
    <w:abstractNumId w:val="12"/>
  </w:num>
  <w:num w:numId="36">
    <w:abstractNumId w:val="9"/>
  </w:num>
  <w:num w:numId="37">
    <w:abstractNumId w:val="28"/>
  </w:num>
  <w:num w:numId="38">
    <w:abstractNumId w:val="27"/>
  </w:num>
  <w:num w:numId="39">
    <w:abstractNumId w:val="27"/>
  </w:num>
  <w:num w:numId="40">
    <w:abstractNumId w:val="27"/>
  </w:num>
  <w:num w:numId="41">
    <w:abstractNumId w:val="27"/>
  </w:num>
  <w:num w:numId="42">
    <w:abstractNumId w:val="27"/>
  </w:num>
  <w:num w:numId="43">
    <w:abstractNumId w:val="27"/>
  </w:num>
  <w:num w:numId="44">
    <w:abstractNumId w:val="27"/>
  </w:num>
  <w:num w:numId="45">
    <w:abstractNumId w:val="27"/>
  </w:num>
  <w:num w:numId="46">
    <w:abstractNumId w:val="27"/>
  </w:num>
  <w:num w:numId="47">
    <w:abstractNumId w:val="27"/>
  </w:num>
  <w:num w:numId="48">
    <w:abstractNumId w:val="27"/>
  </w:num>
  <w:num w:numId="49">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6EE"/>
    <w:rsid w:val="000041F8"/>
    <w:rsid w:val="000042A8"/>
    <w:rsid w:val="00004308"/>
    <w:rsid w:val="00005BF0"/>
    <w:rsid w:val="00007154"/>
    <w:rsid w:val="00007DAD"/>
    <w:rsid w:val="000103AE"/>
    <w:rsid w:val="00011D69"/>
    <w:rsid w:val="00012AD3"/>
    <w:rsid w:val="00013658"/>
    <w:rsid w:val="00015C2D"/>
    <w:rsid w:val="00015F00"/>
    <w:rsid w:val="00022C1D"/>
    <w:rsid w:val="00034987"/>
    <w:rsid w:val="000379B5"/>
    <w:rsid w:val="00043196"/>
    <w:rsid w:val="000575E7"/>
    <w:rsid w:val="000602DF"/>
    <w:rsid w:val="00061B05"/>
    <w:rsid w:val="000632D5"/>
    <w:rsid w:val="000644EE"/>
    <w:rsid w:val="0006764A"/>
    <w:rsid w:val="00070658"/>
    <w:rsid w:val="00070827"/>
    <w:rsid w:val="000859F8"/>
    <w:rsid w:val="000925AD"/>
    <w:rsid w:val="000A24EB"/>
    <w:rsid w:val="000A47B0"/>
    <w:rsid w:val="000A552C"/>
    <w:rsid w:val="000B6923"/>
    <w:rsid w:val="000C5F3C"/>
    <w:rsid w:val="000C6DCC"/>
    <w:rsid w:val="000D47AA"/>
    <w:rsid w:val="000D523D"/>
    <w:rsid w:val="000D721F"/>
    <w:rsid w:val="000E069B"/>
    <w:rsid w:val="000E0E82"/>
    <w:rsid w:val="000E1DC5"/>
    <w:rsid w:val="000E223F"/>
    <w:rsid w:val="000E7484"/>
    <w:rsid w:val="000E7D45"/>
    <w:rsid w:val="000F7851"/>
    <w:rsid w:val="00104E23"/>
    <w:rsid w:val="00111B0C"/>
    <w:rsid w:val="00120A73"/>
    <w:rsid w:val="00120D6C"/>
    <w:rsid w:val="001216F6"/>
    <w:rsid w:val="0012262F"/>
    <w:rsid w:val="001257EC"/>
    <w:rsid w:val="00133D33"/>
    <w:rsid w:val="00134D64"/>
    <w:rsid w:val="00135A30"/>
    <w:rsid w:val="0013612C"/>
    <w:rsid w:val="00137FF6"/>
    <w:rsid w:val="00141650"/>
    <w:rsid w:val="00143C15"/>
    <w:rsid w:val="00156861"/>
    <w:rsid w:val="00156AB8"/>
    <w:rsid w:val="00162A12"/>
    <w:rsid w:val="00166530"/>
    <w:rsid w:val="0018068E"/>
    <w:rsid w:val="001832BD"/>
    <w:rsid w:val="001943B5"/>
    <w:rsid w:val="00195134"/>
    <w:rsid w:val="001A145B"/>
    <w:rsid w:val="001A5067"/>
    <w:rsid w:val="001A674C"/>
    <w:rsid w:val="001B38E6"/>
    <w:rsid w:val="001B3B24"/>
    <w:rsid w:val="001B7C93"/>
    <w:rsid w:val="001C0F98"/>
    <w:rsid w:val="001C2A42"/>
    <w:rsid w:val="001C477F"/>
    <w:rsid w:val="001C5B98"/>
    <w:rsid w:val="001D4442"/>
    <w:rsid w:val="001D4F0C"/>
    <w:rsid w:val="001D6118"/>
    <w:rsid w:val="001D63ED"/>
    <w:rsid w:val="001D7348"/>
    <w:rsid w:val="001E035B"/>
    <w:rsid w:val="001E0961"/>
    <w:rsid w:val="001E3EAE"/>
    <w:rsid w:val="001E6F32"/>
    <w:rsid w:val="001F2145"/>
    <w:rsid w:val="001F6262"/>
    <w:rsid w:val="001F67B0"/>
    <w:rsid w:val="001F7B3D"/>
    <w:rsid w:val="00205F9F"/>
    <w:rsid w:val="00210338"/>
    <w:rsid w:val="002115FC"/>
    <w:rsid w:val="002138A0"/>
    <w:rsid w:val="0021423C"/>
    <w:rsid w:val="00221C02"/>
    <w:rsid w:val="00230D00"/>
    <w:rsid w:val="00231DF7"/>
    <w:rsid w:val="00231FD1"/>
    <w:rsid w:val="002339E0"/>
    <w:rsid w:val="00233CF8"/>
    <w:rsid w:val="0023516A"/>
    <w:rsid w:val="0023575D"/>
    <w:rsid w:val="00237148"/>
    <w:rsid w:val="002378F4"/>
    <w:rsid w:val="0024222D"/>
    <w:rsid w:val="00244B0E"/>
    <w:rsid w:val="00244F6C"/>
    <w:rsid w:val="002532C5"/>
    <w:rsid w:val="00257D7E"/>
    <w:rsid w:val="00260C03"/>
    <w:rsid w:val="0026540E"/>
    <w:rsid w:val="0026599B"/>
    <w:rsid w:val="002670B2"/>
    <w:rsid w:val="00270161"/>
    <w:rsid w:val="00275123"/>
    <w:rsid w:val="002800ED"/>
    <w:rsid w:val="00280E78"/>
    <w:rsid w:val="00282240"/>
    <w:rsid w:val="002855E8"/>
    <w:rsid w:val="00287305"/>
    <w:rsid w:val="002948AD"/>
    <w:rsid w:val="00295968"/>
    <w:rsid w:val="002A01CC"/>
    <w:rsid w:val="002A61B1"/>
    <w:rsid w:val="002A663C"/>
    <w:rsid w:val="002B31FE"/>
    <w:rsid w:val="002B444B"/>
    <w:rsid w:val="002B5887"/>
    <w:rsid w:val="002C0692"/>
    <w:rsid w:val="002C0E27"/>
    <w:rsid w:val="002C3040"/>
    <w:rsid w:val="002D022D"/>
    <w:rsid w:val="002D24BB"/>
    <w:rsid w:val="002D5ABD"/>
    <w:rsid w:val="002F2AF7"/>
    <w:rsid w:val="002F51A2"/>
    <w:rsid w:val="002F7E1C"/>
    <w:rsid w:val="00301A75"/>
    <w:rsid w:val="00302F70"/>
    <w:rsid w:val="0030336F"/>
    <w:rsid w:val="0030375E"/>
    <w:rsid w:val="00312A30"/>
    <w:rsid w:val="00316F9C"/>
    <w:rsid w:val="00320F3F"/>
    <w:rsid w:val="00320F72"/>
    <w:rsid w:val="00323475"/>
    <w:rsid w:val="0032463E"/>
    <w:rsid w:val="00326224"/>
    <w:rsid w:val="00326B4E"/>
    <w:rsid w:val="0032770C"/>
    <w:rsid w:val="003355F8"/>
    <w:rsid w:val="00337EE4"/>
    <w:rsid w:val="00340FFD"/>
    <w:rsid w:val="003412B5"/>
    <w:rsid w:val="003506B1"/>
    <w:rsid w:val="00350FD8"/>
    <w:rsid w:val="0035582F"/>
    <w:rsid w:val="00356AC7"/>
    <w:rsid w:val="003609FA"/>
    <w:rsid w:val="003710C8"/>
    <w:rsid w:val="003750BE"/>
    <w:rsid w:val="00376092"/>
    <w:rsid w:val="003770DE"/>
    <w:rsid w:val="00387B9D"/>
    <w:rsid w:val="0039364F"/>
    <w:rsid w:val="00396686"/>
    <w:rsid w:val="0039778E"/>
    <w:rsid w:val="003B1608"/>
    <w:rsid w:val="003B4941"/>
    <w:rsid w:val="003B6FB7"/>
    <w:rsid w:val="003C5714"/>
    <w:rsid w:val="003C6B9F"/>
    <w:rsid w:val="003C6E2A"/>
    <w:rsid w:val="003D0299"/>
    <w:rsid w:val="003D103D"/>
    <w:rsid w:val="003D79D4"/>
    <w:rsid w:val="003E6D80"/>
    <w:rsid w:val="003F05FA"/>
    <w:rsid w:val="003F244A"/>
    <w:rsid w:val="003F30B8"/>
    <w:rsid w:val="003F49E0"/>
    <w:rsid w:val="003F4C45"/>
    <w:rsid w:val="003F5F7B"/>
    <w:rsid w:val="003F7854"/>
    <w:rsid w:val="003F7D64"/>
    <w:rsid w:val="00414300"/>
    <w:rsid w:val="00425C67"/>
    <w:rsid w:val="00426AA8"/>
    <w:rsid w:val="00427E7A"/>
    <w:rsid w:val="004336F7"/>
    <w:rsid w:val="00436C49"/>
    <w:rsid w:val="00445366"/>
    <w:rsid w:val="00447F5B"/>
    <w:rsid w:val="004559A8"/>
    <w:rsid w:val="00461DB0"/>
    <w:rsid w:val="00463926"/>
    <w:rsid w:val="00464C9A"/>
    <w:rsid w:val="00467807"/>
    <w:rsid w:val="00471989"/>
    <w:rsid w:val="00474F3D"/>
    <w:rsid w:val="00477E3A"/>
    <w:rsid w:val="00483E5F"/>
    <w:rsid w:val="00485FF9"/>
    <w:rsid w:val="00486486"/>
    <w:rsid w:val="004907F0"/>
    <w:rsid w:val="0049140B"/>
    <w:rsid w:val="004923A5"/>
    <w:rsid w:val="00496BFB"/>
    <w:rsid w:val="004A15C7"/>
    <w:rsid w:val="004B013B"/>
    <w:rsid w:val="004B112B"/>
    <w:rsid w:val="004B4733"/>
    <w:rsid w:val="004C01E4"/>
    <w:rsid w:val="004C086C"/>
    <w:rsid w:val="004C1F56"/>
    <w:rsid w:val="004C27BC"/>
    <w:rsid w:val="004C2A08"/>
    <w:rsid w:val="004C2A91"/>
    <w:rsid w:val="004D15F3"/>
    <w:rsid w:val="004D1CF9"/>
    <w:rsid w:val="004D5311"/>
    <w:rsid w:val="004D5DCC"/>
    <w:rsid w:val="004F10AF"/>
    <w:rsid w:val="004F11A4"/>
    <w:rsid w:val="004F2389"/>
    <w:rsid w:val="004F304D"/>
    <w:rsid w:val="004F61BE"/>
    <w:rsid w:val="004F66B1"/>
    <w:rsid w:val="00500607"/>
    <w:rsid w:val="00511C07"/>
    <w:rsid w:val="005173A6"/>
    <w:rsid w:val="00520605"/>
    <w:rsid w:val="00520BAA"/>
    <w:rsid w:val="00525208"/>
    <w:rsid w:val="005257A5"/>
    <w:rsid w:val="005264C0"/>
    <w:rsid w:val="00526A8A"/>
    <w:rsid w:val="00531DF2"/>
    <w:rsid w:val="005442EE"/>
    <w:rsid w:val="00547353"/>
    <w:rsid w:val="005474E7"/>
    <w:rsid w:val="005512A3"/>
    <w:rsid w:val="00552CEC"/>
    <w:rsid w:val="005578CE"/>
    <w:rsid w:val="00562781"/>
    <w:rsid w:val="0057271C"/>
    <w:rsid w:val="00572845"/>
    <w:rsid w:val="005766EE"/>
    <w:rsid w:val="00580624"/>
    <w:rsid w:val="00587511"/>
    <w:rsid w:val="00591A3F"/>
    <w:rsid w:val="00592772"/>
    <w:rsid w:val="005937F7"/>
    <w:rsid w:val="0059574A"/>
    <w:rsid w:val="005A1B9B"/>
    <w:rsid w:val="005A6751"/>
    <w:rsid w:val="005B092E"/>
    <w:rsid w:val="005B152C"/>
    <w:rsid w:val="005B1B26"/>
    <w:rsid w:val="005B1EE0"/>
    <w:rsid w:val="005B21A0"/>
    <w:rsid w:val="005B2B24"/>
    <w:rsid w:val="005B4425"/>
    <w:rsid w:val="005B4B94"/>
    <w:rsid w:val="005C3EE8"/>
    <w:rsid w:val="005D34F9"/>
    <w:rsid w:val="005D4190"/>
    <w:rsid w:val="005D54D6"/>
    <w:rsid w:val="005D67A3"/>
    <w:rsid w:val="005E02FC"/>
    <w:rsid w:val="005E2988"/>
    <w:rsid w:val="005E3085"/>
    <w:rsid w:val="005F51E1"/>
    <w:rsid w:val="006041E6"/>
    <w:rsid w:val="00604FDA"/>
    <w:rsid w:val="00611C80"/>
    <w:rsid w:val="00620692"/>
    <w:rsid w:val="006242CA"/>
    <w:rsid w:val="006257C7"/>
    <w:rsid w:val="00627507"/>
    <w:rsid w:val="00633717"/>
    <w:rsid w:val="006344E1"/>
    <w:rsid w:val="006545C4"/>
    <w:rsid w:val="00660BEE"/>
    <w:rsid w:val="00661971"/>
    <w:rsid w:val="00661CE8"/>
    <w:rsid w:val="006623D9"/>
    <w:rsid w:val="0066491F"/>
    <w:rsid w:val="0066550C"/>
    <w:rsid w:val="006716F2"/>
    <w:rsid w:val="0067542C"/>
    <w:rsid w:val="00682BF2"/>
    <w:rsid w:val="006859CE"/>
    <w:rsid w:val="0069038E"/>
    <w:rsid w:val="00691270"/>
    <w:rsid w:val="00694BA8"/>
    <w:rsid w:val="006A037C"/>
    <w:rsid w:val="006A36F4"/>
    <w:rsid w:val="006A406F"/>
    <w:rsid w:val="006A5D3A"/>
    <w:rsid w:val="006C23D4"/>
    <w:rsid w:val="006C64C0"/>
    <w:rsid w:val="006C65F9"/>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33921"/>
    <w:rsid w:val="00737B28"/>
    <w:rsid w:val="00740806"/>
    <w:rsid w:val="00741404"/>
    <w:rsid w:val="007449E5"/>
    <w:rsid w:val="00747FF0"/>
    <w:rsid w:val="007579F6"/>
    <w:rsid w:val="00764D4E"/>
    <w:rsid w:val="00765A1F"/>
    <w:rsid w:val="00775B6D"/>
    <w:rsid w:val="00776D68"/>
    <w:rsid w:val="007850EE"/>
    <w:rsid w:val="00785B95"/>
    <w:rsid w:val="00790E96"/>
    <w:rsid w:val="00793366"/>
    <w:rsid w:val="007A716F"/>
    <w:rsid w:val="007B270A"/>
    <w:rsid w:val="007C0695"/>
    <w:rsid w:val="007C0F5C"/>
    <w:rsid w:val="007C419A"/>
    <w:rsid w:val="007C4CC8"/>
    <w:rsid w:val="007C5426"/>
    <w:rsid w:val="007C5798"/>
    <w:rsid w:val="007D4832"/>
    <w:rsid w:val="007E057D"/>
    <w:rsid w:val="007E21B2"/>
    <w:rsid w:val="007E254E"/>
    <w:rsid w:val="007E2C4E"/>
    <w:rsid w:val="007F1905"/>
    <w:rsid w:val="00800440"/>
    <w:rsid w:val="00801300"/>
    <w:rsid w:val="00801F92"/>
    <w:rsid w:val="008028D4"/>
    <w:rsid w:val="00802C64"/>
    <w:rsid w:val="00805E52"/>
    <w:rsid w:val="00805EF1"/>
    <w:rsid w:val="008061D0"/>
    <w:rsid w:val="00810B38"/>
    <w:rsid w:val="00816DA0"/>
    <w:rsid w:val="008204C7"/>
    <w:rsid w:val="00820992"/>
    <w:rsid w:val="00822146"/>
    <w:rsid w:val="00823602"/>
    <w:rsid w:val="008255F5"/>
    <w:rsid w:val="00825894"/>
    <w:rsid w:val="0083014E"/>
    <w:rsid w:val="0083214A"/>
    <w:rsid w:val="00834220"/>
    <w:rsid w:val="008359F3"/>
    <w:rsid w:val="00836383"/>
    <w:rsid w:val="00845723"/>
    <w:rsid w:val="00851EF9"/>
    <w:rsid w:val="008577FD"/>
    <w:rsid w:val="00860B03"/>
    <w:rsid w:val="0086497A"/>
    <w:rsid w:val="008713A1"/>
    <w:rsid w:val="008732FF"/>
    <w:rsid w:val="00875139"/>
    <w:rsid w:val="008754AB"/>
    <w:rsid w:val="0088060C"/>
    <w:rsid w:val="00893576"/>
    <w:rsid w:val="00893E73"/>
    <w:rsid w:val="008A0FF7"/>
    <w:rsid w:val="008A322D"/>
    <w:rsid w:val="008B02DC"/>
    <w:rsid w:val="008B383D"/>
    <w:rsid w:val="008B57CE"/>
    <w:rsid w:val="008C26DE"/>
    <w:rsid w:val="008D2225"/>
    <w:rsid w:val="008D4752"/>
    <w:rsid w:val="008D6B86"/>
    <w:rsid w:val="008E271C"/>
    <w:rsid w:val="008E418E"/>
    <w:rsid w:val="008E5BC6"/>
    <w:rsid w:val="008E6A25"/>
    <w:rsid w:val="008E75CC"/>
    <w:rsid w:val="008F2EBF"/>
    <w:rsid w:val="008F5193"/>
    <w:rsid w:val="009013A7"/>
    <w:rsid w:val="009017FB"/>
    <w:rsid w:val="009017FC"/>
    <w:rsid w:val="0090506B"/>
    <w:rsid w:val="009050C9"/>
    <w:rsid w:val="009066FC"/>
    <w:rsid w:val="009140A3"/>
    <w:rsid w:val="009144A2"/>
    <w:rsid w:val="0091510C"/>
    <w:rsid w:val="009259AC"/>
    <w:rsid w:val="00925CC4"/>
    <w:rsid w:val="00926F38"/>
    <w:rsid w:val="009329BC"/>
    <w:rsid w:val="00934301"/>
    <w:rsid w:val="00934CB5"/>
    <w:rsid w:val="00936CD1"/>
    <w:rsid w:val="00941747"/>
    <w:rsid w:val="00941EFB"/>
    <w:rsid w:val="00947AFB"/>
    <w:rsid w:val="00951D7D"/>
    <w:rsid w:val="009630C7"/>
    <w:rsid w:val="00972B55"/>
    <w:rsid w:val="009743B7"/>
    <w:rsid w:val="0098228B"/>
    <w:rsid w:val="009828DA"/>
    <w:rsid w:val="00985BAB"/>
    <w:rsid w:val="009A340E"/>
    <w:rsid w:val="009B1B5F"/>
    <w:rsid w:val="009B6673"/>
    <w:rsid w:val="009C191B"/>
    <w:rsid w:val="009C2BD6"/>
    <w:rsid w:val="009C7011"/>
    <w:rsid w:val="009D0118"/>
    <w:rsid w:val="009D611F"/>
    <w:rsid w:val="009E1F32"/>
    <w:rsid w:val="009E776C"/>
    <w:rsid w:val="00A117D4"/>
    <w:rsid w:val="00A14BFB"/>
    <w:rsid w:val="00A1726E"/>
    <w:rsid w:val="00A204CF"/>
    <w:rsid w:val="00A228C9"/>
    <w:rsid w:val="00A23D49"/>
    <w:rsid w:val="00A27004"/>
    <w:rsid w:val="00A30C29"/>
    <w:rsid w:val="00A34DD6"/>
    <w:rsid w:val="00A36819"/>
    <w:rsid w:val="00A36989"/>
    <w:rsid w:val="00A42479"/>
    <w:rsid w:val="00A43628"/>
    <w:rsid w:val="00A4386E"/>
    <w:rsid w:val="00A47389"/>
    <w:rsid w:val="00A54192"/>
    <w:rsid w:val="00A54E5B"/>
    <w:rsid w:val="00A6035E"/>
    <w:rsid w:val="00A6144C"/>
    <w:rsid w:val="00A63F30"/>
    <w:rsid w:val="00A66617"/>
    <w:rsid w:val="00A671F8"/>
    <w:rsid w:val="00A673A4"/>
    <w:rsid w:val="00A724AE"/>
    <w:rsid w:val="00A73329"/>
    <w:rsid w:val="00A75C70"/>
    <w:rsid w:val="00A82359"/>
    <w:rsid w:val="00A865D2"/>
    <w:rsid w:val="00A91944"/>
    <w:rsid w:val="00A94C20"/>
    <w:rsid w:val="00A95F98"/>
    <w:rsid w:val="00AA0F91"/>
    <w:rsid w:val="00AA227F"/>
    <w:rsid w:val="00AA3BC7"/>
    <w:rsid w:val="00AA754A"/>
    <w:rsid w:val="00AB099E"/>
    <w:rsid w:val="00AB4328"/>
    <w:rsid w:val="00AC5B23"/>
    <w:rsid w:val="00AC6A2C"/>
    <w:rsid w:val="00AD20D2"/>
    <w:rsid w:val="00AD2ADF"/>
    <w:rsid w:val="00AE0A1C"/>
    <w:rsid w:val="00AE0A2E"/>
    <w:rsid w:val="00AE1DCE"/>
    <w:rsid w:val="00AE354C"/>
    <w:rsid w:val="00AE561C"/>
    <w:rsid w:val="00AF4B07"/>
    <w:rsid w:val="00AF6186"/>
    <w:rsid w:val="00AF7A3A"/>
    <w:rsid w:val="00B13AE3"/>
    <w:rsid w:val="00B14157"/>
    <w:rsid w:val="00B160DB"/>
    <w:rsid w:val="00B16C8B"/>
    <w:rsid w:val="00B20836"/>
    <w:rsid w:val="00B20D88"/>
    <w:rsid w:val="00B235BB"/>
    <w:rsid w:val="00B2624C"/>
    <w:rsid w:val="00B27A44"/>
    <w:rsid w:val="00B30003"/>
    <w:rsid w:val="00B30BBF"/>
    <w:rsid w:val="00B33C03"/>
    <w:rsid w:val="00B356A3"/>
    <w:rsid w:val="00B44E56"/>
    <w:rsid w:val="00B46543"/>
    <w:rsid w:val="00B47D33"/>
    <w:rsid w:val="00B52BE0"/>
    <w:rsid w:val="00B54133"/>
    <w:rsid w:val="00B577BB"/>
    <w:rsid w:val="00B62C6E"/>
    <w:rsid w:val="00B65E65"/>
    <w:rsid w:val="00B701ED"/>
    <w:rsid w:val="00B72ED7"/>
    <w:rsid w:val="00B8086C"/>
    <w:rsid w:val="00B82B76"/>
    <w:rsid w:val="00B861B4"/>
    <w:rsid w:val="00B86DFE"/>
    <w:rsid w:val="00B90990"/>
    <w:rsid w:val="00B922FF"/>
    <w:rsid w:val="00B9281E"/>
    <w:rsid w:val="00B93925"/>
    <w:rsid w:val="00B95187"/>
    <w:rsid w:val="00BA2834"/>
    <w:rsid w:val="00BA2D55"/>
    <w:rsid w:val="00BA71B1"/>
    <w:rsid w:val="00BB0637"/>
    <w:rsid w:val="00BB345F"/>
    <w:rsid w:val="00BB34D2"/>
    <w:rsid w:val="00BB68EA"/>
    <w:rsid w:val="00BC1C27"/>
    <w:rsid w:val="00BC1E3B"/>
    <w:rsid w:val="00BC4A86"/>
    <w:rsid w:val="00BC57CB"/>
    <w:rsid w:val="00BC6BBF"/>
    <w:rsid w:val="00BD1572"/>
    <w:rsid w:val="00BD3A54"/>
    <w:rsid w:val="00BE14E3"/>
    <w:rsid w:val="00BE3774"/>
    <w:rsid w:val="00BE41E5"/>
    <w:rsid w:val="00BF4109"/>
    <w:rsid w:val="00BF4CC3"/>
    <w:rsid w:val="00C054C7"/>
    <w:rsid w:val="00C057B5"/>
    <w:rsid w:val="00C06F2B"/>
    <w:rsid w:val="00C20A83"/>
    <w:rsid w:val="00C22687"/>
    <w:rsid w:val="00C32E4D"/>
    <w:rsid w:val="00C333A0"/>
    <w:rsid w:val="00C36A81"/>
    <w:rsid w:val="00C41974"/>
    <w:rsid w:val="00C442A5"/>
    <w:rsid w:val="00C53F4A"/>
    <w:rsid w:val="00C54125"/>
    <w:rsid w:val="00C55B54"/>
    <w:rsid w:val="00C6098E"/>
    <w:rsid w:val="00C6152C"/>
    <w:rsid w:val="00C741E3"/>
    <w:rsid w:val="00C74810"/>
    <w:rsid w:val="00C87FDA"/>
    <w:rsid w:val="00C90D68"/>
    <w:rsid w:val="00C939FE"/>
    <w:rsid w:val="00CA4BDA"/>
    <w:rsid w:val="00CB1F66"/>
    <w:rsid w:val="00CB2951"/>
    <w:rsid w:val="00CB443D"/>
    <w:rsid w:val="00CD282B"/>
    <w:rsid w:val="00CD49AC"/>
    <w:rsid w:val="00CD4C35"/>
    <w:rsid w:val="00CD7369"/>
    <w:rsid w:val="00CE0B0E"/>
    <w:rsid w:val="00CE3831"/>
    <w:rsid w:val="00CF035F"/>
    <w:rsid w:val="00D00ABB"/>
    <w:rsid w:val="00D00CCC"/>
    <w:rsid w:val="00D02EEC"/>
    <w:rsid w:val="00D03551"/>
    <w:rsid w:val="00D06A63"/>
    <w:rsid w:val="00D06CA7"/>
    <w:rsid w:val="00D07E0E"/>
    <w:rsid w:val="00D11478"/>
    <w:rsid w:val="00D15ED0"/>
    <w:rsid w:val="00D21B3E"/>
    <w:rsid w:val="00D21FED"/>
    <w:rsid w:val="00D24251"/>
    <w:rsid w:val="00D2635A"/>
    <w:rsid w:val="00D263D9"/>
    <w:rsid w:val="00D33A3A"/>
    <w:rsid w:val="00D343E2"/>
    <w:rsid w:val="00D34ECC"/>
    <w:rsid w:val="00D361A2"/>
    <w:rsid w:val="00D44C2E"/>
    <w:rsid w:val="00D45414"/>
    <w:rsid w:val="00D566BD"/>
    <w:rsid w:val="00D57A4D"/>
    <w:rsid w:val="00D60AA7"/>
    <w:rsid w:val="00D6435F"/>
    <w:rsid w:val="00D65A40"/>
    <w:rsid w:val="00D66544"/>
    <w:rsid w:val="00D6727E"/>
    <w:rsid w:val="00D71671"/>
    <w:rsid w:val="00D75E28"/>
    <w:rsid w:val="00D772C2"/>
    <w:rsid w:val="00D8008E"/>
    <w:rsid w:val="00D82C45"/>
    <w:rsid w:val="00D84969"/>
    <w:rsid w:val="00D852C8"/>
    <w:rsid w:val="00D8635F"/>
    <w:rsid w:val="00D9056D"/>
    <w:rsid w:val="00D908A8"/>
    <w:rsid w:val="00D91DEE"/>
    <w:rsid w:val="00D977B6"/>
    <w:rsid w:val="00DA4A31"/>
    <w:rsid w:val="00DA7B04"/>
    <w:rsid w:val="00DB10CE"/>
    <w:rsid w:val="00DB36C2"/>
    <w:rsid w:val="00DC169B"/>
    <w:rsid w:val="00DC2AB9"/>
    <w:rsid w:val="00DC63F0"/>
    <w:rsid w:val="00DD6EE5"/>
    <w:rsid w:val="00DE386C"/>
    <w:rsid w:val="00DE3ACE"/>
    <w:rsid w:val="00DE4D35"/>
    <w:rsid w:val="00DF098B"/>
    <w:rsid w:val="00DF0E38"/>
    <w:rsid w:val="00DF11C4"/>
    <w:rsid w:val="00DF18A4"/>
    <w:rsid w:val="00DF210C"/>
    <w:rsid w:val="00DF4B6A"/>
    <w:rsid w:val="00DF6FFA"/>
    <w:rsid w:val="00E02C09"/>
    <w:rsid w:val="00E04D59"/>
    <w:rsid w:val="00E07BC4"/>
    <w:rsid w:val="00E07DA1"/>
    <w:rsid w:val="00E123CB"/>
    <w:rsid w:val="00E13DE7"/>
    <w:rsid w:val="00E20E13"/>
    <w:rsid w:val="00E21DBC"/>
    <w:rsid w:val="00E275D7"/>
    <w:rsid w:val="00E27DBE"/>
    <w:rsid w:val="00E32AB1"/>
    <w:rsid w:val="00E36C71"/>
    <w:rsid w:val="00E40404"/>
    <w:rsid w:val="00E459C6"/>
    <w:rsid w:val="00E47589"/>
    <w:rsid w:val="00E5262A"/>
    <w:rsid w:val="00E64915"/>
    <w:rsid w:val="00E661D4"/>
    <w:rsid w:val="00E70091"/>
    <w:rsid w:val="00E7091C"/>
    <w:rsid w:val="00E70A73"/>
    <w:rsid w:val="00E720F5"/>
    <w:rsid w:val="00E76D47"/>
    <w:rsid w:val="00E849F7"/>
    <w:rsid w:val="00E84AA5"/>
    <w:rsid w:val="00E90302"/>
    <w:rsid w:val="00E915EE"/>
    <w:rsid w:val="00E96366"/>
    <w:rsid w:val="00E97396"/>
    <w:rsid w:val="00EA185E"/>
    <w:rsid w:val="00EA592A"/>
    <w:rsid w:val="00EB14E4"/>
    <w:rsid w:val="00EB32A5"/>
    <w:rsid w:val="00EB34ED"/>
    <w:rsid w:val="00EB7BE0"/>
    <w:rsid w:val="00EC315E"/>
    <w:rsid w:val="00EC7A63"/>
    <w:rsid w:val="00ED077C"/>
    <w:rsid w:val="00ED1190"/>
    <w:rsid w:val="00ED5DFE"/>
    <w:rsid w:val="00ED6544"/>
    <w:rsid w:val="00EE0277"/>
    <w:rsid w:val="00EE3E00"/>
    <w:rsid w:val="00EE5DD2"/>
    <w:rsid w:val="00EF053D"/>
    <w:rsid w:val="00F00A79"/>
    <w:rsid w:val="00F00DA7"/>
    <w:rsid w:val="00F00E86"/>
    <w:rsid w:val="00F06F70"/>
    <w:rsid w:val="00F07C1E"/>
    <w:rsid w:val="00F105DB"/>
    <w:rsid w:val="00F132BC"/>
    <w:rsid w:val="00F13D80"/>
    <w:rsid w:val="00F16AAA"/>
    <w:rsid w:val="00F21161"/>
    <w:rsid w:val="00F218EF"/>
    <w:rsid w:val="00F21BC7"/>
    <w:rsid w:val="00F22081"/>
    <w:rsid w:val="00F266A2"/>
    <w:rsid w:val="00F32269"/>
    <w:rsid w:val="00F56A6F"/>
    <w:rsid w:val="00F5709C"/>
    <w:rsid w:val="00F63FC3"/>
    <w:rsid w:val="00F64EF1"/>
    <w:rsid w:val="00F65061"/>
    <w:rsid w:val="00F74BED"/>
    <w:rsid w:val="00F7744C"/>
    <w:rsid w:val="00F8765F"/>
    <w:rsid w:val="00F90767"/>
    <w:rsid w:val="00F949BD"/>
    <w:rsid w:val="00FA685B"/>
    <w:rsid w:val="00FB0C01"/>
    <w:rsid w:val="00FB0E3E"/>
    <w:rsid w:val="00FB5466"/>
    <w:rsid w:val="00FC18F2"/>
    <w:rsid w:val="00FC39E5"/>
    <w:rsid w:val="00FC3A78"/>
    <w:rsid w:val="00FC45E6"/>
    <w:rsid w:val="00FC6091"/>
    <w:rsid w:val="00FD1005"/>
    <w:rsid w:val="00FD6C75"/>
    <w:rsid w:val="00FE21FA"/>
    <w:rsid w:val="00FE2663"/>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semiHidden="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A552C"/>
    <w:pPr>
      <w:jc w:val="both"/>
    </w:pPr>
    <w:rPr>
      <w:rFonts w:eastAsiaTheme="minorEastAsia"/>
      <w:sz w:val="24"/>
      <w:lang w:val="en-GB"/>
    </w:rPr>
  </w:style>
  <w:style w:type="paragraph" w:styleId="Nagwek1">
    <w:name w:val="heading 1"/>
    <w:basedOn w:val="Normalny"/>
    <w:next w:val="Normalny"/>
    <w:link w:val="Nagwek1Znak"/>
    <w:uiPriority w:val="99"/>
    <w:semiHidden/>
    <w:rsid w:val="00B2624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2624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2624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2624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6AA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B2624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6AA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26AA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26AA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2624C"/>
    <w:rPr>
      <w:rFonts w:ascii="Tahoma" w:hAnsi="Tahoma" w:cs="Tahoma"/>
      <w:sz w:val="16"/>
      <w:szCs w:val="16"/>
    </w:rPr>
  </w:style>
  <w:style w:type="character" w:customStyle="1" w:styleId="TekstdymkaZnak">
    <w:name w:val="Tekst dymka Znak"/>
    <w:basedOn w:val="Domylnaczcionkaakapitu"/>
    <w:link w:val="Tekstdymka"/>
    <w:uiPriority w:val="99"/>
    <w:semiHidden/>
    <w:rsid w:val="00B2624C"/>
    <w:rPr>
      <w:rFonts w:ascii="Tahoma" w:eastAsiaTheme="minorEastAsia" w:hAnsi="Tahoma" w:cs="Tahoma"/>
      <w:sz w:val="16"/>
      <w:szCs w:val="16"/>
      <w:lang w:val="en-GB"/>
    </w:rPr>
  </w:style>
  <w:style w:type="character" w:styleId="Tytuksiki">
    <w:name w:val="Book Title"/>
    <w:uiPriority w:val="99"/>
    <w:semiHidden/>
    <w:qFormat/>
    <w:rsid w:val="00426AA8"/>
    <w:rPr>
      <w:i/>
      <w:iCs/>
      <w:smallCaps/>
      <w:spacing w:val="5"/>
    </w:rPr>
  </w:style>
  <w:style w:type="paragraph" w:customStyle="1" w:styleId="JuAppQuestion">
    <w:name w:val="Ju_App_Question"/>
    <w:basedOn w:val="Normalny"/>
    <w:uiPriority w:val="5"/>
    <w:semiHidden/>
    <w:qFormat/>
    <w:rsid w:val="00426AA8"/>
    <w:pPr>
      <w:numPr>
        <w:numId w:val="49"/>
      </w:numPr>
      <w:jc w:val="left"/>
    </w:pPr>
    <w:rPr>
      <w:b/>
    </w:rPr>
  </w:style>
  <w:style w:type="numbering" w:customStyle="1" w:styleId="ECHRA1StyleBulletedSquare">
    <w:name w:val="ECHR_A1_Style_Bulleted_Square"/>
    <w:basedOn w:val="Bezlisty"/>
    <w:rsid w:val="001A5067"/>
    <w:pPr>
      <w:numPr>
        <w:numId w:val="22"/>
      </w:numPr>
    </w:pPr>
  </w:style>
  <w:style w:type="numbering" w:customStyle="1" w:styleId="ECHRA1StyleNumberedList">
    <w:name w:val="ECHR_A1_Style_Numbered_List"/>
    <w:basedOn w:val="Bezlisty"/>
    <w:rsid w:val="001A5067"/>
    <w:pPr>
      <w:numPr>
        <w:numId w:val="23"/>
      </w:numPr>
    </w:pPr>
  </w:style>
  <w:style w:type="paragraph" w:customStyle="1" w:styleId="OpiPara">
    <w:name w:val="Opi_Para"/>
    <w:basedOn w:val="ECHRPara"/>
    <w:uiPriority w:val="46"/>
    <w:qFormat/>
    <w:rsid w:val="00426AA8"/>
  </w:style>
  <w:style w:type="paragraph" w:customStyle="1" w:styleId="ECHRPara">
    <w:name w:val="ECHR_Para"/>
    <w:aliases w:val="Ju_Para"/>
    <w:basedOn w:val="Normalny"/>
    <w:link w:val="ECHRParaChar"/>
    <w:uiPriority w:val="12"/>
    <w:qFormat/>
    <w:rsid w:val="00426AA8"/>
    <w:pPr>
      <w:ind w:firstLine="284"/>
    </w:pPr>
  </w:style>
  <w:style w:type="paragraph" w:customStyle="1" w:styleId="ECHRDecisionBody">
    <w:name w:val="ECHR_Decision_Body"/>
    <w:aliases w:val="Ju_Judges"/>
    <w:basedOn w:val="Normalny"/>
    <w:uiPriority w:val="11"/>
    <w:qFormat/>
    <w:rsid w:val="00426AA8"/>
    <w:pPr>
      <w:tabs>
        <w:tab w:val="left" w:pos="567"/>
        <w:tab w:val="left" w:pos="1134"/>
      </w:tabs>
      <w:jc w:val="left"/>
    </w:pPr>
  </w:style>
  <w:style w:type="table" w:customStyle="1" w:styleId="ECHRDNTable">
    <w:name w:val="ECHR_DN_Table"/>
    <w:aliases w:val="DN_Table"/>
    <w:basedOn w:val="Standardowy"/>
    <w:uiPriority w:val="99"/>
    <w:rsid w:val="001A506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Stopka">
    <w:name w:val="footer"/>
    <w:basedOn w:val="Normalny"/>
    <w:link w:val="StopkaZnak"/>
    <w:uiPriority w:val="57"/>
    <w:semiHidden/>
    <w:rsid w:val="00B2624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2624C"/>
    <w:rPr>
      <w:sz w:val="24"/>
      <w:lang w:val="en-GB"/>
    </w:rPr>
  </w:style>
  <w:style w:type="paragraph" w:styleId="Nagwek">
    <w:name w:val="header"/>
    <w:basedOn w:val="Normalny"/>
    <w:link w:val="NagwekZnak"/>
    <w:uiPriority w:val="48"/>
    <w:semiHidden/>
    <w:rsid w:val="00B2624C"/>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B2624C"/>
    <w:rPr>
      <w:sz w:val="24"/>
      <w:lang w:val="en-GB"/>
    </w:rPr>
  </w:style>
  <w:style w:type="paragraph" w:customStyle="1" w:styleId="ECHRHeader">
    <w:name w:val="ECHR_Header"/>
    <w:aliases w:val="Ju_Header"/>
    <w:basedOn w:val="Nagwek"/>
    <w:uiPriority w:val="4"/>
    <w:qFormat/>
    <w:rsid w:val="00426AA8"/>
    <w:pPr>
      <w:tabs>
        <w:tab w:val="clear" w:pos="4536"/>
        <w:tab w:val="clear" w:pos="9072"/>
        <w:tab w:val="center" w:pos="3686"/>
        <w:tab w:val="right" w:pos="7371"/>
      </w:tabs>
      <w:jc w:val="left"/>
    </w:pPr>
    <w:rPr>
      <w:sz w:val="18"/>
    </w:rPr>
  </w:style>
  <w:style w:type="character" w:customStyle="1" w:styleId="Nagwek1Znak">
    <w:name w:val="Nagłówek 1 Znak"/>
    <w:basedOn w:val="Domylnaczcionkaakapitu"/>
    <w:link w:val="Nagwek1"/>
    <w:uiPriority w:val="99"/>
    <w:semiHidden/>
    <w:rsid w:val="00B2624C"/>
    <w:rPr>
      <w:rFonts w:asciiTheme="majorHAnsi" w:eastAsiaTheme="majorEastAsia" w:hAnsiTheme="majorHAnsi" w:cstheme="majorBidi"/>
      <w:b/>
      <w:bCs/>
      <w:color w:val="333333"/>
      <w:sz w:val="28"/>
      <w:szCs w:val="28"/>
      <w:lang w:val="en-GB"/>
    </w:rPr>
  </w:style>
  <w:style w:type="table" w:customStyle="1" w:styleId="ECHRHeaderTable">
    <w:name w:val="ECHR_Header_Table"/>
    <w:basedOn w:val="Standardowy"/>
    <w:uiPriority w:val="99"/>
    <w:rsid w:val="001A506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Nagwek2Znak">
    <w:name w:val="Nagłówek 2 Znak"/>
    <w:basedOn w:val="Domylnaczcionkaakapitu"/>
    <w:link w:val="Nagwek2"/>
    <w:uiPriority w:val="99"/>
    <w:semiHidden/>
    <w:rsid w:val="00B2624C"/>
    <w:rPr>
      <w:rFonts w:asciiTheme="majorHAnsi" w:eastAsiaTheme="majorEastAsia" w:hAnsiTheme="majorHAnsi" w:cstheme="majorBidi"/>
      <w:b/>
      <w:bCs/>
      <w:color w:val="4D4D4D"/>
      <w:sz w:val="26"/>
      <w:szCs w:val="26"/>
      <w:lang w:val="en-GB"/>
    </w:rPr>
  </w:style>
  <w:style w:type="table" w:customStyle="1" w:styleId="ECHRHeaderTableReduced">
    <w:name w:val="ECHR_Header_Table_Reduced"/>
    <w:basedOn w:val="Standardowy"/>
    <w:uiPriority w:val="99"/>
    <w:rsid w:val="001A5067"/>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Heading1">
    <w:name w:val="ECHR_Heading_1"/>
    <w:aliases w:val="Ju_H_I_Roman"/>
    <w:basedOn w:val="Nagwek1"/>
    <w:next w:val="ECHRPara"/>
    <w:uiPriority w:val="19"/>
    <w:qFormat/>
    <w:rsid w:val="00426AA8"/>
    <w:pPr>
      <w:keepNext/>
      <w:keepLines/>
      <w:tabs>
        <w:tab w:val="left" w:pos="357"/>
      </w:tabs>
      <w:spacing w:before="360" w:after="240"/>
      <w:ind w:left="357" w:hanging="357"/>
      <w:contextualSpacing w:val="0"/>
    </w:pPr>
    <w:rPr>
      <w:b w:val="0"/>
      <w:color w:val="auto"/>
      <w:sz w:val="24"/>
    </w:rPr>
  </w:style>
  <w:style w:type="character" w:customStyle="1" w:styleId="Nagwek3Znak">
    <w:name w:val="Nagłówek 3 Znak"/>
    <w:basedOn w:val="Domylnaczcionkaakapitu"/>
    <w:link w:val="Nagwek3"/>
    <w:uiPriority w:val="99"/>
    <w:semiHidden/>
    <w:rsid w:val="00B2624C"/>
    <w:rPr>
      <w:rFonts w:asciiTheme="majorHAnsi" w:eastAsiaTheme="majorEastAsia" w:hAnsiTheme="majorHAnsi" w:cstheme="majorBidi"/>
      <w:b/>
      <w:bCs/>
      <w:color w:val="5F5F5F"/>
      <w:sz w:val="24"/>
      <w:lang w:val="en-GB"/>
    </w:rPr>
  </w:style>
  <w:style w:type="paragraph" w:customStyle="1" w:styleId="ECHRHeading2">
    <w:name w:val="ECHR_Heading_2"/>
    <w:aliases w:val="Ju_H_A,Head_2"/>
    <w:basedOn w:val="Nagwek2"/>
    <w:next w:val="ECHRPara"/>
    <w:uiPriority w:val="20"/>
    <w:qFormat/>
    <w:rsid w:val="00426AA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26AA8"/>
    <w:pPr>
      <w:keepNext/>
      <w:keepLines/>
      <w:tabs>
        <w:tab w:val="left" w:pos="731"/>
      </w:tabs>
      <w:spacing w:before="240" w:after="120" w:line="240" w:lineRule="auto"/>
      <w:ind w:left="732" w:hanging="301"/>
    </w:pPr>
    <w:rPr>
      <w:b w:val="0"/>
      <w:i/>
      <w:color w:val="auto"/>
    </w:rPr>
  </w:style>
  <w:style w:type="character" w:customStyle="1" w:styleId="Nagwek4Znak">
    <w:name w:val="Nagłówek 4 Znak"/>
    <w:basedOn w:val="Domylnaczcionkaakapitu"/>
    <w:link w:val="Nagwek4"/>
    <w:uiPriority w:val="99"/>
    <w:semiHidden/>
    <w:rsid w:val="00B2624C"/>
    <w:rPr>
      <w:rFonts w:asciiTheme="majorHAnsi" w:eastAsiaTheme="majorEastAsia" w:hAnsiTheme="majorHAnsi" w:cstheme="majorBidi"/>
      <w:b/>
      <w:bCs/>
      <w:i/>
      <w:iCs/>
      <w:color w:val="777777"/>
      <w:sz w:val="24"/>
      <w:lang w:val="en-GB"/>
    </w:rPr>
  </w:style>
  <w:style w:type="paragraph" w:customStyle="1" w:styleId="ECHRHeading4">
    <w:name w:val="ECHR_Heading_4"/>
    <w:aliases w:val="Ju_H_a"/>
    <w:basedOn w:val="Nagwek4"/>
    <w:next w:val="ECHRPara"/>
    <w:uiPriority w:val="22"/>
    <w:qFormat/>
    <w:rsid w:val="00426AA8"/>
    <w:pPr>
      <w:keepNext/>
      <w:keepLines/>
      <w:tabs>
        <w:tab w:val="left" w:pos="975"/>
      </w:tabs>
      <w:spacing w:before="240" w:after="120"/>
      <w:ind w:left="975" w:hanging="340"/>
    </w:pPr>
    <w:rPr>
      <w:i w:val="0"/>
      <w:color w:val="auto"/>
      <w:sz w:val="20"/>
    </w:rPr>
  </w:style>
  <w:style w:type="character" w:customStyle="1" w:styleId="Nagwek5Znak">
    <w:name w:val="Nagłówek 5 Znak"/>
    <w:basedOn w:val="Domylnaczcionkaakapitu"/>
    <w:link w:val="Nagwek5"/>
    <w:uiPriority w:val="99"/>
    <w:semiHidden/>
    <w:rsid w:val="00426AA8"/>
    <w:rPr>
      <w:rFonts w:asciiTheme="majorHAnsi" w:eastAsiaTheme="majorEastAsia" w:hAnsiTheme="majorHAnsi" w:cstheme="majorBidi"/>
      <w:b/>
      <w:bCs/>
      <w:color w:val="808080"/>
    </w:rPr>
  </w:style>
  <w:style w:type="paragraph" w:customStyle="1" w:styleId="ECHRHeading5">
    <w:name w:val="ECHR_Heading_5"/>
    <w:aliases w:val="Ju_H_i"/>
    <w:basedOn w:val="Nagwek5"/>
    <w:next w:val="ECHRPara"/>
    <w:uiPriority w:val="23"/>
    <w:qFormat/>
    <w:rsid w:val="00426AA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426AA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26AA8"/>
    <w:pPr>
      <w:keepNext/>
      <w:keepLines/>
      <w:spacing w:before="240" w:after="120"/>
      <w:ind w:left="1236"/>
    </w:pPr>
    <w:rPr>
      <w:sz w:val="20"/>
      <w:lang w:val="en-GB"/>
    </w:rPr>
  </w:style>
  <w:style w:type="table" w:customStyle="1" w:styleId="ECHRListTable">
    <w:name w:val="ECHR_List_Table"/>
    <w:basedOn w:val="Standardowy"/>
    <w:uiPriority w:val="99"/>
    <w:rsid w:val="00B2624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ECHRParaQuote">
    <w:name w:val="ECHR_Para_Quote"/>
    <w:aliases w:val="Ju_Quot"/>
    <w:basedOn w:val="Normalny"/>
    <w:uiPriority w:val="14"/>
    <w:qFormat/>
    <w:rsid w:val="00426AA8"/>
    <w:pPr>
      <w:spacing w:before="120" w:after="120"/>
      <w:ind w:left="425" w:firstLine="142"/>
    </w:pPr>
    <w:rPr>
      <w:sz w:val="20"/>
    </w:rPr>
  </w:style>
  <w:style w:type="table" w:customStyle="1" w:styleId="ECHRTable">
    <w:name w:val="ECHR_Table"/>
    <w:basedOn w:val="Standardowy"/>
    <w:rsid w:val="001A506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A506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Nagwek6Znak">
    <w:name w:val="Nagłówek 6 Znak"/>
    <w:basedOn w:val="Domylnaczcionkaakapitu"/>
    <w:link w:val="Nagwek6"/>
    <w:uiPriority w:val="99"/>
    <w:semiHidden/>
    <w:rsid w:val="00B2624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26AA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26AA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26AA8"/>
    <w:rPr>
      <w:rFonts w:asciiTheme="majorHAnsi" w:eastAsiaTheme="majorEastAsia" w:hAnsiTheme="majorHAnsi" w:cstheme="majorBidi"/>
      <w:i/>
      <w:iCs/>
      <w:spacing w:val="5"/>
      <w:sz w:val="20"/>
      <w:szCs w:val="20"/>
      <w:lang w:bidi="en-US"/>
    </w:rPr>
  </w:style>
  <w:style w:type="table" w:customStyle="1" w:styleId="ECHRTableFax">
    <w:name w:val="ECHR_Table_Fax"/>
    <w:basedOn w:val="Standardowy"/>
    <w:uiPriority w:val="99"/>
    <w:rsid w:val="001A506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1A506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1A506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Standardowy"/>
    <w:uiPriority w:val="99"/>
    <w:rsid w:val="001A506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OddBanded">
    <w:name w:val="ECHR_Table_Odd_Banded"/>
    <w:basedOn w:val="Standardowy"/>
    <w:uiPriority w:val="99"/>
    <w:rsid w:val="001A506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TableSimpleBox">
    <w:name w:val="ECHR_Table_Simple_Box"/>
    <w:basedOn w:val="Standardowy"/>
    <w:uiPriority w:val="99"/>
    <w:rsid w:val="001A506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ECHRTitle1">
    <w:name w:val="ECHR_Title_1"/>
    <w:aliases w:val="Ju_H_Head"/>
    <w:basedOn w:val="Normalny"/>
    <w:next w:val="ECHRPara"/>
    <w:uiPriority w:val="18"/>
    <w:qFormat/>
    <w:rsid w:val="00426AA8"/>
    <w:pPr>
      <w:keepNext/>
      <w:keepLines/>
      <w:spacing w:before="720" w:after="240"/>
      <w:outlineLvl w:val="0"/>
    </w:pPr>
    <w:rPr>
      <w:rFonts w:asciiTheme="majorHAnsi" w:hAnsiTheme="majorHAnsi"/>
      <w:sz w:val="28"/>
    </w:rPr>
  </w:style>
  <w:style w:type="paragraph" w:customStyle="1" w:styleId="ECHRTitleCentre1">
    <w:name w:val="ECHR_Title_Centre_1"/>
    <w:aliases w:val="Opi_H_Head"/>
    <w:basedOn w:val="Normalny"/>
    <w:next w:val="OpiPara"/>
    <w:uiPriority w:val="39"/>
    <w:qFormat/>
    <w:rsid w:val="00426AA8"/>
    <w:pPr>
      <w:keepNext/>
      <w:keepLines/>
      <w:spacing w:after="240"/>
      <w:jc w:val="center"/>
      <w:outlineLvl w:val="0"/>
    </w:pPr>
    <w:rPr>
      <w:rFonts w:asciiTheme="majorHAnsi" w:hAnsiTheme="majorHAnsi"/>
      <w:sz w:val="28"/>
    </w:rPr>
  </w:style>
  <w:style w:type="paragraph" w:customStyle="1" w:styleId="ECHRTitleCentre2">
    <w:name w:val="ECHR_Title_Centre_2"/>
    <w:aliases w:val="Dec_H_Case"/>
    <w:basedOn w:val="Normalny"/>
    <w:next w:val="ECHRPara"/>
    <w:uiPriority w:val="8"/>
    <w:qFormat/>
    <w:rsid w:val="00426AA8"/>
    <w:pPr>
      <w:spacing w:after="240"/>
      <w:jc w:val="center"/>
      <w:outlineLvl w:val="0"/>
    </w:pPr>
    <w:rPr>
      <w:rFonts w:asciiTheme="majorHAnsi" w:hAnsiTheme="majorHAnsi"/>
    </w:rPr>
  </w:style>
  <w:style w:type="paragraph" w:customStyle="1" w:styleId="ECHRTitleCentre3">
    <w:name w:val="ECHR_Title_Centre_3"/>
    <w:aliases w:val="Ju_H_Article"/>
    <w:basedOn w:val="Normalny"/>
    <w:next w:val="ECHRParaQuote"/>
    <w:uiPriority w:val="27"/>
    <w:qFormat/>
    <w:rsid w:val="00426AA8"/>
    <w:pPr>
      <w:keepNext/>
      <w:keepLines/>
      <w:spacing w:before="240" w:after="120"/>
      <w:jc w:val="center"/>
      <w:outlineLvl w:val="3"/>
    </w:pPr>
    <w:rPr>
      <w:rFonts w:asciiTheme="majorHAnsi" w:hAnsiTheme="majorHAnsi"/>
      <w:b/>
      <w:sz w:val="20"/>
      <w:lang w:bidi="en-US"/>
    </w:rPr>
  </w:style>
  <w:style w:type="character" w:styleId="Uwydatnienie">
    <w:name w:val="Emphasis"/>
    <w:uiPriority w:val="99"/>
    <w:semiHidden/>
    <w:qFormat/>
    <w:rsid w:val="00426AA8"/>
    <w:rPr>
      <w:b/>
      <w:bCs/>
      <w:i/>
      <w:iCs/>
      <w:spacing w:val="10"/>
      <w:bdr w:val="none" w:sz="0" w:space="0" w:color="auto"/>
      <w:shd w:val="clear" w:color="auto" w:fill="auto"/>
    </w:rPr>
  </w:style>
  <w:style w:type="character" w:styleId="Odwoanieprzypisudolnego">
    <w:name w:val="footnote reference"/>
    <w:basedOn w:val="Domylnaczcionkaakapitu"/>
    <w:uiPriority w:val="99"/>
    <w:semiHidden/>
    <w:rsid w:val="00B2624C"/>
    <w:rPr>
      <w:vertAlign w:val="superscript"/>
    </w:rPr>
  </w:style>
  <w:style w:type="paragraph" w:styleId="Tekstprzypisudolnego">
    <w:name w:val="footnote text"/>
    <w:basedOn w:val="Normalny"/>
    <w:link w:val="TekstprzypisudolnegoZnak"/>
    <w:uiPriority w:val="99"/>
    <w:semiHidden/>
    <w:rsid w:val="00B2624C"/>
    <w:rPr>
      <w:sz w:val="20"/>
      <w:szCs w:val="20"/>
    </w:rPr>
  </w:style>
  <w:style w:type="character" w:customStyle="1" w:styleId="TekstprzypisudolnegoZnak">
    <w:name w:val="Tekst przypisu dolnego Znak"/>
    <w:basedOn w:val="Domylnaczcionkaakapitu"/>
    <w:link w:val="Tekstprzypisudolnego"/>
    <w:uiPriority w:val="99"/>
    <w:semiHidden/>
    <w:rsid w:val="00B2624C"/>
    <w:rPr>
      <w:rFonts w:eastAsiaTheme="minorEastAsia"/>
      <w:sz w:val="20"/>
      <w:szCs w:val="20"/>
      <w:lang w:val="en-GB"/>
    </w:rPr>
  </w:style>
  <w:style w:type="character" w:styleId="Hipercze">
    <w:name w:val="Hyperlink"/>
    <w:basedOn w:val="Domylnaczcionkaakapitu"/>
    <w:uiPriority w:val="99"/>
    <w:semiHidden/>
    <w:rsid w:val="00B2624C"/>
    <w:rPr>
      <w:color w:val="0072BC" w:themeColor="hyperlink"/>
      <w:u w:val="single"/>
    </w:rPr>
  </w:style>
  <w:style w:type="character" w:styleId="Wyrnienieintensywne">
    <w:name w:val="Intense Emphasis"/>
    <w:uiPriority w:val="99"/>
    <w:semiHidden/>
    <w:qFormat/>
    <w:rsid w:val="00426AA8"/>
    <w:rPr>
      <w:b/>
      <w:bCs/>
    </w:rPr>
  </w:style>
  <w:style w:type="paragraph" w:styleId="Cytatintensywny">
    <w:name w:val="Intense Quote"/>
    <w:basedOn w:val="Normalny"/>
    <w:next w:val="Normalny"/>
    <w:link w:val="CytatintensywnyZnak"/>
    <w:uiPriority w:val="99"/>
    <w:semiHidden/>
    <w:qFormat/>
    <w:rsid w:val="00426AA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26AA8"/>
    <w:rPr>
      <w:rFonts w:eastAsiaTheme="minorEastAsia"/>
      <w:b/>
      <w:bCs/>
      <w:i/>
      <w:iCs/>
      <w:lang w:bidi="en-US"/>
    </w:rPr>
  </w:style>
  <w:style w:type="character" w:styleId="Odwoanieintensywne">
    <w:name w:val="Intense Reference"/>
    <w:uiPriority w:val="99"/>
    <w:semiHidden/>
    <w:qFormat/>
    <w:rsid w:val="00426AA8"/>
    <w:rPr>
      <w:smallCaps/>
      <w:spacing w:val="5"/>
      <w:u w:val="single"/>
    </w:rPr>
  </w:style>
  <w:style w:type="paragraph" w:styleId="Akapitzlist">
    <w:name w:val="List Paragraph"/>
    <w:basedOn w:val="Normalny"/>
    <w:uiPriority w:val="99"/>
    <w:semiHidden/>
    <w:qFormat/>
    <w:rsid w:val="00426AA8"/>
    <w:pPr>
      <w:ind w:left="720"/>
      <w:contextualSpacing/>
    </w:pPr>
  </w:style>
  <w:style w:type="table" w:customStyle="1" w:styleId="LtrTableAddress">
    <w:name w:val="Ltr_Table_Address"/>
    <w:basedOn w:val="Standardowy"/>
    <w:uiPriority w:val="99"/>
    <w:rsid w:val="001A5067"/>
    <w:tblPr>
      <w:tblInd w:w="5103" w:type="dxa"/>
    </w:tblPr>
  </w:style>
  <w:style w:type="paragraph" w:styleId="Bezodstpw">
    <w:name w:val="No Spacing"/>
    <w:basedOn w:val="Normalny"/>
    <w:link w:val="BezodstpwZnak"/>
    <w:semiHidden/>
    <w:qFormat/>
    <w:rsid w:val="00426AA8"/>
    <w:rPr>
      <w:sz w:val="22"/>
      <w:lang w:val="en-US"/>
    </w:rPr>
  </w:style>
  <w:style w:type="character" w:customStyle="1" w:styleId="BezodstpwZnak">
    <w:name w:val="Bez odstępów Znak"/>
    <w:basedOn w:val="Domylnaczcionkaakapitu"/>
    <w:link w:val="Bezodstpw"/>
    <w:semiHidden/>
    <w:rsid w:val="00426AA8"/>
    <w:rPr>
      <w:rFonts w:eastAsiaTheme="minorEastAsia"/>
    </w:rPr>
  </w:style>
  <w:style w:type="table" w:customStyle="1" w:styleId="PCFTableStyle">
    <w:name w:val="PCF_Table_Style"/>
    <w:basedOn w:val="Standardowy"/>
    <w:uiPriority w:val="99"/>
    <w:rsid w:val="001A5067"/>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character" w:styleId="Tekstzastpczy">
    <w:name w:val="Placeholder Text"/>
    <w:basedOn w:val="Domylnaczcionkaakapitu"/>
    <w:uiPriority w:val="99"/>
    <w:semiHidden/>
    <w:rsid w:val="00B2624C"/>
    <w:rPr>
      <w:color w:val="auto"/>
      <w:bdr w:val="none" w:sz="0" w:space="0" w:color="auto"/>
      <w:shd w:val="clear" w:color="auto" w:fill="DFDFDF" w:themeFill="background2" w:themeFillShade="E6"/>
    </w:rPr>
  </w:style>
  <w:style w:type="paragraph" w:styleId="Cytat">
    <w:name w:val="Quote"/>
    <w:basedOn w:val="Normalny"/>
    <w:next w:val="Normalny"/>
    <w:link w:val="CytatZnak"/>
    <w:uiPriority w:val="99"/>
    <w:semiHidden/>
    <w:qFormat/>
    <w:rsid w:val="00426AA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26AA8"/>
    <w:rPr>
      <w:rFonts w:eastAsiaTheme="minorEastAsia"/>
      <w:i/>
      <w:iCs/>
      <w:lang w:bidi="en-US"/>
    </w:rPr>
  </w:style>
  <w:style w:type="character" w:styleId="Pogrubienie">
    <w:name w:val="Strong"/>
    <w:uiPriority w:val="99"/>
    <w:semiHidden/>
    <w:qFormat/>
    <w:rsid w:val="00426AA8"/>
    <w:rPr>
      <w:b/>
      <w:bCs/>
    </w:rPr>
  </w:style>
  <w:style w:type="character" w:styleId="Wyrnieniedelikatne">
    <w:name w:val="Subtle Emphasis"/>
    <w:uiPriority w:val="99"/>
    <w:semiHidden/>
    <w:qFormat/>
    <w:rsid w:val="00426AA8"/>
    <w:rPr>
      <w:i/>
      <w:iCs/>
    </w:rPr>
  </w:style>
  <w:style w:type="character" w:styleId="Odwoaniedelikatne">
    <w:name w:val="Subtle Reference"/>
    <w:uiPriority w:val="99"/>
    <w:semiHidden/>
    <w:qFormat/>
    <w:rsid w:val="00426AA8"/>
    <w:rPr>
      <w:smallCaps/>
    </w:rPr>
  </w:style>
  <w:style w:type="table" w:styleId="Tabela-Siatka">
    <w:name w:val="Table Grid"/>
    <w:basedOn w:val="Standardowy"/>
    <w:uiPriority w:val="59"/>
    <w:semiHidden/>
    <w:rsid w:val="00B2624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99"/>
    <w:semiHidden/>
    <w:qFormat/>
    <w:rsid w:val="00426AA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26AA8"/>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B2624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2624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2624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2624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2624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2624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26AA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1A506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1A506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ECHRTableGrey">
    <w:name w:val="ECHR_Table_Grey"/>
    <w:basedOn w:val="Standardowy"/>
    <w:uiPriority w:val="99"/>
    <w:rsid w:val="0047198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471989"/>
    <w:pPr>
      <w:numPr>
        <w:numId w:val="33"/>
      </w:numPr>
    </w:pPr>
  </w:style>
  <w:style w:type="table" w:customStyle="1" w:styleId="ECHRTable2016">
    <w:name w:val="ECHR_Table_2016"/>
    <w:basedOn w:val="Standardowy"/>
    <w:uiPriority w:val="99"/>
    <w:rsid w:val="00471989"/>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ParaSub">
    <w:name w:val="Ju_Para_Sub"/>
    <w:basedOn w:val="ECHRPara"/>
    <w:uiPriority w:val="13"/>
    <w:qFormat/>
    <w:rsid w:val="00426AA8"/>
    <w:pPr>
      <w:ind w:left="284"/>
    </w:pPr>
  </w:style>
  <w:style w:type="paragraph" w:customStyle="1" w:styleId="OpiParaSub">
    <w:name w:val="Opi_Para_Sub"/>
    <w:basedOn w:val="JuParaSub"/>
    <w:uiPriority w:val="47"/>
    <w:qFormat/>
    <w:rsid w:val="00426AA8"/>
  </w:style>
  <w:style w:type="paragraph" w:customStyle="1" w:styleId="OpiQuot">
    <w:name w:val="Opi_Quot"/>
    <w:basedOn w:val="ECHRParaQuote"/>
    <w:uiPriority w:val="48"/>
    <w:qFormat/>
    <w:rsid w:val="00426AA8"/>
  </w:style>
  <w:style w:type="paragraph" w:customStyle="1" w:styleId="OpiQuotSub">
    <w:name w:val="Opi_Quot_Sub"/>
    <w:basedOn w:val="JuQuotSub"/>
    <w:uiPriority w:val="49"/>
    <w:qFormat/>
    <w:rsid w:val="00426AA8"/>
  </w:style>
  <w:style w:type="paragraph" w:customStyle="1" w:styleId="JuTitle">
    <w:name w:val="Ju_Title"/>
    <w:basedOn w:val="Normalny"/>
    <w:next w:val="ECHRPara"/>
    <w:uiPriority w:val="3"/>
    <w:semiHidden/>
    <w:qFormat/>
    <w:rsid w:val="00426AA8"/>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426AA8"/>
    <w:pPr>
      <w:ind w:left="567"/>
    </w:pPr>
  </w:style>
  <w:style w:type="paragraph" w:customStyle="1" w:styleId="JuInitialled">
    <w:name w:val="Ju_Initialled"/>
    <w:basedOn w:val="Normalny"/>
    <w:uiPriority w:val="31"/>
    <w:qFormat/>
    <w:rsid w:val="00426AA8"/>
    <w:pPr>
      <w:tabs>
        <w:tab w:val="center" w:pos="6407"/>
      </w:tabs>
      <w:spacing w:before="720"/>
      <w:jc w:val="right"/>
    </w:pPr>
  </w:style>
  <w:style w:type="paragraph" w:customStyle="1" w:styleId="JuSigned">
    <w:name w:val="Ju_Signed"/>
    <w:basedOn w:val="Normalny"/>
    <w:next w:val="JuParaLast"/>
    <w:uiPriority w:val="32"/>
    <w:qFormat/>
    <w:rsid w:val="00426AA8"/>
    <w:pPr>
      <w:tabs>
        <w:tab w:val="center" w:pos="851"/>
        <w:tab w:val="center" w:pos="6407"/>
      </w:tabs>
      <w:spacing w:before="720"/>
      <w:jc w:val="left"/>
    </w:pPr>
  </w:style>
  <w:style w:type="paragraph" w:customStyle="1" w:styleId="OpiHA">
    <w:name w:val="Opi_H_A"/>
    <w:basedOn w:val="ECHRHeading1"/>
    <w:next w:val="OpiPara"/>
    <w:uiPriority w:val="41"/>
    <w:qFormat/>
    <w:rsid w:val="00426AA8"/>
    <w:pPr>
      <w:tabs>
        <w:tab w:val="clear" w:pos="357"/>
      </w:tabs>
      <w:outlineLvl w:val="1"/>
    </w:pPr>
    <w:rPr>
      <w:b/>
    </w:rPr>
  </w:style>
  <w:style w:type="character" w:customStyle="1" w:styleId="JUNAMES">
    <w:name w:val="JU_NAMES"/>
    <w:uiPriority w:val="17"/>
    <w:qFormat/>
    <w:rsid w:val="00426AA8"/>
    <w:rPr>
      <w:caps w:val="0"/>
      <w:smallCaps/>
    </w:rPr>
  </w:style>
  <w:style w:type="character" w:customStyle="1" w:styleId="JuITMark">
    <w:name w:val="Ju_ITMark"/>
    <w:basedOn w:val="Domylnaczcionkaakapitu"/>
    <w:uiPriority w:val="38"/>
    <w:qFormat/>
    <w:rsid w:val="00426AA8"/>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426AA8"/>
    <w:pPr>
      <w:jc w:val="center"/>
      <w:outlineLvl w:val="0"/>
    </w:pPr>
    <w:rPr>
      <w:i/>
    </w:rPr>
  </w:style>
  <w:style w:type="paragraph" w:customStyle="1" w:styleId="DecHTitle">
    <w:name w:val="Dec_H_Title"/>
    <w:basedOn w:val="ECHRTitleCentre1"/>
    <w:uiPriority w:val="7"/>
    <w:semiHidden/>
    <w:qFormat/>
    <w:rsid w:val="00426AA8"/>
  </w:style>
  <w:style w:type="table" w:customStyle="1" w:styleId="ECHRTable1">
    <w:name w:val="ECHR_Table1"/>
    <w:basedOn w:val="Standardowy"/>
    <w:rsid w:val="005766EE"/>
    <w:rPr>
      <w:rFonts w:eastAsia="Times New Roman" w:cs="Times New Roman"/>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1">
    <w:name w:val="ECHR_Table_Box_Header1"/>
    <w:basedOn w:val="Standardowy"/>
    <w:rsid w:val="005766E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cPr>
    <w:tblStylePr w:type="firstCol">
      <w:rPr>
        <w:b/>
        <w:color w:val="5F5F5F"/>
      </w:rPr>
    </w:tblStylePr>
  </w:style>
  <w:style w:type="table" w:customStyle="1" w:styleId="LtrTableAddress1">
    <w:name w:val="Ltr_Table_Address1"/>
    <w:basedOn w:val="Standardowy"/>
    <w:uiPriority w:val="99"/>
    <w:rsid w:val="005766EE"/>
    <w:tblPr>
      <w:tblInd w:w="5103" w:type="dxa"/>
    </w:tblPr>
  </w:style>
  <w:style w:type="table" w:customStyle="1" w:styleId="TableGrid1">
    <w:name w:val="Table Grid1"/>
    <w:basedOn w:val="Standardowy"/>
    <w:next w:val="Tabela-Siatka"/>
    <w:uiPriority w:val="59"/>
    <w:semiHidden/>
    <w:rsid w:val="005766E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1">
    <w:name w:val="UG_Table1"/>
    <w:basedOn w:val="Standardowy"/>
    <w:uiPriority w:val="99"/>
    <w:rsid w:val="005766EE"/>
    <w:rPr>
      <w:rFonts w:eastAsia="Times New Roman"/>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5766EE"/>
    <w:rPr>
      <w:rFonts w:eastAsia="Times New Roman"/>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1">
    <w:name w:val="PCF_Table_Style1"/>
    <w:basedOn w:val="Standardowy"/>
    <w:uiPriority w:val="99"/>
    <w:rsid w:val="005766EE"/>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1">
    <w:name w:val="ECHR_Table_Fax1"/>
    <w:basedOn w:val="Standardowy"/>
    <w:uiPriority w:val="99"/>
    <w:rsid w:val="005766EE"/>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1">
    <w:name w:val="ECHR_Table_Memo1"/>
    <w:basedOn w:val="Standardowy"/>
    <w:uiPriority w:val="99"/>
    <w:rsid w:val="005766EE"/>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DNTable1">
    <w:name w:val="DN_Table1"/>
    <w:basedOn w:val="Standardowy"/>
    <w:uiPriority w:val="99"/>
    <w:rsid w:val="005766EE"/>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TableSimpleBox1">
    <w:name w:val="ECHR_Table_Simple_Box1"/>
    <w:basedOn w:val="Standardowy"/>
    <w:uiPriority w:val="99"/>
    <w:rsid w:val="005766EE"/>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1">
    <w:name w:val="ECHR_Table_No_Lines1"/>
    <w:basedOn w:val="Standardowy"/>
    <w:uiPriority w:val="99"/>
    <w:rsid w:val="005766EE"/>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1">
    <w:name w:val="ECHR_Table_For_Internal_Use1"/>
    <w:basedOn w:val="Standardowy"/>
    <w:uiPriority w:val="99"/>
    <w:rsid w:val="005766EE"/>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1">
    <w:name w:val="ECHR_List_Table1"/>
    <w:basedOn w:val="Standardowy"/>
    <w:uiPriority w:val="99"/>
    <w:rsid w:val="005766E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1">
    <w:name w:val="ECHR_Header_Table1"/>
    <w:basedOn w:val="Standardowy"/>
    <w:uiPriority w:val="99"/>
    <w:rsid w:val="005766EE"/>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1">
    <w:name w:val="ECHR_Table_Odd_Banded1"/>
    <w:basedOn w:val="Standardowy"/>
    <w:uiPriority w:val="99"/>
    <w:rsid w:val="005766EE"/>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1">
    <w:name w:val="ECHR_Header_Table_Reduced1"/>
    <w:basedOn w:val="Standardowy"/>
    <w:uiPriority w:val="99"/>
    <w:rsid w:val="005766EE"/>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ourt">
    <w:name w:val="Ju_Court"/>
    <w:basedOn w:val="Normalny"/>
    <w:next w:val="Normalny"/>
    <w:uiPriority w:val="16"/>
    <w:qFormat/>
    <w:rsid w:val="00426AA8"/>
    <w:pPr>
      <w:tabs>
        <w:tab w:val="left" w:pos="907"/>
        <w:tab w:val="left" w:pos="1701"/>
        <w:tab w:val="right" w:pos="7371"/>
      </w:tabs>
      <w:spacing w:before="240"/>
      <w:ind w:left="397" w:hanging="397"/>
      <w:jc w:val="left"/>
    </w:pPr>
    <w:rPr>
      <w:lang w:bidi="en-US"/>
    </w:rPr>
  </w:style>
  <w:style w:type="paragraph" w:customStyle="1" w:styleId="JuParaLast">
    <w:name w:val="Ju_Para_Last"/>
    <w:basedOn w:val="Normalny"/>
    <w:next w:val="ECHRPara"/>
    <w:uiPriority w:val="30"/>
    <w:qFormat/>
    <w:rsid w:val="00426AA8"/>
    <w:pPr>
      <w:keepNext/>
      <w:keepLines/>
      <w:spacing w:before="240"/>
      <w:ind w:firstLine="284"/>
    </w:pPr>
  </w:style>
  <w:style w:type="paragraph" w:customStyle="1" w:styleId="DecList">
    <w:name w:val="Dec_List"/>
    <w:basedOn w:val="Normalny"/>
    <w:uiPriority w:val="9"/>
    <w:semiHidden/>
    <w:qFormat/>
    <w:rsid w:val="00426AA8"/>
    <w:pPr>
      <w:spacing w:before="240"/>
      <w:ind w:left="284"/>
    </w:pPr>
  </w:style>
  <w:style w:type="paragraph" w:customStyle="1" w:styleId="JuList">
    <w:name w:val="Ju_List"/>
    <w:basedOn w:val="Normalny"/>
    <w:uiPriority w:val="28"/>
    <w:qFormat/>
    <w:rsid w:val="00426AA8"/>
    <w:pPr>
      <w:ind w:left="340" w:hanging="340"/>
    </w:pPr>
  </w:style>
  <w:style w:type="character" w:styleId="Numerstrony">
    <w:name w:val="page number"/>
    <w:uiPriority w:val="99"/>
    <w:semiHidden/>
    <w:rsid w:val="005766EE"/>
    <w:rPr>
      <w:sz w:val="18"/>
    </w:rPr>
  </w:style>
  <w:style w:type="paragraph" w:customStyle="1" w:styleId="JuLista">
    <w:name w:val="Ju_List_a"/>
    <w:basedOn w:val="JuList"/>
    <w:uiPriority w:val="28"/>
    <w:qFormat/>
    <w:rsid w:val="00426AA8"/>
    <w:pPr>
      <w:ind w:left="346" w:firstLine="0"/>
    </w:pPr>
  </w:style>
  <w:style w:type="paragraph" w:customStyle="1" w:styleId="JuListi">
    <w:name w:val="Ju_List_i"/>
    <w:basedOn w:val="Normalny"/>
    <w:next w:val="JuLista"/>
    <w:uiPriority w:val="28"/>
    <w:qFormat/>
    <w:rsid w:val="00426AA8"/>
    <w:pPr>
      <w:ind w:left="794"/>
    </w:pPr>
  </w:style>
  <w:style w:type="character" w:styleId="Odwoaniedokomentarza">
    <w:name w:val="annotation reference"/>
    <w:uiPriority w:val="99"/>
    <w:semiHidden/>
    <w:rsid w:val="005766EE"/>
    <w:rPr>
      <w:sz w:val="16"/>
    </w:rPr>
  </w:style>
  <w:style w:type="paragraph" w:styleId="Tekstkomentarza">
    <w:name w:val="annotation text"/>
    <w:basedOn w:val="Normalny"/>
    <w:link w:val="TekstkomentarzaZnak"/>
    <w:semiHidden/>
    <w:rsid w:val="005766EE"/>
    <w:rPr>
      <w:rFonts w:eastAsia="Times New Roman"/>
      <w:sz w:val="20"/>
      <w:lang w:val="en-US"/>
    </w:rPr>
  </w:style>
  <w:style w:type="character" w:customStyle="1" w:styleId="TekstkomentarzaZnak">
    <w:name w:val="Tekst komentarza Znak"/>
    <w:basedOn w:val="Domylnaczcionkaakapitu"/>
    <w:link w:val="Tekstkomentarza"/>
    <w:semiHidden/>
    <w:rsid w:val="005766EE"/>
    <w:rPr>
      <w:rFonts w:eastAsia="Times New Roman"/>
      <w:sz w:val="20"/>
    </w:rPr>
  </w:style>
  <w:style w:type="paragraph" w:styleId="Tematkomentarza">
    <w:name w:val="annotation subject"/>
    <w:basedOn w:val="Tekstkomentarza"/>
    <w:next w:val="Tekstkomentarza"/>
    <w:link w:val="TematkomentarzaZnak"/>
    <w:uiPriority w:val="99"/>
    <w:semiHidden/>
    <w:rsid w:val="005766EE"/>
    <w:rPr>
      <w:b/>
      <w:bCs/>
    </w:rPr>
  </w:style>
  <w:style w:type="character" w:customStyle="1" w:styleId="TematkomentarzaZnak">
    <w:name w:val="Temat komentarza Znak"/>
    <w:basedOn w:val="TekstkomentarzaZnak"/>
    <w:link w:val="Tematkomentarza"/>
    <w:uiPriority w:val="99"/>
    <w:semiHidden/>
    <w:rsid w:val="005766EE"/>
    <w:rPr>
      <w:rFonts w:eastAsia="Times New Roman"/>
      <w:b/>
      <w:bCs/>
      <w:sz w:val="20"/>
    </w:rPr>
  </w:style>
  <w:style w:type="character" w:styleId="Odwoanieprzypisukocowego">
    <w:name w:val="endnote reference"/>
    <w:basedOn w:val="Domylnaczcionkaakapitu"/>
    <w:uiPriority w:val="99"/>
    <w:semiHidden/>
    <w:rsid w:val="00B2624C"/>
    <w:rPr>
      <w:vertAlign w:val="superscript"/>
    </w:rPr>
  </w:style>
  <w:style w:type="paragraph" w:styleId="Tekstprzypisukocowego">
    <w:name w:val="endnote text"/>
    <w:basedOn w:val="Normalny"/>
    <w:link w:val="TekstprzypisukocowegoZnak"/>
    <w:uiPriority w:val="99"/>
    <w:semiHidden/>
    <w:rsid w:val="00B2624C"/>
    <w:rPr>
      <w:sz w:val="20"/>
      <w:szCs w:val="20"/>
    </w:rPr>
  </w:style>
  <w:style w:type="character" w:customStyle="1" w:styleId="TekstprzypisukocowegoZnak">
    <w:name w:val="Tekst przypisu końcowego Znak"/>
    <w:basedOn w:val="Domylnaczcionkaakapitu"/>
    <w:link w:val="Tekstprzypisukocowego"/>
    <w:uiPriority w:val="99"/>
    <w:semiHidden/>
    <w:rsid w:val="00B2624C"/>
    <w:rPr>
      <w:rFonts w:eastAsiaTheme="minorEastAsia"/>
      <w:sz w:val="20"/>
      <w:szCs w:val="20"/>
      <w:lang w:val="en-GB"/>
    </w:rPr>
  </w:style>
  <w:style w:type="character" w:styleId="UyteHipercze">
    <w:name w:val="FollowedHyperlink"/>
    <w:uiPriority w:val="99"/>
    <w:semiHidden/>
    <w:rsid w:val="005766EE"/>
    <w:rPr>
      <w:color w:val="800080"/>
      <w:u w:val="single"/>
    </w:rPr>
  </w:style>
  <w:style w:type="paragraph" w:styleId="Mapadokumentu">
    <w:name w:val="Document Map"/>
    <w:basedOn w:val="Normalny"/>
    <w:link w:val="MapadokumentuZnak"/>
    <w:uiPriority w:val="99"/>
    <w:semiHidden/>
    <w:rsid w:val="005766EE"/>
    <w:pPr>
      <w:shd w:val="clear" w:color="auto" w:fill="000080"/>
    </w:pPr>
    <w:rPr>
      <w:rFonts w:ascii="Tahoma" w:eastAsia="Times New Roman" w:hAnsi="Tahoma" w:cs="Tahoma"/>
      <w:sz w:val="20"/>
      <w:lang w:val="en-US"/>
    </w:rPr>
  </w:style>
  <w:style w:type="character" w:customStyle="1" w:styleId="MapadokumentuZnak">
    <w:name w:val="Mapa dokumentu Znak"/>
    <w:basedOn w:val="Domylnaczcionkaakapitu"/>
    <w:link w:val="Mapadokumentu"/>
    <w:uiPriority w:val="99"/>
    <w:semiHidden/>
    <w:rsid w:val="005766EE"/>
    <w:rPr>
      <w:rFonts w:ascii="Tahoma" w:eastAsia="Times New Roman" w:hAnsi="Tahoma" w:cs="Tahoma"/>
      <w:sz w:val="20"/>
      <w:shd w:val="clear" w:color="auto" w:fill="000080"/>
    </w:rPr>
  </w:style>
  <w:style w:type="paragraph" w:customStyle="1" w:styleId="OpiH1">
    <w:name w:val="Opi_H_1"/>
    <w:basedOn w:val="ECHRHeading2"/>
    <w:uiPriority w:val="42"/>
    <w:qFormat/>
    <w:rsid w:val="00426AA8"/>
    <w:pPr>
      <w:ind w:left="635" w:hanging="357"/>
      <w:outlineLvl w:val="2"/>
    </w:pPr>
  </w:style>
  <w:style w:type="paragraph" w:styleId="Listapunktowana">
    <w:name w:val="List Bullet"/>
    <w:basedOn w:val="Normalny"/>
    <w:uiPriority w:val="99"/>
    <w:semiHidden/>
    <w:rsid w:val="005766EE"/>
    <w:pPr>
      <w:ind w:left="360" w:hanging="360"/>
    </w:pPr>
    <w:rPr>
      <w:rFonts w:eastAsia="Times New Roman"/>
      <w:lang w:val="en-US"/>
    </w:rPr>
  </w:style>
  <w:style w:type="paragraph" w:customStyle="1" w:styleId="OpiHa0">
    <w:name w:val="Opi_H_a"/>
    <w:basedOn w:val="ECHRHeading3"/>
    <w:uiPriority w:val="43"/>
    <w:qFormat/>
    <w:rsid w:val="00426AA8"/>
    <w:pPr>
      <w:ind w:left="833" w:hanging="357"/>
      <w:outlineLvl w:val="3"/>
    </w:pPr>
    <w:rPr>
      <w:b/>
      <w:i w:val="0"/>
      <w:sz w:val="20"/>
    </w:rPr>
  </w:style>
  <w:style w:type="paragraph" w:customStyle="1" w:styleId="OpiHi">
    <w:name w:val="Opi_H_i"/>
    <w:basedOn w:val="ECHRHeading4"/>
    <w:uiPriority w:val="44"/>
    <w:qFormat/>
    <w:rsid w:val="00426AA8"/>
    <w:pPr>
      <w:ind w:left="1037" w:hanging="357"/>
      <w:outlineLvl w:val="4"/>
    </w:pPr>
    <w:rPr>
      <w:b w:val="0"/>
      <w:i/>
    </w:rPr>
  </w:style>
  <w:style w:type="character" w:customStyle="1" w:styleId="PodtytuZnak">
    <w:name w:val="Podtytuł Znak"/>
    <w:basedOn w:val="Domylnaczcionkaakapitu"/>
    <w:link w:val="Podtytu"/>
    <w:uiPriority w:val="99"/>
    <w:semiHidden/>
    <w:rsid w:val="00426AA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5766EE"/>
    <w:pPr>
      <w:numPr>
        <w:numId w:val="35"/>
      </w:numPr>
    </w:pPr>
  </w:style>
  <w:style w:type="numbering" w:styleId="1ai">
    <w:name w:val="Outline List 1"/>
    <w:basedOn w:val="Bezlisty"/>
    <w:uiPriority w:val="99"/>
    <w:semiHidden/>
    <w:rsid w:val="005766EE"/>
    <w:pPr>
      <w:numPr>
        <w:numId w:val="36"/>
      </w:numPr>
    </w:pPr>
  </w:style>
  <w:style w:type="numbering" w:styleId="Artykusekcja">
    <w:name w:val="Outline List 3"/>
    <w:basedOn w:val="Bezlisty"/>
    <w:uiPriority w:val="99"/>
    <w:semiHidden/>
    <w:rsid w:val="005766EE"/>
    <w:pPr>
      <w:numPr>
        <w:numId w:val="37"/>
      </w:numPr>
    </w:pPr>
  </w:style>
  <w:style w:type="paragraph" w:styleId="Bibliografia">
    <w:name w:val="Bibliography"/>
    <w:basedOn w:val="Normalny"/>
    <w:next w:val="Normalny"/>
    <w:uiPriority w:val="99"/>
    <w:semiHidden/>
    <w:unhideWhenUsed/>
    <w:rsid w:val="005766EE"/>
    <w:rPr>
      <w:rFonts w:eastAsia="Times New Roman"/>
      <w:lang w:val="en-US"/>
    </w:rPr>
  </w:style>
  <w:style w:type="paragraph" w:customStyle="1" w:styleId="DummyStyle">
    <w:name w:val="Dummy_Style"/>
    <w:basedOn w:val="Normalny"/>
    <w:semiHidden/>
    <w:qFormat/>
    <w:rsid w:val="00426AA8"/>
    <w:rPr>
      <w:color w:val="00B050"/>
    </w:rPr>
  </w:style>
  <w:style w:type="paragraph" w:styleId="Tekstpodstawowy">
    <w:name w:val="Body Text"/>
    <w:basedOn w:val="Normalny"/>
    <w:link w:val="TekstpodstawowyZnak"/>
    <w:uiPriority w:val="99"/>
    <w:semiHidden/>
    <w:rsid w:val="005766EE"/>
    <w:pPr>
      <w:spacing w:after="120"/>
    </w:pPr>
    <w:rPr>
      <w:rFonts w:eastAsia="Times New Roman"/>
      <w:lang w:val="en-US"/>
    </w:rPr>
  </w:style>
  <w:style w:type="character" w:customStyle="1" w:styleId="TekstpodstawowyZnak">
    <w:name w:val="Tekst podstawowy Znak"/>
    <w:basedOn w:val="Domylnaczcionkaakapitu"/>
    <w:link w:val="Tekstpodstawowy"/>
    <w:uiPriority w:val="99"/>
    <w:semiHidden/>
    <w:rsid w:val="005766EE"/>
    <w:rPr>
      <w:rFonts w:eastAsia="Times New Roman"/>
      <w:sz w:val="24"/>
    </w:rPr>
  </w:style>
  <w:style w:type="paragraph" w:styleId="Tekstpodstawowy2">
    <w:name w:val="Body Text 2"/>
    <w:basedOn w:val="Normalny"/>
    <w:link w:val="Tekstpodstawowy2Znak"/>
    <w:uiPriority w:val="99"/>
    <w:semiHidden/>
    <w:rsid w:val="005766EE"/>
    <w:pPr>
      <w:spacing w:after="120" w:line="480" w:lineRule="auto"/>
    </w:pPr>
    <w:rPr>
      <w:rFonts w:eastAsia="Times New Roman"/>
      <w:lang w:val="en-US"/>
    </w:rPr>
  </w:style>
  <w:style w:type="character" w:customStyle="1" w:styleId="Tekstpodstawowy2Znak">
    <w:name w:val="Tekst podstawowy 2 Znak"/>
    <w:basedOn w:val="Domylnaczcionkaakapitu"/>
    <w:link w:val="Tekstpodstawowy2"/>
    <w:uiPriority w:val="99"/>
    <w:semiHidden/>
    <w:rsid w:val="005766EE"/>
    <w:rPr>
      <w:rFonts w:eastAsia="Times New Roman"/>
      <w:sz w:val="24"/>
    </w:rPr>
  </w:style>
  <w:style w:type="paragraph" w:styleId="Tekstpodstawowy3">
    <w:name w:val="Body Text 3"/>
    <w:basedOn w:val="Normalny"/>
    <w:link w:val="Tekstpodstawowy3Znak"/>
    <w:uiPriority w:val="99"/>
    <w:semiHidden/>
    <w:rsid w:val="005766EE"/>
    <w:pPr>
      <w:spacing w:after="120"/>
    </w:pPr>
    <w:rPr>
      <w:rFonts w:eastAsia="Times New Roman"/>
      <w:sz w:val="16"/>
      <w:szCs w:val="16"/>
      <w:lang w:val="en-US"/>
    </w:rPr>
  </w:style>
  <w:style w:type="character" w:customStyle="1" w:styleId="Tekstpodstawowy3Znak">
    <w:name w:val="Tekst podstawowy 3 Znak"/>
    <w:basedOn w:val="Domylnaczcionkaakapitu"/>
    <w:link w:val="Tekstpodstawowy3"/>
    <w:uiPriority w:val="99"/>
    <w:semiHidden/>
    <w:rsid w:val="005766EE"/>
    <w:rPr>
      <w:rFonts w:eastAsia="Times New Roman"/>
      <w:sz w:val="16"/>
      <w:szCs w:val="16"/>
    </w:rPr>
  </w:style>
  <w:style w:type="paragraph" w:styleId="Tekstpodstawowyzwciciem">
    <w:name w:val="Body Text First Indent"/>
    <w:basedOn w:val="Tekstpodstawowy"/>
    <w:link w:val="TekstpodstawowyzwciciemZnak"/>
    <w:uiPriority w:val="99"/>
    <w:semiHidden/>
    <w:rsid w:val="005766EE"/>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766EE"/>
    <w:rPr>
      <w:rFonts w:eastAsia="Times New Roman"/>
      <w:sz w:val="24"/>
    </w:rPr>
  </w:style>
  <w:style w:type="paragraph" w:styleId="Tekstpodstawowywcity">
    <w:name w:val="Body Text Indent"/>
    <w:basedOn w:val="Normalny"/>
    <w:link w:val="TekstpodstawowywcityZnak"/>
    <w:uiPriority w:val="99"/>
    <w:semiHidden/>
    <w:rsid w:val="005766EE"/>
    <w:pPr>
      <w:spacing w:after="120"/>
      <w:ind w:left="283"/>
    </w:pPr>
    <w:rPr>
      <w:rFonts w:eastAsia="Times New Roman"/>
      <w:lang w:val="en-US"/>
    </w:rPr>
  </w:style>
  <w:style w:type="character" w:customStyle="1" w:styleId="TekstpodstawowywcityZnak">
    <w:name w:val="Tekst podstawowy wcięty Znak"/>
    <w:basedOn w:val="Domylnaczcionkaakapitu"/>
    <w:link w:val="Tekstpodstawowywcity"/>
    <w:uiPriority w:val="99"/>
    <w:semiHidden/>
    <w:rsid w:val="005766EE"/>
    <w:rPr>
      <w:rFonts w:eastAsia="Times New Roman"/>
      <w:sz w:val="24"/>
    </w:rPr>
  </w:style>
  <w:style w:type="paragraph" w:styleId="Tekstpodstawowyzwciciem2">
    <w:name w:val="Body Text First Indent 2"/>
    <w:basedOn w:val="Tekstpodstawowywcity"/>
    <w:link w:val="Tekstpodstawowyzwciciem2Znak"/>
    <w:uiPriority w:val="99"/>
    <w:semiHidden/>
    <w:rsid w:val="005766EE"/>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766EE"/>
    <w:rPr>
      <w:rFonts w:eastAsia="Times New Roman"/>
      <w:sz w:val="24"/>
    </w:rPr>
  </w:style>
  <w:style w:type="paragraph" w:styleId="Tekstpodstawowywcity2">
    <w:name w:val="Body Text Indent 2"/>
    <w:basedOn w:val="Normalny"/>
    <w:link w:val="Tekstpodstawowywcity2Znak"/>
    <w:uiPriority w:val="99"/>
    <w:semiHidden/>
    <w:rsid w:val="005766EE"/>
    <w:pPr>
      <w:spacing w:after="120" w:line="480" w:lineRule="auto"/>
      <w:ind w:left="283"/>
    </w:pPr>
    <w:rPr>
      <w:rFonts w:eastAsia="Times New Roman"/>
      <w:lang w:val="en-US"/>
    </w:rPr>
  </w:style>
  <w:style w:type="character" w:customStyle="1" w:styleId="Tekstpodstawowywcity2Znak">
    <w:name w:val="Tekst podstawowy wcięty 2 Znak"/>
    <w:basedOn w:val="Domylnaczcionkaakapitu"/>
    <w:link w:val="Tekstpodstawowywcity2"/>
    <w:uiPriority w:val="99"/>
    <w:semiHidden/>
    <w:rsid w:val="005766EE"/>
    <w:rPr>
      <w:rFonts w:eastAsia="Times New Roman"/>
      <w:sz w:val="24"/>
    </w:rPr>
  </w:style>
  <w:style w:type="paragraph" w:styleId="Tekstpodstawowywcity3">
    <w:name w:val="Body Text Indent 3"/>
    <w:basedOn w:val="Normalny"/>
    <w:link w:val="Tekstpodstawowywcity3Znak"/>
    <w:uiPriority w:val="99"/>
    <w:semiHidden/>
    <w:rsid w:val="005766EE"/>
    <w:pPr>
      <w:spacing w:after="120"/>
      <w:ind w:left="283"/>
    </w:pPr>
    <w:rPr>
      <w:rFonts w:eastAsia="Times New Roman"/>
      <w:sz w:val="16"/>
      <w:szCs w:val="16"/>
      <w:lang w:val="en-US"/>
    </w:rPr>
  </w:style>
  <w:style w:type="character" w:customStyle="1" w:styleId="Tekstpodstawowywcity3Znak">
    <w:name w:val="Tekst podstawowy wcięty 3 Znak"/>
    <w:basedOn w:val="Domylnaczcionkaakapitu"/>
    <w:link w:val="Tekstpodstawowywcity3"/>
    <w:uiPriority w:val="99"/>
    <w:semiHidden/>
    <w:rsid w:val="005766EE"/>
    <w:rPr>
      <w:rFonts w:eastAsia="Times New Roman"/>
      <w:sz w:val="16"/>
      <w:szCs w:val="16"/>
    </w:rPr>
  </w:style>
  <w:style w:type="paragraph" w:customStyle="1" w:styleId="JuHeaderLandscape">
    <w:name w:val="Ju_Header_Landscape"/>
    <w:basedOn w:val="ECHRHeader"/>
    <w:uiPriority w:val="4"/>
    <w:qFormat/>
    <w:rsid w:val="00426AA8"/>
    <w:pPr>
      <w:tabs>
        <w:tab w:val="clear" w:pos="3686"/>
        <w:tab w:val="clear" w:pos="7371"/>
        <w:tab w:val="center" w:pos="6146"/>
        <w:tab w:val="right" w:pos="12293"/>
      </w:tabs>
    </w:pPr>
  </w:style>
  <w:style w:type="paragraph" w:styleId="Zwrotpoegnalny">
    <w:name w:val="Closing"/>
    <w:basedOn w:val="Normalny"/>
    <w:link w:val="ZwrotpoegnalnyZnak"/>
    <w:uiPriority w:val="99"/>
    <w:semiHidden/>
    <w:rsid w:val="005766EE"/>
    <w:pPr>
      <w:ind w:left="4252"/>
    </w:pPr>
    <w:rPr>
      <w:rFonts w:eastAsia="Times New Roman"/>
      <w:lang w:val="en-US"/>
    </w:rPr>
  </w:style>
  <w:style w:type="character" w:customStyle="1" w:styleId="ZwrotpoegnalnyZnak">
    <w:name w:val="Zwrot pożegnalny Znak"/>
    <w:basedOn w:val="Domylnaczcionkaakapitu"/>
    <w:link w:val="Zwrotpoegnalny"/>
    <w:uiPriority w:val="99"/>
    <w:semiHidden/>
    <w:rsid w:val="005766EE"/>
    <w:rPr>
      <w:rFonts w:eastAsia="Times New Roman"/>
      <w:sz w:val="24"/>
    </w:rPr>
  </w:style>
  <w:style w:type="table" w:customStyle="1" w:styleId="ColorfulGrid1">
    <w:name w:val="Colorful Grid1"/>
    <w:basedOn w:val="Standardowy"/>
    <w:next w:val="Kolorowasiatka"/>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Standardowy"/>
    <w:next w:val="Kolorowasiatkaakcent1"/>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ColorfulGrid-Accent21">
    <w:name w:val="Colorful Grid - Accent 21"/>
    <w:basedOn w:val="Standardowy"/>
    <w:next w:val="Kolorowasiatkaakcent2"/>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ColorfulGrid-Accent31">
    <w:name w:val="Colorful Grid - Accent 31"/>
    <w:basedOn w:val="Standardowy"/>
    <w:next w:val="Kolorowasiatkaakcent3"/>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41">
    <w:name w:val="Colorful Grid - Accent 41"/>
    <w:basedOn w:val="Standardowy"/>
    <w:next w:val="Kolorowasiatkaakcent4"/>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ColorfulGrid-Accent51">
    <w:name w:val="Colorful Grid - Accent 51"/>
    <w:basedOn w:val="Standardowy"/>
    <w:next w:val="Kolorowasiatkaakcent5"/>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61">
    <w:name w:val="Colorful Grid - Accent 61"/>
    <w:basedOn w:val="Standardowy"/>
    <w:next w:val="Kolorowasiatkaakcent6"/>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Standardowy"/>
    <w:next w:val="Kolorowalista"/>
    <w:uiPriority w:val="99"/>
    <w:semiHidden/>
    <w:rsid w:val="005766EE"/>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Standardowy"/>
    <w:next w:val="Kolorowalistaakcent1"/>
    <w:uiPriority w:val="99"/>
    <w:semiHidden/>
    <w:rsid w:val="005766EE"/>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ColorfulList-Accent21">
    <w:name w:val="Colorful List - Accent 21"/>
    <w:basedOn w:val="Standardowy"/>
    <w:next w:val="Kolorowalistaakcent2"/>
    <w:uiPriority w:val="99"/>
    <w:semiHidden/>
    <w:rsid w:val="005766EE"/>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ColorfulList-Accent31">
    <w:name w:val="Colorful List - Accent 31"/>
    <w:basedOn w:val="Standardowy"/>
    <w:next w:val="Kolorowalistaakcent3"/>
    <w:uiPriority w:val="99"/>
    <w:semiHidden/>
    <w:rsid w:val="005766EE"/>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41">
    <w:name w:val="Colorful List - Accent 41"/>
    <w:basedOn w:val="Standardowy"/>
    <w:next w:val="Kolorowalistaakcent4"/>
    <w:uiPriority w:val="99"/>
    <w:semiHidden/>
    <w:rsid w:val="005766EE"/>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ColorfulList-Accent51">
    <w:name w:val="Colorful List - Accent 51"/>
    <w:basedOn w:val="Standardowy"/>
    <w:next w:val="Kolorowalistaakcent5"/>
    <w:uiPriority w:val="99"/>
    <w:semiHidden/>
    <w:rsid w:val="005766EE"/>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61">
    <w:name w:val="Colorful List - Accent 61"/>
    <w:basedOn w:val="Standardowy"/>
    <w:next w:val="Kolorowalistaakcent6"/>
    <w:uiPriority w:val="99"/>
    <w:semiHidden/>
    <w:rsid w:val="005766EE"/>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Standardowy"/>
    <w:next w:val="Kolorowecieniowanie"/>
    <w:uiPriority w:val="99"/>
    <w:semiHidden/>
    <w:rsid w:val="005766EE"/>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Standardowy"/>
    <w:next w:val="Kolorowecieniowanieakcent1"/>
    <w:uiPriority w:val="99"/>
    <w:semiHidden/>
    <w:rsid w:val="005766EE"/>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ColorfulShading-Accent21">
    <w:name w:val="Colorful Shading - Accent 21"/>
    <w:basedOn w:val="Standardowy"/>
    <w:next w:val="Kolorowecieniowanieakcent2"/>
    <w:uiPriority w:val="99"/>
    <w:semiHidden/>
    <w:rsid w:val="005766EE"/>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ColorfulShading-Accent31">
    <w:name w:val="Colorful Shading - Accent 31"/>
    <w:basedOn w:val="Standardowy"/>
    <w:next w:val="Kolorowecieniowanieakcent3"/>
    <w:uiPriority w:val="99"/>
    <w:semiHidden/>
    <w:rsid w:val="005766EE"/>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ColorfulShading-Accent41">
    <w:name w:val="Colorful Shading - Accent 41"/>
    <w:basedOn w:val="Standardowy"/>
    <w:next w:val="Kolorowecieniowanieakcent4"/>
    <w:uiPriority w:val="99"/>
    <w:semiHidden/>
    <w:rsid w:val="005766EE"/>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ColorfulShading-Accent51">
    <w:name w:val="Colorful Shading - Accent 51"/>
    <w:basedOn w:val="Standardowy"/>
    <w:next w:val="Kolorowecieniowanieakcent5"/>
    <w:uiPriority w:val="99"/>
    <w:semiHidden/>
    <w:rsid w:val="005766EE"/>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ColorfulShading-Accent61">
    <w:name w:val="Colorful Shading - Accent 61"/>
    <w:basedOn w:val="Standardowy"/>
    <w:next w:val="Kolorowecieniowanieakcent6"/>
    <w:uiPriority w:val="99"/>
    <w:semiHidden/>
    <w:rsid w:val="005766EE"/>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Standardowy"/>
    <w:next w:val="Ciemnalista"/>
    <w:uiPriority w:val="99"/>
    <w:semiHidden/>
    <w:rsid w:val="005766EE"/>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Standardowy"/>
    <w:next w:val="Ciemnalista2akcent1"/>
    <w:uiPriority w:val="99"/>
    <w:semiHidden/>
    <w:rsid w:val="005766EE"/>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DarkList-Accent21">
    <w:name w:val="Dark List - Accent 21"/>
    <w:basedOn w:val="Standardowy"/>
    <w:next w:val="Ciemnalistaakcent2"/>
    <w:uiPriority w:val="99"/>
    <w:semiHidden/>
    <w:rsid w:val="005766EE"/>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basedOn w:val="Standardowy"/>
    <w:next w:val="Ciemnalistaakcent3"/>
    <w:uiPriority w:val="99"/>
    <w:semiHidden/>
    <w:rsid w:val="005766EE"/>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41">
    <w:name w:val="Dark List - Accent 41"/>
    <w:basedOn w:val="Standardowy"/>
    <w:next w:val="Ciemnalistaakcent4"/>
    <w:uiPriority w:val="99"/>
    <w:semiHidden/>
    <w:rsid w:val="005766EE"/>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basedOn w:val="Standardowy"/>
    <w:next w:val="Ciemnalistaakcent5"/>
    <w:uiPriority w:val="99"/>
    <w:semiHidden/>
    <w:rsid w:val="005766EE"/>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61">
    <w:name w:val="Dark List - Accent 61"/>
    <w:basedOn w:val="Standardowy"/>
    <w:next w:val="Ciemnalistaakcent6"/>
    <w:uiPriority w:val="99"/>
    <w:semiHidden/>
    <w:rsid w:val="005766EE"/>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5766EE"/>
    <w:rPr>
      <w:rFonts w:eastAsia="Times New Roman"/>
      <w:lang w:val="en-US"/>
    </w:rPr>
  </w:style>
  <w:style w:type="character" w:customStyle="1" w:styleId="DataZnak">
    <w:name w:val="Data Znak"/>
    <w:basedOn w:val="Domylnaczcionkaakapitu"/>
    <w:link w:val="Data"/>
    <w:uiPriority w:val="99"/>
    <w:semiHidden/>
    <w:rsid w:val="005766EE"/>
    <w:rPr>
      <w:rFonts w:eastAsia="Times New Roman"/>
      <w:sz w:val="24"/>
    </w:rPr>
  </w:style>
  <w:style w:type="paragraph" w:styleId="Podpise-mail">
    <w:name w:val="E-mail Signature"/>
    <w:basedOn w:val="Normalny"/>
    <w:link w:val="Podpise-mailZnak"/>
    <w:uiPriority w:val="99"/>
    <w:semiHidden/>
    <w:rsid w:val="005766EE"/>
    <w:rPr>
      <w:rFonts w:eastAsia="Times New Roman"/>
      <w:lang w:val="en-US"/>
    </w:rPr>
  </w:style>
  <w:style w:type="character" w:customStyle="1" w:styleId="Podpise-mailZnak">
    <w:name w:val="Podpis e-mail Znak"/>
    <w:basedOn w:val="Domylnaczcionkaakapitu"/>
    <w:link w:val="Podpise-mail"/>
    <w:uiPriority w:val="99"/>
    <w:semiHidden/>
    <w:rsid w:val="005766EE"/>
    <w:rPr>
      <w:rFonts w:eastAsia="Times New Roman"/>
      <w:sz w:val="24"/>
    </w:rPr>
  </w:style>
  <w:style w:type="paragraph" w:styleId="Legenda">
    <w:name w:val="caption"/>
    <w:basedOn w:val="Normalny"/>
    <w:next w:val="Normalny"/>
    <w:uiPriority w:val="99"/>
    <w:semiHidden/>
    <w:qFormat/>
    <w:rsid w:val="00070827"/>
    <w:pPr>
      <w:spacing w:after="200"/>
    </w:pPr>
    <w:rPr>
      <w:b/>
      <w:bCs/>
      <w:color w:val="0072BC" w:themeColor="accent1"/>
      <w:sz w:val="18"/>
      <w:szCs w:val="18"/>
    </w:rPr>
  </w:style>
  <w:style w:type="paragraph" w:styleId="Nagwekindeksu">
    <w:name w:val="index heading"/>
    <w:basedOn w:val="Normalny"/>
    <w:next w:val="Indeks1"/>
    <w:uiPriority w:val="99"/>
    <w:semiHidden/>
    <w:rsid w:val="00070827"/>
    <w:rPr>
      <w:rFonts w:asciiTheme="majorHAnsi" w:eastAsiaTheme="majorEastAsia" w:hAnsiTheme="majorHAnsi" w:cstheme="majorBidi"/>
      <w:b/>
      <w:bCs/>
    </w:rPr>
  </w:style>
  <w:style w:type="character" w:styleId="HTML-akronim">
    <w:name w:val="HTML Acronym"/>
    <w:basedOn w:val="Domylnaczcionkaakapitu"/>
    <w:uiPriority w:val="99"/>
    <w:semiHidden/>
    <w:rsid w:val="005766EE"/>
  </w:style>
  <w:style w:type="paragraph" w:styleId="HTML-adres">
    <w:name w:val="HTML Address"/>
    <w:basedOn w:val="Normalny"/>
    <w:link w:val="HTML-adresZnak"/>
    <w:uiPriority w:val="99"/>
    <w:semiHidden/>
    <w:rsid w:val="005766EE"/>
    <w:rPr>
      <w:rFonts w:eastAsia="Times New Roman"/>
      <w:i/>
      <w:iCs/>
      <w:lang w:val="en-US"/>
    </w:rPr>
  </w:style>
  <w:style w:type="character" w:customStyle="1" w:styleId="HTML-adresZnak">
    <w:name w:val="HTML - adres Znak"/>
    <w:basedOn w:val="Domylnaczcionkaakapitu"/>
    <w:link w:val="HTML-adres"/>
    <w:uiPriority w:val="99"/>
    <w:semiHidden/>
    <w:rsid w:val="005766EE"/>
    <w:rPr>
      <w:rFonts w:eastAsia="Times New Roman"/>
      <w:i/>
      <w:iCs/>
      <w:sz w:val="24"/>
    </w:rPr>
  </w:style>
  <w:style w:type="character" w:styleId="HTML-cytat">
    <w:name w:val="HTML Cite"/>
    <w:basedOn w:val="Domylnaczcionkaakapitu"/>
    <w:uiPriority w:val="99"/>
    <w:semiHidden/>
    <w:rsid w:val="005766EE"/>
    <w:rPr>
      <w:i/>
      <w:iCs/>
    </w:rPr>
  </w:style>
  <w:style w:type="character" w:styleId="HTML-kod">
    <w:name w:val="HTML Code"/>
    <w:basedOn w:val="Domylnaczcionkaakapitu"/>
    <w:uiPriority w:val="99"/>
    <w:semiHidden/>
    <w:rsid w:val="005766EE"/>
    <w:rPr>
      <w:rFonts w:ascii="Consolas" w:hAnsi="Consolas" w:cs="Consolas"/>
      <w:sz w:val="20"/>
      <w:szCs w:val="20"/>
    </w:rPr>
  </w:style>
  <w:style w:type="character" w:styleId="HTML-definicja">
    <w:name w:val="HTML Definition"/>
    <w:basedOn w:val="Domylnaczcionkaakapitu"/>
    <w:uiPriority w:val="99"/>
    <w:semiHidden/>
    <w:rsid w:val="005766EE"/>
    <w:rPr>
      <w:i/>
      <w:iCs/>
    </w:rPr>
  </w:style>
  <w:style w:type="character" w:styleId="HTML-klawiatura">
    <w:name w:val="HTML Keyboard"/>
    <w:basedOn w:val="Domylnaczcionkaakapitu"/>
    <w:uiPriority w:val="99"/>
    <w:semiHidden/>
    <w:rsid w:val="005766EE"/>
    <w:rPr>
      <w:rFonts w:ascii="Consolas" w:hAnsi="Consolas" w:cs="Consolas"/>
      <w:sz w:val="20"/>
      <w:szCs w:val="20"/>
    </w:rPr>
  </w:style>
  <w:style w:type="paragraph" w:styleId="HTML-wstpniesformatowany">
    <w:name w:val="HTML Preformatted"/>
    <w:basedOn w:val="Normalny"/>
    <w:link w:val="HTML-wstpniesformatowanyZnak"/>
    <w:uiPriority w:val="99"/>
    <w:semiHidden/>
    <w:rsid w:val="005766EE"/>
    <w:rPr>
      <w:rFonts w:ascii="Consolas" w:eastAsia="Times New Roman" w:hAnsi="Consolas" w:cs="Consolas"/>
      <w:sz w:val="20"/>
      <w:szCs w:val="20"/>
      <w:lang w:val="en-US"/>
    </w:rPr>
  </w:style>
  <w:style w:type="character" w:customStyle="1" w:styleId="HTML-wstpniesformatowanyZnak">
    <w:name w:val="HTML - wstępnie sformatowany Znak"/>
    <w:basedOn w:val="Domylnaczcionkaakapitu"/>
    <w:link w:val="HTML-wstpniesformatowany"/>
    <w:uiPriority w:val="99"/>
    <w:semiHidden/>
    <w:rsid w:val="005766EE"/>
    <w:rPr>
      <w:rFonts w:ascii="Consolas" w:eastAsia="Times New Roman" w:hAnsi="Consolas" w:cs="Consolas"/>
      <w:sz w:val="20"/>
      <w:szCs w:val="20"/>
    </w:rPr>
  </w:style>
  <w:style w:type="character" w:styleId="HTML-przykad">
    <w:name w:val="HTML Sample"/>
    <w:basedOn w:val="Domylnaczcionkaakapitu"/>
    <w:uiPriority w:val="99"/>
    <w:semiHidden/>
    <w:rsid w:val="005766EE"/>
    <w:rPr>
      <w:rFonts w:ascii="Consolas" w:hAnsi="Consolas" w:cs="Consolas"/>
      <w:sz w:val="24"/>
      <w:szCs w:val="24"/>
    </w:rPr>
  </w:style>
  <w:style w:type="character" w:styleId="HTML-staaszeroko">
    <w:name w:val="HTML Typewriter"/>
    <w:basedOn w:val="Domylnaczcionkaakapitu"/>
    <w:uiPriority w:val="99"/>
    <w:semiHidden/>
    <w:rsid w:val="005766EE"/>
    <w:rPr>
      <w:rFonts w:ascii="Consolas" w:hAnsi="Consolas" w:cs="Consolas"/>
      <w:sz w:val="20"/>
      <w:szCs w:val="20"/>
    </w:rPr>
  </w:style>
  <w:style w:type="character" w:styleId="HTML-zmienna">
    <w:name w:val="HTML Variable"/>
    <w:basedOn w:val="Domylnaczcionkaakapitu"/>
    <w:uiPriority w:val="99"/>
    <w:semiHidden/>
    <w:rsid w:val="005766EE"/>
    <w:rPr>
      <w:i/>
      <w:iCs/>
    </w:rPr>
  </w:style>
  <w:style w:type="paragraph" w:styleId="Indeks1">
    <w:name w:val="index 1"/>
    <w:basedOn w:val="Normalny"/>
    <w:next w:val="Normalny"/>
    <w:autoRedefine/>
    <w:uiPriority w:val="99"/>
    <w:semiHidden/>
    <w:rsid w:val="005766EE"/>
    <w:pPr>
      <w:ind w:left="240" w:hanging="240"/>
    </w:pPr>
    <w:rPr>
      <w:rFonts w:eastAsia="Times New Roman"/>
      <w:lang w:val="en-US"/>
    </w:rPr>
  </w:style>
  <w:style w:type="paragraph" w:styleId="Indeks2">
    <w:name w:val="index 2"/>
    <w:basedOn w:val="Normalny"/>
    <w:next w:val="Normalny"/>
    <w:autoRedefine/>
    <w:uiPriority w:val="99"/>
    <w:semiHidden/>
    <w:rsid w:val="005766EE"/>
    <w:pPr>
      <w:ind w:left="480" w:hanging="240"/>
    </w:pPr>
    <w:rPr>
      <w:rFonts w:eastAsia="Times New Roman"/>
      <w:lang w:val="en-US"/>
    </w:rPr>
  </w:style>
  <w:style w:type="paragraph" w:styleId="Indeks3">
    <w:name w:val="index 3"/>
    <w:basedOn w:val="Normalny"/>
    <w:next w:val="Normalny"/>
    <w:autoRedefine/>
    <w:uiPriority w:val="99"/>
    <w:semiHidden/>
    <w:rsid w:val="005766EE"/>
    <w:pPr>
      <w:ind w:left="720" w:hanging="240"/>
    </w:pPr>
    <w:rPr>
      <w:rFonts w:eastAsia="Times New Roman"/>
      <w:lang w:val="en-US"/>
    </w:rPr>
  </w:style>
  <w:style w:type="paragraph" w:styleId="Indeks4">
    <w:name w:val="index 4"/>
    <w:basedOn w:val="Normalny"/>
    <w:next w:val="Normalny"/>
    <w:autoRedefine/>
    <w:uiPriority w:val="99"/>
    <w:semiHidden/>
    <w:rsid w:val="005766EE"/>
    <w:pPr>
      <w:ind w:left="960" w:hanging="240"/>
    </w:pPr>
    <w:rPr>
      <w:rFonts w:eastAsia="Times New Roman"/>
      <w:lang w:val="en-US"/>
    </w:rPr>
  </w:style>
  <w:style w:type="paragraph" w:styleId="Indeks5">
    <w:name w:val="index 5"/>
    <w:basedOn w:val="Normalny"/>
    <w:next w:val="Normalny"/>
    <w:autoRedefine/>
    <w:uiPriority w:val="99"/>
    <w:semiHidden/>
    <w:rsid w:val="005766EE"/>
    <w:pPr>
      <w:ind w:left="1200" w:hanging="240"/>
    </w:pPr>
    <w:rPr>
      <w:rFonts w:eastAsia="Times New Roman"/>
      <w:lang w:val="en-US"/>
    </w:rPr>
  </w:style>
  <w:style w:type="paragraph" w:styleId="Indeks6">
    <w:name w:val="index 6"/>
    <w:basedOn w:val="Normalny"/>
    <w:next w:val="Normalny"/>
    <w:autoRedefine/>
    <w:uiPriority w:val="99"/>
    <w:semiHidden/>
    <w:rsid w:val="005766EE"/>
    <w:pPr>
      <w:ind w:left="1440" w:hanging="240"/>
    </w:pPr>
    <w:rPr>
      <w:rFonts w:eastAsia="Times New Roman"/>
      <w:lang w:val="en-US"/>
    </w:rPr>
  </w:style>
  <w:style w:type="paragraph" w:styleId="Indeks7">
    <w:name w:val="index 7"/>
    <w:basedOn w:val="Normalny"/>
    <w:next w:val="Normalny"/>
    <w:autoRedefine/>
    <w:uiPriority w:val="99"/>
    <w:semiHidden/>
    <w:rsid w:val="005766EE"/>
    <w:pPr>
      <w:ind w:left="1680" w:hanging="240"/>
    </w:pPr>
    <w:rPr>
      <w:rFonts w:eastAsia="Times New Roman"/>
      <w:lang w:val="en-US"/>
    </w:rPr>
  </w:style>
  <w:style w:type="paragraph" w:styleId="Indeks8">
    <w:name w:val="index 8"/>
    <w:basedOn w:val="Normalny"/>
    <w:next w:val="Normalny"/>
    <w:autoRedefine/>
    <w:uiPriority w:val="99"/>
    <w:semiHidden/>
    <w:rsid w:val="005766EE"/>
    <w:pPr>
      <w:ind w:left="1920" w:hanging="240"/>
    </w:pPr>
    <w:rPr>
      <w:rFonts w:eastAsia="Times New Roman"/>
      <w:lang w:val="en-US"/>
    </w:rPr>
  </w:style>
  <w:style w:type="paragraph" w:styleId="Indeks9">
    <w:name w:val="index 9"/>
    <w:basedOn w:val="Normalny"/>
    <w:next w:val="Normalny"/>
    <w:autoRedefine/>
    <w:uiPriority w:val="99"/>
    <w:semiHidden/>
    <w:rsid w:val="005766EE"/>
    <w:pPr>
      <w:ind w:left="2160" w:hanging="240"/>
    </w:pPr>
    <w:rPr>
      <w:rFonts w:eastAsia="Times New Roman"/>
      <w:lang w:val="en-US"/>
    </w:rPr>
  </w:style>
  <w:style w:type="table" w:customStyle="1" w:styleId="LightGrid1">
    <w:name w:val="Light Grid1"/>
    <w:basedOn w:val="Standardowy"/>
    <w:next w:val="Jasnasiatka"/>
    <w:uiPriority w:val="99"/>
    <w:semiHidden/>
    <w:rsid w:val="005766EE"/>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Standardowy"/>
    <w:next w:val="Jasnasiatkaakcent1"/>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
    <w:name w:val="Light Grid - Accent 21"/>
    <w:basedOn w:val="Standardowy"/>
    <w:next w:val="Jasnasiatkaakcent2"/>
    <w:uiPriority w:val="99"/>
    <w:semiHidden/>
    <w:rsid w:val="005766EE"/>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basedOn w:val="Standardowy"/>
    <w:next w:val="Jasnasiatkaakcent3"/>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
    <w:name w:val="Light Grid - Accent 41"/>
    <w:basedOn w:val="Standardowy"/>
    <w:next w:val="Jasnasiatkaakcent4"/>
    <w:uiPriority w:val="99"/>
    <w:semiHidden/>
    <w:rsid w:val="005766EE"/>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basedOn w:val="Standardowy"/>
    <w:next w:val="Jasnasiatkaakcent5"/>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
    <w:name w:val="Light Grid - Accent 61"/>
    <w:basedOn w:val="Standardowy"/>
    <w:next w:val="Jasnasiatkaakcent6"/>
    <w:uiPriority w:val="99"/>
    <w:semiHidden/>
    <w:rsid w:val="005766EE"/>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Standardowy"/>
    <w:next w:val="Jasnalista"/>
    <w:uiPriority w:val="99"/>
    <w:semiHidden/>
    <w:rsid w:val="005766EE"/>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Standardowy"/>
    <w:next w:val="Jasnalistaakcent1"/>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
    <w:name w:val="Light List - Accent 21"/>
    <w:basedOn w:val="Standardowy"/>
    <w:next w:val="Jasnalistaakcent2"/>
    <w:uiPriority w:val="99"/>
    <w:semiHidden/>
    <w:rsid w:val="005766EE"/>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basedOn w:val="Standardowy"/>
    <w:next w:val="Jasnalistaakcent3"/>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
    <w:name w:val="Light List - Accent 41"/>
    <w:basedOn w:val="Standardowy"/>
    <w:next w:val="Jasnalistaakcent4"/>
    <w:uiPriority w:val="99"/>
    <w:semiHidden/>
    <w:rsid w:val="005766EE"/>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basedOn w:val="Standardowy"/>
    <w:next w:val="Jasnalistaakcent5"/>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
    <w:name w:val="Light List - Accent 61"/>
    <w:basedOn w:val="Standardowy"/>
    <w:next w:val="Jasnalistaakcent6"/>
    <w:uiPriority w:val="99"/>
    <w:semiHidden/>
    <w:rsid w:val="005766EE"/>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Standardowy"/>
    <w:next w:val="Jasnecieniowanie"/>
    <w:uiPriority w:val="99"/>
    <w:semiHidden/>
    <w:rsid w:val="005766EE"/>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Standardowy"/>
    <w:next w:val="Jasnecieniowanieakcent1"/>
    <w:uiPriority w:val="99"/>
    <w:semiHidden/>
    <w:rsid w:val="005766EE"/>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LightShading-Accent21">
    <w:name w:val="Light Shading - Accent 21"/>
    <w:basedOn w:val="Standardowy"/>
    <w:next w:val="Jasnecieniowanieakcent2"/>
    <w:uiPriority w:val="99"/>
    <w:semiHidden/>
    <w:rsid w:val="005766EE"/>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LightShading-Accent31">
    <w:name w:val="Light Shading - Accent 31"/>
    <w:basedOn w:val="Standardowy"/>
    <w:next w:val="Jasnecieniowanieakcent3"/>
    <w:uiPriority w:val="99"/>
    <w:semiHidden/>
    <w:rsid w:val="005766EE"/>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41">
    <w:name w:val="Light Shading - Accent 41"/>
    <w:basedOn w:val="Standardowy"/>
    <w:next w:val="Jasnecieniowanieakcent4"/>
    <w:uiPriority w:val="99"/>
    <w:semiHidden/>
    <w:rsid w:val="005766EE"/>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LightShading-Accent51">
    <w:name w:val="Light Shading - Accent 51"/>
    <w:basedOn w:val="Standardowy"/>
    <w:next w:val="Jasnecieniowanieakcent5"/>
    <w:uiPriority w:val="99"/>
    <w:semiHidden/>
    <w:rsid w:val="005766EE"/>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61">
    <w:name w:val="Light Shading - Accent 61"/>
    <w:basedOn w:val="Standardowy"/>
    <w:next w:val="Jasnecieniowanieakcent6"/>
    <w:uiPriority w:val="99"/>
    <w:semiHidden/>
    <w:rsid w:val="005766EE"/>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5766EE"/>
  </w:style>
  <w:style w:type="paragraph" w:styleId="Lista">
    <w:name w:val="List"/>
    <w:basedOn w:val="Normalny"/>
    <w:uiPriority w:val="99"/>
    <w:semiHidden/>
    <w:rsid w:val="005766EE"/>
    <w:pPr>
      <w:ind w:left="283" w:hanging="283"/>
      <w:contextualSpacing/>
    </w:pPr>
    <w:rPr>
      <w:rFonts w:eastAsia="Times New Roman"/>
      <w:lang w:val="en-US"/>
    </w:rPr>
  </w:style>
  <w:style w:type="paragraph" w:styleId="Lista2">
    <w:name w:val="List 2"/>
    <w:basedOn w:val="Normalny"/>
    <w:uiPriority w:val="99"/>
    <w:semiHidden/>
    <w:rsid w:val="005766EE"/>
    <w:pPr>
      <w:ind w:left="566" w:hanging="283"/>
      <w:contextualSpacing/>
    </w:pPr>
    <w:rPr>
      <w:rFonts w:eastAsia="Times New Roman"/>
      <w:lang w:val="en-US"/>
    </w:rPr>
  </w:style>
  <w:style w:type="paragraph" w:styleId="Lista3">
    <w:name w:val="List 3"/>
    <w:basedOn w:val="Normalny"/>
    <w:uiPriority w:val="99"/>
    <w:semiHidden/>
    <w:rsid w:val="005766EE"/>
    <w:pPr>
      <w:ind w:left="849" w:hanging="283"/>
      <w:contextualSpacing/>
    </w:pPr>
    <w:rPr>
      <w:rFonts w:eastAsia="Times New Roman"/>
      <w:lang w:val="en-US"/>
    </w:rPr>
  </w:style>
  <w:style w:type="paragraph" w:styleId="Lista4">
    <w:name w:val="List 4"/>
    <w:basedOn w:val="Normalny"/>
    <w:uiPriority w:val="99"/>
    <w:semiHidden/>
    <w:rsid w:val="005766EE"/>
    <w:pPr>
      <w:ind w:left="1132" w:hanging="283"/>
      <w:contextualSpacing/>
    </w:pPr>
    <w:rPr>
      <w:rFonts w:eastAsia="Times New Roman"/>
      <w:lang w:val="en-US"/>
    </w:rPr>
  </w:style>
  <w:style w:type="paragraph" w:styleId="Lista5">
    <w:name w:val="List 5"/>
    <w:basedOn w:val="Normalny"/>
    <w:uiPriority w:val="99"/>
    <w:semiHidden/>
    <w:rsid w:val="005766EE"/>
    <w:pPr>
      <w:ind w:left="1415" w:hanging="283"/>
      <w:contextualSpacing/>
    </w:pPr>
    <w:rPr>
      <w:rFonts w:eastAsia="Times New Roman"/>
      <w:lang w:val="en-US"/>
    </w:rPr>
  </w:style>
  <w:style w:type="paragraph" w:styleId="Listapunktowana2">
    <w:name w:val="List Bullet 2"/>
    <w:basedOn w:val="Normalny"/>
    <w:uiPriority w:val="99"/>
    <w:semiHidden/>
    <w:rsid w:val="005766EE"/>
    <w:pPr>
      <w:tabs>
        <w:tab w:val="num" w:pos="397"/>
      </w:tabs>
      <w:ind w:left="397" w:hanging="397"/>
      <w:contextualSpacing/>
    </w:pPr>
    <w:rPr>
      <w:rFonts w:eastAsia="Times New Roman"/>
      <w:lang w:val="en-US"/>
    </w:rPr>
  </w:style>
  <w:style w:type="paragraph" w:styleId="Listapunktowana3">
    <w:name w:val="List Bullet 3"/>
    <w:basedOn w:val="Normalny"/>
    <w:uiPriority w:val="99"/>
    <w:semiHidden/>
    <w:rsid w:val="005766EE"/>
    <w:pPr>
      <w:tabs>
        <w:tab w:val="num" w:pos="964"/>
      </w:tabs>
      <w:ind w:left="964" w:hanging="397"/>
      <w:contextualSpacing/>
    </w:pPr>
    <w:rPr>
      <w:rFonts w:eastAsia="Times New Roman"/>
      <w:lang w:val="en-US"/>
    </w:rPr>
  </w:style>
  <w:style w:type="paragraph" w:styleId="Listapunktowana4">
    <w:name w:val="List Bullet 4"/>
    <w:basedOn w:val="Normalny"/>
    <w:uiPriority w:val="99"/>
    <w:semiHidden/>
    <w:rsid w:val="005766EE"/>
    <w:pPr>
      <w:tabs>
        <w:tab w:val="num" w:pos="964"/>
      </w:tabs>
      <w:ind w:left="964" w:hanging="397"/>
      <w:contextualSpacing/>
    </w:pPr>
    <w:rPr>
      <w:rFonts w:eastAsia="Times New Roman"/>
      <w:lang w:val="en-US"/>
    </w:rPr>
  </w:style>
  <w:style w:type="paragraph" w:styleId="Listapunktowana5">
    <w:name w:val="List Bullet 5"/>
    <w:basedOn w:val="Normalny"/>
    <w:uiPriority w:val="99"/>
    <w:semiHidden/>
    <w:rsid w:val="005766EE"/>
    <w:pPr>
      <w:contextualSpacing/>
    </w:pPr>
    <w:rPr>
      <w:rFonts w:eastAsia="Times New Roman"/>
      <w:lang w:val="en-US"/>
    </w:rPr>
  </w:style>
  <w:style w:type="paragraph" w:styleId="Lista-kontynuacja">
    <w:name w:val="List Continue"/>
    <w:basedOn w:val="Normalny"/>
    <w:uiPriority w:val="99"/>
    <w:semiHidden/>
    <w:rsid w:val="005766EE"/>
    <w:pPr>
      <w:spacing w:after="120"/>
      <w:ind w:left="283"/>
      <w:contextualSpacing/>
    </w:pPr>
    <w:rPr>
      <w:rFonts w:eastAsia="Times New Roman"/>
      <w:lang w:val="en-US"/>
    </w:rPr>
  </w:style>
  <w:style w:type="paragraph" w:styleId="Lista-kontynuacja2">
    <w:name w:val="List Continue 2"/>
    <w:basedOn w:val="Normalny"/>
    <w:uiPriority w:val="99"/>
    <w:semiHidden/>
    <w:rsid w:val="005766EE"/>
    <w:pPr>
      <w:spacing w:after="120"/>
      <w:ind w:left="566"/>
      <w:contextualSpacing/>
    </w:pPr>
    <w:rPr>
      <w:rFonts w:eastAsia="Times New Roman"/>
      <w:lang w:val="en-US"/>
    </w:rPr>
  </w:style>
  <w:style w:type="paragraph" w:styleId="Lista-kontynuacja3">
    <w:name w:val="List Continue 3"/>
    <w:basedOn w:val="Normalny"/>
    <w:uiPriority w:val="99"/>
    <w:semiHidden/>
    <w:rsid w:val="005766EE"/>
    <w:pPr>
      <w:spacing w:after="120"/>
      <w:ind w:left="849"/>
      <w:contextualSpacing/>
    </w:pPr>
    <w:rPr>
      <w:rFonts w:eastAsia="Times New Roman"/>
      <w:lang w:val="en-US"/>
    </w:rPr>
  </w:style>
  <w:style w:type="paragraph" w:styleId="Lista-kontynuacja4">
    <w:name w:val="List Continue 4"/>
    <w:basedOn w:val="Normalny"/>
    <w:uiPriority w:val="99"/>
    <w:semiHidden/>
    <w:rsid w:val="005766EE"/>
    <w:pPr>
      <w:spacing w:after="120"/>
      <w:ind w:left="1132"/>
      <w:contextualSpacing/>
    </w:pPr>
    <w:rPr>
      <w:rFonts w:eastAsia="Times New Roman"/>
      <w:lang w:val="en-US"/>
    </w:rPr>
  </w:style>
  <w:style w:type="paragraph" w:styleId="Lista-kontynuacja5">
    <w:name w:val="List Continue 5"/>
    <w:basedOn w:val="Normalny"/>
    <w:uiPriority w:val="99"/>
    <w:semiHidden/>
    <w:rsid w:val="005766EE"/>
    <w:pPr>
      <w:spacing w:after="120"/>
      <w:ind w:left="1415"/>
      <w:contextualSpacing/>
    </w:pPr>
    <w:rPr>
      <w:rFonts w:eastAsia="Times New Roman"/>
      <w:lang w:val="en-US"/>
    </w:rPr>
  </w:style>
  <w:style w:type="paragraph" w:styleId="Listanumerowana">
    <w:name w:val="List Number"/>
    <w:basedOn w:val="Normalny"/>
    <w:uiPriority w:val="99"/>
    <w:semiHidden/>
    <w:rsid w:val="005766EE"/>
    <w:pPr>
      <w:ind w:left="992" w:hanging="425"/>
      <w:contextualSpacing/>
    </w:pPr>
    <w:rPr>
      <w:rFonts w:eastAsia="Times New Roman"/>
      <w:lang w:val="en-US"/>
    </w:rPr>
  </w:style>
  <w:style w:type="paragraph" w:styleId="Listanumerowana2">
    <w:name w:val="List Number 2"/>
    <w:basedOn w:val="Normalny"/>
    <w:uiPriority w:val="99"/>
    <w:semiHidden/>
    <w:rsid w:val="005766EE"/>
    <w:pPr>
      <w:tabs>
        <w:tab w:val="num" w:pos="397"/>
      </w:tabs>
      <w:ind w:left="397" w:hanging="397"/>
      <w:contextualSpacing/>
    </w:pPr>
    <w:rPr>
      <w:rFonts w:eastAsia="Times New Roman"/>
      <w:lang w:val="en-US"/>
    </w:rPr>
  </w:style>
  <w:style w:type="paragraph" w:styleId="Listanumerowana3">
    <w:name w:val="List Number 3"/>
    <w:basedOn w:val="Normalny"/>
    <w:uiPriority w:val="99"/>
    <w:semiHidden/>
    <w:rsid w:val="005766EE"/>
    <w:pPr>
      <w:tabs>
        <w:tab w:val="num" w:pos="964"/>
      </w:tabs>
      <w:ind w:left="964" w:hanging="397"/>
      <w:contextualSpacing/>
    </w:pPr>
    <w:rPr>
      <w:rFonts w:eastAsia="Times New Roman"/>
      <w:lang w:val="en-US"/>
    </w:rPr>
  </w:style>
  <w:style w:type="paragraph" w:styleId="Listanumerowana4">
    <w:name w:val="List Number 4"/>
    <w:basedOn w:val="Normalny"/>
    <w:uiPriority w:val="99"/>
    <w:semiHidden/>
    <w:rsid w:val="005766EE"/>
    <w:pPr>
      <w:tabs>
        <w:tab w:val="num" w:pos="851"/>
      </w:tabs>
      <w:ind w:left="568"/>
      <w:contextualSpacing/>
    </w:pPr>
    <w:rPr>
      <w:rFonts w:eastAsia="Times New Roman"/>
      <w:lang w:val="en-US"/>
    </w:rPr>
  </w:style>
  <w:style w:type="paragraph" w:styleId="Listanumerowana5">
    <w:name w:val="List Number 5"/>
    <w:basedOn w:val="Normalny"/>
    <w:uiPriority w:val="99"/>
    <w:semiHidden/>
    <w:rsid w:val="005766EE"/>
    <w:pPr>
      <w:tabs>
        <w:tab w:val="num" w:pos="643"/>
      </w:tabs>
      <w:ind w:left="643" w:hanging="360"/>
      <w:contextualSpacing/>
    </w:pPr>
    <w:rPr>
      <w:rFonts w:eastAsia="Times New Roman"/>
      <w:lang w:val="en-US"/>
    </w:rPr>
  </w:style>
  <w:style w:type="paragraph" w:styleId="Tekstmakra">
    <w:name w:val="macro"/>
    <w:link w:val="TekstmakraZnak"/>
    <w:uiPriority w:val="99"/>
    <w:semiHidden/>
    <w:rsid w:val="005766EE"/>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5766EE"/>
    <w:rPr>
      <w:rFonts w:ascii="Consolas" w:hAnsi="Consolas" w:cs="Consolas"/>
      <w:sz w:val="20"/>
      <w:szCs w:val="20"/>
      <w:lang w:val="en-GB" w:eastAsia="fr-FR"/>
    </w:rPr>
  </w:style>
  <w:style w:type="table" w:customStyle="1" w:styleId="MediumGrid11">
    <w:name w:val="Medium Grid 11"/>
    <w:basedOn w:val="Standardowy"/>
    <w:next w:val="redniasiatka1"/>
    <w:uiPriority w:val="99"/>
    <w:semiHidden/>
    <w:rsid w:val="005766EE"/>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Standardowy"/>
    <w:next w:val="redniasiatka1akcent1"/>
    <w:uiPriority w:val="99"/>
    <w:semiHidden/>
    <w:rsid w:val="005766EE"/>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MediumGrid1-Accent21">
    <w:name w:val="Medium Grid 1 - Accent 21"/>
    <w:basedOn w:val="Standardowy"/>
    <w:next w:val="redniasiatka1akcent2"/>
    <w:uiPriority w:val="99"/>
    <w:semiHidden/>
    <w:rsid w:val="005766EE"/>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MediumGrid1-Accent31">
    <w:name w:val="Medium Grid 1 - Accent 31"/>
    <w:basedOn w:val="Standardowy"/>
    <w:next w:val="redniasiatka1akcent3"/>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41">
    <w:name w:val="Medium Grid 1 - Accent 41"/>
    <w:basedOn w:val="Standardowy"/>
    <w:next w:val="redniasiatka1akcent4"/>
    <w:uiPriority w:val="99"/>
    <w:semiHidden/>
    <w:rsid w:val="005766EE"/>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MediumGrid1-Accent51">
    <w:name w:val="Medium Grid 1 - Accent 51"/>
    <w:basedOn w:val="Standardowy"/>
    <w:next w:val="redniasiatka1akcent5"/>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61">
    <w:name w:val="Medium Grid 1 - Accent 61"/>
    <w:basedOn w:val="Standardowy"/>
    <w:next w:val="redniasiatka1akcent6"/>
    <w:uiPriority w:val="99"/>
    <w:semiHidden/>
    <w:rsid w:val="005766EE"/>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Standardowy"/>
    <w:next w:val="redniasiatka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2-Accent11">
    <w:name w:val="Medium Grid 2 - Accent 11"/>
    <w:basedOn w:val="Standardowy"/>
    <w:next w:val="redniasiatka2akcent1"/>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MediumGrid2-Accent21">
    <w:name w:val="Medium Grid 2 - Accent 21"/>
    <w:basedOn w:val="Standardowy"/>
    <w:next w:val="redniasiatka2akcent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MediumGrid2-Accent31">
    <w:name w:val="Medium Grid 2 - Accent 31"/>
    <w:basedOn w:val="Standardowy"/>
    <w:next w:val="redniasiatka2akcent3"/>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41">
    <w:name w:val="Medium Grid 2 - Accent 41"/>
    <w:basedOn w:val="Standardowy"/>
    <w:next w:val="redniasiatka2akcent4"/>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MediumGrid2-Accent51">
    <w:name w:val="Medium Grid 2 - Accent 51"/>
    <w:basedOn w:val="Standardowy"/>
    <w:next w:val="redniasiatka2akcent5"/>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61">
    <w:name w:val="Medium Grid 2 - Accent 61"/>
    <w:basedOn w:val="Standardowy"/>
    <w:next w:val="redniasiatka2akcent6"/>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Standardowy"/>
    <w:next w:val="redniasiatka3"/>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Grid3-Accent11">
    <w:name w:val="Medium Grid 3 - Accent 11"/>
    <w:basedOn w:val="Standardowy"/>
    <w:next w:val="redniasiatka3akcent1"/>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
    <w:name w:val="Medium Grid 3 - Accent 21"/>
    <w:basedOn w:val="Standardowy"/>
    <w:next w:val="redniasiatka3akcent2"/>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basedOn w:val="Standardowy"/>
    <w:next w:val="redniasiatka3akcent3"/>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
    <w:name w:val="Medium Grid 3 - Accent 41"/>
    <w:basedOn w:val="Standardowy"/>
    <w:next w:val="redniasiatka3akcent4"/>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basedOn w:val="Standardowy"/>
    <w:next w:val="redniasiatka3akcent5"/>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
    <w:name w:val="Medium Grid 3 - Accent 61"/>
    <w:basedOn w:val="Standardowy"/>
    <w:next w:val="redniasiatka3akcent6"/>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Standardowy"/>
    <w:next w:val="rednialista1"/>
    <w:uiPriority w:val="99"/>
    <w:semiHidden/>
    <w:rsid w:val="005766EE"/>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Standardowy"/>
    <w:next w:val="rednialista1akcent1"/>
    <w:uiPriority w:val="99"/>
    <w:semiHidden/>
    <w:rsid w:val="005766EE"/>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1-Accent21">
    <w:name w:val="Medium List 1 - Accent 21"/>
    <w:basedOn w:val="Standardowy"/>
    <w:next w:val="rednialista1akcent2"/>
    <w:uiPriority w:val="99"/>
    <w:semiHidden/>
    <w:rsid w:val="005766EE"/>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MediumList1-Accent31">
    <w:name w:val="Medium List 1 - Accent 31"/>
    <w:basedOn w:val="Standardowy"/>
    <w:next w:val="rednialista1akcent3"/>
    <w:uiPriority w:val="99"/>
    <w:semiHidden/>
    <w:rsid w:val="005766EE"/>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41">
    <w:name w:val="Medium List 1 - Accent 41"/>
    <w:basedOn w:val="Standardowy"/>
    <w:next w:val="rednialista1akcent4"/>
    <w:uiPriority w:val="99"/>
    <w:semiHidden/>
    <w:rsid w:val="005766EE"/>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MediumList1-Accent51">
    <w:name w:val="Medium List 1 - Accent 51"/>
    <w:basedOn w:val="Standardowy"/>
    <w:next w:val="rednialista1akcent5"/>
    <w:uiPriority w:val="99"/>
    <w:semiHidden/>
    <w:rsid w:val="005766EE"/>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61">
    <w:name w:val="Medium List 1 - Accent 61"/>
    <w:basedOn w:val="Standardowy"/>
    <w:next w:val="rednialista1akcent6"/>
    <w:uiPriority w:val="99"/>
    <w:semiHidden/>
    <w:rsid w:val="005766EE"/>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Standardowy"/>
    <w:next w:val="rednialista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List2-Accent11">
    <w:name w:val="Medium List 2 - Accent 11"/>
    <w:basedOn w:val="Standardowy"/>
    <w:next w:val="rednialista2akcent1"/>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MediumList2-Accent21">
    <w:name w:val="Medium List 2 - Accent 21"/>
    <w:basedOn w:val="Standardowy"/>
    <w:next w:val="rednialista2akcent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MediumList2-Accent31">
    <w:name w:val="Medium List 2 - Accent 31"/>
    <w:basedOn w:val="Standardowy"/>
    <w:next w:val="rednialista2akcent3"/>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41">
    <w:name w:val="Medium List 2 - Accent 41"/>
    <w:basedOn w:val="Standardowy"/>
    <w:next w:val="rednialista2akcent4"/>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MediumList2-Accent51">
    <w:name w:val="Medium List 2 - Accent 51"/>
    <w:basedOn w:val="Standardowy"/>
    <w:next w:val="rednialista2akcent5"/>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61">
    <w:name w:val="Medium List 2 - Accent 61"/>
    <w:basedOn w:val="Standardowy"/>
    <w:next w:val="rednialista2akcent6"/>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Standardowy"/>
    <w:next w:val="redniecieniowanie1"/>
    <w:uiPriority w:val="99"/>
    <w:semiHidden/>
    <w:rsid w:val="005766EE"/>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Standardowy"/>
    <w:next w:val="redniecieniowanie1akcent1"/>
    <w:uiPriority w:val="99"/>
    <w:semiHidden/>
    <w:rsid w:val="005766EE"/>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1-Accent21">
    <w:name w:val="Medium Shading 1 - Accent 21"/>
    <w:basedOn w:val="Standardowy"/>
    <w:next w:val="redniecieniowanie1akcent2"/>
    <w:uiPriority w:val="99"/>
    <w:semiHidden/>
    <w:rsid w:val="005766EE"/>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MediumShading1-Accent31">
    <w:name w:val="Medium Shading 1 - Accent 31"/>
    <w:basedOn w:val="Standardowy"/>
    <w:next w:val="redniecieniowanie1akcent3"/>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41">
    <w:name w:val="Medium Shading 1 - Accent 41"/>
    <w:basedOn w:val="Standardowy"/>
    <w:next w:val="redniecieniowanie1akcent4"/>
    <w:uiPriority w:val="99"/>
    <w:semiHidden/>
    <w:rsid w:val="005766EE"/>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MediumShading1-Accent51">
    <w:name w:val="Medium Shading 1 - Accent 51"/>
    <w:basedOn w:val="Standardowy"/>
    <w:next w:val="redniecieniowanie1akcent5"/>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61">
    <w:name w:val="Medium Shading 1 - Accent 61"/>
    <w:basedOn w:val="Standardowy"/>
    <w:next w:val="redniecieniowanie1akcent6"/>
    <w:uiPriority w:val="99"/>
    <w:semiHidden/>
    <w:rsid w:val="005766EE"/>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1">
    <w:name w:val="Medium Shading 21"/>
    <w:basedOn w:val="Standardowy"/>
    <w:next w:val="redniecieniowanie2"/>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next w:val="redniecieniowanie2akcent1"/>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Standardowy"/>
    <w:next w:val="redniecieniowanie2akcent2"/>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Standardowy"/>
    <w:next w:val="redniecieniowanie2akcent3"/>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Standardowy"/>
    <w:next w:val="redniecieniowanie2akcent4"/>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Standardowy"/>
    <w:next w:val="redniecieniowanie2akcent5"/>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Standardowy"/>
    <w:next w:val="redniecieniowanie2akcent6"/>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ormalnyWeb">
    <w:name w:val="Normal (Web)"/>
    <w:basedOn w:val="Normalny"/>
    <w:uiPriority w:val="99"/>
    <w:semiHidden/>
    <w:rsid w:val="005766EE"/>
    <w:rPr>
      <w:rFonts w:ascii="Times New Roman" w:eastAsia="Times New Roman" w:hAnsi="Times New Roman" w:cs="Times New Roman"/>
      <w:szCs w:val="24"/>
      <w:lang w:val="en-US"/>
    </w:rPr>
  </w:style>
  <w:style w:type="paragraph" w:styleId="Wcicienormalne">
    <w:name w:val="Normal Indent"/>
    <w:basedOn w:val="Normalny"/>
    <w:uiPriority w:val="99"/>
    <w:semiHidden/>
    <w:rsid w:val="005766EE"/>
    <w:pPr>
      <w:ind w:left="720"/>
    </w:pPr>
    <w:rPr>
      <w:rFonts w:eastAsia="Times New Roman"/>
      <w:lang w:val="en-US"/>
    </w:rPr>
  </w:style>
  <w:style w:type="paragraph" w:styleId="Nagweknotatki">
    <w:name w:val="Note Heading"/>
    <w:basedOn w:val="Normalny"/>
    <w:next w:val="Normalny"/>
    <w:link w:val="NagweknotatkiZnak"/>
    <w:uiPriority w:val="99"/>
    <w:semiHidden/>
    <w:rsid w:val="005766EE"/>
    <w:rPr>
      <w:rFonts w:eastAsia="Times New Roman"/>
      <w:lang w:val="en-US"/>
    </w:rPr>
  </w:style>
  <w:style w:type="character" w:customStyle="1" w:styleId="NagweknotatkiZnak">
    <w:name w:val="Nagłówek notatki Znak"/>
    <w:basedOn w:val="Domylnaczcionkaakapitu"/>
    <w:link w:val="Nagweknotatki"/>
    <w:uiPriority w:val="99"/>
    <w:semiHidden/>
    <w:rsid w:val="005766EE"/>
    <w:rPr>
      <w:rFonts w:eastAsia="Times New Roman"/>
      <w:sz w:val="24"/>
    </w:rPr>
  </w:style>
  <w:style w:type="paragraph" w:styleId="Zwykytekst">
    <w:name w:val="Plain Text"/>
    <w:basedOn w:val="Normalny"/>
    <w:link w:val="ZwykytekstZnak"/>
    <w:uiPriority w:val="99"/>
    <w:semiHidden/>
    <w:rsid w:val="005766EE"/>
    <w:rPr>
      <w:rFonts w:ascii="Consolas" w:eastAsia="Times New Roman" w:hAnsi="Consolas" w:cs="Consolas"/>
      <w:sz w:val="21"/>
      <w:szCs w:val="21"/>
      <w:lang w:val="en-US"/>
    </w:rPr>
  </w:style>
  <w:style w:type="character" w:customStyle="1" w:styleId="ZwykytekstZnak">
    <w:name w:val="Zwykły tekst Znak"/>
    <w:basedOn w:val="Domylnaczcionkaakapitu"/>
    <w:link w:val="Zwykytekst"/>
    <w:uiPriority w:val="99"/>
    <w:semiHidden/>
    <w:rsid w:val="005766EE"/>
    <w:rPr>
      <w:rFonts w:ascii="Consolas" w:eastAsia="Times New Roman" w:hAnsi="Consolas" w:cs="Consolas"/>
      <w:sz w:val="21"/>
      <w:szCs w:val="21"/>
    </w:rPr>
  </w:style>
  <w:style w:type="paragraph" w:styleId="Zwrotgrzecznociowy">
    <w:name w:val="Salutation"/>
    <w:basedOn w:val="Normalny"/>
    <w:next w:val="Normalny"/>
    <w:link w:val="ZwrotgrzecznociowyZnak"/>
    <w:uiPriority w:val="99"/>
    <w:semiHidden/>
    <w:rsid w:val="005766EE"/>
    <w:rPr>
      <w:rFonts w:eastAsia="Times New Roman"/>
      <w:lang w:val="en-US"/>
    </w:rPr>
  </w:style>
  <w:style w:type="character" w:customStyle="1" w:styleId="ZwrotgrzecznociowyZnak">
    <w:name w:val="Zwrot grzecznościowy Znak"/>
    <w:basedOn w:val="Domylnaczcionkaakapitu"/>
    <w:link w:val="Zwrotgrzecznociowy"/>
    <w:uiPriority w:val="99"/>
    <w:semiHidden/>
    <w:rsid w:val="005766EE"/>
    <w:rPr>
      <w:rFonts w:eastAsia="Times New Roman"/>
      <w:sz w:val="24"/>
    </w:rPr>
  </w:style>
  <w:style w:type="paragraph" w:styleId="Podpis">
    <w:name w:val="Signature"/>
    <w:basedOn w:val="Normalny"/>
    <w:link w:val="PodpisZnak"/>
    <w:uiPriority w:val="99"/>
    <w:semiHidden/>
    <w:rsid w:val="005766EE"/>
    <w:pPr>
      <w:ind w:left="4252"/>
    </w:pPr>
    <w:rPr>
      <w:rFonts w:eastAsia="Times New Roman"/>
      <w:lang w:val="en-US"/>
    </w:rPr>
  </w:style>
  <w:style w:type="character" w:customStyle="1" w:styleId="PodpisZnak">
    <w:name w:val="Podpis Znak"/>
    <w:basedOn w:val="Domylnaczcionkaakapitu"/>
    <w:link w:val="Podpis"/>
    <w:uiPriority w:val="99"/>
    <w:semiHidden/>
    <w:rsid w:val="005766EE"/>
    <w:rPr>
      <w:rFonts w:eastAsia="Times New Roman"/>
      <w:sz w:val="24"/>
    </w:rPr>
  </w:style>
  <w:style w:type="table" w:styleId="Tabela-Efekty3W1">
    <w:name w:val="Table 3D effects 1"/>
    <w:basedOn w:val="Standardowy"/>
    <w:uiPriority w:val="99"/>
    <w:semiHidden/>
    <w:rsid w:val="005766EE"/>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5766EE"/>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5766EE"/>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5766EE"/>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5766EE"/>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5766EE"/>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5766EE"/>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5766EE"/>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5766EE"/>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5766EE"/>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5766EE"/>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5766EE"/>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5766EE"/>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5766EE"/>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5766EE"/>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5766EE"/>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5766EE"/>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5766E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5766EE"/>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5766EE"/>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5766EE"/>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5766EE"/>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5766EE"/>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5766EE"/>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5766EE"/>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5766EE"/>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5766E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5766EE"/>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5766EE"/>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5766EE"/>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766EE"/>
    <w:pPr>
      <w:ind w:left="240" w:hanging="240"/>
    </w:pPr>
    <w:rPr>
      <w:rFonts w:eastAsia="Times New Roman"/>
      <w:lang w:val="en-US"/>
    </w:rPr>
  </w:style>
  <w:style w:type="paragraph" w:styleId="Spisilustracji">
    <w:name w:val="table of figures"/>
    <w:basedOn w:val="Normalny"/>
    <w:next w:val="Normalny"/>
    <w:uiPriority w:val="99"/>
    <w:semiHidden/>
    <w:rsid w:val="005766EE"/>
    <w:rPr>
      <w:rFonts w:eastAsia="Times New Roman"/>
      <w:lang w:val="en-US"/>
    </w:rPr>
  </w:style>
  <w:style w:type="table" w:styleId="Tabela-Profesjonalny">
    <w:name w:val="Table Professional"/>
    <w:basedOn w:val="Standardowy"/>
    <w:uiPriority w:val="99"/>
    <w:semiHidden/>
    <w:rsid w:val="005766E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5766EE"/>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5766EE"/>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5766EE"/>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5766EE"/>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5766EE"/>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5766EE"/>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5766EE"/>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5766EE"/>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2624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2624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766EE"/>
    <w:pPr>
      <w:spacing w:after="100"/>
      <w:ind w:left="1680"/>
    </w:pPr>
    <w:rPr>
      <w:rFonts w:eastAsia="Times New Roman"/>
      <w:lang w:val="en-US"/>
    </w:rPr>
  </w:style>
  <w:style w:type="paragraph" w:styleId="Spistreci9">
    <w:name w:val="toc 9"/>
    <w:basedOn w:val="Normalny"/>
    <w:next w:val="Normalny"/>
    <w:autoRedefine/>
    <w:uiPriority w:val="99"/>
    <w:semiHidden/>
    <w:rsid w:val="005766EE"/>
    <w:pPr>
      <w:spacing w:after="100"/>
      <w:ind w:left="1920"/>
    </w:pPr>
    <w:rPr>
      <w:rFonts w:eastAsia="Times New Roman"/>
      <w:lang w:val="en-US"/>
    </w:rPr>
  </w:style>
  <w:style w:type="character" w:customStyle="1" w:styleId="ECHRParaChar">
    <w:name w:val="ECHR_Para Char"/>
    <w:aliases w:val="Ju_Para Char"/>
    <w:link w:val="ECHRPara"/>
    <w:uiPriority w:val="12"/>
    <w:rsid w:val="005766EE"/>
    <w:rPr>
      <w:rFonts w:eastAsiaTheme="minorEastAsia"/>
      <w:sz w:val="24"/>
      <w:lang w:val="en-GB"/>
    </w:rPr>
  </w:style>
  <w:style w:type="paragraph" w:customStyle="1" w:styleId="Revision1">
    <w:name w:val="Revision1"/>
    <w:next w:val="Poprawka"/>
    <w:hidden/>
    <w:uiPriority w:val="99"/>
    <w:semiHidden/>
    <w:rsid w:val="005766EE"/>
    <w:rPr>
      <w:rFonts w:eastAsia="Times New Roman"/>
      <w:sz w:val="24"/>
    </w:rPr>
  </w:style>
  <w:style w:type="paragraph" w:styleId="Podtytu">
    <w:name w:val="Subtitle"/>
    <w:basedOn w:val="Normalny"/>
    <w:next w:val="Normalny"/>
    <w:link w:val="PodtytuZnak"/>
    <w:uiPriority w:val="99"/>
    <w:semiHidden/>
    <w:qFormat/>
    <w:rsid w:val="00426AA8"/>
    <w:pPr>
      <w:spacing w:after="600"/>
    </w:pPr>
    <w:rPr>
      <w:rFonts w:asciiTheme="majorHAnsi" w:eastAsiaTheme="majorEastAsia" w:hAnsiTheme="majorHAnsi" w:cstheme="majorBidi"/>
      <w:i/>
      <w:iCs/>
      <w:spacing w:val="13"/>
      <w:szCs w:val="24"/>
      <w:lang w:val="en-US" w:bidi="en-US"/>
    </w:rPr>
  </w:style>
  <w:style w:type="paragraph" w:styleId="Tekstblokowy">
    <w:name w:val="Block Text"/>
    <w:basedOn w:val="Normalny"/>
    <w:uiPriority w:val="99"/>
    <w:semiHidden/>
    <w:rsid w:val="005766EE"/>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styleId="Kolorowasiatka">
    <w:name w:val="Colorful Grid"/>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5766EE"/>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5766EE"/>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5766EE"/>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5766EE"/>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5766EE"/>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5766EE"/>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5766EE"/>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5766EE"/>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5766EE"/>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5766EE"/>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5766EE"/>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5766EE"/>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5766EE"/>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5766EE"/>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5766EE"/>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5766EE"/>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5766EE"/>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5766EE"/>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5766EE"/>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5766EE"/>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5766EE"/>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Adresnakopercie">
    <w:name w:val="envelope address"/>
    <w:basedOn w:val="Normalny"/>
    <w:uiPriority w:val="99"/>
    <w:semiHidden/>
    <w:rsid w:val="005766EE"/>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5766EE"/>
    <w:rPr>
      <w:rFonts w:asciiTheme="majorHAnsi" w:eastAsiaTheme="majorEastAsia" w:hAnsiTheme="majorHAnsi" w:cstheme="majorBidi"/>
      <w:sz w:val="20"/>
      <w:szCs w:val="20"/>
    </w:rPr>
  </w:style>
  <w:style w:type="table" w:styleId="Jasnasiatka">
    <w:name w:val="Light Grid"/>
    <w:basedOn w:val="Standardowy"/>
    <w:uiPriority w:val="99"/>
    <w:semiHidden/>
    <w:rsid w:val="005766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5766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5766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5766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5766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5766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5766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5766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5766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5766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5766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5766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5766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5766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5766E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5766EE"/>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5766EE"/>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5766EE"/>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5766EE"/>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5766EE"/>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5766EE"/>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99"/>
    <w:semiHidden/>
    <w:rsid w:val="005766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5766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5766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5766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5766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5766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5766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5766E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5766EE"/>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5766EE"/>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5766EE"/>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5766EE"/>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5766EE"/>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5766EE"/>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5766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5766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5766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5766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5766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5766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5766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766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766EE"/>
    <w:rPr>
      <w:rFonts w:asciiTheme="majorHAnsi" w:eastAsiaTheme="majorEastAsia" w:hAnsiTheme="majorHAnsi" w:cstheme="majorBidi"/>
      <w:sz w:val="24"/>
      <w:szCs w:val="24"/>
      <w:shd w:val="pct20" w:color="auto" w:fill="auto"/>
      <w:lang w:val="en-GB"/>
    </w:rPr>
  </w:style>
  <w:style w:type="paragraph" w:styleId="Poprawka">
    <w:name w:val="Revision"/>
    <w:hidden/>
    <w:uiPriority w:val="99"/>
    <w:semiHidden/>
    <w:rsid w:val="005766EE"/>
    <w:rPr>
      <w:lang w:val="en-GB"/>
    </w:rPr>
  </w:style>
  <w:style w:type="paragraph" w:customStyle="1" w:styleId="JuCase">
    <w:name w:val="Ju_Case"/>
    <w:basedOn w:val="Normalny"/>
    <w:next w:val="ECHRPara"/>
    <w:uiPriority w:val="10"/>
    <w:rsid w:val="00B2624C"/>
    <w:pPr>
      <w:ind w:firstLine="284"/>
    </w:pPr>
    <w:rPr>
      <w:b/>
    </w:rPr>
  </w:style>
  <w:style w:type="paragraph" w:customStyle="1" w:styleId="jupara">
    <w:name w:val="jupara"/>
    <w:basedOn w:val="Normalny"/>
    <w:rsid w:val="00E915E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E915EE"/>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semiHidden="0"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A552C"/>
    <w:pPr>
      <w:jc w:val="both"/>
    </w:pPr>
    <w:rPr>
      <w:rFonts w:eastAsiaTheme="minorEastAsia"/>
      <w:sz w:val="24"/>
      <w:lang w:val="en-GB"/>
    </w:rPr>
  </w:style>
  <w:style w:type="paragraph" w:styleId="Nagwek1">
    <w:name w:val="heading 1"/>
    <w:basedOn w:val="Normalny"/>
    <w:next w:val="Normalny"/>
    <w:link w:val="Nagwek1Znak"/>
    <w:uiPriority w:val="99"/>
    <w:semiHidden/>
    <w:rsid w:val="00B2624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2624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2624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2624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6AA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B2624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6AA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26AA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26AA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2624C"/>
    <w:rPr>
      <w:rFonts w:ascii="Tahoma" w:hAnsi="Tahoma" w:cs="Tahoma"/>
      <w:sz w:val="16"/>
      <w:szCs w:val="16"/>
    </w:rPr>
  </w:style>
  <w:style w:type="character" w:customStyle="1" w:styleId="TekstdymkaZnak">
    <w:name w:val="Tekst dymka Znak"/>
    <w:basedOn w:val="Domylnaczcionkaakapitu"/>
    <w:link w:val="Tekstdymka"/>
    <w:uiPriority w:val="99"/>
    <w:semiHidden/>
    <w:rsid w:val="00B2624C"/>
    <w:rPr>
      <w:rFonts w:ascii="Tahoma" w:eastAsiaTheme="minorEastAsia" w:hAnsi="Tahoma" w:cs="Tahoma"/>
      <w:sz w:val="16"/>
      <w:szCs w:val="16"/>
      <w:lang w:val="en-GB"/>
    </w:rPr>
  </w:style>
  <w:style w:type="character" w:styleId="Tytuksiki">
    <w:name w:val="Book Title"/>
    <w:uiPriority w:val="99"/>
    <w:semiHidden/>
    <w:qFormat/>
    <w:rsid w:val="00426AA8"/>
    <w:rPr>
      <w:i/>
      <w:iCs/>
      <w:smallCaps/>
      <w:spacing w:val="5"/>
    </w:rPr>
  </w:style>
  <w:style w:type="paragraph" w:customStyle="1" w:styleId="JuAppQuestion">
    <w:name w:val="Ju_App_Question"/>
    <w:basedOn w:val="Normalny"/>
    <w:uiPriority w:val="5"/>
    <w:semiHidden/>
    <w:qFormat/>
    <w:rsid w:val="00426AA8"/>
    <w:pPr>
      <w:numPr>
        <w:numId w:val="49"/>
      </w:numPr>
      <w:jc w:val="left"/>
    </w:pPr>
    <w:rPr>
      <w:b/>
    </w:rPr>
  </w:style>
  <w:style w:type="numbering" w:customStyle="1" w:styleId="ECHRA1StyleBulletedSquare">
    <w:name w:val="ECHR_A1_Style_Bulleted_Square"/>
    <w:basedOn w:val="Bezlisty"/>
    <w:rsid w:val="001A5067"/>
    <w:pPr>
      <w:numPr>
        <w:numId w:val="22"/>
      </w:numPr>
    </w:pPr>
  </w:style>
  <w:style w:type="numbering" w:customStyle="1" w:styleId="ECHRA1StyleNumberedList">
    <w:name w:val="ECHR_A1_Style_Numbered_List"/>
    <w:basedOn w:val="Bezlisty"/>
    <w:rsid w:val="001A5067"/>
    <w:pPr>
      <w:numPr>
        <w:numId w:val="23"/>
      </w:numPr>
    </w:pPr>
  </w:style>
  <w:style w:type="paragraph" w:customStyle="1" w:styleId="OpiPara">
    <w:name w:val="Opi_Para"/>
    <w:basedOn w:val="ECHRPara"/>
    <w:uiPriority w:val="46"/>
    <w:qFormat/>
    <w:rsid w:val="00426AA8"/>
  </w:style>
  <w:style w:type="paragraph" w:customStyle="1" w:styleId="ECHRPara">
    <w:name w:val="ECHR_Para"/>
    <w:aliases w:val="Ju_Para"/>
    <w:basedOn w:val="Normalny"/>
    <w:link w:val="ECHRParaChar"/>
    <w:uiPriority w:val="12"/>
    <w:qFormat/>
    <w:rsid w:val="00426AA8"/>
    <w:pPr>
      <w:ind w:firstLine="284"/>
    </w:pPr>
  </w:style>
  <w:style w:type="paragraph" w:customStyle="1" w:styleId="ECHRDecisionBody">
    <w:name w:val="ECHR_Decision_Body"/>
    <w:aliases w:val="Ju_Judges"/>
    <w:basedOn w:val="Normalny"/>
    <w:uiPriority w:val="11"/>
    <w:qFormat/>
    <w:rsid w:val="00426AA8"/>
    <w:pPr>
      <w:tabs>
        <w:tab w:val="left" w:pos="567"/>
        <w:tab w:val="left" w:pos="1134"/>
      </w:tabs>
      <w:jc w:val="left"/>
    </w:pPr>
  </w:style>
  <w:style w:type="table" w:customStyle="1" w:styleId="ECHRDNTable">
    <w:name w:val="ECHR_DN_Table"/>
    <w:aliases w:val="DN_Table"/>
    <w:basedOn w:val="Standardowy"/>
    <w:uiPriority w:val="99"/>
    <w:rsid w:val="001A506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Stopka">
    <w:name w:val="footer"/>
    <w:basedOn w:val="Normalny"/>
    <w:link w:val="StopkaZnak"/>
    <w:uiPriority w:val="57"/>
    <w:semiHidden/>
    <w:rsid w:val="00B2624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2624C"/>
    <w:rPr>
      <w:sz w:val="24"/>
      <w:lang w:val="en-GB"/>
    </w:rPr>
  </w:style>
  <w:style w:type="paragraph" w:styleId="Nagwek">
    <w:name w:val="header"/>
    <w:basedOn w:val="Normalny"/>
    <w:link w:val="NagwekZnak"/>
    <w:uiPriority w:val="48"/>
    <w:semiHidden/>
    <w:rsid w:val="00B2624C"/>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B2624C"/>
    <w:rPr>
      <w:sz w:val="24"/>
      <w:lang w:val="en-GB"/>
    </w:rPr>
  </w:style>
  <w:style w:type="paragraph" w:customStyle="1" w:styleId="ECHRHeader">
    <w:name w:val="ECHR_Header"/>
    <w:aliases w:val="Ju_Header"/>
    <w:basedOn w:val="Nagwek"/>
    <w:uiPriority w:val="4"/>
    <w:qFormat/>
    <w:rsid w:val="00426AA8"/>
    <w:pPr>
      <w:tabs>
        <w:tab w:val="clear" w:pos="4536"/>
        <w:tab w:val="clear" w:pos="9072"/>
        <w:tab w:val="center" w:pos="3686"/>
        <w:tab w:val="right" w:pos="7371"/>
      </w:tabs>
      <w:jc w:val="left"/>
    </w:pPr>
    <w:rPr>
      <w:sz w:val="18"/>
    </w:rPr>
  </w:style>
  <w:style w:type="character" w:customStyle="1" w:styleId="Nagwek1Znak">
    <w:name w:val="Nagłówek 1 Znak"/>
    <w:basedOn w:val="Domylnaczcionkaakapitu"/>
    <w:link w:val="Nagwek1"/>
    <w:uiPriority w:val="99"/>
    <w:semiHidden/>
    <w:rsid w:val="00B2624C"/>
    <w:rPr>
      <w:rFonts w:asciiTheme="majorHAnsi" w:eastAsiaTheme="majorEastAsia" w:hAnsiTheme="majorHAnsi" w:cstheme="majorBidi"/>
      <w:b/>
      <w:bCs/>
      <w:color w:val="333333"/>
      <w:sz w:val="28"/>
      <w:szCs w:val="28"/>
      <w:lang w:val="en-GB"/>
    </w:rPr>
  </w:style>
  <w:style w:type="table" w:customStyle="1" w:styleId="ECHRHeaderTable">
    <w:name w:val="ECHR_Header_Table"/>
    <w:basedOn w:val="Standardowy"/>
    <w:uiPriority w:val="99"/>
    <w:rsid w:val="001A506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Nagwek2Znak">
    <w:name w:val="Nagłówek 2 Znak"/>
    <w:basedOn w:val="Domylnaczcionkaakapitu"/>
    <w:link w:val="Nagwek2"/>
    <w:uiPriority w:val="99"/>
    <w:semiHidden/>
    <w:rsid w:val="00B2624C"/>
    <w:rPr>
      <w:rFonts w:asciiTheme="majorHAnsi" w:eastAsiaTheme="majorEastAsia" w:hAnsiTheme="majorHAnsi" w:cstheme="majorBidi"/>
      <w:b/>
      <w:bCs/>
      <w:color w:val="4D4D4D"/>
      <w:sz w:val="26"/>
      <w:szCs w:val="26"/>
      <w:lang w:val="en-GB"/>
    </w:rPr>
  </w:style>
  <w:style w:type="table" w:customStyle="1" w:styleId="ECHRHeaderTableReduced">
    <w:name w:val="ECHR_Header_Table_Reduced"/>
    <w:basedOn w:val="Standardowy"/>
    <w:uiPriority w:val="99"/>
    <w:rsid w:val="001A5067"/>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Heading1">
    <w:name w:val="ECHR_Heading_1"/>
    <w:aliases w:val="Ju_H_I_Roman"/>
    <w:basedOn w:val="Nagwek1"/>
    <w:next w:val="ECHRPara"/>
    <w:uiPriority w:val="19"/>
    <w:qFormat/>
    <w:rsid w:val="00426AA8"/>
    <w:pPr>
      <w:keepNext/>
      <w:keepLines/>
      <w:tabs>
        <w:tab w:val="left" w:pos="357"/>
      </w:tabs>
      <w:spacing w:before="360" w:after="240"/>
      <w:ind w:left="357" w:hanging="357"/>
      <w:contextualSpacing w:val="0"/>
    </w:pPr>
    <w:rPr>
      <w:b w:val="0"/>
      <w:color w:val="auto"/>
      <w:sz w:val="24"/>
    </w:rPr>
  </w:style>
  <w:style w:type="character" w:customStyle="1" w:styleId="Nagwek3Znak">
    <w:name w:val="Nagłówek 3 Znak"/>
    <w:basedOn w:val="Domylnaczcionkaakapitu"/>
    <w:link w:val="Nagwek3"/>
    <w:uiPriority w:val="99"/>
    <w:semiHidden/>
    <w:rsid w:val="00B2624C"/>
    <w:rPr>
      <w:rFonts w:asciiTheme="majorHAnsi" w:eastAsiaTheme="majorEastAsia" w:hAnsiTheme="majorHAnsi" w:cstheme="majorBidi"/>
      <w:b/>
      <w:bCs/>
      <w:color w:val="5F5F5F"/>
      <w:sz w:val="24"/>
      <w:lang w:val="en-GB"/>
    </w:rPr>
  </w:style>
  <w:style w:type="paragraph" w:customStyle="1" w:styleId="ECHRHeading2">
    <w:name w:val="ECHR_Heading_2"/>
    <w:aliases w:val="Ju_H_A,Head_2"/>
    <w:basedOn w:val="Nagwek2"/>
    <w:next w:val="ECHRPara"/>
    <w:uiPriority w:val="20"/>
    <w:qFormat/>
    <w:rsid w:val="00426AA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26AA8"/>
    <w:pPr>
      <w:keepNext/>
      <w:keepLines/>
      <w:tabs>
        <w:tab w:val="left" w:pos="731"/>
      </w:tabs>
      <w:spacing w:before="240" w:after="120" w:line="240" w:lineRule="auto"/>
      <w:ind w:left="732" w:hanging="301"/>
    </w:pPr>
    <w:rPr>
      <w:b w:val="0"/>
      <w:i/>
      <w:color w:val="auto"/>
    </w:rPr>
  </w:style>
  <w:style w:type="character" w:customStyle="1" w:styleId="Nagwek4Znak">
    <w:name w:val="Nagłówek 4 Znak"/>
    <w:basedOn w:val="Domylnaczcionkaakapitu"/>
    <w:link w:val="Nagwek4"/>
    <w:uiPriority w:val="99"/>
    <w:semiHidden/>
    <w:rsid w:val="00B2624C"/>
    <w:rPr>
      <w:rFonts w:asciiTheme="majorHAnsi" w:eastAsiaTheme="majorEastAsia" w:hAnsiTheme="majorHAnsi" w:cstheme="majorBidi"/>
      <w:b/>
      <w:bCs/>
      <w:i/>
      <w:iCs/>
      <w:color w:val="777777"/>
      <w:sz w:val="24"/>
      <w:lang w:val="en-GB"/>
    </w:rPr>
  </w:style>
  <w:style w:type="paragraph" w:customStyle="1" w:styleId="ECHRHeading4">
    <w:name w:val="ECHR_Heading_4"/>
    <w:aliases w:val="Ju_H_a"/>
    <w:basedOn w:val="Nagwek4"/>
    <w:next w:val="ECHRPara"/>
    <w:uiPriority w:val="22"/>
    <w:qFormat/>
    <w:rsid w:val="00426AA8"/>
    <w:pPr>
      <w:keepNext/>
      <w:keepLines/>
      <w:tabs>
        <w:tab w:val="left" w:pos="975"/>
      </w:tabs>
      <w:spacing w:before="240" w:after="120"/>
      <w:ind w:left="975" w:hanging="340"/>
    </w:pPr>
    <w:rPr>
      <w:i w:val="0"/>
      <w:color w:val="auto"/>
      <w:sz w:val="20"/>
    </w:rPr>
  </w:style>
  <w:style w:type="character" w:customStyle="1" w:styleId="Nagwek5Znak">
    <w:name w:val="Nagłówek 5 Znak"/>
    <w:basedOn w:val="Domylnaczcionkaakapitu"/>
    <w:link w:val="Nagwek5"/>
    <w:uiPriority w:val="99"/>
    <w:semiHidden/>
    <w:rsid w:val="00426AA8"/>
    <w:rPr>
      <w:rFonts w:asciiTheme="majorHAnsi" w:eastAsiaTheme="majorEastAsia" w:hAnsiTheme="majorHAnsi" w:cstheme="majorBidi"/>
      <w:b/>
      <w:bCs/>
      <w:color w:val="808080"/>
    </w:rPr>
  </w:style>
  <w:style w:type="paragraph" w:customStyle="1" w:styleId="ECHRHeading5">
    <w:name w:val="ECHR_Heading_5"/>
    <w:aliases w:val="Ju_H_i"/>
    <w:basedOn w:val="Nagwek5"/>
    <w:next w:val="ECHRPara"/>
    <w:uiPriority w:val="23"/>
    <w:qFormat/>
    <w:rsid w:val="00426AA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426AA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26AA8"/>
    <w:pPr>
      <w:keepNext/>
      <w:keepLines/>
      <w:spacing w:before="240" w:after="120"/>
      <w:ind w:left="1236"/>
    </w:pPr>
    <w:rPr>
      <w:sz w:val="20"/>
      <w:lang w:val="en-GB"/>
    </w:rPr>
  </w:style>
  <w:style w:type="table" w:customStyle="1" w:styleId="ECHRListTable">
    <w:name w:val="ECHR_List_Table"/>
    <w:basedOn w:val="Standardowy"/>
    <w:uiPriority w:val="99"/>
    <w:rsid w:val="00B2624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ECHRParaQuote">
    <w:name w:val="ECHR_Para_Quote"/>
    <w:aliases w:val="Ju_Quot"/>
    <w:basedOn w:val="Normalny"/>
    <w:uiPriority w:val="14"/>
    <w:qFormat/>
    <w:rsid w:val="00426AA8"/>
    <w:pPr>
      <w:spacing w:before="120" w:after="120"/>
      <w:ind w:left="425" w:firstLine="142"/>
    </w:pPr>
    <w:rPr>
      <w:sz w:val="20"/>
    </w:rPr>
  </w:style>
  <w:style w:type="table" w:customStyle="1" w:styleId="ECHRTable">
    <w:name w:val="ECHR_Table"/>
    <w:basedOn w:val="Standardowy"/>
    <w:rsid w:val="001A506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A506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Nagwek6Znak">
    <w:name w:val="Nagłówek 6 Znak"/>
    <w:basedOn w:val="Domylnaczcionkaakapitu"/>
    <w:link w:val="Nagwek6"/>
    <w:uiPriority w:val="99"/>
    <w:semiHidden/>
    <w:rsid w:val="00B2624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26AA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26AA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26AA8"/>
    <w:rPr>
      <w:rFonts w:asciiTheme="majorHAnsi" w:eastAsiaTheme="majorEastAsia" w:hAnsiTheme="majorHAnsi" w:cstheme="majorBidi"/>
      <w:i/>
      <w:iCs/>
      <w:spacing w:val="5"/>
      <w:sz w:val="20"/>
      <w:szCs w:val="20"/>
      <w:lang w:bidi="en-US"/>
    </w:rPr>
  </w:style>
  <w:style w:type="table" w:customStyle="1" w:styleId="ECHRTableFax">
    <w:name w:val="ECHR_Table_Fax"/>
    <w:basedOn w:val="Standardowy"/>
    <w:uiPriority w:val="99"/>
    <w:rsid w:val="001A506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1A506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1A506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Standardowy"/>
    <w:uiPriority w:val="99"/>
    <w:rsid w:val="001A506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OddBanded">
    <w:name w:val="ECHR_Table_Odd_Banded"/>
    <w:basedOn w:val="Standardowy"/>
    <w:uiPriority w:val="99"/>
    <w:rsid w:val="001A506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TableSimpleBox">
    <w:name w:val="ECHR_Table_Simple_Box"/>
    <w:basedOn w:val="Standardowy"/>
    <w:uiPriority w:val="99"/>
    <w:rsid w:val="001A506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ECHRTitle1">
    <w:name w:val="ECHR_Title_1"/>
    <w:aliases w:val="Ju_H_Head"/>
    <w:basedOn w:val="Normalny"/>
    <w:next w:val="ECHRPara"/>
    <w:uiPriority w:val="18"/>
    <w:qFormat/>
    <w:rsid w:val="00426AA8"/>
    <w:pPr>
      <w:keepNext/>
      <w:keepLines/>
      <w:spacing w:before="720" w:after="240"/>
      <w:outlineLvl w:val="0"/>
    </w:pPr>
    <w:rPr>
      <w:rFonts w:asciiTheme="majorHAnsi" w:hAnsiTheme="majorHAnsi"/>
      <w:sz w:val="28"/>
    </w:rPr>
  </w:style>
  <w:style w:type="paragraph" w:customStyle="1" w:styleId="ECHRTitleCentre1">
    <w:name w:val="ECHR_Title_Centre_1"/>
    <w:aliases w:val="Opi_H_Head"/>
    <w:basedOn w:val="Normalny"/>
    <w:next w:val="OpiPara"/>
    <w:uiPriority w:val="39"/>
    <w:qFormat/>
    <w:rsid w:val="00426AA8"/>
    <w:pPr>
      <w:keepNext/>
      <w:keepLines/>
      <w:spacing w:after="240"/>
      <w:jc w:val="center"/>
      <w:outlineLvl w:val="0"/>
    </w:pPr>
    <w:rPr>
      <w:rFonts w:asciiTheme="majorHAnsi" w:hAnsiTheme="majorHAnsi"/>
      <w:sz w:val="28"/>
    </w:rPr>
  </w:style>
  <w:style w:type="paragraph" w:customStyle="1" w:styleId="ECHRTitleCentre2">
    <w:name w:val="ECHR_Title_Centre_2"/>
    <w:aliases w:val="Dec_H_Case"/>
    <w:basedOn w:val="Normalny"/>
    <w:next w:val="ECHRPara"/>
    <w:uiPriority w:val="8"/>
    <w:qFormat/>
    <w:rsid w:val="00426AA8"/>
    <w:pPr>
      <w:spacing w:after="240"/>
      <w:jc w:val="center"/>
      <w:outlineLvl w:val="0"/>
    </w:pPr>
    <w:rPr>
      <w:rFonts w:asciiTheme="majorHAnsi" w:hAnsiTheme="majorHAnsi"/>
    </w:rPr>
  </w:style>
  <w:style w:type="paragraph" w:customStyle="1" w:styleId="ECHRTitleCentre3">
    <w:name w:val="ECHR_Title_Centre_3"/>
    <w:aliases w:val="Ju_H_Article"/>
    <w:basedOn w:val="Normalny"/>
    <w:next w:val="ECHRParaQuote"/>
    <w:uiPriority w:val="27"/>
    <w:qFormat/>
    <w:rsid w:val="00426AA8"/>
    <w:pPr>
      <w:keepNext/>
      <w:keepLines/>
      <w:spacing w:before="240" w:after="120"/>
      <w:jc w:val="center"/>
      <w:outlineLvl w:val="3"/>
    </w:pPr>
    <w:rPr>
      <w:rFonts w:asciiTheme="majorHAnsi" w:hAnsiTheme="majorHAnsi"/>
      <w:b/>
      <w:sz w:val="20"/>
      <w:lang w:bidi="en-US"/>
    </w:rPr>
  </w:style>
  <w:style w:type="character" w:styleId="Uwydatnienie">
    <w:name w:val="Emphasis"/>
    <w:uiPriority w:val="99"/>
    <w:semiHidden/>
    <w:qFormat/>
    <w:rsid w:val="00426AA8"/>
    <w:rPr>
      <w:b/>
      <w:bCs/>
      <w:i/>
      <w:iCs/>
      <w:spacing w:val="10"/>
      <w:bdr w:val="none" w:sz="0" w:space="0" w:color="auto"/>
      <w:shd w:val="clear" w:color="auto" w:fill="auto"/>
    </w:rPr>
  </w:style>
  <w:style w:type="character" w:styleId="Odwoanieprzypisudolnego">
    <w:name w:val="footnote reference"/>
    <w:basedOn w:val="Domylnaczcionkaakapitu"/>
    <w:uiPriority w:val="99"/>
    <w:semiHidden/>
    <w:rsid w:val="00B2624C"/>
    <w:rPr>
      <w:vertAlign w:val="superscript"/>
    </w:rPr>
  </w:style>
  <w:style w:type="paragraph" w:styleId="Tekstprzypisudolnego">
    <w:name w:val="footnote text"/>
    <w:basedOn w:val="Normalny"/>
    <w:link w:val="TekstprzypisudolnegoZnak"/>
    <w:uiPriority w:val="99"/>
    <w:semiHidden/>
    <w:rsid w:val="00B2624C"/>
    <w:rPr>
      <w:sz w:val="20"/>
      <w:szCs w:val="20"/>
    </w:rPr>
  </w:style>
  <w:style w:type="character" w:customStyle="1" w:styleId="TekstprzypisudolnegoZnak">
    <w:name w:val="Tekst przypisu dolnego Znak"/>
    <w:basedOn w:val="Domylnaczcionkaakapitu"/>
    <w:link w:val="Tekstprzypisudolnego"/>
    <w:uiPriority w:val="99"/>
    <w:semiHidden/>
    <w:rsid w:val="00B2624C"/>
    <w:rPr>
      <w:rFonts w:eastAsiaTheme="minorEastAsia"/>
      <w:sz w:val="20"/>
      <w:szCs w:val="20"/>
      <w:lang w:val="en-GB"/>
    </w:rPr>
  </w:style>
  <w:style w:type="character" w:styleId="Hipercze">
    <w:name w:val="Hyperlink"/>
    <w:basedOn w:val="Domylnaczcionkaakapitu"/>
    <w:uiPriority w:val="99"/>
    <w:semiHidden/>
    <w:rsid w:val="00B2624C"/>
    <w:rPr>
      <w:color w:val="0072BC" w:themeColor="hyperlink"/>
      <w:u w:val="single"/>
    </w:rPr>
  </w:style>
  <w:style w:type="character" w:styleId="Wyrnienieintensywne">
    <w:name w:val="Intense Emphasis"/>
    <w:uiPriority w:val="99"/>
    <w:semiHidden/>
    <w:qFormat/>
    <w:rsid w:val="00426AA8"/>
    <w:rPr>
      <w:b/>
      <w:bCs/>
    </w:rPr>
  </w:style>
  <w:style w:type="paragraph" w:styleId="Cytatintensywny">
    <w:name w:val="Intense Quote"/>
    <w:basedOn w:val="Normalny"/>
    <w:next w:val="Normalny"/>
    <w:link w:val="CytatintensywnyZnak"/>
    <w:uiPriority w:val="99"/>
    <w:semiHidden/>
    <w:qFormat/>
    <w:rsid w:val="00426AA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26AA8"/>
    <w:rPr>
      <w:rFonts w:eastAsiaTheme="minorEastAsia"/>
      <w:b/>
      <w:bCs/>
      <w:i/>
      <w:iCs/>
      <w:lang w:bidi="en-US"/>
    </w:rPr>
  </w:style>
  <w:style w:type="character" w:styleId="Odwoanieintensywne">
    <w:name w:val="Intense Reference"/>
    <w:uiPriority w:val="99"/>
    <w:semiHidden/>
    <w:qFormat/>
    <w:rsid w:val="00426AA8"/>
    <w:rPr>
      <w:smallCaps/>
      <w:spacing w:val="5"/>
      <w:u w:val="single"/>
    </w:rPr>
  </w:style>
  <w:style w:type="paragraph" w:styleId="Akapitzlist">
    <w:name w:val="List Paragraph"/>
    <w:basedOn w:val="Normalny"/>
    <w:uiPriority w:val="99"/>
    <w:semiHidden/>
    <w:qFormat/>
    <w:rsid w:val="00426AA8"/>
    <w:pPr>
      <w:ind w:left="720"/>
      <w:contextualSpacing/>
    </w:pPr>
  </w:style>
  <w:style w:type="table" w:customStyle="1" w:styleId="LtrTableAddress">
    <w:name w:val="Ltr_Table_Address"/>
    <w:basedOn w:val="Standardowy"/>
    <w:uiPriority w:val="99"/>
    <w:rsid w:val="001A5067"/>
    <w:tblPr>
      <w:tblInd w:w="5103" w:type="dxa"/>
    </w:tblPr>
  </w:style>
  <w:style w:type="paragraph" w:styleId="Bezodstpw">
    <w:name w:val="No Spacing"/>
    <w:basedOn w:val="Normalny"/>
    <w:link w:val="BezodstpwZnak"/>
    <w:semiHidden/>
    <w:qFormat/>
    <w:rsid w:val="00426AA8"/>
    <w:rPr>
      <w:sz w:val="22"/>
      <w:lang w:val="en-US"/>
    </w:rPr>
  </w:style>
  <w:style w:type="character" w:customStyle="1" w:styleId="BezodstpwZnak">
    <w:name w:val="Bez odstępów Znak"/>
    <w:basedOn w:val="Domylnaczcionkaakapitu"/>
    <w:link w:val="Bezodstpw"/>
    <w:semiHidden/>
    <w:rsid w:val="00426AA8"/>
    <w:rPr>
      <w:rFonts w:eastAsiaTheme="minorEastAsia"/>
    </w:rPr>
  </w:style>
  <w:style w:type="table" w:customStyle="1" w:styleId="PCFTableStyle">
    <w:name w:val="PCF_Table_Style"/>
    <w:basedOn w:val="Standardowy"/>
    <w:uiPriority w:val="99"/>
    <w:rsid w:val="001A5067"/>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character" w:styleId="Tekstzastpczy">
    <w:name w:val="Placeholder Text"/>
    <w:basedOn w:val="Domylnaczcionkaakapitu"/>
    <w:uiPriority w:val="99"/>
    <w:semiHidden/>
    <w:rsid w:val="00B2624C"/>
    <w:rPr>
      <w:color w:val="auto"/>
      <w:bdr w:val="none" w:sz="0" w:space="0" w:color="auto"/>
      <w:shd w:val="clear" w:color="auto" w:fill="DFDFDF" w:themeFill="background2" w:themeFillShade="E6"/>
    </w:rPr>
  </w:style>
  <w:style w:type="paragraph" w:styleId="Cytat">
    <w:name w:val="Quote"/>
    <w:basedOn w:val="Normalny"/>
    <w:next w:val="Normalny"/>
    <w:link w:val="CytatZnak"/>
    <w:uiPriority w:val="99"/>
    <w:semiHidden/>
    <w:qFormat/>
    <w:rsid w:val="00426AA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26AA8"/>
    <w:rPr>
      <w:rFonts w:eastAsiaTheme="minorEastAsia"/>
      <w:i/>
      <w:iCs/>
      <w:lang w:bidi="en-US"/>
    </w:rPr>
  </w:style>
  <w:style w:type="character" w:styleId="Pogrubienie">
    <w:name w:val="Strong"/>
    <w:uiPriority w:val="99"/>
    <w:semiHidden/>
    <w:qFormat/>
    <w:rsid w:val="00426AA8"/>
    <w:rPr>
      <w:b/>
      <w:bCs/>
    </w:rPr>
  </w:style>
  <w:style w:type="character" w:styleId="Wyrnieniedelikatne">
    <w:name w:val="Subtle Emphasis"/>
    <w:uiPriority w:val="99"/>
    <w:semiHidden/>
    <w:qFormat/>
    <w:rsid w:val="00426AA8"/>
    <w:rPr>
      <w:i/>
      <w:iCs/>
    </w:rPr>
  </w:style>
  <w:style w:type="character" w:styleId="Odwoaniedelikatne">
    <w:name w:val="Subtle Reference"/>
    <w:uiPriority w:val="99"/>
    <w:semiHidden/>
    <w:qFormat/>
    <w:rsid w:val="00426AA8"/>
    <w:rPr>
      <w:smallCaps/>
    </w:rPr>
  </w:style>
  <w:style w:type="table" w:styleId="Tabela-Siatka">
    <w:name w:val="Table Grid"/>
    <w:basedOn w:val="Standardowy"/>
    <w:uiPriority w:val="59"/>
    <w:semiHidden/>
    <w:rsid w:val="00B2624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99"/>
    <w:semiHidden/>
    <w:qFormat/>
    <w:rsid w:val="00426AA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26AA8"/>
    <w:rPr>
      <w:rFonts w:asciiTheme="majorHAnsi" w:eastAsiaTheme="majorEastAsia" w:hAnsiTheme="majorHAnsi" w:cstheme="majorBidi"/>
      <w:spacing w:val="5"/>
      <w:sz w:val="52"/>
      <w:szCs w:val="52"/>
      <w:lang w:bidi="en-US"/>
    </w:rPr>
  </w:style>
  <w:style w:type="paragraph" w:styleId="Nagwekwykazurde">
    <w:name w:val="toa heading"/>
    <w:basedOn w:val="Normalny"/>
    <w:next w:val="Normalny"/>
    <w:uiPriority w:val="99"/>
    <w:semiHidden/>
    <w:rsid w:val="00B2624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2624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2624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2624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2624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2624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26AA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1A5067"/>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1A5067"/>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ECHRTableGrey">
    <w:name w:val="ECHR_Table_Grey"/>
    <w:basedOn w:val="Standardowy"/>
    <w:uiPriority w:val="99"/>
    <w:rsid w:val="0047198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Bezlisty"/>
    <w:uiPriority w:val="99"/>
    <w:rsid w:val="00471989"/>
    <w:pPr>
      <w:numPr>
        <w:numId w:val="33"/>
      </w:numPr>
    </w:pPr>
  </w:style>
  <w:style w:type="table" w:customStyle="1" w:styleId="ECHRTable2016">
    <w:name w:val="ECHR_Table_2016"/>
    <w:basedOn w:val="Standardowy"/>
    <w:uiPriority w:val="99"/>
    <w:rsid w:val="00471989"/>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ParaSub">
    <w:name w:val="Ju_Para_Sub"/>
    <w:basedOn w:val="ECHRPara"/>
    <w:uiPriority w:val="13"/>
    <w:qFormat/>
    <w:rsid w:val="00426AA8"/>
    <w:pPr>
      <w:ind w:left="284"/>
    </w:pPr>
  </w:style>
  <w:style w:type="paragraph" w:customStyle="1" w:styleId="OpiParaSub">
    <w:name w:val="Opi_Para_Sub"/>
    <w:basedOn w:val="JuParaSub"/>
    <w:uiPriority w:val="47"/>
    <w:qFormat/>
    <w:rsid w:val="00426AA8"/>
  </w:style>
  <w:style w:type="paragraph" w:customStyle="1" w:styleId="OpiQuot">
    <w:name w:val="Opi_Quot"/>
    <w:basedOn w:val="ECHRParaQuote"/>
    <w:uiPriority w:val="48"/>
    <w:qFormat/>
    <w:rsid w:val="00426AA8"/>
  </w:style>
  <w:style w:type="paragraph" w:customStyle="1" w:styleId="OpiQuotSub">
    <w:name w:val="Opi_Quot_Sub"/>
    <w:basedOn w:val="JuQuotSub"/>
    <w:uiPriority w:val="49"/>
    <w:qFormat/>
    <w:rsid w:val="00426AA8"/>
  </w:style>
  <w:style w:type="paragraph" w:customStyle="1" w:styleId="JuTitle">
    <w:name w:val="Ju_Title"/>
    <w:basedOn w:val="Normalny"/>
    <w:next w:val="ECHRPara"/>
    <w:uiPriority w:val="3"/>
    <w:semiHidden/>
    <w:qFormat/>
    <w:rsid w:val="00426AA8"/>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426AA8"/>
    <w:pPr>
      <w:ind w:left="567"/>
    </w:pPr>
  </w:style>
  <w:style w:type="paragraph" w:customStyle="1" w:styleId="JuInitialled">
    <w:name w:val="Ju_Initialled"/>
    <w:basedOn w:val="Normalny"/>
    <w:uiPriority w:val="31"/>
    <w:qFormat/>
    <w:rsid w:val="00426AA8"/>
    <w:pPr>
      <w:tabs>
        <w:tab w:val="center" w:pos="6407"/>
      </w:tabs>
      <w:spacing w:before="720"/>
      <w:jc w:val="right"/>
    </w:pPr>
  </w:style>
  <w:style w:type="paragraph" w:customStyle="1" w:styleId="JuSigned">
    <w:name w:val="Ju_Signed"/>
    <w:basedOn w:val="Normalny"/>
    <w:next w:val="JuParaLast"/>
    <w:uiPriority w:val="32"/>
    <w:qFormat/>
    <w:rsid w:val="00426AA8"/>
    <w:pPr>
      <w:tabs>
        <w:tab w:val="center" w:pos="851"/>
        <w:tab w:val="center" w:pos="6407"/>
      </w:tabs>
      <w:spacing w:before="720"/>
      <w:jc w:val="left"/>
    </w:pPr>
  </w:style>
  <w:style w:type="paragraph" w:customStyle="1" w:styleId="OpiHA">
    <w:name w:val="Opi_H_A"/>
    <w:basedOn w:val="ECHRHeading1"/>
    <w:next w:val="OpiPara"/>
    <w:uiPriority w:val="41"/>
    <w:qFormat/>
    <w:rsid w:val="00426AA8"/>
    <w:pPr>
      <w:tabs>
        <w:tab w:val="clear" w:pos="357"/>
      </w:tabs>
      <w:outlineLvl w:val="1"/>
    </w:pPr>
    <w:rPr>
      <w:b/>
    </w:rPr>
  </w:style>
  <w:style w:type="character" w:customStyle="1" w:styleId="JUNAMES">
    <w:name w:val="JU_NAMES"/>
    <w:uiPriority w:val="17"/>
    <w:qFormat/>
    <w:rsid w:val="00426AA8"/>
    <w:rPr>
      <w:caps w:val="0"/>
      <w:smallCaps/>
    </w:rPr>
  </w:style>
  <w:style w:type="character" w:customStyle="1" w:styleId="JuITMark">
    <w:name w:val="Ju_ITMark"/>
    <w:basedOn w:val="Domylnaczcionkaakapitu"/>
    <w:uiPriority w:val="38"/>
    <w:qFormat/>
    <w:rsid w:val="00426AA8"/>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426AA8"/>
    <w:pPr>
      <w:jc w:val="center"/>
      <w:outlineLvl w:val="0"/>
    </w:pPr>
    <w:rPr>
      <w:i/>
    </w:rPr>
  </w:style>
  <w:style w:type="paragraph" w:customStyle="1" w:styleId="DecHTitle">
    <w:name w:val="Dec_H_Title"/>
    <w:basedOn w:val="ECHRTitleCentre1"/>
    <w:uiPriority w:val="7"/>
    <w:semiHidden/>
    <w:qFormat/>
    <w:rsid w:val="00426AA8"/>
  </w:style>
  <w:style w:type="table" w:customStyle="1" w:styleId="ECHRTable1">
    <w:name w:val="ECHR_Table1"/>
    <w:basedOn w:val="Standardowy"/>
    <w:rsid w:val="005766EE"/>
    <w:rPr>
      <w:rFonts w:eastAsia="Times New Roman" w:cs="Times New Roman"/>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1">
    <w:name w:val="ECHR_Table_Box_Header1"/>
    <w:basedOn w:val="Standardowy"/>
    <w:rsid w:val="005766E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cPr>
    <w:tblStylePr w:type="firstCol">
      <w:rPr>
        <w:b/>
        <w:color w:val="5F5F5F"/>
      </w:rPr>
    </w:tblStylePr>
  </w:style>
  <w:style w:type="table" w:customStyle="1" w:styleId="LtrTableAddress1">
    <w:name w:val="Ltr_Table_Address1"/>
    <w:basedOn w:val="Standardowy"/>
    <w:uiPriority w:val="99"/>
    <w:rsid w:val="005766EE"/>
    <w:tblPr>
      <w:tblInd w:w="5103" w:type="dxa"/>
    </w:tblPr>
  </w:style>
  <w:style w:type="table" w:customStyle="1" w:styleId="TableGrid1">
    <w:name w:val="Table Grid1"/>
    <w:basedOn w:val="Standardowy"/>
    <w:next w:val="Tabela-Siatka"/>
    <w:uiPriority w:val="59"/>
    <w:semiHidden/>
    <w:rsid w:val="005766E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1">
    <w:name w:val="UG_Table1"/>
    <w:basedOn w:val="Standardowy"/>
    <w:uiPriority w:val="99"/>
    <w:rsid w:val="005766EE"/>
    <w:rPr>
      <w:rFonts w:eastAsia="Times New Roman"/>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5766EE"/>
    <w:rPr>
      <w:rFonts w:eastAsia="Times New Roman"/>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1">
    <w:name w:val="PCF_Table_Style1"/>
    <w:basedOn w:val="Standardowy"/>
    <w:uiPriority w:val="99"/>
    <w:rsid w:val="005766EE"/>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1">
    <w:name w:val="ECHR_Table_Fax1"/>
    <w:basedOn w:val="Standardowy"/>
    <w:uiPriority w:val="99"/>
    <w:rsid w:val="005766EE"/>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1">
    <w:name w:val="ECHR_Table_Memo1"/>
    <w:basedOn w:val="Standardowy"/>
    <w:uiPriority w:val="99"/>
    <w:rsid w:val="005766EE"/>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DNTable1">
    <w:name w:val="DN_Table1"/>
    <w:basedOn w:val="Standardowy"/>
    <w:uiPriority w:val="99"/>
    <w:rsid w:val="005766EE"/>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TableSimpleBox1">
    <w:name w:val="ECHR_Table_Simple_Box1"/>
    <w:basedOn w:val="Standardowy"/>
    <w:uiPriority w:val="99"/>
    <w:rsid w:val="005766EE"/>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1">
    <w:name w:val="ECHR_Table_No_Lines1"/>
    <w:basedOn w:val="Standardowy"/>
    <w:uiPriority w:val="99"/>
    <w:rsid w:val="005766EE"/>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1">
    <w:name w:val="ECHR_Table_For_Internal_Use1"/>
    <w:basedOn w:val="Standardowy"/>
    <w:uiPriority w:val="99"/>
    <w:rsid w:val="005766EE"/>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1">
    <w:name w:val="ECHR_List_Table1"/>
    <w:basedOn w:val="Standardowy"/>
    <w:uiPriority w:val="99"/>
    <w:rsid w:val="005766E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1">
    <w:name w:val="ECHR_Header_Table1"/>
    <w:basedOn w:val="Standardowy"/>
    <w:uiPriority w:val="99"/>
    <w:rsid w:val="005766EE"/>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1">
    <w:name w:val="ECHR_Table_Odd_Banded1"/>
    <w:basedOn w:val="Standardowy"/>
    <w:uiPriority w:val="99"/>
    <w:rsid w:val="005766EE"/>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1">
    <w:name w:val="ECHR_Header_Table_Reduced1"/>
    <w:basedOn w:val="Standardowy"/>
    <w:uiPriority w:val="99"/>
    <w:rsid w:val="005766EE"/>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ourt">
    <w:name w:val="Ju_Court"/>
    <w:basedOn w:val="Normalny"/>
    <w:next w:val="Normalny"/>
    <w:uiPriority w:val="16"/>
    <w:qFormat/>
    <w:rsid w:val="00426AA8"/>
    <w:pPr>
      <w:tabs>
        <w:tab w:val="left" w:pos="907"/>
        <w:tab w:val="left" w:pos="1701"/>
        <w:tab w:val="right" w:pos="7371"/>
      </w:tabs>
      <w:spacing w:before="240"/>
      <w:ind w:left="397" w:hanging="397"/>
      <w:jc w:val="left"/>
    </w:pPr>
    <w:rPr>
      <w:lang w:bidi="en-US"/>
    </w:rPr>
  </w:style>
  <w:style w:type="paragraph" w:customStyle="1" w:styleId="JuParaLast">
    <w:name w:val="Ju_Para_Last"/>
    <w:basedOn w:val="Normalny"/>
    <w:next w:val="ECHRPara"/>
    <w:uiPriority w:val="30"/>
    <w:qFormat/>
    <w:rsid w:val="00426AA8"/>
    <w:pPr>
      <w:keepNext/>
      <w:keepLines/>
      <w:spacing w:before="240"/>
      <w:ind w:firstLine="284"/>
    </w:pPr>
  </w:style>
  <w:style w:type="paragraph" w:customStyle="1" w:styleId="DecList">
    <w:name w:val="Dec_List"/>
    <w:basedOn w:val="Normalny"/>
    <w:uiPriority w:val="9"/>
    <w:semiHidden/>
    <w:qFormat/>
    <w:rsid w:val="00426AA8"/>
    <w:pPr>
      <w:spacing w:before="240"/>
      <w:ind w:left="284"/>
    </w:pPr>
  </w:style>
  <w:style w:type="paragraph" w:customStyle="1" w:styleId="JuList">
    <w:name w:val="Ju_List"/>
    <w:basedOn w:val="Normalny"/>
    <w:uiPriority w:val="28"/>
    <w:qFormat/>
    <w:rsid w:val="00426AA8"/>
    <w:pPr>
      <w:ind w:left="340" w:hanging="340"/>
    </w:pPr>
  </w:style>
  <w:style w:type="character" w:styleId="Numerstrony">
    <w:name w:val="page number"/>
    <w:uiPriority w:val="99"/>
    <w:semiHidden/>
    <w:rsid w:val="005766EE"/>
    <w:rPr>
      <w:sz w:val="18"/>
    </w:rPr>
  </w:style>
  <w:style w:type="paragraph" w:customStyle="1" w:styleId="JuLista">
    <w:name w:val="Ju_List_a"/>
    <w:basedOn w:val="JuList"/>
    <w:uiPriority w:val="28"/>
    <w:qFormat/>
    <w:rsid w:val="00426AA8"/>
    <w:pPr>
      <w:ind w:left="346" w:firstLine="0"/>
    </w:pPr>
  </w:style>
  <w:style w:type="paragraph" w:customStyle="1" w:styleId="JuListi">
    <w:name w:val="Ju_List_i"/>
    <w:basedOn w:val="Normalny"/>
    <w:next w:val="JuLista"/>
    <w:uiPriority w:val="28"/>
    <w:qFormat/>
    <w:rsid w:val="00426AA8"/>
    <w:pPr>
      <w:ind w:left="794"/>
    </w:pPr>
  </w:style>
  <w:style w:type="character" w:styleId="Odwoaniedokomentarza">
    <w:name w:val="annotation reference"/>
    <w:uiPriority w:val="99"/>
    <w:semiHidden/>
    <w:rsid w:val="005766EE"/>
    <w:rPr>
      <w:sz w:val="16"/>
    </w:rPr>
  </w:style>
  <w:style w:type="paragraph" w:styleId="Tekstkomentarza">
    <w:name w:val="annotation text"/>
    <w:basedOn w:val="Normalny"/>
    <w:link w:val="TekstkomentarzaZnak"/>
    <w:semiHidden/>
    <w:rsid w:val="005766EE"/>
    <w:rPr>
      <w:rFonts w:eastAsia="Times New Roman"/>
      <w:sz w:val="20"/>
      <w:lang w:val="en-US"/>
    </w:rPr>
  </w:style>
  <w:style w:type="character" w:customStyle="1" w:styleId="TekstkomentarzaZnak">
    <w:name w:val="Tekst komentarza Znak"/>
    <w:basedOn w:val="Domylnaczcionkaakapitu"/>
    <w:link w:val="Tekstkomentarza"/>
    <w:semiHidden/>
    <w:rsid w:val="005766EE"/>
    <w:rPr>
      <w:rFonts w:eastAsia="Times New Roman"/>
      <w:sz w:val="20"/>
    </w:rPr>
  </w:style>
  <w:style w:type="paragraph" w:styleId="Tematkomentarza">
    <w:name w:val="annotation subject"/>
    <w:basedOn w:val="Tekstkomentarza"/>
    <w:next w:val="Tekstkomentarza"/>
    <w:link w:val="TematkomentarzaZnak"/>
    <w:uiPriority w:val="99"/>
    <w:semiHidden/>
    <w:rsid w:val="005766EE"/>
    <w:rPr>
      <w:b/>
      <w:bCs/>
    </w:rPr>
  </w:style>
  <w:style w:type="character" w:customStyle="1" w:styleId="TematkomentarzaZnak">
    <w:name w:val="Temat komentarza Znak"/>
    <w:basedOn w:val="TekstkomentarzaZnak"/>
    <w:link w:val="Tematkomentarza"/>
    <w:uiPriority w:val="99"/>
    <w:semiHidden/>
    <w:rsid w:val="005766EE"/>
    <w:rPr>
      <w:rFonts w:eastAsia="Times New Roman"/>
      <w:b/>
      <w:bCs/>
      <w:sz w:val="20"/>
    </w:rPr>
  </w:style>
  <w:style w:type="character" w:styleId="Odwoanieprzypisukocowego">
    <w:name w:val="endnote reference"/>
    <w:basedOn w:val="Domylnaczcionkaakapitu"/>
    <w:uiPriority w:val="99"/>
    <w:semiHidden/>
    <w:rsid w:val="00B2624C"/>
    <w:rPr>
      <w:vertAlign w:val="superscript"/>
    </w:rPr>
  </w:style>
  <w:style w:type="paragraph" w:styleId="Tekstprzypisukocowego">
    <w:name w:val="endnote text"/>
    <w:basedOn w:val="Normalny"/>
    <w:link w:val="TekstprzypisukocowegoZnak"/>
    <w:uiPriority w:val="99"/>
    <w:semiHidden/>
    <w:rsid w:val="00B2624C"/>
    <w:rPr>
      <w:sz w:val="20"/>
      <w:szCs w:val="20"/>
    </w:rPr>
  </w:style>
  <w:style w:type="character" w:customStyle="1" w:styleId="TekstprzypisukocowegoZnak">
    <w:name w:val="Tekst przypisu końcowego Znak"/>
    <w:basedOn w:val="Domylnaczcionkaakapitu"/>
    <w:link w:val="Tekstprzypisukocowego"/>
    <w:uiPriority w:val="99"/>
    <w:semiHidden/>
    <w:rsid w:val="00B2624C"/>
    <w:rPr>
      <w:rFonts w:eastAsiaTheme="minorEastAsia"/>
      <w:sz w:val="20"/>
      <w:szCs w:val="20"/>
      <w:lang w:val="en-GB"/>
    </w:rPr>
  </w:style>
  <w:style w:type="character" w:styleId="UyteHipercze">
    <w:name w:val="FollowedHyperlink"/>
    <w:uiPriority w:val="99"/>
    <w:semiHidden/>
    <w:rsid w:val="005766EE"/>
    <w:rPr>
      <w:color w:val="800080"/>
      <w:u w:val="single"/>
    </w:rPr>
  </w:style>
  <w:style w:type="paragraph" w:styleId="Mapadokumentu">
    <w:name w:val="Document Map"/>
    <w:basedOn w:val="Normalny"/>
    <w:link w:val="MapadokumentuZnak"/>
    <w:uiPriority w:val="99"/>
    <w:semiHidden/>
    <w:rsid w:val="005766EE"/>
    <w:pPr>
      <w:shd w:val="clear" w:color="auto" w:fill="000080"/>
    </w:pPr>
    <w:rPr>
      <w:rFonts w:ascii="Tahoma" w:eastAsia="Times New Roman" w:hAnsi="Tahoma" w:cs="Tahoma"/>
      <w:sz w:val="20"/>
      <w:lang w:val="en-US"/>
    </w:rPr>
  </w:style>
  <w:style w:type="character" w:customStyle="1" w:styleId="MapadokumentuZnak">
    <w:name w:val="Mapa dokumentu Znak"/>
    <w:basedOn w:val="Domylnaczcionkaakapitu"/>
    <w:link w:val="Mapadokumentu"/>
    <w:uiPriority w:val="99"/>
    <w:semiHidden/>
    <w:rsid w:val="005766EE"/>
    <w:rPr>
      <w:rFonts w:ascii="Tahoma" w:eastAsia="Times New Roman" w:hAnsi="Tahoma" w:cs="Tahoma"/>
      <w:sz w:val="20"/>
      <w:shd w:val="clear" w:color="auto" w:fill="000080"/>
    </w:rPr>
  </w:style>
  <w:style w:type="paragraph" w:customStyle="1" w:styleId="OpiH1">
    <w:name w:val="Opi_H_1"/>
    <w:basedOn w:val="ECHRHeading2"/>
    <w:uiPriority w:val="42"/>
    <w:qFormat/>
    <w:rsid w:val="00426AA8"/>
    <w:pPr>
      <w:ind w:left="635" w:hanging="357"/>
      <w:outlineLvl w:val="2"/>
    </w:pPr>
  </w:style>
  <w:style w:type="paragraph" w:styleId="Listapunktowana">
    <w:name w:val="List Bullet"/>
    <w:basedOn w:val="Normalny"/>
    <w:uiPriority w:val="99"/>
    <w:semiHidden/>
    <w:rsid w:val="005766EE"/>
    <w:pPr>
      <w:ind w:left="360" w:hanging="360"/>
    </w:pPr>
    <w:rPr>
      <w:rFonts w:eastAsia="Times New Roman"/>
      <w:lang w:val="en-US"/>
    </w:rPr>
  </w:style>
  <w:style w:type="paragraph" w:customStyle="1" w:styleId="OpiHa0">
    <w:name w:val="Opi_H_a"/>
    <w:basedOn w:val="ECHRHeading3"/>
    <w:uiPriority w:val="43"/>
    <w:qFormat/>
    <w:rsid w:val="00426AA8"/>
    <w:pPr>
      <w:ind w:left="833" w:hanging="357"/>
      <w:outlineLvl w:val="3"/>
    </w:pPr>
    <w:rPr>
      <w:b/>
      <w:i w:val="0"/>
      <w:sz w:val="20"/>
    </w:rPr>
  </w:style>
  <w:style w:type="paragraph" w:customStyle="1" w:styleId="OpiHi">
    <w:name w:val="Opi_H_i"/>
    <w:basedOn w:val="ECHRHeading4"/>
    <w:uiPriority w:val="44"/>
    <w:qFormat/>
    <w:rsid w:val="00426AA8"/>
    <w:pPr>
      <w:ind w:left="1037" w:hanging="357"/>
      <w:outlineLvl w:val="4"/>
    </w:pPr>
    <w:rPr>
      <w:b w:val="0"/>
      <w:i/>
    </w:rPr>
  </w:style>
  <w:style w:type="character" w:customStyle="1" w:styleId="PodtytuZnak">
    <w:name w:val="Podtytuł Znak"/>
    <w:basedOn w:val="Domylnaczcionkaakapitu"/>
    <w:link w:val="Podtytu"/>
    <w:uiPriority w:val="99"/>
    <w:semiHidden/>
    <w:rsid w:val="00426AA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5766EE"/>
    <w:pPr>
      <w:numPr>
        <w:numId w:val="35"/>
      </w:numPr>
    </w:pPr>
  </w:style>
  <w:style w:type="numbering" w:styleId="1ai">
    <w:name w:val="Outline List 1"/>
    <w:basedOn w:val="Bezlisty"/>
    <w:uiPriority w:val="99"/>
    <w:semiHidden/>
    <w:rsid w:val="005766EE"/>
    <w:pPr>
      <w:numPr>
        <w:numId w:val="36"/>
      </w:numPr>
    </w:pPr>
  </w:style>
  <w:style w:type="numbering" w:styleId="Artykusekcja">
    <w:name w:val="Outline List 3"/>
    <w:basedOn w:val="Bezlisty"/>
    <w:uiPriority w:val="99"/>
    <w:semiHidden/>
    <w:rsid w:val="005766EE"/>
    <w:pPr>
      <w:numPr>
        <w:numId w:val="37"/>
      </w:numPr>
    </w:pPr>
  </w:style>
  <w:style w:type="paragraph" w:styleId="Bibliografia">
    <w:name w:val="Bibliography"/>
    <w:basedOn w:val="Normalny"/>
    <w:next w:val="Normalny"/>
    <w:uiPriority w:val="99"/>
    <w:semiHidden/>
    <w:unhideWhenUsed/>
    <w:rsid w:val="005766EE"/>
    <w:rPr>
      <w:rFonts w:eastAsia="Times New Roman"/>
      <w:lang w:val="en-US"/>
    </w:rPr>
  </w:style>
  <w:style w:type="paragraph" w:customStyle="1" w:styleId="DummyStyle">
    <w:name w:val="Dummy_Style"/>
    <w:basedOn w:val="Normalny"/>
    <w:semiHidden/>
    <w:qFormat/>
    <w:rsid w:val="00426AA8"/>
    <w:rPr>
      <w:color w:val="00B050"/>
    </w:rPr>
  </w:style>
  <w:style w:type="paragraph" w:styleId="Tekstpodstawowy">
    <w:name w:val="Body Text"/>
    <w:basedOn w:val="Normalny"/>
    <w:link w:val="TekstpodstawowyZnak"/>
    <w:uiPriority w:val="99"/>
    <w:semiHidden/>
    <w:rsid w:val="005766EE"/>
    <w:pPr>
      <w:spacing w:after="120"/>
    </w:pPr>
    <w:rPr>
      <w:rFonts w:eastAsia="Times New Roman"/>
      <w:lang w:val="en-US"/>
    </w:rPr>
  </w:style>
  <w:style w:type="character" w:customStyle="1" w:styleId="TekstpodstawowyZnak">
    <w:name w:val="Tekst podstawowy Znak"/>
    <w:basedOn w:val="Domylnaczcionkaakapitu"/>
    <w:link w:val="Tekstpodstawowy"/>
    <w:uiPriority w:val="99"/>
    <w:semiHidden/>
    <w:rsid w:val="005766EE"/>
    <w:rPr>
      <w:rFonts w:eastAsia="Times New Roman"/>
      <w:sz w:val="24"/>
    </w:rPr>
  </w:style>
  <w:style w:type="paragraph" w:styleId="Tekstpodstawowy2">
    <w:name w:val="Body Text 2"/>
    <w:basedOn w:val="Normalny"/>
    <w:link w:val="Tekstpodstawowy2Znak"/>
    <w:uiPriority w:val="99"/>
    <w:semiHidden/>
    <w:rsid w:val="005766EE"/>
    <w:pPr>
      <w:spacing w:after="120" w:line="480" w:lineRule="auto"/>
    </w:pPr>
    <w:rPr>
      <w:rFonts w:eastAsia="Times New Roman"/>
      <w:lang w:val="en-US"/>
    </w:rPr>
  </w:style>
  <w:style w:type="character" w:customStyle="1" w:styleId="Tekstpodstawowy2Znak">
    <w:name w:val="Tekst podstawowy 2 Znak"/>
    <w:basedOn w:val="Domylnaczcionkaakapitu"/>
    <w:link w:val="Tekstpodstawowy2"/>
    <w:uiPriority w:val="99"/>
    <w:semiHidden/>
    <w:rsid w:val="005766EE"/>
    <w:rPr>
      <w:rFonts w:eastAsia="Times New Roman"/>
      <w:sz w:val="24"/>
    </w:rPr>
  </w:style>
  <w:style w:type="paragraph" w:styleId="Tekstpodstawowy3">
    <w:name w:val="Body Text 3"/>
    <w:basedOn w:val="Normalny"/>
    <w:link w:val="Tekstpodstawowy3Znak"/>
    <w:uiPriority w:val="99"/>
    <w:semiHidden/>
    <w:rsid w:val="005766EE"/>
    <w:pPr>
      <w:spacing w:after="120"/>
    </w:pPr>
    <w:rPr>
      <w:rFonts w:eastAsia="Times New Roman"/>
      <w:sz w:val="16"/>
      <w:szCs w:val="16"/>
      <w:lang w:val="en-US"/>
    </w:rPr>
  </w:style>
  <w:style w:type="character" w:customStyle="1" w:styleId="Tekstpodstawowy3Znak">
    <w:name w:val="Tekst podstawowy 3 Znak"/>
    <w:basedOn w:val="Domylnaczcionkaakapitu"/>
    <w:link w:val="Tekstpodstawowy3"/>
    <w:uiPriority w:val="99"/>
    <w:semiHidden/>
    <w:rsid w:val="005766EE"/>
    <w:rPr>
      <w:rFonts w:eastAsia="Times New Roman"/>
      <w:sz w:val="16"/>
      <w:szCs w:val="16"/>
    </w:rPr>
  </w:style>
  <w:style w:type="paragraph" w:styleId="Tekstpodstawowyzwciciem">
    <w:name w:val="Body Text First Indent"/>
    <w:basedOn w:val="Tekstpodstawowy"/>
    <w:link w:val="TekstpodstawowyzwciciemZnak"/>
    <w:uiPriority w:val="99"/>
    <w:semiHidden/>
    <w:rsid w:val="005766EE"/>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766EE"/>
    <w:rPr>
      <w:rFonts w:eastAsia="Times New Roman"/>
      <w:sz w:val="24"/>
    </w:rPr>
  </w:style>
  <w:style w:type="paragraph" w:styleId="Tekstpodstawowywcity">
    <w:name w:val="Body Text Indent"/>
    <w:basedOn w:val="Normalny"/>
    <w:link w:val="TekstpodstawowywcityZnak"/>
    <w:uiPriority w:val="99"/>
    <w:semiHidden/>
    <w:rsid w:val="005766EE"/>
    <w:pPr>
      <w:spacing w:after="120"/>
      <w:ind w:left="283"/>
    </w:pPr>
    <w:rPr>
      <w:rFonts w:eastAsia="Times New Roman"/>
      <w:lang w:val="en-US"/>
    </w:rPr>
  </w:style>
  <w:style w:type="character" w:customStyle="1" w:styleId="TekstpodstawowywcityZnak">
    <w:name w:val="Tekst podstawowy wcięty Znak"/>
    <w:basedOn w:val="Domylnaczcionkaakapitu"/>
    <w:link w:val="Tekstpodstawowywcity"/>
    <w:uiPriority w:val="99"/>
    <w:semiHidden/>
    <w:rsid w:val="005766EE"/>
    <w:rPr>
      <w:rFonts w:eastAsia="Times New Roman"/>
      <w:sz w:val="24"/>
    </w:rPr>
  </w:style>
  <w:style w:type="paragraph" w:styleId="Tekstpodstawowyzwciciem2">
    <w:name w:val="Body Text First Indent 2"/>
    <w:basedOn w:val="Tekstpodstawowywcity"/>
    <w:link w:val="Tekstpodstawowyzwciciem2Znak"/>
    <w:uiPriority w:val="99"/>
    <w:semiHidden/>
    <w:rsid w:val="005766EE"/>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766EE"/>
    <w:rPr>
      <w:rFonts w:eastAsia="Times New Roman"/>
      <w:sz w:val="24"/>
    </w:rPr>
  </w:style>
  <w:style w:type="paragraph" w:styleId="Tekstpodstawowywcity2">
    <w:name w:val="Body Text Indent 2"/>
    <w:basedOn w:val="Normalny"/>
    <w:link w:val="Tekstpodstawowywcity2Znak"/>
    <w:uiPriority w:val="99"/>
    <w:semiHidden/>
    <w:rsid w:val="005766EE"/>
    <w:pPr>
      <w:spacing w:after="120" w:line="480" w:lineRule="auto"/>
      <w:ind w:left="283"/>
    </w:pPr>
    <w:rPr>
      <w:rFonts w:eastAsia="Times New Roman"/>
      <w:lang w:val="en-US"/>
    </w:rPr>
  </w:style>
  <w:style w:type="character" w:customStyle="1" w:styleId="Tekstpodstawowywcity2Znak">
    <w:name w:val="Tekst podstawowy wcięty 2 Znak"/>
    <w:basedOn w:val="Domylnaczcionkaakapitu"/>
    <w:link w:val="Tekstpodstawowywcity2"/>
    <w:uiPriority w:val="99"/>
    <w:semiHidden/>
    <w:rsid w:val="005766EE"/>
    <w:rPr>
      <w:rFonts w:eastAsia="Times New Roman"/>
      <w:sz w:val="24"/>
    </w:rPr>
  </w:style>
  <w:style w:type="paragraph" w:styleId="Tekstpodstawowywcity3">
    <w:name w:val="Body Text Indent 3"/>
    <w:basedOn w:val="Normalny"/>
    <w:link w:val="Tekstpodstawowywcity3Znak"/>
    <w:uiPriority w:val="99"/>
    <w:semiHidden/>
    <w:rsid w:val="005766EE"/>
    <w:pPr>
      <w:spacing w:after="120"/>
      <w:ind w:left="283"/>
    </w:pPr>
    <w:rPr>
      <w:rFonts w:eastAsia="Times New Roman"/>
      <w:sz w:val="16"/>
      <w:szCs w:val="16"/>
      <w:lang w:val="en-US"/>
    </w:rPr>
  </w:style>
  <w:style w:type="character" w:customStyle="1" w:styleId="Tekstpodstawowywcity3Znak">
    <w:name w:val="Tekst podstawowy wcięty 3 Znak"/>
    <w:basedOn w:val="Domylnaczcionkaakapitu"/>
    <w:link w:val="Tekstpodstawowywcity3"/>
    <w:uiPriority w:val="99"/>
    <w:semiHidden/>
    <w:rsid w:val="005766EE"/>
    <w:rPr>
      <w:rFonts w:eastAsia="Times New Roman"/>
      <w:sz w:val="16"/>
      <w:szCs w:val="16"/>
    </w:rPr>
  </w:style>
  <w:style w:type="paragraph" w:customStyle="1" w:styleId="JuHeaderLandscape">
    <w:name w:val="Ju_Header_Landscape"/>
    <w:basedOn w:val="ECHRHeader"/>
    <w:uiPriority w:val="4"/>
    <w:qFormat/>
    <w:rsid w:val="00426AA8"/>
    <w:pPr>
      <w:tabs>
        <w:tab w:val="clear" w:pos="3686"/>
        <w:tab w:val="clear" w:pos="7371"/>
        <w:tab w:val="center" w:pos="6146"/>
        <w:tab w:val="right" w:pos="12293"/>
      </w:tabs>
    </w:pPr>
  </w:style>
  <w:style w:type="paragraph" w:styleId="Zwrotpoegnalny">
    <w:name w:val="Closing"/>
    <w:basedOn w:val="Normalny"/>
    <w:link w:val="ZwrotpoegnalnyZnak"/>
    <w:uiPriority w:val="99"/>
    <w:semiHidden/>
    <w:rsid w:val="005766EE"/>
    <w:pPr>
      <w:ind w:left="4252"/>
    </w:pPr>
    <w:rPr>
      <w:rFonts w:eastAsia="Times New Roman"/>
      <w:lang w:val="en-US"/>
    </w:rPr>
  </w:style>
  <w:style w:type="character" w:customStyle="1" w:styleId="ZwrotpoegnalnyZnak">
    <w:name w:val="Zwrot pożegnalny Znak"/>
    <w:basedOn w:val="Domylnaczcionkaakapitu"/>
    <w:link w:val="Zwrotpoegnalny"/>
    <w:uiPriority w:val="99"/>
    <w:semiHidden/>
    <w:rsid w:val="005766EE"/>
    <w:rPr>
      <w:rFonts w:eastAsia="Times New Roman"/>
      <w:sz w:val="24"/>
    </w:rPr>
  </w:style>
  <w:style w:type="table" w:customStyle="1" w:styleId="ColorfulGrid1">
    <w:name w:val="Colorful Grid1"/>
    <w:basedOn w:val="Standardowy"/>
    <w:next w:val="Kolorowasiatka"/>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Standardowy"/>
    <w:next w:val="Kolorowasiatkaakcent1"/>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customStyle="1" w:styleId="ColorfulGrid-Accent21">
    <w:name w:val="Colorful Grid - Accent 21"/>
    <w:basedOn w:val="Standardowy"/>
    <w:next w:val="Kolorowasiatkaakcent2"/>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customStyle="1" w:styleId="ColorfulGrid-Accent31">
    <w:name w:val="Colorful Grid - Accent 31"/>
    <w:basedOn w:val="Standardowy"/>
    <w:next w:val="Kolorowasiatkaakcent3"/>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41">
    <w:name w:val="Colorful Grid - Accent 41"/>
    <w:basedOn w:val="Standardowy"/>
    <w:next w:val="Kolorowasiatkaakcent4"/>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customStyle="1" w:styleId="ColorfulGrid-Accent51">
    <w:name w:val="Colorful Grid - Accent 51"/>
    <w:basedOn w:val="Standardowy"/>
    <w:next w:val="Kolorowasiatkaakcent5"/>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customStyle="1" w:styleId="ColorfulGrid-Accent61">
    <w:name w:val="Colorful Grid - Accent 61"/>
    <w:basedOn w:val="Standardowy"/>
    <w:next w:val="Kolorowasiatkaakcent6"/>
    <w:uiPriority w:val="99"/>
    <w:semiHidden/>
    <w:rsid w:val="005766EE"/>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Standardowy"/>
    <w:next w:val="Kolorowalista"/>
    <w:uiPriority w:val="99"/>
    <w:semiHidden/>
    <w:rsid w:val="005766EE"/>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Standardowy"/>
    <w:next w:val="Kolorowalistaakcent1"/>
    <w:uiPriority w:val="99"/>
    <w:semiHidden/>
    <w:rsid w:val="005766EE"/>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customStyle="1" w:styleId="ColorfulList-Accent21">
    <w:name w:val="Colorful List - Accent 21"/>
    <w:basedOn w:val="Standardowy"/>
    <w:next w:val="Kolorowalistaakcent2"/>
    <w:uiPriority w:val="99"/>
    <w:semiHidden/>
    <w:rsid w:val="005766EE"/>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customStyle="1" w:styleId="ColorfulList-Accent31">
    <w:name w:val="Colorful List - Accent 31"/>
    <w:basedOn w:val="Standardowy"/>
    <w:next w:val="Kolorowalistaakcent3"/>
    <w:uiPriority w:val="99"/>
    <w:semiHidden/>
    <w:rsid w:val="005766EE"/>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41">
    <w:name w:val="Colorful List - Accent 41"/>
    <w:basedOn w:val="Standardowy"/>
    <w:next w:val="Kolorowalistaakcent4"/>
    <w:uiPriority w:val="99"/>
    <w:semiHidden/>
    <w:rsid w:val="005766EE"/>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customStyle="1" w:styleId="ColorfulList-Accent51">
    <w:name w:val="Colorful List - Accent 51"/>
    <w:basedOn w:val="Standardowy"/>
    <w:next w:val="Kolorowalistaakcent5"/>
    <w:uiPriority w:val="99"/>
    <w:semiHidden/>
    <w:rsid w:val="005766EE"/>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customStyle="1" w:styleId="ColorfulList-Accent61">
    <w:name w:val="Colorful List - Accent 61"/>
    <w:basedOn w:val="Standardowy"/>
    <w:next w:val="Kolorowalistaakcent6"/>
    <w:uiPriority w:val="99"/>
    <w:semiHidden/>
    <w:rsid w:val="005766EE"/>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Standardowy"/>
    <w:next w:val="Kolorowecieniowanie"/>
    <w:uiPriority w:val="99"/>
    <w:semiHidden/>
    <w:rsid w:val="005766EE"/>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Standardowy"/>
    <w:next w:val="Kolorowecieniowanieakcent1"/>
    <w:uiPriority w:val="99"/>
    <w:semiHidden/>
    <w:rsid w:val="005766EE"/>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customStyle="1" w:styleId="ColorfulShading-Accent21">
    <w:name w:val="Colorful Shading - Accent 21"/>
    <w:basedOn w:val="Standardowy"/>
    <w:next w:val="Kolorowecieniowanieakcent2"/>
    <w:uiPriority w:val="99"/>
    <w:semiHidden/>
    <w:rsid w:val="005766EE"/>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customStyle="1" w:styleId="ColorfulShading-Accent31">
    <w:name w:val="Colorful Shading - Accent 31"/>
    <w:basedOn w:val="Standardowy"/>
    <w:next w:val="Kolorowecieniowanieakcent3"/>
    <w:uiPriority w:val="99"/>
    <w:semiHidden/>
    <w:rsid w:val="005766EE"/>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customStyle="1" w:styleId="ColorfulShading-Accent41">
    <w:name w:val="Colorful Shading - Accent 41"/>
    <w:basedOn w:val="Standardowy"/>
    <w:next w:val="Kolorowecieniowanieakcent4"/>
    <w:uiPriority w:val="99"/>
    <w:semiHidden/>
    <w:rsid w:val="005766EE"/>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customStyle="1" w:styleId="ColorfulShading-Accent51">
    <w:name w:val="Colorful Shading - Accent 51"/>
    <w:basedOn w:val="Standardowy"/>
    <w:next w:val="Kolorowecieniowanieakcent5"/>
    <w:uiPriority w:val="99"/>
    <w:semiHidden/>
    <w:rsid w:val="005766EE"/>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customStyle="1" w:styleId="ColorfulShading-Accent61">
    <w:name w:val="Colorful Shading - Accent 61"/>
    <w:basedOn w:val="Standardowy"/>
    <w:next w:val="Kolorowecieniowanieakcent6"/>
    <w:uiPriority w:val="99"/>
    <w:semiHidden/>
    <w:rsid w:val="005766EE"/>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Standardowy"/>
    <w:next w:val="Ciemnalista"/>
    <w:uiPriority w:val="99"/>
    <w:semiHidden/>
    <w:rsid w:val="005766EE"/>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Standardowy"/>
    <w:next w:val="Ciemnalista2akcent1"/>
    <w:uiPriority w:val="99"/>
    <w:semiHidden/>
    <w:rsid w:val="005766EE"/>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customStyle="1" w:styleId="DarkList-Accent21">
    <w:name w:val="Dark List - Accent 21"/>
    <w:basedOn w:val="Standardowy"/>
    <w:next w:val="Ciemnalistaakcent2"/>
    <w:uiPriority w:val="99"/>
    <w:semiHidden/>
    <w:rsid w:val="005766EE"/>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customStyle="1" w:styleId="DarkList-Accent31">
    <w:name w:val="Dark List - Accent 31"/>
    <w:basedOn w:val="Standardowy"/>
    <w:next w:val="Ciemnalistaakcent3"/>
    <w:uiPriority w:val="99"/>
    <w:semiHidden/>
    <w:rsid w:val="005766EE"/>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41">
    <w:name w:val="Dark List - Accent 41"/>
    <w:basedOn w:val="Standardowy"/>
    <w:next w:val="Ciemnalistaakcent4"/>
    <w:uiPriority w:val="99"/>
    <w:semiHidden/>
    <w:rsid w:val="005766EE"/>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customStyle="1" w:styleId="DarkList-Accent51">
    <w:name w:val="Dark List - Accent 51"/>
    <w:basedOn w:val="Standardowy"/>
    <w:next w:val="Ciemnalistaakcent5"/>
    <w:uiPriority w:val="99"/>
    <w:semiHidden/>
    <w:rsid w:val="005766EE"/>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customStyle="1" w:styleId="DarkList-Accent61">
    <w:name w:val="Dark List - Accent 61"/>
    <w:basedOn w:val="Standardowy"/>
    <w:next w:val="Ciemnalistaakcent6"/>
    <w:uiPriority w:val="99"/>
    <w:semiHidden/>
    <w:rsid w:val="005766EE"/>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5766EE"/>
    <w:rPr>
      <w:rFonts w:eastAsia="Times New Roman"/>
      <w:lang w:val="en-US"/>
    </w:rPr>
  </w:style>
  <w:style w:type="character" w:customStyle="1" w:styleId="DataZnak">
    <w:name w:val="Data Znak"/>
    <w:basedOn w:val="Domylnaczcionkaakapitu"/>
    <w:link w:val="Data"/>
    <w:uiPriority w:val="99"/>
    <w:semiHidden/>
    <w:rsid w:val="005766EE"/>
    <w:rPr>
      <w:rFonts w:eastAsia="Times New Roman"/>
      <w:sz w:val="24"/>
    </w:rPr>
  </w:style>
  <w:style w:type="paragraph" w:styleId="Podpise-mail">
    <w:name w:val="E-mail Signature"/>
    <w:basedOn w:val="Normalny"/>
    <w:link w:val="Podpise-mailZnak"/>
    <w:uiPriority w:val="99"/>
    <w:semiHidden/>
    <w:rsid w:val="005766EE"/>
    <w:rPr>
      <w:rFonts w:eastAsia="Times New Roman"/>
      <w:lang w:val="en-US"/>
    </w:rPr>
  </w:style>
  <w:style w:type="character" w:customStyle="1" w:styleId="Podpise-mailZnak">
    <w:name w:val="Podpis e-mail Znak"/>
    <w:basedOn w:val="Domylnaczcionkaakapitu"/>
    <w:link w:val="Podpise-mail"/>
    <w:uiPriority w:val="99"/>
    <w:semiHidden/>
    <w:rsid w:val="005766EE"/>
    <w:rPr>
      <w:rFonts w:eastAsia="Times New Roman"/>
      <w:sz w:val="24"/>
    </w:rPr>
  </w:style>
  <w:style w:type="paragraph" w:styleId="Legenda">
    <w:name w:val="caption"/>
    <w:basedOn w:val="Normalny"/>
    <w:next w:val="Normalny"/>
    <w:uiPriority w:val="99"/>
    <w:semiHidden/>
    <w:qFormat/>
    <w:rsid w:val="00070827"/>
    <w:pPr>
      <w:spacing w:after="200"/>
    </w:pPr>
    <w:rPr>
      <w:b/>
      <w:bCs/>
      <w:color w:val="0072BC" w:themeColor="accent1"/>
      <w:sz w:val="18"/>
      <w:szCs w:val="18"/>
    </w:rPr>
  </w:style>
  <w:style w:type="paragraph" w:styleId="Nagwekindeksu">
    <w:name w:val="index heading"/>
    <w:basedOn w:val="Normalny"/>
    <w:next w:val="Indeks1"/>
    <w:uiPriority w:val="99"/>
    <w:semiHidden/>
    <w:rsid w:val="00070827"/>
    <w:rPr>
      <w:rFonts w:asciiTheme="majorHAnsi" w:eastAsiaTheme="majorEastAsia" w:hAnsiTheme="majorHAnsi" w:cstheme="majorBidi"/>
      <w:b/>
      <w:bCs/>
    </w:rPr>
  </w:style>
  <w:style w:type="character" w:styleId="HTML-akronim">
    <w:name w:val="HTML Acronym"/>
    <w:basedOn w:val="Domylnaczcionkaakapitu"/>
    <w:uiPriority w:val="99"/>
    <w:semiHidden/>
    <w:rsid w:val="005766EE"/>
  </w:style>
  <w:style w:type="paragraph" w:styleId="HTML-adres">
    <w:name w:val="HTML Address"/>
    <w:basedOn w:val="Normalny"/>
    <w:link w:val="HTML-adresZnak"/>
    <w:uiPriority w:val="99"/>
    <w:semiHidden/>
    <w:rsid w:val="005766EE"/>
    <w:rPr>
      <w:rFonts w:eastAsia="Times New Roman"/>
      <w:i/>
      <w:iCs/>
      <w:lang w:val="en-US"/>
    </w:rPr>
  </w:style>
  <w:style w:type="character" w:customStyle="1" w:styleId="HTML-adresZnak">
    <w:name w:val="HTML - adres Znak"/>
    <w:basedOn w:val="Domylnaczcionkaakapitu"/>
    <w:link w:val="HTML-adres"/>
    <w:uiPriority w:val="99"/>
    <w:semiHidden/>
    <w:rsid w:val="005766EE"/>
    <w:rPr>
      <w:rFonts w:eastAsia="Times New Roman"/>
      <w:i/>
      <w:iCs/>
      <w:sz w:val="24"/>
    </w:rPr>
  </w:style>
  <w:style w:type="character" w:styleId="HTML-cytat">
    <w:name w:val="HTML Cite"/>
    <w:basedOn w:val="Domylnaczcionkaakapitu"/>
    <w:uiPriority w:val="99"/>
    <w:semiHidden/>
    <w:rsid w:val="005766EE"/>
    <w:rPr>
      <w:i/>
      <w:iCs/>
    </w:rPr>
  </w:style>
  <w:style w:type="character" w:styleId="HTML-kod">
    <w:name w:val="HTML Code"/>
    <w:basedOn w:val="Domylnaczcionkaakapitu"/>
    <w:uiPriority w:val="99"/>
    <w:semiHidden/>
    <w:rsid w:val="005766EE"/>
    <w:rPr>
      <w:rFonts w:ascii="Consolas" w:hAnsi="Consolas" w:cs="Consolas"/>
      <w:sz w:val="20"/>
      <w:szCs w:val="20"/>
    </w:rPr>
  </w:style>
  <w:style w:type="character" w:styleId="HTML-definicja">
    <w:name w:val="HTML Definition"/>
    <w:basedOn w:val="Domylnaczcionkaakapitu"/>
    <w:uiPriority w:val="99"/>
    <w:semiHidden/>
    <w:rsid w:val="005766EE"/>
    <w:rPr>
      <w:i/>
      <w:iCs/>
    </w:rPr>
  </w:style>
  <w:style w:type="character" w:styleId="HTML-klawiatura">
    <w:name w:val="HTML Keyboard"/>
    <w:basedOn w:val="Domylnaczcionkaakapitu"/>
    <w:uiPriority w:val="99"/>
    <w:semiHidden/>
    <w:rsid w:val="005766EE"/>
    <w:rPr>
      <w:rFonts w:ascii="Consolas" w:hAnsi="Consolas" w:cs="Consolas"/>
      <w:sz w:val="20"/>
      <w:szCs w:val="20"/>
    </w:rPr>
  </w:style>
  <w:style w:type="paragraph" w:styleId="HTML-wstpniesformatowany">
    <w:name w:val="HTML Preformatted"/>
    <w:basedOn w:val="Normalny"/>
    <w:link w:val="HTML-wstpniesformatowanyZnak"/>
    <w:uiPriority w:val="99"/>
    <w:semiHidden/>
    <w:rsid w:val="005766EE"/>
    <w:rPr>
      <w:rFonts w:ascii="Consolas" w:eastAsia="Times New Roman" w:hAnsi="Consolas" w:cs="Consolas"/>
      <w:sz w:val="20"/>
      <w:szCs w:val="20"/>
      <w:lang w:val="en-US"/>
    </w:rPr>
  </w:style>
  <w:style w:type="character" w:customStyle="1" w:styleId="HTML-wstpniesformatowanyZnak">
    <w:name w:val="HTML - wstępnie sformatowany Znak"/>
    <w:basedOn w:val="Domylnaczcionkaakapitu"/>
    <w:link w:val="HTML-wstpniesformatowany"/>
    <w:uiPriority w:val="99"/>
    <w:semiHidden/>
    <w:rsid w:val="005766EE"/>
    <w:rPr>
      <w:rFonts w:ascii="Consolas" w:eastAsia="Times New Roman" w:hAnsi="Consolas" w:cs="Consolas"/>
      <w:sz w:val="20"/>
      <w:szCs w:val="20"/>
    </w:rPr>
  </w:style>
  <w:style w:type="character" w:styleId="HTML-przykad">
    <w:name w:val="HTML Sample"/>
    <w:basedOn w:val="Domylnaczcionkaakapitu"/>
    <w:uiPriority w:val="99"/>
    <w:semiHidden/>
    <w:rsid w:val="005766EE"/>
    <w:rPr>
      <w:rFonts w:ascii="Consolas" w:hAnsi="Consolas" w:cs="Consolas"/>
      <w:sz w:val="24"/>
      <w:szCs w:val="24"/>
    </w:rPr>
  </w:style>
  <w:style w:type="character" w:styleId="HTML-staaszeroko">
    <w:name w:val="HTML Typewriter"/>
    <w:basedOn w:val="Domylnaczcionkaakapitu"/>
    <w:uiPriority w:val="99"/>
    <w:semiHidden/>
    <w:rsid w:val="005766EE"/>
    <w:rPr>
      <w:rFonts w:ascii="Consolas" w:hAnsi="Consolas" w:cs="Consolas"/>
      <w:sz w:val="20"/>
      <w:szCs w:val="20"/>
    </w:rPr>
  </w:style>
  <w:style w:type="character" w:styleId="HTML-zmienna">
    <w:name w:val="HTML Variable"/>
    <w:basedOn w:val="Domylnaczcionkaakapitu"/>
    <w:uiPriority w:val="99"/>
    <w:semiHidden/>
    <w:rsid w:val="005766EE"/>
    <w:rPr>
      <w:i/>
      <w:iCs/>
    </w:rPr>
  </w:style>
  <w:style w:type="paragraph" w:styleId="Indeks1">
    <w:name w:val="index 1"/>
    <w:basedOn w:val="Normalny"/>
    <w:next w:val="Normalny"/>
    <w:autoRedefine/>
    <w:uiPriority w:val="99"/>
    <w:semiHidden/>
    <w:rsid w:val="005766EE"/>
    <w:pPr>
      <w:ind w:left="240" w:hanging="240"/>
    </w:pPr>
    <w:rPr>
      <w:rFonts w:eastAsia="Times New Roman"/>
      <w:lang w:val="en-US"/>
    </w:rPr>
  </w:style>
  <w:style w:type="paragraph" w:styleId="Indeks2">
    <w:name w:val="index 2"/>
    <w:basedOn w:val="Normalny"/>
    <w:next w:val="Normalny"/>
    <w:autoRedefine/>
    <w:uiPriority w:val="99"/>
    <w:semiHidden/>
    <w:rsid w:val="005766EE"/>
    <w:pPr>
      <w:ind w:left="480" w:hanging="240"/>
    </w:pPr>
    <w:rPr>
      <w:rFonts w:eastAsia="Times New Roman"/>
      <w:lang w:val="en-US"/>
    </w:rPr>
  </w:style>
  <w:style w:type="paragraph" w:styleId="Indeks3">
    <w:name w:val="index 3"/>
    <w:basedOn w:val="Normalny"/>
    <w:next w:val="Normalny"/>
    <w:autoRedefine/>
    <w:uiPriority w:val="99"/>
    <w:semiHidden/>
    <w:rsid w:val="005766EE"/>
    <w:pPr>
      <w:ind w:left="720" w:hanging="240"/>
    </w:pPr>
    <w:rPr>
      <w:rFonts w:eastAsia="Times New Roman"/>
      <w:lang w:val="en-US"/>
    </w:rPr>
  </w:style>
  <w:style w:type="paragraph" w:styleId="Indeks4">
    <w:name w:val="index 4"/>
    <w:basedOn w:val="Normalny"/>
    <w:next w:val="Normalny"/>
    <w:autoRedefine/>
    <w:uiPriority w:val="99"/>
    <w:semiHidden/>
    <w:rsid w:val="005766EE"/>
    <w:pPr>
      <w:ind w:left="960" w:hanging="240"/>
    </w:pPr>
    <w:rPr>
      <w:rFonts w:eastAsia="Times New Roman"/>
      <w:lang w:val="en-US"/>
    </w:rPr>
  </w:style>
  <w:style w:type="paragraph" w:styleId="Indeks5">
    <w:name w:val="index 5"/>
    <w:basedOn w:val="Normalny"/>
    <w:next w:val="Normalny"/>
    <w:autoRedefine/>
    <w:uiPriority w:val="99"/>
    <w:semiHidden/>
    <w:rsid w:val="005766EE"/>
    <w:pPr>
      <w:ind w:left="1200" w:hanging="240"/>
    </w:pPr>
    <w:rPr>
      <w:rFonts w:eastAsia="Times New Roman"/>
      <w:lang w:val="en-US"/>
    </w:rPr>
  </w:style>
  <w:style w:type="paragraph" w:styleId="Indeks6">
    <w:name w:val="index 6"/>
    <w:basedOn w:val="Normalny"/>
    <w:next w:val="Normalny"/>
    <w:autoRedefine/>
    <w:uiPriority w:val="99"/>
    <w:semiHidden/>
    <w:rsid w:val="005766EE"/>
    <w:pPr>
      <w:ind w:left="1440" w:hanging="240"/>
    </w:pPr>
    <w:rPr>
      <w:rFonts w:eastAsia="Times New Roman"/>
      <w:lang w:val="en-US"/>
    </w:rPr>
  </w:style>
  <w:style w:type="paragraph" w:styleId="Indeks7">
    <w:name w:val="index 7"/>
    <w:basedOn w:val="Normalny"/>
    <w:next w:val="Normalny"/>
    <w:autoRedefine/>
    <w:uiPriority w:val="99"/>
    <w:semiHidden/>
    <w:rsid w:val="005766EE"/>
    <w:pPr>
      <w:ind w:left="1680" w:hanging="240"/>
    </w:pPr>
    <w:rPr>
      <w:rFonts w:eastAsia="Times New Roman"/>
      <w:lang w:val="en-US"/>
    </w:rPr>
  </w:style>
  <w:style w:type="paragraph" w:styleId="Indeks8">
    <w:name w:val="index 8"/>
    <w:basedOn w:val="Normalny"/>
    <w:next w:val="Normalny"/>
    <w:autoRedefine/>
    <w:uiPriority w:val="99"/>
    <w:semiHidden/>
    <w:rsid w:val="005766EE"/>
    <w:pPr>
      <w:ind w:left="1920" w:hanging="240"/>
    </w:pPr>
    <w:rPr>
      <w:rFonts w:eastAsia="Times New Roman"/>
      <w:lang w:val="en-US"/>
    </w:rPr>
  </w:style>
  <w:style w:type="paragraph" w:styleId="Indeks9">
    <w:name w:val="index 9"/>
    <w:basedOn w:val="Normalny"/>
    <w:next w:val="Normalny"/>
    <w:autoRedefine/>
    <w:uiPriority w:val="99"/>
    <w:semiHidden/>
    <w:rsid w:val="005766EE"/>
    <w:pPr>
      <w:ind w:left="2160" w:hanging="240"/>
    </w:pPr>
    <w:rPr>
      <w:rFonts w:eastAsia="Times New Roman"/>
      <w:lang w:val="en-US"/>
    </w:rPr>
  </w:style>
  <w:style w:type="table" w:customStyle="1" w:styleId="LightGrid1">
    <w:name w:val="Light Grid1"/>
    <w:basedOn w:val="Standardowy"/>
    <w:next w:val="Jasnasiatka"/>
    <w:uiPriority w:val="99"/>
    <w:semiHidden/>
    <w:rsid w:val="005766EE"/>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Standardowy"/>
    <w:next w:val="Jasnasiatkaakcent1"/>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Grid-Accent21">
    <w:name w:val="Light Grid - Accent 21"/>
    <w:basedOn w:val="Standardowy"/>
    <w:next w:val="Jasnasiatkaakcent2"/>
    <w:uiPriority w:val="99"/>
    <w:semiHidden/>
    <w:rsid w:val="005766EE"/>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customStyle="1" w:styleId="LightGrid-Accent31">
    <w:name w:val="Light Grid - Accent 31"/>
    <w:basedOn w:val="Standardowy"/>
    <w:next w:val="Jasnasiatkaakcent3"/>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41">
    <w:name w:val="Light Grid - Accent 41"/>
    <w:basedOn w:val="Standardowy"/>
    <w:next w:val="Jasnasiatkaakcent4"/>
    <w:uiPriority w:val="99"/>
    <w:semiHidden/>
    <w:rsid w:val="005766EE"/>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customStyle="1" w:styleId="LightGrid-Accent51">
    <w:name w:val="Light Grid - Accent 51"/>
    <w:basedOn w:val="Standardowy"/>
    <w:next w:val="Jasnasiatkaakcent5"/>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customStyle="1" w:styleId="LightGrid-Accent61">
    <w:name w:val="Light Grid - Accent 61"/>
    <w:basedOn w:val="Standardowy"/>
    <w:next w:val="Jasnasiatkaakcent6"/>
    <w:uiPriority w:val="99"/>
    <w:semiHidden/>
    <w:rsid w:val="005766EE"/>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Standardowy"/>
    <w:next w:val="Jasnalista"/>
    <w:uiPriority w:val="99"/>
    <w:semiHidden/>
    <w:rsid w:val="005766EE"/>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Standardowy"/>
    <w:next w:val="Jasnalistaakcent1"/>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List-Accent21">
    <w:name w:val="Light List - Accent 21"/>
    <w:basedOn w:val="Standardowy"/>
    <w:next w:val="Jasnalistaakcent2"/>
    <w:uiPriority w:val="99"/>
    <w:semiHidden/>
    <w:rsid w:val="005766EE"/>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customStyle="1" w:styleId="LightList-Accent31">
    <w:name w:val="Light List - Accent 31"/>
    <w:basedOn w:val="Standardowy"/>
    <w:next w:val="Jasnalistaakcent3"/>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41">
    <w:name w:val="Light List - Accent 41"/>
    <w:basedOn w:val="Standardowy"/>
    <w:next w:val="Jasnalistaakcent4"/>
    <w:uiPriority w:val="99"/>
    <w:semiHidden/>
    <w:rsid w:val="005766EE"/>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customStyle="1" w:styleId="LightList-Accent51">
    <w:name w:val="Light List - Accent 51"/>
    <w:basedOn w:val="Standardowy"/>
    <w:next w:val="Jasnalistaakcent5"/>
    <w:uiPriority w:val="99"/>
    <w:semiHidden/>
    <w:rsid w:val="005766EE"/>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customStyle="1" w:styleId="LightList-Accent61">
    <w:name w:val="Light List - Accent 61"/>
    <w:basedOn w:val="Standardowy"/>
    <w:next w:val="Jasnalistaakcent6"/>
    <w:uiPriority w:val="99"/>
    <w:semiHidden/>
    <w:rsid w:val="005766EE"/>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Standardowy"/>
    <w:next w:val="Jasnecieniowanie"/>
    <w:uiPriority w:val="99"/>
    <w:semiHidden/>
    <w:rsid w:val="005766EE"/>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Standardowy"/>
    <w:next w:val="Jasnecieniowanieakcent1"/>
    <w:uiPriority w:val="99"/>
    <w:semiHidden/>
    <w:rsid w:val="005766EE"/>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LightShading-Accent21">
    <w:name w:val="Light Shading - Accent 21"/>
    <w:basedOn w:val="Standardowy"/>
    <w:next w:val="Jasnecieniowanieakcent2"/>
    <w:uiPriority w:val="99"/>
    <w:semiHidden/>
    <w:rsid w:val="005766EE"/>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customStyle="1" w:styleId="LightShading-Accent31">
    <w:name w:val="Light Shading - Accent 31"/>
    <w:basedOn w:val="Standardowy"/>
    <w:next w:val="Jasnecieniowanieakcent3"/>
    <w:uiPriority w:val="99"/>
    <w:semiHidden/>
    <w:rsid w:val="005766EE"/>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41">
    <w:name w:val="Light Shading - Accent 41"/>
    <w:basedOn w:val="Standardowy"/>
    <w:next w:val="Jasnecieniowanieakcent4"/>
    <w:uiPriority w:val="99"/>
    <w:semiHidden/>
    <w:rsid w:val="005766EE"/>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customStyle="1" w:styleId="LightShading-Accent51">
    <w:name w:val="Light Shading - Accent 51"/>
    <w:basedOn w:val="Standardowy"/>
    <w:next w:val="Jasnecieniowanieakcent5"/>
    <w:uiPriority w:val="99"/>
    <w:semiHidden/>
    <w:rsid w:val="005766EE"/>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customStyle="1" w:styleId="LightShading-Accent61">
    <w:name w:val="Light Shading - Accent 61"/>
    <w:basedOn w:val="Standardowy"/>
    <w:next w:val="Jasnecieniowanieakcent6"/>
    <w:uiPriority w:val="99"/>
    <w:semiHidden/>
    <w:rsid w:val="005766EE"/>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5766EE"/>
  </w:style>
  <w:style w:type="paragraph" w:styleId="Lista">
    <w:name w:val="List"/>
    <w:basedOn w:val="Normalny"/>
    <w:uiPriority w:val="99"/>
    <w:semiHidden/>
    <w:rsid w:val="005766EE"/>
    <w:pPr>
      <w:ind w:left="283" w:hanging="283"/>
      <w:contextualSpacing/>
    </w:pPr>
    <w:rPr>
      <w:rFonts w:eastAsia="Times New Roman"/>
      <w:lang w:val="en-US"/>
    </w:rPr>
  </w:style>
  <w:style w:type="paragraph" w:styleId="Lista2">
    <w:name w:val="List 2"/>
    <w:basedOn w:val="Normalny"/>
    <w:uiPriority w:val="99"/>
    <w:semiHidden/>
    <w:rsid w:val="005766EE"/>
    <w:pPr>
      <w:ind w:left="566" w:hanging="283"/>
      <w:contextualSpacing/>
    </w:pPr>
    <w:rPr>
      <w:rFonts w:eastAsia="Times New Roman"/>
      <w:lang w:val="en-US"/>
    </w:rPr>
  </w:style>
  <w:style w:type="paragraph" w:styleId="Lista3">
    <w:name w:val="List 3"/>
    <w:basedOn w:val="Normalny"/>
    <w:uiPriority w:val="99"/>
    <w:semiHidden/>
    <w:rsid w:val="005766EE"/>
    <w:pPr>
      <w:ind w:left="849" w:hanging="283"/>
      <w:contextualSpacing/>
    </w:pPr>
    <w:rPr>
      <w:rFonts w:eastAsia="Times New Roman"/>
      <w:lang w:val="en-US"/>
    </w:rPr>
  </w:style>
  <w:style w:type="paragraph" w:styleId="Lista4">
    <w:name w:val="List 4"/>
    <w:basedOn w:val="Normalny"/>
    <w:uiPriority w:val="99"/>
    <w:semiHidden/>
    <w:rsid w:val="005766EE"/>
    <w:pPr>
      <w:ind w:left="1132" w:hanging="283"/>
      <w:contextualSpacing/>
    </w:pPr>
    <w:rPr>
      <w:rFonts w:eastAsia="Times New Roman"/>
      <w:lang w:val="en-US"/>
    </w:rPr>
  </w:style>
  <w:style w:type="paragraph" w:styleId="Lista5">
    <w:name w:val="List 5"/>
    <w:basedOn w:val="Normalny"/>
    <w:uiPriority w:val="99"/>
    <w:semiHidden/>
    <w:rsid w:val="005766EE"/>
    <w:pPr>
      <w:ind w:left="1415" w:hanging="283"/>
      <w:contextualSpacing/>
    </w:pPr>
    <w:rPr>
      <w:rFonts w:eastAsia="Times New Roman"/>
      <w:lang w:val="en-US"/>
    </w:rPr>
  </w:style>
  <w:style w:type="paragraph" w:styleId="Listapunktowana2">
    <w:name w:val="List Bullet 2"/>
    <w:basedOn w:val="Normalny"/>
    <w:uiPriority w:val="99"/>
    <w:semiHidden/>
    <w:rsid w:val="005766EE"/>
    <w:pPr>
      <w:tabs>
        <w:tab w:val="num" w:pos="397"/>
      </w:tabs>
      <w:ind w:left="397" w:hanging="397"/>
      <w:contextualSpacing/>
    </w:pPr>
    <w:rPr>
      <w:rFonts w:eastAsia="Times New Roman"/>
      <w:lang w:val="en-US"/>
    </w:rPr>
  </w:style>
  <w:style w:type="paragraph" w:styleId="Listapunktowana3">
    <w:name w:val="List Bullet 3"/>
    <w:basedOn w:val="Normalny"/>
    <w:uiPriority w:val="99"/>
    <w:semiHidden/>
    <w:rsid w:val="005766EE"/>
    <w:pPr>
      <w:tabs>
        <w:tab w:val="num" w:pos="964"/>
      </w:tabs>
      <w:ind w:left="964" w:hanging="397"/>
      <w:contextualSpacing/>
    </w:pPr>
    <w:rPr>
      <w:rFonts w:eastAsia="Times New Roman"/>
      <w:lang w:val="en-US"/>
    </w:rPr>
  </w:style>
  <w:style w:type="paragraph" w:styleId="Listapunktowana4">
    <w:name w:val="List Bullet 4"/>
    <w:basedOn w:val="Normalny"/>
    <w:uiPriority w:val="99"/>
    <w:semiHidden/>
    <w:rsid w:val="005766EE"/>
    <w:pPr>
      <w:tabs>
        <w:tab w:val="num" w:pos="964"/>
      </w:tabs>
      <w:ind w:left="964" w:hanging="397"/>
      <w:contextualSpacing/>
    </w:pPr>
    <w:rPr>
      <w:rFonts w:eastAsia="Times New Roman"/>
      <w:lang w:val="en-US"/>
    </w:rPr>
  </w:style>
  <w:style w:type="paragraph" w:styleId="Listapunktowana5">
    <w:name w:val="List Bullet 5"/>
    <w:basedOn w:val="Normalny"/>
    <w:uiPriority w:val="99"/>
    <w:semiHidden/>
    <w:rsid w:val="005766EE"/>
    <w:pPr>
      <w:contextualSpacing/>
    </w:pPr>
    <w:rPr>
      <w:rFonts w:eastAsia="Times New Roman"/>
      <w:lang w:val="en-US"/>
    </w:rPr>
  </w:style>
  <w:style w:type="paragraph" w:styleId="Lista-kontynuacja">
    <w:name w:val="List Continue"/>
    <w:basedOn w:val="Normalny"/>
    <w:uiPriority w:val="99"/>
    <w:semiHidden/>
    <w:rsid w:val="005766EE"/>
    <w:pPr>
      <w:spacing w:after="120"/>
      <w:ind w:left="283"/>
      <w:contextualSpacing/>
    </w:pPr>
    <w:rPr>
      <w:rFonts w:eastAsia="Times New Roman"/>
      <w:lang w:val="en-US"/>
    </w:rPr>
  </w:style>
  <w:style w:type="paragraph" w:styleId="Lista-kontynuacja2">
    <w:name w:val="List Continue 2"/>
    <w:basedOn w:val="Normalny"/>
    <w:uiPriority w:val="99"/>
    <w:semiHidden/>
    <w:rsid w:val="005766EE"/>
    <w:pPr>
      <w:spacing w:after="120"/>
      <w:ind w:left="566"/>
      <w:contextualSpacing/>
    </w:pPr>
    <w:rPr>
      <w:rFonts w:eastAsia="Times New Roman"/>
      <w:lang w:val="en-US"/>
    </w:rPr>
  </w:style>
  <w:style w:type="paragraph" w:styleId="Lista-kontynuacja3">
    <w:name w:val="List Continue 3"/>
    <w:basedOn w:val="Normalny"/>
    <w:uiPriority w:val="99"/>
    <w:semiHidden/>
    <w:rsid w:val="005766EE"/>
    <w:pPr>
      <w:spacing w:after="120"/>
      <w:ind w:left="849"/>
      <w:contextualSpacing/>
    </w:pPr>
    <w:rPr>
      <w:rFonts w:eastAsia="Times New Roman"/>
      <w:lang w:val="en-US"/>
    </w:rPr>
  </w:style>
  <w:style w:type="paragraph" w:styleId="Lista-kontynuacja4">
    <w:name w:val="List Continue 4"/>
    <w:basedOn w:val="Normalny"/>
    <w:uiPriority w:val="99"/>
    <w:semiHidden/>
    <w:rsid w:val="005766EE"/>
    <w:pPr>
      <w:spacing w:after="120"/>
      <w:ind w:left="1132"/>
      <w:contextualSpacing/>
    </w:pPr>
    <w:rPr>
      <w:rFonts w:eastAsia="Times New Roman"/>
      <w:lang w:val="en-US"/>
    </w:rPr>
  </w:style>
  <w:style w:type="paragraph" w:styleId="Lista-kontynuacja5">
    <w:name w:val="List Continue 5"/>
    <w:basedOn w:val="Normalny"/>
    <w:uiPriority w:val="99"/>
    <w:semiHidden/>
    <w:rsid w:val="005766EE"/>
    <w:pPr>
      <w:spacing w:after="120"/>
      <w:ind w:left="1415"/>
      <w:contextualSpacing/>
    </w:pPr>
    <w:rPr>
      <w:rFonts w:eastAsia="Times New Roman"/>
      <w:lang w:val="en-US"/>
    </w:rPr>
  </w:style>
  <w:style w:type="paragraph" w:styleId="Listanumerowana">
    <w:name w:val="List Number"/>
    <w:basedOn w:val="Normalny"/>
    <w:uiPriority w:val="99"/>
    <w:semiHidden/>
    <w:rsid w:val="005766EE"/>
    <w:pPr>
      <w:ind w:left="992" w:hanging="425"/>
      <w:contextualSpacing/>
    </w:pPr>
    <w:rPr>
      <w:rFonts w:eastAsia="Times New Roman"/>
      <w:lang w:val="en-US"/>
    </w:rPr>
  </w:style>
  <w:style w:type="paragraph" w:styleId="Listanumerowana2">
    <w:name w:val="List Number 2"/>
    <w:basedOn w:val="Normalny"/>
    <w:uiPriority w:val="99"/>
    <w:semiHidden/>
    <w:rsid w:val="005766EE"/>
    <w:pPr>
      <w:tabs>
        <w:tab w:val="num" w:pos="397"/>
      </w:tabs>
      <w:ind w:left="397" w:hanging="397"/>
      <w:contextualSpacing/>
    </w:pPr>
    <w:rPr>
      <w:rFonts w:eastAsia="Times New Roman"/>
      <w:lang w:val="en-US"/>
    </w:rPr>
  </w:style>
  <w:style w:type="paragraph" w:styleId="Listanumerowana3">
    <w:name w:val="List Number 3"/>
    <w:basedOn w:val="Normalny"/>
    <w:uiPriority w:val="99"/>
    <w:semiHidden/>
    <w:rsid w:val="005766EE"/>
    <w:pPr>
      <w:tabs>
        <w:tab w:val="num" w:pos="964"/>
      </w:tabs>
      <w:ind w:left="964" w:hanging="397"/>
      <w:contextualSpacing/>
    </w:pPr>
    <w:rPr>
      <w:rFonts w:eastAsia="Times New Roman"/>
      <w:lang w:val="en-US"/>
    </w:rPr>
  </w:style>
  <w:style w:type="paragraph" w:styleId="Listanumerowana4">
    <w:name w:val="List Number 4"/>
    <w:basedOn w:val="Normalny"/>
    <w:uiPriority w:val="99"/>
    <w:semiHidden/>
    <w:rsid w:val="005766EE"/>
    <w:pPr>
      <w:tabs>
        <w:tab w:val="num" w:pos="851"/>
      </w:tabs>
      <w:ind w:left="568"/>
      <w:contextualSpacing/>
    </w:pPr>
    <w:rPr>
      <w:rFonts w:eastAsia="Times New Roman"/>
      <w:lang w:val="en-US"/>
    </w:rPr>
  </w:style>
  <w:style w:type="paragraph" w:styleId="Listanumerowana5">
    <w:name w:val="List Number 5"/>
    <w:basedOn w:val="Normalny"/>
    <w:uiPriority w:val="99"/>
    <w:semiHidden/>
    <w:rsid w:val="005766EE"/>
    <w:pPr>
      <w:tabs>
        <w:tab w:val="num" w:pos="643"/>
      </w:tabs>
      <w:ind w:left="643" w:hanging="360"/>
      <w:contextualSpacing/>
    </w:pPr>
    <w:rPr>
      <w:rFonts w:eastAsia="Times New Roman"/>
      <w:lang w:val="en-US"/>
    </w:rPr>
  </w:style>
  <w:style w:type="paragraph" w:styleId="Tekstmakra">
    <w:name w:val="macro"/>
    <w:link w:val="TekstmakraZnak"/>
    <w:uiPriority w:val="99"/>
    <w:semiHidden/>
    <w:rsid w:val="005766EE"/>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5766EE"/>
    <w:rPr>
      <w:rFonts w:ascii="Consolas" w:hAnsi="Consolas" w:cs="Consolas"/>
      <w:sz w:val="20"/>
      <w:szCs w:val="20"/>
      <w:lang w:val="en-GB" w:eastAsia="fr-FR"/>
    </w:rPr>
  </w:style>
  <w:style w:type="table" w:customStyle="1" w:styleId="MediumGrid11">
    <w:name w:val="Medium Grid 11"/>
    <w:basedOn w:val="Standardowy"/>
    <w:next w:val="redniasiatka1"/>
    <w:uiPriority w:val="99"/>
    <w:semiHidden/>
    <w:rsid w:val="005766EE"/>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Standardowy"/>
    <w:next w:val="redniasiatka1akcent1"/>
    <w:uiPriority w:val="99"/>
    <w:semiHidden/>
    <w:rsid w:val="005766EE"/>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customStyle="1" w:styleId="MediumGrid1-Accent21">
    <w:name w:val="Medium Grid 1 - Accent 21"/>
    <w:basedOn w:val="Standardowy"/>
    <w:next w:val="redniasiatka1akcent2"/>
    <w:uiPriority w:val="99"/>
    <w:semiHidden/>
    <w:rsid w:val="005766EE"/>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customStyle="1" w:styleId="MediumGrid1-Accent31">
    <w:name w:val="Medium Grid 1 - Accent 31"/>
    <w:basedOn w:val="Standardowy"/>
    <w:next w:val="redniasiatka1akcent3"/>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41">
    <w:name w:val="Medium Grid 1 - Accent 41"/>
    <w:basedOn w:val="Standardowy"/>
    <w:next w:val="redniasiatka1akcent4"/>
    <w:uiPriority w:val="99"/>
    <w:semiHidden/>
    <w:rsid w:val="005766EE"/>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customStyle="1" w:styleId="MediumGrid1-Accent51">
    <w:name w:val="Medium Grid 1 - Accent 51"/>
    <w:basedOn w:val="Standardowy"/>
    <w:next w:val="redniasiatka1akcent5"/>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MediumGrid1-Accent61">
    <w:name w:val="Medium Grid 1 - Accent 61"/>
    <w:basedOn w:val="Standardowy"/>
    <w:next w:val="redniasiatka1akcent6"/>
    <w:uiPriority w:val="99"/>
    <w:semiHidden/>
    <w:rsid w:val="005766EE"/>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Standardowy"/>
    <w:next w:val="redniasiatka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2-Accent11">
    <w:name w:val="Medium Grid 2 - Accent 11"/>
    <w:basedOn w:val="Standardowy"/>
    <w:next w:val="redniasiatka2akcent1"/>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customStyle="1" w:styleId="MediumGrid2-Accent21">
    <w:name w:val="Medium Grid 2 - Accent 21"/>
    <w:basedOn w:val="Standardowy"/>
    <w:next w:val="redniasiatka2akcent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customStyle="1" w:styleId="MediumGrid2-Accent31">
    <w:name w:val="Medium Grid 2 - Accent 31"/>
    <w:basedOn w:val="Standardowy"/>
    <w:next w:val="redniasiatka2akcent3"/>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41">
    <w:name w:val="Medium Grid 2 - Accent 41"/>
    <w:basedOn w:val="Standardowy"/>
    <w:next w:val="redniasiatka2akcent4"/>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customStyle="1" w:styleId="MediumGrid2-Accent51">
    <w:name w:val="Medium Grid 2 - Accent 51"/>
    <w:basedOn w:val="Standardowy"/>
    <w:next w:val="redniasiatka2akcent5"/>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customStyle="1" w:styleId="MediumGrid2-Accent61">
    <w:name w:val="Medium Grid 2 - Accent 61"/>
    <w:basedOn w:val="Standardowy"/>
    <w:next w:val="redniasiatka2akcent6"/>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Standardowy"/>
    <w:next w:val="redniasiatka3"/>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Grid3-Accent11">
    <w:name w:val="Medium Grid 3 - Accent 11"/>
    <w:basedOn w:val="Standardowy"/>
    <w:next w:val="redniasiatka3akcent1"/>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customStyle="1" w:styleId="MediumGrid3-Accent21">
    <w:name w:val="Medium Grid 3 - Accent 21"/>
    <w:basedOn w:val="Standardowy"/>
    <w:next w:val="redniasiatka3akcent2"/>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customStyle="1" w:styleId="MediumGrid3-Accent31">
    <w:name w:val="Medium Grid 3 - Accent 31"/>
    <w:basedOn w:val="Standardowy"/>
    <w:next w:val="redniasiatka3akcent3"/>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41">
    <w:name w:val="Medium Grid 3 - Accent 41"/>
    <w:basedOn w:val="Standardowy"/>
    <w:next w:val="redniasiatka3akcent4"/>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customStyle="1" w:styleId="MediumGrid3-Accent51">
    <w:name w:val="Medium Grid 3 - Accent 51"/>
    <w:basedOn w:val="Standardowy"/>
    <w:next w:val="redniasiatka3akcent5"/>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customStyle="1" w:styleId="MediumGrid3-Accent61">
    <w:name w:val="Medium Grid 3 - Accent 61"/>
    <w:basedOn w:val="Standardowy"/>
    <w:next w:val="redniasiatka3akcent6"/>
    <w:uiPriority w:val="99"/>
    <w:semiHidden/>
    <w:rsid w:val="005766EE"/>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Standardowy"/>
    <w:next w:val="rednialista1"/>
    <w:uiPriority w:val="99"/>
    <w:semiHidden/>
    <w:rsid w:val="005766EE"/>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Standardowy"/>
    <w:next w:val="rednialista1akcent1"/>
    <w:uiPriority w:val="99"/>
    <w:semiHidden/>
    <w:rsid w:val="005766EE"/>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1-Accent21">
    <w:name w:val="Medium List 1 - Accent 21"/>
    <w:basedOn w:val="Standardowy"/>
    <w:next w:val="rednialista1akcent2"/>
    <w:uiPriority w:val="99"/>
    <w:semiHidden/>
    <w:rsid w:val="005766EE"/>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customStyle="1" w:styleId="MediumList1-Accent31">
    <w:name w:val="Medium List 1 - Accent 31"/>
    <w:basedOn w:val="Standardowy"/>
    <w:next w:val="rednialista1akcent3"/>
    <w:uiPriority w:val="99"/>
    <w:semiHidden/>
    <w:rsid w:val="005766EE"/>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41">
    <w:name w:val="Medium List 1 - Accent 41"/>
    <w:basedOn w:val="Standardowy"/>
    <w:next w:val="rednialista1akcent4"/>
    <w:uiPriority w:val="99"/>
    <w:semiHidden/>
    <w:rsid w:val="005766EE"/>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customStyle="1" w:styleId="MediumList1-Accent51">
    <w:name w:val="Medium List 1 - Accent 51"/>
    <w:basedOn w:val="Standardowy"/>
    <w:next w:val="rednialista1akcent5"/>
    <w:uiPriority w:val="99"/>
    <w:semiHidden/>
    <w:rsid w:val="005766EE"/>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customStyle="1" w:styleId="MediumList1-Accent61">
    <w:name w:val="Medium List 1 - Accent 61"/>
    <w:basedOn w:val="Standardowy"/>
    <w:next w:val="rednialista1akcent6"/>
    <w:uiPriority w:val="99"/>
    <w:semiHidden/>
    <w:rsid w:val="005766EE"/>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Standardowy"/>
    <w:next w:val="rednialista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List2-Accent11">
    <w:name w:val="Medium List 2 - Accent 11"/>
    <w:basedOn w:val="Standardowy"/>
    <w:next w:val="rednialista2akcent1"/>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customStyle="1" w:styleId="MediumList2-Accent21">
    <w:name w:val="Medium List 2 - Accent 21"/>
    <w:basedOn w:val="Standardowy"/>
    <w:next w:val="rednialista2akcent2"/>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customStyle="1" w:styleId="MediumList2-Accent31">
    <w:name w:val="Medium List 2 - Accent 31"/>
    <w:basedOn w:val="Standardowy"/>
    <w:next w:val="rednialista2akcent3"/>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41">
    <w:name w:val="Medium List 2 - Accent 41"/>
    <w:basedOn w:val="Standardowy"/>
    <w:next w:val="rednialista2akcent4"/>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customStyle="1" w:styleId="MediumList2-Accent51">
    <w:name w:val="Medium List 2 - Accent 51"/>
    <w:basedOn w:val="Standardowy"/>
    <w:next w:val="rednialista2akcent5"/>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customStyle="1" w:styleId="MediumList2-Accent61">
    <w:name w:val="Medium List 2 - Accent 61"/>
    <w:basedOn w:val="Standardowy"/>
    <w:next w:val="rednialista2akcent6"/>
    <w:uiPriority w:val="99"/>
    <w:semiHidden/>
    <w:rsid w:val="005766EE"/>
    <w:rPr>
      <w:rFonts w:ascii="Times New Roman" w:eastAsia="Times New Roman" w:hAnsi="Times New Roman" w:cs="Times New Roman"/>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Standardowy"/>
    <w:next w:val="redniecieniowanie1"/>
    <w:uiPriority w:val="99"/>
    <w:semiHidden/>
    <w:rsid w:val="005766EE"/>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Standardowy"/>
    <w:next w:val="redniecieniowanie1akcent1"/>
    <w:uiPriority w:val="99"/>
    <w:semiHidden/>
    <w:rsid w:val="005766EE"/>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1-Accent21">
    <w:name w:val="Medium Shading 1 - Accent 21"/>
    <w:basedOn w:val="Standardowy"/>
    <w:next w:val="redniecieniowanie1akcent2"/>
    <w:uiPriority w:val="99"/>
    <w:semiHidden/>
    <w:rsid w:val="005766EE"/>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customStyle="1" w:styleId="MediumShading1-Accent31">
    <w:name w:val="Medium Shading 1 - Accent 31"/>
    <w:basedOn w:val="Standardowy"/>
    <w:next w:val="redniecieniowanie1akcent3"/>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41">
    <w:name w:val="Medium Shading 1 - Accent 41"/>
    <w:basedOn w:val="Standardowy"/>
    <w:next w:val="redniecieniowanie1akcent4"/>
    <w:uiPriority w:val="99"/>
    <w:semiHidden/>
    <w:rsid w:val="005766EE"/>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customStyle="1" w:styleId="MediumShading1-Accent51">
    <w:name w:val="Medium Shading 1 - Accent 51"/>
    <w:basedOn w:val="Standardowy"/>
    <w:next w:val="redniecieniowanie1akcent5"/>
    <w:uiPriority w:val="99"/>
    <w:semiHidden/>
    <w:rsid w:val="005766EE"/>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customStyle="1" w:styleId="MediumShading1-Accent61">
    <w:name w:val="Medium Shading 1 - Accent 61"/>
    <w:basedOn w:val="Standardowy"/>
    <w:next w:val="redniecieniowanie1akcent6"/>
    <w:uiPriority w:val="99"/>
    <w:semiHidden/>
    <w:rsid w:val="005766EE"/>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1">
    <w:name w:val="Medium Shading 21"/>
    <w:basedOn w:val="Standardowy"/>
    <w:next w:val="redniecieniowanie2"/>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next w:val="redniecieniowanie2akcent1"/>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Standardowy"/>
    <w:next w:val="redniecieniowanie2akcent2"/>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Standardowy"/>
    <w:next w:val="redniecieniowanie2akcent3"/>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Standardowy"/>
    <w:next w:val="redniecieniowanie2akcent4"/>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Standardowy"/>
    <w:next w:val="redniecieniowanie2akcent5"/>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Standardowy"/>
    <w:next w:val="redniecieniowanie2akcent6"/>
    <w:uiPriority w:val="99"/>
    <w:semiHidden/>
    <w:rsid w:val="005766EE"/>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ormalnyWeb">
    <w:name w:val="Normal (Web)"/>
    <w:basedOn w:val="Normalny"/>
    <w:uiPriority w:val="99"/>
    <w:semiHidden/>
    <w:rsid w:val="005766EE"/>
    <w:rPr>
      <w:rFonts w:ascii="Times New Roman" w:eastAsia="Times New Roman" w:hAnsi="Times New Roman" w:cs="Times New Roman"/>
      <w:szCs w:val="24"/>
      <w:lang w:val="en-US"/>
    </w:rPr>
  </w:style>
  <w:style w:type="paragraph" w:styleId="Wcicienormalne">
    <w:name w:val="Normal Indent"/>
    <w:basedOn w:val="Normalny"/>
    <w:uiPriority w:val="99"/>
    <w:semiHidden/>
    <w:rsid w:val="005766EE"/>
    <w:pPr>
      <w:ind w:left="720"/>
    </w:pPr>
    <w:rPr>
      <w:rFonts w:eastAsia="Times New Roman"/>
      <w:lang w:val="en-US"/>
    </w:rPr>
  </w:style>
  <w:style w:type="paragraph" w:styleId="Nagweknotatki">
    <w:name w:val="Note Heading"/>
    <w:basedOn w:val="Normalny"/>
    <w:next w:val="Normalny"/>
    <w:link w:val="NagweknotatkiZnak"/>
    <w:uiPriority w:val="99"/>
    <w:semiHidden/>
    <w:rsid w:val="005766EE"/>
    <w:rPr>
      <w:rFonts w:eastAsia="Times New Roman"/>
      <w:lang w:val="en-US"/>
    </w:rPr>
  </w:style>
  <w:style w:type="character" w:customStyle="1" w:styleId="NagweknotatkiZnak">
    <w:name w:val="Nagłówek notatki Znak"/>
    <w:basedOn w:val="Domylnaczcionkaakapitu"/>
    <w:link w:val="Nagweknotatki"/>
    <w:uiPriority w:val="99"/>
    <w:semiHidden/>
    <w:rsid w:val="005766EE"/>
    <w:rPr>
      <w:rFonts w:eastAsia="Times New Roman"/>
      <w:sz w:val="24"/>
    </w:rPr>
  </w:style>
  <w:style w:type="paragraph" w:styleId="Zwykytekst">
    <w:name w:val="Plain Text"/>
    <w:basedOn w:val="Normalny"/>
    <w:link w:val="ZwykytekstZnak"/>
    <w:uiPriority w:val="99"/>
    <w:semiHidden/>
    <w:rsid w:val="005766EE"/>
    <w:rPr>
      <w:rFonts w:ascii="Consolas" w:eastAsia="Times New Roman" w:hAnsi="Consolas" w:cs="Consolas"/>
      <w:sz w:val="21"/>
      <w:szCs w:val="21"/>
      <w:lang w:val="en-US"/>
    </w:rPr>
  </w:style>
  <w:style w:type="character" w:customStyle="1" w:styleId="ZwykytekstZnak">
    <w:name w:val="Zwykły tekst Znak"/>
    <w:basedOn w:val="Domylnaczcionkaakapitu"/>
    <w:link w:val="Zwykytekst"/>
    <w:uiPriority w:val="99"/>
    <w:semiHidden/>
    <w:rsid w:val="005766EE"/>
    <w:rPr>
      <w:rFonts w:ascii="Consolas" w:eastAsia="Times New Roman" w:hAnsi="Consolas" w:cs="Consolas"/>
      <w:sz w:val="21"/>
      <w:szCs w:val="21"/>
    </w:rPr>
  </w:style>
  <w:style w:type="paragraph" w:styleId="Zwrotgrzecznociowy">
    <w:name w:val="Salutation"/>
    <w:basedOn w:val="Normalny"/>
    <w:next w:val="Normalny"/>
    <w:link w:val="ZwrotgrzecznociowyZnak"/>
    <w:uiPriority w:val="99"/>
    <w:semiHidden/>
    <w:rsid w:val="005766EE"/>
    <w:rPr>
      <w:rFonts w:eastAsia="Times New Roman"/>
      <w:lang w:val="en-US"/>
    </w:rPr>
  </w:style>
  <w:style w:type="character" w:customStyle="1" w:styleId="ZwrotgrzecznociowyZnak">
    <w:name w:val="Zwrot grzecznościowy Znak"/>
    <w:basedOn w:val="Domylnaczcionkaakapitu"/>
    <w:link w:val="Zwrotgrzecznociowy"/>
    <w:uiPriority w:val="99"/>
    <w:semiHidden/>
    <w:rsid w:val="005766EE"/>
    <w:rPr>
      <w:rFonts w:eastAsia="Times New Roman"/>
      <w:sz w:val="24"/>
    </w:rPr>
  </w:style>
  <w:style w:type="paragraph" w:styleId="Podpis">
    <w:name w:val="Signature"/>
    <w:basedOn w:val="Normalny"/>
    <w:link w:val="PodpisZnak"/>
    <w:uiPriority w:val="99"/>
    <w:semiHidden/>
    <w:rsid w:val="005766EE"/>
    <w:pPr>
      <w:ind w:left="4252"/>
    </w:pPr>
    <w:rPr>
      <w:rFonts w:eastAsia="Times New Roman"/>
      <w:lang w:val="en-US"/>
    </w:rPr>
  </w:style>
  <w:style w:type="character" w:customStyle="1" w:styleId="PodpisZnak">
    <w:name w:val="Podpis Znak"/>
    <w:basedOn w:val="Domylnaczcionkaakapitu"/>
    <w:link w:val="Podpis"/>
    <w:uiPriority w:val="99"/>
    <w:semiHidden/>
    <w:rsid w:val="005766EE"/>
    <w:rPr>
      <w:rFonts w:eastAsia="Times New Roman"/>
      <w:sz w:val="24"/>
    </w:rPr>
  </w:style>
  <w:style w:type="table" w:styleId="Tabela-Efekty3W1">
    <w:name w:val="Table 3D effects 1"/>
    <w:basedOn w:val="Standardowy"/>
    <w:uiPriority w:val="99"/>
    <w:semiHidden/>
    <w:rsid w:val="005766EE"/>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5766EE"/>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5766EE"/>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5766EE"/>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5766EE"/>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5766EE"/>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5766EE"/>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5766EE"/>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5766EE"/>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5766EE"/>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5766EE"/>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5766EE"/>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5766EE"/>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5766EE"/>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5766EE"/>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5766EE"/>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5766EE"/>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5766E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5766EE"/>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5766EE"/>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5766EE"/>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5766EE"/>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5766EE"/>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5766EE"/>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5766EE"/>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5766EE"/>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5766E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5766EE"/>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5766EE"/>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5766EE"/>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766EE"/>
    <w:pPr>
      <w:ind w:left="240" w:hanging="240"/>
    </w:pPr>
    <w:rPr>
      <w:rFonts w:eastAsia="Times New Roman"/>
      <w:lang w:val="en-US"/>
    </w:rPr>
  </w:style>
  <w:style w:type="paragraph" w:styleId="Spisilustracji">
    <w:name w:val="table of figures"/>
    <w:basedOn w:val="Normalny"/>
    <w:next w:val="Normalny"/>
    <w:uiPriority w:val="99"/>
    <w:semiHidden/>
    <w:rsid w:val="005766EE"/>
    <w:rPr>
      <w:rFonts w:eastAsia="Times New Roman"/>
      <w:lang w:val="en-US"/>
    </w:rPr>
  </w:style>
  <w:style w:type="table" w:styleId="Tabela-Profesjonalny">
    <w:name w:val="Table Professional"/>
    <w:basedOn w:val="Standardowy"/>
    <w:uiPriority w:val="99"/>
    <w:semiHidden/>
    <w:rsid w:val="005766EE"/>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5766EE"/>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5766EE"/>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5766EE"/>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5766EE"/>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5766EE"/>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5766EE"/>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5766EE"/>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5766EE"/>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5766EE"/>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2624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2624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766EE"/>
    <w:pPr>
      <w:spacing w:after="100"/>
      <w:ind w:left="1680"/>
    </w:pPr>
    <w:rPr>
      <w:rFonts w:eastAsia="Times New Roman"/>
      <w:lang w:val="en-US"/>
    </w:rPr>
  </w:style>
  <w:style w:type="paragraph" w:styleId="Spistreci9">
    <w:name w:val="toc 9"/>
    <w:basedOn w:val="Normalny"/>
    <w:next w:val="Normalny"/>
    <w:autoRedefine/>
    <w:uiPriority w:val="99"/>
    <w:semiHidden/>
    <w:rsid w:val="005766EE"/>
    <w:pPr>
      <w:spacing w:after="100"/>
      <w:ind w:left="1920"/>
    </w:pPr>
    <w:rPr>
      <w:rFonts w:eastAsia="Times New Roman"/>
      <w:lang w:val="en-US"/>
    </w:rPr>
  </w:style>
  <w:style w:type="character" w:customStyle="1" w:styleId="ECHRParaChar">
    <w:name w:val="ECHR_Para Char"/>
    <w:aliases w:val="Ju_Para Char"/>
    <w:link w:val="ECHRPara"/>
    <w:uiPriority w:val="12"/>
    <w:rsid w:val="005766EE"/>
    <w:rPr>
      <w:rFonts w:eastAsiaTheme="minorEastAsia"/>
      <w:sz w:val="24"/>
      <w:lang w:val="en-GB"/>
    </w:rPr>
  </w:style>
  <w:style w:type="paragraph" w:customStyle="1" w:styleId="Revision1">
    <w:name w:val="Revision1"/>
    <w:next w:val="Poprawka"/>
    <w:hidden/>
    <w:uiPriority w:val="99"/>
    <w:semiHidden/>
    <w:rsid w:val="005766EE"/>
    <w:rPr>
      <w:rFonts w:eastAsia="Times New Roman"/>
      <w:sz w:val="24"/>
    </w:rPr>
  </w:style>
  <w:style w:type="paragraph" w:styleId="Podtytu">
    <w:name w:val="Subtitle"/>
    <w:basedOn w:val="Normalny"/>
    <w:next w:val="Normalny"/>
    <w:link w:val="PodtytuZnak"/>
    <w:uiPriority w:val="99"/>
    <w:semiHidden/>
    <w:qFormat/>
    <w:rsid w:val="00426AA8"/>
    <w:pPr>
      <w:spacing w:after="600"/>
    </w:pPr>
    <w:rPr>
      <w:rFonts w:asciiTheme="majorHAnsi" w:eastAsiaTheme="majorEastAsia" w:hAnsiTheme="majorHAnsi" w:cstheme="majorBidi"/>
      <w:i/>
      <w:iCs/>
      <w:spacing w:val="13"/>
      <w:szCs w:val="24"/>
      <w:lang w:val="en-US" w:bidi="en-US"/>
    </w:rPr>
  </w:style>
  <w:style w:type="paragraph" w:styleId="Tekstblokowy">
    <w:name w:val="Block Text"/>
    <w:basedOn w:val="Normalny"/>
    <w:uiPriority w:val="99"/>
    <w:semiHidden/>
    <w:rsid w:val="005766EE"/>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styleId="Kolorowasiatka">
    <w:name w:val="Colorful Grid"/>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5766EE"/>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5766EE"/>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5766EE"/>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5766EE"/>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5766EE"/>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5766EE"/>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5766EE"/>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5766EE"/>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5766EE"/>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5766EE"/>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5766EE"/>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5766EE"/>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5766EE"/>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5766EE"/>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5766EE"/>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5766EE"/>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5766EE"/>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5766EE"/>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5766EE"/>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5766EE"/>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5766EE"/>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5766EE"/>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Adresnakopercie">
    <w:name w:val="envelope address"/>
    <w:basedOn w:val="Normalny"/>
    <w:uiPriority w:val="99"/>
    <w:semiHidden/>
    <w:rsid w:val="005766EE"/>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5766EE"/>
    <w:rPr>
      <w:rFonts w:asciiTheme="majorHAnsi" w:eastAsiaTheme="majorEastAsia" w:hAnsiTheme="majorHAnsi" w:cstheme="majorBidi"/>
      <w:sz w:val="20"/>
      <w:szCs w:val="20"/>
    </w:rPr>
  </w:style>
  <w:style w:type="table" w:styleId="Jasnasiatka">
    <w:name w:val="Light Grid"/>
    <w:basedOn w:val="Standardowy"/>
    <w:uiPriority w:val="99"/>
    <w:semiHidden/>
    <w:rsid w:val="005766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5766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5766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5766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5766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5766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5766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5766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5766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5766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5766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5766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5766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5766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5766E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5766EE"/>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5766EE"/>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5766EE"/>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5766EE"/>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5766EE"/>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5766EE"/>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99"/>
    <w:semiHidden/>
    <w:rsid w:val="005766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5766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5766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5766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5766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5766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5766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5766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5766E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5766EE"/>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5766EE"/>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5766EE"/>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5766EE"/>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5766EE"/>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5766EE"/>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5766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5766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5766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5766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5766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5766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5766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5766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576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766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766EE"/>
    <w:rPr>
      <w:rFonts w:asciiTheme="majorHAnsi" w:eastAsiaTheme="majorEastAsia" w:hAnsiTheme="majorHAnsi" w:cstheme="majorBidi"/>
      <w:sz w:val="24"/>
      <w:szCs w:val="24"/>
      <w:shd w:val="pct20" w:color="auto" w:fill="auto"/>
      <w:lang w:val="en-GB"/>
    </w:rPr>
  </w:style>
  <w:style w:type="paragraph" w:styleId="Poprawka">
    <w:name w:val="Revision"/>
    <w:hidden/>
    <w:uiPriority w:val="99"/>
    <w:semiHidden/>
    <w:rsid w:val="005766EE"/>
    <w:rPr>
      <w:lang w:val="en-GB"/>
    </w:rPr>
  </w:style>
  <w:style w:type="paragraph" w:customStyle="1" w:styleId="JuCase">
    <w:name w:val="Ju_Case"/>
    <w:basedOn w:val="Normalny"/>
    <w:next w:val="ECHRPara"/>
    <w:uiPriority w:val="10"/>
    <w:rsid w:val="00B2624C"/>
    <w:pPr>
      <w:ind w:firstLine="284"/>
    </w:pPr>
    <w:rPr>
      <w:b/>
    </w:rPr>
  </w:style>
  <w:style w:type="paragraph" w:customStyle="1" w:styleId="jupara">
    <w:name w:val="jupara"/>
    <w:basedOn w:val="Normalny"/>
    <w:rsid w:val="00E915E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E915E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79375">
      <w:bodyDiv w:val="1"/>
      <w:marLeft w:val="0"/>
      <w:marRight w:val="0"/>
      <w:marTop w:val="0"/>
      <w:marBottom w:val="0"/>
      <w:divBdr>
        <w:top w:val="none" w:sz="0" w:space="0" w:color="auto"/>
        <w:left w:val="none" w:sz="0" w:space="0" w:color="auto"/>
        <w:bottom w:val="none" w:sz="0" w:space="0" w:color="auto"/>
        <w:right w:val="none" w:sz="0" w:space="0" w:color="auto"/>
      </w:divBdr>
      <w:divsChild>
        <w:div w:id="1533032806">
          <w:marLeft w:val="0"/>
          <w:marRight w:val="0"/>
          <w:marTop w:val="0"/>
          <w:marBottom w:val="0"/>
          <w:divBdr>
            <w:top w:val="none" w:sz="0" w:space="0" w:color="auto"/>
            <w:left w:val="none" w:sz="0" w:space="0" w:color="auto"/>
            <w:bottom w:val="none" w:sz="0" w:space="0" w:color="auto"/>
            <w:right w:val="none" w:sz="0" w:space="0" w:color="auto"/>
          </w:divBdr>
          <w:divsChild>
            <w:div w:id="1063482739">
              <w:marLeft w:val="0"/>
              <w:marRight w:val="0"/>
              <w:marTop w:val="0"/>
              <w:marBottom w:val="0"/>
              <w:divBdr>
                <w:top w:val="none" w:sz="0" w:space="0" w:color="auto"/>
                <w:left w:val="none" w:sz="0" w:space="0" w:color="auto"/>
                <w:bottom w:val="none" w:sz="0" w:space="0" w:color="auto"/>
                <w:right w:val="none" w:sz="0" w:space="0" w:color="auto"/>
              </w:divBdr>
              <w:divsChild>
                <w:div w:id="1409765206">
                  <w:marLeft w:val="0"/>
                  <w:marRight w:val="0"/>
                  <w:marTop w:val="0"/>
                  <w:marBottom w:val="0"/>
                  <w:divBdr>
                    <w:top w:val="none" w:sz="0" w:space="0" w:color="auto"/>
                    <w:left w:val="none" w:sz="0" w:space="0" w:color="auto"/>
                    <w:bottom w:val="none" w:sz="0" w:space="0" w:color="auto"/>
                    <w:right w:val="none" w:sz="0" w:space="0" w:color="auto"/>
                  </w:divBdr>
                  <w:divsChild>
                    <w:div w:id="201284793">
                      <w:marLeft w:val="0"/>
                      <w:marRight w:val="0"/>
                      <w:marTop w:val="0"/>
                      <w:marBottom w:val="0"/>
                      <w:divBdr>
                        <w:top w:val="none" w:sz="0" w:space="0" w:color="auto"/>
                        <w:left w:val="none" w:sz="0" w:space="0" w:color="auto"/>
                        <w:bottom w:val="none" w:sz="0" w:space="0" w:color="auto"/>
                        <w:right w:val="none" w:sz="0" w:space="0" w:color="auto"/>
                      </w:divBdr>
                      <w:divsChild>
                        <w:div w:id="1662854123">
                          <w:marLeft w:val="0"/>
                          <w:marRight w:val="0"/>
                          <w:marTop w:val="0"/>
                          <w:marBottom w:val="0"/>
                          <w:divBdr>
                            <w:top w:val="none" w:sz="0" w:space="0" w:color="auto"/>
                            <w:left w:val="none" w:sz="0" w:space="0" w:color="auto"/>
                            <w:bottom w:val="none" w:sz="0" w:space="0" w:color="auto"/>
                            <w:right w:val="none" w:sz="0" w:space="0" w:color="auto"/>
                          </w:divBdr>
                          <w:divsChild>
                            <w:div w:id="504898522">
                              <w:marLeft w:val="0"/>
                              <w:marRight w:val="0"/>
                              <w:marTop w:val="0"/>
                              <w:marBottom w:val="0"/>
                              <w:divBdr>
                                <w:top w:val="none" w:sz="0" w:space="0" w:color="auto"/>
                                <w:left w:val="none" w:sz="0" w:space="0" w:color="auto"/>
                                <w:bottom w:val="none" w:sz="0" w:space="0" w:color="auto"/>
                                <w:right w:val="none" w:sz="0" w:space="0" w:color="auto"/>
                              </w:divBdr>
                              <w:divsChild>
                                <w:div w:id="1337883314">
                                  <w:marLeft w:val="0"/>
                                  <w:marRight w:val="0"/>
                                  <w:marTop w:val="0"/>
                                  <w:marBottom w:val="0"/>
                                  <w:divBdr>
                                    <w:top w:val="none" w:sz="0" w:space="0" w:color="auto"/>
                                    <w:left w:val="none" w:sz="0" w:space="0" w:color="auto"/>
                                    <w:bottom w:val="none" w:sz="0" w:space="0" w:color="auto"/>
                                    <w:right w:val="none" w:sz="0" w:space="0" w:color="auto"/>
                                  </w:divBdr>
                                  <w:divsChild>
                                    <w:div w:id="2068872684">
                                      <w:marLeft w:val="0"/>
                                      <w:marRight w:val="0"/>
                                      <w:marTop w:val="0"/>
                                      <w:marBottom w:val="0"/>
                                      <w:divBdr>
                                        <w:top w:val="none" w:sz="0" w:space="0" w:color="auto"/>
                                        <w:left w:val="none" w:sz="0" w:space="0" w:color="auto"/>
                                        <w:bottom w:val="none" w:sz="0" w:space="0" w:color="auto"/>
                                        <w:right w:val="none" w:sz="0" w:space="0" w:color="auto"/>
                                      </w:divBdr>
                                    </w:div>
                                    <w:div w:id="2083599104">
                                      <w:marLeft w:val="0"/>
                                      <w:marRight w:val="0"/>
                                      <w:marTop w:val="0"/>
                                      <w:marBottom w:val="0"/>
                                      <w:divBdr>
                                        <w:top w:val="none" w:sz="0" w:space="0" w:color="auto"/>
                                        <w:left w:val="none" w:sz="0" w:space="0" w:color="auto"/>
                                        <w:bottom w:val="none" w:sz="0" w:space="0" w:color="auto"/>
                                        <w:right w:val="none" w:sz="0" w:space="0" w:color="auto"/>
                                      </w:divBdr>
                                    </w:div>
                                    <w:div w:id="5961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790836">
      <w:bodyDiv w:val="1"/>
      <w:marLeft w:val="0"/>
      <w:marRight w:val="0"/>
      <w:marTop w:val="0"/>
      <w:marBottom w:val="0"/>
      <w:divBdr>
        <w:top w:val="none" w:sz="0" w:space="0" w:color="auto"/>
        <w:left w:val="none" w:sz="0" w:space="0" w:color="auto"/>
        <w:bottom w:val="none" w:sz="0" w:space="0" w:color="auto"/>
        <w:right w:val="none" w:sz="0" w:space="0" w:color="auto"/>
      </w:divBdr>
      <w:divsChild>
        <w:div w:id="528949911">
          <w:marLeft w:val="0"/>
          <w:marRight w:val="0"/>
          <w:marTop w:val="0"/>
          <w:marBottom w:val="0"/>
          <w:divBdr>
            <w:top w:val="none" w:sz="0" w:space="0" w:color="auto"/>
            <w:left w:val="none" w:sz="0" w:space="0" w:color="auto"/>
            <w:bottom w:val="none" w:sz="0" w:space="0" w:color="auto"/>
            <w:right w:val="none" w:sz="0" w:space="0" w:color="auto"/>
          </w:divBdr>
          <w:divsChild>
            <w:div w:id="216671759">
              <w:marLeft w:val="0"/>
              <w:marRight w:val="0"/>
              <w:marTop w:val="0"/>
              <w:marBottom w:val="0"/>
              <w:divBdr>
                <w:top w:val="none" w:sz="0" w:space="0" w:color="auto"/>
                <w:left w:val="none" w:sz="0" w:space="0" w:color="auto"/>
                <w:bottom w:val="none" w:sz="0" w:space="0" w:color="auto"/>
                <w:right w:val="none" w:sz="0" w:space="0" w:color="auto"/>
              </w:divBdr>
              <w:divsChild>
                <w:div w:id="1913931801">
                  <w:marLeft w:val="0"/>
                  <w:marRight w:val="0"/>
                  <w:marTop w:val="0"/>
                  <w:marBottom w:val="0"/>
                  <w:divBdr>
                    <w:top w:val="none" w:sz="0" w:space="0" w:color="auto"/>
                    <w:left w:val="none" w:sz="0" w:space="0" w:color="auto"/>
                    <w:bottom w:val="none" w:sz="0" w:space="0" w:color="auto"/>
                    <w:right w:val="none" w:sz="0" w:space="0" w:color="auto"/>
                  </w:divBdr>
                  <w:divsChild>
                    <w:div w:id="344209582">
                      <w:marLeft w:val="0"/>
                      <w:marRight w:val="0"/>
                      <w:marTop w:val="0"/>
                      <w:marBottom w:val="0"/>
                      <w:divBdr>
                        <w:top w:val="none" w:sz="0" w:space="0" w:color="auto"/>
                        <w:left w:val="none" w:sz="0" w:space="0" w:color="auto"/>
                        <w:bottom w:val="none" w:sz="0" w:space="0" w:color="auto"/>
                        <w:right w:val="none" w:sz="0" w:space="0" w:color="auto"/>
                      </w:divBdr>
                      <w:divsChild>
                        <w:div w:id="806315025">
                          <w:marLeft w:val="0"/>
                          <w:marRight w:val="0"/>
                          <w:marTop w:val="0"/>
                          <w:marBottom w:val="0"/>
                          <w:divBdr>
                            <w:top w:val="none" w:sz="0" w:space="0" w:color="auto"/>
                            <w:left w:val="none" w:sz="0" w:space="0" w:color="auto"/>
                            <w:bottom w:val="none" w:sz="0" w:space="0" w:color="auto"/>
                            <w:right w:val="none" w:sz="0" w:space="0" w:color="auto"/>
                          </w:divBdr>
                          <w:divsChild>
                            <w:div w:id="415246483">
                              <w:marLeft w:val="0"/>
                              <w:marRight w:val="0"/>
                              <w:marTop w:val="0"/>
                              <w:marBottom w:val="0"/>
                              <w:divBdr>
                                <w:top w:val="none" w:sz="0" w:space="0" w:color="auto"/>
                                <w:left w:val="none" w:sz="0" w:space="0" w:color="auto"/>
                                <w:bottom w:val="none" w:sz="0" w:space="0" w:color="auto"/>
                                <w:right w:val="none" w:sz="0" w:space="0" w:color="auto"/>
                              </w:divBdr>
                              <w:divsChild>
                                <w:div w:id="1936401204">
                                  <w:marLeft w:val="0"/>
                                  <w:marRight w:val="0"/>
                                  <w:marTop w:val="0"/>
                                  <w:marBottom w:val="0"/>
                                  <w:divBdr>
                                    <w:top w:val="none" w:sz="0" w:space="0" w:color="auto"/>
                                    <w:left w:val="none" w:sz="0" w:space="0" w:color="auto"/>
                                    <w:bottom w:val="none" w:sz="0" w:space="0" w:color="auto"/>
                                    <w:right w:val="none" w:sz="0" w:space="0" w:color="auto"/>
                                  </w:divBdr>
                                  <w:divsChild>
                                    <w:div w:id="1425418469">
                                      <w:marLeft w:val="0"/>
                                      <w:marRight w:val="0"/>
                                      <w:marTop w:val="0"/>
                                      <w:marBottom w:val="0"/>
                                      <w:divBdr>
                                        <w:top w:val="none" w:sz="0" w:space="0" w:color="auto"/>
                                        <w:left w:val="none" w:sz="0" w:space="0" w:color="auto"/>
                                        <w:bottom w:val="none" w:sz="0" w:space="0" w:color="auto"/>
                                        <w:right w:val="none" w:sz="0" w:space="0" w:color="auto"/>
                                      </w:divBdr>
                                      <w:divsChild>
                                        <w:div w:id="1462531032">
                                          <w:marLeft w:val="0"/>
                                          <w:marRight w:val="0"/>
                                          <w:marTop w:val="0"/>
                                          <w:marBottom w:val="0"/>
                                          <w:divBdr>
                                            <w:top w:val="none" w:sz="0" w:space="0" w:color="auto"/>
                                            <w:left w:val="none" w:sz="0" w:space="0" w:color="auto"/>
                                            <w:bottom w:val="none" w:sz="0" w:space="0" w:color="auto"/>
                                            <w:right w:val="none" w:sz="0" w:space="0" w:color="auto"/>
                                          </w:divBdr>
                                          <w:divsChild>
                                            <w:div w:id="167909837">
                                              <w:marLeft w:val="0"/>
                                              <w:marRight w:val="0"/>
                                              <w:marTop w:val="0"/>
                                              <w:marBottom w:val="0"/>
                                              <w:divBdr>
                                                <w:top w:val="none" w:sz="0" w:space="0" w:color="auto"/>
                                                <w:left w:val="none" w:sz="0" w:space="0" w:color="auto"/>
                                                <w:bottom w:val="none" w:sz="0" w:space="0" w:color="auto"/>
                                                <w:right w:val="none" w:sz="0" w:space="0" w:color="auto"/>
                                              </w:divBdr>
                                              <w:divsChild>
                                                <w:div w:id="1887985781">
                                                  <w:marLeft w:val="0"/>
                                                  <w:marRight w:val="0"/>
                                                  <w:marTop w:val="0"/>
                                                  <w:marBottom w:val="0"/>
                                                  <w:divBdr>
                                                    <w:top w:val="none" w:sz="0" w:space="0" w:color="auto"/>
                                                    <w:left w:val="none" w:sz="0" w:space="0" w:color="auto"/>
                                                    <w:bottom w:val="none" w:sz="0" w:space="0" w:color="auto"/>
                                                    <w:right w:val="none" w:sz="0" w:space="0" w:color="auto"/>
                                                  </w:divBdr>
                                                  <w:divsChild>
                                                    <w:div w:id="415564129">
                                                      <w:marLeft w:val="0"/>
                                                      <w:marRight w:val="0"/>
                                                      <w:marTop w:val="0"/>
                                                      <w:marBottom w:val="0"/>
                                                      <w:divBdr>
                                                        <w:top w:val="none" w:sz="0" w:space="0" w:color="auto"/>
                                                        <w:left w:val="none" w:sz="0" w:space="0" w:color="auto"/>
                                                        <w:bottom w:val="none" w:sz="0" w:space="0" w:color="auto"/>
                                                        <w:right w:val="none" w:sz="0" w:space="0" w:color="auto"/>
                                                      </w:divBdr>
                                                      <w:divsChild>
                                                        <w:div w:id="697244127">
                                                          <w:marLeft w:val="0"/>
                                                          <w:marRight w:val="0"/>
                                                          <w:marTop w:val="0"/>
                                                          <w:marBottom w:val="0"/>
                                                          <w:divBdr>
                                                            <w:top w:val="none" w:sz="0" w:space="0" w:color="auto"/>
                                                            <w:left w:val="none" w:sz="0" w:space="0" w:color="auto"/>
                                                            <w:bottom w:val="none" w:sz="0" w:space="0" w:color="auto"/>
                                                            <w:right w:val="none" w:sz="0" w:space="0" w:color="auto"/>
                                                          </w:divBdr>
                                                          <w:divsChild>
                                                            <w:div w:id="302394279">
                                                              <w:marLeft w:val="0"/>
                                                              <w:marRight w:val="0"/>
                                                              <w:marTop w:val="0"/>
                                                              <w:marBottom w:val="0"/>
                                                              <w:divBdr>
                                                                <w:top w:val="none" w:sz="0" w:space="0" w:color="auto"/>
                                                                <w:left w:val="none" w:sz="0" w:space="0" w:color="auto"/>
                                                                <w:bottom w:val="none" w:sz="0" w:space="0" w:color="auto"/>
                                                                <w:right w:val="none" w:sz="0" w:space="0" w:color="auto"/>
                                                              </w:divBdr>
                                                              <w:divsChild>
                                                                <w:div w:id="80756037">
                                                                  <w:marLeft w:val="0"/>
                                                                  <w:marRight w:val="0"/>
                                                                  <w:marTop w:val="0"/>
                                                                  <w:marBottom w:val="0"/>
                                                                  <w:divBdr>
                                                                    <w:top w:val="none" w:sz="0" w:space="0" w:color="auto"/>
                                                                    <w:left w:val="none" w:sz="0" w:space="0" w:color="auto"/>
                                                                    <w:bottom w:val="none" w:sz="0" w:space="0" w:color="auto"/>
                                                                    <w:right w:val="none" w:sz="0" w:space="0" w:color="auto"/>
                                                                  </w:divBdr>
                                                                  <w:divsChild>
                                                                    <w:div w:id="902178502">
                                                                      <w:marLeft w:val="0"/>
                                                                      <w:marRight w:val="0"/>
                                                                      <w:marTop w:val="0"/>
                                                                      <w:marBottom w:val="0"/>
                                                                      <w:divBdr>
                                                                        <w:top w:val="none" w:sz="0" w:space="0" w:color="auto"/>
                                                                        <w:left w:val="none" w:sz="0" w:space="0" w:color="auto"/>
                                                                        <w:bottom w:val="none" w:sz="0" w:space="0" w:color="auto"/>
                                                                        <w:right w:val="none" w:sz="0" w:space="0" w:color="auto"/>
                                                                      </w:divBdr>
                                                                      <w:divsChild>
                                                                        <w:div w:id="705259769">
                                                                          <w:marLeft w:val="0"/>
                                                                          <w:marRight w:val="0"/>
                                                                          <w:marTop w:val="0"/>
                                                                          <w:marBottom w:val="0"/>
                                                                          <w:divBdr>
                                                                            <w:top w:val="none" w:sz="0" w:space="0" w:color="auto"/>
                                                                            <w:left w:val="none" w:sz="0" w:space="0" w:color="auto"/>
                                                                            <w:bottom w:val="none" w:sz="0" w:space="0" w:color="auto"/>
                                                                            <w:right w:val="none" w:sz="0" w:space="0" w:color="auto"/>
                                                                          </w:divBdr>
                                                                        </w:div>
                                                                        <w:div w:id="11142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2571896">
      <w:bodyDiv w:val="1"/>
      <w:marLeft w:val="0"/>
      <w:marRight w:val="0"/>
      <w:marTop w:val="0"/>
      <w:marBottom w:val="0"/>
      <w:divBdr>
        <w:top w:val="none" w:sz="0" w:space="0" w:color="auto"/>
        <w:left w:val="none" w:sz="0" w:space="0" w:color="auto"/>
        <w:bottom w:val="none" w:sz="0" w:space="0" w:color="auto"/>
        <w:right w:val="none" w:sz="0" w:space="0" w:color="auto"/>
      </w:divBdr>
      <w:divsChild>
        <w:div w:id="1249389756">
          <w:marLeft w:val="0"/>
          <w:marRight w:val="0"/>
          <w:marTop w:val="0"/>
          <w:marBottom w:val="0"/>
          <w:divBdr>
            <w:top w:val="none" w:sz="0" w:space="0" w:color="auto"/>
            <w:left w:val="none" w:sz="0" w:space="0" w:color="auto"/>
            <w:bottom w:val="none" w:sz="0" w:space="0" w:color="auto"/>
            <w:right w:val="none" w:sz="0" w:space="0" w:color="auto"/>
          </w:divBdr>
          <w:divsChild>
            <w:div w:id="1173226495">
              <w:marLeft w:val="0"/>
              <w:marRight w:val="0"/>
              <w:marTop w:val="0"/>
              <w:marBottom w:val="0"/>
              <w:divBdr>
                <w:top w:val="none" w:sz="0" w:space="0" w:color="auto"/>
                <w:left w:val="none" w:sz="0" w:space="0" w:color="auto"/>
                <w:bottom w:val="none" w:sz="0" w:space="0" w:color="auto"/>
                <w:right w:val="none" w:sz="0" w:space="0" w:color="auto"/>
              </w:divBdr>
              <w:divsChild>
                <w:div w:id="1950355993">
                  <w:marLeft w:val="0"/>
                  <w:marRight w:val="0"/>
                  <w:marTop w:val="0"/>
                  <w:marBottom w:val="0"/>
                  <w:divBdr>
                    <w:top w:val="none" w:sz="0" w:space="0" w:color="auto"/>
                    <w:left w:val="none" w:sz="0" w:space="0" w:color="auto"/>
                    <w:bottom w:val="none" w:sz="0" w:space="0" w:color="auto"/>
                    <w:right w:val="none" w:sz="0" w:space="0" w:color="auto"/>
                  </w:divBdr>
                  <w:divsChild>
                    <w:div w:id="257100220">
                      <w:marLeft w:val="0"/>
                      <w:marRight w:val="0"/>
                      <w:marTop w:val="0"/>
                      <w:marBottom w:val="0"/>
                      <w:divBdr>
                        <w:top w:val="none" w:sz="0" w:space="0" w:color="auto"/>
                        <w:left w:val="none" w:sz="0" w:space="0" w:color="auto"/>
                        <w:bottom w:val="none" w:sz="0" w:space="0" w:color="auto"/>
                        <w:right w:val="none" w:sz="0" w:space="0" w:color="auto"/>
                      </w:divBdr>
                      <w:divsChild>
                        <w:div w:id="2026007630">
                          <w:marLeft w:val="0"/>
                          <w:marRight w:val="0"/>
                          <w:marTop w:val="0"/>
                          <w:marBottom w:val="0"/>
                          <w:divBdr>
                            <w:top w:val="none" w:sz="0" w:space="0" w:color="auto"/>
                            <w:left w:val="none" w:sz="0" w:space="0" w:color="auto"/>
                            <w:bottom w:val="none" w:sz="0" w:space="0" w:color="auto"/>
                            <w:right w:val="none" w:sz="0" w:space="0" w:color="auto"/>
                          </w:divBdr>
                          <w:divsChild>
                            <w:div w:id="245724628">
                              <w:marLeft w:val="0"/>
                              <w:marRight w:val="0"/>
                              <w:marTop w:val="0"/>
                              <w:marBottom w:val="0"/>
                              <w:divBdr>
                                <w:top w:val="none" w:sz="0" w:space="0" w:color="auto"/>
                                <w:left w:val="none" w:sz="0" w:space="0" w:color="auto"/>
                                <w:bottom w:val="none" w:sz="0" w:space="0" w:color="auto"/>
                                <w:right w:val="none" w:sz="0" w:space="0" w:color="auto"/>
                              </w:divBdr>
                              <w:divsChild>
                                <w:div w:id="1951164313">
                                  <w:marLeft w:val="0"/>
                                  <w:marRight w:val="0"/>
                                  <w:marTop w:val="0"/>
                                  <w:marBottom w:val="0"/>
                                  <w:divBdr>
                                    <w:top w:val="none" w:sz="0" w:space="0" w:color="auto"/>
                                    <w:left w:val="none" w:sz="0" w:space="0" w:color="auto"/>
                                    <w:bottom w:val="none" w:sz="0" w:space="0" w:color="auto"/>
                                    <w:right w:val="none" w:sz="0" w:space="0" w:color="auto"/>
                                  </w:divBdr>
                                  <w:divsChild>
                                    <w:div w:id="1475639351">
                                      <w:marLeft w:val="0"/>
                                      <w:marRight w:val="0"/>
                                      <w:marTop w:val="0"/>
                                      <w:marBottom w:val="0"/>
                                      <w:divBdr>
                                        <w:top w:val="none" w:sz="0" w:space="0" w:color="auto"/>
                                        <w:left w:val="none" w:sz="0" w:space="0" w:color="auto"/>
                                        <w:bottom w:val="none" w:sz="0" w:space="0" w:color="auto"/>
                                        <w:right w:val="none" w:sz="0" w:space="0" w:color="auto"/>
                                      </w:divBdr>
                                      <w:divsChild>
                                        <w:div w:id="1743990649">
                                          <w:marLeft w:val="0"/>
                                          <w:marRight w:val="0"/>
                                          <w:marTop w:val="0"/>
                                          <w:marBottom w:val="0"/>
                                          <w:divBdr>
                                            <w:top w:val="none" w:sz="0" w:space="0" w:color="auto"/>
                                            <w:left w:val="none" w:sz="0" w:space="0" w:color="auto"/>
                                            <w:bottom w:val="none" w:sz="0" w:space="0" w:color="auto"/>
                                            <w:right w:val="none" w:sz="0" w:space="0" w:color="auto"/>
                                          </w:divBdr>
                                          <w:divsChild>
                                            <w:div w:id="105928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0809594">
      <w:bodyDiv w:val="1"/>
      <w:marLeft w:val="0"/>
      <w:marRight w:val="0"/>
      <w:marTop w:val="0"/>
      <w:marBottom w:val="0"/>
      <w:divBdr>
        <w:top w:val="none" w:sz="0" w:space="0" w:color="auto"/>
        <w:left w:val="none" w:sz="0" w:space="0" w:color="auto"/>
        <w:bottom w:val="none" w:sz="0" w:space="0" w:color="auto"/>
        <w:right w:val="none" w:sz="0" w:space="0" w:color="auto"/>
      </w:divBdr>
      <w:divsChild>
        <w:div w:id="2110197159">
          <w:marLeft w:val="0"/>
          <w:marRight w:val="0"/>
          <w:marTop w:val="0"/>
          <w:marBottom w:val="0"/>
          <w:divBdr>
            <w:top w:val="none" w:sz="0" w:space="0" w:color="auto"/>
            <w:left w:val="none" w:sz="0" w:space="0" w:color="auto"/>
            <w:bottom w:val="none" w:sz="0" w:space="0" w:color="auto"/>
            <w:right w:val="none" w:sz="0" w:space="0" w:color="auto"/>
          </w:divBdr>
          <w:divsChild>
            <w:div w:id="1722318500">
              <w:marLeft w:val="0"/>
              <w:marRight w:val="0"/>
              <w:marTop w:val="0"/>
              <w:marBottom w:val="0"/>
              <w:divBdr>
                <w:top w:val="none" w:sz="0" w:space="0" w:color="auto"/>
                <w:left w:val="none" w:sz="0" w:space="0" w:color="auto"/>
                <w:bottom w:val="none" w:sz="0" w:space="0" w:color="auto"/>
                <w:right w:val="none" w:sz="0" w:space="0" w:color="auto"/>
              </w:divBdr>
              <w:divsChild>
                <w:div w:id="1038315030">
                  <w:marLeft w:val="0"/>
                  <w:marRight w:val="0"/>
                  <w:marTop w:val="0"/>
                  <w:marBottom w:val="0"/>
                  <w:divBdr>
                    <w:top w:val="none" w:sz="0" w:space="0" w:color="auto"/>
                    <w:left w:val="none" w:sz="0" w:space="0" w:color="auto"/>
                    <w:bottom w:val="none" w:sz="0" w:space="0" w:color="auto"/>
                    <w:right w:val="none" w:sz="0" w:space="0" w:color="auto"/>
                  </w:divBdr>
                  <w:divsChild>
                    <w:div w:id="203980030">
                      <w:marLeft w:val="0"/>
                      <w:marRight w:val="0"/>
                      <w:marTop w:val="0"/>
                      <w:marBottom w:val="0"/>
                      <w:divBdr>
                        <w:top w:val="none" w:sz="0" w:space="0" w:color="auto"/>
                        <w:left w:val="none" w:sz="0" w:space="0" w:color="auto"/>
                        <w:bottom w:val="none" w:sz="0" w:space="0" w:color="auto"/>
                        <w:right w:val="none" w:sz="0" w:space="0" w:color="auto"/>
                      </w:divBdr>
                      <w:divsChild>
                        <w:div w:id="2050496981">
                          <w:marLeft w:val="0"/>
                          <w:marRight w:val="0"/>
                          <w:marTop w:val="0"/>
                          <w:marBottom w:val="0"/>
                          <w:divBdr>
                            <w:top w:val="none" w:sz="0" w:space="0" w:color="auto"/>
                            <w:left w:val="none" w:sz="0" w:space="0" w:color="auto"/>
                            <w:bottom w:val="none" w:sz="0" w:space="0" w:color="auto"/>
                            <w:right w:val="none" w:sz="0" w:space="0" w:color="auto"/>
                          </w:divBdr>
                          <w:divsChild>
                            <w:div w:id="40129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6F157-22BF-432F-93CB-F6744820C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6971271-CA2C-4BEA-AFF1-615BDE06DF4B}">
  <ds:schemaRefs>
    <ds:schemaRef ds:uri="http://schemas.microsoft.com/sharepoint/v3/contenttype/forms"/>
  </ds:schemaRefs>
</ds:datastoreItem>
</file>

<file path=customXml/itemProps3.xml><?xml version="1.0" encoding="utf-8"?>
<ds:datastoreItem xmlns:ds="http://schemas.openxmlformats.org/officeDocument/2006/customXml" ds:itemID="{509E3448-1599-4DD9-8630-C4D40F6C85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C5998B-B956-448A-BF93-83251A9DA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6461</Words>
  <Characters>38771</Characters>
  <Application>Microsoft Office Word</Application>
  <DocSecurity>0</DocSecurity>
  <Lines>323</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2018-10-22T08:35:00Z</dcterms:created>
  <dcterms:modified xsi:type="dcterms:W3CDTF">2018-10-22T08:35:00Z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