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E84" w:rsidRDefault="003F7E84" w:rsidP="003F7E84">
      <w:pPr>
        <w:spacing w:before="100" w:beforeAutospacing="1" w:after="120"/>
        <w:rPr>
          <w:sz w:val="20"/>
        </w:rPr>
      </w:pPr>
      <w:bookmarkStart w:id="0" w:name="_GoBack"/>
      <w:bookmarkEnd w:id="0"/>
      <w:r>
        <w:rPr>
          <w:sz w:val="20"/>
        </w:rPr>
        <w:t xml:space="preserve">© Ministerstwo Sprawiedliwości, </w:t>
      </w:r>
      <w:hyperlink r:id="rId12" w:history="1">
        <w:r>
          <w:rPr>
            <w:rStyle w:val="Hipercze"/>
            <w:sz w:val="20"/>
          </w:rPr>
          <w:t>www.ms.gov.pl</w:t>
        </w:r>
      </w:hyperlink>
      <w:r>
        <w:rPr>
          <w:sz w:val="20"/>
        </w:rPr>
        <w:t xml:space="preserve"> [Translation already published on the official website of the Polish Ministry of Justice]</w:t>
      </w:r>
    </w:p>
    <w:p w:rsidR="003F7E84" w:rsidRDefault="003F7E84" w:rsidP="003F7E84">
      <w:pPr>
        <w:spacing w:after="100" w:afterAutospacing="1"/>
        <w:rPr>
          <w:sz w:val="20"/>
        </w:rPr>
      </w:pPr>
      <w:r>
        <w:rPr>
          <w:sz w:val="20"/>
        </w:rPr>
        <w:t>Permission to re-publish this translation has been granted by the Polish Ministry of Justice for the sole purpose of its inclusion in the Court’s database HUDOC</w:t>
      </w:r>
    </w:p>
    <w:p w:rsidR="003F7E84" w:rsidRDefault="003F7E84" w:rsidP="003F7E84">
      <w:pPr>
        <w:spacing w:before="100" w:beforeAutospacing="1" w:after="120"/>
        <w:rPr>
          <w:sz w:val="20"/>
          <w:lang w:val="pl-PL"/>
        </w:rPr>
      </w:pPr>
      <w:r>
        <w:rPr>
          <w:sz w:val="20"/>
          <w:lang w:val="pl-PL"/>
        </w:rPr>
        <w:t xml:space="preserve">© Ministerstwo Sprawiedliwości, </w:t>
      </w:r>
      <w:hyperlink r:id="rId13" w:history="1">
        <w:r>
          <w:rPr>
            <w:rStyle w:val="Hipercze"/>
            <w:sz w:val="20"/>
            <w:lang w:val="pl-PL"/>
          </w:rPr>
          <w:t>www.ms.gov.pl</w:t>
        </w:r>
      </w:hyperlink>
      <w:r>
        <w:rPr>
          <w:sz w:val="20"/>
          <w:lang w:val="pl-PL"/>
        </w:rPr>
        <w:t xml:space="preserve"> [Tłumaczenie zostało już opublikowane na oficjalnej stronie Ministerstwa Sprawiedliwości]</w:t>
      </w:r>
    </w:p>
    <w:p w:rsidR="003F7E84" w:rsidRDefault="003F7E84" w:rsidP="003F7E84">
      <w:pPr>
        <w:rPr>
          <w:sz w:val="20"/>
          <w:lang w:val="pl-PL"/>
        </w:rPr>
      </w:pPr>
      <w:r>
        <w:rPr>
          <w:sz w:val="20"/>
          <w:lang w:val="pl-PL"/>
        </w:rPr>
        <w:t xml:space="preserve">Zezwolenie na publikację tego tłumaczenia zostało udzielone przez Ministerstwo Sprawiedliwości wyłącznie w celu zamieszczenia w bazie Trybunału HUDOC </w:t>
      </w:r>
    </w:p>
    <w:p w:rsidR="00014566" w:rsidRPr="00AD5090" w:rsidRDefault="00014566" w:rsidP="0058384F">
      <w:pPr>
        <w:pStyle w:val="ECHRDecisionBody"/>
        <w:rPr>
          <w:lang w:val="pl-PL"/>
        </w:rPr>
      </w:pPr>
    </w:p>
    <w:p w:rsidR="00D833F5" w:rsidRPr="00AD5090" w:rsidRDefault="003F7E84" w:rsidP="003F7E84">
      <w:pPr>
        <w:pStyle w:val="ECHRDecisionBody"/>
        <w:jc w:val="center"/>
        <w:rPr>
          <w:lang w:val="pl-PL"/>
        </w:rPr>
      </w:pPr>
      <w:r>
        <w:rPr>
          <w:lang w:val="pl-PL"/>
        </w:rPr>
        <w:t>EUROPEJSKI TRYBUNAŁ PRAW CZŁOWIEKA</w:t>
      </w:r>
    </w:p>
    <w:p w:rsidR="00D833F5" w:rsidRPr="00AD5090" w:rsidRDefault="00D833F5" w:rsidP="0058384F">
      <w:pPr>
        <w:pStyle w:val="ECHRDecisionBody"/>
        <w:rPr>
          <w:lang w:val="pl-PL"/>
        </w:rPr>
      </w:pPr>
    </w:p>
    <w:p w:rsidR="00014566" w:rsidRPr="00AD5090" w:rsidRDefault="008144EE" w:rsidP="0058384F">
      <w:pPr>
        <w:jc w:val="center"/>
        <w:rPr>
          <w:lang w:val="pl-PL"/>
        </w:rPr>
      </w:pPr>
      <w:r w:rsidRPr="00AD5090">
        <w:rPr>
          <w:lang w:val="pl-PL"/>
        </w:rPr>
        <w:t>SEKCJA PIERWSZA</w:t>
      </w:r>
    </w:p>
    <w:p w:rsidR="00014566" w:rsidRPr="00AD5090" w:rsidRDefault="00014566" w:rsidP="0058384F">
      <w:pPr>
        <w:jc w:val="center"/>
        <w:rPr>
          <w:lang w:val="pl-PL"/>
        </w:rPr>
      </w:pPr>
    </w:p>
    <w:p w:rsidR="00D833F5" w:rsidRPr="00AD5090" w:rsidRDefault="00D833F5" w:rsidP="0058384F">
      <w:pPr>
        <w:jc w:val="center"/>
        <w:rPr>
          <w:lang w:val="pl-PL"/>
        </w:rPr>
      </w:pPr>
    </w:p>
    <w:p w:rsidR="00D833F5" w:rsidRPr="00AD5090" w:rsidRDefault="00D833F5" w:rsidP="0058384F">
      <w:pPr>
        <w:jc w:val="center"/>
        <w:rPr>
          <w:lang w:val="pl-PL"/>
        </w:rPr>
      </w:pPr>
    </w:p>
    <w:p w:rsidR="00D833F5" w:rsidRPr="00AD5090" w:rsidRDefault="00D833F5" w:rsidP="0058384F">
      <w:pPr>
        <w:jc w:val="center"/>
        <w:rPr>
          <w:lang w:val="pl-PL"/>
        </w:rPr>
      </w:pPr>
    </w:p>
    <w:p w:rsidR="00014566" w:rsidRPr="00AD5090" w:rsidRDefault="00014566" w:rsidP="0058384F">
      <w:pPr>
        <w:jc w:val="center"/>
        <w:rPr>
          <w:b/>
          <w:lang w:val="pl-PL"/>
        </w:rPr>
      </w:pPr>
      <w:bookmarkStart w:id="1" w:name="To"/>
      <w:r w:rsidRPr="00AD5090">
        <w:rPr>
          <w:b/>
          <w:bCs/>
          <w:lang w:val="pl-PL"/>
        </w:rPr>
        <w:t xml:space="preserve">SPRAWA </w:t>
      </w:r>
      <w:bookmarkEnd w:id="1"/>
      <w:r w:rsidRPr="00AD5090">
        <w:rPr>
          <w:b/>
          <w:bCs/>
          <w:lang w:val="pl-PL"/>
        </w:rPr>
        <w:t>OLLER KAMIŃSKA przeciwko POLSCE</w:t>
      </w:r>
    </w:p>
    <w:p w:rsidR="00014566" w:rsidRPr="00AD5090" w:rsidRDefault="00014566" w:rsidP="0058384F">
      <w:pPr>
        <w:jc w:val="center"/>
        <w:rPr>
          <w:lang w:val="pl-PL"/>
        </w:rPr>
      </w:pPr>
    </w:p>
    <w:p w:rsidR="00014566" w:rsidRPr="00AD5090" w:rsidRDefault="00014566" w:rsidP="0058384F">
      <w:pPr>
        <w:jc w:val="center"/>
        <w:rPr>
          <w:i/>
          <w:lang w:val="pl-PL"/>
        </w:rPr>
      </w:pPr>
      <w:r w:rsidRPr="00AD5090">
        <w:rPr>
          <w:i/>
          <w:iCs/>
          <w:lang w:val="pl-PL"/>
        </w:rPr>
        <w:t>(Skarga nr 28481/12)</w:t>
      </w:r>
    </w:p>
    <w:p w:rsidR="00014566" w:rsidRPr="00AD5090" w:rsidRDefault="00014566" w:rsidP="0058384F">
      <w:pPr>
        <w:jc w:val="center"/>
        <w:rPr>
          <w:lang w:val="pl-PL"/>
        </w:rPr>
      </w:pPr>
    </w:p>
    <w:p w:rsidR="00014566" w:rsidRPr="00AD5090" w:rsidRDefault="00014566" w:rsidP="0058384F">
      <w:pPr>
        <w:jc w:val="center"/>
        <w:rPr>
          <w:lang w:val="pl-PL"/>
        </w:rPr>
      </w:pPr>
    </w:p>
    <w:p w:rsidR="00014566" w:rsidRPr="00AD5090" w:rsidRDefault="00014566" w:rsidP="0058384F">
      <w:pPr>
        <w:jc w:val="center"/>
        <w:rPr>
          <w:lang w:val="pl-PL"/>
        </w:rPr>
      </w:pPr>
    </w:p>
    <w:p w:rsidR="00543266" w:rsidRPr="00AD5090" w:rsidRDefault="00D833F5" w:rsidP="0058384F">
      <w:pPr>
        <w:jc w:val="center"/>
        <w:rPr>
          <w:sz w:val="22"/>
          <w:lang w:val="pl-PL"/>
        </w:rPr>
      </w:pPr>
      <w:r w:rsidRPr="00AD5090">
        <w:rPr>
          <w:sz w:val="22"/>
          <w:lang w:val="pl-PL"/>
        </w:rPr>
        <w:t>WYROK</w:t>
      </w:r>
    </w:p>
    <w:p w:rsidR="00D833F5" w:rsidRPr="00AD5090" w:rsidRDefault="00D833F5" w:rsidP="0058384F">
      <w:pPr>
        <w:pStyle w:val="JuCase"/>
        <w:ind w:firstLine="0"/>
        <w:jc w:val="center"/>
        <w:rPr>
          <w:b w:val="0"/>
          <w:lang w:val="pl-PL"/>
        </w:rPr>
      </w:pPr>
    </w:p>
    <w:p w:rsidR="00D833F5" w:rsidRPr="00AD5090" w:rsidRDefault="00D833F5" w:rsidP="0058384F">
      <w:pPr>
        <w:pStyle w:val="JuCase"/>
        <w:ind w:firstLine="0"/>
        <w:jc w:val="center"/>
        <w:rPr>
          <w:b w:val="0"/>
          <w:lang w:val="pl-PL"/>
        </w:rPr>
      </w:pPr>
    </w:p>
    <w:p w:rsidR="00D833F5" w:rsidRPr="00AD5090" w:rsidRDefault="005C2B13" w:rsidP="0058384F">
      <w:pPr>
        <w:pStyle w:val="JuCase"/>
        <w:ind w:firstLine="0"/>
        <w:jc w:val="center"/>
        <w:rPr>
          <w:b w:val="0"/>
          <w:lang w:val="pl-PL"/>
        </w:rPr>
      </w:pPr>
      <w:r>
        <w:rPr>
          <w:b w:val="0"/>
          <w:lang w:val="pl-PL"/>
        </w:rPr>
        <w:t>STRASB</w:t>
      </w:r>
      <w:r w:rsidR="00D833F5" w:rsidRPr="00AD5090">
        <w:rPr>
          <w:b w:val="0"/>
          <w:lang w:val="pl-PL"/>
        </w:rPr>
        <w:t>URG</w:t>
      </w:r>
    </w:p>
    <w:p w:rsidR="00D833F5" w:rsidRPr="00AD5090" w:rsidRDefault="00D833F5" w:rsidP="0058384F">
      <w:pPr>
        <w:pStyle w:val="JuCase"/>
        <w:ind w:firstLine="0"/>
        <w:jc w:val="center"/>
        <w:rPr>
          <w:b w:val="0"/>
          <w:lang w:val="pl-PL"/>
        </w:rPr>
      </w:pPr>
    </w:p>
    <w:p w:rsidR="00D833F5" w:rsidRPr="00AD5090" w:rsidRDefault="00D833F5" w:rsidP="0058384F">
      <w:pPr>
        <w:pStyle w:val="JuCase"/>
        <w:ind w:firstLine="0"/>
        <w:jc w:val="center"/>
        <w:rPr>
          <w:b w:val="0"/>
          <w:lang w:val="pl-PL"/>
        </w:rPr>
      </w:pPr>
      <w:r w:rsidRPr="00AD5090">
        <w:rPr>
          <w:b w:val="0"/>
          <w:lang w:val="pl-PL"/>
        </w:rPr>
        <w:t>18 stycznia 2018 r.</w:t>
      </w:r>
    </w:p>
    <w:p w:rsidR="00D833F5" w:rsidRPr="00AD5090" w:rsidRDefault="00D833F5" w:rsidP="0058384F">
      <w:pPr>
        <w:pStyle w:val="ECHRPara"/>
        <w:ind w:firstLine="0"/>
        <w:rPr>
          <w:lang w:val="pl-PL"/>
        </w:rPr>
      </w:pPr>
    </w:p>
    <w:p w:rsidR="002110EE" w:rsidRPr="002110EE" w:rsidRDefault="002110EE" w:rsidP="002110EE">
      <w:pPr>
        <w:pStyle w:val="jucase0"/>
        <w:ind w:firstLine="0"/>
        <w:jc w:val="center"/>
        <w:rPr>
          <w:color w:val="FF0000"/>
          <w:sz w:val="28"/>
          <w:szCs w:val="28"/>
          <w:u w:val="single"/>
          <w:lang w:val="pl-PL"/>
        </w:rPr>
      </w:pPr>
      <w:r>
        <w:rPr>
          <w:color w:val="FF0000"/>
          <w:sz w:val="28"/>
          <w:szCs w:val="28"/>
          <w:u w:val="single"/>
          <w:lang w:val="pl-PL"/>
        </w:rPr>
        <w:t>OSTATECZNY</w:t>
      </w:r>
    </w:p>
    <w:p w:rsidR="002110EE" w:rsidRPr="002110EE" w:rsidRDefault="002110EE" w:rsidP="002110EE">
      <w:pPr>
        <w:pStyle w:val="jupara"/>
        <w:tabs>
          <w:tab w:val="left" w:pos="4650"/>
        </w:tabs>
        <w:ind w:firstLine="0"/>
        <w:jc w:val="center"/>
        <w:rPr>
          <w:color w:val="FF0000"/>
          <w:sz w:val="28"/>
          <w:szCs w:val="28"/>
          <w:lang w:val="pl-PL"/>
        </w:rPr>
      </w:pPr>
    </w:p>
    <w:p w:rsidR="002110EE" w:rsidRPr="002110EE" w:rsidRDefault="002110EE" w:rsidP="002110EE">
      <w:pPr>
        <w:pStyle w:val="jupara"/>
        <w:ind w:firstLine="0"/>
        <w:jc w:val="center"/>
        <w:rPr>
          <w:color w:val="FF0000"/>
          <w:sz w:val="28"/>
          <w:szCs w:val="28"/>
          <w:lang w:val="pl-PL"/>
        </w:rPr>
      </w:pPr>
      <w:r w:rsidRPr="002110EE">
        <w:rPr>
          <w:color w:val="FF0000"/>
          <w:sz w:val="28"/>
          <w:szCs w:val="28"/>
          <w:lang w:val="pl-PL"/>
        </w:rPr>
        <w:t>18/04/2018</w:t>
      </w:r>
    </w:p>
    <w:p w:rsidR="002110EE" w:rsidRPr="002110EE" w:rsidRDefault="002110EE" w:rsidP="002110EE">
      <w:pPr>
        <w:pStyle w:val="jupara"/>
        <w:ind w:firstLine="0"/>
        <w:jc w:val="center"/>
        <w:rPr>
          <w:lang w:val="pl-PL"/>
        </w:rPr>
      </w:pPr>
    </w:p>
    <w:p w:rsidR="002110EE" w:rsidRPr="00CA5070" w:rsidRDefault="002110EE" w:rsidP="002110EE">
      <w:pPr>
        <w:jc w:val="center"/>
        <w:rPr>
          <w:i/>
          <w:iCs/>
          <w:sz w:val="22"/>
          <w:lang w:val="pl-PL"/>
        </w:rPr>
        <w:sectPr w:rsidR="002110EE" w:rsidRPr="00CA5070" w:rsidSect="00D833F5">
          <w:head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r w:rsidRPr="002110EE">
        <w:rPr>
          <w:i/>
          <w:iCs/>
          <w:sz w:val="22"/>
          <w:lang w:val="pl-PL"/>
        </w:rPr>
        <w:t xml:space="preserve">Ten wyrok stał się ostateczny na warunkach określonych w art. 44 ust. 2 Konwencji. </w:t>
      </w:r>
      <w:r w:rsidRPr="00CA5070">
        <w:rPr>
          <w:i/>
          <w:iCs/>
          <w:sz w:val="22"/>
          <w:lang w:val="pl-PL"/>
        </w:rPr>
        <w:t>Może podlegać korekcie wydawniczej.</w:t>
      </w:r>
    </w:p>
    <w:p w:rsidR="00014566" w:rsidRPr="00CA5070" w:rsidRDefault="00014566" w:rsidP="0058384F">
      <w:pPr>
        <w:pStyle w:val="JuCase"/>
        <w:rPr>
          <w:bCs/>
          <w:lang w:val="pl-PL"/>
        </w:rPr>
      </w:pPr>
      <w:r w:rsidRPr="00CA5070">
        <w:rPr>
          <w:bCs/>
          <w:lang w:val="pl-PL"/>
        </w:rPr>
        <w:lastRenderedPageBreak/>
        <w:t>W sprawie Oller Kamińska przeciwko POLSCE,</w:t>
      </w:r>
    </w:p>
    <w:p w:rsidR="00014566" w:rsidRPr="00AD5090" w:rsidRDefault="00014566" w:rsidP="0058384F">
      <w:pPr>
        <w:pStyle w:val="ECHRPara"/>
        <w:rPr>
          <w:lang w:val="pl-PL"/>
        </w:rPr>
      </w:pPr>
      <w:r w:rsidRPr="00AD5090">
        <w:rPr>
          <w:lang w:val="pl-PL"/>
        </w:rPr>
        <w:t>Europejski Trybunał Praw Człowieka (Sekcja pierwsza), zasiadając jako Izba w składzie:</w:t>
      </w:r>
    </w:p>
    <w:p w:rsidR="00014566" w:rsidRPr="00AD5090" w:rsidRDefault="00D833F5" w:rsidP="0058384F">
      <w:pPr>
        <w:pStyle w:val="ECHRDecisionBody"/>
        <w:rPr>
          <w:lang w:val="pl-PL"/>
        </w:rPr>
      </w:pPr>
      <w:r w:rsidRPr="00AD5090">
        <w:rPr>
          <w:lang w:val="pl-PL"/>
        </w:rPr>
        <w:tab/>
        <w:t>Linos-Alexandre Sicilianos,</w:t>
      </w:r>
      <w:r w:rsidRPr="00AD5090">
        <w:rPr>
          <w:i/>
          <w:iCs/>
          <w:lang w:val="pl-PL"/>
        </w:rPr>
        <w:t xml:space="preserve"> Przewodniczący,</w:t>
      </w:r>
      <w:r w:rsidRPr="00AD5090">
        <w:rPr>
          <w:lang w:val="pl-PL"/>
        </w:rPr>
        <w:br/>
      </w:r>
      <w:r w:rsidRPr="00AD5090">
        <w:rPr>
          <w:lang w:val="pl-PL"/>
        </w:rPr>
        <w:tab/>
        <w:t>Kristina Pardalos,</w:t>
      </w:r>
      <w:r w:rsidRPr="00AD5090">
        <w:rPr>
          <w:lang w:val="pl-PL"/>
        </w:rPr>
        <w:br/>
      </w:r>
      <w:r w:rsidRPr="00AD5090">
        <w:rPr>
          <w:lang w:val="pl-PL"/>
        </w:rPr>
        <w:tab/>
        <w:t>Aleš Pejchal,</w:t>
      </w:r>
      <w:r w:rsidRPr="00AD5090">
        <w:rPr>
          <w:lang w:val="pl-PL"/>
        </w:rPr>
        <w:br/>
      </w:r>
      <w:r w:rsidRPr="00AD5090">
        <w:rPr>
          <w:lang w:val="pl-PL"/>
        </w:rPr>
        <w:tab/>
        <w:t>Krzysztof Wojtyczek,</w:t>
      </w:r>
      <w:r w:rsidRPr="00AD5090">
        <w:rPr>
          <w:lang w:val="pl-PL"/>
        </w:rPr>
        <w:br/>
      </w:r>
      <w:r w:rsidRPr="00AD5090">
        <w:rPr>
          <w:lang w:val="pl-PL"/>
        </w:rPr>
        <w:tab/>
        <w:t>Armen Harutyunyan,</w:t>
      </w:r>
      <w:r w:rsidRPr="00AD5090">
        <w:rPr>
          <w:lang w:val="pl-PL"/>
        </w:rPr>
        <w:br/>
      </w:r>
      <w:r w:rsidRPr="00AD5090">
        <w:rPr>
          <w:lang w:val="pl-PL"/>
        </w:rPr>
        <w:tab/>
        <w:t>Tim Eicke,</w:t>
      </w:r>
      <w:r w:rsidRPr="00AD5090">
        <w:rPr>
          <w:lang w:val="pl-PL"/>
        </w:rPr>
        <w:br/>
      </w:r>
      <w:r w:rsidRPr="00AD5090">
        <w:rPr>
          <w:lang w:val="pl-PL"/>
        </w:rPr>
        <w:tab/>
        <w:t>Jovan Ilievski,</w:t>
      </w:r>
      <w:r w:rsidRPr="00AD5090">
        <w:rPr>
          <w:i/>
          <w:iCs/>
          <w:lang w:val="pl-PL"/>
        </w:rPr>
        <w:t xml:space="preserve"> sędziowie</w:t>
      </w:r>
      <w:r w:rsidRPr="00AD5090">
        <w:rPr>
          <w:szCs w:val="24"/>
          <w:lang w:val="pl-PL"/>
        </w:rPr>
        <w:br/>
      </w:r>
      <w:r w:rsidRPr="00AD5090">
        <w:rPr>
          <w:lang w:val="pl-PL"/>
        </w:rPr>
        <w:t xml:space="preserve">i Renata Degener, </w:t>
      </w:r>
      <w:r w:rsidRPr="00AD5090">
        <w:rPr>
          <w:i/>
          <w:iCs/>
          <w:lang w:val="pl-PL"/>
        </w:rPr>
        <w:t>Zastępca Kanclerza Sekcji,</w:t>
      </w:r>
    </w:p>
    <w:p w:rsidR="00014566" w:rsidRPr="00AD5090" w:rsidRDefault="00014566" w:rsidP="0058384F">
      <w:pPr>
        <w:pStyle w:val="ECHRPara"/>
        <w:rPr>
          <w:lang w:val="pl-PL"/>
        </w:rPr>
      </w:pPr>
      <w:r w:rsidRPr="00AD5090">
        <w:rPr>
          <w:lang w:val="pl-PL"/>
        </w:rPr>
        <w:t xml:space="preserve">Obradując na posiedzeniu </w:t>
      </w:r>
      <w:r w:rsidR="00D15992">
        <w:rPr>
          <w:lang w:val="pl-PL"/>
        </w:rPr>
        <w:t>niejawnym</w:t>
      </w:r>
      <w:r w:rsidRPr="00AD5090">
        <w:rPr>
          <w:lang w:val="pl-PL"/>
        </w:rPr>
        <w:t xml:space="preserve"> w dniu 12 grudnia 2017 r.,</w:t>
      </w:r>
    </w:p>
    <w:p w:rsidR="00014566" w:rsidRPr="00AD5090" w:rsidRDefault="00014566" w:rsidP="0058384F">
      <w:pPr>
        <w:pStyle w:val="ECHRPara"/>
        <w:rPr>
          <w:lang w:val="pl-PL"/>
        </w:rPr>
      </w:pPr>
      <w:r w:rsidRPr="00AD5090">
        <w:rPr>
          <w:lang w:val="pl-PL"/>
        </w:rPr>
        <w:t>Wydaje następujący wyrok, który został przyjęty w tym dniu:</w:t>
      </w:r>
    </w:p>
    <w:p w:rsidR="00014566" w:rsidRPr="00AD5090" w:rsidRDefault="00014566" w:rsidP="0058384F">
      <w:pPr>
        <w:pStyle w:val="ECHRTitle1"/>
        <w:rPr>
          <w:lang w:val="pl-PL"/>
        </w:rPr>
      </w:pPr>
      <w:r w:rsidRPr="00AD5090">
        <w:rPr>
          <w:lang w:val="pl-PL"/>
        </w:rPr>
        <w:t>POSTĘPOWANIE</w:t>
      </w:r>
    </w:p>
    <w:p w:rsidR="008144EE" w:rsidRPr="00AD5090" w:rsidRDefault="00846935" w:rsidP="0058384F">
      <w:pPr>
        <w:pStyle w:val="ECHRPara"/>
        <w:rPr>
          <w:lang w:val="pl-PL"/>
        </w:rPr>
      </w:pPr>
      <w:r>
        <w:rPr>
          <w:lang w:val="pl-PL"/>
        </w:rPr>
        <w:t>1</w:t>
      </w:r>
      <w:r w:rsidR="008144EE" w:rsidRPr="00AD5090">
        <w:rPr>
          <w:lang w:val="pl-PL"/>
        </w:rPr>
        <w:t xml:space="preserve">.  Sprawa wywodzi się ze skargi (nr 28481/12) wniesionej do Trybunału przeciwko Rzeczypospolitej Polskiej na podstawie </w:t>
      </w:r>
      <w:r w:rsidR="00D15992">
        <w:rPr>
          <w:lang w:val="pl-PL"/>
        </w:rPr>
        <w:t>art.</w:t>
      </w:r>
      <w:r w:rsidR="008144EE" w:rsidRPr="00AD5090">
        <w:rPr>
          <w:lang w:val="pl-PL"/>
        </w:rPr>
        <w:t xml:space="preserve"> 34 Konwencji o Ochronie Praw Człowieka i Podstawowych Wolności („Konwencja”) przez obywatelkę Polski, Panią Anitę Oller Kamińską („skarżąca”), w dniu 23 kwietnia 2012 r.</w:t>
      </w:r>
    </w:p>
    <w:p w:rsidR="00543266" w:rsidRPr="00AD5090" w:rsidRDefault="00846935" w:rsidP="0058384F">
      <w:pPr>
        <w:pStyle w:val="ECHRPara"/>
        <w:rPr>
          <w:lang w:val="pl-PL"/>
        </w:rPr>
      </w:pPr>
      <w:r>
        <w:rPr>
          <w:lang w:val="pl-PL"/>
        </w:rPr>
        <w:t>2</w:t>
      </w:r>
      <w:r w:rsidR="008144EE" w:rsidRPr="00AD5090">
        <w:rPr>
          <w:lang w:val="pl-PL"/>
        </w:rPr>
        <w:t>.  Skarżąca była reprezentowana przez Pana G. Thuan Dit Dieudonné’a, adwokata prowadzącego praktykę w Strasbourgu. Rząd Polski („Rząd”) był reprezentowany przez pełnomocnika, Panią J. Chrzanowską z Ministerstwa Spraw Zagranicznych.</w:t>
      </w:r>
    </w:p>
    <w:p w:rsidR="00014566" w:rsidRPr="00AD5090" w:rsidRDefault="00846935" w:rsidP="0058384F">
      <w:pPr>
        <w:pStyle w:val="ECHRPara"/>
        <w:rPr>
          <w:lang w:val="pl-PL"/>
        </w:rPr>
      </w:pPr>
      <w:r>
        <w:rPr>
          <w:lang w:val="pl-PL"/>
        </w:rPr>
        <w:t>3</w:t>
      </w:r>
      <w:r w:rsidR="008144EE" w:rsidRPr="00AD5090">
        <w:rPr>
          <w:lang w:val="pl-PL"/>
        </w:rPr>
        <w:t xml:space="preserve">.  Skarżąca zarzuciła władzom polskim naruszenie jej prawa do poszanowania życia rodzinnego ze </w:t>
      </w:r>
      <w:r w:rsidR="008144EE" w:rsidRPr="00EE0AA8">
        <w:rPr>
          <w:lang w:val="pl-PL"/>
        </w:rPr>
        <w:t>względu na</w:t>
      </w:r>
      <w:r w:rsidR="00EE0AA8" w:rsidRPr="00EE0AA8">
        <w:rPr>
          <w:lang w:val="pl-PL"/>
        </w:rPr>
        <w:t xml:space="preserve"> niezdolność władz polski</w:t>
      </w:r>
      <w:r w:rsidR="00321974">
        <w:rPr>
          <w:lang w:val="pl-PL"/>
        </w:rPr>
        <w:t>ch</w:t>
      </w:r>
      <w:r w:rsidR="00EE0AA8" w:rsidRPr="00EE0AA8">
        <w:rPr>
          <w:lang w:val="pl-PL"/>
        </w:rPr>
        <w:t xml:space="preserve"> do zapewnienia sprawnego połączenia jej z córką, pomimo dwóch postanowień wydanych przez sądy irlandzkie</w:t>
      </w:r>
      <w:r w:rsidR="00EE0AA8">
        <w:rPr>
          <w:lang w:val="pl-PL"/>
        </w:rPr>
        <w:t>, po</w:t>
      </w:r>
      <w:r w:rsidR="00EE0AA8" w:rsidRPr="00EE0AA8">
        <w:rPr>
          <w:lang w:val="pl-PL"/>
        </w:rPr>
        <w:t xml:space="preserve"> tym jak została ona uprowadzona przez ojca do Polski.</w:t>
      </w:r>
      <w:r w:rsidR="008144EE" w:rsidRPr="00EE0AA8">
        <w:rPr>
          <w:lang w:val="pl-PL"/>
        </w:rPr>
        <w:t xml:space="preserve">  Skarżąca oparła swoje</w:t>
      </w:r>
      <w:r w:rsidR="008144EE" w:rsidRPr="00AD5090">
        <w:rPr>
          <w:lang w:val="pl-PL"/>
        </w:rPr>
        <w:t xml:space="preserve"> zarzuty na art. 6 i 8 Konwencji.</w:t>
      </w:r>
    </w:p>
    <w:p w:rsidR="00014566" w:rsidRPr="00AD5090" w:rsidRDefault="00846935" w:rsidP="0058384F">
      <w:pPr>
        <w:pStyle w:val="ECHRPara"/>
        <w:rPr>
          <w:lang w:val="pl-PL"/>
        </w:rPr>
      </w:pPr>
      <w:r>
        <w:rPr>
          <w:lang w:val="pl-PL"/>
        </w:rPr>
        <w:t>4</w:t>
      </w:r>
      <w:r w:rsidR="008144EE" w:rsidRPr="00AD5090">
        <w:rPr>
          <w:lang w:val="pl-PL"/>
        </w:rPr>
        <w:t xml:space="preserve">.  Dnia </w:t>
      </w:r>
      <w:r w:rsidR="008144EE" w:rsidRPr="00AD5090">
        <w:rPr>
          <w:szCs w:val="24"/>
          <w:lang w:val="pl-PL"/>
        </w:rPr>
        <w:t>29 stycznia 2015</w:t>
      </w:r>
      <w:r w:rsidR="00D15992">
        <w:rPr>
          <w:szCs w:val="24"/>
          <w:lang w:val="pl-PL"/>
        </w:rPr>
        <w:t xml:space="preserve"> r. </w:t>
      </w:r>
      <w:r w:rsidR="008144EE" w:rsidRPr="00AD5090">
        <w:rPr>
          <w:lang w:val="pl-PL"/>
        </w:rPr>
        <w:t>skarga została zakomunikowana Rządowi.</w:t>
      </w:r>
    </w:p>
    <w:p w:rsidR="00014566" w:rsidRPr="00AD5090" w:rsidRDefault="00014566" w:rsidP="0058384F">
      <w:pPr>
        <w:pStyle w:val="ECHRTitle1"/>
        <w:rPr>
          <w:lang w:val="pl-PL"/>
        </w:rPr>
      </w:pPr>
      <w:r w:rsidRPr="00AD5090">
        <w:rPr>
          <w:lang w:val="pl-PL"/>
        </w:rPr>
        <w:t>FAKTY</w:t>
      </w:r>
    </w:p>
    <w:p w:rsidR="00014566" w:rsidRPr="00AD5090" w:rsidRDefault="00014566" w:rsidP="0058384F">
      <w:pPr>
        <w:pStyle w:val="ECHRHeading1"/>
        <w:rPr>
          <w:lang w:val="pl-PL"/>
        </w:rPr>
      </w:pPr>
      <w:r w:rsidRPr="00AD5090">
        <w:rPr>
          <w:bCs w:val="0"/>
          <w:lang w:val="pl-PL"/>
        </w:rPr>
        <w:t>I.  OKOLICZNOŚCI SPRAWY</w:t>
      </w:r>
    </w:p>
    <w:p w:rsidR="00014566" w:rsidRPr="00AD5090" w:rsidRDefault="00846935" w:rsidP="0058384F">
      <w:pPr>
        <w:pStyle w:val="ECHRPara"/>
        <w:rPr>
          <w:lang w:val="pl-PL"/>
        </w:rPr>
      </w:pPr>
      <w:r>
        <w:rPr>
          <w:lang w:val="pl-PL"/>
        </w:rPr>
        <w:t>5</w:t>
      </w:r>
      <w:r w:rsidR="008144EE" w:rsidRPr="00AD5090">
        <w:rPr>
          <w:lang w:val="pl-PL"/>
        </w:rPr>
        <w:t>.  Skarżąca urodziła się w 1973 roku i mieszka w Galway w Irlandii.</w:t>
      </w:r>
    </w:p>
    <w:p w:rsidR="00936BCA" w:rsidRPr="00AD5090" w:rsidRDefault="005859F2" w:rsidP="0058384F">
      <w:pPr>
        <w:pStyle w:val="ECHRHeading2"/>
        <w:rPr>
          <w:lang w:val="pl-PL"/>
        </w:rPr>
      </w:pPr>
      <w:r w:rsidRPr="00AD5090">
        <w:rPr>
          <w:lang w:val="pl-PL"/>
        </w:rPr>
        <w:lastRenderedPageBreak/>
        <w:t xml:space="preserve">A. Tło sprawy </w:t>
      </w:r>
      <w:r w:rsidR="00B45795" w:rsidRPr="00AD5090">
        <w:rPr>
          <w:lang w:val="pl-PL"/>
        </w:rPr>
        <w:t xml:space="preserve">i </w:t>
      </w:r>
      <w:r w:rsidR="00CA5070">
        <w:rPr>
          <w:lang w:val="pl-PL"/>
        </w:rPr>
        <w:t xml:space="preserve">odebranie </w:t>
      </w:r>
      <w:r w:rsidR="00B45795" w:rsidRPr="00AD5090">
        <w:rPr>
          <w:lang w:val="pl-PL"/>
        </w:rPr>
        <w:t>dziecka</w:t>
      </w:r>
    </w:p>
    <w:p w:rsidR="00936BCA" w:rsidRPr="00AD5090" w:rsidRDefault="00846935" w:rsidP="0058384F">
      <w:pPr>
        <w:pStyle w:val="ECHRPara"/>
        <w:rPr>
          <w:lang w:val="pl-PL"/>
        </w:rPr>
      </w:pPr>
      <w:r>
        <w:rPr>
          <w:lang w:val="pl-PL"/>
        </w:rPr>
        <w:t>6</w:t>
      </w:r>
      <w:r w:rsidR="00936BCA" w:rsidRPr="00AD5090">
        <w:rPr>
          <w:lang w:val="pl-PL"/>
        </w:rPr>
        <w:t>.  W dniu 27 marca 2000 r. skarżąca urodziła dziecko, dziewczynkę o imieniu A. Poślubiła ojca dziecka i mieszkała w Polsce. Miała syna B. z poprzedniego małżeństwa, urodzonego w 1993 r.</w:t>
      </w:r>
    </w:p>
    <w:p w:rsidR="00936BCA" w:rsidRPr="00AD5090" w:rsidRDefault="00846935" w:rsidP="0058384F">
      <w:pPr>
        <w:pStyle w:val="ECHRPara"/>
        <w:rPr>
          <w:lang w:val="pl-PL"/>
        </w:rPr>
      </w:pPr>
      <w:r>
        <w:rPr>
          <w:lang w:val="pl-PL"/>
        </w:rPr>
        <w:t>7</w:t>
      </w:r>
      <w:r w:rsidR="00936BCA" w:rsidRPr="00AD5090">
        <w:rPr>
          <w:lang w:val="pl-PL"/>
        </w:rPr>
        <w:t>.  W 2006 r. rodzina przeprowadziła się do Irlandii. Mieszkali tam razem do stycznia 2009 r., kiedy para rozstała się i M.K. przeprowadził się z powrotem do Polski.</w:t>
      </w:r>
    </w:p>
    <w:p w:rsidR="00936BCA" w:rsidRPr="00AD5090" w:rsidRDefault="00846935" w:rsidP="0058384F">
      <w:pPr>
        <w:pStyle w:val="ECHRPara"/>
        <w:rPr>
          <w:lang w:val="pl-PL"/>
        </w:rPr>
      </w:pPr>
      <w:r>
        <w:rPr>
          <w:lang w:val="pl-PL"/>
        </w:rPr>
        <w:t>8</w:t>
      </w:r>
      <w:r w:rsidR="00936BCA" w:rsidRPr="00AD5090">
        <w:rPr>
          <w:lang w:val="pl-PL"/>
        </w:rPr>
        <w:t>.  W czerwcu 2009 r. M.K. pojechał do Irlandii na wakacje i miał zamiar zabrać A. do Polski na wakacje. Skarżąca nie była pewna,</w:t>
      </w:r>
      <w:r w:rsidR="005859F2" w:rsidRPr="00AD5090">
        <w:rPr>
          <w:lang w:val="pl-PL"/>
        </w:rPr>
        <w:t xml:space="preserve"> czy M.K. przywiezie dziecko z powrotem </w:t>
      </w:r>
      <w:r w:rsidR="00936BCA" w:rsidRPr="00AD5090">
        <w:rPr>
          <w:lang w:val="pl-PL"/>
        </w:rPr>
        <w:t>po wakacjach w Polsce. Dnia 29 czerwca 2009 r. wszczęła postępowanie przed Sądem Rejonowym w Ennis</w:t>
      </w:r>
      <w:r w:rsidR="00B46F8F">
        <w:rPr>
          <w:lang w:val="pl-PL"/>
        </w:rPr>
        <w:t xml:space="preserve"> </w:t>
      </w:r>
      <w:r w:rsidR="00C57F17">
        <w:rPr>
          <w:lang w:val="pl-PL"/>
        </w:rPr>
        <w:t>w</w:t>
      </w:r>
      <w:r w:rsidR="00B46F8F">
        <w:rPr>
          <w:lang w:val="pl-PL"/>
        </w:rPr>
        <w:t> </w:t>
      </w:r>
      <w:r w:rsidR="00C57F17">
        <w:rPr>
          <w:lang w:val="pl-PL"/>
        </w:rPr>
        <w:t>Irlandii</w:t>
      </w:r>
      <w:r w:rsidR="00936BCA" w:rsidRPr="00AD5090">
        <w:rPr>
          <w:lang w:val="pl-PL"/>
        </w:rPr>
        <w:t xml:space="preserve"> na mocy </w:t>
      </w:r>
      <w:r w:rsidR="00C57F17">
        <w:rPr>
          <w:lang w:val="pl-PL"/>
        </w:rPr>
        <w:t>u</w:t>
      </w:r>
      <w:r w:rsidR="00936BCA" w:rsidRPr="00AD5090">
        <w:rPr>
          <w:lang w:val="pl-PL"/>
        </w:rPr>
        <w:t>stawy o opie</w:t>
      </w:r>
      <w:r w:rsidR="00C57F17">
        <w:rPr>
          <w:lang w:val="pl-PL"/>
        </w:rPr>
        <w:t>ce</w:t>
      </w:r>
      <w:r w:rsidR="00936BCA" w:rsidRPr="00AD5090">
        <w:rPr>
          <w:lang w:val="pl-PL"/>
        </w:rPr>
        <w:t xml:space="preserve"> nad nieletnimi z 1964 r., </w:t>
      </w:r>
      <w:r w:rsidR="005859F2" w:rsidRPr="00AD5090">
        <w:rPr>
          <w:lang w:val="pl-PL"/>
        </w:rPr>
        <w:t xml:space="preserve">w celu ustalenia Irlandii jako miejsca zwykłego pobytu dziecka, a także żądając ustalenia daty powrotu dziecka </w:t>
      </w:r>
      <w:r w:rsidR="00936BCA" w:rsidRPr="00AD5090">
        <w:rPr>
          <w:lang w:val="pl-PL"/>
        </w:rPr>
        <w:t>do Irlandii</w:t>
      </w:r>
      <w:r w:rsidR="005859F2" w:rsidRPr="00AD5090">
        <w:rPr>
          <w:lang w:val="pl-PL"/>
        </w:rPr>
        <w:t xml:space="preserve"> na</w:t>
      </w:r>
      <w:r w:rsidR="00936BCA" w:rsidRPr="00AD5090">
        <w:rPr>
          <w:lang w:val="pl-PL"/>
        </w:rPr>
        <w:t xml:space="preserve"> </w:t>
      </w:r>
      <w:r w:rsidR="00C57F17">
        <w:rPr>
          <w:lang w:val="pl-PL"/>
        </w:rPr>
        <w:t xml:space="preserve"> dzień</w:t>
      </w:r>
      <w:r w:rsidR="0092200D">
        <w:rPr>
          <w:lang w:val="pl-PL"/>
        </w:rPr>
        <w:t xml:space="preserve"> </w:t>
      </w:r>
      <w:r w:rsidR="00936BCA" w:rsidRPr="00AD5090">
        <w:rPr>
          <w:lang w:val="pl-PL"/>
        </w:rPr>
        <w:t>15 sierpnia 2009 r.</w:t>
      </w:r>
    </w:p>
    <w:p w:rsidR="00936BCA" w:rsidRPr="00AD5090" w:rsidRDefault="00846935" w:rsidP="00151AEF">
      <w:pPr>
        <w:pStyle w:val="ECHRPara"/>
        <w:rPr>
          <w:lang w:val="pl-PL"/>
        </w:rPr>
      </w:pPr>
      <w:r>
        <w:rPr>
          <w:lang w:val="pl-PL"/>
        </w:rPr>
        <w:t>9</w:t>
      </w:r>
      <w:r w:rsidR="00936BCA" w:rsidRPr="00AD5090">
        <w:rPr>
          <w:lang w:val="pl-PL"/>
        </w:rPr>
        <w:t>.  W dniu 2 lipca 2009 r. Sąd Rejonowy w Ennis zatwierdził ugodę jako środek tymczasowy. Uzgodniono, że dziecko mogło p</w:t>
      </w:r>
      <w:r w:rsidR="005859F2" w:rsidRPr="00AD5090">
        <w:rPr>
          <w:lang w:val="pl-PL"/>
        </w:rPr>
        <w:t>ojechać</w:t>
      </w:r>
      <w:r w:rsidR="00936BCA" w:rsidRPr="00AD5090">
        <w:rPr>
          <w:lang w:val="pl-PL"/>
        </w:rPr>
        <w:t xml:space="preserve"> do Polski w dniach 7-15 sierpnia 2009 r. z M.K. oraz, że Irlandia jest jego miejscem zwykłego pobytu. Omówienie innych kw</w:t>
      </w:r>
      <w:r w:rsidR="005859F2" w:rsidRPr="00AD5090">
        <w:rPr>
          <w:lang w:val="pl-PL"/>
        </w:rPr>
        <w:t>estii dotyczących opieki zostało</w:t>
      </w:r>
      <w:r w:rsidR="00936BCA" w:rsidRPr="00AD5090">
        <w:rPr>
          <w:lang w:val="pl-PL"/>
        </w:rPr>
        <w:t xml:space="preserve"> odroczone do następnego posiedzenia wyznaczonego na</w:t>
      </w:r>
      <w:r w:rsidR="00151AEF">
        <w:rPr>
          <w:lang w:val="pl-PL"/>
        </w:rPr>
        <w:t xml:space="preserve"> dzień</w:t>
      </w:r>
      <w:r w:rsidR="00936BCA" w:rsidRPr="00AD5090">
        <w:rPr>
          <w:lang w:val="pl-PL"/>
        </w:rPr>
        <w:t xml:space="preserve"> 15 września 2009 r. </w:t>
      </w:r>
      <w:r w:rsidR="00151AEF">
        <w:rPr>
          <w:lang w:val="pl-PL"/>
        </w:rPr>
        <w:t>Następnego</w:t>
      </w:r>
      <w:r w:rsidR="00936BCA" w:rsidRPr="00AD5090">
        <w:rPr>
          <w:lang w:val="pl-PL"/>
        </w:rPr>
        <w:t xml:space="preserve"> dnia sąd wydał </w:t>
      </w:r>
      <w:r w:rsidR="005859F2" w:rsidRPr="00AD5090">
        <w:rPr>
          <w:lang w:val="pl-PL"/>
        </w:rPr>
        <w:t>postanowienie o</w:t>
      </w:r>
      <w:r w:rsidR="00936BCA" w:rsidRPr="00AD5090">
        <w:rPr>
          <w:lang w:val="pl-PL"/>
        </w:rPr>
        <w:t xml:space="preserve"> wykonalności wyroku </w:t>
      </w:r>
      <w:r w:rsidR="00B46F8F">
        <w:rPr>
          <w:lang w:val="pl-PL"/>
        </w:rPr>
        <w:t> </w:t>
      </w:r>
      <w:r w:rsidR="00936BCA" w:rsidRPr="00AD5090">
        <w:rPr>
          <w:lang w:val="pl-PL"/>
        </w:rPr>
        <w:t xml:space="preserve">z dnia 2 lipca 2009 r., zgodnie z art. 42 rozporządzenia Rady (WE), nr 2201/2003 z 27 listopada 2003 r. dotyczącego jurysdykcji oraz uznawania i wykonywania orzeczeń w sprawach małżeńskich oraz w sprawach dotyczących odpowiedzialności rodzicielskiej, uchylającego rozporządzenie (WE) nr 1347/2000 („Rozporządzenie Bruksela II </w:t>
      </w:r>
      <w:r w:rsidR="00936BCA" w:rsidRPr="00AD5090">
        <w:rPr>
          <w:i/>
          <w:iCs/>
          <w:lang w:val="pl-PL"/>
        </w:rPr>
        <w:t>bis</w:t>
      </w:r>
      <w:r w:rsidR="00936BCA" w:rsidRPr="00AD5090">
        <w:rPr>
          <w:lang w:val="pl-PL"/>
        </w:rPr>
        <w:t>”).</w:t>
      </w:r>
    </w:p>
    <w:p w:rsidR="00543266" w:rsidRPr="00AD5090" w:rsidRDefault="00846935" w:rsidP="0058384F">
      <w:pPr>
        <w:pStyle w:val="ECHRPara"/>
        <w:rPr>
          <w:lang w:val="pl-PL"/>
        </w:rPr>
      </w:pPr>
      <w:r>
        <w:rPr>
          <w:lang w:val="pl-PL"/>
        </w:rPr>
        <w:t>10</w:t>
      </w:r>
      <w:r w:rsidR="00D43057" w:rsidRPr="00AD5090">
        <w:rPr>
          <w:lang w:val="pl-PL"/>
        </w:rPr>
        <w:t xml:space="preserve">.  M.K. nie </w:t>
      </w:r>
      <w:r w:rsidR="00501C41">
        <w:rPr>
          <w:lang w:val="pl-PL"/>
        </w:rPr>
        <w:t>wy</w:t>
      </w:r>
      <w:r w:rsidR="005A2E29">
        <w:rPr>
          <w:lang w:val="pl-PL"/>
        </w:rPr>
        <w:t>dał</w:t>
      </w:r>
      <w:r w:rsidR="00D43057" w:rsidRPr="00AD5090">
        <w:rPr>
          <w:lang w:val="pl-PL"/>
        </w:rPr>
        <w:t xml:space="preserve"> A. matce w dniu 15 sierpnia 2009 r.</w:t>
      </w:r>
    </w:p>
    <w:p w:rsidR="00936BCA" w:rsidRPr="00AD5090" w:rsidRDefault="00B45795" w:rsidP="0058384F">
      <w:pPr>
        <w:pStyle w:val="ECHRHeading2"/>
        <w:rPr>
          <w:lang w:val="pl-PL"/>
        </w:rPr>
      </w:pPr>
      <w:r w:rsidRPr="00AD5090">
        <w:rPr>
          <w:lang w:val="pl-PL"/>
        </w:rPr>
        <w:t>B.  Postępowanie w sprawie władzy rodzicielskiej toczące się w</w:t>
      </w:r>
      <w:r w:rsidR="00A071C8">
        <w:rPr>
          <w:lang w:val="pl-PL"/>
        </w:rPr>
        <w:t> </w:t>
      </w:r>
      <w:r w:rsidRPr="00AD5090">
        <w:rPr>
          <w:lang w:val="pl-PL"/>
        </w:rPr>
        <w:t>Irlandii</w:t>
      </w:r>
    </w:p>
    <w:p w:rsidR="00936BCA" w:rsidRPr="00AD5090" w:rsidRDefault="00846935" w:rsidP="0058384F">
      <w:pPr>
        <w:pStyle w:val="ECHRPara"/>
        <w:rPr>
          <w:lang w:val="pl-PL"/>
        </w:rPr>
      </w:pPr>
      <w:r>
        <w:rPr>
          <w:lang w:val="pl-PL"/>
        </w:rPr>
        <w:t>11</w:t>
      </w:r>
      <w:r w:rsidR="00D43057" w:rsidRPr="00AD5090">
        <w:rPr>
          <w:lang w:val="pl-PL"/>
        </w:rPr>
        <w:t xml:space="preserve">.  Dnia 15 września 2009 r. </w:t>
      </w:r>
      <w:r w:rsidR="00D43057" w:rsidRPr="000B5E19">
        <w:rPr>
          <w:lang w:val="pl-PL"/>
        </w:rPr>
        <w:t>Sąd Rejonowy</w:t>
      </w:r>
      <w:r w:rsidR="00D43057" w:rsidRPr="00AD5090">
        <w:rPr>
          <w:lang w:val="pl-PL"/>
        </w:rPr>
        <w:t xml:space="preserve"> w Ennis postanowił, że miejsce zamieszkania dziecka jest w Irlandii z matką, której przyznano pełnię władzy rodzicielskiej. Sąd </w:t>
      </w:r>
      <w:r w:rsidR="00501C41">
        <w:rPr>
          <w:lang w:val="pl-PL"/>
        </w:rPr>
        <w:t xml:space="preserve">zarządził również wydanie </w:t>
      </w:r>
      <w:r w:rsidR="00D43057" w:rsidRPr="00AD5090">
        <w:rPr>
          <w:lang w:val="pl-PL"/>
        </w:rPr>
        <w:t>skarżącej dziecka. W dniu 17 września 2009 r. wydał również poświadczenie wykonalności wyroku zgodnie z art. 42 Rozporządzenia Bruksela II bis.</w:t>
      </w:r>
    </w:p>
    <w:p w:rsidR="00543266" w:rsidRPr="00AD5090" w:rsidRDefault="00846935" w:rsidP="0058384F">
      <w:pPr>
        <w:pStyle w:val="ECHRPara"/>
        <w:rPr>
          <w:lang w:val="pl-PL"/>
        </w:rPr>
      </w:pPr>
      <w:r>
        <w:rPr>
          <w:lang w:val="pl-PL"/>
        </w:rPr>
        <w:t>12</w:t>
      </w:r>
      <w:r w:rsidR="00D43057" w:rsidRPr="00AD5090">
        <w:rPr>
          <w:lang w:val="pl-PL"/>
        </w:rPr>
        <w:t xml:space="preserve">.  M.K. złożył zażalenie na postanowienie z dnia 15 września 2009 r., które zostało oddalone przez </w:t>
      </w:r>
      <w:r w:rsidR="00D43057" w:rsidRPr="000B5E19">
        <w:rPr>
          <w:lang w:val="pl-PL"/>
        </w:rPr>
        <w:t>Okręgowy Sąd Rodzinny w Limerick</w:t>
      </w:r>
      <w:r w:rsidR="00D43057" w:rsidRPr="00AD5090">
        <w:rPr>
          <w:lang w:val="pl-PL"/>
        </w:rPr>
        <w:t xml:space="preserve"> w dniu 10 grudnia 2009 r.</w:t>
      </w:r>
    </w:p>
    <w:p w:rsidR="00543266" w:rsidRPr="00AD5090" w:rsidRDefault="00B45795" w:rsidP="0058384F">
      <w:pPr>
        <w:pStyle w:val="ECHRHeading2"/>
        <w:rPr>
          <w:lang w:val="pl-PL"/>
        </w:rPr>
      </w:pPr>
      <w:r w:rsidRPr="00AD5090">
        <w:rPr>
          <w:lang w:val="pl-PL"/>
        </w:rPr>
        <w:t>C.  Postępowanie w Polsce w przedmiocie powrotu A. do Irlandii</w:t>
      </w:r>
    </w:p>
    <w:p w:rsidR="00A14116" w:rsidRPr="00AD5090" w:rsidRDefault="00B45795" w:rsidP="0058384F">
      <w:pPr>
        <w:pStyle w:val="ECHRHeading3"/>
        <w:rPr>
          <w:lang w:val="pl-PL"/>
        </w:rPr>
      </w:pPr>
      <w:r w:rsidRPr="00AD5090">
        <w:rPr>
          <w:bCs w:val="0"/>
          <w:iCs/>
          <w:lang w:val="pl-PL"/>
        </w:rPr>
        <w:t>1.  Postępowanie na mocy Konwencji haskiej</w:t>
      </w:r>
    </w:p>
    <w:p w:rsidR="00936BCA" w:rsidRPr="00AD5090" w:rsidRDefault="00846935" w:rsidP="0058384F">
      <w:pPr>
        <w:pStyle w:val="ECHRPara"/>
        <w:rPr>
          <w:lang w:val="pl-PL"/>
        </w:rPr>
      </w:pPr>
      <w:r>
        <w:rPr>
          <w:lang w:val="pl-PL"/>
        </w:rPr>
        <w:t>13</w:t>
      </w:r>
      <w:r w:rsidR="00D43057" w:rsidRPr="00AD5090">
        <w:rPr>
          <w:lang w:val="pl-PL"/>
        </w:rPr>
        <w:t>.  We wrześniu 2009 r. skarżąca zwróciła s</w:t>
      </w:r>
      <w:r w:rsidR="005859F2" w:rsidRPr="00AD5090">
        <w:rPr>
          <w:lang w:val="pl-PL"/>
        </w:rPr>
        <w:t>ię o pomoc do polskiego Ministerstwa</w:t>
      </w:r>
      <w:r w:rsidR="00D43057" w:rsidRPr="00AD5090">
        <w:rPr>
          <w:lang w:val="pl-PL"/>
        </w:rPr>
        <w:t xml:space="preserve"> Sprawiedliwości </w:t>
      </w:r>
      <w:r w:rsidR="005859F2" w:rsidRPr="00AD5090">
        <w:rPr>
          <w:lang w:val="pl-PL"/>
        </w:rPr>
        <w:t>– będącego</w:t>
      </w:r>
      <w:r w:rsidR="00D43057" w:rsidRPr="00AD5090">
        <w:rPr>
          <w:lang w:val="pl-PL"/>
        </w:rPr>
        <w:t xml:space="preserve"> organem centralnym na mocy Konwenc</w:t>
      </w:r>
      <w:r w:rsidR="005859F2" w:rsidRPr="00AD5090">
        <w:rPr>
          <w:lang w:val="pl-PL"/>
        </w:rPr>
        <w:t>ji haskiej dotyczącej cywilnych aspektów uprowadzenia dziecka za g</w:t>
      </w:r>
      <w:r w:rsidR="00D43057" w:rsidRPr="00AD5090">
        <w:rPr>
          <w:lang w:val="pl-PL"/>
        </w:rPr>
        <w:t>ranicę, („Konwencja Haska”) - w zabezpieczeniu powrotu dziecka.</w:t>
      </w:r>
    </w:p>
    <w:p w:rsidR="00936BCA" w:rsidRPr="00AD5090" w:rsidRDefault="00846935" w:rsidP="0058384F">
      <w:pPr>
        <w:pStyle w:val="ECHRPara"/>
        <w:rPr>
          <w:lang w:val="pl-PL"/>
        </w:rPr>
      </w:pPr>
      <w:r>
        <w:rPr>
          <w:lang w:val="pl-PL"/>
        </w:rPr>
        <w:t>14</w:t>
      </w:r>
      <w:r w:rsidR="00D43057" w:rsidRPr="00AD5090">
        <w:rPr>
          <w:lang w:val="pl-PL"/>
        </w:rPr>
        <w:t xml:space="preserve">.  W dniu 6 października 2009 r. Sąd Rejonowy w Malborku rozpatrzył </w:t>
      </w:r>
      <w:r w:rsidR="005A2E29" w:rsidRPr="000B5E19">
        <w:rPr>
          <w:lang w:val="pl-PL"/>
        </w:rPr>
        <w:t>wniosek</w:t>
      </w:r>
      <w:r w:rsidR="00D43057" w:rsidRPr="00AD5090">
        <w:rPr>
          <w:lang w:val="pl-PL"/>
        </w:rPr>
        <w:t xml:space="preserve"> skar</w:t>
      </w:r>
      <w:r w:rsidR="00F50948">
        <w:rPr>
          <w:lang w:val="pl-PL"/>
        </w:rPr>
        <w:t xml:space="preserve">żącej i </w:t>
      </w:r>
      <w:r w:rsidR="00D15992">
        <w:rPr>
          <w:lang w:val="pl-PL"/>
        </w:rPr>
        <w:t>wniosek wzajemny</w:t>
      </w:r>
      <w:r w:rsidR="00F50948">
        <w:rPr>
          <w:lang w:val="pl-PL"/>
        </w:rPr>
        <w:t xml:space="preserve"> M.K.</w:t>
      </w:r>
      <w:r w:rsidR="0086008C">
        <w:rPr>
          <w:lang w:val="pl-PL"/>
        </w:rPr>
        <w:t xml:space="preserve">, w którym ojciec dziecka wnosił o oddalenie </w:t>
      </w:r>
      <w:r w:rsidR="00D15992">
        <w:rPr>
          <w:lang w:val="pl-PL"/>
        </w:rPr>
        <w:t>wniosku</w:t>
      </w:r>
      <w:r w:rsidR="0086008C">
        <w:rPr>
          <w:lang w:val="pl-PL"/>
        </w:rPr>
        <w:t xml:space="preserve"> skarżącej</w:t>
      </w:r>
      <w:r w:rsidR="00D43057" w:rsidRPr="00AD5090">
        <w:rPr>
          <w:lang w:val="pl-PL"/>
        </w:rPr>
        <w:t xml:space="preserve">. </w:t>
      </w:r>
      <w:r w:rsidR="0086008C">
        <w:rPr>
          <w:lang w:val="pl-PL"/>
        </w:rPr>
        <w:t>Sąd z</w:t>
      </w:r>
      <w:r w:rsidR="00D43057" w:rsidRPr="00AD5090">
        <w:rPr>
          <w:lang w:val="pl-PL"/>
        </w:rPr>
        <w:t>arządził sporządzenie opinii biegłego z Rodzinnego Ośrodka Diagnostyczno-Konsultacyjnego – „RODK”.</w:t>
      </w:r>
    </w:p>
    <w:p w:rsidR="00543266" w:rsidRPr="00AD5090" w:rsidRDefault="00846935" w:rsidP="0058384F">
      <w:pPr>
        <w:pStyle w:val="ECHRPara"/>
        <w:rPr>
          <w:lang w:val="pl-PL"/>
        </w:rPr>
      </w:pPr>
      <w:r>
        <w:rPr>
          <w:lang w:val="pl-PL"/>
        </w:rPr>
        <w:t>15</w:t>
      </w:r>
      <w:r w:rsidR="00A14116" w:rsidRPr="00AD5090">
        <w:rPr>
          <w:lang w:val="pl-PL"/>
        </w:rPr>
        <w:t>.  </w:t>
      </w:r>
      <w:r w:rsidR="0061168D">
        <w:rPr>
          <w:lang w:val="pl-PL"/>
        </w:rPr>
        <w:t>W dniu</w:t>
      </w:r>
      <w:r w:rsidR="00A14116" w:rsidRPr="00AD5090">
        <w:rPr>
          <w:lang w:val="pl-PL"/>
        </w:rPr>
        <w:t xml:space="preserve"> 18 grudnia 2009 r. Sąd Rejonowy w Malborku </w:t>
      </w:r>
      <w:r w:rsidR="0061168D">
        <w:rPr>
          <w:lang w:val="pl-PL"/>
        </w:rPr>
        <w:t>oddalił</w:t>
      </w:r>
      <w:r w:rsidR="00A14116" w:rsidRPr="00AD5090">
        <w:rPr>
          <w:lang w:val="pl-PL"/>
        </w:rPr>
        <w:t xml:space="preserve"> wniosek skarżącej złożony na podstawie Konwencji haskiej o powrocie jej </w:t>
      </w:r>
      <w:r w:rsidR="005A2E29" w:rsidRPr="000B5E19">
        <w:rPr>
          <w:lang w:val="pl-PL"/>
        </w:rPr>
        <w:t>córki</w:t>
      </w:r>
      <w:r w:rsidR="00A14116" w:rsidRPr="00AD5090">
        <w:rPr>
          <w:lang w:val="pl-PL"/>
        </w:rPr>
        <w:t xml:space="preserve"> do Irlandii. Sąd uzasadnił swoje postanowienie przepisami art</w:t>
      </w:r>
      <w:r w:rsidR="00D15992">
        <w:rPr>
          <w:lang w:val="pl-PL"/>
        </w:rPr>
        <w:t>.</w:t>
      </w:r>
      <w:r w:rsidR="00A14116" w:rsidRPr="00AD5090">
        <w:rPr>
          <w:lang w:val="pl-PL"/>
        </w:rPr>
        <w:t xml:space="preserve"> 13, na mocy którego władze polskie nie są zobowiązane </w:t>
      </w:r>
      <w:r w:rsidR="00A14116" w:rsidRPr="00501C41">
        <w:rPr>
          <w:lang w:val="pl-PL"/>
        </w:rPr>
        <w:t xml:space="preserve">do </w:t>
      </w:r>
      <w:r w:rsidR="00501C41" w:rsidRPr="00501C41">
        <w:rPr>
          <w:lang w:val="pl-PL"/>
        </w:rPr>
        <w:t xml:space="preserve">wydania </w:t>
      </w:r>
      <w:r w:rsidR="00A14116" w:rsidRPr="00AD5090">
        <w:rPr>
          <w:lang w:val="pl-PL"/>
        </w:rPr>
        <w:t xml:space="preserve">dziecka </w:t>
      </w:r>
      <w:r w:rsidR="00EB63FF">
        <w:rPr>
          <w:lang w:val="pl-PL"/>
        </w:rPr>
        <w:t>z uwagi</w:t>
      </w:r>
      <w:r w:rsidR="00A14116" w:rsidRPr="00AD5090">
        <w:rPr>
          <w:lang w:val="pl-PL"/>
        </w:rPr>
        <w:t xml:space="preserve"> na </w:t>
      </w:r>
      <w:r w:rsidR="00501C41">
        <w:rPr>
          <w:lang w:val="pl-PL"/>
        </w:rPr>
        <w:t>istnienie ryzyka, że powrót dziecka naraziłby je na szkodę fizyczną lub psychiczną albo w jakikolwiek inny sposób postawiłby je w sytuacji nie do zniesienia</w:t>
      </w:r>
      <w:r w:rsidR="00A14116" w:rsidRPr="005D5DED">
        <w:rPr>
          <w:lang w:val="pl-PL"/>
        </w:rPr>
        <w:t xml:space="preserve">. </w:t>
      </w:r>
      <w:r w:rsidR="00A14116" w:rsidRPr="00AD5090">
        <w:rPr>
          <w:lang w:val="pl-PL"/>
        </w:rPr>
        <w:t>Na poparcie swojej</w:t>
      </w:r>
      <w:r w:rsidR="005D5DED">
        <w:rPr>
          <w:lang w:val="pl-PL"/>
        </w:rPr>
        <w:t xml:space="preserve"> tezy sąd odniósł się do opinii</w:t>
      </w:r>
      <w:r w:rsidR="00A14116" w:rsidRPr="00AD5090">
        <w:rPr>
          <w:lang w:val="pl-PL"/>
        </w:rPr>
        <w:t xml:space="preserve"> RODK, a także innych badań społecznych i psychologicznych. W szczególności sąd podkreślił, że w sprawozdaniu RODK znajdowała się informacja o tym, że A. pragnie zostać w Polsce. Według </w:t>
      </w:r>
      <w:r w:rsidR="005D5DED">
        <w:rPr>
          <w:lang w:val="pl-PL"/>
        </w:rPr>
        <w:t>tej ekspertyzy</w:t>
      </w:r>
      <w:r w:rsidR="00A14116" w:rsidRPr="00AD5090">
        <w:rPr>
          <w:lang w:val="pl-PL"/>
        </w:rPr>
        <w:t xml:space="preserve"> M.K. miał lepsze relacje z A. i poświęcał więcej uwagi jej potrzebom niż skarżąca. Pomimo, że skarżąca również była ważną osobą w życiu A., uznano, że dziecko postrzegało jej działani</w:t>
      </w:r>
      <w:r w:rsidR="005859F2" w:rsidRPr="00AD5090">
        <w:rPr>
          <w:lang w:val="pl-PL"/>
        </w:rPr>
        <w:t>a jako wymierzone przeciwko jej woli, co stawiało ją</w:t>
      </w:r>
      <w:r w:rsidR="00A14116" w:rsidRPr="00AD5090">
        <w:rPr>
          <w:lang w:val="pl-PL"/>
        </w:rPr>
        <w:t xml:space="preserve"> w niekomfortowej sytuacji.</w:t>
      </w:r>
    </w:p>
    <w:p w:rsidR="00543266" w:rsidRPr="00AD5090" w:rsidRDefault="00846935" w:rsidP="0058384F">
      <w:pPr>
        <w:pStyle w:val="ECHRPara"/>
        <w:rPr>
          <w:lang w:val="pl-PL"/>
        </w:rPr>
      </w:pPr>
      <w:r>
        <w:rPr>
          <w:lang w:val="pl-PL"/>
        </w:rPr>
        <w:t>16</w:t>
      </w:r>
      <w:r w:rsidR="00A14116" w:rsidRPr="00AD5090">
        <w:rPr>
          <w:lang w:val="pl-PL"/>
        </w:rPr>
        <w:t>.  </w:t>
      </w:r>
      <w:r w:rsidR="009976D6">
        <w:rPr>
          <w:lang w:val="pl-PL"/>
        </w:rPr>
        <w:t>W dniu</w:t>
      </w:r>
      <w:r w:rsidR="00A14116" w:rsidRPr="00AD5090">
        <w:rPr>
          <w:lang w:val="pl-PL"/>
        </w:rPr>
        <w:t xml:space="preserve"> 18 maja 2010 r. Sąd Okręgowy w Gdańsku oddalił apelację złożoną przez skarżącą. Sąd wziął </w:t>
      </w:r>
      <w:r w:rsidR="005859F2" w:rsidRPr="00AD5090">
        <w:rPr>
          <w:lang w:val="pl-PL"/>
        </w:rPr>
        <w:t xml:space="preserve">pod uwagę wolę A. do </w:t>
      </w:r>
      <w:r w:rsidR="009976D6">
        <w:rPr>
          <w:lang w:val="pl-PL"/>
        </w:rPr>
        <w:t>po</w:t>
      </w:r>
      <w:r w:rsidR="005859F2" w:rsidRPr="00AD5090">
        <w:rPr>
          <w:lang w:val="pl-PL"/>
        </w:rPr>
        <w:t xml:space="preserve">zostania </w:t>
      </w:r>
      <w:r w:rsidR="009976D6">
        <w:rPr>
          <w:lang w:val="pl-PL"/>
        </w:rPr>
        <w:br/>
      </w:r>
      <w:r w:rsidR="005859F2" w:rsidRPr="00AD5090">
        <w:rPr>
          <w:lang w:val="pl-PL"/>
        </w:rPr>
        <w:t>z</w:t>
      </w:r>
      <w:r w:rsidR="00A14116" w:rsidRPr="00AD5090">
        <w:rPr>
          <w:lang w:val="pl-PL"/>
        </w:rPr>
        <w:t xml:space="preserve"> ojcem. Wówczas dziewięcioletnie dziecko zostało uznane przez biegłych za dojrzałe i świadome sytuacji rodzinnej.</w:t>
      </w:r>
    </w:p>
    <w:p w:rsidR="00A14116" w:rsidRPr="00AD5090" w:rsidRDefault="00B45795" w:rsidP="0058384F">
      <w:pPr>
        <w:pStyle w:val="ECHRHeading3"/>
        <w:rPr>
          <w:lang w:val="pl-PL"/>
        </w:rPr>
      </w:pPr>
      <w:r w:rsidRPr="00AD5090">
        <w:rPr>
          <w:bCs w:val="0"/>
          <w:iCs/>
          <w:lang w:val="pl-PL"/>
        </w:rPr>
        <w:t>2.  Wykonanie wyroku Sądu Rejonowego w Ennis z dnia 15 września 2009 r.</w:t>
      </w:r>
    </w:p>
    <w:p w:rsidR="00543266" w:rsidRPr="00AD5090" w:rsidRDefault="00846935" w:rsidP="0058384F">
      <w:pPr>
        <w:pStyle w:val="ECHRPara"/>
        <w:rPr>
          <w:lang w:val="pl-PL"/>
        </w:rPr>
      </w:pPr>
      <w:r>
        <w:rPr>
          <w:lang w:val="pl-PL"/>
        </w:rPr>
        <w:t>17</w:t>
      </w:r>
      <w:r w:rsidR="00857B63" w:rsidRPr="00AD5090">
        <w:rPr>
          <w:lang w:val="pl-PL"/>
        </w:rPr>
        <w:t>.  W dniu 15 października skarżąca wniosła do polskich władz o</w:t>
      </w:r>
      <w:r w:rsidR="00B46F8F">
        <w:rPr>
          <w:lang w:val="pl-PL"/>
        </w:rPr>
        <w:t> </w:t>
      </w:r>
      <w:r w:rsidR="00857B63" w:rsidRPr="00AD5090">
        <w:rPr>
          <w:lang w:val="pl-PL"/>
        </w:rPr>
        <w:t>uznanie i wykonanie wyroku Sądu Rejonowego w Ennis z dnia 15 września 2009 r.</w:t>
      </w:r>
    </w:p>
    <w:p w:rsidR="00543266" w:rsidRPr="00AD5090" w:rsidRDefault="00846935" w:rsidP="0058384F">
      <w:pPr>
        <w:pStyle w:val="ECHRPara"/>
        <w:rPr>
          <w:lang w:val="pl-PL"/>
        </w:rPr>
      </w:pPr>
      <w:r>
        <w:rPr>
          <w:lang w:val="pl-PL"/>
        </w:rPr>
        <w:t>18</w:t>
      </w:r>
      <w:r w:rsidR="00857B63" w:rsidRPr="00AD5090">
        <w:rPr>
          <w:lang w:val="pl-PL"/>
        </w:rPr>
        <w:t>.  </w:t>
      </w:r>
      <w:r w:rsidR="006D4A88">
        <w:rPr>
          <w:lang w:val="pl-PL"/>
        </w:rPr>
        <w:t>W d</w:t>
      </w:r>
      <w:r w:rsidR="00857B63" w:rsidRPr="00AD5090">
        <w:rPr>
          <w:lang w:val="pl-PL"/>
        </w:rPr>
        <w:t>ni</w:t>
      </w:r>
      <w:r w:rsidR="006D4A88">
        <w:rPr>
          <w:lang w:val="pl-PL"/>
        </w:rPr>
        <w:t>u</w:t>
      </w:r>
      <w:r w:rsidR="00857B63" w:rsidRPr="00AD5090">
        <w:rPr>
          <w:lang w:val="pl-PL"/>
        </w:rPr>
        <w:t xml:space="preserve"> 18 listopada 2009 r. skarżąca wniosła o przyspieszenie rozpoznania sprawy i o wyznaczenie wcześniejszej daty posiedzenia sądowego. Skarżąca podkreśliła jej brak kontaktu z córką.</w:t>
      </w:r>
    </w:p>
    <w:p w:rsidR="00936BCA" w:rsidRPr="00AD5090" w:rsidRDefault="00846935" w:rsidP="0058384F">
      <w:pPr>
        <w:pStyle w:val="ECHRPara"/>
        <w:rPr>
          <w:lang w:val="pl-PL"/>
        </w:rPr>
      </w:pPr>
      <w:r>
        <w:rPr>
          <w:lang w:val="pl-PL"/>
        </w:rPr>
        <w:t>19</w:t>
      </w:r>
      <w:r w:rsidR="00857B63" w:rsidRPr="00AD5090">
        <w:rPr>
          <w:lang w:val="pl-PL"/>
        </w:rPr>
        <w:t>.  W dniu 4 grudnia 2009 r. Sąd Okręgowy w Gdańsku postanowił o</w:t>
      </w:r>
      <w:r w:rsidR="00B46F8F">
        <w:rPr>
          <w:lang w:val="pl-PL"/>
        </w:rPr>
        <w:t> </w:t>
      </w:r>
      <w:r w:rsidR="00857B63" w:rsidRPr="00AD5090">
        <w:rPr>
          <w:lang w:val="pl-PL"/>
        </w:rPr>
        <w:t xml:space="preserve">wykonaniu wyroku irlandzkiego sądu z dnia </w:t>
      </w:r>
      <w:r w:rsidR="00AD5090">
        <w:rPr>
          <w:lang w:val="pl-PL"/>
        </w:rPr>
        <w:t>15 września 2009</w:t>
      </w:r>
      <w:r w:rsidR="00D15992">
        <w:rPr>
          <w:lang w:val="pl-PL"/>
        </w:rPr>
        <w:t xml:space="preserve"> r</w:t>
      </w:r>
      <w:r w:rsidR="005859F2" w:rsidRPr="00AD5090">
        <w:rPr>
          <w:lang w:val="pl-PL"/>
        </w:rPr>
        <w:t>.</w:t>
      </w:r>
      <w:r w:rsidR="00AD5090">
        <w:rPr>
          <w:lang w:val="pl-PL"/>
        </w:rPr>
        <w:t xml:space="preserve"> </w:t>
      </w:r>
      <w:r w:rsidR="005859F2" w:rsidRPr="00AD5090">
        <w:rPr>
          <w:lang w:val="pl-PL"/>
        </w:rPr>
        <w:t>M.K. wniósł</w:t>
      </w:r>
      <w:r w:rsidR="00857B63" w:rsidRPr="00AD5090">
        <w:rPr>
          <w:lang w:val="pl-PL"/>
        </w:rPr>
        <w:t xml:space="preserve"> apelację do Sądu Apelacyjnego w Gdańsku.</w:t>
      </w:r>
    </w:p>
    <w:p w:rsidR="00543266" w:rsidRPr="00AD5090" w:rsidRDefault="00846935" w:rsidP="0058384F">
      <w:pPr>
        <w:pStyle w:val="ECHRPara"/>
        <w:rPr>
          <w:lang w:val="pl-PL"/>
        </w:rPr>
      </w:pPr>
      <w:r>
        <w:rPr>
          <w:lang w:val="pl-PL"/>
        </w:rPr>
        <w:t>20</w:t>
      </w:r>
      <w:r w:rsidR="007802B3" w:rsidRPr="00AD5090">
        <w:rPr>
          <w:lang w:val="pl-PL"/>
        </w:rPr>
        <w:t xml:space="preserve">.  W dniu 22 czerwca 2010 r. Sąd Apelacyjny w Gdańsku uchylił postanowienie Sądu Okręgowego w </w:t>
      </w:r>
      <w:r w:rsidR="005859F2" w:rsidRPr="00AD5090">
        <w:rPr>
          <w:lang w:val="pl-PL"/>
        </w:rPr>
        <w:t>Gdańsku z dnia 4 grudnia 2009 r</w:t>
      </w:r>
      <w:r w:rsidR="007802B3" w:rsidRPr="00AD5090">
        <w:rPr>
          <w:lang w:val="pl-PL"/>
        </w:rPr>
        <w:t xml:space="preserve">. Sąd </w:t>
      </w:r>
      <w:r w:rsidR="005859F2" w:rsidRPr="00AD5090">
        <w:rPr>
          <w:lang w:val="pl-PL"/>
        </w:rPr>
        <w:t>orzekł</w:t>
      </w:r>
      <w:r w:rsidR="007802B3" w:rsidRPr="00AD5090">
        <w:rPr>
          <w:lang w:val="pl-PL"/>
        </w:rPr>
        <w:t xml:space="preserve">, że sąd irlandzki wydał orzeczenie w przedmiocie </w:t>
      </w:r>
      <w:r w:rsidR="001F3E8D">
        <w:rPr>
          <w:lang w:val="pl-PL"/>
        </w:rPr>
        <w:t xml:space="preserve">władzy </w:t>
      </w:r>
      <w:r w:rsidR="007802B3" w:rsidRPr="00AD5090">
        <w:rPr>
          <w:lang w:val="pl-PL"/>
        </w:rPr>
        <w:t xml:space="preserve">rodzicielskiej, które nie sposób pogodzić z postanowieniem polskiego sądu z </w:t>
      </w:r>
      <w:r w:rsidR="001F3E8D">
        <w:rPr>
          <w:lang w:val="pl-PL"/>
        </w:rPr>
        <w:t xml:space="preserve">dnia </w:t>
      </w:r>
      <w:r w:rsidR="007802B3" w:rsidRPr="00AD5090">
        <w:rPr>
          <w:lang w:val="pl-PL"/>
        </w:rPr>
        <w:t xml:space="preserve">18 grudnia 2009 r. o </w:t>
      </w:r>
      <w:r w:rsidR="007802B3" w:rsidRPr="00501C41">
        <w:rPr>
          <w:lang w:val="pl-PL"/>
        </w:rPr>
        <w:t xml:space="preserve">oddaleniu </w:t>
      </w:r>
      <w:r w:rsidR="00D15992" w:rsidRPr="00501C41">
        <w:rPr>
          <w:lang w:val="pl-PL"/>
        </w:rPr>
        <w:t>wniosku</w:t>
      </w:r>
      <w:r w:rsidR="007802B3" w:rsidRPr="00AD5090">
        <w:rPr>
          <w:lang w:val="pl-PL"/>
        </w:rPr>
        <w:t xml:space="preserve"> skarżącej o powrót dziecka na mocy Konwencji </w:t>
      </w:r>
      <w:r w:rsidR="00C2405C">
        <w:rPr>
          <w:lang w:val="pl-PL"/>
        </w:rPr>
        <w:t>H</w:t>
      </w:r>
      <w:r w:rsidR="007802B3" w:rsidRPr="00AD5090">
        <w:rPr>
          <w:lang w:val="pl-PL"/>
        </w:rPr>
        <w:t>askiej. Z tego p</w:t>
      </w:r>
      <w:r w:rsidR="005859F2" w:rsidRPr="00AD5090">
        <w:rPr>
          <w:lang w:val="pl-PL"/>
        </w:rPr>
        <w:t xml:space="preserve">owodu orzeczenie irlandzkie </w:t>
      </w:r>
      <w:r w:rsidR="007802B3" w:rsidRPr="00AD5090">
        <w:rPr>
          <w:lang w:val="pl-PL"/>
        </w:rPr>
        <w:t>nie jest dłużej wykonalne w Polsce.</w:t>
      </w:r>
    </w:p>
    <w:p w:rsidR="00A14116" w:rsidRPr="00AD5090" w:rsidRDefault="00846935" w:rsidP="0058384F">
      <w:pPr>
        <w:pStyle w:val="ECHRPara"/>
        <w:rPr>
          <w:lang w:val="pl-PL"/>
        </w:rPr>
      </w:pPr>
      <w:r>
        <w:rPr>
          <w:lang w:val="pl-PL"/>
        </w:rPr>
        <w:t>21</w:t>
      </w:r>
      <w:r w:rsidR="007A34DF" w:rsidRPr="00AD5090">
        <w:rPr>
          <w:lang w:val="pl-PL"/>
        </w:rPr>
        <w:t>.  Skarżąca złożyła skargę kasacyjną.</w:t>
      </w:r>
    </w:p>
    <w:p w:rsidR="007A34DF" w:rsidRPr="00AD5090" w:rsidRDefault="00846935" w:rsidP="001C3D69">
      <w:pPr>
        <w:pStyle w:val="ECHRPara"/>
        <w:rPr>
          <w:lang w:val="pl-PL"/>
        </w:rPr>
      </w:pPr>
      <w:r>
        <w:rPr>
          <w:lang w:val="pl-PL"/>
        </w:rPr>
        <w:t>22</w:t>
      </w:r>
      <w:r w:rsidR="00D9230A" w:rsidRPr="00AD5090">
        <w:rPr>
          <w:lang w:val="pl-PL"/>
        </w:rPr>
        <w:t xml:space="preserve">.  Dnia 24 sierpnia 2011 r. Sąd Najwyższy uchylił wyrok Sądu Apelacyjnego i przekazał sprawę do ponownego rozpatrzenia. Sąd Najwyższy na początku powtórzył, że Rozporządzenie Bruksela II </w:t>
      </w:r>
      <w:r w:rsidR="00D9230A" w:rsidRPr="00AD5090">
        <w:rPr>
          <w:i/>
          <w:lang w:val="pl-PL"/>
        </w:rPr>
        <w:t>bis</w:t>
      </w:r>
      <w:r w:rsidR="00D9230A" w:rsidRPr="00AD5090">
        <w:rPr>
          <w:lang w:val="pl-PL"/>
        </w:rPr>
        <w:t xml:space="preserve"> jest wiążące i bezpośrednio obowiązujące. Następnie wyjaśnił, że celem orzeczenia wydanego na mocy Konwencji Haskiej był niezwłoczny powrót dziecka do kraju zwykłego pobytu. Postanowienie o powrocie dziecka lub odmowa powrotu na mocy art. 12, 13 i 20 Konwencji Haskiej nie mogą być rozumiane jako orzeczenie o kwestiach dotyczących władzy lub odpowiedzialności rodzicielskiej. Powody odmowy powrotu dziecka na mocy art. 13 lit. b, miały charakter rzeczowy i nie mogły kreować nowego prawa do opieki. Określono je również w art. 10 Konwencji Haskiej. </w:t>
      </w:r>
      <w:r w:rsidR="009D5639" w:rsidRPr="009D5639">
        <w:rPr>
          <w:rFonts w:ascii="Times New Roman" w:hAnsi="Times New Roman" w:cs="Times New Roman"/>
          <w:color w:val="222222"/>
          <w:lang w:val="pl-PL"/>
        </w:rPr>
        <w:t>Po trzecie, wyjątek zezwalający na odmowę wykonania orzeczenia przewidzian</w:t>
      </w:r>
      <w:r w:rsidR="00311BE4">
        <w:rPr>
          <w:rFonts w:ascii="Times New Roman" w:hAnsi="Times New Roman" w:cs="Times New Roman"/>
          <w:color w:val="222222"/>
          <w:lang w:val="pl-PL"/>
        </w:rPr>
        <w:t>y</w:t>
      </w:r>
      <w:r w:rsidR="009D5639" w:rsidRPr="009D5639">
        <w:rPr>
          <w:rFonts w:ascii="Times New Roman" w:hAnsi="Times New Roman" w:cs="Times New Roman"/>
          <w:color w:val="222222"/>
          <w:lang w:val="pl-PL"/>
        </w:rPr>
        <w:t xml:space="preserve"> w art. 23 lit. e) rozporządzenia Bruksela II bis wymaga istnienia późniejszego i </w:t>
      </w:r>
      <w:r w:rsidR="006C03BF">
        <w:rPr>
          <w:rFonts w:ascii="Times New Roman" w:hAnsi="Times New Roman" w:cs="Times New Roman"/>
          <w:color w:val="222222"/>
          <w:lang w:val="pl-PL"/>
        </w:rPr>
        <w:t>odmiennego</w:t>
      </w:r>
      <w:r w:rsidR="009D5639" w:rsidRPr="009D5639">
        <w:rPr>
          <w:rFonts w:ascii="Times New Roman" w:hAnsi="Times New Roman" w:cs="Times New Roman"/>
          <w:color w:val="222222"/>
          <w:lang w:val="pl-PL"/>
        </w:rPr>
        <w:t xml:space="preserve"> orzeczenia dotyczącego władzy rodzicielskiej</w:t>
      </w:r>
      <w:r w:rsidR="006C03BF">
        <w:rPr>
          <w:lang w:val="pl-PL"/>
        </w:rPr>
        <w:t>.</w:t>
      </w:r>
      <w:r w:rsidR="001C3D69">
        <w:rPr>
          <w:lang w:val="pl-PL"/>
        </w:rPr>
        <w:t xml:space="preserve"> </w:t>
      </w:r>
      <w:r w:rsidR="00D9230A" w:rsidRPr="00AD5090">
        <w:rPr>
          <w:lang w:val="pl-PL"/>
        </w:rPr>
        <w:t xml:space="preserve">Postanowienie wydane 18 grudnia 2009 r. </w:t>
      </w:r>
      <w:r w:rsidR="001C3D69">
        <w:rPr>
          <w:lang w:val="pl-PL"/>
        </w:rPr>
        <w:t>na mocy art. 13 lit.</w:t>
      </w:r>
      <w:r w:rsidR="005C2B13">
        <w:rPr>
          <w:lang w:val="pl-PL"/>
        </w:rPr>
        <w:t> </w:t>
      </w:r>
      <w:r w:rsidR="00D9230A" w:rsidRPr="00AD5090">
        <w:rPr>
          <w:lang w:val="pl-PL"/>
        </w:rPr>
        <w:t>b Konwencji Haskiej nie może zostać uznane za takie orzeczenie.</w:t>
      </w:r>
    </w:p>
    <w:p w:rsidR="00543266" w:rsidRPr="00AD5090" w:rsidRDefault="00846935" w:rsidP="0058384F">
      <w:pPr>
        <w:pStyle w:val="ECHRPara"/>
        <w:rPr>
          <w:lang w:val="pl-PL"/>
        </w:rPr>
      </w:pPr>
      <w:r>
        <w:rPr>
          <w:lang w:val="pl-PL"/>
        </w:rPr>
        <w:t>23</w:t>
      </w:r>
      <w:r w:rsidR="007A34DF" w:rsidRPr="00AD5090">
        <w:rPr>
          <w:lang w:val="pl-PL"/>
        </w:rPr>
        <w:t>. </w:t>
      </w:r>
      <w:r w:rsidR="001C3D69">
        <w:rPr>
          <w:lang w:val="pl-PL"/>
        </w:rPr>
        <w:t>W dniu</w:t>
      </w:r>
      <w:r w:rsidR="007A34DF" w:rsidRPr="00AD5090">
        <w:rPr>
          <w:lang w:val="pl-PL"/>
        </w:rPr>
        <w:t> 28 lutego 2012 r. Sąd Apelacyjny w Gdańsku odmówił nadania</w:t>
      </w:r>
      <w:r w:rsidR="005859F2" w:rsidRPr="00AD5090">
        <w:rPr>
          <w:lang w:val="pl-PL"/>
        </w:rPr>
        <w:t xml:space="preserve"> wykonalności</w:t>
      </w:r>
      <w:r w:rsidR="007A34DF" w:rsidRPr="00AD5090">
        <w:rPr>
          <w:lang w:val="pl-PL"/>
        </w:rPr>
        <w:t xml:space="preserve"> postanowieniu z dnia 15 września 2009 r. ze względu na wydanie przez </w:t>
      </w:r>
      <w:r w:rsidR="00A330DE">
        <w:rPr>
          <w:lang w:val="pl-PL"/>
        </w:rPr>
        <w:t>Sąd Najwyższy</w:t>
      </w:r>
      <w:r w:rsidR="007A34DF" w:rsidRPr="00AD5090">
        <w:rPr>
          <w:lang w:val="pl-PL"/>
        </w:rPr>
        <w:t xml:space="preserve"> Irlandii nowego postanowienia o </w:t>
      </w:r>
      <w:r w:rsidR="005859F2" w:rsidRPr="00AD5090">
        <w:rPr>
          <w:lang w:val="pl-PL"/>
        </w:rPr>
        <w:t>sprawowaniu opieki</w:t>
      </w:r>
      <w:r w:rsidR="007A34DF" w:rsidRPr="00AD5090">
        <w:rPr>
          <w:lang w:val="pl-PL"/>
        </w:rPr>
        <w:t xml:space="preserve"> w dniu 9 września 2011 r. (zob. par. 27 poniżej).</w:t>
      </w:r>
    </w:p>
    <w:p w:rsidR="00936BCA" w:rsidRPr="00AD5090" w:rsidRDefault="00B45795" w:rsidP="0058384F">
      <w:pPr>
        <w:pStyle w:val="ECHRHeading2"/>
        <w:rPr>
          <w:lang w:val="pl-PL"/>
        </w:rPr>
      </w:pPr>
      <w:r w:rsidRPr="00AD5090">
        <w:rPr>
          <w:lang w:val="pl-PL"/>
        </w:rPr>
        <w:t>D.  Kolejne postępowania w Irlandii o powrót A.</w:t>
      </w:r>
    </w:p>
    <w:p w:rsidR="00936BCA" w:rsidRPr="00AD5090" w:rsidRDefault="00846935" w:rsidP="0058384F">
      <w:pPr>
        <w:pStyle w:val="ECHRPara"/>
        <w:rPr>
          <w:lang w:val="pl-PL"/>
        </w:rPr>
      </w:pPr>
      <w:r>
        <w:rPr>
          <w:lang w:val="pl-PL"/>
        </w:rPr>
        <w:t>24</w:t>
      </w:r>
      <w:r w:rsidR="00857B63" w:rsidRPr="00AD5090">
        <w:rPr>
          <w:lang w:val="pl-PL"/>
        </w:rPr>
        <w:t>.  </w:t>
      </w:r>
      <w:r w:rsidR="00CE3AA2">
        <w:rPr>
          <w:lang w:val="pl-PL"/>
        </w:rPr>
        <w:t>W dniu</w:t>
      </w:r>
      <w:r w:rsidR="00857B63" w:rsidRPr="00AD5090">
        <w:rPr>
          <w:lang w:val="pl-PL"/>
        </w:rPr>
        <w:t xml:space="preserve"> 4 października 2010 r. skarżąca złożyła w Irlandii wniosek o wykonanie postanowienia Sądu Rejonowego w Ennis z dnia 15 września 2009 r. i powrót do niej A.</w:t>
      </w:r>
    </w:p>
    <w:p w:rsidR="00936BCA" w:rsidRPr="00AD5090" w:rsidRDefault="00846935" w:rsidP="0058384F">
      <w:pPr>
        <w:pStyle w:val="ECHRPara"/>
        <w:rPr>
          <w:lang w:val="pl-PL"/>
        </w:rPr>
      </w:pPr>
      <w:r>
        <w:rPr>
          <w:lang w:val="pl-PL"/>
        </w:rPr>
        <w:t>25</w:t>
      </w:r>
      <w:r w:rsidR="00857B63" w:rsidRPr="00AD5090">
        <w:rPr>
          <w:lang w:val="pl-PL"/>
        </w:rPr>
        <w:t xml:space="preserve">.  W dniu 28 stycznia 2011 r. </w:t>
      </w:r>
      <w:r w:rsidR="00CE3AA2">
        <w:rPr>
          <w:lang w:val="pl-PL"/>
        </w:rPr>
        <w:t>Sąd Najwyższy</w:t>
      </w:r>
      <w:r w:rsidR="00CE3AA2" w:rsidRPr="00AD5090">
        <w:rPr>
          <w:lang w:val="pl-PL"/>
        </w:rPr>
        <w:t xml:space="preserve"> Irlandii </w:t>
      </w:r>
      <w:r w:rsidR="00857B63" w:rsidRPr="00AD5090">
        <w:rPr>
          <w:lang w:val="pl-PL"/>
        </w:rPr>
        <w:t xml:space="preserve">wydał </w:t>
      </w:r>
      <w:r w:rsidR="00CE3AA2">
        <w:rPr>
          <w:lang w:val="pl-PL"/>
        </w:rPr>
        <w:t>zarządzenie</w:t>
      </w:r>
      <w:r w:rsidR="00857B63" w:rsidRPr="00AD5090">
        <w:rPr>
          <w:lang w:val="pl-PL"/>
        </w:rPr>
        <w:t xml:space="preserve"> tymczasow</w:t>
      </w:r>
      <w:r w:rsidR="00CE3AA2">
        <w:rPr>
          <w:lang w:val="pl-PL"/>
        </w:rPr>
        <w:t>e</w:t>
      </w:r>
      <w:r w:rsidR="00857B63" w:rsidRPr="00AD5090">
        <w:rPr>
          <w:lang w:val="pl-PL"/>
        </w:rPr>
        <w:t xml:space="preserve">. </w:t>
      </w:r>
      <w:r w:rsidR="006869D6">
        <w:rPr>
          <w:lang w:val="pl-PL"/>
        </w:rPr>
        <w:t>Pos</w:t>
      </w:r>
      <w:r w:rsidR="00857B63" w:rsidRPr="00AD5090">
        <w:rPr>
          <w:lang w:val="pl-PL"/>
        </w:rPr>
        <w:t xml:space="preserve">tanowił, że sądy irlandzkie są właściwie do decydowania o władzy rodzicielskiej nad A., jurysdykcja ta trwa nieprzerwanie od momentu </w:t>
      </w:r>
      <w:r w:rsidR="00F4541F">
        <w:rPr>
          <w:lang w:val="pl-PL"/>
        </w:rPr>
        <w:t>bezprawnego zatrzymania dziecka</w:t>
      </w:r>
      <w:r w:rsidR="00857B63" w:rsidRPr="00AD5090">
        <w:rPr>
          <w:lang w:val="pl-PL"/>
        </w:rPr>
        <w:t xml:space="preserve"> w sierpniu 2009 r. </w:t>
      </w:r>
    </w:p>
    <w:p w:rsidR="00543266" w:rsidRPr="00AD5090" w:rsidRDefault="00846935" w:rsidP="0058384F">
      <w:pPr>
        <w:pStyle w:val="ECHRPara"/>
        <w:rPr>
          <w:lang w:val="pl-PL"/>
        </w:rPr>
      </w:pPr>
      <w:r>
        <w:rPr>
          <w:lang w:val="pl-PL"/>
        </w:rPr>
        <w:t>26</w:t>
      </w:r>
      <w:r w:rsidR="00857B63" w:rsidRPr="00AD5090">
        <w:rPr>
          <w:lang w:val="pl-PL"/>
        </w:rPr>
        <w:t>.  </w:t>
      </w:r>
      <w:r w:rsidR="005D1DB0">
        <w:rPr>
          <w:lang w:val="pl-PL"/>
        </w:rPr>
        <w:t>W dniu</w:t>
      </w:r>
      <w:r w:rsidR="00857B63" w:rsidRPr="00AD5090">
        <w:rPr>
          <w:lang w:val="pl-PL"/>
        </w:rPr>
        <w:t xml:space="preserve"> 28 sierpnia 2011 r. </w:t>
      </w:r>
      <w:r w:rsidR="00F45684">
        <w:rPr>
          <w:lang w:val="pl-PL"/>
        </w:rPr>
        <w:t xml:space="preserve">na polecenie sądu </w:t>
      </w:r>
      <w:r w:rsidR="00857B63" w:rsidRPr="00AD5090">
        <w:rPr>
          <w:lang w:val="pl-PL"/>
        </w:rPr>
        <w:t xml:space="preserve">przedstawiono </w:t>
      </w:r>
      <w:r w:rsidR="00F45684">
        <w:rPr>
          <w:lang w:val="pl-PL"/>
        </w:rPr>
        <w:t>ekspertyzę psychologiczną</w:t>
      </w:r>
      <w:r w:rsidR="00857B63" w:rsidRPr="00AD5090">
        <w:rPr>
          <w:lang w:val="pl-PL"/>
        </w:rPr>
        <w:t>. Biegła przesłuchała skarżącą, A. i M.K. Stwierdziła, że oboje rodziców było w stanie zapewnić A. stabilny i</w:t>
      </w:r>
      <w:r w:rsidR="00B46F8F">
        <w:rPr>
          <w:lang w:val="pl-PL"/>
        </w:rPr>
        <w:t> </w:t>
      </w:r>
      <w:r w:rsidR="00857B63" w:rsidRPr="00AD5090">
        <w:rPr>
          <w:lang w:val="pl-PL"/>
        </w:rPr>
        <w:t xml:space="preserve">kochający dom, a ich opieka i uwaga była istotna dla </w:t>
      </w:r>
      <w:r w:rsidR="00065CB5">
        <w:rPr>
          <w:lang w:val="pl-PL"/>
        </w:rPr>
        <w:t xml:space="preserve">dobra </w:t>
      </w:r>
      <w:r w:rsidR="00857B63" w:rsidRPr="00AD5090">
        <w:rPr>
          <w:lang w:val="pl-PL"/>
        </w:rPr>
        <w:t xml:space="preserve">jej </w:t>
      </w:r>
      <w:r w:rsidR="00065CB5">
        <w:rPr>
          <w:lang w:val="pl-PL"/>
        </w:rPr>
        <w:t xml:space="preserve">emocjonalnego, </w:t>
      </w:r>
      <w:r w:rsidR="00857B63" w:rsidRPr="00AD5090">
        <w:rPr>
          <w:lang w:val="pl-PL"/>
        </w:rPr>
        <w:t>społeczn</w:t>
      </w:r>
      <w:r w:rsidR="00065CB5">
        <w:rPr>
          <w:lang w:val="pl-PL"/>
        </w:rPr>
        <w:t xml:space="preserve">ego </w:t>
      </w:r>
      <w:r w:rsidR="00857B63" w:rsidRPr="00AD5090">
        <w:rPr>
          <w:lang w:val="pl-PL"/>
        </w:rPr>
        <w:t>i psychologicznego samopoczucia. W</w:t>
      </w:r>
      <w:r w:rsidR="00B46F8F">
        <w:rPr>
          <w:lang w:val="pl-PL"/>
        </w:rPr>
        <w:t> </w:t>
      </w:r>
      <w:r w:rsidR="00857B63" w:rsidRPr="00AD5090">
        <w:rPr>
          <w:lang w:val="pl-PL"/>
        </w:rPr>
        <w:t>spra</w:t>
      </w:r>
      <w:r w:rsidR="005859F2" w:rsidRPr="00AD5090">
        <w:rPr>
          <w:lang w:val="pl-PL"/>
        </w:rPr>
        <w:t>wozdaniu zalecono sądowi wzięcie</w:t>
      </w:r>
      <w:r w:rsidR="00857B63" w:rsidRPr="00AD5090">
        <w:rPr>
          <w:lang w:val="pl-PL"/>
        </w:rPr>
        <w:t xml:space="preserve"> pod uwagę woli A.</w:t>
      </w:r>
      <w:r w:rsidR="00B46F8F">
        <w:rPr>
          <w:lang w:val="pl-PL"/>
        </w:rPr>
        <w:t xml:space="preserve"> </w:t>
      </w:r>
      <w:r w:rsidR="00857B63" w:rsidRPr="00AD5090">
        <w:rPr>
          <w:lang w:val="pl-PL"/>
        </w:rPr>
        <w:t>o</w:t>
      </w:r>
      <w:r w:rsidR="00B46F8F">
        <w:rPr>
          <w:lang w:val="pl-PL"/>
        </w:rPr>
        <w:t> </w:t>
      </w:r>
      <w:r w:rsidR="00857B63" w:rsidRPr="00AD5090">
        <w:rPr>
          <w:lang w:val="pl-PL"/>
        </w:rPr>
        <w:t xml:space="preserve">uczęszczaniu do szkoły w Polsce i rozważenia takiego </w:t>
      </w:r>
      <w:r w:rsidR="00650D07" w:rsidRPr="00AD5090">
        <w:rPr>
          <w:lang w:val="pl-PL"/>
        </w:rPr>
        <w:t>rozwiązania</w:t>
      </w:r>
      <w:r w:rsidR="00857B63" w:rsidRPr="00AD5090">
        <w:rPr>
          <w:lang w:val="pl-PL"/>
        </w:rPr>
        <w:t>, że dziecko mieszkałoby z ojcem w trakcie trwania szkoły i spędzało wakacje w</w:t>
      </w:r>
      <w:r w:rsidR="00B46F8F">
        <w:rPr>
          <w:lang w:val="pl-PL"/>
        </w:rPr>
        <w:t> </w:t>
      </w:r>
      <w:r w:rsidR="00857B63" w:rsidRPr="00AD5090">
        <w:rPr>
          <w:lang w:val="pl-PL"/>
        </w:rPr>
        <w:t xml:space="preserve">Irlandii. Biegła zaleciła również, aby sąd wyraźnie ustalił czas, jaki A. spędza z matką oraz prawo ojca do widzenia w tym czasie, </w:t>
      </w:r>
      <w:r w:rsidR="00650D07" w:rsidRPr="00AD5090">
        <w:rPr>
          <w:lang w:val="pl-PL"/>
        </w:rPr>
        <w:t xml:space="preserve">jeżeli rodzice mogli samodzielnie o tym postanowić, </w:t>
      </w:r>
      <w:r w:rsidR="00857B63" w:rsidRPr="00AD5090">
        <w:rPr>
          <w:lang w:val="pl-PL"/>
        </w:rPr>
        <w:t xml:space="preserve">skoro czas ten miał ulec skróceniu. </w:t>
      </w:r>
      <w:r w:rsidR="00650D07" w:rsidRPr="00AD5090">
        <w:rPr>
          <w:lang w:val="pl-PL"/>
        </w:rPr>
        <w:t>Ustalenie to było o tyle istotne, o ile istniało ryzyko, że ciągła ingerencja M.K. w życie A. wpłynęło</w:t>
      </w:r>
      <w:r w:rsidR="00857B63" w:rsidRPr="00AD5090">
        <w:rPr>
          <w:lang w:val="pl-PL"/>
        </w:rPr>
        <w:t xml:space="preserve">by na rozwój pewności siebie u dziecka i </w:t>
      </w:r>
      <w:r w:rsidR="00650D07" w:rsidRPr="00AD5090">
        <w:rPr>
          <w:lang w:val="pl-PL"/>
        </w:rPr>
        <w:t xml:space="preserve">jej </w:t>
      </w:r>
      <w:r w:rsidR="00857B63" w:rsidRPr="00AD5090">
        <w:rPr>
          <w:lang w:val="pl-PL"/>
        </w:rPr>
        <w:t>poczucie bezpieczeństwa</w:t>
      </w:r>
      <w:r w:rsidR="00650D07" w:rsidRPr="00AD5090">
        <w:rPr>
          <w:lang w:val="pl-PL"/>
        </w:rPr>
        <w:t xml:space="preserve"> w trakcie przebywania u matki</w:t>
      </w:r>
      <w:r w:rsidR="00857B63" w:rsidRPr="00AD5090">
        <w:rPr>
          <w:lang w:val="pl-PL"/>
        </w:rPr>
        <w:t>.</w:t>
      </w:r>
    </w:p>
    <w:p w:rsidR="00543266" w:rsidRPr="00AD5090" w:rsidRDefault="00846935" w:rsidP="0058384F">
      <w:pPr>
        <w:pStyle w:val="ECHRPara"/>
        <w:rPr>
          <w:lang w:val="pl-PL"/>
        </w:rPr>
      </w:pPr>
      <w:r>
        <w:rPr>
          <w:lang w:val="pl-PL"/>
        </w:rPr>
        <w:t>27</w:t>
      </w:r>
      <w:r w:rsidR="008405A2" w:rsidRPr="00AD5090">
        <w:rPr>
          <w:lang w:val="pl-PL"/>
        </w:rPr>
        <w:t xml:space="preserve">.  W dniu 9 września 2011 r. </w:t>
      </w:r>
      <w:r w:rsidR="00CE609D">
        <w:rPr>
          <w:lang w:val="pl-PL"/>
        </w:rPr>
        <w:t>Sąd Najwyższy</w:t>
      </w:r>
      <w:r w:rsidR="008405A2" w:rsidRPr="00AD5090">
        <w:rPr>
          <w:lang w:val="pl-PL"/>
        </w:rPr>
        <w:t xml:space="preserve"> Irlandii wydał wyrok </w:t>
      </w:r>
      <w:r w:rsidR="00CE609D">
        <w:rPr>
          <w:lang w:val="pl-PL"/>
        </w:rPr>
        <w:t>uchylający</w:t>
      </w:r>
      <w:r w:rsidR="008405A2" w:rsidRPr="00AD5090">
        <w:rPr>
          <w:lang w:val="pl-PL"/>
        </w:rPr>
        <w:t xml:space="preserve"> posta</w:t>
      </w:r>
      <w:r w:rsidR="00650D07" w:rsidRPr="00AD5090">
        <w:rPr>
          <w:lang w:val="pl-PL"/>
        </w:rPr>
        <w:t>nowienie z</w:t>
      </w:r>
      <w:r w:rsidR="00CE609D">
        <w:rPr>
          <w:lang w:val="pl-PL"/>
        </w:rPr>
        <w:t xml:space="preserve"> dnia</w:t>
      </w:r>
      <w:r w:rsidR="00650D07" w:rsidRPr="00AD5090">
        <w:rPr>
          <w:lang w:val="pl-PL"/>
        </w:rPr>
        <w:t xml:space="preserve"> 15 września 2009 r. </w:t>
      </w:r>
      <w:r w:rsidR="008405A2" w:rsidRPr="00AD5090">
        <w:rPr>
          <w:lang w:val="pl-PL"/>
        </w:rPr>
        <w:t xml:space="preserve">Sąd postanowił o przyznaniu prawa do łącznej opieki obojgu rodzicom, ale </w:t>
      </w:r>
      <w:r w:rsidR="00CE609D">
        <w:rPr>
          <w:lang w:val="pl-PL"/>
        </w:rPr>
        <w:t>nakazał</w:t>
      </w:r>
      <w:r w:rsidR="008405A2" w:rsidRPr="00AD5090">
        <w:rPr>
          <w:lang w:val="pl-PL"/>
        </w:rPr>
        <w:t xml:space="preserve"> </w:t>
      </w:r>
      <w:r w:rsidR="00F50D17" w:rsidRPr="00AD5090">
        <w:rPr>
          <w:lang w:val="pl-PL"/>
        </w:rPr>
        <w:t>powró</w:t>
      </w:r>
      <w:r w:rsidR="00F50D17">
        <w:rPr>
          <w:lang w:val="pl-PL"/>
        </w:rPr>
        <w:t>t</w:t>
      </w:r>
      <w:r w:rsidR="00CE609D">
        <w:rPr>
          <w:lang w:val="pl-PL"/>
        </w:rPr>
        <w:t xml:space="preserve"> </w:t>
      </w:r>
      <w:r w:rsidR="008405A2" w:rsidRPr="00AD5090">
        <w:rPr>
          <w:lang w:val="pl-PL"/>
        </w:rPr>
        <w:t>dziecka do Irlandii do</w:t>
      </w:r>
      <w:r w:rsidR="00CE609D">
        <w:rPr>
          <w:lang w:val="pl-PL"/>
        </w:rPr>
        <w:t xml:space="preserve"> dnia</w:t>
      </w:r>
      <w:r w:rsidR="008405A2" w:rsidRPr="00AD5090">
        <w:rPr>
          <w:lang w:val="pl-PL"/>
        </w:rPr>
        <w:t xml:space="preserve"> 2 listopada 2011 r.</w:t>
      </w:r>
      <w:r w:rsidR="00F50D17">
        <w:rPr>
          <w:lang w:val="pl-PL"/>
        </w:rPr>
        <w:t>,</w:t>
      </w:r>
      <w:r w:rsidR="008405A2" w:rsidRPr="00AD5090">
        <w:rPr>
          <w:lang w:val="pl-PL"/>
        </w:rPr>
        <w:t xml:space="preserve"> A</w:t>
      </w:r>
      <w:r w:rsidR="00650D07" w:rsidRPr="00AD5090">
        <w:rPr>
          <w:lang w:val="pl-PL"/>
        </w:rPr>
        <w:t>.</w:t>
      </w:r>
      <w:r w:rsidR="008405A2" w:rsidRPr="00AD5090">
        <w:rPr>
          <w:lang w:val="pl-PL"/>
        </w:rPr>
        <w:t xml:space="preserve"> miała skończyć ro</w:t>
      </w:r>
      <w:r w:rsidR="00F50D17">
        <w:rPr>
          <w:lang w:val="pl-PL"/>
        </w:rPr>
        <w:t>k szkolny w Irlandii, a następnie</w:t>
      </w:r>
      <w:r w:rsidR="008405A2" w:rsidRPr="00AD5090">
        <w:rPr>
          <w:lang w:val="pl-PL"/>
        </w:rPr>
        <w:t xml:space="preserve"> od września 2012 r.</w:t>
      </w:r>
      <w:r w:rsidR="00650D07" w:rsidRPr="00AD5090">
        <w:rPr>
          <w:lang w:val="pl-PL"/>
        </w:rPr>
        <w:t xml:space="preserve"> zacząć szkołę</w:t>
      </w:r>
      <w:r w:rsidR="008405A2" w:rsidRPr="00AD5090">
        <w:rPr>
          <w:lang w:val="pl-PL"/>
        </w:rPr>
        <w:t xml:space="preserve"> w Polsce. W orzeczeniu określono</w:t>
      </w:r>
      <w:r w:rsidR="008F0F64">
        <w:rPr>
          <w:lang w:val="pl-PL"/>
        </w:rPr>
        <w:t xml:space="preserve"> również</w:t>
      </w:r>
      <w:r w:rsidR="008405A2" w:rsidRPr="00AD5090">
        <w:rPr>
          <w:lang w:val="pl-PL"/>
        </w:rPr>
        <w:t xml:space="preserve"> okresy przerw od szkoły, które A. będzie spędzać ze skarżącą, a które z M.K.</w:t>
      </w:r>
    </w:p>
    <w:p w:rsidR="00936BCA" w:rsidRPr="00AD5090" w:rsidRDefault="00846935" w:rsidP="0058384F">
      <w:pPr>
        <w:pStyle w:val="ECHRPara"/>
        <w:rPr>
          <w:lang w:val="pl-PL"/>
        </w:rPr>
      </w:pPr>
      <w:r>
        <w:rPr>
          <w:lang w:val="pl-PL"/>
        </w:rPr>
        <w:t>28</w:t>
      </w:r>
      <w:r w:rsidR="008405A2" w:rsidRPr="00AD5090">
        <w:rPr>
          <w:lang w:val="pl-PL"/>
        </w:rPr>
        <w:t xml:space="preserve">.  M.K. bezskutecznie </w:t>
      </w:r>
      <w:r w:rsidR="00515E4C">
        <w:rPr>
          <w:lang w:val="pl-PL"/>
        </w:rPr>
        <w:t>odwołał się od rozstrzygnięcia</w:t>
      </w:r>
      <w:r w:rsidR="008405A2" w:rsidRPr="00AD5090">
        <w:rPr>
          <w:lang w:val="pl-PL"/>
        </w:rPr>
        <w:t>, a w postanowieniu z dnia 21 października 2011 r. odmówiono mu prawa pobytu.</w:t>
      </w:r>
    </w:p>
    <w:p w:rsidR="00543266" w:rsidRPr="00AD5090" w:rsidRDefault="00B45795" w:rsidP="0058384F">
      <w:pPr>
        <w:pStyle w:val="ECHRHeading2"/>
        <w:rPr>
          <w:lang w:val="pl-PL"/>
        </w:rPr>
      </w:pPr>
      <w:r w:rsidRPr="00AD5090">
        <w:rPr>
          <w:lang w:val="pl-PL"/>
        </w:rPr>
        <w:t>E.  Postępowania w Polsce dotyczące wykonania postanowienia irlandzkiego sądu z dnia 9 września 2011 r.</w:t>
      </w:r>
    </w:p>
    <w:p w:rsidR="00543266" w:rsidRPr="00AD5090" w:rsidRDefault="00846935" w:rsidP="0058384F">
      <w:pPr>
        <w:pStyle w:val="ECHRPara"/>
        <w:rPr>
          <w:lang w:val="pl-PL"/>
        </w:rPr>
      </w:pPr>
      <w:r>
        <w:rPr>
          <w:lang w:val="pl-PL"/>
        </w:rPr>
        <w:t>29</w:t>
      </w:r>
      <w:r w:rsidR="008405A2" w:rsidRPr="00AD5090">
        <w:rPr>
          <w:lang w:val="pl-PL"/>
        </w:rPr>
        <w:t xml:space="preserve">.  W październiku 2011 r. skarżąca złożyła wniosek do polskiego Ministerstwa Sprawiedliwości o wykonanie wyroku </w:t>
      </w:r>
      <w:r w:rsidR="00843929">
        <w:rPr>
          <w:lang w:val="pl-PL"/>
        </w:rPr>
        <w:t>Sądu Najwyższego</w:t>
      </w:r>
      <w:r w:rsidR="00843929" w:rsidRPr="00AD5090">
        <w:rPr>
          <w:lang w:val="pl-PL"/>
        </w:rPr>
        <w:t xml:space="preserve"> Irlandii </w:t>
      </w:r>
      <w:r w:rsidR="008405A2" w:rsidRPr="00AD5090">
        <w:rPr>
          <w:lang w:val="pl-PL"/>
        </w:rPr>
        <w:t xml:space="preserve">z dnia 9 września 2011 r. i </w:t>
      </w:r>
      <w:r w:rsidR="00843929">
        <w:rPr>
          <w:lang w:val="pl-PL"/>
        </w:rPr>
        <w:t xml:space="preserve">zarządzeniu </w:t>
      </w:r>
      <w:r w:rsidR="008405A2" w:rsidRPr="00AD5090">
        <w:rPr>
          <w:lang w:val="pl-PL"/>
        </w:rPr>
        <w:t>powro</w:t>
      </w:r>
      <w:r w:rsidR="00843929">
        <w:rPr>
          <w:lang w:val="pl-PL"/>
        </w:rPr>
        <w:t>tu</w:t>
      </w:r>
      <w:r w:rsidR="008405A2" w:rsidRPr="00AD5090">
        <w:rPr>
          <w:lang w:val="pl-PL"/>
        </w:rPr>
        <w:t xml:space="preserve"> </w:t>
      </w:r>
      <w:r w:rsidR="00843929">
        <w:rPr>
          <w:lang w:val="pl-PL"/>
        </w:rPr>
        <w:t>dziecka. Polskie</w:t>
      </w:r>
      <w:r w:rsidR="008405A2" w:rsidRPr="00AD5090">
        <w:rPr>
          <w:lang w:val="pl-PL"/>
        </w:rPr>
        <w:t xml:space="preserve"> Ministerstwo Sprawiedliwości zaleciło </w:t>
      </w:r>
      <w:r w:rsidR="003615D7" w:rsidRPr="00B46F8F">
        <w:rPr>
          <w:lang w:val="pl-PL"/>
        </w:rPr>
        <w:t>irlandzkiemu</w:t>
      </w:r>
      <w:r w:rsidR="00650D07" w:rsidRPr="00B46F8F">
        <w:rPr>
          <w:lang w:val="pl-PL"/>
        </w:rPr>
        <w:t xml:space="preserve"> </w:t>
      </w:r>
      <w:r w:rsidR="003615D7" w:rsidRPr="00B46F8F">
        <w:rPr>
          <w:lang w:val="pl-PL"/>
        </w:rPr>
        <w:t xml:space="preserve">organowi </w:t>
      </w:r>
      <w:r w:rsidR="00650D07" w:rsidRPr="00B46F8F">
        <w:rPr>
          <w:lang w:val="pl-PL"/>
        </w:rPr>
        <w:t>c</w:t>
      </w:r>
      <w:r w:rsidR="003615D7" w:rsidRPr="00B46F8F">
        <w:rPr>
          <w:lang w:val="pl-PL"/>
        </w:rPr>
        <w:t>entralne</w:t>
      </w:r>
      <w:r w:rsidR="00B46F8F" w:rsidRPr="00B46F8F">
        <w:rPr>
          <w:lang w:val="pl-PL"/>
        </w:rPr>
        <w:t>mu</w:t>
      </w:r>
      <w:r w:rsidR="00650D07" w:rsidRPr="00AD5090">
        <w:rPr>
          <w:lang w:val="pl-PL"/>
        </w:rPr>
        <w:t xml:space="preserve"> </w:t>
      </w:r>
      <w:r w:rsidR="008405A2" w:rsidRPr="00AD5090">
        <w:rPr>
          <w:lang w:val="pl-PL"/>
        </w:rPr>
        <w:t>złoż</w:t>
      </w:r>
      <w:r w:rsidR="00BC70B3">
        <w:rPr>
          <w:lang w:val="pl-PL"/>
        </w:rPr>
        <w:t>enie</w:t>
      </w:r>
      <w:r w:rsidR="008405A2" w:rsidRPr="00AD5090">
        <w:rPr>
          <w:lang w:val="pl-PL"/>
        </w:rPr>
        <w:t xml:space="preserve"> wnios</w:t>
      </w:r>
      <w:r w:rsidR="00BC70B3">
        <w:rPr>
          <w:lang w:val="pl-PL"/>
        </w:rPr>
        <w:t>ku</w:t>
      </w:r>
      <w:r w:rsidR="008405A2" w:rsidRPr="00AD5090">
        <w:rPr>
          <w:lang w:val="pl-PL"/>
        </w:rPr>
        <w:t xml:space="preserve"> do odpowiedniego sądu w Polsce o natychmiastowe wydanie dziecka.</w:t>
      </w:r>
    </w:p>
    <w:p w:rsidR="00936BCA" w:rsidRPr="00AD5090" w:rsidRDefault="00846935" w:rsidP="0058384F">
      <w:pPr>
        <w:pStyle w:val="ECHRPara"/>
        <w:rPr>
          <w:lang w:val="pl-PL"/>
        </w:rPr>
      </w:pPr>
      <w:r>
        <w:rPr>
          <w:lang w:val="pl-PL"/>
        </w:rPr>
        <w:t>30</w:t>
      </w:r>
      <w:r w:rsidR="008405A2" w:rsidRPr="00AD5090">
        <w:rPr>
          <w:lang w:val="pl-PL"/>
        </w:rPr>
        <w:t>.  W dniu 28 listopada 2011 r. skarżąca złożyła wniosek przez</w:t>
      </w:r>
      <w:r w:rsidR="00DD5ACC">
        <w:rPr>
          <w:lang w:val="pl-PL"/>
        </w:rPr>
        <w:t xml:space="preserve"> irlandzki organ centralny</w:t>
      </w:r>
      <w:r w:rsidR="008405A2" w:rsidRPr="00AD5090">
        <w:rPr>
          <w:lang w:val="pl-PL"/>
        </w:rPr>
        <w:t xml:space="preserve"> o wydanie jej dziecka.</w:t>
      </w:r>
    </w:p>
    <w:p w:rsidR="00543266" w:rsidRPr="00AD5090" w:rsidRDefault="00846935" w:rsidP="0058384F">
      <w:pPr>
        <w:pStyle w:val="ECHRPara"/>
        <w:rPr>
          <w:lang w:val="pl-PL"/>
        </w:rPr>
      </w:pPr>
      <w:r>
        <w:rPr>
          <w:lang w:val="pl-PL"/>
        </w:rPr>
        <w:t>31</w:t>
      </w:r>
      <w:r w:rsidR="008405A2" w:rsidRPr="00AD5090">
        <w:rPr>
          <w:lang w:val="pl-PL"/>
        </w:rPr>
        <w:t xml:space="preserve">.  Od października 2011 r. do stycznia 2012 r. irlandzkie i polskie </w:t>
      </w:r>
      <w:r w:rsidR="00650D07" w:rsidRPr="00AD5090">
        <w:rPr>
          <w:lang w:val="pl-PL"/>
        </w:rPr>
        <w:t>władze centralne</w:t>
      </w:r>
      <w:r w:rsidR="008405A2" w:rsidRPr="00AD5090">
        <w:rPr>
          <w:lang w:val="pl-PL"/>
        </w:rPr>
        <w:t xml:space="preserve"> korespondowały ze sobą w celu wykonania irlandzkiego orzeczenia z dnia 9 września 2011 r.</w:t>
      </w:r>
    </w:p>
    <w:p w:rsidR="00936BCA" w:rsidRPr="00AD5090" w:rsidRDefault="00846935" w:rsidP="0058384F">
      <w:pPr>
        <w:pStyle w:val="ECHRPara"/>
        <w:rPr>
          <w:lang w:val="pl-PL"/>
        </w:rPr>
      </w:pPr>
      <w:r>
        <w:rPr>
          <w:lang w:val="pl-PL"/>
        </w:rPr>
        <w:t>32</w:t>
      </w:r>
      <w:r w:rsidR="008405A2" w:rsidRPr="00AD5090">
        <w:rPr>
          <w:lang w:val="pl-PL"/>
        </w:rPr>
        <w:t>.  </w:t>
      </w:r>
      <w:r w:rsidR="00273AB5">
        <w:rPr>
          <w:lang w:val="pl-PL"/>
        </w:rPr>
        <w:t>W dniu</w:t>
      </w:r>
      <w:r w:rsidR="00650D07" w:rsidRPr="00AD5090">
        <w:rPr>
          <w:lang w:val="pl-PL"/>
        </w:rPr>
        <w:t xml:space="preserve"> 23 stycznia 2012 r. irlandzki Departament Sprawiedliwości, Równości i Reformy P</w:t>
      </w:r>
      <w:r w:rsidR="008405A2" w:rsidRPr="00AD5090">
        <w:rPr>
          <w:lang w:val="pl-PL"/>
        </w:rPr>
        <w:t>rawa otrzymał list od polskiego Ministerstwa Sprawiedliwości, w którym</w:t>
      </w:r>
      <w:r w:rsidR="00650D07" w:rsidRPr="00AD5090">
        <w:rPr>
          <w:lang w:val="pl-PL"/>
        </w:rPr>
        <w:t xml:space="preserve"> został poinformowany</w:t>
      </w:r>
      <w:r w:rsidR="008405A2" w:rsidRPr="00AD5090">
        <w:rPr>
          <w:lang w:val="pl-PL"/>
        </w:rPr>
        <w:t>, że wniosek skarżącej o</w:t>
      </w:r>
      <w:r w:rsidR="00B46F8F">
        <w:rPr>
          <w:lang w:val="pl-PL"/>
        </w:rPr>
        <w:t> </w:t>
      </w:r>
      <w:r w:rsidR="008405A2" w:rsidRPr="00AD5090">
        <w:rPr>
          <w:lang w:val="pl-PL"/>
        </w:rPr>
        <w:t>przymusowe zabranie jej córki i powrót do Irlandii został przesłany tego dnia do Sądu Rejonowego w Gdańsku.</w:t>
      </w:r>
    </w:p>
    <w:p w:rsidR="00543266" w:rsidRPr="00AD5090" w:rsidRDefault="00846935" w:rsidP="0058384F">
      <w:pPr>
        <w:pStyle w:val="ECHRPara"/>
        <w:rPr>
          <w:lang w:val="pl-PL"/>
        </w:rPr>
      </w:pPr>
      <w:r>
        <w:rPr>
          <w:lang w:val="pl-PL"/>
        </w:rPr>
        <w:t>33</w:t>
      </w:r>
      <w:r w:rsidR="008405A2" w:rsidRPr="00AD5090">
        <w:rPr>
          <w:lang w:val="pl-PL"/>
        </w:rPr>
        <w:t xml:space="preserve">.  Dnia 25 stycznia 2012 r. irlandzki łącznikowy sędzia rodzinny Europejskiej Sieci Sądowniczej wysłał list do polskiego łącznikowego sędziego rodzinnego Europejskiej Sieci </w:t>
      </w:r>
      <w:r w:rsidR="00A7359D">
        <w:rPr>
          <w:lang w:val="pl-PL"/>
        </w:rPr>
        <w:t>Sądowej</w:t>
      </w:r>
      <w:r w:rsidR="008405A2" w:rsidRPr="00AD5090">
        <w:rPr>
          <w:lang w:val="pl-PL"/>
        </w:rPr>
        <w:t xml:space="preserve"> nalegając na wykonanie postanowienia </w:t>
      </w:r>
      <w:r w:rsidR="00E31B2A">
        <w:rPr>
          <w:lang w:val="pl-PL"/>
        </w:rPr>
        <w:t>Sądu Najwyższego Irlandii</w:t>
      </w:r>
      <w:r w:rsidR="008405A2" w:rsidRPr="00AD5090">
        <w:rPr>
          <w:lang w:val="pl-PL"/>
        </w:rPr>
        <w:t xml:space="preserve"> </w:t>
      </w:r>
      <w:r w:rsidR="00791A29">
        <w:rPr>
          <w:lang w:val="pl-PL"/>
        </w:rPr>
        <w:t>w przedmiocie władzy rodzicielskiej z dnia</w:t>
      </w:r>
      <w:r w:rsidR="008405A2" w:rsidRPr="00AD5090">
        <w:rPr>
          <w:lang w:val="pl-PL"/>
        </w:rPr>
        <w:t xml:space="preserve"> 9 września 2011 r. Zauważywszy, że M.K. wszczął postępowanie rozwodowe, w którym również rozpatrywano kwestie władzy rodzicielskiej, w liście poproszono o to, by sędzia orzekający w sprawie rozwodowej wziął pod uwagę postanowienie </w:t>
      </w:r>
      <w:r w:rsidR="006C59F3">
        <w:rPr>
          <w:lang w:val="pl-PL"/>
        </w:rPr>
        <w:t>Sądu Najwyższego Irlandii</w:t>
      </w:r>
      <w:r w:rsidR="006C59F3" w:rsidRPr="00AD5090">
        <w:rPr>
          <w:lang w:val="pl-PL"/>
        </w:rPr>
        <w:t xml:space="preserve"> </w:t>
      </w:r>
      <w:r w:rsidR="008405A2" w:rsidRPr="00AD5090">
        <w:rPr>
          <w:lang w:val="pl-PL"/>
        </w:rPr>
        <w:t>z</w:t>
      </w:r>
      <w:r w:rsidR="00B46F8F">
        <w:rPr>
          <w:lang w:val="pl-PL"/>
        </w:rPr>
        <w:t> </w:t>
      </w:r>
      <w:r w:rsidR="008405A2" w:rsidRPr="00AD5090">
        <w:rPr>
          <w:lang w:val="pl-PL"/>
        </w:rPr>
        <w:t>dnia 9 września 2011 r.</w:t>
      </w:r>
    </w:p>
    <w:p w:rsidR="00D870AD" w:rsidRPr="00AD5090" w:rsidRDefault="00846935" w:rsidP="0058384F">
      <w:pPr>
        <w:pStyle w:val="ECHRPara"/>
        <w:rPr>
          <w:lang w:val="pl-PL"/>
        </w:rPr>
      </w:pPr>
      <w:r>
        <w:rPr>
          <w:lang w:val="pl-PL"/>
        </w:rPr>
        <w:t>34</w:t>
      </w:r>
      <w:r w:rsidR="00D870AD" w:rsidRPr="00B46F8F">
        <w:rPr>
          <w:lang w:val="pl-PL"/>
        </w:rPr>
        <w:t>.  </w:t>
      </w:r>
      <w:r w:rsidR="00FC614C" w:rsidRPr="00B46F8F">
        <w:rPr>
          <w:lang w:val="pl-PL"/>
        </w:rPr>
        <w:t>W dniu</w:t>
      </w:r>
      <w:r w:rsidR="00D870AD" w:rsidRPr="00B46F8F">
        <w:rPr>
          <w:lang w:val="pl-PL"/>
        </w:rPr>
        <w:t xml:space="preserve"> 4 maja 2012 r. </w:t>
      </w:r>
      <w:r w:rsidR="008F530A" w:rsidRPr="00B46F8F">
        <w:rPr>
          <w:lang w:val="pl-PL"/>
        </w:rPr>
        <w:t>kurator</w:t>
      </w:r>
      <w:r w:rsidR="008F530A">
        <w:rPr>
          <w:lang w:val="pl-PL"/>
        </w:rPr>
        <w:t xml:space="preserve"> </w:t>
      </w:r>
      <w:r w:rsidR="00B46F8F">
        <w:rPr>
          <w:lang w:val="pl-PL"/>
        </w:rPr>
        <w:t>wyznaczony przez sąd przeprowadził</w:t>
      </w:r>
      <w:r w:rsidR="008F530A">
        <w:rPr>
          <w:lang w:val="pl-PL"/>
        </w:rPr>
        <w:t xml:space="preserve"> wywiad</w:t>
      </w:r>
      <w:r w:rsidR="00D870AD" w:rsidRPr="00AD5090">
        <w:rPr>
          <w:lang w:val="pl-PL"/>
        </w:rPr>
        <w:t xml:space="preserve"> z A. i </w:t>
      </w:r>
      <w:r w:rsidR="008F530A">
        <w:rPr>
          <w:lang w:val="pl-PL"/>
        </w:rPr>
        <w:t>przedstawił sądowi sprawozdanie</w:t>
      </w:r>
      <w:r w:rsidR="00D870AD" w:rsidRPr="00AD5090">
        <w:rPr>
          <w:lang w:val="pl-PL"/>
        </w:rPr>
        <w:t>. Kurator stwierdził, że A. chciała zostać w Polsce, gdzie był jej dom, szkoła i przyjaciele. A. powiedziała, że pragnie mieć regularne kontakty z matką p</w:t>
      </w:r>
      <w:r w:rsidR="00650D07" w:rsidRPr="00AD5090">
        <w:rPr>
          <w:lang w:val="pl-PL"/>
        </w:rPr>
        <w:t>rzez Skype’</w:t>
      </w:r>
      <w:r w:rsidR="00D870AD" w:rsidRPr="00AD5090">
        <w:rPr>
          <w:lang w:val="pl-PL"/>
        </w:rPr>
        <w:t xml:space="preserve">a. Czuła presję ze strony matki </w:t>
      </w:r>
      <w:r w:rsidR="005D5E27">
        <w:rPr>
          <w:lang w:val="pl-PL"/>
        </w:rPr>
        <w:t>odnośnie</w:t>
      </w:r>
      <w:r w:rsidR="00D870AD" w:rsidRPr="00AD5090">
        <w:rPr>
          <w:lang w:val="pl-PL"/>
        </w:rPr>
        <w:t xml:space="preserve"> powrotu do Irlandii. Konflikt rodziców sprawił, że musiała uczestniczyć w leczeniu psychiatryc</w:t>
      </w:r>
      <w:r w:rsidR="005D5E27">
        <w:rPr>
          <w:lang w:val="pl-PL"/>
        </w:rPr>
        <w:t xml:space="preserve">znym i brać leki </w:t>
      </w:r>
      <w:r w:rsidR="00D870AD" w:rsidRPr="00AD5090">
        <w:rPr>
          <w:lang w:val="pl-PL"/>
        </w:rPr>
        <w:t>antydepresyjne.</w:t>
      </w:r>
    </w:p>
    <w:p w:rsidR="00936BCA" w:rsidRPr="00AD5090" w:rsidRDefault="00846935" w:rsidP="0058384F">
      <w:pPr>
        <w:pStyle w:val="ECHRPara"/>
        <w:rPr>
          <w:lang w:val="pl-PL"/>
        </w:rPr>
      </w:pPr>
      <w:r>
        <w:rPr>
          <w:lang w:val="pl-PL"/>
        </w:rPr>
        <w:t>35</w:t>
      </w:r>
      <w:r w:rsidR="008405A2" w:rsidRPr="00AD5090">
        <w:rPr>
          <w:lang w:val="pl-PL"/>
        </w:rPr>
        <w:t>.  </w:t>
      </w:r>
      <w:r w:rsidR="00C4298B">
        <w:rPr>
          <w:lang w:val="pl-PL"/>
        </w:rPr>
        <w:t>Na rozprawie w</w:t>
      </w:r>
      <w:r w:rsidR="008405A2" w:rsidRPr="00AD5090">
        <w:rPr>
          <w:lang w:val="pl-PL"/>
        </w:rPr>
        <w:t xml:space="preserve"> dniu 9 maja 2012 r. Sąd Rejonowy w Malborku zasugerował stronom osiągnięcie porozumienia co do dnia powrotu dziecka do Irlandii. W trakcie posiedzenia M.K. wyjaśnił, że odmówił stosowania się do postanowień sądów irlandzkich, ponieważ jego córka była w złej kondycji psychicznej.</w:t>
      </w:r>
    </w:p>
    <w:p w:rsidR="00543266" w:rsidRPr="00AD5090" w:rsidRDefault="00846935" w:rsidP="0058384F">
      <w:pPr>
        <w:pStyle w:val="ECHRPara"/>
        <w:rPr>
          <w:lang w:val="pl-PL"/>
        </w:rPr>
      </w:pPr>
      <w:r>
        <w:rPr>
          <w:lang w:val="pl-PL"/>
        </w:rPr>
        <w:t>36</w:t>
      </w:r>
      <w:r w:rsidR="008405A2" w:rsidRPr="00AD5090">
        <w:rPr>
          <w:lang w:val="pl-PL"/>
        </w:rPr>
        <w:t>.  W dniu 28 czerwca 2012 r. Sąd Rejonowy w Malborku postanowił o</w:t>
      </w:r>
      <w:r w:rsidR="00B46F8F">
        <w:rPr>
          <w:lang w:val="pl-PL"/>
        </w:rPr>
        <w:t> </w:t>
      </w:r>
      <w:r w:rsidR="00413211">
        <w:rPr>
          <w:lang w:val="pl-PL"/>
        </w:rPr>
        <w:t>odebraniu</w:t>
      </w:r>
      <w:r w:rsidR="008405A2" w:rsidRPr="00AD5090">
        <w:rPr>
          <w:lang w:val="pl-PL"/>
        </w:rPr>
        <w:t xml:space="preserve"> A. od M.K. przez kuratora</w:t>
      </w:r>
      <w:r w:rsidR="00650D07" w:rsidRPr="00AD5090">
        <w:rPr>
          <w:lang w:val="pl-PL"/>
        </w:rPr>
        <w:t xml:space="preserve"> sądowego</w:t>
      </w:r>
      <w:r w:rsidR="008405A2" w:rsidRPr="00AD5090">
        <w:rPr>
          <w:lang w:val="pl-PL"/>
        </w:rPr>
        <w:t xml:space="preserve"> na podstawie art. 598 </w:t>
      </w:r>
      <w:r w:rsidR="008405A2" w:rsidRPr="00AD5090">
        <w:rPr>
          <w:color w:val="000000"/>
          <w:lang w:val="pl-PL"/>
        </w:rPr>
        <w:t>§</w:t>
      </w:r>
      <w:r w:rsidR="008405A2" w:rsidRPr="00AD5090">
        <w:rPr>
          <w:lang w:val="pl-PL"/>
        </w:rPr>
        <w:t xml:space="preserve"> 6 Kodeksu postępowania cywilnego. Sąd nadał orzeczeniu klauzulę natychmiastowej wykonalności.</w:t>
      </w:r>
    </w:p>
    <w:p w:rsidR="00936BCA" w:rsidRPr="00AD5090" w:rsidRDefault="00846935" w:rsidP="0058384F">
      <w:pPr>
        <w:pStyle w:val="ECHRPara"/>
        <w:rPr>
          <w:lang w:val="pl-PL"/>
        </w:rPr>
      </w:pPr>
      <w:r>
        <w:rPr>
          <w:lang w:val="pl-PL"/>
        </w:rPr>
        <w:t>37</w:t>
      </w:r>
      <w:r w:rsidR="00FF062F" w:rsidRPr="00AD5090">
        <w:rPr>
          <w:lang w:val="pl-PL"/>
        </w:rPr>
        <w:t>.  </w:t>
      </w:r>
      <w:r w:rsidR="00F82DD7">
        <w:rPr>
          <w:lang w:val="pl-PL"/>
        </w:rPr>
        <w:t>W dniu</w:t>
      </w:r>
      <w:r w:rsidR="00FF062F" w:rsidRPr="00AD5090">
        <w:rPr>
          <w:lang w:val="pl-PL"/>
        </w:rPr>
        <w:t xml:space="preserve"> 6 lipca 2012 r. skarżąca i kurator</w:t>
      </w:r>
      <w:r w:rsidR="00650D07" w:rsidRPr="00AD5090">
        <w:rPr>
          <w:lang w:val="pl-PL"/>
        </w:rPr>
        <w:t xml:space="preserve"> sądowy</w:t>
      </w:r>
      <w:r w:rsidR="00FF062F" w:rsidRPr="00AD5090">
        <w:rPr>
          <w:lang w:val="pl-PL"/>
        </w:rPr>
        <w:t xml:space="preserve"> przyjechali do miejsca zamieszkania M.K. w celu </w:t>
      </w:r>
      <w:r w:rsidR="00F82DD7">
        <w:rPr>
          <w:lang w:val="pl-PL"/>
        </w:rPr>
        <w:t>odebrania</w:t>
      </w:r>
      <w:r w:rsidR="00FF062F" w:rsidRPr="00AD5090">
        <w:rPr>
          <w:lang w:val="pl-PL"/>
        </w:rPr>
        <w:t xml:space="preserve"> dziecka, ale nikogo tam nie zastali.</w:t>
      </w:r>
    </w:p>
    <w:p w:rsidR="0098569B" w:rsidRPr="00AD5090" w:rsidRDefault="00846935" w:rsidP="0058384F">
      <w:pPr>
        <w:pStyle w:val="ECHRPara"/>
        <w:rPr>
          <w:lang w:val="pl-PL"/>
        </w:rPr>
      </w:pPr>
      <w:r>
        <w:rPr>
          <w:lang w:val="pl-PL"/>
        </w:rPr>
        <w:t>38</w:t>
      </w:r>
      <w:r w:rsidR="006D51B3" w:rsidRPr="00AD5090">
        <w:rPr>
          <w:lang w:val="pl-PL"/>
        </w:rPr>
        <w:t>.  </w:t>
      </w:r>
      <w:r w:rsidR="00F82DD7">
        <w:rPr>
          <w:lang w:val="pl-PL"/>
        </w:rPr>
        <w:t>W dniu</w:t>
      </w:r>
      <w:r w:rsidR="006D51B3" w:rsidRPr="00AD5090">
        <w:rPr>
          <w:lang w:val="pl-PL"/>
        </w:rPr>
        <w:t xml:space="preserve"> 9 lipca</w:t>
      </w:r>
      <w:r w:rsidR="00F82DD7">
        <w:rPr>
          <w:lang w:val="pl-PL"/>
        </w:rPr>
        <w:t xml:space="preserve"> 2012 r.</w:t>
      </w:r>
      <w:r w:rsidR="006D51B3" w:rsidRPr="00AD5090">
        <w:rPr>
          <w:lang w:val="pl-PL"/>
        </w:rPr>
        <w:t xml:space="preserve"> kurator</w:t>
      </w:r>
      <w:r w:rsidR="00650D07" w:rsidRPr="00AD5090">
        <w:rPr>
          <w:lang w:val="pl-PL"/>
        </w:rPr>
        <w:t xml:space="preserve"> sądowy</w:t>
      </w:r>
      <w:r w:rsidR="006D51B3" w:rsidRPr="00AD5090">
        <w:rPr>
          <w:lang w:val="pl-PL"/>
        </w:rPr>
        <w:t xml:space="preserve"> ponowił próbę </w:t>
      </w:r>
      <w:r w:rsidR="00F82DD7">
        <w:rPr>
          <w:lang w:val="pl-PL"/>
        </w:rPr>
        <w:t>odebrania</w:t>
      </w:r>
      <w:r w:rsidR="006D51B3" w:rsidRPr="00AD5090">
        <w:rPr>
          <w:lang w:val="pl-PL"/>
        </w:rPr>
        <w:t xml:space="preserve"> dziecka, ale dom </w:t>
      </w:r>
      <w:r w:rsidR="00F82DD7">
        <w:rPr>
          <w:lang w:val="pl-PL"/>
        </w:rPr>
        <w:t>ponownie był</w:t>
      </w:r>
      <w:r w:rsidR="00650D07" w:rsidRPr="00AD5090">
        <w:rPr>
          <w:lang w:val="pl-PL"/>
        </w:rPr>
        <w:t xml:space="preserve"> pusty. </w:t>
      </w:r>
      <w:r w:rsidR="00B4686E">
        <w:rPr>
          <w:lang w:val="pl-PL"/>
        </w:rPr>
        <w:t>W dniu</w:t>
      </w:r>
      <w:r w:rsidR="00650D07" w:rsidRPr="00AD5090">
        <w:rPr>
          <w:lang w:val="pl-PL"/>
        </w:rPr>
        <w:t xml:space="preserve"> 13 lipca</w:t>
      </w:r>
      <w:r w:rsidR="00B4686E">
        <w:rPr>
          <w:lang w:val="pl-PL"/>
        </w:rPr>
        <w:t xml:space="preserve"> 2012 roku</w:t>
      </w:r>
      <w:r w:rsidR="00650D07" w:rsidRPr="00AD5090">
        <w:rPr>
          <w:lang w:val="pl-PL"/>
        </w:rPr>
        <w:t xml:space="preserve"> </w:t>
      </w:r>
      <w:r w:rsidR="006D51B3" w:rsidRPr="00AD5090">
        <w:rPr>
          <w:lang w:val="pl-PL"/>
        </w:rPr>
        <w:t xml:space="preserve">podjął trzecią, nieudaną próbę </w:t>
      </w:r>
      <w:r w:rsidR="0022283B">
        <w:rPr>
          <w:lang w:val="pl-PL"/>
        </w:rPr>
        <w:t>odebrania</w:t>
      </w:r>
      <w:r w:rsidR="006D51B3" w:rsidRPr="00AD5090">
        <w:rPr>
          <w:lang w:val="pl-PL"/>
        </w:rPr>
        <w:t xml:space="preserve"> dziecka. </w:t>
      </w:r>
      <w:r w:rsidR="0022283B">
        <w:rPr>
          <w:lang w:val="pl-PL"/>
        </w:rPr>
        <w:t>W dniu</w:t>
      </w:r>
      <w:r w:rsidR="006D51B3" w:rsidRPr="00AD5090">
        <w:rPr>
          <w:lang w:val="pl-PL"/>
        </w:rPr>
        <w:t xml:space="preserve"> 24 lipca 2012 r. poprosił policję o interwencję.</w:t>
      </w:r>
    </w:p>
    <w:p w:rsidR="00936BCA" w:rsidRPr="00AD5090" w:rsidRDefault="00846935" w:rsidP="0058384F">
      <w:pPr>
        <w:pStyle w:val="ECHRPara"/>
        <w:rPr>
          <w:lang w:val="pl-PL"/>
        </w:rPr>
      </w:pPr>
      <w:r>
        <w:rPr>
          <w:lang w:val="pl-PL"/>
        </w:rPr>
        <w:t>39</w:t>
      </w:r>
      <w:r w:rsidR="008405A2" w:rsidRPr="00AD5090">
        <w:rPr>
          <w:lang w:val="pl-PL"/>
        </w:rPr>
        <w:t>.  </w:t>
      </w:r>
      <w:r w:rsidR="0022283B">
        <w:rPr>
          <w:lang w:val="pl-PL"/>
        </w:rPr>
        <w:t>W dniu</w:t>
      </w:r>
      <w:r w:rsidR="008405A2" w:rsidRPr="00AD5090">
        <w:rPr>
          <w:lang w:val="pl-PL"/>
        </w:rPr>
        <w:t xml:space="preserve"> 7 września 2012 r. Sąd Rejonowy w Malborku umorzył postępowanie o natychmiastowe wykonanie postanowienia sądu irlandzkiego z dnia 9 września 2011 r. Sąd stwierdzili, że prawo skarżącej do żądania powrotu A. do Irlandii skutecznie wygasło w dniu 31 sierpnia 2012 r. i od tego dnia nie istniał już żaden tytuł wykonawczy, który dawałby podstawy do podjęcia skutecznego postępowania. Stwierdził, że zgodnie z pierwotnym postanowieniem sądu irlandzkiego A. miała zacząć szkołę w Polsce w 2012 r., więc jej przymusowe </w:t>
      </w:r>
      <w:r w:rsidR="005D3450">
        <w:rPr>
          <w:lang w:val="pl-PL"/>
        </w:rPr>
        <w:t>odebranie</w:t>
      </w:r>
      <w:r w:rsidR="008405A2" w:rsidRPr="00AD5090">
        <w:rPr>
          <w:lang w:val="pl-PL"/>
        </w:rPr>
        <w:t xml:space="preserve"> nie było dozwolone.</w:t>
      </w:r>
    </w:p>
    <w:p w:rsidR="00936BCA" w:rsidRPr="00AD5090" w:rsidRDefault="00846935" w:rsidP="0058384F">
      <w:pPr>
        <w:pStyle w:val="ECHRPara"/>
        <w:rPr>
          <w:lang w:val="pl-PL"/>
        </w:rPr>
      </w:pPr>
      <w:r>
        <w:rPr>
          <w:lang w:val="pl-PL"/>
        </w:rPr>
        <w:t>40</w:t>
      </w:r>
      <w:r w:rsidR="008405A2" w:rsidRPr="00AD5090">
        <w:rPr>
          <w:lang w:val="pl-PL"/>
        </w:rPr>
        <w:t>.  W dniu 26 września 2012 r. skarżąca spotkała A. na zewnątrz szkoły i zabrała ją do Irlandii.</w:t>
      </w:r>
    </w:p>
    <w:p w:rsidR="00543266" w:rsidRPr="00AD5090" w:rsidRDefault="00846935" w:rsidP="0058384F">
      <w:pPr>
        <w:pStyle w:val="ECHRPara"/>
        <w:rPr>
          <w:lang w:val="pl-PL"/>
        </w:rPr>
      </w:pPr>
      <w:r>
        <w:rPr>
          <w:lang w:val="pl-PL"/>
        </w:rPr>
        <w:t>41</w:t>
      </w:r>
      <w:r w:rsidR="008405A2" w:rsidRPr="00AD5090">
        <w:rPr>
          <w:lang w:val="pl-PL"/>
        </w:rPr>
        <w:t>.  W dniu 12 listopada 2012 r. Sąd Okręgowy w Gdańsku uchylił orzeczenie Sądu Rejonowego w Malborku z dnia 7 września 2012 r.</w:t>
      </w:r>
      <w:r w:rsidR="00E94728">
        <w:rPr>
          <w:lang w:val="pl-PL"/>
        </w:rPr>
        <w:t>, uznając, że orzeczeniem kończącym w sprawie jest postanowienie</w:t>
      </w:r>
      <w:r w:rsidR="00EF2B27">
        <w:rPr>
          <w:lang w:val="pl-PL"/>
        </w:rPr>
        <w:t xml:space="preserve"> nakazujące odebranie dziecka</w:t>
      </w:r>
      <w:r w:rsidR="00E94728">
        <w:rPr>
          <w:lang w:val="pl-PL"/>
        </w:rPr>
        <w:t xml:space="preserve"> z dnia 28 czerwca 2012 roku</w:t>
      </w:r>
      <w:r w:rsidR="00EF2B27">
        <w:rPr>
          <w:lang w:val="pl-PL"/>
        </w:rPr>
        <w:t>.</w:t>
      </w:r>
    </w:p>
    <w:p w:rsidR="00936BCA" w:rsidRPr="00AD5090" w:rsidRDefault="008C001C" w:rsidP="0058384F">
      <w:pPr>
        <w:pStyle w:val="ECHRHeading2"/>
        <w:rPr>
          <w:lang w:val="pl-PL"/>
        </w:rPr>
      </w:pPr>
      <w:r>
        <w:rPr>
          <w:lang w:val="pl-PL"/>
        </w:rPr>
        <w:t>F</w:t>
      </w:r>
      <w:r w:rsidR="00B45795" w:rsidRPr="00AD5090">
        <w:rPr>
          <w:lang w:val="pl-PL"/>
        </w:rPr>
        <w:t>.  Dalsze postępowania w Irlandii po powrocie A.</w:t>
      </w:r>
    </w:p>
    <w:p w:rsidR="00543266" w:rsidRPr="00AD5090" w:rsidRDefault="00846935" w:rsidP="0058384F">
      <w:pPr>
        <w:pStyle w:val="ECHRPara"/>
        <w:rPr>
          <w:lang w:val="pl-PL"/>
        </w:rPr>
      </w:pPr>
      <w:r>
        <w:rPr>
          <w:lang w:val="pl-PL"/>
        </w:rPr>
        <w:t>42</w:t>
      </w:r>
      <w:r w:rsidR="008405A2" w:rsidRPr="00AD5090">
        <w:rPr>
          <w:lang w:val="pl-PL"/>
        </w:rPr>
        <w:t xml:space="preserve">.  W dniu 21 października 2012 r. skarżąca wniosła do </w:t>
      </w:r>
      <w:r w:rsidR="004A71BD">
        <w:rPr>
          <w:lang w:val="pl-PL"/>
        </w:rPr>
        <w:t xml:space="preserve">Sądu Najwyższego Irlandii </w:t>
      </w:r>
      <w:r w:rsidR="008405A2" w:rsidRPr="00AD5090">
        <w:rPr>
          <w:lang w:val="pl-PL"/>
        </w:rPr>
        <w:t>o zakaz zabierania A. z kraju przez jakąkolwiek osobę za wyjątki</w:t>
      </w:r>
      <w:r w:rsidR="004A71BD">
        <w:rPr>
          <w:lang w:val="pl-PL"/>
        </w:rPr>
        <w:t>em skarżącej, chyba że udzieli na to zgody</w:t>
      </w:r>
      <w:r w:rsidR="008405A2" w:rsidRPr="00AD5090">
        <w:rPr>
          <w:lang w:val="pl-PL"/>
        </w:rPr>
        <w:t xml:space="preserve"> lub sąd wyda zezwolenie. W trakcie dalszych postępowań M.K. składał wnioski o</w:t>
      </w:r>
      <w:r w:rsidR="00B46F8F">
        <w:rPr>
          <w:lang w:val="pl-PL"/>
        </w:rPr>
        <w:t> </w:t>
      </w:r>
      <w:r w:rsidR="008405A2" w:rsidRPr="00AD5090">
        <w:rPr>
          <w:lang w:val="pl-PL"/>
        </w:rPr>
        <w:t>nienadzorowany kontakt z A. przez telefon lub Skype. Sąd poprosił o</w:t>
      </w:r>
      <w:r w:rsidR="00B46F8F">
        <w:rPr>
          <w:lang w:val="pl-PL"/>
        </w:rPr>
        <w:t> </w:t>
      </w:r>
      <w:r w:rsidR="008405A2" w:rsidRPr="00AD5090">
        <w:rPr>
          <w:lang w:val="pl-PL"/>
        </w:rPr>
        <w:t xml:space="preserve">opinię biegłego i </w:t>
      </w:r>
      <w:r w:rsidR="009668F7" w:rsidRPr="00AD5090">
        <w:rPr>
          <w:lang w:val="pl-PL"/>
        </w:rPr>
        <w:t>przeprowadził</w:t>
      </w:r>
      <w:r w:rsidR="008405A2" w:rsidRPr="00AD5090">
        <w:rPr>
          <w:lang w:val="pl-PL"/>
        </w:rPr>
        <w:t xml:space="preserve"> </w:t>
      </w:r>
      <w:r w:rsidR="009668F7" w:rsidRPr="00AD5090">
        <w:rPr>
          <w:lang w:val="pl-PL"/>
        </w:rPr>
        <w:t>rozprawę</w:t>
      </w:r>
      <w:r w:rsidR="008405A2" w:rsidRPr="00AD5090">
        <w:rPr>
          <w:lang w:val="pl-PL"/>
        </w:rPr>
        <w:t>.</w:t>
      </w:r>
    </w:p>
    <w:p w:rsidR="00936BCA" w:rsidRPr="00AD5090" w:rsidRDefault="00846935" w:rsidP="0058384F">
      <w:pPr>
        <w:pStyle w:val="ECHRPara"/>
        <w:rPr>
          <w:lang w:val="pl-PL"/>
        </w:rPr>
      </w:pPr>
      <w:r>
        <w:rPr>
          <w:lang w:val="pl-PL"/>
        </w:rPr>
        <w:t>43</w:t>
      </w:r>
      <w:r w:rsidR="008405A2" w:rsidRPr="00AD5090">
        <w:rPr>
          <w:lang w:val="pl-PL"/>
        </w:rPr>
        <w:t>.  </w:t>
      </w:r>
      <w:r w:rsidR="00442317" w:rsidRPr="00AD5090">
        <w:rPr>
          <w:lang w:val="pl-PL"/>
        </w:rPr>
        <w:t>W dniu</w:t>
      </w:r>
      <w:r w:rsidR="008405A2" w:rsidRPr="00AD5090">
        <w:rPr>
          <w:lang w:val="pl-PL"/>
        </w:rPr>
        <w:t xml:space="preserve"> 24 czerwca 2013 r. strony osiągnęły porozumienie. Warunki porozumienia zakładały, że skarżąca sprawuje wyłączną </w:t>
      </w:r>
      <w:r w:rsidR="009668F7" w:rsidRPr="00AD5090">
        <w:rPr>
          <w:lang w:val="pl-PL"/>
        </w:rPr>
        <w:t>opiekę</w:t>
      </w:r>
      <w:r w:rsidR="008405A2" w:rsidRPr="00AD5090">
        <w:rPr>
          <w:lang w:val="pl-PL"/>
        </w:rPr>
        <w:t xml:space="preserve"> nad A.</w:t>
      </w:r>
      <w:r w:rsidR="009668F7" w:rsidRPr="00AD5090">
        <w:rPr>
          <w:lang w:val="pl-PL"/>
        </w:rPr>
        <w:t xml:space="preserve"> przez następny rok, podlegający</w:t>
      </w:r>
      <w:r w:rsidR="008405A2" w:rsidRPr="00AD5090">
        <w:rPr>
          <w:lang w:val="pl-PL"/>
        </w:rPr>
        <w:t xml:space="preserve"> ocenie sądu w lipcu 2014 r. Określono również prawa do kontaktu M.K. w ten sposób, że musiał uprzedzać o</w:t>
      </w:r>
      <w:r w:rsidR="00B46F8F">
        <w:rPr>
          <w:lang w:val="pl-PL"/>
        </w:rPr>
        <w:t> </w:t>
      </w:r>
      <w:r w:rsidR="008405A2" w:rsidRPr="00AD5090">
        <w:rPr>
          <w:lang w:val="pl-PL"/>
        </w:rPr>
        <w:t>swoich wizytach w Irlandii na dwa tygodnie naprzód, mógł widywać się z dzieckiem w soboty od 13:30 do 19:00 i w niedziele od 11:00 do 19:00. Spotkania w trakcie wakacji miały mieć miejsce w Irlandii, ale za to mogły trwać dłużej i odbywać się w weekendy.</w:t>
      </w:r>
    </w:p>
    <w:p w:rsidR="00936BCA" w:rsidRPr="00AD5090" w:rsidRDefault="00B45795" w:rsidP="0058384F">
      <w:pPr>
        <w:pStyle w:val="ECHRHeading2"/>
        <w:rPr>
          <w:lang w:val="pl-PL"/>
        </w:rPr>
      </w:pPr>
      <w:r w:rsidRPr="00AD5090">
        <w:rPr>
          <w:lang w:val="pl-PL"/>
        </w:rPr>
        <w:t>G.  Postępowanie wszczęte przez M.K. w celu zabezpieczenia powrotu A.</w:t>
      </w:r>
    </w:p>
    <w:p w:rsidR="00936BCA" w:rsidRPr="00AD5090" w:rsidRDefault="00846935" w:rsidP="0058384F">
      <w:pPr>
        <w:pStyle w:val="ECHRPara"/>
        <w:rPr>
          <w:lang w:val="pl-PL"/>
        </w:rPr>
      </w:pPr>
      <w:r>
        <w:rPr>
          <w:lang w:val="pl-PL"/>
        </w:rPr>
        <w:t>44</w:t>
      </w:r>
      <w:r w:rsidR="008405A2" w:rsidRPr="00AD5090">
        <w:rPr>
          <w:lang w:val="pl-PL"/>
        </w:rPr>
        <w:t>.  </w:t>
      </w:r>
      <w:r w:rsidR="00442317" w:rsidRPr="00AD5090">
        <w:rPr>
          <w:lang w:val="pl-PL"/>
        </w:rPr>
        <w:t>W dniu</w:t>
      </w:r>
      <w:r w:rsidR="008405A2" w:rsidRPr="00AD5090">
        <w:rPr>
          <w:lang w:val="pl-PL"/>
        </w:rPr>
        <w:t xml:space="preserve"> 8 października 2012 r. M.K. wszczął postępowanie przed polskimi sądami w celu sprowadzenia A. do siebie.</w:t>
      </w:r>
    </w:p>
    <w:p w:rsidR="00543266" w:rsidRPr="00AD5090" w:rsidRDefault="00846935" w:rsidP="00442317">
      <w:pPr>
        <w:pStyle w:val="ECHRPara"/>
        <w:rPr>
          <w:lang w:val="pl-PL"/>
        </w:rPr>
      </w:pPr>
      <w:r>
        <w:rPr>
          <w:lang w:val="pl-PL"/>
        </w:rPr>
        <w:t>45</w:t>
      </w:r>
      <w:r w:rsidR="008405A2" w:rsidRPr="00AD5090">
        <w:rPr>
          <w:lang w:val="pl-PL"/>
        </w:rPr>
        <w:t>.  </w:t>
      </w:r>
      <w:r w:rsidR="00442317" w:rsidRPr="00AD5090">
        <w:rPr>
          <w:lang w:val="pl-PL"/>
        </w:rPr>
        <w:t>W dniu</w:t>
      </w:r>
      <w:r w:rsidR="008405A2" w:rsidRPr="00AD5090">
        <w:rPr>
          <w:lang w:val="pl-PL"/>
        </w:rPr>
        <w:t xml:space="preserve"> 11 stycznia 2013 r. Sąd Rejonowy w Malborku wyłączył sędziego </w:t>
      </w:r>
      <w:r w:rsidR="00AF5C7B">
        <w:rPr>
          <w:lang w:val="pl-PL"/>
        </w:rPr>
        <w:t>referenta</w:t>
      </w:r>
      <w:r w:rsidR="008405A2" w:rsidRPr="00AD5090">
        <w:rPr>
          <w:lang w:val="pl-PL"/>
        </w:rPr>
        <w:t xml:space="preserve"> z udziału w postępowaniu ze względu na jego bliskie powiązania z matką M.K.</w:t>
      </w:r>
    </w:p>
    <w:p w:rsidR="00936BCA" w:rsidRPr="00AD5090" w:rsidRDefault="00846935" w:rsidP="0058384F">
      <w:pPr>
        <w:pStyle w:val="ECHRPara"/>
        <w:rPr>
          <w:lang w:val="pl-PL"/>
        </w:rPr>
      </w:pPr>
      <w:r>
        <w:rPr>
          <w:lang w:val="pl-PL"/>
        </w:rPr>
        <w:t>46</w:t>
      </w:r>
      <w:r w:rsidR="008405A2" w:rsidRPr="00AD5090">
        <w:rPr>
          <w:lang w:val="pl-PL"/>
        </w:rPr>
        <w:t>.  </w:t>
      </w:r>
      <w:r w:rsidR="00442317" w:rsidRPr="00AD5090">
        <w:rPr>
          <w:lang w:val="pl-PL"/>
        </w:rPr>
        <w:t>W dniu</w:t>
      </w:r>
      <w:r w:rsidR="008405A2" w:rsidRPr="00AD5090">
        <w:rPr>
          <w:lang w:val="pl-PL"/>
        </w:rPr>
        <w:t xml:space="preserve"> 11 lutego 2013 r. Sąd Rejonowy w Malborku oddalił </w:t>
      </w:r>
      <w:r w:rsidR="004303DA">
        <w:rPr>
          <w:lang w:val="pl-PL"/>
        </w:rPr>
        <w:t>wniosek</w:t>
      </w:r>
      <w:r w:rsidR="008405A2" w:rsidRPr="00AD5090">
        <w:rPr>
          <w:lang w:val="pl-PL"/>
        </w:rPr>
        <w:t xml:space="preserve"> M.K.</w:t>
      </w:r>
      <w:r w:rsidR="00184672">
        <w:rPr>
          <w:lang w:val="pl-PL"/>
        </w:rPr>
        <w:t>,</w:t>
      </w:r>
      <w:r w:rsidR="008405A2" w:rsidRPr="00AD5090">
        <w:rPr>
          <w:lang w:val="pl-PL"/>
        </w:rPr>
        <w:t xml:space="preserve"> uzasadniając, że </w:t>
      </w:r>
      <w:r w:rsidR="00184672">
        <w:rPr>
          <w:lang w:val="pl-PL"/>
        </w:rPr>
        <w:t>sprawa należ</w:t>
      </w:r>
      <w:r w:rsidR="0018114C">
        <w:rPr>
          <w:lang w:val="pl-PL"/>
        </w:rPr>
        <w:t>ała</w:t>
      </w:r>
      <w:r w:rsidR="00184672">
        <w:rPr>
          <w:lang w:val="pl-PL"/>
        </w:rPr>
        <w:t xml:space="preserve"> do jurysdykcji sądów irlandzkich</w:t>
      </w:r>
      <w:r w:rsidR="008405A2" w:rsidRPr="00AD5090">
        <w:rPr>
          <w:lang w:val="pl-PL"/>
        </w:rPr>
        <w:t xml:space="preserve"> ze względu na to, że A. miała w Irlandii swoje zwykłe miejsce zamieszkania. M.K. wniósł apelację.</w:t>
      </w:r>
    </w:p>
    <w:p w:rsidR="00543266" w:rsidRPr="00AD5090" w:rsidRDefault="00846935" w:rsidP="0058384F">
      <w:pPr>
        <w:pStyle w:val="ECHRPara"/>
        <w:rPr>
          <w:lang w:val="pl-PL"/>
        </w:rPr>
      </w:pPr>
      <w:r>
        <w:rPr>
          <w:lang w:val="pl-PL"/>
        </w:rPr>
        <w:t>47</w:t>
      </w:r>
      <w:r w:rsidR="008405A2" w:rsidRPr="00AD5090">
        <w:rPr>
          <w:lang w:val="pl-PL"/>
        </w:rPr>
        <w:t>.  W dniu 22 marca 2013 r</w:t>
      </w:r>
      <w:r w:rsidR="009668F7" w:rsidRPr="00AD5090">
        <w:rPr>
          <w:lang w:val="pl-PL"/>
        </w:rPr>
        <w:t>.</w:t>
      </w:r>
      <w:r w:rsidR="008405A2" w:rsidRPr="00AD5090">
        <w:rPr>
          <w:lang w:val="pl-PL"/>
        </w:rPr>
        <w:t xml:space="preserve"> Sąd Rejonowy w Malborku wyznaczył kuratora do reprezentowania interesów A. w </w:t>
      </w:r>
      <w:r w:rsidR="009668F7" w:rsidRPr="00AD5090">
        <w:rPr>
          <w:lang w:val="pl-PL"/>
        </w:rPr>
        <w:t>postępowaniu dotyczącym zabrania</w:t>
      </w:r>
      <w:r w:rsidR="008405A2" w:rsidRPr="00AD5090">
        <w:rPr>
          <w:lang w:val="pl-PL"/>
        </w:rPr>
        <w:t xml:space="preserve"> A. do Irlandii przez skarżącą bez zgody M.K.</w:t>
      </w:r>
    </w:p>
    <w:p w:rsidR="00543266" w:rsidRPr="00AD5090" w:rsidRDefault="00846935" w:rsidP="0058384F">
      <w:pPr>
        <w:pStyle w:val="ECHRPara"/>
        <w:rPr>
          <w:lang w:val="pl-PL"/>
        </w:rPr>
      </w:pPr>
      <w:r>
        <w:rPr>
          <w:lang w:val="pl-PL"/>
        </w:rPr>
        <w:t>48</w:t>
      </w:r>
      <w:r w:rsidR="008405A2" w:rsidRPr="00AD5090">
        <w:rPr>
          <w:lang w:val="pl-PL"/>
        </w:rPr>
        <w:t>.  W dniu 6 maja 2013 r. Sąd Okręgowy w Gdańsku uchylił postanowienie Sądu Rejonowego w Malborku z dnia 11 lutego 2013 r. Sąd postanowił, że zgodnie z postanowieniem Sądu Okręgowego w Gdańsku z</w:t>
      </w:r>
      <w:r w:rsidR="00B46F8F">
        <w:rPr>
          <w:lang w:val="pl-PL"/>
        </w:rPr>
        <w:t> </w:t>
      </w:r>
      <w:r w:rsidR="008405A2" w:rsidRPr="00AD5090">
        <w:rPr>
          <w:lang w:val="pl-PL"/>
        </w:rPr>
        <w:t xml:space="preserve">dnia 4 lipca 2011 r. (zob. par. </w:t>
      </w:r>
      <w:r w:rsidR="00A55BA4">
        <w:rPr>
          <w:lang w:val="pl-PL"/>
        </w:rPr>
        <w:t>52</w:t>
      </w:r>
      <w:r w:rsidR="009668F7" w:rsidRPr="00AD5090">
        <w:rPr>
          <w:lang w:val="pl-PL"/>
        </w:rPr>
        <w:t xml:space="preserve"> poniżej) miejsce</w:t>
      </w:r>
      <w:r w:rsidR="008405A2" w:rsidRPr="00AD5090">
        <w:rPr>
          <w:lang w:val="pl-PL"/>
        </w:rPr>
        <w:t xml:space="preserve"> zamieszkania A. </w:t>
      </w:r>
      <w:r w:rsidR="009668F7" w:rsidRPr="00AD5090">
        <w:rPr>
          <w:lang w:val="pl-PL"/>
        </w:rPr>
        <w:t xml:space="preserve">było </w:t>
      </w:r>
      <w:r w:rsidR="008405A2" w:rsidRPr="00AD5090">
        <w:rPr>
          <w:lang w:val="pl-PL"/>
        </w:rPr>
        <w:t>w</w:t>
      </w:r>
      <w:r w:rsidR="00B46F8F">
        <w:rPr>
          <w:lang w:val="pl-PL"/>
        </w:rPr>
        <w:t> </w:t>
      </w:r>
      <w:r w:rsidR="008405A2" w:rsidRPr="00AD5090">
        <w:rPr>
          <w:lang w:val="pl-PL"/>
        </w:rPr>
        <w:t>Malborku z jej ojcem.</w:t>
      </w:r>
    </w:p>
    <w:p w:rsidR="00936BCA" w:rsidRPr="00AD5090" w:rsidRDefault="00846935" w:rsidP="0058384F">
      <w:pPr>
        <w:pStyle w:val="ECHRPara"/>
        <w:rPr>
          <w:lang w:val="pl-PL"/>
        </w:rPr>
      </w:pPr>
      <w:r>
        <w:rPr>
          <w:lang w:val="pl-PL"/>
        </w:rPr>
        <w:t>49</w:t>
      </w:r>
      <w:r w:rsidR="00FF062F" w:rsidRPr="00AD5090">
        <w:rPr>
          <w:lang w:val="pl-PL"/>
        </w:rPr>
        <w:t xml:space="preserve">.  W wyniku uchylenia postanowienia, sprawa M.K. została przekazana do sądu niższej instancji w celu ponownego rozpatrzenia sprawy. Nie ma informacji o dalszym </w:t>
      </w:r>
      <w:r w:rsidR="001C22B9">
        <w:rPr>
          <w:lang w:val="pl-PL"/>
        </w:rPr>
        <w:t>przebiegu</w:t>
      </w:r>
      <w:r w:rsidR="00FF062F" w:rsidRPr="00AD5090">
        <w:rPr>
          <w:lang w:val="pl-PL"/>
        </w:rPr>
        <w:t xml:space="preserve"> postępowania.</w:t>
      </w:r>
    </w:p>
    <w:p w:rsidR="00936BCA" w:rsidRPr="00AD5090" w:rsidRDefault="00B45795" w:rsidP="0058384F">
      <w:pPr>
        <w:pStyle w:val="ECHRHeading2"/>
        <w:rPr>
          <w:lang w:val="pl-PL"/>
        </w:rPr>
      </w:pPr>
      <w:r w:rsidRPr="00AD5090">
        <w:rPr>
          <w:lang w:val="pl-PL"/>
        </w:rPr>
        <w:t>H.  Postępowanie rozwodowe i zakończenie sporu</w:t>
      </w:r>
    </w:p>
    <w:p w:rsidR="00543266" w:rsidRPr="00AD5090" w:rsidRDefault="00FE4A0F" w:rsidP="0058384F">
      <w:pPr>
        <w:pStyle w:val="ECHRPara"/>
        <w:rPr>
          <w:lang w:val="pl-PL"/>
        </w:rPr>
      </w:pPr>
      <w:r>
        <w:rPr>
          <w:lang w:val="pl-PL"/>
        </w:rPr>
        <w:t>50</w:t>
      </w:r>
      <w:r w:rsidR="008405A2" w:rsidRPr="00AD5090">
        <w:rPr>
          <w:lang w:val="pl-PL"/>
        </w:rPr>
        <w:t xml:space="preserve">.  W lipcu 2009 r. M.K. wszczął postępowanie rozwodowe przed Sądem </w:t>
      </w:r>
      <w:r w:rsidR="005A2E29">
        <w:rPr>
          <w:lang w:val="pl-PL"/>
        </w:rPr>
        <w:t>Okręgowym</w:t>
      </w:r>
      <w:r w:rsidR="005A2E29" w:rsidRPr="00AD5090">
        <w:rPr>
          <w:lang w:val="pl-PL"/>
        </w:rPr>
        <w:t xml:space="preserve"> </w:t>
      </w:r>
      <w:r w:rsidR="008405A2" w:rsidRPr="00AD5090">
        <w:rPr>
          <w:lang w:val="pl-PL"/>
        </w:rPr>
        <w:t xml:space="preserve">w Gdańsku, które zostało zawieszone ze względu na konieczność rozpatrzenia </w:t>
      </w:r>
      <w:r w:rsidR="001C22B9">
        <w:rPr>
          <w:lang w:val="pl-PL"/>
        </w:rPr>
        <w:t>wniosku</w:t>
      </w:r>
      <w:r w:rsidR="008405A2" w:rsidRPr="00AD5090">
        <w:rPr>
          <w:lang w:val="pl-PL"/>
        </w:rPr>
        <w:t xml:space="preserve"> o powrót dziecka.</w:t>
      </w:r>
    </w:p>
    <w:p w:rsidR="00936BCA" w:rsidRPr="00AD5090" w:rsidRDefault="00FE4A0F" w:rsidP="0058384F">
      <w:pPr>
        <w:pStyle w:val="ECHRPara"/>
        <w:rPr>
          <w:lang w:val="pl-PL"/>
        </w:rPr>
      </w:pPr>
      <w:r>
        <w:rPr>
          <w:lang w:val="pl-PL"/>
        </w:rPr>
        <w:t>51</w:t>
      </w:r>
      <w:r w:rsidR="008405A2" w:rsidRPr="00AD5090">
        <w:rPr>
          <w:lang w:val="pl-PL"/>
        </w:rPr>
        <w:t xml:space="preserve">.  Dnia 16 marca 2011 r. M.K. wniósł o zastosowanie </w:t>
      </w:r>
      <w:r w:rsidR="00383770">
        <w:rPr>
          <w:lang w:val="pl-PL"/>
        </w:rPr>
        <w:t>zabezpieczenia</w:t>
      </w:r>
      <w:r w:rsidR="008405A2" w:rsidRPr="00AD5090">
        <w:rPr>
          <w:lang w:val="pl-PL"/>
        </w:rPr>
        <w:t xml:space="preserve"> w celu ustalenia, że</w:t>
      </w:r>
      <w:r w:rsidR="009668F7" w:rsidRPr="00AD5090">
        <w:rPr>
          <w:lang w:val="pl-PL"/>
        </w:rPr>
        <w:t xml:space="preserve"> miejscem </w:t>
      </w:r>
      <w:r w:rsidR="00F020DA">
        <w:rPr>
          <w:lang w:val="pl-PL"/>
        </w:rPr>
        <w:t>pobytu</w:t>
      </w:r>
      <w:r w:rsidR="009668F7" w:rsidRPr="00AD5090">
        <w:rPr>
          <w:lang w:val="pl-PL"/>
        </w:rPr>
        <w:t xml:space="preserve"> A. w t</w:t>
      </w:r>
      <w:r w:rsidR="00F020DA">
        <w:rPr>
          <w:lang w:val="pl-PL"/>
        </w:rPr>
        <w:t>oku postępowania</w:t>
      </w:r>
      <w:r w:rsidR="009668F7" w:rsidRPr="00AD5090">
        <w:rPr>
          <w:lang w:val="pl-PL"/>
        </w:rPr>
        <w:t xml:space="preserve"> było jego miejsce zamieszkania</w:t>
      </w:r>
      <w:r w:rsidR="008405A2" w:rsidRPr="00AD5090">
        <w:rPr>
          <w:lang w:val="pl-PL"/>
        </w:rPr>
        <w:t>.</w:t>
      </w:r>
    </w:p>
    <w:p w:rsidR="00543266" w:rsidRPr="00AD5090" w:rsidRDefault="00FE4A0F" w:rsidP="0058384F">
      <w:pPr>
        <w:pStyle w:val="ECHRPara"/>
        <w:rPr>
          <w:lang w:val="pl-PL"/>
        </w:rPr>
      </w:pPr>
      <w:r>
        <w:rPr>
          <w:lang w:val="pl-PL"/>
        </w:rPr>
        <w:t>52</w:t>
      </w:r>
      <w:r w:rsidR="008405A2" w:rsidRPr="00AD5090">
        <w:rPr>
          <w:lang w:val="pl-PL"/>
        </w:rPr>
        <w:t xml:space="preserve">.  Dnia 4 lipca 2011 r. Sąd Okręgowy w Gdańsku przyznał M.K. opiekę nad A. w trakcie postępowania. Sąd uznał, że miejsce </w:t>
      </w:r>
      <w:r w:rsidR="00CE3DF6">
        <w:rPr>
          <w:lang w:val="pl-PL"/>
        </w:rPr>
        <w:t>pobytu</w:t>
      </w:r>
      <w:r w:rsidR="008405A2" w:rsidRPr="00AD5090">
        <w:rPr>
          <w:lang w:val="pl-PL"/>
        </w:rPr>
        <w:t xml:space="preserve"> dziecka znajdowało się w Polsce. Są uzasadnił postanowienie w ten sposób, że pomimo, że obojgu rodzicom przysługiwała władza rodzicielska nad A., M.K. był </w:t>
      </w:r>
      <w:r w:rsidR="009668F7" w:rsidRPr="00AD5090">
        <w:rPr>
          <w:lang w:val="pl-PL"/>
        </w:rPr>
        <w:t>bardziej odpowiednią</w:t>
      </w:r>
      <w:r w:rsidR="008405A2" w:rsidRPr="00AD5090">
        <w:rPr>
          <w:lang w:val="pl-PL"/>
        </w:rPr>
        <w:t xml:space="preserve"> osobą do sprawowania faktycznej opieki ze względu na to, że mieszkał w Polsce i zbudował ze swoją córką silną więź. M.K. zagwarantował, że będzie </w:t>
      </w:r>
      <w:r w:rsidR="009668F7" w:rsidRPr="00AD5090">
        <w:rPr>
          <w:lang w:val="pl-PL"/>
        </w:rPr>
        <w:t>właściwie</w:t>
      </w:r>
      <w:r w:rsidR="008405A2" w:rsidRPr="00AD5090">
        <w:rPr>
          <w:lang w:val="pl-PL"/>
        </w:rPr>
        <w:t xml:space="preserve"> dbał o A. Sąd uznał, że A. </w:t>
      </w:r>
      <w:r w:rsidR="009668F7" w:rsidRPr="00AD5090">
        <w:rPr>
          <w:lang w:val="pl-PL"/>
        </w:rPr>
        <w:t>dobrze czuła się w</w:t>
      </w:r>
      <w:r w:rsidR="008405A2" w:rsidRPr="00AD5090">
        <w:rPr>
          <w:lang w:val="pl-PL"/>
        </w:rPr>
        <w:t xml:space="preserve"> Malborku, ponieważ dobrze </w:t>
      </w:r>
      <w:r w:rsidR="00C74831">
        <w:rPr>
          <w:lang w:val="pl-PL"/>
        </w:rPr>
        <w:t>radziła sobie</w:t>
      </w:r>
      <w:r w:rsidR="008405A2" w:rsidRPr="00AD5090">
        <w:rPr>
          <w:lang w:val="pl-PL"/>
        </w:rPr>
        <w:t xml:space="preserve"> w szkole i miała prawidłowe relacje ze swoimi rówieśnikami. Sąd stwierdził, że pomimo postępowania rozwodowego w Polsce</w:t>
      </w:r>
      <w:r w:rsidR="009668F7" w:rsidRPr="00AD5090">
        <w:rPr>
          <w:lang w:val="pl-PL"/>
        </w:rPr>
        <w:t>,</w:t>
      </w:r>
      <w:r w:rsidR="008405A2" w:rsidRPr="00AD5090">
        <w:rPr>
          <w:lang w:val="pl-PL"/>
        </w:rPr>
        <w:t xml:space="preserve"> wnioskodawca zwrócił się również do sądu w Irlandii w sprawie A., ze względu na wzrastające uczucie niepewności i obawy, że dziecko zostanie zabrane do Irlandii wbrew swojej woli. Sąd stwierdził, że na podstawie tych czynników koniecznym było wydanie zakazu.</w:t>
      </w:r>
    </w:p>
    <w:p w:rsidR="00543266" w:rsidRPr="00AD5090" w:rsidRDefault="00FE4A0F" w:rsidP="0058384F">
      <w:pPr>
        <w:pStyle w:val="ECHRPara"/>
        <w:rPr>
          <w:lang w:val="pl-PL"/>
        </w:rPr>
      </w:pPr>
      <w:r>
        <w:rPr>
          <w:lang w:val="pl-PL"/>
        </w:rPr>
        <w:t>53</w:t>
      </w:r>
      <w:r w:rsidR="008405A2" w:rsidRPr="00AD5090">
        <w:rPr>
          <w:lang w:val="pl-PL"/>
        </w:rPr>
        <w:t xml:space="preserve">.  Dnia 17 października 2013 r. irlandzki sędzia łącznikowy Europejskiej Sieci Sądowniczej </w:t>
      </w:r>
      <w:r w:rsidR="002C39F0">
        <w:rPr>
          <w:lang w:val="pl-PL"/>
        </w:rPr>
        <w:t>zwrócił się</w:t>
      </w:r>
      <w:r w:rsidR="008405A2" w:rsidRPr="00AD5090">
        <w:rPr>
          <w:lang w:val="pl-PL"/>
        </w:rPr>
        <w:t xml:space="preserve"> do polskiego sędziego łącznikowego z informacją o postępowaniu toczącym się w Irlandii, porozumieniu między stronami z </w:t>
      </w:r>
      <w:r w:rsidR="009668F7" w:rsidRPr="00AD5090">
        <w:rPr>
          <w:lang w:val="pl-PL"/>
        </w:rPr>
        <w:t xml:space="preserve">dnia </w:t>
      </w:r>
      <w:r w:rsidR="008405A2" w:rsidRPr="00AD5090">
        <w:rPr>
          <w:lang w:val="pl-PL"/>
        </w:rPr>
        <w:t>24 czerwca 2013 r. doty</w:t>
      </w:r>
      <w:r w:rsidR="009668F7" w:rsidRPr="00AD5090">
        <w:rPr>
          <w:lang w:val="pl-PL"/>
        </w:rPr>
        <w:t>czą</w:t>
      </w:r>
      <w:r w:rsidR="002C39F0">
        <w:rPr>
          <w:lang w:val="pl-PL"/>
        </w:rPr>
        <w:t xml:space="preserve">cym </w:t>
      </w:r>
      <w:r w:rsidR="009668F7" w:rsidRPr="00AD5090">
        <w:rPr>
          <w:lang w:val="pl-PL"/>
        </w:rPr>
        <w:t>praw do opieki i kontaktu z dzieckiem</w:t>
      </w:r>
      <w:r w:rsidR="008405A2" w:rsidRPr="00AD5090">
        <w:rPr>
          <w:lang w:val="pl-PL"/>
        </w:rPr>
        <w:t xml:space="preserve"> oraz o postanowieniu </w:t>
      </w:r>
      <w:r w:rsidR="002C39F0">
        <w:rPr>
          <w:lang w:val="pl-PL"/>
        </w:rPr>
        <w:t>Sądu Najwyższego Irlandii</w:t>
      </w:r>
      <w:r w:rsidR="008405A2" w:rsidRPr="00AD5090">
        <w:rPr>
          <w:lang w:val="pl-PL"/>
        </w:rPr>
        <w:t xml:space="preserve"> z dnia 25 czerwca 2013 r. zatwierdzając</w:t>
      </w:r>
      <w:r w:rsidR="002144CB">
        <w:rPr>
          <w:lang w:val="pl-PL"/>
        </w:rPr>
        <w:t>ym</w:t>
      </w:r>
      <w:r w:rsidR="008405A2" w:rsidRPr="00AD5090">
        <w:rPr>
          <w:lang w:val="pl-PL"/>
        </w:rPr>
        <w:t xml:space="preserve"> to po</w:t>
      </w:r>
      <w:r w:rsidR="002C39F0">
        <w:rPr>
          <w:lang w:val="pl-PL"/>
        </w:rPr>
        <w:t>rozumienie</w:t>
      </w:r>
      <w:r w:rsidR="008405A2" w:rsidRPr="00AD5090">
        <w:rPr>
          <w:lang w:val="pl-PL"/>
        </w:rPr>
        <w:t>. W</w:t>
      </w:r>
      <w:r w:rsidR="00B46F8F">
        <w:rPr>
          <w:lang w:val="pl-PL"/>
        </w:rPr>
        <w:t> </w:t>
      </w:r>
      <w:r w:rsidR="00B7475D">
        <w:rPr>
          <w:lang w:val="pl-PL"/>
        </w:rPr>
        <w:t>piśmie</w:t>
      </w:r>
      <w:r w:rsidR="008405A2" w:rsidRPr="00AD5090">
        <w:rPr>
          <w:lang w:val="pl-PL"/>
        </w:rPr>
        <w:t xml:space="preserve"> poproszono o przekazanie tej informacji do sędziego </w:t>
      </w:r>
      <w:r w:rsidR="002C39F0">
        <w:rPr>
          <w:lang w:val="pl-PL"/>
        </w:rPr>
        <w:t xml:space="preserve">prowadzącego </w:t>
      </w:r>
      <w:r w:rsidR="008405A2" w:rsidRPr="00AD5090">
        <w:rPr>
          <w:lang w:val="pl-PL"/>
        </w:rPr>
        <w:t>postępowani</w:t>
      </w:r>
      <w:r w:rsidR="002C39F0">
        <w:rPr>
          <w:lang w:val="pl-PL"/>
        </w:rPr>
        <w:t>e</w:t>
      </w:r>
      <w:r w:rsidR="008405A2" w:rsidRPr="00AD5090">
        <w:rPr>
          <w:lang w:val="pl-PL"/>
        </w:rPr>
        <w:t xml:space="preserve"> rozwodow</w:t>
      </w:r>
      <w:r w:rsidR="002C39F0">
        <w:rPr>
          <w:lang w:val="pl-PL"/>
        </w:rPr>
        <w:t>e</w:t>
      </w:r>
      <w:r w:rsidR="008405A2" w:rsidRPr="00AD5090">
        <w:rPr>
          <w:lang w:val="pl-PL"/>
        </w:rPr>
        <w:t>.</w:t>
      </w:r>
    </w:p>
    <w:p w:rsidR="00543266" w:rsidRPr="00AD5090" w:rsidRDefault="00FE4A0F" w:rsidP="0058384F">
      <w:pPr>
        <w:pStyle w:val="ECHRPara"/>
        <w:rPr>
          <w:lang w:val="pl-PL"/>
        </w:rPr>
      </w:pPr>
      <w:r>
        <w:rPr>
          <w:lang w:val="pl-PL"/>
        </w:rPr>
        <w:t>54</w:t>
      </w:r>
      <w:r w:rsidR="00FF062F" w:rsidRPr="00AD5090">
        <w:rPr>
          <w:lang w:val="pl-PL"/>
        </w:rPr>
        <w:t xml:space="preserve">.  Dnia 30 października 2013 r. Sąd Okręgowy w Gdańsku </w:t>
      </w:r>
      <w:r w:rsidR="00562416">
        <w:rPr>
          <w:lang w:val="pl-PL"/>
        </w:rPr>
        <w:t>orzekł rozwód</w:t>
      </w:r>
      <w:r w:rsidR="00FF062F" w:rsidRPr="00AD5090">
        <w:rPr>
          <w:lang w:val="pl-PL"/>
        </w:rPr>
        <w:t xml:space="preserve"> M.K. i skarżącej </w:t>
      </w:r>
      <w:r w:rsidR="00562416">
        <w:rPr>
          <w:lang w:val="pl-PL"/>
        </w:rPr>
        <w:t>z winy obojga małżonków</w:t>
      </w:r>
      <w:r w:rsidR="00FF062F" w:rsidRPr="00AD5090">
        <w:rPr>
          <w:lang w:val="pl-PL"/>
        </w:rPr>
        <w:t xml:space="preserve">. Sąd odmówił uregulowania kwestii dotyczących władzy rodzicielskiej i </w:t>
      </w:r>
      <w:r w:rsidR="00562416">
        <w:rPr>
          <w:lang w:val="pl-PL"/>
        </w:rPr>
        <w:t>prawa do kontaktów z dzieckiem</w:t>
      </w:r>
      <w:r w:rsidR="00FF062F" w:rsidRPr="00AD5090">
        <w:rPr>
          <w:lang w:val="pl-PL"/>
        </w:rPr>
        <w:t>, powołując się na porozumienie stron z dnia 24 czerwca 2013 r.</w:t>
      </w:r>
    </w:p>
    <w:p w:rsidR="00232899" w:rsidRPr="00AD5090" w:rsidRDefault="00FE4A0F" w:rsidP="0058384F">
      <w:pPr>
        <w:pStyle w:val="ECHRPara"/>
        <w:rPr>
          <w:lang w:val="pl-PL"/>
        </w:rPr>
      </w:pPr>
      <w:r>
        <w:rPr>
          <w:lang w:val="pl-PL"/>
        </w:rPr>
        <w:t>55</w:t>
      </w:r>
      <w:r w:rsidR="002227D6" w:rsidRPr="00AD5090">
        <w:rPr>
          <w:lang w:val="pl-PL"/>
        </w:rPr>
        <w:t>.  </w:t>
      </w:r>
      <w:r w:rsidR="00562416">
        <w:rPr>
          <w:lang w:val="pl-PL"/>
        </w:rPr>
        <w:t>W dniu</w:t>
      </w:r>
      <w:r w:rsidR="002227D6" w:rsidRPr="00AD5090">
        <w:rPr>
          <w:lang w:val="pl-PL"/>
        </w:rPr>
        <w:t xml:space="preserve"> 13 maja 2014 r. Sąd Apelacyjny w Gdańsku oddalił </w:t>
      </w:r>
      <w:r w:rsidR="00562416">
        <w:rPr>
          <w:lang w:val="pl-PL"/>
        </w:rPr>
        <w:t xml:space="preserve">apelację złożoną przez skarżącą, </w:t>
      </w:r>
      <w:r w:rsidR="002227D6" w:rsidRPr="00AD5090">
        <w:rPr>
          <w:lang w:val="pl-PL"/>
        </w:rPr>
        <w:t>wyrok sądu pierwszej instancji</w:t>
      </w:r>
      <w:r w:rsidR="00562416">
        <w:rPr>
          <w:lang w:val="pl-PL"/>
        </w:rPr>
        <w:t xml:space="preserve"> uprawomocnił się</w:t>
      </w:r>
      <w:r w:rsidR="002227D6" w:rsidRPr="00AD5090">
        <w:rPr>
          <w:lang w:val="pl-PL"/>
        </w:rPr>
        <w:t>.</w:t>
      </w:r>
    </w:p>
    <w:p w:rsidR="00936BCA" w:rsidRPr="00AD5090" w:rsidRDefault="00B45795" w:rsidP="0058384F">
      <w:pPr>
        <w:pStyle w:val="ECHRHeading2"/>
        <w:rPr>
          <w:lang w:val="pl-PL"/>
        </w:rPr>
      </w:pPr>
      <w:r w:rsidRPr="00AD5090">
        <w:rPr>
          <w:lang w:val="pl-PL"/>
        </w:rPr>
        <w:t>I.  Kontakt skarżącej z A.</w:t>
      </w:r>
    </w:p>
    <w:p w:rsidR="00936BCA" w:rsidRPr="00AD5090" w:rsidRDefault="00FE4A0F" w:rsidP="0058384F">
      <w:pPr>
        <w:pStyle w:val="ECHRPara"/>
        <w:rPr>
          <w:lang w:val="pl-PL"/>
        </w:rPr>
      </w:pPr>
      <w:r>
        <w:rPr>
          <w:lang w:val="pl-PL"/>
        </w:rPr>
        <w:t>56</w:t>
      </w:r>
      <w:r w:rsidR="008405A2" w:rsidRPr="00AD5090">
        <w:rPr>
          <w:lang w:val="pl-PL"/>
        </w:rPr>
        <w:t>.  Po tym, jak M.K. nie wydał dziecka skarżącej w dniu 15 sierpnia 2009 r., nie miała ona kontaktu ze swoją córką przez trzy miesiące.</w:t>
      </w:r>
    </w:p>
    <w:p w:rsidR="00543266" w:rsidRPr="00AD5090" w:rsidRDefault="00FE4A0F" w:rsidP="0058384F">
      <w:pPr>
        <w:pStyle w:val="ECHRPara"/>
        <w:rPr>
          <w:lang w:val="pl-PL"/>
        </w:rPr>
      </w:pPr>
      <w:r>
        <w:rPr>
          <w:lang w:val="pl-PL"/>
        </w:rPr>
        <w:t>57</w:t>
      </w:r>
      <w:r w:rsidR="008405A2" w:rsidRPr="00AD5090">
        <w:rPr>
          <w:lang w:val="pl-PL"/>
        </w:rPr>
        <w:t>.  W dniu 8 października 2009 r. skarżąca po raz pierwszy zobaczyła A w trakcie przesłuchanie przeprowadzanego przez biegłych sądowych.</w:t>
      </w:r>
    </w:p>
    <w:p w:rsidR="00936BCA" w:rsidRPr="00AD5090" w:rsidRDefault="00FE4A0F" w:rsidP="0058384F">
      <w:pPr>
        <w:pStyle w:val="ECHRPara"/>
        <w:rPr>
          <w:lang w:val="pl-PL"/>
        </w:rPr>
      </w:pPr>
      <w:r>
        <w:rPr>
          <w:lang w:val="pl-PL"/>
        </w:rPr>
        <w:t>58</w:t>
      </w:r>
      <w:r w:rsidR="008405A2" w:rsidRPr="00AD5090">
        <w:rPr>
          <w:lang w:val="pl-PL"/>
        </w:rPr>
        <w:t>.  </w:t>
      </w:r>
      <w:r w:rsidR="00F24933">
        <w:rPr>
          <w:lang w:val="pl-PL"/>
        </w:rPr>
        <w:t>W dniu</w:t>
      </w:r>
      <w:r w:rsidR="008405A2" w:rsidRPr="00AD5090">
        <w:rPr>
          <w:lang w:val="pl-PL"/>
        </w:rPr>
        <w:t xml:space="preserve"> 18 grudnia 2009 r. skarżąca zobaczyła A. w Polsce w trakcie rozprawy sądowej</w:t>
      </w:r>
      <w:r w:rsidR="008405A2" w:rsidRPr="00B46F8F">
        <w:rPr>
          <w:lang w:val="pl-PL"/>
        </w:rPr>
        <w:t xml:space="preserve">, ale </w:t>
      </w:r>
      <w:r w:rsidR="00B46F8F" w:rsidRPr="00B46F8F">
        <w:rPr>
          <w:lang w:val="pl-PL"/>
        </w:rPr>
        <w:t xml:space="preserve">ani razu </w:t>
      </w:r>
      <w:r w:rsidR="008405A2" w:rsidRPr="00B46F8F">
        <w:rPr>
          <w:lang w:val="pl-PL"/>
        </w:rPr>
        <w:t xml:space="preserve">nie spędziła z nią </w:t>
      </w:r>
      <w:r w:rsidR="00B46F8F" w:rsidRPr="00B46F8F">
        <w:rPr>
          <w:lang w:val="pl-PL"/>
        </w:rPr>
        <w:t>czasu na osobności</w:t>
      </w:r>
      <w:r w:rsidR="008405A2" w:rsidRPr="00B46F8F">
        <w:rPr>
          <w:lang w:val="pl-PL"/>
        </w:rPr>
        <w:t>.</w:t>
      </w:r>
    </w:p>
    <w:p w:rsidR="00936BCA" w:rsidRPr="00AD5090" w:rsidRDefault="00FE4A0F" w:rsidP="0058384F">
      <w:pPr>
        <w:pStyle w:val="ECHRPara"/>
        <w:rPr>
          <w:lang w:val="pl-PL"/>
        </w:rPr>
      </w:pPr>
      <w:r>
        <w:rPr>
          <w:lang w:val="pl-PL"/>
        </w:rPr>
        <w:t>59</w:t>
      </w:r>
      <w:r w:rsidR="00FF062F" w:rsidRPr="00AD5090">
        <w:rPr>
          <w:lang w:val="pl-PL"/>
        </w:rPr>
        <w:t>.  W maju 2010 r. skarżąca widziała A. w Polsce przez kilka dni z rzędu. Widziała ją również w lutym 2011 r. i uczestniczyła w jej przyjęciu urodzinowym w marcu 2011 r.</w:t>
      </w:r>
    </w:p>
    <w:p w:rsidR="00936BCA" w:rsidRPr="00AD5090" w:rsidRDefault="00FE4A0F" w:rsidP="0058384F">
      <w:pPr>
        <w:pStyle w:val="ECHRPara"/>
        <w:rPr>
          <w:lang w:val="pl-PL"/>
        </w:rPr>
      </w:pPr>
      <w:r>
        <w:rPr>
          <w:lang w:val="pl-PL"/>
        </w:rPr>
        <w:t>60</w:t>
      </w:r>
      <w:r w:rsidR="008405A2" w:rsidRPr="00AD5090">
        <w:rPr>
          <w:lang w:val="pl-PL"/>
        </w:rPr>
        <w:t>.  Wydaje się, że następnie A. udała się do Irlandii po wydaniu przez sąd postanowienia w lipcu 2011 r. Wówczas A</w:t>
      </w:r>
      <w:r w:rsidR="009668F7" w:rsidRPr="00AD5090">
        <w:rPr>
          <w:lang w:val="pl-PL"/>
        </w:rPr>
        <w:t>.</w:t>
      </w:r>
      <w:r w:rsidR="008405A2" w:rsidRPr="00AD5090">
        <w:rPr>
          <w:lang w:val="pl-PL"/>
        </w:rPr>
        <w:t>, skarżąca, B</w:t>
      </w:r>
      <w:r w:rsidR="009668F7" w:rsidRPr="00AD5090">
        <w:rPr>
          <w:lang w:val="pl-PL"/>
        </w:rPr>
        <w:t>.</w:t>
      </w:r>
      <w:r w:rsidR="008405A2" w:rsidRPr="00AD5090">
        <w:rPr>
          <w:lang w:val="pl-PL"/>
        </w:rPr>
        <w:t xml:space="preserve"> i M.K zostali przesłuchani przez biegłego </w:t>
      </w:r>
      <w:r w:rsidR="00EF7047">
        <w:rPr>
          <w:lang w:val="pl-PL"/>
        </w:rPr>
        <w:t>wyznaczonego przez Sąd Najwyższy</w:t>
      </w:r>
      <w:r w:rsidR="008405A2" w:rsidRPr="00AD5090">
        <w:rPr>
          <w:lang w:val="pl-PL"/>
        </w:rPr>
        <w:t>.</w:t>
      </w:r>
    </w:p>
    <w:p w:rsidR="00936BCA" w:rsidRPr="00AD5090" w:rsidRDefault="00FE4A0F" w:rsidP="0058384F">
      <w:pPr>
        <w:pStyle w:val="ECHRPara"/>
        <w:rPr>
          <w:lang w:val="pl-PL"/>
        </w:rPr>
      </w:pPr>
      <w:r>
        <w:rPr>
          <w:lang w:val="pl-PL"/>
        </w:rPr>
        <w:t>61</w:t>
      </w:r>
      <w:r w:rsidR="008405A2" w:rsidRPr="00AD5090">
        <w:rPr>
          <w:lang w:val="pl-PL"/>
        </w:rPr>
        <w:t>.  A. znajdowała się pod opieką skarżącej od 26 września 2012 r.</w:t>
      </w:r>
      <w:r w:rsidR="00EF7047">
        <w:rPr>
          <w:lang w:val="pl-PL"/>
        </w:rPr>
        <w:t>,</w:t>
      </w:r>
      <w:r w:rsidR="008405A2" w:rsidRPr="00AD5090">
        <w:rPr>
          <w:lang w:val="pl-PL"/>
        </w:rPr>
        <w:t xml:space="preserve"> </w:t>
      </w:r>
      <w:r w:rsidR="00EF7047">
        <w:rPr>
          <w:lang w:val="pl-PL"/>
        </w:rPr>
        <w:t>za</w:t>
      </w:r>
      <w:r w:rsidR="008405A2" w:rsidRPr="00AD5090">
        <w:rPr>
          <w:lang w:val="pl-PL"/>
        </w:rPr>
        <w:t>mieszk</w:t>
      </w:r>
      <w:r w:rsidR="00EF7047">
        <w:rPr>
          <w:lang w:val="pl-PL"/>
        </w:rPr>
        <w:t>iw</w:t>
      </w:r>
      <w:r w:rsidR="008405A2" w:rsidRPr="00AD5090">
        <w:rPr>
          <w:lang w:val="pl-PL"/>
        </w:rPr>
        <w:t>ały w Irlandii.</w:t>
      </w:r>
    </w:p>
    <w:p w:rsidR="00014566" w:rsidRPr="00AD5090" w:rsidRDefault="009E5ED9" w:rsidP="0058384F">
      <w:pPr>
        <w:pStyle w:val="ECHRHeading1"/>
        <w:rPr>
          <w:lang w:val="pl-PL"/>
        </w:rPr>
      </w:pPr>
      <w:r w:rsidRPr="00AD5090">
        <w:rPr>
          <w:bCs w:val="0"/>
          <w:lang w:val="pl-PL"/>
        </w:rPr>
        <w:t xml:space="preserve">II.  ODPOWIEDNIE PRAWO KRAJOWE </w:t>
      </w:r>
    </w:p>
    <w:p w:rsidR="003959DD" w:rsidRPr="00AD5090" w:rsidRDefault="00FE4A0F" w:rsidP="0058384F">
      <w:pPr>
        <w:pStyle w:val="ECHRPara"/>
        <w:rPr>
          <w:lang w:val="pl-PL"/>
        </w:rPr>
      </w:pPr>
      <w:r>
        <w:rPr>
          <w:lang w:val="pl-PL"/>
        </w:rPr>
        <w:t>62</w:t>
      </w:r>
      <w:r w:rsidR="00BB13BD" w:rsidRPr="00AD5090">
        <w:rPr>
          <w:lang w:val="pl-PL"/>
        </w:rPr>
        <w:t>.  Nowelizacja</w:t>
      </w:r>
      <w:r w:rsidR="00CC6507">
        <w:rPr>
          <w:lang w:val="pl-PL"/>
        </w:rPr>
        <w:t xml:space="preserve"> </w:t>
      </w:r>
      <w:r w:rsidR="006B7F8D" w:rsidRPr="00AD5090">
        <w:rPr>
          <w:lang w:val="pl-PL"/>
        </w:rPr>
        <w:t xml:space="preserve">Kodeksu </w:t>
      </w:r>
      <w:r w:rsidR="00D15992" w:rsidRPr="00AD5090">
        <w:rPr>
          <w:lang w:val="pl-PL"/>
        </w:rPr>
        <w:t xml:space="preserve">postępowania cywilnego </w:t>
      </w:r>
      <w:r w:rsidR="00CC6507">
        <w:rPr>
          <w:lang w:val="pl-PL"/>
        </w:rPr>
        <w:t>z dnia</w:t>
      </w:r>
      <w:r w:rsidR="00CC6507" w:rsidRPr="00AD5090">
        <w:rPr>
          <w:lang w:val="pl-PL"/>
        </w:rPr>
        <w:t xml:space="preserve"> 19 lipca 2001 r.</w:t>
      </w:r>
      <w:r w:rsidR="00CC6507">
        <w:rPr>
          <w:lang w:val="pl-PL"/>
        </w:rPr>
        <w:t xml:space="preserve">, </w:t>
      </w:r>
      <w:r w:rsidR="006B7F8D" w:rsidRPr="00AD5090">
        <w:rPr>
          <w:lang w:val="pl-PL"/>
        </w:rPr>
        <w:t>która weszła w życie 27 września 2001 r. uregulowała postępowanie dotyczące odebrania dziecka (art. 598</w:t>
      </w:r>
      <w:r w:rsidR="006B7F8D" w:rsidRPr="00AD5090">
        <w:rPr>
          <w:vertAlign w:val="superscript"/>
          <w:lang w:val="pl-PL"/>
        </w:rPr>
        <w:t>1</w:t>
      </w:r>
      <w:r w:rsidR="006B7F8D" w:rsidRPr="00AD5090">
        <w:rPr>
          <w:lang w:val="pl-PL"/>
        </w:rPr>
        <w:t>-598</w:t>
      </w:r>
      <w:r w:rsidR="006B7F8D" w:rsidRPr="00AD5090">
        <w:rPr>
          <w:vertAlign w:val="superscript"/>
          <w:lang w:val="pl-PL"/>
        </w:rPr>
        <w:t xml:space="preserve">14 </w:t>
      </w:r>
      <w:r w:rsidR="006B7F8D" w:rsidRPr="00AD5090">
        <w:rPr>
          <w:lang w:val="pl-PL"/>
        </w:rPr>
        <w:t>Kodeksu).</w:t>
      </w:r>
    </w:p>
    <w:p w:rsidR="00543266" w:rsidRPr="00AD5090" w:rsidRDefault="00FE4A0F" w:rsidP="0058384F">
      <w:pPr>
        <w:pStyle w:val="ECHRPara"/>
        <w:rPr>
          <w:lang w:val="pl-PL"/>
        </w:rPr>
      </w:pPr>
      <w:r>
        <w:rPr>
          <w:lang w:val="pl-PL"/>
        </w:rPr>
        <w:t>63</w:t>
      </w:r>
      <w:r w:rsidR="003959DD" w:rsidRPr="00AD5090">
        <w:rPr>
          <w:lang w:val="pl-PL"/>
        </w:rPr>
        <w:t>.  Art. 598</w:t>
      </w:r>
      <w:r w:rsidR="003959DD" w:rsidRPr="00AD5090">
        <w:rPr>
          <w:vertAlign w:val="superscript"/>
          <w:lang w:val="pl-PL"/>
        </w:rPr>
        <w:t xml:space="preserve">6 </w:t>
      </w:r>
      <w:r w:rsidR="003959DD" w:rsidRPr="00AD5090">
        <w:rPr>
          <w:lang w:val="pl-PL"/>
        </w:rPr>
        <w:t>stanowi, że jeżeli osoba zobowiązana do oddania dziecka nie zastosuje się do postanowienia, sąd może zlecić kuratorowi sądowemu przymusowe odebranie dziecka.</w:t>
      </w:r>
    </w:p>
    <w:p w:rsidR="006D51B3" w:rsidRPr="00AD5090" w:rsidRDefault="00FE4A0F" w:rsidP="0058384F">
      <w:pPr>
        <w:pStyle w:val="ECHRPara"/>
        <w:rPr>
          <w:lang w:val="pl-PL"/>
        </w:rPr>
      </w:pPr>
      <w:r>
        <w:rPr>
          <w:lang w:val="pl-PL"/>
        </w:rPr>
        <w:t>64</w:t>
      </w:r>
      <w:r w:rsidR="003959DD" w:rsidRPr="00AD5090">
        <w:rPr>
          <w:lang w:val="pl-PL"/>
        </w:rPr>
        <w:t>.  Zgodnie z art. 598</w:t>
      </w:r>
      <w:r w:rsidR="003959DD" w:rsidRPr="00AD5090">
        <w:rPr>
          <w:vertAlign w:val="superscript"/>
          <w:lang w:val="pl-PL"/>
        </w:rPr>
        <w:t xml:space="preserve">14 </w:t>
      </w:r>
      <w:r w:rsidR="003959DD" w:rsidRPr="00AD5090">
        <w:rPr>
          <w:lang w:val="pl-PL"/>
        </w:rPr>
        <w:t xml:space="preserve">polski sąd stwierdza wykonalność orzeczenia o odebraniu dziecka, wydane przez sąd państwa obcego. </w:t>
      </w:r>
      <w:r w:rsidR="003552D8">
        <w:rPr>
          <w:lang w:val="pl-PL"/>
        </w:rPr>
        <w:t>Zastosowanie znajdują</w:t>
      </w:r>
      <w:r w:rsidR="003552D8" w:rsidRPr="00AD5090">
        <w:rPr>
          <w:lang w:val="pl-PL"/>
        </w:rPr>
        <w:t xml:space="preserve"> </w:t>
      </w:r>
      <w:r w:rsidR="003552D8">
        <w:rPr>
          <w:lang w:val="pl-PL"/>
        </w:rPr>
        <w:t>o</w:t>
      </w:r>
      <w:r w:rsidR="003959DD" w:rsidRPr="00AD5090">
        <w:rPr>
          <w:lang w:val="pl-PL"/>
        </w:rPr>
        <w:t xml:space="preserve">gólne przepisy </w:t>
      </w:r>
      <w:r w:rsidR="003552D8">
        <w:rPr>
          <w:lang w:val="pl-PL"/>
        </w:rPr>
        <w:t>dotyczące</w:t>
      </w:r>
      <w:r w:rsidR="003959DD" w:rsidRPr="00AD5090">
        <w:rPr>
          <w:lang w:val="pl-PL"/>
        </w:rPr>
        <w:t xml:space="preserve"> wykonalności (art. 1150-1151</w:t>
      </w:r>
      <w:r w:rsidR="003959DD" w:rsidRPr="00AD5090">
        <w:rPr>
          <w:vertAlign w:val="superscript"/>
          <w:lang w:val="pl-PL"/>
        </w:rPr>
        <w:t>2</w:t>
      </w:r>
      <w:r w:rsidR="003959DD" w:rsidRPr="00AD5090">
        <w:rPr>
          <w:lang w:val="pl-PL"/>
        </w:rPr>
        <w:t xml:space="preserve"> i 1151</w:t>
      </w:r>
      <w:r w:rsidR="003959DD" w:rsidRPr="00AD5090">
        <w:rPr>
          <w:vertAlign w:val="superscript"/>
          <w:lang w:val="pl-PL"/>
        </w:rPr>
        <w:t>4</w:t>
      </w:r>
      <w:r w:rsidR="003959DD" w:rsidRPr="00AD5090">
        <w:rPr>
          <w:lang w:val="pl-PL"/>
        </w:rPr>
        <w:t>).</w:t>
      </w:r>
    </w:p>
    <w:p w:rsidR="00263AE5" w:rsidRPr="00AD5090" w:rsidRDefault="00263AE5" w:rsidP="0058384F">
      <w:pPr>
        <w:pStyle w:val="ECHRHeading1"/>
        <w:rPr>
          <w:lang w:val="pl-PL"/>
        </w:rPr>
      </w:pPr>
      <w:r w:rsidRPr="00AD5090">
        <w:rPr>
          <w:bCs w:val="0"/>
          <w:lang w:val="pl-PL"/>
        </w:rPr>
        <w:t>III.  </w:t>
      </w:r>
      <w:r w:rsidR="00BB13BD" w:rsidRPr="00AD5090">
        <w:rPr>
          <w:bCs w:val="0"/>
          <w:lang w:val="pl-PL"/>
        </w:rPr>
        <w:t xml:space="preserve">ODPOWIEDNIE </w:t>
      </w:r>
      <w:r w:rsidRPr="00AD5090">
        <w:rPr>
          <w:bCs w:val="0"/>
          <w:lang w:val="pl-PL"/>
        </w:rPr>
        <w:t>PRAWO MIĘDZYNARODOWE I EUROPEJSKIE</w:t>
      </w:r>
    </w:p>
    <w:p w:rsidR="00263AE5" w:rsidRPr="00AD5090" w:rsidRDefault="00FE4A0F" w:rsidP="0058384F">
      <w:pPr>
        <w:pStyle w:val="ECHRPara"/>
        <w:rPr>
          <w:i/>
          <w:lang w:val="pl-PL"/>
        </w:rPr>
      </w:pPr>
      <w:r>
        <w:rPr>
          <w:lang w:val="pl-PL"/>
        </w:rPr>
        <w:t>65</w:t>
      </w:r>
      <w:r w:rsidR="00BB13BD" w:rsidRPr="00AD5090">
        <w:rPr>
          <w:lang w:val="pl-PL"/>
        </w:rPr>
        <w:t xml:space="preserve">.  Odpowiednie </w:t>
      </w:r>
      <w:r w:rsidR="006B7F8D" w:rsidRPr="00AD5090">
        <w:rPr>
          <w:lang w:val="pl-PL"/>
        </w:rPr>
        <w:t xml:space="preserve">przepisy Konwencji Haskiej z dnia 25 października 1980 r. dotyczącej cywilnych aspektów uprowadzenia dziecka za granicę omówione zostały w wyroku </w:t>
      </w:r>
      <w:r w:rsidR="006B7F8D" w:rsidRPr="00AD5090">
        <w:rPr>
          <w:i/>
          <w:iCs/>
          <w:lang w:val="pl-PL"/>
        </w:rPr>
        <w:t xml:space="preserve">X </w:t>
      </w:r>
      <w:r w:rsidR="006B7F8D" w:rsidRPr="00AD5090">
        <w:rPr>
          <w:i/>
          <w:iCs/>
          <w:snapToGrid w:val="0"/>
          <w:lang w:val="pl-PL"/>
        </w:rPr>
        <w:t>przeciwko Łotwie</w:t>
      </w:r>
      <w:r w:rsidR="00D05E58" w:rsidRPr="00AD5090">
        <w:rPr>
          <w:i/>
          <w:iCs/>
          <w:snapToGrid w:val="0"/>
          <w:lang w:val="pl-PL"/>
        </w:rPr>
        <w:t xml:space="preserve"> </w:t>
      </w:r>
      <w:r w:rsidR="006B7F8D" w:rsidRPr="00AD5090">
        <w:rPr>
          <w:lang w:val="pl-PL"/>
        </w:rPr>
        <w:t>[WI]</w:t>
      </w:r>
      <w:r w:rsidR="006B7F8D" w:rsidRPr="00AD5090">
        <w:rPr>
          <w:snapToGrid w:val="0"/>
          <w:lang w:val="pl-PL"/>
        </w:rPr>
        <w:t xml:space="preserve">, </w:t>
      </w:r>
      <w:r w:rsidR="006B7F8D" w:rsidRPr="00AD5090">
        <w:rPr>
          <w:lang w:val="pl-PL"/>
        </w:rPr>
        <w:t>nr 27853/09</w:t>
      </w:r>
      <w:r w:rsidR="006B7F8D" w:rsidRPr="00AD5090">
        <w:rPr>
          <w:snapToGrid w:val="0"/>
          <w:lang w:val="pl-PL"/>
        </w:rPr>
        <w:t xml:space="preserve">, § 34, </w:t>
      </w:r>
      <w:r w:rsidR="006B7F8D" w:rsidRPr="00AD5090">
        <w:rPr>
          <w:lang w:val="pl-PL"/>
        </w:rPr>
        <w:t>ETPCz 2013 r.</w:t>
      </w:r>
    </w:p>
    <w:p w:rsidR="00263AE5" w:rsidRPr="00AD5090" w:rsidRDefault="00FE4A0F" w:rsidP="0058384F">
      <w:pPr>
        <w:pStyle w:val="ECHRPara"/>
        <w:rPr>
          <w:i/>
          <w:snapToGrid w:val="0"/>
          <w:lang w:val="pl-PL"/>
        </w:rPr>
      </w:pPr>
      <w:r>
        <w:rPr>
          <w:lang w:val="pl-PL"/>
        </w:rPr>
        <w:t>66</w:t>
      </w:r>
      <w:r w:rsidR="006D51B3" w:rsidRPr="00AD5090">
        <w:rPr>
          <w:lang w:val="pl-PL"/>
        </w:rPr>
        <w:t>.  </w:t>
      </w:r>
      <w:r w:rsidR="00BB13BD" w:rsidRPr="00AD5090">
        <w:rPr>
          <w:lang w:val="pl-PL"/>
        </w:rPr>
        <w:t>Odpowiednie</w:t>
      </w:r>
      <w:r w:rsidR="006D51B3" w:rsidRPr="00AD5090">
        <w:rPr>
          <w:lang w:val="pl-PL"/>
        </w:rPr>
        <w:t xml:space="preserve"> przepisy rozporządzenia Rady (WE), nr 2201/2003 z 27 listopada 2003 r. dotyczące jurysdykcji oraz uznawania i wykonywania orzeczeń w sprawach małżeńskich oraz w sprawach dotyczących odpowiedzialności rodzicielskiej, uchylające rozporządzenie (WE) nr 1347/2000 („Rozporządzenie Bruksela II </w:t>
      </w:r>
      <w:r w:rsidR="006D51B3" w:rsidRPr="00AD5090">
        <w:rPr>
          <w:i/>
          <w:iCs/>
          <w:lang w:val="pl-PL"/>
        </w:rPr>
        <w:t>bis</w:t>
      </w:r>
      <w:r w:rsidR="006D51B3" w:rsidRPr="00AD5090">
        <w:rPr>
          <w:lang w:val="pl-PL"/>
        </w:rPr>
        <w:t xml:space="preserve">”) omówione zostały w sprawie </w:t>
      </w:r>
      <w:r w:rsidR="006D51B3" w:rsidRPr="00AD5090">
        <w:rPr>
          <w:i/>
          <w:iCs/>
          <w:lang w:val="pl-PL"/>
        </w:rPr>
        <w:t>M.A.</w:t>
      </w:r>
      <w:r w:rsidR="006D51B3" w:rsidRPr="00AD5090">
        <w:rPr>
          <w:lang w:val="pl-PL"/>
        </w:rPr>
        <w:t xml:space="preserve"> przeciwko</w:t>
      </w:r>
      <w:r w:rsidR="006D51B3" w:rsidRPr="00AD5090">
        <w:rPr>
          <w:i/>
          <w:iCs/>
          <w:lang w:val="pl-PL"/>
        </w:rPr>
        <w:t> Austrii</w:t>
      </w:r>
      <w:r w:rsidR="006D51B3" w:rsidRPr="00AD5090">
        <w:rPr>
          <w:lang w:val="pl-PL"/>
        </w:rPr>
        <w:t>, nr 4097/13</w:t>
      </w:r>
      <w:r w:rsidR="006D51B3" w:rsidRPr="00AD5090">
        <w:rPr>
          <w:snapToGrid w:val="0"/>
          <w:lang w:val="pl-PL"/>
        </w:rPr>
        <w:t>, §§ 68-69, 15 stycznia 2015 r.</w:t>
      </w:r>
    </w:p>
    <w:p w:rsidR="00014566" w:rsidRPr="00AD5090" w:rsidRDefault="00FE4A0F" w:rsidP="0058384F">
      <w:pPr>
        <w:pStyle w:val="ECHRPara"/>
        <w:rPr>
          <w:i/>
          <w:lang w:val="pl-PL"/>
        </w:rPr>
      </w:pPr>
      <w:r>
        <w:rPr>
          <w:lang w:val="pl-PL"/>
        </w:rPr>
        <w:t>67</w:t>
      </w:r>
      <w:r w:rsidR="006B7F8D" w:rsidRPr="00AD5090">
        <w:rPr>
          <w:lang w:val="pl-PL"/>
        </w:rPr>
        <w:t>.  </w:t>
      </w:r>
      <w:r w:rsidR="00BB13BD" w:rsidRPr="00AD5090">
        <w:rPr>
          <w:lang w:val="pl-PL"/>
        </w:rPr>
        <w:t xml:space="preserve">Odpowiednie </w:t>
      </w:r>
      <w:r w:rsidR="006B7F8D" w:rsidRPr="00AD5090">
        <w:rPr>
          <w:lang w:val="pl-PL"/>
        </w:rPr>
        <w:t xml:space="preserve">przepisy Europejskiej konwencji z dnia 20 maja 1980 r. o uznawaniu i wykonywaniu orzeczeń dotyczących pieczy nad dzieckiem oraz o przywracaniu pieczy nad dzieckiem (znana jako „Konwencja luksemburska”) omówione zostały w wyroku </w:t>
      </w:r>
      <w:r w:rsidR="006B7F8D" w:rsidRPr="00AD5090">
        <w:rPr>
          <w:i/>
          <w:iCs/>
          <w:lang w:val="pl-PL"/>
        </w:rPr>
        <w:t>K.J.</w:t>
      </w:r>
      <w:r w:rsidR="006B7F8D" w:rsidRPr="00AD5090">
        <w:rPr>
          <w:lang w:val="pl-PL"/>
        </w:rPr>
        <w:t xml:space="preserve"> przeciwko</w:t>
      </w:r>
      <w:r w:rsidR="006B7F8D" w:rsidRPr="00AD5090">
        <w:rPr>
          <w:i/>
          <w:iCs/>
          <w:lang w:val="pl-PL"/>
        </w:rPr>
        <w:t> Polsce</w:t>
      </w:r>
      <w:r w:rsidR="006B7F8D" w:rsidRPr="00AD5090">
        <w:rPr>
          <w:lang w:val="pl-PL"/>
        </w:rPr>
        <w:t>, nr 30813/14</w:t>
      </w:r>
      <w:r w:rsidR="006B7F8D" w:rsidRPr="00AD5090">
        <w:rPr>
          <w:snapToGrid w:val="0"/>
          <w:lang w:val="pl-PL"/>
        </w:rPr>
        <w:t>, § 40, 1 marca 2016 r.</w:t>
      </w:r>
    </w:p>
    <w:p w:rsidR="00014566" w:rsidRPr="00AD5090" w:rsidRDefault="00014566" w:rsidP="0058384F">
      <w:pPr>
        <w:pStyle w:val="ECHRTitle1"/>
        <w:rPr>
          <w:lang w:val="pl-PL"/>
        </w:rPr>
      </w:pPr>
      <w:r w:rsidRPr="00AD5090">
        <w:rPr>
          <w:lang w:val="pl-PL"/>
        </w:rPr>
        <w:t>PRAWO</w:t>
      </w:r>
    </w:p>
    <w:p w:rsidR="00014566" w:rsidRPr="00AD5090" w:rsidRDefault="00014566" w:rsidP="0058384F">
      <w:pPr>
        <w:pStyle w:val="ECHRHeading1"/>
        <w:rPr>
          <w:lang w:val="pl-PL"/>
        </w:rPr>
      </w:pPr>
      <w:r w:rsidRPr="00AD5090">
        <w:rPr>
          <w:bCs w:val="0"/>
          <w:lang w:val="pl-PL"/>
        </w:rPr>
        <w:t>I.  ZARZUT NARUSZENIA ART</w:t>
      </w:r>
      <w:r w:rsidR="00D15992">
        <w:rPr>
          <w:bCs w:val="0"/>
          <w:lang w:val="pl-PL"/>
        </w:rPr>
        <w:t>.</w:t>
      </w:r>
      <w:r w:rsidRPr="00AD5090">
        <w:rPr>
          <w:bCs w:val="0"/>
          <w:lang w:val="pl-PL"/>
        </w:rPr>
        <w:t xml:space="preserve"> 8 KONWENCJI</w:t>
      </w:r>
    </w:p>
    <w:p w:rsidR="00CE619E" w:rsidRPr="00AD5090" w:rsidRDefault="00FE4A0F" w:rsidP="0058384F">
      <w:pPr>
        <w:pStyle w:val="ECHRPara"/>
        <w:rPr>
          <w:lang w:val="pl-PL"/>
        </w:rPr>
      </w:pPr>
      <w:r>
        <w:rPr>
          <w:lang w:val="pl-PL"/>
        </w:rPr>
        <w:t>68</w:t>
      </w:r>
      <w:r w:rsidR="008144EE" w:rsidRPr="00AD5090">
        <w:rPr>
          <w:lang w:val="pl-PL"/>
        </w:rPr>
        <w:t xml:space="preserve">.  Skarżąca zarzuciła polskim sądom naruszenie jej prawa do poszanowania życia rodzinnego ze względu na </w:t>
      </w:r>
      <w:r w:rsidR="00AA2BA3">
        <w:rPr>
          <w:lang w:val="pl-PL"/>
        </w:rPr>
        <w:t>brak sprawnego wykonania obowiązku odebrania dziecka</w:t>
      </w:r>
      <w:r w:rsidR="008144EE" w:rsidRPr="00AD5090">
        <w:rPr>
          <w:lang w:val="pl-PL"/>
        </w:rPr>
        <w:t xml:space="preserve">, zgodnie z postanowieniami dwóch sądów irlandzkich. Skarżąca oparła swoje zarzuty na art. 6 i 8 Konwencji. </w:t>
      </w:r>
      <w:r w:rsidR="0095549A">
        <w:rPr>
          <w:lang w:val="pl-PL"/>
        </w:rPr>
        <w:t>Ostatnie z przytoczonych postanowień brzmi</w:t>
      </w:r>
      <w:r w:rsidR="008144EE" w:rsidRPr="00AD5090">
        <w:rPr>
          <w:lang w:val="pl-PL"/>
        </w:rPr>
        <w:t xml:space="preserve"> następująco:</w:t>
      </w:r>
    </w:p>
    <w:p w:rsidR="00CE619E" w:rsidRPr="00AD5090" w:rsidRDefault="00CE619E" w:rsidP="0058384F">
      <w:pPr>
        <w:pStyle w:val="ECHRParaQuote"/>
        <w:rPr>
          <w:lang w:val="pl-PL"/>
        </w:rPr>
      </w:pPr>
      <w:r w:rsidRPr="00AD5090">
        <w:rPr>
          <w:lang w:val="pl-PL"/>
        </w:rPr>
        <w:t>„1.  Każdy ma prawo do poszanowania swojego życia prywatnego i rodzinnego, swojego mieszkania i swojej korespondencji.</w:t>
      </w:r>
    </w:p>
    <w:p w:rsidR="00014566" w:rsidRPr="00AD5090" w:rsidRDefault="00CE619E" w:rsidP="0058384F">
      <w:pPr>
        <w:pStyle w:val="ECHRParaQuote"/>
        <w:rPr>
          <w:lang w:val="pl-PL"/>
        </w:rPr>
      </w:pPr>
      <w:r w:rsidRPr="00AD5090">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rsidR="00014566" w:rsidRPr="00AD5090" w:rsidRDefault="00014566" w:rsidP="0058384F">
      <w:pPr>
        <w:pStyle w:val="ECHRHeading2"/>
        <w:rPr>
          <w:lang w:val="pl-PL"/>
        </w:rPr>
      </w:pPr>
      <w:r w:rsidRPr="00AD5090">
        <w:rPr>
          <w:lang w:val="pl-PL"/>
        </w:rPr>
        <w:t>A.  Dopuszczalność</w:t>
      </w:r>
    </w:p>
    <w:p w:rsidR="00014566" w:rsidRPr="00AD5090" w:rsidRDefault="00FE4A0F" w:rsidP="0058384F">
      <w:pPr>
        <w:pStyle w:val="ECHRPara"/>
        <w:rPr>
          <w:lang w:val="pl-PL"/>
        </w:rPr>
      </w:pPr>
      <w:r>
        <w:rPr>
          <w:lang w:val="pl-PL"/>
        </w:rPr>
        <w:t>69</w:t>
      </w:r>
      <w:r w:rsidR="008144EE" w:rsidRPr="00AD5090">
        <w:rPr>
          <w:lang w:val="pl-PL"/>
        </w:rPr>
        <w:t>.  Na wstępnie Trybunał rozważył, że główną kwestią poruszoną przez skarżącą w jej skardze jest prawo do poszanowania jej życia rodzinnego w</w:t>
      </w:r>
      <w:r w:rsidR="00B46F8F">
        <w:rPr>
          <w:lang w:val="pl-PL"/>
        </w:rPr>
        <w:t> </w:t>
      </w:r>
      <w:r w:rsidR="008144EE" w:rsidRPr="00AD5090">
        <w:rPr>
          <w:lang w:val="pl-PL"/>
        </w:rPr>
        <w:t>rozumieniu art. 8 Konwencji. W związku z tym stwierdza, że zbadaniu powinny podlegać szczególnie kwestie chronione art</w:t>
      </w:r>
      <w:r w:rsidR="00D15992">
        <w:rPr>
          <w:lang w:val="pl-PL"/>
        </w:rPr>
        <w:t>.</w:t>
      </w:r>
      <w:r w:rsidR="00D15992" w:rsidRPr="00AD5090">
        <w:rPr>
          <w:lang w:val="pl-PL"/>
        </w:rPr>
        <w:t xml:space="preserve"> </w:t>
      </w:r>
      <w:r w:rsidR="008144EE" w:rsidRPr="00AD5090">
        <w:rPr>
          <w:lang w:val="pl-PL"/>
        </w:rPr>
        <w:t xml:space="preserve">8 i dlatego zbadanie, czy nastąpiło również naruszenie art. 6 </w:t>
      </w:r>
      <w:r w:rsidR="003B68B0">
        <w:rPr>
          <w:lang w:val="pl-PL"/>
        </w:rPr>
        <w:t>ust.</w:t>
      </w:r>
      <w:r w:rsidR="008144EE" w:rsidRPr="00AD5090">
        <w:rPr>
          <w:lang w:val="pl-PL"/>
        </w:rPr>
        <w:t xml:space="preserve"> 1 Konwencji nie jest konieczne (zob. </w:t>
      </w:r>
      <w:r w:rsidR="008144EE" w:rsidRPr="00AD5090">
        <w:rPr>
          <w:i/>
          <w:iCs/>
          <w:lang w:val="pl-PL"/>
        </w:rPr>
        <w:t>Raban przeciwko Rumunii</w:t>
      </w:r>
      <w:r w:rsidR="008144EE" w:rsidRPr="00AD5090">
        <w:rPr>
          <w:lang w:val="pl-PL"/>
        </w:rPr>
        <w:t>, nr 25437/08, § 23, 26 października 2010 r.).</w:t>
      </w:r>
    </w:p>
    <w:p w:rsidR="00543266" w:rsidRPr="00AD5090" w:rsidRDefault="00FE4A0F" w:rsidP="0058384F">
      <w:pPr>
        <w:pStyle w:val="ECHRPara"/>
        <w:rPr>
          <w:lang w:val="pl-PL"/>
        </w:rPr>
      </w:pPr>
      <w:r>
        <w:rPr>
          <w:lang w:val="pl-PL"/>
        </w:rPr>
        <w:t>70</w:t>
      </w:r>
      <w:r w:rsidR="00232899" w:rsidRPr="00AD5090">
        <w:rPr>
          <w:lang w:val="pl-PL"/>
        </w:rPr>
        <w:t xml:space="preserve">.  Rząd </w:t>
      </w:r>
      <w:r w:rsidR="000853D3">
        <w:rPr>
          <w:lang w:val="pl-PL"/>
        </w:rPr>
        <w:t xml:space="preserve">podniósł </w:t>
      </w:r>
      <w:r w:rsidR="007C546B">
        <w:rPr>
          <w:lang w:val="pl-PL"/>
        </w:rPr>
        <w:t>kilka zarzutów</w:t>
      </w:r>
      <w:r w:rsidR="00232899" w:rsidRPr="00AD5090">
        <w:rPr>
          <w:lang w:val="pl-PL"/>
        </w:rPr>
        <w:t xml:space="preserve"> co do dopuszczalności skargi.</w:t>
      </w:r>
    </w:p>
    <w:p w:rsidR="006A04D4" w:rsidRPr="00AD5090" w:rsidRDefault="00FE4A0F" w:rsidP="0058384F">
      <w:pPr>
        <w:pStyle w:val="ECHRPara"/>
        <w:rPr>
          <w:lang w:val="pl-PL"/>
        </w:rPr>
      </w:pPr>
      <w:r>
        <w:rPr>
          <w:lang w:val="pl-PL"/>
        </w:rPr>
        <w:t>71</w:t>
      </w:r>
      <w:r w:rsidR="00E92557" w:rsidRPr="00AD5090">
        <w:rPr>
          <w:lang w:val="pl-PL"/>
        </w:rPr>
        <w:t xml:space="preserve">.  Rząd </w:t>
      </w:r>
      <w:r w:rsidR="00FD46E7">
        <w:rPr>
          <w:lang w:val="pl-PL"/>
        </w:rPr>
        <w:t>wskazał</w:t>
      </w:r>
      <w:r w:rsidR="00E92557" w:rsidRPr="00AD5090">
        <w:rPr>
          <w:lang w:val="pl-PL"/>
        </w:rPr>
        <w:t xml:space="preserve">, że skarga stanowi </w:t>
      </w:r>
      <w:bookmarkStart w:id="2" w:name="HIT12"/>
      <w:bookmarkStart w:id="3" w:name="_1000001"/>
      <w:bookmarkEnd w:id="2"/>
      <w:bookmarkEnd w:id="3"/>
      <w:r w:rsidR="00E92557" w:rsidRPr="00AD5090">
        <w:rPr>
          <w:lang w:val="pl-PL"/>
        </w:rPr>
        <w:t xml:space="preserve">nadużycie </w:t>
      </w:r>
      <w:bookmarkStart w:id="4" w:name="_1000003"/>
      <w:r w:rsidR="00E92557" w:rsidRPr="00AD5090">
        <w:rPr>
          <w:lang w:val="pl-PL"/>
        </w:rPr>
        <w:t>prawa do</w:t>
      </w:r>
      <w:bookmarkEnd w:id="4"/>
      <w:r w:rsidR="00D05E58" w:rsidRPr="00AD5090">
        <w:rPr>
          <w:lang w:val="pl-PL"/>
        </w:rPr>
        <w:t xml:space="preserve"> </w:t>
      </w:r>
      <w:r w:rsidR="00E92557" w:rsidRPr="00AD5090">
        <w:rPr>
          <w:lang w:val="pl-PL"/>
        </w:rPr>
        <w:t xml:space="preserve">skargi indywidualnej na mocy art. 35 </w:t>
      </w:r>
      <w:r w:rsidR="003B68B0">
        <w:rPr>
          <w:lang w:val="pl-PL"/>
        </w:rPr>
        <w:t>ust.</w:t>
      </w:r>
      <w:r w:rsidR="00E92557" w:rsidRPr="00AD5090">
        <w:rPr>
          <w:lang w:val="pl-PL"/>
        </w:rPr>
        <w:t xml:space="preserve"> 3 Konwencji w tym zakresie, że skarżąca uprowadziła swoją córkę we wrześniu 2012 r. i zabrała ją do Irlandii. Jej działania stały w sprzeczności z najlepszym interesem dziecka.</w:t>
      </w:r>
    </w:p>
    <w:p w:rsidR="00F1080E" w:rsidRPr="00AD5090" w:rsidRDefault="00F1080E" w:rsidP="0058384F">
      <w:pPr>
        <w:pStyle w:val="ECHRPara"/>
        <w:rPr>
          <w:lang w:val="pl-PL"/>
        </w:rPr>
      </w:pPr>
      <w:r w:rsidRPr="00AD5090">
        <w:rPr>
          <w:lang w:val="pl-PL"/>
        </w:rPr>
        <w:t xml:space="preserve">Dodatkowo Rząd </w:t>
      </w:r>
      <w:r w:rsidR="00FD46E7">
        <w:rPr>
          <w:lang w:val="pl-PL"/>
        </w:rPr>
        <w:t>podniósł zarzut wstępny</w:t>
      </w:r>
      <w:r w:rsidRPr="00AD5090">
        <w:rPr>
          <w:lang w:val="pl-PL"/>
        </w:rPr>
        <w:t xml:space="preserve"> co do </w:t>
      </w:r>
      <w:r w:rsidR="00657CE0">
        <w:rPr>
          <w:lang w:val="pl-PL"/>
        </w:rPr>
        <w:t>wniesienia</w:t>
      </w:r>
      <w:r w:rsidRPr="00AD5090">
        <w:rPr>
          <w:lang w:val="pl-PL"/>
        </w:rPr>
        <w:t xml:space="preserve"> skargi </w:t>
      </w:r>
      <w:r w:rsidR="00657CE0">
        <w:rPr>
          <w:lang w:val="pl-PL"/>
        </w:rPr>
        <w:t xml:space="preserve">po upływie terminu </w:t>
      </w:r>
      <w:r w:rsidRPr="00AD5090">
        <w:rPr>
          <w:lang w:val="pl-PL"/>
        </w:rPr>
        <w:t>sześciu miesięcy</w:t>
      </w:r>
      <w:r w:rsidR="00D05E58" w:rsidRPr="00AD5090">
        <w:rPr>
          <w:lang w:val="pl-PL"/>
        </w:rPr>
        <w:t xml:space="preserve"> od zakończenia postępowania</w:t>
      </w:r>
      <w:r w:rsidRPr="00AD5090">
        <w:rPr>
          <w:lang w:val="pl-PL"/>
        </w:rPr>
        <w:t xml:space="preserve"> toczące</w:t>
      </w:r>
      <w:r w:rsidR="00D05E58" w:rsidRPr="00AD5090">
        <w:rPr>
          <w:lang w:val="pl-PL"/>
        </w:rPr>
        <w:t>go</w:t>
      </w:r>
      <w:r w:rsidRPr="00AD5090">
        <w:rPr>
          <w:lang w:val="pl-PL"/>
        </w:rPr>
        <w:t xml:space="preserve"> się w ramach Konwencji Haskiej. Ta część postępowania zakończyła się 18 maja 2010 r., natomiast skarżąca złożyła swoją skargę prawie dwa lata później.</w:t>
      </w:r>
    </w:p>
    <w:p w:rsidR="00232899" w:rsidRPr="00AD5090" w:rsidRDefault="00232899" w:rsidP="0058384F">
      <w:pPr>
        <w:pStyle w:val="ECHRPara"/>
        <w:rPr>
          <w:lang w:val="pl-PL"/>
        </w:rPr>
      </w:pPr>
      <w:r w:rsidRPr="00AD5090">
        <w:rPr>
          <w:lang w:val="pl-PL"/>
        </w:rPr>
        <w:t xml:space="preserve">Ostatecznie Rząd </w:t>
      </w:r>
      <w:r w:rsidR="005801A7">
        <w:rPr>
          <w:lang w:val="pl-PL"/>
        </w:rPr>
        <w:t>podniósł</w:t>
      </w:r>
      <w:r w:rsidRPr="00AD5090">
        <w:rPr>
          <w:lang w:val="pl-PL"/>
        </w:rPr>
        <w:t xml:space="preserve">, że skarżąca powinna była złożyć skargę na </w:t>
      </w:r>
      <w:r w:rsidR="002978E3">
        <w:rPr>
          <w:lang w:val="pl-PL"/>
        </w:rPr>
        <w:t>podstawie us</w:t>
      </w:r>
      <w:r w:rsidRPr="00AD5090">
        <w:rPr>
          <w:lang w:val="pl-PL"/>
        </w:rPr>
        <w:t xml:space="preserve">tawy z 17 czerwca 2004 r. o skardze na naruszenie prawa strony do </w:t>
      </w:r>
      <w:r w:rsidR="00D05E58" w:rsidRPr="00AD5090">
        <w:rPr>
          <w:lang w:val="pl-PL"/>
        </w:rPr>
        <w:t>rozpatrzenia</w:t>
      </w:r>
      <w:r w:rsidRPr="00AD5090">
        <w:rPr>
          <w:lang w:val="pl-PL"/>
        </w:rPr>
        <w:t xml:space="preserve"> sprawy w postępowaniu sądowym </w:t>
      </w:r>
      <w:r w:rsidR="00D05E58" w:rsidRPr="00AD5090">
        <w:rPr>
          <w:lang w:val="pl-PL"/>
        </w:rPr>
        <w:t>w rozsądnym terminie</w:t>
      </w:r>
      <w:r w:rsidR="005801A7">
        <w:rPr>
          <w:lang w:val="pl-PL"/>
        </w:rPr>
        <w:t xml:space="preserve"> (</w:t>
      </w:r>
      <w:r w:rsidR="005801A7">
        <w:rPr>
          <w:i/>
          <w:lang w:val="pl-PL"/>
        </w:rPr>
        <w:t>Ustawa o skardze na naruszenie prawa strony do rozpoznania sprawy w postępowaniu sądowym bez nieuzasadnionej zwłoki</w:t>
      </w:r>
      <w:r w:rsidR="005801A7">
        <w:rPr>
          <w:lang w:val="pl-PL"/>
        </w:rPr>
        <w:t>)</w:t>
      </w:r>
      <w:r w:rsidR="00D05E58" w:rsidRPr="00AD5090">
        <w:rPr>
          <w:lang w:val="pl-PL"/>
        </w:rPr>
        <w:t>,</w:t>
      </w:r>
      <w:r w:rsidRPr="00AD5090">
        <w:rPr>
          <w:lang w:val="pl-PL"/>
        </w:rPr>
        <w:t xml:space="preserve"> („Ustawa z 2004 r.”).</w:t>
      </w:r>
    </w:p>
    <w:p w:rsidR="00543266" w:rsidRPr="00AD5090" w:rsidRDefault="00FE4A0F" w:rsidP="0058384F">
      <w:pPr>
        <w:pStyle w:val="ECHRPara"/>
        <w:rPr>
          <w:lang w:val="pl-PL"/>
        </w:rPr>
      </w:pPr>
      <w:r>
        <w:rPr>
          <w:lang w:val="pl-PL"/>
        </w:rPr>
        <w:t>72</w:t>
      </w:r>
      <w:r w:rsidR="00E92557" w:rsidRPr="00AD5090">
        <w:rPr>
          <w:lang w:val="pl-PL"/>
        </w:rPr>
        <w:t xml:space="preserve">.  Skarżąca zakwestionowała </w:t>
      </w:r>
      <w:r w:rsidR="005801A7">
        <w:rPr>
          <w:lang w:val="pl-PL"/>
        </w:rPr>
        <w:t>stanowisko</w:t>
      </w:r>
      <w:r w:rsidR="00E92557" w:rsidRPr="00AD5090">
        <w:rPr>
          <w:lang w:val="pl-PL"/>
        </w:rPr>
        <w:t xml:space="preserve"> Rządu i stwierdziła, że jej skarga wynikała ze szczerych i prawdziwych pobudek. Jej działania nie były niedozwolone, ponieważ formalnie przysługiwała jej władza rodzicielska nad A. w chwili, gdy zabierała ją do Irlandii.</w:t>
      </w:r>
    </w:p>
    <w:p w:rsidR="00543266" w:rsidRPr="00AD5090" w:rsidRDefault="00F1080E" w:rsidP="0058384F">
      <w:pPr>
        <w:pStyle w:val="ECHRPara"/>
        <w:rPr>
          <w:lang w:val="pl-PL"/>
        </w:rPr>
      </w:pPr>
      <w:r w:rsidRPr="00AD5090">
        <w:rPr>
          <w:lang w:val="pl-PL"/>
        </w:rPr>
        <w:t xml:space="preserve">Powtórzyła następnie, że jej skarga dotyczyła </w:t>
      </w:r>
      <w:r w:rsidR="002978E3">
        <w:rPr>
          <w:lang w:val="pl-PL"/>
        </w:rPr>
        <w:t>braku skutecznych działań władz krajowych co do</w:t>
      </w:r>
      <w:r w:rsidRPr="00AD5090">
        <w:rPr>
          <w:lang w:val="pl-PL"/>
        </w:rPr>
        <w:t xml:space="preserve"> </w:t>
      </w:r>
      <w:r w:rsidR="002978E3">
        <w:rPr>
          <w:lang w:val="pl-PL"/>
        </w:rPr>
        <w:t>powrotu</w:t>
      </w:r>
      <w:r w:rsidRPr="00AD5090">
        <w:rPr>
          <w:lang w:val="pl-PL"/>
        </w:rPr>
        <w:t xml:space="preserve"> dziecka do Irlandii, nieuznawania postanowień wydanych w Irlandii, a nie tylko postępowania toczącego się </w:t>
      </w:r>
      <w:r w:rsidR="002F14F8">
        <w:rPr>
          <w:lang w:val="pl-PL"/>
        </w:rPr>
        <w:t>na gruncie</w:t>
      </w:r>
      <w:r w:rsidRPr="00AD5090">
        <w:rPr>
          <w:lang w:val="pl-PL"/>
        </w:rPr>
        <w:t xml:space="preserve"> Konwencji Haskiej.</w:t>
      </w:r>
    </w:p>
    <w:p w:rsidR="00765A44" w:rsidRPr="00AD5090" w:rsidRDefault="00FE4A0F" w:rsidP="0058384F">
      <w:pPr>
        <w:pStyle w:val="ECHRPara"/>
        <w:rPr>
          <w:lang w:val="pl-PL"/>
        </w:rPr>
      </w:pPr>
      <w:r>
        <w:rPr>
          <w:lang w:val="pl-PL"/>
        </w:rPr>
        <w:t>73</w:t>
      </w:r>
      <w:r w:rsidR="00765A44" w:rsidRPr="00AD5090">
        <w:rPr>
          <w:lang w:val="pl-PL"/>
        </w:rPr>
        <w:t xml:space="preserve">.  Trybunał powtarza, że jakiekolwiek zachowanie skarżącej, które jawnie stoi w sprzeczności z indywidualnym prawem do złożenia skargi, </w:t>
      </w:r>
      <w:r w:rsidR="00263BF4">
        <w:rPr>
          <w:lang w:val="pl-PL"/>
        </w:rPr>
        <w:t>które</w:t>
      </w:r>
      <w:r w:rsidR="00765A44" w:rsidRPr="00AD5090">
        <w:rPr>
          <w:lang w:val="pl-PL"/>
        </w:rPr>
        <w:t xml:space="preserve"> przewidziano w Konwencji oraz takie, które zakłóca prawidłowe funkcjonowanie Trybunału lub prawidłowy bieg postępowania, stanowi nadużycie prawa do skargi (zob. </w:t>
      </w:r>
      <w:r w:rsidR="00765A44" w:rsidRPr="00AD5090">
        <w:rPr>
          <w:i/>
          <w:iCs/>
          <w:lang w:val="pl-PL"/>
        </w:rPr>
        <w:t>Miroļubovs i Inni przeciwko Łotwie</w:t>
      </w:r>
      <w:r w:rsidR="00765A44" w:rsidRPr="00AD5090">
        <w:rPr>
          <w:lang w:val="pl-PL"/>
        </w:rPr>
        <w:t>, nr 798/05, § 62 i 65, 15 września 2009 r.). W niniejszej sprawie, po ponad dwóch latach nieskutecznych prób uzyskania wykonalności postanowienia o</w:t>
      </w:r>
      <w:r w:rsidR="00B46F8F">
        <w:rPr>
          <w:lang w:val="pl-PL"/>
        </w:rPr>
        <w:t> </w:t>
      </w:r>
      <w:r w:rsidR="00124A2C">
        <w:rPr>
          <w:lang w:val="pl-PL"/>
        </w:rPr>
        <w:t xml:space="preserve">powrocie </w:t>
      </w:r>
      <w:r w:rsidR="00765A44" w:rsidRPr="00AD5090">
        <w:rPr>
          <w:lang w:val="pl-PL"/>
        </w:rPr>
        <w:t xml:space="preserve">dziecka, skarżąca sama przywiozła dziecko z powrotem do Irlandii. W tym czasie uzyskała już </w:t>
      </w:r>
      <w:r w:rsidR="00124A2C">
        <w:rPr>
          <w:lang w:val="pl-PL"/>
        </w:rPr>
        <w:t>prawomocny</w:t>
      </w:r>
      <w:r w:rsidR="00765A44" w:rsidRPr="00AD5090">
        <w:rPr>
          <w:lang w:val="pl-PL"/>
        </w:rPr>
        <w:t xml:space="preserve"> wyrok irlandzkiego sądu z dnia 9 września 2011 r., przyznając</w:t>
      </w:r>
      <w:r w:rsidR="00124A2C">
        <w:rPr>
          <w:lang w:val="pl-PL"/>
        </w:rPr>
        <w:t>y</w:t>
      </w:r>
      <w:r w:rsidR="00765A44" w:rsidRPr="00AD5090">
        <w:rPr>
          <w:lang w:val="pl-PL"/>
        </w:rPr>
        <w:t xml:space="preserve"> jej prawa do opieki nad A. Rząd nie przedstawił żadnych dowodów, że zabranie A</w:t>
      </w:r>
      <w:r w:rsidR="000C780A">
        <w:rPr>
          <w:lang w:val="pl-PL"/>
        </w:rPr>
        <w:t>.</w:t>
      </w:r>
      <w:r w:rsidR="00765A44" w:rsidRPr="00AD5090">
        <w:rPr>
          <w:lang w:val="pl-PL"/>
        </w:rPr>
        <w:t xml:space="preserve"> przez skarżącą zostało uznane za bezprawne </w:t>
      </w:r>
      <w:r w:rsidR="000C780A">
        <w:rPr>
          <w:lang w:val="pl-PL"/>
        </w:rPr>
        <w:t>prawomocnym</w:t>
      </w:r>
      <w:r w:rsidR="00765A44" w:rsidRPr="00AD5090">
        <w:rPr>
          <w:lang w:val="pl-PL"/>
        </w:rPr>
        <w:t xml:space="preserve"> wyrokiem sądowym. Trybunał </w:t>
      </w:r>
      <w:r w:rsidR="00D05E58" w:rsidRPr="00AD5090">
        <w:rPr>
          <w:lang w:val="pl-PL"/>
        </w:rPr>
        <w:t xml:space="preserve">zwrócił uwagę na </w:t>
      </w:r>
      <w:r w:rsidR="00765A44" w:rsidRPr="00AD5090">
        <w:rPr>
          <w:lang w:val="pl-PL"/>
        </w:rPr>
        <w:t xml:space="preserve">postanowienie z dnia 4 czerwca 2011 r. (zob. par. 52 powyżej), jednak stwierdził, że uznanie przez Rząd </w:t>
      </w:r>
      <w:r w:rsidR="000C780A">
        <w:rPr>
          <w:lang w:val="pl-PL"/>
        </w:rPr>
        <w:t>odebrania</w:t>
      </w:r>
      <w:r w:rsidR="00765A44" w:rsidRPr="00AD5090">
        <w:rPr>
          <w:lang w:val="pl-PL"/>
        </w:rPr>
        <w:t xml:space="preserve"> dziecka przez skarżącą za sprzeczne z najlepszym interesem dziecka nie zostało poparte dowodami. Mając na uwadze powyższe, Trybunał nie widzi podstaw do stwierdzenia, że niniejsza skarga </w:t>
      </w:r>
      <w:r w:rsidR="008E4044">
        <w:rPr>
          <w:lang w:val="pl-PL"/>
        </w:rPr>
        <w:t>stanowi nadużycie</w:t>
      </w:r>
      <w:r w:rsidR="00765A44" w:rsidRPr="00AD5090">
        <w:rPr>
          <w:lang w:val="pl-PL"/>
        </w:rPr>
        <w:t xml:space="preserve"> prawa</w:t>
      </w:r>
      <w:r w:rsidR="008E4044">
        <w:rPr>
          <w:lang w:val="pl-PL"/>
        </w:rPr>
        <w:t xml:space="preserve"> do skargi</w:t>
      </w:r>
      <w:r w:rsidR="00765A44" w:rsidRPr="00AD5090">
        <w:rPr>
          <w:lang w:val="pl-PL"/>
        </w:rPr>
        <w:t>.</w:t>
      </w:r>
    </w:p>
    <w:p w:rsidR="00765A44" w:rsidRPr="00AD5090" w:rsidRDefault="00FE4A0F" w:rsidP="0058384F">
      <w:pPr>
        <w:pStyle w:val="ECHRPara"/>
        <w:rPr>
          <w:lang w:val="pl-PL"/>
        </w:rPr>
      </w:pPr>
      <w:r>
        <w:rPr>
          <w:lang w:val="pl-PL"/>
        </w:rPr>
        <w:t>74</w:t>
      </w:r>
      <w:r w:rsidR="00765A44" w:rsidRPr="00AD5090">
        <w:rPr>
          <w:lang w:val="pl-PL"/>
        </w:rPr>
        <w:t xml:space="preserve">.  W sprawie drugiego </w:t>
      </w:r>
      <w:r w:rsidR="009E3E7C">
        <w:rPr>
          <w:lang w:val="pl-PL"/>
        </w:rPr>
        <w:t>zarzutu</w:t>
      </w:r>
      <w:r w:rsidR="00765A44" w:rsidRPr="00AD5090">
        <w:rPr>
          <w:lang w:val="pl-PL"/>
        </w:rPr>
        <w:t xml:space="preserve"> wniesionego przez Rząd</w:t>
      </w:r>
      <w:r w:rsidR="00D05E58" w:rsidRPr="00AD5090">
        <w:rPr>
          <w:lang w:val="pl-PL"/>
        </w:rPr>
        <w:t>,</w:t>
      </w:r>
      <w:r w:rsidR="00765A44" w:rsidRPr="00AD5090">
        <w:rPr>
          <w:lang w:val="pl-PL"/>
        </w:rPr>
        <w:t xml:space="preserve"> Trybunał stwierdził, że niniejsza skarga nie jest ograniczona do zbadania postępowania wszczętego przez skarżącą na mocy Konwencji Haskiej. Skarżąca wniosła, że władze polskie nie wydały jej córki, pomimo postanowienia sądu irlandzkiego z 2009 r. i wyroku z 2011 r. Wniosła skargę do Trybunału 23 kwietnia 2012 r., kiedy postępowanie w sprawie wykonania postanowienia o sprawowaniu opieki było w toku. Zgodnie z</w:t>
      </w:r>
      <w:r w:rsidR="00B46F8F">
        <w:rPr>
          <w:lang w:val="pl-PL"/>
        </w:rPr>
        <w:t> </w:t>
      </w:r>
      <w:r w:rsidR="00765A44" w:rsidRPr="00AD5090">
        <w:rPr>
          <w:lang w:val="pl-PL"/>
        </w:rPr>
        <w:t xml:space="preserve">tym, skarga nie została złożona z przekroczeniem terminu, więc </w:t>
      </w:r>
      <w:r w:rsidR="009E3E7C">
        <w:rPr>
          <w:lang w:val="pl-PL"/>
        </w:rPr>
        <w:t>zarzut wstępny Rządu zostaje oddalony</w:t>
      </w:r>
      <w:r w:rsidR="00765A44" w:rsidRPr="00AD5090">
        <w:rPr>
          <w:lang w:val="pl-PL"/>
        </w:rPr>
        <w:t>.</w:t>
      </w:r>
    </w:p>
    <w:p w:rsidR="00370AF8" w:rsidRPr="00AD5090" w:rsidRDefault="00FE4A0F" w:rsidP="0058384F">
      <w:pPr>
        <w:pStyle w:val="ECHRPara"/>
        <w:rPr>
          <w:lang w:val="pl-PL"/>
        </w:rPr>
      </w:pPr>
      <w:r>
        <w:rPr>
          <w:lang w:val="pl-PL"/>
        </w:rPr>
        <w:t>75</w:t>
      </w:r>
      <w:r w:rsidR="0067750E" w:rsidRPr="00AD5090">
        <w:rPr>
          <w:lang w:val="pl-PL"/>
        </w:rPr>
        <w:t xml:space="preserve">.  W sprawie trzeciego </w:t>
      </w:r>
      <w:r w:rsidR="00A63608">
        <w:rPr>
          <w:lang w:val="pl-PL"/>
        </w:rPr>
        <w:t>zarzutu</w:t>
      </w:r>
      <w:r w:rsidR="0067750E" w:rsidRPr="00AD5090">
        <w:rPr>
          <w:lang w:val="pl-PL"/>
        </w:rPr>
        <w:t xml:space="preserve"> Trybunał zaobserwował, że w </w:t>
      </w:r>
      <w:r w:rsidR="00A63608">
        <w:rPr>
          <w:lang w:val="pl-PL"/>
        </w:rPr>
        <w:t>u</w:t>
      </w:r>
      <w:r w:rsidR="0067750E" w:rsidRPr="00AD5090">
        <w:rPr>
          <w:lang w:val="pl-PL"/>
        </w:rPr>
        <w:t>stawie z 2004 r.  p</w:t>
      </w:r>
      <w:r w:rsidR="00D05E58" w:rsidRPr="00AD5090">
        <w:rPr>
          <w:lang w:val="pl-PL"/>
        </w:rPr>
        <w:t xml:space="preserve">rzewidziano środki odwoławcze </w:t>
      </w:r>
      <w:r w:rsidR="0067750E" w:rsidRPr="00AD5090">
        <w:rPr>
          <w:lang w:val="pl-PL"/>
        </w:rPr>
        <w:t>o charakterze zarówno naprawczym jak i ko</w:t>
      </w:r>
      <w:r w:rsidR="00D05E58" w:rsidRPr="00AD5090">
        <w:rPr>
          <w:lang w:val="pl-PL"/>
        </w:rPr>
        <w:t>mpensacyjnym, przysługujące</w:t>
      </w:r>
      <w:r w:rsidR="0067750E" w:rsidRPr="00AD5090">
        <w:rPr>
          <w:lang w:val="pl-PL"/>
        </w:rPr>
        <w:t xml:space="preserve"> szczególnie w przypadku</w:t>
      </w:r>
      <w:r w:rsidR="00D05E58" w:rsidRPr="00AD5090">
        <w:rPr>
          <w:lang w:val="pl-PL"/>
        </w:rPr>
        <w:t xml:space="preserve"> naruszenia</w:t>
      </w:r>
      <w:r w:rsidR="0067750E" w:rsidRPr="00AD5090">
        <w:rPr>
          <w:lang w:val="pl-PL"/>
        </w:rPr>
        <w:t xml:space="preserve"> prawa do rozpatrzenia sprawy w rozsądnym terminie w rozumieniu art. 6 </w:t>
      </w:r>
      <w:r w:rsidR="003B68B0">
        <w:rPr>
          <w:lang w:val="pl-PL"/>
        </w:rPr>
        <w:t>ust.</w:t>
      </w:r>
      <w:r w:rsidR="0067750E" w:rsidRPr="00AD5090">
        <w:rPr>
          <w:lang w:val="pl-PL"/>
        </w:rPr>
        <w:t xml:space="preserve"> 1 Konwencji (zob. </w:t>
      </w:r>
      <w:r w:rsidR="0067750E" w:rsidRPr="00AD5090">
        <w:rPr>
          <w:i/>
          <w:iCs/>
          <w:lang w:val="pl-PL"/>
        </w:rPr>
        <w:t>Charzyński przeciwko Polsce</w:t>
      </w:r>
      <w:r w:rsidR="0067750E" w:rsidRPr="00AD5090">
        <w:rPr>
          <w:lang w:val="pl-PL"/>
        </w:rPr>
        <w:t xml:space="preserve"> (dec.), nr 15212/03, 1 marca 2005 r.; i </w:t>
      </w:r>
      <w:r w:rsidR="0067750E" w:rsidRPr="00AD5090">
        <w:rPr>
          <w:i/>
          <w:iCs/>
          <w:lang w:val="pl-PL"/>
        </w:rPr>
        <w:t>Rutkowski i Inni przeciwko Polsce</w:t>
      </w:r>
      <w:r w:rsidR="0067750E" w:rsidRPr="00AD5090">
        <w:rPr>
          <w:lang w:val="pl-PL"/>
        </w:rPr>
        <w:t xml:space="preserve">, nr 72287/10 i 2 inne, </w:t>
      </w:r>
      <w:r w:rsidR="0067750E" w:rsidRPr="00AD5090">
        <w:rPr>
          <w:snapToGrid w:val="0"/>
          <w:lang w:val="pl-PL"/>
        </w:rPr>
        <w:t>§ 178, 7 lipca 2015 r.</w:t>
      </w:r>
      <w:r w:rsidR="0067750E" w:rsidRPr="00AD5090">
        <w:rPr>
          <w:lang w:val="pl-PL"/>
        </w:rPr>
        <w:t>). Jednakże, w niniejszej sprawie nadmierna długość postępowania cywilnego nie jest kwestią</w:t>
      </w:r>
      <w:r w:rsidR="00D05E58" w:rsidRPr="00AD5090">
        <w:rPr>
          <w:lang w:val="pl-PL"/>
        </w:rPr>
        <w:t xml:space="preserve"> będącą przedmiotem skargi</w:t>
      </w:r>
      <w:r w:rsidR="0067750E" w:rsidRPr="00AD5090">
        <w:rPr>
          <w:lang w:val="pl-PL"/>
        </w:rPr>
        <w:t xml:space="preserve">, </w:t>
      </w:r>
      <w:r w:rsidR="005A2B0A">
        <w:rPr>
          <w:lang w:val="pl-PL"/>
        </w:rPr>
        <w:t>lecz zagadnienie</w:t>
      </w:r>
      <w:r w:rsidR="0067750E" w:rsidRPr="00AD5090">
        <w:rPr>
          <w:lang w:val="pl-PL"/>
        </w:rPr>
        <w:t xml:space="preserve">, czy w okolicznościach sprawy postrzeganej jako całość, można </w:t>
      </w:r>
      <w:r w:rsidR="006D2640">
        <w:rPr>
          <w:lang w:val="pl-PL"/>
        </w:rPr>
        <w:t>stwierdzić</w:t>
      </w:r>
      <w:r w:rsidR="0067750E" w:rsidRPr="00AD5090">
        <w:rPr>
          <w:lang w:val="pl-PL"/>
        </w:rPr>
        <w:t xml:space="preserve">, że państwo wykonało swoje pozytywne obowiązki </w:t>
      </w:r>
      <w:r w:rsidR="006D2640">
        <w:rPr>
          <w:lang w:val="pl-PL"/>
        </w:rPr>
        <w:t>wynikające z</w:t>
      </w:r>
      <w:r w:rsidR="0067750E" w:rsidRPr="00AD5090">
        <w:rPr>
          <w:lang w:val="pl-PL"/>
        </w:rPr>
        <w:t xml:space="preserve"> art. 8 (zob. </w:t>
      </w:r>
      <w:r w:rsidR="0067750E" w:rsidRPr="00AD5090">
        <w:rPr>
          <w:i/>
          <w:iCs/>
          <w:lang w:val="pl-PL"/>
        </w:rPr>
        <w:t>Kijowski przeciwko Polsce</w:t>
      </w:r>
      <w:r w:rsidR="0067750E" w:rsidRPr="00AD5090">
        <w:rPr>
          <w:lang w:val="pl-PL"/>
        </w:rPr>
        <w:t xml:space="preserve">, nr  33829/07, § 44, 5 kwietnia 2011 r. i, co do art. 2 Konwencji, </w:t>
      </w:r>
      <w:r w:rsidR="0067750E" w:rsidRPr="00AD5090">
        <w:rPr>
          <w:i/>
          <w:iCs/>
          <w:lang w:val="pl-PL"/>
        </w:rPr>
        <w:t>Mojsiejew przeciwko Polsce</w:t>
      </w:r>
      <w:r w:rsidR="0067750E" w:rsidRPr="00AD5090">
        <w:rPr>
          <w:lang w:val="pl-PL"/>
        </w:rPr>
        <w:t xml:space="preserve">, nr 11818/02, § 42, 24 marca 2009 r.). Trybunał powtarza, że w sprawach podobnych do </w:t>
      </w:r>
      <w:r w:rsidR="005D646B">
        <w:rPr>
          <w:lang w:val="pl-PL"/>
        </w:rPr>
        <w:t>niniejszej</w:t>
      </w:r>
      <w:r w:rsidR="0067750E" w:rsidRPr="00AD5090">
        <w:rPr>
          <w:lang w:val="pl-PL"/>
        </w:rPr>
        <w:t xml:space="preserve">, adekwatność środka powziętego przez władze podlega również ocenie pod kątem szybkości jego implementacji; </w:t>
      </w:r>
      <w:r w:rsidR="00D05E58" w:rsidRPr="00AD5090">
        <w:rPr>
          <w:lang w:val="pl-PL"/>
        </w:rPr>
        <w:t xml:space="preserve">sprawy te </w:t>
      </w:r>
      <w:r w:rsidR="0067750E" w:rsidRPr="00AD5090">
        <w:rPr>
          <w:lang w:val="pl-PL"/>
        </w:rPr>
        <w:t xml:space="preserve">wymagają niezwłocznego </w:t>
      </w:r>
      <w:r w:rsidR="00D05E58" w:rsidRPr="00AD5090">
        <w:rPr>
          <w:lang w:val="pl-PL"/>
        </w:rPr>
        <w:t>działania</w:t>
      </w:r>
      <w:r w:rsidR="0067750E" w:rsidRPr="00AD5090">
        <w:rPr>
          <w:lang w:val="pl-PL"/>
        </w:rPr>
        <w:t xml:space="preserve">, ponieważ upływ czasu i zmiana okoliczności może mieć nieodwracalne konsekwencje dla relacji pomiędzy dziećmi a rodzicem, który z nimi nie mieszka (zob. </w:t>
      </w:r>
      <w:r w:rsidR="0067750E" w:rsidRPr="00AD5090">
        <w:rPr>
          <w:i/>
          <w:iCs/>
          <w:lang w:val="pl-PL"/>
        </w:rPr>
        <w:t>Ignaccolo-Zenide przeciwko Rumunii</w:t>
      </w:r>
      <w:r w:rsidR="0067750E" w:rsidRPr="00AD5090">
        <w:rPr>
          <w:lang w:val="pl-PL"/>
        </w:rPr>
        <w:t>, nr 31679/96, § 102, ETPCz 2000-I).</w:t>
      </w:r>
    </w:p>
    <w:p w:rsidR="00EA0402" w:rsidRPr="00AD5090" w:rsidRDefault="00FE4A0F" w:rsidP="0058384F">
      <w:pPr>
        <w:pStyle w:val="ECHRPara"/>
        <w:rPr>
          <w:lang w:val="pl-PL"/>
        </w:rPr>
      </w:pPr>
      <w:r>
        <w:rPr>
          <w:lang w:val="pl-PL"/>
        </w:rPr>
        <w:t>76</w:t>
      </w:r>
      <w:r w:rsidR="0067750E" w:rsidRPr="00AD5090">
        <w:rPr>
          <w:lang w:val="pl-PL"/>
        </w:rPr>
        <w:t>.  </w:t>
      </w:r>
      <w:r w:rsidR="00180AA5">
        <w:rPr>
          <w:lang w:val="pl-PL"/>
        </w:rPr>
        <w:t>Istotą</w:t>
      </w:r>
      <w:r w:rsidR="0067750E" w:rsidRPr="00AD5090">
        <w:rPr>
          <w:lang w:val="pl-PL"/>
        </w:rPr>
        <w:t xml:space="preserve"> niniejszej skargi jest </w:t>
      </w:r>
      <w:r w:rsidR="00180AA5">
        <w:rPr>
          <w:lang w:val="pl-PL"/>
        </w:rPr>
        <w:t>zarzut</w:t>
      </w:r>
      <w:r w:rsidR="0067750E" w:rsidRPr="00AD5090">
        <w:rPr>
          <w:lang w:val="pl-PL"/>
        </w:rPr>
        <w:t xml:space="preserve">, że władze polskie nie podjęły efektywnych kroków w celu zapewnienia skarżącej sprawowania opieki nad swoją córką oraz zarządzenia i przeprowadzenia </w:t>
      </w:r>
      <w:r w:rsidR="00B4502B" w:rsidRPr="00AD5090">
        <w:rPr>
          <w:lang w:val="pl-PL"/>
        </w:rPr>
        <w:t xml:space="preserve">powrotu </w:t>
      </w:r>
      <w:r w:rsidR="0067750E" w:rsidRPr="00AD5090">
        <w:rPr>
          <w:lang w:val="pl-PL"/>
        </w:rPr>
        <w:t xml:space="preserve">dziecka </w:t>
      </w:r>
      <w:r w:rsidR="00B4502B" w:rsidRPr="00AD5090">
        <w:rPr>
          <w:lang w:val="pl-PL"/>
        </w:rPr>
        <w:t>do Irlandii</w:t>
      </w:r>
      <w:r w:rsidR="0067750E" w:rsidRPr="00AD5090">
        <w:rPr>
          <w:lang w:val="pl-PL"/>
        </w:rPr>
        <w:t>. W związku z tym Trybunał zauważa, że skarżąca wszczęła postępowa</w:t>
      </w:r>
      <w:r w:rsidR="00B4502B" w:rsidRPr="00AD5090">
        <w:rPr>
          <w:lang w:val="pl-PL"/>
        </w:rPr>
        <w:t>nie w celu wykonania postanowienia</w:t>
      </w:r>
      <w:r w:rsidR="0067750E" w:rsidRPr="00AD5090">
        <w:rPr>
          <w:lang w:val="pl-PL"/>
        </w:rPr>
        <w:t xml:space="preserve"> sądu irlandzkiego</w:t>
      </w:r>
      <w:r w:rsidR="00B4502B" w:rsidRPr="00AD5090">
        <w:rPr>
          <w:lang w:val="pl-PL"/>
        </w:rPr>
        <w:t>,</w:t>
      </w:r>
      <w:r w:rsidR="0067750E" w:rsidRPr="00AD5090">
        <w:rPr>
          <w:lang w:val="pl-PL"/>
        </w:rPr>
        <w:t xml:space="preserve"> kontaktowała się z irlandzkimi i polskimi władzami centralnymi, wnosiła o przyspieszenie postępowania i </w:t>
      </w:r>
      <w:r w:rsidR="0023344A">
        <w:rPr>
          <w:lang w:val="pl-PL"/>
        </w:rPr>
        <w:t>wnosiła środki odwoławcze</w:t>
      </w:r>
      <w:r w:rsidR="0067750E" w:rsidRPr="00AD5090">
        <w:rPr>
          <w:lang w:val="pl-PL"/>
        </w:rPr>
        <w:t xml:space="preserve"> od wyroków </w:t>
      </w:r>
      <w:r w:rsidR="00763E6F">
        <w:rPr>
          <w:lang w:val="pl-PL"/>
        </w:rPr>
        <w:t xml:space="preserve">odmawiających </w:t>
      </w:r>
      <w:r w:rsidR="00B4502B" w:rsidRPr="00AD5090">
        <w:rPr>
          <w:lang w:val="pl-PL"/>
        </w:rPr>
        <w:t>wykonani</w:t>
      </w:r>
      <w:r w:rsidR="00763E6F">
        <w:rPr>
          <w:lang w:val="pl-PL"/>
        </w:rPr>
        <w:t>a</w:t>
      </w:r>
      <w:r w:rsidR="00B4502B" w:rsidRPr="00AD5090">
        <w:rPr>
          <w:lang w:val="pl-PL"/>
        </w:rPr>
        <w:t xml:space="preserve"> postanowienia sądu irlandzkiego. Ostatecznie</w:t>
      </w:r>
      <w:r w:rsidR="0067750E" w:rsidRPr="00AD5090">
        <w:rPr>
          <w:lang w:val="pl-PL"/>
        </w:rPr>
        <w:t xml:space="preserve"> Trybunał stwierdził, że w </w:t>
      </w:r>
      <w:r w:rsidR="00B4502B" w:rsidRPr="00AD5090">
        <w:rPr>
          <w:lang w:val="pl-PL"/>
        </w:rPr>
        <w:t>omawianym czasie</w:t>
      </w:r>
      <w:r w:rsidR="0067750E" w:rsidRPr="00AD5090">
        <w:rPr>
          <w:lang w:val="pl-PL"/>
        </w:rPr>
        <w:t>, skarżąca była zaangażowana w kilka postępowań toczących się w ram</w:t>
      </w:r>
      <w:r w:rsidR="00B4502B" w:rsidRPr="00AD5090">
        <w:rPr>
          <w:lang w:val="pl-PL"/>
        </w:rPr>
        <w:t xml:space="preserve">ach Konwencji Haskiej, </w:t>
      </w:r>
      <w:r w:rsidR="00763E6F">
        <w:rPr>
          <w:lang w:val="pl-PL"/>
        </w:rPr>
        <w:t xml:space="preserve">o </w:t>
      </w:r>
      <w:r w:rsidR="00B4502B" w:rsidRPr="00AD5090">
        <w:rPr>
          <w:lang w:val="pl-PL"/>
        </w:rPr>
        <w:t>wykonanie</w:t>
      </w:r>
      <w:r w:rsidR="0067750E" w:rsidRPr="00AD5090">
        <w:rPr>
          <w:lang w:val="pl-PL"/>
        </w:rPr>
        <w:t xml:space="preserve"> </w:t>
      </w:r>
      <w:r w:rsidR="00B4502B" w:rsidRPr="00AD5090">
        <w:rPr>
          <w:lang w:val="pl-PL"/>
        </w:rPr>
        <w:t>postanowienia</w:t>
      </w:r>
      <w:r w:rsidR="0067750E" w:rsidRPr="00AD5090">
        <w:rPr>
          <w:lang w:val="pl-PL"/>
        </w:rPr>
        <w:t xml:space="preserve"> sądu irlandzkiego z 2009 r. i wyroku z 2011 r., postępowanie rozwodowe i postępowanie wszczęte w 2012 r. przez jej byłego męża w celu </w:t>
      </w:r>
      <w:r w:rsidR="00763E6F">
        <w:rPr>
          <w:lang w:val="pl-PL"/>
        </w:rPr>
        <w:t>zarządzenie powrotu</w:t>
      </w:r>
      <w:r w:rsidR="0067750E" w:rsidRPr="00AD5090">
        <w:rPr>
          <w:lang w:val="pl-PL"/>
        </w:rPr>
        <w:t xml:space="preserve"> dziecka. Jej zarzuty na mocy art. 8 Konwencji skierowane są przeciwko wszystkim postępowaniom i dotyczą nie tylko ich długości, ale również sposobu, w jaki władze polskie odnosiły się do kwestii takich jak odmowa wykonania postanowienia sądu irlandzkiego i wyroku dotyczącego </w:t>
      </w:r>
      <w:r w:rsidR="00B4502B" w:rsidRPr="00AD5090">
        <w:rPr>
          <w:lang w:val="pl-PL"/>
        </w:rPr>
        <w:t xml:space="preserve">sprawowania </w:t>
      </w:r>
      <w:r w:rsidR="0067750E" w:rsidRPr="00AD5090">
        <w:rPr>
          <w:lang w:val="pl-PL"/>
        </w:rPr>
        <w:t>opieki (</w:t>
      </w:r>
      <w:bookmarkStart w:id="5" w:name="residenceinPolandlast"/>
      <w:bookmarkEnd w:id="5"/>
      <w:r w:rsidR="0067750E" w:rsidRPr="00AD5090">
        <w:rPr>
          <w:lang w:val="pl-PL"/>
        </w:rPr>
        <w:t>zob. par.20, 23, 39 i 52 powyżej).</w:t>
      </w:r>
    </w:p>
    <w:p w:rsidR="00CA07B1" w:rsidRPr="00AD5090" w:rsidRDefault="00FE4A0F" w:rsidP="0058384F">
      <w:pPr>
        <w:pStyle w:val="ECHRPara"/>
        <w:rPr>
          <w:i/>
          <w:iCs/>
          <w:lang w:val="pl-PL"/>
        </w:rPr>
      </w:pPr>
      <w:r>
        <w:rPr>
          <w:lang w:val="pl-PL"/>
        </w:rPr>
        <w:t>77</w:t>
      </w:r>
      <w:r w:rsidR="00EA0402" w:rsidRPr="00AD5090">
        <w:rPr>
          <w:lang w:val="pl-PL"/>
        </w:rPr>
        <w:t xml:space="preserve">.  W tym kontekście Trybunał stwierdził, że skarżąca zrobiła wszystko, czego można było rozsądnie od niej oczekiwać </w:t>
      </w:r>
      <w:r w:rsidR="00CE37CE">
        <w:rPr>
          <w:lang w:val="pl-PL"/>
        </w:rPr>
        <w:t>w zakresie wyczerpania krajowych środków odwoławczych</w:t>
      </w:r>
      <w:r w:rsidR="00EA0402" w:rsidRPr="00AD5090">
        <w:rPr>
          <w:lang w:val="pl-PL"/>
        </w:rPr>
        <w:t xml:space="preserve"> (zob. </w:t>
      </w:r>
      <w:r w:rsidR="00EA0402" w:rsidRPr="00AD5090">
        <w:rPr>
          <w:i/>
          <w:iCs/>
          <w:lang w:val="pl-PL"/>
        </w:rPr>
        <w:t>Malec przeciwko Polsce,</w:t>
      </w:r>
      <w:r w:rsidR="00EA0402" w:rsidRPr="00AD5090">
        <w:rPr>
          <w:lang w:val="pl-PL"/>
        </w:rPr>
        <w:t xml:space="preserve"> nr 28623/12</w:t>
      </w:r>
      <w:r w:rsidR="00EA0402" w:rsidRPr="00AD5090">
        <w:rPr>
          <w:snapToGrid w:val="0"/>
          <w:lang w:val="pl-PL"/>
        </w:rPr>
        <w:t xml:space="preserve">, § 55, 28 czerwca 2016 r., </w:t>
      </w:r>
      <w:r w:rsidR="00EA0402" w:rsidRPr="00AD5090">
        <w:rPr>
          <w:lang w:val="pl-PL"/>
        </w:rPr>
        <w:t xml:space="preserve">i </w:t>
      </w:r>
      <w:r w:rsidR="00EA0402" w:rsidRPr="00AD5090">
        <w:rPr>
          <w:i/>
          <w:iCs/>
          <w:lang w:val="pl-PL"/>
        </w:rPr>
        <w:t>P.F. przeciwko Polsce</w:t>
      </w:r>
      <w:r w:rsidR="00EA0402" w:rsidRPr="00AD5090">
        <w:rPr>
          <w:lang w:val="pl-PL"/>
        </w:rPr>
        <w:t>, nr 2210/12, § 45, 16 września 2014 r.).</w:t>
      </w:r>
      <w:r w:rsidR="00B4502B" w:rsidRPr="00AD5090">
        <w:rPr>
          <w:lang w:val="pl-PL"/>
        </w:rPr>
        <w:t xml:space="preserve"> </w:t>
      </w:r>
      <w:r w:rsidR="00EA0402" w:rsidRPr="00AD5090">
        <w:rPr>
          <w:lang w:val="pl-PL"/>
        </w:rPr>
        <w:t xml:space="preserve">W związku z tym Trybunał oddala </w:t>
      </w:r>
      <w:r w:rsidR="00CE37CE">
        <w:rPr>
          <w:lang w:val="pl-PL"/>
        </w:rPr>
        <w:t>zarzut wstępny</w:t>
      </w:r>
      <w:r w:rsidR="00EA0402" w:rsidRPr="00AD5090">
        <w:rPr>
          <w:lang w:val="pl-PL"/>
        </w:rPr>
        <w:t xml:space="preserve"> Rządu w tym zakresie.</w:t>
      </w:r>
    </w:p>
    <w:p w:rsidR="00E27B4C" w:rsidRPr="00AD5090" w:rsidRDefault="00FE4A0F" w:rsidP="0058384F">
      <w:pPr>
        <w:pStyle w:val="ECHRPara"/>
        <w:rPr>
          <w:lang w:val="pl-PL"/>
        </w:rPr>
      </w:pPr>
      <w:r>
        <w:rPr>
          <w:lang w:val="pl-PL"/>
        </w:rPr>
        <w:t>78</w:t>
      </w:r>
      <w:r w:rsidR="00B82ED7" w:rsidRPr="00AD5090">
        <w:rPr>
          <w:lang w:val="pl-PL"/>
        </w:rPr>
        <w:t xml:space="preserve">.  Następnie Trybunał odnotował, że skarga ta nie jest </w:t>
      </w:r>
      <w:r w:rsidR="003B68B0">
        <w:rPr>
          <w:lang w:val="pl-PL"/>
        </w:rPr>
        <w:t>w sposób oczywisty nieuzasadniona</w:t>
      </w:r>
      <w:r w:rsidR="00B82ED7" w:rsidRPr="00AD5090">
        <w:rPr>
          <w:lang w:val="pl-PL"/>
        </w:rPr>
        <w:t xml:space="preserve"> w rozumieniu art. 35 </w:t>
      </w:r>
      <w:r w:rsidR="003B68B0">
        <w:rPr>
          <w:lang w:val="pl-PL"/>
        </w:rPr>
        <w:t>ust.</w:t>
      </w:r>
      <w:r w:rsidR="00B82ED7" w:rsidRPr="00AD5090">
        <w:rPr>
          <w:lang w:val="pl-PL"/>
        </w:rPr>
        <w:t xml:space="preserve"> 3 lit. a Konwencji. Zauważył też, że nie jest niedopuszczalna na innych pods</w:t>
      </w:r>
      <w:r w:rsidR="00B4502B" w:rsidRPr="00AD5090">
        <w:rPr>
          <w:lang w:val="pl-PL"/>
        </w:rPr>
        <w:t>tawach. Z tego powodu uznaje</w:t>
      </w:r>
      <w:r w:rsidR="00B82ED7" w:rsidRPr="00AD5090">
        <w:rPr>
          <w:lang w:val="pl-PL"/>
        </w:rPr>
        <w:t xml:space="preserve"> ją za dopuszczalną.</w:t>
      </w:r>
    </w:p>
    <w:p w:rsidR="00014566" w:rsidRPr="00AD5090" w:rsidRDefault="00014566" w:rsidP="0058384F">
      <w:pPr>
        <w:pStyle w:val="ECHRHeading2"/>
        <w:rPr>
          <w:lang w:val="pl-PL"/>
        </w:rPr>
      </w:pPr>
      <w:r w:rsidRPr="00AD5090">
        <w:rPr>
          <w:lang w:val="pl-PL"/>
        </w:rPr>
        <w:t>B.  </w:t>
      </w:r>
      <w:r w:rsidR="00B46F8F">
        <w:rPr>
          <w:lang w:val="pl-PL"/>
        </w:rPr>
        <w:t>Przedmiot sprawy</w:t>
      </w:r>
    </w:p>
    <w:p w:rsidR="00B6491C" w:rsidRPr="00B46F8F" w:rsidRDefault="00012D15" w:rsidP="0058384F">
      <w:pPr>
        <w:pStyle w:val="ECHRHeading3"/>
        <w:rPr>
          <w:lang w:val="pl-PL"/>
        </w:rPr>
      </w:pPr>
      <w:r w:rsidRPr="00AD5090">
        <w:rPr>
          <w:bCs w:val="0"/>
          <w:iCs/>
          <w:lang w:val="pl-PL"/>
        </w:rPr>
        <w:t>1.  </w:t>
      </w:r>
      <w:r w:rsidRPr="00C30FBE">
        <w:rPr>
          <w:bCs w:val="0"/>
          <w:iCs/>
          <w:lang w:val="pl-PL"/>
        </w:rPr>
        <w:t>Wnioski stron</w:t>
      </w:r>
    </w:p>
    <w:p w:rsidR="00543266" w:rsidRPr="00AD5090" w:rsidRDefault="00FE4A0F" w:rsidP="0058384F">
      <w:pPr>
        <w:pStyle w:val="ECHRPara"/>
        <w:rPr>
          <w:lang w:val="pl-PL"/>
        </w:rPr>
      </w:pPr>
      <w:r>
        <w:rPr>
          <w:lang w:val="pl-PL"/>
        </w:rPr>
        <w:t>79</w:t>
      </w:r>
      <w:r w:rsidR="008144EE" w:rsidRPr="00AD5090">
        <w:rPr>
          <w:lang w:val="pl-PL"/>
        </w:rPr>
        <w:t xml:space="preserve">.  Skarżąca zapewniła, że sądy polskie nie podjęły wszystkich możliwych środków, których można by rozsądnie od nich oczekiwać w celu </w:t>
      </w:r>
      <w:r w:rsidR="00284D18">
        <w:rPr>
          <w:lang w:val="pl-PL"/>
        </w:rPr>
        <w:t>realizacji orzeczenia w sprawie zwrotu</w:t>
      </w:r>
      <w:r w:rsidR="003A7BDA">
        <w:rPr>
          <w:lang w:val="pl-PL"/>
        </w:rPr>
        <w:t xml:space="preserve"> dziecka</w:t>
      </w:r>
      <w:r w:rsidR="008144EE" w:rsidRPr="00AD5090">
        <w:rPr>
          <w:lang w:val="pl-PL"/>
        </w:rPr>
        <w:t>.</w:t>
      </w:r>
    </w:p>
    <w:p w:rsidR="00911E17" w:rsidRPr="00AD5090" w:rsidRDefault="00FE4A0F" w:rsidP="0058384F">
      <w:pPr>
        <w:pStyle w:val="ECHRPara"/>
        <w:rPr>
          <w:lang w:val="pl-PL"/>
        </w:rPr>
      </w:pPr>
      <w:r>
        <w:rPr>
          <w:lang w:val="pl-PL"/>
        </w:rPr>
        <w:t>80</w:t>
      </w:r>
      <w:r w:rsidR="002662C8" w:rsidRPr="00AD5090">
        <w:rPr>
          <w:lang w:val="pl-PL"/>
        </w:rPr>
        <w:t xml:space="preserve">.  Rząd </w:t>
      </w:r>
      <w:r w:rsidR="00B4502B" w:rsidRPr="00AD5090">
        <w:rPr>
          <w:lang w:val="pl-PL"/>
        </w:rPr>
        <w:t>powołał się na orzecznictwo Trybunału dotyczące</w:t>
      </w:r>
      <w:r w:rsidR="002662C8" w:rsidRPr="00AD5090">
        <w:rPr>
          <w:lang w:val="pl-PL"/>
        </w:rPr>
        <w:t xml:space="preserve"> uprowadzenia dzieci i zaobserwował, że na państwach spoczywa pozytywny obowiązek powzięcia wszystkich środków, których można by rozsądnie od nich oczekiwać w celu wykonania postanowień o </w:t>
      </w:r>
      <w:r w:rsidR="003A7BDA">
        <w:rPr>
          <w:lang w:val="pl-PL"/>
        </w:rPr>
        <w:t>odebraniu</w:t>
      </w:r>
      <w:r w:rsidR="00B4502B" w:rsidRPr="00AD5090">
        <w:rPr>
          <w:lang w:val="pl-PL"/>
        </w:rPr>
        <w:t xml:space="preserve"> dziecka. Zobowiązanie nie ma</w:t>
      </w:r>
      <w:r w:rsidR="002662C8" w:rsidRPr="00AD5090">
        <w:rPr>
          <w:lang w:val="pl-PL"/>
        </w:rPr>
        <w:t xml:space="preserve"> jednak char</w:t>
      </w:r>
      <w:r w:rsidR="00B4502B" w:rsidRPr="00AD5090">
        <w:rPr>
          <w:lang w:val="pl-PL"/>
        </w:rPr>
        <w:t>akteru absolutnego, ale wymaga</w:t>
      </w:r>
      <w:r w:rsidR="002662C8" w:rsidRPr="00AD5090">
        <w:rPr>
          <w:lang w:val="pl-PL"/>
        </w:rPr>
        <w:t xml:space="preserve"> od państw wzięcia pod uwagę interesów ws</w:t>
      </w:r>
      <w:r w:rsidR="00B4502B" w:rsidRPr="00AD5090">
        <w:rPr>
          <w:lang w:val="pl-PL"/>
        </w:rPr>
        <w:t>zystkich osób, których dotyczy</w:t>
      </w:r>
      <w:r w:rsidR="002662C8" w:rsidRPr="00AD5090">
        <w:rPr>
          <w:lang w:val="pl-PL"/>
        </w:rPr>
        <w:t>,</w:t>
      </w:r>
      <w:r w:rsidR="00B4502B" w:rsidRPr="00AD5090">
        <w:rPr>
          <w:lang w:val="pl-PL"/>
        </w:rPr>
        <w:t xml:space="preserve"> a</w:t>
      </w:r>
      <w:r w:rsidR="002662C8" w:rsidRPr="00AD5090">
        <w:rPr>
          <w:lang w:val="pl-PL"/>
        </w:rPr>
        <w:t xml:space="preserve"> w szczególności dobrobyt</w:t>
      </w:r>
      <w:r w:rsidR="003A7BDA">
        <w:rPr>
          <w:lang w:val="pl-PL"/>
        </w:rPr>
        <w:t>u</w:t>
      </w:r>
      <w:r w:rsidR="002662C8" w:rsidRPr="00AD5090">
        <w:rPr>
          <w:lang w:val="pl-PL"/>
        </w:rPr>
        <w:t xml:space="preserve"> i</w:t>
      </w:r>
      <w:r w:rsidR="003A7BDA">
        <w:rPr>
          <w:lang w:val="pl-PL"/>
        </w:rPr>
        <w:t xml:space="preserve"> praw</w:t>
      </w:r>
      <w:r w:rsidR="002662C8" w:rsidRPr="00AD5090">
        <w:rPr>
          <w:lang w:val="pl-PL"/>
        </w:rPr>
        <w:t xml:space="preserve"> dziecka. Zaobserwował, że Trybunał często wskazywał najlepszy interes dziecka jako </w:t>
      </w:r>
      <w:r w:rsidR="00B4502B" w:rsidRPr="00AD5090">
        <w:rPr>
          <w:lang w:val="pl-PL"/>
        </w:rPr>
        <w:t xml:space="preserve">kwestię </w:t>
      </w:r>
      <w:r w:rsidR="002662C8" w:rsidRPr="00AD5090">
        <w:rPr>
          <w:lang w:val="pl-PL"/>
        </w:rPr>
        <w:t>najwyższej wagi.</w:t>
      </w:r>
    </w:p>
    <w:p w:rsidR="00014566" w:rsidRPr="00AD5090" w:rsidRDefault="00FE4A0F" w:rsidP="0058384F">
      <w:pPr>
        <w:pStyle w:val="ECHRPara"/>
        <w:rPr>
          <w:lang w:val="pl-PL"/>
        </w:rPr>
      </w:pPr>
      <w:r>
        <w:rPr>
          <w:lang w:val="pl-PL"/>
        </w:rPr>
        <w:t>81</w:t>
      </w:r>
      <w:r w:rsidR="009B0E4D" w:rsidRPr="00AD5090">
        <w:rPr>
          <w:lang w:val="pl-PL"/>
        </w:rPr>
        <w:t xml:space="preserve">.  Rząd przyznał, że niewykonywanie postanowień o </w:t>
      </w:r>
      <w:r w:rsidR="00B4502B" w:rsidRPr="00AD5090">
        <w:rPr>
          <w:lang w:val="pl-PL"/>
        </w:rPr>
        <w:t xml:space="preserve">powrocie </w:t>
      </w:r>
      <w:r w:rsidR="009B0E4D" w:rsidRPr="00AD5090">
        <w:rPr>
          <w:lang w:val="pl-PL"/>
        </w:rPr>
        <w:t>dziecka stanowiło naruszenie prawa skarżącej do poszanowania jej życia prywatnego i rodzinnego. Niemniej jednak, miało swoje podstawy prawne i</w:t>
      </w:r>
      <w:r w:rsidR="00B46F8F">
        <w:rPr>
          <w:lang w:val="pl-PL"/>
        </w:rPr>
        <w:t> </w:t>
      </w:r>
      <w:r w:rsidR="009B0E4D" w:rsidRPr="00AD5090">
        <w:rPr>
          <w:lang w:val="pl-PL"/>
        </w:rPr>
        <w:t>było niezbędne w</w:t>
      </w:r>
      <w:r w:rsidR="00B4502B" w:rsidRPr="00AD5090">
        <w:rPr>
          <w:lang w:val="pl-PL"/>
        </w:rPr>
        <w:t xml:space="preserve"> społeczeństwie demokratycznym,</w:t>
      </w:r>
      <w:r w:rsidR="009B0E4D" w:rsidRPr="00AD5090">
        <w:rPr>
          <w:lang w:val="pl-PL"/>
        </w:rPr>
        <w:t xml:space="preserve"> dlatego nie stało w</w:t>
      </w:r>
      <w:r w:rsidR="00B46F8F">
        <w:rPr>
          <w:lang w:val="pl-PL"/>
        </w:rPr>
        <w:t> </w:t>
      </w:r>
      <w:r w:rsidR="009B0E4D" w:rsidRPr="00AD5090">
        <w:rPr>
          <w:lang w:val="pl-PL"/>
        </w:rPr>
        <w:t>sprzeczności z art. 8 Konwencji.</w:t>
      </w:r>
    </w:p>
    <w:p w:rsidR="005520CE" w:rsidRPr="00AD5090" w:rsidRDefault="00B4502B" w:rsidP="0058384F">
      <w:pPr>
        <w:pStyle w:val="ECHRHeading3"/>
        <w:rPr>
          <w:lang w:val="pl-PL"/>
        </w:rPr>
      </w:pPr>
      <w:r w:rsidRPr="00AD5090">
        <w:rPr>
          <w:bCs w:val="0"/>
          <w:iCs/>
          <w:lang w:val="pl-PL"/>
        </w:rPr>
        <w:t>2.  Ocena Tryb</w:t>
      </w:r>
      <w:r w:rsidR="00B45795" w:rsidRPr="00AD5090">
        <w:rPr>
          <w:bCs w:val="0"/>
          <w:iCs/>
          <w:lang w:val="pl-PL"/>
        </w:rPr>
        <w:t>unału</w:t>
      </w:r>
    </w:p>
    <w:p w:rsidR="005520CE" w:rsidRPr="00AD5090" w:rsidRDefault="00B45795" w:rsidP="0058384F">
      <w:pPr>
        <w:pStyle w:val="ECHRHeading4"/>
        <w:rPr>
          <w:lang w:val="pl-PL"/>
        </w:rPr>
      </w:pPr>
      <w:r w:rsidRPr="00AD5090">
        <w:rPr>
          <w:iCs w:val="0"/>
          <w:lang w:val="pl-PL"/>
        </w:rPr>
        <w:t>(a)  </w:t>
      </w:r>
      <w:r w:rsidR="00B46F8F">
        <w:rPr>
          <w:iCs w:val="0"/>
          <w:lang w:val="pl-PL"/>
        </w:rPr>
        <w:t>Zasady</w:t>
      </w:r>
      <w:r w:rsidRPr="00AD5090">
        <w:rPr>
          <w:iCs w:val="0"/>
          <w:lang w:val="pl-PL"/>
        </w:rPr>
        <w:t xml:space="preserve"> usta</w:t>
      </w:r>
      <w:r w:rsidR="00B46F8F">
        <w:rPr>
          <w:iCs w:val="0"/>
          <w:lang w:val="pl-PL"/>
        </w:rPr>
        <w:t>lone w orzecznictwie</w:t>
      </w:r>
      <w:r w:rsidRPr="00AD5090">
        <w:rPr>
          <w:iCs w:val="0"/>
          <w:lang w:val="pl-PL"/>
        </w:rPr>
        <w:t xml:space="preserve"> Trybunału</w:t>
      </w:r>
    </w:p>
    <w:p w:rsidR="005520CE" w:rsidRPr="00AD5090" w:rsidRDefault="00FE4A0F" w:rsidP="0058384F">
      <w:pPr>
        <w:pStyle w:val="ECHRPara"/>
        <w:rPr>
          <w:i/>
          <w:lang w:val="pl-PL"/>
        </w:rPr>
      </w:pPr>
      <w:r>
        <w:rPr>
          <w:lang w:val="pl-PL"/>
        </w:rPr>
        <w:t>82</w:t>
      </w:r>
      <w:r w:rsidR="002662C8" w:rsidRPr="00AD5090">
        <w:rPr>
          <w:lang w:val="pl-PL"/>
        </w:rPr>
        <w:t xml:space="preserve">.  Trybunał powtórzył, że </w:t>
      </w:r>
      <w:r w:rsidR="008E209D">
        <w:rPr>
          <w:lang w:val="pl-PL"/>
        </w:rPr>
        <w:t>art.</w:t>
      </w:r>
      <w:r w:rsidR="002662C8" w:rsidRPr="00AD5090">
        <w:rPr>
          <w:lang w:val="pl-PL"/>
        </w:rPr>
        <w:t xml:space="preserve"> 8 </w:t>
      </w:r>
      <w:r w:rsidR="00B4502B" w:rsidRPr="00AD5090">
        <w:rPr>
          <w:lang w:val="pl-PL"/>
        </w:rPr>
        <w:t>ma na celu głównie ochronę</w:t>
      </w:r>
      <w:r w:rsidR="002662C8" w:rsidRPr="00AD5090">
        <w:rPr>
          <w:lang w:val="pl-PL"/>
        </w:rPr>
        <w:t xml:space="preserve"> jednostek przed arbitralnym działaniem władz publicznych. Dodatkowo</w:t>
      </w:r>
      <w:r w:rsidR="00B4502B" w:rsidRPr="00AD5090">
        <w:rPr>
          <w:lang w:val="pl-PL"/>
        </w:rPr>
        <w:t>,</w:t>
      </w:r>
      <w:r w:rsidR="002662C8" w:rsidRPr="00AD5090">
        <w:rPr>
          <w:lang w:val="pl-PL"/>
        </w:rPr>
        <w:t xml:space="preserve"> istnieją pozytywne obowiązki nieodłączne efektywnemu „poszanowaniu” życia rodzinnego. Jednakże granice pomiędzy pozytywnymi a negatywnymi obowiązkami na mocy tych przepisów, nie podlegają precyzyjnej definicji. Niemniej jednak obowiązujące reguły są podobne. W obu kontekstach należy uwzględnić konieczność znalezienia równowagi pomiędzy spornymi interesami jednostek a społeczności jako całości; w obu kontekstach Państwo zachowuje określony margines swobody (zob. m.in. </w:t>
      </w:r>
      <w:r w:rsidR="002662C8" w:rsidRPr="00AD5090">
        <w:rPr>
          <w:i/>
          <w:iCs/>
          <w:lang w:val="pl-PL"/>
        </w:rPr>
        <w:t>M.A.</w:t>
      </w:r>
      <w:r w:rsidR="002662C8" w:rsidRPr="00AD5090">
        <w:rPr>
          <w:lang w:val="pl-PL"/>
        </w:rPr>
        <w:t xml:space="preserve"> przeciwko</w:t>
      </w:r>
      <w:r w:rsidR="002662C8" w:rsidRPr="00AD5090">
        <w:rPr>
          <w:i/>
          <w:iCs/>
          <w:lang w:val="pl-PL"/>
        </w:rPr>
        <w:t> Austrii</w:t>
      </w:r>
      <w:r w:rsidR="002662C8" w:rsidRPr="00AD5090">
        <w:rPr>
          <w:lang w:val="pl-PL"/>
        </w:rPr>
        <w:t>, nr 4097/13</w:t>
      </w:r>
      <w:r w:rsidR="002662C8" w:rsidRPr="00AD5090">
        <w:rPr>
          <w:snapToGrid w:val="0"/>
          <w:lang w:val="pl-PL"/>
        </w:rPr>
        <w:t xml:space="preserve">, § 104, 15 stycznia 2015 r.; </w:t>
      </w:r>
      <w:r w:rsidR="002662C8" w:rsidRPr="00AD5090">
        <w:rPr>
          <w:i/>
          <w:iCs/>
          <w:lang w:val="pl-PL"/>
        </w:rPr>
        <w:t>Raw i inni przeciwko Francji</w:t>
      </w:r>
      <w:r w:rsidR="002662C8" w:rsidRPr="00AD5090">
        <w:rPr>
          <w:lang w:val="pl-PL"/>
        </w:rPr>
        <w:t>, nr 10131/11</w:t>
      </w:r>
      <w:r w:rsidR="002662C8" w:rsidRPr="00AD5090">
        <w:rPr>
          <w:snapToGrid w:val="0"/>
          <w:lang w:val="pl-PL"/>
        </w:rPr>
        <w:t xml:space="preserve">, § 78, 7 marca 2013 r.; </w:t>
      </w:r>
      <w:r w:rsidR="002662C8" w:rsidRPr="00AD5090">
        <w:rPr>
          <w:i/>
          <w:iCs/>
          <w:lang w:val="pl-PL"/>
        </w:rPr>
        <w:t>Maire przeciwko Portugalii</w:t>
      </w:r>
      <w:r w:rsidR="002662C8" w:rsidRPr="00AD5090">
        <w:rPr>
          <w:lang w:val="pl-PL"/>
        </w:rPr>
        <w:t>, nr 48206/99, § 69, ETPCz 2003</w:t>
      </w:r>
      <w:r w:rsidR="002662C8" w:rsidRPr="00AD5090">
        <w:rPr>
          <w:lang w:val="pl-PL"/>
        </w:rPr>
        <w:noBreakHyphen/>
        <w:t xml:space="preserve">VII; </w:t>
      </w:r>
      <w:r w:rsidR="002662C8" w:rsidRPr="00AD5090">
        <w:rPr>
          <w:i/>
          <w:iCs/>
          <w:lang w:val="pl-PL"/>
        </w:rPr>
        <w:t>Sylvester przeciwko Austrii</w:t>
      </w:r>
      <w:r w:rsidR="002662C8" w:rsidRPr="00AD5090">
        <w:rPr>
          <w:lang w:val="pl-PL"/>
        </w:rPr>
        <w:t xml:space="preserve">, nr 36812/97 i 40104/98, § 55, 24 kwietnia 2003 r.; i </w:t>
      </w:r>
      <w:r w:rsidR="002662C8" w:rsidRPr="00AD5090">
        <w:rPr>
          <w:i/>
          <w:iCs/>
          <w:lang w:val="pl-PL"/>
        </w:rPr>
        <w:t>Ignaccolo-Zenide przeciwko Rumunii</w:t>
      </w:r>
      <w:r w:rsidR="002662C8" w:rsidRPr="00AD5090">
        <w:rPr>
          <w:lang w:val="pl-PL"/>
        </w:rPr>
        <w:t>, nr 31679/96, § 94, ETPCz 2000</w:t>
      </w:r>
      <w:r w:rsidR="002662C8" w:rsidRPr="00AD5090">
        <w:rPr>
          <w:lang w:val="pl-PL"/>
        </w:rPr>
        <w:noBreakHyphen/>
        <w:t>I).</w:t>
      </w:r>
    </w:p>
    <w:p w:rsidR="005520CE" w:rsidRPr="00AD5090" w:rsidRDefault="00FE4A0F" w:rsidP="0058384F">
      <w:pPr>
        <w:pStyle w:val="ECHRPara"/>
        <w:rPr>
          <w:lang w:val="pl-PL"/>
        </w:rPr>
      </w:pPr>
      <w:r>
        <w:rPr>
          <w:lang w:val="pl-PL"/>
        </w:rPr>
        <w:t>83</w:t>
      </w:r>
      <w:r w:rsidR="008F761D" w:rsidRPr="00AD5090">
        <w:rPr>
          <w:lang w:val="pl-PL"/>
        </w:rPr>
        <w:t>.  W nawiązaniu do pozytywnych obowiązków</w:t>
      </w:r>
      <w:r w:rsidR="00B4502B" w:rsidRPr="00AD5090">
        <w:rPr>
          <w:lang w:val="pl-PL"/>
        </w:rPr>
        <w:t>,</w:t>
      </w:r>
      <w:r w:rsidR="008F761D" w:rsidRPr="00AD5090">
        <w:rPr>
          <w:lang w:val="pl-PL"/>
        </w:rPr>
        <w:t xml:space="preserve"> Trybunał przy wielu okazjach utrzymywał, że art. 8 dotyczy również prawa rodzica do wymagania podjęcia przez władze kr</w:t>
      </w:r>
      <w:r w:rsidR="00B4502B" w:rsidRPr="00AD5090">
        <w:rPr>
          <w:lang w:val="pl-PL"/>
        </w:rPr>
        <w:t>ajowe środków mających na celu wydanie</w:t>
      </w:r>
      <w:r w:rsidR="008F761D" w:rsidRPr="00AD5090">
        <w:rPr>
          <w:lang w:val="pl-PL"/>
        </w:rPr>
        <w:t xml:space="preserve"> mu dziecka (</w:t>
      </w:r>
      <w:r w:rsidR="008F761D" w:rsidRPr="00AD5090">
        <w:rPr>
          <w:i/>
          <w:iCs/>
          <w:lang w:val="pl-PL"/>
        </w:rPr>
        <w:t xml:space="preserve">Ignaccolo-Zenide cytowane powyżej </w:t>
      </w:r>
      <w:r w:rsidR="008F761D" w:rsidRPr="00AD5090">
        <w:rPr>
          <w:lang w:val="pl-PL"/>
        </w:rPr>
        <w:t>§ 94).</w:t>
      </w:r>
    </w:p>
    <w:p w:rsidR="005520CE" w:rsidRPr="00AD5090" w:rsidRDefault="00FE4A0F" w:rsidP="0058384F">
      <w:pPr>
        <w:pStyle w:val="ECHRPara"/>
        <w:rPr>
          <w:lang w:val="pl-PL"/>
        </w:rPr>
      </w:pPr>
      <w:r>
        <w:rPr>
          <w:lang w:val="pl-PL"/>
        </w:rPr>
        <w:t>84</w:t>
      </w:r>
      <w:r w:rsidR="006512FF" w:rsidRPr="00AD5090">
        <w:rPr>
          <w:lang w:val="pl-PL"/>
        </w:rPr>
        <w:t>.  Trybunał powtarza, że Konwencja musi być stosowana zgodnie z</w:t>
      </w:r>
      <w:r w:rsidR="00B46F8F">
        <w:rPr>
          <w:lang w:val="pl-PL"/>
        </w:rPr>
        <w:t> </w:t>
      </w:r>
      <w:r w:rsidR="006512FF" w:rsidRPr="00AD5090">
        <w:rPr>
          <w:lang w:val="pl-PL"/>
        </w:rPr>
        <w:t>regułami prawa międzynarodowego</w:t>
      </w:r>
      <w:r w:rsidR="00B4502B" w:rsidRPr="00AD5090">
        <w:rPr>
          <w:lang w:val="pl-PL"/>
        </w:rPr>
        <w:t xml:space="preserve">, w szczególności w przypadku </w:t>
      </w:r>
      <w:r w:rsidR="006512FF" w:rsidRPr="00AD5090">
        <w:rPr>
          <w:lang w:val="pl-PL"/>
        </w:rPr>
        <w:t>międzynarodowej ochrony praw człowieka. Trybunał stwierdził, że w</w:t>
      </w:r>
      <w:r w:rsidR="00B46F8F">
        <w:rPr>
          <w:lang w:val="pl-PL"/>
        </w:rPr>
        <w:t> </w:t>
      </w:r>
      <w:r w:rsidR="006512FF" w:rsidRPr="00AD5090">
        <w:rPr>
          <w:lang w:val="pl-PL"/>
        </w:rPr>
        <w:t>sytuacji uprowadzenia dziecka za granicę, pozytywne obowiązki, które art. 8 Konwencji nakłada na Umawiające się strony muszą być interpretowane w świetle Konwencji Haskiej z 25 października 1980 r. dotyczącej cywilnych aspektów uprowadzenia dziecka za granicę (zob., m.in.</w:t>
      </w:r>
      <w:r w:rsidR="00B4502B" w:rsidRPr="00AD5090">
        <w:rPr>
          <w:lang w:val="pl-PL"/>
        </w:rPr>
        <w:t xml:space="preserve"> </w:t>
      </w:r>
      <w:r w:rsidR="006512FF" w:rsidRPr="00AD5090">
        <w:rPr>
          <w:i/>
          <w:iCs/>
          <w:lang w:val="pl-PL"/>
        </w:rPr>
        <w:t>Ignaccolo-Zenide</w:t>
      </w:r>
      <w:r w:rsidR="006512FF" w:rsidRPr="00AD5090">
        <w:rPr>
          <w:lang w:val="pl-PL"/>
        </w:rPr>
        <w:t xml:space="preserve">, cytowane powyżej, § 95) i Konwencji praw dziecka z 20 listopada 1989 r. (zob., na przykład </w:t>
      </w:r>
      <w:r w:rsidR="006512FF" w:rsidRPr="00AD5090">
        <w:rPr>
          <w:i/>
          <w:iCs/>
          <w:lang w:val="pl-PL"/>
        </w:rPr>
        <w:t>Maire</w:t>
      </w:r>
      <w:r w:rsidR="006512FF" w:rsidRPr="00AD5090">
        <w:rPr>
          <w:lang w:val="pl-PL"/>
        </w:rPr>
        <w:t xml:space="preserve">, cytowane powyżej, § 72), które przyznaje najlepszemu interesowi dziecka najwyższą wagę (zob. </w:t>
      </w:r>
      <w:r w:rsidR="006512FF" w:rsidRPr="00AD5090">
        <w:rPr>
          <w:i/>
          <w:iCs/>
          <w:lang w:val="pl-PL"/>
        </w:rPr>
        <w:t>Raw i Inni</w:t>
      </w:r>
      <w:r w:rsidR="006512FF" w:rsidRPr="00AD5090">
        <w:rPr>
          <w:lang w:val="pl-PL"/>
        </w:rPr>
        <w:t xml:space="preserve">, cytowane powyżej § 82; </w:t>
      </w:r>
      <w:r w:rsidR="006512FF" w:rsidRPr="00AD5090">
        <w:rPr>
          <w:i/>
          <w:iCs/>
          <w:lang w:val="pl-PL"/>
        </w:rPr>
        <w:t>Neulinger i Shuruk przeciwko Szwajcarii</w:t>
      </w:r>
      <w:r w:rsidR="006512FF" w:rsidRPr="00AD5090">
        <w:rPr>
          <w:lang w:val="pl-PL"/>
        </w:rPr>
        <w:t xml:space="preserve"> [WI], nr 41615/07, § 49-56 i 137, ETPCz 2010 r.; i </w:t>
      </w:r>
      <w:r w:rsidR="006512FF" w:rsidRPr="00AD5090">
        <w:rPr>
          <w:i/>
          <w:iCs/>
          <w:lang w:val="pl-PL"/>
        </w:rPr>
        <w:t>X przeciwko Łotwie,</w:t>
      </w:r>
      <w:r w:rsidR="006512FF" w:rsidRPr="00AD5090">
        <w:rPr>
          <w:lang w:val="pl-PL"/>
        </w:rPr>
        <w:t xml:space="preserve"> [WI], no. 27853/09, § 93 i 96, ETPCz 2013 r.).</w:t>
      </w:r>
    </w:p>
    <w:p w:rsidR="00543266" w:rsidRPr="00AD5090" w:rsidRDefault="00FE4A0F" w:rsidP="0058384F">
      <w:pPr>
        <w:pStyle w:val="ECHRPara"/>
        <w:rPr>
          <w:lang w:val="pl-PL"/>
        </w:rPr>
      </w:pPr>
      <w:r>
        <w:rPr>
          <w:lang w:val="pl-PL"/>
        </w:rPr>
        <w:t>85</w:t>
      </w:r>
      <w:r w:rsidR="00B4502B" w:rsidRPr="00AD5090">
        <w:rPr>
          <w:lang w:val="pl-PL"/>
        </w:rPr>
        <w:t>.  Ostatecznie Trybunał powtórzył</w:t>
      </w:r>
      <w:r w:rsidR="00693681" w:rsidRPr="00AD5090">
        <w:rPr>
          <w:lang w:val="pl-PL"/>
        </w:rPr>
        <w:t>, że w sprawach podobnych do tej, adekwatność środka powziętego przez władze podlega również ocenie pod kątem szybkości jego implementacji;(</w:t>
      </w:r>
      <w:r w:rsidR="00693681" w:rsidRPr="00AD5090">
        <w:rPr>
          <w:i/>
          <w:iCs/>
          <w:lang w:val="pl-PL"/>
        </w:rPr>
        <w:t>Raw i Inni</w:t>
      </w:r>
      <w:r w:rsidR="00693681" w:rsidRPr="00AD5090">
        <w:rPr>
          <w:lang w:val="pl-PL"/>
        </w:rPr>
        <w:t xml:space="preserve">, cytowane powyżej, § 83; </w:t>
      </w:r>
      <w:r w:rsidR="00693681" w:rsidRPr="00AD5090">
        <w:rPr>
          <w:i/>
          <w:iCs/>
          <w:lang w:val="pl-PL"/>
        </w:rPr>
        <w:t>Maire</w:t>
      </w:r>
      <w:r w:rsidR="00693681" w:rsidRPr="00AD5090">
        <w:rPr>
          <w:lang w:val="pl-PL"/>
        </w:rPr>
        <w:t xml:space="preserve">, cytowane powyżej, § 74; i </w:t>
      </w:r>
      <w:r w:rsidR="00693681" w:rsidRPr="00AD5090">
        <w:rPr>
          <w:i/>
          <w:iCs/>
          <w:lang w:val="pl-PL"/>
        </w:rPr>
        <w:t>Ignaccolo-Zenide</w:t>
      </w:r>
      <w:r w:rsidR="00693681" w:rsidRPr="00AD5090">
        <w:rPr>
          <w:lang w:val="pl-PL"/>
        </w:rPr>
        <w:t>, cytowane powyżej, § 102).</w:t>
      </w:r>
    </w:p>
    <w:p w:rsidR="00693681" w:rsidRPr="00AD5090" w:rsidRDefault="00FE4A0F" w:rsidP="0058384F">
      <w:pPr>
        <w:pStyle w:val="ECHRPara"/>
        <w:rPr>
          <w:lang w:val="pl-PL"/>
        </w:rPr>
      </w:pPr>
      <w:r>
        <w:rPr>
          <w:lang w:val="pl-PL"/>
        </w:rPr>
        <w:t>86</w:t>
      </w:r>
      <w:r w:rsidR="00B4502B" w:rsidRPr="00AD5090">
        <w:rPr>
          <w:lang w:val="pl-PL"/>
        </w:rPr>
        <w:t>. </w:t>
      </w:r>
      <w:r w:rsidR="005D0193" w:rsidRPr="00AD5090">
        <w:rPr>
          <w:lang w:val="pl-PL"/>
        </w:rPr>
        <w:t xml:space="preserve"> Trybunał stwierdził</w:t>
      </w:r>
      <w:r w:rsidR="00B4502B" w:rsidRPr="00AD5090">
        <w:rPr>
          <w:lang w:val="pl-PL"/>
        </w:rPr>
        <w:t xml:space="preserve"> również</w:t>
      </w:r>
      <w:r w:rsidR="005D0193" w:rsidRPr="00AD5090">
        <w:rPr>
          <w:lang w:val="pl-PL"/>
        </w:rPr>
        <w:t xml:space="preserve">, że niniejsza sprawa dotyczy </w:t>
      </w:r>
      <w:r w:rsidR="00B4502B" w:rsidRPr="00AD5090">
        <w:rPr>
          <w:lang w:val="pl-PL"/>
        </w:rPr>
        <w:t>powrotu</w:t>
      </w:r>
      <w:r w:rsidR="005D0193" w:rsidRPr="00AD5090">
        <w:rPr>
          <w:lang w:val="pl-PL"/>
        </w:rPr>
        <w:t xml:space="preserve"> dziecka z jednego państwa członkowskiego UE do innego. W stosunkach pomiędzy państwami UE przepisy dotyczące uprowadzenia dziecka zawarte w Rozporządzeniu Bruksela II </w:t>
      </w:r>
      <w:r w:rsidR="005D0193" w:rsidRPr="00AD5090">
        <w:rPr>
          <w:i/>
          <w:lang w:val="pl-PL"/>
        </w:rPr>
        <w:t>bis</w:t>
      </w:r>
      <w:r w:rsidR="005D0193" w:rsidRPr="00AD5090">
        <w:rPr>
          <w:lang w:val="pl-PL"/>
        </w:rPr>
        <w:t xml:space="preserve"> stanowią uzupełnienie do przepisów z</w:t>
      </w:r>
      <w:r w:rsidR="00B46F8F">
        <w:rPr>
          <w:lang w:val="pl-PL"/>
        </w:rPr>
        <w:t> </w:t>
      </w:r>
      <w:r w:rsidR="005D0193" w:rsidRPr="00AD5090">
        <w:rPr>
          <w:lang w:val="pl-PL"/>
        </w:rPr>
        <w:t xml:space="preserve">Konwencji Haskiej. </w:t>
      </w:r>
      <w:r w:rsidR="00951E8A">
        <w:rPr>
          <w:lang w:val="pl-PL"/>
        </w:rPr>
        <w:t>Obydwie regulacje</w:t>
      </w:r>
      <w:r w:rsidR="005D0193" w:rsidRPr="00AD5090">
        <w:rPr>
          <w:lang w:val="pl-PL"/>
        </w:rPr>
        <w:t xml:space="preserve"> opierają się na podejściu, że we wszystkich postanowieniach dotyczących dzieci, ich interes jest kwestią najwyższej wagi (zob. </w:t>
      </w:r>
      <w:r w:rsidR="005D0193" w:rsidRPr="00AD5090">
        <w:rPr>
          <w:i/>
          <w:iCs/>
          <w:lang w:val="pl-PL"/>
        </w:rPr>
        <w:t>X przeciwko Łotwie</w:t>
      </w:r>
      <w:r w:rsidR="005D0193" w:rsidRPr="00AD5090">
        <w:rPr>
          <w:lang w:val="pl-PL"/>
        </w:rPr>
        <w:t xml:space="preserve">, cytowane powyżej, § 96-97, i </w:t>
      </w:r>
      <w:r w:rsidR="005D0193" w:rsidRPr="00AD5090">
        <w:rPr>
          <w:i/>
          <w:iCs/>
          <w:lang w:val="pl-PL"/>
        </w:rPr>
        <w:t>M.A.</w:t>
      </w:r>
      <w:r w:rsidR="005D0193" w:rsidRPr="00AD5090">
        <w:rPr>
          <w:lang w:val="pl-PL"/>
        </w:rPr>
        <w:t>, cytowane powyżej, § 112</w:t>
      </w:r>
      <w:r w:rsidR="005D0193" w:rsidRPr="00AD5090">
        <w:rPr>
          <w:lang w:val="pl-PL"/>
        </w:rPr>
        <w:noBreakHyphen/>
        <w:t>114).</w:t>
      </w:r>
    </w:p>
    <w:p w:rsidR="005520CE" w:rsidRPr="00AD5090" w:rsidRDefault="00B45795" w:rsidP="0058384F">
      <w:pPr>
        <w:pStyle w:val="ECHRHeading4"/>
        <w:rPr>
          <w:lang w:val="pl-PL"/>
        </w:rPr>
      </w:pPr>
      <w:r w:rsidRPr="00AD5090">
        <w:rPr>
          <w:iCs w:val="0"/>
          <w:lang w:val="pl-PL"/>
        </w:rPr>
        <w:t>(b)  </w:t>
      </w:r>
      <w:r w:rsidR="00B46F8F">
        <w:rPr>
          <w:iCs w:val="0"/>
          <w:lang w:val="pl-PL"/>
        </w:rPr>
        <w:t>Zas</w:t>
      </w:r>
      <w:r w:rsidRPr="00AD5090">
        <w:rPr>
          <w:iCs w:val="0"/>
          <w:lang w:val="pl-PL"/>
        </w:rPr>
        <w:t>tosowanie tych zasad w niniejszej sprawie</w:t>
      </w:r>
    </w:p>
    <w:p w:rsidR="00256F15" w:rsidRPr="00AD5090" w:rsidRDefault="00FE4A0F" w:rsidP="0058384F">
      <w:pPr>
        <w:pStyle w:val="ECHRPara"/>
        <w:rPr>
          <w:lang w:val="pl-PL"/>
        </w:rPr>
      </w:pPr>
      <w:r>
        <w:rPr>
          <w:lang w:val="pl-PL"/>
        </w:rPr>
        <w:t>87</w:t>
      </w:r>
      <w:r w:rsidR="006512FF" w:rsidRPr="00AD5090">
        <w:rPr>
          <w:lang w:val="pl-PL"/>
        </w:rPr>
        <w:t>.  Trybunał stwierdził na początku, że relacja pomiędzy sk</w:t>
      </w:r>
      <w:r w:rsidR="00B4502B" w:rsidRPr="00AD5090">
        <w:rPr>
          <w:lang w:val="pl-PL"/>
        </w:rPr>
        <w:t>arżącą i jej dzieckiem stanowi „</w:t>
      </w:r>
      <w:r w:rsidR="006512FF" w:rsidRPr="00AD5090">
        <w:rPr>
          <w:lang w:val="pl-PL"/>
        </w:rPr>
        <w:t xml:space="preserve">życie rodzinne” w rozumieniu art. 8 </w:t>
      </w:r>
      <w:r w:rsidR="003B68B0">
        <w:rPr>
          <w:lang w:val="pl-PL"/>
        </w:rPr>
        <w:t>ust.</w:t>
      </w:r>
      <w:r w:rsidR="006512FF" w:rsidRPr="00AD5090">
        <w:rPr>
          <w:lang w:val="pl-PL"/>
        </w:rPr>
        <w:t xml:space="preserve"> 1 Konwencji. Kwestia ta nie podlegała dyskusji.</w:t>
      </w:r>
    </w:p>
    <w:p w:rsidR="00C515C2" w:rsidRPr="00AD5090" w:rsidRDefault="00FE4A0F" w:rsidP="0058384F">
      <w:pPr>
        <w:pStyle w:val="ECHRPara"/>
        <w:rPr>
          <w:lang w:val="pl-PL"/>
        </w:rPr>
      </w:pPr>
      <w:r>
        <w:rPr>
          <w:lang w:val="pl-PL"/>
        </w:rPr>
        <w:t>88</w:t>
      </w:r>
      <w:r w:rsidR="007053F2" w:rsidRPr="00AD5090">
        <w:rPr>
          <w:lang w:val="pl-PL"/>
        </w:rPr>
        <w:t xml:space="preserve">.  Trybunał musi być również świadomy kontekstu, który jest istotnym czynnikiem przy interpretacji traktatów. Konwencja Haska z 1980 r. nie jest jedynym instrumentem obowiązującym pomiędzy Polską a Irlandią, regulującym kwestie dotyczące uprowadzenia dziecka  Oba kraje są stronami Rozporządzenia Bruksela II </w:t>
      </w:r>
      <w:r w:rsidR="007053F2" w:rsidRPr="00AD5090">
        <w:rPr>
          <w:i/>
          <w:iCs/>
          <w:lang w:val="pl-PL"/>
        </w:rPr>
        <w:t xml:space="preserve">bis </w:t>
      </w:r>
      <w:r w:rsidR="007053F2" w:rsidRPr="00AD5090">
        <w:rPr>
          <w:lang w:val="pl-PL"/>
        </w:rPr>
        <w:t>z 2003 r. i Konwencji luks</w:t>
      </w:r>
      <w:r w:rsidR="00B4502B" w:rsidRPr="00AD5090">
        <w:rPr>
          <w:lang w:val="pl-PL"/>
        </w:rPr>
        <w:t>emburskiej z 1980 r. Konwencja h</w:t>
      </w:r>
      <w:r w:rsidR="007053F2" w:rsidRPr="00AD5090">
        <w:rPr>
          <w:lang w:val="pl-PL"/>
        </w:rPr>
        <w:t xml:space="preserve">aska z 1980 r. musi być interpretowana i stosowana </w:t>
      </w:r>
      <w:r w:rsidR="00E91273">
        <w:rPr>
          <w:lang w:val="pl-PL"/>
        </w:rPr>
        <w:t>z uwzględnieniem</w:t>
      </w:r>
      <w:r w:rsidR="007053F2" w:rsidRPr="00AD5090">
        <w:rPr>
          <w:lang w:val="pl-PL"/>
        </w:rPr>
        <w:t xml:space="preserve"> tych instrumentów.</w:t>
      </w:r>
    </w:p>
    <w:p w:rsidR="00983205" w:rsidRPr="00AD5090" w:rsidRDefault="00FE4A0F" w:rsidP="0058384F">
      <w:pPr>
        <w:pStyle w:val="ECHRPara"/>
        <w:rPr>
          <w:lang w:val="pl-PL"/>
        </w:rPr>
      </w:pPr>
      <w:r>
        <w:rPr>
          <w:lang w:val="pl-PL"/>
        </w:rPr>
        <w:t>89</w:t>
      </w:r>
      <w:r w:rsidR="00983205" w:rsidRPr="00AD5090">
        <w:rPr>
          <w:lang w:val="pl-PL"/>
        </w:rPr>
        <w:t>.  Głównym punktem podlegającym ocenie jest pytanie o to, czy władze polskie podjęły wszystkie możliwe środki, których rozsądnie można by od nich oczekiwać</w:t>
      </w:r>
      <w:r w:rsidR="0029138D" w:rsidRPr="00AD5090">
        <w:rPr>
          <w:lang w:val="pl-PL"/>
        </w:rPr>
        <w:t>,</w:t>
      </w:r>
      <w:r w:rsidR="00983205" w:rsidRPr="00AD5090">
        <w:rPr>
          <w:lang w:val="pl-PL"/>
        </w:rPr>
        <w:t xml:space="preserve"> w celu zapewnienia poszanowania prawa rodzinnego </w:t>
      </w:r>
      <w:r w:rsidR="00E91273">
        <w:rPr>
          <w:lang w:val="pl-PL"/>
        </w:rPr>
        <w:t>w drodze</w:t>
      </w:r>
      <w:r w:rsidR="00983205" w:rsidRPr="00AD5090">
        <w:rPr>
          <w:lang w:val="pl-PL"/>
        </w:rPr>
        <w:t xml:space="preserve"> </w:t>
      </w:r>
      <w:r w:rsidR="00E91273">
        <w:rPr>
          <w:lang w:val="pl-PL"/>
        </w:rPr>
        <w:t>rozstrzygnięć sądowych</w:t>
      </w:r>
      <w:r w:rsidR="00983205" w:rsidRPr="00AD5090">
        <w:rPr>
          <w:lang w:val="pl-PL"/>
        </w:rPr>
        <w:t>. Co do postępowania władz krajowych w</w:t>
      </w:r>
      <w:r w:rsidR="00B46F8F">
        <w:rPr>
          <w:lang w:val="pl-PL"/>
        </w:rPr>
        <w:t> </w:t>
      </w:r>
      <w:r w:rsidR="00983205" w:rsidRPr="00AD5090">
        <w:rPr>
          <w:lang w:val="pl-PL"/>
        </w:rPr>
        <w:t xml:space="preserve">niniejszej </w:t>
      </w:r>
      <w:r w:rsidR="0029138D" w:rsidRPr="00AD5090">
        <w:rPr>
          <w:lang w:val="pl-PL"/>
        </w:rPr>
        <w:t>sprawie, nie podlega wątpliwości</w:t>
      </w:r>
      <w:r w:rsidR="00983205" w:rsidRPr="00AD5090">
        <w:rPr>
          <w:lang w:val="pl-PL"/>
        </w:rPr>
        <w:t>, że M.K. niesłusznie zatrzymał przy sobie A. w sierpniu 2009 r. Zwykłym miejscem zamieszkania dziecka była Irlandia, co zostało postanowione przed 2 lipca 2009 r., zanim dziecko przyjechało do Polski. (środek tymczasowy wydany przez Sąd Rejonowy w Ennis, zob. par. </w:t>
      </w:r>
      <w:r w:rsidR="00A55BA4">
        <w:rPr>
          <w:lang w:val="pl-PL"/>
        </w:rPr>
        <w:t>11</w:t>
      </w:r>
      <w:r w:rsidR="00983205" w:rsidRPr="00AD5090">
        <w:rPr>
          <w:lang w:val="pl-PL"/>
        </w:rPr>
        <w:t> powyżej). Dnia 15 września 2009 r. skarżąca otrzymała postanowienie z Sądu Rejonowego przyznającego jej wyłączną opiekę nad A i utrzymujące w mocy, że miejsce zamieszkania dziecka było w Irlandii (zob. par. 11 powyżej). W dniu 17 września 2009 r. ten sam sąd wydał również poświadczenie wykonalności wyroku na mocy art. 42 Rozporządzenia Bruksela II bis.</w:t>
      </w:r>
    </w:p>
    <w:p w:rsidR="00543266" w:rsidRPr="00AD5090" w:rsidRDefault="00FE4A0F" w:rsidP="0058384F">
      <w:pPr>
        <w:pStyle w:val="ECHRPara"/>
        <w:rPr>
          <w:lang w:val="pl-PL"/>
        </w:rPr>
      </w:pPr>
      <w:r>
        <w:rPr>
          <w:lang w:val="pl-PL"/>
        </w:rPr>
        <w:t>90</w:t>
      </w:r>
      <w:r w:rsidR="00EF2D0A" w:rsidRPr="00AD5090">
        <w:rPr>
          <w:lang w:val="pl-PL"/>
        </w:rPr>
        <w:t xml:space="preserve">.  Polskie władze </w:t>
      </w:r>
      <w:r w:rsidR="0029138D" w:rsidRPr="00AD5090">
        <w:rPr>
          <w:lang w:val="pl-PL"/>
        </w:rPr>
        <w:t>wszczę</w:t>
      </w:r>
      <w:r w:rsidR="00EF2D0A" w:rsidRPr="00AD5090">
        <w:rPr>
          <w:lang w:val="pl-PL"/>
        </w:rPr>
        <w:t>ły postępowanie egzekucyjne na podstawie art. 1050 Kodeksu postępowania cywilnego</w:t>
      </w:r>
      <w:r w:rsidR="0029138D" w:rsidRPr="00AD5090">
        <w:rPr>
          <w:lang w:val="pl-PL"/>
        </w:rPr>
        <w:t>.</w:t>
      </w:r>
      <w:r w:rsidR="00EF2D0A" w:rsidRPr="00AD5090">
        <w:rPr>
          <w:lang w:val="pl-PL"/>
        </w:rPr>
        <w:t xml:space="preserve"> Pierwsze postanowienie </w:t>
      </w:r>
      <w:r w:rsidR="0062378B">
        <w:rPr>
          <w:lang w:val="pl-PL"/>
        </w:rPr>
        <w:t>nakazujące wykonanie</w:t>
      </w:r>
      <w:r w:rsidR="00EF2D0A" w:rsidRPr="00AD5090">
        <w:rPr>
          <w:lang w:val="pl-PL"/>
        </w:rPr>
        <w:t xml:space="preserve"> wyroku Sądu Rejonowego w Ennis z dnia 15 września 2009 r. zostało wydane relatywnie szybko, 4 grudnia 2009 r. Jednakże, dalsze postępowanie zostało zawieszone ze względu na toczące się równolegle postępowanie wszczęte przez skarżącą o </w:t>
      </w:r>
      <w:r w:rsidR="0029138D" w:rsidRPr="00AD5090">
        <w:rPr>
          <w:lang w:val="pl-PL"/>
        </w:rPr>
        <w:t>powrót</w:t>
      </w:r>
      <w:r w:rsidR="00EF2D0A" w:rsidRPr="00AD5090">
        <w:rPr>
          <w:lang w:val="pl-PL"/>
        </w:rPr>
        <w:t xml:space="preserve"> dziecka do Irlandii na mocy Konwencji Haskiej. Postępowanie to trwało od września 2009 r. do 18 maja 2010 r. </w:t>
      </w:r>
      <w:r w:rsidR="00C51600">
        <w:rPr>
          <w:lang w:val="pl-PL"/>
        </w:rPr>
        <w:t>przed sądami dwóch instancji</w:t>
      </w:r>
      <w:r w:rsidR="00EF2D0A" w:rsidRPr="00AD5090">
        <w:rPr>
          <w:lang w:val="pl-PL"/>
        </w:rPr>
        <w:t xml:space="preserve">. Trybunał powtórzył, że </w:t>
      </w:r>
      <w:r w:rsidR="00C51600">
        <w:rPr>
          <w:lang w:val="pl-PL"/>
        </w:rPr>
        <w:t>na gruncie</w:t>
      </w:r>
      <w:r w:rsidR="00EF2D0A" w:rsidRPr="00AD5090">
        <w:rPr>
          <w:lang w:val="pl-PL"/>
        </w:rPr>
        <w:t xml:space="preserve"> Konwencji Haskiej jakakolwiek bezczynność trwają</w:t>
      </w:r>
      <w:r w:rsidR="0029138D" w:rsidRPr="00AD5090">
        <w:rPr>
          <w:lang w:val="pl-PL"/>
        </w:rPr>
        <w:t>ca ponad sześć tygodni stanowi</w:t>
      </w:r>
      <w:r w:rsidR="00EF2D0A" w:rsidRPr="00AD5090">
        <w:rPr>
          <w:lang w:val="pl-PL"/>
        </w:rPr>
        <w:t xml:space="preserve"> podstaw</w:t>
      </w:r>
      <w:r w:rsidR="000834A3">
        <w:rPr>
          <w:lang w:val="pl-PL"/>
        </w:rPr>
        <w:t>ę</w:t>
      </w:r>
      <w:r w:rsidR="00EF2D0A" w:rsidRPr="00AD5090">
        <w:rPr>
          <w:lang w:val="pl-PL"/>
        </w:rPr>
        <w:t xml:space="preserve"> do </w:t>
      </w:r>
      <w:r w:rsidR="000834A3">
        <w:rPr>
          <w:lang w:val="pl-PL"/>
        </w:rPr>
        <w:t>ustalenia przyczyn</w:t>
      </w:r>
      <w:r w:rsidR="00EF2D0A" w:rsidRPr="00AD5090">
        <w:rPr>
          <w:lang w:val="pl-PL"/>
        </w:rPr>
        <w:t xml:space="preserve"> takiego opóźnienia (zob., na przykład </w:t>
      </w:r>
      <w:r w:rsidR="00EF2D0A" w:rsidRPr="00AD5090">
        <w:rPr>
          <w:i/>
          <w:iCs/>
          <w:lang w:val="pl-PL"/>
        </w:rPr>
        <w:t>Ignaccolo</w:t>
      </w:r>
      <w:r w:rsidR="00EF2D0A" w:rsidRPr="00AD5090">
        <w:rPr>
          <w:i/>
          <w:iCs/>
          <w:lang w:val="pl-PL"/>
        </w:rPr>
        <w:noBreakHyphen/>
        <w:t>Zenide</w:t>
      </w:r>
      <w:r w:rsidR="00EF2D0A" w:rsidRPr="00AD5090">
        <w:rPr>
          <w:lang w:val="pl-PL"/>
        </w:rPr>
        <w:t xml:space="preserve">, cytowane powyżej, §102). Pomimo, że w niniejszej sprawie </w:t>
      </w:r>
      <w:r w:rsidR="00C545C9">
        <w:rPr>
          <w:lang w:val="pl-PL"/>
        </w:rPr>
        <w:t>sądy zleciły</w:t>
      </w:r>
      <w:r w:rsidR="00EF2D0A" w:rsidRPr="00AD5090">
        <w:rPr>
          <w:lang w:val="pl-PL"/>
        </w:rPr>
        <w:t xml:space="preserve"> biegłemu </w:t>
      </w:r>
      <w:r w:rsidR="00C545C9">
        <w:rPr>
          <w:lang w:val="pl-PL"/>
        </w:rPr>
        <w:t>sporządzenie opinii</w:t>
      </w:r>
      <w:r w:rsidR="00EF2D0A" w:rsidRPr="00AD5090">
        <w:rPr>
          <w:lang w:val="pl-PL"/>
        </w:rPr>
        <w:t xml:space="preserve"> i przesłuchał</w:t>
      </w:r>
      <w:r w:rsidR="00C545C9">
        <w:rPr>
          <w:lang w:val="pl-PL"/>
        </w:rPr>
        <w:t>y</w:t>
      </w:r>
      <w:r w:rsidR="00EF2D0A" w:rsidRPr="00AD5090">
        <w:rPr>
          <w:lang w:val="pl-PL"/>
        </w:rPr>
        <w:t xml:space="preserve"> strony, postępowanie trwało dziewięć miesięcy, co bezpośrednio wpłynęło na długość zawieszenia postępowania egzekucyjnego. Wynik postępowania przeprowadzonego w oparciu o</w:t>
      </w:r>
      <w:r w:rsidR="00B46F8F">
        <w:rPr>
          <w:lang w:val="pl-PL"/>
        </w:rPr>
        <w:t> </w:t>
      </w:r>
      <w:r w:rsidR="00EF2D0A" w:rsidRPr="00AD5090">
        <w:rPr>
          <w:lang w:val="pl-PL"/>
        </w:rPr>
        <w:t xml:space="preserve">Konwencję Haską, w którym Trybunał postanowił o stosowaniu art. 13 lit. b </w:t>
      </w:r>
      <w:r w:rsidR="0029138D" w:rsidRPr="00AD5090">
        <w:rPr>
          <w:lang w:val="pl-PL"/>
        </w:rPr>
        <w:t>tego aktu</w:t>
      </w:r>
      <w:r w:rsidR="00EF2D0A" w:rsidRPr="00AD5090">
        <w:rPr>
          <w:lang w:val="pl-PL"/>
        </w:rPr>
        <w:t xml:space="preserve"> i od</w:t>
      </w:r>
      <w:r w:rsidR="00430369">
        <w:rPr>
          <w:lang w:val="pl-PL"/>
        </w:rPr>
        <w:t>mówił wydania dziecka, stanowił</w:t>
      </w:r>
      <w:r w:rsidR="00EF2D0A" w:rsidRPr="00AD5090">
        <w:rPr>
          <w:lang w:val="pl-PL"/>
        </w:rPr>
        <w:t xml:space="preserve"> podstawę dla Sąd</w:t>
      </w:r>
      <w:r w:rsidR="0029138D" w:rsidRPr="00AD5090">
        <w:rPr>
          <w:lang w:val="pl-PL"/>
        </w:rPr>
        <w:t>u</w:t>
      </w:r>
      <w:r w:rsidR="00EF2D0A" w:rsidRPr="00AD5090">
        <w:rPr>
          <w:lang w:val="pl-PL"/>
        </w:rPr>
        <w:t xml:space="preserve"> Apelacyjnego w Gdańsku do wydania </w:t>
      </w:r>
      <w:r w:rsidR="00430369">
        <w:rPr>
          <w:lang w:val="pl-PL"/>
        </w:rPr>
        <w:t>orzeczenia</w:t>
      </w:r>
      <w:r w:rsidR="00EF2D0A" w:rsidRPr="00AD5090">
        <w:rPr>
          <w:lang w:val="pl-PL"/>
        </w:rPr>
        <w:t xml:space="preserve"> odmawiającego wykonania wyroku irlandzkiego z </w:t>
      </w:r>
      <w:r w:rsidR="00430369">
        <w:rPr>
          <w:lang w:val="pl-PL"/>
        </w:rPr>
        <w:t>dnia 15 września 2009 r. i uchylił</w:t>
      </w:r>
      <w:r w:rsidR="00EF2D0A" w:rsidRPr="00AD5090">
        <w:rPr>
          <w:lang w:val="pl-PL"/>
        </w:rPr>
        <w:t xml:space="preserve"> poprzedni</w:t>
      </w:r>
      <w:r w:rsidR="00430369">
        <w:rPr>
          <w:lang w:val="pl-PL"/>
        </w:rPr>
        <w:t>e</w:t>
      </w:r>
      <w:r w:rsidR="00EF2D0A" w:rsidRPr="00AD5090">
        <w:rPr>
          <w:lang w:val="pl-PL"/>
        </w:rPr>
        <w:t xml:space="preserve"> </w:t>
      </w:r>
      <w:r w:rsidR="00430369">
        <w:rPr>
          <w:lang w:val="pl-PL"/>
        </w:rPr>
        <w:t>postanowienie</w:t>
      </w:r>
      <w:r w:rsidR="00EF2D0A" w:rsidRPr="00AD5090">
        <w:rPr>
          <w:lang w:val="pl-PL"/>
        </w:rPr>
        <w:t xml:space="preserve"> z </w:t>
      </w:r>
      <w:r w:rsidR="00430369">
        <w:rPr>
          <w:lang w:val="pl-PL"/>
        </w:rPr>
        <w:t xml:space="preserve">dnia </w:t>
      </w:r>
      <w:r w:rsidR="00EF2D0A" w:rsidRPr="00AD5090">
        <w:rPr>
          <w:lang w:val="pl-PL"/>
        </w:rPr>
        <w:t>4 grudnia 2009 r.</w:t>
      </w:r>
    </w:p>
    <w:p w:rsidR="001F0239" w:rsidRPr="00AD5090" w:rsidRDefault="00FE4A0F" w:rsidP="00DD150A">
      <w:pPr>
        <w:pStyle w:val="ECHRPara"/>
        <w:rPr>
          <w:lang w:val="pl-PL"/>
        </w:rPr>
      </w:pPr>
      <w:r>
        <w:rPr>
          <w:lang w:val="pl-PL"/>
        </w:rPr>
        <w:t>91</w:t>
      </w:r>
      <w:r w:rsidR="00B1598D" w:rsidRPr="00AD5090">
        <w:rPr>
          <w:lang w:val="pl-PL"/>
        </w:rPr>
        <w:t xml:space="preserve">.  Następnie, postępowanie egzekucyjne zostało na długi czas zawieszone, ze względu na </w:t>
      </w:r>
      <w:r w:rsidR="00E258AD">
        <w:rPr>
          <w:lang w:val="pl-PL"/>
        </w:rPr>
        <w:t>skargę kasacyjną</w:t>
      </w:r>
      <w:r w:rsidR="00B1598D" w:rsidRPr="00AD5090">
        <w:rPr>
          <w:lang w:val="pl-PL"/>
        </w:rPr>
        <w:t xml:space="preserve"> </w:t>
      </w:r>
      <w:r w:rsidR="00E258AD">
        <w:rPr>
          <w:lang w:val="pl-PL"/>
        </w:rPr>
        <w:t>wniesioną</w:t>
      </w:r>
      <w:r w:rsidR="00B1598D" w:rsidRPr="00AD5090">
        <w:rPr>
          <w:lang w:val="pl-PL"/>
        </w:rPr>
        <w:t xml:space="preserve"> do Sądu Najwyższego. Po upływie jednego roku Sąd Najwyższy uchylił wyrok Sądu Apelacyjnego</w:t>
      </w:r>
      <w:r w:rsidR="00E258AD">
        <w:rPr>
          <w:lang w:val="pl-PL"/>
        </w:rPr>
        <w:t xml:space="preserve"> w Gdańsku</w:t>
      </w:r>
      <w:r w:rsidR="00B1598D" w:rsidRPr="00AD5090">
        <w:rPr>
          <w:lang w:val="pl-PL"/>
        </w:rPr>
        <w:t xml:space="preserve"> </w:t>
      </w:r>
      <w:r w:rsidR="00DD150A">
        <w:rPr>
          <w:lang w:val="pl-PL"/>
        </w:rPr>
        <w:t>z 22 czerwca 2010 r., powtórzył</w:t>
      </w:r>
      <w:r w:rsidR="00B1598D" w:rsidRPr="00AD5090">
        <w:rPr>
          <w:lang w:val="pl-PL"/>
        </w:rPr>
        <w:t xml:space="preserve"> bezpoś</w:t>
      </w:r>
      <w:r w:rsidR="0029138D" w:rsidRPr="00AD5090">
        <w:rPr>
          <w:lang w:val="pl-PL"/>
        </w:rPr>
        <w:t>rednie stosowanie Rozporządzenia</w:t>
      </w:r>
      <w:r w:rsidR="00B1598D" w:rsidRPr="00AD5090">
        <w:rPr>
          <w:lang w:val="pl-PL"/>
        </w:rPr>
        <w:t xml:space="preserve"> Bruksela II </w:t>
      </w:r>
      <w:r w:rsidR="00B1598D" w:rsidRPr="00AD5090">
        <w:rPr>
          <w:i/>
          <w:lang w:val="pl-PL"/>
        </w:rPr>
        <w:t>bis</w:t>
      </w:r>
      <w:r w:rsidR="00B1598D" w:rsidRPr="00AD5090">
        <w:rPr>
          <w:lang w:val="pl-PL"/>
        </w:rPr>
        <w:t xml:space="preserve"> </w:t>
      </w:r>
      <w:r w:rsidR="00DD150A">
        <w:rPr>
          <w:lang w:val="pl-PL"/>
        </w:rPr>
        <w:t xml:space="preserve">oraz </w:t>
      </w:r>
      <w:r w:rsidR="00963686" w:rsidRPr="00DD150A">
        <w:rPr>
          <w:rFonts w:ascii="Times New Roman" w:hAnsi="Times New Roman" w:cs="Times New Roman"/>
          <w:color w:val="222222"/>
          <w:lang w:val="pl-PL"/>
        </w:rPr>
        <w:t>podkreślił fakt, że decyzji odmownej w sprawie powrotu wydanej na podstawie art. 13 konwencji haskiej nie można uznać za decyzję w sprawie opieki</w:t>
      </w:r>
      <w:r w:rsidR="00B1598D" w:rsidRPr="00AD5090">
        <w:rPr>
          <w:lang w:val="pl-PL"/>
        </w:rPr>
        <w:t>. Trybunał stwierdził, że po wydaniu tego wyroku, władze pozostały bezczynne przez następne sześć miesięcy. Dla tego opóźnienia nie ma żadnego wyjaśnienia.</w:t>
      </w:r>
      <w:r w:rsidR="00B46F8F">
        <w:rPr>
          <w:lang w:val="pl-PL"/>
        </w:rPr>
        <w:t xml:space="preserve"> </w:t>
      </w:r>
      <w:r w:rsidR="00B1598D" w:rsidRPr="00AD5090">
        <w:rPr>
          <w:lang w:val="pl-PL"/>
        </w:rPr>
        <w:t>W</w:t>
      </w:r>
      <w:r w:rsidR="00B46F8F">
        <w:rPr>
          <w:lang w:val="pl-PL"/>
        </w:rPr>
        <w:t> </w:t>
      </w:r>
      <w:r w:rsidR="00B1598D" w:rsidRPr="00AD5090">
        <w:rPr>
          <w:lang w:val="pl-PL"/>
        </w:rPr>
        <w:t>konsekwencji, postępowanie wszczęte przez skarżącą w celu nadania wykonalności wyroku z dnia 15 września 2009 r. nie zakończyło się do lu</w:t>
      </w:r>
      <w:r w:rsidR="0029138D" w:rsidRPr="00AD5090">
        <w:rPr>
          <w:lang w:val="pl-PL"/>
        </w:rPr>
        <w:t>tego 2012 r.. Skutkiem była</w:t>
      </w:r>
      <w:r w:rsidR="00B1598D" w:rsidRPr="00AD5090">
        <w:rPr>
          <w:lang w:val="pl-PL"/>
        </w:rPr>
        <w:t xml:space="preserve"> odmowa wykonania wyroku, ponieważ w</w:t>
      </w:r>
      <w:r w:rsidR="00B46F8F">
        <w:rPr>
          <w:lang w:val="pl-PL"/>
        </w:rPr>
        <w:t> </w:t>
      </w:r>
      <w:r w:rsidR="00B1598D" w:rsidRPr="00AD5090">
        <w:rPr>
          <w:lang w:val="pl-PL"/>
        </w:rPr>
        <w:t xml:space="preserve">międzyczasie sądy irlandzkie wydały nowy wyrok dotyczący </w:t>
      </w:r>
      <w:r w:rsidR="00C86813">
        <w:rPr>
          <w:lang w:val="pl-PL"/>
        </w:rPr>
        <w:t xml:space="preserve">władzy </w:t>
      </w:r>
      <w:r w:rsidR="00B1598D" w:rsidRPr="00AD5090">
        <w:rPr>
          <w:lang w:val="pl-PL"/>
        </w:rPr>
        <w:t>rodzicielskiej (postanowienie z dnia 9 września 2011 r., zob. par. 27 powyżej).</w:t>
      </w:r>
    </w:p>
    <w:p w:rsidR="00543266" w:rsidRPr="00AD5090" w:rsidRDefault="00FE4A0F" w:rsidP="00F81C16">
      <w:pPr>
        <w:pStyle w:val="ECHRPara"/>
        <w:rPr>
          <w:lang w:val="pl-PL"/>
        </w:rPr>
      </w:pPr>
      <w:r>
        <w:rPr>
          <w:lang w:val="pl-PL"/>
        </w:rPr>
        <w:t>92</w:t>
      </w:r>
      <w:r w:rsidR="007053F2" w:rsidRPr="00AD5090">
        <w:rPr>
          <w:lang w:val="pl-PL"/>
        </w:rPr>
        <w:t xml:space="preserve">.  Wykonanie wyroku z dnia 9 września 2011 r., </w:t>
      </w:r>
      <w:r w:rsidR="00C86813">
        <w:rPr>
          <w:lang w:val="pl-PL"/>
        </w:rPr>
        <w:t>zainicjowane</w:t>
      </w:r>
      <w:r w:rsidR="007053F2" w:rsidRPr="00AD5090">
        <w:rPr>
          <w:lang w:val="pl-PL"/>
        </w:rPr>
        <w:t xml:space="preserve"> w</w:t>
      </w:r>
      <w:r w:rsidR="00B46F8F">
        <w:rPr>
          <w:lang w:val="pl-PL"/>
        </w:rPr>
        <w:t> </w:t>
      </w:r>
      <w:r w:rsidR="007053F2" w:rsidRPr="00AD5090">
        <w:rPr>
          <w:lang w:val="pl-PL"/>
        </w:rPr>
        <w:t>październiku 2011 r., faktycznie nie rozpoczęło się do maja 2012 r. Irlandzkie i polskie władze centralne korespondowały ze sobą w trakcie tych siedmiu miesięcy. Rząd nie przedstawił żadnego wyjaśnienia dla braku podjęcia czynności. P</w:t>
      </w:r>
      <w:r w:rsidR="0029138D" w:rsidRPr="00AD5090">
        <w:rPr>
          <w:lang w:val="pl-PL"/>
        </w:rPr>
        <w:t xml:space="preserve">omimo, że </w:t>
      </w:r>
      <w:r w:rsidR="005B1A8A">
        <w:rPr>
          <w:lang w:val="pl-PL"/>
        </w:rPr>
        <w:t xml:space="preserve">w dniu </w:t>
      </w:r>
      <w:r w:rsidR="0029138D" w:rsidRPr="00AD5090">
        <w:rPr>
          <w:lang w:val="pl-PL"/>
        </w:rPr>
        <w:t>28 czerwca 2012 r.</w:t>
      </w:r>
      <w:r w:rsidR="007053F2" w:rsidRPr="00AD5090">
        <w:rPr>
          <w:lang w:val="pl-PL"/>
        </w:rPr>
        <w:t xml:space="preserve"> Sąd Rejonowy w Malborku </w:t>
      </w:r>
      <w:r w:rsidR="005B1A8A">
        <w:rPr>
          <w:lang w:val="pl-PL"/>
        </w:rPr>
        <w:t>zdecydował o odebraniu</w:t>
      </w:r>
      <w:r w:rsidR="007053F2" w:rsidRPr="00AD5090">
        <w:rPr>
          <w:lang w:val="pl-PL"/>
        </w:rPr>
        <w:t xml:space="preserve"> dzieck</w:t>
      </w:r>
      <w:r w:rsidR="0029138D" w:rsidRPr="00AD5090">
        <w:rPr>
          <w:lang w:val="pl-PL"/>
        </w:rPr>
        <w:t>a, zgodnie z wyrokiem irlandzki</w:t>
      </w:r>
      <w:r w:rsidR="007053F2" w:rsidRPr="00AD5090">
        <w:rPr>
          <w:lang w:val="pl-PL"/>
        </w:rPr>
        <w:t xml:space="preserve">m, postanowienie to zostało uchylone </w:t>
      </w:r>
      <w:r w:rsidR="005B1A8A">
        <w:rPr>
          <w:lang w:val="pl-PL"/>
        </w:rPr>
        <w:t xml:space="preserve">w dniu </w:t>
      </w:r>
      <w:r w:rsidR="007053F2" w:rsidRPr="00AD5090">
        <w:rPr>
          <w:lang w:val="pl-PL"/>
        </w:rPr>
        <w:t xml:space="preserve">7 września 2012 r. Polski sąd uznał, że rok szkolny, który A. miała spędzić w Irlandii właśnie się skończył i zgodnie z wyrokiem </w:t>
      </w:r>
      <w:r w:rsidR="005B1A8A">
        <w:rPr>
          <w:lang w:val="pl-PL"/>
        </w:rPr>
        <w:t xml:space="preserve">sądu irlandzkiego </w:t>
      </w:r>
      <w:r w:rsidR="007053F2" w:rsidRPr="00AD5090">
        <w:rPr>
          <w:lang w:val="pl-PL"/>
        </w:rPr>
        <w:t xml:space="preserve">z </w:t>
      </w:r>
      <w:r w:rsidR="005B1A8A">
        <w:rPr>
          <w:lang w:val="pl-PL"/>
        </w:rPr>
        <w:t xml:space="preserve">dnia </w:t>
      </w:r>
      <w:r w:rsidR="007053F2" w:rsidRPr="00AD5090">
        <w:rPr>
          <w:lang w:val="pl-PL"/>
        </w:rPr>
        <w:t xml:space="preserve">9 września 2011 r. A. miała zacząć nowy rok szkolny w Polsce. </w:t>
      </w:r>
      <w:r w:rsidR="00F81C16" w:rsidRPr="00F81C16">
        <w:rPr>
          <w:rFonts w:ascii="Times New Roman" w:hAnsi="Times New Roman" w:cs="Times New Roman"/>
          <w:color w:val="222222"/>
          <w:lang w:val="pl-PL"/>
        </w:rPr>
        <w:t>Takie podejście uznano za nieprawidłowe w późniejsz</w:t>
      </w:r>
      <w:r w:rsidR="00F81C16">
        <w:rPr>
          <w:rFonts w:ascii="Times New Roman" w:hAnsi="Times New Roman" w:cs="Times New Roman"/>
          <w:color w:val="222222"/>
          <w:lang w:val="pl-PL"/>
        </w:rPr>
        <w:t>ym</w:t>
      </w:r>
      <w:r w:rsidR="00F81C16" w:rsidRPr="00F81C16">
        <w:rPr>
          <w:rFonts w:ascii="Times New Roman" w:hAnsi="Times New Roman" w:cs="Times New Roman"/>
          <w:color w:val="222222"/>
          <w:lang w:val="pl-PL"/>
        </w:rPr>
        <w:t xml:space="preserve"> </w:t>
      </w:r>
      <w:r w:rsidR="00F81C16">
        <w:rPr>
          <w:rFonts w:ascii="Times New Roman" w:hAnsi="Times New Roman" w:cs="Times New Roman"/>
          <w:color w:val="222222"/>
          <w:lang w:val="pl-PL"/>
        </w:rPr>
        <w:t>rozstrzygnięciu</w:t>
      </w:r>
      <w:r w:rsidR="00F81C16" w:rsidRPr="00F81C16">
        <w:rPr>
          <w:rFonts w:ascii="Times New Roman" w:hAnsi="Times New Roman" w:cs="Times New Roman"/>
          <w:color w:val="222222"/>
          <w:lang w:val="pl-PL"/>
        </w:rPr>
        <w:t xml:space="preserve"> z dnia</w:t>
      </w:r>
      <w:r w:rsidR="007053F2" w:rsidRPr="00AD5090">
        <w:rPr>
          <w:lang w:val="pl-PL"/>
        </w:rPr>
        <w:t xml:space="preserve"> 12 listopada 2012 r., w którym również uznano postanowienie o </w:t>
      </w:r>
      <w:r w:rsidR="00F81C16">
        <w:rPr>
          <w:lang w:val="pl-PL"/>
        </w:rPr>
        <w:t>odebraniu</w:t>
      </w:r>
      <w:r w:rsidR="007053F2" w:rsidRPr="00AD5090">
        <w:rPr>
          <w:lang w:val="pl-PL"/>
        </w:rPr>
        <w:t xml:space="preserve"> dziecka za obowiązujące i ważne. Do tego czasu skarżąca zabrała A. do Irlandii.</w:t>
      </w:r>
    </w:p>
    <w:p w:rsidR="00F8095C" w:rsidRPr="00AD5090" w:rsidRDefault="00FE4A0F" w:rsidP="0058384F">
      <w:pPr>
        <w:pStyle w:val="ECHRPara"/>
        <w:rPr>
          <w:lang w:val="pl-PL"/>
        </w:rPr>
      </w:pPr>
      <w:r>
        <w:rPr>
          <w:lang w:val="pl-PL"/>
        </w:rPr>
        <w:t>93</w:t>
      </w:r>
      <w:r w:rsidR="00C64198" w:rsidRPr="00AD5090">
        <w:rPr>
          <w:lang w:val="pl-PL"/>
        </w:rPr>
        <w:t xml:space="preserve">.  Trybunał </w:t>
      </w:r>
      <w:r w:rsidR="0015526B">
        <w:rPr>
          <w:lang w:val="pl-PL"/>
        </w:rPr>
        <w:t>stwierdza</w:t>
      </w:r>
      <w:r w:rsidR="00C64198" w:rsidRPr="00AD5090">
        <w:rPr>
          <w:lang w:val="pl-PL"/>
        </w:rPr>
        <w:t>, że przez pierwsze siedem miesięcy wyrok z dnia 7 września 2011 r. nie był wykonywany oraz, że uznanie wyroku sądu irlandzkie</w:t>
      </w:r>
      <w:r w:rsidR="0015526B">
        <w:rPr>
          <w:lang w:val="pl-PL"/>
        </w:rPr>
        <w:t>go za obowiązujący i wykonalny</w:t>
      </w:r>
      <w:r w:rsidR="0029138D" w:rsidRPr="00AD5090">
        <w:rPr>
          <w:lang w:val="pl-PL"/>
        </w:rPr>
        <w:t xml:space="preserve"> </w:t>
      </w:r>
      <w:r w:rsidR="00C64198" w:rsidRPr="00AD5090">
        <w:rPr>
          <w:lang w:val="pl-PL"/>
        </w:rPr>
        <w:t>faktycznie zajęło</w:t>
      </w:r>
      <w:r w:rsidR="0029138D" w:rsidRPr="00AD5090">
        <w:rPr>
          <w:lang w:val="pl-PL"/>
        </w:rPr>
        <w:t xml:space="preserve"> władzom polskim</w:t>
      </w:r>
      <w:r w:rsidR="00C64198" w:rsidRPr="00AD5090">
        <w:rPr>
          <w:lang w:val="pl-PL"/>
        </w:rPr>
        <w:t xml:space="preserve"> ponad rok. Skarżąca przez cały ten okres nie miała kontaktu ze swoją córką.</w:t>
      </w:r>
    </w:p>
    <w:p w:rsidR="00A406DE" w:rsidRPr="00AD5090" w:rsidRDefault="00FE4A0F" w:rsidP="0058384F">
      <w:pPr>
        <w:pStyle w:val="ECHRPara"/>
        <w:rPr>
          <w:lang w:val="pl-PL"/>
        </w:rPr>
      </w:pPr>
      <w:r>
        <w:rPr>
          <w:lang w:val="pl-PL"/>
        </w:rPr>
        <w:t>94</w:t>
      </w:r>
      <w:r w:rsidR="00D134C6" w:rsidRPr="00AD5090">
        <w:rPr>
          <w:lang w:val="pl-PL"/>
        </w:rPr>
        <w:t>.  Trybunał zauważył, że irlandzkie i polskie sądy w trakcie badania rodz</w:t>
      </w:r>
      <w:r w:rsidR="0029138D" w:rsidRPr="00AD5090">
        <w:rPr>
          <w:lang w:val="pl-PL"/>
        </w:rPr>
        <w:t>innej sytuacji skarżącej, M.K. i</w:t>
      </w:r>
      <w:r w:rsidR="00D134C6" w:rsidRPr="00AD5090">
        <w:rPr>
          <w:lang w:val="pl-PL"/>
        </w:rPr>
        <w:t xml:space="preserve"> A. doszły do innych wniosków w</w:t>
      </w:r>
      <w:r w:rsidR="00B46F8F">
        <w:rPr>
          <w:lang w:val="pl-PL"/>
        </w:rPr>
        <w:t> </w:t>
      </w:r>
      <w:r w:rsidR="00D134C6" w:rsidRPr="00AD5090">
        <w:rPr>
          <w:lang w:val="pl-PL"/>
        </w:rPr>
        <w:t>kwestii tego, co jest w najlepszym interesie A. Pragnienia A. zostały wzięte pod uwagę przez władze polskie, które przywiązały wagę do jej chęci pozostania w Polsce. Podobnie biegli optowali za pozostaniem A. w</w:t>
      </w:r>
      <w:r w:rsidR="00B46F8F">
        <w:rPr>
          <w:lang w:val="pl-PL"/>
        </w:rPr>
        <w:t> </w:t>
      </w:r>
      <w:r w:rsidR="00D134C6" w:rsidRPr="00AD5090">
        <w:rPr>
          <w:lang w:val="pl-PL"/>
        </w:rPr>
        <w:t>Polsce, ponieważ podobało się jej życie w Malborku, odnosiła sukcesy w szkole oraz miała silny i stabilny związek z ojcem. Ilość równolegl</w:t>
      </w:r>
      <w:r w:rsidR="0029138D" w:rsidRPr="00AD5090">
        <w:rPr>
          <w:lang w:val="pl-PL"/>
        </w:rPr>
        <w:t>e toczących się postępowań w obu</w:t>
      </w:r>
      <w:r w:rsidR="00D134C6" w:rsidRPr="00AD5090">
        <w:rPr>
          <w:lang w:val="pl-PL"/>
        </w:rPr>
        <w:t xml:space="preserve"> </w:t>
      </w:r>
      <w:r w:rsidR="003C5B35">
        <w:rPr>
          <w:lang w:val="pl-PL"/>
        </w:rPr>
        <w:t>krajach</w:t>
      </w:r>
      <w:r w:rsidR="00D134C6" w:rsidRPr="00AD5090">
        <w:rPr>
          <w:lang w:val="pl-PL"/>
        </w:rPr>
        <w:t>, jak wyjaśniono powyżej, skutkowała wyda</w:t>
      </w:r>
      <w:r w:rsidR="0029138D" w:rsidRPr="00AD5090">
        <w:rPr>
          <w:lang w:val="pl-PL"/>
        </w:rPr>
        <w:t>wa</w:t>
      </w:r>
      <w:r w:rsidR="00D134C6" w:rsidRPr="00AD5090">
        <w:rPr>
          <w:lang w:val="pl-PL"/>
        </w:rPr>
        <w:t xml:space="preserve">niem sprzecznych orzeczeń. Na przykład </w:t>
      </w:r>
      <w:r w:rsidR="003C5B35">
        <w:rPr>
          <w:lang w:val="pl-PL"/>
        </w:rPr>
        <w:t>zarządzeniem</w:t>
      </w:r>
      <w:r w:rsidR="00D134C6" w:rsidRPr="00AD5090">
        <w:rPr>
          <w:lang w:val="pl-PL"/>
        </w:rPr>
        <w:t xml:space="preserve"> tymczasowym z</w:t>
      </w:r>
      <w:r w:rsidR="003C5B35">
        <w:rPr>
          <w:lang w:val="pl-PL"/>
        </w:rPr>
        <w:t xml:space="preserve"> dnia</w:t>
      </w:r>
      <w:r w:rsidR="00D134C6" w:rsidRPr="00AD5090">
        <w:rPr>
          <w:lang w:val="pl-PL"/>
        </w:rPr>
        <w:t xml:space="preserve"> 4 lipca 2011 r. przyznano M.K. prawo do opieki i</w:t>
      </w:r>
      <w:r w:rsidR="00B46F8F">
        <w:rPr>
          <w:lang w:val="pl-PL"/>
        </w:rPr>
        <w:t> </w:t>
      </w:r>
      <w:r w:rsidR="00D134C6" w:rsidRPr="00AD5090">
        <w:rPr>
          <w:lang w:val="pl-PL"/>
        </w:rPr>
        <w:t>postanowiono, że miejscem zamieszkania A. będzie Polska. Postanowienie to, mając na uwadze postępowanie rozwodowe, nie zostało uchylone i</w:t>
      </w:r>
      <w:r w:rsidR="00B46F8F">
        <w:rPr>
          <w:lang w:val="pl-PL"/>
        </w:rPr>
        <w:t> </w:t>
      </w:r>
      <w:r w:rsidR="00D134C6" w:rsidRPr="00AD5090">
        <w:rPr>
          <w:lang w:val="pl-PL"/>
        </w:rPr>
        <w:t>pozostało w mocy do chwili udzielenia rozwodu w dniu 30 października 2013 r.</w:t>
      </w:r>
    </w:p>
    <w:p w:rsidR="00543266" w:rsidRPr="00AD5090" w:rsidRDefault="00FE4A0F" w:rsidP="0058384F">
      <w:pPr>
        <w:pStyle w:val="ECHRPara"/>
        <w:rPr>
          <w:lang w:val="pl-PL"/>
        </w:rPr>
      </w:pPr>
      <w:r>
        <w:rPr>
          <w:lang w:val="pl-PL"/>
        </w:rPr>
        <w:t>95</w:t>
      </w:r>
      <w:r w:rsidR="00D134C6" w:rsidRPr="00AD5090">
        <w:rPr>
          <w:lang w:val="pl-PL"/>
        </w:rPr>
        <w:t xml:space="preserve">.  Trybunał zauważył również, że trudności w wykonaniu orzeczenia </w:t>
      </w:r>
      <w:r w:rsidR="002A6D84">
        <w:rPr>
          <w:lang w:val="pl-PL"/>
        </w:rPr>
        <w:t xml:space="preserve">sądu </w:t>
      </w:r>
      <w:r w:rsidR="00D134C6" w:rsidRPr="00AD5090">
        <w:rPr>
          <w:lang w:val="pl-PL"/>
        </w:rPr>
        <w:t>irlandzkiego wynikał</w:t>
      </w:r>
      <w:r w:rsidR="002A6D84">
        <w:rPr>
          <w:lang w:val="pl-PL"/>
        </w:rPr>
        <w:t>y</w:t>
      </w:r>
      <w:r w:rsidR="0029138D" w:rsidRPr="00AD5090">
        <w:rPr>
          <w:lang w:val="pl-PL"/>
        </w:rPr>
        <w:t xml:space="preserve"> częściowo z niechęci ojca do powrotu</w:t>
      </w:r>
      <w:r w:rsidR="00D134C6" w:rsidRPr="00AD5090">
        <w:rPr>
          <w:lang w:val="pl-PL"/>
        </w:rPr>
        <w:t xml:space="preserve"> dziecka do Irlandii. Trybunał jest świadomy, że kwestie dotyczące</w:t>
      </w:r>
      <w:r w:rsidR="0029138D" w:rsidRPr="00AD5090">
        <w:rPr>
          <w:lang w:val="pl-PL"/>
        </w:rPr>
        <w:t xml:space="preserve"> kontaktu i</w:t>
      </w:r>
      <w:r w:rsidR="00B46F8F">
        <w:rPr>
          <w:lang w:val="pl-PL"/>
        </w:rPr>
        <w:t> </w:t>
      </w:r>
      <w:r w:rsidR="0029138D" w:rsidRPr="00AD5090">
        <w:rPr>
          <w:lang w:val="pl-PL"/>
        </w:rPr>
        <w:t>miejsca zamieszkania</w:t>
      </w:r>
      <w:r w:rsidR="00D134C6" w:rsidRPr="00AD5090">
        <w:rPr>
          <w:lang w:val="pl-PL"/>
        </w:rPr>
        <w:t xml:space="preserve"> są</w:t>
      </w:r>
      <w:r w:rsidR="0029138D" w:rsidRPr="00AD5090">
        <w:rPr>
          <w:lang w:val="pl-PL"/>
        </w:rPr>
        <w:t xml:space="preserve"> kwestiami</w:t>
      </w:r>
      <w:r w:rsidR="00D134C6" w:rsidRPr="00AD5090">
        <w:rPr>
          <w:lang w:val="pl-PL"/>
        </w:rPr>
        <w:t xml:space="preserve"> wyjątkowo delikatnej natury dla wszystkich zaangażowanych stron i</w:t>
      </w:r>
      <w:r w:rsidR="0029138D" w:rsidRPr="00AD5090">
        <w:rPr>
          <w:lang w:val="pl-PL"/>
        </w:rPr>
        <w:t xml:space="preserve"> władze krajowe nie mają łatwego zadania przy zapewnieniu</w:t>
      </w:r>
      <w:r w:rsidR="00D134C6" w:rsidRPr="00AD5090">
        <w:rPr>
          <w:lang w:val="pl-PL"/>
        </w:rPr>
        <w:t xml:space="preserve"> wykonania </w:t>
      </w:r>
      <w:r w:rsidR="002A6D84">
        <w:rPr>
          <w:lang w:val="pl-PL"/>
        </w:rPr>
        <w:t>orzeczenia nakazującego powrót</w:t>
      </w:r>
      <w:r w:rsidR="00D134C6" w:rsidRPr="00AD5090">
        <w:rPr>
          <w:lang w:val="pl-PL"/>
        </w:rPr>
        <w:t xml:space="preserve">, gdy zachowanie jednego lub dwojga rodziców jest dalekie od konstruktywnego (zob. </w:t>
      </w:r>
      <w:r w:rsidR="00D134C6" w:rsidRPr="00AD5090">
        <w:rPr>
          <w:i/>
          <w:iCs/>
          <w:lang w:val="pl-PL"/>
        </w:rPr>
        <w:t>Krasicki przeciwko Polsce</w:t>
      </w:r>
      <w:r w:rsidR="00D134C6" w:rsidRPr="00AD5090">
        <w:rPr>
          <w:lang w:val="pl-PL"/>
        </w:rPr>
        <w:t>, nr 17254/11</w:t>
      </w:r>
      <w:r w:rsidR="00D134C6" w:rsidRPr="00AD5090">
        <w:rPr>
          <w:snapToGrid w:val="0"/>
          <w:color w:val="000000"/>
          <w:lang w:val="pl-PL"/>
        </w:rPr>
        <w:t>, § 90, 15 kwietnia 2014 r.</w:t>
      </w:r>
      <w:r w:rsidR="00D134C6" w:rsidRPr="00AD5090">
        <w:rPr>
          <w:lang w:val="pl-PL"/>
        </w:rPr>
        <w:t>).</w:t>
      </w:r>
    </w:p>
    <w:p w:rsidR="00543266" w:rsidRPr="00AD5090" w:rsidRDefault="00FE4A0F" w:rsidP="0058384F">
      <w:pPr>
        <w:pStyle w:val="ECHRPara"/>
        <w:rPr>
          <w:lang w:val="pl-PL"/>
        </w:rPr>
      </w:pPr>
      <w:r>
        <w:rPr>
          <w:lang w:val="pl-PL"/>
        </w:rPr>
        <w:t>96</w:t>
      </w:r>
      <w:r w:rsidR="00C515C2" w:rsidRPr="00AD5090">
        <w:rPr>
          <w:lang w:val="pl-PL"/>
        </w:rPr>
        <w:t xml:space="preserve">.  Trybunał </w:t>
      </w:r>
      <w:r w:rsidR="002A6D84">
        <w:rPr>
          <w:lang w:val="pl-PL"/>
        </w:rPr>
        <w:t>uznał</w:t>
      </w:r>
      <w:r w:rsidR="00C515C2" w:rsidRPr="00AD5090">
        <w:rPr>
          <w:lang w:val="pl-PL"/>
        </w:rPr>
        <w:t xml:space="preserve">, że postępowania uproszczone mogą być </w:t>
      </w:r>
      <w:r w:rsidR="00D308CB">
        <w:rPr>
          <w:lang w:val="pl-PL"/>
        </w:rPr>
        <w:t>niezbędne</w:t>
      </w:r>
      <w:r w:rsidR="00C515C2" w:rsidRPr="00AD5090">
        <w:rPr>
          <w:lang w:val="pl-PL"/>
        </w:rPr>
        <w:t xml:space="preserve"> do wykonania postanowień </w:t>
      </w:r>
      <w:r w:rsidR="00D308CB">
        <w:rPr>
          <w:lang w:val="pl-PL"/>
        </w:rPr>
        <w:t>o</w:t>
      </w:r>
      <w:r w:rsidR="00C515C2" w:rsidRPr="00AD5090">
        <w:rPr>
          <w:lang w:val="pl-PL"/>
        </w:rPr>
        <w:t xml:space="preserve"> powrocie - na podstawie Konwencji Haskiej lub Rozporządzenia Bruksela II </w:t>
      </w:r>
      <w:r w:rsidR="00C515C2" w:rsidRPr="00AD5090">
        <w:rPr>
          <w:i/>
          <w:lang w:val="pl-PL"/>
        </w:rPr>
        <w:t>bis</w:t>
      </w:r>
      <w:r w:rsidR="00C515C2" w:rsidRPr="00AD5090">
        <w:rPr>
          <w:lang w:val="pl-PL"/>
        </w:rPr>
        <w:t xml:space="preserve"> - </w:t>
      </w:r>
      <w:r w:rsidR="00D308CB">
        <w:rPr>
          <w:lang w:val="pl-PL"/>
        </w:rPr>
        <w:t>z</w:t>
      </w:r>
      <w:r w:rsidR="00C515C2" w:rsidRPr="00AD5090">
        <w:rPr>
          <w:lang w:val="pl-PL"/>
        </w:rPr>
        <w:t xml:space="preserve"> kilk</w:t>
      </w:r>
      <w:r w:rsidR="00D308CB">
        <w:rPr>
          <w:lang w:val="pl-PL"/>
        </w:rPr>
        <w:t>u</w:t>
      </w:r>
      <w:r w:rsidR="00C515C2" w:rsidRPr="00AD5090">
        <w:rPr>
          <w:lang w:val="pl-PL"/>
        </w:rPr>
        <w:t xml:space="preserve"> p</w:t>
      </w:r>
      <w:r w:rsidR="00D308CB">
        <w:rPr>
          <w:lang w:val="pl-PL"/>
        </w:rPr>
        <w:t>rzyczyn</w:t>
      </w:r>
      <w:r w:rsidR="00C515C2" w:rsidRPr="00AD5090">
        <w:rPr>
          <w:lang w:val="pl-PL"/>
        </w:rPr>
        <w:t xml:space="preserve">. Nie </w:t>
      </w:r>
      <w:r w:rsidR="00573ADA">
        <w:rPr>
          <w:lang w:val="pl-PL"/>
        </w:rPr>
        <w:t>p</w:t>
      </w:r>
      <w:r w:rsidR="0029138D" w:rsidRPr="00AD5090">
        <w:rPr>
          <w:lang w:val="pl-PL"/>
        </w:rPr>
        <w:t>omijając</w:t>
      </w:r>
      <w:r w:rsidR="00C515C2" w:rsidRPr="00AD5090">
        <w:rPr>
          <w:lang w:val="pl-PL"/>
        </w:rPr>
        <w:t xml:space="preserve"> faktu, że postępowanie egzekucyjne powinno chronić prawa osób zaangażowanych, </w:t>
      </w:r>
      <w:r w:rsidR="00573ADA">
        <w:rPr>
          <w:lang w:val="pl-PL"/>
        </w:rPr>
        <w:t>uwzględniając</w:t>
      </w:r>
      <w:r w:rsidR="00C515C2" w:rsidRPr="00AD5090">
        <w:rPr>
          <w:lang w:val="pl-PL"/>
        </w:rPr>
        <w:t xml:space="preserve"> nadrzędne znaczenie interesu dziecka, Trybunał zauważ</w:t>
      </w:r>
      <w:r w:rsidR="001F3F10">
        <w:rPr>
          <w:lang w:val="pl-PL"/>
        </w:rPr>
        <w:t>a</w:t>
      </w:r>
      <w:r w:rsidR="00C515C2" w:rsidRPr="00AD5090">
        <w:rPr>
          <w:lang w:val="pl-PL"/>
        </w:rPr>
        <w:t xml:space="preserve">, że </w:t>
      </w:r>
      <w:r w:rsidR="001F3F10">
        <w:rPr>
          <w:lang w:val="pl-PL"/>
        </w:rPr>
        <w:t>charakter</w:t>
      </w:r>
      <w:r w:rsidR="00C515C2" w:rsidRPr="00AD5090">
        <w:rPr>
          <w:lang w:val="pl-PL"/>
        </w:rPr>
        <w:t xml:space="preserve"> takiego postępowania </w:t>
      </w:r>
      <w:r w:rsidR="001F3F10">
        <w:rPr>
          <w:lang w:val="pl-PL"/>
        </w:rPr>
        <w:t>powoduje</w:t>
      </w:r>
      <w:r w:rsidR="00C515C2" w:rsidRPr="00AD5090">
        <w:rPr>
          <w:lang w:val="pl-PL"/>
        </w:rPr>
        <w:t>, że wraz z upły</w:t>
      </w:r>
      <w:r w:rsidR="00C028B1" w:rsidRPr="00AD5090">
        <w:rPr>
          <w:lang w:val="pl-PL"/>
        </w:rPr>
        <w:t>wem czasu nieodwracalnie znika</w:t>
      </w:r>
      <w:r w:rsidR="00C515C2" w:rsidRPr="00AD5090">
        <w:rPr>
          <w:lang w:val="pl-PL"/>
        </w:rPr>
        <w:t xml:space="preserve"> szansa na </w:t>
      </w:r>
      <w:r w:rsidR="00C028B1" w:rsidRPr="00AD5090">
        <w:rPr>
          <w:lang w:val="pl-PL"/>
        </w:rPr>
        <w:t>wyrównanie</w:t>
      </w:r>
      <w:r w:rsidR="00C515C2" w:rsidRPr="00AD5090">
        <w:rPr>
          <w:lang w:val="pl-PL"/>
        </w:rPr>
        <w:t xml:space="preserve"> </w:t>
      </w:r>
      <w:r w:rsidR="001F3F10">
        <w:rPr>
          <w:lang w:val="pl-PL"/>
        </w:rPr>
        <w:t>sytuacji</w:t>
      </w:r>
      <w:r w:rsidR="00C515C2" w:rsidRPr="00AD5090">
        <w:rPr>
          <w:lang w:val="pl-PL"/>
        </w:rPr>
        <w:t xml:space="preserve"> rodzica niezamieszkującego z dzieckiem (zob. M.A., cytowane powyżej, § 136). Co więcej, tak długo, jak postanowienie o powrocie pozostaje w mocy, do</w:t>
      </w:r>
      <w:r w:rsidR="00C028B1" w:rsidRPr="00AD5090">
        <w:rPr>
          <w:lang w:val="pl-PL"/>
        </w:rPr>
        <w:t>mniema się, że powrót ten leży</w:t>
      </w:r>
      <w:r w:rsidR="00C515C2" w:rsidRPr="00AD5090">
        <w:rPr>
          <w:lang w:val="pl-PL"/>
        </w:rPr>
        <w:t xml:space="preserve"> w interesie dziecka (zob. X przeciwko Łotwie, cytowane powyżej §§ 96</w:t>
      </w:r>
      <w:r w:rsidR="00C515C2" w:rsidRPr="00AD5090">
        <w:rPr>
          <w:lang w:val="pl-PL"/>
        </w:rPr>
        <w:noBreakHyphen/>
        <w:t>97).</w:t>
      </w:r>
    </w:p>
    <w:p w:rsidR="00C515C2" w:rsidRPr="00AD5090" w:rsidRDefault="00FE4A0F" w:rsidP="0058384F">
      <w:pPr>
        <w:pStyle w:val="ECHRPara"/>
        <w:rPr>
          <w:lang w:val="pl-PL"/>
        </w:rPr>
      </w:pPr>
      <w:r>
        <w:rPr>
          <w:lang w:val="pl-PL"/>
        </w:rPr>
        <w:t>97</w:t>
      </w:r>
      <w:r w:rsidR="00D833F5" w:rsidRPr="00AD5090">
        <w:rPr>
          <w:lang w:val="pl-PL"/>
        </w:rPr>
        <w:t>.  </w:t>
      </w:r>
      <w:r w:rsidR="001F3F10">
        <w:rPr>
          <w:lang w:val="pl-PL"/>
        </w:rPr>
        <w:t>W rezultacie</w:t>
      </w:r>
      <w:r w:rsidR="00D833F5" w:rsidRPr="00AD5090">
        <w:rPr>
          <w:lang w:val="pl-PL"/>
        </w:rPr>
        <w:t xml:space="preserve"> Trybunał zauważ</w:t>
      </w:r>
      <w:r w:rsidR="001F3F10">
        <w:rPr>
          <w:lang w:val="pl-PL"/>
        </w:rPr>
        <w:t>a</w:t>
      </w:r>
      <w:r w:rsidR="00D833F5" w:rsidRPr="00AD5090">
        <w:rPr>
          <w:lang w:val="pl-PL"/>
        </w:rPr>
        <w:t xml:space="preserve">, że władze polskie nie wykonały niezwłocznie orzeczenia </w:t>
      </w:r>
      <w:r w:rsidR="006509BA">
        <w:rPr>
          <w:lang w:val="pl-PL"/>
        </w:rPr>
        <w:t xml:space="preserve">sądu </w:t>
      </w:r>
      <w:r w:rsidR="00D833F5" w:rsidRPr="00AD5090">
        <w:rPr>
          <w:lang w:val="pl-PL"/>
        </w:rPr>
        <w:t xml:space="preserve">irlandzkiego, </w:t>
      </w:r>
      <w:r w:rsidR="006509BA">
        <w:rPr>
          <w:lang w:val="pl-PL"/>
        </w:rPr>
        <w:t>zgodnie z prawem</w:t>
      </w:r>
      <w:r w:rsidR="00D833F5" w:rsidRPr="00AD5090">
        <w:rPr>
          <w:lang w:val="pl-PL"/>
        </w:rPr>
        <w:t xml:space="preserve"> UE. Argument Rządu, że długość postępowania była konsekwencją wyłącznie złożoności sprawy, nie przekonał Trybunału. Co więcej sądy krajowe wydawały czasem sprzeczne postanowienia. W rezultacie, prawo skarżącej do pos</w:t>
      </w:r>
      <w:r w:rsidR="006509BA">
        <w:rPr>
          <w:lang w:val="pl-PL"/>
        </w:rPr>
        <w:t xml:space="preserve">zanowania jej życia rodzinnego </w:t>
      </w:r>
      <w:r w:rsidR="00D833F5" w:rsidRPr="00AD5090">
        <w:rPr>
          <w:lang w:val="pl-PL"/>
        </w:rPr>
        <w:t xml:space="preserve">nie </w:t>
      </w:r>
      <w:r w:rsidR="006509BA">
        <w:rPr>
          <w:lang w:val="pl-PL"/>
        </w:rPr>
        <w:t>zostało należcie chronione</w:t>
      </w:r>
      <w:r w:rsidR="00D833F5" w:rsidRPr="00AD5090">
        <w:rPr>
          <w:lang w:val="pl-PL"/>
        </w:rPr>
        <w:t>.</w:t>
      </w:r>
    </w:p>
    <w:p w:rsidR="00014566" w:rsidRPr="00AD5090" w:rsidRDefault="00FE4A0F" w:rsidP="0058384F">
      <w:pPr>
        <w:pStyle w:val="ECHRPara"/>
        <w:rPr>
          <w:lang w:val="pl-PL"/>
        </w:rPr>
      </w:pPr>
      <w:r>
        <w:rPr>
          <w:lang w:val="pl-PL"/>
        </w:rPr>
        <w:t>98</w:t>
      </w:r>
      <w:r w:rsidR="00C515C2" w:rsidRPr="00AD5090">
        <w:rPr>
          <w:lang w:val="pl-PL"/>
        </w:rPr>
        <w:t xml:space="preserve">.  Zgodnie z powyższym doszło do naruszenia </w:t>
      </w:r>
      <w:r w:rsidR="008E209D">
        <w:rPr>
          <w:lang w:val="pl-PL"/>
        </w:rPr>
        <w:t>art.</w:t>
      </w:r>
      <w:r w:rsidR="00C515C2" w:rsidRPr="00AD5090">
        <w:rPr>
          <w:lang w:val="pl-PL"/>
        </w:rPr>
        <w:t xml:space="preserve"> 8 Konwencji.</w:t>
      </w:r>
    </w:p>
    <w:p w:rsidR="00014566" w:rsidRPr="00AD5090" w:rsidRDefault="00CB4CE0" w:rsidP="0058384F">
      <w:pPr>
        <w:pStyle w:val="ECHRHeading1"/>
        <w:rPr>
          <w:lang w:val="pl-PL"/>
        </w:rPr>
      </w:pPr>
      <w:r w:rsidRPr="00AD5090">
        <w:rPr>
          <w:bCs w:val="0"/>
          <w:lang w:val="pl-PL"/>
        </w:rPr>
        <w:t>II.  STOSOWANIE ART. 41 KONWENCJI</w:t>
      </w:r>
    </w:p>
    <w:p w:rsidR="00014566" w:rsidRPr="00AD5090" w:rsidRDefault="00FE4A0F" w:rsidP="0058384F">
      <w:pPr>
        <w:pStyle w:val="ECHRPara"/>
        <w:rPr>
          <w:lang w:val="pl-PL"/>
        </w:rPr>
      </w:pPr>
      <w:r>
        <w:rPr>
          <w:lang w:val="pl-PL"/>
        </w:rPr>
        <w:t>99</w:t>
      </w:r>
      <w:r w:rsidR="008144EE" w:rsidRPr="00AD5090">
        <w:rPr>
          <w:lang w:val="pl-PL"/>
        </w:rPr>
        <w:t>.  Art. 41 Konwencji stanowi:</w:t>
      </w:r>
    </w:p>
    <w:p w:rsidR="00014566" w:rsidRPr="00AD5090" w:rsidRDefault="00014566" w:rsidP="0058384F">
      <w:pPr>
        <w:pStyle w:val="ECHRParaQuote"/>
        <w:keepNext/>
        <w:keepLines/>
        <w:rPr>
          <w:lang w:val="pl-PL"/>
        </w:rPr>
      </w:pPr>
      <w:r w:rsidRPr="00AD5090">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014566" w:rsidRPr="00AD5090" w:rsidRDefault="00014566" w:rsidP="0058384F">
      <w:pPr>
        <w:pStyle w:val="ECHRHeading2"/>
        <w:rPr>
          <w:lang w:val="pl-PL"/>
        </w:rPr>
      </w:pPr>
      <w:r w:rsidRPr="00AD5090">
        <w:rPr>
          <w:lang w:val="pl-PL"/>
        </w:rPr>
        <w:t>A.  Szkody</w:t>
      </w:r>
    </w:p>
    <w:p w:rsidR="00543266" w:rsidRPr="00AD5090" w:rsidRDefault="00FE4A0F" w:rsidP="0058384F">
      <w:pPr>
        <w:pStyle w:val="ECHRPara"/>
        <w:rPr>
          <w:lang w:val="pl-PL"/>
        </w:rPr>
      </w:pPr>
      <w:r>
        <w:rPr>
          <w:lang w:val="pl-PL"/>
        </w:rPr>
        <w:t>100</w:t>
      </w:r>
      <w:r w:rsidR="00CE619E" w:rsidRPr="00AD5090">
        <w:rPr>
          <w:lang w:val="pl-PL"/>
        </w:rPr>
        <w:t>.  Skarżąca wniosła o</w:t>
      </w:r>
      <w:r w:rsidR="00A70CEA">
        <w:rPr>
          <w:lang w:val="pl-PL"/>
        </w:rPr>
        <w:t xml:space="preserve"> zapłatę</w:t>
      </w:r>
      <w:r w:rsidR="000865A8">
        <w:rPr>
          <w:lang w:val="pl-PL"/>
        </w:rPr>
        <w:t xml:space="preserve"> 8</w:t>
      </w:r>
      <w:r w:rsidR="00CE619E" w:rsidRPr="00AD5090">
        <w:rPr>
          <w:lang w:val="pl-PL"/>
        </w:rPr>
        <w:t>120 euro (EUR) z tytułu zadośćuczyn</w:t>
      </w:r>
      <w:r w:rsidR="000865A8">
        <w:rPr>
          <w:lang w:val="pl-PL"/>
        </w:rPr>
        <w:t>ienia za szkody materialne i 50</w:t>
      </w:r>
      <w:r w:rsidR="00CE619E" w:rsidRPr="00AD5090">
        <w:rPr>
          <w:lang w:val="pl-PL"/>
        </w:rPr>
        <w:t>000 EUR z tytułu zadośćuczynienia za szkody niematerialne. Szkody materialne stanowiły straty w dochodach skarżącej, powstałe w wyniku jej uczestnictwa w rozprawach sądowych i konsultacjach z prawnikami. Dodatkow</w:t>
      </w:r>
      <w:r w:rsidR="000865A8">
        <w:rPr>
          <w:lang w:val="pl-PL"/>
        </w:rPr>
        <w:t>o adwokat skarżącej wniósł o 50</w:t>
      </w:r>
      <w:r w:rsidR="00CE619E" w:rsidRPr="00AD5090">
        <w:rPr>
          <w:lang w:val="pl-PL"/>
        </w:rPr>
        <w:t>000 EUR z tytułu zadośćuczynienia za szkody niematerialne dla córki skarżącej A. Trybunał stwierdził, że nie złożono oddzielnej skargi na naruszenie praw A. przysługujących na mocy Konwencji.</w:t>
      </w:r>
    </w:p>
    <w:p w:rsidR="00014566" w:rsidRPr="00AD5090" w:rsidRDefault="00FE4A0F" w:rsidP="0058384F">
      <w:pPr>
        <w:pStyle w:val="ECHRPara"/>
        <w:rPr>
          <w:lang w:val="pl-PL"/>
        </w:rPr>
      </w:pPr>
      <w:r>
        <w:rPr>
          <w:lang w:val="pl-PL"/>
        </w:rPr>
        <w:t>101</w:t>
      </w:r>
      <w:r w:rsidR="008144EE" w:rsidRPr="00AD5090">
        <w:rPr>
          <w:lang w:val="pl-PL"/>
        </w:rPr>
        <w:t xml:space="preserve">.  Rząd zakwestionował </w:t>
      </w:r>
      <w:r w:rsidR="00A70CEA">
        <w:rPr>
          <w:lang w:val="pl-PL"/>
        </w:rPr>
        <w:t>żądania</w:t>
      </w:r>
      <w:r w:rsidR="008144EE" w:rsidRPr="00AD5090">
        <w:rPr>
          <w:lang w:val="pl-PL"/>
        </w:rPr>
        <w:t xml:space="preserve"> jako zbyt wygórowane. </w:t>
      </w:r>
      <w:r w:rsidR="00A70CEA">
        <w:rPr>
          <w:lang w:val="pl-PL"/>
        </w:rPr>
        <w:t>Wskazał</w:t>
      </w:r>
      <w:r w:rsidR="008144EE" w:rsidRPr="00AD5090">
        <w:rPr>
          <w:lang w:val="pl-PL"/>
        </w:rPr>
        <w:t>, że skarga z dnia 23 kwietnia 2012 r. dotyczyła wyłącznie praw Pani Anity Oller-Kamińskiej.</w:t>
      </w:r>
    </w:p>
    <w:p w:rsidR="00014566" w:rsidRPr="00AD5090" w:rsidRDefault="00FE4A0F" w:rsidP="0058384F">
      <w:pPr>
        <w:pStyle w:val="ECHRPara"/>
        <w:rPr>
          <w:lang w:val="pl-PL"/>
        </w:rPr>
      </w:pPr>
      <w:r>
        <w:rPr>
          <w:lang w:val="pl-PL"/>
        </w:rPr>
        <w:t>102</w:t>
      </w:r>
      <w:r w:rsidR="008144EE" w:rsidRPr="00AD5090">
        <w:rPr>
          <w:lang w:val="pl-PL"/>
        </w:rPr>
        <w:t xml:space="preserve">.  Trybunał nie doszukał się związku pomiędzy stwierdzonym naruszeniem a zarzuconymi szkodami materialnymi, dlatego </w:t>
      </w:r>
      <w:r w:rsidR="00A70CEA">
        <w:rPr>
          <w:lang w:val="pl-PL"/>
        </w:rPr>
        <w:t>żądanie to oddala</w:t>
      </w:r>
      <w:r w:rsidR="008144EE" w:rsidRPr="00AD5090">
        <w:rPr>
          <w:lang w:val="pl-PL"/>
        </w:rPr>
        <w:t>. Z drugiej</w:t>
      </w:r>
      <w:r w:rsidR="000865A8">
        <w:rPr>
          <w:lang w:val="pl-PL"/>
        </w:rPr>
        <w:t xml:space="preserve"> strony, przyznaje skarżącej 15</w:t>
      </w:r>
      <w:r w:rsidR="008144EE" w:rsidRPr="00AD5090">
        <w:rPr>
          <w:lang w:val="pl-PL"/>
        </w:rPr>
        <w:t xml:space="preserve">000 EUR z tytułu zadośćuczynienia za szkody niematerialne. Trybunał oddala </w:t>
      </w:r>
      <w:r w:rsidR="00A7567E">
        <w:rPr>
          <w:lang w:val="pl-PL"/>
        </w:rPr>
        <w:t xml:space="preserve">żądanie </w:t>
      </w:r>
      <w:r w:rsidR="008144EE" w:rsidRPr="00AD5090">
        <w:rPr>
          <w:lang w:val="pl-PL"/>
        </w:rPr>
        <w:t>dotycząc</w:t>
      </w:r>
      <w:r w:rsidR="00A7567E">
        <w:rPr>
          <w:lang w:val="pl-PL"/>
        </w:rPr>
        <w:t>e</w:t>
      </w:r>
      <w:r w:rsidR="008144EE" w:rsidRPr="00AD5090">
        <w:rPr>
          <w:lang w:val="pl-PL"/>
        </w:rPr>
        <w:t xml:space="preserve"> córki skarżącej.</w:t>
      </w:r>
    </w:p>
    <w:p w:rsidR="00014566" w:rsidRPr="00AD5090" w:rsidRDefault="00014566" w:rsidP="0058384F">
      <w:pPr>
        <w:pStyle w:val="ECHRHeading2"/>
        <w:rPr>
          <w:lang w:val="pl-PL"/>
        </w:rPr>
      </w:pPr>
      <w:r w:rsidRPr="00AD5090">
        <w:rPr>
          <w:lang w:val="pl-PL"/>
        </w:rPr>
        <w:t>B.  Koszty i wydatki</w:t>
      </w:r>
    </w:p>
    <w:p w:rsidR="00014566" w:rsidRPr="00AD5090" w:rsidRDefault="00FE4A0F" w:rsidP="0058384F">
      <w:pPr>
        <w:pStyle w:val="ECHRPara"/>
        <w:rPr>
          <w:lang w:val="pl-PL"/>
        </w:rPr>
      </w:pPr>
      <w:r>
        <w:rPr>
          <w:lang w:val="pl-PL"/>
        </w:rPr>
        <w:t>103</w:t>
      </w:r>
      <w:r w:rsidR="008144EE" w:rsidRPr="00AD5090">
        <w:rPr>
          <w:lang w:val="pl-PL"/>
        </w:rPr>
        <w:t>.  Skarżąca wniosła również o</w:t>
      </w:r>
      <w:r w:rsidR="000865A8">
        <w:rPr>
          <w:lang w:val="pl-PL"/>
        </w:rPr>
        <w:t xml:space="preserve"> zapłatę 8</w:t>
      </w:r>
      <w:r w:rsidR="008144EE" w:rsidRPr="00AD5090">
        <w:rPr>
          <w:lang w:val="pl-PL"/>
        </w:rPr>
        <w:t>550 EUR z tytułu kosztów i wydatków p</w:t>
      </w:r>
      <w:r w:rsidR="000865A8">
        <w:rPr>
          <w:lang w:val="pl-PL"/>
        </w:rPr>
        <w:t>oniesionych przed Trybunałem, 4</w:t>
      </w:r>
      <w:r w:rsidR="008144EE" w:rsidRPr="00AD5090">
        <w:rPr>
          <w:lang w:val="pl-PL"/>
        </w:rPr>
        <w:t>542 EUR z tytułu kosztów poniesionych w trakcie postępowania przez irlandzkimi i polskimi sądami oraz za prywatnego detektywa. Wniosła również o zwrot 322 EUR z tytułu wydatków poniesionych na podróże.</w:t>
      </w:r>
    </w:p>
    <w:p w:rsidR="00014566" w:rsidRPr="00AD5090" w:rsidRDefault="00FE4A0F" w:rsidP="0058384F">
      <w:pPr>
        <w:pStyle w:val="ECHRPara"/>
        <w:rPr>
          <w:lang w:val="pl-PL"/>
        </w:rPr>
      </w:pPr>
      <w:r>
        <w:rPr>
          <w:lang w:val="pl-PL"/>
        </w:rPr>
        <w:t>104</w:t>
      </w:r>
      <w:r w:rsidR="008144EE" w:rsidRPr="00AD5090">
        <w:rPr>
          <w:lang w:val="pl-PL"/>
        </w:rPr>
        <w:t xml:space="preserve">.  Rząd zakwestionował </w:t>
      </w:r>
      <w:r w:rsidR="00492E9D">
        <w:rPr>
          <w:lang w:val="pl-PL"/>
        </w:rPr>
        <w:t>to żądanie</w:t>
      </w:r>
      <w:r w:rsidR="008144EE" w:rsidRPr="00AD5090">
        <w:rPr>
          <w:lang w:val="pl-PL"/>
        </w:rPr>
        <w:t>.</w:t>
      </w:r>
    </w:p>
    <w:p w:rsidR="00014566" w:rsidRPr="00AD5090" w:rsidRDefault="00FE4A0F" w:rsidP="0058384F">
      <w:pPr>
        <w:pStyle w:val="ECHRPara"/>
        <w:rPr>
          <w:lang w:val="pl-PL"/>
        </w:rPr>
      </w:pPr>
      <w:r>
        <w:rPr>
          <w:lang w:val="pl-PL"/>
        </w:rPr>
        <w:t>105</w:t>
      </w:r>
      <w:r w:rsidR="008144EE" w:rsidRPr="00AD5090">
        <w:rPr>
          <w:lang w:val="pl-PL"/>
        </w:rPr>
        <w:t>.  Jak Trybunał ustalił w swoim orzecznictwie, skarżąca jest uprawniony do zwrotu kosztów i wydatków w tej części, jaka została udowodniona oraz zostały one rzeczywiście i koniecznie poniesione i były uzasadnione co do wysokości. W niniejszej sprawie, mając na uwadze dokumenty będące w posiadaniu Trybunału oraz wyżej wymienione kryteria, Trybunał uznaje</w:t>
      </w:r>
      <w:r w:rsidR="00492E9D">
        <w:rPr>
          <w:lang w:val="pl-PL"/>
        </w:rPr>
        <w:t xml:space="preserve"> za słuszne przyznanie kwoty 10</w:t>
      </w:r>
      <w:r w:rsidR="008144EE" w:rsidRPr="00AD5090">
        <w:rPr>
          <w:lang w:val="pl-PL"/>
        </w:rPr>
        <w:t>000 EUR na pokrycie wszystkich kosztów.</w:t>
      </w:r>
    </w:p>
    <w:p w:rsidR="00014566" w:rsidRPr="00AD5090" w:rsidRDefault="00014566" w:rsidP="0058384F">
      <w:pPr>
        <w:pStyle w:val="ECHRHeading2"/>
        <w:rPr>
          <w:lang w:val="pl-PL"/>
        </w:rPr>
      </w:pPr>
      <w:r w:rsidRPr="00AD5090">
        <w:rPr>
          <w:lang w:val="pl-PL"/>
        </w:rPr>
        <w:t>C.  Odsetki za zwłokę</w:t>
      </w:r>
    </w:p>
    <w:p w:rsidR="00014566" w:rsidRPr="00AD5090" w:rsidRDefault="00FE4A0F" w:rsidP="0058384F">
      <w:pPr>
        <w:pStyle w:val="ECHRPara"/>
        <w:rPr>
          <w:lang w:val="pl-PL"/>
        </w:rPr>
      </w:pPr>
      <w:r>
        <w:rPr>
          <w:lang w:val="pl-PL"/>
        </w:rPr>
        <w:t>106</w:t>
      </w:r>
      <w:r w:rsidR="008144EE" w:rsidRPr="00AD5090">
        <w:rPr>
          <w:lang w:val="pl-PL"/>
        </w:rPr>
        <w:t>.  Trybunał za słuszne uznaje wyznaczenie wysokości odsetek za zwłokę na podstawie marginalnej stopy procentowej Europejskiego Banku Centralnego powiększonej o trzy punkty procentowe.</w:t>
      </w:r>
    </w:p>
    <w:p w:rsidR="00014566" w:rsidRPr="00AD5090" w:rsidRDefault="00BB5883" w:rsidP="0058384F">
      <w:pPr>
        <w:pStyle w:val="ECHRTitle1"/>
        <w:rPr>
          <w:lang w:val="pl-PL"/>
        </w:rPr>
      </w:pPr>
      <w:r w:rsidRPr="00AD5090">
        <w:rPr>
          <w:lang w:val="pl-PL"/>
        </w:rPr>
        <w:t>Z TYCH PRZYCZYN TRYBUNAŁ JEDNOGŁOŚNIE</w:t>
      </w:r>
    </w:p>
    <w:p w:rsidR="00B637B9" w:rsidRPr="00AD5090" w:rsidRDefault="00B637B9" w:rsidP="0058384F">
      <w:pPr>
        <w:pStyle w:val="JuList"/>
        <w:rPr>
          <w:lang w:val="pl-PL"/>
        </w:rPr>
      </w:pPr>
      <w:r w:rsidRPr="00AD5090">
        <w:rPr>
          <w:lang w:val="pl-PL"/>
        </w:rPr>
        <w:t>1.  </w:t>
      </w:r>
      <w:r w:rsidR="00C028B1" w:rsidRPr="00AD5090">
        <w:rPr>
          <w:i/>
          <w:iCs/>
          <w:lang w:val="pl-PL"/>
        </w:rPr>
        <w:t xml:space="preserve">Uznaje </w:t>
      </w:r>
      <w:r w:rsidRPr="00AD5090">
        <w:rPr>
          <w:lang w:val="pl-PL"/>
        </w:rPr>
        <w:t>skargę za dopuszczalną;</w:t>
      </w:r>
    </w:p>
    <w:p w:rsidR="00014566" w:rsidRPr="00AD5090" w:rsidRDefault="00014566" w:rsidP="0058384F">
      <w:pPr>
        <w:pStyle w:val="JuList"/>
        <w:ind w:left="0" w:firstLine="0"/>
        <w:rPr>
          <w:lang w:val="pl-PL"/>
        </w:rPr>
      </w:pPr>
    </w:p>
    <w:p w:rsidR="00014566" w:rsidRPr="00AD5090" w:rsidRDefault="00CE619E" w:rsidP="0058384F">
      <w:pPr>
        <w:pStyle w:val="JuList"/>
        <w:rPr>
          <w:lang w:val="pl-PL"/>
        </w:rPr>
      </w:pPr>
      <w:r w:rsidRPr="00AD5090">
        <w:rPr>
          <w:lang w:val="pl-PL"/>
        </w:rPr>
        <w:t>2.  </w:t>
      </w:r>
      <w:r w:rsidR="003B68B0" w:rsidRPr="003B68B0">
        <w:rPr>
          <w:i/>
          <w:lang w:val="pl-PL"/>
        </w:rPr>
        <w:t>Orzeka</w:t>
      </w:r>
      <w:r w:rsidRPr="00AD5090">
        <w:rPr>
          <w:i/>
          <w:iCs/>
          <w:lang w:val="pl-PL"/>
        </w:rPr>
        <w:t xml:space="preserve">, </w:t>
      </w:r>
      <w:r w:rsidRPr="00AD5090">
        <w:rPr>
          <w:lang w:val="pl-PL"/>
        </w:rPr>
        <w:t xml:space="preserve">że doszło do naruszenia </w:t>
      </w:r>
      <w:r w:rsidR="008E209D">
        <w:rPr>
          <w:lang w:val="pl-PL"/>
        </w:rPr>
        <w:t>art.</w:t>
      </w:r>
      <w:r w:rsidRPr="00AD5090">
        <w:rPr>
          <w:lang w:val="pl-PL"/>
        </w:rPr>
        <w:t xml:space="preserve"> 8 Konwencji.</w:t>
      </w:r>
    </w:p>
    <w:p w:rsidR="00023498" w:rsidRPr="00AD5090" w:rsidRDefault="00023498" w:rsidP="0058384F">
      <w:pPr>
        <w:pStyle w:val="JuList"/>
        <w:rPr>
          <w:lang w:val="pl-PL"/>
        </w:rPr>
      </w:pPr>
    </w:p>
    <w:p w:rsidR="00014566" w:rsidRPr="00AD5090" w:rsidRDefault="00CE619E" w:rsidP="0058384F">
      <w:pPr>
        <w:pStyle w:val="JuList"/>
        <w:keepNext/>
        <w:keepLines/>
        <w:rPr>
          <w:lang w:val="pl-PL"/>
        </w:rPr>
      </w:pPr>
      <w:r w:rsidRPr="00AD5090">
        <w:rPr>
          <w:lang w:val="pl-PL"/>
        </w:rPr>
        <w:t>3.  </w:t>
      </w:r>
      <w:r w:rsidR="003B68B0" w:rsidRPr="003B68B0">
        <w:rPr>
          <w:i/>
          <w:lang w:val="pl-PL"/>
        </w:rPr>
        <w:t>Orzeka</w:t>
      </w:r>
      <w:r w:rsidRPr="00AD5090">
        <w:rPr>
          <w:lang w:val="pl-PL"/>
        </w:rPr>
        <w:t>,</w:t>
      </w:r>
    </w:p>
    <w:p w:rsidR="00014566" w:rsidRPr="00AD5090" w:rsidRDefault="00014566" w:rsidP="0058384F">
      <w:pPr>
        <w:pStyle w:val="JuLista"/>
        <w:keepNext/>
        <w:keepLines/>
        <w:rPr>
          <w:lang w:val="pl-PL"/>
        </w:rPr>
      </w:pPr>
      <w:r w:rsidRPr="00AD5090">
        <w:rPr>
          <w:lang w:val="pl-PL"/>
        </w:rPr>
        <w:t xml:space="preserve">(a)  że Państwo pozwane ma zapłacić skarżącej w ciągu trzech miesięcy od daty, w której wyrok stanie się prawomocny zgodnie z art. 44 </w:t>
      </w:r>
      <w:r w:rsidR="00336EF0">
        <w:rPr>
          <w:lang w:val="pl-PL"/>
        </w:rPr>
        <w:t>ust.</w:t>
      </w:r>
      <w:r w:rsidRPr="00AD5090">
        <w:rPr>
          <w:lang w:val="pl-PL"/>
        </w:rPr>
        <w:t xml:space="preserve"> 2 Konwencji, następujące kwoty przeliczone </w:t>
      </w:r>
      <w:r w:rsidRPr="00AD5090">
        <w:rPr>
          <w:color w:val="000000"/>
          <w:lang w:val="pl-PL"/>
        </w:rPr>
        <w:t>na walutę Państwa pozwanego</w:t>
      </w:r>
      <w:r w:rsidRPr="00AD5090">
        <w:rPr>
          <w:lang w:val="pl-PL"/>
        </w:rPr>
        <w:t xml:space="preserve"> według kursu obowiązującego w dacie rozliczenia:</w:t>
      </w:r>
    </w:p>
    <w:p w:rsidR="00014566" w:rsidRPr="00AD5090" w:rsidRDefault="0030499E" w:rsidP="0058384F">
      <w:pPr>
        <w:pStyle w:val="JuListi"/>
        <w:rPr>
          <w:lang w:val="pl-PL"/>
        </w:rPr>
      </w:pPr>
      <w:r>
        <w:rPr>
          <w:lang w:val="pl-PL"/>
        </w:rPr>
        <w:t>(i)  15</w:t>
      </w:r>
      <w:r w:rsidR="00831847" w:rsidRPr="00AD5090">
        <w:rPr>
          <w:lang w:val="pl-PL"/>
        </w:rPr>
        <w:t>000 EUR (piętnaście tysięcy euro) z tytułu zadośćuczynienia za szkody niematerialne plus jakikolwiek podatek, jaki może zostać naliczony.</w:t>
      </w:r>
    </w:p>
    <w:p w:rsidR="00014566" w:rsidRPr="00AD5090" w:rsidRDefault="0030499E" w:rsidP="0058384F">
      <w:pPr>
        <w:pStyle w:val="JuListi"/>
        <w:rPr>
          <w:lang w:val="pl-PL"/>
        </w:rPr>
      </w:pPr>
      <w:r>
        <w:rPr>
          <w:lang w:val="pl-PL"/>
        </w:rPr>
        <w:t>(</w:t>
      </w:r>
      <w:r w:rsidR="008E209D">
        <w:rPr>
          <w:lang w:val="pl-PL"/>
        </w:rPr>
        <w:t>i</w:t>
      </w:r>
      <w:r>
        <w:rPr>
          <w:lang w:val="pl-PL"/>
        </w:rPr>
        <w:t>i)  10</w:t>
      </w:r>
      <w:r w:rsidR="00831847" w:rsidRPr="00AD5090">
        <w:rPr>
          <w:lang w:val="pl-PL"/>
        </w:rPr>
        <w:t>000 EUR (dziesięć tysięcy euro) z tytułu kosztów i wydatków plus jakikolwiek podatek, jaki może zostać naliczony.</w:t>
      </w:r>
    </w:p>
    <w:p w:rsidR="00543266" w:rsidRPr="00AD5090" w:rsidRDefault="00014566" w:rsidP="0058384F">
      <w:pPr>
        <w:pStyle w:val="JuLista"/>
        <w:rPr>
          <w:lang w:val="pl-PL"/>
        </w:rPr>
      </w:pPr>
      <w:r w:rsidRPr="00AD5090">
        <w:rPr>
          <w:lang w:val="pl-PL"/>
        </w:rPr>
        <w:t>(b) że od momentu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rsidR="00014566" w:rsidRPr="00AD5090" w:rsidRDefault="00014566" w:rsidP="0058384F">
      <w:pPr>
        <w:pStyle w:val="JuList"/>
        <w:rPr>
          <w:lang w:val="pl-PL"/>
        </w:rPr>
      </w:pPr>
    </w:p>
    <w:p w:rsidR="00014566" w:rsidRPr="00AD5090" w:rsidRDefault="00CE619E" w:rsidP="0058384F">
      <w:pPr>
        <w:pStyle w:val="JuList"/>
        <w:rPr>
          <w:lang w:val="pl-PL"/>
        </w:rPr>
      </w:pPr>
      <w:r w:rsidRPr="00AD5090">
        <w:rPr>
          <w:lang w:val="pl-PL"/>
        </w:rPr>
        <w:t>4.  </w:t>
      </w:r>
      <w:r w:rsidRPr="00AD5090">
        <w:rPr>
          <w:i/>
          <w:iCs/>
          <w:lang w:val="pl-PL"/>
        </w:rPr>
        <w:t xml:space="preserve">Oddala </w:t>
      </w:r>
      <w:r w:rsidRPr="00AD5090">
        <w:rPr>
          <w:lang w:val="pl-PL"/>
        </w:rPr>
        <w:t>pozostałą część skargi skarżącej o słuszne zadośćuczynienie.</w:t>
      </w:r>
    </w:p>
    <w:p w:rsidR="00014566" w:rsidRPr="00AD5090" w:rsidRDefault="00014566" w:rsidP="0058384F">
      <w:pPr>
        <w:pStyle w:val="JuParaLast"/>
        <w:rPr>
          <w:lang w:val="pl-PL"/>
        </w:rPr>
      </w:pPr>
      <w:r w:rsidRPr="00AD5090">
        <w:rPr>
          <w:lang w:val="pl-PL"/>
        </w:rPr>
        <w:t>Sporządzono w języku angielskim oraz obwie</w:t>
      </w:r>
      <w:r w:rsidR="00C028B1" w:rsidRPr="00AD5090">
        <w:rPr>
          <w:lang w:val="pl-PL"/>
        </w:rPr>
        <w:t>szczono pisemnie dnia 18</w:t>
      </w:r>
      <w:r w:rsidR="00615599">
        <w:rPr>
          <w:lang w:val="pl-PL"/>
        </w:rPr>
        <w:t> </w:t>
      </w:r>
      <w:r w:rsidR="00C028B1" w:rsidRPr="00AD5090">
        <w:rPr>
          <w:lang w:val="pl-PL"/>
        </w:rPr>
        <w:t>styczn</w:t>
      </w:r>
      <w:r w:rsidRPr="00AD5090">
        <w:rPr>
          <w:lang w:val="pl-PL"/>
        </w:rPr>
        <w:t xml:space="preserve">ia 2018 r., zgodnie z Regułą 77 </w:t>
      </w:r>
      <w:r w:rsidR="00025612" w:rsidRPr="00025612">
        <w:rPr>
          <w:lang w:val="pl-PL"/>
        </w:rPr>
        <w:t>§</w:t>
      </w:r>
      <w:r w:rsidR="00025612">
        <w:rPr>
          <w:lang w:val="pl-PL"/>
        </w:rPr>
        <w:t xml:space="preserve"> </w:t>
      </w:r>
      <w:r w:rsidRPr="00AD5090">
        <w:rPr>
          <w:lang w:val="pl-PL"/>
        </w:rPr>
        <w:t xml:space="preserve">2 i </w:t>
      </w:r>
      <w:r w:rsidR="00025612" w:rsidRPr="00025612">
        <w:rPr>
          <w:lang w:val="pl-PL"/>
        </w:rPr>
        <w:t>§</w:t>
      </w:r>
      <w:r w:rsidR="00025612">
        <w:rPr>
          <w:lang w:val="pl-PL"/>
        </w:rPr>
        <w:t xml:space="preserve"> </w:t>
      </w:r>
      <w:r w:rsidRPr="00AD5090">
        <w:rPr>
          <w:lang w:val="pl-PL"/>
        </w:rPr>
        <w:t>3 Regulaminu Trybunału.</w:t>
      </w:r>
    </w:p>
    <w:p w:rsidR="004D15F3" w:rsidRPr="00AD5090" w:rsidRDefault="00240429" w:rsidP="0058384F">
      <w:pPr>
        <w:pStyle w:val="JuSigned"/>
        <w:tabs>
          <w:tab w:val="clear" w:pos="6407"/>
          <w:tab w:val="center" w:pos="5954"/>
        </w:tabs>
        <w:rPr>
          <w:lang w:val="pl-PL"/>
        </w:rPr>
      </w:pPr>
      <w:r>
        <w:rPr>
          <w:lang w:val="pl-PL"/>
        </w:rPr>
        <w:t xml:space="preserve">     </w:t>
      </w:r>
      <w:r w:rsidR="00014566" w:rsidRPr="00AD5090">
        <w:rPr>
          <w:lang w:val="pl-PL"/>
        </w:rPr>
        <w:tab/>
        <w:t>Renata Degener</w:t>
      </w:r>
      <w:r w:rsidR="00014566" w:rsidRPr="00AD5090">
        <w:rPr>
          <w:lang w:val="pl-PL"/>
        </w:rPr>
        <w:tab/>
        <w:t>Linos-Alexandre Sicilianos</w:t>
      </w:r>
      <w:r w:rsidR="00014566" w:rsidRPr="00AD5090">
        <w:rPr>
          <w:lang w:val="pl-PL"/>
        </w:rPr>
        <w:br/>
      </w:r>
      <w:r w:rsidR="00014566" w:rsidRPr="00AD5090">
        <w:rPr>
          <w:lang w:val="pl-PL"/>
        </w:rPr>
        <w:tab/>
        <w:t>Zastępca Kanclerza Sekcji</w:t>
      </w:r>
      <w:r w:rsidR="00014566" w:rsidRPr="00AD5090">
        <w:rPr>
          <w:lang w:val="pl-PL"/>
        </w:rPr>
        <w:tab/>
        <w:t>Przewodniczący</w:t>
      </w:r>
    </w:p>
    <w:p w:rsidR="0058384F" w:rsidRPr="00AD5090" w:rsidRDefault="0058384F" w:rsidP="0058384F">
      <w:pPr>
        <w:pStyle w:val="JuParaLast"/>
        <w:rPr>
          <w:lang w:val="pl-PL"/>
        </w:rPr>
      </w:pPr>
    </w:p>
    <w:sectPr w:rsidR="0058384F" w:rsidRPr="00AD5090" w:rsidSect="00D833F5">
      <w:headerReference w:type="even" r:id="rId17"/>
      <w:head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72A" w:rsidRPr="00061DA9" w:rsidRDefault="0021472A" w:rsidP="00014566">
      <w:r>
        <w:separator/>
      </w:r>
    </w:p>
  </w:endnote>
  <w:endnote w:type="continuationSeparator" w:id="0">
    <w:p w:rsidR="0021472A" w:rsidRPr="00061DA9" w:rsidRDefault="0021472A"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C16" w:rsidRPr="00150BFA" w:rsidRDefault="00F81C16" w:rsidP="00D833F5">
    <w:pPr>
      <w:jc w:val="center"/>
    </w:pPr>
    <w:r>
      <w:rPr>
        <w:noProof/>
        <w:lang w:val="pl-PL" w:eastAsia="pl-PL"/>
      </w:rPr>
      <w:drawing>
        <wp:inline distT="0" distB="0" distL="0" distR="0" wp14:anchorId="05E9A485" wp14:editId="6F59466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81C16" w:rsidRDefault="00F81C1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72A" w:rsidRPr="00061DA9" w:rsidRDefault="0021472A" w:rsidP="00014566">
      <w:r>
        <w:separator/>
      </w:r>
    </w:p>
  </w:footnote>
  <w:footnote w:type="continuationSeparator" w:id="0">
    <w:p w:rsidR="0021472A" w:rsidRPr="00061DA9" w:rsidRDefault="0021472A"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C16" w:rsidRPr="00D833F5" w:rsidRDefault="00F81C16" w:rsidP="00D833F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C16" w:rsidRPr="00A45145" w:rsidRDefault="00F81C16" w:rsidP="00D833F5">
    <w:pPr>
      <w:jc w:val="center"/>
    </w:pPr>
    <w:r>
      <w:rPr>
        <w:noProof/>
        <w:lang w:val="pl-PL" w:eastAsia="pl-PL"/>
      </w:rPr>
      <w:drawing>
        <wp:inline distT="0" distB="0" distL="0" distR="0" wp14:anchorId="60A3222C" wp14:editId="6D62E49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81C16" w:rsidRPr="00061DA9" w:rsidRDefault="00F81C1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C16" w:rsidRPr="005A2E29" w:rsidRDefault="00F81C16" w:rsidP="00EE1DA9">
    <w:pPr>
      <w:pStyle w:val="ECHRHeader"/>
      <w:rPr>
        <w:lang w:val="pl-PL"/>
      </w:rPr>
    </w:pPr>
    <w:r>
      <w:rPr>
        <w:rStyle w:val="Numerstrony"/>
        <w:szCs w:val="18"/>
      </w:rPr>
      <w:fldChar w:fldCharType="begin"/>
    </w:r>
    <w:r w:rsidRPr="005A2E29">
      <w:rPr>
        <w:rStyle w:val="Numerstrony"/>
        <w:szCs w:val="18"/>
        <w:lang w:val="pl-PL"/>
      </w:rPr>
      <w:instrText xml:space="preserve"> PAGE </w:instrText>
    </w:r>
    <w:r>
      <w:rPr>
        <w:rStyle w:val="Numerstrony"/>
        <w:szCs w:val="18"/>
      </w:rPr>
      <w:fldChar w:fldCharType="separate"/>
    </w:r>
    <w:r w:rsidR="008C001C">
      <w:rPr>
        <w:rStyle w:val="Numerstrony"/>
        <w:noProof/>
        <w:szCs w:val="18"/>
        <w:lang w:val="pl-PL"/>
      </w:rPr>
      <w:t>18</w:t>
    </w:r>
    <w:r>
      <w:rPr>
        <w:rStyle w:val="Numerstrony"/>
        <w:szCs w:val="18"/>
      </w:rPr>
      <w:fldChar w:fldCharType="end"/>
    </w:r>
    <w:r w:rsidRPr="005A2E29">
      <w:rPr>
        <w:lang w:val="pl-PL"/>
      </w:rPr>
      <w:tab/>
    </w:r>
    <w:r w:rsidR="005A2E29" w:rsidRPr="005A2E29">
      <w:rPr>
        <w:lang w:val="pl-PL"/>
      </w:rPr>
      <w:t xml:space="preserve">WYROK W SPRAWIE </w:t>
    </w:r>
    <w:r w:rsidRPr="005A2E29">
      <w:rPr>
        <w:lang w:val="pl-PL"/>
      </w:rPr>
      <w:t xml:space="preserve">OLLER KAMIŃSKA </w:t>
    </w:r>
    <w:r w:rsidRPr="005C2B13">
      <w:rPr>
        <w:lang w:val="pl-PL"/>
      </w:rPr>
      <w:t>przeciwko</w:t>
    </w:r>
    <w:r w:rsidRPr="005A2E29">
      <w:rPr>
        <w:lang w:val="pl-PL"/>
      </w:rPr>
      <w:t xml:space="preserve"> POLSCE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C16" w:rsidRPr="005A2E29" w:rsidRDefault="00F81C16" w:rsidP="00D60D87">
    <w:pPr>
      <w:pStyle w:val="ECHRHeader"/>
      <w:rPr>
        <w:lang w:val="pl-PL"/>
      </w:rPr>
    </w:pPr>
    <w:r>
      <w:tab/>
    </w:r>
    <w:r w:rsidR="005A2E29" w:rsidRPr="005A2E29">
      <w:rPr>
        <w:lang w:val="pl-PL"/>
      </w:rPr>
      <w:t xml:space="preserve">WYROK W SPRAWIE </w:t>
    </w:r>
    <w:r w:rsidRPr="005A2E29">
      <w:rPr>
        <w:lang w:val="pl-PL"/>
      </w:rPr>
      <w:t>OLLER KAMIŃSKA przeciwko POLSCE</w:t>
    </w:r>
    <w:r w:rsidRPr="005A2E29">
      <w:rPr>
        <w:lang w:val="pl-PL"/>
      </w:rPr>
      <w:tab/>
    </w:r>
    <w:r>
      <w:rPr>
        <w:rStyle w:val="Numerstrony"/>
        <w:szCs w:val="18"/>
      </w:rPr>
      <w:fldChar w:fldCharType="begin"/>
    </w:r>
    <w:r w:rsidRPr="005A2E29">
      <w:rPr>
        <w:rStyle w:val="Numerstrony"/>
        <w:szCs w:val="18"/>
        <w:lang w:val="pl-PL"/>
      </w:rPr>
      <w:instrText xml:space="preserve"> PAGE </w:instrText>
    </w:r>
    <w:r>
      <w:rPr>
        <w:rStyle w:val="Numerstrony"/>
        <w:szCs w:val="18"/>
      </w:rPr>
      <w:fldChar w:fldCharType="separate"/>
    </w:r>
    <w:r w:rsidR="005E286B">
      <w:rPr>
        <w:rStyle w:val="Numerstrony"/>
        <w:noProof/>
        <w:szCs w:val="18"/>
        <w:lang w:val="pl-PL"/>
      </w:rPr>
      <w:t>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144EE"/>
    <w:rsid w:val="000010ED"/>
    <w:rsid w:val="000041F8"/>
    <w:rsid w:val="000042A8"/>
    <w:rsid w:val="00004308"/>
    <w:rsid w:val="00005BF0"/>
    <w:rsid w:val="00007154"/>
    <w:rsid w:val="000103AE"/>
    <w:rsid w:val="00011D69"/>
    <w:rsid w:val="00012AD3"/>
    <w:rsid w:val="00012D15"/>
    <w:rsid w:val="00014566"/>
    <w:rsid w:val="00015C2D"/>
    <w:rsid w:val="00015F00"/>
    <w:rsid w:val="000229BF"/>
    <w:rsid w:val="00022C1D"/>
    <w:rsid w:val="00023498"/>
    <w:rsid w:val="00024B11"/>
    <w:rsid w:val="00025612"/>
    <w:rsid w:val="000260E4"/>
    <w:rsid w:val="00026337"/>
    <w:rsid w:val="00034987"/>
    <w:rsid w:val="00034CB6"/>
    <w:rsid w:val="00043A26"/>
    <w:rsid w:val="000602DF"/>
    <w:rsid w:val="00061B05"/>
    <w:rsid w:val="00061DA9"/>
    <w:rsid w:val="00062973"/>
    <w:rsid w:val="00062D5D"/>
    <w:rsid w:val="000632D5"/>
    <w:rsid w:val="000644EE"/>
    <w:rsid w:val="00064C6F"/>
    <w:rsid w:val="00065CB5"/>
    <w:rsid w:val="00071BB5"/>
    <w:rsid w:val="000834A3"/>
    <w:rsid w:val="000834E7"/>
    <w:rsid w:val="000853D3"/>
    <w:rsid w:val="000856D7"/>
    <w:rsid w:val="000865A8"/>
    <w:rsid w:val="00086F55"/>
    <w:rsid w:val="000925AD"/>
    <w:rsid w:val="00092EB6"/>
    <w:rsid w:val="000932E4"/>
    <w:rsid w:val="00095524"/>
    <w:rsid w:val="000A234F"/>
    <w:rsid w:val="000A24EB"/>
    <w:rsid w:val="000A6E86"/>
    <w:rsid w:val="000B5E19"/>
    <w:rsid w:val="000B6923"/>
    <w:rsid w:val="000C033C"/>
    <w:rsid w:val="000C1CB5"/>
    <w:rsid w:val="000C4500"/>
    <w:rsid w:val="000C5F3C"/>
    <w:rsid w:val="000C6DCC"/>
    <w:rsid w:val="000C780A"/>
    <w:rsid w:val="000D47AA"/>
    <w:rsid w:val="000D721F"/>
    <w:rsid w:val="000E069B"/>
    <w:rsid w:val="000E08B1"/>
    <w:rsid w:val="000E0E82"/>
    <w:rsid w:val="000E1DC5"/>
    <w:rsid w:val="000E223F"/>
    <w:rsid w:val="000E35AC"/>
    <w:rsid w:val="000E7D45"/>
    <w:rsid w:val="000F7851"/>
    <w:rsid w:val="00104E23"/>
    <w:rsid w:val="00111B0C"/>
    <w:rsid w:val="00120D6C"/>
    <w:rsid w:val="00124A2C"/>
    <w:rsid w:val="001257EC"/>
    <w:rsid w:val="0012587B"/>
    <w:rsid w:val="00132C6A"/>
    <w:rsid w:val="00133D33"/>
    <w:rsid w:val="00134D64"/>
    <w:rsid w:val="00135A30"/>
    <w:rsid w:val="0013612C"/>
    <w:rsid w:val="00137FF6"/>
    <w:rsid w:val="00141650"/>
    <w:rsid w:val="00151AEF"/>
    <w:rsid w:val="001524A9"/>
    <w:rsid w:val="0015526B"/>
    <w:rsid w:val="00162A12"/>
    <w:rsid w:val="00163BBC"/>
    <w:rsid w:val="00166530"/>
    <w:rsid w:val="00174814"/>
    <w:rsid w:val="00180AA5"/>
    <w:rsid w:val="0018114C"/>
    <w:rsid w:val="001832BD"/>
    <w:rsid w:val="00184672"/>
    <w:rsid w:val="00185791"/>
    <w:rsid w:val="001943B5"/>
    <w:rsid w:val="00195134"/>
    <w:rsid w:val="001A145B"/>
    <w:rsid w:val="001A674C"/>
    <w:rsid w:val="001B2A8A"/>
    <w:rsid w:val="001B3B24"/>
    <w:rsid w:val="001C0F98"/>
    <w:rsid w:val="001C22B9"/>
    <w:rsid w:val="001C2A42"/>
    <w:rsid w:val="001C3D69"/>
    <w:rsid w:val="001D22AD"/>
    <w:rsid w:val="001D4D1A"/>
    <w:rsid w:val="001D63ED"/>
    <w:rsid w:val="001D7348"/>
    <w:rsid w:val="001D7DD3"/>
    <w:rsid w:val="001E035B"/>
    <w:rsid w:val="001E0961"/>
    <w:rsid w:val="001E3EAE"/>
    <w:rsid w:val="001E5348"/>
    <w:rsid w:val="001E6CF7"/>
    <w:rsid w:val="001E6F32"/>
    <w:rsid w:val="001F0239"/>
    <w:rsid w:val="001F2145"/>
    <w:rsid w:val="001F3E8D"/>
    <w:rsid w:val="001F3F10"/>
    <w:rsid w:val="001F408A"/>
    <w:rsid w:val="001F6045"/>
    <w:rsid w:val="001F6262"/>
    <w:rsid w:val="001F67B0"/>
    <w:rsid w:val="001F7B3D"/>
    <w:rsid w:val="002008BB"/>
    <w:rsid w:val="00205F9F"/>
    <w:rsid w:val="002077F1"/>
    <w:rsid w:val="00210338"/>
    <w:rsid w:val="002110EE"/>
    <w:rsid w:val="002115FC"/>
    <w:rsid w:val="0021318A"/>
    <w:rsid w:val="002133F8"/>
    <w:rsid w:val="00213C8A"/>
    <w:rsid w:val="0021423C"/>
    <w:rsid w:val="002144CB"/>
    <w:rsid w:val="0021472A"/>
    <w:rsid w:val="002169E5"/>
    <w:rsid w:val="002227D6"/>
    <w:rsid w:val="0022283B"/>
    <w:rsid w:val="002238DA"/>
    <w:rsid w:val="00225620"/>
    <w:rsid w:val="002306BF"/>
    <w:rsid w:val="00230D00"/>
    <w:rsid w:val="00231DF7"/>
    <w:rsid w:val="00231FD1"/>
    <w:rsid w:val="00232899"/>
    <w:rsid w:val="0023344A"/>
    <w:rsid w:val="002339E0"/>
    <w:rsid w:val="00233CF8"/>
    <w:rsid w:val="00234FEF"/>
    <w:rsid w:val="00235220"/>
    <w:rsid w:val="0023575D"/>
    <w:rsid w:val="00237148"/>
    <w:rsid w:val="00240429"/>
    <w:rsid w:val="0024222D"/>
    <w:rsid w:val="00244B0E"/>
    <w:rsid w:val="00244F6C"/>
    <w:rsid w:val="0024564C"/>
    <w:rsid w:val="002532C5"/>
    <w:rsid w:val="00256F15"/>
    <w:rsid w:val="00260C03"/>
    <w:rsid w:val="0026243A"/>
    <w:rsid w:val="00263AE5"/>
    <w:rsid w:val="00263BF4"/>
    <w:rsid w:val="0026540E"/>
    <w:rsid w:val="002662C8"/>
    <w:rsid w:val="0027225C"/>
    <w:rsid w:val="002731D3"/>
    <w:rsid w:val="00273AB5"/>
    <w:rsid w:val="00274C78"/>
    <w:rsid w:val="00275123"/>
    <w:rsid w:val="00275F0B"/>
    <w:rsid w:val="0027771A"/>
    <w:rsid w:val="00277BE5"/>
    <w:rsid w:val="00282240"/>
    <w:rsid w:val="00284D18"/>
    <w:rsid w:val="0028572A"/>
    <w:rsid w:val="00285A1B"/>
    <w:rsid w:val="0029138D"/>
    <w:rsid w:val="00294021"/>
    <w:rsid w:val="002948AD"/>
    <w:rsid w:val="00294C05"/>
    <w:rsid w:val="00294C92"/>
    <w:rsid w:val="00294D00"/>
    <w:rsid w:val="002978E3"/>
    <w:rsid w:val="002A01CC"/>
    <w:rsid w:val="002A16CA"/>
    <w:rsid w:val="002A61B1"/>
    <w:rsid w:val="002A663C"/>
    <w:rsid w:val="002A6D84"/>
    <w:rsid w:val="002B1E6C"/>
    <w:rsid w:val="002B2C3A"/>
    <w:rsid w:val="002B444B"/>
    <w:rsid w:val="002B5887"/>
    <w:rsid w:val="002C0692"/>
    <w:rsid w:val="002C0E27"/>
    <w:rsid w:val="002C3040"/>
    <w:rsid w:val="002C39F0"/>
    <w:rsid w:val="002C5912"/>
    <w:rsid w:val="002D022D"/>
    <w:rsid w:val="002D24BB"/>
    <w:rsid w:val="002E4594"/>
    <w:rsid w:val="002E5318"/>
    <w:rsid w:val="002F14F8"/>
    <w:rsid w:val="002F2AF7"/>
    <w:rsid w:val="002F7E1C"/>
    <w:rsid w:val="00301570"/>
    <w:rsid w:val="00301A75"/>
    <w:rsid w:val="0030273B"/>
    <w:rsid w:val="00302F70"/>
    <w:rsid w:val="0030336F"/>
    <w:rsid w:val="0030375E"/>
    <w:rsid w:val="0030499E"/>
    <w:rsid w:val="00311BE4"/>
    <w:rsid w:val="00312618"/>
    <w:rsid w:val="00312A30"/>
    <w:rsid w:val="00314A0A"/>
    <w:rsid w:val="00320F72"/>
    <w:rsid w:val="00321974"/>
    <w:rsid w:val="0032463E"/>
    <w:rsid w:val="00326224"/>
    <w:rsid w:val="003314F3"/>
    <w:rsid w:val="00331572"/>
    <w:rsid w:val="00336EF0"/>
    <w:rsid w:val="00337EE4"/>
    <w:rsid w:val="00340FFD"/>
    <w:rsid w:val="003506B1"/>
    <w:rsid w:val="003506D3"/>
    <w:rsid w:val="003552D8"/>
    <w:rsid w:val="00356A4E"/>
    <w:rsid w:val="00356AC7"/>
    <w:rsid w:val="003609FA"/>
    <w:rsid w:val="003615D7"/>
    <w:rsid w:val="00365309"/>
    <w:rsid w:val="00370AF8"/>
    <w:rsid w:val="003710C8"/>
    <w:rsid w:val="0037415F"/>
    <w:rsid w:val="003750BE"/>
    <w:rsid w:val="00383770"/>
    <w:rsid w:val="00387B9D"/>
    <w:rsid w:val="0039364F"/>
    <w:rsid w:val="00393977"/>
    <w:rsid w:val="003959DD"/>
    <w:rsid w:val="00396686"/>
    <w:rsid w:val="0039778E"/>
    <w:rsid w:val="00397ED5"/>
    <w:rsid w:val="003A687B"/>
    <w:rsid w:val="003A7BDA"/>
    <w:rsid w:val="003B012B"/>
    <w:rsid w:val="003B4941"/>
    <w:rsid w:val="003B68B0"/>
    <w:rsid w:val="003C5714"/>
    <w:rsid w:val="003C5B35"/>
    <w:rsid w:val="003C6B9F"/>
    <w:rsid w:val="003C6E2A"/>
    <w:rsid w:val="003D0299"/>
    <w:rsid w:val="003D34F3"/>
    <w:rsid w:val="003D79DF"/>
    <w:rsid w:val="003E05C5"/>
    <w:rsid w:val="003E5A21"/>
    <w:rsid w:val="003E6D80"/>
    <w:rsid w:val="003F05FA"/>
    <w:rsid w:val="003F244A"/>
    <w:rsid w:val="003F30B8"/>
    <w:rsid w:val="003F4C45"/>
    <w:rsid w:val="003F5578"/>
    <w:rsid w:val="003F5F7B"/>
    <w:rsid w:val="003F7D64"/>
    <w:rsid w:val="003F7E84"/>
    <w:rsid w:val="00412AD6"/>
    <w:rsid w:val="00413211"/>
    <w:rsid w:val="00414300"/>
    <w:rsid w:val="00423F2D"/>
    <w:rsid w:val="00425C67"/>
    <w:rsid w:val="00427E7A"/>
    <w:rsid w:val="00430369"/>
    <w:rsid w:val="004303DA"/>
    <w:rsid w:val="00436307"/>
    <w:rsid w:val="00436C49"/>
    <w:rsid w:val="00442317"/>
    <w:rsid w:val="00445366"/>
    <w:rsid w:val="0044646B"/>
    <w:rsid w:val="00447F5B"/>
    <w:rsid w:val="004507E9"/>
    <w:rsid w:val="00461DB0"/>
    <w:rsid w:val="00463926"/>
    <w:rsid w:val="004646E0"/>
    <w:rsid w:val="00464C9A"/>
    <w:rsid w:val="0047357A"/>
    <w:rsid w:val="00474F3D"/>
    <w:rsid w:val="00477E3A"/>
    <w:rsid w:val="0048013B"/>
    <w:rsid w:val="00482EEF"/>
    <w:rsid w:val="00483E5F"/>
    <w:rsid w:val="00485FF9"/>
    <w:rsid w:val="004907F0"/>
    <w:rsid w:val="0049140B"/>
    <w:rsid w:val="004923A5"/>
    <w:rsid w:val="00492E9D"/>
    <w:rsid w:val="00493F19"/>
    <w:rsid w:val="00496BFB"/>
    <w:rsid w:val="004A15C7"/>
    <w:rsid w:val="004A4F51"/>
    <w:rsid w:val="004A71BD"/>
    <w:rsid w:val="004B013B"/>
    <w:rsid w:val="004B112B"/>
    <w:rsid w:val="004C01E4"/>
    <w:rsid w:val="004C086C"/>
    <w:rsid w:val="004C1F56"/>
    <w:rsid w:val="004C27BC"/>
    <w:rsid w:val="004D15F3"/>
    <w:rsid w:val="004D235D"/>
    <w:rsid w:val="004D2887"/>
    <w:rsid w:val="004D5311"/>
    <w:rsid w:val="004D5DCC"/>
    <w:rsid w:val="004F10AF"/>
    <w:rsid w:val="004F11A4"/>
    <w:rsid w:val="004F2389"/>
    <w:rsid w:val="004F304D"/>
    <w:rsid w:val="004F61BE"/>
    <w:rsid w:val="004F66B1"/>
    <w:rsid w:val="00501C41"/>
    <w:rsid w:val="00501D09"/>
    <w:rsid w:val="00502FB4"/>
    <w:rsid w:val="0050612E"/>
    <w:rsid w:val="00511C07"/>
    <w:rsid w:val="00513D01"/>
    <w:rsid w:val="00515E4C"/>
    <w:rsid w:val="005173A6"/>
    <w:rsid w:val="00520BAA"/>
    <w:rsid w:val="00525208"/>
    <w:rsid w:val="005257A5"/>
    <w:rsid w:val="005264C0"/>
    <w:rsid w:val="00526A8A"/>
    <w:rsid w:val="00527726"/>
    <w:rsid w:val="00531978"/>
    <w:rsid w:val="00531DF2"/>
    <w:rsid w:val="00531E52"/>
    <w:rsid w:val="00536E76"/>
    <w:rsid w:val="00543266"/>
    <w:rsid w:val="005442EE"/>
    <w:rsid w:val="00545264"/>
    <w:rsid w:val="00547353"/>
    <w:rsid w:val="005474E7"/>
    <w:rsid w:val="005512A3"/>
    <w:rsid w:val="005520CE"/>
    <w:rsid w:val="00552CCA"/>
    <w:rsid w:val="005578CE"/>
    <w:rsid w:val="00562416"/>
    <w:rsid w:val="00562781"/>
    <w:rsid w:val="00563E83"/>
    <w:rsid w:val="00567F34"/>
    <w:rsid w:val="00571875"/>
    <w:rsid w:val="0057271C"/>
    <w:rsid w:val="00572845"/>
    <w:rsid w:val="00573ADA"/>
    <w:rsid w:val="005801A7"/>
    <w:rsid w:val="0058384F"/>
    <w:rsid w:val="005859F2"/>
    <w:rsid w:val="00592772"/>
    <w:rsid w:val="00594A67"/>
    <w:rsid w:val="0059574A"/>
    <w:rsid w:val="005A1B9B"/>
    <w:rsid w:val="005A2B0A"/>
    <w:rsid w:val="005A2E29"/>
    <w:rsid w:val="005A6751"/>
    <w:rsid w:val="005B092E"/>
    <w:rsid w:val="005B152C"/>
    <w:rsid w:val="005B1A8A"/>
    <w:rsid w:val="005B1EE0"/>
    <w:rsid w:val="005B2B24"/>
    <w:rsid w:val="005B4425"/>
    <w:rsid w:val="005B4B94"/>
    <w:rsid w:val="005C2B13"/>
    <w:rsid w:val="005C3EE8"/>
    <w:rsid w:val="005C761D"/>
    <w:rsid w:val="005D0193"/>
    <w:rsid w:val="005D1DB0"/>
    <w:rsid w:val="005D3450"/>
    <w:rsid w:val="005D34F9"/>
    <w:rsid w:val="005D4190"/>
    <w:rsid w:val="005D5DED"/>
    <w:rsid w:val="005D5E27"/>
    <w:rsid w:val="005D646B"/>
    <w:rsid w:val="005D67A3"/>
    <w:rsid w:val="005E286B"/>
    <w:rsid w:val="005E2988"/>
    <w:rsid w:val="005E2A43"/>
    <w:rsid w:val="005E3085"/>
    <w:rsid w:val="005E438A"/>
    <w:rsid w:val="005E7709"/>
    <w:rsid w:val="005F0CAA"/>
    <w:rsid w:val="005F51E1"/>
    <w:rsid w:val="005F52EA"/>
    <w:rsid w:val="0061168D"/>
    <w:rsid w:val="00611C80"/>
    <w:rsid w:val="00615599"/>
    <w:rsid w:val="00620692"/>
    <w:rsid w:val="00620FE1"/>
    <w:rsid w:val="006234D4"/>
    <w:rsid w:val="0062378B"/>
    <w:rsid w:val="006242CA"/>
    <w:rsid w:val="00627507"/>
    <w:rsid w:val="00633717"/>
    <w:rsid w:val="006344E1"/>
    <w:rsid w:val="006509BA"/>
    <w:rsid w:val="00650D07"/>
    <w:rsid w:val="006512FF"/>
    <w:rsid w:val="006545C4"/>
    <w:rsid w:val="00657CE0"/>
    <w:rsid w:val="00661971"/>
    <w:rsid w:val="00661CE8"/>
    <w:rsid w:val="006623D9"/>
    <w:rsid w:val="0066550C"/>
    <w:rsid w:val="006716F2"/>
    <w:rsid w:val="0067654B"/>
    <w:rsid w:val="0067750E"/>
    <w:rsid w:val="006779E9"/>
    <w:rsid w:val="00680F63"/>
    <w:rsid w:val="00682BF2"/>
    <w:rsid w:val="006859CE"/>
    <w:rsid w:val="006869D6"/>
    <w:rsid w:val="00690456"/>
    <w:rsid w:val="00691270"/>
    <w:rsid w:val="00691A67"/>
    <w:rsid w:val="00693681"/>
    <w:rsid w:val="00694BA8"/>
    <w:rsid w:val="006A037C"/>
    <w:rsid w:val="006A04D4"/>
    <w:rsid w:val="006A36F4"/>
    <w:rsid w:val="006A406F"/>
    <w:rsid w:val="006A5D3A"/>
    <w:rsid w:val="006B07A6"/>
    <w:rsid w:val="006B7F8D"/>
    <w:rsid w:val="006C03BF"/>
    <w:rsid w:val="006C23D4"/>
    <w:rsid w:val="006C59F3"/>
    <w:rsid w:val="006C7BB0"/>
    <w:rsid w:val="006D2640"/>
    <w:rsid w:val="006D3237"/>
    <w:rsid w:val="006D4A88"/>
    <w:rsid w:val="006D51B3"/>
    <w:rsid w:val="006E1F61"/>
    <w:rsid w:val="006E2E37"/>
    <w:rsid w:val="006E3CF1"/>
    <w:rsid w:val="006E7E80"/>
    <w:rsid w:val="006F19AF"/>
    <w:rsid w:val="006F1DF9"/>
    <w:rsid w:val="006F24DB"/>
    <w:rsid w:val="006F48CA"/>
    <w:rsid w:val="006F5FDA"/>
    <w:rsid w:val="006F63A5"/>
    <w:rsid w:val="006F64DD"/>
    <w:rsid w:val="00700D89"/>
    <w:rsid w:val="007053F2"/>
    <w:rsid w:val="00715127"/>
    <w:rsid w:val="00715E8E"/>
    <w:rsid w:val="00723580"/>
    <w:rsid w:val="00723755"/>
    <w:rsid w:val="00724794"/>
    <w:rsid w:val="0073136C"/>
    <w:rsid w:val="00731F0F"/>
    <w:rsid w:val="00733250"/>
    <w:rsid w:val="00741404"/>
    <w:rsid w:val="0074273B"/>
    <w:rsid w:val="007449E5"/>
    <w:rsid w:val="00746C5A"/>
    <w:rsid w:val="00747FF0"/>
    <w:rsid w:val="007532D0"/>
    <w:rsid w:val="00757F1D"/>
    <w:rsid w:val="00763E6F"/>
    <w:rsid w:val="00764A7A"/>
    <w:rsid w:val="00764D4E"/>
    <w:rsid w:val="00764F47"/>
    <w:rsid w:val="00765A1F"/>
    <w:rsid w:val="00765A44"/>
    <w:rsid w:val="007662B4"/>
    <w:rsid w:val="00775B6D"/>
    <w:rsid w:val="00776D68"/>
    <w:rsid w:val="007802B3"/>
    <w:rsid w:val="007850EE"/>
    <w:rsid w:val="00785B95"/>
    <w:rsid w:val="00785F79"/>
    <w:rsid w:val="00790E96"/>
    <w:rsid w:val="00791A29"/>
    <w:rsid w:val="00793366"/>
    <w:rsid w:val="00795CE0"/>
    <w:rsid w:val="00797C30"/>
    <w:rsid w:val="007A1578"/>
    <w:rsid w:val="007A34DF"/>
    <w:rsid w:val="007A716F"/>
    <w:rsid w:val="007B270A"/>
    <w:rsid w:val="007C0695"/>
    <w:rsid w:val="007C3178"/>
    <w:rsid w:val="007C419A"/>
    <w:rsid w:val="007C4393"/>
    <w:rsid w:val="007C4CC8"/>
    <w:rsid w:val="007C5426"/>
    <w:rsid w:val="007C546B"/>
    <w:rsid w:val="007C5798"/>
    <w:rsid w:val="007D4832"/>
    <w:rsid w:val="007E21B2"/>
    <w:rsid w:val="007E2C4E"/>
    <w:rsid w:val="007F1905"/>
    <w:rsid w:val="00801300"/>
    <w:rsid w:val="00802C64"/>
    <w:rsid w:val="00804B5F"/>
    <w:rsid w:val="00805E52"/>
    <w:rsid w:val="008061D0"/>
    <w:rsid w:val="00806742"/>
    <w:rsid w:val="00810B38"/>
    <w:rsid w:val="00811B51"/>
    <w:rsid w:val="008144EE"/>
    <w:rsid w:val="00817B19"/>
    <w:rsid w:val="008204C7"/>
    <w:rsid w:val="00820992"/>
    <w:rsid w:val="00823602"/>
    <w:rsid w:val="008255F5"/>
    <w:rsid w:val="0083014E"/>
    <w:rsid w:val="008309FA"/>
    <w:rsid w:val="00831847"/>
    <w:rsid w:val="00831F17"/>
    <w:rsid w:val="0083214A"/>
    <w:rsid w:val="00834220"/>
    <w:rsid w:val="008405A2"/>
    <w:rsid w:val="008427B5"/>
    <w:rsid w:val="00843929"/>
    <w:rsid w:val="00845723"/>
    <w:rsid w:val="00846935"/>
    <w:rsid w:val="008517B7"/>
    <w:rsid w:val="00851EF9"/>
    <w:rsid w:val="00853B88"/>
    <w:rsid w:val="008577FD"/>
    <w:rsid w:val="00857B63"/>
    <w:rsid w:val="00860053"/>
    <w:rsid w:val="0086008C"/>
    <w:rsid w:val="00860B03"/>
    <w:rsid w:val="00862616"/>
    <w:rsid w:val="0086497A"/>
    <w:rsid w:val="008713A1"/>
    <w:rsid w:val="008754AB"/>
    <w:rsid w:val="0088060C"/>
    <w:rsid w:val="00893576"/>
    <w:rsid w:val="00893E73"/>
    <w:rsid w:val="008A3E04"/>
    <w:rsid w:val="008A43C4"/>
    <w:rsid w:val="008B02DC"/>
    <w:rsid w:val="008B57CE"/>
    <w:rsid w:val="008B659F"/>
    <w:rsid w:val="008C001C"/>
    <w:rsid w:val="008C26DE"/>
    <w:rsid w:val="008D2225"/>
    <w:rsid w:val="008D4752"/>
    <w:rsid w:val="008D552A"/>
    <w:rsid w:val="008D6F54"/>
    <w:rsid w:val="008E0264"/>
    <w:rsid w:val="008E209D"/>
    <w:rsid w:val="008E271C"/>
    <w:rsid w:val="008E4044"/>
    <w:rsid w:val="008E418E"/>
    <w:rsid w:val="008E5BC6"/>
    <w:rsid w:val="008E6A25"/>
    <w:rsid w:val="008F0F64"/>
    <w:rsid w:val="008F46D3"/>
    <w:rsid w:val="008F5193"/>
    <w:rsid w:val="008F530A"/>
    <w:rsid w:val="008F761D"/>
    <w:rsid w:val="009013A7"/>
    <w:rsid w:val="009017FB"/>
    <w:rsid w:val="009017FC"/>
    <w:rsid w:val="00903B43"/>
    <w:rsid w:val="0090506B"/>
    <w:rsid w:val="009050C9"/>
    <w:rsid w:val="009066FC"/>
    <w:rsid w:val="00911E17"/>
    <w:rsid w:val="009140A3"/>
    <w:rsid w:val="009144A2"/>
    <w:rsid w:val="0091510C"/>
    <w:rsid w:val="00920006"/>
    <w:rsid w:val="0092200D"/>
    <w:rsid w:val="00924516"/>
    <w:rsid w:val="009259AC"/>
    <w:rsid w:val="00926F38"/>
    <w:rsid w:val="00934301"/>
    <w:rsid w:val="00936BCA"/>
    <w:rsid w:val="00936CD1"/>
    <w:rsid w:val="009377A5"/>
    <w:rsid w:val="00941747"/>
    <w:rsid w:val="00941EFB"/>
    <w:rsid w:val="00946BF0"/>
    <w:rsid w:val="00947AFB"/>
    <w:rsid w:val="00951D7D"/>
    <w:rsid w:val="00951E8A"/>
    <w:rsid w:val="00952C12"/>
    <w:rsid w:val="0095549A"/>
    <w:rsid w:val="009620BF"/>
    <w:rsid w:val="009630C7"/>
    <w:rsid w:val="00963686"/>
    <w:rsid w:val="009668F7"/>
    <w:rsid w:val="00972B55"/>
    <w:rsid w:val="009743B7"/>
    <w:rsid w:val="0098228B"/>
    <w:rsid w:val="009828DA"/>
    <w:rsid w:val="00983205"/>
    <w:rsid w:val="0098569B"/>
    <w:rsid w:val="00985B3E"/>
    <w:rsid w:val="00985BAB"/>
    <w:rsid w:val="00991C27"/>
    <w:rsid w:val="009976D6"/>
    <w:rsid w:val="00997F03"/>
    <w:rsid w:val="009A46DF"/>
    <w:rsid w:val="009A6C65"/>
    <w:rsid w:val="009B0E4D"/>
    <w:rsid w:val="009B1B5F"/>
    <w:rsid w:val="009B2EC2"/>
    <w:rsid w:val="009B6673"/>
    <w:rsid w:val="009C191B"/>
    <w:rsid w:val="009C2BD6"/>
    <w:rsid w:val="009D2B7F"/>
    <w:rsid w:val="009D5639"/>
    <w:rsid w:val="009E1F32"/>
    <w:rsid w:val="009E3E7C"/>
    <w:rsid w:val="009E5829"/>
    <w:rsid w:val="009E5ED9"/>
    <w:rsid w:val="009E776C"/>
    <w:rsid w:val="009E77B5"/>
    <w:rsid w:val="00A071C8"/>
    <w:rsid w:val="00A14116"/>
    <w:rsid w:val="00A14D93"/>
    <w:rsid w:val="00A1726E"/>
    <w:rsid w:val="00A204CF"/>
    <w:rsid w:val="00A23A8F"/>
    <w:rsid w:val="00A23D49"/>
    <w:rsid w:val="00A25241"/>
    <w:rsid w:val="00A27004"/>
    <w:rsid w:val="00A30C29"/>
    <w:rsid w:val="00A330DE"/>
    <w:rsid w:val="00A34DD6"/>
    <w:rsid w:val="00A36819"/>
    <w:rsid w:val="00A36989"/>
    <w:rsid w:val="00A406DE"/>
    <w:rsid w:val="00A41AD4"/>
    <w:rsid w:val="00A43628"/>
    <w:rsid w:val="00A46921"/>
    <w:rsid w:val="00A54192"/>
    <w:rsid w:val="00A55BA4"/>
    <w:rsid w:val="00A578BE"/>
    <w:rsid w:val="00A6035E"/>
    <w:rsid w:val="00A6144C"/>
    <w:rsid w:val="00A63608"/>
    <w:rsid w:val="00A66617"/>
    <w:rsid w:val="00A671F8"/>
    <w:rsid w:val="00A673A4"/>
    <w:rsid w:val="00A70AAF"/>
    <w:rsid w:val="00A70CEA"/>
    <w:rsid w:val="00A724AE"/>
    <w:rsid w:val="00A73329"/>
    <w:rsid w:val="00A7359D"/>
    <w:rsid w:val="00A74472"/>
    <w:rsid w:val="00A7567E"/>
    <w:rsid w:val="00A82359"/>
    <w:rsid w:val="00A865D2"/>
    <w:rsid w:val="00A94C20"/>
    <w:rsid w:val="00A96ED6"/>
    <w:rsid w:val="00AA227F"/>
    <w:rsid w:val="00AA2B7F"/>
    <w:rsid w:val="00AA2BA3"/>
    <w:rsid w:val="00AA3BC7"/>
    <w:rsid w:val="00AA42DA"/>
    <w:rsid w:val="00AA754A"/>
    <w:rsid w:val="00AB099E"/>
    <w:rsid w:val="00AB14DC"/>
    <w:rsid w:val="00AB4328"/>
    <w:rsid w:val="00AB5FA0"/>
    <w:rsid w:val="00AD5090"/>
    <w:rsid w:val="00AE0A2E"/>
    <w:rsid w:val="00AE354C"/>
    <w:rsid w:val="00AE4456"/>
    <w:rsid w:val="00AF1342"/>
    <w:rsid w:val="00AF23C3"/>
    <w:rsid w:val="00AF4878"/>
    <w:rsid w:val="00AF4B07"/>
    <w:rsid w:val="00AF5C7B"/>
    <w:rsid w:val="00AF6186"/>
    <w:rsid w:val="00AF7A3A"/>
    <w:rsid w:val="00B01592"/>
    <w:rsid w:val="00B06571"/>
    <w:rsid w:val="00B1598D"/>
    <w:rsid w:val="00B160DB"/>
    <w:rsid w:val="00B1690C"/>
    <w:rsid w:val="00B17D06"/>
    <w:rsid w:val="00B20836"/>
    <w:rsid w:val="00B235BB"/>
    <w:rsid w:val="00B243BE"/>
    <w:rsid w:val="00B27A44"/>
    <w:rsid w:val="00B30BBF"/>
    <w:rsid w:val="00B33C03"/>
    <w:rsid w:val="00B44E56"/>
    <w:rsid w:val="00B4502B"/>
    <w:rsid w:val="00B45795"/>
    <w:rsid w:val="00B46543"/>
    <w:rsid w:val="00B4686E"/>
    <w:rsid w:val="00B46F8F"/>
    <w:rsid w:val="00B47D33"/>
    <w:rsid w:val="00B524E7"/>
    <w:rsid w:val="00B52BE0"/>
    <w:rsid w:val="00B53304"/>
    <w:rsid w:val="00B54133"/>
    <w:rsid w:val="00B637B9"/>
    <w:rsid w:val="00B6491C"/>
    <w:rsid w:val="00B701ED"/>
    <w:rsid w:val="00B7475D"/>
    <w:rsid w:val="00B8086C"/>
    <w:rsid w:val="00B81C98"/>
    <w:rsid w:val="00B82ED7"/>
    <w:rsid w:val="00B861B4"/>
    <w:rsid w:val="00B86DFE"/>
    <w:rsid w:val="00B90990"/>
    <w:rsid w:val="00B922FF"/>
    <w:rsid w:val="00B9281E"/>
    <w:rsid w:val="00B93925"/>
    <w:rsid w:val="00B95187"/>
    <w:rsid w:val="00B96C29"/>
    <w:rsid w:val="00BA2D55"/>
    <w:rsid w:val="00BA71B1"/>
    <w:rsid w:val="00BA7A52"/>
    <w:rsid w:val="00BB0637"/>
    <w:rsid w:val="00BB13BD"/>
    <w:rsid w:val="00BB29D1"/>
    <w:rsid w:val="00BB345F"/>
    <w:rsid w:val="00BB5883"/>
    <w:rsid w:val="00BB68EA"/>
    <w:rsid w:val="00BB6CBA"/>
    <w:rsid w:val="00BC1C27"/>
    <w:rsid w:val="00BC36F1"/>
    <w:rsid w:val="00BC6BBF"/>
    <w:rsid w:val="00BC70B3"/>
    <w:rsid w:val="00BD1572"/>
    <w:rsid w:val="00BD7734"/>
    <w:rsid w:val="00BE0DAF"/>
    <w:rsid w:val="00BE14E3"/>
    <w:rsid w:val="00BE3774"/>
    <w:rsid w:val="00BE41E5"/>
    <w:rsid w:val="00BF0BBB"/>
    <w:rsid w:val="00BF4109"/>
    <w:rsid w:val="00BF4CC3"/>
    <w:rsid w:val="00C028B1"/>
    <w:rsid w:val="00C05054"/>
    <w:rsid w:val="00C054C7"/>
    <w:rsid w:val="00C057B5"/>
    <w:rsid w:val="00C2064E"/>
    <w:rsid w:val="00C22687"/>
    <w:rsid w:val="00C2405C"/>
    <w:rsid w:val="00C30FBE"/>
    <w:rsid w:val="00C32E4D"/>
    <w:rsid w:val="00C333A0"/>
    <w:rsid w:val="00C3404F"/>
    <w:rsid w:val="00C36A81"/>
    <w:rsid w:val="00C41974"/>
    <w:rsid w:val="00C4298B"/>
    <w:rsid w:val="00C447AD"/>
    <w:rsid w:val="00C515C2"/>
    <w:rsid w:val="00C51600"/>
    <w:rsid w:val="00C52EF7"/>
    <w:rsid w:val="00C53F4A"/>
    <w:rsid w:val="00C54125"/>
    <w:rsid w:val="00C545C9"/>
    <w:rsid w:val="00C55B54"/>
    <w:rsid w:val="00C57F17"/>
    <w:rsid w:val="00C6098E"/>
    <w:rsid w:val="00C6152C"/>
    <w:rsid w:val="00C621C2"/>
    <w:rsid w:val="00C64198"/>
    <w:rsid w:val="00C671C9"/>
    <w:rsid w:val="00C74810"/>
    <w:rsid w:val="00C74831"/>
    <w:rsid w:val="00C86211"/>
    <w:rsid w:val="00C86813"/>
    <w:rsid w:val="00C86FBC"/>
    <w:rsid w:val="00C90D68"/>
    <w:rsid w:val="00C939FE"/>
    <w:rsid w:val="00C97E76"/>
    <w:rsid w:val="00CA07B1"/>
    <w:rsid w:val="00CA4BDA"/>
    <w:rsid w:val="00CA5070"/>
    <w:rsid w:val="00CB01DD"/>
    <w:rsid w:val="00CB149C"/>
    <w:rsid w:val="00CB1F66"/>
    <w:rsid w:val="00CB2951"/>
    <w:rsid w:val="00CB4CE0"/>
    <w:rsid w:val="00CB6330"/>
    <w:rsid w:val="00CC10AA"/>
    <w:rsid w:val="00CC6507"/>
    <w:rsid w:val="00CD1FFC"/>
    <w:rsid w:val="00CD282B"/>
    <w:rsid w:val="00CD4C35"/>
    <w:rsid w:val="00CD7369"/>
    <w:rsid w:val="00CE0B0E"/>
    <w:rsid w:val="00CE37CE"/>
    <w:rsid w:val="00CE3831"/>
    <w:rsid w:val="00CE3AA2"/>
    <w:rsid w:val="00CE3DF6"/>
    <w:rsid w:val="00CE609D"/>
    <w:rsid w:val="00CE619E"/>
    <w:rsid w:val="00CF5D02"/>
    <w:rsid w:val="00D00ABB"/>
    <w:rsid w:val="00D02EEC"/>
    <w:rsid w:val="00D03551"/>
    <w:rsid w:val="00D05E58"/>
    <w:rsid w:val="00D0613F"/>
    <w:rsid w:val="00D06A63"/>
    <w:rsid w:val="00D07E0E"/>
    <w:rsid w:val="00D106B0"/>
    <w:rsid w:val="00D11478"/>
    <w:rsid w:val="00D1318F"/>
    <w:rsid w:val="00D134C6"/>
    <w:rsid w:val="00D14A98"/>
    <w:rsid w:val="00D15992"/>
    <w:rsid w:val="00D15ED0"/>
    <w:rsid w:val="00D21B3E"/>
    <w:rsid w:val="00D21FED"/>
    <w:rsid w:val="00D24251"/>
    <w:rsid w:val="00D308CB"/>
    <w:rsid w:val="00D30958"/>
    <w:rsid w:val="00D343E2"/>
    <w:rsid w:val="00D361A2"/>
    <w:rsid w:val="00D43057"/>
    <w:rsid w:val="00D44C2E"/>
    <w:rsid w:val="00D45414"/>
    <w:rsid w:val="00D47346"/>
    <w:rsid w:val="00D53C0F"/>
    <w:rsid w:val="00D566BD"/>
    <w:rsid w:val="00D57381"/>
    <w:rsid w:val="00D57A4D"/>
    <w:rsid w:val="00D60AA7"/>
    <w:rsid w:val="00D60D87"/>
    <w:rsid w:val="00D6435F"/>
    <w:rsid w:val="00D75E28"/>
    <w:rsid w:val="00D772C2"/>
    <w:rsid w:val="00D8008E"/>
    <w:rsid w:val="00D82C45"/>
    <w:rsid w:val="00D833F5"/>
    <w:rsid w:val="00D835EA"/>
    <w:rsid w:val="00D870AD"/>
    <w:rsid w:val="00D908A8"/>
    <w:rsid w:val="00D9230A"/>
    <w:rsid w:val="00D977B6"/>
    <w:rsid w:val="00DA15D6"/>
    <w:rsid w:val="00DA383F"/>
    <w:rsid w:val="00DA4A31"/>
    <w:rsid w:val="00DA61F2"/>
    <w:rsid w:val="00DA7B04"/>
    <w:rsid w:val="00DB23F3"/>
    <w:rsid w:val="00DB36C2"/>
    <w:rsid w:val="00DB3A38"/>
    <w:rsid w:val="00DB7196"/>
    <w:rsid w:val="00DC169B"/>
    <w:rsid w:val="00DC2AB9"/>
    <w:rsid w:val="00DC581F"/>
    <w:rsid w:val="00DC63F0"/>
    <w:rsid w:val="00DD091C"/>
    <w:rsid w:val="00DD150A"/>
    <w:rsid w:val="00DD5ACC"/>
    <w:rsid w:val="00DD6EE5"/>
    <w:rsid w:val="00DE1B8E"/>
    <w:rsid w:val="00DE386C"/>
    <w:rsid w:val="00DE4D35"/>
    <w:rsid w:val="00DF0549"/>
    <w:rsid w:val="00DF098B"/>
    <w:rsid w:val="00DF11C4"/>
    <w:rsid w:val="00DF210C"/>
    <w:rsid w:val="00DF2E72"/>
    <w:rsid w:val="00DF3953"/>
    <w:rsid w:val="00DF4B6A"/>
    <w:rsid w:val="00DF7E25"/>
    <w:rsid w:val="00E02C09"/>
    <w:rsid w:val="00E04D59"/>
    <w:rsid w:val="00E07354"/>
    <w:rsid w:val="00E07DA1"/>
    <w:rsid w:val="00E123CB"/>
    <w:rsid w:val="00E1557C"/>
    <w:rsid w:val="00E20E13"/>
    <w:rsid w:val="00E215E3"/>
    <w:rsid w:val="00E21DBC"/>
    <w:rsid w:val="00E22F1D"/>
    <w:rsid w:val="00E258AD"/>
    <w:rsid w:val="00E275D7"/>
    <w:rsid w:val="00E27B4C"/>
    <w:rsid w:val="00E27DBE"/>
    <w:rsid w:val="00E31B2A"/>
    <w:rsid w:val="00E32AB1"/>
    <w:rsid w:val="00E36C71"/>
    <w:rsid w:val="00E40404"/>
    <w:rsid w:val="00E459C6"/>
    <w:rsid w:val="00E47589"/>
    <w:rsid w:val="00E64915"/>
    <w:rsid w:val="00E661D4"/>
    <w:rsid w:val="00E70091"/>
    <w:rsid w:val="00E720F5"/>
    <w:rsid w:val="00E76D47"/>
    <w:rsid w:val="00E82033"/>
    <w:rsid w:val="00E849F7"/>
    <w:rsid w:val="00E90302"/>
    <w:rsid w:val="00E91273"/>
    <w:rsid w:val="00E92557"/>
    <w:rsid w:val="00E94728"/>
    <w:rsid w:val="00E94E75"/>
    <w:rsid w:val="00E9597F"/>
    <w:rsid w:val="00E9601B"/>
    <w:rsid w:val="00E97396"/>
    <w:rsid w:val="00EA0402"/>
    <w:rsid w:val="00EA185E"/>
    <w:rsid w:val="00EA592A"/>
    <w:rsid w:val="00EA7D66"/>
    <w:rsid w:val="00EB14E4"/>
    <w:rsid w:val="00EB32A5"/>
    <w:rsid w:val="00EB34ED"/>
    <w:rsid w:val="00EB63FF"/>
    <w:rsid w:val="00EB7BE0"/>
    <w:rsid w:val="00EC1A87"/>
    <w:rsid w:val="00EC2CB7"/>
    <w:rsid w:val="00EC315E"/>
    <w:rsid w:val="00EC3FF2"/>
    <w:rsid w:val="00EC71ED"/>
    <w:rsid w:val="00ED077C"/>
    <w:rsid w:val="00ED1190"/>
    <w:rsid w:val="00ED6544"/>
    <w:rsid w:val="00EE0277"/>
    <w:rsid w:val="00EE0AA8"/>
    <w:rsid w:val="00EE1DA9"/>
    <w:rsid w:val="00EE3E00"/>
    <w:rsid w:val="00EE5DD2"/>
    <w:rsid w:val="00EF2B27"/>
    <w:rsid w:val="00EF2D0A"/>
    <w:rsid w:val="00EF41F1"/>
    <w:rsid w:val="00EF4F08"/>
    <w:rsid w:val="00EF56DA"/>
    <w:rsid w:val="00EF7047"/>
    <w:rsid w:val="00F00A79"/>
    <w:rsid w:val="00F00E86"/>
    <w:rsid w:val="00F00F8B"/>
    <w:rsid w:val="00F020DA"/>
    <w:rsid w:val="00F05A8C"/>
    <w:rsid w:val="00F07C1E"/>
    <w:rsid w:val="00F105DB"/>
    <w:rsid w:val="00F1080E"/>
    <w:rsid w:val="00F132BC"/>
    <w:rsid w:val="00F13D80"/>
    <w:rsid w:val="00F16AAA"/>
    <w:rsid w:val="00F21161"/>
    <w:rsid w:val="00F218EF"/>
    <w:rsid w:val="00F21BC7"/>
    <w:rsid w:val="00F2201E"/>
    <w:rsid w:val="00F24933"/>
    <w:rsid w:val="00F266A2"/>
    <w:rsid w:val="00F2678A"/>
    <w:rsid w:val="00F32269"/>
    <w:rsid w:val="00F32B80"/>
    <w:rsid w:val="00F4457E"/>
    <w:rsid w:val="00F4541F"/>
    <w:rsid w:val="00F45684"/>
    <w:rsid w:val="00F463EA"/>
    <w:rsid w:val="00F50948"/>
    <w:rsid w:val="00F50D17"/>
    <w:rsid w:val="00F56A6F"/>
    <w:rsid w:val="00F5709C"/>
    <w:rsid w:val="00F64EF1"/>
    <w:rsid w:val="00F67E58"/>
    <w:rsid w:val="00F73770"/>
    <w:rsid w:val="00F8095C"/>
    <w:rsid w:val="00F81C16"/>
    <w:rsid w:val="00F82DD7"/>
    <w:rsid w:val="00F8765F"/>
    <w:rsid w:val="00F90767"/>
    <w:rsid w:val="00F92836"/>
    <w:rsid w:val="00FA685B"/>
    <w:rsid w:val="00FB0C01"/>
    <w:rsid w:val="00FB590C"/>
    <w:rsid w:val="00FC18F2"/>
    <w:rsid w:val="00FC39E5"/>
    <w:rsid w:val="00FC3A78"/>
    <w:rsid w:val="00FC5FFE"/>
    <w:rsid w:val="00FC614C"/>
    <w:rsid w:val="00FD1005"/>
    <w:rsid w:val="00FD16A7"/>
    <w:rsid w:val="00FD3180"/>
    <w:rsid w:val="00FD43A7"/>
    <w:rsid w:val="00FD46E7"/>
    <w:rsid w:val="00FD6C75"/>
    <w:rsid w:val="00FE04A2"/>
    <w:rsid w:val="00FE4A0F"/>
    <w:rsid w:val="00FE71B3"/>
    <w:rsid w:val="00FF062F"/>
    <w:rsid w:val="00FF42C5"/>
    <w:rsid w:val="00FF53D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463EA"/>
    <w:pPr>
      <w:jc w:val="both"/>
    </w:pPr>
    <w:rPr>
      <w:rFonts w:eastAsiaTheme="minorEastAsia"/>
      <w:sz w:val="24"/>
    </w:rPr>
  </w:style>
  <w:style w:type="paragraph" w:styleId="Nagwek1">
    <w:name w:val="heading 1"/>
    <w:basedOn w:val="Normalny"/>
    <w:next w:val="Normalny"/>
    <w:link w:val="Nagwek1Znak"/>
    <w:uiPriority w:val="99"/>
    <w:semiHidden/>
    <w:rsid w:val="00F463E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463E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463E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463E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96C2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463E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96C2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96C2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96C2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463EA"/>
    <w:rPr>
      <w:rFonts w:ascii="Tahoma" w:hAnsi="Tahoma" w:cs="Tahoma"/>
      <w:sz w:val="16"/>
      <w:szCs w:val="16"/>
    </w:rPr>
  </w:style>
  <w:style w:type="character" w:customStyle="1" w:styleId="TekstdymkaZnak">
    <w:name w:val="Tekst dymka Znak"/>
    <w:basedOn w:val="Domylnaczcionkaakapitu"/>
    <w:link w:val="Tekstdymka"/>
    <w:uiPriority w:val="99"/>
    <w:semiHidden/>
    <w:rsid w:val="00F463EA"/>
    <w:rPr>
      <w:rFonts w:ascii="Tahoma" w:eastAsiaTheme="minorEastAsia" w:hAnsi="Tahoma" w:cs="Tahoma"/>
      <w:sz w:val="16"/>
      <w:szCs w:val="16"/>
    </w:rPr>
  </w:style>
  <w:style w:type="character" w:styleId="Tytuksiki">
    <w:name w:val="Book Title"/>
    <w:uiPriority w:val="99"/>
    <w:semiHidden/>
    <w:qFormat/>
    <w:rsid w:val="00B96C29"/>
    <w:rPr>
      <w:i/>
      <w:iCs/>
      <w:smallCaps/>
      <w:spacing w:val="5"/>
    </w:rPr>
  </w:style>
  <w:style w:type="paragraph" w:customStyle="1" w:styleId="ECHRHeader">
    <w:name w:val="ECHR_Header"/>
    <w:aliases w:val="Ju_Header"/>
    <w:basedOn w:val="Nagwek"/>
    <w:uiPriority w:val="4"/>
    <w:qFormat/>
    <w:rsid w:val="00B96C29"/>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F463EA"/>
    <w:pPr>
      <w:jc w:val="left"/>
    </w:pPr>
    <w:rPr>
      <w:sz w:val="8"/>
    </w:rPr>
  </w:style>
  <w:style w:type="character" w:styleId="Pogrubienie">
    <w:name w:val="Strong"/>
    <w:uiPriority w:val="99"/>
    <w:semiHidden/>
    <w:qFormat/>
    <w:rsid w:val="00B96C29"/>
    <w:rPr>
      <w:b/>
      <w:bCs/>
    </w:rPr>
  </w:style>
  <w:style w:type="paragraph" w:styleId="Bezodstpw">
    <w:name w:val="No Spacing"/>
    <w:basedOn w:val="Normalny"/>
    <w:link w:val="BezodstpwZnak"/>
    <w:semiHidden/>
    <w:qFormat/>
    <w:rsid w:val="00B96C29"/>
    <w:rPr>
      <w:sz w:val="22"/>
    </w:rPr>
  </w:style>
  <w:style w:type="character" w:customStyle="1" w:styleId="BezodstpwZnak">
    <w:name w:val="Bez odstępów Znak"/>
    <w:basedOn w:val="Domylnaczcionkaakapitu"/>
    <w:link w:val="Bezodstpw"/>
    <w:semiHidden/>
    <w:rsid w:val="00B96C29"/>
    <w:rPr>
      <w:rFonts w:eastAsiaTheme="minorEastAsia"/>
    </w:rPr>
  </w:style>
  <w:style w:type="paragraph" w:customStyle="1" w:styleId="ECHRFooterLine">
    <w:name w:val="ECHR_Footer_Line"/>
    <w:aliases w:val="Footer_Line"/>
    <w:basedOn w:val="Normalny"/>
    <w:next w:val="ECHRFooter"/>
    <w:uiPriority w:val="57"/>
    <w:semiHidden/>
    <w:rsid w:val="00F463E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B96C29"/>
    <w:pPr>
      <w:numPr>
        <w:numId w:val="22"/>
      </w:numPr>
      <w:jc w:val="left"/>
    </w:pPr>
    <w:rPr>
      <w:b/>
      <w:lang w:val="en-GB"/>
    </w:rPr>
  </w:style>
  <w:style w:type="paragraph" w:customStyle="1" w:styleId="OpiPara">
    <w:name w:val="Opi_Para"/>
    <w:basedOn w:val="ECHRPara"/>
    <w:uiPriority w:val="46"/>
    <w:qFormat/>
    <w:rsid w:val="00B96C29"/>
  </w:style>
  <w:style w:type="paragraph" w:customStyle="1" w:styleId="JuParaSub">
    <w:name w:val="Ju_Para_Sub"/>
    <w:basedOn w:val="ECHRPara"/>
    <w:uiPriority w:val="13"/>
    <w:qFormat/>
    <w:rsid w:val="00B96C29"/>
    <w:pPr>
      <w:ind w:left="284"/>
    </w:pPr>
  </w:style>
  <w:style w:type="paragraph" w:customStyle="1" w:styleId="ECHRTitleCentre3">
    <w:name w:val="ECHR_Title_Centre_3"/>
    <w:aliases w:val="Ju_H_Article"/>
    <w:basedOn w:val="Normalny"/>
    <w:next w:val="ECHRParaQuote"/>
    <w:uiPriority w:val="27"/>
    <w:qFormat/>
    <w:rsid w:val="00B96C29"/>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B96C29"/>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B96C29"/>
  </w:style>
  <w:style w:type="paragraph" w:customStyle="1" w:styleId="OpiQuot">
    <w:name w:val="Opi_Quot"/>
    <w:basedOn w:val="ECHRParaQuote"/>
    <w:uiPriority w:val="48"/>
    <w:qFormat/>
    <w:rsid w:val="00B96C29"/>
  </w:style>
  <w:style w:type="paragraph" w:customStyle="1" w:styleId="OpiQuotSub">
    <w:name w:val="Opi_Quot_Sub"/>
    <w:basedOn w:val="JuQuotSub"/>
    <w:uiPriority w:val="49"/>
    <w:qFormat/>
    <w:rsid w:val="00B96C29"/>
  </w:style>
  <w:style w:type="paragraph" w:customStyle="1" w:styleId="ECHRTitleCentre2">
    <w:name w:val="ECHR_Title_Centre_2"/>
    <w:aliases w:val="Dec_H_Case"/>
    <w:basedOn w:val="Normalny"/>
    <w:next w:val="ECHRPara"/>
    <w:uiPriority w:val="8"/>
    <w:qFormat/>
    <w:rsid w:val="00B96C29"/>
    <w:pPr>
      <w:spacing w:after="240"/>
      <w:jc w:val="center"/>
      <w:outlineLvl w:val="0"/>
    </w:pPr>
    <w:rPr>
      <w:rFonts w:asciiTheme="majorHAnsi" w:hAnsiTheme="majorHAnsi"/>
      <w:lang w:val="en-GB"/>
    </w:rPr>
  </w:style>
  <w:style w:type="paragraph" w:customStyle="1" w:styleId="JuTitle">
    <w:name w:val="Ju_Title"/>
    <w:basedOn w:val="Normalny"/>
    <w:next w:val="ECHRPara"/>
    <w:uiPriority w:val="3"/>
    <w:semiHidden/>
    <w:qFormat/>
    <w:rsid w:val="00B96C29"/>
    <w:pPr>
      <w:spacing w:before="720" w:after="240"/>
      <w:jc w:val="center"/>
      <w:outlineLvl w:val="0"/>
    </w:pPr>
    <w:rPr>
      <w:rFonts w:asciiTheme="majorHAnsi" w:hAnsiTheme="majorHAnsi"/>
      <w:b/>
      <w:caps/>
      <w:lang w:val="en-GB"/>
    </w:rPr>
  </w:style>
  <w:style w:type="paragraph" w:styleId="Tytu">
    <w:name w:val="Title"/>
    <w:basedOn w:val="Normalny"/>
    <w:next w:val="Normalny"/>
    <w:link w:val="TytuZnak"/>
    <w:uiPriority w:val="99"/>
    <w:semiHidden/>
    <w:qFormat/>
    <w:rsid w:val="00B96C2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96C2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B96C29"/>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B96C29"/>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B96C2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B96C29"/>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B96C29"/>
    <w:pPr>
      <w:keepNext/>
      <w:keepLines/>
      <w:spacing w:before="240" w:after="120"/>
      <w:ind w:left="1236"/>
    </w:pPr>
    <w:rPr>
      <w:sz w:val="20"/>
      <w:lang w:val="en-GB"/>
    </w:rPr>
  </w:style>
  <w:style w:type="paragraph" w:customStyle="1" w:styleId="JuQuotSub">
    <w:name w:val="Ju_Quot_Sub"/>
    <w:basedOn w:val="ECHRParaQuote"/>
    <w:uiPriority w:val="15"/>
    <w:qFormat/>
    <w:rsid w:val="00B96C29"/>
    <w:pPr>
      <w:ind w:left="567"/>
    </w:pPr>
  </w:style>
  <w:style w:type="paragraph" w:customStyle="1" w:styleId="JuInitialled">
    <w:name w:val="Ju_Initialled"/>
    <w:basedOn w:val="Normalny"/>
    <w:uiPriority w:val="31"/>
    <w:qFormat/>
    <w:rsid w:val="00B96C29"/>
    <w:pPr>
      <w:tabs>
        <w:tab w:val="center" w:pos="6407"/>
      </w:tabs>
      <w:spacing w:before="720"/>
      <w:jc w:val="right"/>
    </w:pPr>
    <w:rPr>
      <w:lang w:val="en-GB"/>
    </w:rPr>
  </w:style>
  <w:style w:type="paragraph" w:customStyle="1" w:styleId="OpiHA">
    <w:name w:val="Opi_H_A"/>
    <w:basedOn w:val="ECHRHeading1"/>
    <w:next w:val="OpiPara"/>
    <w:uiPriority w:val="41"/>
    <w:qFormat/>
    <w:rsid w:val="00B96C29"/>
    <w:pPr>
      <w:tabs>
        <w:tab w:val="clear" w:pos="357"/>
      </w:tabs>
      <w:outlineLvl w:val="1"/>
    </w:pPr>
    <w:rPr>
      <w:b/>
    </w:rPr>
  </w:style>
  <w:style w:type="paragraph" w:styleId="Nagwek">
    <w:name w:val="header"/>
    <w:basedOn w:val="Normalny"/>
    <w:link w:val="NagwekZnak"/>
    <w:uiPriority w:val="57"/>
    <w:semiHidden/>
    <w:rsid w:val="00F463E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463EA"/>
    <w:rPr>
      <w:sz w:val="24"/>
    </w:rPr>
  </w:style>
  <w:style w:type="character" w:customStyle="1" w:styleId="Nagwek1Znak">
    <w:name w:val="Nagłówek 1 Znak"/>
    <w:basedOn w:val="Domylnaczcionkaakapitu"/>
    <w:link w:val="Nagwek1"/>
    <w:uiPriority w:val="99"/>
    <w:semiHidden/>
    <w:rsid w:val="00F463E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96C29"/>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B96C29"/>
    <w:pPr>
      <w:keepNext/>
      <w:keepLines/>
      <w:tabs>
        <w:tab w:val="left" w:pos="584"/>
      </w:tabs>
      <w:spacing w:before="360" w:after="240"/>
      <w:ind w:left="584" w:hanging="352"/>
    </w:pPr>
    <w:rPr>
      <w:color w:val="auto"/>
      <w:sz w:val="24"/>
      <w:lang w:val="en-GB"/>
    </w:rPr>
  </w:style>
  <w:style w:type="character" w:customStyle="1" w:styleId="Nagwek2Znak">
    <w:name w:val="Nagłówek 2 Znak"/>
    <w:basedOn w:val="Domylnaczcionkaakapitu"/>
    <w:link w:val="Nagwek2"/>
    <w:uiPriority w:val="99"/>
    <w:semiHidden/>
    <w:rsid w:val="00F463EA"/>
    <w:rPr>
      <w:rFonts w:asciiTheme="majorHAnsi" w:eastAsiaTheme="majorEastAsia" w:hAnsiTheme="majorHAnsi" w:cstheme="majorBidi"/>
      <w:b/>
      <w:bCs/>
      <w:color w:val="4D4D4D"/>
      <w:sz w:val="26"/>
      <w:szCs w:val="26"/>
    </w:rPr>
  </w:style>
  <w:style w:type="character" w:customStyle="1" w:styleId="JUNAMES">
    <w:name w:val="JU_NAMES"/>
    <w:uiPriority w:val="17"/>
    <w:qFormat/>
    <w:rsid w:val="00B96C29"/>
    <w:rPr>
      <w:caps w:val="0"/>
      <w:smallCaps/>
    </w:rPr>
  </w:style>
  <w:style w:type="paragraph" w:customStyle="1" w:styleId="JuCase">
    <w:name w:val="Ju_Case"/>
    <w:basedOn w:val="Normalny"/>
    <w:next w:val="ECHRPara"/>
    <w:uiPriority w:val="10"/>
    <w:rsid w:val="00F463EA"/>
    <w:pPr>
      <w:ind w:firstLine="284"/>
    </w:pPr>
    <w:rPr>
      <w:b/>
    </w:rPr>
  </w:style>
  <w:style w:type="character" w:customStyle="1" w:styleId="Nagwek3Znak">
    <w:name w:val="Nagłówek 3 Znak"/>
    <w:basedOn w:val="Domylnaczcionkaakapitu"/>
    <w:link w:val="Nagwek3"/>
    <w:uiPriority w:val="99"/>
    <w:semiHidden/>
    <w:rsid w:val="00F463E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463E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96C29"/>
    <w:rPr>
      <w:rFonts w:asciiTheme="majorHAnsi" w:eastAsiaTheme="majorEastAsia" w:hAnsiTheme="majorHAnsi" w:cstheme="majorBidi"/>
      <w:b/>
      <w:bCs/>
      <w:color w:val="808080"/>
    </w:rPr>
  </w:style>
  <w:style w:type="character" w:styleId="Wyrnieniedelikatne">
    <w:name w:val="Subtle Emphasis"/>
    <w:uiPriority w:val="99"/>
    <w:semiHidden/>
    <w:qFormat/>
    <w:rsid w:val="00B96C2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96C29"/>
    <w:pPr>
      <w:keepNext/>
      <w:keepLines/>
      <w:spacing w:before="720" w:after="240"/>
      <w:outlineLvl w:val="0"/>
    </w:pPr>
    <w:rPr>
      <w:rFonts w:asciiTheme="majorHAnsi" w:hAnsiTheme="majorHAnsi"/>
      <w:sz w:val="28"/>
      <w:lang w:val="en-GB"/>
    </w:rPr>
  </w:style>
  <w:style w:type="character" w:styleId="Uwydatnienie">
    <w:name w:val="Emphasis"/>
    <w:uiPriority w:val="99"/>
    <w:semiHidden/>
    <w:qFormat/>
    <w:rsid w:val="00B96C29"/>
    <w:rPr>
      <w:b/>
      <w:bCs/>
      <w:i/>
      <w:iCs/>
      <w:spacing w:val="10"/>
      <w:bdr w:val="none" w:sz="0" w:space="0" w:color="auto"/>
      <w:shd w:val="clear" w:color="auto" w:fill="auto"/>
    </w:rPr>
  </w:style>
  <w:style w:type="paragraph" w:styleId="Stopka">
    <w:name w:val="footer"/>
    <w:basedOn w:val="Normalny"/>
    <w:link w:val="StopkaZnak"/>
    <w:uiPriority w:val="57"/>
    <w:semiHidden/>
    <w:rsid w:val="00F463E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463EA"/>
    <w:rPr>
      <w:sz w:val="24"/>
    </w:rPr>
  </w:style>
  <w:style w:type="character" w:styleId="Odwoanieprzypisudolnego">
    <w:name w:val="footnote reference"/>
    <w:basedOn w:val="Domylnaczcionkaakapitu"/>
    <w:uiPriority w:val="99"/>
    <w:semiHidden/>
    <w:rsid w:val="00F463EA"/>
    <w:rPr>
      <w:vertAlign w:val="superscript"/>
    </w:rPr>
  </w:style>
  <w:style w:type="paragraph" w:styleId="Tekstprzypisudolnego">
    <w:name w:val="footnote text"/>
    <w:basedOn w:val="Normalny"/>
    <w:link w:val="TekstprzypisudolnegoZnak"/>
    <w:uiPriority w:val="99"/>
    <w:semiHidden/>
    <w:rsid w:val="00F463EA"/>
    <w:rPr>
      <w:sz w:val="20"/>
      <w:szCs w:val="20"/>
    </w:rPr>
  </w:style>
  <w:style w:type="character" w:customStyle="1" w:styleId="TekstprzypisudolnegoZnak">
    <w:name w:val="Tekst przypisu dolnego Znak"/>
    <w:basedOn w:val="Domylnaczcionkaakapitu"/>
    <w:link w:val="Tekstprzypisudolnego"/>
    <w:uiPriority w:val="99"/>
    <w:semiHidden/>
    <w:rsid w:val="00F463EA"/>
    <w:rPr>
      <w:rFonts w:eastAsiaTheme="minorEastAsia"/>
      <w:sz w:val="20"/>
      <w:szCs w:val="20"/>
    </w:rPr>
  </w:style>
  <w:style w:type="character" w:customStyle="1" w:styleId="Nagwek6Znak">
    <w:name w:val="Nagłówek 6 Znak"/>
    <w:basedOn w:val="Domylnaczcionkaakapitu"/>
    <w:link w:val="Nagwek6"/>
    <w:uiPriority w:val="99"/>
    <w:semiHidden/>
    <w:rsid w:val="00F463E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96C2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96C2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96C2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463EA"/>
    <w:rPr>
      <w:color w:val="0072BC" w:themeColor="hyperlink"/>
      <w:u w:val="single"/>
    </w:rPr>
  </w:style>
  <w:style w:type="character" w:styleId="Wyrnienieintensywne">
    <w:name w:val="Intense Emphasis"/>
    <w:uiPriority w:val="99"/>
    <w:semiHidden/>
    <w:qFormat/>
    <w:rsid w:val="00B96C29"/>
    <w:rPr>
      <w:b/>
      <w:bCs/>
    </w:rPr>
  </w:style>
  <w:style w:type="paragraph" w:styleId="Cytatintensywny">
    <w:name w:val="Intense Quote"/>
    <w:basedOn w:val="Normalny"/>
    <w:next w:val="Normalny"/>
    <w:link w:val="CytatintensywnyZnak"/>
    <w:uiPriority w:val="99"/>
    <w:semiHidden/>
    <w:qFormat/>
    <w:rsid w:val="00B96C2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96C29"/>
    <w:rPr>
      <w:rFonts w:eastAsiaTheme="minorEastAsia"/>
      <w:b/>
      <w:bCs/>
      <w:i/>
      <w:iCs/>
      <w:lang w:bidi="en-US"/>
    </w:rPr>
  </w:style>
  <w:style w:type="character" w:styleId="Odwoanieintensywne">
    <w:name w:val="Intense Reference"/>
    <w:uiPriority w:val="99"/>
    <w:semiHidden/>
    <w:qFormat/>
    <w:rsid w:val="00B96C29"/>
    <w:rPr>
      <w:smallCaps/>
      <w:spacing w:val="5"/>
      <w:u w:val="single"/>
    </w:rPr>
  </w:style>
  <w:style w:type="paragraph" w:styleId="Akapitzlist">
    <w:name w:val="List Paragraph"/>
    <w:basedOn w:val="Normalny"/>
    <w:uiPriority w:val="99"/>
    <w:semiHidden/>
    <w:qFormat/>
    <w:rsid w:val="00B96C29"/>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96C29"/>
    <w:pPr>
      <w:spacing w:before="200"/>
      <w:ind w:left="360" w:right="360"/>
    </w:pPr>
    <w:rPr>
      <w:i/>
      <w:iCs/>
      <w:sz w:val="22"/>
      <w:lang w:bidi="en-US"/>
    </w:rPr>
  </w:style>
  <w:style w:type="character" w:customStyle="1" w:styleId="CytatZnak">
    <w:name w:val="Cytat Znak"/>
    <w:basedOn w:val="Domylnaczcionkaakapitu"/>
    <w:link w:val="Cytat"/>
    <w:uiPriority w:val="99"/>
    <w:semiHidden/>
    <w:rsid w:val="00B96C29"/>
    <w:rPr>
      <w:rFonts w:eastAsiaTheme="minorEastAsia"/>
      <w:i/>
      <w:iCs/>
      <w:lang w:bidi="en-US"/>
    </w:rPr>
  </w:style>
  <w:style w:type="character" w:styleId="Odwoaniedelikatne">
    <w:name w:val="Subtle Reference"/>
    <w:uiPriority w:val="99"/>
    <w:semiHidden/>
    <w:qFormat/>
    <w:rsid w:val="00B96C29"/>
    <w:rPr>
      <w:smallCaps/>
    </w:rPr>
  </w:style>
  <w:style w:type="table" w:styleId="Tabela-Siatka">
    <w:name w:val="Table Grid"/>
    <w:basedOn w:val="Standardowy"/>
    <w:uiPriority w:val="59"/>
    <w:semiHidden/>
    <w:rsid w:val="00F463E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463E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463E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463E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463E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463E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96C29"/>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463E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B96C29"/>
    <w:pPr>
      <w:spacing w:before="120" w:after="120"/>
      <w:ind w:left="425" w:firstLine="142"/>
    </w:pPr>
    <w:rPr>
      <w:sz w:val="20"/>
      <w:lang w:val="en-GB"/>
    </w:rPr>
  </w:style>
  <w:style w:type="paragraph" w:customStyle="1" w:styleId="ECHRPara">
    <w:name w:val="ECHR_Para"/>
    <w:aliases w:val="Ju_Para"/>
    <w:basedOn w:val="Normalny"/>
    <w:link w:val="ECHRParaChar"/>
    <w:uiPriority w:val="12"/>
    <w:qFormat/>
    <w:rsid w:val="00B96C29"/>
    <w:pPr>
      <w:ind w:firstLine="284"/>
    </w:pPr>
    <w:rPr>
      <w:lang w:val="en-GB"/>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463E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96C29"/>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96C29"/>
    <w:pPr>
      <w:ind w:left="340" w:hanging="340"/>
    </w:pPr>
    <w:rPr>
      <w:lang w:val="en-GB"/>
    </w:rPr>
  </w:style>
  <w:style w:type="paragraph" w:customStyle="1" w:styleId="JuSigned">
    <w:name w:val="Ju_Signed"/>
    <w:basedOn w:val="Normalny"/>
    <w:next w:val="JuParaLast"/>
    <w:uiPriority w:val="32"/>
    <w:qFormat/>
    <w:rsid w:val="00B96C29"/>
    <w:pPr>
      <w:tabs>
        <w:tab w:val="center" w:pos="851"/>
        <w:tab w:val="center" w:pos="6407"/>
      </w:tabs>
      <w:spacing w:before="720"/>
      <w:jc w:val="left"/>
    </w:pPr>
    <w:rPr>
      <w:lang w:val="en-GB"/>
    </w:rPr>
  </w:style>
  <w:style w:type="paragraph" w:customStyle="1" w:styleId="JuParaLast">
    <w:name w:val="Ju_Para_Last"/>
    <w:basedOn w:val="Normalny"/>
    <w:next w:val="ECHRPara"/>
    <w:uiPriority w:val="30"/>
    <w:qFormat/>
    <w:rsid w:val="00B96C29"/>
    <w:pPr>
      <w:keepNext/>
      <w:keepLines/>
      <w:spacing w:before="240"/>
      <w:ind w:firstLine="284"/>
    </w:pPr>
    <w:rPr>
      <w:lang w:val="en-GB"/>
    </w:rPr>
  </w:style>
  <w:style w:type="character" w:customStyle="1" w:styleId="JuITMark">
    <w:name w:val="Ju_ITMark"/>
    <w:basedOn w:val="Domylnaczcionkaakapitu"/>
    <w:uiPriority w:val="38"/>
    <w:qFormat/>
    <w:rsid w:val="00B96C29"/>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B96C29"/>
    <w:pPr>
      <w:ind w:left="346" w:firstLine="0"/>
    </w:pPr>
  </w:style>
  <w:style w:type="paragraph" w:customStyle="1" w:styleId="JuListi">
    <w:name w:val="Ju_List_i"/>
    <w:basedOn w:val="Normalny"/>
    <w:next w:val="JuLista"/>
    <w:uiPriority w:val="28"/>
    <w:qFormat/>
    <w:rsid w:val="00B96C29"/>
    <w:pPr>
      <w:ind w:left="794"/>
    </w:pPr>
    <w:rPr>
      <w:lang w:val="en-GB"/>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B96C29"/>
    <w:pPr>
      <w:jc w:val="center"/>
      <w:outlineLvl w:val="0"/>
    </w:pPr>
    <w:rPr>
      <w:i/>
      <w:lang w:val="en-GB"/>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semiHidden/>
    <w:qFormat/>
    <w:rsid w:val="00B96C29"/>
  </w:style>
  <w:style w:type="paragraph" w:styleId="Podtytu">
    <w:name w:val="Subtitle"/>
    <w:basedOn w:val="Normalny"/>
    <w:next w:val="Normalny"/>
    <w:link w:val="PodtytuZnak"/>
    <w:uiPriority w:val="99"/>
    <w:semiHidden/>
    <w:qFormat/>
    <w:rsid w:val="00B96C2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96C2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F463E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463E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463E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B96C29"/>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ny"/>
    <w:uiPriority w:val="9"/>
    <w:semiHidden/>
    <w:qFormat/>
    <w:rsid w:val="00B96C29"/>
    <w:pPr>
      <w:spacing w:before="240"/>
      <w:ind w:left="284"/>
    </w:pPr>
    <w:rPr>
      <w:lang w:val="en-GB"/>
    </w:rPr>
  </w:style>
  <w:style w:type="paragraph" w:customStyle="1" w:styleId="OpiH1">
    <w:name w:val="Opi_H_1"/>
    <w:basedOn w:val="ECHRHeading2"/>
    <w:uiPriority w:val="42"/>
    <w:qFormat/>
    <w:rsid w:val="00B96C29"/>
    <w:pPr>
      <w:ind w:left="635" w:hanging="357"/>
      <w:outlineLvl w:val="2"/>
    </w:pPr>
  </w:style>
  <w:style w:type="paragraph" w:customStyle="1" w:styleId="OpiHa0">
    <w:name w:val="Opi_H_a"/>
    <w:basedOn w:val="ECHRHeading3"/>
    <w:uiPriority w:val="43"/>
    <w:qFormat/>
    <w:rsid w:val="00B96C29"/>
    <w:pPr>
      <w:ind w:left="833" w:hanging="357"/>
      <w:outlineLvl w:val="3"/>
    </w:pPr>
    <w:rPr>
      <w:b/>
      <w:i w:val="0"/>
      <w:sz w:val="20"/>
    </w:rPr>
  </w:style>
  <w:style w:type="paragraph" w:customStyle="1" w:styleId="OpiHi">
    <w:name w:val="Opi_H_i"/>
    <w:basedOn w:val="ECHRHeading4"/>
    <w:uiPriority w:val="44"/>
    <w:qFormat/>
    <w:rsid w:val="00B96C29"/>
    <w:pPr>
      <w:ind w:left="1037" w:hanging="357"/>
      <w:outlineLvl w:val="4"/>
    </w:pPr>
    <w:rPr>
      <w:b w:val="0"/>
      <w:i/>
    </w:rPr>
  </w:style>
  <w:style w:type="paragraph" w:customStyle="1" w:styleId="DummyStyle">
    <w:name w:val="Dummy_Style"/>
    <w:basedOn w:val="Normalny"/>
    <w:semiHidden/>
    <w:qFormat/>
    <w:rsid w:val="00B96C29"/>
    <w:rPr>
      <w:color w:val="00B050"/>
      <w:lang w:val="en-GB"/>
    </w:rPr>
  </w:style>
  <w:style w:type="paragraph" w:customStyle="1" w:styleId="JuHeaderLandscape">
    <w:name w:val="Ju_Header_Landscape"/>
    <w:basedOn w:val="ECHRHeader"/>
    <w:uiPriority w:val="4"/>
    <w:qFormat/>
    <w:rsid w:val="00B96C29"/>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936BCA"/>
    <w:rPr>
      <w:rFonts w:eastAsiaTheme="minorEastAsia"/>
      <w:sz w:val="24"/>
      <w:lang w:val="en-GB"/>
    </w:rPr>
  </w:style>
  <w:style w:type="character" w:customStyle="1" w:styleId="txt-old1">
    <w:name w:val="txt-old1"/>
    <w:rsid w:val="005D5DED"/>
    <w:rPr>
      <w:strike/>
      <w:vanish/>
      <w:webHidden w:val="0"/>
      <w:specVanish w:val="0"/>
    </w:rPr>
  </w:style>
  <w:style w:type="character" w:customStyle="1" w:styleId="txt-new1">
    <w:name w:val="txt-new1"/>
    <w:rsid w:val="005D5DED"/>
    <w:rPr>
      <w:shd w:val="clear" w:color="auto" w:fill="auto"/>
    </w:rPr>
  </w:style>
  <w:style w:type="paragraph" w:customStyle="1" w:styleId="jupara">
    <w:name w:val="jupara"/>
    <w:basedOn w:val="Normalny"/>
    <w:rsid w:val="002110E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110EE"/>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463EA"/>
    <w:pPr>
      <w:jc w:val="both"/>
    </w:pPr>
    <w:rPr>
      <w:rFonts w:eastAsiaTheme="minorEastAsia"/>
      <w:sz w:val="24"/>
    </w:rPr>
  </w:style>
  <w:style w:type="paragraph" w:styleId="Nagwek1">
    <w:name w:val="heading 1"/>
    <w:basedOn w:val="Normalny"/>
    <w:next w:val="Normalny"/>
    <w:link w:val="Nagwek1Znak"/>
    <w:uiPriority w:val="99"/>
    <w:semiHidden/>
    <w:rsid w:val="00F463E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463E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463E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463E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96C2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463E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96C2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96C2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96C2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463EA"/>
    <w:rPr>
      <w:rFonts w:ascii="Tahoma" w:hAnsi="Tahoma" w:cs="Tahoma"/>
      <w:sz w:val="16"/>
      <w:szCs w:val="16"/>
    </w:rPr>
  </w:style>
  <w:style w:type="character" w:customStyle="1" w:styleId="TekstdymkaZnak">
    <w:name w:val="Tekst dymka Znak"/>
    <w:basedOn w:val="Domylnaczcionkaakapitu"/>
    <w:link w:val="Tekstdymka"/>
    <w:uiPriority w:val="99"/>
    <w:semiHidden/>
    <w:rsid w:val="00F463EA"/>
    <w:rPr>
      <w:rFonts w:ascii="Tahoma" w:eastAsiaTheme="minorEastAsia" w:hAnsi="Tahoma" w:cs="Tahoma"/>
      <w:sz w:val="16"/>
      <w:szCs w:val="16"/>
    </w:rPr>
  </w:style>
  <w:style w:type="character" w:styleId="Tytuksiki">
    <w:name w:val="Book Title"/>
    <w:uiPriority w:val="99"/>
    <w:semiHidden/>
    <w:qFormat/>
    <w:rsid w:val="00B96C29"/>
    <w:rPr>
      <w:i/>
      <w:iCs/>
      <w:smallCaps/>
      <w:spacing w:val="5"/>
    </w:rPr>
  </w:style>
  <w:style w:type="paragraph" w:customStyle="1" w:styleId="ECHRHeader">
    <w:name w:val="ECHR_Header"/>
    <w:aliases w:val="Ju_Header"/>
    <w:basedOn w:val="Nagwek"/>
    <w:uiPriority w:val="4"/>
    <w:qFormat/>
    <w:rsid w:val="00B96C29"/>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F463EA"/>
    <w:pPr>
      <w:jc w:val="left"/>
    </w:pPr>
    <w:rPr>
      <w:sz w:val="8"/>
    </w:rPr>
  </w:style>
  <w:style w:type="character" w:styleId="Pogrubienie">
    <w:name w:val="Strong"/>
    <w:uiPriority w:val="99"/>
    <w:semiHidden/>
    <w:qFormat/>
    <w:rsid w:val="00B96C29"/>
    <w:rPr>
      <w:b/>
      <w:bCs/>
    </w:rPr>
  </w:style>
  <w:style w:type="paragraph" w:styleId="Bezodstpw">
    <w:name w:val="No Spacing"/>
    <w:basedOn w:val="Normalny"/>
    <w:link w:val="BezodstpwZnak"/>
    <w:semiHidden/>
    <w:qFormat/>
    <w:rsid w:val="00B96C29"/>
    <w:rPr>
      <w:sz w:val="22"/>
    </w:rPr>
  </w:style>
  <w:style w:type="character" w:customStyle="1" w:styleId="BezodstpwZnak">
    <w:name w:val="Bez odstępów Znak"/>
    <w:basedOn w:val="Domylnaczcionkaakapitu"/>
    <w:link w:val="Bezodstpw"/>
    <w:semiHidden/>
    <w:rsid w:val="00B96C29"/>
    <w:rPr>
      <w:rFonts w:eastAsiaTheme="minorEastAsia"/>
    </w:rPr>
  </w:style>
  <w:style w:type="paragraph" w:customStyle="1" w:styleId="ECHRFooterLine">
    <w:name w:val="ECHR_Footer_Line"/>
    <w:aliases w:val="Footer_Line"/>
    <w:basedOn w:val="Normalny"/>
    <w:next w:val="ECHRFooter"/>
    <w:uiPriority w:val="57"/>
    <w:semiHidden/>
    <w:rsid w:val="00F463E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B96C29"/>
    <w:pPr>
      <w:numPr>
        <w:numId w:val="22"/>
      </w:numPr>
      <w:jc w:val="left"/>
    </w:pPr>
    <w:rPr>
      <w:b/>
      <w:lang w:val="en-GB"/>
    </w:rPr>
  </w:style>
  <w:style w:type="paragraph" w:customStyle="1" w:styleId="OpiPara">
    <w:name w:val="Opi_Para"/>
    <w:basedOn w:val="ECHRPara"/>
    <w:uiPriority w:val="46"/>
    <w:qFormat/>
    <w:rsid w:val="00B96C29"/>
  </w:style>
  <w:style w:type="paragraph" w:customStyle="1" w:styleId="JuParaSub">
    <w:name w:val="Ju_Para_Sub"/>
    <w:basedOn w:val="ECHRPara"/>
    <w:uiPriority w:val="13"/>
    <w:qFormat/>
    <w:rsid w:val="00B96C29"/>
    <w:pPr>
      <w:ind w:left="284"/>
    </w:pPr>
  </w:style>
  <w:style w:type="paragraph" w:customStyle="1" w:styleId="ECHRTitleCentre3">
    <w:name w:val="ECHR_Title_Centre_3"/>
    <w:aliases w:val="Ju_H_Article"/>
    <w:basedOn w:val="Normalny"/>
    <w:next w:val="ECHRParaQuote"/>
    <w:uiPriority w:val="27"/>
    <w:qFormat/>
    <w:rsid w:val="00B96C29"/>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B96C29"/>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B96C29"/>
  </w:style>
  <w:style w:type="paragraph" w:customStyle="1" w:styleId="OpiQuot">
    <w:name w:val="Opi_Quot"/>
    <w:basedOn w:val="ECHRParaQuote"/>
    <w:uiPriority w:val="48"/>
    <w:qFormat/>
    <w:rsid w:val="00B96C29"/>
  </w:style>
  <w:style w:type="paragraph" w:customStyle="1" w:styleId="OpiQuotSub">
    <w:name w:val="Opi_Quot_Sub"/>
    <w:basedOn w:val="JuQuotSub"/>
    <w:uiPriority w:val="49"/>
    <w:qFormat/>
    <w:rsid w:val="00B96C29"/>
  </w:style>
  <w:style w:type="paragraph" w:customStyle="1" w:styleId="ECHRTitleCentre2">
    <w:name w:val="ECHR_Title_Centre_2"/>
    <w:aliases w:val="Dec_H_Case"/>
    <w:basedOn w:val="Normalny"/>
    <w:next w:val="ECHRPara"/>
    <w:uiPriority w:val="8"/>
    <w:qFormat/>
    <w:rsid w:val="00B96C29"/>
    <w:pPr>
      <w:spacing w:after="240"/>
      <w:jc w:val="center"/>
      <w:outlineLvl w:val="0"/>
    </w:pPr>
    <w:rPr>
      <w:rFonts w:asciiTheme="majorHAnsi" w:hAnsiTheme="majorHAnsi"/>
      <w:lang w:val="en-GB"/>
    </w:rPr>
  </w:style>
  <w:style w:type="paragraph" w:customStyle="1" w:styleId="JuTitle">
    <w:name w:val="Ju_Title"/>
    <w:basedOn w:val="Normalny"/>
    <w:next w:val="ECHRPara"/>
    <w:uiPriority w:val="3"/>
    <w:semiHidden/>
    <w:qFormat/>
    <w:rsid w:val="00B96C29"/>
    <w:pPr>
      <w:spacing w:before="720" w:after="240"/>
      <w:jc w:val="center"/>
      <w:outlineLvl w:val="0"/>
    </w:pPr>
    <w:rPr>
      <w:rFonts w:asciiTheme="majorHAnsi" w:hAnsiTheme="majorHAnsi"/>
      <w:b/>
      <w:caps/>
      <w:lang w:val="en-GB"/>
    </w:rPr>
  </w:style>
  <w:style w:type="paragraph" w:styleId="Tytu">
    <w:name w:val="Title"/>
    <w:basedOn w:val="Normalny"/>
    <w:next w:val="Normalny"/>
    <w:link w:val="TytuZnak"/>
    <w:uiPriority w:val="99"/>
    <w:semiHidden/>
    <w:qFormat/>
    <w:rsid w:val="00B96C2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96C2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B96C29"/>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B96C29"/>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B96C2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B96C29"/>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B96C29"/>
    <w:pPr>
      <w:keepNext/>
      <w:keepLines/>
      <w:spacing w:before="240" w:after="120"/>
      <w:ind w:left="1236"/>
    </w:pPr>
    <w:rPr>
      <w:sz w:val="20"/>
      <w:lang w:val="en-GB"/>
    </w:rPr>
  </w:style>
  <w:style w:type="paragraph" w:customStyle="1" w:styleId="JuQuotSub">
    <w:name w:val="Ju_Quot_Sub"/>
    <w:basedOn w:val="ECHRParaQuote"/>
    <w:uiPriority w:val="15"/>
    <w:qFormat/>
    <w:rsid w:val="00B96C29"/>
    <w:pPr>
      <w:ind w:left="567"/>
    </w:pPr>
  </w:style>
  <w:style w:type="paragraph" w:customStyle="1" w:styleId="JuInitialled">
    <w:name w:val="Ju_Initialled"/>
    <w:basedOn w:val="Normalny"/>
    <w:uiPriority w:val="31"/>
    <w:qFormat/>
    <w:rsid w:val="00B96C29"/>
    <w:pPr>
      <w:tabs>
        <w:tab w:val="center" w:pos="6407"/>
      </w:tabs>
      <w:spacing w:before="720"/>
      <w:jc w:val="right"/>
    </w:pPr>
    <w:rPr>
      <w:lang w:val="en-GB"/>
    </w:rPr>
  </w:style>
  <w:style w:type="paragraph" w:customStyle="1" w:styleId="OpiHA">
    <w:name w:val="Opi_H_A"/>
    <w:basedOn w:val="ECHRHeading1"/>
    <w:next w:val="OpiPara"/>
    <w:uiPriority w:val="41"/>
    <w:qFormat/>
    <w:rsid w:val="00B96C29"/>
    <w:pPr>
      <w:tabs>
        <w:tab w:val="clear" w:pos="357"/>
      </w:tabs>
      <w:outlineLvl w:val="1"/>
    </w:pPr>
    <w:rPr>
      <w:b/>
    </w:rPr>
  </w:style>
  <w:style w:type="paragraph" w:styleId="Nagwek">
    <w:name w:val="header"/>
    <w:basedOn w:val="Normalny"/>
    <w:link w:val="NagwekZnak"/>
    <w:uiPriority w:val="57"/>
    <w:semiHidden/>
    <w:rsid w:val="00F463E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463EA"/>
    <w:rPr>
      <w:sz w:val="24"/>
    </w:rPr>
  </w:style>
  <w:style w:type="character" w:customStyle="1" w:styleId="Nagwek1Znak">
    <w:name w:val="Nagłówek 1 Znak"/>
    <w:basedOn w:val="Domylnaczcionkaakapitu"/>
    <w:link w:val="Nagwek1"/>
    <w:uiPriority w:val="99"/>
    <w:semiHidden/>
    <w:rsid w:val="00F463E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96C29"/>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B96C29"/>
    <w:pPr>
      <w:keepNext/>
      <w:keepLines/>
      <w:tabs>
        <w:tab w:val="left" w:pos="584"/>
      </w:tabs>
      <w:spacing w:before="360" w:after="240"/>
      <w:ind w:left="584" w:hanging="352"/>
    </w:pPr>
    <w:rPr>
      <w:color w:val="auto"/>
      <w:sz w:val="24"/>
      <w:lang w:val="en-GB"/>
    </w:rPr>
  </w:style>
  <w:style w:type="character" w:customStyle="1" w:styleId="Nagwek2Znak">
    <w:name w:val="Nagłówek 2 Znak"/>
    <w:basedOn w:val="Domylnaczcionkaakapitu"/>
    <w:link w:val="Nagwek2"/>
    <w:uiPriority w:val="99"/>
    <w:semiHidden/>
    <w:rsid w:val="00F463EA"/>
    <w:rPr>
      <w:rFonts w:asciiTheme="majorHAnsi" w:eastAsiaTheme="majorEastAsia" w:hAnsiTheme="majorHAnsi" w:cstheme="majorBidi"/>
      <w:b/>
      <w:bCs/>
      <w:color w:val="4D4D4D"/>
      <w:sz w:val="26"/>
      <w:szCs w:val="26"/>
    </w:rPr>
  </w:style>
  <w:style w:type="character" w:customStyle="1" w:styleId="JUNAMES">
    <w:name w:val="JU_NAMES"/>
    <w:uiPriority w:val="17"/>
    <w:qFormat/>
    <w:rsid w:val="00B96C29"/>
    <w:rPr>
      <w:caps w:val="0"/>
      <w:smallCaps/>
    </w:rPr>
  </w:style>
  <w:style w:type="paragraph" w:customStyle="1" w:styleId="JuCase">
    <w:name w:val="Ju_Case"/>
    <w:basedOn w:val="Normalny"/>
    <w:next w:val="ECHRPara"/>
    <w:uiPriority w:val="10"/>
    <w:rsid w:val="00F463EA"/>
    <w:pPr>
      <w:ind w:firstLine="284"/>
    </w:pPr>
    <w:rPr>
      <w:b/>
    </w:rPr>
  </w:style>
  <w:style w:type="character" w:customStyle="1" w:styleId="Nagwek3Znak">
    <w:name w:val="Nagłówek 3 Znak"/>
    <w:basedOn w:val="Domylnaczcionkaakapitu"/>
    <w:link w:val="Nagwek3"/>
    <w:uiPriority w:val="99"/>
    <w:semiHidden/>
    <w:rsid w:val="00F463E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463E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96C29"/>
    <w:rPr>
      <w:rFonts w:asciiTheme="majorHAnsi" w:eastAsiaTheme="majorEastAsia" w:hAnsiTheme="majorHAnsi" w:cstheme="majorBidi"/>
      <w:b/>
      <w:bCs/>
      <w:color w:val="808080"/>
    </w:rPr>
  </w:style>
  <w:style w:type="character" w:styleId="Wyrnieniedelikatne">
    <w:name w:val="Subtle Emphasis"/>
    <w:uiPriority w:val="99"/>
    <w:semiHidden/>
    <w:qFormat/>
    <w:rsid w:val="00B96C2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96C29"/>
    <w:pPr>
      <w:keepNext/>
      <w:keepLines/>
      <w:spacing w:before="720" w:after="240"/>
      <w:outlineLvl w:val="0"/>
    </w:pPr>
    <w:rPr>
      <w:rFonts w:asciiTheme="majorHAnsi" w:hAnsiTheme="majorHAnsi"/>
      <w:sz w:val="28"/>
      <w:lang w:val="en-GB"/>
    </w:rPr>
  </w:style>
  <w:style w:type="character" w:styleId="Uwydatnienie">
    <w:name w:val="Emphasis"/>
    <w:uiPriority w:val="99"/>
    <w:semiHidden/>
    <w:qFormat/>
    <w:rsid w:val="00B96C29"/>
    <w:rPr>
      <w:b/>
      <w:bCs/>
      <w:i/>
      <w:iCs/>
      <w:spacing w:val="10"/>
      <w:bdr w:val="none" w:sz="0" w:space="0" w:color="auto"/>
      <w:shd w:val="clear" w:color="auto" w:fill="auto"/>
    </w:rPr>
  </w:style>
  <w:style w:type="paragraph" w:styleId="Stopka">
    <w:name w:val="footer"/>
    <w:basedOn w:val="Normalny"/>
    <w:link w:val="StopkaZnak"/>
    <w:uiPriority w:val="57"/>
    <w:semiHidden/>
    <w:rsid w:val="00F463E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463EA"/>
    <w:rPr>
      <w:sz w:val="24"/>
    </w:rPr>
  </w:style>
  <w:style w:type="character" w:styleId="Odwoanieprzypisudolnego">
    <w:name w:val="footnote reference"/>
    <w:basedOn w:val="Domylnaczcionkaakapitu"/>
    <w:uiPriority w:val="99"/>
    <w:semiHidden/>
    <w:rsid w:val="00F463EA"/>
    <w:rPr>
      <w:vertAlign w:val="superscript"/>
    </w:rPr>
  </w:style>
  <w:style w:type="paragraph" w:styleId="Tekstprzypisudolnego">
    <w:name w:val="footnote text"/>
    <w:basedOn w:val="Normalny"/>
    <w:link w:val="TekstprzypisudolnegoZnak"/>
    <w:uiPriority w:val="99"/>
    <w:semiHidden/>
    <w:rsid w:val="00F463EA"/>
    <w:rPr>
      <w:sz w:val="20"/>
      <w:szCs w:val="20"/>
    </w:rPr>
  </w:style>
  <w:style w:type="character" w:customStyle="1" w:styleId="TekstprzypisudolnegoZnak">
    <w:name w:val="Tekst przypisu dolnego Znak"/>
    <w:basedOn w:val="Domylnaczcionkaakapitu"/>
    <w:link w:val="Tekstprzypisudolnego"/>
    <w:uiPriority w:val="99"/>
    <w:semiHidden/>
    <w:rsid w:val="00F463EA"/>
    <w:rPr>
      <w:rFonts w:eastAsiaTheme="minorEastAsia"/>
      <w:sz w:val="20"/>
      <w:szCs w:val="20"/>
    </w:rPr>
  </w:style>
  <w:style w:type="character" w:customStyle="1" w:styleId="Nagwek6Znak">
    <w:name w:val="Nagłówek 6 Znak"/>
    <w:basedOn w:val="Domylnaczcionkaakapitu"/>
    <w:link w:val="Nagwek6"/>
    <w:uiPriority w:val="99"/>
    <w:semiHidden/>
    <w:rsid w:val="00F463E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96C2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96C2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96C2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463EA"/>
    <w:rPr>
      <w:color w:val="0072BC" w:themeColor="hyperlink"/>
      <w:u w:val="single"/>
    </w:rPr>
  </w:style>
  <w:style w:type="character" w:styleId="Wyrnienieintensywne">
    <w:name w:val="Intense Emphasis"/>
    <w:uiPriority w:val="99"/>
    <w:semiHidden/>
    <w:qFormat/>
    <w:rsid w:val="00B96C29"/>
    <w:rPr>
      <w:b/>
      <w:bCs/>
    </w:rPr>
  </w:style>
  <w:style w:type="paragraph" w:styleId="Cytatintensywny">
    <w:name w:val="Intense Quote"/>
    <w:basedOn w:val="Normalny"/>
    <w:next w:val="Normalny"/>
    <w:link w:val="CytatintensywnyZnak"/>
    <w:uiPriority w:val="99"/>
    <w:semiHidden/>
    <w:qFormat/>
    <w:rsid w:val="00B96C2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96C29"/>
    <w:rPr>
      <w:rFonts w:eastAsiaTheme="minorEastAsia"/>
      <w:b/>
      <w:bCs/>
      <w:i/>
      <w:iCs/>
      <w:lang w:bidi="en-US"/>
    </w:rPr>
  </w:style>
  <w:style w:type="character" w:styleId="Odwoanieintensywne">
    <w:name w:val="Intense Reference"/>
    <w:uiPriority w:val="99"/>
    <w:semiHidden/>
    <w:qFormat/>
    <w:rsid w:val="00B96C29"/>
    <w:rPr>
      <w:smallCaps/>
      <w:spacing w:val="5"/>
      <w:u w:val="single"/>
    </w:rPr>
  </w:style>
  <w:style w:type="paragraph" w:styleId="Akapitzlist">
    <w:name w:val="List Paragraph"/>
    <w:basedOn w:val="Normalny"/>
    <w:uiPriority w:val="99"/>
    <w:semiHidden/>
    <w:qFormat/>
    <w:rsid w:val="00B96C29"/>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96C29"/>
    <w:pPr>
      <w:spacing w:before="200"/>
      <w:ind w:left="360" w:right="360"/>
    </w:pPr>
    <w:rPr>
      <w:i/>
      <w:iCs/>
      <w:sz w:val="22"/>
      <w:lang w:bidi="en-US"/>
    </w:rPr>
  </w:style>
  <w:style w:type="character" w:customStyle="1" w:styleId="CytatZnak">
    <w:name w:val="Cytat Znak"/>
    <w:basedOn w:val="Domylnaczcionkaakapitu"/>
    <w:link w:val="Cytat"/>
    <w:uiPriority w:val="99"/>
    <w:semiHidden/>
    <w:rsid w:val="00B96C29"/>
    <w:rPr>
      <w:rFonts w:eastAsiaTheme="minorEastAsia"/>
      <w:i/>
      <w:iCs/>
      <w:lang w:bidi="en-US"/>
    </w:rPr>
  </w:style>
  <w:style w:type="character" w:styleId="Odwoaniedelikatne">
    <w:name w:val="Subtle Reference"/>
    <w:uiPriority w:val="99"/>
    <w:semiHidden/>
    <w:qFormat/>
    <w:rsid w:val="00B96C29"/>
    <w:rPr>
      <w:smallCaps/>
    </w:rPr>
  </w:style>
  <w:style w:type="table" w:styleId="Tabela-Siatka">
    <w:name w:val="Table Grid"/>
    <w:basedOn w:val="Standardowy"/>
    <w:uiPriority w:val="59"/>
    <w:semiHidden/>
    <w:rsid w:val="00F463E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463E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463E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463E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463E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463E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96C29"/>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463E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B96C29"/>
    <w:pPr>
      <w:spacing w:before="120" w:after="120"/>
      <w:ind w:left="425" w:firstLine="142"/>
    </w:pPr>
    <w:rPr>
      <w:sz w:val="20"/>
      <w:lang w:val="en-GB"/>
    </w:rPr>
  </w:style>
  <w:style w:type="paragraph" w:customStyle="1" w:styleId="ECHRPara">
    <w:name w:val="ECHR_Para"/>
    <w:aliases w:val="Ju_Para"/>
    <w:basedOn w:val="Normalny"/>
    <w:link w:val="ECHRParaChar"/>
    <w:uiPriority w:val="12"/>
    <w:qFormat/>
    <w:rsid w:val="00B96C29"/>
    <w:pPr>
      <w:ind w:firstLine="284"/>
    </w:pPr>
    <w:rPr>
      <w:lang w:val="en-GB"/>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463E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96C29"/>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96C29"/>
    <w:pPr>
      <w:ind w:left="340" w:hanging="340"/>
    </w:pPr>
    <w:rPr>
      <w:lang w:val="en-GB"/>
    </w:rPr>
  </w:style>
  <w:style w:type="paragraph" w:customStyle="1" w:styleId="JuSigned">
    <w:name w:val="Ju_Signed"/>
    <w:basedOn w:val="Normalny"/>
    <w:next w:val="JuParaLast"/>
    <w:uiPriority w:val="32"/>
    <w:qFormat/>
    <w:rsid w:val="00B96C29"/>
    <w:pPr>
      <w:tabs>
        <w:tab w:val="center" w:pos="851"/>
        <w:tab w:val="center" w:pos="6407"/>
      </w:tabs>
      <w:spacing w:before="720"/>
      <w:jc w:val="left"/>
    </w:pPr>
    <w:rPr>
      <w:lang w:val="en-GB"/>
    </w:rPr>
  </w:style>
  <w:style w:type="paragraph" w:customStyle="1" w:styleId="JuParaLast">
    <w:name w:val="Ju_Para_Last"/>
    <w:basedOn w:val="Normalny"/>
    <w:next w:val="ECHRPara"/>
    <w:uiPriority w:val="30"/>
    <w:qFormat/>
    <w:rsid w:val="00B96C29"/>
    <w:pPr>
      <w:keepNext/>
      <w:keepLines/>
      <w:spacing w:before="240"/>
      <w:ind w:firstLine="284"/>
    </w:pPr>
    <w:rPr>
      <w:lang w:val="en-GB"/>
    </w:rPr>
  </w:style>
  <w:style w:type="character" w:customStyle="1" w:styleId="JuITMark">
    <w:name w:val="Ju_ITMark"/>
    <w:basedOn w:val="Domylnaczcionkaakapitu"/>
    <w:uiPriority w:val="38"/>
    <w:qFormat/>
    <w:rsid w:val="00B96C29"/>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B96C29"/>
    <w:pPr>
      <w:ind w:left="346" w:firstLine="0"/>
    </w:pPr>
  </w:style>
  <w:style w:type="paragraph" w:customStyle="1" w:styleId="JuListi">
    <w:name w:val="Ju_List_i"/>
    <w:basedOn w:val="Normalny"/>
    <w:next w:val="JuLista"/>
    <w:uiPriority w:val="28"/>
    <w:qFormat/>
    <w:rsid w:val="00B96C29"/>
    <w:pPr>
      <w:ind w:left="794"/>
    </w:pPr>
    <w:rPr>
      <w:lang w:val="en-GB"/>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B96C29"/>
    <w:pPr>
      <w:jc w:val="center"/>
      <w:outlineLvl w:val="0"/>
    </w:pPr>
    <w:rPr>
      <w:i/>
      <w:lang w:val="en-GB"/>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semiHidden/>
    <w:qFormat/>
    <w:rsid w:val="00B96C29"/>
  </w:style>
  <w:style w:type="paragraph" w:styleId="Podtytu">
    <w:name w:val="Subtitle"/>
    <w:basedOn w:val="Normalny"/>
    <w:next w:val="Normalny"/>
    <w:link w:val="PodtytuZnak"/>
    <w:uiPriority w:val="99"/>
    <w:semiHidden/>
    <w:qFormat/>
    <w:rsid w:val="00B96C2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96C2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F463E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463E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463E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B96C29"/>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ny"/>
    <w:uiPriority w:val="9"/>
    <w:semiHidden/>
    <w:qFormat/>
    <w:rsid w:val="00B96C29"/>
    <w:pPr>
      <w:spacing w:before="240"/>
      <w:ind w:left="284"/>
    </w:pPr>
    <w:rPr>
      <w:lang w:val="en-GB"/>
    </w:rPr>
  </w:style>
  <w:style w:type="paragraph" w:customStyle="1" w:styleId="OpiH1">
    <w:name w:val="Opi_H_1"/>
    <w:basedOn w:val="ECHRHeading2"/>
    <w:uiPriority w:val="42"/>
    <w:qFormat/>
    <w:rsid w:val="00B96C29"/>
    <w:pPr>
      <w:ind w:left="635" w:hanging="357"/>
      <w:outlineLvl w:val="2"/>
    </w:pPr>
  </w:style>
  <w:style w:type="paragraph" w:customStyle="1" w:styleId="OpiHa0">
    <w:name w:val="Opi_H_a"/>
    <w:basedOn w:val="ECHRHeading3"/>
    <w:uiPriority w:val="43"/>
    <w:qFormat/>
    <w:rsid w:val="00B96C29"/>
    <w:pPr>
      <w:ind w:left="833" w:hanging="357"/>
      <w:outlineLvl w:val="3"/>
    </w:pPr>
    <w:rPr>
      <w:b/>
      <w:i w:val="0"/>
      <w:sz w:val="20"/>
    </w:rPr>
  </w:style>
  <w:style w:type="paragraph" w:customStyle="1" w:styleId="OpiHi">
    <w:name w:val="Opi_H_i"/>
    <w:basedOn w:val="ECHRHeading4"/>
    <w:uiPriority w:val="44"/>
    <w:qFormat/>
    <w:rsid w:val="00B96C29"/>
    <w:pPr>
      <w:ind w:left="1037" w:hanging="357"/>
      <w:outlineLvl w:val="4"/>
    </w:pPr>
    <w:rPr>
      <w:b w:val="0"/>
      <w:i/>
    </w:rPr>
  </w:style>
  <w:style w:type="paragraph" w:customStyle="1" w:styleId="DummyStyle">
    <w:name w:val="Dummy_Style"/>
    <w:basedOn w:val="Normalny"/>
    <w:semiHidden/>
    <w:qFormat/>
    <w:rsid w:val="00B96C29"/>
    <w:rPr>
      <w:color w:val="00B050"/>
      <w:lang w:val="en-GB"/>
    </w:rPr>
  </w:style>
  <w:style w:type="paragraph" w:customStyle="1" w:styleId="JuHeaderLandscape">
    <w:name w:val="Ju_Header_Landscape"/>
    <w:basedOn w:val="ECHRHeader"/>
    <w:uiPriority w:val="4"/>
    <w:qFormat/>
    <w:rsid w:val="00B96C29"/>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936BCA"/>
    <w:rPr>
      <w:rFonts w:eastAsiaTheme="minorEastAsia"/>
      <w:sz w:val="24"/>
      <w:lang w:val="en-GB"/>
    </w:rPr>
  </w:style>
  <w:style w:type="character" w:customStyle="1" w:styleId="txt-old1">
    <w:name w:val="txt-old1"/>
    <w:rsid w:val="005D5DED"/>
    <w:rPr>
      <w:strike/>
      <w:vanish/>
      <w:webHidden w:val="0"/>
      <w:specVanish w:val="0"/>
    </w:rPr>
  </w:style>
  <w:style w:type="character" w:customStyle="1" w:styleId="txt-new1">
    <w:name w:val="txt-new1"/>
    <w:rsid w:val="005D5DED"/>
    <w:rPr>
      <w:shd w:val="clear" w:color="auto" w:fill="auto"/>
    </w:rPr>
  </w:style>
  <w:style w:type="paragraph" w:customStyle="1" w:styleId="jupara">
    <w:name w:val="jupara"/>
    <w:basedOn w:val="Normalny"/>
    <w:rsid w:val="002110E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110EE"/>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32959">
      <w:bodyDiv w:val="1"/>
      <w:marLeft w:val="0"/>
      <w:marRight w:val="0"/>
      <w:marTop w:val="0"/>
      <w:marBottom w:val="0"/>
      <w:divBdr>
        <w:top w:val="none" w:sz="0" w:space="0" w:color="auto"/>
        <w:left w:val="none" w:sz="0" w:space="0" w:color="auto"/>
        <w:bottom w:val="none" w:sz="0" w:space="0" w:color="auto"/>
        <w:right w:val="none" w:sz="0" w:space="0" w:color="auto"/>
      </w:divBdr>
      <w:divsChild>
        <w:div w:id="2130538761">
          <w:marLeft w:val="0"/>
          <w:marRight w:val="0"/>
          <w:marTop w:val="0"/>
          <w:marBottom w:val="0"/>
          <w:divBdr>
            <w:top w:val="none" w:sz="0" w:space="0" w:color="auto"/>
            <w:left w:val="none" w:sz="0" w:space="0" w:color="auto"/>
            <w:bottom w:val="none" w:sz="0" w:space="0" w:color="auto"/>
            <w:right w:val="none" w:sz="0" w:space="0" w:color="auto"/>
          </w:divBdr>
          <w:divsChild>
            <w:div w:id="443765699">
              <w:marLeft w:val="0"/>
              <w:marRight w:val="0"/>
              <w:marTop w:val="0"/>
              <w:marBottom w:val="0"/>
              <w:divBdr>
                <w:top w:val="none" w:sz="0" w:space="0" w:color="auto"/>
                <w:left w:val="none" w:sz="0" w:space="0" w:color="auto"/>
                <w:bottom w:val="none" w:sz="0" w:space="0" w:color="auto"/>
                <w:right w:val="none" w:sz="0" w:space="0" w:color="auto"/>
              </w:divBdr>
              <w:divsChild>
                <w:div w:id="1026709407">
                  <w:marLeft w:val="0"/>
                  <w:marRight w:val="0"/>
                  <w:marTop w:val="0"/>
                  <w:marBottom w:val="0"/>
                  <w:divBdr>
                    <w:top w:val="none" w:sz="0" w:space="0" w:color="auto"/>
                    <w:left w:val="none" w:sz="0" w:space="0" w:color="auto"/>
                    <w:bottom w:val="none" w:sz="0" w:space="0" w:color="auto"/>
                    <w:right w:val="none" w:sz="0" w:space="0" w:color="auto"/>
                  </w:divBdr>
                  <w:divsChild>
                    <w:div w:id="2075082624">
                      <w:marLeft w:val="0"/>
                      <w:marRight w:val="0"/>
                      <w:marTop w:val="0"/>
                      <w:marBottom w:val="0"/>
                      <w:divBdr>
                        <w:top w:val="none" w:sz="0" w:space="0" w:color="auto"/>
                        <w:left w:val="none" w:sz="0" w:space="0" w:color="auto"/>
                        <w:bottom w:val="none" w:sz="0" w:space="0" w:color="auto"/>
                        <w:right w:val="none" w:sz="0" w:space="0" w:color="auto"/>
                      </w:divBdr>
                      <w:divsChild>
                        <w:div w:id="1240598652">
                          <w:marLeft w:val="0"/>
                          <w:marRight w:val="0"/>
                          <w:marTop w:val="0"/>
                          <w:marBottom w:val="0"/>
                          <w:divBdr>
                            <w:top w:val="none" w:sz="0" w:space="0" w:color="auto"/>
                            <w:left w:val="none" w:sz="0" w:space="0" w:color="auto"/>
                            <w:bottom w:val="none" w:sz="0" w:space="0" w:color="auto"/>
                            <w:right w:val="none" w:sz="0" w:space="0" w:color="auto"/>
                          </w:divBdr>
                          <w:divsChild>
                            <w:div w:id="18463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8544">
      <w:bodyDiv w:val="1"/>
      <w:marLeft w:val="0"/>
      <w:marRight w:val="0"/>
      <w:marTop w:val="0"/>
      <w:marBottom w:val="0"/>
      <w:divBdr>
        <w:top w:val="none" w:sz="0" w:space="0" w:color="auto"/>
        <w:left w:val="none" w:sz="0" w:space="0" w:color="auto"/>
        <w:bottom w:val="none" w:sz="0" w:space="0" w:color="auto"/>
        <w:right w:val="none" w:sz="0" w:space="0" w:color="auto"/>
      </w:divBdr>
      <w:divsChild>
        <w:div w:id="1883782355">
          <w:marLeft w:val="0"/>
          <w:marRight w:val="0"/>
          <w:marTop w:val="0"/>
          <w:marBottom w:val="0"/>
          <w:divBdr>
            <w:top w:val="none" w:sz="0" w:space="0" w:color="auto"/>
            <w:left w:val="none" w:sz="0" w:space="0" w:color="auto"/>
            <w:bottom w:val="none" w:sz="0" w:space="0" w:color="auto"/>
            <w:right w:val="none" w:sz="0" w:space="0" w:color="auto"/>
          </w:divBdr>
          <w:divsChild>
            <w:div w:id="1316373672">
              <w:marLeft w:val="0"/>
              <w:marRight w:val="0"/>
              <w:marTop w:val="0"/>
              <w:marBottom w:val="0"/>
              <w:divBdr>
                <w:top w:val="none" w:sz="0" w:space="0" w:color="auto"/>
                <w:left w:val="none" w:sz="0" w:space="0" w:color="auto"/>
                <w:bottom w:val="none" w:sz="0" w:space="0" w:color="auto"/>
                <w:right w:val="none" w:sz="0" w:space="0" w:color="auto"/>
              </w:divBdr>
              <w:divsChild>
                <w:div w:id="1967394696">
                  <w:marLeft w:val="0"/>
                  <w:marRight w:val="0"/>
                  <w:marTop w:val="0"/>
                  <w:marBottom w:val="0"/>
                  <w:divBdr>
                    <w:top w:val="none" w:sz="0" w:space="0" w:color="auto"/>
                    <w:left w:val="none" w:sz="0" w:space="0" w:color="auto"/>
                    <w:bottom w:val="none" w:sz="0" w:space="0" w:color="auto"/>
                    <w:right w:val="none" w:sz="0" w:space="0" w:color="auto"/>
                  </w:divBdr>
                  <w:divsChild>
                    <w:div w:id="1577787390">
                      <w:marLeft w:val="0"/>
                      <w:marRight w:val="0"/>
                      <w:marTop w:val="0"/>
                      <w:marBottom w:val="0"/>
                      <w:divBdr>
                        <w:top w:val="none" w:sz="0" w:space="0" w:color="auto"/>
                        <w:left w:val="none" w:sz="0" w:space="0" w:color="auto"/>
                        <w:bottom w:val="none" w:sz="0" w:space="0" w:color="auto"/>
                        <w:right w:val="none" w:sz="0" w:space="0" w:color="auto"/>
                      </w:divBdr>
                      <w:divsChild>
                        <w:div w:id="416681504">
                          <w:marLeft w:val="0"/>
                          <w:marRight w:val="0"/>
                          <w:marTop w:val="0"/>
                          <w:marBottom w:val="0"/>
                          <w:divBdr>
                            <w:top w:val="none" w:sz="0" w:space="0" w:color="auto"/>
                            <w:left w:val="none" w:sz="0" w:space="0" w:color="auto"/>
                            <w:bottom w:val="none" w:sz="0" w:space="0" w:color="auto"/>
                            <w:right w:val="none" w:sz="0" w:space="0" w:color="auto"/>
                          </w:divBdr>
                          <w:divsChild>
                            <w:div w:id="44068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245707">
      <w:bodyDiv w:val="1"/>
      <w:marLeft w:val="0"/>
      <w:marRight w:val="0"/>
      <w:marTop w:val="0"/>
      <w:marBottom w:val="0"/>
      <w:divBdr>
        <w:top w:val="none" w:sz="0" w:space="0" w:color="auto"/>
        <w:left w:val="none" w:sz="0" w:space="0" w:color="auto"/>
        <w:bottom w:val="none" w:sz="0" w:space="0" w:color="auto"/>
        <w:right w:val="none" w:sz="0" w:space="0" w:color="auto"/>
      </w:divBdr>
      <w:divsChild>
        <w:div w:id="211812556">
          <w:marLeft w:val="0"/>
          <w:marRight w:val="0"/>
          <w:marTop w:val="0"/>
          <w:marBottom w:val="0"/>
          <w:divBdr>
            <w:top w:val="none" w:sz="0" w:space="0" w:color="auto"/>
            <w:left w:val="none" w:sz="0" w:space="0" w:color="auto"/>
            <w:bottom w:val="none" w:sz="0" w:space="0" w:color="auto"/>
            <w:right w:val="none" w:sz="0" w:space="0" w:color="auto"/>
          </w:divBdr>
          <w:divsChild>
            <w:div w:id="738674877">
              <w:marLeft w:val="0"/>
              <w:marRight w:val="0"/>
              <w:marTop w:val="0"/>
              <w:marBottom w:val="0"/>
              <w:divBdr>
                <w:top w:val="none" w:sz="0" w:space="0" w:color="auto"/>
                <w:left w:val="none" w:sz="0" w:space="0" w:color="auto"/>
                <w:bottom w:val="none" w:sz="0" w:space="0" w:color="auto"/>
                <w:right w:val="none" w:sz="0" w:space="0" w:color="auto"/>
              </w:divBdr>
              <w:divsChild>
                <w:div w:id="2065638894">
                  <w:marLeft w:val="0"/>
                  <w:marRight w:val="0"/>
                  <w:marTop w:val="0"/>
                  <w:marBottom w:val="0"/>
                  <w:divBdr>
                    <w:top w:val="none" w:sz="0" w:space="0" w:color="auto"/>
                    <w:left w:val="none" w:sz="0" w:space="0" w:color="auto"/>
                    <w:bottom w:val="none" w:sz="0" w:space="0" w:color="auto"/>
                    <w:right w:val="none" w:sz="0" w:space="0" w:color="auto"/>
                  </w:divBdr>
                  <w:divsChild>
                    <w:div w:id="524565158">
                      <w:marLeft w:val="0"/>
                      <w:marRight w:val="0"/>
                      <w:marTop w:val="0"/>
                      <w:marBottom w:val="0"/>
                      <w:divBdr>
                        <w:top w:val="none" w:sz="0" w:space="0" w:color="auto"/>
                        <w:left w:val="none" w:sz="0" w:space="0" w:color="auto"/>
                        <w:bottom w:val="none" w:sz="0" w:space="0" w:color="auto"/>
                        <w:right w:val="none" w:sz="0" w:space="0" w:color="auto"/>
                      </w:divBdr>
                      <w:divsChild>
                        <w:div w:id="1280991436">
                          <w:marLeft w:val="0"/>
                          <w:marRight w:val="0"/>
                          <w:marTop w:val="0"/>
                          <w:marBottom w:val="0"/>
                          <w:divBdr>
                            <w:top w:val="none" w:sz="0" w:space="0" w:color="auto"/>
                            <w:left w:val="none" w:sz="0" w:space="0" w:color="auto"/>
                            <w:bottom w:val="none" w:sz="0" w:space="0" w:color="auto"/>
                            <w:right w:val="none" w:sz="0" w:space="0" w:color="auto"/>
                          </w:divBdr>
                          <w:divsChild>
                            <w:div w:id="4564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184331">
      <w:bodyDiv w:val="1"/>
      <w:marLeft w:val="0"/>
      <w:marRight w:val="0"/>
      <w:marTop w:val="0"/>
      <w:marBottom w:val="0"/>
      <w:divBdr>
        <w:top w:val="none" w:sz="0" w:space="0" w:color="auto"/>
        <w:left w:val="none" w:sz="0" w:space="0" w:color="auto"/>
        <w:bottom w:val="none" w:sz="0" w:space="0" w:color="auto"/>
        <w:right w:val="none" w:sz="0" w:space="0" w:color="auto"/>
      </w:divBdr>
      <w:divsChild>
        <w:div w:id="472337491">
          <w:marLeft w:val="0"/>
          <w:marRight w:val="0"/>
          <w:marTop w:val="0"/>
          <w:marBottom w:val="0"/>
          <w:divBdr>
            <w:top w:val="none" w:sz="0" w:space="0" w:color="auto"/>
            <w:left w:val="none" w:sz="0" w:space="0" w:color="auto"/>
            <w:bottom w:val="none" w:sz="0" w:space="0" w:color="auto"/>
            <w:right w:val="none" w:sz="0" w:space="0" w:color="auto"/>
          </w:divBdr>
          <w:divsChild>
            <w:div w:id="1859539714">
              <w:marLeft w:val="0"/>
              <w:marRight w:val="0"/>
              <w:marTop w:val="0"/>
              <w:marBottom w:val="0"/>
              <w:divBdr>
                <w:top w:val="none" w:sz="0" w:space="0" w:color="auto"/>
                <w:left w:val="none" w:sz="0" w:space="0" w:color="auto"/>
                <w:bottom w:val="none" w:sz="0" w:space="0" w:color="auto"/>
                <w:right w:val="none" w:sz="0" w:space="0" w:color="auto"/>
              </w:divBdr>
              <w:divsChild>
                <w:div w:id="285040589">
                  <w:marLeft w:val="0"/>
                  <w:marRight w:val="0"/>
                  <w:marTop w:val="0"/>
                  <w:marBottom w:val="0"/>
                  <w:divBdr>
                    <w:top w:val="none" w:sz="0" w:space="0" w:color="auto"/>
                    <w:left w:val="none" w:sz="0" w:space="0" w:color="auto"/>
                    <w:bottom w:val="none" w:sz="0" w:space="0" w:color="auto"/>
                    <w:right w:val="none" w:sz="0" w:space="0" w:color="auto"/>
                  </w:divBdr>
                  <w:divsChild>
                    <w:div w:id="1980958374">
                      <w:marLeft w:val="0"/>
                      <w:marRight w:val="0"/>
                      <w:marTop w:val="0"/>
                      <w:marBottom w:val="0"/>
                      <w:divBdr>
                        <w:top w:val="none" w:sz="0" w:space="0" w:color="auto"/>
                        <w:left w:val="none" w:sz="0" w:space="0" w:color="auto"/>
                        <w:bottom w:val="none" w:sz="0" w:space="0" w:color="auto"/>
                        <w:right w:val="none" w:sz="0" w:space="0" w:color="auto"/>
                      </w:divBdr>
                      <w:divsChild>
                        <w:div w:id="833300045">
                          <w:marLeft w:val="0"/>
                          <w:marRight w:val="0"/>
                          <w:marTop w:val="0"/>
                          <w:marBottom w:val="0"/>
                          <w:divBdr>
                            <w:top w:val="none" w:sz="0" w:space="0" w:color="auto"/>
                            <w:left w:val="none" w:sz="0" w:space="0" w:color="auto"/>
                            <w:bottom w:val="none" w:sz="0" w:space="0" w:color="auto"/>
                            <w:right w:val="none" w:sz="0" w:space="0" w:color="auto"/>
                          </w:divBdr>
                          <w:divsChild>
                            <w:div w:id="180036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439111">
      <w:bodyDiv w:val="1"/>
      <w:marLeft w:val="0"/>
      <w:marRight w:val="0"/>
      <w:marTop w:val="0"/>
      <w:marBottom w:val="0"/>
      <w:divBdr>
        <w:top w:val="none" w:sz="0" w:space="0" w:color="auto"/>
        <w:left w:val="none" w:sz="0" w:space="0" w:color="auto"/>
        <w:bottom w:val="none" w:sz="0" w:space="0" w:color="auto"/>
        <w:right w:val="none" w:sz="0" w:space="0" w:color="auto"/>
      </w:divBdr>
      <w:divsChild>
        <w:div w:id="1669480147">
          <w:marLeft w:val="0"/>
          <w:marRight w:val="0"/>
          <w:marTop w:val="0"/>
          <w:marBottom w:val="0"/>
          <w:divBdr>
            <w:top w:val="none" w:sz="0" w:space="0" w:color="auto"/>
            <w:left w:val="none" w:sz="0" w:space="0" w:color="auto"/>
            <w:bottom w:val="none" w:sz="0" w:space="0" w:color="auto"/>
            <w:right w:val="none" w:sz="0" w:space="0" w:color="auto"/>
          </w:divBdr>
          <w:divsChild>
            <w:div w:id="1529831180">
              <w:marLeft w:val="0"/>
              <w:marRight w:val="0"/>
              <w:marTop w:val="0"/>
              <w:marBottom w:val="0"/>
              <w:divBdr>
                <w:top w:val="none" w:sz="0" w:space="0" w:color="auto"/>
                <w:left w:val="none" w:sz="0" w:space="0" w:color="auto"/>
                <w:bottom w:val="none" w:sz="0" w:space="0" w:color="auto"/>
                <w:right w:val="none" w:sz="0" w:space="0" w:color="auto"/>
              </w:divBdr>
              <w:divsChild>
                <w:div w:id="1217087749">
                  <w:marLeft w:val="0"/>
                  <w:marRight w:val="0"/>
                  <w:marTop w:val="0"/>
                  <w:marBottom w:val="0"/>
                  <w:divBdr>
                    <w:top w:val="none" w:sz="0" w:space="0" w:color="auto"/>
                    <w:left w:val="none" w:sz="0" w:space="0" w:color="auto"/>
                    <w:bottom w:val="none" w:sz="0" w:space="0" w:color="auto"/>
                    <w:right w:val="none" w:sz="0" w:space="0" w:color="auto"/>
                  </w:divBdr>
                  <w:divsChild>
                    <w:div w:id="1738481204">
                      <w:marLeft w:val="0"/>
                      <w:marRight w:val="0"/>
                      <w:marTop w:val="0"/>
                      <w:marBottom w:val="0"/>
                      <w:divBdr>
                        <w:top w:val="none" w:sz="0" w:space="0" w:color="auto"/>
                        <w:left w:val="none" w:sz="0" w:space="0" w:color="auto"/>
                        <w:bottom w:val="none" w:sz="0" w:space="0" w:color="auto"/>
                        <w:right w:val="none" w:sz="0" w:space="0" w:color="auto"/>
                      </w:divBdr>
                      <w:divsChild>
                        <w:div w:id="1740901613">
                          <w:marLeft w:val="0"/>
                          <w:marRight w:val="0"/>
                          <w:marTop w:val="0"/>
                          <w:marBottom w:val="0"/>
                          <w:divBdr>
                            <w:top w:val="none" w:sz="0" w:space="0" w:color="auto"/>
                            <w:left w:val="none" w:sz="0" w:space="0" w:color="auto"/>
                            <w:bottom w:val="none" w:sz="0" w:space="0" w:color="auto"/>
                            <w:right w:val="none" w:sz="0" w:space="0" w:color="auto"/>
                          </w:divBdr>
                          <w:divsChild>
                            <w:div w:id="57293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267157">
      <w:bodyDiv w:val="1"/>
      <w:marLeft w:val="0"/>
      <w:marRight w:val="0"/>
      <w:marTop w:val="0"/>
      <w:marBottom w:val="0"/>
      <w:divBdr>
        <w:top w:val="none" w:sz="0" w:space="0" w:color="auto"/>
        <w:left w:val="none" w:sz="0" w:space="0" w:color="auto"/>
        <w:bottom w:val="none" w:sz="0" w:space="0" w:color="auto"/>
        <w:right w:val="none" w:sz="0" w:space="0" w:color="auto"/>
      </w:divBdr>
      <w:divsChild>
        <w:div w:id="1996182448">
          <w:marLeft w:val="0"/>
          <w:marRight w:val="0"/>
          <w:marTop w:val="0"/>
          <w:marBottom w:val="0"/>
          <w:divBdr>
            <w:top w:val="none" w:sz="0" w:space="0" w:color="auto"/>
            <w:left w:val="none" w:sz="0" w:space="0" w:color="auto"/>
            <w:bottom w:val="none" w:sz="0" w:space="0" w:color="auto"/>
            <w:right w:val="none" w:sz="0" w:space="0" w:color="auto"/>
          </w:divBdr>
          <w:divsChild>
            <w:div w:id="635066104">
              <w:marLeft w:val="0"/>
              <w:marRight w:val="0"/>
              <w:marTop w:val="0"/>
              <w:marBottom w:val="0"/>
              <w:divBdr>
                <w:top w:val="none" w:sz="0" w:space="0" w:color="auto"/>
                <w:left w:val="none" w:sz="0" w:space="0" w:color="auto"/>
                <w:bottom w:val="none" w:sz="0" w:space="0" w:color="auto"/>
                <w:right w:val="none" w:sz="0" w:space="0" w:color="auto"/>
              </w:divBdr>
              <w:divsChild>
                <w:div w:id="1319573577">
                  <w:marLeft w:val="0"/>
                  <w:marRight w:val="0"/>
                  <w:marTop w:val="0"/>
                  <w:marBottom w:val="0"/>
                  <w:divBdr>
                    <w:top w:val="none" w:sz="0" w:space="0" w:color="auto"/>
                    <w:left w:val="none" w:sz="0" w:space="0" w:color="auto"/>
                    <w:bottom w:val="none" w:sz="0" w:space="0" w:color="auto"/>
                    <w:right w:val="none" w:sz="0" w:space="0" w:color="auto"/>
                  </w:divBdr>
                  <w:divsChild>
                    <w:div w:id="1297488233">
                      <w:marLeft w:val="0"/>
                      <w:marRight w:val="0"/>
                      <w:marTop w:val="0"/>
                      <w:marBottom w:val="0"/>
                      <w:divBdr>
                        <w:top w:val="none" w:sz="0" w:space="0" w:color="auto"/>
                        <w:left w:val="none" w:sz="0" w:space="0" w:color="auto"/>
                        <w:bottom w:val="none" w:sz="0" w:space="0" w:color="auto"/>
                        <w:right w:val="none" w:sz="0" w:space="0" w:color="auto"/>
                      </w:divBdr>
                      <w:divsChild>
                        <w:div w:id="1831172160">
                          <w:marLeft w:val="0"/>
                          <w:marRight w:val="0"/>
                          <w:marTop w:val="0"/>
                          <w:marBottom w:val="0"/>
                          <w:divBdr>
                            <w:top w:val="none" w:sz="0" w:space="0" w:color="auto"/>
                            <w:left w:val="none" w:sz="0" w:space="0" w:color="auto"/>
                            <w:bottom w:val="none" w:sz="0" w:space="0" w:color="auto"/>
                            <w:right w:val="none" w:sz="0" w:space="0" w:color="auto"/>
                          </w:divBdr>
                          <w:divsChild>
                            <w:div w:id="90749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082627">
      <w:bodyDiv w:val="1"/>
      <w:marLeft w:val="0"/>
      <w:marRight w:val="0"/>
      <w:marTop w:val="0"/>
      <w:marBottom w:val="0"/>
      <w:divBdr>
        <w:top w:val="none" w:sz="0" w:space="0" w:color="auto"/>
        <w:left w:val="none" w:sz="0" w:space="0" w:color="auto"/>
        <w:bottom w:val="none" w:sz="0" w:space="0" w:color="auto"/>
        <w:right w:val="none" w:sz="0" w:space="0" w:color="auto"/>
      </w:divBdr>
      <w:divsChild>
        <w:div w:id="787970725">
          <w:marLeft w:val="0"/>
          <w:marRight w:val="0"/>
          <w:marTop w:val="0"/>
          <w:marBottom w:val="0"/>
          <w:divBdr>
            <w:top w:val="none" w:sz="0" w:space="0" w:color="auto"/>
            <w:left w:val="none" w:sz="0" w:space="0" w:color="auto"/>
            <w:bottom w:val="none" w:sz="0" w:space="0" w:color="auto"/>
            <w:right w:val="none" w:sz="0" w:space="0" w:color="auto"/>
          </w:divBdr>
          <w:divsChild>
            <w:div w:id="892159105">
              <w:marLeft w:val="0"/>
              <w:marRight w:val="0"/>
              <w:marTop w:val="0"/>
              <w:marBottom w:val="0"/>
              <w:divBdr>
                <w:top w:val="none" w:sz="0" w:space="0" w:color="auto"/>
                <w:left w:val="none" w:sz="0" w:space="0" w:color="auto"/>
                <w:bottom w:val="none" w:sz="0" w:space="0" w:color="auto"/>
                <w:right w:val="none" w:sz="0" w:space="0" w:color="auto"/>
              </w:divBdr>
              <w:divsChild>
                <w:div w:id="492069456">
                  <w:marLeft w:val="0"/>
                  <w:marRight w:val="0"/>
                  <w:marTop w:val="0"/>
                  <w:marBottom w:val="0"/>
                  <w:divBdr>
                    <w:top w:val="none" w:sz="0" w:space="0" w:color="auto"/>
                    <w:left w:val="none" w:sz="0" w:space="0" w:color="auto"/>
                    <w:bottom w:val="none" w:sz="0" w:space="0" w:color="auto"/>
                    <w:right w:val="none" w:sz="0" w:space="0" w:color="auto"/>
                  </w:divBdr>
                  <w:divsChild>
                    <w:div w:id="1167746756">
                      <w:marLeft w:val="0"/>
                      <w:marRight w:val="0"/>
                      <w:marTop w:val="0"/>
                      <w:marBottom w:val="0"/>
                      <w:divBdr>
                        <w:top w:val="none" w:sz="0" w:space="0" w:color="auto"/>
                        <w:left w:val="none" w:sz="0" w:space="0" w:color="auto"/>
                        <w:bottom w:val="none" w:sz="0" w:space="0" w:color="auto"/>
                        <w:right w:val="none" w:sz="0" w:space="0" w:color="auto"/>
                      </w:divBdr>
                      <w:divsChild>
                        <w:div w:id="384450286">
                          <w:marLeft w:val="0"/>
                          <w:marRight w:val="0"/>
                          <w:marTop w:val="0"/>
                          <w:marBottom w:val="0"/>
                          <w:divBdr>
                            <w:top w:val="none" w:sz="0" w:space="0" w:color="auto"/>
                            <w:left w:val="none" w:sz="0" w:space="0" w:color="auto"/>
                            <w:bottom w:val="none" w:sz="0" w:space="0" w:color="auto"/>
                            <w:right w:val="none" w:sz="0" w:space="0" w:color="auto"/>
                          </w:divBdr>
                          <w:divsChild>
                            <w:div w:id="165433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665103">
      <w:bodyDiv w:val="1"/>
      <w:marLeft w:val="0"/>
      <w:marRight w:val="0"/>
      <w:marTop w:val="0"/>
      <w:marBottom w:val="0"/>
      <w:divBdr>
        <w:top w:val="none" w:sz="0" w:space="0" w:color="auto"/>
        <w:left w:val="none" w:sz="0" w:space="0" w:color="auto"/>
        <w:bottom w:val="none" w:sz="0" w:space="0" w:color="auto"/>
        <w:right w:val="none" w:sz="0" w:space="0" w:color="auto"/>
      </w:divBdr>
      <w:divsChild>
        <w:div w:id="1172913942">
          <w:marLeft w:val="0"/>
          <w:marRight w:val="0"/>
          <w:marTop w:val="0"/>
          <w:marBottom w:val="0"/>
          <w:divBdr>
            <w:top w:val="none" w:sz="0" w:space="0" w:color="auto"/>
            <w:left w:val="none" w:sz="0" w:space="0" w:color="auto"/>
            <w:bottom w:val="none" w:sz="0" w:space="0" w:color="auto"/>
            <w:right w:val="none" w:sz="0" w:space="0" w:color="auto"/>
          </w:divBdr>
          <w:divsChild>
            <w:div w:id="2014212966">
              <w:marLeft w:val="0"/>
              <w:marRight w:val="0"/>
              <w:marTop w:val="0"/>
              <w:marBottom w:val="0"/>
              <w:divBdr>
                <w:top w:val="none" w:sz="0" w:space="0" w:color="auto"/>
                <w:left w:val="none" w:sz="0" w:space="0" w:color="auto"/>
                <w:bottom w:val="none" w:sz="0" w:space="0" w:color="auto"/>
                <w:right w:val="none" w:sz="0" w:space="0" w:color="auto"/>
              </w:divBdr>
              <w:divsChild>
                <w:div w:id="111218208">
                  <w:marLeft w:val="0"/>
                  <w:marRight w:val="0"/>
                  <w:marTop w:val="0"/>
                  <w:marBottom w:val="0"/>
                  <w:divBdr>
                    <w:top w:val="none" w:sz="0" w:space="0" w:color="auto"/>
                    <w:left w:val="none" w:sz="0" w:space="0" w:color="auto"/>
                    <w:bottom w:val="none" w:sz="0" w:space="0" w:color="auto"/>
                    <w:right w:val="none" w:sz="0" w:space="0" w:color="auto"/>
                  </w:divBdr>
                  <w:divsChild>
                    <w:div w:id="1485050411">
                      <w:marLeft w:val="0"/>
                      <w:marRight w:val="0"/>
                      <w:marTop w:val="0"/>
                      <w:marBottom w:val="0"/>
                      <w:divBdr>
                        <w:top w:val="none" w:sz="0" w:space="0" w:color="auto"/>
                        <w:left w:val="none" w:sz="0" w:space="0" w:color="auto"/>
                        <w:bottom w:val="none" w:sz="0" w:space="0" w:color="auto"/>
                        <w:right w:val="none" w:sz="0" w:space="0" w:color="auto"/>
                      </w:divBdr>
                      <w:divsChild>
                        <w:div w:id="819611719">
                          <w:marLeft w:val="0"/>
                          <w:marRight w:val="0"/>
                          <w:marTop w:val="0"/>
                          <w:marBottom w:val="0"/>
                          <w:divBdr>
                            <w:top w:val="none" w:sz="0" w:space="0" w:color="auto"/>
                            <w:left w:val="none" w:sz="0" w:space="0" w:color="auto"/>
                            <w:bottom w:val="none" w:sz="0" w:space="0" w:color="auto"/>
                            <w:right w:val="none" w:sz="0" w:space="0" w:color="auto"/>
                          </w:divBdr>
                          <w:divsChild>
                            <w:div w:id="83113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6898068">
      <w:bodyDiv w:val="1"/>
      <w:marLeft w:val="0"/>
      <w:marRight w:val="0"/>
      <w:marTop w:val="0"/>
      <w:marBottom w:val="0"/>
      <w:divBdr>
        <w:top w:val="none" w:sz="0" w:space="0" w:color="auto"/>
        <w:left w:val="none" w:sz="0" w:space="0" w:color="auto"/>
        <w:bottom w:val="none" w:sz="0" w:space="0" w:color="auto"/>
        <w:right w:val="none" w:sz="0" w:space="0" w:color="auto"/>
      </w:divBdr>
      <w:divsChild>
        <w:div w:id="2047830509">
          <w:marLeft w:val="0"/>
          <w:marRight w:val="0"/>
          <w:marTop w:val="0"/>
          <w:marBottom w:val="0"/>
          <w:divBdr>
            <w:top w:val="none" w:sz="0" w:space="0" w:color="auto"/>
            <w:left w:val="none" w:sz="0" w:space="0" w:color="auto"/>
            <w:bottom w:val="none" w:sz="0" w:space="0" w:color="auto"/>
            <w:right w:val="none" w:sz="0" w:space="0" w:color="auto"/>
          </w:divBdr>
          <w:divsChild>
            <w:div w:id="2122146963">
              <w:marLeft w:val="0"/>
              <w:marRight w:val="0"/>
              <w:marTop w:val="0"/>
              <w:marBottom w:val="0"/>
              <w:divBdr>
                <w:top w:val="none" w:sz="0" w:space="0" w:color="auto"/>
                <w:left w:val="none" w:sz="0" w:space="0" w:color="auto"/>
                <w:bottom w:val="none" w:sz="0" w:space="0" w:color="auto"/>
                <w:right w:val="none" w:sz="0" w:space="0" w:color="auto"/>
              </w:divBdr>
              <w:divsChild>
                <w:div w:id="1100220890">
                  <w:marLeft w:val="0"/>
                  <w:marRight w:val="0"/>
                  <w:marTop w:val="0"/>
                  <w:marBottom w:val="0"/>
                  <w:divBdr>
                    <w:top w:val="none" w:sz="0" w:space="0" w:color="auto"/>
                    <w:left w:val="none" w:sz="0" w:space="0" w:color="auto"/>
                    <w:bottom w:val="none" w:sz="0" w:space="0" w:color="auto"/>
                    <w:right w:val="none" w:sz="0" w:space="0" w:color="auto"/>
                  </w:divBdr>
                  <w:divsChild>
                    <w:div w:id="1035042106">
                      <w:marLeft w:val="0"/>
                      <w:marRight w:val="0"/>
                      <w:marTop w:val="0"/>
                      <w:marBottom w:val="0"/>
                      <w:divBdr>
                        <w:top w:val="none" w:sz="0" w:space="0" w:color="auto"/>
                        <w:left w:val="none" w:sz="0" w:space="0" w:color="auto"/>
                        <w:bottom w:val="none" w:sz="0" w:space="0" w:color="auto"/>
                        <w:right w:val="none" w:sz="0" w:space="0" w:color="auto"/>
                      </w:divBdr>
                      <w:divsChild>
                        <w:div w:id="1700158489">
                          <w:marLeft w:val="0"/>
                          <w:marRight w:val="0"/>
                          <w:marTop w:val="0"/>
                          <w:marBottom w:val="0"/>
                          <w:divBdr>
                            <w:top w:val="none" w:sz="0" w:space="0" w:color="auto"/>
                            <w:left w:val="none" w:sz="0" w:space="0" w:color="auto"/>
                            <w:bottom w:val="none" w:sz="0" w:space="0" w:color="auto"/>
                            <w:right w:val="none" w:sz="0" w:space="0" w:color="auto"/>
                          </w:divBdr>
                          <w:divsChild>
                            <w:div w:id="57609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096721">
      <w:bodyDiv w:val="1"/>
      <w:marLeft w:val="0"/>
      <w:marRight w:val="0"/>
      <w:marTop w:val="0"/>
      <w:marBottom w:val="0"/>
      <w:divBdr>
        <w:top w:val="none" w:sz="0" w:space="0" w:color="auto"/>
        <w:left w:val="none" w:sz="0" w:space="0" w:color="auto"/>
        <w:bottom w:val="none" w:sz="0" w:space="0" w:color="auto"/>
        <w:right w:val="none" w:sz="0" w:space="0" w:color="auto"/>
      </w:divBdr>
      <w:divsChild>
        <w:div w:id="1428497142">
          <w:marLeft w:val="0"/>
          <w:marRight w:val="0"/>
          <w:marTop w:val="0"/>
          <w:marBottom w:val="0"/>
          <w:divBdr>
            <w:top w:val="none" w:sz="0" w:space="0" w:color="auto"/>
            <w:left w:val="none" w:sz="0" w:space="0" w:color="auto"/>
            <w:bottom w:val="none" w:sz="0" w:space="0" w:color="auto"/>
            <w:right w:val="none" w:sz="0" w:space="0" w:color="auto"/>
          </w:divBdr>
          <w:divsChild>
            <w:div w:id="1269309998">
              <w:marLeft w:val="0"/>
              <w:marRight w:val="0"/>
              <w:marTop w:val="0"/>
              <w:marBottom w:val="0"/>
              <w:divBdr>
                <w:top w:val="none" w:sz="0" w:space="0" w:color="auto"/>
                <w:left w:val="none" w:sz="0" w:space="0" w:color="auto"/>
                <w:bottom w:val="none" w:sz="0" w:space="0" w:color="auto"/>
                <w:right w:val="none" w:sz="0" w:space="0" w:color="auto"/>
              </w:divBdr>
              <w:divsChild>
                <w:div w:id="2123259102">
                  <w:marLeft w:val="0"/>
                  <w:marRight w:val="0"/>
                  <w:marTop w:val="0"/>
                  <w:marBottom w:val="0"/>
                  <w:divBdr>
                    <w:top w:val="none" w:sz="0" w:space="0" w:color="auto"/>
                    <w:left w:val="none" w:sz="0" w:space="0" w:color="auto"/>
                    <w:bottom w:val="none" w:sz="0" w:space="0" w:color="auto"/>
                    <w:right w:val="none" w:sz="0" w:space="0" w:color="auto"/>
                  </w:divBdr>
                  <w:divsChild>
                    <w:div w:id="1851021475">
                      <w:marLeft w:val="0"/>
                      <w:marRight w:val="0"/>
                      <w:marTop w:val="0"/>
                      <w:marBottom w:val="0"/>
                      <w:divBdr>
                        <w:top w:val="none" w:sz="0" w:space="0" w:color="auto"/>
                        <w:left w:val="none" w:sz="0" w:space="0" w:color="auto"/>
                        <w:bottom w:val="none" w:sz="0" w:space="0" w:color="auto"/>
                        <w:right w:val="none" w:sz="0" w:space="0" w:color="auto"/>
                      </w:divBdr>
                      <w:divsChild>
                        <w:div w:id="752896678">
                          <w:marLeft w:val="0"/>
                          <w:marRight w:val="0"/>
                          <w:marTop w:val="0"/>
                          <w:marBottom w:val="0"/>
                          <w:divBdr>
                            <w:top w:val="none" w:sz="0" w:space="0" w:color="auto"/>
                            <w:left w:val="none" w:sz="0" w:space="0" w:color="auto"/>
                            <w:bottom w:val="none" w:sz="0" w:space="0" w:color="auto"/>
                            <w:right w:val="none" w:sz="0" w:space="0" w:color="auto"/>
                          </w:divBdr>
                          <w:divsChild>
                            <w:div w:id="204736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6428426">
      <w:bodyDiv w:val="1"/>
      <w:marLeft w:val="0"/>
      <w:marRight w:val="0"/>
      <w:marTop w:val="0"/>
      <w:marBottom w:val="0"/>
      <w:divBdr>
        <w:top w:val="none" w:sz="0" w:space="0" w:color="auto"/>
        <w:left w:val="none" w:sz="0" w:space="0" w:color="auto"/>
        <w:bottom w:val="none" w:sz="0" w:space="0" w:color="auto"/>
        <w:right w:val="none" w:sz="0" w:space="0" w:color="auto"/>
      </w:divBdr>
      <w:divsChild>
        <w:div w:id="983924413">
          <w:marLeft w:val="0"/>
          <w:marRight w:val="0"/>
          <w:marTop w:val="0"/>
          <w:marBottom w:val="0"/>
          <w:divBdr>
            <w:top w:val="none" w:sz="0" w:space="0" w:color="auto"/>
            <w:left w:val="none" w:sz="0" w:space="0" w:color="auto"/>
            <w:bottom w:val="none" w:sz="0" w:space="0" w:color="auto"/>
            <w:right w:val="none" w:sz="0" w:space="0" w:color="auto"/>
          </w:divBdr>
          <w:divsChild>
            <w:div w:id="365568557">
              <w:marLeft w:val="0"/>
              <w:marRight w:val="0"/>
              <w:marTop w:val="0"/>
              <w:marBottom w:val="0"/>
              <w:divBdr>
                <w:top w:val="none" w:sz="0" w:space="0" w:color="auto"/>
                <w:left w:val="none" w:sz="0" w:space="0" w:color="auto"/>
                <w:bottom w:val="none" w:sz="0" w:space="0" w:color="auto"/>
                <w:right w:val="none" w:sz="0" w:space="0" w:color="auto"/>
              </w:divBdr>
              <w:divsChild>
                <w:div w:id="633868803">
                  <w:marLeft w:val="0"/>
                  <w:marRight w:val="0"/>
                  <w:marTop w:val="0"/>
                  <w:marBottom w:val="0"/>
                  <w:divBdr>
                    <w:top w:val="none" w:sz="0" w:space="0" w:color="auto"/>
                    <w:left w:val="none" w:sz="0" w:space="0" w:color="auto"/>
                    <w:bottom w:val="none" w:sz="0" w:space="0" w:color="auto"/>
                    <w:right w:val="none" w:sz="0" w:space="0" w:color="auto"/>
                  </w:divBdr>
                  <w:divsChild>
                    <w:div w:id="2020420976">
                      <w:marLeft w:val="0"/>
                      <w:marRight w:val="0"/>
                      <w:marTop w:val="0"/>
                      <w:marBottom w:val="0"/>
                      <w:divBdr>
                        <w:top w:val="none" w:sz="0" w:space="0" w:color="auto"/>
                        <w:left w:val="none" w:sz="0" w:space="0" w:color="auto"/>
                        <w:bottom w:val="none" w:sz="0" w:space="0" w:color="auto"/>
                        <w:right w:val="none" w:sz="0" w:space="0" w:color="auto"/>
                      </w:divBdr>
                      <w:divsChild>
                        <w:div w:id="1744984026">
                          <w:marLeft w:val="0"/>
                          <w:marRight w:val="0"/>
                          <w:marTop w:val="0"/>
                          <w:marBottom w:val="0"/>
                          <w:divBdr>
                            <w:top w:val="none" w:sz="0" w:space="0" w:color="auto"/>
                            <w:left w:val="none" w:sz="0" w:space="0" w:color="auto"/>
                            <w:bottom w:val="none" w:sz="0" w:space="0" w:color="auto"/>
                            <w:right w:val="none" w:sz="0" w:space="0" w:color="auto"/>
                          </w:divBdr>
                          <w:divsChild>
                            <w:div w:id="147910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510109">
      <w:bodyDiv w:val="1"/>
      <w:marLeft w:val="0"/>
      <w:marRight w:val="0"/>
      <w:marTop w:val="0"/>
      <w:marBottom w:val="0"/>
      <w:divBdr>
        <w:top w:val="none" w:sz="0" w:space="0" w:color="auto"/>
        <w:left w:val="none" w:sz="0" w:space="0" w:color="auto"/>
        <w:bottom w:val="none" w:sz="0" w:space="0" w:color="auto"/>
        <w:right w:val="none" w:sz="0" w:space="0" w:color="auto"/>
      </w:divBdr>
      <w:divsChild>
        <w:div w:id="679161364">
          <w:marLeft w:val="0"/>
          <w:marRight w:val="0"/>
          <w:marTop w:val="0"/>
          <w:marBottom w:val="0"/>
          <w:divBdr>
            <w:top w:val="none" w:sz="0" w:space="0" w:color="auto"/>
            <w:left w:val="none" w:sz="0" w:space="0" w:color="auto"/>
            <w:bottom w:val="none" w:sz="0" w:space="0" w:color="auto"/>
            <w:right w:val="none" w:sz="0" w:space="0" w:color="auto"/>
          </w:divBdr>
          <w:divsChild>
            <w:div w:id="237254701">
              <w:marLeft w:val="0"/>
              <w:marRight w:val="0"/>
              <w:marTop w:val="0"/>
              <w:marBottom w:val="0"/>
              <w:divBdr>
                <w:top w:val="none" w:sz="0" w:space="0" w:color="auto"/>
                <w:left w:val="none" w:sz="0" w:space="0" w:color="auto"/>
                <w:bottom w:val="none" w:sz="0" w:space="0" w:color="auto"/>
                <w:right w:val="none" w:sz="0" w:space="0" w:color="auto"/>
              </w:divBdr>
              <w:divsChild>
                <w:div w:id="498425339">
                  <w:marLeft w:val="0"/>
                  <w:marRight w:val="0"/>
                  <w:marTop w:val="0"/>
                  <w:marBottom w:val="0"/>
                  <w:divBdr>
                    <w:top w:val="none" w:sz="0" w:space="0" w:color="auto"/>
                    <w:left w:val="none" w:sz="0" w:space="0" w:color="auto"/>
                    <w:bottom w:val="none" w:sz="0" w:space="0" w:color="auto"/>
                    <w:right w:val="none" w:sz="0" w:space="0" w:color="auto"/>
                  </w:divBdr>
                  <w:divsChild>
                    <w:div w:id="1392195552">
                      <w:marLeft w:val="0"/>
                      <w:marRight w:val="0"/>
                      <w:marTop w:val="0"/>
                      <w:marBottom w:val="0"/>
                      <w:divBdr>
                        <w:top w:val="none" w:sz="0" w:space="0" w:color="auto"/>
                        <w:left w:val="none" w:sz="0" w:space="0" w:color="auto"/>
                        <w:bottom w:val="none" w:sz="0" w:space="0" w:color="auto"/>
                        <w:right w:val="none" w:sz="0" w:space="0" w:color="auto"/>
                      </w:divBdr>
                      <w:divsChild>
                        <w:div w:id="1630085047">
                          <w:marLeft w:val="0"/>
                          <w:marRight w:val="0"/>
                          <w:marTop w:val="0"/>
                          <w:marBottom w:val="0"/>
                          <w:divBdr>
                            <w:top w:val="none" w:sz="0" w:space="0" w:color="auto"/>
                            <w:left w:val="none" w:sz="0" w:space="0" w:color="auto"/>
                            <w:bottom w:val="none" w:sz="0" w:space="0" w:color="auto"/>
                            <w:right w:val="none" w:sz="0" w:space="0" w:color="auto"/>
                          </w:divBdr>
                          <w:divsChild>
                            <w:div w:id="64959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878467">
      <w:bodyDiv w:val="1"/>
      <w:marLeft w:val="0"/>
      <w:marRight w:val="0"/>
      <w:marTop w:val="0"/>
      <w:marBottom w:val="0"/>
      <w:divBdr>
        <w:top w:val="none" w:sz="0" w:space="0" w:color="auto"/>
        <w:left w:val="none" w:sz="0" w:space="0" w:color="auto"/>
        <w:bottom w:val="none" w:sz="0" w:space="0" w:color="auto"/>
        <w:right w:val="none" w:sz="0" w:space="0" w:color="auto"/>
      </w:divBdr>
      <w:divsChild>
        <w:div w:id="1867669456">
          <w:marLeft w:val="0"/>
          <w:marRight w:val="0"/>
          <w:marTop w:val="0"/>
          <w:marBottom w:val="0"/>
          <w:divBdr>
            <w:top w:val="none" w:sz="0" w:space="0" w:color="auto"/>
            <w:left w:val="none" w:sz="0" w:space="0" w:color="auto"/>
            <w:bottom w:val="none" w:sz="0" w:space="0" w:color="auto"/>
            <w:right w:val="none" w:sz="0" w:space="0" w:color="auto"/>
          </w:divBdr>
          <w:divsChild>
            <w:div w:id="755399952">
              <w:marLeft w:val="0"/>
              <w:marRight w:val="0"/>
              <w:marTop w:val="0"/>
              <w:marBottom w:val="0"/>
              <w:divBdr>
                <w:top w:val="none" w:sz="0" w:space="0" w:color="auto"/>
                <w:left w:val="none" w:sz="0" w:space="0" w:color="auto"/>
                <w:bottom w:val="none" w:sz="0" w:space="0" w:color="auto"/>
                <w:right w:val="none" w:sz="0" w:space="0" w:color="auto"/>
              </w:divBdr>
              <w:divsChild>
                <w:div w:id="1219897571">
                  <w:marLeft w:val="0"/>
                  <w:marRight w:val="0"/>
                  <w:marTop w:val="0"/>
                  <w:marBottom w:val="0"/>
                  <w:divBdr>
                    <w:top w:val="none" w:sz="0" w:space="0" w:color="auto"/>
                    <w:left w:val="none" w:sz="0" w:space="0" w:color="auto"/>
                    <w:bottom w:val="none" w:sz="0" w:space="0" w:color="auto"/>
                    <w:right w:val="none" w:sz="0" w:space="0" w:color="auto"/>
                  </w:divBdr>
                  <w:divsChild>
                    <w:div w:id="66075107">
                      <w:marLeft w:val="0"/>
                      <w:marRight w:val="0"/>
                      <w:marTop w:val="0"/>
                      <w:marBottom w:val="0"/>
                      <w:divBdr>
                        <w:top w:val="none" w:sz="0" w:space="0" w:color="auto"/>
                        <w:left w:val="none" w:sz="0" w:space="0" w:color="auto"/>
                        <w:bottom w:val="none" w:sz="0" w:space="0" w:color="auto"/>
                        <w:right w:val="none" w:sz="0" w:space="0" w:color="auto"/>
                      </w:divBdr>
                      <w:divsChild>
                        <w:div w:id="1951160893">
                          <w:marLeft w:val="0"/>
                          <w:marRight w:val="0"/>
                          <w:marTop w:val="0"/>
                          <w:marBottom w:val="0"/>
                          <w:divBdr>
                            <w:top w:val="none" w:sz="0" w:space="0" w:color="auto"/>
                            <w:left w:val="none" w:sz="0" w:space="0" w:color="auto"/>
                            <w:bottom w:val="none" w:sz="0" w:space="0" w:color="auto"/>
                            <w:right w:val="none" w:sz="0" w:space="0" w:color="auto"/>
                          </w:divBdr>
                          <w:divsChild>
                            <w:div w:id="124394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637239">
      <w:bodyDiv w:val="1"/>
      <w:marLeft w:val="0"/>
      <w:marRight w:val="0"/>
      <w:marTop w:val="0"/>
      <w:marBottom w:val="0"/>
      <w:divBdr>
        <w:top w:val="none" w:sz="0" w:space="0" w:color="auto"/>
        <w:left w:val="none" w:sz="0" w:space="0" w:color="auto"/>
        <w:bottom w:val="none" w:sz="0" w:space="0" w:color="auto"/>
        <w:right w:val="none" w:sz="0" w:space="0" w:color="auto"/>
      </w:divBdr>
      <w:divsChild>
        <w:div w:id="1256936789">
          <w:marLeft w:val="0"/>
          <w:marRight w:val="0"/>
          <w:marTop w:val="0"/>
          <w:marBottom w:val="0"/>
          <w:divBdr>
            <w:top w:val="none" w:sz="0" w:space="0" w:color="auto"/>
            <w:left w:val="none" w:sz="0" w:space="0" w:color="auto"/>
            <w:bottom w:val="none" w:sz="0" w:space="0" w:color="auto"/>
            <w:right w:val="none" w:sz="0" w:space="0" w:color="auto"/>
          </w:divBdr>
          <w:divsChild>
            <w:div w:id="254290091">
              <w:marLeft w:val="0"/>
              <w:marRight w:val="0"/>
              <w:marTop w:val="0"/>
              <w:marBottom w:val="0"/>
              <w:divBdr>
                <w:top w:val="none" w:sz="0" w:space="0" w:color="auto"/>
                <w:left w:val="none" w:sz="0" w:space="0" w:color="auto"/>
                <w:bottom w:val="none" w:sz="0" w:space="0" w:color="auto"/>
                <w:right w:val="none" w:sz="0" w:space="0" w:color="auto"/>
              </w:divBdr>
              <w:divsChild>
                <w:div w:id="1539052199">
                  <w:marLeft w:val="0"/>
                  <w:marRight w:val="0"/>
                  <w:marTop w:val="0"/>
                  <w:marBottom w:val="0"/>
                  <w:divBdr>
                    <w:top w:val="none" w:sz="0" w:space="0" w:color="auto"/>
                    <w:left w:val="none" w:sz="0" w:space="0" w:color="auto"/>
                    <w:bottom w:val="none" w:sz="0" w:space="0" w:color="auto"/>
                    <w:right w:val="none" w:sz="0" w:space="0" w:color="auto"/>
                  </w:divBdr>
                  <w:divsChild>
                    <w:div w:id="883566307">
                      <w:marLeft w:val="0"/>
                      <w:marRight w:val="0"/>
                      <w:marTop w:val="0"/>
                      <w:marBottom w:val="0"/>
                      <w:divBdr>
                        <w:top w:val="none" w:sz="0" w:space="0" w:color="auto"/>
                        <w:left w:val="none" w:sz="0" w:space="0" w:color="auto"/>
                        <w:bottom w:val="none" w:sz="0" w:space="0" w:color="auto"/>
                        <w:right w:val="none" w:sz="0" w:space="0" w:color="auto"/>
                      </w:divBdr>
                      <w:divsChild>
                        <w:div w:id="2055500139">
                          <w:marLeft w:val="0"/>
                          <w:marRight w:val="0"/>
                          <w:marTop w:val="0"/>
                          <w:marBottom w:val="0"/>
                          <w:divBdr>
                            <w:top w:val="none" w:sz="0" w:space="0" w:color="auto"/>
                            <w:left w:val="none" w:sz="0" w:space="0" w:color="auto"/>
                            <w:bottom w:val="none" w:sz="0" w:space="0" w:color="auto"/>
                            <w:right w:val="none" w:sz="0" w:space="0" w:color="auto"/>
                          </w:divBdr>
                          <w:divsChild>
                            <w:div w:id="56946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234932">
      <w:bodyDiv w:val="1"/>
      <w:marLeft w:val="0"/>
      <w:marRight w:val="0"/>
      <w:marTop w:val="0"/>
      <w:marBottom w:val="0"/>
      <w:divBdr>
        <w:top w:val="none" w:sz="0" w:space="0" w:color="auto"/>
        <w:left w:val="none" w:sz="0" w:space="0" w:color="auto"/>
        <w:bottom w:val="none" w:sz="0" w:space="0" w:color="auto"/>
        <w:right w:val="none" w:sz="0" w:space="0" w:color="auto"/>
      </w:divBdr>
    </w:div>
    <w:div w:id="1571425064">
      <w:bodyDiv w:val="1"/>
      <w:marLeft w:val="0"/>
      <w:marRight w:val="0"/>
      <w:marTop w:val="0"/>
      <w:marBottom w:val="0"/>
      <w:divBdr>
        <w:top w:val="none" w:sz="0" w:space="0" w:color="auto"/>
        <w:left w:val="none" w:sz="0" w:space="0" w:color="auto"/>
        <w:bottom w:val="none" w:sz="0" w:space="0" w:color="auto"/>
        <w:right w:val="none" w:sz="0" w:space="0" w:color="auto"/>
      </w:divBdr>
      <w:divsChild>
        <w:div w:id="947809300">
          <w:marLeft w:val="0"/>
          <w:marRight w:val="0"/>
          <w:marTop w:val="0"/>
          <w:marBottom w:val="0"/>
          <w:divBdr>
            <w:top w:val="none" w:sz="0" w:space="0" w:color="auto"/>
            <w:left w:val="none" w:sz="0" w:space="0" w:color="auto"/>
            <w:bottom w:val="none" w:sz="0" w:space="0" w:color="auto"/>
            <w:right w:val="none" w:sz="0" w:space="0" w:color="auto"/>
          </w:divBdr>
          <w:divsChild>
            <w:div w:id="1779833025">
              <w:marLeft w:val="0"/>
              <w:marRight w:val="0"/>
              <w:marTop w:val="0"/>
              <w:marBottom w:val="0"/>
              <w:divBdr>
                <w:top w:val="none" w:sz="0" w:space="0" w:color="auto"/>
                <w:left w:val="none" w:sz="0" w:space="0" w:color="auto"/>
                <w:bottom w:val="none" w:sz="0" w:space="0" w:color="auto"/>
                <w:right w:val="none" w:sz="0" w:space="0" w:color="auto"/>
              </w:divBdr>
              <w:divsChild>
                <w:div w:id="421953417">
                  <w:marLeft w:val="0"/>
                  <w:marRight w:val="0"/>
                  <w:marTop w:val="0"/>
                  <w:marBottom w:val="0"/>
                  <w:divBdr>
                    <w:top w:val="none" w:sz="0" w:space="0" w:color="auto"/>
                    <w:left w:val="none" w:sz="0" w:space="0" w:color="auto"/>
                    <w:bottom w:val="none" w:sz="0" w:space="0" w:color="auto"/>
                    <w:right w:val="none" w:sz="0" w:space="0" w:color="auto"/>
                  </w:divBdr>
                  <w:divsChild>
                    <w:div w:id="888808985">
                      <w:marLeft w:val="0"/>
                      <w:marRight w:val="0"/>
                      <w:marTop w:val="0"/>
                      <w:marBottom w:val="0"/>
                      <w:divBdr>
                        <w:top w:val="none" w:sz="0" w:space="0" w:color="auto"/>
                        <w:left w:val="none" w:sz="0" w:space="0" w:color="auto"/>
                        <w:bottom w:val="none" w:sz="0" w:space="0" w:color="auto"/>
                        <w:right w:val="none" w:sz="0" w:space="0" w:color="auto"/>
                      </w:divBdr>
                      <w:divsChild>
                        <w:div w:id="1135610291">
                          <w:marLeft w:val="0"/>
                          <w:marRight w:val="0"/>
                          <w:marTop w:val="0"/>
                          <w:marBottom w:val="0"/>
                          <w:divBdr>
                            <w:top w:val="none" w:sz="0" w:space="0" w:color="auto"/>
                            <w:left w:val="none" w:sz="0" w:space="0" w:color="auto"/>
                            <w:bottom w:val="none" w:sz="0" w:space="0" w:color="auto"/>
                            <w:right w:val="none" w:sz="0" w:space="0" w:color="auto"/>
                          </w:divBdr>
                          <w:divsChild>
                            <w:div w:id="208452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0745298">
      <w:bodyDiv w:val="1"/>
      <w:marLeft w:val="0"/>
      <w:marRight w:val="0"/>
      <w:marTop w:val="0"/>
      <w:marBottom w:val="0"/>
      <w:divBdr>
        <w:top w:val="none" w:sz="0" w:space="0" w:color="auto"/>
        <w:left w:val="none" w:sz="0" w:space="0" w:color="auto"/>
        <w:bottom w:val="none" w:sz="0" w:space="0" w:color="auto"/>
        <w:right w:val="none" w:sz="0" w:space="0" w:color="auto"/>
      </w:divBdr>
      <w:divsChild>
        <w:div w:id="593831037">
          <w:marLeft w:val="0"/>
          <w:marRight w:val="0"/>
          <w:marTop w:val="0"/>
          <w:marBottom w:val="0"/>
          <w:divBdr>
            <w:top w:val="none" w:sz="0" w:space="0" w:color="auto"/>
            <w:left w:val="none" w:sz="0" w:space="0" w:color="auto"/>
            <w:bottom w:val="none" w:sz="0" w:space="0" w:color="auto"/>
            <w:right w:val="none" w:sz="0" w:space="0" w:color="auto"/>
          </w:divBdr>
          <w:divsChild>
            <w:div w:id="114174963">
              <w:marLeft w:val="0"/>
              <w:marRight w:val="0"/>
              <w:marTop w:val="0"/>
              <w:marBottom w:val="0"/>
              <w:divBdr>
                <w:top w:val="none" w:sz="0" w:space="0" w:color="auto"/>
                <w:left w:val="none" w:sz="0" w:space="0" w:color="auto"/>
                <w:bottom w:val="none" w:sz="0" w:space="0" w:color="auto"/>
                <w:right w:val="none" w:sz="0" w:space="0" w:color="auto"/>
              </w:divBdr>
              <w:divsChild>
                <w:div w:id="927276835">
                  <w:marLeft w:val="0"/>
                  <w:marRight w:val="0"/>
                  <w:marTop w:val="0"/>
                  <w:marBottom w:val="0"/>
                  <w:divBdr>
                    <w:top w:val="none" w:sz="0" w:space="0" w:color="auto"/>
                    <w:left w:val="none" w:sz="0" w:space="0" w:color="auto"/>
                    <w:bottom w:val="none" w:sz="0" w:space="0" w:color="auto"/>
                    <w:right w:val="none" w:sz="0" w:space="0" w:color="auto"/>
                  </w:divBdr>
                  <w:divsChild>
                    <w:div w:id="275135523">
                      <w:marLeft w:val="0"/>
                      <w:marRight w:val="0"/>
                      <w:marTop w:val="0"/>
                      <w:marBottom w:val="0"/>
                      <w:divBdr>
                        <w:top w:val="none" w:sz="0" w:space="0" w:color="auto"/>
                        <w:left w:val="none" w:sz="0" w:space="0" w:color="auto"/>
                        <w:bottom w:val="none" w:sz="0" w:space="0" w:color="auto"/>
                        <w:right w:val="none" w:sz="0" w:space="0" w:color="auto"/>
                      </w:divBdr>
                      <w:divsChild>
                        <w:div w:id="120076586">
                          <w:marLeft w:val="0"/>
                          <w:marRight w:val="0"/>
                          <w:marTop w:val="0"/>
                          <w:marBottom w:val="0"/>
                          <w:divBdr>
                            <w:top w:val="none" w:sz="0" w:space="0" w:color="auto"/>
                            <w:left w:val="none" w:sz="0" w:space="0" w:color="auto"/>
                            <w:bottom w:val="none" w:sz="0" w:space="0" w:color="auto"/>
                            <w:right w:val="none" w:sz="0" w:space="0" w:color="auto"/>
                          </w:divBdr>
                          <w:divsChild>
                            <w:div w:id="180192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03940304">
      <w:bodyDiv w:val="1"/>
      <w:marLeft w:val="0"/>
      <w:marRight w:val="0"/>
      <w:marTop w:val="0"/>
      <w:marBottom w:val="0"/>
      <w:divBdr>
        <w:top w:val="none" w:sz="0" w:space="0" w:color="auto"/>
        <w:left w:val="none" w:sz="0" w:space="0" w:color="auto"/>
        <w:bottom w:val="none" w:sz="0" w:space="0" w:color="auto"/>
        <w:right w:val="none" w:sz="0" w:space="0" w:color="auto"/>
      </w:divBdr>
      <w:divsChild>
        <w:div w:id="1274091658">
          <w:marLeft w:val="0"/>
          <w:marRight w:val="0"/>
          <w:marTop w:val="0"/>
          <w:marBottom w:val="0"/>
          <w:divBdr>
            <w:top w:val="none" w:sz="0" w:space="0" w:color="auto"/>
            <w:left w:val="none" w:sz="0" w:space="0" w:color="auto"/>
            <w:bottom w:val="none" w:sz="0" w:space="0" w:color="auto"/>
            <w:right w:val="none" w:sz="0" w:space="0" w:color="auto"/>
          </w:divBdr>
          <w:divsChild>
            <w:div w:id="1998220030">
              <w:marLeft w:val="0"/>
              <w:marRight w:val="0"/>
              <w:marTop w:val="0"/>
              <w:marBottom w:val="0"/>
              <w:divBdr>
                <w:top w:val="none" w:sz="0" w:space="0" w:color="auto"/>
                <w:left w:val="none" w:sz="0" w:space="0" w:color="auto"/>
                <w:bottom w:val="none" w:sz="0" w:space="0" w:color="auto"/>
                <w:right w:val="none" w:sz="0" w:space="0" w:color="auto"/>
              </w:divBdr>
              <w:divsChild>
                <w:div w:id="550189400">
                  <w:marLeft w:val="0"/>
                  <w:marRight w:val="0"/>
                  <w:marTop w:val="0"/>
                  <w:marBottom w:val="0"/>
                  <w:divBdr>
                    <w:top w:val="none" w:sz="0" w:space="0" w:color="auto"/>
                    <w:left w:val="none" w:sz="0" w:space="0" w:color="auto"/>
                    <w:bottom w:val="none" w:sz="0" w:space="0" w:color="auto"/>
                    <w:right w:val="none" w:sz="0" w:space="0" w:color="auto"/>
                  </w:divBdr>
                  <w:divsChild>
                    <w:div w:id="363361169">
                      <w:marLeft w:val="0"/>
                      <w:marRight w:val="0"/>
                      <w:marTop w:val="0"/>
                      <w:marBottom w:val="0"/>
                      <w:divBdr>
                        <w:top w:val="none" w:sz="0" w:space="0" w:color="auto"/>
                        <w:left w:val="none" w:sz="0" w:space="0" w:color="auto"/>
                        <w:bottom w:val="none" w:sz="0" w:space="0" w:color="auto"/>
                        <w:right w:val="none" w:sz="0" w:space="0" w:color="auto"/>
                      </w:divBdr>
                      <w:divsChild>
                        <w:div w:id="1332027021">
                          <w:marLeft w:val="0"/>
                          <w:marRight w:val="0"/>
                          <w:marTop w:val="0"/>
                          <w:marBottom w:val="0"/>
                          <w:divBdr>
                            <w:top w:val="none" w:sz="0" w:space="0" w:color="auto"/>
                            <w:left w:val="none" w:sz="0" w:space="0" w:color="auto"/>
                            <w:bottom w:val="none" w:sz="0" w:space="0" w:color="auto"/>
                            <w:right w:val="none" w:sz="0" w:space="0" w:color="auto"/>
                          </w:divBdr>
                          <w:divsChild>
                            <w:div w:id="112531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242771">
      <w:bodyDiv w:val="1"/>
      <w:marLeft w:val="0"/>
      <w:marRight w:val="0"/>
      <w:marTop w:val="0"/>
      <w:marBottom w:val="0"/>
      <w:divBdr>
        <w:top w:val="none" w:sz="0" w:space="0" w:color="auto"/>
        <w:left w:val="none" w:sz="0" w:space="0" w:color="auto"/>
        <w:bottom w:val="none" w:sz="0" w:space="0" w:color="auto"/>
        <w:right w:val="none" w:sz="0" w:space="0" w:color="auto"/>
      </w:divBdr>
      <w:divsChild>
        <w:div w:id="716703227">
          <w:marLeft w:val="0"/>
          <w:marRight w:val="0"/>
          <w:marTop w:val="0"/>
          <w:marBottom w:val="0"/>
          <w:divBdr>
            <w:top w:val="none" w:sz="0" w:space="0" w:color="auto"/>
            <w:left w:val="none" w:sz="0" w:space="0" w:color="auto"/>
            <w:bottom w:val="none" w:sz="0" w:space="0" w:color="auto"/>
            <w:right w:val="none" w:sz="0" w:space="0" w:color="auto"/>
          </w:divBdr>
          <w:divsChild>
            <w:div w:id="977881795">
              <w:marLeft w:val="0"/>
              <w:marRight w:val="0"/>
              <w:marTop w:val="0"/>
              <w:marBottom w:val="0"/>
              <w:divBdr>
                <w:top w:val="none" w:sz="0" w:space="0" w:color="auto"/>
                <w:left w:val="none" w:sz="0" w:space="0" w:color="auto"/>
                <w:bottom w:val="none" w:sz="0" w:space="0" w:color="auto"/>
                <w:right w:val="none" w:sz="0" w:space="0" w:color="auto"/>
              </w:divBdr>
              <w:divsChild>
                <w:div w:id="1444574658">
                  <w:marLeft w:val="0"/>
                  <w:marRight w:val="0"/>
                  <w:marTop w:val="0"/>
                  <w:marBottom w:val="0"/>
                  <w:divBdr>
                    <w:top w:val="none" w:sz="0" w:space="0" w:color="auto"/>
                    <w:left w:val="none" w:sz="0" w:space="0" w:color="auto"/>
                    <w:bottom w:val="none" w:sz="0" w:space="0" w:color="auto"/>
                    <w:right w:val="none" w:sz="0" w:space="0" w:color="auto"/>
                  </w:divBdr>
                  <w:divsChild>
                    <w:div w:id="529534782">
                      <w:marLeft w:val="0"/>
                      <w:marRight w:val="0"/>
                      <w:marTop w:val="0"/>
                      <w:marBottom w:val="0"/>
                      <w:divBdr>
                        <w:top w:val="none" w:sz="0" w:space="0" w:color="auto"/>
                        <w:left w:val="none" w:sz="0" w:space="0" w:color="auto"/>
                        <w:bottom w:val="none" w:sz="0" w:space="0" w:color="auto"/>
                        <w:right w:val="none" w:sz="0" w:space="0" w:color="auto"/>
                      </w:divBdr>
                      <w:divsChild>
                        <w:div w:id="212038264">
                          <w:marLeft w:val="0"/>
                          <w:marRight w:val="0"/>
                          <w:marTop w:val="0"/>
                          <w:marBottom w:val="0"/>
                          <w:divBdr>
                            <w:top w:val="none" w:sz="0" w:space="0" w:color="auto"/>
                            <w:left w:val="none" w:sz="0" w:space="0" w:color="auto"/>
                            <w:bottom w:val="none" w:sz="0" w:space="0" w:color="auto"/>
                            <w:right w:val="none" w:sz="0" w:space="0" w:color="auto"/>
                          </w:divBdr>
                          <w:divsChild>
                            <w:div w:id="1693720338">
                              <w:marLeft w:val="0"/>
                              <w:marRight w:val="0"/>
                              <w:marTop w:val="0"/>
                              <w:marBottom w:val="0"/>
                              <w:divBdr>
                                <w:top w:val="none" w:sz="0" w:space="0" w:color="auto"/>
                                <w:left w:val="none" w:sz="0" w:space="0" w:color="auto"/>
                                <w:bottom w:val="none" w:sz="0" w:space="0" w:color="auto"/>
                                <w:right w:val="none" w:sz="0" w:space="0" w:color="auto"/>
                              </w:divBdr>
                              <w:divsChild>
                                <w:div w:id="234515930">
                                  <w:marLeft w:val="0"/>
                                  <w:marRight w:val="0"/>
                                  <w:marTop w:val="0"/>
                                  <w:marBottom w:val="0"/>
                                  <w:divBdr>
                                    <w:top w:val="none" w:sz="0" w:space="0" w:color="auto"/>
                                    <w:left w:val="none" w:sz="0" w:space="0" w:color="auto"/>
                                    <w:bottom w:val="none" w:sz="0" w:space="0" w:color="auto"/>
                                    <w:right w:val="none" w:sz="0" w:space="0" w:color="auto"/>
                                  </w:divBdr>
                                  <w:divsChild>
                                    <w:div w:id="82577295">
                                      <w:marLeft w:val="0"/>
                                      <w:marRight w:val="0"/>
                                      <w:marTop w:val="0"/>
                                      <w:marBottom w:val="0"/>
                                      <w:divBdr>
                                        <w:top w:val="none" w:sz="0" w:space="0" w:color="auto"/>
                                        <w:left w:val="none" w:sz="0" w:space="0" w:color="auto"/>
                                        <w:bottom w:val="none" w:sz="0" w:space="0" w:color="auto"/>
                                        <w:right w:val="none" w:sz="0" w:space="0" w:color="auto"/>
                                      </w:divBdr>
                                      <w:divsChild>
                                        <w:div w:id="571165221">
                                          <w:marLeft w:val="0"/>
                                          <w:marRight w:val="0"/>
                                          <w:marTop w:val="0"/>
                                          <w:marBottom w:val="0"/>
                                          <w:divBdr>
                                            <w:top w:val="none" w:sz="0" w:space="0" w:color="auto"/>
                                            <w:left w:val="none" w:sz="0" w:space="0" w:color="auto"/>
                                            <w:bottom w:val="none" w:sz="0" w:space="0" w:color="auto"/>
                                            <w:right w:val="none" w:sz="0" w:space="0" w:color="auto"/>
                                          </w:divBdr>
                                          <w:divsChild>
                                            <w:div w:id="1328245872">
                                              <w:marLeft w:val="0"/>
                                              <w:marRight w:val="0"/>
                                              <w:marTop w:val="0"/>
                                              <w:marBottom w:val="0"/>
                                              <w:divBdr>
                                                <w:top w:val="none" w:sz="0" w:space="0" w:color="auto"/>
                                                <w:left w:val="none" w:sz="0" w:space="0" w:color="auto"/>
                                                <w:bottom w:val="none" w:sz="0" w:space="0" w:color="auto"/>
                                                <w:right w:val="none" w:sz="0" w:space="0" w:color="auto"/>
                                              </w:divBdr>
                                              <w:divsChild>
                                                <w:div w:id="1378697449">
                                                  <w:marLeft w:val="0"/>
                                                  <w:marRight w:val="0"/>
                                                  <w:marTop w:val="0"/>
                                                  <w:marBottom w:val="0"/>
                                                  <w:divBdr>
                                                    <w:top w:val="none" w:sz="0" w:space="0" w:color="auto"/>
                                                    <w:left w:val="none" w:sz="0" w:space="0" w:color="auto"/>
                                                    <w:bottom w:val="none" w:sz="0" w:space="0" w:color="auto"/>
                                                    <w:right w:val="none" w:sz="0" w:space="0" w:color="auto"/>
                                                  </w:divBdr>
                                                  <w:divsChild>
                                                    <w:div w:id="1911037079">
                                                      <w:marLeft w:val="0"/>
                                                      <w:marRight w:val="0"/>
                                                      <w:marTop w:val="0"/>
                                                      <w:marBottom w:val="0"/>
                                                      <w:divBdr>
                                                        <w:top w:val="none" w:sz="0" w:space="0" w:color="auto"/>
                                                        <w:left w:val="none" w:sz="0" w:space="0" w:color="auto"/>
                                                        <w:bottom w:val="none" w:sz="0" w:space="0" w:color="auto"/>
                                                        <w:right w:val="none" w:sz="0" w:space="0" w:color="auto"/>
                                                      </w:divBdr>
                                                      <w:divsChild>
                                                        <w:div w:id="866529036">
                                                          <w:marLeft w:val="0"/>
                                                          <w:marRight w:val="0"/>
                                                          <w:marTop w:val="0"/>
                                                          <w:marBottom w:val="0"/>
                                                          <w:divBdr>
                                                            <w:top w:val="none" w:sz="0" w:space="0" w:color="auto"/>
                                                            <w:left w:val="none" w:sz="0" w:space="0" w:color="auto"/>
                                                            <w:bottom w:val="none" w:sz="0" w:space="0" w:color="auto"/>
                                                            <w:right w:val="none" w:sz="0" w:space="0" w:color="auto"/>
                                                          </w:divBdr>
                                                          <w:divsChild>
                                                            <w:div w:id="1857040042">
                                                              <w:marLeft w:val="0"/>
                                                              <w:marRight w:val="0"/>
                                                              <w:marTop w:val="0"/>
                                                              <w:marBottom w:val="0"/>
                                                              <w:divBdr>
                                                                <w:top w:val="none" w:sz="0" w:space="0" w:color="auto"/>
                                                                <w:left w:val="none" w:sz="0" w:space="0" w:color="auto"/>
                                                                <w:bottom w:val="none" w:sz="0" w:space="0" w:color="auto"/>
                                                                <w:right w:val="none" w:sz="0" w:space="0" w:color="auto"/>
                                                              </w:divBdr>
                                                              <w:divsChild>
                                                                <w:div w:id="623921583">
                                                                  <w:marLeft w:val="0"/>
                                                                  <w:marRight w:val="0"/>
                                                                  <w:marTop w:val="0"/>
                                                                  <w:marBottom w:val="0"/>
                                                                  <w:divBdr>
                                                                    <w:top w:val="none" w:sz="0" w:space="0" w:color="auto"/>
                                                                    <w:left w:val="none" w:sz="0" w:space="0" w:color="auto"/>
                                                                    <w:bottom w:val="none" w:sz="0" w:space="0" w:color="auto"/>
                                                                    <w:right w:val="none" w:sz="0" w:space="0" w:color="auto"/>
                                                                  </w:divBdr>
                                                                  <w:divsChild>
                                                                    <w:div w:id="1313943933">
                                                                      <w:marLeft w:val="0"/>
                                                                      <w:marRight w:val="0"/>
                                                                      <w:marTop w:val="0"/>
                                                                      <w:marBottom w:val="0"/>
                                                                      <w:divBdr>
                                                                        <w:top w:val="none" w:sz="0" w:space="0" w:color="auto"/>
                                                                        <w:left w:val="none" w:sz="0" w:space="0" w:color="auto"/>
                                                                        <w:bottom w:val="none" w:sz="0" w:space="0" w:color="auto"/>
                                                                        <w:right w:val="none" w:sz="0" w:space="0" w:color="auto"/>
                                                                      </w:divBdr>
                                                                      <w:divsChild>
                                                                        <w:div w:id="148328679">
                                                                          <w:marLeft w:val="0"/>
                                                                          <w:marRight w:val="0"/>
                                                                          <w:marTop w:val="0"/>
                                                                          <w:marBottom w:val="0"/>
                                                                          <w:divBdr>
                                                                            <w:top w:val="none" w:sz="0" w:space="0" w:color="auto"/>
                                                                            <w:left w:val="none" w:sz="0" w:space="0" w:color="auto"/>
                                                                            <w:bottom w:val="none" w:sz="0" w:space="0" w:color="auto"/>
                                                                            <w:right w:val="none" w:sz="0" w:space="0" w:color="auto"/>
                                                                          </w:divBdr>
                                                                          <w:divsChild>
                                                                            <w:div w:id="1685395461">
                                                                              <w:marLeft w:val="0"/>
                                                                              <w:marRight w:val="0"/>
                                                                              <w:marTop w:val="0"/>
                                                                              <w:marBottom w:val="0"/>
                                                                              <w:divBdr>
                                                                                <w:top w:val="none" w:sz="0" w:space="0" w:color="auto"/>
                                                                                <w:left w:val="none" w:sz="0" w:space="0" w:color="auto"/>
                                                                                <w:bottom w:val="none" w:sz="0" w:space="0" w:color="auto"/>
                                                                                <w:right w:val="none" w:sz="0" w:space="0" w:color="auto"/>
                                                                              </w:divBdr>
                                                                              <w:divsChild>
                                                                                <w:div w:id="755786071">
                                                                                  <w:marLeft w:val="0"/>
                                                                                  <w:marRight w:val="0"/>
                                                                                  <w:marTop w:val="0"/>
                                                                                  <w:marBottom w:val="0"/>
                                                                                  <w:divBdr>
                                                                                    <w:top w:val="none" w:sz="0" w:space="0" w:color="auto"/>
                                                                                    <w:left w:val="none" w:sz="0" w:space="0" w:color="auto"/>
                                                                                    <w:bottom w:val="none" w:sz="0" w:space="0" w:color="auto"/>
                                                                                    <w:right w:val="none" w:sz="0" w:space="0" w:color="auto"/>
                                                                                  </w:divBdr>
                                                                                  <w:divsChild>
                                                                                    <w:div w:id="414209114">
                                                                                      <w:marLeft w:val="0"/>
                                                                                      <w:marRight w:val="0"/>
                                                                                      <w:marTop w:val="0"/>
                                                                                      <w:marBottom w:val="0"/>
                                                                                      <w:divBdr>
                                                                                        <w:top w:val="none" w:sz="0" w:space="0" w:color="auto"/>
                                                                                        <w:left w:val="none" w:sz="0" w:space="0" w:color="auto"/>
                                                                                        <w:bottom w:val="none" w:sz="0" w:space="0" w:color="auto"/>
                                                                                        <w:right w:val="none" w:sz="0" w:space="0" w:color="auto"/>
                                                                                      </w:divBdr>
                                                                                      <w:divsChild>
                                                                                        <w:div w:id="1178277423">
                                                                                          <w:marLeft w:val="0"/>
                                                                                          <w:marRight w:val="0"/>
                                                                                          <w:marTop w:val="0"/>
                                                                                          <w:marBottom w:val="0"/>
                                                                                          <w:divBdr>
                                                                                            <w:top w:val="none" w:sz="0" w:space="0" w:color="auto"/>
                                                                                            <w:left w:val="none" w:sz="0" w:space="0" w:color="auto"/>
                                                                                            <w:bottom w:val="none" w:sz="0" w:space="0" w:color="auto"/>
                                                                                            <w:right w:val="none" w:sz="0" w:space="0" w:color="auto"/>
                                                                                          </w:divBdr>
                                                                                          <w:divsChild>
                                                                                            <w:div w:id="947660584">
                                                                                              <w:marLeft w:val="0"/>
                                                                                              <w:marRight w:val="0"/>
                                                                                              <w:marTop w:val="0"/>
                                                                                              <w:marBottom w:val="0"/>
                                                                                              <w:divBdr>
                                                                                                <w:top w:val="none" w:sz="0" w:space="0" w:color="auto"/>
                                                                                                <w:left w:val="none" w:sz="0" w:space="0" w:color="auto"/>
                                                                                                <w:bottom w:val="none" w:sz="0" w:space="0" w:color="auto"/>
                                                                                                <w:right w:val="none" w:sz="0" w:space="0" w:color="auto"/>
                                                                                              </w:divBdr>
                                                                                              <w:divsChild>
                                                                                                <w:div w:id="1192182593">
                                                                                                  <w:marLeft w:val="0"/>
                                                                                                  <w:marRight w:val="0"/>
                                                                                                  <w:marTop w:val="0"/>
                                                                                                  <w:marBottom w:val="0"/>
                                                                                                  <w:divBdr>
                                                                                                    <w:top w:val="none" w:sz="0" w:space="0" w:color="auto"/>
                                                                                                    <w:left w:val="none" w:sz="0" w:space="0" w:color="auto"/>
                                                                                                    <w:bottom w:val="none" w:sz="0" w:space="0" w:color="auto"/>
                                                                                                    <w:right w:val="none" w:sz="0" w:space="0" w:color="auto"/>
                                                                                                  </w:divBdr>
                                                                                                  <w:divsChild>
                                                                                                    <w:div w:id="3824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1821535">
      <w:bodyDiv w:val="1"/>
      <w:marLeft w:val="0"/>
      <w:marRight w:val="0"/>
      <w:marTop w:val="0"/>
      <w:marBottom w:val="0"/>
      <w:divBdr>
        <w:top w:val="none" w:sz="0" w:space="0" w:color="auto"/>
        <w:left w:val="none" w:sz="0" w:space="0" w:color="auto"/>
        <w:bottom w:val="none" w:sz="0" w:space="0" w:color="auto"/>
        <w:right w:val="none" w:sz="0" w:space="0" w:color="auto"/>
      </w:divBdr>
      <w:divsChild>
        <w:div w:id="1635865889">
          <w:marLeft w:val="0"/>
          <w:marRight w:val="0"/>
          <w:marTop w:val="0"/>
          <w:marBottom w:val="0"/>
          <w:divBdr>
            <w:top w:val="none" w:sz="0" w:space="0" w:color="auto"/>
            <w:left w:val="none" w:sz="0" w:space="0" w:color="auto"/>
            <w:bottom w:val="none" w:sz="0" w:space="0" w:color="auto"/>
            <w:right w:val="none" w:sz="0" w:space="0" w:color="auto"/>
          </w:divBdr>
          <w:divsChild>
            <w:div w:id="780302680">
              <w:marLeft w:val="0"/>
              <w:marRight w:val="0"/>
              <w:marTop w:val="0"/>
              <w:marBottom w:val="0"/>
              <w:divBdr>
                <w:top w:val="none" w:sz="0" w:space="0" w:color="auto"/>
                <w:left w:val="none" w:sz="0" w:space="0" w:color="auto"/>
                <w:bottom w:val="none" w:sz="0" w:space="0" w:color="auto"/>
                <w:right w:val="none" w:sz="0" w:space="0" w:color="auto"/>
              </w:divBdr>
              <w:divsChild>
                <w:div w:id="1464081124">
                  <w:marLeft w:val="0"/>
                  <w:marRight w:val="0"/>
                  <w:marTop w:val="0"/>
                  <w:marBottom w:val="0"/>
                  <w:divBdr>
                    <w:top w:val="none" w:sz="0" w:space="0" w:color="auto"/>
                    <w:left w:val="none" w:sz="0" w:space="0" w:color="auto"/>
                    <w:bottom w:val="none" w:sz="0" w:space="0" w:color="auto"/>
                    <w:right w:val="none" w:sz="0" w:space="0" w:color="auto"/>
                  </w:divBdr>
                  <w:divsChild>
                    <w:div w:id="436802490">
                      <w:marLeft w:val="0"/>
                      <w:marRight w:val="0"/>
                      <w:marTop w:val="0"/>
                      <w:marBottom w:val="0"/>
                      <w:divBdr>
                        <w:top w:val="none" w:sz="0" w:space="0" w:color="auto"/>
                        <w:left w:val="none" w:sz="0" w:space="0" w:color="auto"/>
                        <w:bottom w:val="none" w:sz="0" w:space="0" w:color="auto"/>
                        <w:right w:val="none" w:sz="0" w:space="0" w:color="auto"/>
                      </w:divBdr>
                      <w:divsChild>
                        <w:div w:id="1465343166">
                          <w:marLeft w:val="0"/>
                          <w:marRight w:val="0"/>
                          <w:marTop w:val="0"/>
                          <w:marBottom w:val="0"/>
                          <w:divBdr>
                            <w:top w:val="none" w:sz="0" w:space="0" w:color="auto"/>
                            <w:left w:val="none" w:sz="0" w:space="0" w:color="auto"/>
                            <w:bottom w:val="none" w:sz="0" w:space="0" w:color="auto"/>
                            <w:right w:val="none" w:sz="0" w:space="0" w:color="auto"/>
                          </w:divBdr>
                          <w:divsChild>
                            <w:div w:id="174865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074109">
      <w:bodyDiv w:val="1"/>
      <w:marLeft w:val="0"/>
      <w:marRight w:val="0"/>
      <w:marTop w:val="0"/>
      <w:marBottom w:val="0"/>
      <w:divBdr>
        <w:top w:val="none" w:sz="0" w:space="0" w:color="auto"/>
        <w:left w:val="none" w:sz="0" w:space="0" w:color="auto"/>
        <w:bottom w:val="none" w:sz="0" w:space="0" w:color="auto"/>
        <w:right w:val="none" w:sz="0" w:space="0" w:color="auto"/>
      </w:divBdr>
      <w:divsChild>
        <w:div w:id="1230187650">
          <w:marLeft w:val="0"/>
          <w:marRight w:val="0"/>
          <w:marTop w:val="0"/>
          <w:marBottom w:val="0"/>
          <w:divBdr>
            <w:top w:val="none" w:sz="0" w:space="0" w:color="auto"/>
            <w:left w:val="none" w:sz="0" w:space="0" w:color="auto"/>
            <w:bottom w:val="none" w:sz="0" w:space="0" w:color="auto"/>
            <w:right w:val="none" w:sz="0" w:space="0" w:color="auto"/>
          </w:divBdr>
          <w:divsChild>
            <w:div w:id="39015105">
              <w:marLeft w:val="0"/>
              <w:marRight w:val="0"/>
              <w:marTop w:val="0"/>
              <w:marBottom w:val="0"/>
              <w:divBdr>
                <w:top w:val="none" w:sz="0" w:space="0" w:color="auto"/>
                <w:left w:val="none" w:sz="0" w:space="0" w:color="auto"/>
                <w:bottom w:val="none" w:sz="0" w:space="0" w:color="auto"/>
                <w:right w:val="none" w:sz="0" w:space="0" w:color="auto"/>
              </w:divBdr>
              <w:divsChild>
                <w:div w:id="205487273">
                  <w:marLeft w:val="0"/>
                  <w:marRight w:val="0"/>
                  <w:marTop w:val="0"/>
                  <w:marBottom w:val="0"/>
                  <w:divBdr>
                    <w:top w:val="none" w:sz="0" w:space="0" w:color="auto"/>
                    <w:left w:val="none" w:sz="0" w:space="0" w:color="auto"/>
                    <w:bottom w:val="none" w:sz="0" w:space="0" w:color="auto"/>
                    <w:right w:val="none" w:sz="0" w:space="0" w:color="auto"/>
                  </w:divBdr>
                  <w:divsChild>
                    <w:div w:id="1358890195">
                      <w:marLeft w:val="0"/>
                      <w:marRight w:val="0"/>
                      <w:marTop w:val="0"/>
                      <w:marBottom w:val="0"/>
                      <w:divBdr>
                        <w:top w:val="none" w:sz="0" w:space="0" w:color="auto"/>
                        <w:left w:val="none" w:sz="0" w:space="0" w:color="auto"/>
                        <w:bottom w:val="none" w:sz="0" w:space="0" w:color="auto"/>
                        <w:right w:val="none" w:sz="0" w:space="0" w:color="auto"/>
                      </w:divBdr>
                      <w:divsChild>
                        <w:div w:id="1533566698">
                          <w:marLeft w:val="0"/>
                          <w:marRight w:val="0"/>
                          <w:marTop w:val="0"/>
                          <w:marBottom w:val="0"/>
                          <w:divBdr>
                            <w:top w:val="none" w:sz="0" w:space="0" w:color="auto"/>
                            <w:left w:val="none" w:sz="0" w:space="0" w:color="auto"/>
                            <w:bottom w:val="none" w:sz="0" w:space="0" w:color="auto"/>
                            <w:right w:val="none" w:sz="0" w:space="0" w:color="auto"/>
                          </w:divBdr>
                          <w:divsChild>
                            <w:div w:id="131668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7216004">
      <w:bodyDiv w:val="1"/>
      <w:marLeft w:val="0"/>
      <w:marRight w:val="0"/>
      <w:marTop w:val="0"/>
      <w:marBottom w:val="0"/>
      <w:divBdr>
        <w:top w:val="none" w:sz="0" w:space="0" w:color="auto"/>
        <w:left w:val="none" w:sz="0" w:space="0" w:color="auto"/>
        <w:bottom w:val="none" w:sz="0" w:space="0" w:color="auto"/>
        <w:right w:val="none" w:sz="0" w:space="0" w:color="auto"/>
      </w:divBdr>
      <w:divsChild>
        <w:div w:id="818687296">
          <w:marLeft w:val="0"/>
          <w:marRight w:val="0"/>
          <w:marTop w:val="0"/>
          <w:marBottom w:val="0"/>
          <w:divBdr>
            <w:top w:val="none" w:sz="0" w:space="0" w:color="auto"/>
            <w:left w:val="none" w:sz="0" w:space="0" w:color="auto"/>
            <w:bottom w:val="none" w:sz="0" w:space="0" w:color="auto"/>
            <w:right w:val="none" w:sz="0" w:space="0" w:color="auto"/>
          </w:divBdr>
          <w:divsChild>
            <w:div w:id="818575620">
              <w:marLeft w:val="0"/>
              <w:marRight w:val="0"/>
              <w:marTop w:val="0"/>
              <w:marBottom w:val="0"/>
              <w:divBdr>
                <w:top w:val="none" w:sz="0" w:space="0" w:color="auto"/>
                <w:left w:val="none" w:sz="0" w:space="0" w:color="auto"/>
                <w:bottom w:val="none" w:sz="0" w:space="0" w:color="auto"/>
                <w:right w:val="none" w:sz="0" w:space="0" w:color="auto"/>
              </w:divBdr>
              <w:divsChild>
                <w:div w:id="1399015423">
                  <w:marLeft w:val="0"/>
                  <w:marRight w:val="0"/>
                  <w:marTop w:val="0"/>
                  <w:marBottom w:val="0"/>
                  <w:divBdr>
                    <w:top w:val="none" w:sz="0" w:space="0" w:color="auto"/>
                    <w:left w:val="none" w:sz="0" w:space="0" w:color="auto"/>
                    <w:bottom w:val="none" w:sz="0" w:space="0" w:color="auto"/>
                    <w:right w:val="none" w:sz="0" w:space="0" w:color="auto"/>
                  </w:divBdr>
                  <w:divsChild>
                    <w:div w:id="1581719002">
                      <w:marLeft w:val="0"/>
                      <w:marRight w:val="0"/>
                      <w:marTop w:val="0"/>
                      <w:marBottom w:val="0"/>
                      <w:divBdr>
                        <w:top w:val="none" w:sz="0" w:space="0" w:color="auto"/>
                        <w:left w:val="none" w:sz="0" w:space="0" w:color="auto"/>
                        <w:bottom w:val="none" w:sz="0" w:space="0" w:color="auto"/>
                        <w:right w:val="none" w:sz="0" w:space="0" w:color="auto"/>
                      </w:divBdr>
                      <w:divsChild>
                        <w:div w:id="777524905">
                          <w:marLeft w:val="0"/>
                          <w:marRight w:val="0"/>
                          <w:marTop w:val="0"/>
                          <w:marBottom w:val="0"/>
                          <w:divBdr>
                            <w:top w:val="none" w:sz="0" w:space="0" w:color="auto"/>
                            <w:left w:val="none" w:sz="0" w:space="0" w:color="auto"/>
                            <w:bottom w:val="none" w:sz="0" w:space="0" w:color="auto"/>
                            <w:right w:val="none" w:sz="0" w:space="0" w:color="auto"/>
                          </w:divBdr>
                          <w:divsChild>
                            <w:div w:id="35920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613587">
      <w:bodyDiv w:val="1"/>
      <w:marLeft w:val="0"/>
      <w:marRight w:val="0"/>
      <w:marTop w:val="0"/>
      <w:marBottom w:val="0"/>
      <w:divBdr>
        <w:top w:val="none" w:sz="0" w:space="0" w:color="auto"/>
        <w:left w:val="none" w:sz="0" w:space="0" w:color="auto"/>
        <w:bottom w:val="none" w:sz="0" w:space="0" w:color="auto"/>
        <w:right w:val="none" w:sz="0" w:space="0" w:color="auto"/>
      </w:divBdr>
      <w:divsChild>
        <w:div w:id="410657788">
          <w:marLeft w:val="0"/>
          <w:marRight w:val="0"/>
          <w:marTop w:val="0"/>
          <w:marBottom w:val="0"/>
          <w:divBdr>
            <w:top w:val="none" w:sz="0" w:space="0" w:color="auto"/>
            <w:left w:val="none" w:sz="0" w:space="0" w:color="auto"/>
            <w:bottom w:val="none" w:sz="0" w:space="0" w:color="auto"/>
            <w:right w:val="none" w:sz="0" w:space="0" w:color="auto"/>
          </w:divBdr>
          <w:divsChild>
            <w:div w:id="1750736535">
              <w:marLeft w:val="0"/>
              <w:marRight w:val="0"/>
              <w:marTop w:val="0"/>
              <w:marBottom w:val="0"/>
              <w:divBdr>
                <w:top w:val="none" w:sz="0" w:space="0" w:color="auto"/>
                <w:left w:val="none" w:sz="0" w:space="0" w:color="auto"/>
                <w:bottom w:val="none" w:sz="0" w:space="0" w:color="auto"/>
                <w:right w:val="none" w:sz="0" w:space="0" w:color="auto"/>
              </w:divBdr>
              <w:divsChild>
                <w:div w:id="952635155">
                  <w:marLeft w:val="0"/>
                  <w:marRight w:val="0"/>
                  <w:marTop w:val="0"/>
                  <w:marBottom w:val="0"/>
                  <w:divBdr>
                    <w:top w:val="none" w:sz="0" w:space="0" w:color="auto"/>
                    <w:left w:val="none" w:sz="0" w:space="0" w:color="auto"/>
                    <w:bottom w:val="none" w:sz="0" w:space="0" w:color="auto"/>
                    <w:right w:val="none" w:sz="0" w:space="0" w:color="auto"/>
                  </w:divBdr>
                  <w:divsChild>
                    <w:div w:id="50081253">
                      <w:marLeft w:val="0"/>
                      <w:marRight w:val="0"/>
                      <w:marTop w:val="0"/>
                      <w:marBottom w:val="0"/>
                      <w:divBdr>
                        <w:top w:val="none" w:sz="0" w:space="0" w:color="auto"/>
                        <w:left w:val="none" w:sz="0" w:space="0" w:color="auto"/>
                        <w:bottom w:val="none" w:sz="0" w:space="0" w:color="auto"/>
                        <w:right w:val="none" w:sz="0" w:space="0" w:color="auto"/>
                      </w:divBdr>
                      <w:divsChild>
                        <w:div w:id="298654281">
                          <w:marLeft w:val="0"/>
                          <w:marRight w:val="0"/>
                          <w:marTop w:val="0"/>
                          <w:marBottom w:val="0"/>
                          <w:divBdr>
                            <w:top w:val="none" w:sz="0" w:space="0" w:color="auto"/>
                            <w:left w:val="none" w:sz="0" w:space="0" w:color="auto"/>
                            <w:bottom w:val="none" w:sz="0" w:space="0" w:color="auto"/>
                            <w:right w:val="none" w:sz="0" w:space="0" w:color="auto"/>
                          </w:divBdr>
                          <w:divsChild>
                            <w:div w:id="2147161844">
                              <w:marLeft w:val="0"/>
                              <w:marRight w:val="0"/>
                              <w:marTop w:val="0"/>
                              <w:marBottom w:val="0"/>
                              <w:divBdr>
                                <w:top w:val="none" w:sz="0" w:space="0" w:color="auto"/>
                                <w:left w:val="none" w:sz="0" w:space="0" w:color="auto"/>
                                <w:bottom w:val="none" w:sz="0" w:space="0" w:color="auto"/>
                                <w:right w:val="none" w:sz="0" w:space="0" w:color="auto"/>
                              </w:divBdr>
                              <w:divsChild>
                                <w:div w:id="478111171">
                                  <w:marLeft w:val="0"/>
                                  <w:marRight w:val="0"/>
                                  <w:marTop w:val="0"/>
                                  <w:marBottom w:val="0"/>
                                  <w:divBdr>
                                    <w:top w:val="none" w:sz="0" w:space="0" w:color="auto"/>
                                    <w:left w:val="none" w:sz="0" w:space="0" w:color="auto"/>
                                    <w:bottom w:val="none" w:sz="0" w:space="0" w:color="auto"/>
                                    <w:right w:val="none" w:sz="0" w:space="0" w:color="auto"/>
                                  </w:divBdr>
                                  <w:divsChild>
                                    <w:div w:id="715353119">
                                      <w:marLeft w:val="0"/>
                                      <w:marRight w:val="0"/>
                                      <w:marTop w:val="0"/>
                                      <w:marBottom w:val="0"/>
                                      <w:divBdr>
                                        <w:top w:val="none" w:sz="0" w:space="0" w:color="auto"/>
                                        <w:left w:val="none" w:sz="0" w:space="0" w:color="auto"/>
                                        <w:bottom w:val="none" w:sz="0" w:space="0" w:color="auto"/>
                                        <w:right w:val="none" w:sz="0" w:space="0" w:color="auto"/>
                                      </w:divBdr>
                                      <w:divsChild>
                                        <w:div w:id="1858035570">
                                          <w:marLeft w:val="0"/>
                                          <w:marRight w:val="0"/>
                                          <w:marTop w:val="0"/>
                                          <w:marBottom w:val="0"/>
                                          <w:divBdr>
                                            <w:top w:val="none" w:sz="0" w:space="0" w:color="auto"/>
                                            <w:left w:val="none" w:sz="0" w:space="0" w:color="auto"/>
                                            <w:bottom w:val="none" w:sz="0" w:space="0" w:color="auto"/>
                                            <w:right w:val="none" w:sz="0" w:space="0" w:color="auto"/>
                                          </w:divBdr>
                                          <w:divsChild>
                                            <w:div w:id="333653735">
                                              <w:marLeft w:val="0"/>
                                              <w:marRight w:val="0"/>
                                              <w:marTop w:val="0"/>
                                              <w:marBottom w:val="0"/>
                                              <w:divBdr>
                                                <w:top w:val="none" w:sz="0" w:space="0" w:color="auto"/>
                                                <w:left w:val="none" w:sz="0" w:space="0" w:color="auto"/>
                                                <w:bottom w:val="none" w:sz="0" w:space="0" w:color="auto"/>
                                                <w:right w:val="none" w:sz="0" w:space="0" w:color="auto"/>
                                              </w:divBdr>
                                              <w:divsChild>
                                                <w:div w:id="257522267">
                                                  <w:marLeft w:val="0"/>
                                                  <w:marRight w:val="0"/>
                                                  <w:marTop w:val="0"/>
                                                  <w:marBottom w:val="0"/>
                                                  <w:divBdr>
                                                    <w:top w:val="none" w:sz="0" w:space="0" w:color="auto"/>
                                                    <w:left w:val="none" w:sz="0" w:space="0" w:color="auto"/>
                                                    <w:bottom w:val="none" w:sz="0" w:space="0" w:color="auto"/>
                                                    <w:right w:val="none" w:sz="0" w:space="0" w:color="auto"/>
                                                  </w:divBdr>
                                                  <w:divsChild>
                                                    <w:div w:id="1183595534">
                                                      <w:marLeft w:val="0"/>
                                                      <w:marRight w:val="0"/>
                                                      <w:marTop w:val="0"/>
                                                      <w:marBottom w:val="0"/>
                                                      <w:divBdr>
                                                        <w:top w:val="none" w:sz="0" w:space="0" w:color="auto"/>
                                                        <w:left w:val="none" w:sz="0" w:space="0" w:color="auto"/>
                                                        <w:bottom w:val="none" w:sz="0" w:space="0" w:color="auto"/>
                                                        <w:right w:val="none" w:sz="0" w:space="0" w:color="auto"/>
                                                      </w:divBdr>
                                                      <w:divsChild>
                                                        <w:div w:id="1295257936">
                                                          <w:marLeft w:val="0"/>
                                                          <w:marRight w:val="0"/>
                                                          <w:marTop w:val="0"/>
                                                          <w:marBottom w:val="0"/>
                                                          <w:divBdr>
                                                            <w:top w:val="none" w:sz="0" w:space="0" w:color="auto"/>
                                                            <w:left w:val="none" w:sz="0" w:space="0" w:color="auto"/>
                                                            <w:bottom w:val="none" w:sz="0" w:space="0" w:color="auto"/>
                                                            <w:right w:val="none" w:sz="0" w:space="0" w:color="auto"/>
                                                          </w:divBdr>
                                                          <w:divsChild>
                                                            <w:div w:id="1983269335">
                                                              <w:marLeft w:val="0"/>
                                                              <w:marRight w:val="0"/>
                                                              <w:marTop w:val="0"/>
                                                              <w:marBottom w:val="0"/>
                                                              <w:divBdr>
                                                                <w:top w:val="none" w:sz="0" w:space="0" w:color="auto"/>
                                                                <w:left w:val="none" w:sz="0" w:space="0" w:color="auto"/>
                                                                <w:bottom w:val="none" w:sz="0" w:space="0" w:color="auto"/>
                                                                <w:right w:val="none" w:sz="0" w:space="0" w:color="auto"/>
                                                              </w:divBdr>
                                                              <w:divsChild>
                                                                <w:div w:id="2000111023">
                                                                  <w:marLeft w:val="0"/>
                                                                  <w:marRight w:val="0"/>
                                                                  <w:marTop w:val="0"/>
                                                                  <w:marBottom w:val="0"/>
                                                                  <w:divBdr>
                                                                    <w:top w:val="none" w:sz="0" w:space="0" w:color="auto"/>
                                                                    <w:left w:val="none" w:sz="0" w:space="0" w:color="auto"/>
                                                                    <w:bottom w:val="none" w:sz="0" w:space="0" w:color="auto"/>
                                                                    <w:right w:val="none" w:sz="0" w:space="0" w:color="auto"/>
                                                                  </w:divBdr>
                                                                  <w:divsChild>
                                                                    <w:div w:id="1425491379">
                                                                      <w:marLeft w:val="0"/>
                                                                      <w:marRight w:val="0"/>
                                                                      <w:marTop w:val="0"/>
                                                                      <w:marBottom w:val="0"/>
                                                                      <w:divBdr>
                                                                        <w:top w:val="none" w:sz="0" w:space="0" w:color="auto"/>
                                                                        <w:left w:val="none" w:sz="0" w:space="0" w:color="auto"/>
                                                                        <w:bottom w:val="none" w:sz="0" w:space="0" w:color="auto"/>
                                                                        <w:right w:val="none" w:sz="0" w:space="0" w:color="auto"/>
                                                                      </w:divBdr>
                                                                      <w:divsChild>
                                                                        <w:div w:id="1046485173">
                                                                          <w:marLeft w:val="0"/>
                                                                          <w:marRight w:val="0"/>
                                                                          <w:marTop w:val="0"/>
                                                                          <w:marBottom w:val="0"/>
                                                                          <w:divBdr>
                                                                            <w:top w:val="none" w:sz="0" w:space="0" w:color="auto"/>
                                                                            <w:left w:val="none" w:sz="0" w:space="0" w:color="auto"/>
                                                                            <w:bottom w:val="none" w:sz="0" w:space="0" w:color="auto"/>
                                                                            <w:right w:val="none" w:sz="0" w:space="0" w:color="auto"/>
                                                                          </w:divBdr>
                                                                          <w:divsChild>
                                                                            <w:div w:id="1575819097">
                                                                              <w:marLeft w:val="0"/>
                                                                              <w:marRight w:val="0"/>
                                                                              <w:marTop w:val="0"/>
                                                                              <w:marBottom w:val="0"/>
                                                                              <w:divBdr>
                                                                                <w:top w:val="none" w:sz="0" w:space="0" w:color="auto"/>
                                                                                <w:left w:val="none" w:sz="0" w:space="0" w:color="auto"/>
                                                                                <w:bottom w:val="none" w:sz="0" w:space="0" w:color="auto"/>
                                                                                <w:right w:val="none" w:sz="0" w:space="0" w:color="auto"/>
                                                                              </w:divBdr>
                                                                              <w:divsChild>
                                                                                <w:div w:id="1276408048">
                                                                                  <w:marLeft w:val="0"/>
                                                                                  <w:marRight w:val="0"/>
                                                                                  <w:marTop w:val="0"/>
                                                                                  <w:marBottom w:val="0"/>
                                                                                  <w:divBdr>
                                                                                    <w:top w:val="none" w:sz="0" w:space="0" w:color="auto"/>
                                                                                    <w:left w:val="none" w:sz="0" w:space="0" w:color="auto"/>
                                                                                    <w:bottom w:val="none" w:sz="0" w:space="0" w:color="auto"/>
                                                                                    <w:right w:val="none" w:sz="0" w:space="0" w:color="auto"/>
                                                                                  </w:divBdr>
                                                                                  <w:divsChild>
                                                                                    <w:div w:id="1331103843">
                                                                                      <w:marLeft w:val="0"/>
                                                                                      <w:marRight w:val="0"/>
                                                                                      <w:marTop w:val="0"/>
                                                                                      <w:marBottom w:val="0"/>
                                                                                      <w:divBdr>
                                                                                        <w:top w:val="none" w:sz="0" w:space="0" w:color="auto"/>
                                                                                        <w:left w:val="none" w:sz="0" w:space="0" w:color="auto"/>
                                                                                        <w:bottom w:val="none" w:sz="0" w:space="0" w:color="auto"/>
                                                                                        <w:right w:val="none" w:sz="0" w:space="0" w:color="auto"/>
                                                                                      </w:divBdr>
                                                                                      <w:divsChild>
                                                                                        <w:div w:id="1593397102">
                                                                                          <w:marLeft w:val="0"/>
                                                                                          <w:marRight w:val="0"/>
                                                                                          <w:marTop w:val="0"/>
                                                                                          <w:marBottom w:val="0"/>
                                                                                          <w:divBdr>
                                                                                            <w:top w:val="none" w:sz="0" w:space="0" w:color="auto"/>
                                                                                            <w:left w:val="none" w:sz="0" w:space="0" w:color="auto"/>
                                                                                            <w:bottom w:val="none" w:sz="0" w:space="0" w:color="auto"/>
                                                                                            <w:right w:val="none" w:sz="0" w:space="0" w:color="auto"/>
                                                                                          </w:divBdr>
                                                                                          <w:divsChild>
                                                                                            <w:div w:id="2123180417">
                                                                                              <w:marLeft w:val="0"/>
                                                                                              <w:marRight w:val="0"/>
                                                                                              <w:marTop w:val="0"/>
                                                                                              <w:marBottom w:val="0"/>
                                                                                              <w:divBdr>
                                                                                                <w:top w:val="none" w:sz="0" w:space="0" w:color="auto"/>
                                                                                                <w:left w:val="none" w:sz="0" w:space="0" w:color="auto"/>
                                                                                                <w:bottom w:val="none" w:sz="0" w:space="0" w:color="auto"/>
                                                                                                <w:right w:val="none" w:sz="0" w:space="0" w:color="auto"/>
                                                                                              </w:divBdr>
                                                                                              <w:divsChild>
                                                                                                <w:div w:id="598224475">
                                                                                                  <w:marLeft w:val="0"/>
                                                                                                  <w:marRight w:val="0"/>
                                                                                                  <w:marTop w:val="0"/>
                                                                                                  <w:marBottom w:val="0"/>
                                                                                                  <w:divBdr>
                                                                                                    <w:top w:val="none" w:sz="0" w:space="0" w:color="auto"/>
                                                                                                    <w:left w:val="none" w:sz="0" w:space="0" w:color="auto"/>
                                                                                                    <w:bottom w:val="none" w:sz="0" w:space="0" w:color="auto"/>
                                                                                                    <w:right w:val="none" w:sz="0" w:space="0" w:color="auto"/>
                                                                                                  </w:divBdr>
                                                                                                  <w:divsChild>
                                                                                                    <w:div w:id="55030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ms.gov.pl" TargetMode="External"/><Relationship Id="rId18" Type="http://schemas.openxmlformats.org/officeDocument/2006/relationships/header" Target="header4.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ms.gov.p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7FDF4-1C73-42C3-B07C-F2823710D8DB}">
  <ds:schemaRefs>
    <ds:schemaRef ds:uri="http://schemas.microsoft.com/sharepoint/v3/contenttype/forms"/>
  </ds:schemaRefs>
</ds:datastoreItem>
</file>

<file path=customXml/itemProps2.xml><?xml version="1.0" encoding="utf-8"?>
<ds:datastoreItem xmlns:ds="http://schemas.openxmlformats.org/officeDocument/2006/customXml" ds:itemID="{1E697223-FAC3-4784-8D51-CE2720BB351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4D3923A-9A70-4153-88F4-A24B3CDDAF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0500D4E-AF4E-4BEC-B4D0-3C3C97146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6441</Words>
  <Characters>38651</Characters>
  <Application>Microsoft Office Word</Application>
  <DocSecurity>0</DocSecurity>
  <Lines>322</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45002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2018-09-14T07:46:00Z</dcterms:created>
  <dcterms:modified xsi:type="dcterms:W3CDTF">2018-09-14T07:46:00Z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28481/12</vt:lpwstr>
  </property>
  <property fmtid="{D5CDD505-2E9C-101B-9397-08002B2CF9AE}" pid="4" name="CASEID">
    <vt:lpwstr>796996</vt:lpwstr>
  </property>
  <property fmtid="{D5CDD505-2E9C-101B-9397-08002B2CF9AE}" pid="5" name="ContentTypeId">
    <vt:lpwstr>0x010100558EB02BDB9E204AB350EDD385B68E10</vt:lpwstr>
  </property>
</Properties>
</file>