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4C06552" w14:textId="3F2B2B2B" w:rsidR="00F02C63" w:rsidRPr="0073242A" w:rsidRDefault="00F02C63" w:rsidP="0073242A">
      <w:pPr>
        <w:spacing w:before="100" w:beforeAutospacing="1" w:after="120"/>
        <w:jc w:val="center"/>
        <w:rPr>
          <w:sz w:val="16"/>
          <w:szCs w:val="16"/>
        </w:rPr>
      </w:pPr>
      <w:bookmarkStart w:id="0" w:name="_GoBack"/>
      <w:bookmarkEnd w:id="0"/>
      <w:r w:rsidRPr="0073242A">
        <w:rPr>
          <w:sz w:val="16"/>
          <w:szCs w:val="16"/>
        </w:rPr>
        <w:t xml:space="preserve">© Ministerstwo Sprawiedliwości, </w:t>
      </w:r>
      <w:hyperlink r:id="rId12" w:history="1">
        <w:r w:rsidRPr="0073242A">
          <w:rPr>
            <w:rStyle w:val="Hipercze"/>
            <w:sz w:val="16"/>
            <w:szCs w:val="16"/>
          </w:rPr>
          <w:t>www.ms.gov.pl</w:t>
        </w:r>
      </w:hyperlink>
      <w:r w:rsidRPr="0073242A">
        <w:rPr>
          <w:sz w:val="16"/>
          <w:szCs w:val="16"/>
        </w:rPr>
        <w:t xml:space="preserve"> [Translation already published on the official website of the Polish Ministry of Justice]</w:t>
      </w:r>
      <w:r w:rsidR="00B47D80" w:rsidRPr="0073242A">
        <w:rPr>
          <w:sz w:val="16"/>
          <w:szCs w:val="16"/>
        </w:rPr>
        <w:t xml:space="preserve"> - </w:t>
      </w:r>
      <w:r w:rsidRPr="0073242A">
        <w:rPr>
          <w:sz w:val="16"/>
          <w:szCs w:val="16"/>
        </w:rPr>
        <w:t>Permission to re-publish this translation has been granted by the Polish Ministry of Justice for the sole purpose of its inclusion in the Court</w:t>
      </w:r>
      <w:r w:rsidR="0073242A" w:rsidRPr="0073242A">
        <w:rPr>
          <w:sz w:val="16"/>
          <w:szCs w:val="16"/>
        </w:rPr>
        <w:t>’</w:t>
      </w:r>
      <w:r w:rsidRPr="0073242A">
        <w:rPr>
          <w:sz w:val="16"/>
          <w:szCs w:val="16"/>
        </w:rPr>
        <w:t>s database HUDOC</w:t>
      </w:r>
    </w:p>
    <w:p w14:paraId="046F5748" w14:textId="77777777" w:rsidR="00B47D80" w:rsidRPr="0073242A" w:rsidRDefault="00F02C63" w:rsidP="0073242A">
      <w:pPr>
        <w:spacing w:before="100" w:beforeAutospacing="1" w:after="120"/>
        <w:jc w:val="center"/>
        <w:rPr>
          <w:sz w:val="16"/>
          <w:szCs w:val="16"/>
          <w:lang w:val="pl-PL"/>
        </w:rPr>
      </w:pPr>
      <w:r w:rsidRPr="0073242A">
        <w:rPr>
          <w:sz w:val="16"/>
          <w:szCs w:val="16"/>
          <w:lang w:val="pl-PL"/>
        </w:rPr>
        <w:t xml:space="preserve">© Ministerstwo Sprawiedliwości, </w:t>
      </w:r>
      <w:hyperlink r:id="rId13" w:history="1">
        <w:r w:rsidRPr="0073242A">
          <w:rPr>
            <w:rStyle w:val="Hipercze"/>
            <w:sz w:val="16"/>
            <w:szCs w:val="16"/>
            <w:lang w:val="pl-PL"/>
          </w:rPr>
          <w:t>www.ms.gov.pl</w:t>
        </w:r>
      </w:hyperlink>
      <w:r w:rsidRPr="0073242A">
        <w:rPr>
          <w:sz w:val="16"/>
          <w:szCs w:val="16"/>
          <w:lang w:val="pl-PL"/>
        </w:rPr>
        <w:t xml:space="preserve"> [Tłumaczenie zostało już opublikowane na oficjalnej stronie Ministerstwa Sprawiedliwości]</w:t>
      </w:r>
      <w:r w:rsidR="00B47D80" w:rsidRPr="0073242A">
        <w:rPr>
          <w:sz w:val="16"/>
          <w:szCs w:val="16"/>
          <w:lang w:val="pl-PL"/>
        </w:rPr>
        <w:t xml:space="preserve"> - </w:t>
      </w:r>
      <w:r w:rsidRPr="0073242A">
        <w:rPr>
          <w:sz w:val="16"/>
          <w:szCs w:val="16"/>
          <w:lang w:val="pl-PL"/>
        </w:rPr>
        <w:t>Zezwolenie na publikację tego tłumaczenia zostało udzielone przez Ministerstwo Sprawiedliwości wyłącznie w celu zamieszczenia w bazie Trybunału HUDOC</w:t>
      </w:r>
    </w:p>
    <w:p w14:paraId="0DBC8E61" w14:textId="38648C83" w:rsidR="00F02C63" w:rsidRPr="0073242A" w:rsidRDefault="00F02C63" w:rsidP="0073242A">
      <w:pPr>
        <w:pStyle w:val="ECHRDecisionBody"/>
        <w:jc w:val="center"/>
        <w:rPr>
          <w:rFonts w:asciiTheme="majorHAnsi" w:hAnsiTheme="majorHAnsi" w:cstheme="majorHAnsi"/>
          <w:lang w:val="pl-PL"/>
        </w:rPr>
      </w:pPr>
    </w:p>
    <w:p w14:paraId="15AEE96C" w14:textId="77777777" w:rsidR="00F02C63" w:rsidRPr="0073242A" w:rsidRDefault="00F02C63" w:rsidP="0073242A">
      <w:pPr>
        <w:pStyle w:val="ECHRDecisionBody"/>
        <w:jc w:val="center"/>
        <w:rPr>
          <w:rFonts w:asciiTheme="majorHAnsi" w:hAnsiTheme="majorHAnsi" w:cstheme="majorHAnsi"/>
          <w:lang w:val="pl-PL"/>
        </w:rPr>
      </w:pPr>
    </w:p>
    <w:p w14:paraId="723D80F7" w14:textId="77777777" w:rsidR="00014566" w:rsidRPr="0073242A" w:rsidRDefault="003E623C" w:rsidP="0073242A">
      <w:pPr>
        <w:pStyle w:val="ECHRDecisionBody"/>
        <w:jc w:val="center"/>
        <w:rPr>
          <w:rFonts w:asciiTheme="majorHAnsi" w:hAnsiTheme="majorHAnsi" w:cstheme="majorHAnsi"/>
          <w:lang w:val="pl-PL"/>
        </w:rPr>
      </w:pPr>
      <w:r w:rsidRPr="0073242A">
        <w:rPr>
          <w:rFonts w:asciiTheme="majorHAnsi" w:hAnsiTheme="majorHAnsi" w:cstheme="majorHAnsi"/>
          <w:lang w:val="pl-PL"/>
        </w:rPr>
        <w:t>EUROPEJSKI TRYBUNAŁ PRAW CZŁOWIEKA</w:t>
      </w:r>
    </w:p>
    <w:p w14:paraId="3C896E6E" w14:textId="77777777" w:rsidR="00052C04" w:rsidRPr="0073242A" w:rsidRDefault="00052C04" w:rsidP="0073242A">
      <w:pPr>
        <w:pStyle w:val="ECHRDecisionBody"/>
        <w:rPr>
          <w:rFonts w:asciiTheme="majorHAnsi" w:hAnsiTheme="majorHAnsi" w:cstheme="majorHAnsi"/>
          <w:lang w:val="pl-PL"/>
        </w:rPr>
      </w:pPr>
    </w:p>
    <w:p w14:paraId="7F5E3E9C" w14:textId="77777777" w:rsidR="00052C04" w:rsidRPr="0073242A" w:rsidRDefault="00052C04" w:rsidP="0073242A">
      <w:pPr>
        <w:pStyle w:val="ECHRDecisionBody"/>
        <w:rPr>
          <w:rFonts w:asciiTheme="majorHAnsi" w:hAnsiTheme="majorHAnsi" w:cstheme="majorHAnsi"/>
          <w:lang w:val="pl-PL"/>
        </w:rPr>
      </w:pPr>
    </w:p>
    <w:p w14:paraId="5D94DFE8" w14:textId="77777777" w:rsidR="00052C04" w:rsidRPr="0073242A" w:rsidRDefault="00087472" w:rsidP="0073242A">
      <w:pPr>
        <w:jc w:val="center"/>
        <w:rPr>
          <w:rFonts w:asciiTheme="majorHAnsi" w:hAnsiTheme="majorHAnsi" w:cstheme="majorHAnsi"/>
          <w:lang w:val="pl-PL"/>
        </w:rPr>
      </w:pPr>
      <w:r w:rsidRPr="0073242A">
        <w:rPr>
          <w:rFonts w:asciiTheme="majorHAnsi" w:hAnsiTheme="majorHAnsi" w:cstheme="majorHAnsi"/>
          <w:lang w:val="pl-PL"/>
        </w:rPr>
        <w:t>SEKCJA PIERWSZA</w:t>
      </w:r>
    </w:p>
    <w:p w14:paraId="335E9D3A" w14:textId="77777777" w:rsidR="00052C04" w:rsidRPr="0073242A" w:rsidRDefault="00052C04" w:rsidP="0073242A">
      <w:pPr>
        <w:jc w:val="center"/>
        <w:rPr>
          <w:rFonts w:asciiTheme="majorHAnsi" w:hAnsiTheme="majorHAnsi" w:cstheme="majorHAnsi"/>
          <w:b/>
          <w:bCs/>
          <w:lang w:val="pl-PL"/>
        </w:rPr>
      </w:pPr>
    </w:p>
    <w:p w14:paraId="4FC27AA8" w14:textId="77777777" w:rsidR="00014566" w:rsidRPr="0073242A" w:rsidRDefault="00014566" w:rsidP="0073242A">
      <w:pPr>
        <w:jc w:val="center"/>
        <w:rPr>
          <w:rFonts w:asciiTheme="majorHAnsi" w:hAnsiTheme="majorHAnsi"/>
          <w:lang w:val="pl-PL"/>
        </w:rPr>
      </w:pPr>
    </w:p>
    <w:p w14:paraId="72E86EE5" w14:textId="77777777" w:rsidR="00014566" w:rsidRPr="0073242A" w:rsidRDefault="00014566" w:rsidP="0073242A">
      <w:pPr>
        <w:jc w:val="center"/>
        <w:rPr>
          <w:rFonts w:asciiTheme="majorHAnsi" w:hAnsiTheme="majorHAnsi" w:cstheme="majorHAnsi"/>
          <w:lang w:val="pl-PL"/>
        </w:rPr>
      </w:pPr>
    </w:p>
    <w:p w14:paraId="59F34EA9" w14:textId="77777777" w:rsidR="00014566" w:rsidRPr="0073242A" w:rsidRDefault="00014566" w:rsidP="0073242A">
      <w:pPr>
        <w:jc w:val="center"/>
        <w:rPr>
          <w:rFonts w:asciiTheme="majorHAnsi" w:hAnsiTheme="majorHAnsi" w:cstheme="majorHAnsi"/>
          <w:lang w:val="pl-PL"/>
        </w:rPr>
      </w:pPr>
    </w:p>
    <w:p w14:paraId="661D92D1" w14:textId="77777777" w:rsidR="00014566" w:rsidRPr="0073242A" w:rsidRDefault="00087472" w:rsidP="0073242A">
      <w:pPr>
        <w:jc w:val="center"/>
        <w:rPr>
          <w:rFonts w:asciiTheme="majorHAnsi" w:hAnsiTheme="majorHAnsi" w:cstheme="majorHAnsi"/>
          <w:b/>
          <w:lang w:val="pl-PL"/>
        </w:rPr>
      </w:pPr>
      <w:r w:rsidRPr="0073242A">
        <w:rPr>
          <w:rFonts w:asciiTheme="majorHAnsi" w:hAnsiTheme="majorHAnsi" w:cstheme="majorHAnsi"/>
          <w:b/>
          <w:lang w:val="pl-PL"/>
        </w:rPr>
        <w:t>SPRAWA ARTUR PAWLAK PRZECIWKO POLSCE</w:t>
      </w:r>
    </w:p>
    <w:p w14:paraId="17964B92" w14:textId="77777777" w:rsidR="00014566" w:rsidRPr="0073242A" w:rsidRDefault="00014566" w:rsidP="0073242A">
      <w:pPr>
        <w:jc w:val="center"/>
        <w:rPr>
          <w:rFonts w:asciiTheme="majorHAnsi" w:hAnsiTheme="majorHAnsi" w:cstheme="majorHAnsi"/>
          <w:i/>
          <w:lang w:val="pl-PL"/>
        </w:rPr>
      </w:pPr>
      <w:r w:rsidRPr="0073242A">
        <w:rPr>
          <w:rFonts w:asciiTheme="majorHAnsi" w:hAnsiTheme="majorHAnsi" w:cstheme="majorHAnsi"/>
          <w:i/>
          <w:lang w:val="pl-PL"/>
        </w:rPr>
        <w:t>(</w:t>
      </w:r>
      <w:r w:rsidR="00F13D6C" w:rsidRPr="0073242A">
        <w:rPr>
          <w:rFonts w:asciiTheme="majorHAnsi" w:hAnsiTheme="majorHAnsi" w:cstheme="majorHAnsi"/>
          <w:i/>
          <w:lang w:val="pl-PL"/>
        </w:rPr>
        <w:t>Skarga nr</w:t>
      </w:r>
      <w:r w:rsidR="00613717" w:rsidRPr="0073242A">
        <w:rPr>
          <w:rFonts w:asciiTheme="majorHAnsi" w:hAnsiTheme="majorHAnsi" w:cstheme="majorHAnsi"/>
          <w:i/>
          <w:lang w:val="pl-PL"/>
        </w:rPr>
        <w:t xml:space="preserve"> 41436/11</w:t>
      </w:r>
      <w:r w:rsidRPr="0073242A">
        <w:rPr>
          <w:rFonts w:asciiTheme="majorHAnsi" w:hAnsiTheme="majorHAnsi" w:cstheme="majorHAnsi"/>
          <w:i/>
          <w:lang w:val="pl-PL"/>
        </w:rPr>
        <w:t>)</w:t>
      </w:r>
    </w:p>
    <w:p w14:paraId="7BDDEC3D" w14:textId="77777777" w:rsidR="00014566" w:rsidRPr="0073242A" w:rsidRDefault="00014566" w:rsidP="0073242A">
      <w:pPr>
        <w:jc w:val="center"/>
        <w:rPr>
          <w:rFonts w:asciiTheme="majorHAnsi" w:hAnsiTheme="majorHAnsi" w:cstheme="majorHAnsi"/>
          <w:lang w:val="pl-PL"/>
        </w:rPr>
      </w:pPr>
    </w:p>
    <w:p w14:paraId="0BBCD5F3" w14:textId="77777777" w:rsidR="00014566" w:rsidRPr="0073242A" w:rsidRDefault="00014566" w:rsidP="0073242A">
      <w:pPr>
        <w:jc w:val="center"/>
        <w:rPr>
          <w:rFonts w:asciiTheme="majorHAnsi" w:hAnsiTheme="majorHAnsi" w:cstheme="majorHAnsi"/>
          <w:lang w:val="pl-PL"/>
        </w:rPr>
      </w:pPr>
    </w:p>
    <w:p w14:paraId="6668936E" w14:textId="77777777" w:rsidR="00014566" w:rsidRPr="0073242A" w:rsidRDefault="00014566" w:rsidP="0073242A">
      <w:pPr>
        <w:jc w:val="center"/>
        <w:rPr>
          <w:rFonts w:asciiTheme="majorHAnsi" w:hAnsiTheme="majorHAnsi" w:cstheme="majorHAnsi"/>
          <w:lang w:val="pl-PL"/>
        </w:rPr>
      </w:pPr>
    </w:p>
    <w:p w14:paraId="54ECE017" w14:textId="77777777" w:rsidR="00052C04" w:rsidRPr="0073242A" w:rsidRDefault="00321576" w:rsidP="0073242A">
      <w:pPr>
        <w:pStyle w:val="JuCase"/>
        <w:ind w:firstLine="0"/>
        <w:jc w:val="center"/>
        <w:rPr>
          <w:rFonts w:asciiTheme="majorHAnsi" w:hAnsiTheme="majorHAnsi" w:cstheme="majorHAnsi"/>
          <w:b w:val="0"/>
          <w:lang w:val="pl-PL"/>
        </w:rPr>
      </w:pPr>
      <w:r w:rsidRPr="0073242A">
        <w:rPr>
          <w:rFonts w:asciiTheme="majorHAnsi" w:hAnsiTheme="majorHAnsi" w:cstheme="majorHAnsi"/>
          <w:b w:val="0"/>
          <w:lang w:val="pl-PL"/>
        </w:rPr>
        <w:t>WYROK</w:t>
      </w:r>
    </w:p>
    <w:p w14:paraId="1E5DB93C" w14:textId="77777777" w:rsidR="00052C04" w:rsidRPr="0073242A" w:rsidRDefault="00052C04" w:rsidP="0073242A">
      <w:pPr>
        <w:pStyle w:val="JuCase"/>
        <w:ind w:firstLine="0"/>
        <w:jc w:val="center"/>
        <w:rPr>
          <w:rFonts w:asciiTheme="majorHAnsi" w:hAnsiTheme="majorHAnsi" w:cstheme="majorHAnsi"/>
          <w:b w:val="0"/>
          <w:lang w:val="pl-PL"/>
        </w:rPr>
      </w:pPr>
    </w:p>
    <w:p w14:paraId="0C97F556" w14:textId="77777777" w:rsidR="00F13D6C" w:rsidRPr="0073242A" w:rsidRDefault="00F13D6C" w:rsidP="0073242A">
      <w:pPr>
        <w:pStyle w:val="ECHRPara"/>
        <w:rPr>
          <w:rFonts w:asciiTheme="majorHAnsi" w:hAnsiTheme="majorHAnsi" w:cstheme="majorHAnsi"/>
          <w:lang w:val="pl-PL"/>
        </w:rPr>
      </w:pPr>
    </w:p>
    <w:p w14:paraId="3CABA31C" w14:textId="77777777" w:rsidR="00052C04" w:rsidRPr="0073242A" w:rsidRDefault="006B58C0" w:rsidP="0073242A">
      <w:pPr>
        <w:pStyle w:val="JuCase"/>
        <w:ind w:firstLine="0"/>
        <w:jc w:val="center"/>
        <w:rPr>
          <w:rFonts w:asciiTheme="majorHAnsi" w:hAnsiTheme="majorHAnsi" w:cstheme="majorHAnsi"/>
          <w:b w:val="0"/>
          <w:lang w:val="pl-PL"/>
        </w:rPr>
      </w:pPr>
      <w:r w:rsidRPr="0073242A">
        <w:rPr>
          <w:rFonts w:asciiTheme="majorHAnsi" w:hAnsiTheme="majorHAnsi" w:cstheme="majorHAnsi"/>
          <w:b w:val="0"/>
          <w:lang w:val="pl-PL"/>
        </w:rPr>
        <w:t>STRASB</w:t>
      </w:r>
      <w:r w:rsidR="00052C04" w:rsidRPr="0073242A">
        <w:rPr>
          <w:rFonts w:asciiTheme="majorHAnsi" w:hAnsiTheme="majorHAnsi" w:cstheme="majorHAnsi"/>
          <w:b w:val="0"/>
          <w:lang w:val="pl-PL"/>
        </w:rPr>
        <w:t>URG</w:t>
      </w:r>
    </w:p>
    <w:p w14:paraId="1F9D2BDC" w14:textId="77777777" w:rsidR="00052C04" w:rsidRPr="0073242A" w:rsidRDefault="00052C04" w:rsidP="0073242A">
      <w:pPr>
        <w:pStyle w:val="JuCase"/>
        <w:ind w:firstLine="0"/>
        <w:jc w:val="center"/>
        <w:rPr>
          <w:rFonts w:asciiTheme="majorHAnsi" w:hAnsiTheme="majorHAnsi" w:cstheme="majorHAnsi"/>
          <w:b w:val="0"/>
          <w:lang w:val="pl-PL"/>
        </w:rPr>
      </w:pPr>
    </w:p>
    <w:p w14:paraId="6BA863B9" w14:textId="77777777" w:rsidR="00F13D6C" w:rsidRPr="0073242A" w:rsidRDefault="00F13D6C" w:rsidP="0073242A">
      <w:pPr>
        <w:pStyle w:val="ECHRPara"/>
        <w:rPr>
          <w:rFonts w:asciiTheme="majorHAnsi" w:hAnsiTheme="majorHAnsi" w:cstheme="majorHAnsi"/>
          <w:lang w:val="pl-PL"/>
        </w:rPr>
      </w:pPr>
    </w:p>
    <w:p w14:paraId="36069104" w14:textId="77777777" w:rsidR="00052C04" w:rsidRPr="0073242A" w:rsidRDefault="00321576" w:rsidP="0073242A">
      <w:pPr>
        <w:pStyle w:val="JuCase"/>
        <w:ind w:firstLine="0"/>
        <w:jc w:val="center"/>
        <w:rPr>
          <w:rFonts w:asciiTheme="majorHAnsi" w:hAnsiTheme="majorHAnsi" w:cstheme="majorHAnsi"/>
          <w:b w:val="0"/>
          <w:lang w:val="pl-PL"/>
        </w:rPr>
      </w:pPr>
      <w:r w:rsidRPr="0073242A">
        <w:rPr>
          <w:rFonts w:asciiTheme="majorHAnsi" w:hAnsiTheme="majorHAnsi" w:cstheme="majorHAnsi"/>
          <w:b w:val="0"/>
          <w:lang w:val="pl-PL"/>
        </w:rPr>
        <w:t>5 październik</w:t>
      </w:r>
      <w:r w:rsidR="003E623C" w:rsidRPr="0073242A">
        <w:rPr>
          <w:rFonts w:asciiTheme="majorHAnsi" w:hAnsiTheme="majorHAnsi" w:cstheme="majorHAnsi"/>
          <w:b w:val="0"/>
          <w:lang w:val="pl-PL"/>
        </w:rPr>
        <w:t>a</w:t>
      </w:r>
      <w:r w:rsidRPr="0073242A">
        <w:rPr>
          <w:rFonts w:asciiTheme="majorHAnsi" w:hAnsiTheme="majorHAnsi" w:cstheme="majorHAnsi"/>
          <w:b w:val="0"/>
          <w:lang w:val="pl-PL"/>
        </w:rPr>
        <w:t xml:space="preserve"> 2017</w:t>
      </w:r>
      <w:r w:rsidR="00AD7AEB" w:rsidRPr="0073242A">
        <w:rPr>
          <w:rFonts w:asciiTheme="majorHAnsi" w:hAnsiTheme="majorHAnsi" w:cstheme="majorHAnsi"/>
          <w:b w:val="0"/>
          <w:lang w:val="pl-PL"/>
        </w:rPr>
        <w:t xml:space="preserve"> r.</w:t>
      </w:r>
    </w:p>
    <w:p w14:paraId="34F61401" w14:textId="77777777" w:rsidR="00052C04" w:rsidRPr="0073242A" w:rsidRDefault="00052C04" w:rsidP="0073242A">
      <w:pPr>
        <w:pStyle w:val="JuCase"/>
        <w:ind w:firstLine="0"/>
        <w:jc w:val="center"/>
        <w:rPr>
          <w:rFonts w:asciiTheme="majorHAnsi" w:hAnsiTheme="majorHAnsi" w:cstheme="majorHAnsi"/>
          <w:b w:val="0"/>
          <w:lang w:val="pl-PL"/>
        </w:rPr>
      </w:pPr>
    </w:p>
    <w:p w14:paraId="5F6A4420" w14:textId="77777777" w:rsidR="00A2201A" w:rsidRPr="0073242A" w:rsidRDefault="00A2201A" w:rsidP="0073242A">
      <w:pPr>
        <w:pStyle w:val="ECHRPara"/>
        <w:rPr>
          <w:rFonts w:asciiTheme="majorHAnsi" w:hAnsiTheme="majorHAnsi" w:cstheme="majorHAnsi"/>
          <w:lang w:val="pl-PL"/>
        </w:rPr>
      </w:pPr>
    </w:p>
    <w:p w14:paraId="0AC470B2" w14:textId="77777777" w:rsidR="00052C04" w:rsidRPr="0073242A" w:rsidRDefault="00052C04" w:rsidP="0073242A">
      <w:pPr>
        <w:pStyle w:val="ECHRPara"/>
        <w:rPr>
          <w:rFonts w:asciiTheme="majorHAnsi" w:hAnsiTheme="majorHAnsi" w:cstheme="majorHAnsi"/>
          <w:lang w:val="pl-PL"/>
        </w:rPr>
      </w:pPr>
    </w:p>
    <w:p w14:paraId="2D2413D0" w14:textId="77777777" w:rsidR="00052C04" w:rsidRPr="0073242A" w:rsidRDefault="00052C04" w:rsidP="0073242A">
      <w:pPr>
        <w:pStyle w:val="ECHRPara"/>
        <w:rPr>
          <w:rFonts w:asciiTheme="majorHAnsi" w:hAnsiTheme="majorHAnsi" w:cstheme="majorHAnsi"/>
          <w:lang w:val="pl-PL"/>
        </w:rPr>
      </w:pPr>
    </w:p>
    <w:p w14:paraId="5C18E069" w14:textId="77777777" w:rsidR="00052C04" w:rsidRPr="0073242A" w:rsidRDefault="00052C04" w:rsidP="0073242A">
      <w:pPr>
        <w:pStyle w:val="ECHRPara"/>
        <w:rPr>
          <w:rFonts w:asciiTheme="majorHAnsi" w:hAnsiTheme="majorHAnsi" w:cstheme="majorHAnsi"/>
          <w:lang w:val="pl-PL"/>
        </w:rPr>
      </w:pPr>
    </w:p>
    <w:p w14:paraId="416611C8" w14:textId="77777777" w:rsidR="00087472" w:rsidRPr="0073242A" w:rsidRDefault="00087472" w:rsidP="0073242A">
      <w:pPr>
        <w:pStyle w:val="JuCase"/>
        <w:ind w:firstLine="0"/>
        <w:rPr>
          <w:rFonts w:asciiTheme="majorHAnsi" w:hAnsiTheme="majorHAnsi" w:cstheme="majorHAnsi"/>
          <w:b w:val="0"/>
          <w:i/>
          <w:sz w:val="22"/>
          <w:lang w:val="pl-PL"/>
        </w:rPr>
        <w:sectPr w:rsidR="00087472" w:rsidRPr="0073242A" w:rsidSect="00052C04">
          <w:headerReference w:type="even" r:id="rId14"/>
          <w:headerReference w:type="default" r:id="rId15"/>
          <w:footerReference w:type="even" r:id="rId16"/>
          <w:footerReference w:type="default" r:id="rId17"/>
          <w:headerReference w:type="first" r:id="rId18"/>
          <w:footerReference w:type="first" r:id="rId19"/>
          <w:footnotePr>
            <w:numRestart w:val="eachPage"/>
          </w:footnotePr>
          <w:pgSz w:w="11906" w:h="16838" w:code="9"/>
          <w:pgMar w:top="2274" w:right="2274" w:bottom="2274" w:left="2274" w:header="1701" w:footer="720" w:gutter="0"/>
          <w:pgNumType w:start="1"/>
          <w:cols w:space="720"/>
          <w:titlePg/>
          <w:docGrid w:linePitch="326"/>
        </w:sectPr>
      </w:pPr>
      <w:r w:rsidRPr="0073242A">
        <w:rPr>
          <w:rFonts w:asciiTheme="majorHAnsi" w:hAnsiTheme="majorHAnsi" w:cstheme="majorHAnsi"/>
          <w:b w:val="0"/>
          <w:i/>
          <w:lang w:val="pl-PL"/>
        </w:rPr>
        <w:t>Wyrok ten jest prawomocny, ale może podlegać korekcie wydawniczej.</w:t>
      </w:r>
    </w:p>
    <w:p w14:paraId="03C5063E" w14:textId="77777777" w:rsidR="00087472" w:rsidRPr="0073242A" w:rsidRDefault="00087472" w:rsidP="0073242A">
      <w:pPr>
        <w:pStyle w:val="ECHRPara"/>
        <w:rPr>
          <w:rFonts w:asciiTheme="majorHAnsi" w:hAnsiTheme="majorHAnsi" w:cstheme="majorHAnsi"/>
          <w:lang w:val="pl-PL"/>
        </w:rPr>
      </w:pPr>
      <w:r w:rsidRPr="0073242A">
        <w:rPr>
          <w:rFonts w:asciiTheme="majorHAnsi" w:hAnsiTheme="majorHAnsi" w:cstheme="majorHAnsi"/>
          <w:lang w:val="pl-PL"/>
        </w:rPr>
        <w:lastRenderedPageBreak/>
        <w:t>W sprawie Artur Pawlak przeciwko Polsce,</w:t>
      </w:r>
    </w:p>
    <w:p w14:paraId="388D312C" w14:textId="77777777" w:rsidR="00087472" w:rsidRPr="0073242A" w:rsidRDefault="00087472" w:rsidP="0073242A">
      <w:pPr>
        <w:pStyle w:val="ECHRPara"/>
        <w:rPr>
          <w:rFonts w:asciiTheme="majorHAnsi" w:hAnsiTheme="majorHAnsi" w:cstheme="majorHAnsi"/>
          <w:lang w:val="pl-PL"/>
        </w:rPr>
      </w:pPr>
      <w:r w:rsidRPr="0073242A">
        <w:rPr>
          <w:rFonts w:asciiTheme="majorHAnsi" w:hAnsiTheme="majorHAnsi" w:cstheme="majorHAnsi"/>
          <w:lang w:val="pl-PL"/>
        </w:rPr>
        <w:t xml:space="preserve">Europejski Trybunał Praw Człowieka (Sekcja </w:t>
      </w:r>
      <w:r w:rsidR="00790D0C" w:rsidRPr="0073242A">
        <w:rPr>
          <w:rFonts w:asciiTheme="majorHAnsi" w:hAnsiTheme="majorHAnsi" w:cstheme="majorHAnsi"/>
          <w:lang w:val="pl-PL"/>
        </w:rPr>
        <w:t>Pierwsza</w:t>
      </w:r>
      <w:r w:rsidRPr="0073242A">
        <w:rPr>
          <w:rFonts w:asciiTheme="majorHAnsi" w:hAnsiTheme="majorHAnsi" w:cstheme="majorHAnsi"/>
          <w:lang w:val="pl-PL"/>
        </w:rPr>
        <w:t>), zasiadając jako Izba w składzie:</w:t>
      </w:r>
    </w:p>
    <w:p w14:paraId="1BA424C0" w14:textId="77777777" w:rsidR="00087472" w:rsidRPr="0073242A" w:rsidRDefault="00087472" w:rsidP="0073242A">
      <w:pPr>
        <w:pStyle w:val="ECHRPara"/>
        <w:rPr>
          <w:rFonts w:asciiTheme="majorHAnsi" w:hAnsiTheme="majorHAnsi" w:cstheme="majorHAnsi"/>
          <w:lang w:val="pl-PL"/>
        </w:rPr>
      </w:pPr>
    </w:p>
    <w:p w14:paraId="0322A355" w14:textId="77777777" w:rsidR="00087472" w:rsidRPr="0073242A" w:rsidRDefault="00087472" w:rsidP="0073242A">
      <w:pPr>
        <w:pStyle w:val="ECHRDecisionBody"/>
        <w:rPr>
          <w:rFonts w:asciiTheme="majorHAnsi" w:hAnsiTheme="majorHAnsi" w:cstheme="majorHAnsi"/>
          <w:lang w:val="pl-PL"/>
        </w:rPr>
      </w:pPr>
      <w:r w:rsidRPr="0073242A">
        <w:rPr>
          <w:rFonts w:asciiTheme="majorHAnsi" w:hAnsiTheme="majorHAnsi" w:cstheme="majorHAnsi"/>
          <w:lang w:val="pl-PL"/>
        </w:rPr>
        <w:tab/>
      </w:r>
      <w:proofErr w:type="spellStart"/>
      <w:r w:rsidRPr="0073242A">
        <w:rPr>
          <w:rFonts w:asciiTheme="majorHAnsi" w:hAnsiTheme="majorHAnsi" w:cstheme="majorHAnsi"/>
          <w:lang w:val="pl-PL"/>
        </w:rPr>
        <w:t>Aleš</w:t>
      </w:r>
      <w:proofErr w:type="spellEnd"/>
      <w:r w:rsidRPr="0073242A">
        <w:rPr>
          <w:rFonts w:asciiTheme="majorHAnsi" w:hAnsiTheme="majorHAnsi" w:cstheme="majorHAnsi"/>
          <w:lang w:val="pl-PL"/>
        </w:rPr>
        <w:t xml:space="preserve"> </w:t>
      </w:r>
      <w:proofErr w:type="spellStart"/>
      <w:r w:rsidRPr="0073242A">
        <w:rPr>
          <w:rFonts w:asciiTheme="majorHAnsi" w:hAnsiTheme="majorHAnsi" w:cstheme="majorHAnsi"/>
          <w:lang w:val="pl-PL"/>
        </w:rPr>
        <w:t>Pejchal</w:t>
      </w:r>
      <w:proofErr w:type="spellEnd"/>
      <w:r w:rsidRPr="0073242A">
        <w:rPr>
          <w:rFonts w:asciiTheme="majorHAnsi" w:hAnsiTheme="majorHAnsi" w:cstheme="majorHAnsi"/>
          <w:lang w:val="pl-PL"/>
        </w:rPr>
        <w:t>,</w:t>
      </w:r>
      <w:r w:rsidRPr="0073242A">
        <w:rPr>
          <w:rFonts w:asciiTheme="majorHAnsi" w:hAnsiTheme="majorHAnsi" w:cstheme="majorHAnsi"/>
          <w:i/>
          <w:lang w:val="pl-PL"/>
        </w:rPr>
        <w:t xml:space="preserve"> przewodniczący</w:t>
      </w:r>
      <w:r w:rsidRPr="0073242A">
        <w:rPr>
          <w:rFonts w:asciiTheme="majorHAnsi" w:hAnsiTheme="majorHAnsi" w:cstheme="majorHAnsi"/>
          <w:i/>
          <w:lang w:val="pl-PL"/>
        </w:rPr>
        <w:br/>
      </w:r>
      <w:r w:rsidRPr="0073242A">
        <w:rPr>
          <w:rFonts w:asciiTheme="majorHAnsi" w:hAnsiTheme="majorHAnsi" w:cstheme="majorHAnsi"/>
          <w:lang w:val="pl-PL"/>
        </w:rPr>
        <w:tab/>
        <w:t xml:space="preserve">Krzysztof </w:t>
      </w:r>
      <w:proofErr w:type="spellStart"/>
      <w:r w:rsidRPr="0073242A">
        <w:rPr>
          <w:rFonts w:asciiTheme="majorHAnsi" w:hAnsiTheme="majorHAnsi" w:cstheme="majorHAnsi"/>
          <w:lang w:val="pl-PL"/>
        </w:rPr>
        <w:t>Wojtyczek</w:t>
      </w:r>
      <w:proofErr w:type="spellEnd"/>
      <w:r w:rsidRPr="0073242A">
        <w:rPr>
          <w:rFonts w:asciiTheme="majorHAnsi" w:hAnsiTheme="majorHAnsi" w:cstheme="majorHAnsi"/>
          <w:lang w:val="pl-PL"/>
        </w:rPr>
        <w:t>,</w:t>
      </w:r>
      <w:r w:rsidRPr="0073242A">
        <w:rPr>
          <w:rFonts w:asciiTheme="majorHAnsi" w:hAnsiTheme="majorHAnsi" w:cstheme="majorHAnsi"/>
          <w:i/>
          <w:lang w:val="pl-PL"/>
        </w:rPr>
        <w:br/>
      </w:r>
      <w:r w:rsidRPr="0073242A">
        <w:rPr>
          <w:rFonts w:asciiTheme="majorHAnsi" w:hAnsiTheme="majorHAnsi" w:cstheme="majorHAnsi"/>
          <w:lang w:val="pl-PL"/>
        </w:rPr>
        <w:tab/>
      </w:r>
      <w:proofErr w:type="spellStart"/>
      <w:r w:rsidRPr="0073242A">
        <w:rPr>
          <w:rFonts w:asciiTheme="majorHAnsi" w:hAnsiTheme="majorHAnsi" w:cstheme="majorHAnsi"/>
          <w:lang w:val="pl-PL"/>
        </w:rPr>
        <w:t>Jovan</w:t>
      </w:r>
      <w:proofErr w:type="spellEnd"/>
      <w:r w:rsidRPr="0073242A">
        <w:rPr>
          <w:rFonts w:asciiTheme="majorHAnsi" w:hAnsiTheme="majorHAnsi" w:cstheme="majorHAnsi"/>
          <w:lang w:val="pl-PL"/>
        </w:rPr>
        <w:t xml:space="preserve"> </w:t>
      </w:r>
      <w:proofErr w:type="spellStart"/>
      <w:r w:rsidRPr="0073242A">
        <w:rPr>
          <w:rFonts w:asciiTheme="majorHAnsi" w:hAnsiTheme="majorHAnsi" w:cstheme="majorHAnsi"/>
          <w:lang w:val="pl-PL"/>
        </w:rPr>
        <w:t>Ilievski</w:t>
      </w:r>
      <w:proofErr w:type="spellEnd"/>
      <w:r w:rsidRPr="0073242A">
        <w:rPr>
          <w:rFonts w:asciiTheme="majorHAnsi" w:hAnsiTheme="majorHAnsi" w:cstheme="majorHAnsi"/>
          <w:lang w:val="pl-PL"/>
        </w:rPr>
        <w:t>,</w:t>
      </w:r>
      <w:r w:rsidRPr="0073242A">
        <w:rPr>
          <w:rFonts w:asciiTheme="majorHAnsi" w:hAnsiTheme="majorHAnsi" w:cstheme="majorHAnsi"/>
          <w:i/>
          <w:lang w:val="pl-PL"/>
        </w:rPr>
        <w:t xml:space="preserve"> sędziowie,</w:t>
      </w:r>
      <w:r w:rsidRPr="0073242A">
        <w:rPr>
          <w:rFonts w:asciiTheme="majorHAnsi" w:hAnsiTheme="majorHAnsi" w:cstheme="majorHAnsi"/>
          <w:szCs w:val="24"/>
          <w:lang w:val="pl-PL"/>
        </w:rPr>
        <w:br/>
      </w:r>
      <w:r w:rsidR="00790D0C" w:rsidRPr="0073242A">
        <w:rPr>
          <w:rFonts w:asciiTheme="majorHAnsi" w:hAnsiTheme="majorHAnsi" w:cstheme="majorHAnsi"/>
          <w:lang w:val="pl-PL"/>
        </w:rPr>
        <w:t xml:space="preserve">oraz </w:t>
      </w:r>
      <w:r w:rsidRPr="0073242A">
        <w:rPr>
          <w:rFonts w:asciiTheme="majorHAnsi" w:hAnsiTheme="majorHAnsi" w:cstheme="majorHAnsi"/>
          <w:lang w:val="pl-PL"/>
        </w:rPr>
        <w:t xml:space="preserve">Renata </w:t>
      </w:r>
      <w:proofErr w:type="spellStart"/>
      <w:r w:rsidRPr="0073242A">
        <w:rPr>
          <w:rFonts w:asciiTheme="majorHAnsi" w:hAnsiTheme="majorHAnsi" w:cstheme="majorHAnsi"/>
          <w:lang w:val="pl-PL"/>
        </w:rPr>
        <w:t>Degener</w:t>
      </w:r>
      <w:proofErr w:type="spellEnd"/>
      <w:r w:rsidRPr="0073242A">
        <w:rPr>
          <w:rFonts w:asciiTheme="majorHAnsi" w:hAnsiTheme="majorHAnsi" w:cstheme="majorHAnsi"/>
          <w:lang w:val="pl-PL"/>
        </w:rPr>
        <w:t xml:space="preserve">, </w:t>
      </w:r>
      <w:r w:rsidRPr="0073242A">
        <w:rPr>
          <w:rFonts w:asciiTheme="majorHAnsi" w:hAnsiTheme="majorHAnsi" w:cstheme="majorHAnsi"/>
          <w:i/>
          <w:lang w:val="pl-PL"/>
        </w:rPr>
        <w:t>Zastępca Kanclerza Sekcji</w:t>
      </w:r>
    </w:p>
    <w:p w14:paraId="62E0B597" w14:textId="77777777" w:rsidR="00087472" w:rsidRPr="0073242A" w:rsidRDefault="00087472" w:rsidP="0073242A">
      <w:pPr>
        <w:pStyle w:val="ECHRDecisionBody"/>
        <w:rPr>
          <w:rFonts w:asciiTheme="majorHAnsi" w:hAnsiTheme="majorHAnsi" w:cstheme="majorHAnsi"/>
          <w:lang w:val="pl-PL"/>
        </w:rPr>
      </w:pPr>
    </w:p>
    <w:p w14:paraId="61A34729" w14:textId="77777777" w:rsidR="00087472" w:rsidRPr="0073242A" w:rsidRDefault="00087472" w:rsidP="0073242A">
      <w:pPr>
        <w:pStyle w:val="ECHRDecisionBody"/>
        <w:rPr>
          <w:rFonts w:asciiTheme="majorHAnsi" w:hAnsiTheme="majorHAnsi" w:cstheme="majorHAnsi"/>
          <w:lang w:val="pl-PL"/>
        </w:rPr>
      </w:pPr>
      <w:r w:rsidRPr="0073242A">
        <w:rPr>
          <w:rFonts w:asciiTheme="majorHAnsi" w:hAnsiTheme="majorHAnsi" w:cstheme="majorHAnsi"/>
          <w:lang w:val="pl-PL"/>
        </w:rPr>
        <w:t>Obradując na posiedzeniu niejawnym w dniu 12 września 2017</w:t>
      </w:r>
      <w:r w:rsidR="00790D0C" w:rsidRPr="0073242A">
        <w:rPr>
          <w:rFonts w:asciiTheme="majorHAnsi" w:hAnsiTheme="majorHAnsi" w:cstheme="majorHAnsi"/>
          <w:lang w:val="pl-PL"/>
        </w:rPr>
        <w:t>r.</w:t>
      </w:r>
      <w:r w:rsidRPr="0073242A">
        <w:rPr>
          <w:rFonts w:asciiTheme="majorHAnsi" w:hAnsiTheme="majorHAnsi" w:cstheme="majorHAnsi"/>
          <w:lang w:val="pl-PL"/>
        </w:rPr>
        <w:t>,</w:t>
      </w:r>
      <w:r w:rsidRPr="0073242A">
        <w:rPr>
          <w:rFonts w:asciiTheme="majorHAnsi" w:hAnsiTheme="majorHAnsi" w:cstheme="majorHAnsi"/>
          <w:lang w:val="pl-PL"/>
        </w:rPr>
        <w:tab/>
      </w:r>
    </w:p>
    <w:p w14:paraId="4FEDD08D" w14:textId="77777777" w:rsidR="00321576" w:rsidRPr="0073242A" w:rsidRDefault="00087472" w:rsidP="0073242A">
      <w:pPr>
        <w:pStyle w:val="ECHRPara"/>
        <w:rPr>
          <w:rFonts w:asciiTheme="majorHAnsi" w:hAnsiTheme="majorHAnsi" w:cstheme="majorHAnsi"/>
          <w:lang w:val="pl-PL"/>
        </w:rPr>
      </w:pPr>
      <w:r w:rsidRPr="0073242A">
        <w:rPr>
          <w:rFonts w:asciiTheme="majorHAnsi" w:hAnsiTheme="majorHAnsi" w:cstheme="majorHAnsi"/>
          <w:lang w:val="pl-PL"/>
        </w:rPr>
        <w:t>Wydaje następujący wyrok, który został przyjęty w tym dniu:</w:t>
      </w:r>
    </w:p>
    <w:p w14:paraId="71669733" w14:textId="77777777" w:rsidR="000B16B4" w:rsidRPr="0073242A" w:rsidRDefault="000B16B4" w:rsidP="0073242A">
      <w:pPr>
        <w:pStyle w:val="ECHRTitle1"/>
        <w:rPr>
          <w:rFonts w:eastAsia="Times New Roman" w:cstheme="majorHAnsi"/>
          <w:lang w:val="pl-PL"/>
        </w:rPr>
      </w:pPr>
      <w:r w:rsidRPr="0073242A">
        <w:rPr>
          <w:rFonts w:cstheme="majorHAnsi"/>
          <w:lang w:val="pl-PL"/>
        </w:rPr>
        <w:t>POSTĘPOWANIE</w:t>
      </w:r>
    </w:p>
    <w:p w14:paraId="07C3618A" w14:textId="1825CB7B" w:rsidR="000B16B4"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w:t>
      </w:r>
      <w:r w:rsidR="000B16B4" w:rsidRPr="0073242A">
        <w:rPr>
          <w:rFonts w:asciiTheme="majorHAnsi" w:hAnsiTheme="majorHAnsi" w:cstheme="majorHAnsi"/>
          <w:lang w:val="pl-PL"/>
        </w:rPr>
        <w:t xml:space="preserve">.  Sprawa wywodzi się ze skargi </w:t>
      </w:r>
      <w:r w:rsidR="000B16B4" w:rsidRPr="0073242A">
        <w:rPr>
          <w:rFonts w:asciiTheme="majorHAnsi" w:hAnsiTheme="majorHAnsi" w:cstheme="majorHAnsi"/>
          <w:noProof/>
          <w:lang w:val="pl-PL"/>
        </w:rPr>
        <w:t xml:space="preserve">(nr </w:t>
      </w:r>
      <w:r w:rsidR="000B16B4" w:rsidRPr="0073242A">
        <w:rPr>
          <w:rFonts w:asciiTheme="majorHAnsi" w:hAnsiTheme="majorHAnsi" w:cstheme="majorHAnsi"/>
          <w:lang w:val="pl-PL"/>
        </w:rPr>
        <w:t>41436/11</w:t>
      </w:r>
      <w:r w:rsidR="000B16B4" w:rsidRPr="0073242A">
        <w:rPr>
          <w:rFonts w:asciiTheme="majorHAnsi" w:hAnsiTheme="majorHAnsi" w:cstheme="majorHAnsi"/>
          <w:noProof/>
          <w:lang w:val="pl-PL"/>
        </w:rPr>
        <w:t>)</w:t>
      </w:r>
      <w:r w:rsidR="000B16B4" w:rsidRPr="0073242A">
        <w:rPr>
          <w:rFonts w:asciiTheme="majorHAnsi" w:hAnsiTheme="majorHAnsi" w:cstheme="majorHAnsi"/>
          <w:lang w:val="pl-PL"/>
        </w:rPr>
        <w:t xml:space="preserve"> wniesionej do Trybunału w dniu 20 czerwca 2011</w:t>
      </w:r>
      <w:r w:rsidR="00AD7AEB" w:rsidRPr="0073242A">
        <w:rPr>
          <w:rFonts w:asciiTheme="majorHAnsi" w:hAnsiTheme="majorHAnsi" w:cstheme="majorHAnsi"/>
          <w:lang w:val="pl-PL"/>
        </w:rPr>
        <w:t xml:space="preserve"> r.</w:t>
      </w:r>
      <w:r w:rsidR="000B16B4" w:rsidRPr="0073242A">
        <w:rPr>
          <w:rFonts w:asciiTheme="majorHAnsi" w:hAnsiTheme="majorHAnsi" w:cstheme="majorHAnsi"/>
          <w:lang w:val="pl-PL"/>
        </w:rPr>
        <w:t xml:space="preserve"> przeciwko Rzeczypospolitej Polskiej na pod</w:t>
      </w:r>
      <w:r w:rsidR="00790D0C" w:rsidRPr="0073242A">
        <w:rPr>
          <w:rFonts w:asciiTheme="majorHAnsi" w:hAnsiTheme="majorHAnsi" w:cstheme="majorHAnsi"/>
          <w:lang w:val="pl-PL"/>
        </w:rPr>
        <w:t>stawie Artykułu 34 Konwencji o ochronie praw człowieka i podstawowych w</w:t>
      </w:r>
      <w:r w:rsidR="000B16B4" w:rsidRPr="0073242A">
        <w:rPr>
          <w:rFonts w:asciiTheme="majorHAnsi" w:hAnsiTheme="majorHAnsi" w:cstheme="majorHAnsi"/>
          <w:lang w:val="pl-PL"/>
        </w:rPr>
        <w:t>olności ("Konwencja") przez obywatela Polski, Pana Artura Pawlaka (“skarżący”).</w:t>
      </w:r>
    </w:p>
    <w:p w14:paraId="6D818EB9" w14:textId="68275A7A" w:rsidR="000B16B4"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w:t>
      </w:r>
      <w:r w:rsidR="009406CC" w:rsidRPr="0073242A">
        <w:rPr>
          <w:rFonts w:asciiTheme="majorHAnsi" w:hAnsiTheme="majorHAnsi" w:cstheme="majorHAnsi"/>
          <w:lang w:val="pl-PL"/>
        </w:rPr>
        <w:t xml:space="preserve">. </w:t>
      </w:r>
      <w:r w:rsidR="000B16B4" w:rsidRPr="0073242A">
        <w:rPr>
          <w:rFonts w:asciiTheme="majorHAnsi" w:hAnsiTheme="majorHAnsi" w:cstheme="majorHAnsi"/>
          <w:lang w:val="pl-PL"/>
        </w:rPr>
        <w:t>Skarżący, któremu przyznano pomoc prawną, był reprezentowany przez Pana T. Rowińskiego, adwokata praktykującego w Lublinie. Rząd polski ("Rząd") był reprezentowany przez pełnomocnika, Panią J. Chrzanowską, z Ministerstwa Spraw Zagranicznych.</w:t>
      </w:r>
    </w:p>
    <w:p w14:paraId="1E4D33C3" w14:textId="0FA070BE" w:rsidR="000B16B4" w:rsidRPr="0073242A" w:rsidRDefault="004D1E4C" w:rsidP="0073242A">
      <w:pPr>
        <w:pStyle w:val="ECHRPara"/>
        <w:rPr>
          <w:rFonts w:asciiTheme="majorHAnsi" w:eastAsia="Times New Roman" w:hAnsiTheme="majorHAnsi" w:cstheme="majorHAnsi"/>
          <w:noProof/>
          <w:lang w:val="pl-PL"/>
        </w:rPr>
      </w:pPr>
      <w:r w:rsidRPr="0073242A">
        <w:rPr>
          <w:rFonts w:asciiTheme="majorHAnsi" w:hAnsiTheme="majorHAnsi" w:cstheme="majorHAnsi"/>
          <w:lang w:val="pl-PL"/>
        </w:rPr>
        <w:t>3</w:t>
      </w:r>
      <w:r w:rsidR="000B16B4" w:rsidRPr="0073242A">
        <w:rPr>
          <w:rFonts w:asciiTheme="majorHAnsi" w:hAnsiTheme="majorHAnsi" w:cstheme="majorHAnsi"/>
          <w:lang w:val="pl-PL"/>
        </w:rPr>
        <w:t>.  </w:t>
      </w:r>
      <w:r w:rsidR="000B16B4" w:rsidRPr="0073242A">
        <w:rPr>
          <w:rFonts w:asciiTheme="majorHAnsi" w:hAnsiTheme="majorHAnsi" w:cstheme="majorHAnsi"/>
          <w:noProof/>
          <w:lang w:val="pl-PL"/>
        </w:rPr>
        <w:t xml:space="preserve">Skarżący zarzucił w szczególności naruszenie Artykułu 3 Konwencji w związku z zastosowaniem wobec niego statusu “więźnia niebezpiecznego”. Ponadto, </w:t>
      </w:r>
      <w:r w:rsidR="00AA0DA2" w:rsidRPr="0073242A">
        <w:rPr>
          <w:rFonts w:asciiTheme="majorHAnsi" w:eastAsia="Times New Roman" w:hAnsiTheme="majorHAnsi" w:cstheme="majorHAnsi"/>
          <w:noProof/>
          <w:lang w:val="pl-PL"/>
        </w:rPr>
        <w:t>z</w:t>
      </w:r>
      <w:r w:rsidR="000B16B4" w:rsidRPr="0073242A">
        <w:rPr>
          <w:rFonts w:asciiTheme="majorHAnsi" w:eastAsia="Times New Roman" w:hAnsiTheme="majorHAnsi" w:cstheme="majorHAnsi"/>
          <w:noProof/>
          <w:lang w:val="pl-PL"/>
        </w:rPr>
        <w:t xml:space="preserve">łożył </w:t>
      </w:r>
      <w:r w:rsidR="00AA0DA2" w:rsidRPr="0073242A">
        <w:rPr>
          <w:rFonts w:asciiTheme="majorHAnsi" w:eastAsia="Times New Roman" w:hAnsiTheme="majorHAnsi" w:cstheme="majorHAnsi"/>
          <w:noProof/>
          <w:lang w:val="pl-PL"/>
        </w:rPr>
        <w:t>on również skargę na podstawie A</w:t>
      </w:r>
      <w:r w:rsidR="000B16B4" w:rsidRPr="0073242A">
        <w:rPr>
          <w:rFonts w:asciiTheme="majorHAnsi" w:eastAsia="Times New Roman" w:hAnsiTheme="majorHAnsi" w:cstheme="majorHAnsi"/>
          <w:noProof/>
          <w:lang w:val="pl-PL"/>
        </w:rPr>
        <w:t>rtykułów 6 i 13 Ko</w:t>
      </w:r>
      <w:r w:rsidR="00F654CD" w:rsidRPr="0073242A">
        <w:rPr>
          <w:rFonts w:asciiTheme="majorHAnsi" w:eastAsia="Times New Roman" w:hAnsiTheme="majorHAnsi" w:cstheme="majorHAnsi"/>
          <w:noProof/>
          <w:lang w:val="pl-PL"/>
        </w:rPr>
        <w:t>nwencji, że postępowanie przed Komisją P</w:t>
      </w:r>
      <w:r w:rsidR="000B16B4" w:rsidRPr="0073242A">
        <w:rPr>
          <w:rFonts w:asciiTheme="majorHAnsi" w:eastAsia="Times New Roman" w:hAnsiTheme="majorHAnsi" w:cstheme="majorHAnsi"/>
          <w:noProof/>
          <w:lang w:val="pl-PL"/>
        </w:rPr>
        <w:t>enitencjarną było niesprawiedliwe i że nie było skutecznego środka odwoławczego od jego decyzji.</w:t>
      </w:r>
    </w:p>
    <w:p w14:paraId="12C790B1" w14:textId="77777777" w:rsidR="000B16B4" w:rsidRPr="0073242A" w:rsidRDefault="000B16B4" w:rsidP="0073242A">
      <w:pPr>
        <w:pStyle w:val="ECHRPara"/>
        <w:rPr>
          <w:rFonts w:asciiTheme="majorHAnsi" w:hAnsiTheme="majorHAnsi" w:cstheme="majorHAnsi"/>
          <w:lang w:val="pl-PL"/>
        </w:rPr>
      </w:pPr>
    </w:p>
    <w:p w14:paraId="0D068968" w14:textId="5C4237CF" w:rsidR="00AA0DA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w:t>
      </w:r>
      <w:r w:rsidR="00014566" w:rsidRPr="0073242A">
        <w:rPr>
          <w:rFonts w:asciiTheme="majorHAnsi" w:hAnsiTheme="majorHAnsi" w:cstheme="majorHAnsi"/>
          <w:lang w:val="pl-PL"/>
        </w:rPr>
        <w:t>.</w:t>
      </w:r>
      <w:r w:rsidR="004D24A7" w:rsidRPr="0073242A">
        <w:rPr>
          <w:rFonts w:asciiTheme="majorHAnsi" w:hAnsiTheme="majorHAnsi" w:cstheme="majorHAnsi"/>
          <w:lang w:val="pl-PL"/>
        </w:rPr>
        <w:t xml:space="preserve"> </w:t>
      </w:r>
      <w:r w:rsidR="00AD7AEB" w:rsidRPr="0073242A">
        <w:rPr>
          <w:rFonts w:asciiTheme="majorHAnsi" w:hAnsiTheme="majorHAnsi" w:cstheme="majorHAnsi"/>
          <w:lang w:val="pl-PL"/>
        </w:rPr>
        <w:t xml:space="preserve">W dniu 7 lipca 2014 r. </w:t>
      </w:r>
      <w:r w:rsidR="00AA0DA2" w:rsidRPr="0073242A">
        <w:rPr>
          <w:rFonts w:asciiTheme="majorHAnsi" w:hAnsiTheme="majorHAnsi" w:cstheme="majorHAnsi"/>
          <w:lang w:val="pl-PL"/>
        </w:rPr>
        <w:t xml:space="preserve">wniosek został przekazany do </w:t>
      </w:r>
      <w:r w:rsidR="006C34C2" w:rsidRPr="0073242A">
        <w:rPr>
          <w:rFonts w:asciiTheme="majorHAnsi" w:hAnsiTheme="majorHAnsi" w:cstheme="majorHAnsi"/>
          <w:lang w:val="pl-PL"/>
        </w:rPr>
        <w:t>R</w:t>
      </w:r>
      <w:r w:rsidR="00AA0DA2" w:rsidRPr="0073242A">
        <w:rPr>
          <w:rFonts w:asciiTheme="majorHAnsi" w:hAnsiTheme="majorHAnsi" w:cstheme="majorHAnsi"/>
          <w:lang w:val="pl-PL"/>
        </w:rPr>
        <w:t>ządu.</w:t>
      </w:r>
    </w:p>
    <w:p w14:paraId="4ED2099C" w14:textId="77777777" w:rsidR="00014566" w:rsidRPr="0073242A" w:rsidRDefault="004D24A7" w:rsidP="0073242A">
      <w:pPr>
        <w:pStyle w:val="ECHRHeading1"/>
        <w:rPr>
          <w:rFonts w:cstheme="majorHAnsi"/>
          <w:sz w:val="28"/>
          <w:lang w:val="pl-PL"/>
        </w:rPr>
      </w:pPr>
      <w:r w:rsidRPr="0073242A">
        <w:rPr>
          <w:rFonts w:cstheme="majorHAnsi"/>
          <w:sz w:val="28"/>
          <w:lang w:val="pl-PL"/>
        </w:rPr>
        <w:t>STAN FAKTYCZNY</w:t>
      </w:r>
    </w:p>
    <w:p w14:paraId="6AC793AA" w14:textId="77777777" w:rsidR="00AA0DA2" w:rsidRPr="0073242A" w:rsidRDefault="00AA0DA2" w:rsidP="0073242A">
      <w:pPr>
        <w:pStyle w:val="ECHRHeading1"/>
        <w:rPr>
          <w:rFonts w:cstheme="majorHAnsi"/>
          <w:lang w:val="pl-PL"/>
        </w:rPr>
      </w:pPr>
      <w:r w:rsidRPr="0073242A">
        <w:rPr>
          <w:rFonts w:cstheme="majorHAnsi"/>
          <w:lang w:val="pl-PL"/>
        </w:rPr>
        <w:t>I.  OKOLICZNOŚCI SPRAWY</w:t>
      </w:r>
    </w:p>
    <w:p w14:paraId="0578D37A" w14:textId="5C7657DA" w:rsidR="00AA0DA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w:t>
      </w:r>
      <w:r w:rsidR="00014566" w:rsidRPr="0073242A">
        <w:rPr>
          <w:rFonts w:asciiTheme="majorHAnsi" w:hAnsiTheme="majorHAnsi" w:cstheme="majorHAnsi"/>
          <w:lang w:val="pl-PL"/>
        </w:rPr>
        <w:t>. </w:t>
      </w:r>
      <w:r w:rsidR="004D24A7" w:rsidRPr="0073242A">
        <w:rPr>
          <w:rFonts w:asciiTheme="majorHAnsi" w:hAnsiTheme="majorHAnsi" w:cstheme="majorHAnsi"/>
          <w:lang w:val="pl-PL"/>
        </w:rPr>
        <w:t xml:space="preserve"> </w:t>
      </w:r>
      <w:r w:rsidR="00AA0DA2" w:rsidRPr="0073242A">
        <w:rPr>
          <w:rFonts w:asciiTheme="majorHAnsi" w:hAnsiTheme="majorHAnsi" w:cstheme="majorHAnsi"/>
          <w:lang w:val="pl-PL"/>
        </w:rPr>
        <w:t xml:space="preserve">Skarżący urodził się </w:t>
      </w:r>
      <w:r w:rsidR="00AD7AEB" w:rsidRPr="0073242A">
        <w:rPr>
          <w:rFonts w:asciiTheme="majorHAnsi" w:hAnsiTheme="majorHAnsi" w:cstheme="majorHAnsi"/>
          <w:lang w:val="pl-PL"/>
        </w:rPr>
        <w:t>w 1983 r.</w:t>
      </w:r>
      <w:r w:rsidR="00AA0DA2" w:rsidRPr="0073242A">
        <w:rPr>
          <w:rFonts w:asciiTheme="majorHAnsi" w:hAnsiTheme="majorHAnsi" w:cstheme="majorHAnsi"/>
          <w:lang w:val="pl-PL"/>
        </w:rPr>
        <w:t xml:space="preserve"> i obecnie przebywa w areszcie </w:t>
      </w:r>
      <w:r w:rsidR="006C34C2" w:rsidRPr="0073242A">
        <w:rPr>
          <w:rFonts w:asciiTheme="majorHAnsi" w:hAnsiTheme="majorHAnsi" w:cstheme="majorHAnsi"/>
          <w:lang w:val="pl-PL"/>
        </w:rPr>
        <w:t xml:space="preserve">śledczym </w:t>
      </w:r>
      <w:r w:rsidR="00AA0DA2" w:rsidRPr="0073242A">
        <w:rPr>
          <w:rFonts w:asciiTheme="majorHAnsi" w:hAnsiTheme="majorHAnsi" w:cstheme="majorHAnsi"/>
          <w:lang w:val="pl-PL"/>
        </w:rPr>
        <w:t>w Rzeszowie</w:t>
      </w:r>
      <w:r w:rsidR="006B58C0" w:rsidRPr="0073242A">
        <w:rPr>
          <w:rFonts w:asciiTheme="majorHAnsi" w:hAnsiTheme="majorHAnsi" w:cstheme="majorHAnsi"/>
          <w:lang w:val="pl-PL"/>
        </w:rPr>
        <w:t>.</w:t>
      </w:r>
    </w:p>
    <w:p w14:paraId="0755A665" w14:textId="1BDF91ED" w:rsidR="00AA0DA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w:t>
      </w:r>
      <w:r w:rsidR="00014566" w:rsidRPr="0073242A">
        <w:rPr>
          <w:rFonts w:asciiTheme="majorHAnsi" w:hAnsiTheme="majorHAnsi" w:cstheme="majorHAnsi"/>
          <w:lang w:val="pl-PL"/>
        </w:rPr>
        <w:t>. </w:t>
      </w:r>
      <w:r w:rsidR="004D24A7" w:rsidRPr="0073242A">
        <w:rPr>
          <w:rFonts w:asciiTheme="majorHAnsi" w:hAnsiTheme="majorHAnsi" w:cstheme="majorHAnsi"/>
          <w:lang w:val="pl-PL"/>
        </w:rPr>
        <w:t xml:space="preserve"> </w:t>
      </w:r>
      <w:r w:rsidR="00AA0DA2" w:rsidRPr="0073242A">
        <w:rPr>
          <w:rFonts w:asciiTheme="majorHAnsi" w:hAnsiTheme="majorHAnsi" w:cstheme="majorHAnsi"/>
          <w:lang w:val="pl-PL"/>
        </w:rPr>
        <w:t>Stan faktyczny sprawy przedłożony przez strony można podsumować następująco.</w:t>
      </w:r>
    </w:p>
    <w:p w14:paraId="7BDD3792" w14:textId="77777777" w:rsidR="00AA0DA2" w:rsidRPr="0073242A" w:rsidRDefault="00AA0DA2" w:rsidP="0073242A">
      <w:pPr>
        <w:pStyle w:val="ECHRHeading2"/>
        <w:rPr>
          <w:rFonts w:cstheme="majorHAnsi"/>
          <w:lang w:val="pl-PL"/>
        </w:rPr>
      </w:pPr>
      <w:r w:rsidRPr="0073242A">
        <w:rPr>
          <w:rFonts w:cstheme="majorHAnsi"/>
          <w:lang w:val="pl-PL"/>
        </w:rPr>
        <w:lastRenderedPageBreak/>
        <w:t>A. Zatrzymanie i skazanie Skarżącego.</w:t>
      </w:r>
    </w:p>
    <w:p w14:paraId="70A9D5CB" w14:textId="47EFF8D4" w:rsidR="00AA0DA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7</w:t>
      </w:r>
      <w:r w:rsidR="00F21EEB" w:rsidRPr="0073242A">
        <w:rPr>
          <w:rFonts w:asciiTheme="majorHAnsi" w:hAnsiTheme="majorHAnsi" w:cstheme="majorHAnsi"/>
          <w:lang w:val="pl-PL"/>
        </w:rPr>
        <w:t>.  </w:t>
      </w:r>
      <w:r w:rsidR="00AA0DA2" w:rsidRPr="0073242A">
        <w:rPr>
          <w:rFonts w:asciiTheme="majorHAnsi" w:hAnsiTheme="majorHAnsi" w:cstheme="majorHAnsi"/>
          <w:lang w:val="pl-PL"/>
        </w:rPr>
        <w:t>W dn</w:t>
      </w:r>
      <w:r w:rsidR="00AD7AEB" w:rsidRPr="0073242A">
        <w:rPr>
          <w:rFonts w:asciiTheme="majorHAnsi" w:hAnsiTheme="majorHAnsi" w:cstheme="majorHAnsi"/>
          <w:lang w:val="pl-PL"/>
        </w:rPr>
        <w:t>iu 19 kwietnia 2005 r.</w:t>
      </w:r>
      <w:r w:rsidR="00AA0DA2" w:rsidRPr="0073242A">
        <w:rPr>
          <w:rFonts w:asciiTheme="majorHAnsi" w:hAnsiTheme="majorHAnsi" w:cstheme="majorHAnsi"/>
          <w:lang w:val="pl-PL"/>
        </w:rPr>
        <w:t xml:space="preserve"> skarżący został aresztowany i osadzony w więzieniu w Chełmie. Następnie był przetrzymywany w kilku innych </w:t>
      </w:r>
      <w:r w:rsidR="00F654CD" w:rsidRPr="0073242A">
        <w:rPr>
          <w:rFonts w:asciiTheme="majorHAnsi" w:hAnsiTheme="majorHAnsi" w:cstheme="majorHAnsi"/>
          <w:lang w:val="pl-PL"/>
        </w:rPr>
        <w:t>zakładach karnych.</w:t>
      </w:r>
    </w:p>
    <w:p w14:paraId="3E7BD365" w14:textId="44FD1C64" w:rsidR="00153EB3"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8</w:t>
      </w:r>
      <w:r w:rsidR="00F21EEB" w:rsidRPr="0073242A">
        <w:rPr>
          <w:rFonts w:asciiTheme="majorHAnsi" w:hAnsiTheme="majorHAnsi" w:cstheme="majorHAnsi"/>
          <w:lang w:val="pl-PL"/>
        </w:rPr>
        <w:t>. </w:t>
      </w:r>
      <w:r w:rsidR="004D24A7" w:rsidRPr="0073242A">
        <w:rPr>
          <w:rFonts w:asciiTheme="majorHAnsi" w:hAnsiTheme="majorHAnsi" w:cstheme="majorHAnsi"/>
          <w:lang w:val="pl-PL"/>
        </w:rPr>
        <w:t xml:space="preserve"> </w:t>
      </w:r>
      <w:r w:rsidR="00153EB3" w:rsidRPr="0073242A">
        <w:rPr>
          <w:rFonts w:asciiTheme="majorHAnsi" w:hAnsiTheme="majorHAnsi" w:cstheme="majorHAnsi"/>
          <w:lang w:val="pl-PL"/>
        </w:rPr>
        <w:t xml:space="preserve">W dniu 4 sierpnia 2010 </w:t>
      </w:r>
      <w:r w:rsidR="00AD7AEB" w:rsidRPr="0073242A">
        <w:rPr>
          <w:rFonts w:asciiTheme="majorHAnsi" w:hAnsiTheme="majorHAnsi" w:cstheme="majorHAnsi"/>
          <w:lang w:val="pl-PL"/>
        </w:rPr>
        <w:t>r.</w:t>
      </w:r>
      <w:r w:rsidR="00153EB3" w:rsidRPr="0073242A">
        <w:rPr>
          <w:rFonts w:asciiTheme="majorHAnsi" w:hAnsiTheme="majorHAnsi" w:cstheme="majorHAnsi"/>
          <w:lang w:val="pl-PL"/>
        </w:rPr>
        <w:t xml:space="preserve"> Sąd Okręgowy w Lublinie skazał skarżącego za morderstwo, gwałt, napad, rozbój, oszustwo i pase</w:t>
      </w:r>
      <w:r w:rsidR="00AD7AEB" w:rsidRPr="0073242A">
        <w:rPr>
          <w:rFonts w:asciiTheme="majorHAnsi" w:hAnsiTheme="majorHAnsi" w:cstheme="majorHAnsi"/>
          <w:lang w:val="pl-PL"/>
        </w:rPr>
        <w:t>rstwo. W dniu 8 lutego 2011 r.</w:t>
      </w:r>
      <w:r w:rsidR="00153EB3" w:rsidRPr="0073242A">
        <w:rPr>
          <w:rFonts w:asciiTheme="majorHAnsi" w:hAnsiTheme="majorHAnsi" w:cstheme="majorHAnsi"/>
          <w:lang w:val="pl-PL"/>
        </w:rPr>
        <w:t xml:space="preserve"> Sąd Apelacyjny w Lublinie utrzymał w mocy wyrok sądu pierwszej instancji.</w:t>
      </w:r>
    </w:p>
    <w:p w14:paraId="2F698CE7" w14:textId="14BD2E44" w:rsidR="00153EB3"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9</w:t>
      </w:r>
      <w:r w:rsidR="00F21EEB" w:rsidRPr="0073242A">
        <w:rPr>
          <w:rFonts w:asciiTheme="majorHAnsi" w:hAnsiTheme="majorHAnsi" w:cstheme="majorHAnsi"/>
          <w:lang w:val="pl-PL"/>
        </w:rPr>
        <w:t>.</w:t>
      </w:r>
      <w:r w:rsidR="00B47D80" w:rsidRPr="0073242A">
        <w:rPr>
          <w:rFonts w:asciiTheme="majorHAnsi" w:hAnsiTheme="majorHAnsi" w:cstheme="majorHAnsi"/>
          <w:lang w:val="pl-PL"/>
        </w:rPr>
        <w:t xml:space="preserve"> </w:t>
      </w:r>
      <w:r w:rsidR="00153EB3" w:rsidRPr="0073242A">
        <w:rPr>
          <w:rFonts w:asciiTheme="majorHAnsi" w:hAnsiTheme="majorHAnsi" w:cstheme="majorHAnsi"/>
          <w:lang w:val="pl-PL"/>
        </w:rPr>
        <w:t xml:space="preserve">Wcześniej, w dniu 21 listopada 2008 </w:t>
      </w:r>
      <w:r w:rsidR="00AD7AEB" w:rsidRPr="0073242A">
        <w:rPr>
          <w:rFonts w:asciiTheme="majorHAnsi" w:hAnsiTheme="majorHAnsi" w:cstheme="majorHAnsi"/>
          <w:lang w:val="pl-PL"/>
        </w:rPr>
        <w:t>r.</w:t>
      </w:r>
      <w:r w:rsidR="00153EB3" w:rsidRPr="0073242A">
        <w:rPr>
          <w:rFonts w:asciiTheme="majorHAnsi" w:hAnsiTheme="majorHAnsi" w:cstheme="majorHAnsi"/>
          <w:lang w:val="pl-PL"/>
        </w:rPr>
        <w:t xml:space="preserve"> naczelnik Zakładu Karnego w Chełmie wystąpił do Sądu </w:t>
      </w:r>
      <w:r w:rsidR="00D03F56" w:rsidRPr="0073242A">
        <w:rPr>
          <w:rFonts w:asciiTheme="majorHAnsi" w:hAnsiTheme="majorHAnsi" w:cstheme="majorHAnsi"/>
          <w:lang w:val="pl-PL"/>
        </w:rPr>
        <w:t>Okręgowego</w:t>
      </w:r>
      <w:r w:rsidR="00153EB3" w:rsidRPr="0073242A">
        <w:rPr>
          <w:rFonts w:asciiTheme="majorHAnsi" w:hAnsiTheme="majorHAnsi" w:cstheme="majorHAnsi"/>
          <w:lang w:val="pl-PL"/>
        </w:rPr>
        <w:t xml:space="preserve"> w Lublinie, aby ten nakazał skarżącemu wzięcie udziału w programie rehabilitacji</w:t>
      </w:r>
      <w:r w:rsidR="0036566B" w:rsidRPr="0073242A">
        <w:rPr>
          <w:rFonts w:asciiTheme="majorHAnsi" w:hAnsiTheme="majorHAnsi" w:cstheme="majorHAnsi"/>
          <w:lang w:val="pl-PL"/>
        </w:rPr>
        <w:t xml:space="preserve"> narkotykowej </w:t>
      </w:r>
      <w:r w:rsidR="00153EB3" w:rsidRPr="0073242A">
        <w:rPr>
          <w:rFonts w:asciiTheme="majorHAnsi" w:hAnsiTheme="majorHAnsi" w:cstheme="majorHAnsi"/>
          <w:lang w:val="pl-PL"/>
        </w:rPr>
        <w:t>w trakcie odbywania przez skarżącego jego kary.</w:t>
      </w:r>
    </w:p>
    <w:p w14:paraId="7F4F5122" w14:textId="20B5661D" w:rsidR="00153EB3"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10</w:t>
      </w:r>
      <w:r w:rsidR="004D24A7" w:rsidRPr="0073242A">
        <w:rPr>
          <w:rFonts w:asciiTheme="majorHAnsi" w:hAnsiTheme="majorHAnsi" w:cstheme="majorHAnsi"/>
          <w:lang w:val="pl-PL"/>
        </w:rPr>
        <w:t>.</w:t>
      </w:r>
      <w:r w:rsidR="00B47D80" w:rsidRPr="0073242A">
        <w:rPr>
          <w:rFonts w:asciiTheme="majorHAnsi" w:hAnsiTheme="majorHAnsi" w:cstheme="majorHAnsi"/>
          <w:lang w:val="pl-PL"/>
        </w:rPr>
        <w:t xml:space="preserve"> </w:t>
      </w:r>
      <w:r w:rsidR="00153EB3" w:rsidRPr="0073242A">
        <w:rPr>
          <w:rFonts w:asciiTheme="majorHAnsi" w:hAnsiTheme="majorHAnsi" w:cstheme="majorHAnsi"/>
          <w:lang w:val="pl-PL"/>
        </w:rPr>
        <w:t xml:space="preserve">W dniu 15 grudnia 2008 </w:t>
      </w:r>
      <w:r w:rsidR="00AD7AEB" w:rsidRPr="0073242A">
        <w:rPr>
          <w:rFonts w:asciiTheme="majorHAnsi" w:hAnsiTheme="majorHAnsi" w:cstheme="majorHAnsi"/>
          <w:lang w:val="pl-PL"/>
        </w:rPr>
        <w:t>r.</w:t>
      </w:r>
      <w:r w:rsidR="00153EB3" w:rsidRPr="0073242A">
        <w:rPr>
          <w:rFonts w:asciiTheme="majorHAnsi" w:hAnsiTheme="majorHAnsi" w:cstheme="majorHAnsi"/>
          <w:lang w:val="pl-PL"/>
        </w:rPr>
        <w:t xml:space="preserve"> Sąd </w:t>
      </w:r>
      <w:r w:rsidR="00D03F56" w:rsidRPr="0073242A">
        <w:rPr>
          <w:rFonts w:asciiTheme="majorHAnsi" w:hAnsiTheme="majorHAnsi" w:cstheme="majorHAnsi"/>
          <w:lang w:val="pl-PL"/>
        </w:rPr>
        <w:t xml:space="preserve">Okręgowy </w:t>
      </w:r>
      <w:r w:rsidR="00153EB3" w:rsidRPr="0073242A">
        <w:rPr>
          <w:rFonts w:asciiTheme="majorHAnsi" w:hAnsiTheme="majorHAnsi" w:cstheme="majorHAnsi"/>
          <w:lang w:val="pl-PL"/>
        </w:rPr>
        <w:t>w Lublinie przychylił się do wniosku.</w:t>
      </w:r>
    </w:p>
    <w:p w14:paraId="20E86FAD" w14:textId="2FC1343C" w:rsidR="0036566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11</w:t>
      </w:r>
      <w:r w:rsidR="00F21EEB" w:rsidRPr="0073242A">
        <w:rPr>
          <w:rFonts w:asciiTheme="majorHAnsi" w:hAnsiTheme="majorHAnsi" w:cstheme="majorHAnsi"/>
          <w:lang w:val="pl-PL"/>
        </w:rPr>
        <w:t>.</w:t>
      </w:r>
      <w:r w:rsidR="00B47D80" w:rsidRPr="0073242A">
        <w:rPr>
          <w:rFonts w:asciiTheme="majorHAnsi" w:hAnsiTheme="majorHAnsi" w:cstheme="majorHAnsi"/>
          <w:lang w:val="pl-PL"/>
        </w:rPr>
        <w:t xml:space="preserve"> </w:t>
      </w:r>
      <w:r w:rsidR="0036566B" w:rsidRPr="0073242A">
        <w:rPr>
          <w:rFonts w:asciiTheme="majorHAnsi" w:hAnsiTheme="majorHAnsi" w:cstheme="majorHAnsi"/>
          <w:lang w:val="pl-PL"/>
        </w:rPr>
        <w:t xml:space="preserve">W dniu 27 czerwca 2010 </w:t>
      </w:r>
      <w:r w:rsidR="00367EE6" w:rsidRPr="0073242A">
        <w:rPr>
          <w:rFonts w:asciiTheme="majorHAnsi" w:hAnsiTheme="majorHAnsi" w:cstheme="majorHAnsi"/>
          <w:lang w:val="pl-PL"/>
        </w:rPr>
        <w:t>r.</w:t>
      </w:r>
      <w:r w:rsidR="0036566B" w:rsidRPr="0073242A">
        <w:rPr>
          <w:rFonts w:asciiTheme="majorHAnsi" w:hAnsiTheme="majorHAnsi" w:cstheme="majorHAnsi"/>
          <w:lang w:val="pl-PL"/>
        </w:rPr>
        <w:t xml:space="preserve"> skarżący złożył skargę do </w:t>
      </w:r>
      <w:r w:rsidR="00D03F56" w:rsidRPr="0073242A">
        <w:rPr>
          <w:rFonts w:asciiTheme="majorHAnsi" w:hAnsiTheme="majorHAnsi" w:cstheme="majorHAnsi"/>
          <w:lang w:val="pl-PL"/>
        </w:rPr>
        <w:t xml:space="preserve">Okręgowego </w:t>
      </w:r>
      <w:r w:rsidR="0036566B" w:rsidRPr="0073242A">
        <w:rPr>
          <w:rFonts w:asciiTheme="majorHAnsi" w:hAnsiTheme="majorHAnsi" w:cstheme="majorHAnsi"/>
          <w:lang w:val="pl-PL"/>
        </w:rPr>
        <w:t>Inspektoratu Służby Więziennej w Lublinie, że w rzeczywistości nie uczestniczył w programie rehabilitacji narkotykowej podczas odbywania kary.</w:t>
      </w:r>
    </w:p>
    <w:p w14:paraId="10111019" w14:textId="1A17BBCD" w:rsidR="0036566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12</w:t>
      </w:r>
      <w:r w:rsidR="00F21EEB" w:rsidRPr="0073242A">
        <w:rPr>
          <w:rFonts w:asciiTheme="majorHAnsi" w:hAnsiTheme="majorHAnsi" w:cstheme="majorHAnsi"/>
          <w:lang w:val="pl-PL"/>
        </w:rPr>
        <w:t>.</w:t>
      </w:r>
      <w:r w:rsidR="004D24A7" w:rsidRPr="0073242A">
        <w:rPr>
          <w:rFonts w:asciiTheme="majorHAnsi" w:hAnsiTheme="majorHAnsi" w:cstheme="majorHAnsi"/>
          <w:lang w:val="pl-PL"/>
        </w:rPr>
        <w:t xml:space="preserve"> W </w:t>
      </w:r>
      <w:r w:rsidR="00367EE6" w:rsidRPr="0073242A">
        <w:rPr>
          <w:rFonts w:asciiTheme="majorHAnsi" w:hAnsiTheme="majorHAnsi" w:cstheme="majorHAnsi"/>
          <w:lang w:val="pl-PL"/>
        </w:rPr>
        <w:t>dniu 24 września 2010 r.</w:t>
      </w:r>
      <w:r w:rsidR="0036566B" w:rsidRPr="0073242A">
        <w:rPr>
          <w:rFonts w:asciiTheme="majorHAnsi" w:hAnsiTheme="majorHAnsi" w:cstheme="majorHAnsi"/>
          <w:lang w:val="pl-PL"/>
        </w:rPr>
        <w:t xml:space="preserve"> </w:t>
      </w:r>
      <w:r w:rsidR="006C34C2" w:rsidRPr="0073242A">
        <w:rPr>
          <w:rFonts w:asciiTheme="majorHAnsi" w:hAnsiTheme="majorHAnsi" w:cstheme="majorHAnsi"/>
          <w:lang w:val="pl-PL"/>
        </w:rPr>
        <w:t>dyrektor</w:t>
      </w:r>
      <w:r w:rsidR="0036566B" w:rsidRPr="0073242A">
        <w:rPr>
          <w:rFonts w:asciiTheme="majorHAnsi" w:hAnsiTheme="majorHAnsi" w:cstheme="majorHAnsi"/>
          <w:lang w:val="pl-PL"/>
        </w:rPr>
        <w:t xml:space="preserve"> Lubelskiego Inspektoratu Służby Więziennej odpowiedział, że </w:t>
      </w:r>
      <w:r w:rsidR="006C34C2" w:rsidRPr="0073242A">
        <w:rPr>
          <w:rFonts w:asciiTheme="majorHAnsi" w:hAnsiTheme="majorHAnsi" w:cstheme="majorHAnsi"/>
          <w:lang w:val="pl-PL"/>
        </w:rPr>
        <w:t xml:space="preserve">rozpoczęcie </w:t>
      </w:r>
      <w:r w:rsidR="0036566B" w:rsidRPr="0073242A">
        <w:rPr>
          <w:rFonts w:asciiTheme="majorHAnsi" w:hAnsiTheme="majorHAnsi" w:cstheme="majorHAnsi"/>
          <w:lang w:val="pl-PL"/>
        </w:rPr>
        <w:t>program</w:t>
      </w:r>
      <w:r w:rsidR="006C34C2" w:rsidRPr="0073242A">
        <w:rPr>
          <w:rFonts w:asciiTheme="majorHAnsi" w:hAnsiTheme="majorHAnsi" w:cstheme="majorHAnsi"/>
          <w:lang w:val="pl-PL"/>
        </w:rPr>
        <w:t>u</w:t>
      </w:r>
      <w:r w:rsidR="0036566B" w:rsidRPr="0073242A">
        <w:rPr>
          <w:rFonts w:asciiTheme="majorHAnsi" w:hAnsiTheme="majorHAnsi" w:cstheme="majorHAnsi"/>
          <w:lang w:val="pl-PL"/>
        </w:rPr>
        <w:t xml:space="preserve"> skarżącego został</w:t>
      </w:r>
      <w:r w:rsidR="006C34C2" w:rsidRPr="0073242A">
        <w:rPr>
          <w:rFonts w:asciiTheme="majorHAnsi" w:hAnsiTheme="majorHAnsi" w:cstheme="majorHAnsi"/>
          <w:lang w:val="pl-PL"/>
        </w:rPr>
        <w:t>o</w:t>
      </w:r>
      <w:r w:rsidR="0036566B" w:rsidRPr="0073242A">
        <w:rPr>
          <w:rFonts w:asciiTheme="majorHAnsi" w:hAnsiTheme="majorHAnsi" w:cstheme="majorHAnsi"/>
          <w:lang w:val="pl-PL"/>
        </w:rPr>
        <w:t xml:space="preserve"> zaplanowan</w:t>
      </w:r>
      <w:r w:rsidR="006C34C2" w:rsidRPr="0073242A">
        <w:rPr>
          <w:rFonts w:asciiTheme="majorHAnsi" w:hAnsiTheme="majorHAnsi" w:cstheme="majorHAnsi"/>
          <w:lang w:val="pl-PL"/>
        </w:rPr>
        <w:t>e</w:t>
      </w:r>
      <w:r w:rsidR="0036566B" w:rsidRPr="0073242A">
        <w:rPr>
          <w:rFonts w:asciiTheme="majorHAnsi" w:hAnsiTheme="majorHAnsi" w:cstheme="majorHAnsi"/>
          <w:lang w:val="pl-PL"/>
        </w:rPr>
        <w:t xml:space="preserve"> na</w:t>
      </w:r>
      <w:r w:rsidR="00B47D80" w:rsidRPr="0073242A">
        <w:rPr>
          <w:rFonts w:asciiTheme="majorHAnsi" w:hAnsiTheme="majorHAnsi" w:cstheme="majorHAnsi"/>
          <w:lang w:val="pl-PL"/>
        </w:rPr>
        <w:t xml:space="preserve"> </w:t>
      </w:r>
      <w:r w:rsidR="0036566B" w:rsidRPr="0073242A">
        <w:rPr>
          <w:rFonts w:asciiTheme="majorHAnsi" w:hAnsiTheme="majorHAnsi" w:cstheme="majorHAnsi"/>
          <w:lang w:val="pl-PL"/>
        </w:rPr>
        <w:t>6 stycznia 20</w:t>
      </w:r>
      <w:r w:rsidR="00367EE6" w:rsidRPr="0073242A">
        <w:rPr>
          <w:rFonts w:asciiTheme="majorHAnsi" w:hAnsiTheme="majorHAnsi" w:cstheme="majorHAnsi"/>
          <w:lang w:val="pl-PL"/>
        </w:rPr>
        <w:t>10 r</w:t>
      </w:r>
      <w:r w:rsidR="0036566B" w:rsidRPr="0073242A">
        <w:rPr>
          <w:rFonts w:asciiTheme="majorHAnsi" w:hAnsiTheme="majorHAnsi" w:cstheme="majorHAnsi"/>
          <w:lang w:val="pl-PL"/>
        </w:rPr>
        <w:t>. Jednakże, z uwagi na jego antyspołeczne zachowanie, które mogło być niebezpieczne dla innych więźniów, został sklasyfikowany jako niebezpieczny więzień i dlatego nie mógł uczestniczyć w programie, który z reguły obejmował sesje grupowe i leczenie.</w:t>
      </w:r>
    </w:p>
    <w:p w14:paraId="79A35729" w14:textId="77777777" w:rsidR="0036566B" w:rsidRPr="0073242A" w:rsidRDefault="0036566B" w:rsidP="0073242A">
      <w:pPr>
        <w:pStyle w:val="ECHRHeading2"/>
        <w:rPr>
          <w:rFonts w:cstheme="majorHAnsi"/>
          <w:lang w:val="pl-PL"/>
        </w:rPr>
      </w:pPr>
      <w:r w:rsidRPr="0073242A">
        <w:rPr>
          <w:rFonts w:cstheme="majorHAnsi"/>
          <w:lang w:val="pl-PL"/>
        </w:rPr>
        <w:t>B.  Zastosowanie wobec skarżącego status</w:t>
      </w:r>
      <w:r w:rsidR="0091208A" w:rsidRPr="0073242A">
        <w:rPr>
          <w:rFonts w:cstheme="majorHAnsi"/>
          <w:lang w:val="pl-PL"/>
        </w:rPr>
        <w:t>u</w:t>
      </w:r>
      <w:r w:rsidRPr="0073242A">
        <w:rPr>
          <w:rFonts w:cstheme="majorHAnsi"/>
          <w:lang w:val="pl-PL"/>
        </w:rPr>
        <w:t xml:space="preserve"> “więźnia niebezpiecznego”</w:t>
      </w:r>
    </w:p>
    <w:p w14:paraId="0A53B60F" w14:textId="733F05CD" w:rsidR="00D138C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13</w:t>
      </w:r>
      <w:r w:rsidR="004D24A7" w:rsidRPr="0073242A">
        <w:rPr>
          <w:rFonts w:asciiTheme="majorHAnsi" w:hAnsiTheme="majorHAnsi" w:cstheme="majorHAnsi"/>
          <w:lang w:val="pl-PL"/>
        </w:rPr>
        <w:t xml:space="preserve">. </w:t>
      </w:r>
      <w:r w:rsidR="00D138CF" w:rsidRPr="0073242A">
        <w:rPr>
          <w:rFonts w:asciiTheme="majorHAnsi" w:hAnsiTheme="majorHAnsi" w:cstheme="majorHAnsi"/>
          <w:lang w:val="pl-PL"/>
        </w:rPr>
        <w:t xml:space="preserve">W dniu 14 września 2009 r. Komisja Penitencjarna </w:t>
      </w:r>
      <w:r w:rsidR="006C34C2" w:rsidRPr="0073242A">
        <w:rPr>
          <w:rFonts w:asciiTheme="majorHAnsi" w:hAnsiTheme="majorHAnsi" w:cstheme="majorHAnsi"/>
          <w:lang w:val="pl-PL"/>
        </w:rPr>
        <w:t>Zakładu Karnego</w:t>
      </w:r>
      <w:r w:rsidR="00B47D80" w:rsidRPr="0073242A">
        <w:rPr>
          <w:rFonts w:asciiTheme="majorHAnsi" w:hAnsiTheme="majorHAnsi" w:cstheme="majorHAnsi"/>
          <w:lang w:val="pl-PL"/>
        </w:rPr>
        <w:t xml:space="preserve"> </w:t>
      </w:r>
      <w:r w:rsidR="00D138CF" w:rsidRPr="0073242A">
        <w:rPr>
          <w:rFonts w:asciiTheme="majorHAnsi" w:hAnsiTheme="majorHAnsi" w:cstheme="majorHAnsi"/>
          <w:lang w:val="pl-PL"/>
        </w:rPr>
        <w:t xml:space="preserve">w Chełmie ("komisja") zakwalifikowała skarżącego jako "więźnia niebezpiecznego". Komisja podjęła decyzję na wniosek naczelnika chełmskiego </w:t>
      </w:r>
      <w:r w:rsidR="006952F0" w:rsidRPr="0073242A">
        <w:rPr>
          <w:rFonts w:asciiTheme="majorHAnsi" w:hAnsiTheme="majorHAnsi" w:cstheme="majorHAnsi"/>
          <w:lang w:val="pl-PL"/>
        </w:rPr>
        <w:t>zakładu karnego</w:t>
      </w:r>
      <w:r w:rsidR="00D138CF" w:rsidRPr="0073242A">
        <w:rPr>
          <w:rFonts w:asciiTheme="majorHAnsi" w:hAnsiTheme="majorHAnsi" w:cstheme="majorHAnsi"/>
          <w:lang w:val="pl-PL"/>
        </w:rPr>
        <w:t xml:space="preserve">, który stwierdził, że skarżący pobił innego więźnia w Areszcie Śledczym w Lublinie w 2002 r. (Zdarzenie to nie było przedmiotem ww. postępowania karnego). Ponadto skarżący najwyraźniej zachowywał się w sposób agresywny i nieprzewidywalny, w szczególności: grożąc strażnikom więziennym, odmawiając przyjmowania posiłków i </w:t>
      </w:r>
      <w:r w:rsidR="00AD7AEB" w:rsidRPr="0073242A">
        <w:rPr>
          <w:rFonts w:asciiTheme="majorHAnsi" w:hAnsiTheme="majorHAnsi" w:cstheme="majorHAnsi"/>
          <w:lang w:val="pl-PL"/>
        </w:rPr>
        <w:t>próbując</w:t>
      </w:r>
      <w:r w:rsidR="00D138CF" w:rsidRPr="0073242A">
        <w:rPr>
          <w:rFonts w:asciiTheme="majorHAnsi" w:hAnsiTheme="majorHAnsi" w:cstheme="majorHAnsi"/>
          <w:lang w:val="pl-PL"/>
        </w:rPr>
        <w:t xml:space="preserve"> samookaleczenia. Często był karany za naruszenia dyscyplinarne. Nie odwołał się od decyzji komisji.</w:t>
      </w:r>
    </w:p>
    <w:p w14:paraId="487C2229" w14:textId="10EBE442" w:rsidR="00D138C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14</w:t>
      </w:r>
      <w:r w:rsidR="004D24A7" w:rsidRPr="0073242A">
        <w:rPr>
          <w:rFonts w:asciiTheme="majorHAnsi" w:hAnsiTheme="majorHAnsi" w:cstheme="majorHAnsi"/>
          <w:lang w:val="pl-PL"/>
        </w:rPr>
        <w:t xml:space="preserve">. </w:t>
      </w:r>
      <w:r w:rsidR="00D138CF" w:rsidRPr="0073242A">
        <w:rPr>
          <w:rFonts w:asciiTheme="majorHAnsi" w:hAnsiTheme="majorHAnsi" w:cstheme="majorHAnsi"/>
          <w:lang w:val="pl-PL"/>
        </w:rPr>
        <w:t>Decyzja o nałożeniu na skarżącego statusu więźnia niebezpiecznego została następnie podtrzymana, między innymi poprzez: decyzje Komisji Penitencjarnej w Areszcie Śledczym w Lubl</w:t>
      </w:r>
      <w:r w:rsidR="00210C3D" w:rsidRPr="0073242A">
        <w:rPr>
          <w:rFonts w:asciiTheme="majorHAnsi" w:hAnsiTheme="majorHAnsi" w:cstheme="majorHAnsi"/>
          <w:lang w:val="pl-PL"/>
        </w:rPr>
        <w:t>inie z dnia 10 grudnia 2009 r.</w:t>
      </w:r>
      <w:r w:rsidR="00D138CF" w:rsidRPr="0073242A">
        <w:rPr>
          <w:rFonts w:asciiTheme="majorHAnsi" w:hAnsiTheme="majorHAnsi" w:cstheme="majorHAnsi"/>
          <w:lang w:val="pl-PL"/>
        </w:rPr>
        <w:t xml:space="preserve">; z 4 marca, 2 czerwca, </w:t>
      </w:r>
      <w:r w:rsidR="00210C3D" w:rsidRPr="0073242A">
        <w:rPr>
          <w:rFonts w:asciiTheme="majorHAnsi" w:hAnsiTheme="majorHAnsi" w:cstheme="majorHAnsi"/>
          <w:lang w:val="pl-PL"/>
        </w:rPr>
        <w:t>2 września i 2 grudnia 2010 r.</w:t>
      </w:r>
      <w:r w:rsidR="00D138CF" w:rsidRPr="0073242A">
        <w:rPr>
          <w:rFonts w:asciiTheme="majorHAnsi" w:hAnsiTheme="majorHAnsi" w:cstheme="majorHAnsi"/>
          <w:lang w:val="pl-PL"/>
        </w:rPr>
        <w:t xml:space="preserve">; z 2 marca, 2 czerwca, </w:t>
      </w:r>
      <w:r w:rsidR="00210C3D" w:rsidRPr="0073242A">
        <w:rPr>
          <w:rFonts w:asciiTheme="majorHAnsi" w:hAnsiTheme="majorHAnsi" w:cstheme="majorHAnsi"/>
          <w:lang w:val="pl-PL"/>
        </w:rPr>
        <w:t xml:space="preserve">1 </w:t>
      </w:r>
      <w:r w:rsidR="00210C3D" w:rsidRPr="0073242A">
        <w:rPr>
          <w:rFonts w:asciiTheme="majorHAnsi" w:hAnsiTheme="majorHAnsi" w:cstheme="majorHAnsi"/>
          <w:lang w:val="pl-PL"/>
        </w:rPr>
        <w:lastRenderedPageBreak/>
        <w:t>września i 1 grudnia 2011 r.</w:t>
      </w:r>
      <w:r w:rsidR="00D138CF" w:rsidRPr="0073242A">
        <w:rPr>
          <w:rFonts w:asciiTheme="majorHAnsi" w:hAnsiTheme="majorHAnsi" w:cstheme="majorHAnsi"/>
          <w:lang w:val="pl-PL"/>
        </w:rPr>
        <w:t>; oraz z dnia 1 marca, 30 maja, 29 sierpnia i 28 listopada 2012 r. Uzasadnienie wszystkich tych decyzji było podobne i miało następujące brzmienie:</w:t>
      </w:r>
    </w:p>
    <w:p w14:paraId="5D374806" w14:textId="77777777" w:rsidR="001D485A" w:rsidRPr="0073242A" w:rsidRDefault="001D485A" w:rsidP="0073242A">
      <w:pPr>
        <w:pStyle w:val="ECHRParaQuote"/>
        <w:rPr>
          <w:rFonts w:asciiTheme="majorHAnsi" w:hAnsiTheme="majorHAnsi" w:cstheme="majorHAnsi"/>
          <w:lang w:val="pl-PL"/>
        </w:rPr>
      </w:pPr>
      <w:r w:rsidRPr="0073242A">
        <w:rPr>
          <w:rFonts w:asciiTheme="majorHAnsi" w:hAnsiTheme="majorHAnsi" w:cstheme="majorHAnsi"/>
          <w:lang w:val="pl-PL"/>
        </w:rPr>
        <w:t xml:space="preserve">"Komisja, po zapoznaniu się z </w:t>
      </w:r>
      <w:r w:rsidR="00F13D6C" w:rsidRPr="0073242A">
        <w:rPr>
          <w:rFonts w:asciiTheme="majorHAnsi" w:hAnsiTheme="majorHAnsi" w:cstheme="majorHAnsi"/>
          <w:lang w:val="pl-PL"/>
        </w:rPr>
        <w:t>wnioskami</w:t>
      </w:r>
      <w:r w:rsidRPr="0073242A">
        <w:rPr>
          <w:rFonts w:asciiTheme="majorHAnsi" w:hAnsiTheme="majorHAnsi" w:cstheme="majorHAnsi"/>
          <w:lang w:val="pl-PL"/>
        </w:rPr>
        <w:t xml:space="preserve"> Kierownika Działu Ochrony i Kierownika Działu Penitencjarnego i po wysłuchaniu skarżącego, w jego obecności stwierdziła, że powody uzasadniające jego status więźnia niebezpiecznego nie przestały istnieć. Jednomyślnie postanowiono przedłużyć klasyfikację skarżącego o kolejne trzy miesiące, ponieważ nadal on stanowi zagrożenie dla bezpieczeństwa społeczeństwa i więzienia ".</w:t>
      </w:r>
    </w:p>
    <w:p w14:paraId="2CD2F2CF" w14:textId="5CB6AB3D" w:rsidR="00D03F56"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15</w:t>
      </w:r>
      <w:r w:rsidR="004D24A7" w:rsidRPr="0073242A">
        <w:rPr>
          <w:rFonts w:asciiTheme="majorHAnsi" w:hAnsiTheme="majorHAnsi" w:cstheme="majorHAnsi"/>
          <w:lang w:val="pl-PL"/>
        </w:rPr>
        <w:t xml:space="preserve">. </w:t>
      </w:r>
      <w:r w:rsidR="00D03F56" w:rsidRPr="0073242A">
        <w:rPr>
          <w:rFonts w:asciiTheme="majorHAnsi" w:hAnsiTheme="majorHAnsi" w:cstheme="majorHAnsi"/>
          <w:lang w:val="pl-PL"/>
        </w:rPr>
        <w:t>Skarżący odwołał się od większości decyzji wydanych w latach 2010 i 2011. Odwołania zostały oddalone przez Sąd Okręgowy w Lublinie w dniach 9 kwietnia i 15 października 2010 r. oraz w dniach 28 lutego i 27 kwietnia 2011 r.</w:t>
      </w:r>
    </w:p>
    <w:p w14:paraId="33B9C6DE" w14:textId="7315D2E9" w:rsidR="00D03F56"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16</w:t>
      </w:r>
      <w:r w:rsidR="004D24A7" w:rsidRPr="0073242A">
        <w:rPr>
          <w:rFonts w:asciiTheme="majorHAnsi" w:hAnsiTheme="majorHAnsi" w:cstheme="majorHAnsi"/>
          <w:lang w:val="pl-PL"/>
        </w:rPr>
        <w:t xml:space="preserve">. </w:t>
      </w:r>
      <w:r w:rsidR="00D03F56" w:rsidRPr="0073242A">
        <w:rPr>
          <w:rFonts w:asciiTheme="majorHAnsi" w:hAnsiTheme="majorHAnsi" w:cstheme="majorHAnsi"/>
          <w:lang w:val="pl-PL"/>
        </w:rPr>
        <w:t xml:space="preserve">Sąd uznał, że decyzje komisji były uzasadnione i zgodne z prawem, ponieważ status więźnia niebezpiecznego został nałożony na skarżącego zgodnie z art. 88a § 2, podpunkt 2 </w:t>
      </w:r>
      <w:r w:rsidR="00464D70" w:rsidRPr="0073242A">
        <w:rPr>
          <w:rFonts w:asciiTheme="majorHAnsi" w:hAnsiTheme="majorHAnsi" w:cstheme="majorHAnsi"/>
          <w:lang w:val="pl-PL"/>
        </w:rPr>
        <w:t>(c)</w:t>
      </w:r>
      <w:r w:rsidR="00D03F56" w:rsidRPr="0073242A">
        <w:rPr>
          <w:rFonts w:asciiTheme="majorHAnsi" w:hAnsiTheme="majorHAnsi" w:cstheme="majorHAnsi"/>
          <w:lang w:val="pl-PL"/>
        </w:rPr>
        <w:t xml:space="preserve"> Kodeksu karnego wykonawczego.</w:t>
      </w:r>
    </w:p>
    <w:p w14:paraId="790EFA0D" w14:textId="3BDC98D7" w:rsidR="00D03F56"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17</w:t>
      </w:r>
      <w:r w:rsidR="00F6602C" w:rsidRPr="0073242A">
        <w:rPr>
          <w:rFonts w:asciiTheme="majorHAnsi" w:hAnsiTheme="majorHAnsi" w:cstheme="majorHAnsi"/>
          <w:lang w:val="pl-PL"/>
        </w:rPr>
        <w:t xml:space="preserve">. </w:t>
      </w:r>
      <w:r w:rsidR="00D03F56" w:rsidRPr="0073242A">
        <w:rPr>
          <w:rFonts w:asciiTheme="majorHAnsi" w:hAnsiTheme="majorHAnsi" w:cstheme="majorHAnsi"/>
          <w:lang w:val="pl-PL"/>
        </w:rPr>
        <w:t xml:space="preserve">W dniu 27 lutego 2013 r. Komisja Penitencjarna w Areszcie Śledczym w Lublinie wydłużyła okres nałożenia statusu więźnia niebezpiecznego na skarżącego. Komisja oparła swoją decyzję o to, że skarżący źle traktował innego więźnia. Komisja odwołała się również do wniosku </w:t>
      </w:r>
      <w:r w:rsidR="00F6602C" w:rsidRPr="0073242A">
        <w:rPr>
          <w:rFonts w:asciiTheme="majorHAnsi" w:hAnsiTheme="majorHAnsi" w:cstheme="majorHAnsi"/>
          <w:lang w:val="pl-PL"/>
        </w:rPr>
        <w:t xml:space="preserve">dyrektora aresztu śledczego </w:t>
      </w:r>
      <w:r w:rsidR="00D03F56" w:rsidRPr="0073242A">
        <w:rPr>
          <w:rFonts w:asciiTheme="majorHAnsi" w:hAnsiTheme="majorHAnsi" w:cstheme="majorHAnsi"/>
          <w:lang w:val="pl-PL"/>
        </w:rPr>
        <w:t xml:space="preserve">o przedłużenie </w:t>
      </w:r>
      <w:r w:rsidR="00F6602C" w:rsidRPr="0073242A">
        <w:rPr>
          <w:rFonts w:asciiTheme="majorHAnsi" w:hAnsiTheme="majorHAnsi" w:cstheme="majorHAnsi"/>
          <w:lang w:val="pl-PL"/>
        </w:rPr>
        <w:t>czasu obowiązywania w/w statusu</w:t>
      </w:r>
      <w:r w:rsidR="0018255D" w:rsidRPr="0073242A">
        <w:rPr>
          <w:rFonts w:asciiTheme="majorHAnsi" w:hAnsiTheme="majorHAnsi" w:cstheme="majorHAnsi"/>
          <w:lang w:val="pl-PL"/>
        </w:rPr>
        <w:t>, z</w:t>
      </w:r>
      <w:r w:rsidR="00F6602C" w:rsidRPr="0073242A">
        <w:rPr>
          <w:rFonts w:asciiTheme="majorHAnsi" w:hAnsiTheme="majorHAnsi" w:cstheme="majorHAnsi"/>
          <w:lang w:val="pl-PL"/>
        </w:rPr>
        <w:t xml:space="preserve">godnie z </w:t>
      </w:r>
      <w:r w:rsidR="0018255D" w:rsidRPr="0073242A">
        <w:rPr>
          <w:rFonts w:asciiTheme="majorHAnsi" w:hAnsiTheme="majorHAnsi" w:cstheme="majorHAnsi"/>
          <w:lang w:val="pl-PL"/>
        </w:rPr>
        <w:t>którym</w:t>
      </w:r>
      <w:r w:rsidR="00F6602C" w:rsidRPr="0073242A">
        <w:rPr>
          <w:rFonts w:asciiTheme="majorHAnsi" w:hAnsiTheme="majorHAnsi" w:cstheme="majorHAnsi"/>
          <w:lang w:val="pl-PL"/>
        </w:rPr>
        <w:t>,</w:t>
      </w:r>
      <w:r w:rsidR="00D03F56" w:rsidRPr="0073242A">
        <w:rPr>
          <w:rFonts w:asciiTheme="majorHAnsi" w:hAnsiTheme="majorHAnsi" w:cstheme="majorHAnsi"/>
          <w:lang w:val="pl-PL"/>
        </w:rPr>
        <w:t xml:space="preserve"> skarżący zniszczył niektóre przedmioty w jednostce penitencjarnej i zachowywał się agresywnie i nieprzewidywalnie. W dniu 9 lipca 2013 r. Sąd Okręgowy w Lublinie utrzymał w mocy decyzję Komisji stwierdzającą, że przedłużenie </w:t>
      </w:r>
      <w:r w:rsidR="00F6602C" w:rsidRPr="0073242A">
        <w:rPr>
          <w:rFonts w:asciiTheme="majorHAnsi" w:hAnsiTheme="majorHAnsi" w:cstheme="majorHAnsi"/>
          <w:lang w:val="pl-PL"/>
        </w:rPr>
        <w:t>statusu</w:t>
      </w:r>
      <w:r w:rsidR="00D03F56" w:rsidRPr="0073242A">
        <w:rPr>
          <w:rFonts w:asciiTheme="majorHAnsi" w:hAnsiTheme="majorHAnsi" w:cstheme="majorHAnsi"/>
          <w:lang w:val="pl-PL"/>
        </w:rPr>
        <w:t xml:space="preserve"> więźnia niebezpiecznego było uzasadnione nieprzewidywalnym zachowaniem skarżącego, jego ingerencją w pokojowe funkcjonowanie jednostki penitencjarnej, aktami samookaleczenia i odmową przyjmowania posiłków.</w:t>
      </w:r>
    </w:p>
    <w:p w14:paraId="4E9BC8E5" w14:textId="5C96ED29" w:rsidR="0008747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18</w:t>
      </w:r>
      <w:r w:rsidR="00087472" w:rsidRPr="0073242A">
        <w:rPr>
          <w:rFonts w:asciiTheme="majorHAnsi" w:hAnsiTheme="majorHAnsi" w:cstheme="majorHAnsi"/>
          <w:lang w:val="pl-PL"/>
        </w:rPr>
        <w:t>. Status więźnia niebezpiecznego został przedłużony w dniu 22 maja 2013 r. Komisja Penitencjarna w Areszcie Śledczym w Lublinie ponownie oparła swoją decyzję na tym, że skarżący źle traktował innego więźnia. Odwołała się również do wniosku dyrektora Aresztu Śledczego odnośnie przedłużenia statusu skarżącego. Dyrektor opierał swój wniosek na fakcie, że w lutym 2013 r. skarżący został ukarany za zniszczenie niektórych przedmiotów w jednostce penitencjarnej i że jego zachowanie było nadal nieprzewidywalne. W dniu 2 września 2013 r. Sąd Okręgowy w Lublinie utrzymał w mocy decyzję Komisji, uznając, że została wydana zgodnie z prawem.</w:t>
      </w:r>
    </w:p>
    <w:p w14:paraId="4976E2EA" w14:textId="36840A3A" w:rsidR="00F13D6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19</w:t>
      </w:r>
      <w:r w:rsidR="004A4026" w:rsidRPr="0073242A">
        <w:rPr>
          <w:rFonts w:asciiTheme="majorHAnsi" w:hAnsiTheme="majorHAnsi" w:cstheme="majorHAnsi"/>
          <w:lang w:val="pl-PL"/>
        </w:rPr>
        <w:t>.</w:t>
      </w:r>
      <w:r w:rsidR="00F13D6C" w:rsidRPr="0073242A">
        <w:rPr>
          <w:rFonts w:asciiTheme="majorHAnsi" w:hAnsiTheme="majorHAnsi" w:cstheme="majorHAnsi"/>
          <w:lang w:val="pl-PL"/>
        </w:rPr>
        <w:t xml:space="preserve"> W dniach 13 sierpnia i 13 listopada 2013 r. Komisja Penitencjarna w Areszcie Śledczym w Lublinie ponownie przedłużyła okres obowiązywania statusu więźnia niebezpiecznego nałożonego na skarżącego. W decyzji z dnia 13 sierpnia 2013 r. Komisja powołała się na wniosek dyrektora Aresztu Śledczego z dnia 12 sierpnia 2013 r., zgodnie z którym skarżący został ukarany dyscyplinarnie w dniach 4, 18 i 28 czerwca 2013 r. W decyzji z 13 </w:t>
      </w:r>
      <w:r w:rsidR="00F13D6C" w:rsidRPr="0073242A">
        <w:rPr>
          <w:rFonts w:asciiTheme="majorHAnsi" w:hAnsiTheme="majorHAnsi" w:cstheme="majorHAnsi"/>
          <w:lang w:val="pl-PL"/>
        </w:rPr>
        <w:lastRenderedPageBreak/>
        <w:t xml:space="preserve">listopada Komisja odwołała się do wniosku z dnia 12 listopada 2013 r., który był uzasadniony "niestabilnością emocjonalną" i "nieprzewidywalnym zachowaniem" skarżącego. Skarżący odwołał się, ale ostatnia decyzja została utrzymana w mocy przez Sąd Okręgowy w Lublinie w dniu 30 grudnia 2013 r. Sąd stwierdził między innymi, że skarżący nie mógł kontrolować swojego agresywnego zachowania i stanowił zagrożenie i niebezpieczeństwo </w:t>
      </w:r>
      <w:r w:rsidR="005017EA" w:rsidRPr="0073242A">
        <w:rPr>
          <w:rFonts w:asciiTheme="majorHAnsi" w:hAnsiTheme="majorHAnsi" w:cstheme="majorHAnsi"/>
          <w:lang w:val="pl-PL"/>
        </w:rPr>
        <w:t xml:space="preserve">dla </w:t>
      </w:r>
      <w:r w:rsidR="00F13D6C" w:rsidRPr="0073242A">
        <w:rPr>
          <w:rFonts w:asciiTheme="majorHAnsi" w:hAnsiTheme="majorHAnsi" w:cstheme="majorHAnsi"/>
          <w:lang w:val="pl-PL"/>
        </w:rPr>
        <w:t xml:space="preserve">porządku </w:t>
      </w:r>
      <w:r w:rsidR="005017EA" w:rsidRPr="0073242A">
        <w:rPr>
          <w:rFonts w:asciiTheme="majorHAnsi" w:hAnsiTheme="majorHAnsi" w:cstheme="majorHAnsi"/>
          <w:lang w:val="pl-PL"/>
        </w:rPr>
        <w:t xml:space="preserve">panującego </w:t>
      </w:r>
      <w:r w:rsidR="00F13D6C" w:rsidRPr="0073242A">
        <w:rPr>
          <w:rFonts w:asciiTheme="majorHAnsi" w:hAnsiTheme="majorHAnsi" w:cstheme="majorHAnsi"/>
          <w:lang w:val="pl-PL"/>
        </w:rPr>
        <w:t>w więzieniu. Odniósł się do agresywnego zachowania skarżącego w dniu 5 czerwca 2013 r., kiedy to próbował wypchnąć strażnika ze swojej celi i wyrwać mu kajdany. Złamał t</w:t>
      </w:r>
      <w:r w:rsidR="00E6539F" w:rsidRPr="0073242A">
        <w:rPr>
          <w:rFonts w:asciiTheme="majorHAnsi" w:hAnsiTheme="majorHAnsi" w:cstheme="majorHAnsi"/>
          <w:lang w:val="pl-PL"/>
        </w:rPr>
        <w:t>akże stelaż swojego łóżka i używał</w:t>
      </w:r>
      <w:r w:rsidR="00F13D6C" w:rsidRPr="0073242A">
        <w:rPr>
          <w:rFonts w:asciiTheme="majorHAnsi" w:hAnsiTheme="majorHAnsi" w:cstheme="majorHAnsi"/>
          <w:lang w:val="pl-PL"/>
        </w:rPr>
        <w:t xml:space="preserve"> wulgarnego języka. W dniu 21 czerwca 2013 r. </w:t>
      </w:r>
      <w:r w:rsidR="004A4026" w:rsidRPr="0073242A">
        <w:rPr>
          <w:rFonts w:asciiTheme="majorHAnsi" w:hAnsiTheme="majorHAnsi" w:cstheme="majorHAnsi"/>
          <w:lang w:val="pl-PL"/>
        </w:rPr>
        <w:t>skarżący p</w:t>
      </w:r>
      <w:r w:rsidR="00F13D6C" w:rsidRPr="0073242A">
        <w:rPr>
          <w:rFonts w:asciiTheme="majorHAnsi" w:hAnsiTheme="majorHAnsi" w:cstheme="majorHAnsi"/>
          <w:lang w:val="pl-PL"/>
        </w:rPr>
        <w:t>opełnił dalsze nieokreślone przestępstwo dyscyplinarne. Decyzja z dnia 13 listopada 2013 r. została utrzymana w mocy przez Sąd Okręgowy w Lublinie w dniu 30 grudnia 2013 r. Sąd przywołał powody, o które opierał się wcześniej podczas dokonywania swojej decyzji z dnia 9 lipca 2013 r. (</w:t>
      </w:r>
      <w:r w:rsidR="004A4026" w:rsidRPr="0073242A">
        <w:rPr>
          <w:rFonts w:asciiTheme="majorHAnsi" w:hAnsiTheme="majorHAnsi" w:cstheme="majorHAnsi"/>
          <w:lang w:val="pl-PL"/>
        </w:rPr>
        <w:t xml:space="preserve">patrz </w:t>
      </w:r>
      <w:r w:rsidR="00435C57" w:rsidRPr="0073242A">
        <w:rPr>
          <w:rFonts w:asciiTheme="majorHAnsi" w:hAnsiTheme="majorHAnsi" w:cstheme="majorHAnsi"/>
          <w:lang w:val="pl-PL"/>
        </w:rPr>
        <w:t>paragraf</w:t>
      </w:r>
      <w:r w:rsidR="00F13D6C" w:rsidRPr="0073242A">
        <w:rPr>
          <w:rFonts w:asciiTheme="majorHAnsi" w:hAnsiTheme="majorHAnsi" w:cstheme="majorHAnsi"/>
          <w:lang w:val="pl-PL"/>
        </w:rPr>
        <w:t xml:space="preserve"> 17 powyżej).</w:t>
      </w:r>
    </w:p>
    <w:p w14:paraId="70EC1029" w14:textId="4AA2E063" w:rsidR="00F13D6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20</w:t>
      </w:r>
      <w:r w:rsidR="004F54D9" w:rsidRPr="0073242A">
        <w:rPr>
          <w:rFonts w:asciiTheme="majorHAnsi" w:hAnsiTheme="majorHAnsi" w:cstheme="majorHAnsi"/>
          <w:lang w:val="pl-PL"/>
        </w:rPr>
        <w:t>.</w:t>
      </w:r>
      <w:r w:rsidR="004A4026" w:rsidRPr="0073242A">
        <w:rPr>
          <w:rFonts w:asciiTheme="majorHAnsi" w:hAnsiTheme="majorHAnsi" w:cstheme="majorHAnsi"/>
          <w:lang w:val="pl-PL"/>
        </w:rPr>
        <w:t xml:space="preserve"> </w:t>
      </w:r>
      <w:r w:rsidR="00F13D6C" w:rsidRPr="0073242A">
        <w:rPr>
          <w:rFonts w:asciiTheme="majorHAnsi" w:hAnsiTheme="majorHAnsi" w:cstheme="majorHAnsi"/>
          <w:lang w:val="pl-PL"/>
        </w:rPr>
        <w:t xml:space="preserve">W dniu 12 lutego 2014 r., dzięki poprawie zachowania skarżącego i jego postępom w zrozumieniu potrzeby poddania się terapii </w:t>
      </w:r>
      <w:r w:rsidR="004A4026" w:rsidRPr="0073242A">
        <w:rPr>
          <w:rFonts w:asciiTheme="majorHAnsi" w:hAnsiTheme="majorHAnsi" w:cstheme="majorHAnsi"/>
          <w:lang w:val="pl-PL"/>
        </w:rPr>
        <w:t xml:space="preserve">dla </w:t>
      </w:r>
      <w:r w:rsidR="00F13D6C" w:rsidRPr="0073242A">
        <w:rPr>
          <w:rFonts w:asciiTheme="majorHAnsi" w:hAnsiTheme="majorHAnsi" w:cstheme="majorHAnsi"/>
          <w:lang w:val="pl-PL"/>
        </w:rPr>
        <w:t>osób uzależnionych od narkotyków, status więźnia niebezpiecznego został zniesiony. Skarżący odwołał się, a decyzja będąca przedmiotem odwołania została podtrzymana przez Sąd Okręgowy w Lublinie w dniu 15 kwietnia 2014 r.</w:t>
      </w:r>
    </w:p>
    <w:p w14:paraId="2B34D6FA" w14:textId="0C6A2180" w:rsidR="006130B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21</w:t>
      </w:r>
      <w:r w:rsidR="004A4026" w:rsidRPr="0073242A">
        <w:rPr>
          <w:rFonts w:asciiTheme="majorHAnsi" w:hAnsiTheme="majorHAnsi" w:cstheme="majorHAnsi"/>
          <w:lang w:val="pl-PL"/>
        </w:rPr>
        <w:t xml:space="preserve">. </w:t>
      </w:r>
      <w:r w:rsidR="006130BB" w:rsidRPr="0073242A">
        <w:rPr>
          <w:rFonts w:asciiTheme="majorHAnsi" w:hAnsiTheme="majorHAnsi" w:cstheme="majorHAnsi"/>
          <w:lang w:val="pl-PL"/>
        </w:rPr>
        <w:t>Status więźnia niebezpiecznego był stosowany wobec skarżącego przez cztery lata i prawie pięć miesięcy.</w:t>
      </w:r>
    </w:p>
    <w:p w14:paraId="252805D2" w14:textId="77777777" w:rsidR="005B2426" w:rsidRPr="0073242A" w:rsidRDefault="005B2426" w:rsidP="0073242A">
      <w:pPr>
        <w:pStyle w:val="ECHRHeading2"/>
        <w:rPr>
          <w:rFonts w:cstheme="majorHAnsi"/>
          <w:lang w:val="pl-PL"/>
        </w:rPr>
      </w:pPr>
      <w:r w:rsidRPr="0073242A">
        <w:rPr>
          <w:rFonts w:cstheme="majorHAnsi"/>
          <w:lang w:val="pl-PL"/>
        </w:rPr>
        <w:t>C.  Konkretne aspekty statusu</w:t>
      </w:r>
    </w:p>
    <w:p w14:paraId="0B740A55" w14:textId="6859DFF3" w:rsidR="00F654CD"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22</w:t>
      </w:r>
      <w:r w:rsidR="004A4026" w:rsidRPr="0073242A">
        <w:rPr>
          <w:rFonts w:asciiTheme="majorHAnsi" w:hAnsiTheme="majorHAnsi" w:cstheme="majorHAnsi"/>
          <w:lang w:val="pl-PL"/>
        </w:rPr>
        <w:t xml:space="preserve">. </w:t>
      </w:r>
      <w:r w:rsidR="00F654CD" w:rsidRPr="0073242A">
        <w:rPr>
          <w:rFonts w:asciiTheme="majorHAnsi" w:hAnsiTheme="majorHAnsi" w:cstheme="majorHAnsi"/>
          <w:lang w:val="pl-PL"/>
        </w:rPr>
        <w:t>Skarżący był przetrzymywany w kilku zakładach karnych: w Chełmskim Zakładzie Karnym, w Areszcie Śledczym w Radomiu, w Areszcie Śledczym w Lublinie oraz w więzieniu w Potulicach.</w:t>
      </w:r>
    </w:p>
    <w:p w14:paraId="7DBD0577" w14:textId="78139B1B" w:rsidR="00F654CD"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23</w:t>
      </w:r>
      <w:r w:rsidR="00CB311A" w:rsidRPr="0073242A">
        <w:rPr>
          <w:rFonts w:asciiTheme="majorHAnsi" w:hAnsiTheme="majorHAnsi" w:cstheme="majorHAnsi"/>
          <w:lang w:val="pl-PL"/>
        </w:rPr>
        <w:t>.</w:t>
      </w:r>
      <w:r w:rsidR="00F654CD" w:rsidRPr="0073242A">
        <w:rPr>
          <w:rFonts w:asciiTheme="majorHAnsi" w:hAnsiTheme="majorHAnsi" w:cstheme="majorHAnsi"/>
          <w:lang w:val="pl-PL"/>
        </w:rPr>
        <w:t xml:space="preserve"> </w:t>
      </w:r>
      <w:r w:rsidR="00AD0AFB" w:rsidRPr="0073242A">
        <w:rPr>
          <w:rFonts w:asciiTheme="majorHAnsi" w:hAnsiTheme="majorHAnsi" w:cstheme="majorHAnsi"/>
          <w:lang w:val="pl-PL"/>
        </w:rPr>
        <w:t>Wnętrz</w:t>
      </w:r>
      <w:r w:rsidR="004A4026" w:rsidRPr="0073242A">
        <w:rPr>
          <w:rFonts w:asciiTheme="majorHAnsi" w:hAnsiTheme="majorHAnsi" w:cstheme="majorHAnsi"/>
          <w:lang w:val="pl-PL"/>
        </w:rPr>
        <w:t>a</w:t>
      </w:r>
      <w:r w:rsidR="00AD0AFB" w:rsidRPr="0073242A">
        <w:rPr>
          <w:rFonts w:asciiTheme="majorHAnsi" w:hAnsiTheme="majorHAnsi" w:cstheme="majorHAnsi"/>
          <w:lang w:val="pl-PL"/>
        </w:rPr>
        <w:t xml:space="preserve"> cel</w:t>
      </w:r>
      <w:r w:rsidR="00F654CD" w:rsidRPr="0073242A">
        <w:rPr>
          <w:rFonts w:asciiTheme="majorHAnsi" w:hAnsiTheme="majorHAnsi" w:cstheme="majorHAnsi"/>
          <w:lang w:val="pl-PL"/>
        </w:rPr>
        <w:t>, w których przebywał skarżący, w tym urządzenia sanitarne, były stale monitorowane za pomocą telewizji przemysłowej.</w:t>
      </w:r>
    </w:p>
    <w:p w14:paraId="578794F9" w14:textId="5DFFB214" w:rsidR="00AD0AF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24</w:t>
      </w:r>
      <w:r w:rsidR="004A4026" w:rsidRPr="0073242A">
        <w:rPr>
          <w:rFonts w:asciiTheme="majorHAnsi" w:hAnsiTheme="majorHAnsi" w:cstheme="majorHAnsi"/>
          <w:lang w:val="pl-PL"/>
        </w:rPr>
        <w:t xml:space="preserve">. </w:t>
      </w:r>
      <w:r w:rsidR="00AD0AFB" w:rsidRPr="0073242A">
        <w:rPr>
          <w:rFonts w:asciiTheme="majorHAnsi" w:hAnsiTheme="majorHAnsi" w:cstheme="majorHAnsi"/>
          <w:lang w:val="pl-PL"/>
        </w:rPr>
        <w:t xml:space="preserve">Skarżący musiał nosić czerwony kombinezon przeznaczony dla niebezpiecznych więźniów, który, jak twierdził, nie był wystarczająco ciepły zimą. Był poddawany rewizji osobistej za każdym razem, gdy </w:t>
      </w:r>
      <w:r w:rsidR="007D0AC6" w:rsidRPr="0073242A">
        <w:rPr>
          <w:rFonts w:asciiTheme="majorHAnsi" w:hAnsiTheme="majorHAnsi" w:cstheme="majorHAnsi"/>
          <w:lang w:val="pl-PL"/>
        </w:rPr>
        <w:t>wchodził</w:t>
      </w:r>
      <w:r w:rsidR="00AD0AFB" w:rsidRPr="0073242A">
        <w:rPr>
          <w:rFonts w:asciiTheme="majorHAnsi" w:hAnsiTheme="majorHAnsi" w:cstheme="majorHAnsi"/>
          <w:lang w:val="pl-PL"/>
        </w:rPr>
        <w:t xml:space="preserve"> lub w</w:t>
      </w:r>
      <w:r w:rsidR="007D0AC6" w:rsidRPr="0073242A">
        <w:rPr>
          <w:rFonts w:asciiTheme="majorHAnsi" w:hAnsiTheme="majorHAnsi" w:cstheme="majorHAnsi"/>
          <w:lang w:val="pl-PL"/>
        </w:rPr>
        <w:t>ychodził z</w:t>
      </w:r>
      <w:r w:rsidR="00AD0AFB" w:rsidRPr="0073242A">
        <w:rPr>
          <w:rFonts w:asciiTheme="majorHAnsi" w:hAnsiTheme="majorHAnsi" w:cstheme="majorHAnsi"/>
          <w:lang w:val="pl-PL"/>
        </w:rPr>
        <w:t xml:space="preserve"> celi, co w praktyce oznaczało, że musiał rozbierać się przed oficerami więziennymi i pochylać się, aby umożliwić badanie odbytu. Skarżący musiał zakładać kajdanki za każdym razem, gdy znajdował się poza celą, w tym podczas rozpraw w sądzie.</w:t>
      </w:r>
    </w:p>
    <w:p w14:paraId="076B0048" w14:textId="2F9C6D4C" w:rsidR="00F21EE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25</w:t>
      </w:r>
      <w:r w:rsidR="00501DE4" w:rsidRPr="0073242A">
        <w:rPr>
          <w:rFonts w:asciiTheme="majorHAnsi" w:hAnsiTheme="majorHAnsi" w:cstheme="majorHAnsi"/>
          <w:lang w:val="pl-PL"/>
        </w:rPr>
        <w:t>.  </w:t>
      </w:r>
      <w:r w:rsidR="00AD0AFB" w:rsidRPr="0073242A">
        <w:rPr>
          <w:rFonts w:asciiTheme="majorHAnsi" w:hAnsiTheme="majorHAnsi" w:cstheme="majorHAnsi"/>
          <w:lang w:val="pl-PL"/>
        </w:rPr>
        <w:t>Okna były zasłonięte plastikową zasłoną, która ograniczała dostęp światła dziennego i świeżego powietrza do celi.</w:t>
      </w:r>
    </w:p>
    <w:p w14:paraId="2EF68C3F" w14:textId="3A0BD091" w:rsidR="00AD0AF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26</w:t>
      </w:r>
      <w:r w:rsidR="004A4026" w:rsidRPr="0073242A">
        <w:rPr>
          <w:rFonts w:asciiTheme="majorHAnsi" w:hAnsiTheme="majorHAnsi" w:cstheme="majorHAnsi"/>
          <w:lang w:val="pl-PL"/>
        </w:rPr>
        <w:t xml:space="preserve">. </w:t>
      </w:r>
      <w:r w:rsidR="00AD0AFB" w:rsidRPr="0073242A">
        <w:rPr>
          <w:rFonts w:asciiTheme="majorHAnsi" w:hAnsiTheme="majorHAnsi" w:cstheme="majorHAnsi"/>
          <w:lang w:val="pl-PL"/>
        </w:rPr>
        <w:t>W więzieniach w Chełmie i Potulicach cele były wyposażone w urządzenie sanitarne, które było częściowo oddzielone od reszty pomieszczenia.</w:t>
      </w:r>
    </w:p>
    <w:p w14:paraId="436F084E" w14:textId="77777777" w:rsidR="00AD0AFB" w:rsidRPr="0073242A" w:rsidRDefault="00AD0AFB" w:rsidP="0073242A">
      <w:pPr>
        <w:pStyle w:val="ECHRHeading3"/>
        <w:rPr>
          <w:rFonts w:cstheme="majorHAnsi"/>
          <w:lang w:val="pl-PL"/>
        </w:rPr>
      </w:pPr>
      <w:r w:rsidRPr="0073242A">
        <w:rPr>
          <w:rFonts w:cstheme="majorHAnsi"/>
          <w:lang w:val="pl-PL"/>
        </w:rPr>
        <w:lastRenderedPageBreak/>
        <w:t>1.  Areszt Śledczy w Radomiu</w:t>
      </w:r>
    </w:p>
    <w:p w14:paraId="159E73C0" w14:textId="77777777" w:rsidR="00AD0AFB" w:rsidRPr="0073242A" w:rsidRDefault="00AD0AFB" w:rsidP="0073242A">
      <w:pPr>
        <w:pStyle w:val="ECHRPara"/>
        <w:rPr>
          <w:rFonts w:asciiTheme="majorHAnsi" w:hAnsiTheme="majorHAnsi" w:cstheme="majorHAnsi"/>
          <w:lang w:val="pl-PL"/>
        </w:rPr>
      </w:pPr>
    </w:p>
    <w:p w14:paraId="7ACB574D" w14:textId="137359A8" w:rsidR="00AD0AF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27</w:t>
      </w:r>
      <w:r w:rsidR="00501DE4" w:rsidRPr="0073242A">
        <w:rPr>
          <w:rFonts w:asciiTheme="majorHAnsi" w:hAnsiTheme="majorHAnsi" w:cstheme="majorHAnsi"/>
          <w:lang w:val="pl-PL"/>
        </w:rPr>
        <w:t>.</w:t>
      </w:r>
      <w:r w:rsidR="00AD0AFB" w:rsidRPr="0073242A">
        <w:rPr>
          <w:rFonts w:asciiTheme="majorHAnsi" w:hAnsiTheme="majorHAnsi" w:cstheme="majorHAnsi"/>
          <w:lang w:val="pl-PL"/>
        </w:rPr>
        <w:t xml:space="preserve"> W dniu 28 września 2009 r. skarżący został przeniesiony z Chełma do Aresztu Śledczego w Radomiu. Według skarżącego, nowa cela była wyposażona w hałaśliwy wentylator, który uniemożliwiał mu zaśnięcie.</w:t>
      </w:r>
    </w:p>
    <w:p w14:paraId="65E11AE8" w14:textId="77777777" w:rsidR="00AD0AFB" w:rsidRPr="0073242A" w:rsidRDefault="00AD0AFB" w:rsidP="0073242A">
      <w:pPr>
        <w:pStyle w:val="ECHRHeading3"/>
        <w:rPr>
          <w:rFonts w:cstheme="majorHAnsi"/>
          <w:lang w:val="pl-PL"/>
        </w:rPr>
      </w:pPr>
      <w:r w:rsidRPr="0073242A">
        <w:rPr>
          <w:rFonts w:cstheme="majorHAnsi"/>
          <w:lang w:val="pl-PL"/>
        </w:rPr>
        <w:t>2.  Areszt Śledczy w Lublinie</w:t>
      </w:r>
    </w:p>
    <w:p w14:paraId="07D232E4" w14:textId="77777777" w:rsidR="00AD0AFB" w:rsidRPr="0073242A" w:rsidRDefault="00AD0AFB" w:rsidP="0073242A">
      <w:pPr>
        <w:pStyle w:val="ECHRPara"/>
        <w:rPr>
          <w:rFonts w:asciiTheme="majorHAnsi" w:hAnsiTheme="majorHAnsi" w:cstheme="majorHAnsi"/>
          <w:lang w:val="pl-PL"/>
        </w:rPr>
      </w:pPr>
    </w:p>
    <w:p w14:paraId="09519477" w14:textId="77777777" w:rsidR="00B47D80"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28</w:t>
      </w:r>
      <w:r w:rsidR="004A4026" w:rsidRPr="0073242A">
        <w:rPr>
          <w:rFonts w:asciiTheme="majorHAnsi" w:hAnsiTheme="majorHAnsi" w:cstheme="majorHAnsi"/>
          <w:lang w:val="pl-PL"/>
        </w:rPr>
        <w:t xml:space="preserve">. </w:t>
      </w:r>
      <w:r w:rsidR="00AD0AFB" w:rsidRPr="0073242A">
        <w:rPr>
          <w:rFonts w:asciiTheme="majorHAnsi" w:hAnsiTheme="majorHAnsi" w:cstheme="majorHAnsi"/>
          <w:lang w:val="pl-PL"/>
        </w:rPr>
        <w:t xml:space="preserve">W dniu 27 listopada 2009 r. Skarżącego przeniesiono do Aresztu Śledczego w Lublinie, gdzie został umieszczony w </w:t>
      </w:r>
      <w:r w:rsidR="0018255D" w:rsidRPr="0073242A">
        <w:rPr>
          <w:rFonts w:asciiTheme="majorHAnsi" w:hAnsiTheme="majorHAnsi" w:cstheme="majorHAnsi"/>
          <w:lang w:val="pl-PL"/>
        </w:rPr>
        <w:t>odosobnionej celi.</w:t>
      </w:r>
    </w:p>
    <w:p w14:paraId="116B057C" w14:textId="3E7428E4" w:rsidR="00AD0AF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29</w:t>
      </w:r>
      <w:r w:rsidR="004A4026" w:rsidRPr="0073242A">
        <w:rPr>
          <w:rFonts w:asciiTheme="majorHAnsi" w:hAnsiTheme="majorHAnsi" w:cstheme="majorHAnsi"/>
          <w:lang w:val="pl-PL"/>
        </w:rPr>
        <w:t xml:space="preserve">. </w:t>
      </w:r>
      <w:r w:rsidR="00AD0AFB" w:rsidRPr="0073242A">
        <w:rPr>
          <w:rFonts w:asciiTheme="majorHAnsi" w:hAnsiTheme="majorHAnsi" w:cstheme="majorHAnsi"/>
          <w:lang w:val="pl-PL"/>
        </w:rPr>
        <w:t>Skarżący został umieszczony w pojedynczej celi, w której urządzenie sanitarne nie było oddzielone od reszty pomieszczenia. W Lublinie przebywał także w celach, w kt</w:t>
      </w:r>
      <w:r w:rsidR="00847D6C" w:rsidRPr="0073242A">
        <w:rPr>
          <w:rFonts w:asciiTheme="majorHAnsi" w:hAnsiTheme="majorHAnsi" w:cstheme="majorHAnsi"/>
          <w:lang w:val="pl-PL"/>
        </w:rPr>
        <w:t>órych wydzielone były urządzenia</w:t>
      </w:r>
      <w:r w:rsidR="00AD0AFB" w:rsidRPr="0073242A">
        <w:rPr>
          <w:rFonts w:asciiTheme="majorHAnsi" w:hAnsiTheme="majorHAnsi" w:cstheme="majorHAnsi"/>
          <w:lang w:val="pl-PL"/>
        </w:rPr>
        <w:t xml:space="preserve"> sanitarne.</w:t>
      </w:r>
    </w:p>
    <w:p w14:paraId="51BE224A" w14:textId="6EFDA513" w:rsidR="00C0368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30</w:t>
      </w:r>
      <w:r w:rsidR="009A6CB1" w:rsidRPr="0073242A">
        <w:rPr>
          <w:rFonts w:asciiTheme="majorHAnsi" w:hAnsiTheme="majorHAnsi" w:cstheme="majorHAnsi"/>
          <w:lang w:val="pl-PL"/>
        </w:rPr>
        <w:t xml:space="preserve">. </w:t>
      </w:r>
      <w:r w:rsidR="00C0368C" w:rsidRPr="0073242A">
        <w:rPr>
          <w:rFonts w:asciiTheme="majorHAnsi" w:hAnsiTheme="majorHAnsi" w:cstheme="majorHAnsi"/>
          <w:lang w:val="pl-PL"/>
        </w:rPr>
        <w:t xml:space="preserve">W celi nie miał dostępu do ciepłej wody bieżącej. Według Rządu, w celi był bojler, więc skarżący mógł podgrzewać wodę. Skarżący twierdzi, że miał </w:t>
      </w:r>
      <w:r w:rsidR="009A6CB1" w:rsidRPr="0073242A">
        <w:rPr>
          <w:rFonts w:asciiTheme="majorHAnsi" w:hAnsiTheme="majorHAnsi" w:cstheme="majorHAnsi"/>
          <w:lang w:val="pl-PL"/>
        </w:rPr>
        <w:t>bojler</w:t>
      </w:r>
      <w:r w:rsidR="00C0368C" w:rsidRPr="0073242A">
        <w:rPr>
          <w:rFonts w:asciiTheme="majorHAnsi" w:hAnsiTheme="majorHAnsi" w:cstheme="majorHAnsi"/>
          <w:lang w:val="pl-PL"/>
        </w:rPr>
        <w:t xml:space="preserve"> przez sześć miesięcy, ale po tym czasie został on mu zabrany. Raz w tygodniu pozwalano mu brać prysznic.</w:t>
      </w:r>
    </w:p>
    <w:p w14:paraId="06364C39" w14:textId="4D95B8D4" w:rsidR="00C0368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31</w:t>
      </w:r>
      <w:r w:rsidR="009A6CB1" w:rsidRPr="0073242A">
        <w:rPr>
          <w:rFonts w:asciiTheme="majorHAnsi" w:hAnsiTheme="majorHAnsi" w:cstheme="majorHAnsi"/>
          <w:lang w:val="pl-PL"/>
        </w:rPr>
        <w:t>.</w:t>
      </w:r>
      <w:r w:rsidR="00C0368C" w:rsidRPr="0073242A">
        <w:rPr>
          <w:rFonts w:asciiTheme="majorHAnsi" w:hAnsiTheme="majorHAnsi" w:cstheme="majorHAnsi"/>
          <w:lang w:val="pl-PL"/>
        </w:rPr>
        <w:t xml:space="preserve"> Skarżący nie mógł uczestniczyć w mszy w lubelskim Areszcie Śledczym. W związku z tym złożył skargę do Okręgowego Inspektoratu Służby Więziennej w Lublinie. W odpowiedzi 26 sierpnia 2010 r. władze zdecydowały, że skarżący mógł wysłuchiwać mszy w radiu lub otrzymywać od księdza prywatne nabożeństwa. Skarżący mógł trzy razy w tygodniu udać się do pokoju dziennego, w którym znajdowały się obiekty sportowe, laptop, telewizor, konsola do gier komputerowych i odtwarzacz DVD. Miał dostęp do publikacji prasowych i mógł korzystać z biblioteki. Mógł także brać udział w zawodach sportowych i artystycznych. Po zniesieniu statusu więźnia niebezpiecznego, skarżący odmówił udziału w jakichkolwiek zajęciach sportowych i kulturalnych, ponieważ jego cela była wyposażona w telewizor i konsolę do gier komputerowych.</w:t>
      </w:r>
    </w:p>
    <w:p w14:paraId="6C16EA4A" w14:textId="77777777" w:rsidR="00E6539F" w:rsidRPr="0073242A" w:rsidRDefault="00E6539F" w:rsidP="0073242A">
      <w:pPr>
        <w:pStyle w:val="ECHRHeading3"/>
        <w:rPr>
          <w:rFonts w:cstheme="majorHAnsi"/>
          <w:lang w:val="pl-PL"/>
        </w:rPr>
      </w:pPr>
      <w:r w:rsidRPr="0073242A">
        <w:rPr>
          <w:rFonts w:cstheme="majorHAnsi"/>
          <w:lang w:val="pl-PL"/>
        </w:rPr>
        <w:t>3.  Zakład Karny w Potulicach</w:t>
      </w:r>
    </w:p>
    <w:p w14:paraId="462712F1" w14:textId="77777777" w:rsidR="00E6539F" w:rsidRPr="0073242A" w:rsidRDefault="00E6539F" w:rsidP="0073242A">
      <w:pPr>
        <w:pStyle w:val="ECHRPara"/>
        <w:rPr>
          <w:rFonts w:asciiTheme="majorHAnsi" w:hAnsiTheme="majorHAnsi" w:cstheme="majorHAnsi"/>
          <w:lang w:val="pl-PL"/>
        </w:rPr>
      </w:pPr>
    </w:p>
    <w:p w14:paraId="640E7D58" w14:textId="5897FA90" w:rsidR="00E6539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32</w:t>
      </w:r>
      <w:r w:rsidR="009A6CB1" w:rsidRPr="0073242A">
        <w:rPr>
          <w:rFonts w:asciiTheme="majorHAnsi" w:hAnsiTheme="majorHAnsi" w:cstheme="majorHAnsi"/>
          <w:lang w:val="pl-PL"/>
        </w:rPr>
        <w:t xml:space="preserve">. </w:t>
      </w:r>
      <w:r w:rsidR="00847D6C" w:rsidRPr="0073242A">
        <w:rPr>
          <w:rFonts w:asciiTheme="majorHAnsi" w:hAnsiTheme="majorHAnsi" w:cstheme="majorHAnsi"/>
          <w:lang w:val="pl-PL"/>
        </w:rPr>
        <w:t xml:space="preserve">W dniu </w:t>
      </w:r>
      <w:r w:rsidR="00E6539F" w:rsidRPr="0073242A">
        <w:rPr>
          <w:rFonts w:asciiTheme="majorHAnsi" w:hAnsiTheme="majorHAnsi" w:cstheme="majorHAnsi"/>
          <w:lang w:val="pl-PL"/>
        </w:rPr>
        <w:t>20 marca 2013 r. skarżący został przeniesiony do Zakładu Karnego w Potulicach.</w:t>
      </w:r>
    </w:p>
    <w:p w14:paraId="72E642C3" w14:textId="77777777" w:rsidR="00B47D80"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33</w:t>
      </w:r>
      <w:r w:rsidR="00885400" w:rsidRPr="0073242A">
        <w:rPr>
          <w:rFonts w:asciiTheme="majorHAnsi" w:hAnsiTheme="majorHAnsi" w:cstheme="majorHAnsi"/>
          <w:lang w:val="pl-PL"/>
        </w:rPr>
        <w:t xml:space="preserve">. Skarżący musiał zakładać kajdanki zespolone na ręce i nogi przy każdorazowym opuszczeniu </w:t>
      </w:r>
      <w:r w:rsidR="009E64DF" w:rsidRPr="0073242A">
        <w:rPr>
          <w:rFonts w:asciiTheme="majorHAnsi" w:hAnsiTheme="majorHAnsi" w:cstheme="majorHAnsi"/>
          <w:lang w:val="pl-PL"/>
        </w:rPr>
        <w:t>zakładu karnego, w tym podczas przesłuchań w sądzie lub wizyt lekarskich. Kajdanki zespolone składały się z kajdanek na ręce i nogi, które połączone były łańcuchami. Rzą</w:t>
      </w:r>
      <w:r w:rsidR="007C28C6" w:rsidRPr="0073242A">
        <w:rPr>
          <w:rFonts w:asciiTheme="majorHAnsi" w:hAnsiTheme="majorHAnsi" w:cstheme="majorHAnsi"/>
          <w:lang w:val="pl-PL"/>
        </w:rPr>
        <w:t>d stwierdził, że</w:t>
      </w:r>
      <w:r w:rsidR="00DC2A69" w:rsidRPr="0073242A">
        <w:rPr>
          <w:rFonts w:asciiTheme="majorHAnsi" w:hAnsiTheme="majorHAnsi" w:cstheme="majorHAnsi"/>
          <w:lang w:val="pl-PL"/>
        </w:rPr>
        <w:t xml:space="preserve"> na zewnątrz celi, jak również przebywając w zakładzie karnym, skarżący musiał mieć założone tylko kajdanki na ręce. Jednak według skarżącego, kajdanki zespolone były mu zakładane też w pozostałych częściach zakładu karnego, również podczas jego spotkań z rodziną.</w:t>
      </w:r>
    </w:p>
    <w:p w14:paraId="5580A24B" w14:textId="19B94059" w:rsidR="00DC2A69" w:rsidRPr="0073242A" w:rsidRDefault="00DC2A69" w:rsidP="0073242A">
      <w:pPr>
        <w:pStyle w:val="ECHRPara"/>
        <w:rPr>
          <w:rFonts w:asciiTheme="majorHAnsi" w:hAnsiTheme="majorHAnsi" w:cstheme="majorHAnsi"/>
          <w:lang w:val="pl-PL"/>
        </w:rPr>
      </w:pPr>
    </w:p>
    <w:p w14:paraId="42DEF79B" w14:textId="725401D0" w:rsidR="00E6539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lastRenderedPageBreak/>
        <w:t>34</w:t>
      </w:r>
      <w:r w:rsidR="009A6CB1" w:rsidRPr="0073242A">
        <w:rPr>
          <w:rFonts w:asciiTheme="majorHAnsi" w:hAnsiTheme="majorHAnsi" w:cstheme="majorHAnsi"/>
          <w:lang w:val="pl-PL"/>
        </w:rPr>
        <w:t xml:space="preserve">. </w:t>
      </w:r>
      <w:r w:rsidR="00E6539F" w:rsidRPr="0073242A">
        <w:rPr>
          <w:rFonts w:asciiTheme="majorHAnsi" w:hAnsiTheme="majorHAnsi" w:cstheme="majorHAnsi"/>
          <w:lang w:val="pl-PL"/>
        </w:rPr>
        <w:t>W bliżej nieokreślonym d</w:t>
      </w:r>
      <w:r w:rsidR="00210C3D" w:rsidRPr="0073242A">
        <w:rPr>
          <w:rFonts w:asciiTheme="majorHAnsi" w:hAnsiTheme="majorHAnsi" w:cstheme="majorHAnsi"/>
          <w:lang w:val="pl-PL"/>
        </w:rPr>
        <w:t>niu w kwietniu lub maju 2013 r.</w:t>
      </w:r>
      <w:r w:rsidR="00E6539F" w:rsidRPr="0073242A">
        <w:rPr>
          <w:rFonts w:asciiTheme="majorHAnsi" w:hAnsiTheme="majorHAnsi" w:cstheme="majorHAnsi"/>
          <w:lang w:val="pl-PL"/>
        </w:rPr>
        <w:t xml:space="preserve"> skarżący został przeniesiony z powrotem do Aresztu Śledczego w Lublinie.</w:t>
      </w:r>
    </w:p>
    <w:p w14:paraId="7ECDBF69" w14:textId="77777777" w:rsidR="00F41AB7" w:rsidRPr="0073242A" w:rsidRDefault="006F574C" w:rsidP="0073242A">
      <w:pPr>
        <w:pStyle w:val="ECHRHeading1"/>
        <w:rPr>
          <w:rFonts w:cstheme="majorHAnsi"/>
          <w:lang w:val="pl-PL"/>
        </w:rPr>
      </w:pPr>
      <w:r w:rsidRPr="0073242A">
        <w:rPr>
          <w:rFonts w:cstheme="majorHAnsi"/>
          <w:lang w:val="pl-PL"/>
        </w:rPr>
        <w:t>II.  WŁAŚCIWE PRAWO KRAJOWE I STOSOWANA PRAKTYKA</w:t>
      </w:r>
    </w:p>
    <w:p w14:paraId="363511A3" w14:textId="0E21B1C9" w:rsidR="006F574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35</w:t>
      </w:r>
      <w:r w:rsidR="009A6CB1" w:rsidRPr="0073242A">
        <w:rPr>
          <w:rFonts w:asciiTheme="majorHAnsi" w:hAnsiTheme="majorHAnsi" w:cstheme="majorHAnsi"/>
          <w:lang w:val="pl-PL"/>
        </w:rPr>
        <w:t xml:space="preserve">. </w:t>
      </w:r>
      <w:r w:rsidR="006F574C" w:rsidRPr="0073242A">
        <w:rPr>
          <w:rFonts w:asciiTheme="majorHAnsi" w:hAnsiTheme="majorHAnsi" w:cstheme="majorHAnsi"/>
          <w:lang w:val="pl-PL"/>
        </w:rPr>
        <w:t>Właściwe prawo krajowe i stosowana praktyka odnoszące się do stosowani</w:t>
      </w:r>
      <w:r w:rsidR="00DB5C0F" w:rsidRPr="0073242A">
        <w:rPr>
          <w:rFonts w:asciiTheme="majorHAnsi" w:hAnsiTheme="majorHAnsi" w:cstheme="majorHAnsi"/>
          <w:lang w:val="pl-PL"/>
        </w:rPr>
        <w:t>a wobec osadzonych reżimu tzw. więźnia</w:t>
      </w:r>
      <w:r w:rsidR="006F574C" w:rsidRPr="0073242A">
        <w:rPr>
          <w:rFonts w:asciiTheme="majorHAnsi" w:hAnsiTheme="majorHAnsi" w:cstheme="majorHAnsi"/>
          <w:lang w:val="pl-PL"/>
        </w:rPr>
        <w:t xml:space="preserve"> niebez</w:t>
      </w:r>
      <w:r w:rsidR="00DB5C0F" w:rsidRPr="0073242A">
        <w:rPr>
          <w:rFonts w:asciiTheme="majorHAnsi" w:hAnsiTheme="majorHAnsi" w:cstheme="majorHAnsi"/>
          <w:lang w:val="pl-PL"/>
        </w:rPr>
        <w:t>piecznego</w:t>
      </w:r>
      <w:r w:rsidR="006F574C" w:rsidRPr="0073242A">
        <w:rPr>
          <w:rFonts w:asciiTheme="majorHAnsi" w:hAnsiTheme="majorHAnsi" w:cstheme="majorHAnsi"/>
          <w:lang w:val="pl-PL"/>
        </w:rPr>
        <w:t xml:space="preserve">, przedstawione zostały w wyrokach Trybunału w sprawach </w:t>
      </w:r>
      <w:r w:rsidR="006F574C" w:rsidRPr="0073242A">
        <w:rPr>
          <w:rFonts w:asciiTheme="majorHAnsi" w:hAnsiTheme="majorHAnsi" w:cstheme="majorHAnsi"/>
          <w:i/>
          <w:lang w:val="pl-PL"/>
        </w:rPr>
        <w:t xml:space="preserve">Piechowicz p. Polsce </w:t>
      </w:r>
      <w:r w:rsidR="006F574C" w:rsidRPr="0073242A">
        <w:rPr>
          <w:rFonts w:asciiTheme="majorHAnsi" w:hAnsiTheme="majorHAnsi" w:cstheme="majorHAnsi"/>
          <w:lang w:val="pl-PL"/>
        </w:rPr>
        <w:t>(nr 20071/07</w:t>
      </w:r>
      <w:r w:rsidR="009A6CB1" w:rsidRPr="0073242A">
        <w:rPr>
          <w:rFonts w:asciiTheme="majorHAnsi" w:hAnsiTheme="majorHAnsi" w:cstheme="majorHAnsi"/>
          <w:lang w:val="pl-PL"/>
        </w:rPr>
        <w:t>,</w:t>
      </w:r>
      <w:r w:rsidR="006F574C" w:rsidRPr="0073242A">
        <w:rPr>
          <w:rFonts w:asciiTheme="majorHAnsi" w:hAnsiTheme="majorHAnsi" w:cstheme="majorHAnsi"/>
          <w:lang w:val="pl-PL"/>
        </w:rPr>
        <w:t xml:space="preserve"> §§ 110-17, z dnia 17 kwietnia 2012r.) oraz </w:t>
      </w:r>
      <w:proofErr w:type="spellStart"/>
      <w:r w:rsidR="006F574C" w:rsidRPr="0073242A">
        <w:rPr>
          <w:rFonts w:asciiTheme="majorHAnsi" w:hAnsiTheme="majorHAnsi" w:cstheme="majorHAnsi"/>
          <w:i/>
          <w:lang w:val="pl-PL"/>
        </w:rPr>
        <w:t>Horych</w:t>
      </w:r>
      <w:proofErr w:type="spellEnd"/>
      <w:r w:rsidR="006F574C" w:rsidRPr="0073242A">
        <w:rPr>
          <w:rFonts w:asciiTheme="majorHAnsi" w:hAnsiTheme="majorHAnsi" w:cstheme="majorHAnsi"/>
          <w:i/>
          <w:lang w:val="pl-PL"/>
        </w:rPr>
        <w:t xml:space="preserve"> p. Polsce </w:t>
      </w:r>
      <w:r w:rsidR="006F574C" w:rsidRPr="0073242A">
        <w:rPr>
          <w:rFonts w:asciiTheme="majorHAnsi" w:hAnsiTheme="majorHAnsi" w:cstheme="majorHAnsi"/>
          <w:lang w:val="pl-PL"/>
        </w:rPr>
        <w:t>(nr 13621/08</w:t>
      </w:r>
      <w:r w:rsidR="009A6CB1" w:rsidRPr="0073242A">
        <w:rPr>
          <w:rFonts w:asciiTheme="majorHAnsi" w:hAnsiTheme="majorHAnsi" w:cstheme="majorHAnsi"/>
          <w:lang w:val="pl-PL"/>
        </w:rPr>
        <w:t>,</w:t>
      </w:r>
      <w:r w:rsidR="006F574C" w:rsidRPr="0073242A">
        <w:rPr>
          <w:rFonts w:asciiTheme="majorHAnsi" w:hAnsiTheme="majorHAnsi" w:cstheme="majorHAnsi"/>
          <w:lang w:val="pl-PL"/>
        </w:rPr>
        <w:t xml:space="preserve"> §§ 49-56, z dnia 17 kwietnia 2012 r.).</w:t>
      </w:r>
    </w:p>
    <w:p w14:paraId="2CF262AC" w14:textId="5ACD4A63" w:rsidR="006F574C"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36</w:t>
      </w:r>
      <w:r w:rsidR="009A6CB1" w:rsidRPr="0073242A">
        <w:rPr>
          <w:rFonts w:asciiTheme="majorHAnsi" w:hAnsiTheme="majorHAnsi" w:cstheme="majorHAnsi"/>
          <w:lang w:val="pl-PL"/>
        </w:rPr>
        <w:t xml:space="preserve">. </w:t>
      </w:r>
      <w:r w:rsidR="006F574C" w:rsidRPr="0073242A">
        <w:rPr>
          <w:rFonts w:asciiTheme="majorHAnsi" w:hAnsiTheme="majorHAnsi" w:cstheme="majorHAnsi"/>
          <w:lang w:val="pl-PL"/>
        </w:rPr>
        <w:t>Przepisy Kodeksu karnego wykonawczego, określające zakwali</w:t>
      </w:r>
      <w:r w:rsidR="00DB5C0F" w:rsidRPr="0073242A">
        <w:rPr>
          <w:rFonts w:asciiTheme="majorHAnsi" w:hAnsiTheme="majorHAnsi" w:cstheme="majorHAnsi"/>
          <w:lang w:val="pl-PL"/>
        </w:rPr>
        <w:t>fikowanie osadzonych jako więźniów</w:t>
      </w:r>
      <w:r w:rsidR="006F574C" w:rsidRPr="0073242A">
        <w:rPr>
          <w:rFonts w:asciiTheme="majorHAnsi" w:hAnsiTheme="majorHAnsi" w:cstheme="majorHAnsi"/>
          <w:lang w:val="pl-PL"/>
        </w:rPr>
        <w:t xml:space="preserve"> niebez</w:t>
      </w:r>
      <w:r w:rsidR="00DB5C0F" w:rsidRPr="0073242A">
        <w:rPr>
          <w:rFonts w:asciiTheme="majorHAnsi" w:hAnsiTheme="majorHAnsi" w:cstheme="majorHAnsi"/>
          <w:lang w:val="pl-PL"/>
        </w:rPr>
        <w:t>piecznych</w:t>
      </w:r>
      <w:r w:rsidR="00435C57" w:rsidRPr="0073242A">
        <w:rPr>
          <w:rFonts w:asciiTheme="majorHAnsi" w:hAnsiTheme="majorHAnsi" w:cstheme="majorHAnsi"/>
          <w:lang w:val="pl-PL"/>
        </w:rPr>
        <w:t>, brzmią następująco:</w:t>
      </w:r>
    </w:p>
    <w:p w14:paraId="69C02CC2" w14:textId="77777777" w:rsidR="006F574C" w:rsidRPr="0073242A" w:rsidRDefault="006F574C" w:rsidP="0073242A">
      <w:pPr>
        <w:pStyle w:val="ECHRTitleCentre3"/>
        <w:rPr>
          <w:rFonts w:cstheme="majorHAnsi"/>
          <w:lang w:val="pl-PL"/>
        </w:rPr>
      </w:pPr>
      <w:r w:rsidRPr="0073242A">
        <w:rPr>
          <w:rFonts w:cstheme="majorHAnsi"/>
          <w:lang w:val="pl-PL"/>
        </w:rPr>
        <w:t>Artykuł 88 § 3</w:t>
      </w:r>
    </w:p>
    <w:p w14:paraId="0C820B3C" w14:textId="77777777" w:rsidR="006F574C" w:rsidRPr="0073242A" w:rsidRDefault="006F574C" w:rsidP="0073242A">
      <w:pPr>
        <w:pStyle w:val="ECHRParaQuote"/>
        <w:rPr>
          <w:rFonts w:asciiTheme="majorHAnsi" w:hAnsiTheme="majorHAnsi" w:cstheme="majorHAnsi"/>
          <w:lang w:val="pl-PL"/>
        </w:rPr>
      </w:pPr>
      <w:r w:rsidRPr="0073242A">
        <w:rPr>
          <w:rFonts w:asciiTheme="majorHAnsi" w:hAnsiTheme="majorHAnsi" w:cstheme="majorHAnsi"/>
          <w:lang w:val="pl-PL"/>
        </w:rPr>
        <w:t>„Skazany stwarzający poważne zagrożenie społeczne albo poważne zagrożenie dla bezpieczeństwa zakładu odbywa karę w wyznaczonym oddziale lub celi zakładu karnego typu zamkniętego w warunkach zapewniających wzmożoną ochronę społeczeństwa i bezpieczeństwo tego zakładu.”</w:t>
      </w:r>
    </w:p>
    <w:p w14:paraId="73F5C0D4" w14:textId="77777777" w:rsidR="00E7788E" w:rsidRPr="0073242A" w:rsidRDefault="00E7788E" w:rsidP="0073242A">
      <w:pPr>
        <w:pStyle w:val="ECHRTitleCentre3"/>
        <w:rPr>
          <w:rFonts w:cstheme="majorHAnsi"/>
          <w:lang w:val="pl-PL"/>
        </w:rPr>
      </w:pPr>
      <w:r w:rsidRPr="0073242A">
        <w:rPr>
          <w:rFonts w:cstheme="majorHAnsi"/>
          <w:lang w:val="pl-PL"/>
        </w:rPr>
        <w:t>Artykuł 88a</w:t>
      </w:r>
    </w:p>
    <w:p w14:paraId="35F38285" w14:textId="77777777" w:rsidR="00E7788E" w:rsidRPr="0073242A" w:rsidRDefault="00E7788E" w:rsidP="0073242A">
      <w:pPr>
        <w:pStyle w:val="ECHRParaQuote"/>
        <w:rPr>
          <w:rFonts w:asciiTheme="majorHAnsi" w:hAnsiTheme="majorHAnsi" w:cstheme="majorHAnsi"/>
          <w:lang w:val="pl-PL"/>
        </w:rPr>
      </w:pPr>
      <w:r w:rsidRPr="0073242A">
        <w:rPr>
          <w:rFonts w:asciiTheme="majorHAnsi" w:hAnsiTheme="majorHAnsi" w:cstheme="majorHAnsi"/>
          <w:lang w:val="pl-PL"/>
        </w:rPr>
        <w:t>“1.  Skazany, o którym mowa w Artykule 88 § 3 odbywa karę w wyznaczonym oddziale lub celi zakładu karnego typu zamkniętego. O osadzeniu skazanego w wyznaczonym oddziale lub celi zakładu karnego typu zamkniętego zawiadamia się sędziego penitencjarnego.</w:t>
      </w:r>
    </w:p>
    <w:p w14:paraId="59E30BBF" w14:textId="77777777" w:rsidR="00E7788E" w:rsidRPr="0073242A" w:rsidRDefault="00E7788E" w:rsidP="0073242A">
      <w:pPr>
        <w:pStyle w:val="ECHRParaQuote"/>
        <w:rPr>
          <w:rFonts w:asciiTheme="majorHAnsi" w:hAnsiTheme="majorHAnsi" w:cstheme="majorHAnsi"/>
          <w:lang w:val="pl-PL"/>
        </w:rPr>
      </w:pPr>
      <w:r w:rsidRPr="0073242A">
        <w:rPr>
          <w:rFonts w:asciiTheme="majorHAnsi" w:hAnsiTheme="majorHAnsi" w:cstheme="majorHAnsi"/>
          <w:lang w:val="pl-PL"/>
        </w:rPr>
        <w:t>2.  Przy podjęciu i każdorazowej weryfikacji decyzji o uznaniu skazanego za stwarzającego poważne zagrożenie społeczne albo poważne zagrożenie dla bezpieczeństwa zakładu, uwzględnia się: właściwości i warunki osobiste skazanego, motywacje i sposób zachowania się przy popełnieniu przestępstwa oraz rodzaj i rozmiar ujemnych następstw przestępstwa, sposób zachowania się w trakcie pobytu w zakładzie karnym, stopień demoralizacji. Odnosi się to również do skazanego, który</w:t>
      </w:r>
    </w:p>
    <w:p w14:paraId="764679A5" w14:textId="77777777" w:rsidR="00E7788E" w:rsidRPr="0073242A" w:rsidRDefault="00E7788E" w:rsidP="0073242A">
      <w:pPr>
        <w:pStyle w:val="ECHRParaQuote"/>
        <w:rPr>
          <w:rFonts w:asciiTheme="majorHAnsi" w:hAnsiTheme="majorHAnsi" w:cstheme="majorHAnsi"/>
          <w:lang w:val="pl-PL"/>
        </w:rPr>
      </w:pPr>
      <w:r w:rsidRPr="0073242A">
        <w:rPr>
          <w:rFonts w:asciiTheme="majorHAnsi" w:hAnsiTheme="majorHAnsi" w:cstheme="majorHAnsi"/>
          <w:lang w:val="pl-PL"/>
        </w:rPr>
        <w:t>(2a) podczas uprzedniego lub obecnego pozbawienia wolności stwarzał zagrożenie dla bezpieczeństwa zakładu karnego lub aresztu śledczego w ten sposób, że był organizatorem lub aktywnym uczestnikiem zbiorowego wystąpienia w zakładzie karnym lub areszcie śledczym...”</w:t>
      </w:r>
    </w:p>
    <w:p w14:paraId="08B5B84A" w14:textId="77777777" w:rsidR="00E7788E" w:rsidRPr="0073242A" w:rsidRDefault="00E7788E" w:rsidP="0073242A">
      <w:pPr>
        <w:pStyle w:val="JuQuotSub"/>
        <w:ind w:left="0" w:firstLine="0"/>
        <w:rPr>
          <w:rFonts w:asciiTheme="majorHAnsi" w:hAnsiTheme="majorHAnsi" w:cstheme="majorHAnsi"/>
          <w:lang w:val="pl-PL"/>
        </w:rPr>
      </w:pPr>
    </w:p>
    <w:p w14:paraId="3E6BA069" w14:textId="228F2BCB" w:rsidR="0066765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37</w:t>
      </w:r>
      <w:r w:rsidR="00667652" w:rsidRPr="0073242A">
        <w:rPr>
          <w:rFonts w:asciiTheme="majorHAnsi" w:hAnsiTheme="majorHAnsi" w:cstheme="majorHAnsi"/>
          <w:lang w:val="pl-PL"/>
        </w:rPr>
        <w:t>. </w:t>
      </w:r>
      <w:r w:rsidR="00E7788E" w:rsidRPr="0073242A">
        <w:rPr>
          <w:rFonts w:asciiTheme="majorHAnsi" w:hAnsiTheme="majorHAnsi" w:cstheme="majorHAnsi"/>
          <w:lang w:val="pl-PL"/>
        </w:rPr>
        <w:t>Artykuł 88b Kodeksu karnego wykonawczego zawiera szczegółowe uregulowania stosowane wobec osadzonych, zakwalifikowanych jako tzw. „</w:t>
      </w:r>
      <w:r w:rsidR="00DB5C0F" w:rsidRPr="0073242A">
        <w:rPr>
          <w:rFonts w:asciiTheme="majorHAnsi" w:hAnsiTheme="majorHAnsi" w:cstheme="majorHAnsi"/>
          <w:lang w:val="pl-PL"/>
        </w:rPr>
        <w:t>więźniów</w:t>
      </w:r>
      <w:r w:rsidR="00E7788E" w:rsidRPr="0073242A">
        <w:rPr>
          <w:rFonts w:asciiTheme="majorHAnsi" w:hAnsiTheme="majorHAnsi" w:cstheme="majorHAnsi"/>
          <w:lang w:val="pl-PL"/>
        </w:rPr>
        <w:t xml:space="preserve"> niebezpiecznych”. Są one identyczne z tymi, określonymi </w:t>
      </w:r>
      <w:r w:rsidR="00E7788E" w:rsidRPr="0073242A">
        <w:rPr>
          <w:rFonts w:asciiTheme="majorHAnsi" w:hAnsiTheme="majorHAnsi" w:cstheme="majorHAnsi"/>
          <w:lang w:val="pl-PL"/>
        </w:rPr>
        <w:br/>
        <w:t xml:space="preserve">w Artykule 212b Kodeksu, mającymi zastosowanie wobec osób tymczasowo aresztowanych (patrz </w:t>
      </w:r>
      <w:r w:rsidR="00E7788E" w:rsidRPr="0073242A">
        <w:rPr>
          <w:rFonts w:asciiTheme="majorHAnsi" w:hAnsiTheme="majorHAnsi" w:cstheme="majorHAnsi"/>
          <w:i/>
          <w:lang w:val="pl-PL"/>
        </w:rPr>
        <w:t>Piechowicz</w:t>
      </w:r>
      <w:r w:rsidR="00E7788E" w:rsidRPr="0073242A">
        <w:rPr>
          <w:rFonts w:asciiTheme="majorHAnsi" w:hAnsiTheme="majorHAnsi" w:cstheme="majorHAnsi"/>
          <w:lang w:val="pl-PL"/>
        </w:rPr>
        <w:t>, wspomniany wyżej, § 106).</w:t>
      </w:r>
    </w:p>
    <w:p w14:paraId="41F5B875" w14:textId="77777777" w:rsidR="006F574C" w:rsidRPr="0073242A" w:rsidRDefault="006F574C" w:rsidP="0073242A">
      <w:pPr>
        <w:pStyle w:val="ECHRTitle1"/>
        <w:rPr>
          <w:rFonts w:cstheme="majorHAnsi"/>
          <w:lang w:val="pl-PL"/>
        </w:rPr>
      </w:pPr>
      <w:r w:rsidRPr="0073242A">
        <w:rPr>
          <w:rFonts w:cstheme="majorHAnsi"/>
          <w:lang w:val="pl-PL"/>
        </w:rPr>
        <w:lastRenderedPageBreak/>
        <w:t>PRAWO</w:t>
      </w:r>
    </w:p>
    <w:p w14:paraId="0AB231F4" w14:textId="77777777" w:rsidR="006F574C" w:rsidRPr="0073242A" w:rsidRDefault="006F574C" w:rsidP="0073242A">
      <w:pPr>
        <w:pStyle w:val="ECHRHeading1"/>
        <w:rPr>
          <w:rFonts w:cstheme="majorHAnsi"/>
          <w:lang w:val="pl-PL"/>
        </w:rPr>
      </w:pPr>
      <w:r w:rsidRPr="0073242A">
        <w:rPr>
          <w:rFonts w:cstheme="majorHAnsi"/>
          <w:lang w:val="pl-PL"/>
        </w:rPr>
        <w:t>I.  DOMNIEMANE NARUSZENIE ARTYKUŁU 3 KONWENCJI</w:t>
      </w:r>
    </w:p>
    <w:p w14:paraId="7133221F" w14:textId="77777777" w:rsidR="006F574C" w:rsidRPr="0073242A" w:rsidRDefault="006F574C" w:rsidP="0073242A">
      <w:pPr>
        <w:pStyle w:val="ECHRPara"/>
        <w:rPr>
          <w:rFonts w:asciiTheme="majorHAnsi" w:hAnsiTheme="majorHAnsi" w:cstheme="majorHAnsi"/>
          <w:lang w:val="pl-PL"/>
        </w:rPr>
      </w:pPr>
    </w:p>
    <w:p w14:paraId="51B10036" w14:textId="3109971F" w:rsidR="00892228"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38</w:t>
      </w:r>
      <w:r w:rsidR="009A6CB1" w:rsidRPr="0073242A">
        <w:rPr>
          <w:rFonts w:asciiTheme="majorHAnsi" w:hAnsiTheme="majorHAnsi" w:cstheme="majorHAnsi"/>
          <w:lang w:val="pl-PL"/>
        </w:rPr>
        <w:t xml:space="preserve">. </w:t>
      </w:r>
      <w:r w:rsidR="00892228" w:rsidRPr="0073242A">
        <w:rPr>
          <w:rFonts w:asciiTheme="majorHAnsi" w:hAnsiTheme="majorHAnsi" w:cstheme="majorHAnsi"/>
          <w:lang w:val="pl-PL"/>
        </w:rPr>
        <w:t>Skarżący zarzucił, iż bezprawnie został</w:t>
      </w:r>
      <w:r w:rsidR="00B34E7F" w:rsidRPr="0073242A">
        <w:rPr>
          <w:rFonts w:asciiTheme="majorHAnsi" w:hAnsiTheme="majorHAnsi" w:cstheme="majorHAnsi"/>
          <w:lang w:val="pl-PL"/>
        </w:rPr>
        <w:t xml:space="preserve"> zakwalifikowany jako więzień</w:t>
      </w:r>
      <w:r w:rsidR="00B47D80" w:rsidRPr="0073242A">
        <w:rPr>
          <w:rFonts w:asciiTheme="majorHAnsi" w:hAnsiTheme="majorHAnsi" w:cstheme="majorHAnsi"/>
          <w:lang w:val="pl-PL"/>
        </w:rPr>
        <w:t xml:space="preserve"> </w:t>
      </w:r>
      <w:r w:rsidR="00B34E7F" w:rsidRPr="0073242A">
        <w:rPr>
          <w:rFonts w:asciiTheme="majorHAnsi" w:hAnsiTheme="majorHAnsi" w:cstheme="majorHAnsi"/>
          <w:lang w:val="pl-PL"/>
        </w:rPr>
        <w:t>niebezpieczny</w:t>
      </w:r>
      <w:r w:rsidR="00892228" w:rsidRPr="0073242A">
        <w:rPr>
          <w:rFonts w:asciiTheme="majorHAnsi" w:hAnsiTheme="majorHAnsi" w:cstheme="majorHAnsi"/>
          <w:lang w:val="pl-PL"/>
        </w:rPr>
        <w:t>, w związku z czym doznał poniżającego traktowania, sprzecznego z Artykułem 3 Konwencji, który brzmi następująco:</w:t>
      </w:r>
    </w:p>
    <w:p w14:paraId="0E6208B0" w14:textId="77777777" w:rsidR="00892228" w:rsidRPr="0073242A" w:rsidRDefault="009A6CB1" w:rsidP="0073242A">
      <w:pPr>
        <w:pStyle w:val="ECHRParaQuote"/>
        <w:rPr>
          <w:rFonts w:asciiTheme="majorHAnsi" w:hAnsiTheme="majorHAnsi" w:cstheme="majorHAnsi"/>
          <w:lang w:val="pl-PL"/>
        </w:rPr>
      </w:pPr>
      <w:r w:rsidRPr="0073242A">
        <w:rPr>
          <w:rFonts w:asciiTheme="majorHAnsi" w:hAnsiTheme="majorHAnsi" w:cstheme="majorHAnsi"/>
          <w:lang w:val="pl-PL"/>
        </w:rPr>
        <w:t xml:space="preserve"> </w:t>
      </w:r>
      <w:r w:rsidR="00892228" w:rsidRPr="0073242A">
        <w:rPr>
          <w:rFonts w:asciiTheme="majorHAnsi" w:hAnsiTheme="majorHAnsi" w:cstheme="majorHAnsi"/>
          <w:lang w:val="pl-PL"/>
        </w:rPr>
        <w:t>„Nikt nie może być poddany torturom ani nieludzkiemu lub poniżającemu traktowaniu albo karaniu.”</w:t>
      </w:r>
    </w:p>
    <w:p w14:paraId="61F3FF15" w14:textId="720306E5" w:rsidR="00892228"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39</w:t>
      </w:r>
      <w:r w:rsidR="00892228" w:rsidRPr="0073242A">
        <w:rPr>
          <w:rFonts w:asciiTheme="majorHAnsi" w:hAnsiTheme="majorHAnsi" w:cstheme="majorHAnsi"/>
          <w:lang w:val="pl-PL"/>
        </w:rPr>
        <w:t>.  Rząd nie zgodził się z tymi zarzutami.</w:t>
      </w:r>
    </w:p>
    <w:p w14:paraId="688DBCD7" w14:textId="77777777" w:rsidR="00014566" w:rsidRPr="0073242A" w:rsidRDefault="00892228" w:rsidP="0073242A">
      <w:pPr>
        <w:pStyle w:val="ECHRHeading2"/>
        <w:rPr>
          <w:rFonts w:cstheme="majorHAnsi"/>
          <w:lang w:val="pl-PL"/>
        </w:rPr>
      </w:pPr>
      <w:r w:rsidRPr="0073242A">
        <w:rPr>
          <w:rFonts w:cstheme="majorHAnsi"/>
          <w:lang w:val="pl-PL"/>
        </w:rPr>
        <w:t>A. Dopuszczalność</w:t>
      </w:r>
    </w:p>
    <w:p w14:paraId="209279BF" w14:textId="594C415B" w:rsidR="00892228"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40</w:t>
      </w:r>
      <w:r w:rsidR="004E756F" w:rsidRPr="0073242A">
        <w:rPr>
          <w:rFonts w:asciiTheme="majorHAnsi" w:hAnsiTheme="majorHAnsi" w:cstheme="majorHAnsi"/>
          <w:lang w:val="pl-PL"/>
        </w:rPr>
        <w:t>. </w:t>
      </w:r>
      <w:r w:rsidR="009562E3" w:rsidRPr="0073242A">
        <w:rPr>
          <w:rFonts w:asciiTheme="majorHAnsi" w:hAnsiTheme="majorHAnsi" w:cstheme="majorHAnsi"/>
          <w:lang w:val="pl-PL"/>
        </w:rPr>
        <w:t>W swoich uwagach Rząd stwierdził, że wniosek powinien zostać uznany za niedopuszczalny na podstawie Artykułu 35 ust. 3 (a) Konwencji z</w:t>
      </w:r>
      <w:r w:rsidR="00B121A9" w:rsidRPr="0073242A">
        <w:rPr>
          <w:rFonts w:asciiTheme="majorHAnsi" w:hAnsiTheme="majorHAnsi" w:cstheme="majorHAnsi"/>
          <w:lang w:val="pl-PL"/>
        </w:rPr>
        <w:t xml:space="preserve"> powodu braku wyraźnego uzasadnienia</w:t>
      </w:r>
      <w:r w:rsidR="009562E3" w:rsidRPr="0073242A">
        <w:rPr>
          <w:rFonts w:asciiTheme="majorHAnsi" w:hAnsiTheme="majorHAnsi" w:cstheme="majorHAnsi"/>
          <w:lang w:val="pl-PL"/>
        </w:rPr>
        <w:t>. Jednakże Rząd nie przedstawił żadnych argument</w:t>
      </w:r>
      <w:r w:rsidR="00435C57" w:rsidRPr="0073242A">
        <w:rPr>
          <w:rFonts w:asciiTheme="majorHAnsi" w:hAnsiTheme="majorHAnsi" w:cstheme="majorHAnsi"/>
          <w:lang w:val="pl-PL"/>
        </w:rPr>
        <w:t>ów na poparcie swojego wniosku.</w:t>
      </w:r>
    </w:p>
    <w:p w14:paraId="2E554E9B" w14:textId="02D8575D" w:rsidR="00B121A9" w:rsidRPr="0073242A" w:rsidRDefault="0004203F" w:rsidP="0073242A">
      <w:pPr>
        <w:pStyle w:val="ECHRPara"/>
        <w:rPr>
          <w:rFonts w:asciiTheme="majorHAnsi" w:hAnsiTheme="majorHAnsi" w:cstheme="majorHAnsi"/>
          <w:lang w:val="pl-PL"/>
        </w:rPr>
      </w:pPr>
      <w:r w:rsidRPr="0073242A">
        <w:rPr>
          <w:rFonts w:asciiTheme="majorHAnsi" w:hAnsiTheme="majorHAnsi" w:cstheme="majorHAnsi"/>
          <w:lang w:val="pl-PL"/>
        </w:rPr>
        <w:t>41</w:t>
      </w:r>
      <w:r w:rsidR="009A6CB1" w:rsidRPr="0073242A">
        <w:rPr>
          <w:rFonts w:asciiTheme="majorHAnsi" w:hAnsiTheme="majorHAnsi" w:cstheme="majorHAnsi"/>
          <w:lang w:val="pl-PL"/>
        </w:rPr>
        <w:t xml:space="preserve">. </w:t>
      </w:r>
      <w:r w:rsidR="00B121A9" w:rsidRPr="0073242A">
        <w:rPr>
          <w:rFonts w:asciiTheme="majorHAnsi" w:hAnsiTheme="majorHAnsi" w:cstheme="majorHAnsi"/>
          <w:lang w:val="pl-PL"/>
        </w:rPr>
        <w:t>Trybunał zaznacza również, że przedmiotowa skarga nie jest w sposób oczywisty nieuzasadniona w rozumieniu Artykułu 35 ust. 3 (a) Konwencji. Trybunał stwierdza ponadto, że nie jest ona niedopuszczalna z jakichkolwiek innych względów. Należy zatem uznać ją za dopuszczalną.</w:t>
      </w:r>
    </w:p>
    <w:p w14:paraId="19B56F52" w14:textId="77777777" w:rsidR="00014566" w:rsidRPr="0073242A" w:rsidRDefault="00014566" w:rsidP="0073242A">
      <w:pPr>
        <w:pStyle w:val="ECHRPara"/>
        <w:ind w:firstLine="0"/>
        <w:rPr>
          <w:rFonts w:asciiTheme="majorHAnsi" w:hAnsiTheme="majorHAnsi" w:cstheme="majorHAnsi"/>
          <w:lang w:val="pl-PL"/>
        </w:rPr>
      </w:pPr>
    </w:p>
    <w:p w14:paraId="607C5C8D" w14:textId="77777777" w:rsidR="00B121A9" w:rsidRPr="0073242A" w:rsidRDefault="00B121A9" w:rsidP="0073242A">
      <w:pPr>
        <w:pStyle w:val="ECHRHeading2"/>
        <w:outlineLvl w:val="0"/>
        <w:rPr>
          <w:rFonts w:cstheme="majorHAnsi"/>
          <w:lang w:val="pl-PL"/>
        </w:rPr>
      </w:pPr>
      <w:r w:rsidRPr="0073242A">
        <w:rPr>
          <w:rFonts w:cstheme="majorHAnsi"/>
          <w:lang w:val="pl-PL"/>
        </w:rPr>
        <w:t>B.  Meritum sprawy</w:t>
      </w:r>
    </w:p>
    <w:p w14:paraId="1DF77D2B" w14:textId="77777777" w:rsidR="00B121A9" w:rsidRPr="0073242A" w:rsidRDefault="00B121A9" w:rsidP="0073242A">
      <w:pPr>
        <w:pStyle w:val="ECHRHeading3"/>
        <w:numPr>
          <w:ilvl w:val="0"/>
          <w:numId w:val="22"/>
        </w:numPr>
        <w:rPr>
          <w:rFonts w:cstheme="majorHAnsi"/>
          <w:lang w:val="pl-PL"/>
        </w:rPr>
      </w:pPr>
      <w:r w:rsidRPr="0073242A">
        <w:rPr>
          <w:rFonts w:cstheme="majorHAnsi"/>
          <w:lang w:val="pl-PL"/>
        </w:rPr>
        <w:t>Skarżący</w:t>
      </w:r>
    </w:p>
    <w:p w14:paraId="3A899C55" w14:textId="76D44303" w:rsidR="00B121A9"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42</w:t>
      </w:r>
      <w:r w:rsidR="009A6CB1" w:rsidRPr="0073242A">
        <w:rPr>
          <w:rFonts w:asciiTheme="majorHAnsi" w:hAnsiTheme="majorHAnsi" w:cstheme="majorHAnsi"/>
          <w:lang w:val="pl-PL"/>
        </w:rPr>
        <w:t xml:space="preserve">. </w:t>
      </w:r>
      <w:r w:rsidR="00B121A9" w:rsidRPr="0073242A">
        <w:rPr>
          <w:rFonts w:asciiTheme="majorHAnsi" w:hAnsiTheme="majorHAnsi" w:cstheme="majorHAnsi"/>
          <w:lang w:val="pl-PL"/>
        </w:rPr>
        <w:t xml:space="preserve">Skarżący podniósł, że przedłużające się stosowanie statusu tzw. </w:t>
      </w:r>
      <w:r w:rsidR="00B34E7F" w:rsidRPr="0073242A">
        <w:rPr>
          <w:rFonts w:asciiTheme="majorHAnsi" w:hAnsiTheme="majorHAnsi" w:cstheme="majorHAnsi"/>
          <w:lang w:val="pl-PL"/>
        </w:rPr>
        <w:t>więźnia</w:t>
      </w:r>
      <w:r w:rsidR="00B121A9" w:rsidRPr="0073242A">
        <w:rPr>
          <w:rFonts w:asciiTheme="majorHAnsi" w:hAnsiTheme="majorHAnsi" w:cstheme="majorHAnsi"/>
          <w:lang w:val="pl-PL"/>
        </w:rPr>
        <w:t xml:space="preserve"> niebezpiecznego stanowiło naruszenie Artykułu 3 Konwencji. W szczególności skarżący odniósł się do tego, że podczas całego okresu, w którym nałożony był na niego status, był on poddawany rewizji osobistej, którą traktowano jako codzienną czynność wyk</w:t>
      </w:r>
      <w:r w:rsidR="00435C57" w:rsidRPr="0073242A">
        <w:rPr>
          <w:rFonts w:asciiTheme="majorHAnsi" w:hAnsiTheme="majorHAnsi" w:cstheme="majorHAnsi"/>
          <w:lang w:val="pl-PL"/>
        </w:rPr>
        <w:t>onywaną bez określonego powodu.</w:t>
      </w:r>
    </w:p>
    <w:p w14:paraId="4C3F4E2E" w14:textId="00E74148" w:rsidR="00E6539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43</w:t>
      </w:r>
      <w:r w:rsidR="009A6CB1" w:rsidRPr="0073242A">
        <w:rPr>
          <w:rFonts w:asciiTheme="majorHAnsi" w:hAnsiTheme="majorHAnsi" w:cstheme="majorHAnsi"/>
          <w:lang w:val="pl-PL"/>
        </w:rPr>
        <w:t>. Skarżący t</w:t>
      </w:r>
      <w:r w:rsidR="00E6539F" w:rsidRPr="0073242A">
        <w:rPr>
          <w:rFonts w:asciiTheme="majorHAnsi" w:hAnsiTheme="majorHAnsi" w:cstheme="majorHAnsi"/>
          <w:lang w:val="pl-PL"/>
        </w:rPr>
        <w:t xml:space="preserve">wierdził, że rzeczywiście został skazany za niewłaściwe traktowanie innego więźnia, ale to było przed jego aresztowaniem w niniejszej sprawie. Ponadto stwierdził, że </w:t>
      </w:r>
      <w:r w:rsidR="009A6CB1" w:rsidRPr="0073242A">
        <w:rPr>
          <w:rFonts w:asciiTheme="majorHAnsi" w:hAnsiTheme="majorHAnsi" w:cstheme="majorHAnsi"/>
          <w:lang w:val="pl-PL"/>
        </w:rPr>
        <w:t xml:space="preserve">jego odwołania od decyzji komisji penitencjarnej </w:t>
      </w:r>
      <w:r w:rsidR="00E6539F" w:rsidRPr="0073242A">
        <w:rPr>
          <w:rFonts w:asciiTheme="majorHAnsi" w:hAnsiTheme="majorHAnsi" w:cstheme="majorHAnsi"/>
          <w:lang w:val="pl-PL"/>
        </w:rPr>
        <w:t>miał</w:t>
      </w:r>
      <w:r w:rsidR="009A6CB1" w:rsidRPr="0073242A">
        <w:rPr>
          <w:rFonts w:asciiTheme="majorHAnsi" w:hAnsiTheme="majorHAnsi" w:cstheme="majorHAnsi"/>
          <w:lang w:val="pl-PL"/>
        </w:rPr>
        <w:t>y</w:t>
      </w:r>
      <w:r w:rsidR="00E6539F" w:rsidRPr="0073242A">
        <w:rPr>
          <w:rFonts w:asciiTheme="majorHAnsi" w:hAnsiTheme="majorHAnsi" w:cstheme="majorHAnsi"/>
          <w:lang w:val="pl-PL"/>
        </w:rPr>
        <w:t xml:space="preserve"> kilk</w:t>
      </w:r>
      <w:r w:rsidR="009A6CB1" w:rsidRPr="0073242A">
        <w:rPr>
          <w:rFonts w:asciiTheme="majorHAnsi" w:hAnsiTheme="majorHAnsi" w:cstheme="majorHAnsi"/>
          <w:lang w:val="pl-PL"/>
        </w:rPr>
        <w:t>um</w:t>
      </w:r>
      <w:r w:rsidR="00E6539F" w:rsidRPr="0073242A">
        <w:rPr>
          <w:rFonts w:asciiTheme="majorHAnsi" w:hAnsiTheme="majorHAnsi" w:cstheme="majorHAnsi"/>
          <w:lang w:val="pl-PL"/>
        </w:rPr>
        <w:t>iesięc</w:t>
      </w:r>
      <w:r w:rsidR="009A6CB1" w:rsidRPr="0073242A">
        <w:rPr>
          <w:rFonts w:asciiTheme="majorHAnsi" w:hAnsiTheme="majorHAnsi" w:cstheme="majorHAnsi"/>
          <w:lang w:val="pl-PL"/>
        </w:rPr>
        <w:t>zne</w:t>
      </w:r>
      <w:r w:rsidR="00E6539F" w:rsidRPr="0073242A">
        <w:rPr>
          <w:rFonts w:asciiTheme="majorHAnsi" w:hAnsiTheme="majorHAnsi" w:cstheme="majorHAnsi"/>
          <w:lang w:val="pl-PL"/>
        </w:rPr>
        <w:t xml:space="preserve"> opóźnie</w:t>
      </w:r>
      <w:r w:rsidR="009A6CB1" w:rsidRPr="0073242A">
        <w:rPr>
          <w:rFonts w:asciiTheme="majorHAnsi" w:hAnsiTheme="majorHAnsi" w:cstheme="majorHAnsi"/>
          <w:lang w:val="pl-PL"/>
        </w:rPr>
        <w:t>nia</w:t>
      </w:r>
      <w:r w:rsidR="00E6539F" w:rsidRPr="0073242A">
        <w:rPr>
          <w:rFonts w:asciiTheme="majorHAnsi" w:hAnsiTheme="majorHAnsi" w:cstheme="majorHAnsi"/>
          <w:lang w:val="pl-PL"/>
        </w:rPr>
        <w:t xml:space="preserve">, co oznacza, że w celu dotrzymania ustawowego trzymiesięcznego terminu nowe decyzje dotyczące dalszego stosowania </w:t>
      </w:r>
      <w:r w:rsidR="009A6CB1" w:rsidRPr="0073242A">
        <w:rPr>
          <w:rFonts w:asciiTheme="majorHAnsi" w:hAnsiTheme="majorHAnsi" w:cstheme="majorHAnsi"/>
          <w:lang w:val="pl-PL"/>
        </w:rPr>
        <w:t xml:space="preserve">statusu więźnia niebezpiecznego </w:t>
      </w:r>
      <w:r w:rsidR="00E6539F" w:rsidRPr="0073242A">
        <w:rPr>
          <w:rFonts w:asciiTheme="majorHAnsi" w:hAnsiTheme="majorHAnsi" w:cstheme="majorHAnsi"/>
          <w:lang w:val="pl-PL"/>
        </w:rPr>
        <w:t xml:space="preserve">zostały podjęte przed </w:t>
      </w:r>
      <w:r w:rsidR="00464D70" w:rsidRPr="0073242A">
        <w:rPr>
          <w:rFonts w:asciiTheme="majorHAnsi" w:hAnsiTheme="majorHAnsi" w:cstheme="majorHAnsi"/>
          <w:lang w:val="pl-PL"/>
        </w:rPr>
        <w:t>rozpoznaniem zażaleń</w:t>
      </w:r>
      <w:r w:rsidR="00E6539F" w:rsidRPr="0073242A">
        <w:rPr>
          <w:rFonts w:asciiTheme="majorHAnsi" w:hAnsiTheme="majorHAnsi" w:cstheme="majorHAnsi"/>
          <w:lang w:val="pl-PL"/>
        </w:rPr>
        <w:t xml:space="preserve">. Na przykład odwołanie od decyzji z dnia 20 marca 2013 r. nie zostało rozpatrzone aż do lipca. Prośby </w:t>
      </w:r>
      <w:r w:rsidR="00E6539F" w:rsidRPr="0073242A">
        <w:rPr>
          <w:rFonts w:asciiTheme="majorHAnsi" w:hAnsiTheme="majorHAnsi" w:cstheme="majorHAnsi"/>
          <w:lang w:val="pl-PL"/>
        </w:rPr>
        <w:lastRenderedPageBreak/>
        <w:t xml:space="preserve">skarżącego o pozwolenie na </w:t>
      </w:r>
      <w:r w:rsidR="009A6CB1" w:rsidRPr="0073242A">
        <w:rPr>
          <w:rFonts w:asciiTheme="majorHAnsi" w:hAnsiTheme="majorHAnsi" w:cstheme="majorHAnsi"/>
          <w:lang w:val="pl-PL"/>
        </w:rPr>
        <w:t xml:space="preserve">jego </w:t>
      </w:r>
      <w:r w:rsidR="00E6539F" w:rsidRPr="0073242A">
        <w:rPr>
          <w:rFonts w:asciiTheme="majorHAnsi" w:hAnsiTheme="majorHAnsi" w:cstheme="majorHAnsi"/>
          <w:lang w:val="pl-PL"/>
        </w:rPr>
        <w:t xml:space="preserve">obecność w sądzie podczas rozpatrywania jego </w:t>
      </w:r>
      <w:r w:rsidR="00464D70" w:rsidRPr="0073242A">
        <w:rPr>
          <w:rFonts w:asciiTheme="majorHAnsi" w:hAnsiTheme="majorHAnsi" w:cstheme="majorHAnsi"/>
          <w:lang w:val="pl-PL"/>
        </w:rPr>
        <w:t>odwołań</w:t>
      </w:r>
      <w:r w:rsidR="00E6539F" w:rsidRPr="0073242A">
        <w:rPr>
          <w:rFonts w:asciiTheme="majorHAnsi" w:hAnsiTheme="majorHAnsi" w:cstheme="majorHAnsi"/>
          <w:lang w:val="pl-PL"/>
        </w:rPr>
        <w:t xml:space="preserve"> zostały odrzucone.</w:t>
      </w:r>
    </w:p>
    <w:p w14:paraId="33A72ABB" w14:textId="77777777" w:rsidR="00E6539F" w:rsidRPr="0073242A" w:rsidRDefault="00E6539F" w:rsidP="0073242A">
      <w:pPr>
        <w:pStyle w:val="ECHRHeading3"/>
        <w:rPr>
          <w:rFonts w:cstheme="majorHAnsi"/>
          <w:lang w:val="pl-PL"/>
        </w:rPr>
      </w:pPr>
      <w:r w:rsidRPr="0073242A">
        <w:rPr>
          <w:rFonts w:cstheme="majorHAnsi"/>
          <w:lang w:val="pl-PL"/>
        </w:rPr>
        <w:t>2.  Rząd</w:t>
      </w:r>
    </w:p>
    <w:p w14:paraId="2F1F109E" w14:textId="7F97B9C8" w:rsidR="00E6539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44</w:t>
      </w:r>
      <w:r w:rsidR="00867CDD" w:rsidRPr="0073242A">
        <w:rPr>
          <w:rFonts w:asciiTheme="majorHAnsi" w:hAnsiTheme="majorHAnsi" w:cstheme="majorHAnsi"/>
          <w:lang w:val="pl-PL"/>
        </w:rPr>
        <w:t xml:space="preserve">. </w:t>
      </w:r>
      <w:r w:rsidR="00E6539F" w:rsidRPr="0073242A">
        <w:rPr>
          <w:rFonts w:asciiTheme="majorHAnsi" w:hAnsiTheme="majorHAnsi" w:cstheme="majorHAnsi"/>
          <w:lang w:val="pl-PL"/>
        </w:rPr>
        <w:t xml:space="preserve">Rząd utrzymywał, że skarżącego zakwalifikowano jako </w:t>
      </w:r>
      <w:r w:rsidR="00B34E7F" w:rsidRPr="0073242A">
        <w:rPr>
          <w:rFonts w:asciiTheme="majorHAnsi" w:hAnsiTheme="majorHAnsi" w:cstheme="majorHAnsi"/>
          <w:lang w:val="pl-PL"/>
        </w:rPr>
        <w:t>więźnia</w:t>
      </w:r>
      <w:r w:rsidR="00E6539F" w:rsidRPr="0073242A">
        <w:rPr>
          <w:rFonts w:asciiTheme="majorHAnsi" w:hAnsiTheme="majorHAnsi" w:cstheme="majorHAnsi"/>
          <w:lang w:val="pl-PL"/>
        </w:rPr>
        <w:t xml:space="preserve"> niebezpiecznego zgodnie z </w:t>
      </w:r>
      <w:r w:rsidR="008179DA" w:rsidRPr="0073242A">
        <w:rPr>
          <w:rFonts w:asciiTheme="majorHAnsi" w:hAnsiTheme="majorHAnsi" w:cstheme="majorHAnsi"/>
          <w:lang w:val="pl-PL"/>
        </w:rPr>
        <w:t>odpowiednimi</w:t>
      </w:r>
      <w:r w:rsidR="00E6539F" w:rsidRPr="0073242A">
        <w:rPr>
          <w:rFonts w:asciiTheme="majorHAnsi" w:hAnsiTheme="majorHAnsi" w:cstheme="majorHAnsi"/>
          <w:lang w:val="pl-PL"/>
        </w:rPr>
        <w:t xml:space="preserve"> przepisami prawa.</w:t>
      </w:r>
      <w:r w:rsidR="008179DA" w:rsidRPr="0073242A">
        <w:rPr>
          <w:rFonts w:asciiTheme="majorHAnsi" w:hAnsiTheme="majorHAnsi" w:cstheme="majorHAnsi"/>
          <w:lang w:val="pl-PL"/>
        </w:rPr>
        <w:t xml:space="preserve"> Uzasadnieniem dla nałożenia statusu na skarżącego był jego brak moralnego charakteru oraz agresywny i obraźliwy stosunek do innych więźniów. Według Rządu skarżący bił innych więźniów, groził funkcjonariuszom więziennym, odmawiał przyjmowania żywności, niszcz</w:t>
      </w:r>
      <w:r w:rsidR="00867CDD" w:rsidRPr="0073242A">
        <w:rPr>
          <w:rFonts w:asciiTheme="majorHAnsi" w:hAnsiTheme="majorHAnsi" w:cstheme="majorHAnsi"/>
          <w:lang w:val="pl-PL"/>
        </w:rPr>
        <w:t>y</w:t>
      </w:r>
      <w:r w:rsidR="008179DA" w:rsidRPr="0073242A">
        <w:rPr>
          <w:rFonts w:asciiTheme="majorHAnsi" w:hAnsiTheme="majorHAnsi" w:cstheme="majorHAnsi"/>
          <w:lang w:val="pl-PL"/>
        </w:rPr>
        <w:t xml:space="preserve">ł sprzęt więzienny i kilkakrotnie próbował samookaleczenia. Władze więzienia musiały siedem razy użyć przeciwko niemu </w:t>
      </w:r>
      <w:r w:rsidR="00867CDD" w:rsidRPr="0073242A">
        <w:rPr>
          <w:rFonts w:asciiTheme="majorHAnsi" w:hAnsiTheme="majorHAnsi" w:cstheme="majorHAnsi"/>
          <w:lang w:val="pl-PL"/>
        </w:rPr>
        <w:t xml:space="preserve">siły </w:t>
      </w:r>
      <w:r w:rsidR="008179DA" w:rsidRPr="0073242A">
        <w:rPr>
          <w:rFonts w:asciiTheme="majorHAnsi" w:hAnsiTheme="majorHAnsi" w:cstheme="majorHAnsi"/>
          <w:lang w:val="pl-PL"/>
        </w:rPr>
        <w:t>i złożyły trzydzieści wniosków o nałożenie na niego kar dyscyplinarnych. Nałożenie</w:t>
      </w:r>
      <w:r w:rsidR="00867CDD" w:rsidRPr="0073242A">
        <w:rPr>
          <w:rFonts w:asciiTheme="majorHAnsi" w:hAnsiTheme="majorHAnsi" w:cstheme="majorHAnsi"/>
          <w:lang w:val="pl-PL"/>
        </w:rPr>
        <w:t xml:space="preserve"> na</w:t>
      </w:r>
      <w:r w:rsidR="008179DA" w:rsidRPr="0073242A">
        <w:rPr>
          <w:rFonts w:asciiTheme="majorHAnsi" w:hAnsiTheme="majorHAnsi" w:cstheme="majorHAnsi"/>
          <w:lang w:val="pl-PL"/>
        </w:rPr>
        <w:t xml:space="preserve"> skarżącego statusu niebezpiecznego więźnia powinno być zatem uznane za uzasadnione i konieczne dla zapewnienia bezpieczeństwa w więzieniu.</w:t>
      </w:r>
    </w:p>
    <w:p w14:paraId="55CD3837" w14:textId="4A1945C1" w:rsidR="00DB37FA"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45</w:t>
      </w:r>
      <w:r w:rsidR="00867CDD" w:rsidRPr="0073242A">
        <w:rPr>
          <w:rFonts w:asciiTheme="majorHAnsi" w:hAnsiTheme="majorHAnsi" w:cstheme="majorHAnsi"/>
          <w:lang w:val="pl-PL"/>
        </w:rPr>
        <w:t xml:space="preserve">. </w:t>
      </w:r>
      <w:r w:rsidR="00DB37FA" w:rsidRPr="0073242A">
        <w:rPr>
          <w:rFonts w:asciiTheme="majorHAnsi" w:hAnsiTheme="majorHAnsi" w:cstheme="majorHAnsi"/>
          <w:lang w:val="pl-PL"/>
        </w:rPr>
        <w:t>Stosowanie statusu więźnia niebezpiecznego wobec skarżącego było poddawane weryfikacji co trzy miesiące. Powody wprowadzenia statusu pozostały ważne przez cały okres jego trwania. Gdy tylko Komisja zauważyła poprawę w zachowaniu skarżącego i po stwierdzeniu, że nie stanowił on już zagrożenia dla bezpieczeństwa więzienia, status został zniesiony w dniu 12 lutego 2014 r. W tych okolicznościach Rząd stwierdził, że nałożenie na skarżącego statusu było zgodne z prawem i konieczne, ab</w:t>
      </w:r>
      <w:r w:rsidR="00867CDD" w:rsidRPr="0073242A">
        <w:rPr>
          <w:rFonts w:asciiTheme="majorHAnsi" w:hAnsiTheme="majorHAnsi" w:cstheme="majorHAnsi"/>
          <w:lang w:val="pl-PL"/>
        </w:rPr>
        <w:t>y</w:t>
      </w:r>
      <w:r w:rsidR="00DB37FA" w:rsidRPr="0073242A">
        <w:rPr>
          <w:rFonts w:asciiTheme="majorHAnsi" w:hAnsiTheme="majorHAnsi" w:cstheme="majorHAnsi"/>
          <w:lang w:val="pl-PL"/>
        </w:rPr>
        <w:t xml:space="preserve"> uniknąć ryzyka zakłóc</w:t>
      </w:r>
      <w:r w:rsidR="00867CDD" w:rsidRPr="0073242A">
        <w:rPr>
          <w:rFonts w:asciiTheme="majorHAnsi" w:hAnsiTheme="majorHAnsi" w:cstheme="majorHAnsi"/>
          <w:lang w:val="pl-PL"/>
        </w:rPr>
        <w:t>a</w:t>
      </w:r>
      <w:r w:rsidR="00DB37FA" w:rsidRPr="0073242A">
        <w:rPr>
          <w:rFonts w:asciiTheme="majorHAnsi" w:hAnsiTheme="majorHAnsi" w:cstheme="majorHAnsi"/>
          <w:lang w:val="pl-PL"/>
        </w:rPr>
        <w:t>nia spokoju w więzie</w:t>
      </w:r>
      <w:r w:rsidR="00867CDD" w:rsidRPr="0073242A">
        <w:rPr>
          <w:rFonts w:asciiTheme="majorHAnsi" w:hAnsiTheme="majorHAnsi" w:cstheme="majorHAnsi"/>
          <w:lang w:val="pl-PL"/>
        </w:rPr>
        <w:t>niu</w:t>
      </w:r>
      <w:r w:rsidR="00DB37FA" w:rsidRPr="0073242A">
        <w:rPr>
          <w:rFonts w:asciiTheme="majorHAnsi" w:hAnsiTheme="majorHAnsi" w:cstheme="majorHAnsi"/>
          <w:lang w:val="pl-PL"/>
        </w:rPr>
        <w:t>, jak również w celu utrzymania bezpieczeństwa więziennego.</w:t>
      </w:r>
    </w:p>
    <w:p w14:paraId="3CF28660" w14:textId="7B1BE795" w:rsidR="00DB37FA"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46</w:t>
      </w:r>
      <w:r w:rsidR="00867CDD" w:rsidRPr="0073242A">
        <w:rPr>
          <w:rFonts w:asciiTheme="majorHAnsi" w:hAnsiTheme="majorHAnsi" w:cstheme="majorHAnsi"/>
          <w:lang w:val="pl-PL"/>
        </w:rPr>
        <w:t xml:space="preserve">. </w:t>
      </w:r>
      <w:r w:rsidR="00DB37FA" w:rsidRPr="0073242A">
        <w:rPr>
          <w:rFonts w:asciiTheme="majorHAnsi" w:hAnsiTheme="majorHAnsi" w:cstheme="majorHAnsi"/>
          <w:lang w:val="pl-PL"/>
        </w:rPr>
        <w:t>Rząd podkreślił, że skarżącemu zapewniono odpowiednią stymulację i odpowiedni kontakt z drugim człowiekiem podczas całego okresu, którego dotyczyła skarga. W szczególności pozwolono mu trzy razy w tygodniu korzystać z pokoju dziennego wyposażonego w telewizor, odtwarzacz DVD i laptop; skarżący miał dostęp do prasy i książek z biblioteki więziennej; pozwolono mu również uczestniczyć w różnych zajęciach sportowych i kulturalnych.</w:t>
      </w:r>
    </w:p>
    <w:p w14:paraId="3F19D609" w14:textId="7B81F343" w:rsidR="00DB37FA"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47</w:t>
      </w:r>
      <w:r w:rsidR="00867CDD" w:rsidRPr="0073242A">
        <w:rPr>
          <w:rFonts w:asciiTheme="majorHAnsi" w:hAnsiTheme="majorHAnsi" w:cstheme="majorHAnsi"/>
          <w:lang w:val="pl-PL"/>
        </w:rPr>
        <w:t xml:space="preserve">. </w:t>
      </w:r>
      <w:r w:rsidR="00DB37FA" w:rsidRPr="0073242A">
        <w:rPr>
          <w:rFonts w:asciiTheme="majorHAnsi" w:hAnsiTheme="majorHAnsi" w:cstheme="majorHAnsi"/>
          <w:lang w:val="pl-PL"/>
        </w:rPr>
        <w:t>Rząd stwierdził ponadto, że cela skarżącego była wyposażona w telewizor i konsolę do gier komputerowych. Skarżący odmawiał jedn</w:t>
      </w:r>
      <w:r w:rsidR="00867CDD" w:rsidRPr="0073242A">
        <w:rPr>
          <w:rFonts w:asciiTheme="majorHAnsi" w:hAnsiTheme="majorHAnsi" w:cstheme="majorHAnsi"/>
          <w:lang w:val="pl-PL"/>
        </w:rPr>
        <w:t>a</w:t>
      </w:r>
      <w:r w:rsidR="00DB37FA" w:rsidRPr="0073242A">
        <w:rPr>
          <w:rFonts w:asciiTheme="majorHAnsi" w:hAnsiTheme="majorHAnsi" w:cstheme="majorHAnsi"/>
          <w:lang w:val="pl-PL"/>
        </w:rPr>
        <w:t>k udziału w zajęciach kulturalnych w pokoju dziennym z innymi więźniami. Odmówił także umieszczenia go w celi z innym więźniem.</w:t>
      </w:r>
    </w:p>
    <w:p w14:paraId="5D34E3D8" w14:textId="2A0CB508" w:rsidR="00DB37FA"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48</w:t>
      </w:r>
      <w:r w:rsidR="006173F5" w:rsidRPr="0073242A">
        <w:rPr>
          <w:rFonts w:asciiTheme="majorHAnsi" w:hAnsiTheme="majorHAnsi" w:cstheme="majorHAnsi"/>
          <w:lang w:val="pl-PL"/>
        </w:rPr>
        <w:t>.  </w:t>
      </w:r>
      <w:r w:rsidR="00DB37FA" w:rsidRPr="0073242A">
        <w:rPr>
          <w:rFonts w:asciiTheme="majorHAnsi" w:hAnsiTheme="majorHAnsi" w:cstheme="majorHAnsi"/>
          <w:lang w:val="pl-PL"/>
        </w:rPr>
        <w:t>Podsumowując, Rząd zwrócił się do Trybunału o stwierdzenie naruszenia Artykułu 3 Konwencji.</w:t>
      </w:r>
    </w:p>
    <w:p w14:paraId="5115C7BC" w14:textId="77777777" w:rsidR="00726CC8" w:rsidRPr="0073242A" w:rsidRDefault="00726CC8" w:rsidP="0073242A">
      <w:pPr>
        <w:pStyle w:val="ECHRHeading3"/>
        <w:rPr>
          <w:rFonts w:cstheme="majorHAnsi"/>
          <w:lang w:val="pl-PL"/>
        </w:rPr>
      </w:pPr>
      <w:r w:rsidRPr="0073242A">
        <w:rPr>
          <w:rFonts w:cstheme="majorHAnsi"/>
          <w:lang w:val="pl-PL"/>
        </w:rPr>
        <w:t>3.  Ocena Trybunału</w:t>
      </w:r>
    </w:p>
    <w:p w14:paraId="4B9C5136" w14:textId="77777777" w:rsidR="004300C1" w:rsidRPr="0073242A" w:rsidRDefault="00192BBE" w:rsidP="0073242A">
      <w:pPr>
        <w:pStyle w:val="ECHRHeading4"/>
        <w:rPr>
          <w:rFonts w:cstheme="majorHAnsi"/>
          <w:lang w:val="pl-PL"/>
        </w:rPr>
      </w:pPr>
      <w:r w:rsidRPr="0073242A">
        <w:rPr>
          <w:rFonts w:cstheme="majorHAnsi"/>
          <w:lang w:val="pl-PL"/>
        </w:rPr>
        <w:t xml:space="preserve"> </w:t>
      </w:r>
      <w:r w:rsidR="004300C1" w:rsidRPr="0073242A">
        <w:rPr>
          <w:rFonts w:cstheme="majorHAnsi"/>
          <w:lang w:val="pl-PL"/>
        </w:rPr>
        <w:t>(a)  Ogólne zasady wynikające z orzecznictwa Trybunału</w:t>
      </w:r>
    </w:p>
    <w:p w14:paraId="46E45D42" w14:textId="1BFDAA09" w:rsidR="002450E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49</w:t>
      </w:r>
      <w:r w:rsidR="006173F5" w:rsidRPr="0073242A">
        <w:rPr>
          <w:rFonts w:asciiTheme="majorHAnsi" w:hAnsiTheme="majorHAnsi" w:cstheme="majorHAnsi"/>
          <w:lang w:val="pl-PL"/>
        </w:rPr>
        <w:t>. </w:t>
      </w:r>
      <w:r w:rsidR="002450E2" w:rsidRPr="0073242A">
        <w:rPr>
          <w:rFonts w:asciiTheme="majorHAnsi" w:hAnsiTheme="majorHAnsi" w:cstheme="majorHAnsi"/>
          <w:lang w:val="pl-PL"/>
        </w:rPr>
        <w:t xml:space="preserve">Właściwe zasady ogólne odnoszące się do orzecznictwa Trybunału podsumowano w wyrokach w sprawach </w:t>
      </w:r>
      <w:r w:rsidR="002450E2" w:rsidRPr="0073242A">
        <w:rPr>
          <w:rFonts w:asciiTheme="majorHAnsi" w:hAnsiTheme="majorHAnsi" w:cstheme="majorHAnsi"/>
          <w:i/>
          <w:lang w:val="pl-PL"/>
        </w:rPr>
        <w:t xml:space="preserve">Piechowicz p. Polsce </w:t>
      </w:r>
      <w:r w:rsidR="002450E2" w:rsidRPr="0073242A">
        <w:rPr>
          <w:rFonts w:asciiTheme="majorHAnsi" w:hAnsiTheme="majorHAnsi" w:cstheme="majorHAnsi"/>
          <w:lang w:val="pl-PL"/>
        </w:rPr>
        <w:t xml:space="preserve">(patrz </w:t>
      </w:r>
      <w:r w:rsidR="002450E2" w:rsidRPr="0073242A">
        <w:rPr>
          <w:rFonts w:asciiTheme="majorHAnsi" w:hAnsiTheme="majorHAnsi" w:cstheme="majorHAnsi"/>
          <w:i/>
          <w:lang w:val="pl-PL"/>
        </w:rPr>
        <w:lastRenderedPageBreak/>
        <w:t>Piechowicz</w:t>
      </w:r>
      <w:r w:rsidR="002450E2" w:rsidRPr="0073242A">
        <w:rPr>
          <w:rFonts w:asciiTheme="majorHAnsi" w:hAnsiTheme="majorHAnsi" w:cstheme="majorHAnsi"/>
          <w:lang w:val="pl-PL"/>
        </w:rPr>
        <w:t xml:space="preserve">, cyt. wyżej, §§ 158-65) oraz </w:t>
      </w:r>
      <w:proofErr w:type="spellStart"/>
      <w:r w:rsidR="002450E2" w:rsidRPr="0073242A">
        <w:rPr>
          <w:rFonts w:asciiTheme="majorHAnsi" w:hAnsiTheme="majorHAnsi" w:cstheme="majorHAnsi"/>
          <w:i/>
          <w:lang w:val="pl-PL"/>
        </w:rPr>
        <w:t>Horych</w:t>
      </w:r>
      <w:proofErr w:type="spellEnd"/>
      <w:r w:rsidR="002450E2" w:rsidRPr="0073242A">
        <w:rPr>
          <w:rFonts w:asciiTheme="majorHAnsi" w:hAnsiTheme="majorHAnsi" w:cstheme="majorHAnsi"/>
          <w:i/>
          <w:lang w:val="pl-PL"/>
        </w:rPr>
        <w:t xml:space="preserve"> p. Polsce </w:t>
      </w:r>
      <w:r w:rsidR="002450E2" w:rsidRPr="0073242A">
        <w:rPr>
          <w:rFonts w:asciiTheme="majorHAnsi" w:hAnsiTheme="majorHAnsi" w:cstheme="majorHAnsi"/>
          <w:lang w:val="pl-PL"/>
        </w:rPr>
        <w:t>(</w:t>
      </w:r>
      <w:proofErr w:type="spellStart"/>
      <w:r w:rsidR="002450E2" w:rsidRPr="0073242A">
        <w:rPr>
          <w:rFonts w:asciiTheme="majorHAnsi" w:hAnsiTheme="majorHAnsi" w:cstheme="majorHAnsi"/>
          <w:i/>
          <w:lang w:val="pl-PL"/>
        </w:rPr>
        <w:t>Horych</w:t>
      </w:r>
      <w:proofErr w:type="spellEnd"/>
      <w:r w:rsidR="002450E2" w:rsidRPr="0073242A">
        <w:rPr>
          <w:rFonts w:asciiTheme="majorHAnsi" w:hAnsiTheme="majorHAnsi" w:cstheme="majorHAnsi"/>
          <w:lang w:val="pl-PL"/>
        </w:rPr>
        <w:t>, cyt. wyżej, §§ 85-92).</w:t>
      </w:r>
    </w:p>
    <w:p w14:paraId="41DA823F" w14:textId="77777777" w:rsidR="002450E2" w:rsidRPr="0073242A" w:rsidRDefault="00745CBD" w:rsidP="0073242A">
      <w:pPr>
        <w:pStyle w:val="ECHRHeading4"/>
        <w:rPr>
          <w:rFonts w:cstheme="majorHAnsi"/>
          <w:lang w:val="pl-PL"/>
        </w:rPr>
      </w:pPr>
      <w:r w:rsidRPr="0073242A">
        <w:rPr>
          <w:rFonts w:cstheme="majorHAnsi"/>
          <w:lang w:val="pl-PL"/>
        </w:rPr>
        <w:t xml:space="preserve"> </w:t>
      </w:r>
      <w:r w:rsidR="002450E2" w:rsidRPr="0073242A">
        <w:rPr>
          <w:rFonts w:cstheme="majorHAnsi"/>
          <w:lang w:val="pl-PL"/>
        </w:rPr>
        <w:t>(b) Zastosowanie powyższych zasad w przedmiotowej sprawie</w:t>
      </w:r>
    </w:p>
    <w:p w14:paraId="76C3797C" w14:textId="77777777" w:rsidR="002450E2" w:rsidRPr="0073242A" w:rsidRDefault="002450E2" w:rsidP="0073242A">
      <w:pPr>
        <w:pStyle w:val="ECHRPara"/>
        <w:rPr>
          <w:rFonts w:asciiTheme="majorHAnsi" w:hAnsiTheme="majorHAnsi" w:cstheme="majorHAnsi"/>
          <w:lang w:val="pl-PL"/>
        </w:rPr>
      </w:pPr>
    </w:p>
    <w:p w14:paraId="441878A4" w14:textId="3F2055BD" w:rsidR="002450E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50</w:t>
      </w:r>
      <w:r w:rsidR="006173F5" w:rsidRPr="0073242A">
        <w:rPr>
          <w:rFonts w:asciiTheme="majorHAnsi" w:hAnsiTheme="majorHAnsi" w:cstheme="majorHAnsi"/>
          <w:lang w:val="pl-PL"/>
        </w:rPr>
        <w:t>.  </w:t>
      </w:r>
      <w:r w:rsidR="00C46D89" w:rsidRPr="0073242A">
        <w:rPr>
          <w:rFonts w:asciiTheme="majorHAnsi" w:hAnsiTheme="majorHAnsi" w:cstheme="majorHAnsi"/>
          <w:lang w:val="pl-PL"/>
        </w:rPr>
        <w:t xml:space="preserve">Trybunał zauważył, że bezspornym jest fakt, że w okresie od </w:t>
      </w:r>
      <w:r w:rsidR="00C46D89" w:rsidRPr="0073242A">
        <w:rPr>
          <w:rFonts w:asciiTheme="majorHAnsi" w:hAnsiTheme="majorHAnsi" w:cstheme="majorHAnsi"/>
          <w:lang w:val="pl-PL"/>
        </w:rPr>
        <w:br/>
        <w:t>14 września 2009 r. do 12 lutego 2014 r., tj. przez okres czterech lat</w:t>
      </w:r>
      <w:r w:rsidR="00745CBD" w:rsidRPr="0073242A">
        <w:rPr>
          <w:rFonts w:asciiTheme="majorHAnsi" w:hAnsiTheme="majorHAnsi" w:cstheme="majorHAnsi"/>
          <w:lang w:val="pl-PL"/>
        </w:rPr>
        <w:t xml:space="preserve"> </w:t>
      </w:r>
      <w:r w:rsidR="00C46D89" w:rsidRPr="0073242A">
        <w:rPr>
          <w:rFonts w:asciiTheme="majorHAnsi" w:hAnsiTheme="majorHAnsi" w:cstheme="majorHAnsi"/>
          <w:lang w:val="pl-PL"/>
        </w:rPr>
        <w:t xml:space="preserve">i prawie pięciu miesięcy, skarżącego zakwalifikowano jako </w:t>
      </w:r>
      <w:r w:rsidR="00B34E7F" w:rsidRPr="0073242A">
        <w:rPr>
          <w:rFonts w:asciiTheme="majorHAnsi" w:hAnsiTheme="majorHAnsi" w:cstheme="majorHAnsi"/>
          <w:lang w:val="pl-PL"/>
        </w:rPr>
        <w:t>więźnia niebezpiecznego</w:t>
      </w:r>
      <w:r w:rsidR="00C46D89" w:rsidRPr="0073242A">
        <w:rPr>
          <w:rFonts w:asciiTheme="majorHAnsi" w:hAnsiTheme="majorHAnsi" w:cstheme="majorHAnsi"/>
          <w:lang w:val="pl-PL"/>
        </w:rPr>
        <w:t xml:space="preserve">, w związku z czym podlegał on </w:t>
      </w:r>
      <w:r w:rsidR="00C46D89" w:rsidRPr="004951DB">
        <w:rPr>
          <w:rFonts w:asciiTheme="majorHAnsi" w:hAnsiTheme="majorHAnsi" w:cstheme="majorHAnsi"/>
          <w:lang w:val="pl-PL"/>
        </w:rPr>
        <w:t xml:space="preserve">surowym środkom bezpieczeństwa i różnorodnym ograniczeniom (patrz </w:t>
      </w:r>
      <w:r w:rsidR="00435C57" w:rsidRPr="004951DB">
        <w:rPr>
          <w:rFonts w:asciiTheme="majorHAnsi" w:hAnsiTheme="majorHAnsi" w:cstheme="majorHAnsi"/>
          <w:lang w:val="pl-PL"/>
        </w:rPr>
        <w:t>paragrafy</w:t>
      </w:r>
      <w:r w:rsidR="00C46D89" w:rsidRPr="004951DB">
        <w:rPr>
          <w:rFonts w:asciiTheme="majorHAnsi" w:hAnsiTheme="majorHAnsi" w:cstheme="majorHAnsi"/>
          <w:lang w:val="pl-PL"/>
        </w:rPr>
        <w:t xml:space="preserve"> </w:t>
      </w:r>
      <w:r w:rsidR="00634009" w:rsidRPr="004951DB">
        <w:rPr>
          <w:rFonts w:asciiTheme="majorHAnsi" w:hAnsiTheme="majorHAnsi" w:cstheme="majorHAnsi"/>
          <w:lang w:val="pl-PL"/>
        </w:rPr>
        <w:t>22-33</w:t>
      </w:r>
      <w:r w:rsidR="00745CBD" w:rsidRPr="004951DB">
        <w:rPr>
          <w:rFonts w:asciiTheme="majorHAnsi" w:hAnsiTheme="majorHAnsi" w:cstheme="majorHAnsi"/>
          <w:lang w:val="pl-PL"/>
        </w:rPr>
        <w:t xml:space="preserve"> </w:t>
      </w:r>
      <w:r w:rsidR="00C46D89" w:rsidRPr="004951DB">
        <w:rPr>
          <w:rFonts w:asciiTheme="majorHAnsi" w:hAnsiTheme="majorHAnsi" w:cstheme="majorHAnsi"/>
          <w:lang w:val="pl-PL"/>
        </w:rPr>
        <w:t xml:space="preserve">powyżej). Główne aspekty </w:t>
      </w:r>
      <w:r w:rsidR="00745CBD" w:rsidRPr="004951DB">
        <w:rPr>
          <w:rFonts w:asciiTheme="majorHAnsi" w:hAnsiTheme="majorHAnsi" w:cstheme="majorHAnsi"/>
          <w:lang w:val="pl-PL"/>
        </w:rPr>
        <w:t>nałożonego statusu</w:t>
      </w:r>
      <w:r w:rsidR="00C46D89" w:rsidRPr="004951DB">
        <w:rPr>
          <w:rFonts w:asciiTheme="majorHAnsi" w:hAnsiTheme="majorHAnsi" w:cstheme="majorHAnsi"/>
          <w:lang w:val="pl-PL"/>
        </w:rPr>
        <w:t xml:space="preserve"> podniesione przez skarżącego i określone poniżej, nie były kwestionowane przez Rząd (patrz </w:t>
      </w:r>
      <w:r w:rsidR="00435C57" w:rsidRPr="004951DB">
        <w:rPr>
          <w:rFonts w:asciiTheme="majorHAnsi" w:hAnsiTheme="majorHAnsi" w:cstheme="majorHAnsi"/>
          <w:lang w:val="pl-PL"/>
        </w:rPr>
        <w:t>paragrafy</w:t>
      </w:r>
      <w:r w:rsidR="00C46D89" w:rsidRPr="004951DB">
        <w:rPr>
          <w:rFonts w:asciiTheme="majorHAnsi" w:hAnsiTheme="majorHAnsi" w:cstheme="majorHAnsi"/>
          <w:lang w:val="pl-PL"/>
        </w:rPr>
        <w:t xml:space="preserve"> </w:t>
      </w:r>
      <w:r w:rsidR="00634009" w:rsidRPr="004951DB">
        <w:rPr>
          <w:rFonts w:asciiTheme="majorHAnsi" w:hAnsiTheme="majorHAnsi" w:cstheme="majorHAnsi"/>
          <w:lang w:val="pl-PL"/>
        </w:rPr>
        <w:t>44-47</w:t>
      </w:r>
      <w:r w:rsidR="00745CBD" w:rsidRPr="004951DB">
        <w:rPr>
          <w:rFonts w:asciiTheme="majorHAnsi" w:hAnsiTheme="majorHAnsi" w:cstheme="majorHAnsi"/>
          <w:lang w:val="pl-PL"/>
        </w:rPr>
        <w:t xml:space="preserve"> </w:t>
      </w:r>
      <w:r w:rsidR="00C46D89" w:rsidRPr="004951DB">
        <w:rPr>
          <w:rFonts w:asciiTheme="majorHAnsi" w:hAnsiTheme="majorHAnsi" w:cstheme="majorHAnsi"/>
          <w:lang w:val="pl-PL"/>
        </w:rPr>
        <w:t>powyżej). Szczegóły kluczowych aspektów</w:t>
      </w:r>
      <w:r w:rsidR="00C46D89" w:rsidRPr="0073242A">
        <w:rPr>
          <w:rFonts w:asciiTheme="majorHAnsi" w:hAnsiTheme="majorHAnsi" w:cstheme="majorHAnsi"/>
          <w:lang w:val="pl-PL"/>
        </w:rPr>
        <w:t xml:space="preserve"> </w:t>
      </w:r>
      <w:r w:rsidR="00745CBD" w:rsidRPr="0073242A">
        <w:rPr>
          <w:rFonts w:asciiTheme="majorHAnsi" w:hAnsiTheme="majorHAnsi" w:cstheme="majorHAnsi"/>
          <w:lang w:val="pl-PL"/>
        </w:rPr>
        <w:t>nakładania</w:t>
      </w:r>
      <w:r w:rsidR="00C46D89" w:rsidRPr="0073242A">
        <w:rPr>
          <w:rFonts w:asciiTheme="majorHAnsi" w:hAnsiTheme="majorHAnsi" w:cstheme="majorHAnsi"/>
          <w:lang w:val="pl-PL"/>
        </w:rPr>
        <w:t xml:space="preserve"> </w:t>
      </w:r>
      <w:r w:rsidR="00745CBD" w:rsidRPr="0073242A">
        <w:rPr>
          <w:rFonts w:asciiTheme="majorHAnsi" w:hAnsiTheme="majorHAnsi" w:cstheme="majorHAnsi"/>
          <w:lang w:val="pl-PL"/>
        </w:rPr>
        <w:t xml:space="preserve">statusu </w:t>
      </w:r>
      <w:r w:rsidR="00B34E7F" w:rsidRPr="0073242A">
        <w:rPr>
          <w:rFonts w:asciiTheme="majorHAnsi" w:hAnsiTheme="majorHAnsi" w:cstheme="majorHAnsi"/>
          <w:lang w:val="pl-PL"/>
        </w:rPr>
        <w:t>więźnia</w:t>
      </w:r>
      <w:r w:rsidR="00C46D89" w:rsidRPr="0073242A">
        <w:rPr>
          <w:rFonts w:asciiTheme="majorHAnsi" w:hAnsiTheme="majorHAnsi" w:cstheme="majorHAnsi"/>
          <w:lang w:val="pl-PL"/>
        </w:rPr>
        <w:t xml:space="preserve"> niebezpiecznego przeanalizowano dogłębnie również w wyroku </w:t>
      </w:r>
      <w:r w:rsidR="00C46D89" w:rsidRPr="0073242A">
        <w:rPr>
          <w:rFonts w:asciiTheme="majorHAnsi" w:hAnsiTheme="majorHAnsi" w:cstheme="majorHAnsi"/>
          <w:i/>
          <w:lang w:val="pl-PL"/>
        </w:rPr>
        <w:t xml:space="preserve">Piechowicz </w:t>
      </w:r>
      <w:r w:rsidR="00C46D89" w:rsidRPr="0073242A">
        <w:rPr>
          <w:rFonts w:asciiTheme="majorHAnsi" w:hAnsiTheme="majorHAnsi" w:cstheme="majorHAnsi"/>
          <w:lang w:val="pl-PL"/>
        </w:rPr>
        <w:t>(cyt. wyżej, § 166, z dalszymi odniesieniami).</w:t>
      </w:r>
    </w:p>
    <w:p w14:paraId="79D9094F" w14:textId="6D48559F" w:rsidR="006A643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51</w:t>
      </w:r>
      <w:r w:rsidR="006173F5" w:rsidRPr="0073242A">
        <w:rPr>
          <w:rFonts w:asciiTheme="majorHAnsi" w:hAnsiTheme="majorHAnsi" w:cstheme="majorHAnsi"/>
          <w:lang w:val="pl-PL"/>
        </w:rPr>
        <w:t>.</w:t>
      </w:r>
      <w:r w:rsidR="006A6437" w:rsidRPr="0073242A">
        <w:rPr>
          <w:rFonts w:asciiTheme="majorHAnsi" w:hAnsiTheme="majorHAnsi" w:cstheme="majorHAnsi"/>
          <w:lang w:val="pl-PL"/>
        </w:rPr>
        <w:t xml:space="preserve"> Skarżący twierdził, że środki zastosowane w jego sprawie obejmowały zamknięcie w specjaln</w:t>
      </w:r>
      <w:r w:rsidR="00745CBD" w:rsidRPr="0073242A">
        <w:rPr>
          <w:rFonts w:asciiTheme="majorHAnsi" w:hAnsiTheme="majorHAnsi" w:cstheme="majorHAnsi"/>
          <w:lang w:val="pl-PL"/>
        </w:rPr>
        <w:t>ym skrzydle</w:t>
      </w:r>
      <w:r w:rsidR="006A6437" w:rsidRPr="0073242A">
        <w:rPr>
          <w:rFonts w:asciiTheme="majorHAnsi" w:hAnsiTheme="majorHAnsi" w:cstheme="majorHAnsi"/>
          <w:lang w:val="pl-PL"/>
        </w:rPr>
        <w:t xml:space="preserve"> </w:t>
      </w:r>
      <w:r w:rsidR="00435C57" w:rsidRPr="0073242A">
        <w:rPr>
          <w:rFonts w:asciiTheme="majorHAnsi" w:hAnsiTheme="majorHAnsi" w:cstheme="majorHAnsi"/>
          <w:lang w:val="pl-PL"/>
        </w:rPr>
        <w:t>zakładu karnego</w:t>
      </w:r>
      <w:r w:rsidR="006A6437" w:rsidRPr="0073242A">
        <w:rPr>
          <w:rFonts w:asciiTheme="majorHAnsi" w:hAnsiTheme="majorHAnsi" w:cstheme="majorHAnsi"/>
          <w:lang w:val="pl-PL"/>
        </w:rPr>
        <w:t xml:space="preserve"> o podwyższonym stopniu bezpieczeństwa i zwiększony nadzór nad jego ruchami wewnątrz i na zewnątrz celi, co w praktyce oznaczało, że musiał nosić kajdany połączone (kajdany na ręce i kajdany na nogi połączone ze sobą łańcuchami) za każdym razem, gdy był zabierany poza teren zakładu karnego i kajdanki na ręce za każdym razem, gdy był zabierany poza celę. Środki obejmowały oddzielenie skarżącego od społeczności więziennej, w tym odosobnienie i ograniczenia w kontaktach z rodziną. Za każdym razem, gdy opuszczał celę lub do niej wchodził, był rutynowo poddawany pełnej rewizji osobistej - dokładnemu badaniu jego ciała i ubrań, w których był on zobowiązany rozebrać się do naga i pochylić, aby umożliwić badanie odbytu (</w:t>
      </w:r>
      <w:r w:rsidR="006C5D35" w:rsidRPr="0073242A">
        <w:rPr>
          <w:rFonts w:asciiTheme="majorHAnsi" w:hAnsiTheme="majorHAnsi" w:cstheme="majorHAnsi"/>
          <w:lang w:val="pl-PL"/>
        </w:rPr>
        <w:t>patrz</w:t>
      </w:r>
      <w:r w:rsidR="006A6437" w:rsidRPr="0073242A">
        <w:rPr>
          <w:rFonts w:asciiTheme="majorHAnsi" w:hAnsiTheme="majorHAnsi" w:cstheme="majorHAnsi"/>
          <w:lang w:val="pl-PL"/>
        </w:rPr>
        <w:t xml:space="preserve"> </w:t>
      </w:r>
      <w:r w:rsidR="00435C57" w:rsidRPr="0073242A">
        <w:rPr>
          <w:rFonts w:asciiTheme="majorHAnsi" w:hAnsiTheme="majorHAnsi" w:cstheme="majorHAnsi"/>
          <w:lang w:val="pl-PL"/>
        </w:rPr>
        <w:t>paragraf</w:t>
      </w:r>
      <w:r w:rsidR="006A6437" w:rsidRPr="0073242A">
        <w:rPr>
          <w:rFonts w:asciiTheme="majorHAnsi" w:hAnsiTheme="majorHAnsi" w:cstheme="majorHAnsi"/>
          <w:lang w:val="pl-PL"/>
        </w:rPr>
        <w:t xml:space="preserve"> </w:t>
      </w:r>
      <w:r w:rsidR="00634009" w:rsidRPr="0073242A">
        <w:rPr>
          <w:rFonts w:asciiTheme="majorHAnsi" w:hAnsiTheme="majorHAnsi" w:cstheme="majorHAnsi"/>
          <w:lang w:val="pl-PL"/>
        </w:rPr>
        <w:t>24</w:t>
      </w:r>
      <w:r w:rsidR="006A6437" w:rsidRPr="0073242A">
        <w:rPr>
          <w:rFonts w:asciiTheme="majorHAnsi" w:hAnsiTheme="majorHAnsi" w:cstheme="majorHAnsi"/>
          <w:lang w:val="pl-PL"/>
        </w:rPr>
        <w:t xml:space="preserve"> powyżej). Ponadto jego cela, w tym zaplecze sanitarne, była stale monitorowana za pośrednictwem telewizji przemysłowej.</w:t>
      </w:r>
    </w:p>
    <w:p w14:paraId="164724D2" w14:textId="77777777" w:rsidR="006A6437" w:rsidRPr="0073242A" w:rsidRDefault="006A6437" w:rsidP="0073242A">
      <w:pPr>
        <w:pStyle w:val="ECHRPara"/>
        <w:rPr>
          <w:rFonts w:asciiTheme="majorHAnsi" w:hAnsiTheme="majorHAnsi" w:cstheme="majorHAnsi"/>
          <w:lang w:val="pl-PL"/>
        </w:rPr>
      </w:pPr>
      <w:r w:rsidRPr="0073242A">
        <w:rPr>
          <w:rFonts w:asciiTheme="majorHAnsi" w:hAnsiTheme="majorHAnsi" w:cstheme="majorHAnsi"/>
          <w:lang w:val="pl-PL"/>
        </w:rPr>
        <w:t xml:space="preserve">Rząd nie zakwestionował tych zarzutów. Podkreślili, że skarżący miał dostęp do pomieszczeń w </w:t>
      </w:r>
      <w:r w:rsidR="00435C57" w:rsidRPr="0073242A">
        <w:rPr>
          <w:rFonts w:asciiTheme="majorHAnsi" w:hAnsiTheme="majorHAnsi" w:cstheme="majorHAnsi"/>
          <w:lang w:val="pl-PL"/>
        </w:rPr>
        <w:t>zakładach karnych</w:t>
      </w:r>
      <w:r w:rsidRPr="0073242A">
        <w:rPr>
          <w:rFonts w:asciiTheme="majorHAnsi" w:hAnsiTheme="majorHAnsi" w:cstheme="majorHAnsi"/>
          <w:lang w:val="pl-PL"/>
        </w:rPr>
        <w:t>, takich jak pokój dzienny lub biblioteka. Rząd utrzymał jednak, że skarżący odmówił spędzenia czasu w pokoju dziennym z innymi więźniami.</w:t>
      </w:r>
    </w:p>
    <w:p w14:paraId="425C4F5A" w14:textId="174F268A" w:rsidR="006A643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52</w:t>
      </w:r>
      <w:r w:rsidR="006C5D35" w:rsidRPr="0073242A">
        <w:rPr>
          <w:rFonts w:asciiTheme="majorHAnsi" w:hAnsiTheme="majorHAnsi" w:cstheme="majorHAnsi"/>
          <w:lang w:val="pl-PL"/>
        </w:rPr>
        <w:t xml:space="preserve">. </w:t>
      </w:r>
      <w:r w:rsidR="000E2BA7" w:rsidRPr="0073242A">
        <w:rPr>
          <w:rFonts w:asciiTheme="majorHAnsi" w:hAnsiTheme="majorHAnsi" w:cstheme="majorHAnsi"/>
          <w:lang w:val="pl-PL"/>
        </w:rPr>
        <w:t xml:space="preserve">Strony nie zgodziły się co do tego, czy niekorzystny wpływ nałożenia powyższych środków na skarżącego był na tyle poważny, aby osiągnąć minimalny poziom dotkliwości wymagany w przypadku naruszenia </w:t>
      </w:r>
      <w:r w:rsidR="004D1AF1" w:rsidRPr="0073242A">
        <w:rPr>
          <w:rFonts w:asciiTheme="majorHAnsi" w:hAnsiTheme="majorHAnsi" w:cstheme="majorHAnsi"/>
          <w:lang w:val="pl-PL"/>
        </w:rPr>
        <w:t>art.</w:t>
      </w:r>
      <w:r w:rsidR="000E2BA7" w:rsidRPr="0073242A">
        <w:rPr>
          <w:rFonts w:asciiTheme="majorHAnsi" w:hAnsiTheme="majorHAnsi" w:cstheme="majorHAnsi"/>
          <w:lang w:val="pl-PL"/>
        </w:rPr>
        <w:t xml:space="preserve"> 3 Konwencji.</w:t>
      </w:r>
    </w:p>
    <w:p w14:paraId="6A5CF8F9" w14:textId="0C429292" w:rsidR="007B2B1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53</w:t>
      </w:r>
      <w:r w:rsidR="006C5D35" w:rsidRPr="0073242A">
        <w:rPr>
          <w:rFonts w:asciiTheme="majorHAnsi" w:hAnsiTheme="majorHAnsi" w:cstheme="majorHAnsi"/>
          <w:lang w:val="pl-PL"/>
        </w:rPr>
        <w:t xml:space="preserve">. </w:t>
      </w:r>
      <w:r w:rsidR="007B2B17" w:rsidRPr="0073242A">
        <w:rPr>
          <w:rFonts w:asciiTheme="majorHAnsi" w:hAnsiTheme="majorHAnsi" w:cstheme="majorHAnsi"/>
          <w:lang w:val="pl-PL"/>
        </w:rPr>
        <w:t>Trybunał zauważa, że decyzja z dnia 14 września 2009 r. nakładająca na skarżącego status więźnia niebezpiecznego była środkiem uzasadnionym poprzez fakt, że w 2002 r. skarżący pobił innego więźnia, kiedy został zatrzymany w Areszcie Śledczym w Lublinie, w toczącym się postępowaniu został oskarżony o poważne przestępstwo, a mianowicie o morderstwo, i zachowywał się w sposób agresywny i nieprzewidywalny (</w:t>
      </w:r>
      <w:r w:rsidR="00BC47CF" w:rsidRPr="0073242A">
        <w:rPr>
          <w:rFonts w:asciiTheme="majorHAnsi" w:hAnsiTheme="majorHAnsi" w:cstheme="majorHAnsi"/>
          <w:lang w:val="pl-PL"/>
        </w:rPr>
        <w:t>patrz</w:t>
      </w:r>
      <w:r w:rsidR="007B2B17" w:rsidRPr="0073242A">
        <w:rPr>
          <w:rFonts w:asciiTheme="majorHAnsi" w:hAnsiTheme="majorHAnsi" w:cstheme="majorHAnsi"/>
          <w:lang w:val="pl-PL"/>
        </w:rPr>
        <w:t xml:space="preserve"> </w:t>
      </w:r>
      <w:r w:rsidR="00435C57" w:rsidRPr="0073242A">
        <w:rPr>
          <w:rFonts w:asciiTheme="majorHAnsi" w:hAnsiTheme="majorHAnsi" w:cstheme="majorHAnsi"/>
          <w:lang w:val="pl-PL"/>
        </w:rPr>
        <w:t>paragraf</w:t>
      </w:r>
      <w:r w:rsidR="007B2B17" w:rsidRPr="0073242A">
        <w:rPr>
          <w:rFonts w:asciiTheme="majorHAnsi" w:hAnsiTheme="majorHAnsi" w:cstheme="majorHAnsi"/>
          <w:lang w:val="pl-PL"/>
        </w:rPr>
        <w:t xml:space="preserve"> </w:t>
      </w:r>
      <w:r w:rsidR="00634009" w:rsidRPr="0073242A">
        <w:rPr>
          <w:rFonts w:asciiTheme="majorHAnsi" w:hAnsiTheme="majorHAnsi" w:cstheme="majorHAnsi"/>
          <w:lang w:val="pl-PL"/>
        </w:rPr>
        <w:t>13</w:t>
      </w:r>
      <w:r w:rsidR="006C5D35" w:rsidRPr="0073242A">
        <w:rPr>
          <w:rFonts w:asciiTheme="majorHAnsi" w:hAnsiTheme="majorHAnsi" w:cstheme="majorHAnsi"/>
          <w:lang w:val="pl-PL"/>
        </w:rPr>
        <w:t xml:space="preserve"> </w:t>
      </w:r>
      <w:r w:rsidR="007B2B17" w:rsidRPr="0073242A">
        <w:rPr>
          <w:rFonts w:asciiTheme="majorHAnsi" w:hAnsiTheme="majorHAnsi" w:cstheme="majorHAnsi"/>
          <w:lang w:val="pl-PL"/>
        </w:rPr>
        <w:lastRenderedPageBreak/>
        <w:t>powyżej). Nie było więc nieuzasadnionym, by władze zdecydowały, że w celu zapewnienia bezpieczeństwa w więzieniu, skarżący powinien podlegać ściślejszym kontrolom bezpieczeństwa, które obejmowałyby zwiększony i stały nadzór jego ruchów w celi i poza nią, ograniczenia w jego kontaktach i komunikacji ze światem zewnętrznym oraz pewna forma izolacji od reszty więziennej społeczności.</w:t>
      </w:r>
    </w:p>
    <w:p w14:paraId="0BC85B07" w14:textId="14E22538" w:rsidR="007B2B1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54</w:t>
      </w:r>
      <w:r w:rsidR="006C5D35" w:rsidRPr="0073242A">
        <w:rPr>
          <w:rFonts w:asciiTheme="majorHAnsi" w:hAnsiTheme="majorHAnsi" w:cstheme="majorHAnsi"/>
          <w:lang w:val="pl-PL"/>
        </w:rPr>
        <w:t xml:space="preserve">. </w:t>
      </w:r>
      <w:r w:rsidR="007B2B17" w:rsidRPr="0073242A">
        <w:rPr>
          <w:rFonts w:asciiTheme="majorHAnsi" w:hAnsiTheme="majorHAnsi" w:cstheme="majorHAnsi"/>
          <w:lang w:val="pl-PL"/>
        </w:rPr>
        <w:t xml:space="preserve">Jednakże z powodów podanych poniżej Trybunał nie może zaakceptować, że ciągłe, rutynowe i masowe stosowanie pełnego zakresu środków, które stosowały władze w ramach statusu więźnia niebezpiecznego przez ponad cztery lata, było konieczne w celu utrzymania bezpieczeństwa więziennego lub było zgodne z </w:t>
      </w:r>
      <w:r w:rsidR="004D1AF1" w:rsidRPr="0073242A">
        <w:rPr>
          <w:rFonts w:asciiTheme="majorHAnsi" w:hAnsiTheme="majorHAnsi" w:cstheme="majorHAnsi"/>
          <w:lang w:val="pl-PL"/>
        </w:rPr>
        <w:t>art.</w:t>
      </w:r>
      <w:r w:rsidR="007B2B17" w:rsidRPr="0073242A">
        <w:rPr>
          <w:rFonts w:asciiTheme="majorHAnsi" w:hAnsiTheme="majorHAnsi" w:cstheme="majorHAnsi"/>
          <w:lang w:val="pl-PL"/>
        </w:rPr>
        <w:t xml:space="preserve"> 3 Konwencji (patrz </w:t>
      </w:r>
      <w:r w:rsidR="007B2B17" w:rsidRPr="0073242A">
        <w:rPr>
          <w:rFonts w:asciiTheme="majorHAnsi" w:hAnsiTheme="majorHAnsi" w:cstheme="majorHAnsi"/>
          <w:i/>
          <w:lang w:val="pl-PL"/>
        </w:rPr>
        <w:t>Piechowicz</w:t>
      </w:r>
      <w:r w:rsidR="007B2B17" w:rsidRPr="0073242A">
        <w:rPr>
          <w:rFonts w:asciiTheme="majorHAnsi" w:hAnsiTheme="majorHAnsi" w:cstheme="majorHAnsi"/>
          <w:lang w:val="pl-PL"/>
        </w:rPr>
        <w:t>, cytowany powyżej, § 170).</w:t>
      </w:r>
    </w:p>
    <w:p w14:paraId="2058C49B" w14:textId="60B10270" w:rsidR="007C768E" w:rsidRPr="0073242A" w:rsidRDefault="00AB4DEA" w:rsidP="0073242A">
      <w:pPr>
        <w:pStyle w:val="ECHRPara"/>
        <w:rPr>
          <w:rFonts w:asciiTheme="majorHAnsi" w:hAnsiTheme="majorHAnsi" w:cstheme="majorHAnsi"/>
          <w:lang w:val="pl-PL"/>
        </w:rPr>
      </w:pPr>
      <w:r w:rsidRPr="0073242A">
        <w:rPr>
          <w:rFonts w:asciiTheme="majorHAnsi" w:hAnsiTheme="majorHAnsi" w:cstheme="majorHAnsi"/>
          <w:lang w:val="pl-PL"/>
        </w:rPr>
        <w:t>55</w:t>
      </w:r>
      <w:r w:rsidR="006C5D35" w:rsidRPr="0073242A">
        <w:rPr>
          <w:rFonts w:asciiTheme="majorHAnsi" w:hAnsiTheme="majorHAnsi" w:cstheme="majorHAnsi"/>
          <w:lang w:val="pl-PL"/>
        </w:rPr>
        <w:t xml:space="preserve">. </w:t>
      </w:r>
      <w:r w:rsidR="007C768E" w:rsidRPr="0073242A">
        <w:rPr>
          <w:rFonts w:asciiTheme="majorHAnsi" w:hAnsiTheme="majorHAnsi" w:cstheme="majorHAnsi"/>
          <w:lang w:val="pl-PL"/>
        </w:rPr>
        <w:t>Chociaż wydaje się, że skarżący przebywał w samotnej celi w specjalnym oddziale o wysokim poziomie bezpieczeństwa, oddzielonym od reszty więzienia, nie został poddany pełnej izolacji sensorycznej lub społecznej. Zgodnie z wnioskiem Rządu, skarżący miał dostęp do pokoju dziennego, książek i publikacji prasowych z biblioteki więziennej oraz różnych zajęć sportowych i kulturalnych. Biorąc jednak pod uwagę charakter i zakres innych ograniczeń, dostęp do działalności kulturalnej i sportowej nie mógłby w wystarczającym stopniu złagodzić kumulacyjnego, niekorzystnego wpływu nałożenia statusu więźnia niebezpiecznego na skarżącego.</w:t>
      </w:r>
    </w:p>
    <w:p w14:paraId="087B3678" w14:textId="75A43356" w:rsidR="00DC2A69" w:rsidRPr="0073242A" w:rsidRDefault="00AB4DEA" w:rsidP="0073242A">
      <w:pPr>
        <w:pStyle w:val="ECHRPara"/>
        <w:rPr>
          <w:rFonts w:asciiTheme="majorHAnsi" w:hAnsiTheme="majorHAnsi" w:cstheme="majorHAnsi"/>
          <w:lang w:val="pl-PL"/>
        </w:rPr>
      </w:pPr>
      <w:r w:rsidRPr="0073242A">
        <w:rPr>
          <w:rFonts w:asciiTheme="majorHAnsi" w:hAnsiTheme="majorHAnsi" w:cstheme="majorHAnsi"/>
          <w:lang w:val="pl-PL"/>
        </w:rPr>
        <w:t>56</w:t>
      </w:r>
      <w:r w:rsidR="006173F5" w:rsidRPr="0073242A">
        <w:rPr>
          <w:rFonts w:asciiTheme="majorHAnsi" w:hAnsiTheme="majorHAnsi" w:cstheme="majorHAnsi"/>
          <w:lang w:val="pl-PL"/>
        </w:rPr>
        <w:t>.  </w:t>
      </w:r>
      <w:r w:rsidR="00DC2A69" w:rsidRPr="0073242A">
        <w:rPr>
          <w:rFonts w:asciiTheme="majorHAnsi" w:hAnsiTheme="majorHAnsi" w:cstheme="majorHAnsi"/>
          <w:lang w:val="pl-PL"/>
        </w:rPr>
        <w:t>Trybunał ma jeszcze więcej wątpliwości w odniesieniu do pełnej rewizji osobistej, której to skarżący był również poddawany codziennie, a nawet kilka razy dziennie, za każdym razem, gdy opuszczał celę lub wchodził do niej. Przeszukania były przeprowadzane rutynowo i nie wiązały się z żadnymi szczególnymi potrzebami bezpieczeństwa ani z żadnym konkretnym podejrzeniem dotyczącym zachowania skarżącego. Rząd nie wykazał, że takie systematyczne poszukiwania były konieczne dla zapewnienia bezpieczeństwa w więzieniu.</w:t>
      </w:r>
    </w:p>
    <w:p w14:paraId="79E549FF" w14:textId="4B383808" w:rsidR="00897AD2"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57</w:t>
      </w:r>
      <w:r w:rsidR="006173F5" w:rsidRPr="0073242A">
        <w:rPr>
          <w:rFonts w:asciiTheme="majorHAnsi" w:hAnsiTheme="majorHAnsi" w:cstheme="majorHAnsi"/>
          <w:lang w:val="pl-PL"/>
        </w:rPr>
        <w:t>.  </w:t>
      </w:r>
      <w:r w:rsidR="00897AD2" w:rsidRPr="0073242A">
        <w:rPr>
          <w:rFonts w:asciiTheme="majorHAnsi" w:hAnsiTheme="majorHAnsi" w:cstheme="majorHAnsi"/>
          <w:lang w:val="pl-PL"/>
        </w:rPr>
        <w:t xml:space="preserve">Biorąc pod uwagę, że skarżący był poddany kilku innym ścisłym środkom nadzoru, Trybunał uważa, że praktyka codziennych rewizji osobistych, której doświadczał przez ponad cztery lata, wykraczała poza nieuniknione cierpienie i upokorzenie związane z wykonywaniem kary pozbawienia wolności (patrz </w:t>
      </w:r>
      <w:proofErr w:type="spellStart"/>
      <w:r w:rsidR="00897AD2" w:rsidRPr="0073242A">
        <w:rPr>
          <w:rFonts w:asciiTheme="majorHAnsi" w:hAnsiTheme="majorHAnsi" w:cstheme="majorHAnsi"/>
          <w:i/>
          <w:lang w:val="pl-PL"/>
        </w:rPr>
        <w:t>Horych</w:t>
      </w:r>
      <w:proofErr w:type="spellEnd"/>
      <w:r w:rsidR="00897AD2" w:rsidRPr="0073242A">
        <w:rPr>
          <w:rFonts w:asciiTheme="majorHAnsi" w:hAnsiTheme="majorHAnsi" w:cstheme="majorHAnsi"/>
          <w:lang w:val="pl-PL"/>
        </w:rPr>
        <w:t xml:space="preserve">, cytowany powyżej, § 101, i </w:t>
      </w:r>
      <w:r w:rsidR="00897AD2" w:rsidRPr="0073242A">
        <w:rPr>
          <w:rFonts w:asciiTheme="majorHAnsi" w:hAnsiTheme="majorHAnsi" w:cstheme="majorHAnsi"/>
          <w:i/>
          <w:lang w:val="pl-PL"/>
        </w:rPr>
        <w:t>Piechowicz</w:t>
      </w:r>
      <w:r w:rsidR="00897AD2" w:rsidRPr="0073242A">
        <w:rPr>
          <w:rFonts w:asciiTheme="majorHAnsi" w:hAnsiTheme="majorHAnsi" w:cstheme="majorHAnsi"/>
          <w:lang w:val="pl-PL"/>
        </w:rPr>
        <w:t>, cytowany powyżej, §§ 175 i 176).</w:t>
      </w:r>
    </w:p>
    <w:p w14:paraId="6C54A283" w14:textId="6048055F" w:rsidR="00A337C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58</w:t>
      </w:r>
      <w:r w:rsidR="006C5D35" w:rsidRPr="0073242A">
        <w:rPr>
          <w:rFonts w:asciiTheme="majorHAnsi" w:hAnsiTheme="majorHAnsi" w:cstheme="majorHAnsi"/>
          <w:lang w:val="pl-PL"/>
        </w:rPr>
        <w:t xml:space="preserve">. </w:t>
      </w:r>
      <w:r w:rsidR="00A337CB" w:rsidRPr="0073242A">
        <w:rPr>
          <w:rFonts w:asciiTheme="majorHAnsi" w:hAnsiTheme="majorHAnsi" w:cstheme="majorHAnsi"/>
          <w:lang w:val="pl-PL"/>
        </w:rPr>
        <w:t xml:space="preserve">W niniejszej sprawie z właściwych decyzji wynika, że opierały się one zasadniczo na istotnie poważnym charakterze zarzutów wobec skarżącego i </w:t>
      </w:r>
      <w:r w:rsidR="006C5D35" w:rsidRPr="0073242A">
        <w:rPr>
          <w:rFonts w:asciiTheme="majorHAnsi" w:hAnsiTheme="majorHAnsi" w:cstheme="majorHAnsi"/>
          <w:lang w:val="pl-PL"/>
        </w:rPr>
        <w:t xml:space="preserve">jego </w:t>
      </w:r>
      <w:r w:rsidR="00A337CB" w:rsidRPr="0073242A">
        <w:rPr>
          <w:rFonts w:asciiTheme="majorHAnsi" w:hAnsiTheme="majorHAnsi" w:cstheme="majorHAnsi"/>
          <w:lang w:val="pl-PL"/>
        </w:rPr>
        <w:t>powtarzających się agresywnych</w:t>
      </w:r>
      <w:r w:rsidR="006C5D35" w:rsidRPr="0073242A">
        <w:rPr>
          <w:rFonts w:asciiTheme="majorHAnsi" w:hAnsiTheme="majorHAnsi" w:cstheme="majorHAnsi"/>
          <w:lang w:val="pl-PL"/>
        </w:rPr>
        <w:t xml:space="preserve"> zachowań</w:t>
      </w:r>
      <w:r w:rsidR="00A337CB" w:rsidRPr="0073242A">
        <w:rPr>
          <w:rFonts w:asciiTheme="majorHAnsi" w:hAnsiTheme="majorHAnsi" w:cstheme="majorHAnsi"/>
          <w:lang w:val="pl-PL"/>
        </w:rPr>
        <w:t xml:space="preserve">. Niniejsza sprawa różni się od sprawy </w:t>
      </w:r>
      <w:r w:rsidR="00A337CB" w:rsidRPr="0073242A">
        <w:rPr>
          <w:rFonts w:asciiTheme="majorHAnsi" w:hAnsiTheme="majorHAnsi" w:cstheme="majorHAnsi"/>
          <w:i/>
          <w:lang w:val="pl-PL"/>
        </w:rPr>
        <w:t>Piechowicza</w:t>
      </w:r>
      <w:r w:rsidR="00A337CB" w:rsidRPr="0073242A">
        <w:rPr>
          <w:rFonts w:asciiTheme="majorHAnsi" w:hAnsiTheme="majorHAnsi" w:cstheme="majorHAnsi"/>
          <w:lang w:val="pl-PL"/>
        </w:rPr>
        <w:t xml:space="preserve"> (cytowanej powyżej), ponieważ skarżący nie był oskarżony o uczestnictwo w zorganizowanej grupie przestępczej, w związku z czym status nie mógł zostać automatycznie nałożony na niego na podstawie art. 212a § 3 </w:t>
      </w:r>
      <w:r w:rsidR="006C5D35" w:rsidRPr="0073242A">
        <w:rPr>
          <w:rFonts w:asciiTheme="majorHAnsi" w:hAnsiTheme="majorHAnsi" w:cstheme="majorHAnsi"/>
          <w:lang w:val="pl-PL"/>
        </w:rPr>
        <w:t>K</w:t>
      </w:r>
      <w:r w:rsidR="00A337CB" w:rsidRPr="0073242A">
        <w:rPr>
          <w:rFonts w:asciiTheme="majorHAnsi" w:hAnsiTheme="majorHAnsi" w:cstheme="majorHAnsi"/>
          <w:lang w:val="pl-PL"/>
        </w:rPr>
        <w:t xml:space="preserve">odeksu postępowania karnego (porównaj </w:t>
      </w:r>
      <w:r w:rsidR="00A337CB" w:rsidRPr="0073242A">
        <w:rPr>
          <w:rFonts w:asciiTheme="majorHAnsi" w:hAnsiTheme="majorHAnsi" w:cstheme="majorHAnsi"/>
          <w:i/>
          <w:lang w:val="pl-PL"/>
        </w:rPr>
        <w:t>Piechowicz</w:t>
      </w:r>
      <w:r w:rsidR="00A337CB" w:rsidRPr="0073242A">
        <w:rPr>
          <w:rFonts w:asciiTheme="majorHAnsi" w:hAnsiTheme="majorHAnsi" w:cstheme="majorHAnsi"/>
          <w:lang w:val="pl-PL"/>
        </w:rPr>
        <w:t>, cytowany powyżej, §§ 105 i 168).</w:t>
      </w:r>
    </w:p>
    <w:p w14:paraId="05EB6491" w14:textId="7C4C2D01" w:rsidR="00A337CB"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lastRenderedPageBreak/>
        <w:t>59</w:t>
      </w:r>
      <w:r w:rsidR="006173F5" w:rsidRPr="0073242A">
        <w:rPr>
          <w:rFonts w:asciiTheme="majorHAnsi" w:hAnsiTheme="majorHAnsi" w:cstheme="majorHAnsi"/>
          <w:lang w:val="pl-PL"/>
        </w:rPr>
        <w:t>. </w:t>
      </w:r>
      <w:r w:rsidR="00A337CB" w:rsidRPr="0073242A">
        <w:rPr>
          <w:rFonts w:asciiTheme="majorHAnsi" w:hAnsiTheme="majorHAnsi" w:cstheme="majorHAnsi"/>
          <w:lang w:val="pl-PL"/>
        </w:rPr>
        <w:t xml:space="preserve">Podsumowując, dokonując oceny stanu sprawy jako całości, </w:t>
      </w:r>
      <w:r w:rsidR="006C5D35" w:rsidRPr="0073242A">
        <w:rPr>
          <w:rFonts w:asciiTheme="majorHAnsi" w:hAnsiTheme="majorHAnsi" w:cstheme="majorHAnsi"/>
          <w:lang w:val="pl-PL"/>
        </w:rPr>
        <w:t>i</w:t>
      </w:r>
      <w:r w:rsidR="00A337CB" w:rsidRPr="0073242A">
        <w:rPr>
          <w:rFonts w:asciiTheme="majorHAnsi" w:hAnsiTheme="majorHAnsi" w:cstheme="majorHAnsi"/>
          <w:lang w:val="pl-PL"/>
        </w:rPr>
        <w:t xml:space="preserve"> biorąc pod uwagę skumulowane skutki statusu więźnia niebezpiecznego na skarżącym, </w:t>
      </w:r>
      <w:r w:rsidR="00224147" w:rsidRPr="0073242A">
        <w:rPr>
          <w:rFonts w:asciiTheme="majorHAnsi" w:hAnsiTheme="majorHAnsi" w:cstheme="majorHAnsi"/>
          <w:lang w:val="pl-PL"/>
        </w:rPr>
        <w:t>Trybunał</w:t>
      </w:r>
      <w:r w:rsidR="00A337CB" w:rsidRPr="0073242A">
        <w:rPr>
          <w:rFonts w:asciiTheme="majorHAnsi" w:hAnsiTheme="majorHAnsi" w:cstheme="majorHAnsi"/>
          <w:lang w:val="pl-PL"/>
        </w:rPr>
        <w:t xml:space="preserve"> uznaje, że władze krajowe nie dostarczyły wystarczających i odpowiednich powodów, które mogłyby uzasadniać, w okolicznościach niniejszej sprawy, dotkliwość podjętych środków. Trybunał zauważa w szczególności to, że skarżący, choć rzeczywiście wykazywał powtarzające się agresywne i destrukcyjne zachowania, nie stanowił zagrożenia</w:t>
      </w:r>
      <w:r w:rsidR="006C5D35" w:rsidRPr="0073242A">
        <w:rPr>
          <w:rFonts w:asciiTheme="majorHAnsi" w:hAnsiTheme="majorHAnsi" w:cstheme="majorHAnsi"/>
          <w:lang w:val="pl-PL"/>
        </w:rPr>
        <w:t>, jakoby miał dokonać</w:t>
      </w:r>
      <w:r w:rsidR="004C563C" w:rsidRPr="0073242A">
        <w:rPr>
          <w:rFonts w:asciiTheme="majorHAnsi" w:hAnsiTheme="majorHAnsi" w:cstheme="majorHAnsi"/>
          <w:lang w:val="pl-PL"/>
        </w:rPr>
        <w:t xml:space="preserve"> </w:t>
      </w:r>
      <w:r w:rsidR="00A337CB" w:rsidRPr="0073242A">
        <w:rPr>
          <w:rFonts w:asciiTheme="majorHAnsi" w:hAnsiTheme="majorHAnsi" w:cstheme="majorHAnsi"/>
          <w:lang w:val="pl-PL"/>
        </w:rPr>
        <w:t>ucieczki z więzienia.</w:t>
      </w:r>
      <w:r w:rsidR="004D1AF1" w:rsidRPr="0073242A">
        <w:rPr>
          <w:rFonts w:asciiTheme="majorHAnsi" w:hAnsiTheme="majorHAnsi" w:cstheme="majorHAnsi"/>
          <w:lang w:val="pl-PL"/>
        </w:rPr>
        <w:t xml:space="preserve"> Władze krajowe nie rozważyły możliwości nałożenia innych, mniej surowych środków, które stanowiłyby odpowiednią odpowiedź na agresję skarżącego. Trybunał uważa, że w tym kontekście władze nie wykazały, że połączenie nadzoru i środków bezpieczeństwa nałożonych na skarżącego w ramach statusu niebezpiecznego więźnia było rzeczywiście w całości konieczne dla osiągnięcia uzasadnionego celu zapewnienia bezpieczeństwa w więzieniu.</w:t>
      </w:r>
    </w:p>
    <w:p w14:paraId="327DD496" w14:textId="77777777" w:rsidR="004D1AF1" w:rsidRPr="0073242A" w:rsidRDefault="004D1AF1" w:rsidP="0073242A">
      <w:pPr>
        <w:pStyle w:val="ECHRPara"/>
        <w:rPr>
          <w:rFonts w:asciiTheme="majorHAnsi" w:hAnsiTheme="majorHAnsi" w:cstheme="majorHAnsi"/>
          <w:b/>
          <w:u w:val="single"/>
          <w:lang w:val="pl-PL"/>
        </w:rPr>
      </w:pPr>
      <w:r w:rsidRPr="0073242A">
        <w:rPr>
          <w:rFonts w:asciiTheme="majorHAnsi" w:hAnsiTheme="majorHAnsi" w:cstheme="majorHAnsi"/>
          <w:lang w:val="pl-PL"/>
        </w:rPr>
        <w:t>W związku z tym doszło do naruszenia art. 3 Konwencji.</w:t>
      </w:r>
    </w:p>
    <w:p w14:paraId="20514407" w14:textId="77777777" w:rsidR="00A05653" w:rsidRPr="0073242A" w:rsidRDefault="00A05653" w:rsidP="0073242A">
      <w:pPr>
        <w:pStyle w:val="ECHRHeading1"/>
        <w:rPr>
          <w:rFonts w:cstheme="majorHAnsi"/>
          <w:lang w:val="pl-PL"/>
        </w:rPr>
      </w:pPr>
      <w:r w:rsidRPr="0073242A">
        <w:rPr>
          <w:rFonts w:cstheme="majorHAnsi"/>
          <w:lang w:val="pl-PL"/>
        </w:rPr>
        <w:t>II.  INNE ZARZUTY DOTYCZĄCE NARUSZENIA KONWENCJI</w:t>
      </w:r>
    </w:p>
    <w:p w14:paraId="68AB8999" w14:textId="466B1313" w:rsidR="00A05653"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60</w:t>
      </w:r>
      <w:r w:rsidR="00A05653" w:rsidRPr="0073242A">
        <w:rPr>
          <w:rFonts w:asciiTheme="majorHAnsi" w:hAnsiTheme="majorHAnsi" w:cstheme="majorHAnsi"/>
          <w:lang w:val="pl-PL"/>
        </w:rPr>
        <w:t xml:space="preserve">. Skarżący podniósł naruszenie art. 6 i 13 Konwencji. Złożył skargę na sposób, w który komisja penitencjarna zastosowała </w:t>
      </w:r>
      <w:r w:rsidR="00917958" w:rsidRPr="0073242A">
        <w:rPr>
          <w:rFonts w:asciiTheme="majorHAnsi" w:hAnsiTheme="majorHAnsi" w:cstheme="majorHAnsi"/>
          <w:lang w:val="pl-PL"/>
        </w:rPr>
        <w:t>i wydłużyła</w:t>
      </w:r>
      <w:r w:rsidR="00A05653" w:rsidRPr="0073242A">
        <w:rPr>
          <w:rFonts w:asciiTheme="majorHAnsi" w:hAnsiTheme="majorHAnsi" w:cstheme="majorHAnsi"/>
          <w:lang w:val="pl-PL"/>
        </w:rPr>
        <w:t xml:space="preserve"> </w:t>
      </w:r>
      <w:r w:rsidR="00917958" w:rsidRPr="0073242A">
        <w:rPr>
          <w:rFonts w:asciiTheme="majorHAnsi" w:hAnsiTheme="majorHAnsi" w:cstheme="majorHAnsi"/>
          <w:lang w:val="pl-PL"/>
        </w:rPr>
        <w:t>nałożony status</w:t>
      </w:r>
      <w:r w:rsidR="00A05653" w:rsidRPr="0073242A">
        <w:rPr>
          <w:rFonts w:asciiTheme="majorHAnsi" w:hAnsiTheme="majorHAnsi" w:cstheme="majorHAnsi"/>
          <w:lang w:val="pl-PL"/>
        </w:rPr>
        <w:t>, a także na domniemaną bezskuteczność jeg</w:t>
      </w:r>
      <w:r w:rsidR="00917958" w:rsidRPr="0073242A">
        <w:rPr>
          <w:rFonts w:asciiTheme="majorHAnsi" w:hAnsiTheme="majorHAnsi" w:cstheme="majorHAnsi"/>
          <w:lang w:val="pl-PL"/>
        </w:rPr>
        <w:t>o odwoływań</w:t>
      </w:r>
      <w:r w:rsidR="00B47D80" w:rsidRPr="0073242A">
        <w:rPr>
          <w:rFonts w:asciiTheme="majorHAnsi" w:hAnsiTheme="majorHAnsi" w:cstheme="majorHAnsi"/>
          <w:lang w:val="pl-PL"/>
        </w:rPr>
        <w:t xml:space="preserve"> </w:t>
      </w:r>
      <w:r w:rsidR="00917958" w:rsidRPr="0073242A">
        <w:rPr>
          <w:rFonts w:asciiTheme="majorHAnsi" w:hAnsiTheme="majorHAnsi" w:cstheme="majorHAnsi"/>
          <w:lang w:val="pl-PL"/>
        </w:rPr>
        <w:t xml:space="preserve">od </w:t>
      </w:r>
      <w:r w:rsidR="00A05653" w:rsidRPr="0073242A">
        <w:rPr>
          <w:rFonts w:asciiTheme="majorHAnsi" w:hAnsiTheme="majorHAnsi" w:cstheme="majorHAnsi"/>
          <w:lang w:val="pl-PL"/>
        </w:rPr>
        <w:t>decyzji komisji.</w:t>
      </w:r>
    </w:p>
    <w:p w14:paraId="2FB871AE" w14:textId="77777777" w:rsidR="00B47D80"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61</w:t>
      </w:r>
      <w:r w:rsidR="00A05653" w:rsidRPr="0073242A">
        <w:rPr>
          <w:rFonts w:asciiTheme="majorHAnsi" w:hAnsiTheme="majorHAnsi" w:cstheme="majorHAnsi"/>
          <w:lang w:val="pl-PL"/>
        </w:rPr>
        <w:t>. Rząd nie zgodził się z przedstawionymi zarzutami.</w:t>
      </w:r>
    </w:p>
    <w:p w14:paraId="3059C502" w14:textId="77777777" w:rsidR="00B47D80"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62</w:t>
      </w:r>
      <w:r w:rsidR="00A05653" w:rsidRPr="0073242A">
        <w:rPr>
          <w:rFonts w:asciiTheme="majorHAnsi" w:hAnsiTheme="majorHAnsi" w:cstheme="majorHAnsi"/>
          <w:lang w:val="pl-PL"/>
        </w:rPr>
        <w:t>. Trybunał zaznacza, że wspomniana skarga łączy się ze skargą analizowaną wyżej, w związku z czym należy uznać jej dopuszczalność.</w:t>
      </w:r>
    </w:p>
    <w:p w14:paraId="1B34DEF2" w14:textId="1644E511" w:rsidR="00B47D80" w:rsidRPr="0073242A" w:rsidRDefault="00634009" w:rsidP="0073242A">
      <w:pPr>
        <w:pStyle w:val="ECHRPara"/>
        <w:rPr>
          <w:rFonts w:asciiTheme="majorHAnsi" w:hAnsiTheme="majorHAnsi" w:cstheme="majorHAnsi"/>
          <w:lang w:val="pl-PL"/>
        </w:rPr>
      </w:pPr>
      <w:r w:rsidRPr="0073242A">
        <w:rPr>
          <w:rFonts w:asciiTheme="majorHAnsi" w:hAnsiTheme="majorHAnsi" w:cstheme="majorHAnsi"/>
          <w:lang w:val="pl-PL"/>
        </w:rPr>
        <w:t>63</w:t>
      </w:r>
      <w:r w:rsidR="00316CA8" w:rsidRPr="0073242A">
        <w:rPr>
          <w:rFonts w:asciiTheme="majorHAnsi" w:hAnsiTheme="majorHAnsi" w:cstheme="majorHAnsi"/>
          <w:lang w:val="pl-PL"/>
        </w:rPr>
        <w:t>. </w:t>
      </w:r>
      <w:r w:rsidR="00A05653" w:rsidRPr="0073242A">
        <w:rPr>
          <w:rFonts w:asciiTheme="majorHAnsi" w:hAnsiTheme="majorHAnsi" w:cstheme="majorHAnsi"/>
          <w:lang w:val="pl-PL"/>
        </w:rPr>
        <w:t xml:space="preserve">Trybunał uznaje, że skarga złożona przez skarżącego, odnosząca się do art. 3 Konwencji, odnosi się nie tylko do przedłużającego się zastosowania </w:t>
      </w:r>
      <w:r w:rsidR="00917958" w:rsidRPr="0073242A">
        <w:rPr>
          <w:rFonts w:asciiTheme="majorHAnsi" w:hAnsiTheme="majorHAnsi" w:cstheme="majorHAnsi"/>
          <w:lang w:val="pl-PL"/>
        </w:rPr>
        <w:t>statusu</w:t>
      </w:r>
      <w:r w:rsidR="00A05653" w:rsidRPr="0073242A">
        <w:rPr>
          <w:rFonts w:asciiTheme="majorHAnsi" w:hAnsiTheme="majorHAnsi" w:cstheme="majorHAnsi"/>
          <w:lang w:val="pl-PL"/>
        </w:rPr>
        <w:t xml:space="preserve"> </w:t>
      </w:r>
      <w:r w:rsidR="00917958" w:rsidRPr="0073242A">
        <w:rPr>
          <w:rFonts w:asciiTheme="majorHAnsi" w:hAnsiTheme="majorHAnsi" w:cstheme="majorHAnsi"/>
          <w:lang w:val="pl-PL"/>
        </w:rPr>
        <w:t>więźnia</w:t>
      </w:r>
      <w:r w:rsidR="00A05653" w:rsidRPr="0073242A">
        <w:rPr>
          <w:rFonts w:asciiTheme="majorHAnsi" w:hAnsiTheme="majorHAnsi" w:cstheme="majorHAnsi"/>
          <w:lang w:val="pl-PL"/>
        </w:rPr>
        <w:t xml:space="preserve"> niebezpiecznego, ale również samej procedury analizy tego statusu (patrz </w:t>
      </w:r>
      <w:r w:rsidR="00435C57" w:rsidRPr="0073242A">
        <w:rPr>
          <w:rFonts w:asciiTheme="majorHAnsi" w:hAnsiTheme="majorHAnsi" w:cstheme="majorHAnsi"/>
          <w:lang w:val="pl-PL"/>
        </w:rPr>
        <w:t>paragraf</w:t>
      </w:r>
      <w:r w:rsidR="00A05653" w:rsidRPr="0073242A">
        <w:rPr>
          <w:rFonts w:asciiTheme="majorHAnsi" w:hAnsiTheme="majorHAnsi" w:cstheme="majorHAnsi"/>
          <w:lang w:val="pl-PL"/>
        </w:rPr>
        <w:t xml:space="preserve"> </w:t>
      </w:r>
      <w:r w:rsidRPr="0073242A">
        <w:rPr>
          <w:rFonts w:asciiTheme="majorHAnsi" w:hAnsiTheme="majorHAnsi" w:cstheme="majorHAnsi"/>
          <w:lang w:val="pl-PL"/>
        </w:rPr>
        <w:t>43</w:t>
      </w:r>
      <w:r w:rsidR="00917958" w:rsidRPr="0073242A">
        <w:rPr>
          <w:rFonts w:asciiTheme="majorHAnsi" w:hAnsiTheme="majorHAnsi" w:cstheme="majorHAnsi"/>
          <w:lang w:val="pl-PL"/>
        </w:rPr>
        <w:t xml:space="preserve"> </w:t>
      </w:r>
      <w:r w:rsidR="00A05653" w:rsidRPr="0073242A">
        <w:rPr>
          <w:rFonts w:asciiTheme="majorHAnsi" w:hAnsiTheme="majorHAnsi" w:cstheme="majorHAnsi"/>
          <w:lang w:val="pl-PL"/>
        </w:rPr>
        <w:t xml:space="preserve">powyżej). Kwestie te poddano analizie, która wykazała, że nastąpiło naruszenie wspomnianego przepisu (patrz </w:t>
      </w:r>
      <w:r w:rsidR="00435C57" w:rsidRPr="0073242A">
        <w:rPr>
          <w:rFonts w:asciiTheme="majorHAnsi" w:hAnsiTheme="majorHAnsi" w:cstheme="majorHAnsi"/>
          <w:lang w:val="pl-PL"/>
        </w:rPr>
        <w:t>paragraf</w:t>
      </w:r>
      <w:r w:rsidR="00A05653" w:rsidRPr="0073242A">
        <w:rPr>
          <w:rFonts w:asciiTheme="majorHAnsi" w:hAnsiTheme="majorHAnsi" w:cstheme="majorHAnsi"/>
          <w:lang w:val="pl-PL"/>
        </w:rPr>
        <w:t xml:space="preserve"> </w:t>
      </w:r>
      <w:r w:rsidRPr="0073242A">
        <w:rPr>
          <w:rFonts w:asciiTheme="majorHAnsi" w:hAnsiTheme="majorHAnsi" w:cstheme="majorHAnsi"/>
          <w:lang w:val="pl-PL"/>
        </w:rPr>
        <w:t>59</w:t>
      </w:r>
      <w:r w:rsidR="00917958" w:rsidRPr="0073242A">
        <w:rPr>
          <w:rFonts w:asciiTheme="majorHAnsi" w:hAnsiTheme="majorHAnsi" w:cstheme="majorHAnsi"/>
          <w:lang w:val="pl-PL"/>
        </w:rPr>
        <w:t xml:space="preserve"> </w:t>
      </w:r>
      <w:r w:rsidR="00A05653" w:rsidRPr="0073242A">
        <w:rPr>
          <w:rFonts w:asciiTheme="majorHAnsi" w:hAnsiTheme="majorHAnsi" w:cstheme="majorHAnsi"/>
          <w:lang w:val="pl-PL"/>
        </w:rPr>
        <w:t>powyżej). W takich okolicznościach, Trybunał uznaje, że nie nastąpiło naruszenie art. 6 i 13 Konwencji, w związku z czym nie identyfikuje oddzielnego przedmiotu postępowania.</w:t>
      </w:r>
    </w:p>
    <w:p w14:paraId="000E540E" w14:textId="7EE7BC6F" w:rsidR="000E2BA7" w:rsidRPr="0073242A" w:rsidRDefault="000E2BA7" w:rsidP="0073242A">
      <w:pPr>
        <w:pStyle w:val="ECHRHeading1"/>
        <w:rPr>
          <w:rFonts w:cstheme="majorHAnsi"/>
          <w:lang w:val="pl-PL"/>
        </w:rPr>
      </w:pPr>
      <w:r w:rsidRPr="0073242A">
        <w:rPr>
          <w:rFonts w:cstheme="majorHAnsi"/>
          <w:lang w:val="pl-PL"/>
        </w:rPr>
        <w:t>II.  ZASTOSOWANIE ARTYKUŁU 41 KONWENCJI</w:t>
      </w:r>
    </w:p>
    <w:p w14:paraId="40BB4EB0" w14:textId="2DEF6678" w:rsidR="000E2BA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64</w:t>
      </w:r>
      <w:r w:rsidR="000E2BA7" w:rsidRPr="0073242A">
        <w:rPr>
          <w:rFonts w:asciiTheme="majorHAnsi" w:hAnsiTheme="majorHAnsi" w:cstheme="majorHAnsi"/>
          <w:lang w:val="pl-PL"/>
        </w:rPr>
        <w:t>.  Artykuł 41 Konwencji stanowi:</w:t>
      </w:r>
    </w:p>
    <w:p w14:paraId="6CC69937" w14:textId="77777777" w:rsidR="000E2BA7" w:rsidRPr="0073242A" w:rsidRDefault="000E2BA7" w:rsidP="0073242A">
      <w:pPr>
        <w:pStyle w:val="ECHRParaQuote"/>
        <w:keepNext/>
        <w:keepLines/>
        <w:rPr>
          <w:rFonts w:asciiTheme="majorHAnsi" w:hAnsiTheme="majorHAnsi" w:cstheme="majorHAnsi"/>
          <w:lang w:val="pl-PL"/>
        </w:rPr>
      </w:pPr>
      <w:r w:rsidRPr="0073242A">
        <w:rPr>
          <w:rFonts w:asciiTheme="majorHAnsi" w:hAnsiTheme="majorHAnsi" w:cstheme="majorHAnsi"/>
          <w:lang w:val="pl-PL"/>
        </w:rPr>
        <w:lastRenderedPageBreak/>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14:paraId="19F0D44F" w14:textId="77777777" w:rsidR="00014566" w:rsidRPr="0073242A" w:rsidRDefault="000E2BA7" w:rsidP="0073242A">
      <w:pPr>
        <w:pStyle w:val="ECHRHeading2"/>
        <w:rPr>
          <w:rFonts w:cstheme="majorHAnsi"/>
          <w:lang w:val="pl-PL"/>
        </w:rPr>
      </w:pPr>
      <w:r w:rsidRPr="0073242A">
        <w:rPr>
          <w:rFonts w:cstheme="majorHAnsi"/>
          <w:lang w:val="pl-PL"/>
        </w:rPr>
        <w:t>A. Szkoda</w:t>
      </w:r>
    </w:p>
    <w:p w14:paraId="470DA1F5" w14:textId="6422A24F" w:rsidR="00014566"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65</w:t>
      </w:r>
      <w:r w:rsidR="000E2BA7" w:rsidRPr="0073242A">
        <w:rPr>
          <w:rFonts w:asciiTheme="majorHAnsi" w:hAnsiTheme="majorHAnsi" w:cstheme="majorHAnsi"/>
          <w:lang w:val="pl-PL"/>
        </w:rPr>
        <w:t xml:space="preserve">.  Skarżący domagał się kwoty </w:t>
      </w:r>
      <w:r w:rsidR="004951DB">
        <w:rPr>
          <w:rFonts w:asciiTheme="majorHAnsi" w:hAnsiTheme="majorHAnsi" w:cstheme="majorHAnsi"/>
          <w:lang w:val="pl-PL"/>
        </w:rPr>
        <w:t>50</w:t>
      </w:r>
      <w:r w:rsidR="000E2BA7" w:rsidRPr="0073242A">
        <w:rPr>
          <w:rFonts w:asciiTheme="majorHAnsi" w:hAnsiTheme="majorHAnsi" w:cstheme="majorHAnsi"/>
          <w:lang w:val="pl-PL"/>
        </w:rPr>
        <w:t>.000 EUR w ramach zadośćuczynienia za szkodę niematerialną.</w:t>
      </w:r>
    </w:p>
    <w:p w14:paraId="710B03E0" w14:textId="62E8E8CE" w:rsidR="000E2BA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66</w:t>
      </w:r>
      <w:r w:rsidR="000E2BA7" w:rsidRPr="0073242A">
        <w:rPr>
          <w:rFonts w:asciiTheme="majorHAnsi" w:hAnsiTheme="majorHAnsi" w:cstheme="majorHAnsi"/>
          <w:lang w:val="pl-PL"/>
        </w:rPr>
        <w:t>.  Rząd twierdził, że żądanie było wygórowane.</w:t>
      </w:r>
    </w:p>
    <w:p w14:paraId="4EA09A57" w14:textId="2D3B13D7" w:rsidR="000E2BA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67</w:t>
      </w:r>
      <w:r w:rsidR="000E2BA7" w:rsidRPr="0073242A">
        <w:rPr>
          <w:rFonts w:asciiTheme="majorHAnsi" w:hAnsiTheme="majorHAnsi" w:cstheme="majorHAnsi"/>
          <w:lang w:val="pl-PL"/>
        </w:rPr>
        <w:t xml:space="preserve">.  Trybunał przyznał skarżącemu </w:t>
      </w:r>
      <w:r w:rsidR="004951DB">
        <w:rPr>
          <w:rFonts w:asciiTheme="majorHAnsi" w:hAnsiTheme="majorHAnsi" w:cstheme="majorHAnsi"/>
          <w:lang w:val="pl-PL"/>
        </w:rPr>
        <w:t>8</w:t>
      </w:r>
      <w:r w:rsidR="000E2BA7" w:rsidRPr="0073242A">
        <w:rPr>
          <w:rFonts w:asciiTheme="majorHAnsi" w:hAnsiTheme="majorHAnsi" w:cstheme="majorHAnsi"/>
          <w:lang w:val="pl-PL"/>
        </w:rPr>
        <w:t>.000 EUR z tytułu doznanej szkody niematerialnej.</w:t>
      </w:r>
    </w:p>
    <w:p w14:paraId="024DE017" w14:textId="77777777" w:rsidR="000E2BA7" w:rsidRPr="0073242A" w:rsidRDefault="000E2BA7" w:rsidP="0073242A">
      <w:pPr>
        <w:pStyle w:val="ECHRHeading2"/>
        <w:rPr>
          <w:rFonts w:cstheme="majorHAnsi"/>
          <w:lang w:val="pl-PL"/>
        </w:rPr>
      </w:pPr>
      <w:r w:rsidRPr="0073242A">
        <w:rPr>
          <w:rFonts w:cstheme="majorHAnsi"/>
          <w:lang w:val="pl-PL"/>
        </w:rPr>
        <w:t>B. Koszty i wydatki</w:t>
      </w:r>
    </w:p>
    <w:p w14:paraId="009A75BA" w14:textId="20D73C0D" w:rsidR="000E2BA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68</w:t>
      </w:r>
      <w:r w:rsidR="000E2BA7" w:rsidRPr="0073242A">
        <w:rPr>
          <w:rFonts w:asciiTheme="majorHAnsi" w:hAnsiTheme="majorHAnsi" w:cstheme="majorHAnsi"/>
          <w:lang w:val="pl-PL"/>
        </w:rPr>
        <w:t>. Skarżący wniósł również roszczenie o zwrot kosztów i wydatków bez podania żądanej kwoty.</w:t>
      </w:r>
    </w:p>
    <w:p w14:paraId="40A309DC" w14:textId="124909B3" w:rsidR="000E2BA7"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69</w:t>
      </w:r>
      <w:r w:rsidR="000E1B58" w:rsidRPr="0073242A">
        <w:rPr>
          <w:rFonts w:asciiTheme="majorHAnsi" w:hAnsiTheme="majorHAnsi" w:cstheme="majorHAnsi"/>
          <w:lang w:val="pl-PL"/>
        </w:rPr>
        <w:t>. </w:t>
      </w:r>
      <w:r w:rsidR="000E2BA7" w:rsidRPr="0073242A">
        <w:rPr>
          <w:rFonts w:asciiTheme="majorHAnsi" w:hAnsiTheme="majorHAnsi" w:cstheme="majorHAnsi"/>
          <w:lang w:val="pl-PL"/>
        </w:rPr>
        <w:t>Zgodnie z orzecznictwem Trybunału skarżący jest uprawniony do zwrotu kosztów i wydatków jedynie w zakresie, w jakim wykazano, że zostały one faktycznie i koniecznie poniesione i są rozsądne co do kwoty. W niniejszej sprawie, mając na uwadze dokumenty będące w jej posiadaniu, powyższe kryteria oraz fakt, że skarżącemu przyznano pomoc prawną, Trybunał odrzuca roszczenie o zwrot kosztów i wydatków.</w:t>
      </w:r>
    </w:p>
    <w:p w14:paraId="49BE0A9E" w14:textId="77777777" w:rsidR="00FF1817" w:rsidRPr="0073242A" w:rsidRDefault="00FF1817" w:rsidP="0073242A">
      <w:pPr>
        <w:pStyle w:val="ECHRHeading2"/>
        <w:rPr>
          <w:rFonts w:cstheme="majorHAnsi"/>
          <w:lang w:val="pl-PL"/>
        </w:rPr>
      </w:pPr>
      <w:r w:rsidRPr="0073242A">
        <w:rPr>
          <w:rFonts w:cstheme="majorHAnsi"/>
          <w:lang w:val="pl-PL"/>
        </w:rPr>
        <w:t>C. Odsetki za zwłokę</w:t>
      </w:r>
    </w:p>
    <w:p w14:paraId="1AAA23FF" w14:textId="0CE99BF2" w:rsidR="00DB5C0F" w:rsidRPr="0073242A" w:rsidRDefault="004D1E4C" w:rsidP="0073242A">
      <w:pPr>
        <w:pStyle w:val="ECHRPara"/>
        <w:rPr>
          <w:rFonts w:asciiTheme="majorHAnsi" w:hAnsiTheme="majorHAnsi" w:cstheme="majorHAnsi"/>
          <w:lang w:val="pl-PL"/>
        </w:rPr>
      </w:pPr>
      <w:r w:rsidRPr="0073242A">
        <w:rPr>
          <w:rFonts w:asciiTheme="majorHAnsi" w:hAnsiTheme="majorHAnsi" w:cstheme="majorHAnsi"/>
          <w:lang w:val="pl-PL"/>
        </w:rPr>
        <w:t>70</w:t>
      </w:r>
      <w:r w:rsidR="00FF1817" w:rsidRPr="0073242A">
        <w:rPr>
          <w:rFonts w:asciiTheme="majorHAnsi" w:hAnsiTheme="majorHAnsi" w:cstheme="majorHAnsi"/>
          <w:lang w:val="pl-PL"/>
        </w:rPr>
        <w:t>. </w:t>
      </w:r>
      <w:r w:rsidR="00DB5C0F" w:rsidRPr="0073242A">
        <w:rPr>
          <w:rFonts w:asciiTheme="majorHAnsi" w:hAnsiTheme="majorHAnsi" w:cstheme="majorHAnsi"/>
          <w:lang w:val="pl-PL"/>
        </w:rPr>
        <w:t>Trybunał uważa, że odsetki za zwłokę w wypłacie zadośćuczynienia w terminie powinny być ustalone zgodnie z marginalną stopą procentową Europejskiego Banku Centralnego plus trzy punkty procentowe.</w:t>
      </w:r>
    </w:p>
    <w:p w14:paraId="56599DB0" w14:textId="77777777" w:rsidR="00B47D80" w:rsidRPr="0073242A" w:rsidRDefault="00B47D80" w:rsidP="0073242A">
      <w:pPr>
        <w:pStyle w:val="ECHRPara"/>
        <w:rPr>
          <w:rFonts w:asciiTheme="majorHAnsi" w:hAnsiTheme="majorHAnsi" w:cstheme="majorHAnsi"/>
          <w:lang w:val="pl-PL"/>
        </w:rPr>
      </w:pPr>
    </w:p>
    <w:p w14:paraId="3423026C" w14:textId="77777777" w:rsidR="003743DF" w:rsidRPr="0073242A" w:rsidRDefault="003743DF" w:rsidP="0073242A">
      <w:pPr>
        <w:pStyle w:val="ECHRTitle1"/>
        <w:rPr>
          <w:rFonts w:cstheme="majorHAnsi"/>
          <w:lang w:val="pl-PL"/>
        </w:rPr>
      </w:pPr>
      <w:r w:rsidRPr="0073242A">
        <w:rPr>
          <w:rFonts w:cstheme="majorHAnsi"/>
          <w:lang w:val="pl-PL"/>
        </w:rPr>
        <w:t>Z TYCH PRZYCZYN, TRYBUNAŁ JEDNOGŁOŚNIE,</w:t>
      </w:r>
    </w:p>
    <w:p w14:paraId="3E20C399" w14:textId="77777777" w:rsidR="003743DF" w:rsidRPr="0073242A" w:rsidRDefault="003743DF" w:rsidP="0073242A">
      <w:pPr>
        <w:pStyle w:val="JuList"/>
        <w:spacing w:before="240" w:after="240"/>
        <w:rPr>
          <w:rFonts w:asciiTheme="majorHAnsi" w:hAnsiTheme="majorHAnsi" w:cstheme="majorHAnsi"/>
          <w:lang w:val="pl-PL"/>
        </w:rPr>
      </w:pPr>
      <w:r w:rsidRPr="0073242A">
        <w:rPr>
          <w:rFonts w:asciiTheme="majorHAnsi" w:hAnsiTheme="majorHAnsi" w:cstheme="majorHAnsi"/>
          <w:lang w:val="pl-PL"/>
        </w:rPr>
        <w:t>1.  </w:t>
      </w:r>
      <w:r w:rsidRPr="0073242A">
        <w:rPr>
          <w:rFonts w:asciiTheme="majorHAnsi" w:hAnsiTheme="majorHAnsi" w:cstheme="majorHAnsi"/>
          <w:i/>
          <w:lang w:val="pl-PL"/>
        </w:rPr>
        <w:t xml:space="preserve">Uznaje </w:t>
      </w:r>
      <w:r w:rsidRPr="0073242A">
        <w:rPr>
          <w:rFonts w:asciiTheme="majorHAnsi" w:hAnsiTheme="majorHAnsi" w:cstheme="majorHAnsi"/>
          <w:lang w:val="pl-PL"/>
        </w:rPr>
        <w:t>skargę za dopuszczalną;</w:t>
      </w:r>
    </w:p>
    <w:p w14:paraId="09FCA0AC" w14:textId="4379FE18" w:rsidR="00014566" w:rsidRPr="0073242A" w:rsidRDefault="003743DF" w:rsidP="0073242A">
      <w:pPr>
        <w:pStyle w:val="JuList"/>
        <w:spacing w:before="240" w:after="240"/>
        <w:rPr>
          <w:rFonts w:asciiTheme="majorHAnsi" w:hAnsiTheme="majorHAnsi" w:cstheme="majorHAnsi"/>
          <w:lang w:val="pl-PL"/>
        </w:rPr>
      </w:pPr>
      <w:r w:rsidRPr="0073242A">
        <w:rPr>
          <w:rFonts w:asciiTheme="majorHAnsi" w:hAnsiTheme="majorHAnsi" w:cstheme="majorHAnsi"/>
          <w:lang w:val="pl-PL"/>
        </w:rPr>
        <w:t>2.  </w:t>
      </w:r>
      <w:r w:rsidRPr="0073242A">
        <w:rPr>
          <w:rFonts w:asciiTheme="majorHAnsi" w:hAnsiTheme="majorHAnsi" w:cstheme="majorHAnsi"/>
          <w:i/>
          <w:lang w:val="pl-PL"/>
        </w:rPr>
        <w:t>Stwierdza</w:t>
      </w:r>
      <w:r w:rsidRPr="0073242A">
        <w:rPr>
          <w:rFonts w:asciiTheme="majorHAnsi" w:hAnsiTheme="majorHAnsi" w:cstheme="majorHAnsi"/>
          <w:lang w:val="pl-PL"/>
        </w:rPr>
        <w:t xml:space="preserve">, że nastąpiło naruszenie </w:t>
      </w:r>
      <w:r w:rsidR="00127AD0">
        <w:rPr>
          <w:rFonts w:asciiTheme="majorHAnsi" w:hAnsiTheme="majorHAnsi" w:cstheme="majorHAnsi"/>
          <w:lang w:val="pl-PL"/>
        </w:rPr>
        <w:t>A</w:t>
      </w:r>
      <w:r w:rsidRPr="0073242A">
        <w:rPr>
          <w:rFonts w:asciiTheme="majorHAnsi" w:hAnsiTheme="majorHAnsi" w:cstheme="majorHAnsi"/>
          <w:lang w:val="pl-PL"/>
        </w:rPr>
        <w:t>rtykułu 3 Konwencji;</w:t>
      </w:r>
    </w:p>
    <w:p w14:paraId="3BACA307" w14:textId="6D1CC5B7" w:rsidR="000E1B58" w:rsidRPr="0073242A" w:rsidRDefault="003743DF" w:rsidP="0073242A">
      <w:pPr>
        <w:pStyle w:val="JuList"/>
        <w:spacing w:before="240" w:after="240"/>
        <w:rPr>
          <w:rFonts w:asciiTheme="majorHAnsi" w:hAnsiTheme="majorHAnsi" w:cstheme="majorHAnsi"/>
          <w:lang w:val="pl-PL"/>
        </w:rPr>
      </w:pPr>
      <w:r w:rsidRPr="0073242A">
        <w:rPr>
          <w:rFonts w:asciiTheme="majorHAnsi" w:hAnsiTheme="majorHAnsi" w:cstheme="majorHAnsi"/>
          <w:lang w:val="pl-PL"/>
        </w:rPr>
        <w:t xml:space="preserve">3. </w:t>
      </w:r>
      <w:r w:rsidRPr="0073242A">
        <w:rPr>
          <w:rFonts w:asciiTheme="majorHAnsi" w:hAnsiTheme="majorHAnsi" w:cstheme="majorHAnsi"/>
          <w:i/>
          <w:lang w:val="pl-PL"/>
        </w:rPr>
        <w:t>Stwierdza</w:t>
      </w:r>
      <w:r w:rsidRPr="0073242A">
        <w:rPr>
          <w:rFonts w:asciiTheme="majorHAnsi" w:hAnsiTheme="majorHAnsi" w:cstheme="majorHAnsi"/>
          <w:lang w:val="pl-PL"/>
        </w:rPr>
        <w:t xml:space="preserve">, że nie ma potrzeby rozpatrywania skarg w ramach </w:t>
      </w:r>
      <w:r w:rsidR="00127AD0">
        <w:rPr>
          <w:rFonts w:asciiTheme="majorHAnsi" w:hAnsiTheme="majorHAnsi" w:cstheme="majorHAnsi"/>
          <w:lang w:val="pl-PL"/>
        </w:rPr>
        <w:t>A</w:t>
      </w:r>
      <w:r w:rsidRPr="0073242A">
        <w:rPr>
          <w:rFonts w:asciiTheme="majorHAnsi" w:hAnsiTheme="majorHAnsi" w:cstheme="majorHAnsi"/>
          <w:lang w:val="pl-PL"/>
        </w:rPr>
        <w:t>rtykułów 6 i 13 Konwencji;</w:t>
      </w:r>
    </w:p>
    <w:p w14:paraId="68F71463" w14:textId="77777777" w:rsidR="00370F0D" w:rsidRPr="0073242A" w:rsidRDefault="00370F0D" w:rsidP="0073242A">
      <w:pPr>
        <w:pStyle w:val="JuList"/>
        <w:rPr>
          <w:rFonts w:asciiTheme="majorHAnsi" w:hAnsiTheme="majorHAnsi" w:cstheme="majorHAnsi"/>
          <w:i/>
          <w:lang w:val="pl-PL"/>
        </w:rPr>
      </w:pPr>
      <w:r w:rsidRPr="0073242A">
        <w:rPr>
          <w:rFonts w:asciiTheme="majorHAnsi" w:hAnsiTheme="majorHAnsi" w:cstheme="majorHAnsi"/>
          <w:lang w:val="pl-PL"/>
        </w:rPr>
        <w:t>4.</w:t>
      </w:r>
      <w:r w:rsidRPr="0073242A">
        <w:rPr>
          <w:rFonts w:asciiTheme="majorHAnsi" w:hAnsiTheme="majorHAnsi" w:cstheme="majorHAnsi"/>
          <w:i/>
          <w:lang w:val="pl-PL"/>
        </w:rPr>
        <w:t xml:space="preserve"> Stwierdza, że</w:t>
      </w:r>
      <w:r w:rsidR="00AD32BF" w:rsidRPr="0073242A">
        <w:rPr>
          <w:rFonts w:asciiTheme="majorHAnsi" w:hAnsiTheme="majorHAnsi" w:cstheme="majorHAnsi"/>
          <w:i/>
          <w:lang w:val="pl-PL"/>
        </w:rPr>
        <w:t>:</w:t>
      </w:r>
    </w:p>
    <w:p w14:paraId="69D619CA" w14:textId="49E02E7F" w:rsidR="00370F0D" w:rsidRPr="0073242A" w:rsidRDefault="005F4452" w:rsidP="0073242A">
      <w:pPr>
        <w:pStyle w:val="JuLista"/>
        <w:rPr>
          <w:rFonts w:asciiTheme="majorHAnsi" w:hAnsiTheme="majorHAnsi" w:cstheme="majorHAnsi"/>
          <w:lang w:val="pl-PL"/>
        </w:rPr>
      </w:pPr>
      <w:r w:rsidRPr="0073242A">
        <w:rPr>
          <w:rFonts w:asciiTheme="majorHAnsi" w:hAnsiTheme="majorHAnsi" w:cstheme="majorHAnsi"/>
          <w:lang w:val="pl-PL"/>
        </w:rPr>
        <w:t>(a)</w:t>
      </w:r>
      <w:r w:rsidR="00AD32BF" w:rsidRPr="0073242A">
        <w:rPr>
          <w:rFonts w:asciiTheme="majorHAnsi" w:hAnsiTheme="majorHAnsi" w:cstheme="majorHAnsi"/>
          <w:lang w:val="pl-PL"/>
        </w:rPr>
        <w:t xml:space="preserve"> </w:t>
      </w:r>
      <w:r w:rsidRPr="0073242A">
        <w:rPr>
          <w:rFonts w:asciiTheme="majorHAnsi" w:hAnsiTheme="majorHAnsi" w:cstheme="majorHAnsi"/>
          <w:lang w:val="pl-PL"/>
        </w:rPr>
        <w:t>pozwane Państwo m</w:t>
      </w:r>
      <w:r w:rsidR="00AD32BF" w:rsidRPr="0073242A">
        <w:rPr>
          <w:rFonts w:asciiTheme="majorHAnsi" w:hAnsiTheme="majorHAnsi" w:cstheme="majorHAnsi"/>
          <w:lang w:val="pl-PL"/>
        </w:rPr>
        <w:t xml:space="preserve">usi, w ciągu trzech miesięcy, </w:t>
      </w:r>
      <w:r w:rsidRPr="0073242A">
        <w:rPr>
          <w:rFonts w:asciiTheme="majorHAnsi" w:hAnsiTheme="majorHAnsi" w:cstheme="majorHAnsi"/>
          <w:lang w:val="pl-PL"/>
        </w:rPr>
        <w:t>zapłacić skarżąc</w:t>
      </w:r>
      <w:r w:rsidR="00EA6F8D" w:rsidRPr="0073242A">
        <w:rPr>
          <w:rFonts w:asciiTheme="majorHAnsi" w:hAnsiTheme="majorHAnsi" w:cstheme="majorHAnsi"/>
          <w:lang w:val="pl-PL"/>
        </w:rPr>
        <w:t>emu, 8.</w:t>
      </w:r>
      <w:r w:rsidRPr="0073242A">
        <w:rPr>
          <w:rFonts w:asciiTheme="majorHAnsi" w:hAnsiTheme="majorHAnsi" w:cstheme="majorHAnsi"/>
          <w:lang w:val="pl-PL"/>
        </w:rPr>
        <w:t xml:space="preserve">000 EUR (osiem tysięcy euro) z tytułu szkód </w:t>
      </w:r>
      <w:r w:rsidRPr="0073242A">
        <w:rPr>
          <w:rFonts w:asciiTheme="majorHAnsi" w:hAnsiTheme="majorHAnsi" w:cstheme="majorHAnsi"/>
          <w:lang w:val="pl-PL"/>
        </w:rPr>
        <w:lastRenderedPageBreak/>
        <w:t>niematerialnych, plus wszelkie podatki, które mogą być należne wnioskodawcy</w:t>
      </w:r>
      <w:r w:rsidR="00AD32BF" w:rsidRPr="0073242A">
        <w:rPr>
          <w:rFonts w:asciiTheme="majorHAnsi" w:hAnsiTheme="majorHAnsi" w:cstheme="majorHAnsi"/>
          <w:lang w:val="pl-PL"/>
        </w:rPr>
        <w:t>.</w:t>
      </w:r>
      <w:r w:rsidR="00B47D80" w:rsidRPr="0073242A">
        <w:rPr>
          <w:rFonts w:asciiTheme="majorHAnsi" w:hAnsiTheme="majorHAnsi" w:cstheme="majorHAnsi"/>
          <w:lang w:val="pl-PL"/>
        </w:rPr>
        <w:t xml:space="preserve"> </w:t>
      </w:r>
      <w:r w:rsidR="00AD32BF" w:rsidRPr="0073242A">
        <w:rPr>
          <w:rFonts w:asciiTheme="majorHAnsi" w:hAnsiTheme="majorHAnsi" w:cstheme="majorHAnsi"/>
          <w:lang w:val="pl-PL"/>
        </w:rPr>
        <w:t>Kwota powinna</w:t>
      </w:r>
      <w:r w:rsidRPr="0073242A">
        <w:rPr>
          <w:rFonts w:asciiTheme="majorHAnsi" w:hAnsiTheme="majorHAnsi" w:cstheme="majorHAnsi"/>
          <w:lang w:val="pl-PL"/>
        </w:rPr>
        <w:t xml:space="preserve"> zostać </w:t>
      </w:r>
      <w:r w:rsidR="00AD32BF" w:rsidRPr="0073242A">
        <w:rPr>
          <w:rFonts w:asciiTheme="majorHAnsi" w:hAnsiTheme="majorHAnsi" w:cstheme="majorHAnsi"/>
          <w:lang w:val="pl-PL"/>
        </w:rPr>
        <w:t>przeliczona</w:t>
      </w:r>
      <w:r w:rsidRPr="0073242A">
        <w:rPr>
          <w:rFonts w:asciiTheme="majorHAnsi" w:hAnsiTheme="majorHAnsi" w:cstheme="majorHAnsi"/>
          <w:lang w:val="pl-PL"/>
        </w:rPr>
        <w:t xml:space="preserve"> na walutę pozwanego Państwa </w:t>
      </w:r>
      <w:r w:rsidR="00AD32BF" w:rsidRPr="0073242A">
        <w:rPr>
          <w:rFonts w:asciiTheme="majorHAnsi" w:hAnsiTheme="majorHAnsi" w:cstheme="majorHAnsi"/>
          <w:lang w:val="pl-PL"/>
        </w:rPr>
        <w:t xml:space="preserve">według </w:t>
      </w:r>
      <w:r w:rsidRPr="0073242A">
        <w:rPr>
          <w:rFonts w:asciiTheme="majorHAnsi" w:hAnsiTheme="majorHAnsi" w:cstheme="majorHAnsi"/>
          <w:lang w:val="pl-PL"/>
        </w:rPr>
        <w:t>kurs</w:t>
      </w:r>
      <w:r w:rsidR="00AD32BF" w:rsidRPr="0073242A">
        <w:rPr>
          <w:rFonts w:asciiTheme="majorHAnsi" w:hAnsiTheme="majorHAnsi" w:cstheme="majorHAnsi"/>
          <w:lang w:val="pl-PL"/>
        </w:rPr>
        <w:t>u</w:t>
      </w:r>
      <w:r w:rsidRPr="0073242A">
        <w:rPr>
          <w:rFonts w:asciiTheme="majorHAnsi" w:hAnsiTheme="majorHAnsi" w:cstheme="majorHAnsi"/>
          <w:lang w:val="pl-PL"/>
        </w:rPr>
        <w:t xml:space="preserve"> obowiązując</w:t>
      </w:r>
      <w:r w:rsidR="00AD32BF" w:rsidRPr="0073242A">
        <w:rPr>
          <w:rFonts w:asciiTheme="majorHAnsi" w:hAnsiTheme="majorHAnsi" w:cstheme="majorHAnsi"/>
          <w:lang w:val="pl-PL"/>
        </w:rPr>
        <w:t xml:space="preserve">ego </w:t>
      </w:r>
      <w:r w:rsidRPr="0073242A">
        <w:rPr>
          <w:rFonts w:asciiTheme="majorHAnsi" w:hAnsiTheme="majorHAnsi" w:cstheme="majorHAnsi"/>
          <w:lang w:val="pl-PL"/>
        </w:rPr>
        <w:t>w dniu rozliczenia;</w:t>
      </w:r>
    </w:p>
    <w:p w14:paraId="55A855F0" w14:textId="77777777" w:rsidR="00014566" w:rsidRPr="0073242A" w:rsidRDefault="005F4452" w:rsidP="0073242A">
      <w:pPr>
        <w:pStyle w:val="JuLista"/>
        <w:rPr>
          <w:rFonts w:asciiTheme="majorHAnsi" w:hAnsiTheme="majorHAnsi" w:cstheme="majorHAnsi"/>
          <w:lang w:val="pl-PL"/>
        </w:rPr>
      </w:pPr>
      <w:r w:rsidRPr="0073242A">
        <w:rPr>
          <w:rFonts w:asciiTheme="majorHAnsi" w:hAnsiTheme="majorHAnsi" w:cstheme="majorHAnsi"/>
          <w:lang w:val="pl-PL"/>
        </w:rPr>
        <w:t xml:space="preserve">(b) po upływie powyższego trzymiesięcznego terminu do momentu zapłaty, </w:t>
      </w:r>
      <w:r w:rsidR="00AD32BF" w:rsidRPr="0073242A">
        <w:rPr>
          <w:rFonts w:asciiTheme="majorHAnsi" w:hAnsiTheme="majorHAnsi" w:cstheme="majorHAnsi"/>
          <w:lang w:val="pl-PL"/>
        </w:rPr>
        <w:t xml:space="preserve">od </w:t>
      </w:r>
      <w:r w:rsidR="00A87EEC" w:rsidRPr="0073242A">
        <w:rPr>
          <w:rFonts w:asciiTheme="majorHAnsi" w:hAnsiTheme="majorHAnsi" w:cstheme="majorHAnsi"/>
          <w:lang w:val="pl-PL"/>
        </w:rPr>
        <w:t>tych kwot powinny zostać</w:t>
      </w:r>
      <w:r w:rsidRPr="0073242A">
        <w:rPr>
          <w:rFonts w:asciiTheme="majorHAnsi" w:hAnsiTheme="majorHAnsi" w:cstheme="majorHAnsi"/>
          <w:lang w:val="pl-PL"/>
        </w:rPr>
        <w:t xml:space="preserve"> naliczone odsetki zwykłe według marginalnej stopy procentowej Europejskiego Banku Centralnego powięks</w:t>
      </w:r>
      <w:r w:rsidR="00C05C81" w:rsidRPr="0073242A">
        <w:rPr>
          <w:rFonts w:asciiTheme="majorHAnsi" w:hAnsiTheme="majorHAnsi" w:cstheme="majorHAnsi"/>
          <w:lang w:val="pl-PL"/>
        </w:rPr>
        <w:t>zonej o trzy punkty procentowe</w:t>
      </w:r>
      <w:r w:rsidR="00A87EEC" w:rsidRPr="0073242A">
        <w:rPr>
          <w:rFonts w:asciiTheme="majorHAnsi" w:hAnsiTheme="majorHAnsi" w:cstheme="majorHAnsi"/>
          <w:lang w:val="pl-PL"/>
        </w:rPr>
        <w:t>.</w:t>
      </w:r>
    </w:p>
    <w:p w14:paraId="35F5C62F" w14:textId="77777777" w:rsidR="00C05C81" w:rsidRPr="0073242A" w:rsidRDefault="00C05C81" w:rsidP="0073242A">
      <w:pPr>
        <w:pStyle w:val="JuList"/>
        <w:rPr>
          <w:rFonts w:asciiTheme="majorHAnsi" w:hAnsiTheme="majorHAnsi" w:cstheme="majorHAnsi"/>
          <w:lang w:val="pl-PL"/>
        </w:rPr>
      </w:pPr>
      <w:r w:rsidRPr="0073242A">
        <w:rPr>
          <w:rFonts w:asciiTheme="majorHAnsi" w:hAnsiTheme="majorHAnsi" w:cstheme="majorHAnsi"/>
          <w:lang w:val="pl-PL"/>
        </w:rPr>
        <w:t>5.  </w:t>
      </w:r>
      <w:r w:rsidRPr="0073242A">
        <w:rPr>
          <w:rFonts w:asciiTheme="majorHAnsi" w:hAnsiTheme="majorHAnsi" w:cstheme="majorHAnsi"/>
          <w:i/>
          <w:lang w:val="pl-PL"/>
        </w:rPr>
        <w:t>Oddala</w:t>
      </w:r>
      <w:r w:rsidRPr="0073242A">
        <w:rPr>
          <w:rFonts w:asciiTheme="majorHAnsi" w:hAnsiTheme="majorHAnsi" w:cstheme="majorHAnsi"/>
          <w:lang w:val="pl-PL"/>
        </w:rPr>
        <w:t xml:space="preserve"> pozostałą część roszczenia skarżącego o słuszne zadośćuczynienie.</w:t>
      </w:r>
    </w:p>
    <w:p w14:paraId="30C0C56D" w14:textId="77777777" w:rsidR="00A87EEC" w:rsidRPr="0073242A" w:rsidRDefault="00A87EEC" w:rsidP="0073242A">
      <w:pPr>
        <w:pStyle w:val="ECHRPara"/>
        <w:rPr>
          <w:rFonts w:asciiTheme="majorHAnsi" w:hAnsiTheme="majorHAnsi" w:cstheme="majorHAnsi"/>
          <w:lang w:val="pl-PL"/>
        </w:rPr>
      </w:pPr>
    </w:p>
    <w:p w14:paraId="6E62C3F5" w14:textId="77777777" w:rsidR="00C05C81" w:rsidRPr="0073242A" w:rsidRDefault="00C05C81" w:rsidP="0073242A">
      <w:pPr>
        <w:pStyle w:val="ECHRPara"/>
        <w:rPr>
          <w:rFonts w:asciiTheme="majorHAnsi" w:hAnsiTheme="majorHAnsi" w:cstheme="majorHAnsi"/>
          <w:lang w:val="pl-PL"/>
        </w:rPr>
      </w:pPr>
      <w:r w:rsidRPr="0073242A">
        <w:rPr>
          <w:rFonts w:asciiTheme="majorHAnsi" w:hAnsiTheme="majorHAnsi" w:cstheme="majorHAnsi"/>
          <w:lang w:val="pl-PL"/>
        </w:rPr>
        <w:t xml:space="preserve">Sporządzono w języku angielskim oraz obwieszczono pisemnie dnia 5 października 2017 r., zgodnie z </w:t>
      </w:r>
      <w:r w:rsidR="00A87EEC" w:rsidRPr="0073242A">
        <w:rPr>
          <w:rFonts w:asciiTheme="majorHAnsi" w:hAnsiTheme="majorHAnsi" w:cstheme="majorHAnsi"/>
          <w:lang w:val="pl-PL"/>
        </w:rPr>
        <w:t>artykułem</w:t>
      </w:r>
      <w:r w:rsidRPr="0073242A">
        <w:rPr>
          <w:rFonts w:asciiTheme="majorHAnsi" w:hAnsiTheme="majorHAnsi" w:cstheme="majorHAnsi"/>
          <w:lang w:val="pl-PL"/>
        </w:rPr>
        <w:t xml:space="preserve"> 77 §§ 2 i 3 Regulaminu Trybunału.</w:t>
      </w:r>
    </w:p>
    <w:p w14:paraId="5E047448" w14:textId="77777777" w:rsidR="007D7022" w:rsidRPr="0073242A" w:rsidRDefault="007D7022" w:rsidP="0073242A">
      <w:pPr>
        <w:pStyle w:val="ECHRPara"/>
        <w:rPr>
          <w:rFonts w:asciiTheme="majorHAnsi" w:hAnsiTheme="majorHAnsi" w:cstheme="majorHAnsi"/>
          <w:lang w:val="pl-PL"/>
        </w:rPr>
      </w:pPr>
    </w:p>
    <w:p w14:paraId="6BEDC5BF" w14:textId="77777777" w:rsidR="007D7022" w:rsidRPr="0073242A" w:rsidRDefault="007D7022" w:rsidP="0073242A">
      <w:pPr>
        <w:pStyle w:val="ECHRPara"/>
        <w:rPr>
          <w:rFonts w:asciiTheme="majorHAnsi" w:hAnsiTheme="majorHAnsi" w:cstheme="majorHAnsi"/>
          <w:lang w:val="pl-PL"/>
        </w:rPr>
      </w:pPr>
    </w:p>
    <w:p w14:paraId="1BC81731" w14:textId="77777777" w:rsidR="00970C67" w:rsidRPr="0073242A" w:rsidRDefault="00970C67" w:rsidP="0073242A">
      <w:pPr>
        <w:pStyle w:val="JuSigned"/>
        <w:keepNext/>
        <w:keepLines/>
        <w:spacing w:before="0"/>
        <w:rPr>
          <w:rFonts w:asciiTheme="majorHAnsi" w:hAnsiTheme="majorHAnsi" w:cstheme="majorHAnsi"/>
          <w:lang w:val="it-IT"/>
        </w:rPr>
      </w:pPr>
      <w:r w:rsidRPr="0073242A">
        <w:rPr>
          <w:rFonts w:asciiTheme="majorHAnsi" w:hAnsiTheme="majorHAnsi" w:cstheme="majorHAnsi"/>
          <w:lang w:val="pl-PL"/>
        </w:rPr>
        <w:tab/>
      </w:r>
      <w:r w:rsidR="00AF1F53" w:rsidRPr="0073242A">
        <w:rPr>
          <w:rFonts w:asciiTheme="majorHAnsi" w:hAnsiTheme="majorHAnsi" w:cstheme="majorHAnsi"/>
          <w:lang w:val="pl-PL"/>
        </w:rPr>
        <w:t xml:space="preserve">Renata </w:t>
      </w:r>
      <w:proofErr w:type="spellStart"/>
      <w:r w:rsidR="00AF1F53" w:rsidRPr="0073242A">
        <w:rPr>
          <w:rFonts w:asciiTheme="majorHAnsi" w:hAnsiTheme="majorHAnsi" w:cstheme="majorHAnsi"/>
          <w:lang w:val="pl-PL"/>
        </w:rPr>
        <w:t>Degener</w:t>
      </w:r>
      <w:proofErr w:type="spellEnd"/>
      <w:r w:rsidR="00014566" w:rsidRPr="0073242A">
        <w:rPr>
          <w:rFonts w:asciiTheme="majorHAnsi" w:hAnsiTheme="majorHAnsi" w:cstheme="majorHAnsi"/>
          <w:lang w:val="it-IT"/>
        </w:rPr>
        <w:tab/>
      </w:r>
      <w:proofErr w:type="spellStart"/>
      <w:r w:rsidR="00C41970" w:rsidRPr="0073242A">
        <w:rPr>
          <w:rFonts w:asciiTheme="majorHAnsi" w:hAnsiTheme="majorHAnsi" w:cstheme="majorHAnsi"/>
          <w:lang w:val="pl-PL"/>
        </w:rPr>
        <w:t>Aleš</w:t>
      </w:r>
      <w:proofErr w:type="spellEnd"/>
      <w:r w:rsidR="00C41970" w:rsidRPr="0073242A">
        <w:rPr>
          <w:rFonts w:asciiTheme="majorHAnsi" w:hAnsiTheme="majorHAnsi" w:cstheme="majorHAnsi"/>
          <w:lang w:val="pl-PL"/>
        </w:rPr>
        <w:t xml:space="preserve"> </w:t>
      </w:r>
      <w:proofErr w:type="spellStart"/>
      <w:r w:rsidR="00C41970" w:rsidRPr="0073242A">
        <w:rPr>
          <w:rFonts w:asciiTheme="majorHAnsi" w:hAnsiTheme="majorHAnsi" w:cstheme="majorHAnsi"/>
          <w:lang w:val="pl-PL"/>
        </w:rPr>
        <w:t>Pejchal</w:t>
      </w:r>
      <w:proofErr w:type="spellEnd"/>
    </w:p>
    <w:p w14:paraId="662E6E5E" w14:textId="77777777" w:rsidR="004D15F3" w:rsidRPr="0073242A" w:rsidRDefault="00970C67" w:rsidP="0073242A">
      <w:pPr>
        <w:pStyle w:val="JuSigned"/>
        <w:keepNext/>
        <w:keepLines/>
        <w:spacing w:before="0"/>
        <w:rPr>
          <w:rFonts w:asciiTheme="majorHAnsi" w:hAnsiTheme="majorHAnsi" w:cstheme="majorHAnsi"/>
          <w:iCs/>
          <w:lang w:val="it-IT"/>
        </w:rPr>
      </w:pPr>
      <w:r w:rsidRPr="0073242A">
        <w:rPr>
          <w:rFonts w:asciiTheme="majorHAnsi" w:hAnsiTheme="majorHAnsi" w:cstheme="majorHAnsi"/>
          <w:iCs/>
          <w:lang w:val="it-IT"/>
        </w:rPr>
        <w:tab/>
      </w:r>
      <w:r w:rsidR="00C05C81" w:rsidRPr="0073242A">
        <w:rPr>
          <w:rFonts w:asciiTheme="majorHAnsi" w:hAnsiTheme="majorHAnsi" w:cstheme="majorHAnsi"/>
          <w:iCs/>
          <w:lang w:val="it-IT"/>
        </w:rPr>
        <w:t>Kanclerz Sekcji</w:t>
      </w:r>
      <w:r w:rsidR="00014566" w:rsidRPr="0073242A">
        <w:rPr>
          <w:rFonts w:asciiTheme="majorHAnsi" w:hAnsiTheme="majorHAnsi" w:cstheme="majorHAnsi"/>
          <w:lang w:val="it-IT"/>
        </w:rPr>
        <w:tab/>
      </w:r>
      <w:r w:rsidR="00C05C81" w:rsidRPr="0073242A">
        <w:rPr>
          <w:rFonts w:asciiTheme="majorHAnsi" w:hAnsiTheme="majorHAnsi" w:cstheme="majorHAnsi"/>
          <w:lang w:val="it-IT"/>
        </w:rPr>
        <w:t>Przewodniczący</w:t>
      </w:r>
    </w:p>
    <w:p w14:paraId="1E4CF580" w14:textId="77777777" w:rsidR="00A2201A" w:rsidRPr="0073242A" w:rsidRDefault="00A2201A" w:rsidP="0073242A">
      <w:pPr>
        <w:pStyle w:val="JuParaLast"/>
        <w:rPr>
          <w:rFonts w:asciiTheme="majorHAnsi" w:hAnsiTheme="majorHAnsi" w:cstheme="majorHAnsi"/>
          <w:lang w:val="it-IT"/>
        </w:rPr>
      </w:pPr>
    </w:p>
    <w:sectPr w:rsidR="00A2201A" w:rsidRPr="0073242A" w:rsidSect="00052C04">
      <w:headerReference w:type="even" r:id="rId20"/>
      <w:headerReference w:type="default" r:id="rId21"/>
      <w:footnotePr>
        <w:numRestart w:val="eachPage"/>
      </w:footnotePr>
      <w:pgSz w:w="11906" w:h="16838" w:code="9"/>
      <w:pgMar w:top="2274" w:right="2274" w:bottom="2274" w:left="2274" w:header="1701"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A0525E0" w14:textId="77777777" w:rsidR="00B86EAD" w:rsidRDefault="00B86EAD" w:rsidP="00014566">
      <w:r>
        <w:separator/>
      </w:r>
    </w:p>
  </w:endnote>
  <w:endnote w:type="continuationSeparator" w:id="0">
    <w:p w14:paraId="5393C2A3" w14:textId="77777777" w:rsidR="00B86EAD" w:rsidRDefault="00B86EAD" w:rsidP="00014566">
      <w:r>
        <w:continuationSeparator/>
      </w:r>
    </w:p>
  </w:endnote>
  <w:endnote w:type="continuationNotice" w:id="1">
    <w:p w14:paraId="722A95B9" w14:textId="77777777" w:rsidR="00B86EAD" w:rsidRDefault="00B86EA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10006FF" w:usb1="4000205B" w:usb2="00000010" w:usb3="00000000" w:csb0="0000019F" w:csb1="00000000"/>
  </w:font>
  <w:font w:name="Consolas">
    <w:panose1 w:val="020B0609020204030204"/>
    <w:charset w:val="EE"/>
    <w:family w:val="modern"/>
    <w:pitch w:val="fixed"/>
    <w:sig w:usb0="E00002FF" w:usb1="0000F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57567D" w14:textId="77777777" w:rsidR="004D1E4C" w:rsidRDefault="004D1E4C">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C7502DC" w14:textId="77777777" w:rsidR="00BD4B7E" w:rsidRDefault="00BD4B7E">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A6B6DED" w14:textId="77777777" w:rsidR="00210C3D" w:rsidRPr="00150BFA" w:rsidRDefault="00210C3D" w:rsidP="00C0368C">
    <w:pPr>
      <w:jc w:val="center"/>
    </w:pPr>
    <w:r>
      <w:rPr>
        <w:noProof/>
        <w:lang w:val="pl-PL" w:eastAsia="pl-PL"/>
      </w:rPr>
      <w:drawing>
        <wp:inline distT="0" distB="0" distL="0" distR="0" wp14:anchorId="4B2A33A2" wp14:editId="2D0B9C9A">
          <wp:extent cx="771525" cy="619125"/>
          <wp:effectExtent l="0" t="0" r="9525" b="9525"/>
          <wp:docPr id="6" name="Picture 3" descr="R:\1_Graphics&amp;Web\Court_Graphic_Charter\2013\ECHR_Stationery\Documents_and_Letters\Cover_Pages_And_Docs\White_600_dpi\ECHR_CoverpageCS61_ECHR_Coverpage_Footer_COE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1_Graphics&amp;Web\Court_Graphic_Charter\2013\ECHR_Stationery\Documents_and_Letters\Cover_Pages_And_Docs\White_600_dpi\ECHR_CoverpageCS61_ECHR_Coverpage_Footer_COE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19125"/>
                  </a:xfrm>
                  <a:prstGeom prst="rect">
                    <a:avLst/>
                  </a:prstGeom>
                  <a:noFill/>
                  <a:ln>
                    <a:noFill/>
                  </a:ln>
                </pic:spPr>
              </pic:pic>
            </a:graphicData>
          </a:graphic>
        </wp:inline>
      </w:drawing>
    </w:r>
  </w:p>
  <w:p w14:paraId="4664F13E" w14:textId="77777777" w:rsidR="00210C3D" w:rsidRDefault="00210C3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109A170" w14:textId="77777777" w:rsidR="00B86EAD" w:rsidRDefault="00B86EAD" w:rsidP="00014566">
      <w:r>
        <w:separator/>
      </w:r>
    </w:p>
  </w:footnote>
  <w:footnote w:type="continuationSeparator" w:id="0">
    <w:p w14:paraId="1737C5E4" w14:textId="77777777" w:rsidR="00B86EAD" w:rsidRDefault="00B86EAD" w:rsidP="00014566">
      <w:r>
        <w:continuationSeparator/>
      </w:r>
    </w:p>
  </w:footnote>
  <w:footnote w:type="continuationNotice" w:id="1">
    <w:p w14:paraId="514B20A5" w14:textId="77777777" w:rsidR="00B86EAD" w:rsidRDefault="00B86EAD"/>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B91628C" w14:textId="77777777" w:rsidR="004D1E4C" w:rsidRDefault="004D1E4C">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972F1D1" w14:textId="77777777" w:rsidR="00210C3D" w:rsidRPr="00052C04" w:rsidRDefault="00210C3D" w:rsidP="00052C04">
    <w:pPr>
      <w:pStyle w:val="Nagwek"/>
      <w:jc w:val="cent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7973B84" w14:textId="77777777" w:rsidR="00210C3D" w:rsidRPr="00A45145" w:rsidRDefault="00210C3D" w:rsidP="00C0368C">
    <w:pPr>
      <w:jc w:val="center"/>
    </w:pPr>
    <w:r>
      <w:rPr>
        <w:noProof/>
        <w:lang w:val="pl-PL" w:eastAsia="pl-PL"/>
      </w:rPr>
      <w:drawing>
        <wp:inline distT="0" distB="0" distL="0" distR="0" wp14:anchorId="22DC6D02" wp14:editId="7D4E9800">
          <wp:extent cx="2962275" cy="1219200"/>
          <wp:effectExtent l="0" t="0" r="9525" b="0"/>
          <wp:docPr id="5" name="Picture 1" descr="R:\1_Graphics&amp;Web\Court_Graphic_Charter\2013\ECHR_Stationery\Documents_and_Letters\Cover_Pages_And_Docs\White_600_dpi\ECHR_CoverpageCS61_ECHR_Coverpage_Header_Blac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1_Graphics&amp;Web\Court_Graphic_Charter\2013\ECHR_Stationery\Documents_and_Letters\Cover_Pages_And_Docs\White_600_dpi\ECHR_CoverpageCS61_ECHR_Coverpage_Header_Black.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962275" cy="1219200"/>
                  </a:xfrm>
                  <a:prstGeom prst="rect">
                    <a:avLst/>
                  </a:prstGeom>
                  <a:noFill/>
                  <a:ln>
                    <a:noFill/>
                  </a:ln>
                </pic:spPr>
              </pic:pic>
            </a:graphicData>
          </a:graphic>
        </wp:inline>
      </w:drawing>
    </w:r>
  </w:p>
  <w:p w14:paraId="1FD302A2" w14:textId="77777777" w:rsidR="00210C3D" w:rsidRDefault="00210C3D">
    <w:pPr>
      <w:pStyle w:val="Nagwek"/>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922F9F" w14:textId="77777777" w:rsidR="00210C3D" w:rsidRPr="00FF2306" w:rsidRDefault="00210C3D" w:rsidP="00EE1DA9">
    <w:pPr>
      <w:pStyle w:val="ECHRHeader"/>
      <w:rPr>
        <w:lang w:val="en-GB"/>
      </w:rPr>
    </w:pP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42B84">
      <w:rPr>
        <w:rStyle w:val="Numerstrony"/>
        <w:noProof/>
        <w:szCs w:val="18"/>
        <w:lang w:val="en-GB"/>
      </w:rPr>
      <w:t>12</w:t>
    </w:r>
    <w:r>
      <w:rPr>
        <w:rStyle w:val="Numerstrony"/>
        <w:szCs w:val="18"/>
        <w:lang w:val="en-GB"/>
      </w:rPr>
      <w:fldChar w:fldCharType="end"/>
    </w:r>
    <w:r w:rsidRPr="00FF2306">
      <w:rPr>
        <w:lang w:val="en-GB"/>
      </w:rPr>
      <w:tab/>
    </w:r>
    <w:r>
      <w:rPr>
        <w:lang w:val="en-GB"/>
      </w:rPr>
      <w:t xml:space="preserve">ARTUR </w:t>
    </w:r>
    <w:r w:rsidR="00847D6C">
      <w:rPr>
        <w:lang w:val="en-GB"/>
      </w:rPr>
      <w:t xml:space="preserve">PAWLAK </w:t>
    </w:r>
    <w:proofErr w:type="spellStart"/>
    <w:r w:rsidR="00847D6C">
      <w:rPr>
        <w:lang w:val="en-GB"/>
      </w:rPr>
      <w:t>przeciwko</w:t>
    </w:r>
    <w:proofErr w:type="spellEnd"/>
    <w:r w:rsidR="00847D6C">
      <w:rPr>
        <w:lang w:val="en-GB"/>
      </w:rPr>
      <w:t xml:space="preserve"> POLSCE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65C8898" w14:textId="77777777" w:rsidR="00210C3D" w:rsidRPr="00D60D87" w:rsidRDefault="00210C3D" w:rsidP="00D60D87">
    <w:pPr>
      <w:pStyle w:val="ECHRHeader"/>
      <w:rPr>
        <w:lang w:val="en-GB"/>
      </w:rPr>
    </w:pPr>
    <w:r w:rsidRPr="00D60D87">
      <w:rPr>
        <w:lang w:val="en-GB"/>
      </w:rPr>
      <w:tab/>
    </w:r>
    <w:r>
      <w:rPr>
        <w:lang w:val="en-GB"/>
      </w:rPr>
      <w:t>ARTUR PAWLAK</w:t>
    </w:r>
    <w:r w:rsidR="00464D70">
      <w:rPr>
        <w:lang w:val="en-GB"/>
      </w:rPr>
      <w:t xml:space="preserve">  </w:t>
    </w:r>
    <w:proofErr w:type="spellStart"/>
    <w:r w:rsidR="00464D70">
      <w:rPr>
        <w:lang w:val="en-GB"/>
      </w:rPr>
      <w:t>przeciwko</w:t>
    </w:r>
    <w:proofErr w:type="spellEnd"/>
    <w:r w:rsidR="00464D70">
      <w:rPr>
        <w:lang w:val="en-GB"/>
      </w:rPr>
      <w:t xml:space="preserve"> POLSCE </w:t>
    </w:r>
    <w:r w:rsidRPr="00D60D87">
      <w:rPr>
        <w:lang w:val="en-GB"/>
      </w:rPr>
      <w:tab/>
    </w:r>
    <w:r>
      <w:rPr>
        <w:rStyle w:val="Numerstrony"/>
        <w:szCs w:val="18"/>
        <w:lang w:val="en-GB"/>
      </w:rPr>
      <w:fldChar w:fldCharType="begin"/>
    </w:r>
    <w:r>
      <w:rPr>
        <w:rStyle w:val="Numerstrony"/>
        <w:szCs w:val="18"/>
        <w:lang w:val="en-GB"/>
      </w:rPr>
      <w:instrText xml:space="preserve"> PAGE </w:instrText>
    </w:r>
    <w:r>
      <w:rPr>
        <w:rStyle w:val="Numerstrony"/>
        <w:szCs w:val="18"/>
        <w:lang w:val="en-GB"/>
      </w:rPr>
      <w:fldChar w:fldCharType="separate"/>
    </w:r>
    <w:r w:rsidR="00842B84">
      <w:rPr>
        <w:rStyle w:val="Numerstrony"/>
        <w:noProof/>
        <w:szCs w:val="18"/>
        <w:lang w:val="en-GB"/>
      </w:rPr>
      <w:t>13</w:t>
    </w:r>
    <w:r>
      <w:rPr>
        <w:rStyle w:val="Numerstrony"/>
        <w:szCs w:val="18"/>
        <w:lang w:val="en-GB"/>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0180FE6"/>
    <w:lvl w:ilvl="0">
      <w:start w:val="1"/>
      <w:numFmt w:val="decimal"/>
      <w:pStyle w:val="Listanumerowana5"/>
      <w:lvlText w:val="%1."/>
      <w:lvlJc w:val="left"/>
      <w:pPr>
        <w:tabs>
          <w:tab w:val="num" w:pos="1492"/>
        </w:tabs>
        <w:ind w:left="1492" w:hanging="360"/>
      </w:pPr>
    </w:lvl>
  </w:abstractNum>
  <w:abstractNum w:abstractNumId="1">
    <w:nsid w:val="FFFFFF7D"/>
    <w:multiLevelType w:val="singleLevel"/>
    <w:tmpl w:val="B90ECFBC"/>
    <w:lvl w:ilvl="0">
      <w:start w:val="1"/>
      <w:numFmt w:val="decimal"/>
      <w:pStyle w:val="Listanumerowana4"/>
      <w:lvlText w:val="%1."/>
      <w:lvlJc w:val="left"/>
      <w:pPr>
        <w:tabs>
          <w:tab w:val="num" w:pos="1209"/>
        </w:tabs>
        <w:ind w:left="1209" w:hanging="360"/>
      </w:pPr>
    </w:lvl>
  </w:abstractNum>
  <w:abstractNum w:abstractNumId="2">
    <w:nsid w:val="FFFFFF7E"/>
    <w:multiLevelType w:val="singleLevel"/>
    <w:tmpl w:val="C5B8BEFC"/>
    <w:lvl w:ilvl="0">
      <w:start w:val="1"/>
      <w:numFmt w:val="decimal"/>
      <w:pStyle w:val="Listanumerowana3"/>
      <w:lvlText w:val="%1."/>
      <w:lvlJc w:val="left"/>
      <w:pPr>
        <w:tabs>
          <w:tab w:val="num" w:pos="926"/>
        </w:tabs>
        <w:ind w:left="926" w:hanging="360"/>
      </w:pPr>
    </w:lvl>
  </w:abstractNum>
  <w:abstractNum w:abstractNumId="3">
    <w:nsid w:val="FFFFFF7F"/>
    <w:multiLevelType w:val="singleLevel"/>
    <w:tmpl w:val="6F1CF73A"/>
    <w:lvl w:ilvl="0">
      <w:start w:val="1"/>
      <w:numFmt w:val="decimal"/>
      <w:pStyle w:val="Listanumerowana2"/>
      <w:lvlText w:val="%1."/>
      <w:lvlJc w:val="left"/>
      <w:pPr>
        <w:tabs>
          <w:tab w:val="num" w:pos="643"/>
        </w:tabs>
        <w:ind w:left="643" w:hanging="360"/>
      </w:pPr>
    </w:lvl>
  </w:abstractNum>
  <w:abstractNum w:abstractNumId="4">
    <w:nsid w:val="FFFFFF80"/>
    <w:multiLevelType w:val="singleLevel"/>
    <w:tmpl w:val="23802660"/>
    <w:lvl w:ilvl="0">
      <w:start w:val="1"/>
      <w:numFmt w:val="bullet"/>
      <w:pStyle w:val="Listapunktowana5"/>
      <w:lvlText w:val=""/>
      <w:lvlJc w:val="left"/>
      <w:pPr>
        <w:tabs>
          <w:tab w:val="num" w:pos="1492"/>
        </w:tabs>
        <w:ind w:left="1492" w:hanging="360"/>
      </w:pPr>
      <w:rPr>
        <w:rFonts w:ascii="Symbol" w:hAnsi="Symbol" w:hint="default"/>
      </w:rPr>
    </w:lvl>
  </w:abstractNum>
  <w:abstractNum w:abstractNumId="5">
    <w:nsid w:val="FFFFFF81"/>
    <w:multiLevelType w:val="singleLevel"/>
    <w:tmpl w:val="A0C2C346"/>
    <w:lvl w:ilvl="0">
      <w:start w:val="1"/>
      <w:numFmt w:val="bullet"/>
      <w:pStyle w:val="Listapunktowana4"/>
      <w:lvlText w:val=""/>
      <w:lvlJc w:val="left"/>
      <w:pPr>
        <w:tabs>
          <w:tab w:val="num" w:pos="1209"/>
        </w:tabs>
        <w:ind w:left="1209" w:hanging="360"/>
      </w:pPr>
      <w:rPr>
        <w:rFonts w:ascii="Symbol" w:hAnsi="Symbol" w:hint="default"/>
      </w:rPr>
    </w:lvl>
  </w:abstractNum>
  <w:abstractNum w:abstractNumId="6">
    <w:nsid w:val="FFFFFF82"/>
    <w:multiLevelType w:val="singleLevel"/>
    <w:tmpl w:val="9482EC3A"/>
    <w:lvl w:ilvl="0">
      <w:start w:val="1"/>
      <w:numFmt w:val="bullet"/>
      <w:pStyle w:val="Listapunktowana3"/>
      <w:lvlText w:val=""/>
      <w:lvlJc w:val="left"/>
      <w:pPr>
        <w:tabs>
          <w:tab w:val="num" w:pos="926"/>
        </w:tabs>
        <w:ind w:left="926" w:hanging="360"/>
      </w:pPr>
      <w:rPr>
        <w:rFonts w:ascii="Symbol" w:hAnsi="Symbol" w:hint="default"/>
      </w:rPr>
    </w:lvl>
  </w:abstractNum>
  <w:abstractNum w:abstractNumId="7">
    <w:nsid w:val="FFFFFF83"/>
    <w:multiLevelType w:val="singleLevel"/>
    <w:tmpl w:val="7666B2C2"/>
    <w:lvl w:ilvl="0">
      <w:start w:val="1"/>
      <w:numFmt w:val="bullet"/>
      <w:pStyle w:val="Listapunktowana2"/>
      <w:lvlText w:val=""/>
      <w:lvlJc w:val="left"/>
      <w:pPr>
        <w:tabs>
          <w:tab w:val="num" w:pos="643"/>
        </w:tabs>
        <w:ind w:left="643" w:hanging="360"/>
      </w:pPr>
      <w:rPr>
        <w:rFonts w:ascii="Symbol" w:hAnsi="Symbol" w:hint="default"/>
      </w:rPr>
    </w:lvl>
  </w:abstractNum>
  <w:abstractNum w:abstractNumId="8">
    <w:nsid w:val="FFFFFF88"/>
    <w:multiLevelType w:val="singleLevel"/>
    <w:tmpl w:val="B2760110"/>
    <w:lvl w:ilvl="0">
      <w:start w:val="1"/>
      <w:numFmt w:val="decimal"/>
      <w:pStyle w:val="Listanumerowana"/>
      <w:lvlText w:val="%1."/>
      <w:lvlJc w:val="left"/>
      <w:pPr>
        <w:tabs>
          <w:tab w:val="num" w:pos="360"/>
        </w:tabs>
        <w:ind w:left="360" w:hanging="360"/>
      </w:pPr>
    </w:lvl>
  </w:abstractNum>
  <w:abstractNum w:abstractNumId="9">
    <w:nsid w:val="0066004F"/>
    <w:multiLevelType w:val="multilevel"/>
    <w:tmpl w:val="040C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163F153D"/>
    <w:multiLevelType w:val="multilevel"/>
    <w:tmpl w:val="040C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65D6153C"/>
    <w:multiLevelType w:val="hybridMultilevel"/>
    <w:tmpl w:val="F3CC7288"/>
    <w:lvl w:ilvl="0" w:tplc="963260B2">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2">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13">
    <w:nsid w:val="6EFC09F9"/>
    <w:multiLevelType w:val="hybridMultilevel"/>
    <w:tmpl w:val="8128599E"/>
    <w:lvl w:ilvl="0" w:tplc="A56800FE">
      <w:start w:val="1"/>
      <w:numFmt w:val="decimal"/>
      <w:lvlText w:val="%1."/>
      <w:lvlJc w:val="left"/>
      <w:pPr>
        <w:ind w:left="791" w:hanging="360"/>
      </w:pPr>
      <w:rPr>
        <w:rFonts w:hint="default"/>
      </w:rPr>
    </w:lvl>
    <w:lvl w:ilvl="1" w:tplc="04150019" w:tentative="1">
      <w:start w:val="1"/>
      <w:numFmt w:val="lowerLetter"/>
      <w:lvlText w:val="%2."/>
      <w:lvlJc w:val="left"/>
      <w:pPr>
        <w:ind w:left="1511" w:hanging="360"/>
      </w:pPr>
    </w:lvl>
    <w:lvl w:ilvl="2" w:tplc="0415001B" w:tentative="1">
      <w:start w:val="1"/>
      <w:numFmt w:val="lowerRoman"/>
      <w:lvlText w:val="%3."/>
      <w:lvlJc w:val="right"/>
      <w:pPr>
        <w:ind w:left="2231" w:hanging="180"/>
      </w:pPr>
    </w:lvl>
    <w:lvl w:ilvl="3" w:tplc="0415000F" w:tentative="1">
      <w:start w:val="1"/>
      <w:numFmt w:val="decimal"/>
      <w:lvlText w:val="%4."/>
      <w:lvlJc w:val="left"/>
      <w:pPr>
        <w:ind w:left="2951" w:hanging="360"/>
      </w:pPr>
    </w:lvl>
    <w:lvl w:ilvl="4" w:tplc="04150019" w:tentative="1">
      <w:start w:val="1"/>
      <w:numFmt w:val="lowerLetter"/>
      <w:lvlText w:val="%5."/>
      <w:lvlJc w:val="left"/>
      <w:pPr>
        <w:ind w:left="3671" w:hanging="360"/>
      </w:pPr>
    </w:lvl>
    <w:lvl w:ilvl="5" w:tplc="0415001B" w:tentative="1">
      <w:start w:val="1"/>
      <w:numFmt w:val="lowerRoman"/>
      <w:lvlText w:val="%6."/>
      <w:lvlJc w:val="right"/>
      <w:pPr>
        <w:ind w:left="4391" w:hanging="180"/>
      </w:pPr>
    </w:lvl>
    <w:lvl w:ilvl="6" w:tplc="0415000F" w:tentative="1">
      <w:start w:val="1"/>
      <w:numFmt w:val="decimal"/>
      <w:lvlText w:val="%7."/>
      <w:lvlJc w:val="left"/>
      <w:pPr>
        <w:ind w:left="5111" w:hanging="360"/>
      </w:pPr>
    </w:lvl>
    <w:lvl w:ilvl="7" w:tplc="04150019" w:tentative="1">
      <w:start w:val="1"/>
      <w:numFmt w:val="lowerLetter"/>
      <w:lvlText w:val="%8."/>
      <w:lvlJc w:val="left"/>
      <w:pPr>
        <w:ind w:left="5831" w:hanging="360"/>
      </w:pPr>
    </w:lvl>
    <w:lvl w:ilvl="8" w:tplc="0415001B" w:tentative="1">
      <w:start w:val="1"/>
      <w:numFmt w:val="lowerRoman"/>
      <w:lvlText w:val="%9."/>
      <w:lvlJc w:val="right"/>
      <w:pPr>
        <w:ind w:left="6551" w:hanging="180"/>
      </w:pPr>
    </w:lvl>
  </w:abstractNum>
  <w:abstractNum w:abstractNumId="14">
    <w:nsid w:val="76903243"/>
    <w:multiLevelType w:val="multilevel"/>
    <w:tmpl w:val="E884A926"/>
    <w:lvl w:ilvl="0">
      <w:start w:val="1"/>
      <w:numFmt w:val="decimal"/>
      <w:pStyle w:val="JuAppQuestion"/>
      <w:lvlText w:val="%1."/>
      <w:lvlJc w:val="left"/>
      <w:pPr>
        <w:tabs>
          <w:tab w:val="num" w:pos="720"/>
        </w:tabs>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5">
    <w:nsid w:val="7737461D"/>
    <w:multiLevelType w:val="multilevel"/>
    <w:tmpl w:val="040C0023"/>
    <w:styleLink w:val="Artykusekcja"/>
    <w:lvl w:ilvl="0">
      <w:start w:val="1"/>
      <w:numFmt w:val="upperRoman"/>
      <w:lvlText w:val="Article %1."/>
      <w:lvlJc w:val="left"/>
      <w:pPr>
        <w:ind w:left="0" w:firstLine="0"/>
      </w:pPr>
    </w:lvl>
    <w:lvl w:ilvl="1">
      <w:start w:val="1"/>
      <w:numFmt w:val="decimalZero"/>
      <w:isLgl/>
      <w:lvlText w:val="Section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num w:numId="1">
    <w:abstractNumId w:val="12"/>
  </w:num>
  <w:num w:numId="2">
    <w:abstractNumId w:val="10"/>
  </w:num>
  <w:num w:numId="3">
    <w:abstractNumId w:val="9"/>
  </w:num>
  <w:num w:numId="4">
    <w:abstractNumId w:val="15"/>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4"/>
  </w:num>
  <w:num w:numId="15">
    <w:abstractNumId w:val="14"/>
  </w:num>
  <w:num w:numId="16">
    <w:abstractNumId w:val="14"/>
  </w:num>
  <w:num w:numId="17">
    <w:abstractNumId w:val="14"/>
  </w:num>
  <w:num w:numId="18">
    <w:abstractNumId w:val="14"/>
  </w:num>
  <w:num w:numId="19">
    <w:abstractNumId w:val="14"/>
  </w:num>
  <w:num w:numId="20">
    <w:abstractNumId w:val="14"/>
  </w:num>
  <w:num w:numId="21">
    <w:abstractNumId w:val="11"/>
  </w:num>
  <w:num w:numId="22">
    <w:abstractNumId w:val="13"/>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removePersonalInformation/>
  <w:removeDateAndTime/>
  <w:proofState w:spelling="clean"/>
  <w:stylePaneFormatFilter w:val="D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1"/>
  <w:defaultTabStop w:val="720"/>
  <w:hyphenationZone w:val="425"/>
  <w:evenAndOddHeaders/>
  <w:drawingGridHorizontalSpacing w:val="110"/>
  <w:displayHorizontalDrawingGridEvery w:val="2"/>
  <w:displayVerticalDrawingGridEvery w:val="2"/>
  <w:characterSpacingControl w:val="doNotCompress"/>
  <w:hdrShapeDefaults>
    <o:shapedefaults v:ext="edit" spidmax="2049"/>
  </w:hdrShapeDefaults>
  <w:footnotePr>
    <w:numRestart w:val="eachPage"/>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ppNatAutre" w:val="0"/>
    <w:docVar w:name="DocVarPREMATURE" w:val="0"/>
    <w:docVar w:name="EMM" w:val="0"/>
    <w:docVar w:name="ETRANSMISSION" w:val="BY E-TRANSMISSION ONLY"/>
    <w:docVar w:name="L4_1Annex" w:val="0"/>
    <w:docVar w:name="L4_1Anonymity" w:val="0"/>
    <w:docVar w:name="NBEMMDOC" w:val="0"/>
    <w:docVar w:name="SignForeName" w:val="0"/>
  </w:docVars>
  <w:rsids>
    <w:rsidRoot w:val="00613717"/>
    <w:rsid w:val="000010ED"/>
    <w:rsid w:val="000022B0"/>
    <w:rsid w:val="000041F8"/>
    <w:rsid w:val="000042A8"/>
    <w:rsid w:val="00004308"/>
    <w:rsid w:val="00005BF0"/>
    <w:rsid w:val="00007154"/>
    <w:rsid w:val="000103AE"/>
    <w:rsid w:val="00011D69"/>
    <w:rsid w:val="00012AD3"/>
    <w:rsid w:val="00013853"/>
    <w:rsid w:val="00013D02"/>
    <w:rsid w:val="00014566"/>
    <w:rsid w:val="00015AA5"/>
    <w:rsid w:val="00015C2D"/>
    <w:rsid w:val="00015F00"/>
    <w:rsid w:val="00022C1D"/>
    <w:rsid w:val="00027B55"/>
    <w:rsid w:val="00034987"/>
    <w:rsid w:val="00041BA6"/>
    <w:rsid w:val="0004203F"/>
    <w:rsid w:val="000446F9"/>
    <w:rsid w:val="00052C04"/>
    <w:rsid w:val="000602DF"/>
    <w:rsid w:val="00061B05"/>
    <w:rsid w:val="00062973"/>
    <w:rsid w:val="00062D5D"/>
    <w:rsid w:val="000632D5"/>
    <w:rsid w:val="000644EE"/>
    <w:rsid w:val="00080249"/>
    <w:rsid w:val="000856D7"/>
    <w:rsid w:val="00087472"/>
    <w:rsid w:val="000913AB"/>
    <w:rsid w:val="000925AD"/>
    <w:rsid w:val="000A24EB"/>
    <w:rsid w:val="000A530A"/>
    <w:rsid w:val="000A6807"/>
    <w:rsid w:val="000A7311"/>
    <w:rsid w:val="000B16B4"/>
    <w:rsid w:val="000B6923"/>
    <w:rsid w:val="000C033C"/>
    <w:rsid w:val="000C0CE9"/>
    <w:rsid w:val="000C5F3C"/>
    <w:rsid w:val="000C6DCC"/>
    <w:rsid w:val="000D1A3A"/>
    <w:rsid w:val="000D47AA"/>
    <w:rsid w:val="000D721F"/>
    <w:rsid w:val="000E069B"/>
    <w:rsid w:val="000E0E82"/>
    <w:rsid w:val="000E1B58"/>
    <w:rsid w:val="000E1DC5"/>
    <w:rsid w:val="000E223F"/>
    <w:rsid w:val="000E2BA7"/>
    <w:rsid w:val="000E67FB"/>
    <w:rsid w:val="000E7D45"/>
    <w:rsid w:val="000F6F5B"/>
    <w:rsid w:val="000F7851"/>
    <w:rsid w:val="0010263C"/>
    <w:rsid w:val="00104E23"/>
    <w:rsid w:val="00110576"/>
    <w:rsid w:val="00111B0C"/>
    <w:rsid w:val="00120D6C"/>
    <w:rsid w:val="001257EC"/>
    <w:rsid w:val="00127AD0"/>
    <w:rsid w:val="00130205"/>
    <w:rsid w:val="00132C6A"/>
    <w:rsid w:val="00133D33"/>
    <w:rsid w:val="00134D64"/>
    <w:rsid w:val="00135A30"/>
    <w:rsid w:val="0013612C"/>
    <w:rsid w:val="00137FF6"/>
    <w:rsid w:val="00140519"/>
    <w:rsid w:val="00141650"/>
    <w:rsid w:val="0015229A"/>
    <w:rsid w:val="00152F8F"/>
    <w:rsid w:val="00153EB3"/>
    <w:rsid w:val="00162A12"/>
    <w:rsid w:val="001656E5"/>
    <w:rsid w:val="00166530"/>
    <w:rsid w:val="0018255D"/>
    <w:rsid w:val="001832BD"/>
    <w:rsid w:val="00190D31"/>
    <w:rsid w:val="00192BBE"/>
    <w:rsid w:val="001943B5"/>
    <w:rsid w:val="00195134"/>
    <w:rsid w:val="0019600D"/>
    <w:rsid w:val="00197BCA"/>
    <w:rsid w:val="001A145B"/>
    <w:rsid w:val="001A674C"/>
    <w:rsid w:val="001A7454"/>
    <w:rsid w:val="001B1B13"/>
    <w:rsid w:val="001B1D36"/>
    <w:rsid w:val="001B3B24"/>
    <w:rsid w:val="001C0F98"/>
    <w:rsid w:val="001C2A42"/>
    <w:rsid w:val="001C2D71"/>
    <w:rsid w:val="001D0ED1"/>
    <w:rsid w:val="001D485A"/>
    <w:rsid w:val="001D63ED"/>
    <w:rsid w:val="001D7348"/>
    <w:rsid w:val="001E035B"/>
    <w:rsid w:val="001E0961"/>
    <w:rsid w:val="001E11C4"/>
    <w:rsid w:val="001E3EAE"/>
    <w:rsid w:val="001E5A58"/>
    <w:rsid w:val="001E6F32"/>
    <w:rsid w:val="001F2145"/>
    <w:rsid w:val="001F6262"/>
    <w:rsid w:val="001F67B0"/>
    <w:rsid w:val="001F7B3D"/>
    <w:rsid w:val="00205BC9"/>
    <w:rsid w:val="00205F9F"/>
    <w:rsid w:val="00206050"/>
    <w:rsid w:val="00210338"/>
    <w:rsid w:val="00210C3D"/>
    <w:rsid w:val="002115FC"/>
    <w:rsid w:val="002133F8"/>
    <w:rsid w:val="0021423C"/>
    <w:rsid w:val="00215287"/>
    <w:rsid w:val="00215976"/>
    <w:rsid w:val="002224D2"/>
    <w:rsid w:val="00224147"/>
    <w:rsid w:val="00230D00"/>
    <w:rsid w:val="00231DF7"/>
    <w:rsid w:val="00231FD1"/>
    <w:rsid w:val="00232355"/>
    <w:rsid w:val="002339E0"/>
    <w:rsid w:val="00233CF8"/>
    <w:rsid w:val="0023575D"/>
    <w:rsid w:val="00237148"/>
    <w:rsid w:val="0024222D"/>
    <w:rsid w:val="00244B0E"/>
    <w:rsid w:val="00244F6C"/>
    <w:rsid w:val="002450E2"/>
    <w:rsid w:val="002532C5"/>
    <w:rsid w:val="00256F8A"/>
    <w:rsid w:val="00260C03"/>
    <w:rsid w:val="0026540E"/>
    <w:rsid w:val="00273F26"/>
    <w:rsid w:val="002747C8"/>
    <w:rsid w:val="00275123"/>
    <w:rsid w:val="00280BC3"/>
    <w:rsid w:val="00282240"/>
    <w:rsid w:val="0028572A"/>
    <w:rsid w:val="002948AD"/>
    <w:rsid w:val="00294C05"/>
    <w:rsid w:val="00294C92"/>
    <w:rsid w:val="002A01CC"/>
    <w:rsid w:val="002A2787"/>
    <w:rsid w:val="002A61B1"/>
    <w:rsid w:val="002A663C"/>
    <w:rsid w:val="002B444B"/>
    <w:rsid w:val="002B5887"/>
    <w:rsid w:val="002C0692"/>
    <w:rsid w:val="002C0E27"/>
    <w:rsid w:val="002C3040"/>
    <w:rsid w:val="002C6FF0"/>
    <w:rsid w:val="002D022D"/>
    <w:rsid w:val="002D24BB"/>
    <w:rsid w:val="002E1A6B"/>
    <w:rsid w:val="002F2AF7"/>
    <w:rsid w:val="002F3C52"/>
    <w:rsid w:val="002F6A60"/>
    <w:rsid w:val="002F7E1C"/>
    <w:rsid w:val="003005B3"/>
    <w:rsid w:val="00301A75"/>
    <w:rsid w:val="00302F70"/>
    <w:rsid w:val="0030336F"/>
    <w:rsid w:val="0030375E"/>
    <w:rsid w:val="003101C9"/>
    <w:rsid w:val="00312A30"/>
    <w:rsid w:val="00316CA8"/>
    <w:rsid w:val="00320F72"/>
    <w:rsid w:val="00321576"/>
    <w:rsid w:val="00322179"/>
    <w:rsid w:val="0032463E"/>
    <w:rsid w:val="00326224"/>
    <w:rsid w:val="003332F4"/>
    <w:rsid w:val="00333583"/>
    <w:rsid w:val="00337EE4"/>
    <w:rsid w:val="00340FFD"/>
    <w:rsid w:val="003506B1"/>
    <w:rsid w:val="00356AC7"/>
    <w:rsid w:val="003609FA"/>
    <w:rsid w:val="0036566B"/>
    <w:rsid w:val="00365FE9"/>
    <w:rsid w:val="00367EE6"/>
    <w:rsid w:val="00370A4E"/>
    <w:rsid w:val="00370F0D"/>
    <w:rsid w:val="003710C8"/>
    <w:rsid w:val="003743DF"/>
    <w:rsid w:val="003746FF"/>
    <w:rsid w:val="003750BE"/>
    <w:rsid w:val="00377FA8"/>
    <w:rsid w:val="00381614"/>
    <w:rsid w:val="00387B9D"/>
    <w:rsid w:val="0039364F"/>
    <w:rsid w:val="00396647"/>
    <w:rsid w:val="00396686"/>
    <w:rsid w:val="0039778E"/>
    <w:rsid w:val="003A6641"/>
    <w:rsid w:val="003B4941"/>
    <w:rsid w:val="003B6ECC"/>
    <w:rsid w:val="003C5714"/>
    <w:rsid w:val="003C6B9F"/>
    <w:rsid w:val="003C6E2A"/>
    <w:rsid w:val="003D0299"/>
    <w:rsid w:val="003E0425"/>
    <w:rsid w:val="003E623C"/>
    <w:rsid w:val="003E6D80"/>
    <w:rsid w:val="003F05FA"/>
    <w:rsid w:val="003F244A"/>
    <w:rsid w:val="003F30B8"/>
    <w:rsid w:val="003F4C45"/>
    <w:rsid w:val="003F5F7B"/>
    <w:rsid w:val="003F7D64"/>
    <w:rsid w:val="00414300"/>
    <w:rsid w:val="004143CF"/>
    <w:rsid w:val="00421B5B"/>
    <w:rsid w:val="00425C67"/>
    <w:rsid w:val="00427E7A"/>
    <w:rsid w:val="004300C1"/>
    <w:rsid w:val="00432D01"/>
    <w:rsid w:val="00435587"/>
    <w:rsid w:val="00435C57"/>
    <w:rsid w:val="00436307"/>
    <w:rsid w:val="00436C49"/>
    <w:rsid w:val="00437547"/>
    <w:rsid w:val="00445366"/>
    <w:rsid w:val="004470C8"/>
    <w:rsid w:val="00447F5B"/>
    <w:rsid w:val="004525FA"/>
    <w:rsid w:val="004602A7"/>
    <w:rsid w:val="00461DB0"/>
    <w:rsid w:val="00463926"/>
    <w:rsid w:val="004646E0"/>
    <w:rsid w:val="00464C9A"/>
    <w:rsid w:val="00464D70"/>
    <w:rsid w:val="00474F3D"/>
    <w:rsid w:val="00477E3A"/>
    <w:rsid w:val="00483E5F"/>
    <w:rsid w:val="00485FF9"/>
    <w:rsid w:val="004907F0"/>
    <w:rsid w:val="0049140B"/>
    <w:rsid w:val="004923A5"/>
    <w:rsid w:val="004951DB"/>
    <w:rsid w:val="00496BFB"/>
    <w:rsid w:val="004A15C7"/>
    <w:rsid w:val="004A4026"/>
    <w:rsid w:val="004B013B"/>
    <w:rsid w:val="004B112B"/>
    <w:rsid w:val="004B286E"/>
    <w:rsid w:val="004C01E4"/>
    <w:rsid w:val="004C086C"/>
    <w:rsid w:val="004C1F56"/>
    <w:rsid w:val="004C27BC"/>
    <w:rsid w:val="004C563C"/>
    <w:rsid w:val="004D15F3"/>
    <w:rsid w:val="004D1AF1"/>
    <w:rsid w:val="004D1E4C"/>
    <w:rsid w:val="004D24A7"/>
    <w:rsid w:val="004D4E88"/>
    <w:rsid w:val="004D5311"/>
    <w:rsid w:val="004D5DCC"/>
    <w:rsid w:val="004E756F"/>
    <w:rsid w:val="004F10AF"/>
    <w:rsid w:val="004F11A4"/>
    <w:rsid w:val="004F2389"/>
    <w:rsid w:val="004F304D"/>
    <w:rsid w:val="004F3C7F"/>
    <w:rsid w:val="004F426E"/>
    <w:rsid w:val="004F54D9"/>
    <w:rsid w:val="004F61BE"/>
    <w:rsid w:val="004F66B1"/>
    <w:rsid w:val="00501424"/>
    <w:rsid w:val="005017EA"/>
    <w:rsid w:val="00501DE4"/>
    <w:rsid w:val="005052E1"/>
    <w:rsid w:val="00507E1D"/>
    <w:rsid w:val="00511C07"/>
    <w:rsid w:val="005173A6"/>
    <w:rsid w:val="00520BAA"/>
    <w:rsid w:val="00521052"/>
    <w:rsid w:val="00521E8F"/>
    <w:rsid w:val="00525208"/>
    <w:rsid w:val="005257A5"/>
    <w:rsid w:val="005264C0"/>
    <w:rsid w:val="00526A8A"/>
    <w:rsid w:val="00531DF2"/>
    <w:rsid w:val="00535DDB"/>
    <w:rsid w:val="00540772"/>
    <w:rsid w:val="005442EE"/>
    <w:rsid w:val="00547353"/>
    <w:rsid w:val="005474E7"/>
    <w:rsid w:val="005512A3"/>
    <w:rsid w:val="005578CE"/>
    <w:rsid w:val="00562781"/>
    <w:rsid w:val="00563E83"/>
    <w:rsid w:val="0057271C"/>
    <w:rsid w:val="00572845"/>
    <w:rsid w:val="00592772"/>
    <w:rsid w:val="0059574A"/>
    <w:rsid w:val="005A0A7F"/>
    <w:rsid w:val="005A0C6D"/>
    <w:rsid w:val="005A1217"/>
    <w:rsid w:val="005A1B9B"/>
    <w:rsid w:val="005A42DF"/>
    <w:rsid w:val="005A6751"/>
    <w:rsid w:val="005B092E"/>
    <w:rsid w:val="005B152C"/>
    <w:rsid w:val="005B1EE0"/>
    <w:rsid w:val="005B2426"/>
    <w:rsid w:val="005B2B24"/>
    <w:rsid w:val="005B2D98"/>
    <w:rsid w:val="005B4425"/>
    <w:rsid w:val="005B4B94"/>
    <w:rsid w:val="005C3EE8"/>
    <w:rsid w:val="005D34F9"/>
    <w:rsid w:val="005D4190"/>
    <w:rsid w:val="005D67A3"/>
    <w:rsid w:val="005E2988"/>
    <w:rsid w:val="005E2A43"/>
    <w:rsid w:val="005E3085"/>
    <w:rsid w:val="005E7B7A"/>
    <w:rsid w:val="005F4452"/>
    <w:rsid w:val="005F51E1"/>
    <w:rsid w:val="00603AE7"/>
    <w:rsid w:val="00611C80"/>
    <w:rsid w:val="006130BB"/>
    <w:rsid w:val="00613717"/>
    <w:rsid w:val="006173F5"/>
    <w:rsid w:val="00620692"/>
    <w:rsid w:val="00623C1E"/>
    <w:rsid w:val="006242CA"/>
    <w:rsid w:val="006254E2"/>
    <w:rsid w:val="00626D4A"/>
    <w:rsid w:val="00627507"/>
    <w:rsid w:val="00631260"/>
    <w:rsid w:val="00633717"/>
    <w:rsid w:val="00634009"/>
    <w:rsid w:val="006344E1"/>
    <w:rsid w:val="00634625"/>
    <w:rsid w:val="00642AB7"/>
    <w:rsid w:val="006545C4"/>
    <w:rsid w:val="006567B1"/>
    <w:rsid w:val="00660623"/>
    <w:rsid w:val="00661971"/>
    <w:rsid w:val="00661CE8"/>
    <w:rsid w:val="006623D9"/>
    <w:rsid w:val="00664854"/>
    <w:rsid w:val="0066550C"/>
    <w:rsid w:val="00667652"/>
    <w:rsid w:val="006716F2"/>
    <w:rsid w:val="00675FB8"/>
    <w:rsid w:val="00682BF2"/>
    <w:rsid w:val="00682DD9"/>
    <w:rsid w:val="00683055"/>
    <w:rsid w:val="006846E7"/>
    <w:rsid w:val="00684DAD"/>
    <w:rsid w:val="006859CE"/>
    <w:rsid w:val="00691270"/>
    <w:rsid w:val="00694B5A"/>
    <w:rsid w:val="00694B62"/>
    <w:rsid w:val="00694BA8"/>
    <w:rsid w:val="006952F0"/>
    <w:rsid w:val="00696B5D"/>
    <w:rsid w:val="006A037C"/>
    <w:rsid w:val="006A36F4"/>
    <w:rsid w:val="006A406F"/>
    <w:rsid w:val="006A5D3A"/>
    <w:rsid w:val="006A6437"/>
    <w:rsid w:val="006B58C0"/>
    <w:rsid w:val="006B7A5B"/>
    <w:rsid w:val="006C18B4"/>
    <w:rsid w:val="006C23D4"/>
    <w:rsid w:val="006C34C2"/>
    <w:rsid w:val="006C5D35"/>
    <w:rsid w:val="006C7BB0"/>
    <w:rsid w:val="006D04B8"/>
    <w:rsid w:val="006D3237"/>
    <w:rsid w:val="006E2E37"/>
    <w:rsid w:val="006E3CF1"/>
    <w:rsid w:val="006E7E80"/>
    <w:rsid w:val="006F1DF9"/>
    <w:rsid w:val="006F24DB"/>
    <w:rsid w:val="006F48CA"/>
    <w:rsid w:val="006F574C"/>
    <w:rsid w:val="006F64DD"/>
    <w:rsid w:val="00702E7D"/>
    <w:rsid w:val="00715127"/>
    <w:rsid w:val="00715E8E"/>
    <w:rsid w:val="00723580"/>
    <w:rsid w:val="00723755"/>
    <w:rsid w:val="00726CC8"/>
    <w:rsid w:val="0073136C"/>
    <w:rsid w:val="00731F0F"/>
    <w:rsid w:val="0073242A"/>
    <w:rsid w:val="00733250"/>
    <w:rsid w:val="00734E02"/>
    <w:rsid w:val="00741404"/>
    <w:rsid w:val="00741628"/>
    <w:rsid w:val="007449E5"/>
    <w:rsid w:val="00745CBD"/>
    <w:rsid w:val="00746C5A"/>
    <w:rsid w:val="00747FF0"/>
    <w:rsid w:val="0076067A"/>
    <w:rsid w:val="00764D48"/>
    <w:rsid w:val="00764D4E"/>
    <w:rsid w:val="00765A1F"/>
    <w:rsid w:val="00774BD3"/>
    <w:rsid w:val="00775038"/>
    <w:rsid w:val="00775B6D"/>
    <w:rsid w:val="00776D68"/>
    <w:rsid w:val="007850EE"/>
    <w:rsid w:val="00785B95"/>
    <w:rsid w:val="00790D0C"/>
    <w:rsid w:val="00790E96"/>
    <w:rsid w:val="00793366"/>
    <w:rsid w:val="007A4554"/>
    <w:rsid w:val="007A716F"/>
    <w:rsid w:val="007B1216"/>
    <w:rsid w:val="007B270A"/>
    <w:rsid w:val="007B2B17"/>
    <w:rsid w:val="007B32DE"/>
    <w:rsid w:val="007C036F"/>
    <w:rsid w:val="007C0695"/>
    <w:rsid w:val="007C28C6"/>
    <w:rsid w:val="007C419A"/>
    <w:rsid w:val="007C4CC8"/>
    <w:rsid w:val="007C5426"/>
    <w:rsid w:val="007C5798"/>
    <w:rsid w:val="007C768E"/>
    <w:rsid w:val="007D0AC6"/>
    <w:rsid w:val="007D4832"/>
    <w:rsid w:val="007D7022"/>
    <w:rsid w:val="007E21B2"/>
    <w:rsid w:val="007E2C4E"/>
    <w:rsid w:val="007F1905"/>
    <w:rsid w:val="007F2CA4"/>
    <w:rsid w:val="00801300"/>
    <w:rsid w:val="00802C64"/>
    <w:rsid w:val="00805E52"/>
    <w:rsid w:val="008061D0"/>
    <w:rsid w:val="00810B38"/>
    <w:rsid w:val="008179DA"/>
    <w:rsid w:val="008204C7"/>
    <w:rsid w:val="00820992"/>
    <w:rsid w:val="00823602"/>
    <w:rsid w:val="008255F5"/>
    <w:rsid w:val="0083014E"/>
    <w:rsid w:val="0083214A"/>
    <w:rsid w:val="00834220"/>
    <w:rsid w:val="008342D8"/>
    <w:rsid w:val="00842B84"/>
    <w:rsid w:val="00845723"/>
    <w:rsid w:val="00847D6C"/>
    <w:rsid w:val="00851EF9"/>
    <w:rsid w:val="008537CE"/>
    <w:rsid w:val="0085401F"/>
    <w:rsid w:val="008577FD"/>
    <w:rsid w:val="00860B03"/>
    <w:rsid w:val="0086497A"/>
    <w:rsid w:val="00867CDD"/>
    <w:rsid w:val="008713A1"/>
    <w:rsid w:val="00873662"/>
    <w:rsid w:val="008744F6"/>
    <w:rsid w:val="008754AB"/>
    <w:rsid w:val="00875E9A"/>
    <w:rsid w:val="0088060C"/>
    <w:rsid w:val="00880965"/>
    <w:rsid w:val="00885400"/>
    <w:rsid w:val="0089162A"/>
    <w:rsid w:val="00892228"/>
    <w:rsid w:val="00893576"/>
    <w:rsid w:val="00893E73"/>
    <w:rsid w:val="00894305"/>
    <w:rsid w:val="00897AD2"/>
    <w:rsid w:val="008A43C4"/>
    <w:rsid w:val="008B02DC"/>
    <w:rsid w:val="008B57CE"/>
    <w:rsid w:val="008B659F"/>
    <w:rsid w:val="008C26DE"/>
    <w:rsid w:val="008C53C7"/>
    <w:rsid w:val="008D2225"/>
    <w:rsid w:val="008D4752"/>
    <w:rsid w:val="008E271C"/>
    <w:rsid w:val="008E418E"/>
    <w:rsid w:val="008E579C"/>
    <w:rsid w:val="008E5BC6"/>
    <w:rsid w:val="008E6A25"/>
    <w:rsid w:val="008F5193"/>
    <w:rsid w:val="009013A7"/>
    <w:rsid w:val="009017FB"/>
    <w:rsid w:val="009017FC"/>
    <w:rsid w:val="00901A20"/>
    <w:rsid w:val="00903B43"/>
    <w:rsid w:val="0090506B"/>
    <w:rsid w:val="009050C9"/>
    <w:rsid w:val="009066FC"/>
    <w:rsid w:val="00907806"/>
    <w:rsid w:val="0091025D"/>
    <w:rsid w:val="0091208A"/>
    <w:rsid w:val="009140A3"/>
    <w:rsid w:val="009144A2"/>
    <w:rsid w:val="0091510C"/>
    <w:rsid w:val="0091719A"/>
    <w:rsid w:val="00917958"/>
    <w:rsid w:val="009218AB"/>
    <w:rsid w:val="009259AC"/>
    <w:rsid w:val="00926F38"/>
    <w:rsid w:val="00934301"/>
    <w:rsid w:val="00936111"/>
    <w:rsid w:val="00936CD1"/>
    <w:rsid w:val="009406CC"/>
    <w:rsid w:val="00941747"/>
    <w:rsid w:val="00941EFB"/>
    <w:rsid w:val="00943BE2"/>
    <w:rsid w:val="00945B09"/>
    <w:rsid w:val="00947AFB"/>
    <w:rsid w:val="00951D7D"/>
    <w:rsid w:val="00952C12"/>
    <w:rsid w:val="0095446E"/>
    <w:rsid w:val="00955CDD"/>
    <w:rsid w:val="009562E3"/>
    <w:rsid w:val="009630C7"/>
    <w:rsid w:val="00970C67"/>
    <w:rsid w:val="00971BF3"/>
    <w:rsid w:val="00972B55"/>
    <w:rsid w:val="009743B7"/>
    <w:rsid w:val="00975F09"/>
    <w:rsid w:val="009769C0"/>
    <w:rsid w:val="009777BA"/>
    <w:rsid w:val="0098228B"/>
    <w:rsid w:val="009828DA"/>
    <w:rsid w:val="009836A7"/>
    <w:rsid w:val="00984958"/>
    <w:rsid w:val="00985BAB"/>
    <w:rsid w:val="00987082"/>
    <w:rsid w:val="00997F03"/>
    <w:rsid w:val="009A46DF"/>
    <w:rsid w:val="009A6CB1"/>
    <w:rsid w:val="009B1B5F"/>
    <w:rsid w:val="009B2EC2"/>
    <w:rsid w:val="009B4748"/>
    <w:rsid w:val="009B6673"/>
    <w:rsid w:val="009B7757"/>
    <w:rsid w:val="009C191B"/>
    <w:rsid w:val="009C2BD6"/>
    <w:rsid w:val="009D512E"/>
    <w:rsid w:val="009E1F32"/>
    <w:rsid w:val="009E4510"/>
    <w:rsid w:val="009E5829"/>
    <w:rsid w:val="009E64DF"/>
    <w:rsid w:val="009E776C"/>
    <w:rsid w:val="009F0D43"/>
    <w:rsid w:val="00A014D0"/>
    <w:rsid w:val="00A05653"/>
    <w:rsid w:val="00A14D53"/>
    <w:rsid w:val="00A1726E"/>
    <w:rsid w:val="00A204CF"/>
    <w:rsid w:val="00A2201A"/>
    <w:rsid w:val="00A23D49"/>
    <w:rsid w:val="00A27004"/>
    <w:rsid w:val="00A30C29"/>
    <w:rsid w:val="00A337CB"/>
    <w:rsid w:val="00A34DD6"/>
    <w:rsid w:val="00A34FC4"/>
    <w:rsid w:val="00A36819"/>
    <w:rsid w:val="00A36989"/>
    <w:rsid w:val="00A4048B"/>
    <w:rsid w:val="00A42971"/>
    <w:rsid w:val="00A43628"/>
    <w:rsid w:val="00A43DF2"/>
    <w:rsid w:val="00A46C69"/>
    <w:rsid w:val="00A54192"/>
    <w:rsid w:val="00A6035E"/>
    <w:rsid w:val="00A60377"/>
    <w:rsid w:val="00A6144C"/>
    <w:rsid w:val="00A61FE7"/>
    <w:rsid w:val="00A63754"/>
    <w:rsid w:val="00A66617"/>
    <w:rsid w:val="00A671F8"/>
    <w:rsid w:val="00A673A4"/>
    <w:rsid w:val="00A70DFF"/>
    <w:rsid w:val="00A724AE"/>
    <w:rsid w:val="00A73329"/>
    <w:rsid w:val="00A773B4"/>
    <w:rsid w:val="00A80EBC"/>
    <w:rsid w:val="00A82359"/>
    <w:rsid w:val="00A83235"/>
    <w:rsid w:val="00A84BF9"/>
    <w:rsid w:val="00A865D2"/>
    <w:rsid w:val="00A87EEC"/>
    <w:rsid w:val="00A911E4"/>
    <w:rsid w:val="00A94C20"/>
    <w:rsid w:val="00A96ED6"/>
    <w:rsid w:val="00AA0DA2"/>
    <w:rsid w:val="00AA227F"/>
    <w:rsid w:val="00AA3BC7"/>
    <w:rsid w:val="00AA754A"/>
    <w:rsid w:val="00AB099E"/>
    <w:rsid w:val="00AB4328"/>
    <w:rsid w:val="00AB4DEA"/>
    <w:rsid w:val="00AB5FA0"/>
    <w:rsid w:val="00AB679B"/>
    <w:rsid w:val="00AD0AFB"/>
    <w:rsid w:val="00AD32BF"/>
    <w:rsid w:val="00AD48A0"/>
    <w:rsid w:val="00AD7AEB"/>
    <w:rsid w:val="00AE0A2E"/>
    <w:rsid w:val="00AE1E06"/>
    <w:rsid w:val="00AE354C"/>
    <w:rsid w:val="00AE5B3C"/>
    <w:rsid w:val="00AF04CE"/>
    <w:rsid w:val="00AF1EFB"/>
    <w:rsid w:val="00AF1F53"/>
    <w:rsid w:val="00AF4B07"/>
    <w:rsid w:val="00AF6186"/>
    <w:rsid w:val="00AF7A3A"/>
    <w:rsid w:val="00B02249"/>
    <w:rsid w:val="00B024B7"/>
    <w:rsid w:val="00B07AC5"/>
    <w:rsid w:val="00B121A9"/>
    <w:rsid w:val="00B12DE3"/>
    <w:rsid w:val="00B13FA5"/>
    <w:rsid w:val="00B160DB"/>
    <w:rsid w:val="00B2058B"/>
    <w:rsid w:val="00B20836"/>
    <w:rsid w:val="00B211F2"/>
    <w:rsid w:val="00B235BB"/>
    <w:rsid w:val="00B27A44"/>
    <w:rsid w:val="00B30BBF"/>
    <w:rsid w:val="00B329FC"/>
    <w:rsid w:val="00B33C03"/>
    <w:rsid w:val="00B34E7F"/>
    <w:rsid w:val="00B355F4"/>
    <w:rsid w:val="00B44E56"/>
    <w:rsid w:val="00B4550E"/>
    <w:rsid w:val="00B46543"/>
    <w:rsid w:val="00B47D33"/>
    <w:rsid w:val="00B47D80"/>
    <w:rsid w:val="00B52BE0"/>
    <w:rsid w:val="00B54133"/>
    <w:rsid w:val="00B637B9"/>
    <w:rsid w:val="00B6387B"/>
    <w:rsid w:val="00B701ED"/>
    <w:rsid w:val="00B715C3"/>
    <w:rsid w:val="00B8086C"/>
    <w:rsid w:val="00B861B4"/>
    <w:rsid w:val="00B86DFE"/>
    <w:rsid w:val="00B86EAD"/>
    <w:rsid w:val="00B90990"/>
    <w:rsid w:val="00B91FAB"/>
    <w:rsid w:val="00B922FF"/>
    <w:rsid w:val="00B9281E"/>
    <w:rsid w:val="00B93925"/>
    <w:rsid w:val="00B95187"/>
    <w:rsid w:val="00BA2C82"/>
    <w:rsid w:val="00BA2D55"/>
    <w:rsid w:val="00BA71B1"/>
    <w:rsid w:val="00BB0637"/>
    <w:rsid w:val="00BB345F"/>
    <w:rsid w:val="00BB55AA"/>
    <w:rsid w:val="00BB5883"/>
    <w:rsid w:val="00BB68EA"/>
    <w:rsid w:val="00BB705D"/>
    <w:rsid w:val="00BC1C27"/>
    <w:rsid w:val="00BC358F"/>
    <w:rsid w:val="00BC47CF"/>
    <w:rsid w:val="00BC6BBF"/>
    <w:rsid w:val="00BD1572"/>
    <w:rsid w:val="00BD4B7E"/>
    <w:rsid w:val="00BE14E3"/>
    <w:rsid w:val="00BE1C21"/>
    <w:rsid w:val="00BE3774"/>
    <w:rsid w:val="00BE41E5"/>
    <w:rsid w:val="00BF0BBB"/>
    <w:rsid w:val="00BF4109"/>
    <w:rsid w:val="00BF4CC3"/>
    <w:rsid w:val="00C0368C"/>
    <w:rsid w:val="00C054C7"/>
    <w:rsid w:val="00C057B5"/>
    <w:rsid w:val="00C05C81"/>
    <w:rsid w:val="00C22687"/>
    <w:rsid w:val="00C26957"/>
    <w:rsid w:val="00C32E4D"/>
    <w:rsid w:val="00C333A0"/>
    <w:rsid w:val="00C36A81"/>
    <w:rsid w:val="00C41970"/>
    <w:rsid w:val="00C41974"/>
    <w:rsid w:val="00C447AD"/>
    <w:rsid w:val="00C46D89"/>
    <w:rsid w:val="00C53F4A"/>
    <w:rsid w:val="00C54125"/>
    <w:rsid w:val="00C55B54"/>
    <w:rsid w:val="00C6098E"/>
    <w:rsid w:val="00C6152C"/>
    <w:rsid w:val="00C621C2"/>
    <w:rsid w:val="00C704A7"/>
    <w:rsid w:val="00C74810"/>
    <w:rsid w:val="00C83E56"/>
    <w:rsid w:val="00C8684D"/>
    <w:rsid w:val="00C90D68"/>
    <w:rsid w:val="00C915E7"/>
    <w:rsid w:val="00C917DB"/>
    <w:rsid w:val="00C93838"/>
    <w:rsid w:val="00C939FE"/>
    <w:rsid w:val="00CA4BDA"/>
    <w:rsid w:val="00CB1F66"/>
    <w:rsid w:val="00CB2951"/>
    <w:rsid w:val="00CB311A"/>
    <w:rsid w:val="00CD282B"/>
    <w:rsid w:val="00CD4C35"/>
    <w:rsid w:val="00CD7369"/>
    <w:rsid w:val="00CE0B0E"/>
    <w:rsid w:val="00CE3831"/>
    <w:rsid w:val="00D00ABB"/>
    <w:rsid w:val="00D02EEC"/>
    <w:rsid w:val="00D03551"/>
    <w:rsid w:val="00D03F56"/>
    <w:rsid w:val="00D06A63"/>
    <w:rsid w:val="00D07E0E"/>
    <w:rsid w:val="00D103CE"/>
    <w:rsid w:val="00D11478"/>
    <w:rsid w:val="00D138CF"/>
    <w:rsid w:val="00D15025"/>
    <w:rsid w:val="00D15ED0"/>
    <w:rsid w:val="00D16296"/>
    <w:rsid w:val="00D21B3E"/>
    <w:rsid w:val="00D21FED"/>
    <w:rsid w:val="00D24251"/>
    <w:rsid w:val="00D343E2"/>
    <w:rsid w:val="00D34FF8"/>
    <w:rsid w:val="00D361A2"/>
    <w:rsid w:val="00D44C2E"/>
    <w:rsid w:val="00D45414"/>
    <w:rsid w:val="00D4652B"/>
    <w:rsid w:val="00D53C0F"/>
    <w:rsid w:val="00D566BD"/>
    <w:rsid w:val="00D57A4D"/>
    <w:rsid w:val="00D60AA7"/>
    <w:rsid w:val="00D60D87"/>
    <w:rsid w:val="00D6435F"/>
    <w:rsid w:val="00D72DA6"/>
    <w:rsid w:val="00D74985"/>
    <w:rsid w:val="00D74E06"/>
    <w:rsid w:val="00D75B7D"/>
    <w:rsid w:val="00D75E28"/>
    <w:rsid w:val="00D772C2"/>
    <w:rsid w:val="00D77527"/>
    <w:rsid w:val="00D8008E"/>
    <w:rsid w:val="00D82C45"/>
    <w:rsid w:val="00D83E1B"/>
    <w:rsid w:val="00D9032F"/>
    <w:rsid w:val="00D908A8"/>
    <w:rsid w:val="00D968CE"/>
    <w:rsid w:val="00D977B6"/>
    <w:rsid w:val="00DA110C"/>
    <w:rsid w:val="00DA40E2"/>
    <w:rsid w:val="00DA4A31"/>
    <w:rsid w:val="00DA7B04"/>
    <w:rsid w:val="00DB36C2"/>
    <w:rsid w:val="00DB37FA"/>
    <w:rsid w:val="00DB5C0F"/>
    <w:rsid w:val="00DB7196"/>
    <w:rsid w:val="00DC169B"/>
    <w:rsid w:val="00DC2A69"/>
    <w:rsid w:val="00DC2AB9"/>
    <w:rsid w:val="00DC4E2A"/>
    <w:rsid w:val="00DC5175"/>
    <w:rsid w:val="00DC63F0"/>
    <w:rsid w:val="00DD429F"/>
    <w:rsid w:val="00DD6EE5"/>
    <w:rsid w:val="00DE386C"/>
    <w:rsid w:val="00DE4D35"/>
    <w:rsid w:val="00DF0549"/>
    <w:rsid w:val="00DF098B"/>
    <w:rsid w:val="00DF11C4"/>
    <w:rsid w:val="00DF210C"/>
    <w:rsid w:val="00DF4B6A"/>
    <w:rsid w:val="00E02C09"/>
    <w:rsid w:val="00E04D59"/>
    <w:rsid w:val="00E0588A"/>
    <w:rsid w:val="00E07DA1"/>
    <w:rsid w:val="00E123CB"/>
    <w:rsid w:val="00E1557C"/>
    <w:rsid w:val="00E20E13"/>
    <w:rsid w:val="00E21828"/>
    <w:rsid w:val="00E21DBC"/>
    <w:rsid w:val="00E2305E"/>
    <w:rsid w:val="00E275D7"/>
    <w:rsid w:val="00E27DBE"/>
    <w:rsid w:val="00E32AB1"/>
    <w:rsid w:val="00E36C71"/>
    <w:rsid w:val="00E40404"/>
    <w:rsid w:val="00E459C6"/>
    <w:rsid w:val="00E45DB4"/>
    <w:rsid w:val="00E47589"/>
    <w:rsid w:val="00E549D8"/>
    <w:rsid w:val="00E64915"/>
    <w:rsid w:val="00E6539F"/>
    <w:rsid w:val="00E661D4"/>
    <w:rsid w:val="00E70091"/>
    <w:rsid w:val="00E70ADE"/>
    <w:rsid w:val="00E720F5"/>
    <w:rsid w:val="00E7404A"/>
    <w:rsid w:val="00E76D47"/>
    <w:rsid w:val="00E7788E"/>
    <w:rsid w:val="00E849F7"/>
    <w:rsid w:val="00E90302"/>
    <w:rsid w:val="00E9597F"/>
    <w:rsid w:val="00E97396"/>
    <w:rsid w:val="00EA185E"/>
    <w:rsid w:val="00EA592A"/>
    <w:rsid w:val="00EA6F8D"/>
    <w:rsid w:val="00EB14E4"/>
    <w:rsid w:val="00EB32A5"/>
    <w:rsid w:val="00EB34ED"/>
    <w:rsid w:val="00EB7BE0"/>
    <w:rsid w:val="00EC315E"/>
    <w:rsid w:val="00ED077C"/>
    <w:rsid w:val="00ED1190"/>
    <w:rsid w:val="00ED6544"/>
    <w:rsid w:val="00EE0277"/>
    <w:rsid w:val="00EE1DA9"/>
    <w:rsid w:val="00EE2F66"/>
    <w:rsid w:val="00EE3E00"/>
    <w:rsid w:val="00EE5DD2"/>
    <w:rsid w:val="00EF41F1"/>
    <w:rsid w:val="00EF4F08"/>
    <w:rsid w:val="00EF7BD2"/>
    <w:rsid w:val="00F00A79"/>
    <w:rsid w:val="00F00E86"/>
    <w:rsid w:val="00F02C63"/>
    <w:rsid w:val="00F03906"/>
    <w:rsid w:val="00F07C1E"/>
    <w:rsid w:val="00F105DB"/>
    <w:rsid w:val="00F132BC"/>
    <w:rsid w:val="00F13D6C"/>
    <w:rsid w:val="00F13D80"/>
    <w:rsid w:val="00F14DBF"/>
    <w:rsid w:val="00F16AAA"/>
    <w:rsid w:val="00F17B25"/>
    <w:rsid w:val="00F21161"/>
    <w:rsid w:val="00F218EF"/>
    <w:rsid w:val="00F21BC7"/>
    <w:rsid w:val="00F21EEB"/>
    <w:rsid w:val="00F266A2"/>
    <w:rsid w:val="00F32269"/>
    <w:rsid w:val="00F4050D"/>
    <w:rsid w:val="00F41AB7"/>
    <w:rsid w:val="00F440EA"/>
    <w:rsid w:val="00F4457E"/>
    <w:rsid w:val="00F4514E"/>
    <w:rsid w:val="00F51629"/>
    <w:rsid w:val="00F5512B"/>
    <w:rsid w:val="00F56A6F"/>
    <w:rsid w:val="00F5709C"/>
    <w:rsid w:val="00F61463"/>
    <w:rsid w:val="00F64EF1"/>
    <w:rsid w:val="00F654CD"/>
    <w:rsid w:val="00F65EBA"/>
    <w:rsid w:val="00F6602C"/>
    <w:rsid w:val="00F70A13"/>
    <w:rsid w:val="00F8765F"/>
    <w:rsid w:val="00F90767"/>
    <w:rsid w:val="00FA378A"/>
    <w:rsid w:val="00FA5CCB"/>
    <w:rsid w:val="00FA685B"/>
    <w:rsid w:val="00FB0C01"/>
    <w:rsid w:val="00FB6806"/>
    <w:rsid w:val="00FC18F2"/>
    <w:rsid w:val="00FC39E5"/>
    <w:rsid w:val="00FC3A78"/>
    <w:rsid w:val="00FC4FB7"/>
    <w:rsid w:val="00FC5FFE"/>
    <w:rsid w:val="00FD1005"/>
    <w:rsid w:val="00FD3180"/>
    <w:rsid w:val="00FD6C75"/>
    <w:rsid w:val="00FE40BF"/>
    <w:rsid w:val="00FE71B3"/>
    <w:rsid w:val="00FE7C89"/>
    <w:rsid w:val="00FF1817"/>
    <w:rsid w:val="00FF42C5"/>
    <w:rsid w:val="00FF60A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23C1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23C1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23C1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23C1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623C1E"/>
    <w:rPr>
      <w:i/>
      <w:iCs/>
      <w:smallCaps/>
      <w:spacing w:val="5"/>
    </w:rPr>
  </w:style>
  <w:style w:type="paragraph" w:customStyle="1" w:styleId="ECHRHeader">
    <w:name w:val="ECHR_Header"/>
    <w:aliases w:val="Ju_Header"/>
    <w:basedOn w:val="Nagwek"/>
    <w:uiPriority w:val="4"/>
    <w:qFormat/>
    <w:rsid w:val="00623C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623C1E"/>
    <w:rPr>
      <w:b/>
      <w:bCs/>
    </w:rPr>
  </w:style>
  <w:style w:type="paragraph" w:styleId="Bezodstpw">
    <w:name w:val="No Spacing"/>
    <w:basedOn w:val="Normalny"/>
    <w:link w:val="BezodstpwZnak"/>
    <w:semiHidden/>
    <w:qFormat/>
    <w:rsid w:val="00623C1E"/>
    <w:rPr>
      <w:sz w:val="22"/>
    </w:rPr>
  </w:style>
  <w:style w:type="character" w:customStyle="1" w:styleId="BezodstpwZnak">
    <w:name w:val="Bez odstępów Znak"/>
    <w:basedOn w:val="Domylnaczcionkaakapitu"/>
    <w:link w:val="Bezodstpw"/>
    <w:semiHidden/>
    <w:rsid w:val="00623C1E"/>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623C1E"/>
    <w:pPr>
      <w:numPr>
        <w:numId w:val="20"/>
      </w:numPr>
      <w:jc w:val="left"/>
    </w:pPr>
    <w:rPr>
      <w:b/>
    </w:rPr>
  </w:style>
  <w:style w:type="paragraph" w:customStyle="1" w:styleId="OpiPara">
    <w:name w:val="Opi_Para"/>
    <w:basedOn w:val="ECHRPara"/>
    <w:uiPriority w:val="46"/>
    <w:qFormat/>
    <w:rsid w:val="00623C1E"/>
  </w:style>
  <w:style w:type="paragraph" w:customStyle="1" w:styleId="JuParaSub">
    <w:name w:val="Ju_Para_Sub"/>
    <w:basedOn w:val="ECHRPara"/>
    <w:uiPriority w:val="13"/>
    <w:qFormat/>
    <w:rsid w:val="00623C1E"/>
    <w:pPr>
      <w:ind w:left="284"/>
    </w:pPr>
  </w:style>
  <w:style w:type="paragraph" w:customStyle="1" w:styleId="ECHRTitleCentre3">
    <w:name w:val="ECHR_Title_Centre_3"/>
    <w:aliases w:val="Ju_H_Article"/>
    <w:basedOn w:val="Normalny"/>
    <w:next w:val="ECHRParaQuote"/>
    <w:uiPriority w:val="99"/>
    <w:qFormat/>
    <w:rsid w:val="00623C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23C1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23C1E"/>
  </w:style>
  <w:style w:type="paragraph" w:customStyle="1" w:styleId="OpiQuot">
    <w:name w:val="Opi_Quot"/>
    <w:basedOn w:val="ECHRParaQuote"/>
    <w:uiPriority w:val="48"/>
    <w:qFormat/>
    <w:rsid w:val="00623C1E"/>
  </w:style>
  <w:style w:type="paragraph" w:customStyle="1" w:styleId="OpiQuotSub">
    <w:name w:val="Opi_Quot_Sub"/>
    <w:basedOn w:val="JuQuotSub"/>
    <w:uiPriority w:val="49"/>
    <w:qFormat/>
    <w:rsid w:val="00623C1E"/>
  </w:style>
  <w:style w:type="paragraph" w:customStyle="1" w:styleId="ECHRTitleCentre2">
    <w:name w:val="ECHR_Title_Centre_2"/>
    <w:aliases w:val="Dec_H_Case"/>
    <w:basedOn w:val="Normalny"/>
    <w:next w:val="ECHRPara"/>
    <w:uiPriority w:val="8"/>
    <w:qFormat/>
    <w:rsid w:val="00623C1E"/>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623C1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23C1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23C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99"/>
    <w:qFormat/>
    <w:rsid w:val="00623C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qFormat/>
    <w:rsid w:val="00623C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23C1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23C1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23C1E"/>
    <w:pPr>
      <w:keepNext/>
      <w:keepLines/>
      <w:spacing w:before="240" w:after="120"/>
      <w:ind w:left="1236"/>
    </w:pPr>
    <w:rPr>
      <w:sz w:val="20"/>
    </w:rPr>
  </w:style>
  <w:style w:type="paragraph" w:customStyle="1" w:styleId="JuQuotSub">
    <w:name w:val="Ju_Quot_Sub"/>
    <w:basedOn w:val="ECHRParaQuote"/>
    <w:uiPriority w:val="15"/>
    <w:qFormat/>
    <w:rsid w:val="00623C1E"/>
    <w:pPr>
      <w:ind w:left="567"/>
    </w:pPr>
  </w:style>
  <w:style w:type="paragraph" w:customStyle="1" w:styleId="JuInitialled">
    <w:name w:val="Ju_Initialled"/>
    <w:basedOn w:val="Normalny"/>
    <w:uiPriority w:val="31"/>
    <w:qFormat/>
    <w:rsid w:val="00623C1E"/>
    <w:pPr>
      <w:tabs>
        <w:tab w:val="center" w:pos="6407"/>
      </w:tabs>
      <w:spacing w:before="720"/>
      <w:jc w:val="right"/>
    </w:pPr>
  </w:style>
  <w:style w:type="paragraph" w:customStyle="1" w:styleId="OpiHA">
    <w:name w:val="Opi_H_A"/>
    <w:basedOn w:val="ECHRHeading1"/>
    <w:next w:val="OpiPara"/>
    <w:uiPriority w:val="41"/>
    <w:qFormat/>
    <w:rsid w:val="00623C1E"/>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99"/>
    <w:qFormat/>
    <w:rsid w:val="00623C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qFormat/>
    <w:rsid w:val="00623C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623C1E"/>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23C1E"/>
    <w:rPr>
      <w:rFonts w:asciiTheme="majorHAnsi" w:eastAsiaTheme="majorEastAsia" w:hAnsiTheme="majorHAnsi" w:cstheme="majorBidi"/>
      <w:b/>
      <w:bCs/>
      <w:color w:val="808080"/>
    </w:rPr>
  </w:style>
  <w:style w:type="character" w:styleId="Wyrnieniedelikatne">
    <w:name w:val="Subtle Emphasis"/>
    <w:uiPriority w:val="99"/>
    <w:semiHidden/>
    <w:qFormat/>
    <w:rsid w:val="00623C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99"/>
    <w:qFormat/>
    <w:rsid w:val="00623C1E"/>
    <w:pPr>
      <w:keepNext/>
      <w:keepLines/>
      <w:spacing w:before="720" w:after="240"/>
      <w:outlineLvl w:val="0"/>
    </w:pPr>
    <w:rPr>
      <w:rFonts w:asciiTheme="majorHAnsi" w:hAnsiTheme="majorHAnsi"/>
      <w:sz w:val="28"/>
    </w:rPr>
  </w:style>
  <w:style w:type="character" w:styleId="Uwydatnienie">
    <w:name w:val="Emphasis"/>
    <w:uiPriority w:val="99"/>
    <w:semiHidden/>
    <w:qFormat/>
    <w:rsid w:val="00623C1E"/>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23C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23C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23C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623C1E"/>
    <w:rPr>
      <w:b/>
      <w:bCs/>
    </w:rPr>
  </w:style>
  <w:style w:type="paragraph" w:styleId="Cytatintensywny">
    <w:name w:val="Intense Quote"/>
    <w:basedOn w:val="Normalny"/>
    <w:next w:val="Normalny"/>
    <w:link w:val="CytatintensywnyZnak"/>
    <w:uiPriority w:val="99"/>
    <w:semiHidden/>
    <w:qFormat/>
    <w:rsid w:val="00623C1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23C1E"/>
    <w:rPr>
      <w:rFonts w:eastAsiaTheme="minorEastAsia"/>
      <w:b/>
      <w:bCs/>
      <w:i/>
      <w:iCs/>
      <w:lang w:bidi="en-US"/>
    </w:rPr>
  </w:style>
  <w:style w:type="character" w:styleId="Odwoanieintensywne">
    <w:name w:val="Intense Reference"/>
    <w:uiPriority w:val="99"/>
    <w:semiHidden/>
    <w:qFormat/>
    <w:rsid w:val="00623C1E"/>
    <w:rPr>
      <w:smallCaps/>
      <w:spacing w:val="5"/>
      <w:u w:val="single"/>
    </w:rPr>
  </w:style>
  <w:style w:type="paragraph" w:styleId="Akapitzlist">
    <w:name w:val="List Paragraph"/>
    <w:basedOn w:val="Normalny"/>
    <w:uiPriority w:val="99"/>
    <w:semiHidden/>
    <w:qFormat/>
    <w:rsid w:val="00623C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23C1E"/>
    <w:pPr>
      <w:spacing w:before="200"/>
      <w:ind w:left="360" w:right="360"/>
    </w:pPr>
    <w:rPr>
      <w:i/>
      <w:iCs/>
      <w:sz w:val="22"/>
      <w:lang w:bidi="en-US"/>
    </w:rPr>
  </w:style>
  <w:style w:type="character" w:customStyle="1" w:styleId="CytatZnak">
    <w:name w:val="Cytat Znak"/>
    <w:basedOn w:val="Domylnaczcionkaakapitu"/>
    <w:link w:val="Cytat"/>
    <w:uiPriority w:val="99"/>
    <w:semiHidden/>
    <w:rsid w:val="00623C1E"/>
    <w:rPr>
      <w:rFonts w:eastAsiaTheme="minorEastAsia"/>
      <w:i/>
      <w:iCs/>
      <w:lang w:bidi="en-US"/>
    </w:rPr>
  </w:style>
  <w:style w:type="character" w:styleId="Odwoaniedelikatne">
    <w:name w:val="Subtle Reference"/>
    <w:uiPriority w:val="99"/>
    <w:semiHidden/>
    <w:qFormat/>
    <w:rsid w:val="00623C1E"/>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ormalny"/>
    <w:next w:val="Normalny"/>
    <w:uiPriority w:val="99"/>
    <w:semiHidden/>
    <w:qFormat/>
    <w:rsid w:val="00623C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623C1E"/>
    <w:pPr>
      <w:spacing w:before="120" w:after="120"/>
      <w:ind w:left="425" w:firstLine="142"/>
    </w:pPr>
    <w:rPr>
      <w:sz w:val="20"/>
    </w:rPr>
  </w:style>
  <w:style w:type="paragraph" w:customStyle="1" w:styleId="ECHRPara">
    <w:name w:val="ECHR_Para"/>
    <w:aliases w:val="Ju_Para,Left,First line:  0 cm"/>
    <w:basedOn w:val="Normalny"/>
    <w:link w:val="ECHRParaChar"/>
    <w:qFormat/>
    <w:rsid w:val="00623C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23C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23C1E"/>
    <w:pPr>
      <w:ind w:left="340" w:hanging="340"/>
    </w:pPr>
  </w:style>
  <w:style w:type="paragraph" w:customStyle="1" w:styleId="JuSigned">
    <w:name w:val="Ju_Signed"/>
    <w:basedOn w:val="Normalny"/>
    <w:next w:val="JuParaLast"/>
    <w:uiPriority w:val="32"/>
    <w:qFormat/>
    <w:rsid w:val="00623C1E"/>
    <w:pPr>
      <w:tabs>
        <w:tab w:val="center" w:pos="851"/>
        <w:tab w:val="center" w:pos="6407"/>
      </w:tabs>
      <w:spacing w:before="720"/>
      <w:jc w:val="left"/>
    </w:pPr>
  </w:style>
  <w:style w:type="paragraph" w:customStyle="1" w:styleId="JuParaLast">
    <w:name w:val="Ju_Para_Last"/>
    <w:basedOn w:val="Normalny"/>
    <w:next w:val="ECHRPara"/>
    <w:uiPriority w:val="30"/>
    <w:qFormat/>
    <w:rsid w:val="00623C1E"/>
    <w:pPr>
      <w:keepNext/>
      <w:keepLines/>
      <w:spacing w:before="240"/>
      <w:ind w:firstLine="284"/>
    </w:pPr>
  </w:style>
  <w:style w:type="paragraph" w:customStyle="1" w:styleId="OpiTranslation">
    <w:name w:val="Opi_Translation"/>
    <w:basedOn w:val="Normalny"/>
    <w:next w:val="OpiPara"/>
    <w:uiPriority w:val="40"/>
    <w:qFormat/>
    <w:rsid w:val="00623C1E"/>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23C1E"/>
    <w:pPr>
      <w:ind w:left="346" w:firstLine="0"/>
    </w:pPr>
  </w:style>
  <w:style w:type="paragraph" w:customStyle="1" w:styleId="DecHTitle">
    <w:name w:val="Dec_H_Title"/>
    <w:basedOn w:val="ECHRTitleCentre1"/>
    <w:uiPriority w:val="7"/>
    <w:semiHidden/>
    <w:qFormat/>
    <w:rsid w:val="00623C1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23C1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623C1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623C1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23C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623C1E"/>
    <w:pPr>
      <w:spacing w:before="240"/>
      <w:ind w:left="284"/>
    </w:pPr>
  </w:style>
  <w:style w:type="paragraph" w:customStyle="1" w:styleId="JuListi">
    <w:name w:val="Ju_List_i"/>
    <w:basedOn w:val="Normalny"/>
    <w:next w:val="JuLista"/>
    <w:uiPriority w:val="28"/>
    <w:qFormat/>
    <w:rsid w:val="00623C1E"/>
    <w:pPr>
      <w:ind w:left="794"/>
    </w:pPr>
  </w:style>
  <w:style w:type="paragraph" w:customStyle="1" w:styleId="OpiH1">
    <w:name w:val="Opi_H_1"/>
    <w:basedOn w:val="ECHRHeading2"/>
    <w:uiPriority w:val="42"/>
    <w:qFormat/>
    <w:rsid w:val="00623C1E"/>
    <w:pPr>
      <w:ind w:left="635" w:hanging="357"/>
      <w:outlineLvl w:val="2"/>
    </w:pPr>
  </w:style>
  <w:style w:type="paragraph" w:customStyle="1" w:styleId="OpiHa0">
    <w:name w:val="Opi_H_a"/>
    <w:basedOn w:val="ECHRHeading3"/>
    <w:uiPriority w:val="43"/>
    <w:qFormat/>
    <w:rsid w:val="00623C1E"/>
    <w:pPr>
      <w:ind w:left="833" w:hanging="357"/>
      <w:outlineLvl w:val="3"/>
    </w:pPr>
    <w:rPr>
      <w:b/>
      <w:i w:val="0"/>
      <w:sz w:val="20"/>
    </w:rPr>
  </w:style>
  <w:style w:type="paragraph" w:customStyle="1" w:styleId="OpiHi">
    <w:name w:val="Opi_H_i"/>
    <w:basedOn w:val="ECHRHeading4"/>
    <w:uiPriority w:val="44"/>
    <w:qFormat/>
    <w:rsid w:val="00623C1E"/>
    <w:pPr>
      <w:ind w:left="1037" w:hanging="357"/>
      <w:outlineLvl w:val="4"/>
    </w:pPr>
    <w:rPr>
      <w:b w:val="0"/>
      <w:i/>
    </w:rPr>
  </w:style>
  <w:style w:type="paragraph" w:customStyle="1" w:styleId="DummyStyle">
    <w:name w:val="Dummy_Style"/>
    <w:basedOn w:val="Normalny"/>
    <w:semiHidden/>
    <w:qFormat/>
    <w:rsid w:val="00623C1E"/>
    <w:rPr>
      <w:color w:val="00B050"/>
    </w:rPr>
  </w:style>
  <w:style w:type="paragraph" w:customStyle="1" w:styleId="JuHeaderLandscape">
    <w:name w:val="Ju_Header_Landscape"/>
    <w:basedOn w:val="ECHRHeader"/>
    <w:uiPriority w:val="4"/>
    <w:qFormat/>
    <w:rsid w:val="00623C1E"/>
    <w:pPr>
      <w:tabs>
        <w:tab w:val="clear" w:pos="3686"/>
        <w:tab w:val="clear" w:pos="7371"/>
        <w:tab w:val="center" w:pos="6146"/>
        <w:tab w:val="right" w:pos="12293"/>
      </w:tabs>
    </w:pPr>
  </w:style>
  <w:style w:type="character" w:customStyle="1" w:styleId="ECHRParaChar">
    <w:name w:val="ECHR_Para Char"/>
    <w:aliases w:val="Ju_Para Char"/>
    <w:link w:val="ECHRPara"/>
    <w:uiPriority w:val="99"/>
    <w:rsid w:val="00F21EEB"/>
    <w:rPr>
      <w:rFonts w:eastAsiaTheme="minorEastAsia"/>
      <w:sz w:val="24"/>
    </w:rPr>
  </w:style>
  <w:style w:type="character" w:customStyle="1" w:styleId="JuQuotChar">
    <w:name w:val="Ju_Quot Char"/>
    <w:link w:val="ECHRParaQuote"/>
    <w:uiPriority w:val="14"/>
    <w:rsid w:val="004E756F"/>
    <w:rPr>
      <w:rFonts w:eastAsiaTheme="minorEastAsia"/>
      <w:sz w:val="20"/>
    </w:rPr>
  </w:style>
  <w:style w:type="character" w:customStyle="1" w:styleId="JuH1Char">
    <w:name w:val="Ju_H_1. Char"/>
    <w:basedOn w:val="Domylnaczcionkaakapitu"/>
    <w:link w:val="ECHRHeading3"/>
    <w:uiPriority w:val="21"/>
    <w:rsid w:val="006173F5"/>
    <w:rPr>
      <w:rFonts w:asciiTheme="majorHAnsi" w:eastAsiaTheme="majorEastAsia" w:hAnsiTheme="majorHAnsi" w:cstheme="majorBidi"/>
      <w:bCs/>
      <w:i/>
      <w:sz w:val="24"/>
    </w:rPr>
  </w:style>
  <w:style w:type="paragraph" w:styleId="Poprawka">
    <w:name w:val="Revision"/>
    <w:hidden/>
    <w:uiPriority w:val="99"/>
    <w:semiHidden/>
    <w:rsid w:val="000446F9"/>
    <w:rPr>
      <w:rFonts w:eastAsiaTheme="minorEastAsia"/>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0"/>
    <w:lsdException w:name="header" w:uiPriority="57"/>
    <w:lsdException w:name="footer" w:uiPriority="57"/>
    <w:lsdException w:name="caption" w:qFormat="1"/>
    <w:lsdException w:name="List Number" w:unhideWhenUsed="0"/>
    <w:lsdException w:name="List 4" w:unhideWhenUsed="0"/>
    <w:lsdException w:name="List 5" w:unhideWhenUsed="0"/>
    <w:lsdException w:name="Title" w:semiHidden="0" w:unhideWhenUsed="0" w:qFormat="1"/>
    <w:lsdException w:name="Default Paragraph Font" w:uiPriority="1"/>
    <w:lsdException w:name="Subtitle" w:semiHidden="0" w:unhideWhenUsed="0" w:qFormat="1"/>
    <w:lsdException w:name="Salutation" w:unhideWhenUsed="0"/>
    <w:lsdException w:name="Date" w:unhideWhenUsed="0"/>
    <w:lsdException w:name="Body Text First Indent" w:unhideWhenUsed="0"/>
    <w:lsdException w:name="Strong" w:semiHidden="0" w:unhideWhenUsed="0" w:qFormat="1"/>
    <w:lsdException w:name="Emphasis" w:semiHidden="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nhideWhenUsed="0"/>
    <w:lsdException w:name="Light List" w:semiHidden="0" w:unhideWhenUsed="0"/>
    <w:lsdException w:name="Light Grid" w:semiHidden="0" w:unhideWhenUsed="0"/>
    <w:lsdException w:name="Medium Shading 1" w:semiHidden="0" w:unhideWhenUsed="0"/>
    <w:lsdException w:name="Medium Shading 2" w:semiHidden="0" w:unhideWhenUsed="0"/>
    <w:lsdException w:name="Medium List 1" w:semiHidden="0" w:unhideWhenUsed="0"/>
    <w:lsdException w:name="Medium List 2" w:semiHidden="0" w:unhideWhenUsed="0"/>
    <w:lsdException w:name="Medium Grid 1" w:semiHidden="0" w:unhideWhenUsed="0"/>
    <w:lsdException w:name="Medium Grid 2" w:semiHidden="0" w:unhideWhenUsed="0"/>
    <w:lsdException w:name="Medium Grid 3" w:semiHidden="0" w:unhideWhenUsed="0"/>
    <w:lsdException w:name="Dark List" w:semiHidden="0" w:unhideWhenUsed="0"/>
    <w:lsdException w:name="Colorful Shading" w:semiHidden="0" w:unhideWhenUsed="0"/>
    <w:lsdException w:name="Colorful List" w:semiHidden="0" w:unhideWhenUsed="0"/>
    <w:lsdException w:name="Colorful Grid" w:semiHidden="0" w:unhideWhenUsed="0"/>
    <w:lsdException w:name="Light Shading Accent 1" w:semiHidden="0" w:unhideWhenUsed="0"/>
    <w:lsdException w:name="Light List Accent 1" w:semiHidden="0" w:unhideWhenUsed="0"/>
    <w:lsdException w:name="Light Grid Accent 1" w:semiHidden="0" w:unhideWhenUsed="0"/>
    <w:lsdException w:name="Medium Shading 1 Accent 1" w:semiHidden="0" w:unhideWhenUsed="0"/>
    <w:lsdException w:name="Medium Shading 2 Accent 1" w:semiHidden="0" w:unhideWhenUsed="0"/>
    <w:lsdException w:name="Medium List 1 Accent 1" w:semiHidden="0"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nhideWhenUsed="0"/>
    <w:lsdException w:name="Medium Grid 1 Accent 1" w:semiHidden="0" w:unhideWhenUsed="0"/>
    <w:lsdException w:name="Medium Grid 2 Accent 1" w:semiHidden="0" w:unhideWhenUsed="0"/>
    <w:lsdException w:name="Medium Grid 3 Accent 1" w:semiHidden="0" w:unhideWhenUsed="0"/>
    <w:lsdException w:name="Dark List Accent 1" w:semiHidden="0" w:unhideWhenUsed="0"/>
    <w:lsdException w:name="Colorful Shading Accent 1" w:semiHidden="0" w:unhideWhenUsed="0"/>
    <w:lsdException w:name="Colorful List Accent 1" w:semiHidden="0" w:unhideWhenUsed="0"/>
    <w:lsdException w:name="Colorful Grid Accent 1" w:semiHidden="0" w:unhideWhenUsed="0"/>
    <w:lsdException w:name="Light Shading Accent 2" w:semiHidden="0" w:unhideWhenUsed="0"/>
    <w:lsdException w:name="Light List Accent 2" w:semiHidden="0" w:unhideWhenUsed="0"/>
    <w:lsdException w:name="Light Grid Accent 2" w:semiHidden="0" w:unhideWhenUsed="0"/>
    <w:lsdException w:name="Medium Shading 1 Accent 2" w:semiHidden="0" w:unhideWhenUsed="0"/>
    <w:lsdException w:name="Medium Shading 2 Accent 2" w:semiHidden="0" w:unhideWhenUsed="0"/>
    <w:lsdException w:name="Medium List 1 Accent 2" w:semiHidden="0" w:unhideWhenUsed="0"/>
    <w:lsdException w:name="Medium List 2 Accent 2" w:semiHidden="0" w:unhideWhenUsed="0"/>
    <w:lsdException w:name="Medium Grid 1 Accent 2" w:semiHidden="0" w:unhideWhenUsed="0"/>
    <w:lsdException w:name="Medium Grid 2 Accent 2" w:semiHidden="0" w:unhideWhenUsed="0"/>
    <w:lsdException w:name="Medium Grid 3 Accent 2" w:semiHidden="0" w:unhideWhenUsed="0"/>
    <w:lsdException w:name="Dark List Accent 2" w:semiHidden="0" w:unhideWhenUsed="0"/>
    <w:lsdException w:name="Colorful Shading Accent 2" w:semiHidden="0" w:unhideWhenUsed="0"/>
    <w:lsdException w:name="Colorful List Accent 2" w:semiHidden="0" w:unhideWhenUsed="0"/>
    <w:lsdException w:name="Colorful Grid Accent 2" w:semiHidden="0" w:unhideWhenUsed="0"/>
    <w:lsdException w:name="Light Shading Accent 3" w:semiHidden="0" w:unhideWhenUsed="0"/>
    <w:lsdException w:name="Light List Accent 3" w:semiHidden="0" w:unhideWhenUsed="0"/>
    <w:lsdException w:name="Light Grid Accent 3" w:semiHidden="0" w:unhideWhenUsed="0"/>
    <w:lsdException w:name="Medium Shading 1 Accent 3" w:semiHidden="0" w:unhideWhenUsed="0"/>
    <w:lsdException w:name="Medium Shading 2 Accent 3" w:semiHidden="0" w:unhideWhenUsed="0"/>
    <w:lsdException w:name="Medium List 1 Accent 3" w:semiHidden="0" w:unhideWhenUsed="0"/>
    <w:lsdException w:name="Medium List 2 Accent 3" w:semiHidden="0" w:unhideWhenUsed="0"/>
    <w:lsdException w:name="Medium Grid 1 Accent 3" w:semiHidden="0" w:unhideWhenUsed="0"/>
    <w:lsdException w:name="Medium Grid 2 Accent 3" w:semiHidden="0" w:unhideWhenUsed="0"/>
    <w:lsdException w:name="Medium Grid 3 Accent 3" w:semiHidden="0" w:unhideWhenUsed="0"/>
    <w:lsdException w:name="Dark List Accent 3" w:semiHidden="0" w:unhideWhenUsed="0"/>
    <w:lsdException w:name="Colorful Shading Accent 3" w:semiHidden="0" w:unhideWhenUsed="0"/>
    <w:lsdException w:name="Colorful List Accent 3" w:semiHidden="0" w:unhideWhenUsed="0"/>
    <w:lsdException w:name="Colorful Grid Accent 3" w:semiHidden="0" w:unhideWhenUsed="0"/>
    <w:lsdException w:name="Light Shading Accent 4" w:semiHidden="0" w:unhideWhenUsed="0"/>
    <w:lsdException w:name="Light List Accent 4" w:semiHidden="0" w:unhideWhenUsed="0"/>
    <w:lsdException w:name="Light Grid Accent 4" w:semiHidden="0" w:unhideWhenUsed="0"/>
    <w:lsdException w:name="Medium Shading 1 Accent 4" w:semiHidden="0" w:unhideWhenUsed="0"/>
    <w:lsdException w:name="Medium Shading 2 Accent 4" w:semiHidden="0" w:unhideWhenUsed="0"/>
    <w:lsdException w:name="Medium List 1 Accent 4" w:semiHidden="0" w:unhideWhenUsed="0"/>
    <w:lsdException w:name="Medium List 2 Accent 4" w:semiHidden="0" w:unhideWhenUsed="0"/>
    <w:lsdException w:name="Medium Grid 1 Accent 4" w:semiHidden="0" w:unhideWhenUsed="0"/>
    <w:lsdException w:name="Medium Grid 2 Accent 4" w:semiHidden="0" w:unhideWhenUsed="0"/>
    <w:lsdException w:name="Medium Grid 3 Accent 4" w:semiHidden="0" w:unhideWhenUsed="0"/>
    <w:lsdException w:name="Dark List Accent 4" w:semiHidden="0" w:unhideWhenUsed="0"/>
    <w:lsdException w:name="Colorful Shading Accent 4" w:semiHidden="0" w:unhideWhenUsed="0"/>
    <w:lsdException w:name="Colorful List Accent 4" w:semiHidden="0" w:unhideWhenUsed="0"/>
    <w:lsdException w:name="Colorful Grid Accent 4" w:semiHidden="0" w:unhideWhenUsed="0"/>
    <w:lsdException w:name="Light Shading Accent 5" w:semiHidden="0" w:unhideWhenUsed="0"/>
    <w:lsdException w:name="Light List Accent 5" w:semiHidden="0" w:unhideWhenUsed="0"/>
    <w:lsdException w:name="Light Grid Accent 5" w:semiHidden="0" w:unhideWhenUsed="0"/>
    <w:lsdException w:name="Medium Shading 1 Accent 5" w:semiHidden="0" w:unhideWhenUsed="0"/>
    <w:lsdException w:name="Medium Shading 2 Accent 5" w:semiHidden="0" w:unhideWhenUsed="0"/>
    <w:lsdException w:name="Medium List 1 Accent 5" w:semiHidden="0" w:unhideWhenUsed="0"/>
    <w:lsdException w:name="Medium List 2 Accent 5" w:semiHidden="0" w:unhideWhenUsed="0"/>
    <w:lsdException w:name="Medium Grid 1 Accent 5" w:semiHidden="0" w:unhideWhenUsed="0"/>
    <w:lsdException w:name="Medium Grid 2 Accent 5" w:semiHidden="0" w:unhideWhenUsed="0"/>
    <w:lsdException w:name="Medium Grid 3 Accent 5" w:semiHidden="0" w:unhideWhenUsed="0"/>
    <w:lsdException w:name="Dark List Accent 5" w:semiHidden="0" w:unhideWhenUsed="0"/>
    <w:lsdException w:name="Colorful Shading Accent 5" w:semiHidden="0" w:unhideWhenUsed="0"/>
    <w:lsdException w:name="Colorful List Accent 5" w:semiHidden="0" w:unhideWhenUsed="0"/>
    <w:lsdException w:name="Colorful Grid Accent 5" w:semiHidden="0" w:unhideWhenUsed="0"/>
    <w:lsdException w:name="Light Shading Accent 6" w:semiHidden="0" w:unhideWhenUsed="0"/>
    <w:lsdException w:name="Light List Accent 6" w:semiHidden="0" w:unhideWhenUsed="0"/>
    <w:lsdException w:name="Light Grid Accent 6" w:semiHidden="0" w:unhideWhenUsed="0"/>
    <w:lsdException w:name="Medium Shading 1 Accent 6" w:semiHidden="0" w:unhideWhenUsed="0"/>
    <w:lsdException w:name="Medium Shading 2 Accent 6" w:semiHidden="0" w:unhideWhenUsed="0"/>
    <w:lsdException w:name="Medium List 1 Accent 6" w:semiHidden="0" w:unhideWhenUsed="0"/>
    <w:lsdException w:name="Medium List 2 Accent 6" w:semiHidden="0" w:unhideWhenUsed="0"/>
    <w:lsdException w:name="Medium Grid 1 Accent 6" w:semiHidden="0" w:unhideWhenUsed="0"/>
    <w:lsdException w:name="Medium Grid 2 Accent 6" w:semiHidden="0" w:unhideWhenUsed="0"/>
    <w:lsdException w:name="Medium Grid 3 Accent 6" w:semiHidden="0" w:unhideWhenUsed="0"/>
    <w:lsdException w:name="Dark List Accent 6" w:semiHidden="0" w:unhideWhenUsed="0"/>
    <w:lsdException w:name="Colorful Shading Accent 6" w:semiHidden="0" w:unhideWhenUsed="0"/>
    <w:lsdException w:name="Colorful List Accent 6" w:semiHidden="0" w:unhideWhenUsed="0"/>
    <w:lsdException w:name="Colorful Grid Accent 6" w:semiHidden="0"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TOC Heading" w:qFormat="1"/>
  </w:latentStyles>
  <w:style w:type="paragraph" w:default="1" w:styleId="Normalny">
    <w:name w:val="Normal"/>
    <w:semiHidden/>
    <w:rsid w:val="00A96ED6"/>
    <w:pPr>
      <w:jc w:val="both"/>
    </w:pPr>
    <w:rPr>
      <w:rFonts w:eastAsiaTheme="minorEastAsia"/>
      <w:sz w:val="24"/>
    </w:rPr>
  </w:style>
  <w:style w:type="paragraph" w:styleId="Nagwek1">
    <w:name w:val="heading 1"/>
    <w:basedOn w:val="Normalny"/>
    <w:next w:val="Normalny"/>
    <w:link w:val="Nagwek1Znak"/>
    <w:uiPriority w:val="99"/>
    <w:semiHidden/>
    <w:rsid w:val="00A96ED6"/>
    <w:pPr>
      <w:spacing w:before="480"/>
      <w:contextualSpacing/>
      <w:outlineLvl w:val="0"/>
    </w:pPr>
    <w:rPr>
      <w:rFonts w:asciiTheme="majorHAnsi" w:eastAsiaTheme="majorEastAsia" w:hAnsiTheme="majorHAnsi" w:cstheme="majorBidi"/>
      <w:b/>
      <w:bCs/>
      <w:color w:val="333333"/>
      <w:sz w:val="28"/>
      <w:szCs w:val="28"/>
    </w:rPr>
  </w:style>
  <w:style w:type="paragraph" w:styleId="Nagwek2">
    <w:name w:val="heading 2"/>
    <w:basedOn w:val="Normalny"/>
    <w:next w:val="Normalny"/>
    <w:link w:val="Nagwek2Znak"/>
    <w:uiPriority w:val="99"/>
    <w:semiHidden/>
    <w:rsid w:val="00A96ED6"/>
    <w:pPr>
      <w:spacing w:before="200"/>
      <w:outlineLvl w:val="1"/>
    </w:pPr>
    <w:rPr>
      <w:rFonts w:asciiTheme="majorHAnsi" w:eastAsiaTheme="majorEastAsia" w:hAnsiTheme="majorHAnsi" w:cstheme="majorBidi"/>
      <w:b/>
      <w:bCs/>
      <w:color w:val="4D4D4D"/>
      <w:sz w:val="26"/>
      <w:szCs w:val="26"/>
    </w:rPr>
  </w:style>
  <w:style w:type="paragraph" w:styleId="Nagwek3">
    <w:name w:val="heading 3"/>
    <w:basedOn w:val="Normalny"/>
    <w:next w:val="Normalny"/>
    <w:link w:val="Nagwek3Znak"/>
    <w:uiPriority w:val="99"/>
    <w:semiHidden/>
    <w:rsid w:val="00A96ED6"/>
    <w:pPr>
      <w:spacing w:before="200" w:line="271" w:lineRule="auto"/>
      <w:outlineLvl w:val="2"/>
    </w:pPr>
    <w:rPr>
      <w:rFonts w:asciiTheme="majorHAnsi" w:eastAsiaTheme="majorEastAsia" w:hAnsiTheme="majorHAnsi" w:cstheme="majorBidi"/>
      <w:b/>
      <w:bCs/>
      <w:color w:val="5F5F5F"/>
    </w:rPr>
  </w:style>
  <w:style w:type="paragraph" w:styleId="Nagwek4">
    <w:name w:val="heading 4"/>
    <w:basedOn w:val="Normalny"/>
    <w:next w:val="Normalny"/>
    <w:link w:val="Nagwek4Znak"/>
    <w:uiPriority w:val="99"/>
    <w:semiHidden/>
    <w:rsid w:val="00A96ED6"/>
    <w:pPr>
      <w:spacing w:before="200"/>
      <w:outlineLvl w:val="3"/>
    </w:pPr>
    <w:rPr>
      <w:rFonts w:asciiTheme="majorHAnsi" w:eastAsiaTheme="majorEastAsia" w:hAnsiTheme="majorHAnsi" w:cstheme="majorBidi"/>
      <w:b/>
      <w:bCs/>
      <w:i/>
      <w:iCs/>
      <w:color w:val="777777"/>
    </w:rPr>
  </w:style>
  <w:style w:type="paragraph" w:styleId="Nagwek5">
    <w:name w:val="heading 5"/>
    <w:basedOn w:val="Normalny"/>
    <w:next w:val="Normalny"/>
    <w:link w:val="Nagwek5Znak"/>
    <w:uiPriority w:val="99"/>
    <w:semiHidden/>
    <w:qFormat/>
    <w:rsid w:val="00623C1E"/>
    <w:pPr>
      <w:spacing w:before="200"/>
      <w:outlineLvl w:val="4"/>
    </w:pPr>
    <w:rPr>
      <w:rFonts w:asciiTheme="majorHAnsi" w:eastAsiaTheme="majorEastAsia" w:hAnsiTheme="majorHAnsi" w:cstheme="majorBidi"/>
      <w:b/>
      <w:bCs/>
      <w:color w:val="808080"/>
      <w:sz w:val="22"/>
    </w:rPr>
  </w:style>
  <w:style w:type="paragraph" w:styleId="Nagwek6">
    <w:name w:val="heading 6"/>
    <w:basedOn w:val="Normalny"/>
    <w:next w:val="Normalny"/>
    <w:link w:val="Nagwek6Znak"/>
    <w:uiPriority w:val="99"/>
    <w:semiHidden/>
    <w:rsid w:val="00A96ED6"/>
    <w:pPr>
      <w:spacing w:line="271" w:lineRule="auto"/>
      <w:outlineLvl w:val="5"/>
    </w:pPr>
    <w:rPr>
      <w:rFonts w:asciiTheme="majorHAnsi" w:eastAsiaTheme="majorEastAsia" w:hAnsiTheme="majorHAnsi" w:cstheme="majorBidi"/>
      <w:b/>
      <w:bCs/>
      <w:i/>
      <w:iCs/>
      <w:color w:val="7F7F7F" w:themeColor="text1" w:themeTint="80"/>
      <w:lang w:bidi="en-US"/>
    </w:rPr>
  </w:style>
  <w:style w:type="paragraph" w:styleId="Nagwek7">
    <w:name w:val="heading 7"/>
    <w:basedOn w:val="Normalny"/>
    <w:next w:val="Normalny"/>
    <w:link w:val="Nagwek7Znak"/>
    <w:uiPriority w:val="99"/>
    <w:semiHidden/>
    <w:qFormat/>
    <w:rsid w:val="00623C1E"/>
    <w:pPr>
      <w:outlineLvl w:val="6"/>
    </w:pPr>
    <w:rPr>
      <w:rFonts w:asciiTheme="majorHAnsi" w:eastAsiaTheme="majorEastAsia" w:hAnsiTheme="majorHAnsi" w:cstheme="majorBidi"/>
      <w:i/>
      <w:iCs/>
      <w:sz w:val="22"/>
      <w:lang w:bidi="en-US"/>
    </w:rPr>
  </w:style>
  <w:style w:type="paragraph" w:styleId="Nagwek8">
    <w:name w:val="heading 8"/>
    <w:basedOn w:val="Normalny"/>
    <w:next w:val="Normalny"/>
    <w:link w:val="Nagwek8Znak"/>
    <w:uiPriority w:val="99"/>
    <w:semiHidden/>
    <w:qFormat/>
    <w:rsid w:val="00623C1E"/>
    <w:pPr>
      <w:outlineLvl w:val="7"/>
    </w:pPr>
    <w:rPr>
      <w:rFonts w:asciiTheme="majorHAnsi" w:eastAsiaTheme="majorEastAsia" w:hAnsiTheme="majorHAnsi" w:cstheme="majorBidi"/>
      <w:sz w:val="20"/>
      <w:szCs w:val="20"/>
      <w:lang w:bidi="en-US"/>
    </w:rPr>
  </w:style>
  <w:style w:type="paragraph" w:styleId="Nagwek9">
    <w:name w:val="heading 9"/>
    <w:basedOn w:val="Normalny"/>
    <w:next w:val="Normalny"/>
    <w:link w:val="Nagwek9Znak"/>
    <w:uiPriority w:val="99"/>
    <w:semiHidden/>
    <w:qFormat/>
    <w:rsid w:val="00623C1E"/>
    <w:pPr>
      <w:outlineLvl w:val="8"/>
    </w:pPr>
    <w:rPr>
      <w:rFonts w:asciiTheme="majorHAnsi" w:eastAsiaTheme="majorEastAsia" w:hAnsiTheme="majorHAnsi" w:cstheme="majorBidi"/>
      <w:i/>
      <w:iCs/>
      <w:spacing w:val="5"/>
      <w:sz w:val="20"/>
      <w:szCs w:val="20"/>
      <w:lang w:bidi="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rsid w:val="00A96ED6"/>
    <w:rPr>
      <w:rFonts w:ascii="Tahoma" w:hAnsi="Tahoma" w:cs="Tahoma"/>
      <w:sz w:val="16"/>
      <w:szCs w:val="16"/>
    </w:rPr>
  </w:style>
  <w:style w:type="character" w:customStyle="1" w:styleId="TekstdymkaZnak">
    <w:name w:val="Tekst dymka Znak"/>
    <w:basedOn w:val="Domylnaczcionkaakapitu"/>
    <w:link w:val="Tekstdymka"/>
    <w:uiPriority w:val="99"/>
    <w:semiHidden/>
    <w:rsid w:val="00A96ED6"/>
    <w:rPr>
      <w:rFonts w:ascii="Tahoma" w:eastAsiaTheme="minorEastAsia" w:hAnsi="Tahoma" w:cs="Tahoma"/>
      <w:sz w:val="16"/>
      <w:szCs w:val="16"/>
    </w:rPr>
  </w:style>
  <w:style w:type="character" w:styleId="Tytuksiki">
    <w:name w:val="Book Title"/>
    <w:uiPriority w:val="99"/>
    <w:semiHidden/>
    <w:qFormat/>
    <w:rsid w:val="00623C1E"/>
    <w:rPr>
      <w:i/>
      <w:iCs/>
      <w:smallCaps/>
      <w:spacing w:val="5"/>
    </w:rPr>
  </w:style>
  <w:style w:type="paragraph" w:customStyle="1" w:styleId="ECHRHeader">
    <w:name w:val="ECHR_Header"/>
    <w:aliases w:val="Ju_Header"/>
    <w:basedOn w:val="Nagwek"/>
    <w:uiPriority w:val="4"/>
    <w:qFormat/>
    <w:rsid w:val="00623C1E"/>
    <w:pPr>
      <w:tabs>
        <w:tab w:val="clear" w:pos="4536"/>
        <w:tab w:val="clear" w:pos="9072"/>
        <w:tab w:val="center" w:pos="3686"/>
        <w:tab w:val="right" w:pos="7371"/>
      </w:tabs>
      <w:jc w:val="left"/>
    </w:pPr>
    <w:rPr>
      <w:sz w:val="18"/>
    </w:rPr>
  </w:style>
  <w:style w:type="paragraph" w:customStyle="1" w:styleId="ECHRFooter">
    <w:name w:val="ECHR_Footer"/>
    <w:aliases w:val="Footer_ECHR"/>
    <w:basedOn w:val="Stopka"/>
    <w:uiPriority w:val="57"/>
    <w:semiHidden/>
    <w:rsid w:val="00A96ED6"/>
    <w:pPr>
      <w:jc w:val="left"/>
    </w:pPr>
    <w:rPr>
      <w:sz w:val="8"/>
    </w:rPr>
  </w:style>
  <w:style w:type="character" w:styleId="Pogrubienie">
    <w:name w:val="Strong"/>
    <w:uiPriority w:val="99"/>
    <w:semiHidden/>
    <w:qFormat/>
    <w:rsid w:val="00623C1E"/>
    <w:rPr>
      <w:b/>
      <w:bCs/>
    </w:rPr>
  </w:style>
  <w:style w:type="paragraph" w:styleId="Bezodstpw">
    <w:name w:val="No Spacing"/>
    <w:basedOn w:val="Normalny"/>
    <w:link w:val="BezodstpwZnak"/>
    <w:semiHidden/>
    <w:qFormat/>
    <w:rsid w:val="00623C1E"/>
    <w:rPr>
      <w:sz w:val="22"/>
    </w:rPr>
  </w:style>
  <w:style w:type="character" w:customStyle="1" w:styleId="BezodstpwZnak">
    <w:name w:val="Bez odstępów Znak"/>
    <w:basedOn w:val="Domylnaczcionkaakapitu"/>
    <w:link w:val="Bezodstpw"/>
    <w:semiHidden/>
    <w:rsid w:val="00623C1E"/>
    <w:rPr>
      <w:rFonts w:eastAsiaTheme="minorEastAsia"/>
    </w:rPr>
  </w:style>
  <w:style w:type="paragraph" w:customStyle="1" w:styleId="ECHRFooterLine">
    <w:name w:val="ECHR_Footer_Line"/>
    <w:aliases w:val="Footer_Line"/>
    <w:basedOn w:val="Normalny"/>
    <w:next w:val="ECHRFooter"/>
    <w:uiPriority w:val="57"/>
    <w:semiHidden/>
    <w:rsid w:val="00A96ED6"/>
    <w:pPr>
      <w:pBdr>
        <w:top w:val="single" w:sz="6" w:space="1" w:color="5F5F5F"/>
      </w:pBdr>
      <w:tabs>
        <w:tab w:val="center" w:pos="4536"/>
        <w:tab w:val="right" w:pos="9696"/>
      </w:tabs>
      <w:ind w:left="-680" w:right="-680"/>
      <w:jc w:val="left"/>
    </w:pPr>
    <w:rPr>
      <w:color w:val="5F5F5F"/>
    </w:rPr>
  </w:style>
  <w:style w:type="paragraph" w:customStyle="1" w:styleId="JuAppQuestion">
    <w:name w:val="Ju_App_Question"/>
    <w:basedOn w:val="Normalny"/>
    <w:uiPriority w:val="5"/>
    <w:semiHidden/>
    <w:qFormat/>
    <w:rsid w:val="00623C1E"/>
    <w:pPr>
      <w:numPr>
        <w:numId w:val="20"/>
      </w:numPr>
      <w:jc w:val="left"/>
    </w:pPr>
    <w:rPr>
      <w:b/>
    </w:rPr>
  </w:style>
  <w:style w:type="paragraph" w:customStyle="1" w:styleId="OpiPara">
    <w:name w:val="Opi_Para"/>
    <w:basedOn w:val="ECHRPara"/>
    <w:uiPriority w:val="46"/>
    <w:qFormat/>
    <w:rsid w:val="00623C1E"/>
  </w:style>
  <w:style w:type="paragraph" w:customStyle="1" w:styleId="JuParaSub">
    <w:name w:val="Ju_Para_Sub"/>
    <w:basedOn w:val="ECHRPara"/>
    <w:uiPriority w:val="13"/>
    <w:qFormat/>
    <w:rsid w:val="00623C1E"/>
    <w:pPr>
      <w:ind w:left="284"/>
    </w:pPr>
  </w:style>
  <w:style w:type="paragraph" w:customStyle="1" w:styleId="ECHRTitleCentre3">
    <w:name w:val="ECHR_Title_Centre_3"/>
    <w:aliases w:val="Ju_H_Article"/>
    <w:basedOn w:val="Normalny"/>
    <w:next w:val="ECHRParaQuote"/>
    <w:uiPriority w:val="99"/>
    <w:qFormat/>
    <w:rsid w:val="00623C1E"/>
    <w:pPr>
      <w:keepNext/>
      <w:keepLines/>
      <w:spacing w:before="240" w:after="120"/>
      <w:jc w:val="center"/>
      <w:outlineLvl w:val="3"/>
    </w:pPr>
    <w:rPr>
      <w:rFonts w:asciiTheme="majorHAnsi" w:hAnsiTheme="majorHAnsi"/>
      <w:b/>
      <w:sz w:val="20"/>
      <w:lang w:bidi="en-US"/>
    </w:rPr>
  </w:style>
  <w:style w:type="paragraph" w:customStyle="1" w:styleId="ECHRTitleCentre1">
    <w:name w:val="ECHR_Title_Centre_1"/>
    <w:aliases w:val="Opi_H_Head"/>
    <w:basedOn w:val="Normalny"/>
    <w:next w:val="OpiPara"/>
    <w:uiPriority w:val="39"/>
    <w:qFormat/>
    <w:rsid w:val="00623C1E"/>
    <w:pPr>
      <w:keepNext/>
      <w:keepLines/>
      <w:spacing w:after="240"/>
      <w:jc w:val="center"/>
      <w:outlineLvl w:val="0"/>
    </w:pPr>
    <w:rPr>
      <w:rFonts w:asciiTheme="majorHAnsi" w:hAnsiTheme="majorHAnsi"/>
      <w:sz w:val="28"/>
    </w:rPr>
  </w:style>
  <w:style w:type="paragraph" w:customStyle="1" w:styleId="OpiParaSub">
    <w:name w:val="Opi_Para_Sub"/>
    <w:basedOn w:val="JuParaSub"/>
    <w:uiPriority w:val="47"/>
    <w:qFormat/>
    <w:rsid w:val="00623C1E"/>
  </w:style>
  <w:style w:type="paragraph" w:customStyle="1" w:styleId="OpiQuot">
    <w:name w:val="Opi_Quot"/>
    <w:basedOn w:val="ECHRParaQuote"/>
    <w:uiPriority w:val="48"/>
    <w:qFormat/>
    <w:rsid w:val="00623C1E"/>
  </w:style>
  <w:style w:type="paragraph" w:customStyle="1" w:styleId="OpiQuotSub">
    <w:name w:val="Opi_Quot_Sub"/>
    <w:basedOn w:val="JuQuotSub"/>
    <w:uiPriority w:val="49"/>
    <w:qFormat/>
    <w:rsid w:val="00623C1E"/>
  </w:style>
  <w:style w:type="paragraph" w:customStyle="1" w:styleId="ECHRTitleCentre2">
    <w:name w:val="ECHR_Title_Centre_2"/>
    <w:aliases w:val="Dec_H_Case"/>
    <w:basedOn w:val="Normalny"/>
    <w:next w:val="ECHRPara"/>
    <w:uiPriority w:val="8"/>
    <w:qFormat/>
    <w:rsid w:val="00623C1E"/>
    <w:pPr>
      <w:spacing w:after="240"/>
      <w:jc w:val="center"/>
      <w:outlineLvl w:val="0"/>
    </w:pPr>
    <w:rPr>
      <w:rFonts w:asciiTheme="majorHAnsi" w:hAnsiTheme="majorHAnsi"/>
    </w:rPr>
  </w:style>
  <w:style w:type="paragraph" w:customStyle="1" w:styleId="JuTitle">
    <w:name w:val="Ju_Title"/>
    <w:basedOn w:val="Normalny"/>
    <w:next w:val="ECHRPara"/>
    <w:uiPriority w:val="3"/>
    <w:semiHidden/>
    <w:qFormat/>
    <w:rsid w:val="00623C1E"/>
    <w:pPr>
      <w:spacing w:before="720" w:after="240"/>
      <w:jc w:val="center"/>
      <w:outlineLvl w:val="0"/>
    </w:pPr>
    <w:rPr>
      <w:rFonts w:asciiTheme="majorHAnsi" w:hAnsiTheme="majorHAnsi"/>
      <w:b/>
      <w:caps/>
    </w:rPr>
  </w:style>
  <w:style w:type="paragraph" w:styleId="Tytu">
    <w:name w:val="Title"/>
    <w:basedOn w:val="Normalny"/>
    <w:next w:val="Normalny"/>
    <w:link w:val="TytuZnak"/>
    <w:uiPriority w:val="99"/>
    <w:semiHidden/>
    <w:qFormat/>
    <w:rsid w:val="00623C1E"/>
    <w:pPr>
      <w:pBdr>
        <w:bottom w:val="single" w:sz="4" w:space="1" w:color="auto"/>
      </w:pBdr>
      <w:contextualSpacing/>
    </w:pPr>
    <w:rPr>
      <w:rFonts w:asciiTheme="majorHAnsi" w:eastAsiaTheme="majorEastAsia" w:hAnsiTheme="majorHAnsi" w:cstheme="majorBidi"/>
      <w:spacing w:val="5"/>
      <w:sz w:val="52"/>
      <w:szCs w:val="52"/>
      <w:lang w:bidi="en-US"/>
    </w:rPr>
  </w:style>
  <w:style w:type="character" w:customStyle="1" w:styleId="TytuZnak">
    <w:name w:val="Tytuł Znak"/>
    <w:basedOn w:val="Domylnaczcionkaakapitu"/>
    <w:link w:val="Tytu"/>
    <w:uiPriority w:val="99"/>
    <w:semiHidden/>
    <w:rsid w:val="00623C1E"/>
    <w:rPr>
      <w:rFonts w:asciiTheme="majorHAnsi" w:eastAsiaTheme="majorEastAsia" w:hAnsiTheme="majorHAnsi" w:cstheme="majorBidi"/>
      <w:spacing w:val="5"/>
      <w:sz w:val="52"/>
      <w:szCs w:val="52"/>
      <w:lang w:bidi="en-US"/>
    </w:rPr>
  </w:style>
  <w:style w:type="paragraph" w:customStyle="1" w:styleId="ECHRHeading3">
    <w:name w:val="ECHR_Heading_3"/>
    <w:aliases w:val="Ju_H_1."/>
    <w:basedOn w:val="Nagwek3"/>
    <w:next w:val="ECHRPara"/>
    <w:link w:val="JuH1Char"/>
    <w:uiPriority w:val="99"/>
    <w:qFormat/>
    <w:rsid w:val="00623C1E"/>
    <w:pPr>
      <w:keepNext/>
      <w:keepLines/>
      <w:tabs>
        <w:tab w:val="left" w:pos="731"/>
      </w:tabs>
      <w:spacing w:before="240" w:after="120" w:line="240" w:lineRule="auto"/>
      <w:ind w:left="732" w:hanging="301"/>
    </w:pPr>
    <w:rPr>
      <w:b w:val="0"/>
      <w:i/>
      <w:color w:val="auto"/>
    </w:rPr>
  </w:style>
  <w:style w:type="paragraph" w:customStyle="1" w:styleId="ECHRHeading4">
    <w:name w:val="ECHR_Heading_4"/>
    <w:aliases w:val="Ju_H_a"/>
    <w:basedOn w:val="Nagwek4"/>
    <w:next w:val="ECHRPara"/>
    <w:uiPriority w:val="99"/>
    <w:qFormat/>
    <w:rsid w:val="00623C1E"/>
    <w:pPr>
      <w:keepNext/>
      <w:keepLines/>
      <w:tabs>
        <w:tab w:val="left" w:pos="975"/>
      </w:tabs>
      <w:spacing w:before="240" w:after="120"/>
      <w:ind w:left="975" w:hanging="340"/>
    </w:pPr>
    <w:rPr>
      <w:i w:val="0"/>
      <w:color w:val="auto"/>
      <w:sz w:val="20"/>
    </w:rPr>
  </w:style>
  <w:style w:type="paragraph" w:customStyle="1" w:styleId="ECHRHeading5">
    <w:name w:val="ECHR_Heading_5"/>
    <w:aliases w:val="Ju_H_i"/>
    <w:basedOn w:val="Nagwek5"/>
    <w:next w:val="ECHRPara"/>
    <w:uiPriority w:val="23"/>
    <w:qFormat/>
    <w:rsid w:val="00623C1E"/>
    <w:pPr>
      <w:keepNext/>
      <w:keepLines/>
      <w:tabs>
        <w:tab w:val="left" w:pos="1191"/>
      </w:tabs>
      <w:spacing w:before="240" w:after="120"/>
      <w:ind w:left="1190" w:hanging="357"/>
    </w:pPr>
    <w:rPr>
      <w:b w:val="0"/>
      <w:i/>
      <w:color w:val="auto"/>
      <w:sz w:val="20"/>
    </w:rPr>
  </w:style>
  <w:style w:type="paragraph" w:customStyle="1" w:styleId="ECHRHeading6">
    <w:name w:val="ECHR_Heading_6"/>
    <w:aliases w:val="Ju_H_alpha"/>
    <w:basedOn w:val="Nagwek6"/>
    <w:next w:val="ECHRPara"/>
    <w:uiPriority w:val="24"/>
    <w:qFormat/>
    <w:rsid w:val="00623C1E"/>
    <w:pPr>
      <w:keepNext/>
      <w:keepLines/>
      <w:tabs>
        <w:tab w:val="left" w:pos="1372"/>
      </w:tabs>
      <w:spacing w:before="240" w:after="120" w:line="240" w:lineRule="auto"/>
      <w:ind w:left="1373" w:hanging="335"/>
    </w:pPr>
    <w:rPr>
      <w:b w:val="0"/>
      <w:color w:val="auto"/>
      <w:sz w:val="20"/>
    </w:rPr>
  </w:style>
  <w:style w:type="paragraph" w:customStyle="1" w:styleId="ECHRHeading7">
    <w:name w:val="ECHR_Heading_7"/>
    <w:aliases w:val="Ju_H_–"/>
    <w:basedOn w:val="Nagwek7"/>
    <w:next w:val="ECHRPara"/>
    <w:uiPriority w:val="25"/>
    <w:qFormat/>
    <w:rsid w:val="00623C1E"/>
    <w:pPr>
      <w:keepNext/>
      <w:keepLines/>
      <w:spacing w:before="240" w:after="120"/>
      <w:ind w:left="1236"/>
    </w:pPr>
    <w:rPr>
      <w:sz w:val="20"/>
    </w:rPr>
  </w:style>
  <w:style w:type="paragraph" w:customStyle="1" w:styleId="JuQuotSub">
    <w:name w:val="Ju_Quot_Sub"/>
    <w:basedOn w:val="ECHRParaQuote"/>
    <w:uiPriority w:val="15"/>
    <w:qFormat/>
    <w:rsid w:val="00623C1E"/>
    <w:pPr>
      <w:ind w:left="567"/>
    </w:pPr>
  </w:style>
  <w:style w:type="paragraph" w:customStyle="1" w:styleId="JuInitialled">
    <w:name w:val="Ju_Initialled"/>
    <w:basedOn w:val="Normalny"/>
    <w:uiPriority w:val="31"/>
    <w:qFormat/>
    <w:rsid w:val="00623C1E"/>
    <w:pPr>
      <w:tabs>
        <w:tab w:val="center" w:pos="6407"/>
      </w:tabs>
      <w:spacing w:before="720"/>
      <w:jc w:val="right"/>
    </w:pPr>
  </w:style>
  <w:style w:type="paragraph" w:customStyle="1" w:styleId="OpiHA">
    <w:name w:val="Opi_H_A"/>
    <w:basedOn w:val="ECHRHeading1"/>
    <w:next w:val="OpiPara"/>
    <w:uiPriority w:val="41"/>
    <w:qFormat/>
    <w:rsid w:val="00623C1E"/>
    <w:pPr>
      <w:tabs>
        <w:tab w:val="clear" w:pos="357"/>
      </w:tabs>
      <w:outlineLvl w:val="1"/>
    </w:pPr>
    <w:rPr>
      <w:b/>
    </w:rPr>
  </w:style>
  <w:style w:type="paragraph" w:styleId="Nagwek">
    <w:name w:val="header"/>
    <w:basedOn w:val="Normalny"/>
    <w:link w:val="NagwekZnak"/>
    <w:uiPriority w:val="57"/>
    <w:semiHidden/>
    <w:rsid w:val="00A96ED6"/>
    <w:pPr>
      <w:tabs>
        <w:tab w:val="center" w:pos="4536"/>
        <w:tab w:val="right" w:pos="9072"/>
      </w:tabs>
    </w:pPr>
    <w:rPr>
      <w:rFonts w:eastAsiaTheme="minorHAnsi"/>
    </w:rPr>
  </w:style>
  <w:style w:type="character" w:customStyle="1" w:styleId="NagwekZnak">
    <w:name w:val="Nagłówek Znak"/>
    <w:basedOn w:val="Domylnaczcionkaakapitu"/>
    <w:link w:val="Nagwek"/>
    <w:uiPriority w:val="57"/>
    <w:semiHidden/>
    <w:rsid w:val="00A96ED6"/>
    <w:rPr>
      <w:sz w:val="24"/>
    </w:rPr>
  </w:style>
  <w:style w:type="character" w:customStyle="1" w:styleId="Nagwek1Znak">
    <w:name w:val="Nagłówek 1 Znak"/>
    <w:basedOn w:val="Domylnaczcionkaakapitu"/>
    <w:link w:val="Nagwek1"/>
    <w:uiPriority w:val="99"/>
    <w:semiHidden/>
    <w:rsid w:val="00A96ED6"/>
    <w:rPr>
      <w:rFonts w:asciiTheme="majorHAnsi" w:eastAsiaTheme="majorEastAsia" w:hAnsiTheme="majorHAnsi" w:cstheme="majorBidi"/>
      <w:b/>
      <w:bCs/>
      <w:color w:val="333333"/>
      <w:sz w:val="28"/>
      <w:szCs w:val="28"/>
    </w:rPr>
  </w:style>
  <w:style w:type="paragraph" w:customStyle="1" w:styleId="ECHRHeading1">
    <w:name w:val="ECHR_Heading_1"/>
    <w:aliases w:val="Ju_H_I_Roman"/>
    <w:basedOn w:val="Nagwek1"/>
    <w:next w:val="ECHRPara"/>
    <w:uiPriority w:val="99"/>
    <w:qFormat/>
    <w:rsid w:val="00623C1E"/>
    <w:pPr>
      <w:keepNext/>
      <w:keepLines/>
      <w:tabs>
        <w:tab w:val="left" w:pos="357"/>
      </w:tabs>
      <w:spacing w:before="360" w:after="240"/>
      <w:ind w:left="357" w:hanging="357"/>
      <w:contextualSpacing w:val="0"/>
    </w:pPr>
    <w:rPr>
      <w:b w:val="0"/>
      <w:color w:val="auto"/>
      <w:sz w:val="24"/>
    </w:rPr>
  </w:style>
  <w:style w:type="paragraph" w:customStyle="1" w:styleId="ECHRHeading2">
    <w:name w:val="ECHR_Heading_2"/>
    <w:aliases w:val="Ju_H_A"/>
    <w:basedOn w:val="Nagwek2"/>
    <w:next w:val="ECHRPara"/>
    <w:uiPriority w:val="99"/>
    <w:qFormat/>
    <w:rsid w:val="00623C1E"/>
    <w:pPr>
      <w:keepNext/>
      <w:keepLines/>
      <w:tabs>
        <w:tab w:val="left" w:pos="584"/>
      </w:tabs>
      <w:spacing w:before="360" w:after="240"/>
      <w:ind w:left="584" w:hanging="352"/>
    </w:pPr>
    <w:rPr>
      <w:color w:val="auto"/>
      <w:sz w:val="24"/>
    </w:rPr>
  </w:style>
  <w:style w:type="character" w:customStyle="1" w:styleId="Nagwek2Znak">
    <w:name w:val="Nagłówek 2 Znak"/>
    <w:basedOn w:val="Domylnaczcionkaakapitu"/>
    <w:link w:val="Nagwek2"/>
    <w:uiPriority w:val="99"/>
    <w:semiHidden/>
    <w:rsid w:val="00A96ED6"/>
    <w:rPr>
      <w:rFonts w:asciiTheme="majorHAnsi" w:eastAsiaTheme="majorEastAsia" w:hAnsiTheme="majorHAnsi" w:cstheme="majorBidi"/>
      <w:b/>
      <w:bCs/>
      <w:color w:val="4D4D4D"/>
      <w:sz w:val="26"/>
      <w:szCs w:val="26"/>
    </w:rPr>
  </w:style>
  <w:style w:type="character" w:customStyle="1" w:styleId="JUNAMES">
    <w:name w:val="JU_NAMES"/>
    <w:uiPriority w:val="17"/>
    <w:qFormat/>
    <w:rsid w:val="00623C1E"/>
    <w:rPr>
      <w:caps w:val="0"/>
      <w:smallCaps/>
    </w:rPr>
  </w:style>
  <w:style w:type="paragraph" w:customStyle="1" w:styleId="JuCase">
    <w:name w:val="Ju_Case"/>
    <w:basedOn w:val="Normalny"/>
    <w:next w:val="ECHRPara"/>
    <w:uiPriority w:val="10"/>
    <w:rsid w:val="00A96ED6"/>
    <w:pPr>
      <w:ind w:firstLine="284"/>
    </w:pPr>
    <w:rPr>
      <w:b/>
    </w:rPr>
  </w:style>
  <w:style w:type="character" w:customStyle="1" w:styleId="Nagwek3Znak">
    <w:name w:val="Nagłówek 3 Znak"/>
    <w:basedOn w:val="Domylnaczcionkaakapitu"/>
    <w:link w:val="Nagwek3"/>
    <w:uiPriority w:val="99"/>
    <w:semiHidden/>
    <w:rsid w:val="00A96ED6"/>
    <w:rPr>
      <w:rFonts w:asciiTheme="majorHAnsi" w:eastAsiaTheme="majorEastAsia" w:hAnsiTheme="majorHAnsi" w:cstheme="majorBidi"/>
      <w:b/>
      <w:bCs/>
      <w:color w:val="5F5F5F"/>
      <w:sz w:val="24"/>
    </w:rPr>
  </w:style>
  <w:style w:type="character" w:customStyle="1" w:styleId="Nagwek4Znak">
    <w:name w:val="Nagłówek 4 Znak"/>
    <w:basedOn w:val="Domylnaczcionkaakapitu"/>
    <w:link w:val="Nagwek4"/>
    <w:uiPriority w:val="99"/>
    <w:semiHidden/>
    <w:rsid w:val="00A96ED6"/>
    <w:rPr>
      <w:rFonts w:asciiTheme="majorHAnsi" w:eastAsiaTheme="majorEastAsia" w:hAnsiTheme="majorHAnsi" w:cstheme="majorBidi"/>
      <w:b/>
      <w:bCs/>
      <w:i/>
      <w:iCs/>
      <w:color w:val="777777"/>
      <w:sz w:val="24"/>
    </w:rPr>
  </w:style>
  <w:style w:type="character" w:customStyle="1" w:styleId="Nagwek5Znak">
    <w:name w:val="Nagłówek 5 Znak"/>
    <w:basedOn w:val="Domylnaczcionkaakapitu"/>
    <w:link w:val="Nagwek5"/>
    <w:uiPriority w:val="99"/>
    <w:semiHidden/>
    <w:rsid w:val="00623C1E"/>
    <w:rPr>
      <w:rFonts w:asciiTheme="majorHAnsi" w:eastAsiaTheme="majorEastAsia" w:hAnsiTheme="majorHAnsi" w:cstheme="majorBidi"/>
      <w:b/>
      <w:bCs/>
      <w:color w:val="808080"/>
    </w:rPr>
  </w:style>
  <w:style w:type="character" w:styleId="Wyrnieniedelikatne">
    <w:name w:val="Subtle Emphasis"/>
    <w:uiPriority w:val="99"/>
    <w:semiHidden/>
    <w:qFormat/>
    <w:rsid w:val="00623C1E"/>
    <w:rPr>
      <w:i/>
      <w:iCs/>
    </w:rPr>
  </w:style>
  <w:style w:type="table" w:customStyle="1" w:styleId="ECHRTable">
    <w:name w:val="ECHR_Table"/>
    <w:basedOn w:val="Standardowy"/>
    <w:rsid w:val="00860B03"/>
    <w:rPr>
      <w:rFonts w:eastAsia="Times New Roman" w:cs="Times New Roman"/>
      <w:sz w:val="20"/>
      <w:szCs w:val="20"/>
      <w:lang w:val="en-GB"/>
    </w:rPr>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tblStylePr w:type="firstCol">
      <w:rPr>
        <w:b/>
      </w:rPr>
    </w:tblStylePr>
    <w:tblStylePr w:type="band2Vert">
      <w:tblPr/>
      <w:tcPr>
        <w:tcBorders>
          <w:top w:val="nil"/>
          <w:left w:val="nil"/>
          <w:bottom w:val="nil"/>
          <w:right w:val="nil"/>
          <w:insideH w:val="nil"/>
          <w:insideV w:val="nil"/>
          <w:tl2br w:val="nil"/>
          <w:tr2bl w:val="nil"/>
        </w:tcBorders>
        <w:shd w:val="clear" w:color="auto" w:fill="DFDFDF" w:themeFill="background2" w:themeFillShade="E6"/>
      </w:tcPr>
    </w:tblStylePr>
    <w:tblStylePr w:type="band2Horz">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shd w:val="clear" w:color="auto" w:fill="DFDFDF" w:themeFill="background2" w:themeFillShade="E6"/>
      </w:tcPr>
    </w:tblStylePr>
  </w:style>
  <w:style w:type="table" w:customStyle="1" w:styleId="ECHRTableBoxHeader">
    <w:name w:val="ECHR_Table_Box_Header"/>
    <w:basedOn w:val="Standardowy"/>
    <w:rsid w:val="004C086C"/>
    <w:rPr>
      <w:rFonts w:ascii="Verdana" w:eastAsia="Times New Roman" w:hAnsi="Verdana" w:cs="Times New Roman"/>
      <w:sz w:val="20"/>
      <w:szCs w:val="20"/>
      <w:lang w:val="en-GB"/>
    </w:rPr>
    <w:tblPr>
      <w:tblCellMar>
        <w:top w:w="57" w:type="dxa"/>
        <w:left w:w="57" w:type="dxa"/>
        <w:bottom w:w="57" w:type="dxa"/>
        <w:right w:w="57" w:type="dxa"/>
      </w:tblCellMar>
    </w:tblPr>
    <w:tcPr>
      <w:shd w:val="clear" w:color="auto" w:fill="F8F8F8" w:themeFill="background2"/>
    </w:tcPr>
    <w:tblStylePr w:type="firstCol">
      <w:rPr>
        <w:b/>
        <w:color w:val="5F5F5F" w:themeColor="accent3"/>
      </w:rPr>
    </w:tblStylePr>
  </w:style>
  <w:style w:type="paragraph" w:customStyle="1" w:styleId="ECHRTitle1">
    <w:name w:val="ECHR_Title_1"/>
    <w:aliases w:val="Ju_H_Head"/>
    <w:basedOn w:val="Normalny"/>
    <w:next w:val="ECHRPara"/>
    <w:uiPriority w:val="99"/>
    <w:qFormat/>
    <w:rsid w:val="00623C1E"/>
    <w:pPr>
      <w:keepNext/>
      <w:keepLines/>
      <w:spacing w:before="720" w:after="240"/>
      <w:outlineLvl w:val="0"/>
    </w:pPr>
    <w:rPr>
      <w:rFonts w:asciiTheme="majorHAnsi" w:hAnsiTheme="majorHAnsi"/>
      <w:sz w:val="28"/>
    </w:rPr>
  </w:style>
  <w:style w:type="character" w:styleId="Uwydatnienie">
    <w:name w:val="Emphasis"/>
    <w:uiPriority w:val="99"/>
    <w:semiHidden/>
    <w:qFormat/>
    <w:rsid w:val="00623C1E"/>
    <w:rPr>
      <w:b/>
      <w:bCs/>
      <w:i/>
      <w:iCs/>
      <w:spacing w:val="10"/>
      <w:bdr w:val="none" w:sz="0" w:space="0" w:color="auto"/>
      <w:shd w:val="clear" w:color="auto" w:fill="auto"/>
    </w:rPr>
  </w:style>
  <w:style w:type="paragraph" w:styleId="Stopka">
    <w:name w:val="footer"/>
    <w:basedOn w:val="Normalny"/>
    <w:link w:val="StopkaZnak"/>
    <w:uiPriority w:val="57"/>
    <w:semiHidden/>
    <w:rsid w:val="00A96ED6"/>
    <w:pPr>
      <w:tabs>
        <w:tab w:val="center" w:pos="4536"/>
        <w:tab w:val="right" w:pos="9696"/>
      </w:tabs>
      <w:ind w:left="-680" w:right="-680"/>
    </w:pPr>
    <w:rPr>
      <w:rFonts w:eastAsiaTheme="minorHAnsi"/>
    </w:rPr>
  </w:style>
  <w:style w:type="character" w:customStyle="1" w:styleId="StopkaZnak">
    <w:name w:val="Stopka Znak"/>
    <w:basedOn w:val="Domylnaczcionkaakapitu"/>
    <w:link w:val="Stopka"/>
    <w:uiPriority w:val="57"/>
    <w:semiHidden/>
    <w:rsid w:val="00A96ED6"/>
    <w:rPr>
      <w:sz w:val="24"/>
    </w:rPr>
  </w:style>
  <w:style w:type="character" w:styleId="Odwoanieprzypisudolnego">
    <w:name w:val="footnote reference"/>
    <w:basedOn w:val="Domylnaczcionkaakapitu"/>
    <w:uiPriority w:val="99"/>
    <w:semiHidden/>
    <w:rsid w:val="00A96ED6"/>
    <w:rPr>
      <w:vertAlign w:val="superscript"/>
    </w:rPr>
  </w:style>
  <w:style w:type="paragraph" w:styleId="Tekstprzypisudolnego">
    <w:name w:val="footnote text"/>
    <w:basedOn w:val="Normalny"/>
    <w:link w:val="TekstprzypisudolnegoZnak"/>
    <w:uiPriority w:val="99"/>
    <w:semiHidden/>
    <w:rsid w:val="00A96ED6"/>
    <w:rPr>
      <w:sz w:val="20"/>
      <w:szCs w:val="20"/>
    </w:rPr>
  </w:style>
  <w:style w:type="character" w:customStyle="1" w:styleId="TekstprzypisudolnegoZnak">
    <w:name w:val="Tekst przypisu dolnego Znak"/>
    <w:basedOn w:val="Domylnaczcionkaakapitu"/>
    <w:link w:val="Tekstprzypisudolnego"/>
    <w:uiPriority w:val="99"/>
    <w:semiHidden/>
    <w:rsid w:val="00A96ED6"/>
    <w:rPr>
      <w:rFonts w:eastAsiaTheme="minorEastAsia"/>
      <w:sz w:val="20"/>
      <w:szCs w:val="20"/>
    </w:rPr>
  </w:style>
  <w:style w:type="character" w:customStyle="1" w:styleId="Nagwek6Znak">
    <w:name w:val="Nagłówek 6 Znak"/>
    <w:basedOn w:val="Domylnaczcionkaakapitu"/>
    <w:link w:val="Nagwek6"/>
    <w:uiPriority w:val="99"/>
    <w:semiHidden/>
    <w:rsid w:val="00A96ED6"/>
    <w:rPr>
      <w:rFonts w:asciiTheme="majorHAnsi" w:eastAsiaTheme="majorEastAsia" w:hAnsiTheme="majorHAnsi" w:cstheme="majorBidi"/>
      <w:b/>
      <w:bCs/>
      <w:i/>
      <w:iCs/>
      <w:color w:val="7F7F7F" w:themeColor="text1" w:themeTint="80"/>
      <w:sz w:val="24"/>
      <w:lang w:bidi="en-US"/>
    </w:rPr>
  </w:style>
  <w:style w:type="character" w:customStyle="1" w:styleId="Nagwek7Znak">
    <w:name w:val="Nagłówek 7 Znak"/>
    <w:basedOn w:val="Domylnaczcionkaakapitu"/>
    <w:link w:val="Nagwek7"/>
    <w:uiPriority w:val="99"/>
    <w:semiHidden/>
    <w:rsid w:val="00623C1E"/>
    <w:rPr>
      <w:rFonts w:asciiTheme="majorHAnsi" w:eastAsiaTheme="majorEastAsia" w:hAnsiTheme="majorHAnsi" w:cstheme="majorBidi"/>
      <w:i/>
      <w:iCs/>
      <w:lang w:bidi="en-US"/>
    </w:rPr>
  </w:style>
  <w:style w:type="character" w:customStyle="1" w:styleId="Nagwek8Znak">
    <w:name w:val="Nagłówek 8 Znak"/>
    <w:basedOn w:val="Domylnaczcionkaakapitu"/>
    <w:link w:val="Nagwek8"/>
    <w:uiPriority w:val="99"/>
    <w:semiHidden/>
    <w:rsid w:val="00623C1E"/>
    <w:rPr>
      <w:rFonts w:asciiTheme="majorHAnsi" w:eastAsiaTheme="majorEastAsia" w:hAnsiTheme="majorHAnsi" w:cstheme="majorBidi"/>
      <w:sz w:val="20"/>
      <w:szCs w:val="20"/>
      <w:lang w:bidi="en-US"/>
    </w:rPr>
  </w:style>
  <w:style w:type="character" w:customStyle="1" w:styleId="Nagwek9Znak">
    <w:name w:val="Nagłówek 9 Znak"/>
    <w:basedOn w:val="Domylnaczcionkaakapitu"/>
    <w:link w:val="Nagwek9"/>
    <w:uiPriority w:val="99"/>
    <w:semiHidden/>
    <w:rsid w:val="00623C1E"/>
    <w:rPr>
      <w:rFonts w:asciiTheme="majorHAnsi" w:eastAsiaTheme="majorEastAsia" w:hAnsiTheme="majorHAnsi" w:cstheme="majorBidi"/>
      <w:i/>
      <w:iCs/>
      <w:spacing w:val="5"/>
      <w:sz w:val="20"/>
      <w:szCs w:val="20"/>
      <w:lang w:bidi="en-US"/>
    </w:rPr>
  </w:style>
  <w:style w:type="character" w:styleId="Hipercze">
    <w:name w:val="Hyperlink"/>
    <w:basedOn w:val="Domylnaczcionkaakapitu"/>
    <w:uiPriority w:val="99"/>
    <w:semiHidden/>
    <w:rsid w:val="00A96ED6"/>
    <w:rPr>
      <w:color w:val="0072BC" w:themeColor="hyperlink"/>
      <w:u w:val="single"/>
    </w:rPr>
  </w:style>
  <w:style w:type="character" w:styleId="Wyrnienieintensywne">
    <w:name w:val="Intense Emphasis"/>
    <w:uiPriority w:val="99"/>
    <w:semiHidden/>
    <w:qFormat/>
    <w:rsid w:val="00623C1E"/>
    <w:rPr>
      <w:b/>
      <w:bCs/>
    </w:rPr>
  </w:style>
  <w:style w:type="paragraph" w:styleId="Cytatintensywny">
    <w:name w:val="Intense Quote"/>
    <w:basedOn w:val="Normalny"/>
    <w:next w:val="Normalny"/>
    <w:link w:val="CytatintensywnyZnak"/>
    <w:uiPriority w:val="99"/>
    <w:semiHidden/>
    <w:qFormat/>
    <w:rsid w:val="00623C1E"/>
    <w:pPr>
      <w:pBdr>
        <w:bottom w:val="single" w:sz="4" w:space="1" w:color="auto"/>
      </w:pBdr>
      <w:spacing w:before="200" w:after="280"/>
      <w:ind w:left="1008" w:right="1152"/>
    </w:pPr>
    <w:rPr>
      <w:b/>
      <w:bCs/>
      <w:i/>
      <w:iCs/>
      <w:sz w:val="22"/>
      <w:lang w:bidi="en-US"/>
    </w:rPr>
  </w:style>
  <w:style w:type="character" w:customStyle="1" w:styleId="CytatintensywnyZnak">
    <w:name w:val="Cytat intensywny Znak"/>
    <w:basedOn w:val="Domylnaczcionkaakapitu"/>
    <w:link w:val="Cytatintensywny"/>
    <w:uiPriority w:val="99"/>
    <w:semiHidden/>
    <w:rsid w:val="00623C1E"/>
    <w:rPr>
      <w:rFonts w:eastAsiaTheme="minorEastAsia"/>
      <w:b/>
      <w:bCs/>
      <w:i/>
      <w:iCs/>
      <w:lang w:bidi="en-US"/>
    </w:rPr>
  </w:style>
  <w:style w:type="character" w:styleId="Odwoanieintensywne">
    <w:name w:val="Intense Reference"/>
    <w:uiPriority w:val="99"/>
    <w:semiHidden/>
    <w:qFormat/>
    <w:rsid w:val="00623C1E"/>
    <w:rPr>
      <w:smallCaps/>
      <w:spacing w:val="5"/>
      <w:u w:val="single"/>
    </w:rPr>
  </w:style>
  <w:style w:type="paragraph" w:styleId="Akapitzlist">
    <w:name w:val="List Paragraph"/>
    <w:basedOn w:val="Normalny"/>
    <w:uiPriority w:val="99"/>
    <w:semiHidden/>
    <w:qFormat/>
    <w:rsid w:val="00623C1E"/>
    <w:pPr>
      <w:ind w:left="720"/>
      <w:contextualSpacing/>
    </w:pPr>
  </w:style>
  <w:style w:type="table" w:customStyle="1" w:styleId="LtrTableAddress">
    <w:name w:val="Ltr_Table_Address"/>
    <w:basedOn w:val="Standardowy"/>
    <w:uiPriority w:val="99"/>
    <w:rsid w:val="001E6F32"/>
    <w:tblPr>
      <w:tblInd w:w="5103" w:type="dxa"/>
    </w:tblPr>
  </w:style>
  <w:style w:type="paragraph" w:styleId="Cytat">
    <w:name w:val="Quote"/>
    <w:basedOn w:val="Normalny"/>
    <w:next w:val="Normalny"/>
    <w:link w:val="CytatZnak"/>
    <w:uiPriority w:val="99"/>
    <w:semiHidden/>
    <w:qFormat/>
    <w:rsid w:val="00623C1E"/>
    <w:pPr>
      <w:spacing w:before="200"/>
      <w:ind w:left="360" w:right="360"/>
    </w:pPr>
    <w:rPr>
      <w:i/>
      <w:iCs/>
      <w:sz w:val="22"/>
      <w:lang w:bidi="en-US"/>
    </w:rPr>
  </w:style>
  <w:style w:type="character" w:customStyle="1" w:styleId="CytatZnak">
    <w:name w:val="Cytat Znak"/>
    <w:basedOn w:val="Domylnaczcionkaakapitu"/>
    <w:link w:val="Cytat"/>
    <w:uiPriority w:val="99"/>
    <w:semiHidden/>
    <w:rsid w:val="00623C1E"/>
    <w:rPr>
      <w:rFonts w:eastAsiaTheme="minorEastAsia"/>
      <w:i/>
      <w:iCs/>
      <w:lang w:bidi="en-US"/>
    </w:rPr>
  </w:style>
  <w:style w:type="character" w:styleId="Odwoaniedelikatne">
    <w:name w:val="Subtle Reference"/>
    <w:uiPriority w:val="99"/>
    <w:semiHidden/>
    <w:qFormat/>
    <w:rsid w:val="00623C1E"/>
    <w:rPr>
      <w:smallCaps/>
    </w:rPr>
  </w:style>
  <w:style w:type="table" w:styleId="Tabela-Siatka">
    <w:name w:val="Table Grid"/>
    <w:basedOn w:val="Standardowy"/>
    <w:uiPriority w:val="59"/>
    <w:semiHidden/>
    <w:rsid w:val="00A96ED6"/>
    <w:rPr>
      <w:rFonts w:eastAsiaTheme="minorEastAsi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istreci1">
    <w:name w:val="toc 1"/>
    <w:basedOn w:val="Normalny"/>
    <w:next w:val="Normalny"/>
    <w:autoRedefine/>
    <w:uiPriority w:val="99"/>
    <w:semiHidden/>
    <w:rsid w:val="00A96ED6"/>
    <w:pPr>
      <w:spacing w:before="120" w:after="60"/>
      <w:ind w:left="340" w:right="340" w:hanging="340"/>
    </w:pPr>
    <w:rPr>
      <w:color w:val="0D0D0D" w:themeColor="text1" w:themeTint="F2"/>
    </w:rPr>
  </w:style>
  <w:style w:type="paragraph" w:styleId="Spistreci2">
    <w:name w:val="toc 2"/>
    <w:basedOn w:val="Normalny"/>
    <w:next w:val="Normalny"/>
    <w:autoRedefine/>
    <w:uiPriority w:val="99"/>
    <w:semiHidden/>
    <w:rsid w:val="00A96ED6"/>
    <w:pPr>
      <w:spacing w:after="60"/>
      <w:ind w:left="680" w:right="340" w:hanging="340"/>
    </w:pPr>
  </w:style>
  <w:style w:type="paragraph" w:styleId="Spistreci3">
    <w:name w:val="toc 3"/>
    <w:basedOn w:val="Normalny"/>
    <w:next w:val="Normalny"/>
    <w:autoRedefine/>
    <w:uiPriority w:val="99"/>
    <w:semiHidden/>
    <w:rsid w:val="00A96ED6"/>
    <w:pPr>
      <w:spacing w:after="60"/>
      <w:ind w:left="1020" w:right="340" w:hanging="340"/>
    </w:pPr>
  </w:style>
  <w:style w:type="paragraph" w:styleId="Spistreci4">
    <w:name w:val="toc 4"/>
    <w:basedOn w:val="Normalny"/>
    <w:next w:val="Normalny"/>
    <w:autoRedefine/>
    <w:uiPriority w:val="99"/>
    <w:semiHidden/>
    <w:rsid w:val="00A96ED6"/>
    <w:pPr>
      <w:tabs>
        <w:tab w:val="right" w:leader="dot" w:pos="9017"/>
      </w:tabs>
      <w:spacing w:after="60"/>
      <w:ind w:left="1361" w:right="340" w:hanging="340"/>
    </w:pPr>
  </w:style>
  <w:style w:type="paragraph" w:styleId="Spistreci5">
    <w:name w:val="toc 5"/>
    <w:basedOn w:val="Normalny"/>
    <w:next w:val="Normalny"/>
    <w:autoRedefine/>
    <w:uiPriority w:val="99"/>
    <w:semiHidden/>
    <w:rsid w:val="00A96ED6"/>
    <w:pPr>
      <w:spacing w:after="60"/>
      <w:ind w:left="1701" w:right="340" w:hanging="340"/>
    </w:pPr>
  </w:style>
  <w:style w:type="paragraph" w:styleId="Nagwekspisutreci">
    <w:name w:val="TOC Heading"/>
    <w:basedOn w:val="Normalny"/>
    <w:next w:val="Normalny"/>
    <w:uiPriority w:val="99"/>
    <w:semiHidden/>
    <w:qFormat/>
    <w:rsid w:val="00623C1E"/>
    <w:pPr>
      <w:keepNext/>
      <w:keepLines/>
      <w:spacing w:before="240"/>
      <w:contextualSpacing/>
      <w:jc w:val="center"/>
    </w:pPr>
    <w:rPr>
      <w:rFonts w:asciiTheme="majorHAnsi" w:eastAsiaTheme="minorHAnsi" w:hAnsiTheme="majorHAnsi"/>
      <w:b/>
      <w:color w:val="474747" w:themeColor="accent3" w:themeShade="BF"/>
      <w:sz w:val="28"/>
    </w:rPr>
  </w:style>
  <w:style w:type="table" w:customStyle="1" w:styleId="UGTable">
    <w:name w:val="UG_Table"/>
    <w:basedOn w:val="Standardowy"/>
    <w:uiPriority w:val="99"/>
    <w:rsid w:val="00801300"/>
    <w:rPr>
      <w:rFonts w:eastAsiaTheme="minorEastAsia"/>
      <w:sz w:val="20"/>
      <w:lang w:val="en-GB" w:eastAsia="en-GB"/>
    </w:rPr>
    <w:tblPr>
      <w:tblInd w:w="-1191" w:type="dxa"/>
      <w:tblCellMar>
        <w:top w:w="57" w:type="dxa"/>
        <w:left w:w="0" w:type="dxa"/>
        <w:right w:w="0" w:type="dxa"/>
      </w:tblCellMar>
    </w:tblPr>
    <w:tblStylePr w:type="swCell">
      <w:tblPr/>
      <w:tcPr>
        <w:tcBorders>
          <w:top w:val="nil"/>
          <w:left w:val="nil"/>
          <w:bottom w:val="nil"/>
          <w:right w:val="nil"/>
          <w:insideH w:val="nil"/>
          <w:insideV w:val="nil"/>
          <w:tl2br w:val="nil"/>
          <w:tr2bl w:val="nil"/>
        </w:tcBorders>
        <w:shd w:val="clear" w:color="auto" w:fill="EAEAEA"/>
      </w:tcPr>
    </w:tblStylePr>
  </w:style>
  <w:style w:type="table" w:customStyle="1" w:styleId="UGTableWhiteBox">
    <w:name w:val="UG_Table_White_Box"/>
    <w:basedOn w:val="Standardowy"/>
    <w:uiPriority w:val="99"/>
    <w:rsid w:val="00801300"/>
    <w:rPr>
      <w:rFonts w:eastAsiaTheme="minorEastAsia"/>
      <w:lang w:val="en-GB" w:eastAsia="en-GB"/>
    </w:rPr>
    <w:tblPr>
      <w:tblBorders>
        <w:top w:val="single" w:sz="4" w:space="0" w:color="B9B9B9" w:themeColor="background2" w:themeShade="BF"/>
        <w:left w:val="single" w:sz="4" w:space="0" w:color="B9B9B9" w:themeColor="background2" w:themeShade="BF"/>
        <w:bottom w:val="single" w:sz="4" w:space="0" w:color="B9B9B9" w:themeColor="background2" w:themeShade="BF"/>
        <w:right w:val="single" w:sz="4" w:space="0" w:color="B9B9B9" w:themeColor="background2" w:themeShade="BF"/>
      </w:tblBorders>
      <w:tblCellMar>
        <w:top w:w="113" w:type="dxa"/>
        <w:left w:w="113" w:type="dxa"/>
        <w:bottom w:w="113" w:type="dxa"/>
        <w:right w:w="113" w:type="dxa"/>
      </w:tblCellMar>
    </w:tblPr>
    <w:tcPr>
      <w:shd w:val="clear" w:color="auto" w:fill="FFFFFF"/>
    </w:tcPr>
  </w:style>
  <w:style w:type="table" w:customStyle="1" w:styleId="PCFTableStyle">
    <w:name w:val="PCF_Table_Style"/>
    <w:basedOn w:val="Standardowy"/>
    <w:uiPriority w:val="99"/>
    <w:rsid w:val="00810B38"/>
    <w:rPr>
      <w:color w:val="000000" w:themeColor="text1"/>
      <w:sz w:val="18"/>
    </w:rPr>
    <w:tblPr>
      <w:tblBorders>
        <w:top w:val="single" w:sz="8" w:space="0" w:color="9F9F9F" w:themeColor="accent3" w:themeTint="99"/>
        <w:left w:val="single" w:sz="8" w:space="0" w:color="9F9F9F" w:themeColor="accent3" w:themeTint="99"/>
        <w:bottom w:val="single" w:sz="8" w:space="0" w:color="9F9F9F" w:themeColor="accent3" w:themeTint="99"/>
        <w:right w:val="single" w:sz="8" w:space="0" w:color="9F9F9F" w:themeColor="accent3" w:themeTint="99"/>
        <w:insideH w:val="single" w:sz="8" w:space="0" w:color="9F9F9F" w:themeColor="accent3" w:themeTint="99"/>
        <w:insideV w:val="single" w:sz="8" w:space="0" w:color="9F9F9F" w:themeColor="accent3" w:themeTint="99"/>
      </w:tblBorders>
    </w:tblPr>
    <w:tblStylePr w:type="firstRow">
      <w:pPr>
        <w:wordWrap/>
        <w:spacing w:beforeLines="0" w:before="120" w:beforeAutospacing="0" w:afterLines="0" w:after="120" w:afterAutospacing="0" w:line="240" w:lineRule="auto"/>
        <w:contextualSpacing/>
        <w:jc w:val="center"/>
      </w:pPr>
      <w:rPr>
        <w:b/>
        <w:i w:val="0"/>
        <w:color w:val="FFFFFF"/>
        <w:sz w:val="20"/>
      </w:rPr>
      <w:tblPr/>
      <w:tcPr>
        <w:tcBorders>
          <w:top w:val="nil"/>
          <w:left w:val="nil"/>
          <w:bottom w:val="nil"/>
          <w:right w:val="nil"/>
          <w:insideH w:val="nil"/>
          <w:insideV w:val="nil"/>
          <w:tl2br w:val="nil"/>
          <w:tr2bl w:val="nil"/>
        </w:tcBorders>
        <w:shd w:val="clear" w:color="auto" w:fill="0072BC" w:themeFill="accent1"/>
        <w:vAlign w:val="center"/>
      </w:tcPr>
    </w:tblStylePr>
    <w:tblStylePr w:type="firstCol">
      <w:pPr>
        <w:jc w:val="left"/>
      </w:pPr>
      <w:tblPr/>
      <w:tcPr>
        <w:vAlign w:val="center"/>
      </w:tcPr>
    </w:tblStylePr>
  </w:style>
  <w:style w:type="table" w:customStyle="1" w:styleId="ECHRTableFax">
    <w:name w:val="ECHR_Table_Fax"/>
    <w:basedOn w:val="Standardowy"/>
    <w:uiPriority w:val="99"/>
    <w:rsid w:val="00893576"/>
    <w:rPr>
      <w:color w:val="000000" w:themeColor="text1"/>
    </w:rPr>
    <w:tblPr>
      <w:tblInd w:w="-680" w:type="dxa"/>
      <w:tblBorders>
        <w:insideH w:val="single" w:sz="4" w:space="0" w:color="C6C6C6" w:themeColor="text2"/>
        <w:insideV w:val="single" w:sz="4" w:space="0" w:color="C6C6C6" w:themeColor="text2"/>
      </w:tblBorders>
      <w:tblCellMar>
        <w:top w:w="142" w:type="dxa"/>
        <w:bottom w:w="142" w:type="dxa"/>
      </w:tblCellMar>
    </w:tblPr>
    <w:trPr>
      <w:cantSplit/>
    </w:trPr>
  </w:style>
  <w:style w:type="table" w:customStyle="1" w:styleId="ECHRTableMemo">
    <w:name w:val="ECHR_Table_Memo"/>
    <w:basedOn w:val="Standardowy"/>
    <w:uiPriority w:val="99"/>
    <w:rsid w:val="00210338"/>
    <w:tblPr>
      <w:jc w:val="center"/>
      <w:tblCellMar>
        <w:top w:w="113" w:type="dxa"/>
        <w:left w:w="0" w:type="dxa"/>
        <w:bottom w:w="113" w:type="dxa"/>
        <w:right w:w="0" w:type="dxa"/>
      </w:tblCellMar>
    </w:tblPr>
    <w:trPr>
      <w:jc w:val="center"/>
    </w:trPr>
    <w:tblStylePr w:type="lastRow">
      <w:tblPr/>
      <w:tcPr>
        <w:tcBorders>
          <w:top w:val="nil"/>
          <w:left w:val="nil"/>
          <w:bottom w:val="single" w:sz="4" w:space="0" w:color="949494" w:themeColor="text2" w:themeShade="BF"/>
          <w:right w:val="nil"/>
          <w:insideH w:val="nil"/>
          <w:insideV w:val="nil"/>
          <w:tl2br w:val="nil"/>
          <w:tr2bl w:val="nil"/>
        </w:tcBorders>
      </w:tcPr>
    </w:tblStylePr>
  </w:style>
  <w:style w:type="table" w:customStyle="1" w:styleId="ECHRDNTable">
    <w:name w:val="ECHR_DN_Table"/>
    <w:aliases w:val="DN_Table"/>
    <w:basedOn w:val="Standardowy"/>
    <w:uiPriority w:val="99"/>
    <w:rsid w:val="0090506B"/>
    <w:tblPr>
      <w:jc w:val="center"/>
      <w:tblBorders>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57" w:type="dxa"/>
        <w:bottom w:w="57" w:type="dxa"/>
      </w:tblCellMar>
    </w:tblPr>
    <w:trPr>
      <w:jc w:val="center"/>
    </w:trPr>
    <w:tcPr>
      <w:vAlign w:val="center"/>
    </w:tcPr>
    <w:tblStylePr w:type="firstRow">
      <w:pPr>
        <w:wordWrap/>
        <w:spacing w:beforeLines="0"/>
        <w:ind w:leftChars="0" w:left="0"/>
      </w:pPr>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nil"/>
          <w:right w:val="single" w:sz="4" w:space="0" w:color="949494" w:themeColor="text2" w:themeShade="BF"/>
          <w:insideH w:val="nil"/>
          <w:insideV w:val="nil"/>
          <w:tl2br w:val="nil"/>
          <w:tr2bl w:val="nil"/>
        </w:tcBorders>
        <w:shd w:val="clear" w:color="auto" w:fill="DFDFDF" w:themeFill="background2" w:themeFillShade="E6"/>
      </w:tcPr>
    </w:tblStylePr>
  </w:style>
  <w:style w:type="paragraph" w:styleId="Nagwekwykazurde">
    <w:name w:val="toa heading"/>
    <w:basedOn w:val="Normalny"/>
    <w:next w:val="Normalny"/>
    <w:uiPriority w:val="99"/>
    <w:semiHidden/>
    <w:rsid w:val="00A96ED6"/>
    <w:pPr>
      <w:spacing w:before="120"/>
    </w:pPr>
    <w:rPr>
      <w:rFonts w:asciiTheme="majorHAnsi" w:eastAsiaTheme="majorEastAsia" w:hAnsiTheme="majorHAnsi" w:cstheme="majorBidi"/>
      <w:b/>
      <w:bCs/>
      <w:color w:val="474747" w:themeColor="accent3" w:themeShade="BF"/>
      <w:szCs w:val="24"/>
    </w:rPr>
  </w:style>
  <w:style w:type="paragraph" w:customStyle="1" w:styleId="ECHRParaQuote">
    <w:name w:val="ECHR_Para_Quote"/>
    <w:aliases w:val="Ju_Quot"/>
    <w:basedOn w:val="Normalny"/>
    <w:link w:val="JuQuotChar"/>
    <w:uiPriority w:val="99"/>
    <w:qFormat/>
    <w:rsid w:val="00623C1E"/>
    <w:pPr>
      <w:spacing w:before="120" w:after="120"/>
      <w:ind w:left="425" w:firstLine="142"/>
    </w:pPr>
    <w:rPr>
      <w:sz w:val="20"/>
    </w:rPr>
  </w:style>
  <w:style w:type="paragraph" w:customStyle="1" w:styleId="ECHRPara">
    <w:name w:val="ECHR_Para"/>
    <w:aliases w:val="Ju_Para,Left,First line:  0 cm"/>
    <w:basedOn w:val="Normalny"/>
    <w:link w:val="ECHRParaChar"/>
    <w:qFormat/>
    <w:rsid w:val="00623C1E"/>
    <w:pPr>
      <w:ind w:firstLine="284"/>
    </w:pPr>
  </w:style>
  <w:style w:type="table" w:customStyle="1" w:styleId="ECHRTableSimpleBox">
    <w:name w:val="ECHR_Table_Simple_Box"/>
    <w:basedOn w:val="Standardowy"/>
    <w:uiPriority w:val="99"/>
    <w:rsid w:val="00AE354C"/>
    <w:tblPr>
      <w:tblBorders>
        <w:top w:val="single" w:sz="4" w:space="0" w:color="9F9F9F" w:themeColor="accent3" w:themeTint="99"/>
        <w:left w:val="single" w:sz="4" w:space="0" w:color="9F9F9F" w:themeColor="accent3" w:themeTint="99"/>
        <w:bottom w:val="single" w:sz="4" w:space="0" w:color="9F9F9F" w:themeColor="accent3" w:themeTint="99"/>
        <w:right w:val="single" w:sz="4" w:space="0" w:color="9F9F9F" w:themeColor="accent3" w:themeTint="99"/>
      </w:tblBorders>
      <w:tblCellMar>
        <w:top w:w="113" w:type="dxa"/>
        <w:bottom w:w="113" w:type="dxa"/>
      </w:tblCellMar>
    </w:tblPr>
  </w:style>
  <w:style w:type="table" w:customStyle="1" w:styleId="ECHRTableNoLines">
    <w:name w:val="ECHR_Table_No_Lines"/>
    <w:basedOn w:val="Standardowy"/>
    <w:uiPriority w:val="99"/>
    <w:rsid w:val="00F218EF"/>
    <w:tblPr>
      <w:tblCellMar>
        <w:top w:w="85" w:type="dxa"/>
        <w:left w:w="142" w:type="dxa"/>
        <w:bottom w:w="28" w:type="dxa"/>
        <w:right w:w="142" w:type="dxa"/>
      </w:tblCellMar>
    </w:tblPr>
    <w:tblStylePr w:type="firstRow">
      <w:rPr>
        <w:rFonts w:asciiTheme="majorHAnsi" w:hAnsiTheme="majorHAnsi"/>
        <w:b/>
        <w:i w:val="0"/>
        <w:color w:val="474747" w:themeColor="accent3" w:themeShade="BF"/>
        <w:sz w:val="24"/>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nil"/>
          <w:tl2br w:val="nil"/>
          <w:tr2bl w:val="nil"/>
        </w:tcBorders>
        <w:shd w:val="clear" w:color="auto" w:fill="DFDFDF" w:themeFill="background2" w:themeFillShade="E6"/>
      </w:tcPr>
    </w:tblStylePr>
    <w:tblStylePr w:type="firstCol">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tcPr>
    </w:tblStylePr>
  </w:style>
  <w:style w:type="table" w:customStyle="1" w:styleId="ECHRTableForInternalUse">
    <w:name w:val="ECHR_Table_For_Internal_Use"/>
    <w:basedOn w:val="Standardowy"/>
    <w:uiPriority w:val="99"/>
    <w:rsid w:val="005474E7"/>
    <w:rPr>
      <w:color w:val="636363" w:themeColor="text2" w:themeShade="80"/>
      <w:sz w:val="18"/>
    </w:rPr>
    <w:tblPr>
      <w:tblStyleColBandSize w:val="1"/>
      <w:jc w:val="right"/>
      <w:tblCellMar>
        <w:top w:w="113" w:type="dxa"/>
        <w:bottom w:w="28" w:type="dxa"/>
      </w:tblCellMar>
    </w:tblPr>
    <w:trPr>
      <w:jc w:val="right"/>
    </w:trPr>
    <w:tblStylePr w:type="firstRow">
      <w:rPr>
        <w:b/>
      </w:rPr>
    </w:tblStylePr>
    <w:tblStylePr w:type="lastCol">
      <w:pPr>
        <w:jc w:val="right"/>
      </w:p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tblStylePr w:type="band1Vert">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l2br w:val="nil"/>
          <w:tr2bl w:val="nil"/>
        </w:tcBorders>
      </w:tcPr>
    </w:tblStylePr>
  </w:style>
  <w:style w:type="table" w:customStyle="1" w:styleId="ECHRListTable">
    <w:name w:val="ECHR_List_Table"/>
    <w:basedOn w:val="Standardowy"/>
    <w:uiPriority w:val="99"/>
    <w:rsid w:val="00A96ED6"/>
    <w:tblPr>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b/>
        <w:color w:val="474747" w:themeColor="accent3" w:themeShade="BF"/>
      </w:rPr>
      <w:tblPr/>
      <w:trPr>
        <w:tblHeader/>
      </w:tr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cBorders>
        <w:shd w:val="clear" w:color="auto" w:fill="DFDFDF" w:themeFill="background2" w:themeFillShade="E6"/>
      </w:tcPr>
    </w:tblStylePr>
  </w:style>
  <w:style w:type="table" w:customStyle="1" w:styleId="ECHRHeaderTable">
    <w:name w:val="ECHR_Header_Table"/>
    <w:basedOn w:val="Standardowy"/>
    <w:uiPriority w:val="99"/>
    <w:rsid w:val="00661971"/>
    <w:tblPr>
      <w:tblInd w:w="-680" w:type="dxa"/>
      <w:tblBorders>
        <w:bottom w:val="single" w:sz="6" w:space="0" w:color="949494" w:themeColor="text2" w:themeShade="BF"/>
      </w:tblBorders>
      <w:tblCellMar>
        <w:left w:w="0" w:type="dxa"/>
        <w:bottom w:w="28" w:type="dxa"/>
        <w:right w:w="0" w:type="dxa"/>
      </w:tblCellMar>
    </w:tblPr>
    <w:tcPr>
      <w:vAlign w:val="bottom"/>
    </w:tcPr>
    <w:tblStylePr w:type="lastCol">
      <w:pPr>
        <w:wordWrap/>
        <w:jc w:val="both"/>
      </w:pPr>
    </w:tblStylePr>
  </w:style>
  <w:style w:type="table" w:customStyle="1" w:styleId="ECHRTableOddBanded">
    <w:name w:val="ECHR_Table_Odd_Banded"/>
    <w:basedOn w:val="Standardowy"/>
    <w:uiPriority w:val="99"/>
    <w:rsid w:val="00860B03"/>
    <w:tblPr>
      <w:tblStyleRowBandSize w:val="1"/>
      <w:tblStyleColBandSize w:val="1"/>
      <w:tbl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single" w:sz="4" w:space="0" w:color="949494" w:themeColor="text2" w:themeShade="BF"/>
        <w:insideV w:val="single" w:sz="4" w:space="0" w:color="949494" w:themeColor="text2" w:themeShade="BF"/>
      </w:tblBorders>
      <w:tblCellMar>
        <w:top w:w="28" w:type="dxa"/>
        <w:bottom w:w="28" w:type="dxa"/>
      </w:tblCellMar>
    </w:tblPr>
    <w:tblStylePr w:type="firstRow">
      <w:rPr>
        <w:rFonts w:asciiTheme="majorHAnsi" w:hAnsiTheme="majorHAnsi"/>
        <w:b/>
        <w:i w:val="0"/>
        <w:color w:val="474747" w:themeColor="accent3" w:themeShade="BF"/>
        <w:sz w:val="22"/>
      </w:rPr>
      <w:tblPr/>
      <w:tcPr>
        <w:tcBorders>
          <w:top w:val="single" w:sz="4" w:space="0" w:color="949494" w:themeColor="text2" w:themeShade="BF"/>
          <w:left w:val="single" w:sz="4" w:space="0" w:color="949494" w:themeColor="text2" w:themeShade="BF"/>
          <w:bottom w:val="single" w:sz="4" w:space="0" w:color="949494" w:themeColor="text2" w:themeShade="BF"/>
          <w:right w:val="single" w:sz="4" w:space="0" w:color="949494" w:themeColor="text2" w:themeShade="BF"/>
          <w:insideH w:val="nil"/>
          <w:insideV w:val="single" w:sz="4" w:space="0" w:color="949494" w:themeColor="text2" w:themeShade="BF"/>
          <w:tl2br w:val="nil"/>
          <w:tr2bl w:val="nil"/>
        </w:tcBorders>
        <w:shd w:val="clear" w:color="auto" w:fill="DFDFDF" w:themeFill="background2" w:themeFillShade="E6"/>
      </w:tcPr>
    </w:tblStylePr>
    <w:tblStylePr w:type="band1Vert">
      <w:tblPr/>
      <w:tcPr>
        <w:tcBorders>
          <w:top w:val="nil"/>
          <w:left w:val="nil"/>
          <w:bottom w:val="nil"/>
          <w:right w:val="nil"/>
          <w:insideH w:val="nil"/>
          <w:insideV w:val="nil"/>
          <w:tl2br w:val="nil"/>
          <w:tr2bl w:val="nil"/>
        </w:tcBorders>
        <w:shd w:val="clear" w:color="auto" w:fill="DFDFDF" w:themeFill="background2" w:themeFillShade="E6"/>
      </w:tcPr>
    </w:tblStylePr>
    <w:tblStylePr w:type="band1Horz">
      <w:rPr>
        <w:b/>
      </w:rPr>
      <w:tblPr/>
      <w:tcPr>
        <w:shd w:val="clear" w:color="auto" w:fill="DFDFDF" w:themeFill="background2" w:themeFillShade="E6"/>
      </w:tcPr>
    </w:tblStylePr>
  </w:style>
  <w:style w:type="paragraph" w:customStyle="1" w:styleId="ECHRDecisionBody">
    <w:name w:val="ECHR_Decision_Body"/>
    <w:aliases w:val="Ju_Judges"/>
    <w:basedOn w:val="Normalny"/>
    <w:uiPriority w:val="11"/>
    <w:qFormat/>
    <w:rsid w:val="00623C1E"/>
    <w:pPr>
      <w:tabs>
        <w:tab w:val="left" w:pos="567"/>
        <w:tab w:val="left" w:pos="1134"/>
      </w:tabs>
      <w:jc w:val="left"/>
    </w:pPr>
  </w:style>
  <w:style w:type="table" w:customStyle="1" w:styleId="ECHRHeaderTableReduced">
    <w:name w:val="ECHR_Header_Table_Reduced"/>
    <w:basedOn w:val="Standardowy"/>
    <w:uiPriority w:val="99"/>
    <w:rsid w:val="00B52BE0"/>
    <w:tblPr>
      <w:tblInd w:w="-680" w:type="dxa"/>
      <w:tblCellMar>
        <w:left w:w="0" w:type="dxa"/>
        <w:right w:w="0" w:type="dxa"/>
      </w:tblCellMar>
    </w:tblPr>
    <w:tcPr>
      <w:vAlign w:val="bottom"/>
    </w:tcPr>
    <w:tblStylePr w:type="firstRow">
      <w:tblPr/>
      <w:tcPr>
        <w:tcBorders>
          <w:top w:val="nil"/>
          <w:left w:val="nil"/>
          <w:bottom w:val="single" w:sz="6" w:space="0" w:color="949494" w:themeColor="text2" w:themeShade="BF"/>
          <w:right w:val="nil"/>
          <w:insideH w:val="nil"/>
          <w:insideV w:val="nil"/>
          <w:tl2br w:val="nil"/>
          <w:tr2bl w:val="nil"/>
        </w:tcBorders>
      </w:tcPr>
    </w:tblStylePr>
    <w:tblStylePr w:type="lastRow">
      <w:pPr>
        <w:jc w:val="right"/>
      </w:pPr>
      <w:tblPr/>
      <w:tcPr>
        <w:tcBorders>
          <w:top w:val="single" w:sz="6" w:space="0" w:color="949494" w:themeColor="text2" w:themeShade="BF"/>
          <w:left w:val="nil"/>
          <w:bottom w:val="nil"/>
          <w:right w:val="nil"/>
          <w:insideH w:val="nil"/>
          <w:insideV w:val="nil"/>
          <w:tl2br w:val="nil"/>
          <w:tr2bl w:val="nil"/>
        </w:tcBorders>
      </w:tcPr>
    </w:tblStylePr>
  </w:style>
  <w:style w:type="paragraph" w:customStyle="1" w:styleId="JuList">
    <w:name w:val="Ju_List"/>
    <w:basedOn w:val="Normalny"/>
    <w:uiPriority w:val="28"/>
    <w:qFormat/>
    <w:rsid w:val="00623C1E"/>
    <w:pPr>
      <w:ind w:left="340" w:hanging="340"/>
    </w:pPr>
  </w:style>
  <w:style w:type="paragraph" w:customStyle="1" w:styleId="JuSigned">
    <w:name w:val="Ju_Signed"/>
    <w:basedOn w:val="Normalny"/>
    <w:next w:val="JuParaLast"/>
    <w:uiPriority w:val="32"/>
    <w:qFormat/>
    <w:rsid w:val="00623C1E"/>
    <w:pPr>
      <w:tabs>
        <w:tab w:val="center" w:pos="851"/>
        <w:tab w:val="center" w:pos="6407"/>
      </w:tabs>
      <w:spacing w:before="720"/>
      <w:jc w:val="left"/>
    </w:pPr>
  </w:style>
  <w:style w:type="paragraph" w:customStyle="1" w:styleId="JuParaLast">
    <w:name w:val="Ju_Para_Last"/>
    <w:basedOn w:val="Normalny"/>
    <w:next w:val="ECHRPara"/>
    <w:uiPriority w:val="30"/>
    <w:qFormat/>
    <w:rsid w:val="00623C1E"/>
    <w:pPr>
      <w:keepNext/>
      <w:keepLines/>
      <w:spacing w:before="240"/>
      <w:ind w:firstLine="284"/>
    </w:pPr>
  </w:style>
  <w:style w:type="paragraph" w:customStyle="1" w:styleId="OpiTranslation">
    <w:name w:val="Opi_Translation"/>
    <w:basedOn w:val="Normalny"/>
    <w:next w:val="OpiPara"/>
    <w:uiPriority w:val="40"/>
    <w:qFormat/>
    <w:rsid w:val="00623C1E"/>
    <w:pPr>
      <w:jc w:val="center"/>
      <w:outlineLvl w:val="0"/>
    </w:pPr>
    <w:rPr>
      <w:i/>
    </w:rPr>
  </w:style>
  <w:style w:type="character" w:styleId="Numerstrony">
    <w:name w:val="page number"/>
    <w:uiPriority w:val="99"/>
    <w:semiHidden/>
    <w:rsid w:val="00014566"/>
    <w:rPr>
      <w:sz w:val="18"/>
    </w:rPr>
  </w:style>
  <w:style w:type="paragraph" w:customStyle="1" w:styleId="JuLista">
    <w:name w:val="Ju_List_a"/>
    <w:basedOn w:val="JuList"/>
    <w:uiPriority w:val="28"/>
    <w:qFormat/>
    <w:rsid w:val="00623C1E"/>
    <w:pPr>
      <w:ind w:left="346" w:firstLine="0"/>
    </w:pPr>
  </w:style>
  <w:style w:type="paragraph" w:customStyle="1" w:styleId="DecHTitle">
    <w:name w:val="Dec_H_Title"/>
    <w:basedOn w:val="ECHRTitleCentre1"/>
    <w:uiPriority w:val="7"/>
    <w:semiHidden/>
    <w:qFormat/>
    <w:rsid w:val="00623C1E"/>
  </w:style>
  <w:style w:type="character" w:styleId="Odwoaniedokomentarza">
    <w:name w:val="annotation reference"/>
    <w:uiPriority w:val="99"/>
    <w:semiHidden/>
    <w:rsid w:val="00014566"/>
    <w:rPr>
      <w:sz w:val="16"/>
    </w:rPr>
  </w:style>
  <w:style w:type="paragraph" w:styleId="Tekstkomentarza">
    <w:name w:val="annotation text"/>
    <w:basedOn w:val="Normalny"/>
    <w:link w:val="TekstkomentarzaZnak"/>
    <w:semiHidden/>
    <w:rsid w:val="00014566"/>
    <w:rPr>
      <w:sz w:val="20"/>
    </w:rPr>
  </w:style>
  <w:style w:type="character" w:customStyle="1" w:styleId="TekstkomentarzaZnak">
    <w:name w:val="Tekst komentarza Znak"/>
    <w:basedOn w:val="Domylnaczcionkaakapitu"/>
    <w:link w:val="Tekstkomentarza"/>
    <w:semiHidden/>
    <w:rsid w:val="00014566"/>
    <w:rPr>
      <w:rFonts w:eastAsiaTheme="minorEastAsia"/>
      <w:sz w:val="20"/>
    </w:rPr>
  </w:style>
  <w:style w:type="paragraph" w:styleId="Tematkomentarza">
    <w:name w:val="annotation subject"/>
    <w:basedOn w:val="Tekstkomentarza"/>
    <w:next w:val="Tekstkomentarza"/>
    <w:link w:val="TematkomentarzaZnak"/>
    <w:uiPriority w:val="99"/>
    <w:semiHidden/>
    <w:rsid w:val="00014566"/>
    <w:rPr>
      <w:b/>
      <w:bCs/>
    </w:rPr>
  </w:style>
  <w:style w:type="character" w:customStyle="1" w:styleId="TematkomentarzaZnak">
    <w:name w:val="Temat komentarza Znak"/>
    <w:basedOn w:val="TekstkomentarzaZnak"/>
    <w:link w:val="Tematkomentarza"/>
    <w:uiPriority w:val="99"/>
    <w:semiHidden/>
    <w:rsid w:val="00014566"/>
    <w:rPr>
      <w:rFonts w:eastAsiaTheme="minorEastAsia"/>
      <w:b/>
      <w:bCs/>
      <w:sz w:val="20"/>
    </w:rPr>
  </w:style>
  <w:style w:type="character" w:styleId="Odwoanieprzypisukocowego">
    <w:name w:val="endnote reference"/>
    <w:uiPriority w:val="99"/>
    <w:semiHidden/>
    <w:rsid w:val="00014566"/>
    <w:rPr>
      <w:vertAlign w:val="superscript"/>
    </w:rPr>
  </w:style>
  <w:style w:type="paragraph" w:styleId="Tekstprzypisukocowego">
    <w:name w:val="endnote text"/>
    <w:basedOn w:val="Normalny"/>
    <w:link w:val="TekstprzypisukocowegoZnak"/>
    <w:uiPriority w:val="99"/>
    <w:semiHidden/>
    <w:rsid w:val="00014566"/>
    <w:rPr>
      <w:sz w:val="20"/>
    </w:rPr>
  </w:style>
  <w:style w:type="character" w:customStyle="1" w:styleId="TekstprzypisukocowegoZnak">
    <w:name w:val="Tekst przypisu końcowego Znak"/>
    <w:basedOn w:val="Domylnaczcionkaakapitu"/>
    <w:link w:val="Tekstprzypisukocowego"/>
    <w:uiPriority w:val="99"/>
    <w:semiHidden/>
    <w:rsid w:val="00014566"/>
    <w:rPr>
      <w:rFonts w:eastAsiaTheme="minorEastAsia"/>
      <w:sz w:val="20"/>
    </w:rPr>
  </w:style>
  <w:style w:type="character" w:styleId="UyteHipercze">
    <w:name w:val="FollowedHyperlink"/>
    <w:uiPriority w:val="99"/>
    <w:semiHidden/>
    <w:rsid w:val="00014566"/>
    <w:rPr>
      <w:color w:val="800080"/>
      <w:u w:val="single"/>
    </w:rPr>
  </w:style>
  <w:style w:type="paragraph" w:styleId="Mapadokumentu">
    <w:name w:val="Document Map"/>
    <w:basedOn w:val="Normalny"/>
    <w:link w:val="MapadokumentuZnak"/>
    <w:uiPriority w:val="99"/>
    <w:semiHidden/>
    <w:rsid w:val="00014566"/>
    <w:pPr>
      <w:shd w:val="clear" w:color="auto" w:fill="000080"/>
    </w:pPr>
    <w:rPr>
      <w:rFonts w:ascii="Tahoma" w:hAnsi="Tahoma" w:cs="Tahoma"/>
      <w:sz w:val="20"/>
    </w:rPr>
  </w:style>
  <w:style w:type="character" w:customStyle="1" w:styleId="MapadokumentuZnak">
    <w:name w:val="Mapa dokumentu Znak"/>
    <w:basedOn w:val="Domylnaczcionkaakapitu"/>
    <w:link w:val="Mapadokumentu"/>
    <w:uiPriority w:val="99"/>
    <w:semiHidden/>
    <w:rsid w:val="00014566"/>
    <w:rPr>
      <w:rFonts w:ascii="Tahoma" w:eastAsiaTheme="minorEastAsia" w:hAnsi="Tahoma" w:cs="Tahoma"/>
      <w:sz w:val="20"/>
      <w:shd w:val="clear" w:color="auto" w:fill="000080"/>
    </w:rPr>
  </w:style>
  <w:style w:type="paragraph" w:customStyle="1" w:styleId="JuCourt">
    <w:name w:val="Ju_Court"/>
    <w:basedOn w:val="Normalny"/>
    <w:next w:val="Normalny"/>
    <w:uiPriority w:val="16"/>
    <w:qFormat/>
    <w:rsid w:val="00623C1E"/>
    <w:pPr>
      <w:tabs>
        <w:tab w:val="left" w:pos="907"/>
        <w:tab w:val="left" w:pos="1701"/>
        <w:tab w:val="right" w:pos="7371"/>
      </w:tabs>
      <w:spacing w:before="240"/>
      <w:ind w:left="397" w:hanging="397"/>
      <w:jc w:val="left"/>
    </w:pPr>
    <w:rPr>
      <w:lang w:bidi="en-US"/>
    </w:rPr>
  </w:style>
  <w:style w:type="paragraph" w:styleId="Listapunktowana">
    <w:name w:val="List Bullet"/>
    <w:basedOn w:val="Normalny"/>
    <w:uiPriority w:val="99"/>
    <w:semiHidden/>
    <w:rsid w:val="00014566"/>
    <w:pPr>
      <w:numPr>
        <w:numId w:val="1"/>
      </w:numPr>
    </w:pPr>
  </w:style>
  <w:style w:type="character" w:customStyle="1" w:styleId="JuITMark">
    <w:name w:val="Ju_ITMark"/>
    <w:basedOn w:val="Domylnaczcionkaakapitu"/>
    <w:uiPriority w:val="38"/>
    <w:qFormat/>
    <w:rsid w:val="00623C1E"/>
    <w:rPr>
      <w:vanish w:val="0"/>
      <w:color w:val="auto"/>
      <w:sz w:val="14"/>
      <w:bdr w:val="none" w:sz="0" w:space="0" w:color="auto"/>
      <w:shd w:val="clear" w:color="auto" w:fill="BEE5FF" w:themeFill="background1" w:themeFillTint="33"/>
    </w:rPr>
  </w:style>
  <w:style w:type="paragraph" w:styleId="Podtytu">
    <w:name w:val="Subtitle"/>
    <w:basedOn w:val="Normalny"/>
    <w:next w:val="Normalny"/>
    <w:link w:val="PodtytuZnak"/>
    <w:uiPriority w:val="99"/>
    <w:semiHidden/>
    <w:qFormat/>
    <w:rsid w:val="00623C1E"/>
    <w:pPr>
      <w:spacing w:after="600"/>
    </w:pPr>
    <w:rPr>
      <w:rFonts w:asciiTheme="majorHAnsi" w:eastAsiaTheme="majorEastAsia" w:hAnsiTheme="majorHAnsi" w:cstheme="majorBidi"/>
      <w:i/>
      <w:iCs/>
      <w:spacing w:val="13"/>
      <w:szCs w:val="24"/>
      <w:lang w:bidi="en-US"/>
    </w:rPr>
  </w:style>
  <w:style w:type="character" w:customStyle="1" w:styleId="PodtytuZnak">
    <w:name w:val="Podtytuł Znak"/>
    <w:basedOn w:val="Domylnaczcionkaakapitu"/>
    <w:link w:val="Podtytu"/>
    <w:uiPriority w:val="99"/>
    <w:semiHidden/>
    <w:rsid w:val="00623C1E"/>
    <w:rPr>
      <w:rFonts w:asciiTheme="majorHAnsi" w:eastAsiaTheme="majorEastAsia" w:hAnsiTheme="majorHAnsi" w:cstheme="majorBidi"/>
      <w:i/>
      <w:iCs/>
      <w:spacing w:val="13"/>
      <w:sz w:val="24"/>
      <w:szCs w:val="24"/>
      <w:lang w:bidi="en-US"/>
    </w:rPr>
  </w:style>
  <w:style w:type="numbering" w:styleId="111111">
    <w:name w:val="Outline List 2"/>
    <w:basedOn w:val="Bezlisty"/>
    <w:uiPriority w:val="99"/>
    <w:semiHidden/>
    <w:rsid w:val="00014566"/>
    <w:pPr>
      <w:numPr>
        <w:numId w:val="2"/>
      </w:numPr>
    </w:pPr>
  </w:style>
  <w:style w:type="numbering" w:styleId="1ai">
    <w:name w:val="Outline List 1"/>
    <w:basedOn w:val="Bezlisty"/>
    <w:uiPriority w:val="99"/>
    <w:semiHidden/>
    <w:rsid w:val="00014566"/>
    <w:pPr>
      <w:numPr>
        <w:numId w:val="3"/>
      </w:numPr>
    </w:pPr>
  </w:style>
  <w:style w:type="numbering" w:styleId="Artykusekcja">
    <w:name w:val="Outline List 3"/>
    <w:basedOn w:val="Bezlisty"/>
    <w:uiPriority w:val="99"/>
    <w:semiHidden/>
    <w:rsid w:val="00014566"/>
    <w:pPr>
      <w:numPr>
        <w:numId w:val="4"/>
      </w:numPr>
    </w:pPr>
  </w:style>
  <w:style w:type="paragraph" w:styleId="Bibliografia">
    <w:name w:val="Bibliography"/>
    <w:basedOn w:val="Normalny"/>
    <w:next w:val="Normalny"/>
    <w:uiPriority w:val="99"/>
    <w:semiHidden/>
    <w:unhideWhenUsed/>
    <w:rsid w:val="00014566"/>
  </w:style>
  <w:style w:type="paragraph" w:styleId="Tekstblokowy">
    <w:name w:val="Block Text"/>
    <w:basedOn w:val="Normalny"/>
    <w:uiPriority w:val="99"/>
    <w:semiHidden/>
    <w:rsid w:val="00014566"/>
    <w:pPr>
      <w:pBdr>
        <w:top w:val="single" w:sz="2" w:space="10" w:color="0072BC" w:themeColor="accent1" w:shadow="1" w:frame="1"/>
        <w:left w:val="single" w:sz="2" w:space="10" w:color="0072BC" w:themeColor="accent1" w:shadow="1" w:frame="1"/>
        <w:bottom w:val="single" w:sz="2" w:space="10" w:color="0072BC" w:themeColor="accent1" w:shadow="1" w:frame="1"/>
        <w:right w:val="single" w:sz="2" w:space="10" w:color="0072BC" w:themeColor="accent1" w:shadow="1" w:frame="1"/>
      </w:pBdr>
      <w:ind w:left="1152" w:right="1152"/>
    </w:pPr>
    <w:rPr>
      <w:i/>
      <w:iCs/>
      <w:color w:val="0072BC" w:themeColor="accent1"/>
    </w:rPr>
  </w:style>
  <w:style w:type="paragraph" w:styleId="Tekstpodstawowy">
    <w:name w:val="Body Text"/>
    <w:basedOn w:val="Normalny"/>
    <w:link w:val="TekstpodstawowyZnak"/>
    <w:uiPriority w:val="99"/>
    <w:semiHidden/>
    <w:rsid w:val="00014566"/>
    <w:pPr>
      <w:spacing w:after="120"/>
    </w:pPr>
  </w:style>
  <w:style w:type="character" w:customStyle="1" w:styleId="TekstpodstawowyZnak">
    <w:name w:val="Tekst podstawowy Znak"/>
    <w:basedOn w:val="Domylnaczcionkaakapitu"/>
    <w:link w:val="Tekstpodstawowy"/>
    <w:uiPriority w:val="99"/>
    <w:semiHidden/>
    <w:rsid w:val="00014566"/>
    <w:rPr>
      <w:rFonts w:eastAsiaTheme="minorEastAsia"/>
      <w:sz w:val="24"/>
    </w:rPr>
  </w:style>
  <w:style w:type="paragraph" w:styleId="Tekstpodstawowy2">
    <w:name w:val="Body Text 2"/>
    <w:basedOn w:val="Normalny"/>
    <w:link w:val="Tekstpodstawowy2Znak"/>
    <w:uiPriority w:val="99"/>
    <w:semiHidden/>
    <w:rsid w:val="00014566"/>
    <w:pPr>
      <w:spacing w:after="120" w:line="480" w:lineRule="auto"/>
    </w:pPr>
  </w:style>
  <w:style w:type="character" w:customStyle="1" w:styleId="Tekstpodstawowy2Znak">
    <w:name w:val="Tekst podstawowy 2 Znak"/>
    <w:basedOn w:val="Domylnaczcionkaakapitu"/>
    <w:link w:val="Tekstpodstawowy2"/>
    <w:uiPriority w:val="99"/>
    <w:semiHidden/>
    <w:rsid w:val="00014566"/>
    <w:rPr>
      <w:rFonts w:eastAsiaTheme="minorEastAsia"/>
      <w:sz w:val="24"/>
    </w:rPr>
  </w:style>
  <w:style w:type="paragraph" w:styleId="Tekstpodstawowy3">
    <w:name w:val="Body Text 3"/>
    <w:basedOn w:val="Normalny"/>
    <w:link w:val="Tekstpodstawowy3Znak"/>
    <w:uiPriority w:val="99"/>
    <w:semiHidden/>
    <w:rsid w:val="00014566"/>
    <w:pPr>
      <w:spacing w:after="120"/>
    </w:pPr>
    <w:rPr>
      <w:sz w:val="16"/>
      <w:szCs w:val="16"/>
    </w:rPr>
  </w:style>
  <w:style w:type="character" w:customStyle="1" w:styleId="Tekstpodstawowy3Znak">
    <w:name w:val="Tekst podstawowy 3 Znak"/>
    <w:basedOn w:val="Domylnaczcionkaakapitu"/>
    <w:link w:val="Tekstpodstawowy3"/>
    <w:uiPriority w:val="99"/>
    <w:semiHidden/>
    <w:rsid w:val="00014566"/>
    <w:rPr>
      <w:rFonts w:eastAsiaTheme="minorEastAsia"/>
      <w:sz w:val="16"/>
      <w:szCs w:val="16"/>
    </w:rPr>
  </w:style>
  <w:style w:type="paragraph" w:styleId="Tekstpodstawowyzwciciem">
    <w:name w:val="Body Text First Indent"/>
    <w:basedOn w:val="Tekstpodstawowy"/>
    <w:link w:val="TekstpodstawowyzwciciemZnak"/>
    <w:uiPriority w:val="99"/>
    <w:semiHidden/>
    <w:rsid w:val="00014566"/>
    <w:pPr>
      <w:spacing w:after="0"/>
      <w:ind w:firstLine="360"/>
    </w:pPr>
  </w:style>
  <w:style w:type="character" w:customStyle="1" w:styleId="TekstpodstawowyzwciciemZnak">
    <w:name w:val="Tekst podstawowy z wcięciem Znak"/>
    <w:basedOn w:val="TekstpodstawowyZnak"/>
    <w:link w:val="Tekstpodstawowyzwciciem"/>
    <w:uiPriority w:val="99"/>
    <w:semiHidden/>
    <w:rsid w:val="00014566"/>
    <w:rPr>
      <w:rFonts w:eastAsiaTheme="minorEastAsia"/>
      <w:sz w:val="24"/>
    </w:rPr>
  </w:style>
  <w:style w:type="paragraph" w:styleId="Tekstpodstawowywcity">
    <w:name w:val="Body Text Indent"/>
    <w:basedOn w:val="Normalny"/>
    <w:link w:val="TekstpodstawowywcityZnak"/>
    <w:uiPriority w:val="99"/>
    <w:semiHidden/>
    <w:rsid w:val="00014566"/>
    <w:pPr>
      <w:spacing w:after="120"/>
      <w:ind w:left="283"/>
    </w:pPr>
  </w:style>
  <w:style w:type="character" w:customStyle="1" w:styleId="TekstpodstawowywcityZnak">
    <w:name w:val="Tekst podstawowy wcięty Znak"/>
    <w:basedOn w:val="Domylnaczcionkaakapitu"/>
    <w:link w:val="Tekstpodstawowywcity"/>
    <w:uiPriority w:val="99"/>
    <w:semiHidden/>
    <w:rsid w:val="00014566"/>
    <w:rPr>
      <w:rFonts w:eastAsiaTheme="minorEastAsia"/>
      <w:sz w:val="24"/>
    </w:rPr>
  </w:style>
  <w:style w:type="paragraph" w:styleId="Tekstpodstawowyzwciciem2">
    <w:name w:val="Body Text First Indent 2"/>
    <w:basedOn w:val="Tekstpodstawowywcity"/>
    <w:link w:val="Tekstpodstawowyzwciciem2Znak"/>
    <w:uiPriority w:val="99"/>
    <w:semiHidden/>
    <w:rsid w:val="00014566"/>
    <w:pPr>
      <w:spacing w:after="0"/>
      <w:ind w:left="360" w:firstLine="360"/>
    </w:pPr>
  </w:style>
  <w:style w:type="character" w:customStyle="1" w:styleId="Tekstpodstawowyzwciciem2Znak">
    <w:name w:val="Tekst podstawowy z wcięciem 2 Znak"/>
    <w:basedOn w:val="TekstpodstawowywcityZnak"/>
    <w:link w:val="Tekstpodstawowyzwciciem2"/>
    <w:uiPriority w:val="99"/>
    <w:semiHidden/>
    <w:rsid w:val="00014566"/>
    <w:rPr>
      <w:rFonts w:eastAsiaTheme="minorEastAsia"/>
      <w:sz w:val="24"/>
    </w:rPr>
  </w:style>
  <w:style w:type="paragraph" w:styleId="Tekstpodstawowywcity2">
    <w:name w:val="Body Text Indent 2"/>
    <w:basedOn w:val="Normalny"/>
    <w:link w:val="Tekstpodstawowywcity2Znak"/>
    <w:uiPriority w:val="99"/>
    <w:semiHidden/>
    <w:rsid w:val="00014566"/>
    <w:pPr>
      <w:spacing w:after="120" w:line="480" w:lineRule="auto"/>
      <w:ind w:left="283"/>
    </w:pPr>
  </w:style>
  <w:style w:type="character" w:customStyle="1" w:styleId="Tekstpodstawowywcity2Znak">
    <w:name w:val="Tekst podstawowy wcięty 2 Znak"/>
    <w:basedOn w:val="Domylnaczcionkaakapitu"/>
    <w:link w:val="Tekstpodstawowywcity2"/>
    <w:uiPriority w:val="99"/>
    <w:semiHidden/>
    <w:rsid w:val="00014566"/>
    <w:rPr>
      <w:rFonts w:eastAsiaTheme="minorEastAsia"/>
      <w:sz w:val="24"/>
    </w:rPr>
  </w:style>
  <w:style w:type="paragraph" w:styleId="Tekstpodstawowywcity3">
    <w:name w:val="Body Text Indent 3"/>
    <w:basedOn w:val="Normalny"/>
    <w:link w:val="Tekstpodstawowywcity3Znak"/>
    <w:uiPriority w:val="99"/>
    <w:semiHidden/>
    <w:rsid w:val="00014566"/>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014566"/>
    <w:rPr>
      <w:rFonts w:eastAsiaTheme="minorEastAsia"/>
      <w:sz w:val="16"/>
      <w:szCs w:val="16"/>
    </w:rPr>
  </w:style>
  <w:style w:type="paragraph" w:styleId="Legenda">
    <w:name w:val="caption"/>
    <w:basedOn w:val="Normalny"/>
    <w:next w:val="Normalny"/>
    <w:uiPriority w:val="99"/>
    <w:semiHidden/>
    <w:qFormat/>
    <w:rsid w:val="00014566"/>
    <w:pPr>
      <w:spacing w:after="200"/>
    </w:pPr>
    <w:rPr>
      <w:b/>
      <w:bCs/>
      <w:color w:val="0072BC" w:themeColor="accent1"/>
      <w:sz w:val="18"/>
      <w:szCs w:val="18"/>
    </w:rPr>
  </w:style>
  <w:style w:type="paragraph" w:styleId="Zwrotpoegnalny">
    <w:name w:val="Closing"/>
    <w:basedOn w:val="Normalny"/>
    <w:link w:val="ZwrotpoegnalnyZnak"/>
    <w:uiPriority w:val="99"/>
    <w:semiHidden/>
    <w:rsid w:val="00014566"/>
    <w:pPr>
      <w:ind w:left="4252"/>
    </w:pPr>
  </w:style>
  <w:style w:type="character" w:customStyle="1" w:styleId="ZwrotpoegnalnyZnak">
    <w:name w:val="Zwrot pożegnalny Znak"/>
    <w:basedOn w:val="Domylnaczcionkaakapitu"/>
    <w:link w:val="Zwrotpoegnalny"/>
    <w:uiPriority w:val="99"/>
    <w:semiHidden/>
    <w:rsid w:val="00014566"/>
    <w:rPr>
      <w:rFonts w:eastAsiaTheme="minorEastAsia"/>
      <w:sz w:val="24"/>
    </w:rPr>
  </w:style>
  <w:style w:type="table" w:styleId="Kolorowasiatka">
    <w:name w:val="Colorful Grid"/>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0072BC" w:themeColor="background1"/>
      </w:rPr>
      <w:tblPr/>
      <w:tcPr>
        <w:shd w:val="clear" w:color="auto" w:fill="000000" w:themeFill="text1" w:themeFillShade="BF"/>
      </w:tcPr>
    </w:tblStylePr>
    <w:tblStylePr w:type="lastCol">
      <w:rPr>
        <w:color w:val="0072BC"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Kolorowasiatkaakcent1">
    <w:name w:val="Colorful Grid Accent 1"/>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BEE5FF" w:themeFill="accent1" w:themeFillTint="33"/>
    </w:tcPr>
    <w:tblStylePr w:type="firstRow">
      <w:rPr>
        <w:b/>
        <w:bCs/>
      </w:rPr>
      <w:tblPr/>
      <w:tcPr>
        <w:shd w:val="clear" w:color="auto" w:fill="7ECBFF" w:themeFill="accent1" w:themeFillTint="66"/>
      </w:tcPr>
    </w:tblStylePr>
    <w:tblStylePr w:type="lastRow">
      <w:rPr>
        <w:b/>
        <w:bCs/>
        <w:color w:val="000000" w:themeColor="text1"/>
      </w:rPr>
      <w:tblPr/>
      <w:tcPr>
        <w:shd w:val="clear" w:color="auto" w:fill="7ECBFF" w:themeFill="accent1" w:themeFillTint="66"/>
      </w:tcPr>
    </w:tblStylePr>
    <w:tblStylePr w:type="firstCol">
      <w:rPr>
        <w:color w:val="0072BC" w:themeColor="background1"/>
      </w:rPr>
      <w:tblPr/>
      <w:tcPr>
        <w:shd w:val="clear" w:color="auto" w:fill="00548C" w:themeFill="accent1" w:themeFillShade="BF"/>
      </w:tcPr>
    </w:tblStylePr>
    <w:tblStylePr w:type="lastCol">
      <w:rPr>
        <w:color w:val="0072BC" w:themeColor="background1"/>
      </w:rPr>
      <w:tblPr/>
      <w:tcPr>
        <w:shd w:val="clear" w:color="auto" w:fill="00548C" w:themeFill="accent1" w:themeFillShade="BF"/>
      </w:tc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Kolorowasiatkaakcent2">
    <w:name w:val="Colorful Grid Accent 2"/>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FFBFBF" w:themeFill="accent2" w:themeFillTint="33"/>
    </w:tcPr>
    <w:tblStylePr w:type="firstRow">
      <w:rPr>
        <w:b/>
        <w:bCs/>
      </w:rPr>
      <w:tblPr/>
      <w:tcPr>
        <w:shd w:val="clear" w:color="auto" w:fill="FF7F7F" w:themeFill="accent2" w:themeFillTint="66"/>
      </w:tcPr>
    </w:tblStylePr>
    <w:tblStylePr w:type="lastRow">
      <w:rPr>
        <w:b/>
        <w:bCs/>
        <w:color w:val="000000" w:themeColor="text1"/>
      </w:rPr>
      <w:tblPr/>
      <w:tcPr>
        <w:shd w:val="clear" w:color="auto" w:fill="FF7F7F" w:themeFill="accent2" w:themeFillTint="66"/>
      </w:tcPr>
    </w:tblStylePr>
    <w:tblStylePr w:type="firstCol">
      <w:rPr>
        <w:color w:val="0072BC" w:themeColor="background1"/>
      </w:rPr>
      <w:tblPr/>
      <w:tcPr>
        <w:shd w:val="clear" w:color="auto" w:fill="8F0000" w:themeFill="accent2" w:themeFillShade="BF"/>
      </w:tcPr>
    </w:tblStylePr>
    <w:tblStylePr w:type="lastCol">
      <w:rPr>
        <w:color w:val="0072BC" w:themeColor="background1"/>
      </w:rPr>
      <w:tblPr/>
      <w:tcPr>
        <w:shd w:val="clear" w:color="auto" w:fill="8F0000" w:themeFill="accent2" w:themeFillShade="BF"/>
      </w:tc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Kolorowasiatkaakcent3">
    <w:name w:val="Colorful Grid Accent 3"/>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3" w:themeFillTint="33"/>
    </w:tcPr>
    <w:tblStylePr w:type="firstRow">
      <w:rPr>
        <w:b/>
        <w:bCs/>
      </w:rPr>
      <w:tblPr/>
      <w:tcPr>
        <w:shd w:val="clear" w:color="auto" w:fill="BFBFBF" w:themeFill="accent3" w:themeFillTint="66"/>
      </w:tcPr>
    </w:tblStylePr>
    <w:tblStylePr w:type="lastRow">
      <w:rPr>
        <w:b/>
        <w:bCs/>
        <w:color w:val="000000" w:themeColor="text1"/>
      </w:rPr>
      <w:tblPr/>
      <w:tcPr>
        <w:shd w:val="clear" w:color="auto" w:fill="BFBFBF" w:themeFill="accent3" w:themeFillTint="66"/>
      </w:tcPr>
    </w:tblStylePr>
    <w:tblStylePr w:type="firstCol">
      <w:rPr>
        <w:color w:val="0072BC" w:themeColor="background1"/>
      </w:rPr>
      <w:tblPr/>
      <w:tcPr>
        <w:shd w:val="clear" w:color="auto" w:fill="474747" w:themeFill="accent3" w:themeFillShade="BF"/>
      </w:tcPr>
    </w:tblStylePr>
    <w:tblStylePr w:type="lastCol">
      <w:rPr>
        <w:color w:val="0072BC" w:themeColor="background1"/>
      </w:rPr>
      <w:tblPr/>
      <w:tcPr>
        <w:shd w:val="clear" w:color="auto" w:fill="474747" w:themeFill="accent3" w:themeFillShade="BF"/>
      </w:tc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Kolorowasiatkaakcent4">
    <w:name w:val="Colorful Grid Accent 4"/>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EAEAEA" w:themeFill="accent4" w:themeFillTint="33"/>
    </w:tcPr>
    <w:tblStylePr w:type="firstRow">
      <w:rPr>
        <w:b/>
        <w:bCs/>
      </w:rPr>
      <w:tblPr/>
      <w:tcPr>
        <w:shd w:val="clear" w:color="auto" w:fill="D5D5D5" w:themeFill="accent4" w:themeFillTint="66"/>
      </w:tcPr>
    </w:tblStylePr>
    <w:tblStylePr w:type="lastRow">
      <w:rPr>
        <w:b/>
        <w:bCs/>
        <w:color w:val="000000" w:themeColor="text1"/>
      </w:rPr>
      <w:tblPr/>
      <w:tcPr>
        <w:shd w:val="clear" w:color="auto" w:fill="D5D5D5" w:themeFill="accent4" w:themeFillTint="66"/>
      </w:tcPr>
    </w:tblStylePr>
    <w:tblStylePr w:type="firstCol">
      <w:rPr>
        <w:color w:val="0072BC" w:themeColor="background1"/>
      </w:rPr>
      <w:tblPr/>
      <w:tcPr>
        <w:shd w:val="clear" w:color="auto" w:fill="707070" w:themeFill="accent4" w:themeFillShade="BF"/>
      </w:tcPr>
    </w:tblStylePr>
    <w:tblStylePr w:type="lastCol">
      <w:rPr>
        <w:color w:val="0072BC" w:themeColor="background1"/>
      </w:rPr>
      <w:tblPr/>
      <w:tcPr>
        <w:shd w:val="clear" w:color="auto" w:fill="707070" w:themeFill="accent4" w:themeFillShade="BF"/>
      </w:tc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Kolorowasiatkaakcent5">
    <w:name w:val="Colorful Grid Accent 5"/>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FDFDF" w:themeFill="accent5" w:themeFillTint="33"/>
    </w:tcPr>
    <w:tblStylePr w:type="firstRow">
      <w:rPr>
        <w:b/>
        <w:bCs/>
      </w:rPr>
      <w:tblPr/>
      <w:tcPr>
        <w:shd w:val="clear" w:color="auto" w:fill="BFBFBF" w:themeFill="accent5" w:themeFillTint="66"/>
      </w:tcPr>
    </w:tblStylePr>
    <w:tblStylePr w:type="lastRow">
      <w:rPr>
        <w:b/>
        <w:bCs/>
        <w:color w:val="000000" w:themeColor="text1"/>
      </w:rPr>
      <w:tblPr/>
      <w:tcPr>
        <w:shd w:val="clear" w:color="auto" w:fill="BFBFBF" w:themeFill="accent5" w:themeFillTint="66"/>
      </w:tcPr>
    </w:tblStylePr>
    <w:tblStylePr w:type="firstCol">
      <w:rPr>
        <w:color w:val="0072BC" w:themeColor="background1"/>
      </w:rPr>
      <w:tblPr/>
      <w:tcPr>
        <w:shd w:val="clear" w:color="auto" w:fill="474747" w:themeFill="accent5" w:themeFillShade="BF"/>
      </w:tcPr>
    </w:tblStylePr>
    <w:tblStylePr w:type="lastCol">
      <w:rPr>
        <w:color w:val="0072BC" w:themeColor="background1"/>
      </w:rPr>
      <w:tblPr/>
      <w:tcPr>
        <w:shd w:val="clear" w:color="auto" w:fill="474747" w:themeFill="accent5" w:themeFillShade="BF"/>
      </w:tc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Kolorowasiatkaakcent6">
    <w:name w:val="Colorful Grid Accent 6"/>
    <w:basedOn w:val="Standardowy"/>
    <w:uiPriority w:val="99"/>
    <w:semiHidden/>
    <w:rsid w:val="00014566"/>
    <w:rPr>
      <w:color w:val="000000" w:themeColor="text1"/>
      <w:lang w:val="fr-FR" w:eastAsia="fr-FR"/>
    </w:rPr>
    <w:tblPr>
      <w:tblStyleRowBandSize w:val="1"/>
      <w:tblStyleColBandSize w:val="1"/>
      <w:tblBorders>
        <w:insideH w:val="single" w:sz="4" w:space="0" w:color="0072BC" w:themeColor="background1"/>
      </w:tblBorders>
    </w:tblPr>
    <w:tcPr>
      <w:shd w:val="clear" w:color="auto" w:fill="DBDBDB" w:themeFill="accent6" w:themeFillTint="33"/>
    </w:tcPr>
    <w:tblStylePr w:type="firstRow">
      <w:rPr>
        <w:b/>
        <w:bCs/>
      </w:rPr>
      <w:tblPr/>
      <w:tcPr>
        <w:shd w:val="clear" w:color="auto" w:fill="B7B7B7" w:themeFill="accent6" w:themeFillTint="66"/>
      </w:tcPr>
    </w:tblStylePr>
    <w:tblStylePr w:type="lastRow">
      <w:rPr>
        <w:b/>
        <w:bCs/>
        <w:color w:val="000000" w:themeColor="text1"/>
      </w:rPr>
      <w:tblPr/>
      <w:tcPr>
        <w:shd w:val="clear" w:color="auto" w:fill="B7B7B7" w:themeFill="accent6" w:themeFillTint="66"/>
      </w:tcPr>
    </w:tblStylePr>
    <w:tblStylePr w:type="firstCol">
      <w:rPr>
        <w:color w:val="0072BC" w:themeColor="background1"/>
      </w:rPr>
      <w:tblPr/>
      <w:tcPr>
        <w:shd w:val="clear" w:color="auto" w:fill="393939" w:themeFill="accent6" w:themeFillShade="BF"/>
      </w:tcPr>
    </w:tblStylePr>
    <w:tblStylePr w:type="lastCol">
      <w:rPr>
        <w:color w:val="0072BC" w:themeColor="background1"/>
      </w:rPr>
      <w:tblPr/>
      <w:tcPr>
        <w:shd w:val="clear" w:color="auto" w:fill="393939" w:themeFill="accent6" w:themeFillShade="BF"/>
      </w:tc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Kolorowalista">
    <w:name w:val="Colorful List"/>
    <w:basedOn w:val="Standardowy"/>
    <w:uiPriority w:val="99"/>
    <w:semiHidden/>
    <w:rsid w:val="00014566"/>
    <w:rPr>
      <w:color w:val="000000" w:themeColor="text1"/>
      <w:lang w:val="fr-FR" w:eastAsia="fr-FR"/>
    </w:rPr>
    <w:tblPr>
      <w:tblStyleRowBandSize w:val="1"/>
      <w:tblStyleColBandSize w:val="1"/>
    </w:tblPr>
    <w:tcPr>
      <w:shd w:val="clear" w:color="auto" w:fill="E6E6E6" w:themeFill="tex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Kolorowalistaakcent1">
    <w:name w:val="Colorful List Accent 1"/>
    <w:basedOn w:val="Standardowy"/>
    <w:uiPriority w:val="99"/>
    <w:semiHidden/>
    <w:rsid w:val="00014566"/>
    <w:rPr>
      <w:color w:val="000000" w:themeColor="text1"/>
      <w:lang w:val="fr-FR" w:eastAsia="fr-FR"/>
    </w:rPr>
    <w:tblPr>
      <w:tblStyleRowBandSize w:val="1"/>
      <w:tblStyleColBandSize w:val="1"/>
    </w:tblPr>
    <w:tcPr>
      <w:shd w:val="clear" w:color="auto" w:fill="DFF2FF" w:themeFill="accent1"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FDFFF" w:themeFill="accent1" w:themeFillTint="3F"/>
      </w:tcPr>
    </w:tblStylePr>
    <w:tblStylePr w:type="band1Horz">
      <w:tblPr/>
      <w:tcPr>
        <w:shd w:val="clear" w:color="auto" w:fill="BEE5FF" w:themeFill="accent1" w:themeFillTint="33"/>
      </w:tcPr>
    </w:tblStylePr>
  </w:style>
  <w:style w:type="table" w:styleId="Kolorowalistaakcent2">
    <w:name w:val="Colorful List Accent 2"/>
    <w:basedOn w:val="Standardowy"/>
    <w:uiPriority w:val="99"/>
    <w:semiHidden/>
    <w:rsid w:val="00014566"/>
    <w:rPr>
      <w:color w:val="000000" w:themeColor="text1"/>
      <w:lang w:val="fr-FR" w:eastAsia="fr-FR"/>
    </w:rPr>
    <w:tblPr>
      <w:tblStyleRowBandSize w:val="1"/>
      <w:tblStyleColBandSize w:val="1"/>
    </w:tblPr>
    <w:tcPr>
      <w:shd w:val="clear" w:color="auto" w:fill="FFDFDF" w:themeFill="accent2" w:themeFillTint="19"/>
    </w:tcPr>
    <w:tblStylePr w:type="firstRow">
      <w:rPr>
        <w:b/>
        <w:bCs/>
        <w:color w:val="0072BC" w:themeColor="background1"/>
      </w:rPr>
      <w:tblPr/>
      <w:tcPr>
        <w:tcBorders>
          <w:bottom w:val="single" w:sz="12" w:space="0" w:color="0072BC" w:themeColor="background1"/>
        </w:tcBorders>
        <w:shd w:val="clear" w:color="auto" w:fill="990000" w:themeFill="accent2" w:themeFillShade="CC"/>
      </w:tcPr>
    </w:tblStylePr>
    <w:tblStylePr w:type="lastRow">
      <w:rPr>
        <w:b/>
        <w:bCs/>
        <w:color w:val="990000" w:themeColor="accent2"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B0B0" w:themeFill="accent2" w:themeFillTint="3F"/>
      </w:tcPr>
    </w:tblStylePr>
    <w:tblStylePr w:type="band1Horz">
      <w:tblPr/>
      <w:tcPr>
        <w:shd w:val="clear" w:color="auto" w:fill="FFBFBF" w:themeFill="accent2" w:themeFillTint="33"/>
      </w:tcPr>
    </w:tblStylePr>
  </w:style>
  <w:style w:type="table" w:styleId="Kolorowalistaakcent3">
    <w:name w:val="Colorful List Accent 3"/>
    <w:basedOn w:val="Standardowy"/>
    <w:uiPriority w:val="99"/>
    <w:semiHidden/>
    <w:rsid w:val="00014566"/>
    <w:rPr>
      <w:color w:val="000000" w:themeColor="text1"/>
      <w:lang w:val="fr-FR" w:eastAsia="fr-FR"/>
    </w:rPr>
    <w:tblPr>
      <w:tblStyleRowBandSize w:val="1"/>
      <w:tblStyleColBandSize w:val="1"/>
    </w:tblPr>
    <w:tcPr>
      <w:shd w:val="clear" w:color="auto" w:fill="EFEFEF" w:themeFill="accent3" w:themeFillTint="19"/>
    </w:tcPr>
    <w:tblStylePr w:type="firstRow">
      <w:rPr>
        <w:b/>
        <w:bCs/>
        <w:color w:val="0072BC" w:themeColor="background1"/>
      </w:rPr>
      <w:tblPr/>
      <w:tcPr>
        <w:tcBorders>
          <w:bottom w:val="single" w:sz="12" w:space="0" w:color="0072BC" w:themeColor="background1"/>
        </w:tcBorders>
        <w:shd w:val="clear" w:color="auto" w:fill="787878" w:themeFill="accent4" w:themeFillShade="CC"/>
      </w:tcPr>
    </w:tblStylePr>
    <w:tblStylePr w:type="lastRow">
      <w:rPr>
        <w:b/>
        <w:bCs/>
        <w:color w:val="787878" w:themeColor="accent4"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3" w:themeFillTint="3F"/>
      </w:tcPr>
    </w:tblStylePr>
    <w:tblStylePr w:type="band1Horz">
      <w:tblPr/>
      <w:tcPr>
        <w:shd w:val="clear" w:color="auto" w:fill="DFDFDF" w:themeFill="accent3" w:themeFillTint="33"/>
      </w:tcPr>
    </w:tblStylePr>
  </w:style>
  <w:style w:type="table" w:styleId="Kolorowalistaakcent4">
    <w:name w:val="Colorful List Accent 4"/>
    <w:basedOn w:val="Standardowy"/>
    <w:uiPriority w:val="99"/>
    <w:semiHidden/>
    <w:rsid w:val="00014566"/>
    <w:rPr>
      <w:color w:val="000000" w:themeColor="text1"/>
      <w:lang w:val="fr-FR" w:eastAsia="fr-FR"/>
    </w:rPr>
    <w:tblPr>
      <w:tblStyleRowBandSize w:val="1"/>
      <w:tblStyleColBandSize w:val="1"/>
    </w:tblPr>
    <w:tcPr>
      <w:shd w:val="clear" w:color="auto" w:fill="F4F4F4" w:themeFill="accent4" w:themeFillTint="19"/>
    </w:tcPr>
    <w:tblStylePr w:type="firstRow">
      <w:rPr>
        <w:b/>
        <w:bCs/>
        <w:color w:val="0072BC" w:themeColor="background1"/>
      </w:rPr>
      <w:tblPr/>
      <w:tcPr>
        <w:tcBorders>
          <w:bottom w:val="single" w:sz="12" w:space="0" w:color="0072BC" w:themeColor="background1"/>
        </w:tcBorders>
        <w:shd w:val="clear" w:color="auto" w:fill="4C4C4C" w:themeFill="accent3" w:themeFillShade="CC"/>
      </w:tcPr>
    </w:tblStylePr>
    <w:tblStylePr w:type="lastRow">
      <w:rPr>
        <w:b/>
        <w:bCs/>
        <w:color w:val="4C4C4C" w:themeColor="accent3"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5E5E5" w:themeFill="accent4" w:themeFillTint="3F"/>
      </w:tcPr>
    </w:tblStylePr>
    <w:tblStylePr w:type="band1Horz">
      <w:tblPr/>
      <w:tcPr>
        <w:shd w:val="clear" w:color="auto" w:fill="EAEAEA" w:themeFill="accent4" w:themeFillTint="33"/>
      </w:tcPr>
    </w:tblStylePr>
  </w:style>
  <w:style w:type="table" w:styleId="Kolorowalistaakcent5">
    <w:name w:val="Colorful List Accent 5"/>
    <w:basedOn w:val="Standardowy"/>
    <w:uiPriority w:val="99"/>
    <w:semiHidden/>
    <w:rsid w:val="00014566"/>
    <w:rPr>
      <w:color w:val="000000" w:themeColor="text1"/>
      <w:lang w:val="fr-FR" w:eastAsia="fr-FR"/>
    </w:rPr>
    <w:tblPr>
      <w:tblStyleRowBandSize w:val="1"/>
      <w:tblStyleColBandSize w:val="1"/>
    </w:tblPr>
    <w:tcPr>
      <w:shd w:val="clear" w:color="auto" w:fill="EFEFEF" w:themeFill="accent5" w:themeFillTint="19"/>
    </w:tcPr>
    <w:tblStylePr w:type="firstRow">
      <w:rPr>
        <w:b/>
        <w:bCs/>
        <w:color w:val="0072BC" w:themeColor="background1"/>
      </w:rPr>
      <w:tblPr/>
      <w:tcPr>
        <w:tcBorders>
          <w:bottom w:val="single" w:sz="12" w:space="0" w:color="0072BC" w:themeColor="background1"/>
        </w:tcBorders>
        <w:shd w:val="clear" w:color="auto" w:fill="3D3D3D" w:themeFill="accent6" w:themeFillShade="CC"/>
      </w:tcPr>
    </w:tblStylePr>
    <w:tblStylePr w:type="lastRow">
      <w:rPr>
        <w:b/>
        <w:bCs/>
        <w:color w:val="3D3D3D" w:themeColor="accent6"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7" w:themeFill="accent5" w:themeFillTint="3F"/>
      </w:tcPr>
    </w:tblStylePr>
    <w:tblStylePr w:type="band1Horz">
      <w:tblPr/>
      <w:tcPr>
        <w:shd w:val="clear" w:color="auto" w:fill="DFDFDF" w:themeFill="accent5" w:themeFillTint="33"/>
      </w:tcPr>
    </w:tblStylePr>
  </w:style>
  <w:style w:type="table" w:styleId="Kolorowalistaakcent6">
    <w:name w:val="Colorful List Accent 6"/>
    <w:basedOn w:val="Standardowy"/>
    <w:uiPriority w:val="99"/>
    <w:semiHidden/>
    <w:rsid w:val="00014566"/>
    <w:rPr>
      <w:color w:val="000000" w:themeColor="text1"/>
      <w:lang w:val="fr-FR" w:eastAsia="fr-FR"/>
    </w:rPr>
    <w:tblPr>
      <w:tblStyleRowBandSize w:val="1"/>
      <w:tblStyleColBandSize w:val="1"/>
    </w:tblPr>
    <w:tcPr>
      <w:shd w:val="clear" w:color="auto" w:fill="EDEDED" w:themeFill="accent6" w:themeFillTint="19"/>
    </w:tcPr>
    <w:tblStylePr w:type="firstRow">
      <w:rPr>
        <w:b/>
        <w:bCs/>
        <w:color w:val="0072BC" w:themeColor="background1"/>
      </w:rPr>
      <w:tblPr/>
      <w:tcPr>
        <w:tcBorders>
          <w:bottom w:val="single" w:sz="12" w:space="0" w:color="0072BC" w:themeColor="background1"/>
        </w:tcBorders>
        <w:shd w:val="clear" w:color="auto" w:fill="4C4C4C" w:themeFill="accent5" w:themeFillShade="CC"/>
      </w:tcPr>
    </w:tblStylePr>
    <w:tblStylePr w:type="lastRow">
      <w:rPr>
        <w:b/>
        <w:bCs/>
        <w:color w:val="4C4C4C" w:themeColor="accent5" w:themeShade="CC"/>
      </w:rPr>
      <w:tblPr/>
      <w:tcPr>
        <w:tcBorders>
          <w:top w:val="single" w:sz="12" w:space="0" w:color="000000" w:themeColor="text1"/>
        </w:tcBorders>
        <w:shd w:val="clear" w:color="auto" w:fill="0072BC"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3D3" w:themeFill="accent6" w:themeFillTint="3F"/>
      </w:tcPr>
    </w:tblStylePr>
    <w:tblStylePr w:type="band1Horz">
      <w:tblPr/>
      <w:tcPr>
        <w:shd w:val="clear" w:color="auto" w:fill="DBDBDB" w:themeFill="accent6" w:themeFillTint="33"/>
      </w:tcPr>
    </w:tblStylePr>
  </w:style>
  <w:style w:type="table" w:styleId="Kolorowecieniowanie">
    <w:name w:val="Colorful Shading"/>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0000" w:themeColor="text1"/>
        <w:bottom w:val="single" w:sz="4" w:space="0" w:color="000000" w:themeColor="text1"/>
        <w:right w:val="single" w:sz="4" w:space="0" w:color="000000" w:themeColor="text1"/>
        <w:insideH w:val="single" w:sz="4" w:space="0" w:color="0072BC" w:themeColor="background1"/>
        <w:insideV w:val="single" w:sz="4" w:space="0" w:color="0072BC" w:themeColor="background1"/>
      </w:tblBorders>
    </w:tblPr>
    <w:tcPr>
      <w:shd w:val="clear" w:color="auto" w:fill="E6E6E6" w:themeFill="tex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0000" w:themeFill="text1" w:themeFillShade="99"/>
      </w:tcPr>
    </w:tblStylePr>
    <w:tblStylePr w:type="firstCol">
      <w:rPr>
        <w:color w:val="0072BC"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0072BC"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Kolorowecieniowanieakcent1">
    <w:name w:val="Colorful Shading Accent 1"/>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0072BC" w:themeColor="accent1"/>
        <w:bottom w:val="single" w:sz="4" w:space="0" w:color="0072BC" w:themeColor="accent1"/>
        <w:right w:val="single" w:sz="4" w:space="0" w:color="0072BC" w:themeColor="accent1"/>
        <w:insideH w:val="single" w:sz="4" w:space="0" w:color="0072BC" w:themeColor="background1"/>
        <w:insideV w:val="single" w:sz="4" w:space="0" w:color="0072BC" w:themeColor="background1"/>
      </w:tblBorders>
    </w:tblPr>
    <w:tcPr>
      <w:shd w:val="clear" w:color="auto" w:fill="DFF2FF" w:themeFill="accent1"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004470" w:themeFill="accent1" w:themeFillShade="99"/>
      </w:tcPr>
    </w:tblStylePr>
    <w:tblStylePr w:type="firstCol">
      <w:rPr>
        <w:color w:val="0072BC" w:themeColor="background1"/>
      </w:rPr>
      <w:tblPr/>
      <w:tcPr>
        <w:tcBorders>
          <w:top w:val="nil"/>
          <w:left w:val="nil"/>
          <w:bottom w:val="nil"/>
          <w:right w:val="nil"/>
          <w:insideH w:val="single" w:sz="4" w:space="0" w:color="004470" w:themeColor="accent1" w:themeShade="99"/>
          <w:insideV w:val="nil"/>
        </w:tcBorders>
        <w:shd w:val="clear" w:color="auto" w:fill="004470" w:themeFill="accent1" w:themeFillShade="99"/>
      </w:tcPr>
    </w:tblStylePr>
    <w:tblStylePr w:type="lastCol">
      <w:rPr>
        <w:color w:val="0072BC" w:themeColor="background1"/>
      </w:rPr>
      <w:tblPr/>
      <w:tcPr>
        <w:tcBorders>
          <w:top w:val="nil"/>
          <w:left w:val="nil"/>
          <w:bottom w:val="nil"/>
          <w:right w:val="nil"/>
          <w:insideH w:val="nil"/>
          <w:insideV w:val="nil"/>
        </w:tcBorders>
        <w:shd w:val="clear" w:color="auto" w:fill="004470" w:themeFill="accent1" w:themeFillShade="99"/>
      </w:tcPr>
    </w:tblStylePr>
    <w:tblStylePr w:type="band1Vert">
      <w:tblPr/>
      <w:tcPr>
        <w:shd w:val="clear" w:color="auto" w:fill="7ECBFF" w:themeFill="accent1" w:themeFillTint="66"/>
      </w:tcPr>
    </w:tblStylePr>
    <w:tblStylePr w:type="band1Horz">
      <w:tblPr/>
      <w:tcPr>
        <w:shd w:val="clear" w:color="auto" w:fill="5EBFFF" w:themeFill="accent1" w:themeFillTint="7F"/>
      </w:tcPr>
    </w:tblStylePr>
    <w:tblStylePr w:type="neCell">
      <w:rPr>
        <w:color w:val="000000" w:themeColor="text1"/>
      </w:rPr>
    </w:tblStylePr>
    <w:tblStylePr w:type="nwCell">
      <w:rPr>
        <w:color w:val="000000" w:themeColor="text1"/>
      </w:rPr>
    </w:tblStylePr>
  </w:style>
  <w:style w:type="table" w:styleId="Kolorowecieniowanieakcent2">
    <w:name w:val="Colorful Shading Accent 2"/>
    <w:basedOn w:val="Standardowy"/>
    <w:uiPriority w:val="99"/>
    <w:semiHidden/>
    <w:rsid w:val="00014566"/>
    <w:rPr>
      <w:color w:val="000000" w:themeColor="text1"/>
      <w:lang w:val="fr-FR" w:eastAsia="fr-FR"/>
    </w:rPr>
    <w:tblPr>
      <w:tblStyleRowBandSize w:val="1"/>
      <w:tblStyleColBandSize w:val="1"/>
      <w:tblBorders>
        <w:top w:val="single" w:sz="24" w:space="0" w:color="C00000" w:themeColor="accent2"/>
        <w:left w:val="single" w:sz="4" w:space="0" w:color="C00000" w:themeColor="accent2"/>
        <w:bottom w:val="single" w:sz="4" w:space="0" w:color="C00000" w:themeColor="accent2"/>
        <w:right w:val="single" w:sz="4" w:space="0" w:color="C00000" w:themeColor="accent2"/>
        <w:insideH w:val="single" w:sz="4" w:space="0" w:color="0072BC" w:themeColor="background1"/>
        <w:insideV w:val="single" w:sz="4" w:space="0" w:color="0072BC" w:themeColor="background1"/>
      </w:tblBorders>
    </w:tblPr>
    <w:tcPr>
      <w:shd w:val="clear" w:color="auto" w:fill="FFDFDF" w:themeFill="accent2" w:themeFillTint="19"/>
    </w:tcPr>
    <w:tblStylePr w:type="firstRow">
      <w:rPr>
        <w:b/>
        <w:bCs/>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730000" w:themeFill="accent2" w:themeFillShade="99"/>
      </w:tcPr>
    </w:tblStylePr>
    <w:tblStylePr w:type="firstCol">
      <w:rPr>
        <w:color w:val="0072BC" w:themeColor="background1"/>
      </w:rPr>
      <w:tblPr/>
      <w:tcPr>
        <w:tcBorders>
          <w:top w:val="nil"/>
          <w:left w:val="nil"/>
          <w:bottom w:val="nil"/>
          <w:right w:val="nil"/>
          <w:insideH w:val="single" w:sz="4" w:space="0" w:color="730000" w:themeColor="accent2" w:themeShade="99"/>
          <w:insideV w:val="nil"/>
        </w:tcBorders>
        <w:shd w:val="clear" w:color="auto" w:fill="730000" w:themeFill="accent2" w:themeFillShade="99"/>
      </w:tcPr>
    </w:tblStylePr>
    <w:tblStylePr w:type="lastCol">
      <w:rPr>
        <w:color w:val="0072BC" w:themeColor="background1"/>
      </w:rPr>
      <w:tblPr/>
      <w:tcPr>
        <w:tcBorders>
          <w:top w:val="nil"/>
          <w:left w:val="nil"/>
          <w:bottom w:val="nil"/>
          <w:right w:val="nil"/>
          <w:insideH w:val="nil"/>
          <w:insideV w:val="nil"/>
        </w:tcBorders>
        <w:shd w:val="clear" w:color="auto" w:fill="730000" w:themeFill="accent2" w:themeFillShade="99"/>
      </w:tcPr>
    </w:tblStylePr>
    <w:tblStylePr w:type="band1Vert">
      <w:tblPr/>
      <w:tcPr>
        <w:shd w:val="clear" w:color="auto" w:fill="FF7F7F" w:themeFill="accent2" w:themeFillTint="66"/>
      </w:tcPr>
    </w:tblStylePr>
    <w:tblStylePr w:type="band1Horz">
      <w:tblPr/>
      <w:tcPr>
        <w:shd w:val="clear" w:color="auto" w:fill="FF6060" w:themeFill="accent2" w:themeFillTint="7F"/>
      </w:tcPr>
    </w:tblStylePr>
    <w:tblStylePr w:type="neCell">
      <w:rPr>
        <w:color w:val="000000" w:themeColor="text1"/>
      </w:rPr>
    </w:tblStylePr>
    <w:tblStylePr w:type="nwCell">
      <w:rPr>
        <w:color w:val="000000" w:themeColor="text1"/>
      </w:rPr>
    </w:tblStylePr>
  </w:style>
  <w:style w:type="table" w:styleId="Kolorowecieniowanieakcent3">
    <w:name w:val="Colorful Shading Accent 3"/>
    <w:basedOn w:val="Standardowy"/>
    <w:uiPriority w:val="99"/>
    <w:semiHidden/>
    <w:rsid w:val="00014566"/>
    <w:rPr>
      <w:color w:val="000000" w:themeColor="text1"/>
      <w:lang w:val="fr-FR" w:eastAsia="fr-FR"/>
    </w:rPr>
    <w:tblPr>
      <w:tblStyleRowBandSize w:val="1"/>
      <w:tblStyleColBandSize w:val="1"/>
      <w:tblBorders>
        <w:top w:val="single" w:sz="24" w:space="0" w:color="969696" w:themeColor="accent4"/>
        <w:left w:val="single" w:sz="4" w:space="0" w:color="5F5F5F" w:themeColor="accent3"/>
        <w:bottom w:val="single" w:sz="4" w:space="0" w:color="5F5F5F" w:themeColor="accent3"/>
        <w:right w:val="single" w:sz="4" w:space="0" w:color="5F5F5F" w:themeColor="accent3"/>
        <w:insideH w:val="single" w:sz="4" w:space="0" w:color="0072BC" w:themeColor="background1"/>
        <w:insideV w:val="single" w:sz="4" w:space="0" w:color="0072BC" w:themeColor="background1"/>
      </w:tblBorders>
    </w:tblPr>
    <w:tcPr>
      <w:shd w:val="clear" w:color="auto" w:fill="EFEFEF" w:themeFill="accent3" w:themeFillTint="19"/>
    </w:tcPr>
    <w:tblStylePr w:type="firstRow">
      <w:rPr>
        <w:b/>
        <w:bCs/>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3" w:themeFillShade="99"/>
      </w:tcPr>
    </w:tblStylePr>
    <w:tblStylePr w:type="firstCol">
      <w:rPr>
        <w:color w:val="0072BC" w:themeColor="background1"/>
      </w:rPr>
      <w:tblPr/>
      <w:tcPr>
        <w:tcBorders>
          <w:top w:val="nil"/>
          <w:left w:val="nil"/>
          <w:bottom w:val="nil"/>
          <w:right w:val="nil"/>
          <w:insideH w:val="single" w:sz="4" w:space="0" w:color="393939" w:themeColor="accent3" w:themeShade="99"/>
          <w:insideV w:val="nil"/>
        </w:tcBorders>
        <w:shd w:val="clear" w:color="auto" w:fill="393939" w:themeFill="accent3"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3" w:themeFillShade="99"/>
      </w:tcPr>
    </w:tblStylePr>
    <w:tblStylePr w:type="band1Vert">
      <w:tblPr/>
      <w:tcPr>
        <w:shd w:val="clear" w:color="auto" w:fill="BFBFBF" w:themeFill="accent3" w:themeFillTint="66"/>
      </w:tcPr>
    </w:tblStylePr>
    <w:tblStylePr w:type="band1Horz">
      <w:tblPr/>
      <w:tcPr>
        <w:shd w:val="clear" w:color="auto" w:fill="AFAFAF" w:themeFill="accent3" w:themeFillTint="7F"/>
      </w:tcPr>
    </w:tblStylePr>
  </w:style>
  <w:style w:type="table" w:styleId="Kolorowecieniowanieakcent4">
    <w:name w:val="Colorful Shading Accent 4"/>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3"/>
        <w:left w:val="single" w:sz="4" w:space="0" w:color="969696" w:themeColor="accent4"/>
        <w:bottom w:val="single" w:sz="4" w:space="0" w:color="969696" w:themeColor="accent4"/>
        <w:right w:val="single" w:sz="4" w:space="0" w:color="969696" w:themeColor="accent4"/>
        <w:insideH w:val="single" w:sz="4" w:space="0" w:color="0072BC" w:themeColor="background1"/>
        <w:insideV w:val="single" w:sz="4" w:space="0" w:color="0072BC" w:themeColor="background1"/>
      </w:tblBorders>
    </w:tblPr>
    <w:tcPr>
      <w:shd w:val="clear" w:color="auto" w:fill="F4F4F4" w:themeFill="accent4" w:themeFillTint="19"/>
    </w:tcPr>
    <w:tblStylePr w:type="firstRow">
      <w:rPr>
        <w:b/>
        <w:bCs/>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5A5A5A" w:themeFill="accent4" w:themeFillShade="99"/>
      </w:tcPr>
    </w:tblStylePr>
    <w:tblStylePr w:type="firstCol">
      <w:rPr>
        <w:color w:val="0072BC" w:themeColor="background1"/>
      </w:rPr>
      <w:tblPr/>
      <w:tcPr>
        <w:tcBorders>
          <w:top w:val="nil"/>
          <w:left w:val="nil"/>
          <w:bottom w:val="nil"/>
          <w:right w:val="nil"/>
          <w:insideH w:val="single" w:sz="4" w:space="0" w:color="5A5A5A" w:themeColor="accent4" w:themeShade="99"/>
          <w:insideV w:val="nil"/>
        </w:tcBorders>
        <w:shd w:val="clear" w:color="auto" w:fill="5A5A5A" w:themeFill="accent4" w:themeFillShade="99"/>
      </w:tcPr>
    </w:tblStylePr>
    <w:tblStylePr w:type="lastCol">
      <w:rPr>
        <w:color w:val="0072BC" w:themeColor="background1"/>
      </w:rPr>
      <w:tblPr/>
      <w:tcPr>
        <w:tcBorders>
          <w:top w:val="nil"/>
          <w:left w:val="nil"/>
          <w:bottom w:val="nil"/>
          <w:right w:val="nil"/>
          <w:insideH w:val="nil"/>
          <w:insideV w:val="nil"/>
        </w:tcBorders>
        <w:shd w:val="clear" w:color="auto" w:fill="5A5A5A" w:themeFill="accent4" w:themeFillShade="99"/>
      </w:tcPr>
    </w:tblStylePr>
    <w:tblStylePr w:type="band1Vert">
      <w:tblPr/>
      <w:tcPr>
        <w:shd w:val="clear" w:color="auto" w:fill="D5D5D5" w:themeFill="accent4" w:themeFillTint="66"/>
      </w:tcPr>
    </w:tblStylePr>
    <w:tblStylePr w:type="band1Horz">
      <w:tblPr/>
      <w:tcPr>
        <w:shd w:val="clear" w:color="auto" w:fill="CACACA" w:themeFill="accent4" w:themeFillTint="7F"/>
      </w:tcPr>
    </w:tblStylePr>
    <w:tblStylePr w:type="neCell">
      <w:rPr>
        <w:color w:val="000000" w:themeColor="text1"/>
      </w:rPr>
    </w:tblStylePr>
    <w:tblStylePr w:type="nwCell">
      <w:rPr>
        <w:color w:val="000000" w:themeColor="text1"/>
      </w:rPr>
    </w:tblStylePr>
  </w:style>
  <w:style w:type="table" w:styleId="Kolorowecieniowanieakcent5">
    <w:name w:val="Colorful Shading Accent 5"/>
    <w:basedOn w:val="Standardowy"/>
    <w:uiPriority w:val="99"/>
    <w:semiHidden/>
    <w:rsid w:val="00014566"/>
    <w:rPr>
      <w:color w:val="000000" w:themeColor="text1"/>
      <w:lang w:val="fr-FR" w:eastAsia="fr-FR"/>
    </w:rPr>
    <w:tblPr>
      <w:tblStyleRowBandSize w:val="1"/>
      <w:tblStyleColBandSize w:val="1"/>
      <w:tblBorders>
        <w:top w:val="single" w:sz="24" w:space="0" w:color="4D4D4D" w:themeColor="accent6"/>
        <w:left w:val="single" w:sz="4" w:space="0" w:color="5F5F5F" w:themeColor="accent5"/>
        <w:bottom w:val="single" w:sz="4" w:space="0" w:color="5F5F5F" w:themeColor="accent5"/>
        <w:right w:val="single" w:sz="4" w:space="0" w:color="5F5F5F" w:themeColor="accent5"/>
        <w:insideH w:val="single" w:sz="4" w:space="0" w:color="0072BC" w:themeColor="background1"/>
        <w:insideV w:val="single" w:sz="4" w:space="0" w:color="0072BC" w:themeColor="background1"/>
      </w:tblBorders>
    </w:tblPr>
    <w:tcPr>
      <w:shd w:val="clear" w:color="auto" w:fill="EFEFEF" w:themeFill="accent5" w:themeFillTint="19"/>
    </w:tcPr>
    <w:tblStylePr w:type="firstRow">
      <w:rPr>
        <w:b/>
        <w:bCs/>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393939" w:themeFill="accent5" w:themeFillShade="99"/>
      </w:tcPr>
    </w:tblStylePr>
    <w:tblStylePr w:type="firstCol">
      <w:rPr>
        <w:color w:val="0072BC" w:themeColor="background1"/>
      </w:rPr>
      <w:tblPr/>
      <w:tcPr>
        <w:tcBorders>
          <w:top w:val="nil"/>
          <w:left w:val="nil"/>
          <w:bottom w:val="nil"/>
          <w:right w:val="nil"/>
          <w:insideH w:val="single" w:sz="4" w:space="0" w:color="393939" w:themeColor="accent5" w:themeShade="99"/>
          <w:insideV w:val="nil"/>
        </w:tcBorders>
        <w:shd w:val="clear" w:color="auto" w:fill="393939" w:themeFill="accent5" w:themeFillShade="99"/>
      </w:tcPr>
    </w:tblStylePr>
    <w:tblStylePr w:type="lastCol">
      <w:rPr>
        <w:color w:val="0072BC" w:themeColor="background1"/>
      </w:rPr>
      <w:tblPr/>
      <w:tcPr>
        <w:tcBorders>
          <w:top w:val="nil"/>
          <w:left w:val="nil"/>
          <w:bottom w:val="nil"/>
          <w:right w:val="nil"/>
          <w:insideH w:val="nil"/>
          <w:insideV w:val="nil"/>
        </w:tcBorders>
        <w:shd w:val="clear" w:color="auto" w:fill="393939" w:themeFill="accent5" w:themeFillShade="99"/>
      </w:tcPr>
    </w:tblStylePr>
    <w:tblStylePr w:type="band1Vert">
      <w:tblPr/>
      <w:tcPr>
        <w:shd w:val="clear" w:color="auto" w:fill="BFBFBF" w:themeFill="accent5" w:themeFillTint="66"/>
      </w:tcPr>
    </w:tblStylePr>
    <w:tblStylePr w:type="band1Horz">
      <w:tblPr/>
      <w:tcPr>
        <w:shd w:val="clear" w:color="auto" w:fill="AFAFAF" w:themeFill="accent5" w:themeFillTint="7F"/>
      </w:tcPr>
    </w:tblStylePr>
    <w:tblStylePr w:type="neCell">
      <w:rPr>
        <w:color w:val="000000" w:themeColor="text1"/>
      </w:rPr>
    </w:tblStylePr>
    <w:tblStylePr w:type="nwCell">
      <w:rPr>
        <w:color w:val="000000" w:themeColor="text1"/>
      </w:rPr>
    </w:tblStylePr>
  </w:style>
  <w:style w:type="table" w:styleId="Kolorowecieniowanieakcent6">
    <w:name w:val="Colorful Shading Accent 6"/>
    <w:basedOn w:val="Standardowy"/>
    <w:uiPriority w:val="99"/>
    <w:semiHidden/>
    <w:rsid w:val="00014566"/>
    <w:rPr>
      <w:color w:val="000000" w:themeColor="text1"/>
      <w:lang w:val="fr-FR" w:eastAsia="fr-FR"/>
    </w:rPr>
    <w:tblPr>
      <w:tblStyleRowBandSize w:val="1"/>
      <w:tblStyleColBandSize w:val="1"/>
      <w:tblBorders>
        <w:top w:val="single" w:sz="24" w:space="0" w:color="5F5F5F" w:themeColor="accent5"/>
        <w:left w:val="single" w:sz="4" w:space="0" w:color="4D4D4D" w:themeColor="accent6"/>
        <w:bottom w:val="single" w:sz="4" w:space="0" w:color="4D4D4D" w:themeColor="accent6"/>
        <w:right w:val="single" w:sz="4" w:space="0" w:color="4D4D4D" w:themeColor="accent6"/>
        <w:insideH w:val="single" w:sz="4" w:space="0" w:color="0072BC" w:themeColor="background1"/>
        <w:insideV w:val="single" w:sz="4" w:space="0" w:color="0072BC" w:themeColor="background1"/>
      </w:tblBorders>
    </w:tblPr>
    <w:tcPr>
      <w:shd w:val="clear" w:color="auto" w:fill="EDEDED" w:themeFill="accent6" w:themeFillTint="19"/>
    </w:tcPr>
    <w:tblStylePr w:type="firstRow">
      <w:rPr>
        <w:b/>
        <w:bCs/>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rPr>
        <w:b/>
        <w:bCs/>
        <w:color w:val="0072BC" w:themeColor="background1"/>
      </w:rPr>
      <w:tblPr/>
      <w:tcPr>
        <w:tcBorders>
          <w:top w:val="single" w:sz="6" w:space="0" w:color="0072BC" w:themeColor="background1"/>
        </w:tcBorders>
        <w:shd w:val="clear" w:color="auto" w:fill="2E2E2E" w:themeFill="accent6" w:themeFillShade="99"/>
      </w:tcPr>
    </w:tblStylePr>
    <w:tblStylePr w:type="firstCol">
      <w:rPr>
        <w:color w:val="0072BC" w:themeColor="background1"/>
      </w:rPr>
      <w:tblPr/>
      <w:tcPr>
        <w:tcBorders>
          <w:top w:val="nil"/>
          <w:left w:val="nil"/>
          <w:bottom w:val="nil"/>
          <w:right w:val="nil"/>
          <w:insideH w:val="single" w:sz="4" w:space="0" w:color="2E2E2E" w:themeColor="accent6" w:themeShade="99"/>
          <w:insideV w:val="nil"/>
        </w:tcBorders>
        <w:shd w:val="clear" w:color="auto" w:fill="2E2E2E" w:themeFill="accent6" w:themeFillShade="99"/>
      </w:tcPr>
    </w:tblStylePr>
    <w:tblStylePr w:type="lastCol">
      <w:rPr>
        <w:color w:val="0072BC" w:themeColor="background1"/>
      </w:rPr>
      <w:tblPr/>
      <w:tcPr>
        <w:tcBorders>
          <w:top w:val="nil"/>
          <w:left w:val="nil"/>
          <w:bottom w:val="nil"/>
          <w:right w:val="nil"/>
          <w:insideH w:val="nil"/>
          <w:insideV w:val="nil"/>
        </w:tcBorders>
        <w:shd w:val="clear" w:color="auto" w:fill="2E2E2E" w:themeFill="accent6" w:themeFillShade="99"/>
      </w:tcPr>
    </w:tblStylePr>
    <w:tblStylePr w:type="band1Vert">
      <w:tblPr/>
      <w:tcPr>
        <w:shd w:val="clear" w:color="auto" w:fill="B7B7B7" w:themeFill="accent6" w:themeFillTint="66"/>
      </w:tcPr>
    </w:tblStylePr>
    <w:tblStylePr w:type="band1Horz">
      <w:tblPr/>
      <w:tcPr>
        <w:shd w:val="clear" w:color="auto" w:fill="A6A6A6" w:themeFill="accent6" w:themeFillTint="7F"/>
      </w:tcPr>
    </w:tblStylePr>
    <w:tblStylePr w:type="neCell">
      <w:rPr>
        <w:color w:val="000000" w:themeColor="text1"/>
      </w:rPr>
    </w:tblStylePr>
    <w:tblStylePr w:type="nwCell">
      <w:rPr>
        <w:color w:val="000000" w:themeColor="text1"/>
      </w:rPr>
    </w:tblStylePr>
  </w:style>
  <w:style w:type="table" w:styleId="Ciemnalista">
    <w:name w:val="Dark List"/>
    <w:basedOn w:val="Standardowy"/>
    <w:uiPriority w:val="99"/>
    <w:semiHidden/>
    <w:rsid w:val="00014566"/>
    <w:rPr>
      <w:color w:val="0072BC" w:themeColor="background1"/>
      <w:lang w:val="fr-FR" w:eastAsia="fr-FR"/>
    </w:rPr>
    <w:tblPr>
      <w:tblStyleRowBandSize w:val="1"/>
      <w:tblStyleColBandSize w:val="1"/>
    </w:tblPr>
    <w:tcPr>
      <w:shd w:val="clear" w:color="auto" w:fill="000000" w:themeFill="tex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0072BC" w:themeColor="background1"/>
          <w:insideH w:val="nil"/>
          <w:insideV w:val="nil"/>
        </w:tcBorders>
        <w:shd w:val="clear" w:color="auto" w:fill="000000" w:themeFill="text1" w:themeFillShade="BF"/>
      </w:tcPr>
    </w:tblStylePr>
    <w:tblStylePr w:type="lastCol">
      <w:tblPr/>
      <w:tcPr>
        <w:tcBorders>
          <w:top w:val="nil"/>
          <w:left w:val="single" w:sz="18" w:space="0" w:color="0072BC"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Ciemnalista2akcent1">
    <w:name w:val="Dark List Accent 1"/>
    <w:basedOn w:val="Standardowy"/>
    <w:uiPriority w:val="99"/>
    <w:semiHidden/>
    <w:rsid w:val="00014566"/>
    <w:rPr>
      <w:color w:val="0072BC" w:themeColor="background1"/>
      <w:lang w:val="fr-FR" w:eastAsia="fr-FR"/>
    </w:rPr>
    <w:tblPr>
      <w:tblStyleRowBandSize w:val="1"/>
      <w:tblStyleColBandSize w:val="1"/>
    </w:tblPr>
    <w:tcPr>
      <w:shd w:val="clear" w:color="auto" w:fill="0072BC" w:themeFill="accent1"/>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00385D" w:themeFill="accent1" w:themeFillShade="7F"/>
      </w:tcPr>
    </w:tblStylePr>
    <w:tblStylePr w:type="firstCol">
      <w:tblPr/>
      <w:tcPr>
        <w:tcBorders>
          <w:top w:val="nil"/>
          <w:left w:val="nil"/>
          <w:bottom w:val="nil"/>
          <w:right w:val="single" w:sz="18" w:space="0" w:color="0072BC" w:themeColor="background1"/>
          <w:insideH w:val="nil"/>
          <w:insideV w:val="nil"/>
        </w:tcBorders>
        <w:shd w:val="clear" w:color="auto" w:fill="00548C" w:themeFill="accent1" w:themeFillShade="BF"/>
      </w:tcPr>
    </w:tblStylePr>
    <w:tblStylePr w:type="lastCol">
      <w:tblPr/>
      <w:tcPr>
        <w:tcBorders>
          <w:top w:val="nil"/>
          <w:left w:val="single" w:sz="18" w:space="0" w:color="0072BC" w:themeColor="background1"/>
          <w:bottom w:val="nil"/>
          <w:right w:val="nil"/>
          <w:insideH w:val="nil"/>
          <w:insideV w:val="nil"/>
        </w:tcBorders>
        <w:shd w:val="clear" w:color="auto" w:fill="00548C" w:themeFill="accent1" w:themeFillShade="BF"/>
      </w:tcPr>
    </w:tblStylePr>
    <w:tblStylePr w:type="band1Vert">
      <w:tblPr/>
      <w:tcPr>
        <w:tcBorders>
          <w:top w:val="nil"/>
          <w:left w:val="nil"/>
          <w:bottom w:val="nil"/>
          <w:right w:val="nil"/>
          <w:insideH w:val="nil"/>
          <w:insideV w:val="nil"/>
        </w:tcBorders>
        <w:shd w:val="clear" w:color="auto" w:fill="00548C" w:themeFill="accent1" w:themeFillShade="BF"/>
      </w:tcPr>
    </w:tblStylePr>
    <w:tblStylePr w:type="band1Horz">
      <w:tblPr/>
      <w:tcPr>
        <w:tcBorders>
          <w:top w:val="nil"/>
          <w:left w:val="nil"/>
          <w:bottom w:val="nil"/>
          <w:right w:val="nil"/>
          <w:insideH w:val="nil"/>
          <w:insideV w:val="nil"/>
        </w:tcBorders>
        <w:shd w:val="clear" w:color="auto" w:fill="00548C" w:themeFill="accent1" w:themeFillShade="BF"/>
      </w:tcPr>
    </w:tblStylePr>
  </w:style>
  <w:style w:type="table" w:styleId="Ciemnalistaakcent2">
    <w:name w:val="Dark List Accent 2"/>
    <w:basedOn w:val="Standardowy"/>
    <w:uiPriority w:val="99"/>
    <w:semiHidden/>
    <w:rsid w:val="00014566"/>
    <w:rPr>
      <w:color w:val="0072BC" w:themeColor="background1"/>
      <w:lang w:val="fr-FR" w:eastAsia="fr-FR"/>
    </w:rPr>
    <w:tblPr>
      <w:tblStyleRowBandSize w:val="1"/>
      <w:tblStyleColBandSize w:val="1"/>
    </w:tblPr>
    <w:tcPr>
      <w:shd w:val="clear" w:color="auto" w:fill="C00000" w:themeFill="accent2"/>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5F0000" w:themeFill="accent2" w:themeFillShade="7F"/>
      </w:tcPr>
    </w:tblStylePr>
    <w:tblStylePr w:type="firstCol">
      <w:tblPr/>
      <w:tcPr>
        <w:tcBorders>
          <w:top w:val="nil"/>
          <w:left w:val="nil"/>
          <w:bottom w:val="nil"/>
          <w:right w:val="single" w:sz="18" w:space="0" w:color="0072BC" w:themeColor="background1"/>
          <w:insideH w:val="nil"/>
          <w:insideV w:val="nil"/>
        </w:tcBorders>
        <w:shd w:val="clear" w:color="auto" w:fill="8F0000" w:themeFill="accent2" w:themeFillShade="BF"/>
      </w:tcPr>
    </w:tblStylePr>
    <w:tblStylePr w:type="lastCol">
      <w:tblPr/>
      <w:tcPr>
        <w:tcBorders>
          <w:top w:val="nil"/>
          <w:left w:val="single" w:sz="18" w:space="0" w:color="0072BC" w:themeColor="background1"/>
          <w:bottom w:val="nil"/>
          <w:right w:val="nil"/>
          <w:insideH w:val="nil"/>
          <w:insideV w:val="nil"/>
        </w:tcBorders>
        <w:shd w:val="clear" w:color="auto" w:fill="8F0000" w:themeFill="accent2" w:themeFillShade="BF"/>
      </w:tcPr>
    </w:tblStylePr>
    <w:tblStylePr w:type="band1Vert">
      <w:tblPr/>
      <w:tcPr>
        <w:tcBorders>
          <w:top w:val="nil"/>
          <w:left w:val="nil"/>
          <w:bottom w:val="nil"/>
          <w:right w:val="nil"/>
          <w:insideH w:val="nil"/>
          <w:insideV w:val="nil"/>
        </w:tcBorders>
        <w:shd w:val="clear" w:color="auto" w:fill="8F0000" w:themeFill="accent2" w:themeFillShade="BF"/>
      </w:tcPr>
    </w:tblStylePr>
    <w:tblStylePr w:type="band1Horz">
      <w:tblPr/>
      <w:tcPr>
        <w:tcBorders>
          <w:top w:val="nil"/>
          <w:left w:val="nil"/>
          <w:bottom w:val="nil"/>
          <w:right w:val="nil"/>
          <w:insideH w:val="nil"/>
          <w:insideV w:val="nil"/>
        </w:tcBorders>
        <w:shd w:val="clear" w:color="auto" w:fill="8F0000" w:themeFill="accent2" w:themeFillShade="BF"/>
      </w:tcPr>
    </w:tblStylePr>
  </w:style>
  <w:style w:type="table" w:styleId="Ciemnalistaakcent3">
    <w:name w:val="Dark List Accent 3"/>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3"/>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3"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3"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3" w:themeFillShade="BF"/>
      </w:tcPr>
    </w:tblStylePr>
    <w:tblStylePr w:type="band1Vert">
      <w:tblPr/>
      <w:tcPr>
        <w:tcBorders>
          <w:top w:val="nil"/>
          <w:left w:val="nil"/>
          <w:bottom w:val="nil"/>
          <w:right w:val="nil"/>
          <w:insideH w:val="nil"/>
          <w:insideV w:val="nil"/>
        </w:tcBorders>
        <w:shd w:val="clear" w:color="auto" w:fill="474747" w:themeFill="accent3" w:themeFillShade="BF"/>
      </w:tcPr>
    </w:tblStylePr>
    <w:tblStylePr w:type="band1Horz">
      <w:tblPr/>
      <w:tcPr>
        <w:tcBorders>
          <w:top w:val="nil"/>
          <w:left w:val="nil"/>
          <w:bottom w:val="nil"/>
          <w:right w:val="nil"/>
          <w:insideH w:val="nil"/>
          <w:insideV w:val="nil"/>
        </w:tcBorders>
        <w:shd w:val="clear" w:color="auto" w:fill="474747" w:themeFill="accent3" w:themeFillShade="BF"/>
      </w:tcPr>
    </w:tblStylePr>
  </w:style>
  <w:style w:type="table" w:styleId="Ciemnalistaakcent4">
    <w:name w:val="Dark List Accent 4"/>
    <w:basedOn w:val="Standardowy"/>
    <w:uiPriority w:val="99"/>
    <w:semiHidden/>
    <w:rsid w:val="00014566"/>
    <w:rPr>
      <w:color w:val="0072BC" w:themeColor="background1"/>
      <w:lang w:val="fr-FR" w:eastAsia="fr-FR"/>
    </w:rPr>
    <w:tblPr>
      <w:tblStyleRowBandSize w:val="1"/>
      <w:tblStyleColBandSize w:val="1"/>
    </w:tblPr>
    <w:tcPr>
      <w:shd w:val="clear" w:color="auto" w:fill="969696" w:themeFill="accent4"/>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4A4A4A" w:themeFill="accent4" w:themeFillShade="7F"/>
      </w:tcPr>
    </w:tblStylePr>
    <w:tblStylePr w:type="firstCol">
      <w:tblPr/>
      <w:tcPr>
        <w:tcBorders>
          <w:top w:val="nil"/>
          <w:left w:val="nil"/>
          <w:bottom w:val="nil"/>
          <w:right w:val="single" w:sz="18" w:space="0" w:color="0072BC" w:themeColor="background1"/>
          <w:insideH w:val="nil"/>
          <w:insideV w:val="nil"/>
        </w:tcBorders>
        <w:shd w:val="clear" w:color="auto" w:fill="707070" w:themeFill="accent4" w:themeFillShade="BF"/>
      </w:tcPr>
    </w:tblStylePr>
    <w:tblStylePr w:type="lastCol">
      <w:tblPr/>
      <w:tcPr>
        <w:tcBorders>
          <w:top w:val="nil"/>
          <w:left w:val="single" w:sz="18" w:space="0" w:color="0072BC" w:themeColor="background1"/>
          <w:bottom w:val="nil"/>
          <w:right w:val="nil"/>
          <w:insideH w:val="nil"/>
          <w:insideV w:val="nil"/>
        </w:tcBorders>
        <w:shd w:val="clear" w:color="auto" w:fill="707070" w:themeFill="accent4" w:themeFillShade="BF"/>
      </w:tcPr>
    </w:tblStylePr>
    <w:tblStylePr w:type="band1Vert">
      <w:tblPr/>
      <w:tcPr>
        <w:tcBorders>
          <w:top w:val="nil"/>
          <w:left w:val="nil"/>
          <w:bottom w:val="nil"/>
          <w:right w:val="nil"/>
          <w:insideH w:val="nil"/>
          <w:insideV w:val="nil"/>
        </w:tcBorders>
        <w:shd w:val="clear" w:color="auto" w:fill="707070" w:themeFill="accent4" w:themeFillShade="BF"/>
      </w:tcPr>
    </w:tblStylePr>
    <w:tblStylePr w:type="band1Horz">
      <w:tblPr/>
      <w:tcPr>
        <w:tcBorders>
          <w:top w:val="nil"/>
          <w:left w:val="nil"/>
          <w:bottom w:val="nil"/>
          <w:right w:val="nil"/>
          <w:insideH w:val="nil"/>
          <w:insideV w:val="nil"/>
        </w:tcBorders>
        <w:shd w:val="clear" w:color="auto" w:fill="707070" w:themeFill="accent4" w:themeFillShade="BF"/>
      </w:tcPr>
    </w:tblStylePr>
  </w:style>
  <w:style w:type="table" w:styleId="Ciemnalistaakcent5">
    <w:name w:val="Dark List Accent 5"/>
    <w:basedOn w:val="Standardowy"/>
    <w:uiPriority w:val="99"/>
    <w:semiHidden/>
    <w:rsid w:val="00014566"/>
    <w:rPr>
      <w:color w:val="0072BC" w:themeColor="background1"/>
      <w:lang w:val="fr-FR" w:eastAsia="fr-FR"/>
    </w:rPr>
    <w:tblPr>
      <w:tblStyleRowBandSize w:val="1"/>
      <w:tblStyleColBandSize w:val="1"/>
    </w:tblPr>
    <w:tcPr>
      <w:shd w:val="clear" w:color="auto" w:fill="5F5F5F" w:themeFill="accent5"/>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F2F2F" w:themeFill="accent5" w:themeFillShade="7F"/>
      </w:tcPr>
    </w:tblStylePr>
    <w:tblStylePr w:type="firstCol">
      <w:tblPr/>
      <w:tcPr>
        <w:tcBorders>
          <w:top w:val="nil"/>
          <w:left w:val="nil"/>
          <w:bottom w:val="nil"/>
          <w:right w:val="single" w:sz="18" w:space="0" w:color="0072BC" w:themeColor="background1"/>
          <w:insideH w:val="nil"/>
          <w:insideV w:val="nil"/>
        </w:tcBorders>
        <w:shd w:val="clear" w:color="auto" w:fill="474747" w:themeFill="accent5" w:themeFillShade="BF"/>
      </w:tcPr>
    </w:tblStylePr>
    <w:tblStylePr w:type="lastCol">
      <w:tblPr/>
      <w:tcPr>
        <w:tcBorders>
          <w:top w:val="nil"/>
          <w:left w:val="single" w:sz="18" w:space="0" w:color="0072BC" w:themeColor="background1"/>
          <w:bottom w:val="nil"/>
          <w:right w:val="nil"/>
          <w:insideH w:val="nil"/>
          <w:insideV w:val="nil"/>
        </w:tcBorders>
        <w:shd w:val="clear" w:color="auto" w:fill="474747" w:themeFill="accent5" w:themeFillShade="BF"/>
      </w:tcPr>
    </w:tblStylePr>
    <w:tblStylePr w:type="band1Vert">
      <w:tblPr/>
      <w:tcPr>
        <w:tcBorders>
          <w:top w:val="nil"/>
          <w:left w:val="nil"/>
          <w:bottom w:val="nil"/>
          <w:right w:val="nil"/>
          <w:insideH w:val="nil"/>
          <w:insideV w:val="nil"/>
        </w:tcBorders>
        <w:shd w:val="clear" w:color="auto" w:fill="474747" w:themeFill="accent5" w:themeFillShade="BF"/>
      </w:tcPr>
    </w:tblStylePr>
    <w:tblStylePr w:type="band1Horz">
      <w:tblPr/>
      <w:tcPr>
        <w:tcBorders>
          <w:top w:val="nil"/>
          <w:left w:val="nil"/>
          <w:bottom w:val="nil"/>
          <w:right w:val="nil"/>
          <w:insideH w:val="nil"/>
          <w:insideV w:val="nil"/>
        </w:tcBorders>
        <w:shd w:val="clear" w:color="auto" w:fill="474747" w:themeFill="accent5" w:themeFillShade="BF"/>
      </w:tcPr>
    </w:tblStylePr>
  </w:style>
  <w:style w:type="table" w:styleId="Ciemnalistaakcent6">
    <w:name w:val="Dark List Accent 6"/>
    <w:basedOn w:val="Standardowy"/>
    <w:uiPriority w:val="99"/>
    <w:semiHidden/>
    <w:rsid w:val="00014566"/>
    <w:rPr>
      <w:color w:val="0072BC" w:themeColor="background1"/>
      <w:lang w:val="fr-FR" w:eastAsia="fr-FR"/>
    </w:rPr>
    <w:tblPr>
      <w:tblStyleRowBandSize w:val="1"/>
      <w:tblStyleColBandSize w:val="1"/>
    </w:tblPr>
    <w:tcPr>
      <w:shd w:val="clear" w:color="auto" w:fill="4D4D4D" w:themeFill="accent6"/>
    </w:tcPr>
    <w:tblStylePr w:type="firstRow">
      <w:rPr>
        <w:b/>
        <w:bCs/>
      </w:rPr>
      <w:tblPr/>
      <w:tcPr>
        <w:tcBorders>
          <w:top w:val="nil"/>
          <w:left w:val="nil"/>
          <w:bottom w:val="single" w:sz="18" w:space="0" w:color="0072BC" w:themeColor="background1"/>
          <w:right w:val="nil"/>
          <w:insideH w:val="nil"/>
          <w:insideV w:val="nil"/>
        </w:tcBorders>
        <w:shd w:val="clear" w:color="auto" w:fill="000000" w:themeFill="text1"/>
      </w:tcPr>
    </w:tblStylePr>
    <w:tblStylePr w:type="lastRow">
      <w:tblPr/>
      <w:tcPr>
        <w:tcBorders>
          <w:top w:val="single" w:sz="18" w:space="0" w:color="0072BC" w:themeColor="background1"/>
          <w:left w:val="nil"/>
          <w:bottom w:val="nil"/>
          <w:right w:val="nil"/>
          <w:insideH w:val="nil"/>
          <w:insideV w:val="nil"/>
        </w:tcBorders>
        <w:shd w:val="clear" w:color="auto" w:fill="262626" w:themeFill="accent6" w:themeFillShade="7F"/>
      </w:tcPr>
    </w:tblStylePr>
    <w:tblStylePr w:type="firstCol">
      <w:tblPr/>
      <w:tcPr>
        <w:tcBorders>
          <w:top w:val="nil"/>
          <w:left w:val="nil"/>
          <w:bottom w:val="nil"/>
          <w:right w:val="single" w:sz="18" w:space="0" w:color="0072BC" w:themeColor="background1"/>
          <w:insideH w:val="nil"/>
          <w:insideV w:val="nil"/>
        </w:tcBorders>
        <w:shd w:val="clear" w:color="auto" w:fill="393939" w:themeFill="accent6" w:themeFillShade="BF"/>
      </w:tcPr>
    </w:tblStylePr>
    <w:tblStylePr w:type="lastCol">
      <w:tblPr/>
      <w:tcPr>
        <w:tcBorders>
          <w:top w:val="nil"/>
          <w:left w:val="single" w:sz="18" w:space="0" w:color="0072BC" w:themeColor="background1"/>
          <w:bottom w:val="nil"/>
          <w:right w:val="nil"/>
          <w:insideH w:val="nil"/>
          <w:insideV w:val="nil"/>
        </w:tcBorders>
        <w:shd w:val="clear" w:color="auto" w:fill="393939" w:themeFill="accent6" w:themeFillShade="BF"/>
      </w:tcPr>
    </w:tblStylePr>
    <w:tblStylePr w:type="band1Vert">
      <w:tblPr/>
      <w:tcPr>
        <w:tcBorders>
          <w:top w:val="nil"/>
          <w:left w:val="nil"/>
          <w:bottom w:val="nil"/>
          <w:right w:val="nil"/>
          <w:insideH w:val="nil"/>
          <w:insideV w:val="nil"/>
        </w:tcBorders>
        <w:shd w:val="clear" w:color="auto" w:fill="393939" w:themeFill="accent6" w:themeFillShade="BF"/>
      </w:tcPr>
    </w:tblStylePr>
    <w:tblStylePr w:type="band1Horz">
      <w:tblPr/>
      <w:tcPr>
        <w:tcBorders>
          <w:top w:val="nil"/>
          <w:left w:val="nil"/>
          <w:bottom w:val="nil"/>
          <w:right w:val="nil"/>
          <w:insideH w:val="nil"/>
          <w:insideV w:val="nil"/>
        </w:tcBorders>
        <w:shd w:val="clear" w:color="auto" w:fill="393939" w:themeFill="accent6" w:themeFillShade="BF"/>
      </w:tcPr>
    </w:tblStylePr>
  </w:style>
  <w:style w:type="paragraph" w:styleId="Data">
    <w:name w:val="Date"/>
    <w:basedOn w:val="Normalny"/>
    <w:next w:val="Normalny"/>
    <w:link w:val="DataZnak"/>
    <w:uiPriority w:val="99"/>
    <w:semiHidden/>
    <w:rsid w:val="00014566"/>
  </w:style>
  <w:style w:type="character" w:customStyle="1" w:styleId="DataZnak">
    <w:name w:val="Data Znak"/>
    <w:basedOn w:val="Domylnaczcionkaakapitu"/>
    <w:link w:val="Data"/>
    <w:uiPriority w:val="99"/>
    <w:semiHidden/>
    <w:rsid w:val="00014566"/>
    <w:rPr>
      <w:rFonts w:eastAsiaTheme="minorEastAsia"/>
      <w:sz w:val="24"/>
    </w:rPr>
  </w:style>
  <w:style w:type="paragraph" w:styleId="Podpise-mail">
    <w:name w:val="E-mail Signature"/>
    <w:basedOn w:val="Normalny"/>
    <w:link w:val="Podpise-mailZnak"/>
    <w:uiPriority w:val="99"/>
    <w:semiHidden/>
    <w:rsid w:val="00014566"/>
  </w:style>
  <w:style w:type="character" w:customStyle="1" w:styleId="Podpise-mailZnak">
    <w:name w:val="Podpis e-mail Znak"/>
    <w:basedOn w:val="Domylnaczcionkaakapitu"/>
    <w:link w:val="Podpise-mail"/>
    <w:uiPriority w:val="99"/>
    <w:semiHidden/>
    <w:rsid w:val="00014566"/>
    <w:rPr>
      <w:rFonts w:eastAsiaTheme="minorEastAsia"/>
      <w:sz w:val="24"/>
    </w:rPr>
  </w:style>
  <w:style w:type="paragraph" w:styleId="Adresnakopercie">
    <w:name w:val="envelope address"/>
    <w:basedOn w:val="Normalny"/>
    <w:uiPriority w:val="99"/>
    <w:semiHidden/>
    <w:rsid w:val="00014566"/>
    <w:pPr>
      <w:framePr w:w="7938" w:h="1985" w:hRule="exact" w:hSpace="141" w:wrap="auto" w:hAnchor="page" w:xAlign="center" w:yAlign="bottom"/>
      <w:ind w:left="2835"/>
    </w:pPr>
    <w:rPr>
      <w:rFonts w:asciiTheme="majorHAnsi" w:eastAsiaTheme="majorEastAsia" w:hAnsiTheme="majorHAnsi" w:cstheme="majorBidi"/>
      <w:szCs w:val="24"/>
    </w:rPr>
  </w:style>
  <w:style w:type="paragraph" w:styleId="Adreszwrotnynakopercie">
    <w:name w:val="envelope return"/>
    <w:basedOn w:val="Normalny"/>
    <w:uiPriority w:val="99"/>
    <w:semiHidden/>
    <w:rsid w:val="00014566"/>
    <w:rPr>
      <w:rFonts w:asciiTheme="majorHAnsi" w:eastAsiaTheme="majorEastAsia" w:hAnsiTheme="majorHAnsi" w:cstheme="majorBidi"/>
      <w:sz w:val="20"/>
      <w:szCs w:val="20"/>
    </w:rPr>
  </w:style>
  <w:style w:type="character" w:styleId="HTML-akronim">
    <w:name w:val="HTML Acronym"/>
    <w:basedOn w:val="Domylnaczcionkaakapitu"/>
    <w:uiPriority w:val="99"/>
    <w:semiHidden/>
    <w:rsid w:val="00014566"/>
  </w:style>
  <w:style w:type="paragraph" w:styleId="HTML-adres">
    <w:name w:val="HTML Address"/>
    <w:basedOn w:val="Normalny"/>
    <w:link w:val="HTML-adresZnak"/>
    <w:uiPriority w:val="99"/>
    <w:semiHidden/>
    <w:rsid w:val="00014566"/>
    <w:rPr>
      <w:i/>
      <w:iCs/>
    </w:rPr>
  </w:style>
  <w:style w:type="character" w:customStyle="1" w:styleId="HTML-adresZnak">
    <w:name w:val="HTML - adres Znak"/>
    <w:basedOn w:val="Domylnaczcionkaakapitu"/>
    <w:link w:val="HTML-adres"/>
    <w:uiPriority w:val="99"/>
    <w:semiHidden/>
    <w:rsid w:val="00014566"/>
    <w:rPr>
      <w:rFonts w:eastAsiaTheme="minorEastAsia"/>
      <w:i/>
      <w:iCs/>
      <w:sz w:val="24"/>
    </w:rPr>
  </w:style>
  <w:style w:type="character" w:styleId="HTML-cytat">
    <w:name w:val="HTML Cite"/>
    <w:basedOn w:val="Domylnaczcionkaakapitu"/>
    <w:uiPriority w:val="99"/>
    <w:semiHidden/>
    <w:rsid w:val="00014566"/>
    <w:rPr>
      <w:i/>
      <w:iCs/>
    </w:rPr>
  </w:style>
  <w:style w:type="character" w:styleId="HTML-kod">
    <w:name w:val="HTML Code"/>
    <w:basedOn w:val="Domylnaczcionkaakapitu"/>
    <w:uiPriority w:val="99"/>
    <w:semiHidden/>
    <w:rsid w:val="00014566"/>
    <w:rPr>
      <w:rFonts w:ascii="Consolas" w:hAnsi="Consolas" w:cs="Consolas"/>
      <w:sz w:val="20"/>
      <w:szCs w:val="20"/>
    </w:rPr>
  </w:style>
  <w:style w:type="character" w:styleId="HTML-definicja">
    <w:name w:val="HTML Definition"/>
    <w:basedOn w:val="Domylnaczcionkaakapitu"/>
    <w:uiPriority w:val="99"/>
    <w:semiHidden/>
    <w:rsid w:val="00014566"/>
    <w:rPr>
      <w:i/>
      <w:iCs/>
    </w:rPr>
  </w:style>
  <w:style w:type="character" w:styleId="HTML-klawiatura">
    <w:name w:val="HTML Keyboard"/>
    <w:basedOn w:val="Domylnaczcionkaakapitu"/>
    <w:uiPriority w:val="99"/>
    <w:semiHidden/>
    <w:rsid w:val="00014566"/>
    <w:rPr>
      <w:rFonts w:ascii="Consolas" w:hAnsi="Consolas" w:cs="Consolas"/>
      <w:sz w:val="20"/>
      <w:szCs w:val="20"/>
    </w:rPr>
  </w:style>
  <w:style w:type="paragraph" w:styleId="HTML-wstpniesformatowany">
    <w:name w:val="HTML Preformatted"/>
    <w:basedOn w:val="Normalny"/>
    <w:link w:val="HTML-wstpniesformatowanyZnak"/>
    <w:uiPriority w:val="99"/>
    <w:semiHidden/>
    <w:rsid w:val="00014566"/>
    <w:rPr>
      <w:rFonts w:ascii="Consolas" w:hAnsi="Consolas" w:cs="Consolas"/>
      <w:sz w:val="20"/>
      <w:szCs w:val="20"/>
    </w:rPr>
  </w:style>
  <w:style w:type="character" w:customStyle="1" w:styleId="HTML-wstpniesformatowanyZnak">
    <w:name w:val="HTML - wstępnie sformatowany Znak"/>
    <w:basedOn w:val="Domylnaczcionkaakapitu"/>
    <w:link w:val="HTML-wstpniesformatowany"/>
    <w:uiPriority w:val="99"/>
    <w:semiHidden/>
    <w:rsid w:val="00014566"/>
    <w:rPr>
      <w:rFonts w:ascii="Consolas" w:eastAsiaTheme="minorEastAsia" w:hAnsi="Consolas" w:cs="Consolas"/>
      <w:sz w:val="20"/>
      <w:szCs w:val="20"/>
    </w:rPr>
  </w:style>
  <w:style w:type="character" w:styleId="HTML-przykad">
    <w:name w:val="HTML Sample"/>
    <w:basedOn w:val="Domylnaczcionkaakapitu"/>
    <w:uiPriority w:val="99"/>
    <w:semiHidden/>
    <w:rsid w:val="00014566"/>
    <w:rPr>
      <w:rFonts w:ascii="Consolas" w:hAnsi="Consolas" w:cs="Consolas"/>
      <w:sz w:val="24"/>
      <w:szCs w:val="24"/>
    </w:rPr>
  </w:style>
  <w:style w:type="character" w:styleId="HTML-staaszeroko">
    <w:name w:val="HTML Typewriter"/>
    <w:basedOn w:val="Domylnaczcionkaakapitu"/>
    <w:uiPriority w:val="99"/>
    <w:semiHidden/>
    <w:rsid w:val="00014566"/>
    <w:rPr>
      <w:rFonts w:ascii="Consolas" w:hAnsi="Consolas" w:cs="Consolas"/>
      <w:sz w:val="20"/>
      <w:szCs w:val="20"/>
    </w:rPr>
  </w:style>
  <w:style w:type="character" w:styleId="HTML-zmienna">
    <w:name w:val="HTML Variable"/>
    <w:basedOn w:val="Domylnaczcionkaakapitu"/>
    <w:uiPriority w:val="99"/>
    <w:semiHidden/>
    <w:rsid w:val="00014566"/>
    <w:rPr>
      <w:i/>
      <w:iCs/>
    </w:rPr>
  </w:style>
  <w:style w:type="paragraph" w:styleId="Indeks1">
    <w:name w:val="index 1"/>
    <w:basedOn w:val="Normalny"/>
    <w:next w:val="Normalny"/>
    <w:autoRedefine/>
    <w:uiPriority w:val="99"/>
    <w:semiHidden/>
    <w:rsid w:val="00014566"/>
    <w:pPr>
      <w:ind w:left="240" w:hanging="240"/>
    </w:pPr>
  </w:style>
  <w:style w:type="paragraph" w:styleId="Indeks2">
    <w:name w:val="index 2"/>
    <w:basedOn w:val="Normalny"/>
    <w:next w:val="Normalny"/>
    <w:autoRedefine/>
    <w:uiPriority w:val="99"/>
    <w:semiHidden/>
    <w:rsid w:val="00014566"/>
    <w:pPr>
      <w:ind w:left="480" w:hanging="240"/>
    </w:pPr>
  </w:style>
  <w:style w:type="paragraph" w:styleId="Indeks3">
    <w:name w:val="index 3"/>
    <w:basedOn w:val="Normalny"/>
    <w:next w:val="Normalny"/>
    <w:autoRedefine/>
    <w:uiPriority w:val="99"/>
    <w:semiHidden/>
    <w:rsid w:val="00014566"/>
    <w:pPr>
      <w:ind w:left="720" w:hanging="240"/>
    </w:pPr>
  </w:style>
  <w:style w:type="paragraph" w:styleId="Indeks4">
    <w:name w:val="index 4"/>
    <w:basedOn w:val="Normalny"/>
    <w:next w:val="Normalny"/>
    <w:autoRedefine/>
    <w:uiPriority w:val="99"/>
    <w:semiHidden/>
    <w:rsid w:val="00014566"/>
    <w:pPr>
      <w:ind w:left="960" w:hanging="240"/>
    </w:pPr>
  </w:style>
  <w:style w:type="paragraph" w:styleId="Indeks5">
    <w:name w:val="index 5"/>
    <w:basedOn w:val="Normalny"/>
    <w:next w:val="Normalny"/>
    <w:autoRedefine/>
    <w:uiPriority w:val="99"/>
    <w:semiHidden/>
    <w:rsid w:val="00014566"/>
    <w:pPr>
      <w:ind w:left="1200" w:hanging="240"/>
    </w:pPr>
  </w:style>
  <w:style w:type="paragraph" w:styleId="Indeks6">
    <w:name w:val="index 6"/>
    <w:basedOn w:val="Normalny"/>
    <w:next w:val="Normalny"/>
    <w:autoRedefine/>
    <w:uiPriority w:val="99"/>
    <w:semiHidden/>
    <w:rsid w:val="00014566"/>
    <w:pPr>
      <w:ind w:left="1440" w:hanging="240"/>
    </w:pPr>
  </w:style>
  <w:style w:type="paragraph" w:styleId="Indeks7">
    <w:name w:val="index 7"/>
    <w:basedOn w:val="Normalny"/>
    <w:next w:val="Normalny"/>
    <w:autoRedefine/>
    <w:uiPriority w:val="99"/>
    <w:semiHidden/>
    <w:rsid w:val="00014566"/>
    <w:pPr>
      <w:ind w:left="1680" w:hanging="240"/>
    </w:pPr>
  </w:style>
  <w:style w:type="paragraph" w:styleId="Indeks8">
    <w:name w:val="index 8"/>
    <w:basedOn w:val="Normalny"/>
    <w:next w:val="Normalny"/>
    <w:autoRedefine/>
    <w:uiPriority w:val="99"/>
    <w:semiHidden/>
    <w:rsid w:val="00014566"/>
    <w:pPr>
      <w:ind w:left="1920" w:hanging="240"/>
    </w:pPr>
  </w:style>
  <w:style w:type="paragraph" w:styleId="Indeks9">
    <w:name w:val="index 9"/>
    <w:basedOn w:val="Normalny"/>
    <w:next w:val="Normalny"/>
    <w:autoRedefine/>
    <w:uiPriority w:val="99"/>
    <w:semiHidden/>
    <w:rsid w:val="00014566"/>
    <w:pPr>
      <w:ind w:left="2160" w:hanging="240"/>
    </w:pPr>
  </w:style>
  <w:style w:type="paragraph" w:styleId="Nagwekindeksu">
    <w:name w:val="index heading"/>
    <w:basedOn w:val="Normalny"/>
    <w:next w:val="Indeks1"/>
    <w:uiPriority w:val="99"/>
    <w:semiHidden/>
    <w:rsid w:val="00014566"/>
    <w:rPr>
      <w:rFonts w:asciiTheme="majorHAnsi" w:eastAsiaTheme="majorEastAsia" w:hAnsiTheme="majorHAnsi" w:cstheme="majorBidi"/>
      <w:b/>
      <w:bCs/>
    </w:rPr>
  </w:style>
  <w:style w:type="table" w:styleId="Jasnasiatka">
    <w:name w:val="Light Grid"/>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Jasnasiatkaakcent1">
    <w:name w:val="Light Grid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18" w:space="0" w:color="0072BC" w:themeColor="accent1"/>
          <w:right w:val="single" w:sz="8" w:space="0" w:color="0072BC" w:themeColor="accent1"/>
          <w:insideH w:val="nil"/>
          <w:insideV w:val="single" w:sz="8" w:space="0" w:color="0072BC"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insideH w:val="nil"/>
          <w:insideV w:val="single" w:sz="8" w:space="0" w:color="0072BC"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shd w:val="clear" w:color="auto" w:fill="AFDFFF" w:themeFill="accent1" w:themeFillTint="3F"/>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shd w:val="clear" w:color="auto" w:fill="AFDFFF" w:themeFill="accent1" w:themeFillTint="3F"/>
      </w:tcPr>
    </w:tblStylePr>
    <w:tblStylePr w:type="band2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insideV w:val="single" w:sz="8" w:space="0" w:color="0072BC" w:themeColor="accent1"/>
        </w:tcBorders>
      </w:tcPr>
    </w:tblStylePr>
  </w:style>
  <w:style w:type="table" w:styleId="Jasnasiatkaakcent2">
    <w:name w:val="Light Grid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18" w:space="0" w:color="C00000" w:themeColor="accent2"/>
          <w:right w:val="single" w:sz="8" w:space="0" w:color="C00000" w:themeColor="accent2"/>
          <w:insideH w:val="nil"/>
          <w:insideV w:val="single" w:sz="8" w:space="0" w:color="C00000"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insideH w:val="nil"/>
          <w:insideV w:val="single" w:sz="8" w:space="0" w:color="C00000"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shd w:val="clear" w:color="auto" w:fill="FFB0B0" w:themeFill="accent2" w:themeFillTint="3F"/>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shd w:val="clear" w:color="auto" w:fill="FFB0B0" w:themeFill="accent2" w:themeFillTint="3F"/>
      </w:tcPr>
    </w:tblStylePr>
    <w:tblStylePr w:type="band2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insideV w:val="single" w:sz="8" w:space="0" w:color="C00000" w:themeColor="accent2"/>
        </w:tcBorders>
      </w:tcPr>
    </w:tblStylePr>
  </w:style>
  <w:style w:type="table" w:styleId="Jasnasiatkaakcent3">
    <w:name w:val="Light Grid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18" w:space="0" w:color="5F5F5F" w:themeColor="accent3"/>
          <w:right w:val="single" w:sz="8" w:space="0" w:color="5F5F5F" w:themeColor="accent3"/>
          <w:insideH w:val="nil"/>
          <w:insideV w:val="single" w:sz="8" w:space="0" w:color="5F5F5F"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insideH w:val="nil"/>
          <w:insideV w:val="single" w:sz="8" w:space="0" w:color="5F5F5F"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shd w:val="clear" w:color="auto" w:fill="D7D7D7" w:themeFill="accent3" w:themeFillTint="3F"/>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shd w:val="clear" w:color="auto" w:fill="D7D7D7" w:themeFill="accent3" w:themeFillTint="3F"/>
      </w:tcPr>
    </w:tblStylePr>
    <w:tblStylePr w:type="band2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insideV w:val="single" w:sz="8" w:space="0" w:color="5F5F5F" w:themeColor="accent3"/>
        </w:tcBorders>
      </w:tcPr>
    </w:tblStylePr>
  </w:style>
  <w:style w:type="table" w:styleId="Jasnasiatkaakcent4">
    <w:name w:val="Light Grid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18" w:space="0" w:color="969696" w:themeColor="accent4"/>
          <w:right w:val="single" w:sz="8" w:space="0" w:color="969696" w:themeColor="accent4"/>
          <w:insideH w:val="nil"/>
          <w:insideV w:val="single" w:sz="8" w:space="0" w:color="969696"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insideH w:val="nil"/>
          <w:insideV w:val="single" w:sz="8" w:space="0" w:color="969696"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shd w:val="clear" w:color="auto" w:fill="E5E5E5" w:themeFill="accent4" w:themeFillTint="3F"/>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shd w:val="clear" w:color="auto" w:fill="E5E5E5" w:themeFill="accent4" w:themeFillTint="3F"/>
      </w:tcPr>
    </w:tblStylePr>
    <w:tblStylePr w:type="band2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insideV w:val="single" w:sz="8" w:space="0" w:color="969696" w:themeColor="accent4"/>
        </w:tcBorders>
      </w:tcPr>
    </w:tblStylePr>
  </w:style>
  <w:style w:type="table" w:styleId="Jasnasiatkaakcent5">
    <w:name w:val="Light Grid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18" w:space="0" w:color="5F5F5F" w:themeColor="accent5"/>
          <w:right w:val="single" w:sz="8" w:space="0" w:color="5F5F5F" w:themeColor="accent5"/>
          <w:insideH w:val="nil"/>
          <w:insideV w:val="single" w:sz="8" w:space="0" w:color="5F5F5F"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insideH w:val="nil"/>
          <w:insideV w:val="single" w:sz="8" w:space="0" w:color="5F5F5F"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shd w:val="clear" w:color="auto" w:fill="D7D7D7" w:themeFill="accent5" w:themeFillTint="3F"/>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shd w:val="clear" w:color="auto" w:fill="D7D7D7" w:themeFill="accent5" w:themeFillTint="3F"/>
      </w:tcPr>
    </w:tblStylePr>
    <w:tblStylePr w:type="band2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insideV w:val="single" w:sz="8" w:space="0" w:color="5F5F5F" w:themeColor="accent5"/>
        </w:tcBorders>
      </w:tcPr>
    </w:tblStylePr>
  </w:style>
  <w:style w:type="table" w:styleId="Jasnasiatkaakcent6">
    <w:name w:val="Light Grid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18" w:space="0" w:color="4D4D4D" w:themeColor="accent6"/>
          <w:right w:val="single" w:sz="8" w:space="0" w:color="4D4D4D" w:themeColor="accent6"/>
          <w:insideH w:val="nil"/>
          <w:insideV w:val="single" w:sz="8" w:space="0" w:color="4D4D4D"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insideH w:val="nil"/>
          <w:insideV w:val="single" w:sz="8" w:space="0" w:color="4D4D4D"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shd w:val="clear" w:color="auto" w:fill="D3D3D3" w:themeFill="accent6" w:themeFillTint="3F"/>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shd w:val="clear" w:color="auto" w:fill="D3D3D3" w:themeFill="accent6" w:themeFillTint="3F"/>
      </w:tcPr>
    </w:tblStylePr>
    <w:tblStylePr w:type="band2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insideV w:val="single" w:sz="8" w:space="0" w:color="4D4D4D" w:themeColor="accent6"/>
        </w:tcBorders>
      </w:tcPr>
    </w:tblStylePr>
  </w:style>
  <w:style w:type="table" w:styleId="Jasnalista">
    <w:name w:val="Light List"/>
    <w:basedOn w:val="Standardowy"/>
    <w:uiPriority w:val="99"/>
    <w:semiHidden/>
    <w:rsid w:val="00014566"/>
    <w:rPr>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0072BC"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Jasnalistaakcent1">
    <w:name w:val="Light List Accent 1"/>
    <w:basedOn w:val="Standardowy"/>
    <w:uiPriority w:val="99"/>
    <w:semiHidden/>
    <w:rsid w:val="00014566"/>
    <w:rPr>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pPr>
        <w:spacing w:before="0" w:after="0" w:line="240" w:lineRule="auto"/>
      </w:pPr>
      <w:rPr>
        <w:b/>
        <w:bCs/>
        <w:color w:val="0072BC" w:themeColor="background1"/>
      </w:rPr>
      <w:tblPr/>
      <w:tcPr>
        <w:shd w:val="clear" w:color="auto" w:fill="0072BC" w:themeFill="accent1"/>
      </w:tcPr>
    </w:tblStylePr>
    <w:tblStylePr w:type="lastRow">
      <w:pPr>
        <w:spacing w:before="0" w:after="0" w:line="240" w:lineRule="auto"/>
      </w:pPr>
      <w:rPr>
        <w:b/>
        <w:bCs/>
      </w:rPr>
      <w:tblPr/>
      <w:tcPr>
        <w:tcBorders>
          <w:top w:val="double" w:sz="6" w:space="0" w:color="0072BC" w:themeColor="accent1"/>
          <w:left w:val="single" w:sz="8" w:space="0" w:color="0072BC" w:themeColor="accent1"/>
          <w:bottom w:val="single" w:sz="8" w:space="0" w:color="0072BC" w:themeColor="accent1"/>
          <w:right w:val="single" w:sz="8" w:space="0" w:color="0072BC" w:themeColor="accent1"/>
        </w:tcBorders>
      </w:tcPr>
    </w:tblStylePr>
    <w:tblStylePr w:type="firstCol">
      <w:rPr>
        <w:b/>
        <w:bCs/>
      </w:rPr>
    </w:tblStylePr>
    <w:tblStylePr w:type="lastCol">
      <w:rPr>
        <w:b/>
        <w:bCs/>
      </w:rPr>
    </w:tblStylePr>
    <w:tblStylePr w:type="band1Vert">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tblStylePr w:type="band1Horz">
      <w:tblPr/>
      <w:tcPr>
        <w:tcBorders>
          <w:top w:val="single" w:sz="8" w:space="0" w:color="0072BC" w:themeColor="accent1"/>
          <w:left w:val="single" w:sz="8" w:space="0" w:color="0072BC" w:themeColor="accent1"/>
          <w:bottom w:val="single" w:sz="8" w:space="0" w:color="0072BC" w:themeColor="accent1"/>
          <w:right w:val="single" w:sz="8" w:space="0" w:color="0072BC" w:themeColor="accent1"/>
        </w:tcBorders>
      </w:tcPr>
    </w:tblStylePr>
  </w:style>
  <w:style w:type="table" w:styleId="Jasnalistaakcent2">
    <w:name w:val="Light List Accent 2"/>
    <w:basedOn w:val="Standardowy"/>
    <w:uiPriority w:val="99"/>
    <w:semiHidden/>
    <w:rsid w:val="00014566"/>
    <w:rPr>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pPr>
        <w:spacing w:before="0" w:after="0" w:line="240" w:lineRule="auto"/>
      </w:pPr>
      <w:rPr>
        <w:b/>
        <w:bCs/>
        <w:color w:val="0072BC" w:themeColor="background1"/>
      </w:rPr>
      <w:tblPr/>
      <w:tcPr>
        <w:shd w:val="clear" w:color="auto" w:fill="C00000" w:themeFill="accent2"/>
      </w:tcPr>
    </w:tblStylePr>
    <w:tblStylePr w:type="lastRow">
      <w:pPr>
        <w:spacing w:before="0" w:after="0" w:line="240" w:lineRule="auto"/>
      </w:pPr>
      <w:rPr>
        <w:b/>
        <w:bCs/>
      </w:rPr>
      <w:tblPr/>
      <w:tcPr>
        <w:tcBorders>
          <w:top w:val="double" w:sz="6" w:space="0" w:color="C00000" w:themeColor="accent2"/>
          <w:left w:val="single" w:sz="8" w:space="0" w:color="C00000" w:themeColor="accent2"/>
          <w:bottom w:val="single" w:sz="8" w:space="0" w:color="C00000" w:themeColor="accent2"/>
          <w:right w:val="single" w:sz="8" w:space="0" w:color="C00000" w:themeColor="accent2"/>
        </w:tcBorders>
      </w:tcPr>
    </w:tblStylePr>
    <w:tblStylePr w:type="firstCol">
      <w:rPr>
        <w:b/>
        <w:bCs/>
      </w:rPr>
    </w:tblStylePr>
    <w:tblStylePr w:type="lastCol">
      <w:rPr>
        <w:b/>
        <w:bCs/>
      </w:rPr>
    </w:tblStylePr>
    <w:tblStylePr w:type="band1Vert">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tblStylePr w:type="band1Horz">
      <w:tblPr/>
      <w:tcPr>
        <w:tcBorders>
          <w:top w:val="single" w:sz="8" w:space="0" w:color="C00000" w:themeColor="accent2"/>
          <w:left w:val="single" w:sz="8" w:space="0" w:color="C00000" w:themeColor="accent2"/>
          <w:bottom w:val="single" w:sz="8" w:space="0" w:color="C00000" w:themeColor="accent2"/>
          <w:right w:val="single" w:sz="8" w:space="0" w:color="C00000" w:themeColor="accent2"/>
        </w:tcBorders>
      </w:tcPr>
    </w:tblStylePr>
  </w:style>
  <w:style w:type="table" w:styleId="Jasnalistaakcent3">
    <w:name w:val="Light List Accent 3"/>
    <w:basedOn w:val="Standardowy"/>
    <w:uiPriority w:val="99"/>
    <w:semiHidden/>
    <w:rsid w:val="00014566"/>
    <w:rPr>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pPr>
        <w:spacing w:before="0" w:after="0" w:line="240" w:lineRule="auto"/>
      </w:pPr>
      <w:rPr>
        <w:b/>
        <w:bCs/>
        <w:color w:val="0072BC" w:themeColor="background1"/>
      </w:rPr>
      <w:tblPr/>
      <w:tcPr>
        <w:shd w:val="clear" w:color="auto" w:fill="5F5F5F" w:themeFill="accent3"/>
      </w:tcPr>
    </w:tblStylePr>
    <w:tblStylePr w:type="lastRow">
      <w:pPr>
        <w:spacing w:before="0" w:after="0" w:line="240" w:lineRule="auto"/>
      </w:pPr>
      <w:rPr>
        <w:b/>
        <w:bCs/>
      </w:rPr>
      <w:tblPr/>
      <w:tcPr>
        <w:tcBorders>
          <w:top w:val="double" w:sz="6" w:space="0" w:color="5F5F5F" w:themeColor="accent3"/>
          <w:left w:val="single" w:sz="8" w:space="0" w:color="5F5F5F" w:themeColor="accent3"/>
          <w:bottom w:val="single" w:sz="8" w:space="0" w:color="5F5F5F" w:themeColor="accent3"/>
          <w:right w:val="single" w:sz="8" w:space="0" w:color="5F5F5F" w:themeColor="accent3"/>
        </w:tcBorders>
      </w:tcPr>
    </w:tblStylePr>
    <w:tblStylePr w:type="firstCol">
      <w:rPr>
        <w:b/>
        <w:bCs/>
      </w:rPr>
    </w:tblStylePr>
    <w:tblStylePr w:type="lastCol">
      <w:rPr>
        <w:b/>
        <w:bCs/>
      </w:rPr>
    </w:tblStylePr>
    <w:tblStylePr w:type="band1Vert">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tblStylePr w:type="band1Horz">
      <w:tblPr/>
      <w:tcPr>
        <w:tcBorders>
          <w:top w:val="single" w:sz="8" w:space="0" w:color="5F5F5F" w:themeColor="accent3"/>
          <w:left w:val="single" w:sz="8" w:space="0" w:color="5F5F5F" w:themeColor="accent3"/>
          <w:bottom w:val="single" w:sz="8" w:space="0" w:color="5F5F5F" w:themeColor="accent3"/>
          <w:right w:val="single" w:sz="8" w:space="0" w:color="5F5F5F" w:themeColor="accent3"/>
        </w:tcBorders>
      </w:tcPr>
    </w:tblStylePr>
  </w:style>
  <w:style w:type="table" w:styleId="Jasnalistaakcent4">
    <w:name w:val="Light List Accent 4"/>
    <w:basedOn w:val="Standardowy"/>
    <w:uiPriority w:val="99"/>
    <w:semiHidden/>
    <w:rsid w:val="00014566"/>
    <w:rPr>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pPr>
        <w:spacing w:before="0" w:after="0" w:line="240" w:lineRule="auto"/>
      </w:pPr>
      <w:rPr>
        <w:b/>
        <w:bCs/>
        <w:color w:val="0072BC" w:themeColor="background1"/>
      </w:rPr>
      <w:tblPr/>
      <w:tcPr>
        <w:shd w:val="clear" w:color="auto" w:fill="969696" w:themeFill="accent4"/>
      </w:tcPr>
    </w:tblStylePr>
    <w:tblStylePr w:type="lastRow">
      <w:pPr>
        <w:spacing w:before="0" w:after="0" w:line="240" w:lineRule="auto"/>
      </w:pPr>
      <w:rPr>
        <w:b/>
        <w:bCs/>
      </w:rPr>
      <w:tblPr/>
      <w:tcPr>
        <w:tcBorders>
          <w:top w:val="double" w:sz="6" w:space="0" w:color="969696" w:themeColor="accent4"/>
          <w:left w:val="single" w:sz="8" w:space="0" w:color="969696" w:themeColor="accent4"/>
          <w:bottom w:val="single" w:sz="8" w:space="0" w:color="969696" w:themeColor="accent4"/>
          <w:right w:val="single" w:sz="8" w:space="0" w:color="969696" w:themeColor="accent4"/>
        </w:tcBorders>
      </w:tcPr>
    </w:tblStylePr>
    <w:tblStylePr w:type="firstCol">
      <w:rPr>
        <w:b/>
        <w:bCs/>
      </w:rPr>
    </w:tblStylePr>
    <w:tblStylePr w:type="lastCol">
      <w:rPr>
        <w:b/>
        <w:bCs/>
      </w:rPr>
    </w:tblStylePr>
    <w:tblStylePr w:type="band1Vert">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tblStylePr w:type="band1Horz">
      <w:tblPr/>
      <w:tcPr>
        <w:tcBorders>
          <w:top w:val="single" w:sz="8" w:space="0" w:color="969696" w:themeColor="accent4"/>
          <w:left w:val="single" w:sz="8" w:space="0" w:color="969696" w:themeColor="accent4"/>
          <w:bottom w:val="single" w:sz="8" w:space="0" w:color="969696" w:themeColor="accent4"/>
          <w:right w:val="single" w:sz="8" w:space="0" w:color="969696" w:themeColor="accent4"/>
        </w:tcBorders>
      </w:tcPr>
    </w:tblStylePr>
  </w:style>
  <w:style w:type="table" w:styleId="Jasnalistaakcent5">
    <w:name w:val="Light List Accent 5"/>
    <w:basedOn w:val="Standardowy"/>
    <w:uiPriority w:val="99"/>
    <w:semiHidden/>
    <w:rsid w:val="00014566"/>
    <w:rPr>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pPr>
        <w:spacing w:before="0" w:after="0" w:line="240" w:lineRule="auto"/>
      </w:pPr>
      <w:rPr>
        <w:b/>
        <w:bCs/>
        <w:color w:val="0072BC" w:themeColor="background1"/>
      </w:rPr>
      <w:tblPr/>
      <w:tcPr>
        <w:shd w:val="clear" w:color="auto" w:fill="5F5F5F" w:themeFill="accent5"/>
      </w:tcPr>
    </w:tblStylePr>
    <w:tblStylePr w:type="lastRow">
      <w:pPr>
        <w:spacing w:before="0" w:after="0" w:line="240" w:lineRule="auto"/>
      </w:pPr>
      <w:rPr>
        <w:b/>
        <w:bCs/>
      </w:rPr>
      <w:tblPr/>
      <w:tcPr>
        <w:tcBorders>
          <w:top w:val="double" w:sz="6" w:space="0" w:color="5F5F5F" w:themeColor="accent5"/>
          <w:left w:val="single" w:sz="8" w:space="0" w:color="5F5F5F" w:themeColor="accent5"/>
          <w:bottom w:val="single" w:sz="8" w:space="0" w:color="5F5F5F" w:themeColor="accent5"/>
          <w:right w:val="single" w:sz="8" w:space="0" w:color="5F5F5F" w:themeColor="accent5"/>
        </w:tcBorders>
      </w:tcPr>
    </w:tblStylePr>
    <w:tblStylePr w:type="firstCol">
      <w:rPr>
        <w:b/>
        <w:bCs/>
      </w:rPr>
    </w:tblStylePr>
    <w:tblStylePr w:type="lastCol">
      <w:rPr>
        <w:b/>
        <w:bCs/>
      </w:rPr>
    </w:tblStylePr>
    <w:tblStylePr w:type="band1Vert">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tblStylePr w:type="band1Horz">
      <w:tblPr/>
      <w:tcPr>
        <w:tcBorders>
          <w:top w:val="single" w:sz="8" w:space="0" w:color="5F5F5F" w:themeColor="accent5"/>
          <w:left w:val="single" w:sz="8" w:space="0" w:color="5F5F5F" w:themeColor="accent5"/>
          <w:bottom w:val="single" w:sz="8" w:space="0" w:color="5F5F5F" w:themeColor="accent5"/>
          <w:right w:val="single" w:sz="8" w:space="0" w:color="5F5F5F" w:themeColor="accent5"/>
        </w:tcBorders>
      </w:tcPr>
    </w:tblStylePr>
  </w:style>
  <w:style w:type="table" w:styleId="Jasnalistaakcent6">
    <w:name w:val="Light List Accent 6"/>
    <w:basedOn w:val="Standardowy"/>
    <w:uiPriority w:val="99"/>
    <w:semiHidden/>
    <w:rsid w:val="00014566"/>
    <w:rPr>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pPr>
        <w:spacing w:before="0" w:after="0" w:line="240" w:lineRule="auto"/>
      </w:pPr>
      <w:rPr>
        <w:b/>
        <w:bCs/>
        <w:color w:val="0072BC" w:themeColor="background1"/>
      </w:rPr>
      <w:tblPr/>
      <w:tcPr>
        <w:shd w:val="clear" w:color="auto" w:fill="4D4D4D" w:themeFill="accent6"/>
      </w:tcPr>
    </w:tblStylePr>
    <w:tblStylePr w:type="lastRow">
      <w:pPr>
        <w:spacing w:before="0" w:after="0" w:line="240" w:lineRule="auto"/>
      </w:pPr>
      <w:rPr>
        <w:b/>
        <w:bCs/>
      </w:rPr>
      <w:tblPr/>
      <w:tcPr>
        <w:tcBorders>
          <w:top w:val="double" w:sz="6" w:space="0" w:color="4D4D4D" w:themeColor="accent6"/>
          <w:left w:val="single" w:sz="8" w:space="0" w:color="4D4D4D" w:themeColor="accent6"/>
          <w:bottom w:val="single" w:sz="8" w:space="0" w:color="4D4D4D" w:themeColor="accent6"/>
          <w:right w:val="single" w:sz="8" w:space="0" w:color="4D4D4D" w:themeColor="accent6"/>
        </w:tcBorders>
      </w:tcPr>
    </w:tblStylePr>
    <w:tblStylePr w:type="firstCol">
      <w:rPr>
        <w:b/>
        <w:bCs/>
      </w:rPr>
    </w:tblStylePr>
    <w:tblStylePr w:type="lastCol">
      <w:rPr>
        <w:b/>
        <w:bCs/>
      </w:rPr>
    </w:tblStylePr>
    <w:tblStylePr w:type="band1Vert">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tblStylePr w:type="band1Horz">
      <w:tblPr/>
      <w:tcPr>
        <w:tcBorders>
          <w:top w:val="single" w:sz="8" w:space="0" w:color="4D4D4D" w:themeColor="accent6"/>
          <w:left w:val="single" w:sz="8" w:space="0" w:color="4D4D4D" w:themeColor="accent6"/>
          <w:bottom w:val="single" w:sz="8" w:space="0" w:color="4D4D4D" w:themeColor="accent6"/>
          <w:right w:val="single" w:sz="8" w:space="0" w:color="4D4D4D" w:themeColor="accent6"/>
        </w:tcBorders>
      </w:tcPr>
    </w:tblStylePr>
  </w:style>
  <w:style w:type="table" w:styleId="Jasnecieniowanie">
    <w:name w:val="Light Shading"/>
    <w:basedOn w:val="Standardowy"/>
    <w:uiPriority w:val="99"/>
    <w:semiHidden/>
    <w:rsid w:val="00014566"/>
    <w:rPr>
      <w:color w:val="000000" w:themeColor="text1" w:themeShade="BF"/>
      <w:lang w:val="fr-FR" w:eastAsia="fr-FR"/>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Jasnecieniowanieakcent1">
    <w:name w:val="Light Shading Accent 1"/>
    <w:basedOn w:val="Standardowy"/>
    <w:uiPriority w:val="99"/>
    <w:semiHidden/>
    <w:rsid w:val="00014566"/>
    <w:rPr>
      <w:color w:val="00548C" w:themeColor="accent1" w:themeShade="BF"/>
      <w:lang w:val="fr-FR" w:eastAsia="fr-FR"/>
    </w:rPr>
    <w:tblPr>
      <w:tblStyleRowBandSize w:val="1"/>
      <w:tblStyleColBandSize w:val="1"/>
      <w:tblBorders>
        <w:top w:val="single" w:sz="8" w:space="0" w:color="0072BC" w:themeColor="accent1"/>
        <w:bottom w:val="single" w:sz="8" w:space="0" w:color="0072BC" w:themeColor="accent1"/>
      </w:tblBorders>
    </w:tblPr>
    <w:tblStylePr w:type="fir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lastRow">
      <w:pPr>
        <w:spacing w:before="0" w:after="0" w:line="240" w:lineRule="auto"/>
      </w:pPr>
      <w:rPr>
        <w:b/>
        <w:bCs/>
      </w:rPr>
      <w:tblPr/>
      <w:tcPr>
        <w:tcBorders>
          <w:top w:val="single" w:sz="8" w:space="0" w:color="0072BC" w:themeColor="accent1"/>
          <w:left w:val="nil"/>
          <w:bottom w:val="single" w:sz="8" w:space="0" w:color="0072BC"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left w:val="nil"/>
          <w:right w:val="nil"/>
          <w:insideH w:val="nil"/>
          <w:insideV w:val="nil"/>
        </w:tcBorders>
        <w:shd w:val="clear" w:color="auto" w:fill="AFDFFF" w:themeFill="accent1" w:themeFillTint="3F"/>
      </w:tcPr>
    </w:tblStylePr>
  </w:style>
  <w:style w:type="table" w:styleId="Jasnecieniowanieakcent2">
    <w:name w:val="Light Shading Accent 2"/>
    <w:basedOn w:val="Standardowy"/>
    <w:uiPriority w:val="99"/>
    <w:semiHidden/>
    <w:rsid w:val="00014566"/>
    <w:rPr>
      <w:color w:val="8F0000" w:themeColor="accent2" w:themeShade="BF"/>
      <w:lang w:val="fr-FR" w:eastAsia="fr-FR"/>
    </w:rPr>
    <w:tblPr>
      <w:tblStyleRowBandSize w:val="1"/>
      <w:tblStyleColBandSize w:val="1"/>
      <w:tblBorders>
        <w:top w:val="single" w:sz="8" w:space="0" w:color="C00000" w:themeColor="accent2"/>
        <w:bottom w:val="single" w:sz="8" w:space="0" w:color="C00000" w:themeColor="accent2"/>
      </w:tblBorders>
    </w:tblPr>
    <w:tblStylePr w:type="fir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lastRow">
      <w:pPr>
        <w:spacing w:before="0" w:after="0" w:line="240" w:lineRule="auto"/>
      </w:pPr>
      <w:rPr>
        <w:b/>
        <w:bCs/>
      </w:rPr>
      <w:tblPr/>
      <w:tcPr>
        <w:tcBorders>
          <w:top w:val="single" w:sz="8" w:space="0" w:color="C00000" w:themeColor="accent2"/>
          <w:left w:val="nil"/>
          <w:bottom w:val="single" w:sz="8" w:space="0" w:color="C00000"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left w:val="nil"/>
          <w:right w:val="nil"/>
          <w:insideH w:val="nil"/>
          <w:insideV w:val="nil"/>
        </w:tcBorders>
        <w:shd w:val="clear" w:color="auto" w:fill="FFB0B0" w:themeFill="accent2" w:themeFillTint="3F"/>
      </w:tcPr>
    </w:tblStylePr>
  </w:style>
  <w:style w:type="table" w:styleId="Jasnecieniowanieakcent3">
    <w:name w:val="Light Shading Accent 3"/>
    <w:basedOn w:val="Standardowy"/>
    <w:uiPriority w:val="99"/>
    <w:semiHidden/>
    <w:rsid w:val="00014566"/>
    <w:rPr>
      <w:color w:val="474747" w:themeColor="accent3" w:themeShade="BF"/>
      <w:lang w:val="fr-FR" w:eastAsia="fr-FR"/>
    </w:rPr>
    <w:tblPr>
      <w:tblStyleRowBandSize w:val="1"/>
      <w:tblStyleColBandSize w:val="1"/>
      <w:tblBorders>
        <w:top w:val="single" w:sz="8" w:space="0" w:color="5F5F5F" w:themeColor="accent3"/>
        <w:bottom w:val="single" w:sz="8" w:space="0" w:color="5F5F5F" w:themeColor="accent3"/>
      </w:tblBorders>
    </w:tblPr>
    <w:tblStylePr w:type="fir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lastRow">
      <w:pPr>
        <w:spacing w:before="0" w:after="0" w:line="240" w:lineRule="auto"/>
      </w:pPr>
      <w:rPr>
        <w:b/>
        <w:bCs/>
      </w:rPr>
      <w:tblPr/>
      <w:tcPr>
        <w:tcBorders>
          <w:top w:val="single" w:sz="8" w:space="0" w:color="5F5F5F" w:themeColor="accent3"/>
          <w:left w:val="nil"/>
          <w:bottom w:val="single" w:sz="8" w:space="0" w:color="5F5F5F"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left w:val="nil"/>
          <w:right w:val="nil"/>
          <w:insideH w:val="nil"/>
          <w:insideV w:val="nil"/>
        </w:tcBorders>
        <w:shd w:val="clear" w:color="auto" w:fill="D7D7D7" w:themeFill="accent3" w:themeFillTint="3F"/>
      </w:tcPr>
    </w:tblStylePr>
  </w:style>
  <w:style w:type="table" w:styleId="Jasnecieniowanieakcent4">
    <w:name w:val="Light Shading Accent 4"/>
    <w:basedOn w:val="Standardowy"/>
    <w:uiPriority w:val="99"/>
    <w:semiHidden/>
    <w:rsid w:val="00014566"/>
    <w:rPr>
      <w:color w:val="707070" w:themeColor="accent4" w:themeShade="BF"/>
      <w:lang w:val="fr-FR" w:eastAsia="fr-FR"/>
    </w:rPr>
    <w:tblPr>
      <w:tblStyleRowBandSize w:val="1"/>
      <w:tblStyleColBandSize w:val="1"/>
      <w:tblBorders>
        <w:top w:val="single" w:sz="8" w:space="0" w:color="969696" w:themeColor="accent4"/>
        <w:bottom w:val="single" w:sz="8" w:space="0" w:color="969696" w:themeColor="accent4"/>
      </w:tblBorders>
    </w:tblPr>
    <w:tblStylePr w:type="fir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lastRow">
      <w:pPr>
        <w:spacing w:before="0" w:after="0" w:line="240" w:lineRule="auto"/>
      </w:pPr>
      <w:rPr>
        <w:b/>
        <w:bCs/>
      </w:rPr>
      <w:tblPr/>
      <w:tcPr>
        <w:tcBorders>
          <w:top w:val="single" w:sz="8" w:space="0" w:color="969696" w:themeColor="accent4"/>
          <w:left w:val="nil"/>
          <w:bottom w:val="single" w:sz="8" w:space="0" w:color="969696"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left w:val="nil"/>
          <w:right w:val="nil"/>
          <w:insideH w:val="nil"/>
          <w:insideV w:val="nil"/>
        </w:tcBorders>
        <w:shd w:val="clear" w:color="auto" w:fill="E5E5E5" w:themeFill="accent4" w:themeFillTint="3F"/>
      </w:tcPr>
    </w:tblStylePr>
  </w:style>
  <w:style w:type="table" w:styleId="Jasnecieniowanieakcent5">
    <w:name w:val="Light Shading Accent 5"/>
    <w:basedOn w:val="Standardowy"/>
    <w:uiPriority w:val="99"/>
    <w:semiHidden/>
    <w:rsid w:val="00014566"/>
    <w:rPr>
      <w:color w:val="474747" w:themeColor="accent5" w:themeShade="BF"/>
      <w:lang w:val="fr-FR" w:eastAsia="fr-FR"/>
    </w:rPr>
    <w:tblPr>
      <w:tblStyleRowBandSize w:val="1"/>
      <w:tblStyleColBandSize w:val="1"/>
      <w:tblBorders>
        <w:top w:val="single" w:sz="8" w:space="0" w:color="5F5F5F" w:themeColor="accent5"/>
        <w:bottom w:val="single" w:sz="8" w:space="0" w:color="5F5F5F" w:themeColor="accent5"/>
      </w:tblBorders>
    </w:tblPr>
    <w:tblStylePr w:type="fir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lastRow">
      <w:pPr>
        <w:spacing w:before="0" w:after="0" w:line="240" w:lineRule="auto"/>
      </w:pPr>
      <w:rPr>
        <w:b/>
        <w:bCs/>
      </w:rPr>
      <w:tblPr/>
      <w:tcPr>
        <w:tcBorders>
          <w:top w:val="single" w:sz="8" w:space="0" w:color="5F5F5F" w:themeColor="accent5"/>
          <w:left w:val="nil"/>
          <w:bottom w:val="single" w:sz="8" w:space="0" w:color="5F5F5F"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left w:val="nil"/>
          <w:right w:val="nil"/>
          <w:insideH w:val="nil"/>
          <w:insideV w:val="nil"/>
        </w:tcBorders>
        <w:shd w:val="clear" w:color="auto" w:fill="D7D7D7" w:themeFill="accent5" w:themeFillTint="3F"/>
      </w:tcPr>
    </w:tblStylePr>
  </w:style>
  <w:style w:type="table" w:styleId="Jasnecieniowanieakcent6">
    <w:name w:val="Light Shading Accent 6"/>
    <w:basedOn w:val="Standardowy"/>
    <w:uiPriority w:val="99"/>
    <w:semiHidden/>
    <w:rsid w:val="00014566"/>
    <w:rPr>
      <w:color w:val="393939" w:themeColor="accent6" w:themeShade="BF"/>
      <w:lang w:val="fr-FR" w:eastAsia="fr-FR"/>
    </w:rPr>
    <w:tblPr>
      <w:tblStyleRowBandSize w:val="1"/>
      <w:tblStyleColBandSize w:val="1"/>
      <w:tblBorders>
        <w:top w:val="single" w:sz="8" w:space="0" w:color="4D4D4D" w:themeColor="accent6"/>
        <w:bottom w:val="single" w:sz="8" w:space="0" w:color="4D4D4D" w:themeColor="accent6"/>
      </w:tblBorders>
    </w:tblPr>
    <w:tblStylePr w:type="fir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lastRow">
      <w:pPr>
        <w:spacing w:before="0" w:after="0" w:line="240" w:lineRule="auto"/>
      </w:pPr>
      <w:rPr>
        <w:b/>
        <w:bCs/>
      </w:rPr>
      <w:tblPr/>
      <w:tcPr>
        <w:tcBorders>
          <w:top w:val="single" w:sz="8" w:space="0" w:color="4D4D4D" w:themeColor="accent6"/>
          <w:left w:val="nil"/>
          <w:bottom w:val="single" w:sz="8" w:space="0" w:color="4D4D4D"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left w:val="nil"/>
          <w:right w:val="nil"/>
          <w:insideH w:val="nil"/>
          <w:insideV w:val="nil"/>
        </w:tcBorders>
        <w:shd w:val="clear" w:color="auto" w:fill="D3D3D3" w:themeFill="accent6" w:themeFillTint="3F"/>
      </w:tcPr>
    </w:tblStylePr>
  </w:style>
  <w:style w:type="character" w:styleId="Numerwiersza">
    <w:name w:val="line number"/>
    <w:basedOn w:val="Domylnaczcionkaakapitu"/>
    <w:uiPriority w:val="99"/>
    <w:semiHidden/>
    <w:rsid w:val="00014566"/>
  </w:style>
  <w:style w:type="paragraph" w:styleId="Lista">
    <w:name w:val="List"/>
    <w:basedOn w:val="Normalny"/>
    <w:uiPriority w:val="99"/>
    <w:semiHidden/>
    <w:rsid w:val="00014566"/>
    <w:pPr>
      <w:ind w:left="283" w:hanging="283"/>
      <w:contextualSpacing/>
    </w:pPr>
  </w:style>
  <w:style w:type="paragraph" w:styleId="Lista2">
    <w:name w:val="List 2"/>
    <w:basedOn w:val="Normalny"/>
    <w:uiPriority w:val="99"/>
    <w:semiHidden/>
    <w:rsid w:val="00014566"/>
    <w:pPr>
      <w:ind w:left="566" w:hanging="283"/>
      <w:contextualSpacing/>
    </w:pPr>
  </w:style>
  <w:style w:type="paragraph" w:styleId="Lista3">
    <w:name w:val="List 3"/>
    <w:basedOn w:val="Normalny"/>
    <w:uiPriority w:val="99"/>
    <w:semiHidden/>
    <w:rsid w:val="00014566"/>
    <w:pPr>
      <w:ind w:left="849" w:hanging="283"/>
      <w:contextualSpacing/>
    </w:pPr>
  </w:style>
  <w:style w:type="paragraph" w:styleId="Lista4">
    <w:name w:val="List 4"/>
    <w:basedOn w:val="Normalny"/>
    <w:uiPriority w:val="99"/>
    <w:semiHidden/>
    <w:rsid w:val="00014566"/>
    <w:pPr>
      <w:ind w:left="1132" w:hanging="283"/>
      <w:contextualSpacing/>
    </w:pPr>
  </w:style>
  <w:style w:type="paragraph" w:styleId="Lista5">
    <w:name w:val="List 5"/>
    <w:basedOn w:val="Normalny"/>
    <w:uiPriority w:val="99"/>
    <w:semiHidden/>
    <w:rsid w:val="00014566"/>
    <w:pPr>
      <w:ind w:left="1415" w:hanging="283"/>
      <w:contextualSpacing/>
    </w:pPr>
  </w:style>
  <w:style w:type="paragraph" w:styleId="Listapunktowana2">
    <w:name w:val="List Bullet 2"/>
    <w:basedOn w:val="Normalny"/>
    <w:uiPriority w:val="99"/>
    <w:semiHidden/>
    <w:rsid w:val="00014566"/>
    <w:pPr>
      <w:numPr>
        <w:numId w:val="5"/>
      </w:numPr>
      <w:contextualSpacing/>
    </w:pPr>
  </w:style>
  <w:style w:type="paragraph" w:styleId="Listapunktowana3">
    <w:name w:val="List Bullet 3"/>
    <w:basedOn w:val="Normalny"/>
    <w:uiPriority w:val="99"/>
    <w:semiHidden/>
    <w:rsid w:val="00014566"/>
    <w:pPr>
      <w:numPr>
        <w:numId w:val="6"/>
      </w:numPr>
      <w:contextualSpacing/>
    </w:pPr>
  </w:style>
  <w:style w:type="paragraph" w:styleId="Listapunktowana4">
    <w:name w:val="List Bullet 4"/>
    <w:basedOn w:val="Normalny"/>
    <w:uiPriority w:val="99"/>
    <w:semiHidden/>
    <w:rsid w:val="00014566"/>
    <w:pPr>
      <w:numPr>
        <w:numId w:val="7"/>
      </w:numPr>
      <w:contextualSpacing/>
    </w:pPr>
  </w:style>
  <w:style w:type="paragraph" w:styleId="Listapunktowana5">
    <w:name w:val="List Bullet 5"/>
    <w:basedOn w:val="Normalny"/>
    <w:uiPriority w:val="99"/>
    <w:semiHidden/>
    <w:rsid w:val="00014566"/>
    <w:pPr>
      <w:numPr>
        <w:numId w:val="8"/>
      </w:numPr>
      <w:contextualSpacing/>
    </w:pPr>
  </w:style>
  <w:style w:type="paragraph" w:styleId="Lista-kontynuacja">
    <w:name w:val="List Continue"/>
    <w:basedOn w:val="Normalny"/>
    <w:uiPriority w:val="99"/>
    <w:semiHidden/>
    <w:rsid w:val="00014566"/>
    <w:pPr>
      <w:spacing w:after="120"/>
      <w:ind w:left="283"/>
      <w:contextualSpacing/>
    </w:pPr>
  </w:style>
  <w:style w:type="paragraph" w:styleId="Lista-kontynuacja2">
    <w:name w:val="List Continue 2"/>
    <w:basedOn w:val="Normalny"/>
    <w:uiPriority w:val="99"/>
    <w:semiHidden/>
    <w:rsid w:val="00014566"/>
    <w:pPr>
      <w:spacing w:after="120"/>
      <w:ind w:left="566"/>
      <w:contextualSpacing/>
    </w:pPr>
  </w:style>
  <w:style w:type="paragraph" w:styleId="Lista-kontynuacja3">
    <w:name w:val="List Continue 3"/>
    <w:basedOn w:val="Normalny"/>
    <w:uiPriority w:val="99"/>
    <w:semiHidden/>
    <w:rsid w:val="00014566"/>
    <w:pPr>
      <w:spacing w:after="120"/>
      <w:ind w:left="849"/>
      <w:contextualSpacing/>
    </w:pPr>
  </w:style>
  <w:style w:type="paragraph" w:styleId="Lista-kontynuacja4">
    <w:name w:val="List Continue 4"/>
    <w:basedOn w:val="Normalny"/>
    <w:uiPriority w:val="99"/>
    <w:semiHidden/>
    <w:rsid w:val="00014566"/>
    <w:pPr>
      <w:spacing w:after="120"/>
      <w:ind w:left="1132"/>
      <w:contextualSpacing/>
    </w:pPr>
  </w:style>
  <w:style w:type="paragraph" w:styleId="Lista-kontynuacja5">
    <w:name w:val="List Continue 5"/>
    <w:basedOn w:val="Normalny"/>
    <w:uiPriority w:val="99"/>
    <w:semiHidden/>
    <w:rsid w:val="00014566"/>
    <w:pPr>
      <w:spacing w:after="120"/>
      <w:ind w:left="1415"/>
      <w:contextualSpacing/>
    </w:pPr>
  </w:style>
  <w:style w:type="paragraph" w:styleId="Listanumerowana">
    <w:name w:val="List Number"/>
    <w:basedOn w:val="Normalny"/>
    <w:uiPriority w:val="99"/>
    <w:semiHidden/>
    <w:rsid w:val="00014566"/>
    <w:pPr>
      <w:numPr>
        <w:numId w:val="9"/>
      </w:numPr>
      <w:contextualSpacing/>
    </w:pPr>
  </w:style>
  <w:style w:type="paragraph" w:styleId="Listanumerowana2">
    <w:name w:val="List Number 2"/>
    <w:basedOn w:val="Normalny"/>
    <w:uiPriority w:val="99"/>
    <w:semiHidden/>
    <w:rsid w:val="00014566"/>
    <w:pPr>
      <w:numPr>
        <w:numId w:val="10"/>
      </w:numPr>
      <w:contextualSpacing/>
    </w:pPr>
  </w:style>
  <w:style w:type="paragraph" w:styleId="Listanumerowana3">
    <w:name w:val="List Number 3"/>
    <w:basedOn w:val="Normalny"/>
    <w:uiPriority w:val="99"/>
    <w:semiHidden/>
    <w:rsid w:val="00014566"/>
    <w:pPr>
      <w:numPr>
        <w:numId w:val="11"/>
      </w:numPr>
      <w:contextualSpacing/>
    </w:pPr>
  </w:style>
  <w:style w:type="paragraph" w:styleId="Listanumerowana4">
    <w:name w:val="List Number 4"/>
    <w:basedOn w:val="Normalny"/>
    <w:uiPriority w:val="99"/>
    <w:semiHidden/>
    <w:rsid w:val="00014566"/>
    <w:pPr>
      <w:numPr>
        <w:numId w:val="12"/>
      </w:numPr>
      <w:contextualSpacing/>
    </w:pPr>
  </w:style>
  <w:style w:type="paragraph" w:styleId="Listanumerowana5">
    <w:name w:val="List Number 5"/>
    <w:basedOn w:val="Normalny"/>
    <w:uiPriority w:val="99"/>
    <w:semiHidden/>
    <w:rsid w:val="00014566"/>
    <w:pPr>
      <w:numPr>
        <w:numId w:val="13"/>
      </w:numPr>
      <w:contextualSpacing/>
    </w:pPr>
  </w:style>
  <w:style w:type="paragraph" w:styleId="Tekstmakra">
    <w:name w:val="macro"/>
    <w:link w:val="TekstmakraZnak"/>
    <w:uiPriority w:val="99"/>
    <w:semiHidden/>
    <w:rsid w:val="00014566"/>
    <w:pPr>
      <w:tabs>
        <w:tab w:val="left" w:pos="480"/>
        <w:tab w:val="left" w:pos="960"/>
        <w:tab w:val="left" w:pos="1440"/>
        <w:tab w:val="left" w:pos="1920"/>
        <w:tab w:val="left" w:pos="2400"/>
        <w:tab w:val="left" w:pos="2880"/>
        <w:tab w:val="left" w:pos="3360"/>
        <w:tab w:val="left" w:pos="3840"/>
        <w:tab w:val="left" w:pos="4320"/>
      </w:tabs>
      <w:suppressAutoHyphens/>
    </w:pPr>
    <w:rPr>
      <w:rFonts w:ascii="Consolas" w:hAnsi="Consolas" w:cs="Consolas"/>
      <w:sz w:val="20"/>
      <w:szCs w:val="20"/>
      <w:lang w:val="en-GB" w:eastAsia="fr-FR"/>
    </w:rPr>
  </w:style>
  <w:style w:type="character" w:customStyle="1" w:styleId="TekstmakraZnak">
    <w:name w:val="Tekst makra Znak"/>
    <w:basedOn w:val="Domylnaczcionkaakapitu"/>
    <w:link w:val="Tekstmakra"/>
    <w:uiPriority w:val="99"/>
    <w:semiHidden/>
    <w:rsid w:val="00014566"/>
    <w:rPr>
      <w:rFonts w:ascii="Consolas" w:hAnsi="Consolas" w:cs="Consolas"/>
      <w:sz w:val="20"/>
      <w:szCs w:val="20"/>
      <w:lang w:val="en-GB" w:eastAsia="fr-FR"/>
    </w:rPr>
  </w:style>
  <w:style w:type="table" w:styleId="redniasiatka1">
    <w:name w:val="Medium Grid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redniasiatka1akcent1">
    <w:name w:val="Medium Grid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insideV w:val="single" w:sz="8" w:space="0" w:color="0D9FFF" w:themeColor="accent1" w:themeTint="BF"/>
      </w:tblBorders>
    </w:tblPr>
    <w:tcPr>
      <w:shd w:val="clear" w:color="auto" w:fill="AFDFFF" w:themeFill="accent1" w:themeFillTint="3F"/>
    </w:tcPr>
    <w:tblStylePr w:type="firstRow">
      <w:rPr>
        <w:b/>
        <w:bCs/>
      </w:rPr>
    </w:tblStylePr>
    <w:tblStylePr w:type="lastRow">
      <w:rPr>
        <w:b/>
        <w:bCs/>
      </w:rPr>
      <w:tblPr/>
      <w:tcPr>
        <w:tcBorders>
          <w:top w:val="single" w:sz="18" w:space="0" w:color="0D9FFF" w:themeColor="accent1" w:themeTint="BF"/>
        </w:tcBorders>
      </w:tcPr>
    </w:tblStylePr>
    <w:tblStylePr w:type="firstCol">
      <w:rPr>
        <w:b/>
        <w:bCs/>
      </w:rPr>
    </w:tblStylePr>
    <w:tblStylePr w:type="lastCol">
      <w:rPr>
        <w:b/>
        <w:bCs/>
      </w:rPr>
    </w:tblStylePr>
    <w:tblStylePr w:type="band1Vert">
      <w:tblPr/>
      <w:tcPr>
        <w:shd w:val="clear" w:color="auto" w:fill="5EBFFF" w:themeFill="accent1" w:themeFillTint="7F"/>
      </w:tcPr>
    </w:tblStylePr>
    <w:tblStylePr w:type="band1Horz">
      <w:tblPr/>
      <w:tcPr>
        <w:shd w:val="clear" w:color="auto" w:fill="5EBFFF" w:themeFill="accent1" w:themeFillTint="7F"/>
      </w:tcPr>
    </w:tblStylePr>
  </w:style>
  <w:style w:type="table" w:styleId="redniasiatka1akcent2">
    <w:name w:val="Medium Grid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insideV w:val="single" w:sz="8" w:space="0" w:color="FF1010" w:themeColor="accent2" w:themeTint="BF"/>
      </w:tblBorders>
    </w:tblPr>
    <w:tcPr>
      <w:shd w:val="clear" w:color="auto" w:fill="FFB0B0" w:themeFill="accent2" w:themeFillTint="3F"/>
    </w:tcPr>
    <w:tblStylePr w:type="firstRow">
      <w:rPr>
        <w:b/>
        <w:bCs/>
      </w:rPr>
    </w:tblStylePr>
    <w:tblStylePr w:type="lastRow">
      <w:rPr>
        <w:b/>
        <w:bCs/>
      </w:rPr>
      <w:tblPr/>
      <w:tcPr>
        <w:tcBorders>
          <w:top w:val="single" w:sz="18" w:space="0" w:color="FF1010" w:themeColor="accent2" w:themeTint="BF"/>
        </w:tcBorders>
      </w:tcPr>
    </w:tblStylePr>
    <w:tblStylePr w:type="firstCol">
      <w:rPr>
        <w:b/>
        <w:bCs/>
      </w:rPr>
    </w:tblStylePr>
    <w:tblStylePr w:type="lastCol">
      <w:rPr>
        <w:b/>
        <w:bCs/>
      </w:rPr>
    </w:tblStylePr>
    <w:tblStylePr w:type="band1Vert">
      <w:tblPr/>
      <w:tcPr>
        <w:shd w:val="clear" w:color="auto" w:fill="FF6060" w:themeFill="accent2" w:themeFillTint="7F"/>
      </w:tcPr>
    </w:tblStylePr>
    <w:tblStylePr w:type="band1Horz">
      <w:tblPr/>
      <w:tcPr>
        <w:shd w:val="clear" w:color="auto" w:fill="FF6060" w:themeFill="accent2" w:themeFillTint="7F"/>
      </w:tcPr>
    </w:tblStylePr>
  </w:style>
  <w:style w:type="table" w:styleId="redniasiatka1akcent3">
    <w:name w:val="Medium Grid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insideV w:val="single" w:sz="8" w:space="0" w:color="878787" w:themeColor="accent3" w:themeTint="BF"/>
      </w:tblBorders>
    </w:tblPr>
    <w:tcPr>
      <w:shd w:val="clear" w:color="auto" w:fill="D7D7D7" w:themeFill="accent3" w:themeFillTint="3F"/>
    </w:tcPr>
    <w:tblStylePr w:type="firstRow">
      <w:rPr>
        <w:b/>
        <w:bCs/>
      </w:rPr>
    </w:tblStylePr>
    <w:tblStylePr w:type="lastRow">
      <w:rPr>
        <w:b/>
        <w:bCs/>
      </w:rPr>
      <w:tblPr/>
      <w:tcPr>
        <w:tcBorders>
          <w:top w:val="single" w:sz="18" w:space="0" w:color="878787" w:themeColor="accent3" w:themeTint="BF"/>
        </w:tcBorders>
      </w:tcPr>
    </w:tblStylePr>
    <w:tblStylePr w:type="firstCol">
      <w:rPr>
        <w:b/>
        <w:bCs/>
      </w:rPr>
    </w:tblStylePr>
    <w:tblStylePr w:type="lastCol">
      <w:rPr>
        <w:b/>
        <w:bCs/>
      </w:rPr>
    </w:tblStylePr>
    <w:tblStylePr w:type="band1Vert">
      <w:tblPr/>
      <w:tcPr>
        <w:shd w:val="clear" w:color="auto" w:fill="AFAFAF" w:themeFill="accent3" w:themeFillTint="7F"/>
      </w:tcPr>
    </w:tblStylePr>
    <w:tblStylePr w:type="band1Horz">
      <w:tblPr/>
      <w:tcPr>
        <w:shd w:val="clear" w:color="auto" w:fill="AFAFAF" w:themeFill="accent3" w:themeFillTint="7F"/>
      </w:tcPr>
    </w:tblStylePr>
  </w:style>
  <w:style w:type="table" w:styleId="redniasiatka1akcent4">
    <w:name w:val="Medium Grid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insideV w:val="single" w:sz="8" w:space="0" w:color="B0B0B0" w:themeColor="accent4" w:themeTint="BF"/>
      </w:tblBorders>
    </w:tblPr>
    <w:tcPr>
      <w:shd w:val="clear" w:color="auto" w:fill="E5E5E5" w:themeFill="accent4" w:themeFillTint="3F"/>
    </w:tcPr>
    <w:tblStylePr w:type="firstRow">
      <w:rPr>
        <w:b/>
        <w:bCs/>
      </w:rPr>
    </w:tblStylePr>
    <w:tblStylePr w:type="lastRow">
      <w:rPr>
        <w:b/>
        <w:bCs/>
      </w:rPr>
      <w:tblPr/>
      <w:tcPr>
        <w:tcBorders>
          <w:top w:val="single" w:sz="18" w:space="0" w:color="B0B0B0" w:themeColor="accent4" w:themeTint="BF"/>
        </w:tcBorders>
      </w:tcPr>
    </w:tblStylePr>
    <w:tblStylePr w:type="firstCol">
      <w:rPr>
        <w:b/>
        <w:bCs/>
      </w:rPr>
    </w:tblStylePr>
    <w:tblStylePr w:type="lastCol">
      <w:rPr>
        <w:b/>
        <w:bCs/>
      </w:rPr>
    </w:tblStylePr>
    <w:tblStylePr w:type="band1Vert">
      <w:tblPr/>
      <w:tcPr>
        <w:shd w:val="clear" w:color="auto" w:fill="CACACA" w:themeFill="accent4" w:themeFillTint="7F"/>
      </w:tcPr>
    </w:tblStylePr>
    <w:tblStylePr w:type="band1Horz">
      <w:tblPr/>
      <w:tcPr>
        <w:shd w:val="clear" w:color="auto" w:fill="CACACA" w:themeFill="accent4" w:themeFillTint="7F"/>
      </w:tcPr>
    </w:tblStylePr>
  </w:style>
  <w:style w:type="table" w:styleId="redniasiatka1akcent5">
    <w:name w:val="Medium Grid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insideV w:val="single" w:sz="8" w:space="0" w:color="878787" w:themeColor="accent5" w:themeTint="BF"/>
      </w:tblBorders>
    </w:tblPr>
    <w:tcPr>
      <w:shd w:val="clear" w:color="auto" w:fill="D7D7D7" w:themeFill="accent5" w:themeFillTint="3F"/>
    </w:tcPr>
    <w:tblStylePr w:type="firstRow">
      <w:rPr>
        <w:b/>
        <w:bCs/>
      </w:rPr>
    </w:tblStylePr>
    <w:tblStylePr w:type="lastRow">
      <w:rPr>
        <w:b/>
        <w:bCs/>
      </w:rPr>
      <w:tblPr/>
      <w:tcPr>
        <w:tcBorders>
          <w:top w:val="single" w:sz="18" w:space="0" w:color="878787" w:themeColor="accent5" w:themeTint="BF"/>
        </w:tcBorders>
      </w:tcPr>
    </w:tblStylePr>
    <w:tblStylePr w:type="firstCol">
      <w:rPr>
        <w:b/>
        <w:bCs/>
      </w:rPr>
    </w:tblStylePr>
    <w:tblStylePr w:type="lastCol">
      <w:rPr>
        <w:b/>
        <w:bCs/>
      </w:rPr>
    </w:tblStylePr>
    <w:tblStylePr w:type="band1Vert">
      <w:tblPr/>
      <w:tcPr>
        <w:shd w:val="clear" w:color="auto" w:fill="AFAFAF" w:themeFill="accent5" w:themeFillTint="7F"/>
      </w:tcPr>
    </w:tblStylePr>
    <w:tblStylePr w:type="band1Horz">
      <w:tblPr/>
      <w:tcPr>
        <w:shd w:val="clear" w:color="auto" w:fill="AFAFAF" w:themeFill="accent5" w:themeFillTint="7F"/>
      </w:tcPr>
    </w:tblStylePr>
  </w:style>
  <w:style w:type="table" w:styleId="redniasiatka1akcent6">
    <w:name w:val="Medium Grid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insideV w:val="single" w:sz="8" w:space="0" w:color="797979" w:themeColor="accent6" w:themeTint="BF"/>
      </w:tblBorders>
    </w:tblPr>
    <w:tcPr>
      <w:shd w:val="clear" w:color="auto" w:fill="D3D3D3" w:themeFill="accent6" w:themeFillTint="3F"/>
    </w:tcPr>
    <w:tblStylePr w:type="firstRow">
      <w:rPr>
        <w:b/>
        <w:bCs/>
      </w:rPr>
    </w:tblStylePr>
    <w:tblStylePr w:type="lastRow">
      <w:rPr>
        <w:b/>
        <w:bCs/>
      </w:rPr>
      <w:tblPr/>
      <w:tcPr>
        <w:tcBorders>
          <w:top w:val="single" w:sz="18" w:space="0" w:color="797979" w:themeColor="accent6" w:themeTint="BF"/>
        </w:tcBorders>
      </w:tcPr>
    </w:tblStylePr>
    <w:tblStylePr w:type="firstCol">
      <w:rPr>
        <w:b/>
        <w:bCs/>
      </w:rPr>
    </w:tblStylePr>
    <w:tblStylePr w:type="lastCol">
      <w:rPr>
        <w:b/>
        <w:bCs/>
      </w:rPr>
    </w:tblStylePr>
    <w:tblStylePr w:type="band1Vert">
      <w:tblPr/>
      <w:tcPr>
        <w:shd w:val="clear" w:color="auto" w:fill="A6A6A6" w:themeFill="accent6" w:themeFillTint="7F"/>
      </w:tcPr>
    </w:tblStylePr>
    <w:tblStylePr w:type="band1Horz">
      <w:tblPr/>
      <w:tcPr>
        <w:shd w:val="clear" w:color="auto" w:fill="A6A6A6" w:themeFill="accent6" w:themeFillTint="7F"/>
      </w:tcPr>
    </w:tblStylePr>
  </w:style>
  <w:style w:type="table" w:styleId="redniasiatka2">
    <w:name w:val="Medium Grid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0072BC" w:themeFill="background1"/>
      </w:tcPr>
    </w:tblStylePr>
  </w:style>
  <w:style w:type="table" w:styleId="redniasiatka2akcent1">
    <w:name w:val="Medium Grid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insideH w:val="single" w:sz="8" w:space="0" w:color="0072BC" w:themeColor="accent1"/>
        <w:insideV w:val="single" w:sz="8" w:space="0" w:color="0072BC" w:themeColor="accent1"/>
      </w:tblBorders>
    </w:tblPr>
    <w:tcPr>
      <w:shd w:val="clear" w:color="auto" w:fill="AFDFFF" w:themeFill="accent1" w:themeFillTint="3F"/>
    </w:tcPr>
    <w:tblStylePr w:type="firstRow">
      <w:rPr>
        <w:b/>
        <w:bCs/>
        <w:color w:val="000000" w:themeColor="text1"/>
      </w:rPr>
      <w:tblPr/>
      <w:tcPr>
        <w:shd w:val="clear" w:color="auto" w:fill="DFF2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EE5FF" w:themeFill="accent1" w:themeFillTint="33"/>
      </w:tcPr>
    </w:tblStylePr>
    <w:tblStylePr w:type="band1Vert">
      <w:tblPr/>
      <w:tcPr>
        <w:shd w:val="clear" w:color="auto" w:fill="5EBFFF" w:themeFill="accent1" w:themeFillTint="7F"/>
      </w:tcPr>
    </w:tblStylePr>
    <w:tblStylePr w:type="band1Horz">
      <w:tblPr/>
      <w:tcPr>
        <w:tcBorders>
          <w:insideH w:val="single" w:sz="6" w:space="0" w:color="0072BC" w:themeColor="accent1"/>
          <w:insideV w:val="single" w:sz="6" w:space="0" w:color="0072BC" w:themeColor="accent1"/>
        </w:tcBorders>
        <w:shd w:val="clear" w:color="auto" w:fill="5EBFFF" w:themeFill="accent1" w:themeFillTint="7F"/>
      </w:tcPr>
    </w:tblStylePr>
    <w:tblStylePr w:type="nwCell">
      <w:tblPr/>
      <w:tcPr>
        <w:shd w:val="clear" w:color="auto" w:fill="0072BC" w:themeFill="background1"/>
      </w:tcPr>
    </w:tblStylePr>
  </w:style>
  <w:style w:type="table" w:styleId="redniasiatka2akcent2">
    <w:name w:val="Medium Grid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insideH w:val="single" w:sz="8" w:space="0" w:color="C00000" w:themeColor="accent2"/>
        <w:insideV w:val="single" w:sz="8" w:space="0" w:color="C00000" w:themeColor="accent2"/>
      </w:tblBorders>
    </w:tblPr>
    <w:tcPr>
      <w:shd w:val="clear" w:color="auto" w:fill="FFB0B0" w:themeFill="accent2" w:themeFillTint="3F"/>
    </w:tcPr>
    <w:tblStylePr w:type="firstRow">
      <w:rPr>
        <w:b/>
        <w:bCs/>
        <w:color w:val="000000" w:themeColor="text1"/>
      </w:rPr>
      <w:tblPr/>
      <w:tcPr>
        <w:shd w:val="clear" w:color="auto" w:fill="FFDFD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BFBF" w:themeFill="accent2" w:themeFillTint="33"/>
      </w:tcPr>
    </w:tblStylePr>
    <w:tblStylePr w:type="band1Vert">
      <w:tblPr/>
      <w:tcPr>
        <w:shd w:val="clear" w:color="auto" w:fill="FF6060" w:themeFill="accent2" w:themeFillTint="7F"/>
      </w:tcPr>
    </w:tblStylePr>
    <w:tblStylePr w:type="band1Horz">
      <w:tblPr/>
      <w:tcPr>
        <w:tcBorders>
          <w:insideH w:val="single" w:sz="6" w:space="0" w:color="C00000" w:themeColor="accent2"/>
          <w:insideV w:val="single" w:sz="6" w:space="0" w:color="C00000" w:themeColor="accent2"/>
        </w:tcBorders>
        <w:shd w:val="clear" w:color="auto" w:fill="FF6060" w:themeFill="accent2" w:themeFillTint="7F"/>
      </w:tcPr>
    </w:tblStylePr>
    <w:tblStylePr w:type="nwCell">
      <w:tblPr/>
      <w:tcPr>
        <w:shd w:val="clear" w:color="auto" w:fill="0072BC" w:themeFill="background1"/>
      </w:tcPr>
    </w:tblStylePr>
  </w:style>
  <w:style w:type="table" w:styleId="redniasiatka2akcent3">
    <w:name w:val="Medium Grid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insideH w:val="single" w:sz="8" w:space="0" w:color="5F5F5F" w:themeColor="accent3"/>
        <w:insideV w:val="single" w:sz="8" w:space="0" w:color="5F5F5F" w:themeColor="accent3"/>
      </w:tblBorders>
    </w:tblPr>
    <w:tcPr>
      <w:shd w:val="clear" w:color="auto" w:fill="D7D7D7" w:themeFill="accent3" w:themeFillTint="3F"/>
    </w:tcPr>
    <w:tblStylePr w:type="firstRow">
      <w:rPr>
        <w:b/>
        <w:bCs/>
        <w:color w:val="000000" w:themeColor="text1"/>
      </w:rPr>
      <w:tblPr/>
      <w:tcPr>
        <w:shd w:val="clear" w:color="auto" w:fill="EFEFEF"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3" w:themeFillTint="33"/>
      </w:tcPr>
    </w:tblStylePr>
    <w:tblStylePr w:type="band1Vert">
      <w:tblPr/>
      <w:tcPr>
        <w:shd w:val="clear" w:color="auto" w:fill="AFAFAF" w:themeFill="accent3" w:themeFillTint="7F"/>
      </w:tcPr>
    </w:tblStylePr>
    <w:tblStylePr w:type="band1Horz">
      <w:tblPr/>
      <w:tcPr>
        <w:tcBorders>
          <w:insideH w:val="single" w:sz="6" w:space="0" w:color="5F5F5F" w:themeColor="accent3"/>
          <w:insideV w:val="single" w:sz="6" w:space="0" w:color="5F5F5F" w:themeColor="accent3"/>
        </w:tcBorders>
        <w:shd w:val="clear" w:color="auto" w:fill="AFAFAF" w:themeFill="accent3" w:themeFillTint="7F"/>
      </w:tcPr>
    </w:tblStylePr>
    <w:tblStylePr w:type="nwCell">
      <w:tblPr/>
      <w:tcPr>
        <w:shd w:val="clear" w:color="auto" w:fill="0072BC" w:themeFill="background1"/>
      </w:tcPr>
    </w:tblStylePr>
  </w:style>
  <w:style w:type="table" w:styleId="redniasiatka2akcent4">
    <w:name w:val="Medium Grid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insideH w:val="single" w:sz="8" w:space="0" w:color="969696" w:themeColor="accent4"/>
        <w:insideV w:val="single" w:sz="8" w:space="0" w:color="969696" w:themeColor="accent4"/>
      </w:tblBorders>
    </w:tblPr>
    <w:tcPr>
      <w:shd w:val="clear" w:color="auto" w:fill="E5E5E5" w:themeFill="accent4" w:themeFillTint="3F"/>
    </w:tcPr>
    <w:tblStylePr w:type="firstRow">
      <w:rPr>
        <w:b/>
        <w:bCs/>
        <w:color w:val="000000" w:themeColor="text1"/>
      </w:rPr>
      <w:tblPr/>
      <w:tcPr>
        <w:shd w:val="clear" w:color="auto" w:fill="F4F4F4"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EAEA" w:themeFill="accent4" w:themeFillTint="33"/>
      </w:tcPr>
    </w:tblStylePr>
    <w:tblStylePr w:type="band1Vert">
      <w:tblPr/>
      <w:tcPr>
        <w:shd w:val="clear" w:color="auto" w:fill="CACACA" w:themeFill="accent4" w:themeFillTint="7F"/>
      </w:tcPr>
    </w:tblStylePr>
    <w:tblStylePr w:type="band1Horz">
      <w:tblPr/>
      <w:tcPr>
        <w:tcBorders>
          <w:insideH w:val="single" w:sz="6" w:space="0" w:color="969696" w:themeColor="accent4"/>
          <w:insideV w:val="single" w:sz="6" w:space="0" w:color="969696" w:themeColor="accent4"/>
        </w:tcBorders>
        <w:shd w:val="clear" w:color="auto" w:fill="CACACA" w:themeFill="accent4" w:themeFillTint="7F"/>
      </w:tcPr>
    </w:tblStylePr>
    <w:tblStylePr w:type="nwCell">
      <w:tblPr/>
      <w:tcPr>
        <w:shd w:val="clear" w:color="auto" w:fill="0072BC" w:themeFill="background1"/>
      </w:tcPr>
    </w:tblStylePr>
  </w:style>
  <w:style w:type="table" w:styleId="redniasiatka2akcent5">
    <w:name w:val="Medium Grid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insideH w:val="single" w:sz="8" w:space="0" w:color="5F5F5F" w:themeColor="accent5"/>
        <w:insideV w:val="single" w:sz="8" w:space="0" w:color="5F5F5F" w:themeColor="accent5"/>
      </w:tblBorders>
    </w:tblPr>
    <w:tcPr>
      <w:shd w:val="clear" w:color="auto" w:fill="D7D7D7" w:themeFill="accent5" w:themeFillTint="3F"/>
    </w:tcPr>
    <w:tblStylePr w:type="firstRow">
      <w:rPr>
        <w:b/>
        <w:bCs/>
        <w:color w:val="000000" w:themeColor="text1"/>
      </w:rPr>
      <w:tblPr/>
      <w:tcPr>
        <w:shd w:val="clear" w:color="auto" w:fill="EFEFEF"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DFDF" w:themeFill="accent5" w:themeFillTint="33"/>
      </w:tcPr>
    </w:tblStylePr>
    <w:tblStylePr w:type="band1Vert">
      <w:tblPr/>
      <w:tcPr>
        <w:shd w:val="clear" w:color="auto" w:fill="AFAFAF" w:themeFill="accent5" w:themeFillTint="7F"/>
      </w:tcPr>
    </w:tblStylePr>
    <w:tblStylePr w:type="band1Horz">
      <w:tblPr/>
      <w:tcPr>
        <w:tcBorders>
          <w:insideH w:val="single" w:sz="6" w:space="0" w:color="5F5F5F" w:themeColor="accent5"/>
          <w:insideV w:val="single" w:sz="6" w:space="0" w:color="5F5F5F" w:themeColor="accent5"/>
        </w:tcBorders>
        <w:shd w:val="clear" w:color="auto" w:fill="AFAFAF" w:themeFill="accent5" w:themeFillTint="7F"/>
      </w:tcPr>
    </w:tblStylePr>
    <w:tblStylePr w:type="nwCell">
      <w:tblPr/>
      <w:tcPr>
        <w:shd w:val="clear" w:color="auto" w:fill="0072BC" w:themeFill="background1"/>
      </w:tcPr>
    </w:tblStylePr>
  </w:style>
  <w:style w:type="table" w:styleId="redniasiatka2akcent6">
    <w:name w:val="Medium Grid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insideH w:val="single" w:sz="8" w:space="0" w:color="4D4D4D" w:themeColor="accent6"/>
        <w:insideV w:val="single" w:sz="8" w:space="0" w:color="4D4D4D" w:themeColor="accent6"/>
      </w:tblBorders>
    </w:tblPr>
    <w:tcPr>
      <w:shd w:val="clear" w:color="auto" w:fill="D3D3D3" w:themeFill="accent6" w:themeFillTint="3F"/>
    </w:tcPr>
    <w:tblStylePr w:type="firstRow">
      <w:rPr>
        <w:b/>
        <w:bCs/>
        <w:color w:val="000000" w:themeColor="text1"/>
      </w:rPr>
      <w:tblPr/>
      <w:tcPr>
        <w:shd w:val="clear" w:color="auto" w:fill="EDEDED"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0072BC" w:themeFill="background1"/>
      </w:tcPr>
    </w:tblStylePr>
    <w:tblStylePr w:type="firstCol">
      <w:rPr>
        <w:b/>
        <w:bCs/>
        <w:color w:val="000000" w:themeColor="text1"/>
      </w:rPr>
      <w:tblPr/>
      <w:tcPr>
        <w:tcBorders>
          <w:top w:val="nil"/>
          <w:left w:val="nil"/>
          <w:bottom w:val="nil"/>
          <w:right w:val="nil"/>
          <w:insideH w:val="nil"/>
          <w:insideV w:val="nil"/>
        </w:tcBorders>
        <w:shd w:val="clear" w:color="auto" w:fill="0072BC"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DBDB" w:themeFill="accent6" w:themeFillTint="33"/>
      </w:tcPr>
    </w:tblStylePr>
    <w:tblStylePr w:type="band1Vert">
      <w:tblPr/>
      <w:tcPr>
        <w:shd w:val="clear" w:color="auto" w:fill="A6A6A6" w:themeFill="accent6" w:themeFillTint="7F"/>
      </w:tcPr>
    </w:tblStylePr>
    <w:tblStylePr w:type="band1Horz">
      <w:tblPr/>
      <w:tcPr>
        <w:tcBorders>
          <w:insideH w:val="single" w:sz="6" w:space="0" w:color="4D4D4D" w:themeColor="accent6"/>
          <w:insideV w:val="single" w:sz="6" w:space="0" w:color="4D4D4D" w:themeColor="accent6"/>
        </w:tcBorders>
        <w:shd w:val="clear" w:color="auto" w:fill="A6A6A6" w:themeFill="accent6" w:themeFillTint="7F"/>
      </w:tcPr>
    </w:tblStylePr>
    <w:tblStylePr w:type="nwCell">
      <w:tblPr/>
      <w:tcPr>
        <w:shd w:val="clear" w:color="auto" w:fill="0072BC" w:themeFill="background1"/>
      </w:tcPr>
    </w:tblStylePr>
  </w:style>
  <w:style w:type="table" w:styleId="redniasiatka3">
    <w:name w:val="Medium Grid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C0C0C0" w:themeFill="tex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0000" w:themeFill="tex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0000" w:themeFill="tex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0000" w:themeFill="tex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808080" w:themeFill="tex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808080" w:themeFill="text1" w:themeFillTint="7F"/>
      </w:tcPr>
    </w:tblStylePr>
  </w:style>
  <w:style w:type="table" w:styleId="redniasiatka3akcent1">
    <w:name w:val="Medium Grid 3 Accent 1"/>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AFDFFF" w:themeFill="accent1"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0072BC" w:themeFill="accent1"/>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0072BC" w:themeFill="accent1"/>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0072BC" w:themeFill="accent1"/>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5EBFFF" w:themeFill="accent1"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5EBFFF" w:themeFill="accent1" w:themeFillTint="7F"/>
      </w:tcPr>
    </w:tblStylePr>
  </w:style>
  <w:style w:type="table" w:styleId="redniasiatka3akcent2">
    <w:name w:val="Medium Grid 3 Accent 2"/>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FFB0B0" w:themeFill="accent2"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C00000" w:themeFill="accent2"/>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C00000" w:themeFill="accent2"/>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C00000" w:themeFill="accent2"/>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FF6060" w:themeFill="accent2"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FF6060" w:themeFill="accent2" w:themeFillTint="7F"/>
      </w:tcPr>
    </w:tblStylePr>
  </w:style>
  <w:style w:type="table" w:styleId="redniasiatka3akcent3">
    <w:name w:val="Medium Grid 3 Accent 3"/>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3"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3"/>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3"/>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3"/>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3"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3" w:themeFillTint="7F"/>
      </w:tcPr>
    </w:tblStylePr>
  </w:style>
  <w:style w:type="table" w:styleId="redniasiatka3akcent4">
    <w:name w:val="Medium Grid 3 Accent 4"/>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E5E5E5" w:themeFill="accent4"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969696" w:themeFill="accent4"/>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969696" w:themeFill="accent4"/>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969696" w:themeFill="accent4"/>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CACACA" w:themeFill="accent4"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CACACA" w:themeFill="accent4" w:themeFillTint="7F"/>
      </w:tcPr>
    </w:tblStylePr>
  </w:style>
  <w:style w:type="table" w:styleId="redniasiatka3akcent5">
    <w:name w:val="Medium Grid 3 Accent 5"/>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7D7D7" w:themeFill="accent5"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5F5F5F" w:themeFill="accent5"/>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5F5F5F" w:themeFill="accent5"/>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5F5F5F" w:themeFill="accent5"/>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FAFAF" w:themeFill="accent5"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FAFAF" w:themeFill="accent5" w:themeFillTint="7F"/>
      </w:tcPr>
    </w:tblStylePr>
  </w:style>
  <w:style w:type="table" w:styleId="redniasiatka3akcent6">
    <w:name w:val="Medium Grid 3 Accent 6"/>
    <w:basedOn w:val="Standardowy"/>
    <w:uiPriority w:val="99"/>
    <w:semiHidden/>
    <w:rsid w:val="00014566"/>
    <w:rPr>
      <w:lang w:val="fr-FR" w:eastAsia="fr-FR"/>
    </w:rPr>
    <w:tblPr>
      <w:tblStyleRowBandSize w:val="1"/>
      <w:tblStyleColBandSize w:val="1"/>
      <w:tbl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6" w:space="0" w:color="0072BC" w:themeColor="background1"/>
        <w:insideV w:val="single" w:sz="6" w:space="0" w:color="0072BC" w:themeColor="background1"/>
      </w:tblBorders>
    </w:tblPr>
    <w:tcPr>
      <w:shd w:val="clear" w:color="auto" w:fill="D3D3D3" w:themeFill="accent6" w:themeFillTint="3F"/>
    </w:tcPr>
    <w:tblStylePr w:type="firstRow">
      <w:rPr>
        <w:b/>
        <w:bCs/>
        <w:i w:val="0"/>
        <w:iCs w:val="0"/>
        <w:color w:val="0072BC" w:themeColor="background1"/>
      </w:rPr>
      <w:tblPr/>
      <w:tcPr>
        <w:tcBorders>
          <w:top w:val="single" w:sz="8" w:space="0" w:color="0072BC" w:themeColor="background1"/>
          <w:left w:val="single" w:sz="8" w:space="0" w:color="0072BC" w:themeColor="background1"/>
          <w:bottom w:val="single" w:sz="24"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lastRow">
      <w:rPr>
        <w:b/>
        <w:bCs/>
        <w:i w:val="0"/>
        <w:iCs w:val="0"/>
        <w:color w:val="0072BC" w:themeColor="background1"/>
      </w:rPr>
      <w:tblPr/>
      <w:tcPr>
        <w:tcBorders>
          <w:top w:val="single" w:sz="24" w:space="0" w:color="0072BC" w:themeColor="background1"/>
          <w:left w:val="single" w:sz="8" w:space="0" w:color="0072BC" w:themeColor="background1"/>
          <w:bottom w:val="single" w:sz="8" w:space="0" w:color="0072BC" w:themeColor="background1"/>
          <w:right w:val="single" w:sz="8" w:space="0" w:color="0072BC" w:themeColor="background1"/>
          <w:insideH w:val="nil"/>
          <w:insideV w:val="single" w:sz="8" w:space="0" w:color="0072BC" w:themeColor="background1"/>
        </w:tcBorders>
        <w:shd w:val="clear" w:color="auto" w:fill="4D4D4D" w:themeFill="accent6"/>
      </w:tcPr>
    </w:tblStylePr>
    <w:tblStylePr w:type="firstCol">
      <w:rPr>
        <w:b/>
        <w:bCs/>
        <w:i w:val="0"/>
        <w:iCs w:val="0"/>
        <w:color w:val="0072BC" w:themeColor="background1"/>
      </w:rPr>
      <w:tblPr/>
      <w:tcPr>
        <w:tcBorders>
          <w:left w:val="single" w:sz="8" w:space="0" w:color="0072BC" w:themeColor="background1"/>
          <w:right w:val="single" w:sz="24" w:space="0" w:color="0072BC" w:themeColor="background1"/>
          <w:insideH w:val="nil"/>
          <w:insideV w:val="nil"/>
        </w:tcBorders>
        <w:shd w:val="clear" w:color="auto" w:fill="4D4D4D" w:themeFill="accent6"/>
      </w:tcPr>
    </w:tblStylePr>
    <w:tblStylePr w:type="lastCol">
      <w:rPr>
        <w:b/>
        <w:bCs/>
        <w:i w:val="0"/>
        <w:iCs w:val="0"/>
        <w:color w:val="0072BC" w:themeColor="background1"/>
      </w:rPr>
      <w:tblPr/>
      <w:tcPr>
        <w:tcBorders>
          <w:top w:val="nil"/>
          <w:left w:val="single" w:sz="24" w:space="0" w:color="0072BC" w:themeColor="background1"/>
          <w:bottom w:val="nil"/>
          <w:right w:val="nil"/>
          <w:insideH w:val="nil"/>
          <w:insideV w:val="nil"/>
        </w:tcBorders>
        <w:shd w:val="clear" w:color="auto" w:fill="4D4D4D" w:themeFill="accent6"/>
      </w:tcPr>
    </w:tblStylePr>
    <w:tblStylePr w:type="band1Vert">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nil"/>
          <w:insideV w:val="nil"/>
        </w:tcBorders>
        <w:shd w:val="clear" w:color="auto" w:fill="A6A6A6" w:themeFill="accent6" w:themeFillTint="7F"/>
      </w:tcPr>
    </w:tblStylePr>
    <w:tblStylePr w:type="band1Horz">
      <w:tblPr/>
      <w:tcPr>
        <w:tcBorders>
          <w:top w:val="single" w:sz="8" w:space="0" w:color="0072BC" w:themeColor="background1"/>
          <w:left w:val="single" w:sz="8" w:space="0" w:color="0072BC" w:themeColor="background1"/>
          <w:bottom w:val="single" w:sz="8" w:space="0" w:color="0072BC" w:themeColor="background1"/>
          <w:right w:val="single" w:sz="8" w:space="0" w:color="0072BC" w:themeColor="background1"/>
          <w:insideH w:val="single" w:sz="8" w:space="0" w:color="0072BC" w:themeColor="background1"/>
          <w:insideV w:val="single" w:sz="8" w:space="0" w:color="0072BC" w:themeColor="background1"/>
        </w:tcBorders>
        <w:shd w:val="clear" w:color="auto" w:fill="A6A6A6" w:themeFill="accent6" w:themeFillTint="7F"/>
      </w:tcPr>
    </w:tblStylePr>
  </w:style>
  <w:style w:type="table" w:styleId="rednialista1">
    <w:name w:val="Medium List 1"/>
    <w:basedOn w:val="Standardowy"/>
    <w:uiPriority w:val="99"/>
    <w:semiHidden/>
    <w:rsid w:val="00014566"/>
    <w:rPr>
      <w:color w:val="000000" w:themeColor="text1"/>
      <w:lang w:val="fr-FR" w:eastAsia="fr-FR"/>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C6C6C6"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rednialista1akcent1">
    <w:name w:val="Medium List 1 Accent 1"/>
    <w:basedOn w:val="Standardowy"/>
    <w:uiPriority w:val="99"/>
    <w:semiHidden/>
    <w:rsid w:val="00014566"/>
    <w:rPr>
      <w:color w:val="000000" w:themeColor="text1"/>
      <w:lang w:val="fr-FR" w:eastAsia="fr-FR"/>
    </w:rPr>
    <w:tblPr>
      <w:tblStyleRowBandSize w:val="1"/>
      <w:tblStyleColBandSize w:val="1"/>
      <w:tblBorders>
        <w:top w:val="single" w:sz="8" w:space="0" w:color="0072BC" w:themeColor="accent1"/>
        <w:bottom w:val="single" w:sz="8" w:space="0" w:color="0072BC" w:themeColor="accent1"/>
      </w:tblBorders>
    </w:tblPr>
    <w:tblStylePr w:type="firstRow">
      <w:rPr>
        <w:rFonts w:asciiTheme="majorHAnsi" w:eastAsiaTheme="majorEastAsia" w:hAnsiTheme="majorHAnsi" w:cstheme="majorBidi"/>
      </w:rPr>
      <w:tblPr/>
      <w:tcPr>
        <w:tcBorders>
          <w:top w:val="nil"/>
          <w:bottom w:val="single" w:sz="8" w:space="0" w:color="0072BC" w:themeColor="accent1"/>
        </w:tcBorders>
      </w:tcPr>
    </w:tblStylePr>
    <w:tblStylePr w:type="lastRow">
      <w:rPr>
        <w:b/>
        <w:bCs/>
        <w:color w:val="C6C6C6" w:themeColor="text2"/>
      </w:rPr>
      <w:tblPr/>
      <w:tcPr>
        <w:tcBorders>
          <w:top w:val="single" w:sz="8" w:space="0" w:color="0072BC" w:themeColor="accent1"/>
          <w:bottom w:val="single" w:sz="8" w:space="0" w:color="0072BC" w:themeColor="accent1"/>
        </w:tcBorders>
      </w:tcPr>
    </w:tblStylePr>
    <w:tblStylePr w:type="firstCol">
      <w:rPr>
        <w:b/>
        <w:bCs/>
      </w:rPr>
    </w:tblStylePr>
    <w:tblStylePr w:type="lastCol">
      <w:rPr>
        <w:b/>
        <w:bCs/>
      </w:rPr>
      <w:tblPr/>
      <w:tcPr>
        <w:tcBorders>
          <w:top w:val="single" w:sz="8" w:space="0" w:color="0072BC" w:themeColor="accent1"/>
          <w:bottom w:val="single" w:sz="8" w:space="0" w:color="0072BC" w:themeColor="accent1"/>
        </w:tcBorders>
      </w:tcPr>
    </w:tblStylePr>
    <w:tblStylePr w:type="band1Vert">
      <w:tblPr/>
      <w:tcPr>
        <w:shd w:val="clear" w:color="auto" w:fill="AFDFFF" w:themeFill="accent1" w:themeFillTint="3F"/>
      </w:tcPr>
    </w:tblStylePr>
    <w:tblStylePr w:type="band1Horz">
      <w:tblPr/>
      <w:tcPr>
        <w:shd w:val="clear" w:color="auto" w:fill="AFDFFF" w:themeFill="accent1" w:themeFillTint="3F"/>
      </w:tcPr>
    </w:tblStylePr>
  </w:style>
  <w:style w:type="table" w:styleId="rednialista1akcent2">
    <w:name w:val="Medium List 1 Accent 2"/>
    <w:basedOn w:val="Standardowy"/>
    <w:uiPriority w:val="99"/>
    <w:semiHidden/>
    <w:rsid w:val="00014566"/>
    <w:rPr>
      <w:color w:val="000000" w:themeColor="text1"/>
      <w:lang w:val="fr-FR" w:eastAsia="fr-FR"/>
    </w:rPr>
    <w:tblPr>
      <w:tblStyleRowBandSize w:val="1"/>
      <w:tblStyleColBandSize w:val="1"/>
      <w:tblBorders>
        <w:top w:val="single" w:sz="8" w:space="0" w:color="C00000" w:themeColor="accent2"/>
        <w:bottom w:val="single" w:sz="8" w:space="0" w:color="C00000" w:themeColor="accent2"/>
      </w:tblBorders>
    </w:tblPr>
    <w:tblStylePr w:type="firstRow">
      <w:rPr>
        <w:rFonts w:asciiTheme="majorHAnsi" w:eastAsiaTheme="majorEastAsia" w:hAnsiTheme="majorHAnsi" w:cstheme="majorBidi"/>
      </w:rPr>
      <w:tblPr/>
      <w:tcPr>
        <w:tcBorders>
          <w:top w:val="nil"/>
          <w:bottom w:val="single" w:sz="8" w:space="0" w:color="C00000" w:themeColor="accent2"/>
        </w:tcBorders>
      </w:tcPr>
    </w:tblStylePr>
    <w:tblStylePr w:type="lastRow">
      <w:rPr>
        <w:b/>
        <w:bCs/>
        <w:color w:val="C6C6C6" w:themeColor="text2"/>
      </w:rPr>
      <w:tblPr/>
      <w:tcPr>
        <w:tcBorders>
          <w:top w:val="single" w:sz="8" w:space="0" w:color="C00000" w:themeColor="accent2"/>
          <w:bottom w:val="single" w:sz="8" w:space="0" w:color="C00000" w:themeColor="accent2"/>
        </w:tcBorders>
      </w:tcPr>
    </w:tblStylePr>
    <w:tblStylePr w:type="firstCol">
      <w:rPr>
        <w:b/>
        <w:bCs/>
      </w:rPr>
    </w:tblStylePr>
    <w:tblStylePr w:type="lastCol">
      <w:rPr>
        <w:b/>
        <w:bCs/>
      </w:rPr>
      <w:tblPr/>
      <w:tcPr>
        <w:tcBorders>
          <w:top w:val="single" w:sz="8" w:space="0" w:color="C00000" w:themeColor="accent2"/>
          <w:bottom w:val="single" w:sz="8" w:space="0" w:color="C00000" w:themeColor="accent2"/>
        </w:tcBorders>
      </w:tcPr>
    </w:tblStylePr>
    <w:tblStylePr w:type="band1Vert">
      <w:tblPr/>
      <w:tcPr>
        <w:shd w:val="clear" w:color="auto" w:fill="FFB0B0" w:themeFill="accent2" w:themeFillTint="3F"/>
      </w:tcPr>
    </w:tblStylePr>
    <w:tblStylePr w:type="band1Horz">
      <w:tblPr/>
      <w:tcPr>
        <w:shd w:val="clear" w:color="auto" w:fill="FFB0B0" w:themeFill="accent2" w:themeFillTint="3F"/>
      </w:tcPr>
    </w:tblStylePr>
  </w:style>
  <w:style w:type="table" w:styleId="rednialista1akcent3">
    <w:name w:val="Medium List 1 Accent 3"/>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3"/>
        <w:bottom w:val="single" w:sz="8" w:space="0" w:color="5F5F5F" w:themeColor="accent3"/>
      </w:tblBorders>
    </w:tblPr>
    <w:tblStylePr w:type="firstRow">
      <w:rPr>
        <w:rFonts w:asciiTheme="majorHAnsi" w:eastAsiaTheme="majorEastAsia" w:hAnsiTheme="majorHAnsi" w:cstheme="majorBidi"/>
      </w:rPr>
      <w:tblPr/>
      <w:tcPr>
        <w:tcBorders>
          <w:top w:val="nil"/>
          <w:bottom w:val="single" w:sz="8" w:space="0" w:color="5F5F5F" w:themeColor="accent3"/>
        </w:tcBorders>
      </w:tcPr>
    </w:tblStylePr>
    <w:tblStylePr w:type="lastRow">
      <w:rPr>
        <w:b/>
        <w:bCs/>
        <w:color w:val="C6C6C6" w:themeColor="text2"/>
      </w:rPr>
      <w:tblPr/>
      <w:tcPr>
        <w:tcBorders>
          <w:top w:val="single" w:sz="8" w:space="0" w:color="5F5F5F" w:themeColor="accent3"/>
          <w:bottom w:val="single" w:sz="8" w:space="0" w:color="5F5F5F" w:themeColor="accent3"/>
        </w:tcBorders>
      </w:tcPr>
    </w:tblStylePr>
    <w:tblStylePr w:type="firstCol">
      <w:rPr>
        <w:b/>
        <w:bCs/>
      </w:rPr>
    </w:tblStylePr>
    <w:tblStylePr w:type="lastCol">
      <w:rPr>
        <w:b/>
        <w:bCs/>
      </w:rPr>
      <w:tblPr/>
      <w:tcPr>
        <w:tcBorders>
          <w:top w:val="single" w:sz="8" w:space="0" w:color="5F5F5F" w:themeColor="accent3"/>
          <w:bottom w:val="single" w:sz="8" w:space="0" w:color="5F5F5F" w:themeColor="accent3"/>
        </w:tcBorders>
      </w:tcPr>
    </w:tblStylePr>
    <w:tblStylePr w:type="band1Vert">
      <w:tblPr/>
      <w:tcPr>
        <w:shd w:val="clear" w:color="auto" w:fill="D7D7D7" w:themeFill="accent3" w:themeFillTint="3F"/>
      </w:tcPr>
    </w:tblStylePr>
    <w:tblStylePr w:type="band1Horz">
      <w:tblPr/>
      <w:tcPr>
        <w:shd w:val="clear" w:color="auto" w:fill="D7D7D7" w:themeFill="accent3" w:themeFillTint="3F"/>
      </w:tcPr>
    </w:tblStylePr>
  </w:style>
  <w:style w:type="table" w:styleId="rednialista1akcent4">
    <w:name w:val="Medium List 1 Accent 4"/>
    <w:basedOn w:val="Standardowy"/>
    <w:uiPriority w:val="99"/>
    <w:semiHidden/>
    <w:rsid w:val="00014566"/>
    <w:rPr>
      <w:color w:val="000000" w:themeColor="text1"/>
      <w:lang w:val="fr-FR" w:eastAsia="fr-FR"/>
    </w:rPr>
    <w:tblPr>
      <w:tblStyleRowBandSize w:val="1"/>
      <w:tblStyleColBandSize w:val="1"/>
      <w:tblBorders>
        <w:top w:val="single" w:sz="8" w:space="0" w:color="969696" w:themeColor="accent4"/>
        <w:bottom w:val="single" w:sz="8" w:space="0" w:color="969696" w:themeColor="accent4"/>
      </w:tblBorders>
    </w:tblPr>
    <w:tblStylePr w:type="firstRow">
      <w:rPr>
        <w:rFonts w:asciiTheme="majorHAnsi" w:eastAsiaTheme="majorEastAsia" w:hAnsiTheme="majorHAnsi" w:cstheme="majorBidi"/>
      </w:rPr>
      <w:tblPr/>
      <w:tcPr>
        <w:tcBorders>
          <w:top w:val="nil"/>
          <w:bottom w:val="single" w:sz="8" w:space="0" w:color="969696" w:themeColor="accent4"/>
        </w:tcBorders>
      </w:tcPr>
    </w:tblStylePr>
    <w:tblStylePr w:type="lastRow">
      <w:rPr>
        <w:b/>
        <w:bCs/>
        <w:color w:val="C6C6C6" w:themeColor="text2"/>
      </w:rPr>
      <w:tblPr/>
      <w:tcPr>
        <w:tcBorders>
          <w:top w:val="single" w:sz="8" w:space="0" w:color="969696" w:themeColor="accent4"/>
          <w:bottom w:val="single" w:sz="8" w:space="0" w:color="969696" w:themeColor="accent4"/>
        </w:tcBorders>
      </w:tcPr>
    </w:tblStylePr>
    <w:tblStylePr w:type="firstCol">
      <w:rPr>
        <w:b/>
        <w:bCs/>
      </w:rPr>
    </w:tblStylePr>
    <w:tblStylePr w:type="lastCol">
      <w:rPr>
        <w:b/>
        <w:bCs/>
      </w:rPr>
      <w:tblPr/>
      <w:tcPr>
        <w:tcBorders>
          <w:top w:val="single" w:sz="8" w:space="0" w:color="969696" w:themeColor="accent4"/>
          <w:bottom w:val="single" w:sz="8" w:space="0" w:color="969696" w:themeColor="accent4"/>
        </w:tcBorders>
      </w:tcPr>
    </w:tblStylePr>
    <w:tblStylePr w:type="band1Vert">
      <w:tblPr/>
      <w:tcPr>
        <w:shd w:val="clear" w:color="auto" w:fill="E5E5E5" w:themeFill="accent4" w:themeFillTint="3F"/>
      </w:tcPr>
    </w:tblStylePr>
    <w:tblStylePr w:type="band1Horz">
      <w:tblPr/>
      <w:tcPr>
        <w:shd w:val="clear" w:color="auto" w:fill="E5E5E5" w:themeFill="accent4" w:themeFillTint="3F"/>
      </w:tcPr>
    </w:tblStylePr>
  </w:style>
  <w:style w:type="table" w:styleId="rednialista1akcent5">
    <w:name w:val="Medium List 1 Accent 5"/>
    <w:basedOn w:val="Standardowy"/>
    <w:uiPriority w:val="99"/>
    <w:semiHidden/>
    <w:rsid w:val="00014566"/>
    <w:rPr>
      <w:color w:val="000000" w:themeColor="text1"/>
      <w:lang w:val="fr-FR" w:eastAsia="fr-FR"/>
    </w:rPr>
    <w:tblPr>
      <w:tblStyleRowBandSize w:val="1"/>
      <w:tblStyleColBandSize w:val="1"/>
      <w:tblBorders>
        <w:top w:val="single" w:sz="8" w:space="0" w:color="5F5F5F" w:themeColor="accent5"/>
        <w:bottom w:val="single" w:sz="8" w:space="0" w:color="5F5F5F" w:themeColor="accent5"/>
      </w:tblBorders>
    </w:tblPr>
    <w:tblStylePr w:type="firstRow">
      <w:rPr>
        <w:rFonts w:asciiTheme="majorHAnsi" w:eastAsiaTheme="majorEastAsia" w:hAnsiTheme="majorHAnsi" w:cstheme="majorBidi"/>
      </w:rPr>
      <w:tblPr/>
      <w:tcPr>
        <w:tcBorders>
          <w:top w:val="nil"/>
          <w:bottom w:val="single" w:sz="8" w:space="0" w:color="5F5F5F" w:themeColor="accent5"/>
        </w:tcBorders>
      </w:tcPr>
    </w:tblStylePr>
    <w:tblStylePr w:type="lastRow">
      <w:rPr>
        <w:b/>
        <w:bCs/>
        <w:color w:val="C6C6C6" w:themeColor="text2"/>
      </w:rPr>
      <w:tblPr/>
      <w:tcPr>
        <w:tcBorders>
          <w:top w:val="single" w:sz="8" w:space="0" w:color="5F5F5F" w:themeColor="accent5"/>
          <w:bottom w:val="single" w:sz="8" w:space="0" w:color="5F5F5F" w:themeColor="accent5"/>
        </w:tcBorders>
      </w:tcPr>
    </w:tblStylePr>
    <w:tblStylePr w:type="firstCol">
      <w:rPr>
        <w:b/>
        <w:bCs/>
      </w:rPr>
    </w:tblStylePr>
    <w:tblStylePr w:type="lastCol">
      <w:rPr>
        <w:b/>
        <w:bCs/>
      </w:rPr>
      <w:tblPr/>
      <w:tcPr>
        <w:tcBorders>
          <w:top w:val="single" w:sz="8" w:space="0" w:color="5F5F5F" w:themeColor="accent5"/>
          <w:bottom w:val="single" w:sz="8" w:space="0" w:color="5F5F5F" w:themeColor="accent5"/>
        </w:tcBorders>
      </w:tcPr>
    </w:tblStylePr>
    <w:tblStylePr w:type="band1Vert">
      <w:tblPr/>
      <w:tcPr>
        <w:shd w:val="clear" w:color="auto" w:fill="D7D7D7" w:themeFill="accent5" w:themeFillTint="3F"/>
      </w:tcPr>
    </w:tblStylePr>
    <w:tblStylePr w:type="band1Horz">
      <w:tblPr/>
      <w:tcPr>
        <w:shd w:val="clear" w:color="auto" w:fill="D7D7D7" w:themeFill="accent5" w:themeFillTint="3F"/>
      </w:tcPr>
    </w:tblStylePr>
  </w:style>
  <w:style w:type="table" w:styleId="rednialista1akcent6">
    <w:name w:val="Medium List 1 Accent 6"/>
    <w:basedOn w:val="Standardowy"/>
    <w:uiPriority w:val="99"/>
    <w:semiHidden/>
    <w:rsid w:val="00014566"/>
    <w:rPr>
      <w:color w:val="000000" w:themeColor="text1"/>
      <w:lang w:val="fr-FR" w:eastAsia="fr-FR"/>
    </w:rPr>
    <w:tblPr>
      <w:tblStyleRowBandSize w:val="1"/>
      <w:tblStyleColBandSize w:val="1"/>
      <w:tblBorders>
        <w:top w:val="single" w:sz="8" w:space="0" w:color="4D4D4D" w:themeColor="accent6"/>
        <w:bottom w:val="single" w:sz="8" w:space="0" w:color="4D4D4D" w:themeColor="accent6"/>
      </w:tblBorders>
    </w:tblPr>
    <w:tblStylePr w:type="firstRow">
      <w:rPr>
        <w:rFonts w:asciiTheme="majorHAnsi" w:eastAsiaTheme="majorEastAsia" w:hAnsiTheme="majorHAnsi" w:cstheme="majorBidi"/>
      </w:rPr>
      <w:tblPr/>
      <w:tcPr>
        <w:tcBorders>
          <w:top w:val="nil"/>
          <w:bottom w:val="single" w:sz="8" w:space="0" w:color="4D4D4D" w:themeColor="accent6"/>
        </w:tcBorders>
      </w:tcPr>
    </w:tblStylePr>
    <w:tblStylePr w:type="lastRow">
      <w:rPr>
        <w:b/>
        <w:bCs/>
        <w:color w:val="C6C6C6" w:themeColor="text2"/>
      </w:rPr>
      <w:tblPr/>
      <w:tcPr>
        <w:tcBorders>
          <w:top w:val="single" w:sz="8" w:space="0" w:color="4D4D4D" w:themeColor="accent6"/>
          <w:bottom w:val="single" w:sz="8" w:space="0" w:color="4D4D4D" w:themeColor="accent6"/>
        </w:tcBorders>
      </w:tcPr>
    </w:tblStylePr>
    <w:tblStylePr w:type="firstCol">
      <w:rPr>
        <w:b/>
        <w:bCs/>
      </w:rPr>
    </w:tblStylePr>
    <w:tblStylePr w:type="lastCol">
      <w:rPr>
        <w:b/>
        <w:bCs/>
      </w:rPr>
      <w:tblPr/>
      <w:tcPr>
        <w:tcBorders>
          <w:top w:val="single" w:sz="8" w:space="0" w:color="4D4D4D" w:themeColor="accent6"/>
          <w:bottom w:val="single" w:sz="8" w:space="0" w:color="4D4D4D" w:themeColor="accent6"/>
        </w:tcBorders>
      </w:tcPr>
    </w:tblStylePr>
    <w:tblStylePr w:type="band1Vert">
      <w:tblPr/>
      <w:tcPr>
        <w:shd w:val="clear" w:color="auto" w:fill="D3D3D3" w:themeFill="accent6" w:themeFillTint="3F"/>
      </w:tcPr>
    </w:tblStylePr>
    <w:tblStylePr w:type="band1Horz">
      <w:tblPr/>
      <w:tcPr>
        <w:shd w:val="clear" w:color="auto" w:fill="D3D3D3" w:themeFill="accent6" w:themeFillTint="3F"/>
      </w:tcPr>
    </w:tblStylePr>
  </w:style>
  <w:style w:type="table" w:styleId="rednialista2">
    <w:name w:val="Medium Lis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0072BC" w:themeFill="background1"/>
      </w:tcPr>
    </w:tblStylePr>
    <w:tblStylePr w:type="lastRow">
      <w:tblPr/>
      <w:tcPr>
        <w:tcBorders>
          <w:top w:val="single" w:sz="8" w:space="0" w:color="000000" w:themeColor="tex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0000" w:themeColor="text1"/>
          <w:insideH w:val="nil"/>
          <w:insideV w:val="nil"/>
        </w:tcBorders>
        <w:shd w:val="clear" w:color="auto" w:fill="0072BC" w:themeFill="background1"/>
      </w:tcPr>
    </w:tblStylePr>
    <w:tblStylePr w:type="lastCol">
      <w:tblPr/>
      <w:tcPr>
        <w:tcBorders>
          <w:top w:val="nil"/>
          <w:left w:val="single" w:sz="8" w:space="0" w:color="000000" w:themeColor="tex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1">
    <w:name w:val="Medium List 2 Accent 1"/>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0072BC" w:themeColor="accent1"/>
        <w:left w:val="single" w:sz="8" w:space="0" w:color="0072BC" w:themeColor="accent1"/>
        <w:bottom w:val="single" w:sz="8" w:space="0" w:color="0072BC" w:themeColor="accent1"/>
        <w:right w:val="single" w:sz="8" w:space="0" w:color="0072BC" w:themeColor="accent1"/>
      </w:tblBorders>
    </w:tblPr>
    <w:tblStylePr w:type="firstRow">
      <w:rPr>
        <w:sz w:val="24"/>
        <w:szCs w:val="24"/>
      </w:rPr>
      <w:tblPr/>
      <w:tcPr>
        <w:tcBorders>
          <w:top w:val="nil"/>
          <w:left w:val="nil"/>
          <w:bottom w:val="single" w:sz="24" w:space="0" w:color="0072BC" w:themeColor="accent1"/>
          <w:right w:val="nil"/>
          <w:insideH w:val="nil"/>
          <w:insideV w:val="nil"/>
        </w:tcBorders>
        <w:shd w:val="clear" w:color="auto" w:fill="0072BC" w:themeFill="background1"/>
      </w:tcPr>
    </w:tblStylePr>
    <w:tblStylePr w:type="lastRow">
      <w:tblPr/>
      <w:tcPr>
        <w:tcBorders>
          <w:top w:val="single" w:sz="8" w:space="0" w:color="0072BC" w:themeColor="accent1"/>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0072BC" w:themeColor="accent1"/>
          <w:insideH w:val="nil"/>
          <w:insideV w:val="nil"/>
        </w:tcBorders>
        <w:shd w:val="clear" w:color="auto" w:fill="0072BC" w:themeFill="background1"/>
      </w:tcPr>
    </w:tblStylePr>
    <w:tblStylePr w:type="lastCol">
      <w:tblPr/>
      <w:tcPr>
        <w:tcBorders>
          <w:top w:val="nil"/>
          <w:left w:val="single" w:sz="8" w:space="0" w:color="0072BC" w:themeColor="accent1"/>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AFDFFF" w:themeFill="accent1" w:themeFillTint="3F"/>
      </w:tcPr>
    </w:tblStylePr>
    <w:tblStylePr w:type="band1Horz">
      <w:tblPr/>
      <w:tcPr>
        <w:tcBorders>
          <w:top w:val="nil"/>
          <w:bottom w:val="nil"/>
          <w:insideH w:val="nil"/>
          <w:insideV w:val="nil"/>
        </w:tcBorders>
        <w:shd w:val="clear" w:color="auto" w:fill="AFDFFF" w:themeFill="accent1"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2">
    <w:name w:val="Medium List 2 Accent 2"/>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C00000" w:themeColor="accent2"/>
        <w:left w:val="single" w:sz="8" w:space="0" w:color="C00000" w:themeColor="accent2"/>
        <w:bottom w:val="single" w:sz="8" w:space="0" w:color="C00000" w:themeColor="accent2"/>
        <w:right w:val="single" w:sz="8" w:space="0" w:color="C00000" w:themeColor="accent2"/>
      </w:tblBorders>
    </w:tblPr>
    <w:tblStylePr w:type="firstRow">
      <w:rPr>
        <w:sz w:val="24"/>
        <w:szCs w:val="24"/>
      </w:rPr>
      <w:tblPr/>
      <w:tcPr>
        <w:tcBorders>
          <w:top w:val="nil"/>
          <w:left w:val="nil"/>
          <w:bottom w:val="single" w:sz="24" w:space="0" w:color="C00000" w:themeColor="accent2"/>
          <w:right w:val="nil"/>
          <w:insideH w:val="nil"/>
          <w:insideV w:val="nil"/>
        </w:tcBorders>
        <w:shd w:val="clear" w:color="auto" w:fill="0072BC" w:themeFill="background1"/>
      </w:tcPr>
    </w:tblStylePr>
    <w:tblStylePr w:type="lastRow">
      <w:tblPr/>
      <w:tcPr>
        <w:tcBorders>
          <w:top w:val="single" w:sz="8" w:space="0" w:color="C00000" w:themeColor="accent2"/>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C00000" w:themeColor="accent2"/>
          <w:insideH w:val="nil"/>
          <w:insideV w:val="nil"/>
        </w:tcBorders>
        <w:shd w:val="clear" w:color="auto" w:fill="0072BC" w:themeFill="background1"/>
      </w:tcPr>
    </w:tblStylePr>
    <w:tblStylePr w:type="lastCol">
      <w:tblPr/>
      <w:tcPr>
        <w:tcBorders>
          <w:top w:val="nil"/>
          <w:left w:val="single" w:sz="8" w:space="0" w:color="C00000" w:themeColor="accent2"/>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FFB0B0" w:themeFill="accent2" w:themeFillTint="3F"/>
      </w:tcPr>
    </w:tblStylePr>
    <w:tblStylePr w:type="band1Horz">
      <w:tblPr/>
      <w:tcPr>
        <w:tcBorders>
          <w:top w:val="nil"/>
          <w:bottom w:val="nil"/>
          <w:insideH w:val="nil"/>
          <w:insideV w:val="nil"/>
        </w:tcBorders>
        <w:shd w:val="clear" w:color="auto" w:fill="FFB0B0" w:themeFill="accent2"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3">
    <w:name w:val="Medium List 2 Accent 3"/>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3"/>
        <w:left w:val="single" w:sz="8" w:space="0" w:color="5F5F5F" w:themeColor="accent3"/>
        <w:bottom w:val="single" w:sz="8" w:space="0" w:color="5F5F5F" w:themeColor="accent3"/>
        <w:right w:val="single" w:sz="8" w:space="0" w:color="5F5F5F" w:themeColor="accent3"/>
      </w:tblBorders>
    </w:tblPr>
    <w:tblStylePr w:type="firstRow">
      <w:rPr>
        <w:sz w:val="24"/>
        <w:szCs w:val="24"/>
      </w:rPr>
      <w:tblPr/>
      <w:tcPr>
        <w:tcBorders>
          <w:top w:val="nil"/>
          <w:left w:val="nil"/>
          <w:bottom w:val="single" w:sz="24" w:space="0" w:color="5F5F5F" w:themeColor="accent3"/>
          <w:right w:val="nil"/>
          <w:insideH w:val="nil"/>
          <w:insideV w:val="nil"/>
        </w:tcBorders>
        <w:shd w:val="clear" w:color="auto" w:fill="0072BC" w:themeFill="background1"/>
      </w:tcPr>
    </w:tblStylePr>
    <w:tblStylePr w:type="lastRow">
      <w:tblPr/>
      <w:tcPr>
        <w:tcBorders>
          <w:top w:val="single" w:sz="8" w:space="0" w:color="5F5F5F" w:themeColor="accent3"/>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3"/>
          <w:insideH w:val="nil"/>
          <w:insideV w:val="nil"/>
        </w:tcBorders>
        <w:shd w:val="clear" w:color="auto" w:fill="0072BC" w:themeFill="background1"/>
      </w:tcPr>
    </w:tblStylePr>
    <w:tblStylePr w:type="lastCol">
      <w:tblPr/>
      <w:tcPr>
        <w:tcBorders>
          <w:top w:val="nil"/>
          <w:left w:val="single" w:sz="8" w:space="0" w:color="5F5F5F" w:themeColor="accent3"/>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3" w:themeFillTint="3F"/>
      </w:tcPr>
    </w:tblStylePr>
    <w:tblStylePr w:type="band1Horz">
      <w:tblPr/>
      <w:tcPr>
        <w:tcBorders>
          <w:top w:val="nil"/>
          <w:bottom w:val="nil"/>
          <w:insideH w:val="nil"/>
          <w:insideV w:val="nil"/>
        </w:tcBorders>
        <w:shd w:val="clear" w:color="auto" w:fill="D7D7D7" w:themeFill="accent3"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4">
    <w:name w:val="Medium List 2 Accent 4"/>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969696" w:themeColor="accent4"/>
        <w:left w:val="single" w:sz="8" w:space="0" w:color="969696" w:themeColor="accent4"/>
        <w:bottom w:val="single" w:sz="8" w:space="0" w:color="969696" w:themeColor="accent4"/>
        <w:right w:val="single" w:sz="8" w:space="0" w:color="969696" w:themeColor="accent4"/>
      </w:tblBorders>
    </w:tblPr>
    <w:tblStylePr w:type="firstRow">
      <w:rPr>
        <w:sz w:val="24"/>
        <w:szCs w:val="24"/>
      </w:rPr>
      <w:tblPr/>
      <w:tcPr>
        <w:tcBorders>
          <w:top w:val="nil"/>
          <w:left w:val="nil"/>
          <w:bottom w:val="single" w:sz="24" w:space="0" w:color="969696" w:themeColor="accent4"/>
          <w:right w:val="nil"/>
          <w:insideH w:val="nil"/>
          <w:insideV w:val="nil"/>
        </w:tcBorders>
        <w:shd w:val="clear" w:color="auto" w:fill="0072BC" w:themeFill="background1"/>
      </w:tcPr>
    </w:tblStylePr>
    <w:tblStylePr w:type="lastRow">
      <w:tblPr/>
      <w:tcPr>
        <w:tcBorders>
          <w:top w:val="single" w:sz="8" w:space="0" w:color="969696" w:themeColor="accent4"/>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969696" w:themeColor="accent4"/>
          <w:insideH w:val="nil"/>
          <w:insideV w:val="nil"/>
        </w:tcBorders>
        <w:shd w:val="clear" w:color="auto" w:fill="0072BC" w:themeFill="background1"/>
      </w:tcPr>
    </w:tblStylePr>
    <w:tblStylePr w:type="lastCol">
      <w:tblPr/>
      <w:tcPr>
        <w:tcBorders>
          <w:top w:val="nil"/>
          <w:left w:val="single" w:sz="8" w:space="0" w:color="969696" w:themeColor="accent4"/>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E5E5E5" w:themeFill="accent4" w:themeFillTint="3F"/>
      </w:tcPr>
    </w:tblStylePr>
    <w:tblStylePr w:type="band1Horz">
      <w:tblPr/>
      <w:tcPr>
        <w:tcBorders>
          <w:top w:val="nil"/>
          <w:bottom w:val="nil"/>
          <w:insideH w:val="nil"/>
          <w:insideV w:val="nil"/>
        </w:tcBorders>
        <w:shd w:val="clear" w:color="auto" w:fill="E5E5E5" w:themeFill="accent4"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5">
    <w:name w:val="Medium List 2 Accent 5"/>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5F5F5F" w:themeColor="accent5"/>
        <w:left w:val="single" w:sz="8" w:space="0" w:color="5F5F5F" w:themeColor="accent5"/>
        <w:bottom w:val="single" w:sz="8" w:space="0" w:color="5F5F5F" w:themeColor="accent5"/>
        <w:right w:val="single" w:sz="8" w:space="0" w:color="5F5F5F" w:themeColor="accent5"/>
      </w:tblBorders>
    </w:tblPr>
    <w:tblStylePr w:type="firstRow">
      <w:rPr>
        <w:sz w:val="24"/>
        <w:szCs w:val="24"/>
      </w:rPr>
      <w:tblPr/>
      <w:tcPr>
        <w:tcBorders>
          <w:top w:val="nil"/>
          <w:left w:val="nil"/>
          <w:bottom w:val="single" w:sz="24" w:space="0" w:color="5F5F5F" w:themeColor="accent5"/>
          <w:right w:val="nil"/>
          <w:insideH w:val="nil"/>
          <w:insideV w:val="nil"/>
        </w:tcBorders>
        <w:shd w:val="clear" w:color="auto" w:fill="0072BC" w:themeFill="background1"/>
      </w:tcPr>
    </w:tblStylePr>
    <w:tblStylePr w:type="lastRow">
      <w:tblPr/>
      <w:tcPr>
        <w:tcBorders>
          <w:top w:val="single" w:sz="8" w:space="0" w:color="5F5F5F" w:themeColor="accent5"/>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5F5F5F" w:themeColor="accent5"/>
          <w:insideH w:val="nil"/>
          <w:insideV w:val="nil"/>
        </w:tcBorders>
        <w:shd w:val="clear" w:color="auto" w:fill="0072BC" w:themeFill="background1"/>
      </w:tcPr>
    </w:tblStylePr>
    <w:tblStylePr w:type="lastCol">
      <w:tblPr/>
      <w:tcPr>
        <w:tcBorders>
          <w:top w:val="nil"/>
          <w:left w:val="single" w:sz="8" w:space="0" w:color="5F5F5F" w:themeColor="accent5"/>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7D7D7" w:themeFill="accent5" w:themeFillTint="3F"/>
      </w:tcPr>
    </w:tblStylePr>
    <w:tblStylePr w:type="band1Horz">
      <w:tblPr/>
      <w:tcPr>
        <w:tcBorders>
          <w:top w:val="nil"/>
          <w:bottom w:val="nil"/>
          <w:insideH w:val="nil"/>
          <w:insideV w:val="nil"/>
        </w:tcBorders>
        <w:shd w:val="clear" w:color="auto" w:fill="D7D7D7" w:themeFill="accent5" w:themeFillTint="3F"/>
      </w:tcPr>
    </w:tblStylePr>
    <w:tblStylePr w:type="nwCell">
      <w:tblPr/>
      <w:tcPr>
        <w:shd w:val="clear" w:color="auto" w:fill="0072BC" w:themeFill="background1"/>
      </w:tcPr>
    </w:tblStylePr>
    <w:tblStylePr w:type="swCell">
      <w:tblPr/>
      <w:tcPr>
        <w:tcBorders>
          <w:top w:val="nil"/>
        </w:tcBorders>
      </w:tcPr>
    </w:tblStylePr>
  </w:style>
  <w:style w:type="table" w:styleId="rednialista2akcent6">
    <w:name w:val="Medium List 2 Accent 6"/>
    <w:basedOn w:val="Standardowy"/>
    <w:uiPriority w:val="99"/>
    <w:semiHidden/>
    <w:rsid w:val="00014566"/>
    <w:rPr>
      <w:rFonts w:asciiTheme="majorHAnsi" w:eastAsiaTheme="majorEastAsia" w:hAnsiTheme="majorHAnsi" w:cstheme="majorBidi"/>
      <w:color w:val="000000" w:themeColor="text1"/>
      <w:lang w:val="fr-FR" w:eastAsia="fr-FR"/>
    </w:rPr>
    <w:tblPr>
      <w:tblStyleRowBandSize w:val="1"/>
      <w:tblStyleColBandSize w:val="1"/>
      <w:tblBorders>
        <w:top w:val="single" w:sz="8" w:space="0" w:color="4D4D4D" w:themeColor="accent6"/>
        <w:left w:val="single" w:sz="8" w:space="0" w:color="4D4D4D" w:themeColor="accent6"/>
        <w:bottom w:val="single" w:sz="8" w:space="0" w:color="4D4D4D" w:themeColor="accent6"/>
        <w:right w:val="single" w:sz="8" w:space="0" w:color="4D4D4D" w:themeColor="accent6"/>
      </w:tblBorders>
    </w:tblPr>
    <w:tblStylePr w:type="firstRow">
      <w:rPr>
        <w:sz w:val="24"/>
        <w:szCs w:val="24"/>
      </w:rPr>
      <w:tblPr/>
      <w:tcPr>
        <w:tcBorders>
          <w:top w:val="nil"/>
          <w:left w:val="nil"/>
          <w:bottom w:val="single" w:sz="24" w:space="0" w:color="4D4D4D" w:themeColor="accent6"/>
          <w:right w:val="nil"/>
          <w:insideH w:val="nil"/>
          <w:insideV w:val="nil"/>
        </w:tcBorders>
        <w:shd w:val="clear" w:color="auto" w:fill="0072BC" w:themeFill="background1"/>
      </w:tcPr>
    </w:tblStylePr>
    <w:tblStylePr w:type="lastRow">
      <w:tblPr/>
      <w:tcPr>
        <w:tcBorders>
          <w:top w:val="single" w:sz="8" w:space="0" w:color="4D4D4D" w:themeColor="accent6"/>
          <w:left w:val="nil"/>
          <w:bottom w:val="nil"/>
          <w:right w:val="nil"/>
          <w:insideH w:val="nil"/>
          <w:insideV w:val="nil"/>
        </w:tcBorders>
        <w:shd w:val="clear" w:color="auto" w:fill="0072BC" w:themeFill="background1"/>
      </w:tcPr>
    </w:tblStylePr>
    <w:tblStylePr w:type="firstCol">
      <w:tblPr/>
      <w:tcPr>
        <w:tcBorders>
          <w:top w:val="nil"/>
          <w:left w:val="nil"/>
          <w:bottom w:val="nil"/>
          <w:right w:val="single" w:sz="8" w:space="0" w:color="4D4D4D" w:themeColor="accent6"/>
          <w:insideH w:val="nil"/>
          <w:insideV w:val="nil"/>
        </w:tcBorders>
        <w:shd w:val="clear" w:color="auto" w:fill="0072BC" w:themeFill="background1"/>
      </w:tcPr>
    </w:tblStylePr>
    <w:tblStylePr w:type="lastCol">
      <w:tblPr/>
      <w:tcPr>
        <w:tcBorders>
          <w:top w:val="nil"/>
          <w:left w:val="single" w:sz="8" w:space="0" w:color="4D4D4D" w:themeColor="accent6"/>
          <w:bottom w:val="nil"/>
          <w:right w:val="nil"/>
          <w:insideH w:val="nil"/>
          <w:insideV w:val="nil"/>
        </w:tcBorders>
        <w:shd w:val="clear" w:color="auto" w:fill="0072BC" w:themeFill="background1"/>
      </w:tcPr>
    </w:tblStylePr>
    <w:tblStylePr w:type="band1Vert">
      <w:tblPr/>
      <w:tcPr>
        <w:tcBorders>
          <w:left w:val="nil"/>
          <w:right w:val="nil"/>
          <w:insideH w:val="nil"/>
          <w:insideV w:val="nil"/>
        </w:tcBorders>
        <w:shd w:val="clear" w:color="auto" w:fill="D3D3D3" w:themeFill="accent6" w:themeFillTint="3F"/>
      </w:tcPr>
    </w:tblStylePr>
    <w:tblStylePr w:type="band1Horz">
      <w:tblPr/>
      <w:tcPr>
        <w:tcBorders>
          <w:top w:val="nil"/>
          <w:bottom w:val="nil"/>
          <w:insideH w:val="nil"/>
          <w:insideV w:val="nil"/>
        </w:tcBorders>
        <w:shd w:val="clear" w:color="auto" w:fill="D3D3D3" w:themeFill="accent6" w:themeFillTint="3F"/>
      </w:tcPr>
    </w:tblStylePr>
    <w:tblStylePr w:type="nwCell">
      <w:tblPr/>
      <w:tcPr>
        <w:shd w:val="clear" w:color="auto" w:fill="0072BC" w:themeFill="background1"/>
      </w:tcPr>
    </w:tblStylePr>
    <w:tblStylePr w:type="swCell">
      <w:tblPr/>
      <w:tcPr>
        <w:tcBorders>
          <w:top w:val="nil"/>
        </w:tcBorders>
      </w:tcPr>
    </w:tblStylePr>
  </w:style>
  <w:style w:type="table" w:styleId="redniecieniowanie1">
    <w:name w:val="Medium Shading 1"/>
    <w:basedOn w:val="Standardowy"/>
    <w:uiPriority w:val="99"/>
    <w:semiHidden/>
    <w:rsid w:val="00014566"/>
    <w:rPr>
      <w:lang w:val="fr-FR" w:eastAsia="fr-FR"/>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0072BC"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redniecieniowanie1akcent1">
    <w:name w:val="Medium Shading 1 Accent 1"/>
    <w:basedOn w:val="Standardowy"/>
    <w:uiPriority w:val="99"/>
    <w:semiHidden/>
    <w:rsid w:val="00014566"/>
    <w:rPr>
      <w:lang w:val="fr-FR" w:eastAsia="fr-FR"/>
    </w:rPr>
    <w:tblPr>
      <w:tblStyleRowBandSize w:val="1"/>
      <w:tblStyleColBandSize w:val="1"/>
      <w:tbl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single" w:sz="8" w:space="0" w:color="0D9FFF" w:themeColor="accent1" w:themeTint="BF"/>
      </w:tblBorders>
    </w:tblPr>
    <w:tblStylePr w:type="firstRow">
      <w:pPr>
        <w:spacing w:before="0" w:after="0" w:line="240" w:lineRule="auto"/>
      </w:pPr>
      <w:rPr>
        <w:b/>
        <w:bCs/>
        <w:color w:val="0072BC" w:themeColor="background1"/>
      </w:rPr>
      <w:tblPr/>
      <w:tcPr>
        <w:tcBorders>
          <w:top w:val="single" w:sz="8"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shd w:val="clear" w:color="auto" w:fill="0072BC" w:themeFill="accent1"/>
      </w:tcPr>
    </w:tblStylePr>
    <w:tblStylePr w:type="lastRow">
      <w:pPr>
        <w:spacing w:before="0" w:after="0" w:line="240" w:lineRule="auto"/>
      </w:pPr>
      <w:rPr>
        <w:b/>
        <w:bCs/>
      </w:rPr>
      <w:tblPr/>
      <w:tcPr>
        <w:tcBorders>
          <w:top w:val="double" w:sz="6" w:space="0" w:color="0D9FFF" w:themeColor="accent1" w:themeTint="BF"/>
          <w:left w:val="single" w:sz="8" w:space="0" w:color="0D9FFF" w:themeColor="accent1" w:themeTint="BF"/>
          <w:bottom w:val="single" w:sz="8" w:space="0" w:color="0D9FFF" w:themeColor="accent1" w:themeTint="BF"/>
          <w:right w:val="single" w:sz="8" w:space="0" w:color="0D9F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AFDFFF" w:themeFill="accent1" w:themeFillTint="3F"/>
      </w:tcPr>
    </w:tblStylePr>
    <w:tblStylePr w:type="band1Horz">
      <w:tblPr/>
      <w:tcPr>
        <w:tcBorders>
          <w:insideH w:val="nil"/>
          <w:insideV w:val="nil"/>
        </w:tcBorders>
        <w:shd w:val="clear" w:color="auto" w:fill="AFDFFF" w:themeFill="accent1" w:themeFillTint="3F"/>
      </w:tcPr>
    </w:tblStylePr>
    <w:tblStylePr w:type="band2Horz">
      <w:tblPr/>
      <w:tcPr>
        <w:tcBorders>
          <w:insideH w:val="nil"/>
          <w:insideV w:val="nil"/>
        </w:tcBorders>
      </w:tcPr>
    </w:tblStylePr>
  </w:style>
  <w:style w:type="table" w:styleId="redniecieniowanie1akcent2">
    <w:name w:val="Medium Shading 1 Accent 2"/>
    <w:basedOn w:val="Standardowy"/>
    <w:uiPriority w:val="99"/>
    <w:semiHidden/>
    <w:rsid w:val="00014566"/>
    <w:rPr>
      <w:lang w:val="fr-FR" w:eastAsia="fr-FR"/>
    </w:rPr>
    <w:tblPr>
      <w:tblStyleRowBandSize w:val="1"/>
      <w:tblStyleColBandSize w:val="1"/>
      <w:tbl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single" w:sz="8" w:space="0" w:color="FF1010" w:themeColor="accent2" w:themeTint="BF"/>
      </w:tblBorders>
    </w:tblPr>
    <w:tblStylePr w:type="firstRow">
      <w:pPr>
        <w:spacing w:before="0" w:after="0" w:line="240" w:lineRule="auto"/>
      </w:pPr>
      <w:rPr>
        <w:b/>
        <w:bCs/>
        <w:color w:val="0072BC" w:themeColor="background1"/>
      </w:rPr>
      <w:tblPr/>
      <w:tcPr>
        <w:tcBorders>
          <w:top w:val="single" w:sz="8"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shd w:val="clear" w:color="auto" w:fill="C00000" w:themeFill="accent2"/>
      </w:tcPr>
    </w:tblStylePr>
    <w:tblStylePr w:type="lastRow">
      <w:pPr>
        <w:spacing w:before="0" w:after="0" w:line="240" w:lineRule="auto"/>
      </w:pPr>
      <w:rPr>
        <w:b/>
        <w:bCs/>
      </w:rPr>
      <w:tblPr/>
      <w:tcPr>
        <w:tcBorders>
          <w:top w:val="double" w:sz="6" w:space="0" w:color="FF1010" w:themeColor="accent2" w:themeTint="BF"/>
          <w:left w:val="single" w:sz="8" w:space="0" w:color="FF1010" w:themeColor="accent2" w:themeTint="BF"/>
          <w:bottom w:val="single" w:sz="8" w:space="0" w:color="FF1010" w:themeColor="accent2" w:themeTint="BF"/>
          <w:right w:val="single" w:sz="8" w:space="0" w:color="FF1010" w:themeColor="accent2" w:themeTint="BF"/>
          <w:insideH w:val="nil"/>
          <w:insideV w:val="nil"/>
        </w:tcBorders>
      </w:tcPr>
    </w:tblStylePr>
    <w:tblStylePr w:type="firstCol">
      <w:rPr>
        <w:b/>
        <w:bCs/>
      </w:rPr>
    </w:tblStylePr>
    <w:tblStylePr w:type="lastCol">
      <w:rPr>
        <w:b/>
        <w:bCs/>
      </w:rPr>
    </w:tblStylePr>
    <w:tblStylePr w:type="band1Vert">
      <w:tblPr/>
      <w:tcPr>
        <w:shd w:val="clear" w:color="auto" w:fill="FFB0B0" w:themeFill="accent2" w:themeFillTint="3F"/>
      </w:tcPr>
    </w:tblStylePr>
    <w:tblStylePr w:type="band1Horz">
      <w:tblPr/>
      <w:tcPr>
        <w:tcBorders>
          <w:insideH w:val="nil"/>
          <w:insideV w:val="nil"/>
        </w:tcBorders>
        <w:shd w:val="clear" w:color="auto" w:fill="FFB0B0" w:themeFill="accent2" w:themeFillTint="3F"/>
      </w:tcPr>
    </w:tblStylePr>
    <w:tblStylePr w:type="band2Horz">
      <w:tblPr/>
      <w:tcPr>
        <w:tcBorders>
          <w:insideH w:val="nil"/>
          <w:insideV w:val="nil"/>
        </w:tcBorders>
      </w:tcPr>
    </w:tblStylePr>
  </w:style>
  <w:style w:type="table" w:styleId="redniecieniowanie1akcent3">
    <w:name w:val="Medium Shading 1 Accent 3"/>
    <w:basedOn w:val="Standardowy"/>
    <w:uiPriority w:val="99"/>
    <w:semiHidden/>
    <w:rsid w:val="00014566"/>
    <w:rPr>
      <w:lang w:val="fr-FR" w:eastAsia="fr-FR"/>
    </w:rPr>
    <w:tblPr>
      <w:tblStyleRowBandSize w:val="1"/>
      <w:tblStyleColBandSize w:val="1"/>
      <w:tbl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single" w:sz="8" w:space="0" w:color="878787" w:themeColor="accent3" w:themeTint="BF"/>
      </w:tblBorders>
    </w:tblPr>
    <w:tblStylePr w:type="firstRow">
      <w:pPr>
        <w:spacing w:before="0" w:after="0" w:line="240" w:lineRule="auto"/>
      </w:pPr>
      <w:rPr>
        <w:b/>
        <w:bCs/>
        <w:color w:val="0072BC" w:themeColor="background1"/>
      </w:rPr>
      <w:tblPr/>
      <w:tcPr>
        <w:tcBorders>
          <w:top w:val="single" w:sz="8"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shd w:val="clear" w:color="auto" w:fill="5F5F5F" w:themeFill="accent3"/>
      </w:tcPr>
    </w:tblStylePr>
    <w:tblStylePr w:type="lastRow">
      <w:pPr>
        <w:spacing w:before="0" w:after="0" w:line="240" w:lineRule="auto"/>
      </w:pPr>
      <w:rPr>
        <w:b/>
        <w:bCs/>
      </w:rPr>
      <w:tblPr/>
      <w:tcPr>
        <w:tcBorders>
          <w:top w:val="double" w:sz="6" w:space="0" w:color="878787" w:themeColor="accent3" w:themeTint="BF"/>
          <w:left w:val="single" w:sz="8" w:space="0" w:color="878787" w:themeColor="accent3" w:themeTint="BF"/>
          <w:bottom w:val="single" w:sz="8" w:space="0" w:color="878787" w:themeColor="accent3" w:themeTint="BF"/>
          <w:right w:val="single" w:sz="8" w:space="0" w:color="878787" w:themeColor="accent3"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3" w:themeFillTint="3F"/>
      </w:tcPr>
    </w:tblStylePr>
    <w:tblStylePr w:type="band1Horz">
      <w:tblPr/>
      <w:tcPr>
        <w:tcBorders>
          <w:insideH w:val="nil"/>
          <w:insideV w:val="nil"/>
        </w:tcBorders>
        <w:shd w:val="clear" w:color="auto" w:fill="D7D7D7" w:themeFill="accent3" w:themeFillTint="3F"/>
      </w:tcPr>
    </w:tblStylePr>
    <w:tblStylePr w:type="band2Horz">
      <w:tblPr/>
      <w:tcPr>
        <w:tcBorders>
          <w:insideH w:val="nil"/>
          <w:insideV w:val="nil"/>
        </w:tcBorders>
      </w:tcPr>
    </w:tblStylePr>
  </w:style>
  <w:style w:type="table" w:styleId="redniecieniowanie1akcent4">
    <w:name w:val="Medium Shading 1 Accent 4"/>
    <w:basedOn w:val="Standardowy"/>
    <w:uiPriority w:val="99"/>
    <w:semiHidden/>
    <w:rsid w:val="00014566"/>
    <w:rPr>
      <w:lang w:val="fr-FR" w:eastAsia="fr-FR"/>
    </w:rPr>
    <w:tblPr>
      <w:tblStyleRowBandSize w:val="1"/>
      <w:tblStyleColBandSize w:val="1"/>
      <w:tbl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single" w:sz="8" w:space="0" w:color="B0B0B0" w:themeColor="accent4" w:themeTint="BF"/>
      </w:tblBorders>
    </w:tblPr>
    <w:tblStylePr w:type="firstRow">
      <w:pPr>
        <w:spacing w:before="0" w:after="0" w:line="240" w:lineRule="auto"/>
      </w:pPr>
      <w:rPr>
        <w:b/>
        <w:bCs/>
        <w:color w:val="0072BC" w:themeColor="background1"/>
      </w:rPr>
      <w:tblPr/>
      <w:tcPr>
        <w:tcBorders>
          <w:top w:val="single" w:sz="8"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shd w:val="clear" w:color="auto" w:fill="969696" w:themeFill="accent4"/>
      </w:tcPr>
    </w:tblStylePr>
    <w:tblStylePr w:type="lastRow">
      <w:pPr>
        <w:spacing w:before="0" w:after="0" w:line="240" w:lineRule="auto"/>
      </w:pPr>
      <w:rPr>
        <w:b/>
        <w:bCs/>
      </w:rPr>
      <w:tblPr/>
      <w:tcPr>
        <w:tcBorders>
          <w:top w:val="double" w:sz="6" w:space="0" w:color="B0B0B0" w:themeColor="accent4" w:themeTint="BF"/>
          <w:left w:val="single" w:sz="8" w:space="0" w:color="B0B0B0" w:themeColor="accent4" w:themeTint="BF"/>
          <w:bottom w:val="single" w:sz="8" w:space="0" w:color="B0B0B0" w:themeColor="accent4" w:themeTint="BF"/>
          <w:right w:val="single" w:sz="8" w:space="0" w:color="B0B0B0" w:themeColor="accent4" w:themeTint="BF"/>
          <w:insideH w:val="nil"/>
          <w:insideV w:val="nil"/>
        </w:tcBorders>
      </w:tcPr>
    </w:tblStylePr>
    <w:tblStylePr w:type="firstCol">
      <w:rPr>
        <w:b/>
        <w:bCs/>
      </w:rPr>
    </w:tblStylePr>
    <w:tblStylePr w:type="lastCol">
      <w:rPr>
        <w:b/>
        <w:bCs/>
      </w:rPr>
    </w:tblStylePr>
    <w:tblStylePr w:type="band1Vert">
      <w:tblPr/>
      <w:tcPr>
        <w:shd w:val="clear" w:color="auto" w:fill="E5E5E5" w:themeFill="accent4" w:themeFillTint="3F"/>
      </w:tcPr>
    </w:tblStylePr>
    <w:tblStylePr w:type="band1Horz">
      <w:tblPr/>
      <w:tcPr>
        <w:tcBorders>
          <w:insideH w:val="nil"/>
          <w:insideV w:val="nil"/>
        </w:tcBorders>
        <w:shd w:val="clear" w:color="auto" w:fill="E5E5E5" w:themeFill="accent4" w:themeFillTint="3F"/>
      </w:tcPr>
    </w:tblStylePr>
    <w:tblStylePr w:type="band2Horz">
      <w:tblPr/>
      <w:tcPr>
        <w:tcBorders>
          <w:insideH w:val="nil"/>
          <w:insideV w:val="nil"/>
        </w:tcBorders>
      </w:tcPr>
    </w:tblStylePr>
  </w:style>
  <w:style w:type="table" w:styleId="redniecieniowanie1akcent5">
    <w:name w:val="Medium Shading 1 Accent 5"/>
    <w:basedOn w:val="Standardowy"/>
    <w:uiPriority w:val="99"/>
    <w:semiHidden/>
    <w:rsid w:val="00014566"/>
    <w:rPr>
      <w:lang w:val="fr-FR" w:eastAsia="fr-FR"/>
    </w:rPr>
    <w:tblPr>
      <w:tblStyleRowBandSize w:val="1"/>
      <w:tblStyleColBandSize w:val="1"/>
      <w:tbl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single" w:sz="8" w:space="0" w:color="878787" w:themeColor="accent5" w:themeTint="BF"/>
      </w:tblBorders>
    </w:tblPr>
    <w:tblStylePr w:type="firstRow">
      <w:pPr>
        <w:spacing w:before="0" w:after="0" w:line="240" w:lineRule="auto"/>
      </w:pPr>
      <w:rPr>
        <w:b/>
        <w:bCs/>
        <w:color w:val="0072BC" w:themeColor="background1"/>
      </w:rPr>
      <w:tblPr/>
      <w:tcPr>
        <w:tcBorders>
          <w:top w:val="single" w:sz="8"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shd w:val="clear" w:color="auto" w:fill="5F5F5F" w:themeFill="accent5"/>
      </w:tcPr>
    </w:tblStylePr>
    <w:tblStylePr w:type="lastRow">
      <w:pPr>
        <w:spacing w:before="0" w:after="0" w:line="240" w:lineRule="auto"/>
      </w:pPr>
      <w:rPr>
        <w:b/>
        <w:bCs/>
      </w:rPr>
      <w:tblPr/>
      <w:tcPr>
        <w:tcBorders>
          <w:top w:val="double" w:sz="6" w:space="0" w:color="878787" w:themeColor="accent5" w:themeTint="BF"/>
          <w:left w:val="single" w:sz="8" w:space="0" w:color="878787" w:themeColor="accent5" w:themeTint="BF"/>
          <w:bottom w:val="single" w:sz="8" w:space="0" w:color="878787" w:themeColor="accent5" w:themeTint="BF"/>
          <w:right w:val="single" w:sz="8" w:space="0" w:color="878787" w:themeColor="accent5" w:themeTint="BF"/>
          <w:insideH w:val="nil"/>
          <w:insideV w:val="nil"/>
        </w:tcBorders>
      </w:tcPr>
    </w:tblStylePr>
    <w:tblStylePr w:type="firstCol">
      <w:rPr>
        <w:b/>
        <w:bCs/>
      </w:rPr>
    </w:tblStylePr>
    <w:tblStylePr w:type="lastCol">
      <w:rPr>
        <w:b/>
        <w:bCs/>
      </w:rPr>
    </w:tblStylePr>
    <w:tblStylePr w:type="band1Vert">
      <w:tblPr/>
      <w:tcPr>
        <w:shd w:val="clear" w:color="auto" w:fill="D7D7D7" w:themeFill="accent5" w:themeFillTint="3F"/>
      </w:tcPr>
    </w:tblStylePr>
    <w:tblStylePr w:type="band1Horz">
      <w:tblPr/>
      <w:tcPr>
        <w:tcBorders>
          <w:insideH w:val="nil"/>
          <w:insideV w:val="nil"/>
        </w:tcBorders>
        <w:shd w:val="clear" w:color="auto" w:fill="D7D7D7" w:themeFill="accent5" w:themeFillTint="3F"/>
      </w:tcPr>
    </w:tblStylePr>
    <w:tblStylePr w:type="band2Horz">
      <w:tblPr/>
      <w:tcPr>
        <w:tcBorders>
          <w:insideH w:val="nil"/>
          <w:insideV w:val="nil"/>
        </w:tcBorders>
      </w:tcPr>
    </w:tblStylePr>
  </w:style>
  <w:style w:type="table" w:styleId="redniecieniowanie1akcent6">
    <w:name w:val="Medium Shading 1 Accent 6"/>
    <w:basedOn w:val="Standardowy"/>
    <w:uiPriority w:val="99"/>
    <w:semiHidden/>
    <w:rsid w:val="00014566"/>
    <w:rPr>
      <w:lang w:val="fr-FR" w:eastAsia="fr-FR"/>
    </w:rPr>
    <w:tblPr>
      <w:tblStyleRowBandSize w:val="1"/>
      <w:tblStyleColBandSize w:val="1"/>
      <w:tbl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single" w:sz="8" w:space="0" w:color="797979" w:themeColor="accent6" w:themeTint="BF"/>
      </w:tblBorders>
    </w:tblPr>
    <w:tblStylePr w:type="firstRow">
      <w:pPr>
        <w:spacing w:before="0" w:after="0" w:line="240" w:lineRule="auto"/>
      </w:pPr>
      <w:rPr>
        <w:b/>
        <w:bCs/>
        <w:color w:val="0072BC" w:themeColor="background1"/>
      </w:rPr>
      <w:tblPr/>
      <w:tcPr>
        <w:tcBorders>
          <w:top w:val="single" w:sz="8"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shd w:val="clear" w:color="auto" w:fill="4D4D4D" w:themeFill="accent6"/>
      </w:tcPr>
    </w:tblStylePr>
    <w:tblStylePr w:type="lastRow">
      <w:pPr>
        <w:spacing w:before="0" w:after="0" w:line="240" w:lineRule="auto"/>
      </w:pPr>
      <w:rPr>
        <w:b/>
        <w:bCs/>
      </w:rPr>
      <w:tblPr/>
      <w:tcPr>
        <w:tcBorders>
          <w:top w:val="double" w:sz="6" w:space="0" w:color="797979" w:themeColor="accent6" w:themeTint="BF"/>
          <w:left w:val="single" w:sz="8" w:space="0" w:color="797979" w:themeColor="accent6" w:themeTint="BF"/>
          <w:bottom w:val="single" w:sz="8" w:space="0" w:color="797979" w:themeColor="accent6" w:themeTint="BF"/>
          <w:right w:val="single" w:sz="8" w:space="0" w:color="797979" w:themeColor="accent6" w:themeTint="BF"/>
          <w:insideH w:val="nil"/>
          <w:insideV w:val="nil"/>
        </w:tcBorders>
      </w:tcPr>
    </w:tblStylePr>
    <w:tblStylePr w:type="firstCol">
      <w:rPr>
        <w:b/>
        <w:bCs/>
      </w:rPr>
    </w:tblStylePr>
    <w:tblStylePr w:type="lastCol">
      <w:rPr>
        <w:b/>
        <w:bCs/>
      </w:rPr>
    </w:tblStylePr>
    <w:tblStylePr w:type="band1Vert">
      <w:tblPr/>
      <w:tcPr>
        <w:shd w:val="clear" w:color="auto" w:fill="D3D3D3" w:themeFill="accent6" w:themeFillTint="3F"/>
      </w:tcPr>
    </w:tblStylePr>
    <w:tblStylePr w:type="band1Horz">
      <w:tblPr/>
      <w:tcPr>
        <w:tcBorders>
          <w:insideH w:val="nil"/>
          <w:insideV w:val="nil"/>
        </w:tcBorders>
        <w:shd w:val="clear" w:color="auto" w:fill="D3D3D3" w:themeFill="accent6" w:themeFillTint="3F"/>
      </w:tcPr>
    </w:tblStylePr>
    <w:tblStylePr w:type="band2Horz">
      <w:tblPr/>
      <w:tcPr>
        <w:tcBorders>
          <w:insideH w:val="nil"/>
          <w:insideV w:val="nil"/>
        </w:tcBorders>
      </w:tcPr>
    </w:tblStylePr>
  </w:style>
  <w:style w:type="table" w:styleId="redniecieniowanie2">
    <w:name w:val="Medium Shading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0072BC"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1">
    <w:name w:val="Medium Shading 2 Accent 1"/>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0072BC"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0072BC" w:themeFill="accent1"/>
      </w:tcPr>
    </w:tblStylePr>
    <w:tblStylePr w:type="lastCol">
      <w:rPr>
        <w:b/>
        <w:bCs/>
        <w:color w:val="0072BC" w:themeColor="background1"/>
      </w:rPr>
      <w:tblPr/>
      <w:tcPr>
        <w:tcBorders>
          <w:left w:val="nil"/>
          <w:right w:val="nil"/>
          <w:insideH w:val="nil"/>
          <w:insideV w:val="nil"/>
        </w:tcBorders>
        <w:shd w:val="clear" w:color="auto" w:fill="0072BC" w:themeFill="accent1"/>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2">
    <w:name w:val="Medium Shading 2 Accent 2"/>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C00000"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C00000" w:themeFill="accent2"/>
      </w:tcPr>
    </w:tblStylePr>
    <w:tblStylePr w:type="lastCol">
      <w:rPr>
        <w:b/>
        <w:bCs/>
        <w:color w:val="0072BC" w:themeColor="background1"/>
      </w:rPr>
      <w:tblPr/>
      <w:tcPr>
        <w:tcBorders>
          <w:left w:val="nil"/>
          <w:right w:val="nil"/>
          <w:insideH w:val="nil"/>
          <w:insideV w:val="nil"/>
        </w:tcBorders>
        <w:shd w:val="clear" w:color="auto" w:fill="C00000" w:themeFill="accent2"/>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3">
    <w:name w:val="Medium Shading 2 Accent 3"/>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3"/>
      </w:tcPr>
    </w:tblStylePr>
    <w:tblStylePr w:type="lastCol">
      <w:rPr>
        <w:b/>
        <w:bCs/>
        <w:color w:val="0072BC" w:themeColor="background1"/>
      </w:rPr>
      <w:tblPr/>
      <w:tcPr>
        <w:tcBorders>
          <w:left w:val="nil"/>
          <w:right w:val="nil"/>
          <w:insideH w:val="nil"/>
          <w:insideV w:val="nil"/>
        </w:tcBorders>
        <w:shd w:val="clear" w:color="auto" w:fill="5F5F5F" w:themeFill="accent3"/>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4">
    <w:name w:val="Medium Shading 2 Accent 4"/>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969696"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969696" w:themeFill="accent4"/>
      </w:tcPr>
    </w:tblStylePr>
    <w:tblStylePr w:type="lastCol">
      <w:rPr>
        <w:b/>
        <w:bCs/>
        <w:color w:val="0072BC" w:themeColor="background1"/>
      </w:rPr>
      <w:tblPr/>
      <w:tcPr>
        <w:tcBorders>
          <w:left w:val="nil"/>
          <w:right w:val="nil"/>
          <w:insideH w:val="nil"/>
          <w:insideV w:val="nil"/>
        </w:tcBorders>
        <w:shd w:val="clear" w:color="auto" w:fill="969696" w:themeFill="accent4"/>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5">
    <w:name w:val="Medium Shading 2 Accent 5"/>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5F5F5F"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5F5F5F" w:themeFill="accent5"/>
      </w:tcPr>
    </w:tblStylePr>
    <w:tblStylePr w:type="lastCol">
      <w:rPr>
        <w:b/>
        <w:bCs/>
        <w:color w:val="0072BC" w:themeColor="background1"/>
      </w:rPr>
      <w:tblPr/>
      <w:tcPr>
        <w:tcBorders>
          <w:left w:val="nil"/>
          <w:right w:val="nil"/>
          <w:insideH w:val="nil"/>
          <w:insideV w:val="nil"/>
        </w:tcBorders>
        <w:shd w:val="clear" w:color="auto" w:fill="5F5F5F" w:themeFill="accent5"/>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table" w:styleId="redniecieniowanie2akcent6">
    <w:name w:val="Medium Shading 2 Accent 6"/>
    <w:basedOn w:val="Standardowy"/>
    <w:uiPriority w:val="99"/>
    <w:semiHidden/>
    <w:rsid w:val="00014566"/>
    <w:rPr>
      <w:lang w:val="fr-FR" w:eastAsia="fr-FR"/>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0072BC" w:themeColor="background1"/>
      </w:rPr>
      <w:tblPr/>
      <w:tcPr>
        <w:tcBorders>
          <w:top w:val="single" w:sz="18" w:space="0" w:color="auto"/>
          <w:left w:val="nil"/>
          <w:bottom w:val="single" w:sz="18" w:space="0" w:color="auto"/>
          <w:right w:val="nil"/>
          <w:insideH w:val="nil"/>
          <w:insideV w:val="nil"/>
        </w:tcBorders>
        <w:shd w:val="clear" w:color="auto" w:fill="4D4D4D"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0072BC" w:themeFill="background1"/>
      </w:tcPr>
    </w:tblStylePr>
    <w:tblStylePr w:type="firstCol">
      <w:rPr>
        <w:b/>
        <w:bCs/>
        <w:color w:val="0072BC" w:themeColor="background1"/>
      </w:rPr>
      <w:tblPr/>
      <w:tcPr>
        <w:tcBorders>
          <w:top w:val="nil"/>
          <w:left w:val="nil"/>
          <w:bottom w:val="single" w:sz="18" w:space="0" w:color="auto"/>
          <w:right w:val="nil"/>
          <w:insideH w:val="nil"/>
          <w:insideV w:val="nil"/>
        </w:tcBorders>
        <w:shd w:val="clear" w:color="auto" w:fill="4D4D4D" w:themeFill="accent6"/>
      </w:tcPr>
    </w:tblStylePr>
    <w:tblStylePr w:type="lastCol">
      <w:rPr>
        <w:b/>
        <w:bCs/>
        <w:color w:val="0072BC" w:themeColor="background1"/>
      </w:rPr>
      <w:tblPr/>
      <w:tcPr>
        <w:tcBorders>
          <w:left w:val="nil"/>
          <w:right w:val="nil"/>
          <w:insideH w:val="nil"/>
          <w:insideV w:val="nil"/>
        </w:tcBorders>
        <w:shd w:val="clear" w:color="auto" w:fill="4D4D4D" w:themeFill="accent6"/>
      </w:tcPr>
    </w:tblStylePr>
    <w:tblStylePr w:type="band1Vert">
      <w:tblPr/>
      <w:tcPr>
        <w:tcBorders>
          <w:left w:val="nil"/>
          <w:right w:val="nil"/>
          <w:insideH w:val="nil"/>
          <w:insideV w:val="nil"/>
        </w:tcBorders>
        <w:shd w:val="clear" w:color="auto" w:fill="00609F" w:themeFill="background1" w:themeFillShade="D8"/>
      </w:tcPr>
    </w:tblStylePr>
    <w:tblStylePr w:type="band1Horz">
      <w:tblPr/>
      <w:tcPr>
        <w:shd w:val="clear" w:color="auto" w:fill="00609F"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0072BC" w:themeColor="background1"/>
      </w:rPr>
      <w:tblPr/>
      <w:tcPr>
        <w:tcBorders>
          <w:top w:val="single" w:sz="18" w:space="0" w:color="auto"/>
          <w:left w:val="nil"/>
          <w:bottom w:val="single" w:sz="18" w:space="0" w:color="auto"/>
          <w:right w:val="nil"/>
          <w:insideH w:val="nil"/>
          <w:insideV w:val="nil"/>
        </w:tcBorders>
      </w:tcPr>
    </w:tblStylePr>
  </w:style>
  <w:style w:type="paragraph" w:styleId="Nagwekwiadomoci">
    <w:name w:val="Message Header"/>
    <w:basedOn w:val="Normalny"/>
    <w:link w:val="NagwekwiadomociZnak"/>
    <w:uiPriority w:val="99"/>
    <w:semiHidden/>
    <w:rsid w:val="00014566"/>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Cs w:val="24"/>
    </w:rPr>
  </w:style>
  <w:style w:type="character" w:customStyle="1" w:styleId="NagwekwiadomociZnak">
    <w:name w:val="Nagłówek wiadomości Znak"/>
    <w:basedOn w:val="Domylnaczcionkaakapitu"/>
    <w:link w:val="Nagwekwiadomoci"/>
    <w:uiPriority w:val="99"/>
    <w:semiHidden/>
    <w:rsid w:val="00014566"/>
    <w:rPr>
      <w:rFonts w:asciiTheme="majorHAnsi" w:eastAsiaTheme="majorEastAsia" w:hAnsiTheme="majorHAnsi" w:cstheme="majorBidi"/>
      <w:sz w:val="24"/>
      <w:szCs w:val="24"/>
      <w:shd w:val="pct20" w:color="auto" w:fill="auto"/>
    </w:rPr>
  </w:style>
  <w:style w:type="paragraph" w:styleId="NormalnyWeb">
    <w:name w:val="Normal (Web)"/>
    <w:basedOn w:val="Normalny"/>
    <w:uiPriority w:val="99"/>
    <w:semiHidden/>
    <w:rsid w:val="00014566"/>
    <w:rPr>
      <w:rFonts w:ascii="Times New Roman" w:hAnsi="Times New Roman" w:cs="Times New Roman"/>
      <w:szCs w:val="24"/>
    </w:rPr>
  </w:style>
  <w:style w:type="paragraph" w:styleId="Wcicienormalne">
    <w:name w:val="Normal Indent"/>
    <w:basedOn w:val="Normalny"/>
    <w:uiPriority w:val="99"/>
    <w:semiHidden/>
    <w:rsid w:val="00014566"/>
    <w:pPr>
      <w:ind w:left="720"/>
    </w:pPr>
  </w:style>
  <w:style w:type="paragraph" w:styleId="Nagweknotatki">
    <w:name w:val="Note Heading"/>
    <w:basedOn w:val="Normalny"/>
    <w:next w:val="Normalny"/>
    <w:link w:val="NagweknotatkiZnak"/>
    <w:uiPriority w:val="99"/>
    <w:semiHidden/>
    <w:rsid w:val="00014566"/>
  </w:style>
  <w:style w:type="character" w:customStyle="1" w:styleId="NagweknotatkiZnak">
    <w:name w:val="Nagłówek notatki Znak"/>
    <w:basedOn w:val="Domylnaczcionkaakapitu"/>
    <w:link w:val="Nagweknotatki"/>
    <w:uiPriority w:val="99"/>
    <w:semiHidden/>
    <w:rsid w:val="00014566"/>
    <w:rPr>
      <w:rFonts w:eastAsiaTheme="minorEastAsia"/>
      <w:sz w:val="24"/>
    </w:rPr>
  </w:style>
  <w:style w:type="character" w:styleId="Tekstzastpczy">
    <w:name w:val="Placeholder Text"/>
    <w:basedOn w:val="Domylnaczcionkaakapitu"/>
    <w:uiPriority w:val="99"/>
    <w:semiHidden/>
    <w:rsid w:val="00014566"/>
    <w:rPr>
      <w:color w:val="808080"/>
    </w:rPr>
  </w:style>
  <w:style w:type="paragraph" w:styleId="Zwykytekst">
    <w:name w:val="Plain Text"/>
    <w:basedOn w:val="Normalny"/>
    <w:link w:val="ZwykytekstZnak"/>
    <w:uiPriority w:val="99"/>
    <w:semiHidden/>
    <w:rsid w:val="00014566"/>
    <w:rPr>
      <w:rFonts w:ascii="Consolas" w:hAnsi="Consolas" w:cs="Consolas"/>
      <w:sz w:val="21"/>
      <w:szCs w:val="21"/>
    </w:rPr>
  </w:style>
  <w:style w:type="character" w:customStyle="1" w:styleId="ZwykytekstZnak">
    <w:name w:val="Zwykły tekst Znak"/>
    <w:basedOn w:val="Domylnaczcionkaakapitu"/>
    <w:link w:val="Zwykytekst"/>
    <w:uiPriority w:val="99"/>
    <w:semiHidden/>
    <w:rsid w:val="00014566"/>
    <w:rPr>
      <w:rFonts w:ascii="Consolas" w:eastAsiaTheme="minorEastAsia" w:hAnsi="Consolas" w:cs="Consolas"/>
      <w:sz w:val="21"/>
      <w:szCs w:val="21"/>
    </w:rPr>
  </w:style>
  <w:style w:type="paragraph" w:styleId="Zwrotgrzecznociowy">
    <w:name w:val="Salutation"/>
    <w:basedOn w:val="Normalny"/>
    <w:next w:val="Normalny"/>
    <w:link w:val="ZwrotgrzecznociowyZnak"/>
    <w:uiPriority w:val="99"/>
    <w:semiHidden/>
    <w:rsid w:val="00014566"/>
  </w:style>
  <w:style w:type="character" w:customStyle="1" w:styleId="ZwrotgrzecznociowyZnak">
    <w:name w:val="Zwrot grzecznościowy Znak"/>
    <w:basedOn w:val="Domylnaczcionkaakapitu"/>
    <w:link w:val="Zwrotgrzecznociowy"/>
    <w:uiPriority w:val="99"/>
    <w:semiHidden/>
    <w:rsid w:val="00014566"/>
    <w:rPr>
      <w:rFonts w:eastAsiaTheme="minorEastAsia"/>
      <w:sz w:val="24"/>
    </w:rPr>
  </w:style>
  <w:style w:type="paragraph" w:styleId="Podpis">
    <w:name w:val="Signature"/>
    <w:basedOn w:val="Normalny"/>
    <w:link w:val="PodpisZnak"/>
    <w:uiPriority w:val="99"/>
    <w:semiHidden/>
    <w:rsid w:val="00014566"/>
    <w:pPr>
      <w:ind w:left="4252"/>
    </w:pPr>
  </w:style>
  <w:style w:type="character" w:customStyle="1" w:styleId="PodpisZnak">
    <w:name w:val="Podpis Znak"/>
    <w:basedOn w:val="Domylnaczcionkaakapitu"/>
    <w:link w:val="Podpis"/>
    <w:uiPriority w:val="99"/>
    <w:semiHidden/>
    <w:rsid w:val="00014566"/>
    <w:rPr>
      <w:rFonts w:eastAsiaTheme="minorEastAsia"/>
      <w:sz w:val="24"/>
    </w:rPr>
  </w:style>
  <w:style w:type="table" w:styleId="Tabela-Efekty3W1">
    <w:name w:val="Table 3D effects 1"/>
    <w:basedOn w:val="Standardowy"/>
    <w:uiPriority w:val="99"/>
    <w:semiHidden/>
    <w:rsid w:val="00014566"/>
    <w:pPr>
      <w:suppressAutoHyphens/>
    </w:pPr>
    <w:rPr>
      <w:lang w:val="fr-FR" w:eastAsia="fr-FR"/>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ela-Efekty3W2">
    <w:name w:val="Table 3D effects 2"/>
    <w:basedOn w:val="Standardowy"/>
    <w:uiPriority w:val="99"/>
    <w:semiHidden/>
    <w:rsid w:val="00014566"/>
    <w:pPr>
      <w:suppressAutoHyphens/>
    </w:pPr>
    <w:rPr>
      <w:lang w:val="fr-FR" w:eastAsia="fr-FR"/>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Efekty3W3">
    <w:name w:val="Table 3D effects 3"/>
    <w:basedOn w:val="Standardowy"/>
    <w:uiPriority w:val="99"/>
    <w:semiHidden/>
    <w:rsid w:val="00014566"/>
    <w:pPr>
      <w:suppressAutoHyphens/>
    </w:pPr>
    <w:rPr>
      <w:lang w:val="fr-FR" w:eastAsia="fr-FR"/>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1">
    <w:name w:val="Table Classic 1"/>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lasyczny2">
    <w:name w:val="Table Classic 2"/>
    <w:basedOn w:val="Standardowy"/>
    <w:uiPriority w:val="99"/>
    <w:semiHidden/>
    <w:rsid w:val="00014566"/>
    <w:pPr>
      <w:suppressAutoHyphens/>
    </w:pPr>
    <w:rPr>
      <w:lang w:val="fr-FR" w:eastAsia="fr-FR"/>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ela-Klasyczny3">
    <w:name w:val="Table Classic 3"/>
    <w:basedOn w:val="Standardowy"/>
    <w:uiPriority w:val="99"/>
    <w:semiHidden/>
    <w:rsid w:val="00014566"/>
    <w:pPr>
      <w:suppressAutoHyphens/>
    </w:pPr>
    <w:rPr>
      <w:color w:val="000080"/>
      <w:lang w:val="fr-FR" w:eastAsia="fr-FR"/>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ela-Klasyczny4">
    <w:name w:val="Table Classic 4"/>
    <w:basedOn w:val="Standardowy"/>
    <w:uiPriority w:val="99"/>
    <w:semiHidden/>
    <w:rsid w:val="00014566"/>
    <w:pPr>
      <w:suppressAutoHyphens/>
    </w:pPr>
    <w:rPr>
      <w:lang w:val="fr-FR" w:eastAsia="fr-FR"/>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ela-Kolorowy1">
    <w:name w:val="Table Colorful 1"/>
    <w:basedOn w:val="Standardowy"/>
    <w:uiPriority w:val="99"/>
    <w:semiHidden/>
    <w:rsid w:val="00014566"/>
    <w:pPr>
      <w:suppressAutoHyphens/>
    </w:pPr>
    <w:rPr>
      <w:color w:val="FFFFFF"/>
      <w:lang w:val="fr-FR" w:eastAsia="fr-FR"/>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ela-Kolorowy2">
    <w:name w:val="Table Colorful 2"/>
    <w:basedOn w:val="Standardowy"/>
    <w:uiPriority w:val="99"/>
    <w:semiHidden/>
    <w:rsid w:val="00014566"/>
    <w:pPr>
      <w:suppressAutoHyphens/>
    </w:pPr>
    <w:rPr>
      <w:lang w:val="fr-FR" w:eastAsia="fr-FR"/>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ela-Kolorowy3">
    <w:name w:val="Table Colorful 3"/>
    <w:basedOn w:val="Standardowy"/>
    <w:uiPriority w:val="99"/>
    <w:semiHidden/>
    <w:rsid w:val="00014566"/>
    <w:pPr>
      <w:suppressAutoHyphens/>
    </w:pPr>
    <w:rPr>
      <w:lang w:val="fr-FR" w:eastAsia="fr-FR"/>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ela-Kolumnowy1">
    <w:name w:val="Table Columns 1"/>
    <w:basedOn w:val="Standardowy"/>
    <w:uiPriority w:val="99"/>
    <w:semiHidden/>
    <w:rsid w:val="00014566"/>
    <w:pPr>
      <w:suppressAutoHyphens/>
    </w:pPr>
    <w:rPr>
      <w:b/>
      <w:bCs/>
      <w:lang w:val="fr-FR" w:eastAsia="fr-FR"/>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2">
    <w:name w:val="Table Columns 2"/>
    <w:basedOn w:val="Standardowy"/>
    <w:uiPriority w:val="99"/>
    <w:semiHidden/>
    <w:rsid w:val="00014566"/>
    <w:pPr>
      <w:suppressAutoHyphens/>
    </w:pPr>
    <w:rPr>
      <w:b/>
      <w:bCs/>
      <w:lang w:val="fr-FR" w:eastAsia="fr-FR"/>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Kolumnowy3">
    <w:name w:val="Table Columns 3"/>
    <w:basedOn w:val="Standardowy"/>
    <w:uiPriority w:val="99"/>
    <w:semiHidden/>
    <w:rsid w:val="00014566"/>
    <w:pPr>
      <w:suppressAutoHyphens/>
    </w:pPr>
    <w:rPr>
      <w:b/>
      <w:bCs/>
      <w:lang w:val="fr-FR" w:eastAsia="fr-FR"/>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ela-Kolumnowy4">
    <w:name w:val="Table Columns 4"/>
    <w:basedOn w:val="Standardowy"/>
    <w:uiPriority w:val="99"/>
    <w:semiHidden/>
    <w:rsid w:val="00014566"/>
    <w:pPr>
      <w:suppressAutoHyphens/>
    </w:pPr>
    <w:rPr>
      <w:lang w:val="fr-FR" w:eastAsia="fr-FR"/>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ela-Kolumnowy5">
    <w:name w:val="Table Columns 5"/>
    <w:basedOn w:val="Standardowy"/>
    <w:uiPriority w:val="99"/>
    <w:semiHidden/>
    <w:rsid w:val="00014566"/>
    <w:pPr>
      <w:suppressAutoHyphens/>
    </w:pPr>
    <w:rPr>
      <w:lang w:val="fr-FR" w:eastAsia="fr-FR"/>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ela-Wspczesny">
    <w:name w:val="Table Contemporary"/>
    <w:basedOn w:val="Standardowy"/>
    <w:uiPriority w:val="99"/>
    <w:semiHidden/>
    <w:rsid w:val="00014566"/>
    <w:pPr>
      <w:suppressAutoHyphens/>
    </w:pPr>
    <w:rPr>
      <w:lang w:val="fr-FR" w:eastAsia="fr-FR"/>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ela-Elegancki">
    <w:name w:val="Table Elegant"/>
    <w:basedOn w:val="Standardowy"/>
    <w:uiPriority w:val="99"/>
    <w:semiHidden/>
    <w:rsid w:val="00014566"/>
    <w:pPr>
      <w:suppressAutoHyphens/>
    </w:pPr>
    <w:rPr>
      <w:lang w:val="fr-FR" w:eastAsia="fr-FR"/>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ela-Siatka1">
    <w:name w:val="Table Grid 1"/>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ela-Siatka2">
    <w:name w:val="Table Grid 2"/>
    <w:basedOn w:val="Standardowy"/>
    <w:uiPriority w:val="99"/>
    <w:semiHidden/>
    <w:rsid w:val="00014566"/>
    <w:pPr>
      <w:suppressAutoHyphens/>
    </w:pPr>
    <w:rPr>
      <w:lang w:val="fr-FR" w:eastAsia="fr-FR"/>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3">
    <w:name w:val="Table Grid 3"/>
    <w:basedOn w:val="Standardowy"/>
    <w:uiPriority w:val="99"/>
    <w:semiHidden/>
    <w:rsid w:val="00014566"/>
    <w:pPr>
      <w:suppressAutoHyphens/>
    </w:pPr>
    <w:rPr>
      <w:lang w:val="fr-FR" w:eastAsia="fr-FR"/>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ela-Siatka4">
    <w:name w:val="Table Grid 4"/>
    <w:basedOn w:val="Standardowy"/>
    <w:uiPriority w:val="99"/>
    <w:semiHidden/>
    <w:rsid w:val="00014566"/>
    <w:pPr>
      <w:suppressAutoHyphens/>
    </w:pPr>
    <w:rPr>
      <w:lang w:val="fr-FR" w:eastAsia="fr-FR"/>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ela-Siatka5">
    <w:name w:val="Table Grid 5"/>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6">
    <w:name w:val="Table Grid 6"/>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7">
    <w:name w:val="Table Grid 7"/>
    <w:basedOn w:val="Standardowy"/>
    <w:uiPriority w:val="99"/>
    <w:semiHidden/>
    <w:rsid w:val="00014566"/>
    <w:pPr>
      <w:suppressAutoHyphens/>
    </w:pPr>
    <w:rPr>
      <w:b/>
      <w:bCs/>
      <w:lang w:val="fr-FR" w:eastAsia="fr-FR"/>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ela-Siatka8">
    <w:name w:val="Table Grid 8"/>
    <w:basedOn w:val="Standardowy"/>
    <w:uiPriority w:val="99"/>
    <w:semiHidden/>
    <w:rsid w:val="00014566"/>
    <w:pPr>
      <w:suppressAutoHyphens/>
    </w:pPr>
    <w:rPr>
      <w:lang w:val="fr-FR" w:eastAsia="fr-FR"/>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ela-Lista1">
    <w:name w:val="Table List 1"/>
    <w:basedOn w:val="Standardowy"/>
    <w:uiPriority w:val="99"/>
    <w:semiHidden/>
    <w:rsid w:val="00014566"/>
    <w:pPr>
      <w:suppressAutoHyphens/>
    </w:pPr>
    <w:rPr>
      <w:lang w:val="fr-FR" w:eastAsia="fr-FR"/>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2">
    <w:name w:val="Table List 2"/>
    <w:basedOn w:val="Standardowy"/>
    <w:uiPriority w:val="99"/>
    <w:semiHidden/>
    <w:rsid w:val="00014566"/>
    <w:pPr>
      <w:suppressAutoHyphens/>
    </w:pPr>
    <w:rPr>
      <w:lang w:val="fr-FR" w:eastAsia="fr-FR"/>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Lista3">
    <w:name w:val="Table List 3"/>
    <w:basedOn w:val="Standardowy"/>
    <w:uiPriority w:val="99"/>
    <w:semiHidden/>
    <w:rsid w:val="00014566"/>
    <w:pPr>
      <w:suppressAutoHyphens/>
    </w:pPr>
    <w:rPr>
      <w:lang w:val="fr-FR" w:eastAsia="fr-FR"/>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ela-Lista4">
    <w:name w:val="Table List 4"/>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ela-Lista5">
    <w:name w:val="Table List 5"/>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ela-Lista6">
    <w:name w:val="Table List 6"/>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ela-Lista7">
    <w:name w:val="Table List 7"/>
    <w:basedOn w:val="Standardowy"/>
    <w:uiPriority w:val="99"/>
    <w:semiHidden/>
    <w:rsid w:val="00014566"/>
    <w:pPr>
      <w:suppressAutoHyphens/>
    </w:pPr>
    <w:rPr>
      <w:lang w:val="fr-FR" w:eastAsia="fr-FR"/>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ela-Lista8">
    <w:name w:val="Table List 8"/>
    <w:basedOn w:val="Standardowy"/>
    <w:uiPriority w:val="99"/>
    <w:semiHidden/>
    <w:rsid w:val="00014566"/>
    <w:pPr>
      <w:suppressAutoHyphens/>
    </w:pPr>
    <w:rPr>
      <w:lang w:val="fr-FR" w:eastAsia="fr-FR"/>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Wykazrde">
    <w:name w:val="table of authorities"/>
    <w:basedOn w:val="Normalny"/>
    <w:next w:val="Normalny"/>
    <w:uiPriority w:val="99"/>
    <w:semiHidden/>
    <w:rsid w:val="00014566"/>
    <w:pPr>
      <w:ind w:left="240" w:hanging="240"/>
    </w:pPr>
  </w:style>
  <w:style w:type="paragraph" w:styleId="Spisilustracji">
    <w:name w:val="table of figures"/>
    <w:basedOn w:val="Normalny"/>
    <w:next w:val="Normalny"/>
    <w:uiPriority w:val="99"/>
    <w:semiHidden/>
    <w:rsid w:val="00014566"/>
  </w:style>
  <w:style w:type="table" w:styleId="Tabela-Profesjonalny">
    <w:name w:val="Table Professional"/>
    <w:basedOn w:val="Standardowy"/>
    <w:uiPriority w:val="99"/>
    <w:semiHidden/>
    <w:rsid w:val="00014566"/>
    <w:pPr>
      <w:suppressAutoHyphens/>
    </w:pPr>
    <w:rPr>
      <w:lang w:val="fr-FR" w:eastAsia="fr-FR"/>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ela-Prosty1">
    <w:name w:val="Table Simple 1"/>
    <w:basedOn w:val="Standardowy"/>
    <w:uiPriority w:val="99"/>
    <w:semiHidden/>
    <w:rsid w:val="00014566"/>
    <w:pPr>
      <w:suppressAutoHyphens/>
    </w:pPr>
    <w:rPr>
      <w:lang w:val="fr-FR" w:eastAsia="fr-FR"/>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ela-Prosty2">
    <w:name w:val="Table Simple 2"/>
    <w:basedOn w:val="Standardowy"/>
    <w:uiPriority w:val="99"/>
    <w:semiHidden/>
    <w:rsid w:val="00014566"/>
    <w:pPr>
      <w:suppressAutoHyphens/>
    </w:pPr>
    <w:rPr>
      <w:lang w:val="fr-FR" w:eastAsia="fr-FR"/>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ela-Prosty3">
    <w:name w:val="Table Simple 3"/>
    <w:basedOn w:val="Standardowy"/>
    <w:uiPriority w:val="99"/>
    <w:semiHidden/>
    <w:rsid w:val="00014566"/>
    <w:pPr>
      <w:suppressAutoHyphens/>
    </w:pPr>
    <w:rPr>
      <w:lang w:val="fr-FR" w:eastAsia="fr-FR"/>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ela-Delikatny1">
    <w:name w:val="Table Subtle 1"/>
    <w:basedOn w:val="Standardowy"/>
    <w:uiPriority w:val="99"/>
    <w:semiHidden/>
    <w:rsid w:val="00014566"/>
    <w:pPr>
      <w:suppressAutoHyphens/>
    </w:pPr>
    <w:rPr>
      <w:lang w:val="fr-FR" w:eastAsia="fr-FR"/>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Delikatny2">
    <w:name w:val="Table Subtle 2"/>
    <w:basedOn w:val="Standardowy"/>
    <w:uiPriority w:val="99"/>
    <w:semiHidden/>
    <w:rsid w:val="00014566"/>
    <w:pPr>
      <w:suppressAutoHyphens/>
    </w:pPr>
    <w:rPr>
      <w:lang w:val="fr-FR" w:eastAsia="fr-FR"/>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ela-Motyw">
    <w:name w:val="Table Theme"/>
    <w:basedOn w:val="Standardowy"/>
    <w:uiPriority w:val="99"/>
    <w:semiHidden/>
    <w:rsid w:val="00014566"/>
    <w:pPr>
      <w:suppressAutoHyphens/>
    </w:pPr>
    <w:rPr>
      <w:lang w:val="fr-FR" w:eastAsia="fr-F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eWeb1">
    <w:name w:val="Table Web 1"/>
    <w:basedOn w:val="Standardowy"/>
    <w:uiPriority w:val="99"/>
    <w:semiHidden/>
    <w:rsid w:val="00014566"/>
    <w:pPr>
      <w:suppressAutoHyphens/>
    </w:pPr>
    <w:rPr>
      <w:lang w:val="fr-FR" w:eastAsia="fr-FR"/>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2">
    <w:name w:val="Table Web 2"/>
    <w:basedOn w:val="Standardowy"/>
    <w:uiPriority w:val="99"/>
    <w:semiHidden/>
    <w:rsid w:val="00014566"/>
    <w:pPr>
      <w:suppressAutoHyphens/>
    </w:pPr>
    <w:rPr>
      <w:lang w:val="fr-FR" w:eastAsia="fr-FR"/>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ela-SieWeb3">
    <w:name w:val="Table Web 3"/>
    <w:basedOn w:val="Standardowy"/>
    <w:uiPriority w:val="99"/>
    <w:semiHidden/>
    <w:rsid w:val="00014566"/>
    <w:pPr>
      <w:suppressAutoHyphens/>
    </w:pPr>
    <w:rPr>
      <w:lang w:val="fr-FR" w:eastAsia="fr-FR"/>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Spistreci6">
    <w:name w:val="toc 6"/>
    <w:basedOn w:val="Normalny"/>
    <w:next w:val="Normalny"/>
    <w:autoRedefine/>
    <w:uiPriority w:val="99"/>
    <w:semiHidden/>
    <w:rsid w:val="00014566"/>
    <w:pPr>
      <w:spacing w:after="100"/>
      <w:ind w:left="1200"/>
    </w:pPr>
  </w:style>
  <w:style w:type="paragraph" w:styleId="Spistreci7">
    <w:name w:val="toc 7"/>
    <w:basedOn w:val="Normalny"/>
    <w:next w:val="Normalny"/>
    <w:autoRedefine/>
    <w:uiPriority w:val="99"/>
    <w:semiHidden/>
    <w:rsid w:val="00014566"/>
    <w:pPr>
      <w:spacing w:after="100"/>
      <w:ind w:left="1440"/>
    </w:pPr>
  </w:style>
  <w:style w:type="paragraph" w:styleId="Spistreci8">
    <w:name w:val="toc 8"/>
    <w:basedOn w:val="Normalny"/>
    <w:next w:val="Normalny"/>
    <w:autoRedefine/>
    <w:uiPriority w:val="99"/>
    <w:semiHidden/>
    <w:rsid w:val="00014566"/>
    <w:pPr>
      <w:spacing w:after="100"/>
      <w:ind w:left="1680"/>
    </w:pPr>
  </w:style>
  <w:style w:type="paragraph" w:styleId="Spistreci9">
    <w:name w:val="toc 9"/>
    <w:basedOn w:val="Normalny"/>
    <w:next w:val="Normalny"/>
    <w:autoRedefine/>
    <w:uiPriority w:val="99"/>
    <w:semiHidden/>
    <w:rsid w:val="00014566"/>
    <w:pPr>
      <w:spacing w:after="100"/>
      <w:ind w:left="1920"/>
    </w:pPr>
  </w:style>
  <w:style w:type="paragraph" w:customStyle="1" w:styleId="DecList">
    <w:name w:val="Dec_List"/>
    <w:basedOn w:val="Normalny"/>
    <w:uiPriority w:val="9"/>
    <w:semiHidden/>
    <w:qFormat/>
    <w:rsid w:val="00623C1E"/>
    <w:pPr>
      <w:spacing w:before="240"/>
      <w:ind w:left="284"/>
    </w:pPr>
  </w:style>
  <w:style w:type="paragraph" w:customStyle="1" w:styleId="JuListi">
    <w:name w:val="Ju_List_i"/>
    <w:basedOn w:val="Normalny"/>
    <w:next w:val="JuLista"/>
    <w:uiPriority w:val="28"/>
    <w:qFormat/>
    <w:rsid w:val="00623C1E"/>
    <w:pPr>
      <w:ind w:left="794"/>
    </w:pPr>
  </w:style>
  <w:style w:type="paragraph" w:customStyle="1" w:styleId="OpiH1">
    <w:name w:val="Opi_H_1"/>
    <w:basedOn w:val="ECHRHeading2"/>
    <w:uiPriority w:val="42"/>
    <w:qFormat/>
    <w:rsid w:val="00623C1E"/>
    <w:pPr>
      <w:ind w:left="635" w:hanging="357"/>
      <w:outlineLvl w:val="2"/>
    </w:pPr>
  </w:style>
  <w:style w:type="paragraph" w:customStyle="1" w:styleId="OpiHa0">
    <w:name w:val="Opi_H_a"/>
    <w:basedOn w:val="ECHRHeading3"/>
    <w:uiPriority w:val="43"/>
    <w:qFormat/>
    <w:rsid w:val="00623C1E"/>
    <w:pPr>
      <w:ind w:left="833" w:hanging="357"/>
      <w:outlineLvl w:val="3"/>
    </w:pPr>
    <w:rPr>
      <w:b/>
      <w:i w:val="0"/>
      <w:sz w:val="20"/>
    </w:rPr>
  </w:style>
  <w:style w:type="paragraph" w:customStyle="1" w:styleId="OpiHi">
    <w:name w:val="Opi_H_i"/>
    <w:basedOn w:val="ECHRHeading4"/>
    <w:uiPriority w:val="44"/>
    <w:qFormat/>
    <w:rsid w:val="00623C1E"/>
    <w:pPr>
      <w:ind w:left="1037" w:hanging="357"/>
      <w:outlineLvl w:val="4"/>
    </w:pPr>
    <w:rPr>
      <w:b w:val="0"/>
      <w:i/>
    </w:rPr>
  </w:style>
  <w:style w:type="paragraph" w:customStyle="1" w:styleId="DummyStyle">
    <w:name w:val="Dummy_Style"/>
    <w:basedOn w:val="Normalny"/>
    <w:semiHidden/>
    <w:qFormat/>
    <w:rsid w:val="00623C1E"/>
    <w:rPr>
      <w:color w:val="00B050"/>
    </w:rPr>
  </w:style>
  <w:style w:type="paragraph" w:customStyle="1" w:styleId="JuHeaderLandscape">
    <w:name w:val="Ju_Header_Landscape"/>
    <w:basedOn w:val="ECHRHeader"/>
    <w:uiPriority w:val="4"/>
    <w:qFormat/>
    <w:rsid w:val="00623C1E"/>
    <w:pPr>
      <w:tabs>
        <w:tab w:val="clear" w:pos="3686"/>
        <w:tab w:val="clear" w:pos="7371"/>
        <w:tab w:val="center" w:pos="6146"/>
        <w:tab w:val="right" w:pos="12293"/>
      </w:tabs>
    </w:pPr>
  </w:style>
  <w:style w:type="character" w:customStyle="1" w:styleId="ECHRParaChar">
    <w:name w:val="ECHR_Para Char"/>
    <w:aliases w:val="Ju_Para Char"/>
    <w:link w:val="ECHRPara"/>
    <w:uiPriority w:val="99"/>
    <w:rsid w:val="00F21EEB"/>
    <w:rPr>
      <w:rFonts w:eastAsiaTheme="minorEastAsia"/>
      <w:sz w:val="24"/>
    </w:rPr>
  </w:style>
  <w:style w:type="character" w:customStyle="1" w:styleId="JuQuotChar">
    <w:name w:val="Ju_Quot Char"/>
    <w:link w:val="ECHRParaQuote"/>
    <w:uiPriority w:val="14"/>
    <w:rsid w:val="004E756F"/>
    <w:rPr>
      <w:rFonts w:eastAsiaTheme="minorEastAsia"/>
      <w:sz w:val="20"/>
    </w:rPr>
  </w:style>
  <w:style w:type="character" w:customStyle="1" w:styleId="JuH1Char">
    <w:name w:val="Ju_H_1. Char"/>
    <w:basedOn w:val="Domylnaczcionkaakapitu"/>
    <w:link w:val="ECHRHeading3"/>
    <w:uiPriority w:val="21"/>
    <w:rsid w:val="006173F5"/>
    <w:rPr>
      <w:rFonts w:asciiTheme="majorHAnsi" w:eastAsiaTheme="majorEastAsia" w:hAnsiTheme="majorHAnsi" w:cstheme="majorBidi"/>
      <w:bCs/>
      <w:i/>
      <w:sz w:val="24"/>
    </w:rPr>
  </w:style>
  <w:style w:type="paragraph" w:styleId="Poprawka">
    <w:name w:val="Revision"/>
    <w:hidden/>
    <w:uiPriority w:val="99"/>
    <w:semiHidden/>
    <w:rsid w:val="000446F9"/>
    <w:rPr>
      <w:rFonts w:eastAsiaTheme="minorEastAsia"/>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9041536">
      <w:bodyDiv w:val="1"/>
      <w:marLeft w:val="0"/>
      <w:marRight w:val="0"/>
      <w:marTop w:val="0"/>
      <w:marBottom w:val="0"/>
      <w:divBdr>
        <w:top w:val="none" w:sz="0" w:space="0" w:color="auto"/>
        <w:left w:val="none" w:sz="0" w:space="0" w:color="auto"/>
        <w:bottom w:val="none" w:sz="0" w:space="0" w:color="auto"/>
        <w:right w:val="none" w:sz="0" w:space="0" w:color="auto"/>
      </w:divBdr>
    </w:div>
    <w:div w:id="1360275879">
      <w:bodyDiv w:val="1"/>
      <w:marLeft w:val="0"/>
      <w:marRight w:val="0"/>
      <w:marTop w:val="0"/>
      <w:marBottom w:val="0"/>
      <w:divBdr>
        <w:top w:val="none" w:sz="0" w:space="0" w:color="auto"/>
        <w:left w:val="none" w:sz="0" w:space="0" w:color="auto"/>
        <w:bottom w:val="none" w:sz="0" w:space="0" w:color="auto"/>
        <w:right w:val="none" w:sz="0" w:space="0" w:color="auto"/>
      </w:divBdr>
    </w:div>
    <w:div w:id="1564757151">
      <w:bodyDiv w:val="1"/>
      <w:marLeft w:val="0"/>
      <w:marRight w:val="0"/>
      <w:marTop w:val="0"/>
      <w:marBottom w:val="0"/>
      <w:divBdr>
        <w:top w:val="none" w:sz="0" w:space="0" w:color="auto"/>
        <w:left w:val="none" w:sz="0" w:space="0" w:color="auto"/>
        <w:bottom w:val="none" w:sz="0" w:space="0" w:color="auto"/>
        <w:right w:val="none" w:sz="0" w:space="0" w:color="auto"/>
      </w:divBdr>
    </w:div>
    <w:div w:id="1645431580">
      <w:bodyDiv w:val="1"/>
      <w:marLeft w:val="0"/>
      <w:marRight w:val="0"/>
      <w:marTop w:val="0"/>
      <w:marBottom w:val="0"/>
      <w:divBdr>
        <w:top w:val="none" w:sz="0" w:space="0" w:color="auto"/>
        <w:left w:val="none" w:sz="0" w:space="0" w:color="auto"/>
        <w:bottom w:val="none" w:sz="0" w:space="0" w:color="auto"/>
        <w:right w:val="none" w:sz="0" w:space="0" w:color="auto"/>
      </w:divBdr>
    </w:div>
    <w:div w:id="168363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ms.gov.pl" TargetMode="Externa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eader" Target="header5.xml"/><Relationship Id="rId7" Type="http://schemas.microsoft.com/office/2007/relationships/stylesWithEffects" Target="stylesWithEffects.xml"/><Relationship Id="rId12" Type="http://schemas.openxmlformats.org/officeDocument/2006/relationships/hyperlink" Target="http://www.ms.gov.pl"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ECHR_Theme_Judgments_Decisions_Reports">
  <a:themeElements>
    <a:clrScheme name="ECHR_grey">
      <a:dk1>
        <a:sysClr val="windowText" lastClr="000000"/>
      </a:dk1>
      <a:lt1>
        <a:srgbClr val="0072BC"/>
      </a:lt1>
      <a:dk2>
        <a:srgbClr val="C6C6C6"/>
      </a:dk2>
      <a:lt2>
        <a:srgbClr val="F8F8F8"/>
      </a:lt2>
      <a:accent1>
        <a:srgbClr val="0072BC"/>
      </a:accent1>
      <a:accent2>
        <a:srgbClr val="C00000"/>
      </a:accent2>
      <a:accent3>
        <a:srgbClr val="5F5F5F"/>
      </a:accent3>
      <a:accent4>
        <a:srgbClr val="969696"/>
      </a:accent4>
      <a:accent5>
        <a:srgbClr val="5F5F5F"/>
      </a:accent5>
      <a:accent6>
        <a:srgbClr val="4D4D4D"/>
      </a:accent6>
      <a:hlink>
        <a:srgbClr val="0072BC"/>
      </a:hlink>
      <a:folHlink>
        <a:srgbClr val="7030A0"/>
      </a:folHlink>
    </a:clrScheme>
    <a:fontScheme name="ECHR_Judgments_Reports_Decisions">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shade val="50000"/>
                <a:satMod val="155000"/>
              </a:schemeClr>
            </a:gs>
            <a:gs pos="35000">
              <a:schemeClr val="phClr">
                <a:shade val="75000"/>
                <a:satMod val="155000"/>
              </a:schemeClr>
            </a:gs>
            <a:gs pos="100000">
              <a:schemeClr val="phClr">
                <a:tint val="80000"/>
                <a:satMod val="255000"/>
              </a:schemeClr>
            </a:gs>
          </a:gsLst>
          <a:lin ang="16200000" scaled="0"/>
        </a:gradFill>
        <a:gradFill rotWithShape="1">
          <a:gsLst>
            <a:gs pos="0">
              <a:schemeClr val="phClr">
                <a:tint val="80000"/>
                <a:satMod val="300000"/>
              </a:schemeClr>
            </a:gs>
            <a:gs pos="100000">
              <a:schemeClr val="phClr">
                <a:shade val="30000"/>
                <a:satMod val="200000"/>
              </a:schemeClr>
            </a:gs>
          </a:gsLst>
          <a:path path="circle">
            <a:fillToRect l="100000" t="100000" r="100000" b="10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58EB02BDB9E204AB350EDD385B68E10" ma:contentTypeVersion="0" ma:contentTypeDescription="Create a new document." ma:contentTypeScope="" ma:versionID="4c0f801ee557d5c8fba2c83aceb7a3a2">
  <xsd:schema xmlns:xsd="http://www.w3.org/2001/XMLSchema" xmlns:xs="http://www.w3.org/2001/XMLSchema" xmlns:p="http://schemas.microsoft.com/office/2006/metadata/properties" targetNamespace="http://schemas.microsoft.com/office/2006/metadata/properties" ma:root="true" ma:fieldsID="66a9e0779a85d62bb2248c31b91edb7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E95168A-A6B3-4AD8-B611-96B43A04C8FF}">
  <ds:schemaRefs>
    <ds:schemaRef ds:uri="http://schemas.microsoft.com/sharepoint/v3/contenttype/forms"/>
  </ds:schemaRefs>
</ds:datastoreItem>
</file>

<file path=customXml/itemProps2.xml><?xml version="1.0" encoding="utf-8"?>
<ds:datastoreItem xmlns:ds="http://schemas.openxmlformats.org/officeDocument/2006/customXml" ds:itemID="{C99BA06D-18E2-4641-8114-0C8822B0945D}">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56BA49E6-4A5D-4327-BF77-C6C81B337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4.xml><?xml version="1.0" encoding="utf-8"?>
<ds:datastoreItem xmlns:ds="http://schemas.openxmlformats.org/officeDocument/2006/customXml" ds:itemID="{81A9C5C9-BC9A-4CF6-A04C-979B735F13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4168</Words>
  <Characters>25011</Characters>
  <Application>Microsoft Office Word</Application>
  <DocSecurity>0</DocSecurity>
  <Lines>208</Lines>
  <Paragraphs>58</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ECHR</vt:lpstr>
      <vt:lpstr>ECHR</vt:lpstr>
    </vt:vector>
  </TitlesOfParts>
  <LinksUpToDate>false</LinksUpToDate>
  <CharactersWithSpaces>29121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ECHR</dc:title>
  <dc:creator/>
  <cp:lastModifiedBy/>
  <cp:revision>1</cp:revision>
  <dcterms:created xsi:type="dcterms:W3CDTF">2018-09-12T08:58:00Z</dcterms:created>
  <dcterms:modified xsi:type="dcterms:W3CDTF">2018-09-12T08:58:00Z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stLanguage">
    <vt:i4>2057</vt:i4>
  </property>
  <property fmtid="{D5CDD505-2E9C-101B-9397-08002B2CF9AE}" pid="3" name="RegisteredNo">
    <vt:lpwstr>41436/11</vt:lpwstr>
  </property>
  <property fmtid="{D5CDD505-2E9C-101B-9397-08002B2CF9AE}" pid="4" name="CASEID">
    <vt:lpwstr>730928</vt:lpwstr>
  </property>
</Properties>
</file>