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B60" w:rsidRDefault="00CC3B60" w:rsidP="00CC3B60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CC3B60" w:rsidRDefault="00CC3B60" w:rsidP="00CC3B6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436B07" w:rsidRPr="00CC3B60" w:rsidRDefault="00CC3B60" w:rsidP="00CC3B60">
      <w:pPr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0E304F" w:rsidRPr="00CC3B60">
        <w:rPr>
          <w:lang w:val="pl-PL"/>
        </w:rPr>
        <w:t>208</w:t>
      </w:r>
    </w:p>
    <w:p w:rsidR="00436B07" w:rsidRPr="00CC3B60" w:rsidRDefault="00975C1E">
      <w:pPr>
        <w:pStyle w:val="ClinEditionMonth"/>
        <w:rPr>
          <w:lang w:val="pl-PL"/>
        </w:rPr>
      </w:pPr>
      <w:r>
        <w:rPr>
          <w:lang w:val="pl-PL"/>
        </w:rPr>
        <w:t xml:space="preserve">Czerwiec </w:t>
      </w:r>
      <w:r w:rsidR="000E304F" w:rsidRPr="00CC3B60">
        <w:rPr>
          <w:lang w:val="pl-PL"/>
        </w:rPr>
        <w:t>2017</w:t>
      </w:r>
      <w:r w:rsidR="00CC3B60">
        <w:rPr>
          <w:lang w:val="pl-PL"/>
        </w:rPr>
        <w:t xml:space="preserve"> r.</w:t>
      </w:r>
    </w:p>
    <w:p w:rsidR="00436B07" w:rsidRPr="00CC3B60" w:rsidRDefault="000E304F">
      <w:pPr>
        <w:rPr>
          <w:lang w:val="pl-PL"/>
        </w:rPr>
      </w:pPr>
      <w:proofErr w:type="spellStart"/>
      <w:r w:rsidRPr="00CC3B60">
        <w:rPr>
          <w:rStyle w:val="ClinCaseTitle"/>
          <w:lang w:val="pl-PL"/>
        </w:rPr>
        <w:t>Satakunnan</w:t>
      </w:r>
      <w:proofErr w:type="spellEnd"/>
      <w:r w:rsidRPr="00CC3B60">
        <w:rPr>
          <w:rStyle w:val="ClinCaseTitle"/>
          <w:lang w:val="pl-PL"/>
        </w:rPr>
        <w:t xml:space="preserve"> </w:t>
      </w:r>
      <w:proofErr w:type="spellStart"/>
      <w:r w:rsidRPr="00CC3B60">
        <w:rPr>
          <w:rStyle w:val="ClinCaseTitle"/>
          <w:lang w:val="pl-PL"/>
        </w:rPr>
        <w:t>Markkinapörssi</w:t>
      </w:r>
      <w:proofErr w:type="spellEnd"/>
      <w:r w:rsidRPr="00CC3B60">
        <w:rPr>
          <w:rStyle w:val="ClinCaseTitle"/>
          <w:lang w:val="pl-PL"/>
        </w:rPr>
        <w:t xml:space="preserve"> </w:t>
      </w:r>
      <w:proofErr w:type="spellStart"/>
      <w:r w:rsidRPr="00CC3B60">
        <w:rPr>
          <w:rStyle w:val="ClinCaseTitle"/>
          <w:lang w:val="pl-PL"/>
        </w:rPr>
        <w:t>Oy</w:t>
      </w:r>
      <w:proofErr w:type="spellEnd"/>
      <w:r w:rsidRPr="00CC3B60">
        <w:rPr>
          <w:rStyle w:val="ClinCaseTitle"/>
          <w:lang w:val="pl-PL"/>
        </w:rPr>
        <w:t xml:space="preserve"> </w:t>
      </w:r>
      <w:r w:rsidR="00CC3B60">
        <w:rPr>
          <w:rStyle w:val="ClinCaseTitle"/>
          <w:lang w:val="pl-PL"/>
        </w:rPr>
        <w:t xml:space="preserve">i </w:t>
      </w:r>
      <w:proofErr w:type="spellStart"/>
      <w:r w:rsidR="00CC3B60">
        <w:rPr>
          <w:rStyle w:val="ClinCaseTitle"/>
          <w:lang w:val="pl-PL"/>
        </w:rPr>
        <w:t>Satamedia</w:t>
      </w:r>
      <w:proofErr w:type="spellEnd"/>
      <w:r w:rsidR="00CC3B60">
        <w:rPr>
          <w:rStyle w:val="ClinCaseTitle"/>
          <w:lang w:val="pl-PL"/>
        </w:rPr>
        <w:t xml:space="preserve"> </w:t>
      </w:r>
      <w:proofErr w:type="spellStart"/>
      <w:r w:rsidR="00CC3B60">
        <w:rPr>
          <w:rStyle w:val="ClinCaseTitle"/>
          <w:lang w:val="pl-PL"/>
        </w:rPr>
        <w:t>Oy</w:t>
      </w:r>
      <w:proofErr w:type="spellEnd"/>
      <w:r w:rsidR="00CC3B60">
        <w:rPr>
          <w:rStyle w:val="ClinCaseTitle"/>
          <w:lang w:val="pl-PL"/>
        </w:rPr>
        <w:t xml:space="preserve"> p</w:t>
      </w:r>
      <w:r w:rsidRPr="00CC3B60">
        <w:rPr>
          <w:rStyle w:val="ClinCaseTitle"/>
          <w:lang w:val="pl-PL"/>
        </w:rPr>
        <w:t>. Finland</w:t>
      </w:r>
      <w:r w:rsidR="00CC3B60">
        <w:rPr>
          <w:rStyle w:val="ClinCaseTitle"/>
          <w:lang w:val="pl-PL"/>
        </w:rPr>
        <w:t>ii</w:t>
      </w:r>
      <w:r w:rsidRPr="00CC3B60">
        <w:rPr>
          <w:rStyle w:val="ClinCaseTitle"/>
          <w:lang w:val="pl-PL"/>
        </w:rPr>
        <w:t xml:space="preserve"> [</w:t>
      </w:r>
      <w:r w:rsidR="00CC3B60">
        <w:rPr>
          <w:rStyle w:val="ClinCaseTitle"/>
          <w:lang w:val="pl-PL"/>
        </w:rPr>
        <w:t>Wielka Izba</w:t>
      </w:r>
      <w:r w:rsidRPr="00CC3B60">
        <w:rPr>
          <w:rStyle w:val="ClinCaseTitle"/>
          <w:lang w:val="pl-PL"/>
        </w:rPr>
        <w:t>]</w:t>
      </w:r>
      <w:r w:rsidRPr="00CC3B60">
        <w:rPr>
          <w:rStyle w:val="ClinApplicationNumber"/>
          <w:lang w:val="pl-PL"/>
        </w:rPr>
        <w:t xml:space="preserve"> </w:t>
      </w:r>
      <w:r w:rsidR="00CC3B60">
        <w:rPr>
          <w:rStyle w:val="ClinApplicationNumber"/>
          <w:lang w:val="pl-PL"/>
        </w:rPr>
        <w:t>–</w:t>
      </w:r>
      <w:r w:rsidRPr="00CC3B60">
        <w:rPr>
          <w:rStyle w:val="ClinApplicationNumber"/>
          <w:lang w:val="pl-PL"/>
        </w:rPr>
        <w:t xml:space="preserve"> </w:t>
      </w:r>
      <w:r w:rsidR="00CC3B60">
        <w:rPr>
          <w:rStyle w:val="ClinApplicationNumber"/>
          <w:lang w:val="pl-PL"/>
        </w:rPr>
        <w:t xml:space="preserve">skarga nr </w:t>
      </w:r>
      <w:r w:rsidRPr="00CC3B60">
        <w:rPr>
          <w:rStyle w:val="ClinApplicationNumber"/>
          <w:lang w:val="pl-PL"/>
        </w:rPr>
        <w:t>931/13</w:t>
      </w:r>
    </w:p>
    <w:p w:rsidR="00436B07" w:rsidRPr="00CC3B60" w:rsidRDefault="00CC3B60">
      <w:pPr>
        <w:rPr>
          <w:lang w:val="pl-PL"/>
        </w:rPr>
      </w:pPr>
      <w:r w:rsidRPr="00CC3B60">
        <w:rPr>
          <w:rStyle w:val="ClinHudocDocumentTitle"/>
          <w:lang w:val="pl-PL"/>
        </w:rPr>
        <w:t xml:space="preserve">Wyrok z </w:t>
      </w:r>
      <w:r w:rsidR="000E304F" w:rsidRPr="00CC3B60">
        <w:rPr>
          <w:rStyle w:val="ClinHudocDocumentTitle"/>
          <w:lang w:val="pl-PL"/>
        </w:rPr>
        <w:t>27.</w:t>
      </w:r>
      <w:r w:rsidRPr="00CC3B60">
        <w:rPr>
          <w:rStyle w:val="ClinHudocDocumentTitle"/>
          <w:lang w:val="pl-PL"/>
        </w:rPr>
        <w:t>0</w:t>
      </w:r>
      <w:r w:rsidR="000E304F" w:rsidRPr="00CC3B60">
        <w:rPr>
          <w:rStyle w:val="ClinHudocDocumentTitle"/>
          <w:lang w:val="pl-PL"/>
        </w:rPr>
        <w:t>6.2017</w:t>
      </w:r>
      <w:r w:rsidR="000E304F" w:rsidRPr="00CC3B60">
        <w:rPr>
          <w:rStyle w:val="ClinSectionName"/>
          <w:lang w:val="pl-PL"/>
        </w:rPr>
        <w:t xml:space="preserve"> </w:t>
      </w:r>
      <w:r w:rsidRPr="00CC3B60">
        <w:rPr>
          <w:rStyle w:val="ClinSectionName"/>
          <w:lang w:val="pl-PL"/>
        </w:rPr>
        <w:t xml:space="preserve">r. </w:t>
      </w:r>
      <w:r w:rsidR="000E304F" w:rsidRPr="00CC3B60">
        <w:rPr>
          <w:rStyle w:val="ClinSectionName"/>
          <w:lang w:val="pl-PL"/>
        </w:rPr>
        <w:t>[</w:t>
      </w:r>
      <w:r w:rsidRPr="00CC3B60">
        <w:rPr>
          <w:rStyle w:val="ClinSectionName"/>
          <w:lang w:val="pl-PL"/>
        </w:rPr>
        <w:t>Wielka Izba</w:t>
      </w:r>
      <w:r w:rsidR="000E304F" w:rsidRPr="00CC3B60">
        <w:rPr>
          <w:rStyle w:val="ClinSectionName"/>
          <w:lang w:val="pl-PL"/>
        </w:rPr>
        <w:t>]</w:t>
      </w:r>
    </w:p>
    <w:p w:rsidR="00436B07" w:rsidRPr="00236DBA" w:rsidRDefault="000E304F">
      <w:pPr>
        <w:pStyle w:val="ClinMainKeywordCode"/>
        <w:rPr>
          <w:lang w:val="pl-PL"/>
        </w:rPr>
      </w:pPr>
      <w:r w:rsidRPr="00236DBA">
        <w:rPr>
          <w:lang w:val="pl-PL"/>
        </w:rPr>
        <w:t>Art</w:t>
      </w:r>
      <w:r w:rsidR="00CC3B60" w:rsidRPr="00236DBA">
        <w:rPr>
          <w:lang w:val="pl-PL"/>
        </w:rPr>
        <w:t>.</w:t>
      </w:r>
      <w:r w:rsidRPr="00236DBA">
        <w:rPr>
          <w:lang w:val="pl-PL"/>
        </w:rPr>
        <w:t xml:space="preserve"> 10</w:t>
      </w:r>
    </w:p>
    <w:p w:rsidR="00436B07" w:rsidRPr="00236DBA" w:rsidRDefault="000E304F">
      <w:pPr>
        <w:pStyle w:val="ClinChildKeywordCode"/>
        <w:rPr>
          <w:lang w:val="pl-PL"/>
        </w:rPr>
      </w:pPr>
      <w:r w:rsidRPr="00236DBA">
        <w:rPr>
          <w:lang w:val="pl-PL"/>
        </w:rPr>
        <w:t>Art</w:t>
      </w:r>
      <w:r w:rsidR="00CC3B60" w:rsidRPr="00236DBA">
        <w:rPr>
          <w:lang w:val="pl-PL"/>
        </w:rPr>
        <w:t>.</w:t>
      </w:r>
      <w:r w:rsidRPr="00236DBA">
        <w:rPr>
          <w:lang w:val="pl-PL"/>
        </w:rPr>
        <w:t xml:space="preserve"> 10</w:t>
      </w:r>
      <w:r w:rsidR="00CC3B60" w:rsidRPr="00236DBA">
        <w:rPr>
          <w:lang w:val="pl-PL"/>
        </w:rPr>
        <w:t xml:space="preserve"> ust. </w:t>
      </w:r>
      <w:r w:rsidRPr="00236DBA">
        <w:rPr>
          <w:lang w:val="pl-PL"/>
        </w:rPr>
        <w:t>1</w:t>
      </w:r>
    </w:p>
    <w:p w:rsidR="00436B07" w:rsidRPr="00236DBA" w:rsidRDefault="00CC3B60">
      <w:pPr>
        <w:pStyle w:val="ClinKeyword"/>
        <w:rPr>
          <w:lang w:val="pl-PL"/>
        </w:rPr>
      </w:pPr>
      <w:r w:rsidRPr="00236DBA">
        <w:rPr>
          <w:lang w:val="pl-PL"/>
        </w:rPr>
        <w:t xml:space="preserve">Wolność </w:t>
      </w:r>
      <w:r w:rsidR="003C03CD" w:rsidRPr="00236DBA">
        <w:rPr>
          <w:lang w:val="pl-PL"/>
        </w:rPr>
        <w:t xml:space="preserve">przekazywania </w:t>
      </w:r>
      <w:r w:rsidRPr="00236DBA">
        <w:rPr>
          <w:lang w:val="pl-PL"/>
        </w:rPr>
        <w:t xml:space="preserve">informacji </w:t>
      </w:r>
    </w:p>
    <w:p w:rsidR="003C03CD" w:rsidRPr="003C03CD" w:rsidRDefault="003C03CD">
      <w:pPr>
        <w:rPr>
          <w:lang w:val="pl-PL"/>
        </w:rPr>
      </w:pPr>
      <w:r w:rsidRPr="003C03CD">
        <w:rPr>
          <w:rStyle w:val="ClinConclusions"/>
          <w:i w:val="0"/>
          <w:lang w:val="pl-PL"/>
        </w:rPr>
        <w:t>Zarządzenie ograniczające masową publikację informacji podatkowych</w:t>
      </w:r>
      <w:r w:rsidRPr="00431808">
        <w:rPr>
          <w:rStyle w:val="ClinConclusions"/>
          <w:i w:val="0"/>
          <w:lang w:val="pl-PL"/>
        </w:rPr>
        <w:t>:</w:t>
      </w:r>
      <w:r w:rsidRPr="003C03CD">
        <w:rPr>
          <w:rStyle w:val="ClinConclusions"/>
          <w:lang w:val="pl-PL"/>
        </w:rPr>
        <w:t xml:space="preserve"> brak naruszenia</w:t>
      </w:r>
    </w:p>
    <w:p w:rsidR="00116C18" w:rsidRPr="002C2F18" w:rsidRDefault="00116C18">
      <w:pPr>
        <w:pStyle w:val="ClinContent"/>
        <w:rPr>
          <w:lang w:val="pl-PL"/>
        </w:rPr>
      </w:pPr>
      <w:r w:rsidRPr="00116C18">
        <w:rPr>
          <w:i/>
          <w:lang w:val="pl-PL"/>
        </w:rPr>
        <w:t>Fakty</w:t>
      </w:r>
      <w:r w:rsidRPr="00116C18">
        <w:rPr>
          <w:lang w:val="pl-PL"/>
        </w:rPr>
        <w:t xml:space="preserve"> – Pierwsza skarżąca spółka (</w:t>
      </w:r>
      <w:proofErr w:type="spellStart"/>
      <w:r w:rsidRPr="00116C18">
        <w:rPr>
          <w:lang w:val="pl-PL"/>
        </w:rPr>
        <w:t>Satakunnan</w:t>
      </w:r>
      <w:proofErr w:type="spellEnd"/>
      <w:r w:rsidRPr="00116C18">
        <w:rPr>
          <w:lang w:val="pl-PL"/>
        </w:rPr>
        <w:t xml:space="preserve"> </w:t>
      </w:r>
      <w:proofErr w:type="spellStart"/>
      <w:r w:rsidRPr="00116C18">
        <w:rPr>
          <w:lang w:val="pl-PL"/>
        </w:rPr>
        <w:t>Markkinapörssi</w:t>
      </w:r>
      <w:proofErr w:type="spellEnd"/>
      <w:r w:rsidRPr="00116C18">
        <w:rPr>
          <w:lang w:val="pl-PL"/>
        </w:rPr>
        <w:t xml:space="preserve"> </w:t>
      </w:r>
      <w:proofErr w:type="spellStart"/>
      <w:r w:rsidRPr="00116C18">
        <w:rPr>
          <w:lang w:val="pl-PL"/>
        </w:rPr>
        <w:t>Oy</w:t>
      </w:r>
      <w:proofErr w:type="spellEnd"/>
      <w:r w:rsidRPr="00116C18">
        <w:rPr>
          <w:lang w:val="pl-PL"/>
        </w:rPr>
        <w:t>)</w:t>
      </w:r>
      <w:r>
        <w:rPr>
          <w:lang w:val="pl-PL"/>
        </w:rPr>
        <w:t xml:space="preserve"> </w:t>
      </w:r>
      <w:r w:rsidR="00037068" w:rsidRPr="00975C1E">
        <w:rPr>
          <w:lang w:val="pl-PL"/>
        </w:rPr>
        <w:t>o</w:t>
      </w:r>
      <w:r w:rsidRPr="00975C1E">
        <w:rPr>
          <w:lang w:val="pl-PL"/>
        </w:rPr>
        <w:t>pu</w:t>
      </w:r>
      <w:r w:rsidRPr="002C2F18">
        <w:rPr>
          <w:lang w:val="pl-PL"/>
        </w:rPr>
        <w:t xml:space="preserve">blikowała gazetę </w:t>
      </w:r>
      <w:r w:rsidR="00037068">
        <w:rPr>
          <w:lang w:val="pl-PL"/>
        </w:rPr>
        <w:t>zawierającą</w:t>
      </w:r>
      <w:r w:rsidR="00037068" w:rsidRPr="002C2F18">
        <w:rPr>
          <w:lang w:val="pl-PL"/>
        </w:rPr>
        <w:t xml:space="preserve"> </w:t>
      </w:r>
      <w:r w:rsidR="00365B2A" w:rsidRPr="002C2F18">
        <w:rPr>
          <w:lang w:val="pl-PL"/>
        </w:rPr>
        <w:t xml:space="preserve">informacje na temat podlegających </w:t>
      </w:r>
      <w:r w:rsidR="0033284C" w:rsidRPr="002C2F18">
        <w:rPr>
          <w:lang w:val="pl-PL"/>
        </w:rPr>
        <w:t>opodatkowaniu</w:t>
      </w:r>
      <w:r w:rsidR="00365B2A" w:rsidRPr="002C2F18">
        <w:rPr>
          <w:lang w:val="pl-PL"/>
        </w:rPr>
        <w:t xml:space="preserve"> dochod</w:t>
      </w:r>
      <w:r w:rsidR="003B2BFD">
        <w:rPr>
          <w:lang w:val="pl-PL"/>
        </w:rPr>
        <w:t>ów</w:t>
      </w:r>
      <w:r w:rsidR="00365B2A" w:rsidRPr="002C2F18">
        <w:rPr>
          <w:lang w:val="pl-PL"/>
        </w:rPr>
        <w:t xml:space="preserve"> i aktyw</w:t>
      </w:r>
      <w:r w:rsidR="003B2BFD">
        <w:rPr>
          <w:lang w:val="pl-PL"/>
        </w:rPr>
        <w:t>ów</w:t>
      </w:r>
      <w:r w:rsidR="00365B2A" w:rsidRPr="002C2F18">
        <w:rPr>
          <w:lang w:val="pl-PL"/>
        </w:rPr>
        <w:t xml:space="preserve"> fińskich podatników. Informacja ta była z mocy prawa publiczna.* Druga skarżąca spółka (</w:t>
      </w:r>
      <w:proofErr w:type="spellStart"/>
      <w:r w:rsidR="00365B2A" w:rsidRPr="002C2F18">
        <w:rPr>
          <w:lang w:val="pl-PL"/>
        </w:rPr>
        <w:t>Satamedia</w:t>
      </w:r>
      <w:proofErr w:type="spellEnd"/>
      <w:r w:rsidR="00365B2A" w:rsidRPr="002C2F18">
        <w:rPr>
          <w:lang w:val="pl-PL"/>
        </w:rPr>
        <w:t xml:space="preserve"> </w:t>
      </w:r>
      <w:proofErr w:type="spellStart"/>
      <w:r w:rsidR="00365B2A" w:rsidRPr="002C2F18">
        <w:rPr>
          <w:lang w:val="pl-PL"/>
        </w:rPr>
        <w:t>Oy</w:t>
      </w:r>
      <w:proofErr w:type="spellEnd"/>
      <w:r w:rsidR="00365B2A" w:rsidRPr="002C2F18">
        <w:rPr>
          <w:lang w:val="pl-PL"/>
        </w:rPr>
        <w:t xml:space="preserve">) oferowała usługę dostarczania informacji podatkowej za pomocą wiadomości tekstowych (SMS). </w:t>
      </w:r>
    </w:p>
    <w:p w:rsidR="00365B2A" w:rsidRPr="00365B2A" w:rsidRDefault="00365B2A">
      <w:pPr>
        <w:pStyle w:val="ClinContent"/>
        <w:rPr>
          <w:lang w:val="pl-PL"/>
        </w:rPr>
      </w:pPr>
      <w:r w:rsidRPr="00365B2A">
        <w:rPr>
          <w:lang w:val="pl-PL"/>
        </w:rPr>
        <w:t xml:space="preserve">W kwietniu 2003 r. Rzecznik ds. </w:t>
      </w:r>
      <w:r>
        <w:rPr>
          <w:lang w:val="pl-PL"/>
        </w:rPr>
        <w:t xml:space="preserve">Ochrony Danych </w:t>
      </w:r>
      <w:r w:rsidR="00236DBA">
        <w:rPr>
          <w:lang w:val="pl-PL"/>
        </w:rPr>
        <w:t xml:space="preserve">Osobowych </w:t>
      </w:r>
      <w:r>
        <w:rPr>
          <w:lang w:val="pl-PL"/>
        </w:rPr>
        <w:t>wystąpił do Rady ds.</w:t>
      </w:r>
      <w:r w:rsidR="005B0E99">
        <w:rPr>
          <w:lang w:val="pl-PL"/>
        </w:rPr>
        <w:t> </w:t>
      </w:r>
      <w:r>
        <w:rPr>
          <w:lang w:val="pl-PL"/>
        </w:rPr>
        <w:t xml:space="preserve">Ochrony </w:t>
      </w:r>
      <w:r w:rsidR="00236DBA">
        <w:rPr>
          <w:lang w:val="pl-PL"/>
        </w:rPr>
        <w:t xml:space="preserve">Danych </w:t>
      </w:r>
      <w:r w:rsidR="00236DBA" w:rsidRPr="00B75F1B">
        <w:rPr>
          <w:lang w:val="pl-PL"/>
        </w:rPr>
        <w:t xml:space="preserve">Osobowych </w:t>
      </w:r>
      <w:r w:rsidRPr="00B75F1B">
        <w:rPr>
          <w:lang w:val="pl-PL"/>
        </w:rPr>
        <w:t xml:space="preserve">o </w:t>
      </w:r>
      <w:r w:rsidR="00236DBA" w:rsidRPr="00B75F1B">
        <w:rPr>
          <w:lang w:val="pl-PL"/>
        </w:rPr>
        <w:t>powstrzymanie skarżących spółek od przetwarzania danych podatkowych w sposób i w zakresie, w jakim robiły to w 2002 r.</w:t>
      </w:r>
      <w:r w:rsidR="00101B07">
        <w:rPr>
          <w:lang w:val="pl-PL"/>
        </w:rPr>
        <w:t>,</w:t>
      </w:r>
      <w:r w:rsidR="00236DBA" w:rsidRPr="00B75F1B">
        <w:rPr>
          <w:lang w:val="pl-PL"/>
        </w:rPr>
        <w:t xml:space="preserve"> i</w:t>
      </w:r>
      <w:r w:rsidR="005B0E99">
        <w:rPr>
          <w:lang w:val="pl-PL"/>
        </w:rPr>
        <w:t> </w:t>
      </w:r>
      <w:r w:rsidR="00236DBA" w:rsidRPr="00B75F1B">
        <w:rPr>
          <w:lang w:val="pl-PL"/>
        </w:rPr>
        <w:t>od</w:t>
      </w:r>
      <w:r w:rsidR="005B0E99">
        <w:rPr>
          <w:lang w:val="pl-PL"/>
        </w:rPr>
        <w:t> </w:t>
      </w:r>
      <w:r w:rsidR="00236DBA" w:rsidRPr="00B75F1B">
        <w:rPr>
          <w:lang w:val="pl-PL"/>
        </w:rPr>
        <w:t>przekazywania takich danych do usług SMS-owych. Rada ds. Ochrony Danych Osobowych oddaliła wniosek Rzecznika na tej podstawie, że skarżące spółki zaangażowane były w działalność dziennikarską i jako takie</w:t>
      </w:r>
      <w:r w:rsidR="00236DBA">
        <w:rPr>
          <w:lang w:val="pl-PL"/>
        </w:rPr>
        <w:t xml:space="preserve"> były uprawnione do</w:t>
      </w:r>
      <w:r w:rsidR="005B0E99">
        <w:rPr>
          <w:lang w:val="pl-PL"/>
        </w:rPr>
        <w:t> </w:t>
      </w:r>
      <w:r w:rsidR="00101B07" w:rsidRPr="00762138">
        <w:rPr>
          <w:lang w:val="pl-PL"/>
        </w:rPr>
        <w:t xml:space="preserve">wyłączenia </w:t>
      </w:r>
      <w:r w:rsidR="00762138" w:rsidRPr="00762138">
        <w:rPr>
          <w:lang w:val="pl-PL"/>
        </w:rPr>
        <w:t>przewidzianego</w:t>
      </w:r>
      <w:r w:rsidR="00762138">
        <w:rPr>
          <w:lang w:val="pl-PL"/>
        </w:rPr>
        <w:t xml:space="preserve"> </w:t>
      </w:r>
      <w:r w:rsidR="00236DBA">
        <w:rPr>
          <w:lang w:val="pl-PL"/>
        </w:rPr>
        <w:t>na podstawie art. 2 ust. 5 ustawy o ochronie danych osobowych. Sprawa została następnie przekazana do Naczelnego Sądu Administracyjnego, który w lutym 2007 r. wystąpił o orzeczenie prejudycjalne do</w:t>
      </w:r>
      <w:r w:rsidR="005B0E99">
        <w:rPr>
          <w:lang w:val="pl-PL"/>
        </w:rPr>
        <w:t> </w:t>
      </w:r>
      <w:r w:rsidR="00236DBA">
        <w:rPr>
          <w:lang w:val="pl-PL"/>
        </w:rPr>
        <w:t xml:space="preserve">Trybunału Sprawiedliwości Unii Europejskiej (TSUE) w sprawie wykładni Dyrektywy UE </w:t>
      </w:r>
      <w:r w:rsidR="007A338E">
        <w:rPr>
          <w:lang w:val="pl-PL"/>
        </w:rPr>
        <w:t>w sprawie</w:t>
      </w:r>
      <w:r w:rsidR="00236DBA">
        <w:rPr>
          <w:lang w:val="pl-PL"/>
        </w:rPr>
        <w:t xml:space="preserve"> ochrony danych osobowych.** W wyroku z dnia 16 grudnia 2008 r.</w:t>
      </w:r>
      <w:r w:rsidR="00101B07">
        <w:rPr>
          <w:lang w:val="pl-PL"/>
        </w:rPr>
        <w:t>***</w:t>
      </w:r>
      <w:r w:rsidR="00236DBA">
        <w:rPr>
          <w:lang w:val="pl-PL"/>
        </w:rPr>
        <w:t xml:space="preserve"> TSUE orzekł, że działania w odniesieniu do d</w:t>
      </w:r>
      <w:r w:rsidR="00101B07">
        <w:rPr>
          <w:lang w:val="pl-PL"/>
        </w:rPr>
        <w:t xml:space="preserve">anych pochodzących z dokumentów </w:t>
      </w:r>
      <w:r w:rsidR="00E86B63">
        <w:rPr>
          <w:lang w:val="pl-PL"/>
        </w:rPr>
        <w:t>funkcjonujących</w:t>
      </w:r>
      <w:r w:rsidR="00101B07">
        <w:rPr>
          <w:lang w:val="pl-PL"/>
        </w:rPr>
        <w:t xml:space="preserve"> na podstawie ustawodawstwa krajowego </w:t>
      </w:r>
      <w:r w:rsidR="00236DBA">
        <w:rPr>
          <w:lang w:val="pl-PL"/>
        </w:rPr>
        <w:t>w</w:t>
      </w:r>
      <w:r w:rsidR="00EB5CE2">
        <w:rPr>
          <w:lang w:val="pl-PL"/>
        </w:rPr>
        <w:t xml:space="preserve"> przestrzeni</w:t>
      </w:r>
      <w:r w:rsidR="00037068">
        <w:rPr>
          <w:lang w:val="pl-PL"/>
        </w:rPr>
        <w:t xml:space="preserve"> </w:t>
      </w:r>
      <w:r w:rsidR="00236DBA">
        <w:rPr>
          <w:lang w:val="pl-PL"/>
        </w:rPr>
        <w:t>publicznej mogą być</w:t>
      </w:r>
      <w:r w:rsidR="00101B07">
        <w:rPr>
          <w:lang w:val="pl-PL"/>
        </w:rPr>
        <w:t xml:space="preserve"> zakwalifikowane jako „działalność dziennikarska</w:t>
      </w:r>
      <w:r w:rsidR="00236DBA">
        <w:rPr>
          <w:lang w:val="pl-PL"/>
        </w:rPr>
        <w:t xml:space="preserve">”, jeśli ich przedmiotem jest </w:t>
      </w:r>
      <w:r w:rsidR="00E86B63">
        <w:rPr>
          <w:lang w:val="pl-PL"/>
        </w:rPr>
        <w:t>przekazanie do</w:t>
      </w:r>
      <w:r w:rsidR="00236DBA">
        <w:rPr>
          <w:lang w:val="pl-PL"/>
        </w:rPr>
        <w:t xml:space="preserve"> publicz</w:t>
      </w:r>
      <w:r w:rsidR="00101B07">
        <w:rPr>
          <w:lang w:val="pl-PL"/>
        </w:rPr>
        <w:t xml:space="preserve">nej </w:t>
      </w:r>
      <w:r w:rsidR="00E86B63">
        <w:rPr>
          <w:lang w:val="pl-PL"/>
        </w:rPr>
        <w:t xml:space="preserve">wiadomości </w:t>
      </w:r>
      <w:r w:rsidR="00101B07">
        <w:rPr>
          <w:lang w:val="pl-PL"/>
        </w:rPr>
        <w:t>informacji, opinii lub idei</w:t>
      </w:r>
      <w:r w:rsidR="00975C1E">
        <w:rPr>
          <w:lang w:val="pl-PL"/>
        </w:rPr>
        <w:t>,</w:t>
      </w:r>
      <w:r w:rsidR="00236DBA">
        <w:rPr>
          <w:lang w:val="pl-PL"/>
        </w:rPr>
        <w:t xml:space="preserve"> niezależnie od </w:t>
      </w:r>
      <w:r w:rsidR="00037068">
        <w:rPr>
          <w:lang w:val="pl-PL"/>
        </w:rPr>
        <w:t xml:space="preserve">nośnika </w:t>
      </w:r>
      <w:r w:rsidR="00236DBA">
        <w:rPr>
          <w:lang w:val="pl-PL"/>
        </w:rPr>
        <w:t xml:space="preserve">użytego w celu ich przekazania. We wrześniu 2009 r. Naczelny Sąd Administracyjny nakazał Radzie ds. Ochrony Danych Osobowych, by zakazała przetwarzania danych podatkowych w sposób i w zakresie, w jakim </w:t>
      </w:r>
      <w:r w:rsidR="00E86B63">
        <w:rPr>
          <w:lang w:val="pl-PL"/>
        </w:rPr>
        <w:t xml:space="preserve">skarżące spółki </w:t>
      </w:r>
      <w:r w:rsidR="00762138">
        <w:rPr>
          <w:lang w:val="pl-PL"/>
        </w:rPr>
        <w:t>zrealizowały</w:t>
      </w:r>
      <w:r w:rsidR="00236DBA">
        <w:rPr>
          <w:lang w:val="pl-PL"/>
        </w:rPr>
        <w:t xml:space="preserve"> to w 2002 r. Odnotowując</w:t>
      </w:r>
      <w:r w:rsidR="00F026FF">
        <w:rPr>
          <w:lang w:val="pl-PL"/>
        </w:rPr>
        <w:t xml:space="preserve"> stwierdzenie</w:t>
      </w:r>
      <w:r w:rsidR="00236DBA">
        <w:rPr>
          <w:lang w:val="pl-PL"/>
        </w:rPr>
        <w:t xml:space="preserve"> TSUE,</w:t>
      </w:r>
      <w:r w:rsidR="00F026FF">
        <w:rPr>
          <w:lang w:val="pl-PL"/>
        </w:rPr>
        <w:t xml:space="preserve"> </w:t>
      </w:r>
      <w:r w:rsidR="00236DBA">
        <w:rPr>
          <w:lang w:val="pl-PL"/>
        </w:rPr>
        <w:t>ż</w:t>
      </w:r>
      <w:r w:rsidR="00F026FF">
        <w:rPr>
          <w:lang w:val="pl-PL"/>
        </w:rPr>
        <w:t>e</w:t>
      </w:r>
      <w:r w:rsidR="00236DBA">
        <w:rPr>
          <w:lang w:val="pl-PL"/>
        </w:rPr>
        <w:t xml:space="preserve"> decydującym czynnikiem </w:t>
      </w:r>
      <w:r w:rsidR="00762138">
        <w:rPr>
          <w:lang w:val="pl-PL"/>
        </w:rPr>
        <w:t>jest</w:t>
      </w:r>
      <w:r w:rsidR="00236DBA">
        <w:rPr>
          <w:lang w:val="pl-PL"/>
        </w:rPr>
        <w:t xml:space="preserve"> ocena, czy publikacja przyczynia się do debaty publicznej</w:t>
      </w:r>
      <w:r w:rsidR="00DD270A">
        <w:rPr>
          <w:lang w:val="pl-PL"/>
        </w:rPr>
        <w:t>,</w:t>
      </w:r>
      <w:r w:rsidR="00236DBA">
        <w:rPr>
          <w:lang w:val="pl-PL"/>
        </w:rPr>
        <w:t xml:space="preserve"> czy też ma na celu </w:t>
      </w:r>
      <w:r w:rsidR="00DD270A">
        <w:rPr>
          <w:lang w:val="pl-PL"/>
        </w:rPr>
        <w:t xml:space="preserve">jedynie </w:t>
      </w:r>
      <w:r w:rsidR="00236DBA">
        <w:rPr>
          <w:lang w:val="pl-PL"/>
        </w:rPr>
        <w:t>zaspokojenie ciekawości czytelników, Naczelny Sąd Administracyjny uznał, że publikacja całej bazy danych z</w:t>
      </w:r>
      <w:r w:rsidR="00DD270A">
        <w:rPr>
          <w:lang w:val="pl-PL"/>
        </w:rPr>
        <w:t>e</w:t>
      </w:r>
      <w:r w:rsidR="00236DBA">
        <w:rPr>
          <w:lang w:val="pl-PL"/>
        </w:rPr>
        <w:t>branych na potrzeby dziennikarskie i przekazywanie informacji za pomoc</w:t>
      </w:r>
      <w:r w:rsidR="00DD270A">
        <w:rPr>
          <w:lang w:val="pl-PL"/>
        </w:rPr>
        <w:t xml:space="preserve">ą </w:t>
      </w:r>
      <w:r w:rsidR="00E86B63">
        <w:rPr>
          <w:lang w:val="pl-PL"/>
        </w:rPr>
        <w:t xml:space="preserve">wiadomości </w:t>
      </w:r>
      <w:r w:rsidR="00DD270A">
        <w:rPr>
          <w:lang w:val="pl-PL"/>
        </w:rPr>
        <w:t>SMS nie może być uważane</w:t>
      </w:r>
      <w:r w:rsidR="00236DBA">
        <w:rPr>
          <w:lang w:val="pl-PL"/>
        </w:rPr>
        <w:t xml:space="preserve"> za działalność dziennikarską. </w:t>
      </w:r>
    </w:p>
    <w:p w:rsidR="00236DBA" w:rsidRPr="00236DBA" w:rsidRDefault="00236DBA">
      <w:pPr>
        <w:pStyle w:val="ClinContent"/>
        <w:rPr>
          <w:lang w:val="pl-PL"/>
        </w:rPr>
      </w:pPr>
      <w:r w:rsidRPr="00236DBA">
        <w:rPr>
          <w:lang w:val="pl-PL"/>
        </w:rPr>
        <w:t>W postępowaniu na podstawie Konwencji [</w:t>
      </w:r>
      <w:r w:rsidR="00762138">
        <w:rPr>
          <w:lang w:val="pl-PL"/>
        </w:rPr>
        <w:t>o ochronie praw człowieka i pod</w:t>
      </w:r>
      <w:r w:rsidRPr="00236DBA">
        <w:rPr>
          <w:lang w:val="pl-PL"/>
        </w:rPr>
        <w:t xml:space="preserve">stawowych wolności] skarżące spółki zarzucały, między innymi, naruszenie art. </w:t>
      </w:r>
      <w:r>
        <w:rPr>
          <w:lang w:val="pl-PL"/>
        </w:rPr>
        <w:t xml:space="preserve">10 Konwencji. </w:t>
      </w:r>
      <w:r>
        <w:rPr>
          <w:lang w:val="pl-PL"/>
        </w:rPr>
        <w:lastRenderedPageBreak/>
        <w:t>W</w:t>
      </w:r>
      <w:r w:rsidR="00231E7F">
        <w:rPr>
          <w:lang w:val="pl-PL"/>
        </w:rPr>
        <w:t> </w:t>
      </w:r>
      <w:r>
        <w:rPr>
          <w:lang w:val="pl-PL"/>
        </w:rPr>
        <w:t>wyroku z 21 lipca 2015 r. Izba Trybunału orzekła, sześcioma głosami do jednego, że</w:t>
      </w:r>
      <w:r w:rsidR="00231E7F">
        <w:rPr>
          <w:lang w:val="pl-PL"/>
        </w:rPr>
        <w:t> </w:t>
      </w:r>
      <w:r>
        <w:rPr>
          <w:lang w:val="pl-PL"/>
        </w:rPr>
        <w:t xml:space="preserve">nie doszło do naruszenia tego </w:t>
      </w:r>
      <w:r w:rsidR="00037068">
        <w:rPr>
          <w:lang w:val="pl-PL"/>
        </w:rPr>
        <w:t>p</w:t>
      </w:r>
      <w:r w:rsidR="00EB5CE2">
        <w:rPr>
          <w:lang w:val="pl-PL"/>
        </w:rPr>
        <w:t>ostanowienia</w:t>
      </w:r>
      <w:r>
        <w:rPr>
          <w:lang w:val="pl-PL"/>
        </w:rPr>
        <w:t xml:space="preserve">. W dniu 14 grudnia 2015 r. sprawa została przekazana na wniosek skarżących do Wielkiej Izby. </w:t>
      </w:r>
    </w:p>
    <w:p w:rsidR="00236DBA" w:rsidRPr="00431808" w:rsidRDefault="00236DBA">
      <w:pPr>
        <w:pStyle w:val="ClinContent"/>
        <w:rPr>
          <w:lang w:val="pl-PL"/>
        </w:rPr>
      </w:pPr>
      <w:r w:rsidRPr="00431808">
        <w:rPr>
          <w:i/>
          <w:lang w:val="pl-PL"/>
        </w:rPr>
        <w:t>Prawo</w:t>
      </w:r>
      <w:r w:rsidRPr="00431808">
        <w:rPr>
          <w:lang w:val="pl-PL"/>
        </w:rPr>
        <w:t xml:space="preserve"> – art. 10</w:t>
      </w:r>
    </w:p>
    <w:p w:rsidR="00236DBA" w:rsidRPr="00236DBA" w:rsidRDefault="00236DBA">
      <w:pPr>
        <w:pStyle w:val="ClinContent"/>
        <w:rPr>
          <w:lang w:val="pl-PL"/>
        </w:rPr>
      </w:pPr>
      <w:r w:rsidRPr="00236DBA">
        <w:rPr>
          <w:lang w:val="pl-PL"/>
        </w:rPr>
        <w:t xml:space="preserve">(a) </w:t>
      </w:r>
      <w:r w:rsidRPr="00762138">
        <w:rPr>
          <w:i/>
          <w:lang w:val="pl-PL"/>
        </w:rPr>
        <w:t>Kwestia wstępna</w:t>
      </w:r>
      <w:r w:rsidRPr="00236DBA">
        <w:rPr>
          <w:lang w:val="pl-PL"/>
        </w:rPr>
        <w:t xml:space="preserve"> – </w:t>
      </w:r>
      <w:r w:rsidRPr="00762138">
        <w:rPr>
          <w:i/>
          <w:lang w:val="pl-PL"/>
        </w:rPr>
        <w:t xml:space="preserve">czy podatnicy mieli </w:t>
      </w:r>
      <w:r w:rsidR="003B2BFD">
        <w:rPr>
          <w:i/>
          <w:lang w:val="pl-PL"/>
        </w:rPr>
        <w:t>konkurujące</w:t>
      </w:r>
      <w:r w:rsidR="003B2BFD" w:rsidRPr="00762138">
        <w:rPr>
          <w:i/>
          <w:lang w:val="pl-PL"/>
        </w:rPr>
        <w:t xml:space="preserve"> </w:t>
      </w:r>
      <w:r w:rsidRPr="00762138">
        <w:rPr>
          <w:i/>
          <w:lang w:val="pl-PL"/>
        </w:rPr>
        <w:t>prawo do prywatności na</w:t>
      </w:r>
      <w:r w:rsidR="00231E7F">
        <w:rPr>
          <w:i/>
          <w:lang w:val="pl-PL"/>
        </w:rPr>
        <w:t> </w:t>
      </w:r>
      <w:r w:rsidRPr="00762138">
        <w:rPr>
          <w:i/>
          <w:lang w:val="pl-PL"/>
        </w:rPr>
        <w:t>podstawie art. 8</w:t>
      </w:r>
      <w:r>
        <w:rPr>
          <w:lang w:val="pl-PL"/>
        </w:rPr>
        <w:t xml:space="preserve"> – Fakt, że informacja </w:t>
      </w:r>
      <w:r w:rsidR="00AB342C">
        <w:rPr>
          <w:lang w:val="pl-PL"/>
        </w:rPr>
        <w:t>funkcjonowała</w:t>
      </w:r>
      <w:r>
        <w:rPr>
          <w:lang w:val="pl-PL"/>
        </w:rPr>
        <w:t xml:space="preserve"> już w </w:t>
      </w:r>
      <w:r w:rsidR="00037068">
        <w:rPr>
          <w:lang w:val="pl-PL"/>
        </w:rPr>
        <w:t xml:space="preserve">przestrzeni </w:t>
      </w:r>
      <w:r>
        <w:rPr>
          <w:lang w:val="pl-PL"/>
        </w:rPr>
        <w:t>publicznej</w:t>
      </w:r>
      <w:r w:rsidR="00F947C3">
        <w:rPr>
          <w:lang w:val="pl-PL"/>
        </w:rPr>
        <w:t>,</w:t>
      </w:r>
      <w:r>
        <w:rPr>
          <w:lang w:val="pl-PL"/>
        </w:rPr>
        <w:t xml:space="preserve"> niekoniecznie pozbawia ochrony z art. 8. </w:t>
      </w:r>
      <w:r w:rsidR="000C455D">
        <w:rPr>
          <w:lang w:val="pl-PL"/>
        </w:rPr>
        <w:t>Względy życia prywatnego wchodzą w grę tam</w:t>
      </w:r>
      <w:r w:rsidR="00F947C3">
        <w:rPr>
          <w:lang w:val="pl-PL"/>
        </w:rPr>
        <w:t>,</w:t>
      </w:r>
      <w:r w:rsidR="000C455D">
        <w:rPr>
          <w:lang w:val="pl-PL"/>
        </w:rPr>
        <w:t xml:space="preserve"> gdzie doszło do zebrania danych na temat </w:t>
      </w:r>
      <w:r>
        <w:rPr>
          <w:lang w:val="pl-PL"/>
        </w:rPr>
        <w:t>konkretnej</w:t>
      </w:r>
      <w:r w:rsidR="000C455D">
        <w:rPr>
          <w:lang w:val="pl-PL"/>
        </w:rPr>
        <w:t xml:space="preserve"> osoby, przetwarzania lub</w:t>
      </w:r>
      <w:r w:rsidR="00231E7F">
        <w:rPr>
          <w:lang w:val="pl-PL"/>
        </w:rPr>
        <w:t> </w:t>
      </w:r>
      <w:r w:rsidR="000C455D">
        <w:rPr>
          <w:lang w:val="pl-PL"/>
        </w:rPr>
        <w:t xml:space="preserve">wykorzystywania danych osobowych lub publikacji przedmiotowych </w:t>
      </w:r>
      <w:r>
        <w:rPr>
          <w:lang w:val="pl-PL"/>
        </w:rPr>
        <w:t>materiałów w</w:t>
      </w:r>
      <w:r w:rsidR="00231E7F">
        <w:rPr>
          <w:lang w:val="pl-PL"/>
        </w:rPr>
        <w:t> </w:t>
      </w:r>
      <w:r>
        <w:rPr>
          <w:lang w:val="pl-PL"/>
        </w:rPr>
        <w:t>sposób i w zakresie</w:t>
      </w:r>
      <w:r w:rsidR="00762138">
        <w:rPr>
          <w:lang w:val="pl-PL"/>
        </w:rPr>
        <w:t xml:space="preserve"> wykraczającym poza możliwy do przewidzenia w normalnych okolicznościach</w:t>
      </w:r>
      <w:r>
        <w:rPr>
          <w:lang w:val="pl-PL"/>
        </w:rPr>
        <w:t xml:space="preserve">. W obecnej sprawie </w:t>
      </w:r>
      <w:r w:rsidR="003B5578">
        <w:rPr>
          <w:lang w:val="pl-PL"/>
        </w:rPr>
        <w:t>dane</w:t>
      </w:r>
      <w:r w:rsidR="004D411A">
        <w:rPr>
          <w:lang w:val="pl-PL"/>
        </w:rPr>
        <w:t>, które skarżące spółki</w:t>
      </w:r>
      <w:r w:rsidR="003B5578">
        <w:rPr>
          <w:lang w:val="pl-PL"/>
        </w:rPr>
        <w:t xml:space="preserve"> zebra</w:t>
      </w:r>
      <w:r w:rsidR="004D411A">
        <w:rPr>
          <w:lang w:val="pl-PL"/>
        </w:rPr>
        <w:t>ły</w:t>
      </w:r>
      <w:r w:rsidR="003B5578">
        <w:rPr>
          <w:lang w:val="pl-PL"/>
        </w:rPr>
        <w:t>, przetw</w:t>
      </w:r>
      <w:r w:rsidR="004D411A">
        <w:rPr>
          <w:lang w:val="pl-PL"/>
        </w:rPr>
        <w:t>orzyły</w:t>
      </w:r>
      <w:r w:rsidR="003B5578">
        <w:rPr>
          <w:lang w:val="pl-PL"/>
        </w:rPr>
        <w:t xml:space="preserve"> i</w:t>
      </w:r>
      <w:r w:rsidR="00231E7F">
        <w:rPr>
          <w:lang w:val="pl-PL"/>
        </w:rPr>
        <w:t> </w:t>
      </w:r>
      <w:r w:rsidR="003B5578">
        <w:rPr>
          <w:lang w:val="pl-PL"/>
        </w:rPr>
        <w:t>opublikowa</w:t>
      </w:r>
      <w:r w:rsidR="004D411A">
        <w:rPr>
          <w:lang w:val="pl-PL"/>
        </w:rPr>
        <w:t>ły</w:t>
      </w:r>
      <w:r w:rsidR="003B5578">
        <w:rPr>
          <w:lang w:val="pl-PL"/>
        </w:rPr>
        <w:t xml:space="preserve"> </w:t>
      </w:r>
      <w:r w:rsidR="000C455D">
        <w:rPr>
          <w:lang w:val="pl-PL"/>
        </w:rPr>
        <w:t xml:space="preserve">w gazecie </w:t>
      </w:r>
      <w:r w:rsidR="003B5578">
        <w:rPr>
          <w:lang w:val="pl-PL"/>
        </w:rPr>
        <w:t xml:space="preserve">zawierały szczegóły </w:t>
      </w:r>
      <w:r w:rsidR="004D411A">
        <w:rPr>
          <w:lang w:val="pl-PL"/>
        </w:rPr>
        <w:t xml:space="preserve">dotyczące </w:t>
      </w:r>
      <w:r w:rsidR="001E4AD6">
        <w:rPr>
          <w:lang w:val="pl-PL"/>
        </w:rPr>
        <w:t xml:space="preserve">dochodów </w:t>
      </w:r>
      <w:r w:rsidR="00F026FF">
        <w:rPr>
          <w:lang w:val="pl-PL"/>
        </w:rPr>
        <w:t xml:space="preserve">pochodzących </w:t>
      </w:r>
      <w:r w:rsidR="003B5578">
        <w:rPr>
          <w:lang w:val="pl-PL"/>
        </w:rPr>
        <w:t>i</w:t>
      </w:r>
      <w:r w:rsidR="00231E7F">
        <w:rPr>
          <w:lang w:val="pl-PL"/>
        </w:rPr>
        <w:t> </w:t>
      </w:r>
      <w:r w:rsidR="003B5578">
        <w:rPr>
          <w:lang w:val="pl-PL"/>
        </w:rPr>
        <w:t xml:space="preserve"> </w:t>
      </w:r>
      <w:r w:rsidR="001E4AD6">
        <w:rPr>
          <w:lang w:val="pl-PL"/>
        </w:rPr>
        <w:t xml:space="preserve">niepochodzących z pracy zarobkowej </w:t>
      </w:r>
      <w:r w:rsidR="003B5578">
        <w:rPr>
          <w:lang w:val="pl-PL"/>
        </w:rPr>
        <w:t>podlegających opodatkowaniu oraz</w:t>
      </w:r>
      <w:r w:rsidR="00231E7F">
        <w:rPr>
          <w:lang w:val="pl-PL"/>
        </w:rPr>
        <w:t> </w:t>
      </w:r>
      <w:r w:rsidR="003B5578">
        <w:rPr>
          <w:lang w:val="pl-PL"/>
        </w:rPr>
        <w:t xml:space="preserve">podlegających opodatkowaniu aktywów netto, a </w:t>
      </w:r>
      <w:r w:rsidR="000C455D">
        <w:rPr>
          <w:lang w:val="pl-PL"/>
        </w:rPr>
        <w:t xml:space="preserve">zatem </w:t>
      </w:r>
      <w:r w:rsidR="00BB127B">
        <w:rPr>
          <w:lang w:val="pl-PL"/>
        </w:rPr>
        <w:t xml:space="preserve">zdecydowanie </w:t>
      </w:r>
      <w:r w:rsidR="003B5578">
        <w:rPr>
          <w:lang w:val="pl-PL"/>
        </w:rPr>
        <w:t>dotyczyły</w:t>
      </w:r>
      <w:r w:rsidR="000C455D">
        <w:rPr>
          <w:lang w:val="pl-PL"/>
        </w:rPr>
        <w:t xml:space="preserve"> one</w:t>
      </w:r>
      <w:r w:rsidR="003B5578">
        <w:rPr>
          <w:lang w:val="pl-PL"/>
        </w:rPr>
        <w:t xml:space="preserve"> życia prywatnego zainteresowanych osób, pomimo że zgodnie z prawem fińskim opinia publiczna mogła mieć do nich dostęp. </w:t>
      </w:r>
    </w:p>
    <w:p w:rsidR="003B5578" w:rsidRPr="003B5578" w:rsidRDefault="003B5578">
      <w:pPr>
        <w:pStyle w:val="ClinContent"/>
        <w:rPr>
          <w:lang w:val="pl-PL"/>
        </w:rPr>
      </w:pPr>
      <w:r w:rsidRPr="003B5578">
        <w:rPr>
          <w:lang w:val="pl-PL"/>
        </w:rPr>
        <w:t xml:space="preserve">(b) </w:t>
      </w:r>
      <w:r w:rsidRPr="000C455D">
        <w:rPr>
          <w:i/>
          <w:lang w:val="pl-PL"/>
        </w:rPr>
        <w:t>Ingerencja przewidziana przez ustawę i uprawniony cel</w:t>
      </w:r>
      <w:r w:rsidRPr="003B5578">
        <w:rPr>
          <w:lang w:val="pl-PL"/>
        </w:rPr>
        <w:t xml:space="preserve"> </w:t>
      </w:r>
      <w:r>
        <w:rPr>
          <w:lang w:val="pl-PL"/>
        </w:rPr>
        <w:t>–</w:t>
      </w:r>
      <w:r w:rsidRPr="003B5578">
        <w:rPr>
          <w:lang w:val="pl-PL"/>
        </w:rPr>
        <w:t xml:space="preserve"> </w:t>
      </w:r>
      <w:r>
        <w:rPr>
          <w:lang w:val="pl-PL"/>
        </w:rPr>
        <w:t xml:space="preserve">Decyzja Rady ds. Ochrony Danych Osobowych o zakazie przetwarzania danych podatkowych w zaskarżony sposób, </w:t>
      </w:r>
      <w:r w:rsidR="000C455D">
        <w:rPr>
          <w:lang w:val="pl-PL"/>
        </w:rPr>
        <w:t>utrzymana przez sądy krajowe</w:t>
      </w:r>
      <w:r>
        <w:rPr>
          <w:lang w:val="pl-PL"/>
        </w:rPr>
        <w:t>, stanowiła ingerencję w prawo skarżących spółek do</w:t>
      </w:r>
      <w:r w:rsidR="00231E7F">
        <w:rPr>
          <w:lang w:val="pl-PL"/>
        </w:rPr>
        <w:t> </w:t>
      </w:r>
      <w:r>
        <w:rPr>
          <w:lang w:val="pl-PL"/>
        </w:rPr>
        <w:t xml:space="preserve">przekazywania informacji gwarantowane przez art. 10. Ingerencja ta była przewidziana przez ustawę – </w:t>
      </w:r>
      <w:r w:rsidR="004D411A">
        <w:rPr>
          <w:lang w:val="pl-PL"/>
        </w:rPr>
        <w:t xml:space="preserve">zapisy </w:t>
      </w:r>
      <w:r>
        <w:rPr>
          <w:lang w:val="pl-PL"/>
        </w:rPr>
        <w:t xml:space="preserve">właściwego ustawodawstwa </w:t>
      </w:r>
      <w:r w:rsidR="004D411A">
        <w:rPr>
          <w:lang w:val="pl-PL"/>
        </w:rPr>
        <w:t>dotyczącego</w:t>
      </w:r>
      <w:r>
        <w:rPr>
          <w:lang w:val="pl-PL"/>
        </w:rPr>
        <w:t xml:space="preserve"> ochrony </w:t>
      </w:r>
      <w:r w:rsidR="000C455D">
        <w:rPr>
          <w:lang w:val="pl-PL"/>
        </w:rPr>
        <w:t>danych osobowych oraz charakter i zakres</w:t>
      </w:r>
      <w:r>
        <w:rPr>
          <w:lang w:val="pl-PL"/>
        </w:rPr>
        <w:t xml:space="preserve"> wyłączenia działalności dziennikarskiej, na</w:t>
      </w:r>
      <w:r w:rsidR="00231E7F">
        <w:rPr>
          <w:lang w:val="pl-PL"/>
        </w:rPr>
        <w:t> </w:t>
      </w:r>
      <w:r>
        <w:rPr>
          <w:lang w:val="pl-PL"/>
        </w:rPr>
        <w:t>którym chciały się oprzeć</w:t>
      </w:r>
      <w:r w:rsidRPr="003B5578">
        <w:rPr>
          <w:lang w:val="pl-PL"/>
        </w:rPr>
        <w:t xml:space="preserve"> </w:t>
      </w:r>
      <w:r>
        <w:rPr>
          <w:lang w:val="pl-PL"/>
        </w:rPr>
        <w:t>skarżące spółki,</w:t>
      </w:r>
      <w:r w:rsidR="00F05040">
        <w:rPr>
          <w:lang w:val="pl-PL"/>
        </w:rPr>
        <w:t xml:space="preserve"> </w:t>
      </w:r>
      <w:r w:rsidR="000C455D">
        <w:rPr>
          <w:lang w:val="pl-PL"/>
        </w:rPr>
        <w:t xml:space="preserve">były </w:t>
      </w:r>
      <w:r w:rsidR="00F05040">
        <w:rPr>
          <w:lang w:val="pl-PL"/>
        </w:rPr>
        <w:t>stosowane w sposób wystarczająco przewidywalny po udzieleniu przez TSUE wskazówek interpretacyjnych Naczelnemu Sądowi Administracyjnemu</w:t>
      </w:r>
      <w:r w:rsidR="000C455D">
        <w:rPr>
          <w:lang w:val="pl-PL"/>
        </w:rPr>
        <w:t>.</w:t>
      </w:r>
      <w:r w:rsidR="00F05040">
        <w:rPr>
          <w:lang w:val="pl-PL"/>
        </w:rPr>
        <w:t xml:space="preserve"> </w:t>
      </w:r>
      <w:r w:rsidR="000C455D">
        <w:rPr>
          <w:lang w:val="pl-PL"/>
        </w:rPr>
        <w:t>S</w:t>
      </w:r>
      <w:r w:rsidR="00F05040">
        <w:rPr>
          <w:lang w:val="pl-PL"/>
        </w:rPr>
        <w:t>karżące</w:t>
      </w:r>
      <w:r w:rsidR="004D411A">
        <w:rPr>
          <w:lang w:val="pl-PL"/>
        </w:rPr>
        <w:t xml:space="preserve"> spółki</w:t>
      </w:r>
      <w:r w:rsidR="00F05040">
        <w:rPr>
          <w:lang w:val="pl-PL"/>
        </w:rPr>
        <w:t xml:space="preserve">, </w:t>
      </w:r>
      <w:r w:rsidR="00F026FF">
        <w:rPr>
          <w:lang w:val="pl-PL"/>
        </w:rPr>
        <w:t>działając</w:t>
      </w:r>
      <w:r w:rsidR="00AF0CA0">
        <w:rPr>
          <w:lang w:val="pl-PL"/>
        </w:rPr>
        <w:t xml:space="preserve"> w sektorze</w:t>
      </w:r>
      <w:r w:rsidR="00F05040">
        <w:rPr>
          <w:lang w:val="pl-PL"/>
        </w:rPr>
        <w:t xml:space="preserve"> mediów, powinny były być świadome, że masowe zbieranie danych i ich rozpowszechnienie w sposób „hurtowy” nie może być uznane za przetw</w:t>
      </w:r>
      <w:r w:rsidR="000C455D">
        <w:rPr>
          <w:lang w:val="pl-PL"/>
        </w:rPr>
        <w:t>a</w:t>
      </w:r>
      <w:r w:rsidR="00F05040">
        <w:rPr>
          <w:lang w:val="pl-PL"/>
        </w:rPr>
        <w:t>rz</w:t>
      </w:r>
      <w:r w:rsidR="000C455D">
        <w:rPr>
          <w:lang w:val="pl-PL"/>
        </w:rPr>
        <w:t>a</w:t>
      </w:r>
      <w:r w:rsidR="00F05040">
        <w:rPr>
          <w:lang w:val="pl-PL"/>
        </w:rPr>
        <w:t>nie „jedynie” do celów dziennikarskich –</w:t>
      </w:r>
      <w:r w:rsidR="00231E7F">
        <w:rPr>
          <w:lang w:val="pl-PL"/>
        </w:rPr>
        <w:t> </w:t>
      </w:r>
      <w:r w:rsidR="00F05040">
        <w:rPr>
          <w:lang w:val="pl-PL"/>
        </w:rPr>
        <w:t>a</w:t>
      </w:r>
      <w:r w:rsidR="00231E7F">
        <w:rPr>
          <w:lang w:val="pl-PL"/>
        </w:rPr>
        <w:t> </w:t>
      </w:r>
      <w:r w:rsidR="00F05040">
        <w:rPr>
          <w:lang w:val="pl-PL"/>
        </w:rPr>
        <w:t xml:space="preserve">ingerencja dążyła do </w:t>
      </w:r>
      <w:r w:rsidR="000C455D">
        <w:rPr>
          <w:lang w:val="pl-PL"/>
        </w:rPr>
        <w:t xml:space="preserve">realizacji </w:t>
      </w:r>
      <w:r w:rsidR="00F05040">
        <w:rPr>
          <w:lang w:val="pl-PL"/>
        </w:rPr>
        <w:t xml:space="preserve">uprawnionego celu ochrony dobrego imienia i praw innych osób. </w:t>
      </w:r>
    </w:p>
    <w:p w:rsidR="003A0A2E" w:rsidRPr="003A0A2E" w:rsidRDefault="003A0A2E">
      <w:pPr>
        <w:pStyle w:val="ClinContent"/>
        <w:rPr>
          <w:lang w:val="pl-PL"/>
        </w:rPr>
      </w:pPr>
      <w:r w:rsidRPr="003A0A2E">
        <w:rPr>
          <w:lang w:val="pl-PL"/>
        </w:rPr>
        <w:t xml:space="preserve">(c) </w:t>
      </w:r>
      <w:r w:rsidRPr="003A0A2E">
        <w:rPr>
          <w:i/>
          <w:lang w:val="pl-PL"/>
        </w:rPr>
        <w:t xml:space="preserve">Niezbędność w społeczeństwie demokratycznym </w:t>
      </w:r>
      <w:r>
        <w:rPr>
          <w:i/>
          <w:lang w:val="pl-PL"/>
        </w:rPr>
        <w:t>–</w:t>
      </w:r>
      <w:r w:rsidRPr="003A0A2E">
        <w:rPr>
          <w:i/>
          <w:lang w:val="pl-PL"/>
        </w:rPr>
        <w:t xml:space="preserve"> </w:t>
      </w:r>
      <w:r>
        <w:rPr>
          <w:lang w:val="pl-PL"/>
        </w:rPr>
        <w:t xml:space="preserve">Trybunał zbadał sprawę z punktu widzenia kryteriów wskazanych w </w:t>
      </w:r>
      <w:r w:rsidR="00431808">
        <w:rPr>
          <w:lang w:val="pl-PL"/>
        </w:rPr>
        <w:t>jego wcześniejszym orzecznictwie</w:t>
      </w:r>
      <w:r w:rsidR="00BB127B">
        <w:rPr>
          <w:lang w:val="pl-PL"/>
        </w:rPr>
        <w:t xml:space="preserve">, które są </w:t>
      </w:r>
      <w:r w:rsidR="00431808">
        <w:rPr>
          <w:lang w:val="pl-PL"/>
        </w:rPr>
        <w:t>istotn</w:t>
      </w:r>
      <w:r w:rsidR="00BB127B">
        <w:rPr>
          <w:lang w:val="pl-PL"/>
        </w:rPr>
        <w:t>e</w:t>
      </w:r>
      <w:r w:rsidR="000C455D">
        <w:rPr>
          <w:lang w:val="pl-PL"/>
        </w:rPr>
        <w:t xml:space="preserve"> przy przeprowadzaniu </w:t>
      </w:r>
      <w:r>
        <w:rPr>
          <w:lang w:val="pl-PL"/>
        </w:rPr>
        <w:t xml:space="preserve">procesu ważenia </w:t>
      </w:r>
      <w:r w:rsidR="003B2BFD">
        <w:rPr>
          <w:lang w:val="pl-PL"/>
        </w:rPr>
        <w:t xml:space="preserve">konkurujących </w:t>
      </w:r>
      <w:r>
        <w:rPr>
          <w:lang w:val="pl-PL"/>
        </w:rPr>
        <w:t xml:space="preserve">praw do poszanowania życia prywatnego na podstawie art. 8 Konwencji </w:t>
      </w:r>
      <w:r w:rsidR="000C455D">
        <w:rPr>
          <w:lang w:val="pl-PL"/>
        </w:rPr>
        <w:t xml:space="preserve">i </w:t>
      </w:r>
      <w:r>
        <w:rPr>
          <w:lang w:val="pl-PL"/>
        </w:rPr>
        <w:t xml:space="preserve">do wolności wyrażania opinii na podstawie art. 10. </w:t>
      </w:r>
    </w:p>
    <w:p w:rsidR="003A0A2E" w:rsidRPr="003A0A2E" w:rsidRDefault="003A0A2E">
      <w:pPr>
        <w:pStyle w:val="ClinContent"/>
        <w:rPr>
          <w:lang w:val="pl-PL"/>
        </w:rPr>
      </w:pPr>
      <w:r w:rsidRPr="003A0A2E">
        <w:rPr>
          <w:lang w:val="pl-PL"/>
        </w:rPr>
        <w:t xml:space="preserve">(i) </w:t>
      </w:r>
      <w:r w:rsidRPr="003A0A2E">
        <w:rPr>
          <w:i/>
          <w:lang w:val="pl-PL"/>
        </w:rPr>
        <w:t>Wkład do debaty w interesie publicznym</w:t>
      </w:r>
      <w:r>
        <w:rPr>
          <w:i/>
          <w:lang w:val="pl-PL"/>
        </w:rPr>
        <w:t xml:space="preserve">: </w:t>
      </w:r>
      <w:r>
        <w:rPr>
          <w:lang w:val="pl-PL"/>
        </w:rPr>
        <w:t>U podstaw fińskiej polityki ustawodawczej zakładającej publiczne udostępnianie danych podatkowych leż</w:t>
      </w:r>
      <w:r w:rsidR="000C455D">
        <w:rPr>
          <w:lang w:val="pl-PL"/>
        </w:rPr>
        <w:t>ała</w:t>
      </w:r>
      <w:r>
        <w:rPr>
          <w:lang w:val="pl-PL"/>
        </w:rPr>
        <w:t xml:space="preserve"> potrzeba zapewnienia możliwości monitorowania przez opinię publiczną działań organów rządowych. Tym</w:t>
      </w:r>
      <w:r w:rsidR="00231E7F">
        <w:rPr>
          <w:lang w:val="pl-PL"/>
        </w:rPr>
        <w:t> </w:t>
      </w:r>
      <w:r>
        <w:rPr>
          <w:lang w:val="pl-PL"/>
        </w:rPr>
        <w:t>niemniej, publiczny dostęp do danych podatkowych, podlegający jasnym zasadom i</w:t>
      </w:r>
      <w:r w:rsidR="00231E7F">
        <w:rPr>
          <w:lang w:val="pl-PL"/>
        </w:rPr>
        <w:t> </w:t>
      </w:r>
      <w:r>
        <w:rPr>
          <w:lang w:val="pl-PL"/>
        </w:rPr>
        <w:t>procedurom, a także ogólna przejrzystość fińskiego s</w:t>
      </w:r>
      <w:r w:rsidR="000C455D">
        <w:rPr>
          <w:lang w:val="pl-PL"/>
        </w:rPr>
        <w:t>ystemu podatkowego nie</w:t>
      </w:r>
      <w:r w:rsidR="00231E7F">
        <w:rPr>
          <w:lang w:val="pl-PL"/>
        </w:rPr>
        <w:t> </w:t>
      </w:r>
      <w:r w:rsidR="000C455D">
        <w:rPr>
          <w:lang w:val="pl-PL"/>
        </w:rPr>
        <w:t>oznaczały</w:t>
      </w:r>
      <w:r>
        <w:rPr>
          <w:lang w:val="pl-PL"/>
        </w:rPr>
        <w:t>, że kwestionowana publikacja sama w sobie wnosiła wkład do debaty w</w:t>
      </w:r>
      <w:r w:rsidR="00231E7F">
        <w:rPr>
          <w:lang w:val="pl-PL"/>
        </w:rPr>
        <w:t> </w:t>
      </w:r>
      <w:r>
        <w:rPr>
          <w:lang w:val="pl-PL"/>
        </w:rPr>
        <w:t>interesie publicznym. Biorąc pod uwagę publikację jako całość i jej kontek</w:t>
      </w:r>
      <w:r w:rsidR="001E4AD6">
        <w:rPr>
          <w:lang w:val="pl-PL"/>
        </w:rPr>
        <w:t>st</w:t>
      </w:r>
      <w:r>
        <w:rPr>
          <w:lang w:val="pl-PL"/>
        </w:rPr>
        <w:t xml:space="preserve">, Trybunał, podobnie jak Naczelny Sąd Administracyjny, nie był przekonany, że publikacja danych podatkowych w sposób i w zakresie, w jakim zrobiły to skarżące spółki (nieobrobione dane opublikowane </w:t>
      </w:r>
      <w:r w:rsidRPr="003A0A2E">
        <w:rPr>
          <w:i/>
          <w:lang w:val="pl-PL"/>
        </w:rPr>
        <w:t xml:space="preserve">en </w:t>
      </w:r>
      <w:proofErr w:type="spellStart"/>
      <w:r w:rsidRPr="003A0A2E">
        <w:rPr>
          <w:i/>
          <w:lang w:val="pl-PL"/>
        </w:rPr>
        <w:t>masse</w:t>
      </w:r>
      <w:proofErr w:type="spellEnd"/>
      <w:r>
        <w:rPr>
          <w:lang w:val="pl-PL"/>
        </w:rPr>
        <w:t xml:space="preserve"> jako katalogi, prawie dosłownie), przyczyniła się do takiej debaty ani czy w rzeczywistości było </w:t>
      </w:r>
      <w:r w:rsidR="000C46E1">
        <w:rPr>
          <w:lang w:val="pl-PL"/>
        </w:rPr>
        <w:t xml:space="preserve">to </w:t>
      </w:r>
      <w:r>
        <w:rPr>
          <w:lang w:val="pl-PL"/>
        </w:rPr>
        <w:t xml:space="preserve">jej głównym celem. </w:t>
      </w:r>
    </w:p>
    <w:p w:rsidR="003A0A2E" w:rsidRPr="003A0A2E" w:rsidRDefault="003A0A2E">
      <w:pPr>
        <w:pStyle w:val="ClinContent"/>
        <w:rPr>
          <w:lang w:val="pl-PL"/>
        </w:rPr>
      </w:pPr>
      <w:r w:rsidRPr="003A0A2E">
        <w:rPr>
          <w:lang w:val="pl-PL"/>
        </w:rPr>
        <w:t xml:space="preserve">(ii) </w:t>
      </w:r>
      <w:r w:rsidRPr="003A0A2E">
        <w:rPr>
          <w:i/>
          <w:lang w:val="pl-PL"/>
        </w:rPr>
        <w:t xml:space="preserve">Przedmiot publikacji – </w:t>
      </w:r>
      <w:r w:rsidR="001E4AD6">
        <w:rPr>
          <w:lang w:val="pl-PL"/>
        </w:rPr>
        <w:t>w p</w:t>
      </w:r>
      <w:r w:rsidR="00431808">
        <w:rPr>
          <w:lang w:val="pl-PL"/>
        </w:rPr>
        <w:t>ublikacj</w:t>
      </w:r>
      <w:r w:rsidR="001E4AD6">
        <w:rPr>
          <w:lang w:val="pl-PL"/>
        </w:rPr>
        <w:t>i znalazły się dane</w:t>
      </w:r>
      <w:r w:rsidR="00431808">
        <w:rPr>
          <w:lang w:val="pl-PL"/>
        </w:rPr>
        <w:t xml:space="preserve"> o</w:t>
      </w:r>
      <w:r w:rsidRPr="003A0A2E">
        <w:rPr>
          <w:lang w:val="pl-PL"/>
        </w:rPr>
        <w:t xml:space="preserve">koło 1 200 000 </w:t>
      </w:r>
      <w:r>
        <w:rPr>
          <w:lang w:val="pl-PL"/>
        </w:rPr>
        <w:t xml:space="preserve">osób fizycznych. Wszystkie te osoby były podatnikami, ale tylko bardzo nieliczne były </w:t>
      </w:r>
      <w:r w:rsidR="00BF1BAC">
        <w:rPr>
          <w:lang w:val="pl-PL"/>
        </w:rPr>
        <w:t>osobami</w:t>
      </w:r>
      <w:r>
        <w:rPr>
          <w:lang w:val="pl-PL"/>
        </w:rPr>
        <w:t xml:space="preserve"> o wysokim dochodzie netto, osobami publicznymi lub </w:t>
      </w:r>
      <w:r w:rsidR="00BF1BAC">
        <w:rPr>
          <w:lang w:val="pl-PL"/>
        </w:rPr>
        <w:t>znanymi osobistościami w</w:t>
      </w:r>
      <w:r w:rsidR="00231E7F">
        <w:rPr>
          <w:lang w:val="pl-PL"/>
        </w:rPr>
        <w:t> </w:t>
      </w:r>
      <w:r w:rsidR="00BF1BAC">
        <w:rPr>
          <w:lang w:val="pl-PL"/>
        </w:rPr>
        <w:t xml:space="preserve">rozumieniu orzecznictwa Trybunału. Większość osób, których </w:t>
      </w:r>
      <w:r w:rsidR="000C46E1">
        <w:rPr>
          <w:lang w:val="pl-PL"/>
        </w:rPr>
        <w:t>d</w:t>
      </w:r>
      <w:r w:rsidR="00BF1BAC">
        <w:rPr>
          <w:lang w:val="pl-PL"/>
        </w:rPr>
        <w:t>ane został</w:t>
      </w:r>
      <w:r w:rsidR="000C46E1">
        <w:rPr>
          <w:lang w:val="pl-PL"/>
        </w:rPr>
        <w:t>y wymienione w gazecie, należała</w:t>
      </w:r>
      <w:r w:rsidR="00BF1BAC">
        <w:rPr>
          <w:lang w:val="pl-PL"/>
        </w:rPr>
        <w:t xml:space="preserve"> do grup o niskich dochodach. </w:t>
      </w:r>
    </w:p>
    <w:p w:rsidR="008F3D90" w:rsidRPr="008F3D90" w:rsidRDefault="008F3D90">
      <w:pPr>
        <w:pStyle w:val="ClinContent"/>
        <w:rPr>
          <w:lang w:val="pl-PL"/>
        </w:rPr>
      </w:pPr>
      <w:r w:rsidRPr="008F3D90">
        <w:rPr>
          <w:lang w:val="pl-PL"/>
        </w:rPr>
        <w:lastRenderedPageBreak/>
        <w:t xml:space="preserve">(iii) </w:t>
      </w:r>
      <w:r w:rsidRPr="008F3D90">
        <w:rPr>
          <w:i/>
          <w:lang w:val="pl-PL"/>
        </w:rPr>
        <w:t xml:space="preserve">Sposób uzyskania informacji i jej </w:t>
      </w:r>
      <w:r>
        <w:rPr>
          <w:i/>
          <w:lang w:val="pl-PL"/>
        </w:rPr>
        <w:t>prawdziwo</w:t>
      </w:r>
      <w:r w:rsidRPr="008F3D90">
        <w:rPr>
          <w:i/>
          <w:lang w:val="pl-PL"/>
        </w:rPr>
        <w:t>ść</w:t>
      </w:r>
      <w:r>
        <w:rPr>
          <w:i/>
          <w:lang w:val="pl-PL"/>
        </w:rPr>
        <w:t xml:space="preserve"> – </w:t>
      </w:r>
      <w:r w:rsidR="001E4AD6">
        <w:rPr>
          <w:lang w:val="pl-PL"/>
        </w:rPr>
        <w:t xml:space="preserve">Rzetelność </w:t>
      </w:r>
      <w:r>
        <w:rPr>
          <w:lang w:val="pl-PL"/>
        </w:rPr>
        <w:t>opublikowanej informacji nigdy nie była sporna, a dane nie zostały pozyskane nielegalnymi sposobami. Tym</w:t>
      </w:r>
      <w:r w:rsidR="00231E7F">
        <w:rPr>
          <w:lang w:val="pl-PL"/>
        </w:rPr>
        <w:t> </w:t>
      </w:r>
      <w:r>
        <w:rPr>
          <w:lang w:val="pl-PL"/>
        </w:rPr>
        <w:t>niemniej jasne</w:t>
      </w:r>
      <w:r w:rsidR="000C46E1" w:rsidRPr="000C46E1">
        <w:rPr>
          <w:lang w:val="pl-PL"/>
        </w:rPr>
        <w:t xml:space="preserve"> </w:t>
      </w:r>
      <w:r w:rsidR="000C46E1">
        <w:rPr>
          <w:lang w:val="pl-PL"/>
        </w:rPr>
        <w:t>było</w:t>
      </w:r>
      <w:r>
        <w:rPr>
          <w:lang w:val="pl-PL"/>
        </w:rPr>
        <w:t xml:space="preserve">, że skarżące spółki, które anulowały swój wniosek o dane </w:t>
      </w:r>
      <w:r w:rsidR="000C46E1">
        <w:rPr>
          <w:lang w:val="pl-PL"/>
        </w:rPr>
        <w:t xml:space="preserve">skierowany </w:t>
      </w:r>
      <w:r>
        <w:rPr>
          <w:lang w:val="pl-PL"/>
        </w:rPr>
        <w:t xml:space="preserve">do Krajowej Rady ds. Opodatkowania i zamiast tego wynajęły </w:t>
      </w:r>
      <w:r w:rsidR="0029344D">
        <w:rPr>
          <w:lang w:val="pl-PL"/>
        </w:rPr>
        <w:t>osoby</w:t>
      </w:r>
      <w:r w:rsidR="002F0F2C">
        <w:rPr>
          <w:lang w:val="pl-PL"/>
        </w:rPr>
        <w:t>, których zadaniem było</w:t>
      </w:r>
      <w:r>
        <w:rPr>
          <w:lang w:val="pl-PL"/>
        </w:rPr>
        <w:t xml:space="preserve"> zebrani</w:t>
      </w:r>
      <w:r w:rsidR="002F0F2C">
        <w:rPr>
          <w:lang w:val="pl-PL"/>
        </w:rPr>
        <w:t>e</w:t>
      </w:r>
      <w:r>
        <w:rPr>
          <w:lang w:val="pl-PL"/>
        </w:rPr>
        <w:t xml:space="preserve"> dany</w:t>
      </w:r>
      <w:r w:rsidR="002F0F2C">
        <w:rPr>
          <w:lang w:val="pl-PL"/>
        </w:rPr>
        <w:t>ch</w:t>
      </w:r>
      <w:r>
        <w:rPr>
          <w:lang w:val="pl-PL"/>
        </w:rPr>
        <w:t xml:space="preserve"> podatkowych </w:t>
      </w:r>
      <w:r w:rsidR="0029344D">
        <w:rPr>
          <w:lang w:val="pl-PL"/>
        </w:rPr>
        <w:t xml:space="preserve">bezpośrednio </w:t>
      </w:r>
      <w:r>
        <w:rPr>
          <w:lang w:val="pl-PL"/>
        </w:rPr>
        <w:t xml:space="preserve">w lokalnych urzędach podatkowych, </w:t>
      </w:r>
      <w:r w:rsidR="000C46E1">
        <w:rPr>
          <w:lang w:val="pl-PL"/>
        </w:rPr>
        <w:t xml:space="preserve">stosowały </w:t>
      </w:r>
      <w:r w:rsidR="002F0F2C">
        <w:rPr>
          <w:lang w:val="pl-PL"/>
        </w:rPr>
        <w:t xml:space="preserve">strategię </w:t>
      </w:r>
      <w:r>
        <w:rPr>
          <w:lang w:val="pl-PL"/>
        </w:rPr>
        <w:t xml:space="preserve">omijania normalnych kanałów pozyskiwania informacji, a </w:t>
      </w:r>
      <w:r w:rsidR="000C46E1">
        <w:rPr>
          <w:lang w:val="pl-PL"/>
        </w:rPr>
        <w:t xml:space="preserve">więc </w:t>
      </w:r>
      <w:r>
        <w:rPr>
          <w:lang w:val="pl-PL"/>
        </w:rPr>
        <w:t xml:space="preserve">również ustanowionych </w:t>
      </w:r>
      <w:r w:rsidR="000C46E1">
        <w:rPr>
          <w:lang w:val="pl-PL"/>
        </w:rPr>
        <w:t xml:space="preserve">przez władze krajowe </w:t>
      </w:r>
      <w:r>
        <w:rPr>
          <w:lang w:val="pl-PL"/>
        </w:rPr>
        <w:t>mechanizmów kontroli i</w:t>
      </w:r>
      <w:r w:rsidR="00231E7F">
        <w:rPr>
          <w:lang w:val="pl-PL"/>
        </w:rPr>
        <w:t> </w:t>
      </w:r>
      <w:r>
        <w:rPr>
          <w:lang w:val="pl-PL"/>
        </w:rPr>
        <w:t xml:space="preserve">równowagi </w:t>
      </w:r>
      <w:r w:rsidR="000C46E1">
        <w:rPr>
          <w:lang w:val="pl-PL"/>
        </w:rPr>
        <w:t>regulujących dostęp i rozpowszechnianie</w:t>
      </w:r>
      <w:r>
        <w:rPr>
          <w:lang w:val="pl-PL"/>
        </w:rPr>
        <w:t xml:space="preserve">. </w:t>
      </w:r>
    </w:p>
    <w:p w:rsidR="00E63EE9" w:rsidRPr="00F876D8" w:rsidRDefault="00E63EE9">
      <w:pPr>
        <w:pStyle w:val="ClinContent"/>
        <w:rPr>
          <w:lang w:val="pl-PL"/>
        </w:rPr>
      </w:pPr>
      <w:r w:rsidRPr="00E63EE9">
        <w:rPr>
          <w:lang w:val="pl-PL"/>
        </w:rPr>
        <w:t xml:space="preserve">(iv) </w:t>
      </w:r>
      <w:r w:rsidR="000C46E1">
        <w:rPr>
          <w:i/>
          <w:lang w:val="pl-PL"/>
        </w:rPr>
        <w:t>Treść,</w:t>
      </w:r>
      <w:r w:rsidRPr="00E63EE9">
        <w:rPr>
          <w:i/>
          <w:lang w:val="pl-PL"/>
        </w:rPr>
        <w:t xml:space="preserve"> forma oraz konsekwencje publikacji – </w:t>
      </w:r>
      <w:r w:rsidRPr="00E63EE9">
        <w:rPr>
          <w:lang w:val="pl-PL"/>
        </w:rPr>
        <w:t>Chociaż dzienni</w:t>
      </w:r>
      <w:r w:rsidR="00F876D8">
        <w:rPr>
          <w:lang w:val="pl-PL"/>
        </w:rPr>
        <w:t xml:space="preserve">karze </w:t>
      </w:r>
      <w:r w:rsidR="000C46E1">
        <w:rPr>
          <w:lang w:val="pl-PL"/>
        </w:rPr>
        <w:t xml:space="preserve">mają </w:t>
      </w:r>
      <w:r w:rsidR="00F876D8">
        <w:rPr>
          <w:lang w:val="pl-PL"/>
        </w:rPr>
        <w:t>możliwość wyboru</w:t>
      </w:r>
      <w:r w:rsidR="000C46E1">
        <w:rPr>
          <w:lang w:val="pl-PL"/>
        </w:rPr>
        <w:t xml:space="preserve"> -</w:t>
      </w:r>
      <w:r w:rsidR="00F876D8">
        <w:rPr>
          <w:lang w:val="pl-PL"/>
        </w:rPr>
        <w:t xml:space="preserve"> spośród </w:t>
      </w:r>
      <w:r w:rsidR="000C46E1">
        <w:rPr>
          <w:lang w:val="pl-PL"/>
        </w:rPr>
        <w:t xml:space="preserve">wszystkich docierających do nich </w:t>
      </w:r>
      <w:r w:rsidR="00F876D8">
        <w:rPr>
          <w:lang w:val="pl-PL"/>
        </w:rPr>
        <w:t>nowych informacji –</w:t>
      </w:r>
      <w:r w:rsidR="000C46E1">
        <w:rPr>
          <w:lang w:val="pl-PL"/>
        </w:rPr>
        <w:t xml:space="preserve"> tych,</w:t>
      </w:r>
      <w:r w:rsidR="00F876D8">
        <w:rPr>
          <w:lang w:val="pl-PL"/>
        </w:rPr>
        <w:t xml:space="preserve"> </w:t>
      </w:r>
      <w:r w:rsidR="0029344D">
        <w:rPr>
          <w:lang w:val="pl-PL"/>
        </w:rPr>
        <w:t xml:space="preserve">na </w:t>
      </w:r>
      <w:r w:rsidR="00F876D8">
        <w:rPr>
          <w:lang w:val="pl-PL"/>
        </w:rPr>
        <w:t>który</w:t>
      </w:r>
      <w:r w:rsidR="0029344D">
        <w:rPr>
          <w:lang w:val="pl-PL"/>
        </w:rPr>
        <w:t>ch</w:t>
      </w:r>
      <w:r w:rsidR="00F876D8">
        <w:rPr>
          <w:lang w:val="pl-PL"/>
        </w:rPr>
        <w:t xml:space="preserve"> się </w:t>
      </w:r>
      <w:r w:rsidR="0029344D">
        <w:rPr>
          <w:lang w:val="pl-PL"/>
        </w:rPr>
        <w:t>skupią</w:t>
      </w:r>
      <w:r w:rsidR="000C46E1">
        <w:rPr>
          <w:lang w:val="pl-PL"/>
        </w:rPr>
        <w:t>,</w:t>
      </w:r>
      <w:r w:rsidR="00F876D8">
        <w:rPr>
          <w:lang w:val="pl-PL"/>
        </w:rPr>
        <w:t xml:space="preserve"> </w:t>
      </w:r>
      <w:r w:rsidR="000C46E1">
        <w:rPr>
          <w:lang w:val="pl-PL"/>
        </w:rPr>
        <w:t xml:space="preserve">i </w:t>
      </w:r>
      <w:r w:rsidR="00F876D8">
        <w:rPr>
          <w:lang w:val="pl-PL"/>
        </w:rPr>
        <w:t>sposobu</w:t>
      </w:r>
      <w:r w:rsidR="000C46E1">
        <w:rPr>
          <w:lang w:val="pl-PL"/>
        </w:rPr>
        <w:t>, w jaki to zrobią,</w:t>
      </w:r>
      <w:r w:rsidR="00F876D8">
        <w:rPr>
          <w:lang w:val="pl-PL"/>
        </w:rPr>
        <w:t xml:space="preserve"> </w:t>
      </w:r>
      <w:r w:rsidR="0029344D">
        <w:rPr>
          <w:lang w:val="pl-PL"/>
        </w:rPr>
        <w:t xml:space="preserve">swoboda </w:t>
      </w:r>
      <w:r w:rsidR="00F876D8">
        <w:rPr>
          <w:lang w:val="pl-PL"/>
        </w:rPr>
        <w:t xml:space="preserve">ta nie jest pozbawiona obowiązków. </w:t>
      </w:r>
      <w:r w:rsidR="0029344D">
        <w:rPr>
          <w:lang w:val="pl-PL"/>
        </w:rPr>
        <w:t>Pomimo że</w:t>
      </w:r>
      <w:r w:rsidR="00F876D8">
        <w:rPr>
          <w:lang w:val="pl-PL"/>
        </w:rPr>
        <w:t xml:space="preserve"> w sprawie skarżących </w:t>
      </w:r>
      <w:r w:rsidR="0029344D">
        <w:rPr>
          <w:lang w:val="pl-PL"/>
        </w:rPr>
        <w:t xml:space="preserve">spółek </w:t>
      </w:r>
      <w:r w:rsidR="00F876D8">
        <w:rPr>
          <w:lang w:val="pl-PL"/>
        </w:rPr>
        <w:t>przedmiotowe dane podatkowe były public</w:t>
      </w:r>
      <w:r w:rsidR="000C46E1">
        <w:rPr>
          <w:lang w:val="pl-PL"/>
        </w:rPr>
        <w:t xml:space="preserve">znie dostępne w Finlandii, można się było z nimi zapoznawać </w:t>
      </w:r>
      <w:r w:rsidR="00F876D8">
        <w:rPr>
          <w:lang w:val="pl-PL"/>
        </w:rPr>
        <w:t>jedynie w lokalnych urzędach podatkowych</w:t>
      </w:r>
      <w:r w:rsidR="0029344D">
        <w:rPr>
          <w:lang w:val="pl-PL"/>
        </w:rPr>
        <w:t xml:space="preserve"> </w:t>
      </w:r>
      <w:r w:rsidR="007A338E">
        <w:rPr>
          <w:lang w:val="pl-PL"/>
        </w:rPr>
        <w:t xml:space="preserve">i </w:t>
      </w:r>
      <w:r w:rsidR="0029344D">
        <w:rPr>
          <w:lang w:val="pl-PL"/>
        </w:rPr>
        <w:t>na jasno określonych warunkach.</w:t>
      </w:r>
      <w:r w:rsidR="00F876D8">
        <w:rPr>
          <w:lang w:val="pl-PL"/>
        </w:rPr>
        <w:t xml:space="preserve"> Dziennikarze mogli otrzymać dane podatkowe w formacie cyfrowym, ale jedynie w określonej ilości. Dziennikarze </w:t>
      </w:r>
      <w:r w:rsidR="000C46E1">
        <w:rPr>
          <w:lang w:val="pl-PL"/>
        </w:rPr>
        <w:t>musieli wskazać, że wnioskują o informację</w:t>
      </w:r>
      <w:r w:rsidR="00F876D8">
        <w:rPr>
          <w:lang w:val="pl-PL"/>
        </w:rPr>
        <w:t xml:space="preserve"> na </w:t>
      </w:r>
      <w:r w:rsidR="000C46E1">
        <w:rPr>
          <w:lang w:val="pl-PL"/>
        </w:rPr>
        <w:t xml:space="preserve">potrzeby </w:t>
      </w:r>
      <w:r w:rsidR="00F876D8">
        <w:rPr>
          <w:lang w:val="pl-PL"/>
        </w:rPr>
        <w:t xml:space="preserve">dziennikarskie oraz że nie będzie </w:t>
      </w:r>
      <w:r w:rsidR="000C46E1">
        <w:rPr>
          <w:lang w:val="pl-PL"/>
        </w:rPr>
        <w:t>ona</w:t>
      </w:r>
      <w:r w:rsidR="00231E7F">
        <w:rPr>
          <w:lang w:val="pl-PL"/>
        </w:rPr>
        <w:t> </w:t>
      </w:r>
      <w:r w:rsidR="00F876D8">
        <w:rPr>
          <w:lang w:val="pl-PL"/>
        </w:rPr>
        <w:t xml:space="preserve">publikowana w formie listy. A zatem, choć informacja dotycząca </w:t>
      </w:r>
      <w:r w:rsidR="002F0F2C">
        <w:rPr>
          <w:lang w:val="pl-PL"/>
        </w:rPr>
        <w:t xml:space="preserve">konkretnych </w:t>
      </w:r>
      <w:r w:rsidR="00F876D8">
        <w:rPr>
          <w:lang w:val="pl-PL"/>
        </w:rPr>
        <w:t>osób była publicznie dostępna, dostępność ta podlegała szczegółowym regułom i</w:t>
      </w:r>
      <w:r w:rsidR="00231E7F">
        <w:rPr>
          <w:lang w:val="pl-PL"/>
        </w:rPr>
        <w:t> </w:t>
      </w:r>
      <w:r w:rsidR="00F876D8">
        <w:rPr>
          <w:lang w:val="pl-PL"/>
        </w:rPr>
        <w:t>zabezpieczeniom. Dla Trybunału fakt, że przedmiotowe dane były dostępne opinii publicznej na podstawie prawa krajowego</w:t>
      </w:r>
      <w:r w:rsidR="000C46E1">
        <w:rPr>
          <w:lang w:val="pl-PL"/>
        </w:rPr>
        <w:t>,</w:t>
      </w:r>
      <w:r w:rsidR="00F876D8">
        <w:rPr>
          <w:lang w:val="pl-PL"/>
        </w:rPr>
        <w:t xml:space="preserve"> niekoniecznie oznaczał, że mogły być one publikowane w nieograniczonym zakresie. Publikowanie danych w gazecie i dalsze ich</w:t>
      </w:r>
      <w:r w:rsidR="00231E7F">
        <w:rPr>
          <w:lang w:val="pl-PL"/>
        </w:rPr>
        <w:t> </w:t>
      </w:r>
      <w:r w:rsidR="000C46E1">
        <w:rPr>
          <w:lang w:val="pl-PL"/>
        </w:rPr>
        <w:t>roz</w:t>
      </w:r>
      <w:r w:rsidR="00F876D8">
        <w:rPr>
          <w:lang w:val="pl-PL"/>
        </w:rPr>
        <w:t xml:space="preserve">powszechnianie </w:t>
      </w:r>
      <w:r w:rsidR="0029344D">
        <w:rPr>
          <w:lang w:val="pl-PL"/>
        </w:rPr>
        <w:t>za pośrednictwem</w:t>
      </w:r>
      <w:r w:rsidR="00F876D8">
        <w:rPr>
          <w:lang w:val="pl-PL"/>
        </w:rPr>
        <w:t xml:space="preserve"> </w:t>
      </w:r>
      <w:r w:rsidR="0029344D">
        <w:rPr>
          <w:lang w:val="pl-PL"/>
        </w:rPr>
        <w:t xml:space="preserve">usługi </w:t>
      </w:r>
      <w:r w:rsidR="00F876D8">
        <w:rPr>
          <w:lang w:val="pl-PL"/>
        </w:rPr>
        <w:t xml:space="preserve">SMS sprawiło, że stały się </w:t>
      </w:r>
      <w:r w:rsidR="0029344D">
        <w:rPr>
          <w:lang w:val="pl-PL"/>
        </w:rPr>
        <w:t xml:space="preserve">one </w:t>
      </w:r>
      <w:r w:rsidR="004416EE">
        <w:rPr>
          <w:lang w:val="pl-PL"/>
        </w:rPr>
        <w:t>dostępne</w:t>
      </w:r>
      <w:r w:rsidR="00F876D8">
        <w:rPr>
          <w:lang w:val="pl-PL"/>
        </w:rPr>
        <w:t xml:space="preserve"> w sposób i w </w:t>
      </w:r>
      <w:r w:rsidR="002F0F2C">
        <w:rPr>
          <w:lang w:val="pl-PL"/>
        </w:rPr>
        <w:t>zakresie</w:t>
      </w:r>
      <w:r w:rsidR="00F876D8">
        <w:rPr>
          <w:lang w:val="pl-PL"/>
        </w:rPr>
        <w:t xml:space="preserve">, który nie był zamierzony przez ustawodawcę. Zabezpieczenia </w:t>
      </w:r>
      <w:r w:rsidR="004416EE">
        <w:rPr>
          <w:lang w:val="pl-PL"/>
        </w:rPr>
        <w:t xml:space="preserve">zawarte </w:t>
      </w:r>
      <w:r w:rsidR="00F876D8">
        <w:rPr>
          <w:lang w:val="pl-PL"/>
        </w:rPr>
        <w:t xml:space="preserve">w prawie krajowym zostały do niego </w:t>
      </w:r>
      <w:r w:rsidR="004416EE">
        <w:rPr>
          <w:lang w:val="pl-PL"/>
        </w:rPr>
        <w:t xml:space="preserve">wprowadzone </w:t>
      </w:r>
      <w:r w:rsidR="00F876D8">
        <w:rPr>
          <w:lang w:val="pl-PL"/>
        </w:rPr>
        <w:t xml:space="preserve">właśnie z </w:t>
      </w:r>
      <w:r w:rsidR="004416EE">
        <w:rPr>
          <w:lang w:val="pl-PL"/>
        </w:rPr>
        <w:t>uwagi na publiczną dostępność</w:t>
      </w:r>
      <w:r w:rsidR="00F876D8">
        <w:rPr>
          <w:lang w:val="pl-PL"/>
        </w:rPr>
        <w:t xml:space="preserve"> osobistych </w:t>
      </w:r>
      <w:r w:rsidR="004416EE">
        <w:rPr>
          <w:lang w:val="pl-PL"/>
        </w:rPr>
        <w:t>danych podatkowych, charakter i cel</w:t>
      </w:r>
      <w:r w:rsidR="00F876D8">
        <w:rPr>
          <w:lang w:val="pl-PL"/>
        </w:rPr>
        <w:t xml:space="preserve"> ustawodawstwa </w:t>
      </w:r>
      <w:r w:rsidR="00AD0076">
        <w:rPr>
          <w:lang w:val="pl-PL"/>
        </w:rPr>
        <w:t>o ochronie</w:t>
      </w:r>
      <w:r w:rsidR="00F876D8">
        <w:rPr>
          <w:lang w:val="pl-PL"/>
        </w:rPr>
        <w:t xml:space="preserve"> danych osobowych oraz </w:t>
      </w:r>
      <w:r w:rsidR="00AD0076">
        <w:rPr>
          <w:lang w:val="pl-PL"/>
        </w:rPr>
        <w:t xml:space="preserve">przewidziane w nim </w:t>
      </w:r>
      <w:r w:rsidR="004416EE">
        <w:rPr>
          <w:lang w:val="pl-PL"/>
        </w:rPr>
        <w:t>wyłączenie</w:t>
      </w:r>
      <w:r w:rsidR="00F876D8">
        <w:rPr>
          <w:lang w:val="pl-PL"/>
        </w:rPr>
        <w:t xml:space="preserve"> dziennikarzy. W</w:t>
      </w:r>
      <w:r w:rsidR="00231E7F">
        <w:rPr>
          <w:lang w:val="pl-PL"/>
        </w:rPr>
        <w:t> </w:t>
      </w:r>
      <w:r w:rsidR="00F876D8">
        <w:rPr>
          <w:lang w:val="pl-PL"/>
        </w:rPr>
        <w:t>tych</w:t>
      </w:r>
      <w:r w:rsidR="00231E7F">
        <w:rPr>
          <w:lang w:val="pl-PL"/>
        </w:rPr>
        <w:t> </w:t>
      </w:r>
      <w:r w:rsidR="00F876D8">
        <w:rPr>
          <w:lang w:val="pl-PL"/>
        </w:rPr>
        <w:t xml:space="preserve">okolicznościach władze pozwanego Państwa </w:t>
      </w:r>
      <w:r w:rsidR="002F0F2C">
        <w:rPr>
          <w:lang w:val="pl-PL"/>
        </w:rPr>
        <w:t xml:space="preserve">miały </w:t>
      </w:r>
      <w:r w:rsidR="00F876D8">
        <w:rPr>
          <w:lang w:val="pl-PL"/>
        </w:rPr>
        <w:t>szeroki margines oceny przy</w:t>
      </w:r>
      <w:r w:rsidR="00231E7F">
        <w:rPr>
          <w:lang w:val="pl-PL"/>
        </w:rPr>
        <w:t> </w:t>
      </w:r>
      <w:r w:rsidR="00F876D8">
        <w:rPr>
          <w:lang w:val="pl-PL"/>
        </w:rPr>
        <w:t xml:space="preserve">decydowaniu, w jaki sposób osiągnąć sprawiedliwą równowagę między poszczególnymi prawami </w:t>
      </w:r>
      <w:r w:rsidR="002F0F2C">
        <w:rPr>
          <w:lang w:val="pl-PL"/>
        </w:rPr>
        <w:t xml:space="preserve">gwarantowanymi </w:t>
      </w:r>
      <w:r w:rsidR="00F876D8">
        <w:rPr>
          <w:lang w:val="pl-PL"/>
        </w:rPr>
        <w:t>na podstawie art. 8 i 10</w:t>
      </w:r>
      <w:r w:rsidR="00431808">
        <w:rPr>
          <w:lang w:val="pl-PL"/>
        </w:rPr>
        <w:t xml:space="preserve"> Konwencji</w:t>
      </w:r>
      <w:r w:rsidR="00F876D8">
        <w:rPr>
          <w:lang w:val="pl-PL"/>
        </w:rPr>
        <w:t xml:space="preserve">. </w:t>
      </w:r>
    </w:p>
    <w:p w:rsidR="00F876D8" w:rsidRPr="00F876D8" w:rsidRDefault="00F876D8">
      <w:pPr>
        <w:pStyle w:val="ClinContent"/>
        <w:rPr>
          <w:lang w:val="pl-PL"/>
        </w:rPr>
      </w:pPr>
      <w:r w:rsidRPr="00F876D8">
        <w:rPr>
          <w:lang w:val="pl-PL"/>
        </w:rPr>
        <w:t>Dokonując procesu ważenia tych praw</w:t>
      </w:r>
      <w:r w:rsidR="00AD0076">
        <w:rPr>
          <w:lang w:val="pl-PL"/>
        </w:rPr>
        <w:t>,</w:t>
      </w:r>
      <w:r w:rsidRPr="00F876D8">
        <w:rPr>
          <w:lang w:val="pl-PL"/>
        </w:rPr>
        <w:t xml:space="preserve"> sądy krajowe dążyły do osiągnięcia równowagi między wolnością wyrażania opinii a prawem do prywatności zawartym w</w:t>
      </w:r>
      <w:r w:rsidR="00231E7F">
        <w:rPr>
          <w:lang w:val="pl-PL"/>
        </w:rPr>
        <w:t> </w:t>
      </w:r>
      <w:r w:rsidRPr="00F876D8">
        <w:rPr>
          <w:lang w:val="pl-PL"/>
        </w:rPr>
        <w:t xml:space="preserve">ustawodawstwie </w:t>
      </w:r>
      <w:r w:rsidR="00AD0076">
        <w:rPr>
          <w:lang w:val="pl-PL"/>
        </w:rPr>
        <w:t>o ochronie</w:t>
      </w:r>
      <w:r>
        <w:rPr>
          <w:lang w:val="pl-PL"/>
        </w:rPr>
        <w:t xml:space="preserve"> danych osobowych. </w:t>
      </w:r>
      <w:r w:rsidR="00DB60CE">
        <w:rPr>
          <w:lang w:val="pl-PL"/>
        </w:rPr>
        <w:t>Stosując wyłączenie zawarte w art. 2 ust. 5 ustawy o ochronie danych osobowych oraz test interesu publicznego</w:t>
      </w:r>
      <w:r w:rsidR="00AD0076">
        <w:rPr>
          <w:lang w:val="pl-PL"/>
        </w:rPr>
        <w:t xml:space="preserve"> wobec</w:t>
      </w:r>
      <w:r w:rsidR="00DB60CE">
        <w:rPr>
          <w:lang w:val="pl-PL"/>
        </w:rPr>
        <w:t xml:space="preserve"> za</w:t>
      </w:r>
      <w:r w:rsidR="00AD0076">
        <w:rPr>
          <w:lang w:val="pl-PL"/>
        </w:rPr>
        <w:t>skarżonej</w:t>
      </w:r>
      <w:r w:rsidR="00DB60CE">
        <w:rPr>
          <w:lang w:val="pl-PL"/>
        </w:rPr>
        <w:t xml:space="preserve"> ingerencji</w:t>
      </w:r>
      <w:r w:rsidR="00AD0076">
        <w:rPr>
          <w:lang w:val="pl-PL"/>
        </w:rPr>
        <w:t>,</w:t>
      </w:r>
      <w:r w:rsidR="00DB60CE">
        <w:rPr>
          <w:lang w:val="pl-PL"/>
        </w:rPr>
        <w:t xml:space="preserve"> przeanalizowały one, a w szczególności Naczelny Sąd Administracyjny, właściwe orzecznictwo na podstawie Konwencji </w:t>
      </w:r>
      <w:r w:rsidR="00AD0076">
        <w:rPr>
          <w:lang w:val="pl-PL"/>
        </w:rPr>
        <w:t>i orzecznictwo</w:t>
      </w:r>
      <w:r w:rsidR="00DB60CE">
        <w:rPr>
          <w:lang w:val="pl-PL"/>
        </w:rPr>
        <w:t xml:space="preserve"> TSUE oraz starannie zastosowały orzecznictwo Trybunału do faktów </w:t>
      </w:r>
      <w:r w:rsidR="002F0F2C">
        <w:rPr>
          <w:lang w:val="pl-PL"/>
        </w:rPr>
        <w:t xml:space="preserve">niniejszej </w:t>
      </w:r>
      <w:r w:rsidR="00DB60CE">
        <w:rPr>
          <w:lang w:val="pl-PL"/>
        </w:rPr>
        <w:t xml:space="preserve">sprawy. </w:t>
      </w:r>
    </w:p>
    <w:p w:rsidR="00F8436A" w:rsidRPr="00F8436A" w:rsidRDefault="00F8436A">
      <w:pPr>
        <w:pStyle w:val="ClinContent"/>
        <w:rPr>
          <w:lang w:val="pl-PL"/>
        </w:rPr>
      </w:pPr>
      <w:r w:rsidRPr="00F8436A">
        <w:rPr>
          <w:lang w:val="pl-PL"/>
        </w:rPr>
        <w:t xml:space="preserve">(v) </w:t>
      </w:r>
      <w:r w:rsidRPr="00F8436A">
        <w:rPr>
          <w:i/>
          <w:lang w:val="pl-PL"/>
        </w:rPr>
        <w:t xml:space="preserve">Sankcja – </w:t>
      </w:r>
      <w:r w:rsidRPr="00F8436A">
        <w:rPr>
          <w:lang w:val="pl-PL"/>
        </w:rPr>
        <w:t>Skarżącym spółkom nie zakazano publikowania danych podatkowych an</w:t>
      </w:r>
      <w:r w:rsidR="00AD0076">
        <w:rPr>
          <w:lang w:val="pl-PL"/>
        </w:rPr>
        <w:t>i</w:t>
      </w:r>
      <w:r w:rsidR="00231E7F">
        <w:rPr>
          <w:lang w:val="pl-PL"/>
        </w:rPr>
        <w:t> </w:t>
      </w:r>
      <w:r w:rsidR="00AD0076">
        <w:rPr>
          <w:lang w:val="pl-PL"/>
        </w:rPr>
        <w:t>dalszego wydawania gazety –</w:t>
      </w:r>
      <w:r w:rsidRPr="00F8436A">
        <w:rPr>
          <w:lang w:val="pl-PL"/>
        </w:rPr>
        <w:t xml:space="preserve"> pod warunkiem, że będą to czynić w sposób zgodny z</w:t>
      </w:r>
      <w:r w:rsidR="00231E7F">
        <w:rPr>
          <w:lang w:val="pl-PL"/>
        </w:rPr>
        <w:t> </w:t>
      </w:r>
      <w:r>
        <w:rPr>
          <w:lang w:val="pl-PL"/>
        </w:rPr>
        <w:t xml:space="preserve">prawem </w:t>
      </w:r>
      <w:r w:rsidRPr="00F8436A">
        <w:rPr>
          <w:lang w:val="pl-PL"/>
        </w:rPr>
        <w:t xml:space="preserve">fińskim </w:t>
      </w:r>
      <w:r>
        <w:rPr>
          <w:lang w:val="pl-PL"/>
        </w:rPr>
        <w:t xml:space="preserve">i regulacjami Unii Europejskiej dotyczącymi ochrony danych osobowych i dostępu do informacji. Fakt, że ograniczenia </w:t>
      </w:r>
      <w:r w:rsidR="00AD0076">
        <w:rPr>
          <w:lang w:val="pl-PL"/>
        </w:rPr>
        <w:t xml:space="preserve">nałożone </w:t>
      </w:r>
      <w:r>
        <w:rPr>
          <w:lang w:val="pl-PL"/>
        </w:rPr>
        <w:t xml:space="preserve">na ilość publikowanej informacji mogły </w:t>
      </w:r>
      <w:r w:rsidR="00D66B5C">
        <w:rPr>
          <w:lang w:val="pl-PL"/>
        </w:rPr>
        <w:t xml:space="preserve">w praktyce </w:t>
      </w:r>
      <w:r w:rsidR="00AD0076">
        <w:rPr>
          <w:lang w:val="pl-PL"/>
        </w:rPr>
        <w:t>sprawić, że część ich działalności stała się mniej dochodowa</w:t>
      </w:r>
      <w:r>
        <w:rPr>
          <w:lang w:val="pl-PL"/>
        </w:rPr>
        <w:t xml:space="preserve">, nie stanowi </w:t>
      </w:r>
      <w:r w:rsidR="00AD0076">
        <w:rPr>
          <w:lang w:val="pl-PL"/>
        </w:rPr>
        <w:t xml:space="preserve">jako taki </w:t>
      </w:r>
      <w:r>
        <w:rPr>
          <w:lang w:val="pl-PL"/>
        </w:rPr>
        <w:t xml:space="preserve">sankcji w świetle orzecznictwa Trybunału. </w:t>
      </w:r>
    </w:p>
    <w:p w:rsidR="00436B07" w:rsidRPr="00431808" w:rsidRDefault="000E304F">
      <w:pPr>
        <w:pStyle w:val="ClinContent"/>
        <w:rPr>
          <w:lang w:val="pl-PL"/>
        </w:rPr>
      </w:pPr>
      <w:r w:rsidRPr="00431808">
        <w:rPr>
          <w:lang w:val="pl-PL"/>
        </w:rPr>
        <w:t>***</w:t>
      </w:r>
    </w:p>
    <w:p w:rsidR="00F8436A" w:rsidRPr="00F8436A" w:rsidRDefault="007A338E">
      <w:pPr>
        <w:pStyle w:val="ClinContent"/>
        <w:rPr>
          <w:lang w:val="pl-PL"/>
        </w:rPr>
      </w:pPr>
      <w:r>
        <w:rPr>
          <w:lang w:val="pl-PL"/>
        </w:rPr>
        <w:t>W podsumowaniu</w:t>
      </w:r>
      <w:r w:rsidR="00B15FBF">
        <w:rPr>
          <w:lang w:val="pl-PL"/>
        </w:rPr>
        <w:t>:</w:t>
      </w:r>
      <w:r w:rsidR="00F8436A" w:rsidRPr="00F8436A">
        <w:rPr>
          <w:lang w:val="pl-PL"/>
        </w:rPr>
        <w:t xml:space="preserve"> właściwe władze krajowe, a w szczególności Naczelny Sąd Administracyjny, w sposób należyty </w:t>
      </w:r>
      <w:r w:rsidR="00F8436A">
        <w:rPr>
          <w:lang w:val="pl-PL"/>
        </w:rPr>
        <w:t>wzięły pod uwagę zasady i kryteria wynikające z</w:t>
      </w:r>
      <w:r w:rsidR="00231E7F">
        <w:rPr>
          <w:lang w:val="pl-PL"/>
        </w:rPr>
        <w:t> </w:t>
      </w:r>
      <w:r w:rsidR="00F8436A">
        <w:rPr>
          <w:lang w:val="pl-PL"/>
        </w:rPr>
        <w:t xml:space="preserve">orzecznictwa Trybunału w odniesieniu do procesu </w:t>
      </w:r>
      <w:r w:rsidR="00F8436A" w:rsidRPr="00AD0076">
        <w:rPr>
          <w:lang w:val="pl-PL"/>
        </w:rPr>
        <w:t>ważenia</w:t>
      </w:r>
      <w:r w:rsidR="00F8436A">
        <w:rPr>
          <w:lang w:val="pl-PL"/>
        </w:rPr>
        <w:t xml:space="preserve"> między prawem do</w:t>
      </w:r>
      <w:r w:rsidR="00231E7F">
        <w:rPr>
          <w:lang w:val="pl-PL"/>
        </w:rPr>
        <w:t> </w:t>
      </w:r>
      <w:r w:rsidR="00F8436A">
        <w:rPr>
          <w:lang w:val="pl-PL"/>
        </w:rPr>
        <w:t xml:space="preserve">poszanowania życia prywatnego a prawem do wolności wyrażania opinii. Naczelny Sąd Administracyjny </w:t>
      </w:r>
      <w:r w:rsidR="002F0F2C">
        <w:rPr>
          <w:lang w:val="pl-PL"/>
        </w:rPr>
        <w:t xml:space="preserve">za </w:t>
      </w:r>
      <w:r w:rsidR="00F8436A">
        <w:rPr>
          <w:lang w:val="pl-PL"/>
        </w:rPr>
        <w:t>szczególn</w:t>
      </w:r>
      <w:r w:rsidR="002F0F2C">
        <w:rPr>
          <w:lang w:val="pl-PL"/>
        </w:rPr>
        <w:t>i</w:t>
      </w:r>
      <w:r w:rsidR="00F8436A">
        <w:rPr>
          <w:lang w:val="pl-PL"/>
        </w:rPr>
        <w:t xml:space="preserve">e </w:t>
      </w:r>
      <w:r w:rsidR="002F0F2C">
        <w:rPr>
          <w:lang w:val="pl-PL"/>
        </w:rPr>
        <w:t>ważne uznał</w:t>
      </w:r>
      <w:r w:rsidR="00AD0076">
        <w:rPr>
          <w:lang w:val="pl-PL"/>
        </w:rPr>
        <w:t xml:space="preserve"> ustaleni</w:t>
      </w:r>
      <w:r w:rsidR="002F0F2C">
        <w:rPr>
          <w:lang w:val="pl-PL"/>
        </w:rPr>
        <w:t>e</w:t>
      </w:r>
      <w:r w:rsidR="00F8436A">
        <w:rPr>
          <w:lang w:val="pl-PL"/>
        </w:rPr>
        <w:t xml:space="preserve">, że publikacja danych podatkowych w </w:t>
      </w:r>
      <w:r w:rsidR="00AD0076">
        <w:rPr>
          <w:lang w:val="pl-PL"/>
        </w:rPr>
        <w:t xml:space="preserve">ten </w:t>
      </w:r>
      <w:r w:rsidR="00F8436A">
        <w:rPr>
          <w:lang w:val="pl-PL"/>
        </w:rPr>
        <w:t xml:space="preserve">sposób i w </w:t>
      </w:r>
      <w:r w:rsidR="00431808">
        <w:rPr>
          <w:lang w:val="pl-PL"/>
        </w:rPr>
        <w:t xml:space="preserve">tym </w:t>
      </w:r>
      <w:r w:rsidR="004563F0">
        <w:rPr>
          <w:lang w:val="pl-PL"/>
        </w:rPr>
        <w:t xml:space="preserve">zakresie </w:t>
      </w:r>
      <w:r w:rsidR="00F8436A">
        <w:rPr>
          <w:lang w:val="pl-PL"/>
        </w:rPr>
        <w:t xml:space="preserve">nie przyczyniała się do debaty w interesie publicznym, a skarżący nie mogli </w:t>
      </w:r>
      <w:r w:rsidR="00AD0076">
        <w:rPr>
          <w:lang w:val="pl-PL"/>
        </w:rPr>
        <w:t>w istocie</w:t>
      </w:r>
      <w:r w:rsidR="00F8436A">
        <w:rPr>
          <w:lang w:val="pl-PL"/>
        </w:rPr>
        <w:t xml:space="preserve"> twierdzić, że uczynili to wyłącznie dla celów dziennikarskich w rozumieniu prawa </w:t>
      </w:r>
      <w:r w:rsidR="00AD0076">
        <w:rPr>
          <w:lang w:val="pl-PL"/>
        </w:rPr>
        <w:t xml:space="preserve">krajowego i </w:t>
      </w:r>
      <w:r>
        <w:rPr>
          <w:lang w:val="pl-PL"/>
        </w:rPr>
        <w:t xml:space="preserve">Unii Europejskiej. </w:t>
      </w:r>
      <w:r w:rsidR="00F8436A">
        <w:rPr>
          <w:lang w:val="pl-PL"/>
        </w:rPr>
        <w:t xml:space="preserve">Uzasadnienie </w:t>
      </w:r>
      <w:r w:rsidR="002F0F2C">
        <w:rPr>
          <w:lang w:val="pl-PL"/>
        </w:rPr>
        <w:t xml:space="preserve">przywołane </w:t>
      </w:r>
      <w:r w:rsidR="00F8436A">
        <w:rPr>
          <w:lang w:val="pl-PL"/>
        </w:rPr>
        <w:t xml:space="preserve">przez sądy krajowe było zarówno istotne jak i wystarczające, by wykazać, </w:t>
      </w:r>
      <w:r w:rsidR="00F8436A">
        <w:rPr>
          <w:lang w:val="pl-PL"/>
        </w:rPr>
        <w:lastRenderedPageBreak/>
        <w:t>że</w:t>
      </w:r>
      <w:r w:rsidR="00231E7F">
        <w:rPr>
          <w:lang w:val="pl-PL"/>
        </w:rPr>
        <w:t> </w:t>
      </w:r>
      <w:r w:rsidR="00F8436A">
        <w:rPr>
          <w:lang w:val="pl-PL"/>
        </w:rPr>
        <w:t>zaskarżona ingerencja była „niezbędna w społeczeństwie demokratycznym” oraz</w:t>
      </w:r>
      <w:r w:rsidR="00231E7F">
        <w:rPr>
          <w:lang w:val="pl-PL"/>
        </w:rPr>
        <w:t> </w:t>
      </w:r>
      <w:r w:rsidR="00F8436A">
        <w:rPr>
          <w:lang w:val="pl-PL"/>
        </w:rPr>
        <w:t>że</w:t>
      </w:r>
      <w:r w:rsidR="00231E7F">
        <w:rPr>
          <w:lang w:val="pl-PL"/>
        </w:rPr>
        <w:t> </w:t>
      </w:r>
      <w:r w:rsidR="00F8436A">
        <w:rPr>
          <w:lang w:val="pl-PL"/>
        </w:rPr>
        <w:t>władze pozwanego Państwa działały w ramach przysługującego im marginesu oceny przy poszukiwaniu sprawiedliwej równowagi między wchodzącymi w grę konkurującymi interesami.</w:t>
      </w:r>
    </w:p>
    <w:p w:rsidR="00F8436A" w:rsidRPr="00F8436A" w:rsidRDefault="00F8436A">
      <w:pPr>
        <w:pStyle w:val="ClinContent"/>
        <w:rPr>
          <w:lang w:val="pl-PL"/>
        </w:rPr>
      </w:pPr>
      <w:r w:rsidRPr="00F8436A">
        <w:rPr>
          <w:i/>
          <w:lang w:val="pl-PL"/>
        </w:rPr>
        <w:t>Rozstrzygnięcie</w:t>
      </w:r>
      <w:r w:rsidRPr="00F8436A">
        <w:rPr>
          <w:lang w:val="pl-PL"/>
        </w:rPr>
        <w:t>: brak naruszenia (piętnastoma głosami do dwóch).</w:t>
      </w:r>
    </w:p>
    <w:p w:rsidR="00436B07" w:rsidRPr="00F8436A" w:rsidRDefault="00F8436A">
      <w:pPr>
        <w:pStyle w:val="ClinContent"/>
        <w:rPr>
          <w:lang w:val="pl-PL"/>
        </w:rPr>
      </w:pPr>
      <w:r w:rsidRPr="00F8436A">
        <w:rPr>
          <w:lang w:val="pl-PL"/>
        </w:rPr>
        <w:t>Wielka Izba orzekła również</w:t>
      </w:r>
      <w:r w:rsidR="006C2EB9">
        <w:rPr>
          <w:lang w:val="pl-PL"/>
        </w:rPr>
        <w:t>,</w:t>
      </w:r>
      <w:r w:rsidRPr="00F8436A">
        <w:rPr>
          <w:lang w:val="pl-PL"/>
        </w:rPr>
        <w:t xml:space="preserve"> piętnastoma głosami do dwóch, że doszło do naruszenia art. </w:t>
      </w:r>
      <w:r>
        <w:rPr>
          <w:lang w:val="pl-PL"/>
        </w:rPr>
        <w:t xml:space="preserve">6 ust. 1 Konwencji w odniesieniu do długości postępowania przed sądami krajowymi. </w:t>
      </w:r>
    </w:p>
    <w:p w:rsidR="00F8436A" w:rsidRPr="00F8436A" w:rsidRDefault="00F8436A">
      <w:pPr>
        <w:pStyle w:val="ClinContent"/>
        <w:rPr>
          <w:lang w:val="pl-PL"/>
        </w:rPr>
      </w:pPr>
      <w:r w:rsidRPr="00F8436A">
        <w:rPr>
          <w:lang w:val="pl-PL"/>
        </w:rPr>
        <w:t xml:space="preserve">* Na mocy art. 5 ustawy o </w:t>
      </w:r>
      <w:r w:rsidR="007D7F8B">
        <w:rPr>
          <w:lang w:val="pl-PL"/>
        </w:rPr>
        <w:t xml:space="preserve">publicznym </w:t>
      </w:r>
      <w:r w:rsidRPr="00F8436A">
        <w:rPr>
          <w:lang w:val="pl-PL"/>
        </w:rPr>
        <w:t xml:space="preserve">ujawnieniu </w:t>
      </w:r>
      <w:r w:rsidR="007D7F8B">
        <w:rPr>
          <w:lang w:val="pl-PL"/>
        </w:rPr>
        <w:t xml:space="preserve">i poufności informacji podatkowej. </w:t>
      </w:r>
    </w:p>
    <w:p w:rsidR="007D7F8B" w:rsidRPr="007D7F8B" w:rsidRDefault="007D7F8B" w:rsidP="00130B4B">
      <w:pPr>
        <w:pStyle w:val="ClinContent"/>
        <w:rPr>
          <w:rFonts w:cs="Tahoma"/>
          <w:szCs w:val="20"/>
          <w:lang w:val="pl-PL" w:eastAsia="pl-PL"/>
        </w:rPr>
      </w:pPr>
      <w:r w:rsidRPr="00130B4B">
        <w:rPr>
          <w:rFonts w:cs="Tahoma"/>
          <w:szCs w:val="20"/>
          <w:lang w:val="pl-PL" w:eastAsia="pl-PL"/>
        </w:rPr>
        <w:t xml:space="preserve">** </w:t>
      </w:r>
      <w:r w:rsidRPr="007D7F8B">
        <w:rPr>
          <w:rFonts w:cs="Tahoma"/>
          <w:szCs w:val="20"/>
          <w:lang w:val="pl-PL" w:eastAsia="pl-PL"/>
        </w:rPr>
        <w:t xml:space="preserve">Dyrektywa </w:t>
      </w:r>
      <w:hyperlink r:id="rId9" w:history="1">
        <w:r w:rsidRPr="00130B4B">
          <w:rPr>
            <w:rStyle w:val="Hipercze"/>
            <w:rFonts w:cs="Tahoma"/>
            <w:szCs w:val="20"/>
            <w:lang w:val="pl-PL" w:eastAsia="pl-PL"/>
          </w:rPr>
          <w:t>95/46</w:t>
        </w:r>
        <w:r w:rsidRPr="00130B4B">
          <w:rPr>
            <w:rStyle w:val="Hipercze"/>
            <w:rFonts w:cs="Tahoma"/>
            <w:szCs w:val="20"/>
            <w:lang w:val="pl-PL" w:eastAsia="pl-PL"/>
          </w:rPr>
          <w:t>/</w:t>
        </w:r>
        <w:r w:rsidRPr="00130B4B">
          <w:rPr>
            <w:rStyle w:val="Hipercze"/>
            <w:rFonts w:cs="Tahoma"/>
            <w:szCs w:val="20"/>
            <w:lang w:val="pl-PL" w:eastAsia="pl-PL"/>
          </w:rPr>
          <w:t>WE</w:t>
        </w:r>
      </w:hyperlink>
      <w:r w:rsidRPr="007D7F8B">
        <w:rPr>
          <w:rFonts w:cs="Tahoma"/>
          <w:szCs w:val="20"/>
          <w:lang w:val="pl-PL" w:eastAsia="pl-PL"/>
        </w:rPr>
        <w:t xml:space="preserve"> Parlamentu Europejskiego i Rady</w:t>
      </w:r>
      <w:r w:rsidRPr="00130B4B">
        <w:rPr>
          <w:rFonts w:cs="Tahoma"/>
          <w:szCs w:val="20"/>
          <w:lang w:val="pl-PL" w:eastAsia="pl-PL"/>
        </w:rPr>
        <w:t xml:space="preserve"> </w:t>
      </w:r>
      <w:r w:rsidRPr="007D7F8B">
        <w:rPr>
          <w:rFonts w:cs="Tahoma"/>
          <w:szCs w:val="20"/>
          <w:lang w:val="pl-PL" w:eastAsia="pl-PL"/>
        </w:rPr>
        <w:t>z dnia 24 października 1995 r.</w:t>
      </w:r>
      <w:r w:rsidRPr="00130B4B">
        <w:rPr>
          <w:rFonts w:cs="Tahoma"/>
          <w:szCs w:val="20"/>
          <w:lang w:val="pl-PL" w:eastAsia="pl-PL"/>
        </w:rPr>
        <w:t xml:space="preserve"> </w:t>
      </w:r>
      <w:r w:rsidRPr="007D7F8B">
        <w:rPr>
          <w:rFonts w:cs="Tahoma"/>
          <w:szCs w:val="20"/>
          <w:lang w:val="pl-PL" w:eastAsia="pl-PL"/>
        </w:rPr>
        <w:t>w sprawie ochrony osób fizycznych w zakresie przetwarzania danych osobowych i</w:t>
      </w:r>
      <w:r w:rsidR="00231E7F">
        <w:rPr>
          <w:rFonts w:cs="Tahoma"/>
          <w:szCs w:val="20"/>
          <w:lang w:val="pl-PL" w:eastAsia="pl-PL"/>
        </w:rPr>
        <w:t> </w:t>
      </w:r>
      <w:r w:rsidRPr="007D7F8B">
        <w:rPr>
          <w:rFonts w:cs="Tahoma"/>
          <w:szCs w:val="20"/>
          <w:lang w:val="pl-PL" w:eastAsia="pl-PL"/>
        </w:rPr>
        <w:t>swobodnego przepływu tych danych</w:t>
      </w:r>
      <w:r w:rsidRPr="00130B4B">
        <w:rPr>
          <w:rStyle w:val="Odwoanieprzypisudolnego"/>
          <w:rFonts w:cs="Tahoma"/>
          <w:szCs w:val="20"/>
          <w:lang w:val="pl-PL" w:eastAsia="pl-PL"/>
        </w:rPr>
        <w:footnoteReference w:id="1"/>
      </w:r>
      <w:r w:rsidR="00B15FBF">
        <w:rPr>
          <w:rFonts w:cs="Tahoma"/>
          <w:szCs w:val="20"/>
          <w:lang w:val="pl-PL" w:eastAsia="pl-PL"/>
        </w:rPr>
        <w:t>.</w:t>
      </w:r>
    </w:p>
    <w:p w:rsidR="00436B07" w:rsidRPr="007D7F8B" w:rsidRDefault="000E304F">
      <w:pPr>
        <w:pStyle w:val="ClinContent"/>
        <w:rPr>
          <w:lang w:val="pl-PL"/>
        </w:rPr>
      </w:pPr>
      <w:r w:rsidRPr="007D7F8B">
        <w:rPr>
          <w:lang w:val="pl-PL"/>
        </w:rPr>
        <w:t>*** </w:t>
      </w:r>
      <w:proofErr w:type="spellStart"/>
      <w:r w:rsidR="007D7F8B" w:rsidRPr="007D7F8B">
        <w:rPr>
          <w:i/>
          <w:lang w:val="pl-PL"/>
        </w:rPr>
        <w:t>Tietosuojavaltuutettu</w:t>
      </w:r>
      <w:proofErr w:type="spellEnd"/>
      <w:r w:rsidR="007D7F8B" w:rsidRPr="007D7F8B">
        <w:rPr>
          <w:i/>
          <w:lang w:val="pl-PL"/>
        </w:rPr>
        <w:t xml:space="preserve"> p</w:t>
      </w:r>
      <w:r w:rsidRPr="007D7F8B">
        <w:rPr>
          <w:i/>
          <w:lang w:val="pl-PL"/>
        </w:rPr>
        <w:t xml:space="preserve">. </w:t>
      </w:r>
      <w:proofErr w:type="spellStart"/>
      <w:r w:rsidRPr="007D7F8B">
        <w:rPr>
          <w:i/>
          <w:lang w:val="pl-PL"/>
        </w:rPr>
        <w:t>Satakunnan</w:t>
      </w:r>
      <w:proofErr w:type="spellEnd"/>
      <w:r w:rsidRPr="007D7F8B">
        <w:rPr>
          <w:i/>
          <w:lang w:val="pl-PL"/>
        </w:rPr>
        <w:t xml:space="preserve"> </w:t>
      </w:r>
      <w:proofErr w:type="spellStart"/>
      <w:r w:rsidRPr="007D7F8B">
        <w:rPr>
          <w:i/>
          <w:lang w:val="pl-PL"/>
        </w:rPr>
        <w:t>Markkinapörssi</w:t>
      </w:r>
      <w:proofErr w:type="spellEnd"/>
      <w:r w:rsidRPr="007D7F8B">
        <w:rPr>
          <w:i/>
          <w:lang w:val="pl-PL"/>
        </w:rPr>
        <w:t xml:space="preserve"> </w:t>
      </w:r>
      <w:proofErr w:type="spellStart"/>
      <w:r w:rsidRPr="007D7F8B">
        <w:rPr>
          <w:i/>
          <w:lang w:val="pl-PL"/>
        </w:rPr>
        <w:t>Oy</w:t>
      </w:r>
      <w:proofErr w:type="spellEnd"/>
      <w:r w:rsidRPr="007D7F8B">
        <w:rPr>
          <w:i/>
          <w:lang w:val="pl-PL"/>
        </w:rPr>
        <w:t xml:space="preserve"> </w:t>
      </w:r>
      <w:r w:rsidR="007D7F8B">
        <w:rPr>
          <w:i/>
          <w:lang w:val="pl-PL"/>
        </w:rPr>
        <w:t xml:space="preserve">i </w:t>
      </w:r>
      <w:proofErr w:type="spellStart"/>
      <w:r w:rsidRPr="007D7F8B">
        <w:rPr>
          <w:i/>
          <w:lang w:val="pl-PL"/>
        </w:rPr>
        <w:t>Satamedia</w:t>
      </w:r>
      <w:proofErr w:type="spellEnd"/>
      <w:r w:rsidRPr="007D7F8B">
        <w:rPr>
          <w:i/>
          <w:lang w:val="pl-PL"/>
        </w:rPr>
        <w:t xml:space="preserve"> </w:t>
      </w:r>
      <w:proofErr w:type="spellStart"/>
      <w:r w:rsidRPr="007D7F8B">
        <w:rPr>
          <w:i/>
          <w:lang w:val="pl-PL"/>
        </w:rPr>
        <w:t>Oy</w:t>
      </w:r>
      <w:proofErr w:type="spellEnd"/>
      <w:r w:rsidRPr="007D7F8B">
        <w:rPr>
          <w:lang w:val="pl-PL"/>
        </w:rPr>
        <w:t xml:space="preserve">, C-73/07, </w:t>
      </w:r>
      <w:hyperlink r:id="rId10" w:history="1">
        <w:r w:rsidR="007D7F8B">
          <w:rPr>
            <w:rStyle w:val="Hipercze"/>
            <w:lang w:val="pl-PL"/>
          </w:rPr>
          <w:t xml:space="preserve">wyrok z </w:t>
        </w:r>
        <w:r w:rsidRPr="007D7F8B">
          <w:rPr>
            <w:rStyle w:val="Hipercze"/>
            <w:lang w:val="pl-PL"/>
          </w:rPr>
          <w:t>16 </w:t>
        </w:r>
        <w:r w:rsidR="007D7F8B">
          <w:rPr>
            <w:rStyle w:val="Hipercze"/>
            <w:lang w:val="pl-PL"/>
          </w:rPr>
          <w:t xml:space="preserve">grudnia </w:t>
        </w:r>
        <w:r w:rsidRPr="007D7F8B">
          <w:rPr>
            <w:rStyle w:val="Hipercze"/>
            <w:lang w:val="pl-PL"/>
          </w:rPr>
          <w:t>2</w:t>
        </w:r>
        <w:r w:rsidRPr="007D7F8B">
          <w:rPr>
            <w:rStyle w:val="Hipercze"/>
            <w:lang w:val="pl-PL"/>
          </w:rPr>
          <w:t>008</w:t>
        </w:r>
      </w:hyperlink>
      <w:r w:rsidR="007D7F8B" w:rsidRPr="007D7F8B">
        <w:rPr>
          <w:rStyle w:val="Hipercze"/>
          <w:lang w:val="pl-PL"/>
        </w:rPr>
        <w:t xml:space="preserve"> r.</w:t>
      </w:r>
      <w:r w:rsidR="006C2EB9">
        <w:rPr>
          <w:rStyle w:val="Odwoanieprzypisudolnego"/>
          <w:color w:val="0069D6"/>
          <w:u w:val="single"/>
          <w:lang w:val="pl-PL"/>
        </w:rPr>
        <w:footnoteReference w:id="2"/>
      </w:r>
    </w:p>
    <w:p w:rsidR="00436B07" w:rsidRPr="007D7F8B" w:rsidRDefault="00436B07">
      <w:pPr>
        <w:pBdr>
          <w:bottom w:val="single" w:sz="8" w:space="1" w:color="auto"/>
        </w:pBdr>
        <w:rPr>
          <w:lang w:val="pl-PL"/>
        </w:rPr>
      </w:pPr>
    </w:p>
    <w:p w:rsidR="00852DAB" w:rsidRDefault="000E304F" w:rsidP="00852DAB">
      <w:pPr>
        <w:pStyle w:val="ClinFooter"/>
        <w:rPr>
          <w:lang w:val="pl-PL"/>
        </w:rPr>
      </w:pPr>
      <w:r w:rsidRPr="00852DAB">
        <w:rPr>
          <w:lang w:val="pl-PL"/>
        </w:rPr>
        <w:t xml:space="preserve">© </w:t>
      </w:r>
      <w:proofErr w:type="spellStart"/>
      <w:r w:rsidRPr="00852DAB">
        <w:rPr>
          <w:lang w:val="pl-PL"/>
        </w:rPr>
        <w:t>Council</w:t>
      </w:r>
      <w:proofErr w:type="spellEnd"/>
      <w:r w:rsidRPr="00852DAB">
        <w:rPr>
          <w:lang w:val="pl-PL"/>
        </w:rPr>
        <w:t xml:space="preserve"> of Europe/</w:t>
      </w:r>
      <w:proofErr w:type="spellStart"/>
      <w:r w:rsidRPr="00852DAB">
        <w:rPr>
          <w:lang w:val="pl-PL"/>
        </w:rPr>
        <w:t>European</w:t>
      </w:r>
      <w:proofErr w:type="spellEnd"/>
      <w:r w:rsidRPr="00852DAB">
        <w:rPr>
          <w:lang w:val="pl-PL"/>
        </w:rPr>
        <w:t xml:space="preserve"> Court of Human </w:t>
      </w:r>
      <w:proofErr w:type="spellStart"/>
      <w:r w:rsidRPr="00852DAB">
        <w:rPr>
          <w:lang w:val="pl-PL"/>
        </w:rPr>
        <w:t>Rights</w:t>
      </w:r>
      <w:proofErr w:type="spellEnd"/>
      <w:r w:rsidRPr="00852DAB">
        <w:rPr>
          <w:lang w:val="pl-PL"/>
        </w:rPr>
        <w:br/>
      </w:r>
      <w:r w:rsidR="00852DAB">
        <w:rPr>
          <w:lang w:val="pl-PL"/>
        </w:rPr>
        <w:t xml:space="preserve">Niniejsze streszczenie przygotowane przez Kancelarię nie wiąże Trybunału.  </w:t>
      </w:r>
    </w:p>
    <w:p w:rsidR="00852DAB" w:rsidRDefault="00852DAB" w:rsidP="00852DAB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11" w:history="1">
        <w:r>
          <w:rPr>
            <w:rStyle w:val="Hipercze"/>
            <w:lang w:val="pl-PL"/>
          </w:rPr>
          <w:t>Not inform</w:t>
        </w:r>
        <w:r>
          <w:rPr>
            <w:rStyle w:val="Hipercze"/>
            <w:lang w:val="pl-PL"/>
          </w:rPr>
          <w:t>a</w:t>
        </w:r>
        <w:r>
          <w:rPr>
            <w:rStyle w:val="Hipercze"/>
            <w:lang w:val="pl-PL"/>
          </w:rPr>
          <w:t>cyjnych nt. orzecznictwa</w:t>
        </w:r>
      </w:hyperlink>
    </w:p>
    <w:p w:rsidR="00436B07" w:rsidRPr="00852DAB" w:rsidRDefault="00436B07" w:rsidP="00852218">
      <w:pPr>
        <w:pStyle w:val="ClinFooter"/>
        <w:jc w:val="left"/>
        <w:rPr>
          <w:lang w:val="pl-PL"/>
        </w:rPr>
      </w:pPr>
      <w:bookmarkStart w:id="0" w:name="_GoBack"/>
      <w:bookmarkEnd w:id="0"/>
    </w:p>
    <w:sectPr w:rsidR="00436B07" w:rsidRPr="00852DAB" w:rsidSect="004A5B5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891" w:rsidRDefault="00FC4891" w:rsidP="00C63262">
      <w:r>
        <w:separator/>
      </w:r>
    </w:p>
  </w:endnote>
  <w:endnote w:type="continuationSeparator" w:id="0">
    <w:p w:rsidR="00FC4891" w:rsidRDefault="00FC4891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606" w:rsidRDefault="00D566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606" w:rsidRDefault="00D5660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891" w:rsidRDefault="00FC4891" w:rsidP="00C63262">
      <w:r>
        <w:separator/>
      </w:r>
    </w:p>
  </w:footnote>
  <w:footnote w:type="continuationSeparator" w:id="0">
    <w:p w:rsidR="00FC4891" w:rsidRDefault="00FC4891" w:rsidP="00C63262">
      <w:r>
        <w:continuationSeparator/>
      </w:r>
    </w:p>
  </w:footnote>
  <w:footnote w:id="1">
    <w:p w:rsidR="007D7F8B" w:rsidRPr="00DC633E" w:rsidRDefault="007D7F8B" w:rsidP="002D254A">
      <w:pPr>
        <w:pStyle w:val="Tekstprzypisudolnego"/>
        <w:jc w:val="both"/>
        <w:rPr>
          <w:lang w:val="pl-PL"/>
        </w:rPr>
      </w:pPr>
      <w:r w:rsidRPr="00DC633E">
        <w:rPr>
          <w:rStyle w:val="Odwoanieprzypisudolnego"/>
        </w:rPr>
        <w:footnoteRef/>
      </w:r>
      <w:r w:rsidRPr="00DC633E">
        <w:rPr>
          <w:lang w:val="pl-PL"/>
        </w:rPr>
        <w:t xml:space="preserve"> </w:t>
      </w:r>
      <w:r w:rsidR="00DC633E" w:rsidRPr="00DC633E">
        <w:rPr>
          <w:lang w:val="pl-PL"/>
        </w:rPr>
        <w:t>Zobacz również t</w:t>
      </w:r>
      <w:r w:rsidR="00183EB6">
        <w:rPr>
          <w:lang w:val="pl-PL"/>
        </w:rPr>
        <w:t xml:space="preserve">ekst </w:t>
      </w:r>
      <w:hyperlink r:id="rId1" w:history="1">
        <w:r w:rsidR="00DC633E" w:rsidRPr="00DC633E">
          <w:rPr>
            <w:rStyle w:val="Hipercze"/>
            <w:lang w:val="pl-PL"/>
          </w:rPr>
          <w:t>Dyre</w:t>
        </w:r>
        <w:r w:rsidR="00DC633E" w:rsidRPr="00DC633E">
          <w:rPr>
            <w:rStyle w:val="Hipercze"/>
            <w:lang w:val="pl-PL"/>
          </w:rPr>
          <w:t>k</w:t>
        </w:r>
        <w:r w:rsidR="00DC633E" w:rsidRPr="00DC633E">
          <w:rPr>
            <w:rStyle w:val="Hipercze"/>
            <w:lang w:val="pl-PL"/>
          </w:rPr>
          <w:t>tywy</w:t>
        </w:r>
      </w:hyperlink>
      <w:r w:rsidR="00DC633E" w:rsidRPr="00DC633E">
        <w:rPr>
          <w:lang w:val="pl-PL"/>
        </w:rPr>
        <w:t xml:space="preserve"> </w:t>
      </w:r>
      <w:r w:rsidR="00183EB6">
        <w:rPr>
          <w:lang w:val="pl-PL"/>
        </w:rPr>
        <w:t xml:space="preserve">w </w:t>
      </w:r>
      <w:r w:rsidR="00DC633E" w:rsidRPr="00DC633E">
        <w:rPr>
          <w:lang w:val="pl-PL"/>
        </w:rPr>
        <w:t>język</w:t>
      </w:r>
      <w:r w:rsidR="00183EB6">
        <w:rPr>
          <w:lang w:val="pl-PL"/>
        </w:rPr>
        <w:t>u</w:t>
      </w:r>
      <w:r w:rsidR="00DC633E" w:rsidRPr="00DC633E">
        <w:rPr>
          <w:lang w:val="pl-PL"/>
        </w:rPr>
        <w:t xml:space="preserve"> polski</w:t>
      </w:r>
      <w:r w:rsidR="00183EB6">
        <w:rPr>
          <w:lang w:val="pl-PL"/>
        </w:rPr>
        <w:t>m</w:t>
      </w:r>
      <w:r w:rsidR="00DC633E" w:rsidRPr="00DC633E">
        <w:rPr>
          <w:lang w:val="pl-PL"/>
        </w:rPr>
        <w:t xml:space="preserve"> [przyp. tłum.].</w:t>
      </w:r>
    </w:p>
  </w:footnote>
  <w:footnote w:id="2">
    <w:p w:rsidR="005F6F7F" w:rsidRPr="006C2EB9" w:rsidRDefault="006C2EB9" w:rsidP="00DC633E">
      <w:pPr>
        <w:pStyle w:val="Tekstprzypisudolnego"/>
        <w:jc w:val="both"/>
        <w:rPr>
          <w:lang w:val="pl-PL"/>
        </w:rPr>
      </w:pPr>
      <w:r w:rsidRPr="00DC633E">
        <w:rPr>
          <w:rStyle w:val="Odwoanieprzypisudolnego"/>
        </w:rPr>
        <w:footnoteRef/>
      </w:r>
      <w:r w:rsidRPr="00DC633E">
        <w:rPr>
          <w:lang w:val="pl-PL"/>
        </w:rPr>
        <w:t xml:space="preserve"> </w:t>
      </w:r>
      <w:r w:rsidR="00DC633E" w:rsidRPr="00DC633E">
        <w:rPr>
          <w:lang w:val="pl-PL"/>
        </w:rPr>
        <w:t xml:space="preserve">Zobacz również tłumaczenie wyroku w sprawie </w:t>
      </w:r>
      <w:hyperlink r:id="rId2" w:history="1">
        <w:proofErr w:type="spellStart"/>
        <w:r w:rsidR="00DC633E" w:rsidRPr="00DC633E">
          <w:rPr>
            <w:rStyle w:val="Hipercze"/>
            <w:i/>
            <w:lang w:val="pl-PL"/>
          </w:rPr>
          <w:t>Tietosuojavaltu</w:t>
        </w:r>
        <w:r w:rsidR="00DC633E" w:rsidRPr="00DC633E">
          <w:rPr>
            <w:rStyle w:val="Hipercze"/>
            <w:i/>
            <w:lang w:val="pl-PL"/>
          </w:rPr>
          <w:t>u</w:t>
        </w:r>
        <w:r w:rsidR="00DC633E" w:rsidRPr="00DC633E">
          <w:rPr>
            <w:rStyle w:val="Hipercze"/>
            <w:i/>
            <w:lang w:val="pl-PL"/>
          </w:rPr>
          <w:t>tettu</w:t>
        </w:r>
        <w:proofErr w:type="spellEnd"/>
        <w:r w:rsidR="00DC633E" w:rsidRPr="00DC633E">
          <w:rPr>
            <w:rStyle w:val="Hipercze"/>
            <w:i/>
            <w:lang w:val="pl-PL"/>
          </w:rPr>
          <w:t xml:space="preserve"> p. </w:t>
        </w:r>
        <w:proofErr w:type="spellStart"/>
        <w:r w:rsidR="00DC633E" w:rsidRPr="00DC633E">
          <w:rPr>
            <w:rStyle w:val="Hipercze"/>
            <w:i/>
            <w:lang w:val="pl-PL"/>
          </w:rPr>
          <w:t>Satakunnan</w:t>
        </w:r>
        <w:proofErr w:type="spellEnd"/>
        <w:r w:rsidR="00DC633E" w:rsidRPr="00DC633E">
          <w:rPr>
            <w:rStyle w:val="Hipercze"/>
            <w:i/>
            <w:lang w:val="pl-PL"/>
          </w:rPr>
          <w:t xml:space="preserve"> </w:t>
        </w:r>
        <w:proofErr w:type="spellStart"/>
        <w:r w:rsidR="00DC633E" w:rsidRPr="00DC633E">
          <w:rPr>
            <w:rStyle w:val="Hipercze"/>
            <w:i/>
            <w:lang w:val="pl-PL"/>
          </w:rPr>
          <w:t>Markkinapörssi</w:t>
        </w:r>
        <w:proofErr w:type="spellEnd"/>
        <w:r w:rsidR="00DC633E" w:rsidRPr="00DC633E">
          <w:rPr>
            <w:rStyle w:val="Hipercze"/>
            <w:i/>
            <w:lang w:val="pl-PL"/>
          </w:rPr>
          <w:t xml:space="preserve"> </w:t>
        </w:r>
        <w:proofErr w:type="spellStart"/>
        <w:r w:rsidR="00DC633E" w:rsidRPr="00DC633E">
          <w:rPr>
            <w:rStyle w:val="Hipercze"/>
            <w:i/>
            <w:lang w:val="pl-PL"/>
          </w:rPr>
          <w:t>Oy</w:t>
        </w:r>
        <w:proofErr w:type="spellEnd"/>
        <w:r w:rsidR="00DC633E" w:rsidRPr="00DC633E">
          <w:rPr>
            <w:rStyle w:val="Hipercze"/>
            <w:i/>
            <w:lang w:val="pl-PL"/>
          </w:rPr>
          <w:t xml:space="preserve"> i </w:t>
        </w:r>
        <w:proofErr w:type="spellStart"/>
        <w:r w:rsidR="00DC633E" w:rsidRPr="00DC633E">
          <w:rPr>
            <w:rStyle w:val="Hipercze"/>
            <w:i/>
            <w:lang w:val="pl-PL"/>
          </w:rPr>
          <w:t>Satamedia</w:t>
        </w:r>
        <w:proofErr w:type="spellEnd"/>
        <w:r w:rsidR="00DC633E" w:rsidRPr="00DC633E">
          <w:rPr>
            <w:rStyle w:val="Hipercze"/>
            <w:i/>
            <w:lang w:val="pl-PL"/>
          </w:rPr>
          <w:t xml:space="preserve"> </w:t>
        </w:r>
        <w:proofErr w:type="spellStart"/>
        <w:r w:rsidR="00DC633E" w:rsidRPr="00DC633E">
          <w:rPr>
            <w:rStyle w:val="Hipercze"/>
            <w:i/>
            <w:lang w:val="pl-PL"/>
          </w:rPr>
          <w:t>Oy</w:t>
        </w:r>
        <w:proofErr w:type="spellEnd"/>
      </w:hyperlink>
      <w:r w:rsidR="00DC633E" w:rsidRPr="00DC633E">
        <w:rPr>
          <w:lang w:val="pl-PL"/>
        </w:rPr>
        <w:t xml:space="preserve"> na język polski [przyp. tłum.].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606" w:rsidRDefault="00D566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2B5E12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068"/>
    <w:rsid w:val="00037CCC"/>
    <w:rsid w:val="00091053"/>
    <w:rsid w:val="00097888"/>
    <w:rsid w:val="000A3D53"/>
    <w:rsid w:val="000B7632"/>
    <w:rsid w:val="000C455D"/>
    <w:rsid w:val="000C46E1"/>
    <w:rsid w:val="000E304F"/>
    <w:rsid w:val="000F13B5"/>
    <w:rsid w:val="00101B07"/>
    <w:rsid w:val="00107377"/>
    <w:rsid w:val="00116C18"/>
    <w:rsid w:val="00130B4B"/>
    <w:rsid w:val="001402A7"/>
    <w:rsid w:val="00143602"/>
    <w:rsid w:val="00143F0E"/>
    <w:rsid w:val="001769E4"/>
    <w:rsid w:val="00183EB6"/>
    <w:rsid w:val="00186560"/>
    <w:rsid w:val="001E05F2"/>
    <w:rsid w:val="001E4AD6"/>
    <w:rsid w:val="00212E83"/>
    <w:rsid w:val="00231E7F"/>
    <w:rsid w:val="00236DBA"/>
    <w:rsid w:val="00242E22"/>
    <w:rsid w:val="0029344D"/>
    <w:rsid w:val="002966E7"/>
    <w:rsid w:val="002B5E12"/>
    <w:rsid w:val="002C2F18"/>
    <w:rsid w:val="002D254A"/>
    <w:rsid w:val="002E088D"/>
    <w:rsid w:val="002F0F2C"/>
    <w:rsid w:val="0030264F"/>
    <w:rsid w:val="0033284C"/>
    <w:rsid w:val="003450B3"/>
    <w:rsid w:val="00365B2A"/>
    <w:rsid w:val="00386958"/>
    <w:rsid w:val="00391B5A"/>
    <w:rsid w:val="003A0A2E"/>
    <w:rsid w:val="003A64A6"/>
    <w:rsid w:val="003B2BFD"/>
    <w:rsid w:val="003B5578"/>
    <w:rsid w:val="003C03CD"/>
    <w:rsid w:val="003D7BB3"/>
    <w:rsid w:val="00431808"/>
    <w:rsid w:val="00436B07"/>
    <w:rsid w:val="004404FF"/>
    <w:rsid w:val="004416EE"/>
    <w:rsid w:val="004563F0"/>
    <w:rsid w:val="0046453F"/>
    <w:rsid w:val="004A5B52"/>
    <w:rsid w:val="004D411A"/>
    <w:rsid w:val="004D568D"/>
    <w:rsid w:val="004E1037"/>
    <w:rsid w:val="004F75D3"/>
    <w:rsid w:val="0052092D"/>
    <w:rsid w:val="00540D75"/>
    <w:rsid w:val="00544C9C"/>
    <w:rsid w:val="005514E5"/>
    <w:rsid w:val="005B0E99"/>
    <w:rsid w:val="005B6846"/>
    <w:rsid w:val="005F6F7F"/>
    <w:rsid w:val="006028A1"/>
    <w:rsid w:val="006261D0"/>
    <w:rsid w:val="00631A28"/>
    <w:rsid w:val="006A36AD"/>
    <w:rsid w:val="006B57AF"/>
    <w:rsid w:val="006C1D96"/>
    <w:rsid w:val="006C2EB9"/>
    <w:rsid w:val="0071773F"/>
    <w:rsid w:val="00762138"/>
    <w:rsid w:val="00774515"/>
    <w:rsid w:val="007A338E"/>
    <w:rsid w:val="007D7F8B"/>
    <w:rsid w:val="00852218"/>
    <w:rsid w:val="00852DAB"/>
    <w:rsid w:val="00895EF3"/>
    <w:rsid w:val="008A3111"/>
    <w:rsid w:val="008C64D5"/>
    <w:rsid w:val="008D32EE"/>
    <w:rsid w:val="008E1C82"/>
    <w:rsid w:val="008F3D90"/>
    <w:rsid w:val="00903D38"/>
    <w:rsid w:val="009043B1"/>
    <w:rsid w:val="00912B53"/>
    <w:rsid w:val="00975C1E"/>
    <w:rsid w:val="009B3B2C"/>
    <w:rsid w:val="009E3EF0"/>
    <w:rsid w:val="00A01052"/>
    <w:rsid w:val="00A04D9C"/>
    <w:rsid w:val="00A258BB"/>
    <w:rsid w:val="00A33541"/>
    <w:rsid w:val="00A45616"/>
    <w:rsid w:val="00AB342C"/>
    <w:rsid w:val="00AC7726"/>
    <w:rsid w:val="00AD0076"/>
    <w:rsid w:val="00AE652A"/>
    <w:rsid w:val="00AF0CA0"/>
    <w:rsid w:val="00B15FBF"/>
    <w:rsid w:val="00B75F1B"/>
    <w:rsid w:val="00B80CA0"/>
    <w:rsid w:val="00B83C23"/>
    <w:rsid w:val="00B85770"/>
    <w:rsid w:val="00BB127B"/>
    <w:rsid w:val="00BF1BAC"/>
    <w:rsid w:val="00BF1CD9"/>
    <w:rsid w:val="00C37433"/>
    <w:rsid w:val="00C63262"/>
    <w:rsid w:val="00C72355"/>
    <w:rsid w:val="00C93CFB"/>
    <w:rsid w:val="00CA718F"/>
    <w:rsid w:val="00CC3B60"/>
    <w:rsid w:val="00CF7BA6"/>
    <w:rsid w:val="00D42086"/>
    <w:rsid w:val="00D425B3"/>
    <w:rsid w:val="00D44C43"/>
    <w:rsid w:val="00D56606"/>
    <w:rsid w:val="00D66B5C"/>
    <w:rsid w:val="00D808EA"/>
    <w:rsid w:val="00DB60CE"/>
    <w:rsid w:val="00DC633E"/>
    <w:rsid w:val="00DD270A"/>
    <w:rsid w:val="00E55491"/>
    <w:rsid w:val="00E63EE9"/>
    <w:rsid w:val="00E83DB6"/>
    <w:rsid w:val="00E86B63"/>
    <w:rsid w:val="00E938D7"/>
    <w:rsid w:val="00EA53E7"/>
    <w:rsid w:val="00EB5CE2"/>
    <w:rsid w:val="00F026FF"/>
    <w:rsid w:val="00F05040"/>
    <w:rsid w:val="00F508C9"/>
    <w:rsid w:val="00F50CCD"/>
    <w:rsid w:val="00F5247C"/>
    <w:rsid w:val="00F8436A"/>
    <w:rsid w:val="00F876D8"/>
    <w:rsid w:val="00F947C3"/>
    <w:rsid w:val="00FA29ED"/>
    <w:rsid w:val="00FC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CC3B6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C3B60"/>
  </w:style>
  <w:style w:type="character" w:customStyle="1" w:styleId="object">
    <w:name w:val="object"/>
    <w:basedOn w:val="Domylnaczcionkaakapitu"/>
    <w:rsid w:val="00CC3B60"/>
  </w:style>
  <w:style w:type="character" w:styleId="UyteHipercze">
    <w:name w:val="FollowedHyperlink"/>
    <w:basedOn w:val="Domylnaczcionkaakapitu"/>
    <w:semiHidden/>
    <w:unhideWhenUsed/>
    <w:rsid w:val="007D7F8B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CC3B6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CC3B60"/>
  </w:style>
  <w:style w:type="character" w:customStyle="1" w:styleId="object">
    <w:name w:val="object"/>
    <w:basedOn w:val="Domylnaczcionkaakapitu"/>
    <w:rsid w:val="00CC3B60"/>
  </w:style>
  <w:style w:type="character" w:styleId="UyteHipercze">
    <w:name w:val="FollowedHyperlink"/>
    <w:basedOn w:val="Domylnaczcionkaakapitu"/>
    <w:semiHidden/>
    <w:unhideWhenUsed/>
    <w:rsid w:val="007D7F8B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9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9841">
          <w:marLeft w:val="450"/>
          <w:marRight w:val="450"/>
          <w:marTop w:val="0"/>
          <w:marBottom w:val="150"/>
          <w:divBdr>
            <w:top w:val="single" w:sz="6" w:space="8" w:color="112449"/>
            <w:left w:val="single" w:sz="6" w:space="8" w:color="112449"/>
            <w:bottom w:val="single" w:sz="6" w:space="8" w:color="112449"/>
            <w:right w:val="single" w:sz="6" w:space="8" w:color="112449"/>
          </w:divBdr>
        </w:div>
      </w:divsChild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chr.coe.int/NoteInformation/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curia.europa.eu/juris/liste.jsf?language=en&amp;num=C-73/0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eur-lex.europa.eu/legal-content/EN/TXT/?uri=CELEX:31995L0046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curia.europa.eu/juris/document/document.jsf;jsessionid=9ea7d2dc30dd03a11f8eea974c4fa27bc15880b50ca0.e34KaxiLc3qMb40Rch0SaxyNbhf0?text=&amp;docid=76075&amp;pageIndex=0&amp;doclang=PL&amp;mode=lst&amp;dir=&amp;occ=first&amp;part=1&amp;cid=751300" TargetMode="External"/><Relationship Id="rId1" Type="http://schemas.openxmlformats.org/officeDocument/2006/relationships/hyperlink" Target="http://eur-lex.europa.eu/legal-content/PL/TXT/HTML/?uri=CELEX:31995L0046&amp;from=EN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87E59-F06A-4E87-A6AC-32DF92823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1692</Words>
  <Characters>10158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2018-03-22T17:10:00Z</dcterms:created>
  <dcterms:modified xsi:type="dcterms:W3CDTF">2018-09-06T14:17:00Z</dcterms:modified>
</cp:coreProperties>
</file>