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E24" w:rsidRDefault="001A1E24" w:rsidP="001A1E24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1A1E24" w:rsidRDefault="001A1E24" w:rsidP="001A1E24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9E2214" w:rsidRPr="009C0F42" w:rsidRDefault="001A1E24" w:rsidP="001A1E24">
      <w:pPr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862BE8" w:rsidRPr="009C0F42">
        <w:rPr>
          <w:lang w:val="pl-PL"/>
        </w:rPr>
        <w:t>210</w:t>
      </w:r>
    </w:p>
    <w:p w:rsidR="009E2214" w:rsidRPr="009C0F42" w:rsidRDefault="00351C41">
      <w:pPr>
        <w:pStyle w:val="ClinEditionMonth"/>
        <w:rPr>
          <w:lang w:val="pl-PL"/>
        </w:rPr>
      </w:pPr>
      <w:r>
        <w:rPr>
          <w:lang w:val="pl-PL"/>
        </w:rPr>
        <w:t>s</w:t>
      </w:r>
      <w:r w:rsidR="009C0F42">
        <w:rPr>
          <w:lang w:val="pl-PL"/>
        </w:rPr>
        <w:t>ierpień</w:t>
      </w:r>
      <w:r w:rsidR="00862BE8" w:rsidRPr="009C0F42">
        <w:rPr>
          <w:lang w:val="pl-PL"/>
        </w:rPr>
        <w:t>-</w:t>
      </w:r>
      <w:r>
        <w:rPr>
          <w:lang w:val="pl-PL"/>
        </w:rPr>
        <w:t>w</w:t>
      </w:r>
      <w:r w:rsidR="009C0F42" w:rsidRPr="009C0F42">
        <w:rPr>
          <w:lang w:val="pl-PL"/>
        </w:rPr>
        <w:t>rzesień</w:t>
      </w:r>
      <w:r w:rsidR="00862BE8" w:rsidRPr="009C0F42">
        <w:rPr>
          <w:lang w:val="pl-PL"/>
        </w:rPr>
        <w:t xml:space="preserve"> 2017</w:t>
      </w:r>
      <w:r w:rsidR="009C0F42" w:rsidRPr="009C0F42">
        <w:rPr>
          <w:lang w:val="pl-PL"/>
        </w:rPr>
        <w:t xml:space="preserve"> r.</w:t>
      </w:r>
    </w:p>
    <w:p w:rsidR="009E2214" w:rsidRPr="009C0F42" w:rsidRDefault="00862BE8">
      <w:pPr>
        <w:rPr>
          <w:lang w:val="pl-PL"/>
        </w:rPr>
      </w:pPr>
      <w:r w:rsidRPr="009C0F42">
        <w:rPr>
          <w:rStyle w:val="ClinCaseTitle"/>
          <w:lang w:val="pl-PL"/>
        </w:rPr>
        <w:t xml:space="preserve">Regner </w:t>
      </w:r>
      <w:r w:rsidR="009C0F42" w:rsidRPr="009C0F42">
        <w:rPr>
          <w:rStyle w:val="ClinCaseTitle"/>
          <w:lang w:val="pl-PL"/>
        </w:rPr>
        <w:t>p</w:t>
      </w:r>
      <w:r w:rsidRPr="009C0F42">
        <w:rPr>
          <w:rStyle w:val="ClinCaseTitle"/>
          <w:lang w:val="pl-PL"/>
        </w:rPr>
        <w:t xml:space="preserve">. </w:t>
      </w:r>
      <w:r w:rsidR="009C0F42">
        <w:rPr>
          <w:rStyle w:val="ClinCaseTitle"/>
          <w:lang w:val="pl-PL"/>
        </w:rPr>
        <w:t xml:space="preserve">Republice Czeskiej </w:t>
      </w:r>
      <w:r w:rsidRPr="009C0F42">
        <w:rPr>
          <w:rStyle w:val="ClinCaseTitle"/>
          <w:lang w:val="pl-PL"/>
        </w:rPr>
        <w:t>[</w:t>
      </w:r>
      <w:r w:rsidR="004E1C15">
        <w:rPr>
          <w:rStyle w:val="ClinCaseTitle"/>
          <w:lang w:val="pl-PL"/>
        </w:rPr>
        <w:t>Wielka Izba</w:t>
      </w:r>
      <w:r w:rsidRPr="009C0F42">
        <w:rPr>
          <w:rStyle w:val="ClinCaseTitle"/>
          <w:lang w:val="pl-PL"/>
        </w:rPr>
        <w:t>]</w:t>
      </w:r>
      <w:r w:rsidRPr="009C0F42">
        <w:rPr>
          <w:rStyle w:val="ClinApplicationNumber"/>
          <w:lang w:val="pl-PL"/>
        </w:rPr>
        <w:t xml:space="preserve"> </w:t>
      </w:r>
      <w:r w:rsidR="004E1C15">
        <w:rPr>
          <w:rStyle w:val="ClinApplicationNumber"/>
          <w:lang w:val="pl-PL"/>
        </w:rPr>
        <w:t>– skarga nr</w:t>
      </w:r>
      <w:r w:rsidRPr="009C0F42">
        <w:rPr>
          <w:rStyle w:val="ClinApplicationNumber"/>
          <w:lang w:val="pl-PL"/>
        </w:rPr>
        <w:t xml:space="preserve"> 35289/11</w:t>
      </w:r>
    </w:p>
    <w:p w:rsidR="009E2214" w:rsidRPr="004E1C15" w:rsidRDefault="004E1C15">
      <w:pPr>
        <w:rPr>
          <w:lang w:val="pl-PL"/>
        </w:rPr>
      </w:pPr>
      <w:r w:rsidRPr="004E1C15">
        <w:rPr>
          <w:rStyle w:val="ClinHudocDocumentTitle"/>
          <w:lang w:val="pl-PL"/>
        </w:rPr>
        <w:t xml:space="preserve">Wyrok z </w:t>
      </w:r>
      <w:r w:rsidR="00862BE8" w:rsidRPr="004E1C15">
        <w:rPr>
          <w:rStyle w:val="ClinHudocDocumentTitle"/>
          <w:lang w:val="pl-PL"/>
        </w:rPr>
        <w:t>19.</w:t>
      </w:r>
      <w:r w:rsidRPr="004E1C15">
        <w:rPr>
          <w:rStyle w:val="ClinHudocDocumentTitle"/>
          <w:lang w:val="pl-PL"/>
        </w:rPr>
        <w:t>0</w:t>
      </w:r>
      <w:r w:rsidR="00862BE8" w:rsidRPr="004E1C15">
        <w:rPr>
          <w:rStyle w:val="ClinHudocDocumentTitle"/>
          <w:lang w:val="pl-PL"/>
        </w:rPr>
        <w:t>9.2017</w:t>
      </w:r>
      <w:r w:rsidRPr="004E1C15">
        <w:rPr>
          <w:rStyle w:val="ClinHudocDocumentTitle"/>
          <w:lang w:val="pl-PL"/>
        </w:rPr>
        <w:t xml:space="preserve"> r.</w:t>
      </w:r>
      <w:r w:rsidR="00862BE8" w:rsidRPr="004E1C15">
        <w:rPr>
          <w:rStyle w:val="ClinSectionName"/>
          <w:lang w:val="pl-PL"/>
        </w:rPr>
        <w:t xml:space="preserve"> [</w:t>
      </w:r>
      <w:r w:rsidRPr="004E1C15">
        <w:rPr>
          <w:rStyle w:val="ClinSectionName"/>
          <w:lang w:val="pl-PL"/>
        </w:rPr>
        <w:t>Wielka Izba</w:t>
      </w:r>
      <w:r w:rsidR="00862BE8" w:rsidRPr="004E1C15">
        <w:rPr>
          <w:rStyle w:val="ClinSectionName"/>
          <w:lang w:val="pl-PL"/>
        </w:rPr>
        <w:t>]</w:t>
      </w:r>
    </w:p>
    <w:p w:rsidR="009E2214" w:rsidRPr="009133B3" w:rsidRDefault="00862BE8">
      <w:pPr>
        <w:pStyle w:val="ClinMainKeywordCode"/>
        <w:rPr>
          <w:lang w:val="pl-PL"/>
        </w:rPr>
      </w:pPr>
      <w:r w:rsidRPr="009133B3">
        <w:rPr>
          <w:lang w:val="pl-PL"/>
        </w:rPr>
        <w:t>Art</w:t>
      </w:r>
      <w:r w:rsidR="004E1C15" w:rsidRPr="009133B3">
        <w:rPr>
          <w:lang w:val="pl-PL"/>
        </w:rPr>
        <w:t>.</w:t>
      </w:r>
      <w:r w:rsidRPr="009133B3">
        <w:rPr>
          <w:lang w:val="pl-PL"/>
        </w:rPr>
        <w:t xml:space="preserve"> 6</w:t>
      </w:r>
    </w:p>
    <w:p w:rsidR="009E2214" w:rsidRPr="00461A8E" w:rsidRDefault="004E1C15">
      <w:pPr>
        <w:pStyle w:val="ClinKeyword"/>
        <w:rPr>
          <w:lang w:val="pl-PL"/>
        </w:rPr>
      </w:pPr>
      <w:r w:rsidRPr="00461A8E">
        <w:rPr>
          <w:lang w:val="pl-PL"/>
        </w:rPr>
        <w:t>Postępowanie administracyjne</w:t>
      </w:r>
    </w:p>
    <w:p w:rsidR="009E2214" w:rsidRPr="00461A8E" w:rsidRDefault="00862BE8">
      <w:pPr>
        <w:pStyle w:val="ClinChildKeywordCode"/>
        <w:rPr>
          <w:lang w:val="pl-PL"/>
        </w:rPr>
      </w:pPr>
      <w:r w:rsidRPr="00461A8E">
        <w:rPr>
          <w:lang w:val="pl-PL"/>
        </w:rPr>
        <w:t>Art</w:t>
      </w:r>
      <w:r w:rsidR="004E1C15" w:rsidRPr="00461A8E">
        <w:rPr>
          <w:lang w:val="pl-PL"/>
        </w:rPr>
        <w:t>.</w:t>
      </w:r>
      <w:r w:rsidRPr="00461A8E">
        <w:rPr>
          <w:lang w:val="pl-PL"/>
        </w:rPr>
        <w:t xml:space="preserve"> 6</w:t>
      </w:r>
      <w:r w:rsidR="004E1C15" w:rsidRPr="00461A8E">
        <w:rPr>
          <w:lang w:val="pl-PL"/>
        </w:rPr>
        <w:t xml:space="preserve"> ust. </w:t>
      </w:r>
      <w:r w:rsidRPr="00461A8E">
        <w:rPr>
          <w:lang w:val="pl-PL"/>
        </w:rPr>
        <w:t>1</w:t>
      </w:r>
    </w:p>
    <w:p w:rsidR="009E2214" w:rsidRPr="004E1C15" w:rsidRDefault="004E1C15">
      <w:pPr>
        <w:pStyle w:val="ClinKeyword"/>
        <w:rPr>
          <w:lang w:val="pl-PL"/>
        </w:rPr>
      </w:pPr>
      <w:r w:rsidRPr="004E1C15">
        <w:rPr>
          <w:lang w:val="pl-PL"/>
        </w:rPr>
        <w:t xml:space="preserve">Sprawiedliwe rozpatrzenie sprawy </w:t>
      </w:r>
    </w:p>
    <w:p w:rsidR="009E2214" w:rsidRPr="004E1C15" w:rsidRDefault="00071A40">
      <w:pPr>
        <w:pStyle w:val="ClinKeyword"/>
        <w:rPr>
          <w:lang w:val="pl-PL"/>
        </w:rPr>
      </w:pPr>
      <w:r>
        <w:rPr>
          <w:lang w:val="pl-PL"/>
        </w:rPr>
        <w:t>Kontradyktoryjny p</w:t>
      </w:r>
      <w:r w:rsidR="004E1C15" w:rsidRPr="004E1C15">
        <w:rPr>
          <w:lang w:val="pl-PL"/>
        </w:rPr>
        <w:t>roces</w:t>
      </w:r>
      <w:r w:rsidR="001C15B9">
        <w:rPr>
          <w:lang w:val="pl-PL"/>
        </w:rPr>
        <w:t xml:space="preserve"> </w:t>
      </w:r>
    </w:p>
    <w:p w:rsidR="009E2214" w:rsidRPr="009133B3" w:rsidRDefault="004E1C15">
      <w:pPr>
        <w:pStyle w:val="ClinKeyword"/>
        <w:rPr>
          <w:lang w:val="pl-PL"/>
        </w:rPr>
      </w:pPr>
      <w:r w:rsidRPr="009133B3">
        <w:rPr>
          <w:lang w:val="pl-PL"/>
        </w:rPr>
        <w:t xml:space="preserve">Równość broni </w:t>
      </w:r>
    </w:p>
    <w:p w:rsidR="004E1C15" w:rsidRPr="00FB22C3" w:rsidRDefault="004E1C15" w:rsidP="00071A40">
      <w:pPr>
        <w:pStyle w:val="ClinKeyword"/>
        <w:jc w:val="both"/>
        <w:rPr>
          <w:b w:val="0"/>
          <w:i/>
          <w:lang w:val="pl-PL"/>
        </w:rPr>
      </w:pPr>
      <w:r w:rsidRPr="00953D59">
        <w:rPr>
          <w:b w:val="0"/>
          <w:lang w:val="pl-PL"/>
        </w:rPr>
        <w:t>Brak dostępu do informacji niejawnych będących decydującymi dowodami w</w:t>
      </w:r>
      <w:r w:rsidR="00071A40">
        <w:rPr>
          <w:b w:val="0"/>
          <w:lang w:val="pl-PL"/>
        </w:rPr>
        <w:t> </w:t>
      </w:r>
      <w:r w:rsidRPr="00953D59">
        <w:rPr>
          <w:b w:val="0"/>
          <w:lang w:val="pl-PL"/>
        </w:rPr>
        <w:t xml:space="preserve">postępowaniu </w:t>
      </w:r>
      <w:r w:rsidR="00FB22C3" w:rsidRPr="00953D59">
        <w:rPr>
          <w:b w:val="0"/>
          <w:lang w:val="pl-PL"/>
        </w:rPr>
        <w:t xml:space="preserve">prowadzonym </w:t>
      </w:r>
      <w:r w:rsidRPr="00953D59">
        <w:rPr>
          <w:b w:val="0"/>
          <w:lang w:val="pl-PL"/>
        </w:rPr>
        <w:t xml:space="preserve">w </w:t>
      </w:r>
      <w:r w:rsidR="00461A8E" w:rsidRPr="00953D59">
        <w:rPr>
          <w:b w:val="0"/>
          <w:lang w:val="pl-PL"/>
        </w:rPr>
        <w:t>ramach</w:t>
      </w:r>
      <w:r w:rsidRPr="00953D59">
        <w:rPr>
          <w:b w:val="0"/>
          <w:lang w:val="pl-PL"/>
        </w:rPr>
        <w:t xml:space="preserve"> kontroli sądowej:</w:t>
      </w:r>
      <w:r w:rsidRPr="004E1C15">
        <w:rPr>
          <w:b w:val="0"/>
          <w:lang w:val="pl-PL"/>
        </w:rPr>
        <w:t xml:space="preserve"> </w:t>
      </w:r>
      <w:r w:rsidRPr="00FB22C3">
        <w:rPr>
          <w:b w:val="0"/>
          <w:i/>
          <w:lang w:val="pl-PL"/>
        </w:rPr>
        <w:t>zastosowalność art. 6, brak</w:t>
      </w:r>
      <w:r w:rsidR="00FA1101">
        <w:rPr>
          <w:b w:val="0"/>
          <w:i/>
          <w:lang w:val="pl-PL"/>
        </w:rPr>
        <w:t> </w:t>
      </w:r>
      <w:r w:rsidRPr="00FB22C3">
        <w:rPr>
          <w:b w:val="0"/>
          <w:i/>
          <w:lang w:val="pl-PL"/>
        </w:rPr>
        <w:t>naruszenia</w:t>
      </w:r>
    </w:p>
    <w:p w:rsidR="00F10DEE" w:rsidRPr="00F10DEE" w:rsidRDefault="00F10DEE">
      <w:pPr>
        <w:pStyle w:val="ClinContent"/>
        <w:rPr>
          <w:lang w:val="pl-PL"/>
        </w:rPr>
      </w:pPr>
      <w:r w:rsidRPr="00F10DEE">
        <w:rPr>
          <w:i/>
          <w:lang w:val="pl-PL"/>
        </w:rPr>
        <w:t>Fakty</w:t>
      </w:r>
      <w:r w:rsidRPr="00F10DEE">
        <w:rPr>
          <w:lang w:val="pl-PL"/>
        </w:rPr>
        <w:t xml:space="preserve"> – We wrześniu 2006 r. Agencja Bezpieczeństwa </w:t>
      </w:r>
      <w:r w:rsidR="00071A40">
        <w:rPr>
          <w:lang w:val="pl-PL"/>
        </w:rPr>
        <w:t>Narodowego</w:t>
      </w:r>
      <w:r w:rsidRPr="00F10DEE">
        <w:rPr>
          <w:lang w:val="pl-PL"/>
        </w:rPr>
        <w:t xml:space="preserve"> wydała decyzję o</w:t>
      </w:r>
      <w:r w:rsidR="00FA1101">
        <w:rPr>
          <w:lang w:val="pl-PL"/>
        </w:rPr>
        <w:t> </w:t>
      </w:r>
      <w:r w:rsidR="003A0911">
        <w:rPr>
          <w:lang w:val="pl-PL"/>
        </w:rPr>
        <w:t>cofnięciu</w:t>
      </w:r>
      <w:r w:rsidRPr="00F10DEE">
        <w:rPr>
          <w:lang w:val="pl-PL"/>
        </w:rPr>
        <w:t xml:space="preserve"> poświadczenia bezpieczeństwa </w:t>
      </w:r>
      <w:r w:rsidR="00461A8E">
        <w:rPr>
          <w:lang w:val="pl-PL"/>
        </w:rPr>
        <w:t>skarżącego, umożliwiającego</w:t>
      </w:r>
      <w:r w:rsidRPr="00F10DEE">
        <w:rPr>
          <w:lang w:val="pl-PL"/>
        </w:rPr>
        <w:t xml:space="preserve"> mu sprawowanie funkcji zastępcy </w:t>
      </w:r>
      <w:r>
        <w:rPr>
          <w:lang w:val="pl-PL"/>
        </w:rPr>
        <w:t>p</w:t>
      </w:r>
      <w:r w:rsidRPr="00F10DEE">
        <w:rPr>
          <w:lang w:val="pl-PL"/>
        </w:rPr>
        <w:t xml:space="preserve">ierwszego </w:t>
      </w:r>
      <w:r>
        <w:rPr>
          <w:lang w:val="pl-PL"/>
        </w:rPr>
        <w:t>wiceministra obrony, na tej podstawie, że stwarzał on</w:t>
      </w:r>
      <w:r w:rsidR="00FA1101">
        <w:rPr>
          <w:lang w:val="pl-PL"/>
        </w:rPr>
        <w:t> </w:t>
      </w:r>
      <w:r>
        <w:rPr>
          <w:lang w:val="pl-PL"/>
        </w:rPr>
        <w:t xml:space="preserve">zagrożenie dla bezpieczeństwa narodowego. </w:t>
      </w:r>
      <w:r w:rsidR="00461A8E">
        <w:rPr>
          <w:lang w:val="pl-PL"/>
        </w:rPr>
        <w:t xml:space="preserve">Decyzja </w:t>
      </w:r>
      <w:r w:rsidR="001C15B9">
        <w:rPr>
          <w:lang w:val="pl-PL"/>
        </w:rPr>
        <w:t xml:space="preserve">ta </w:t>
      </w:r>
      <w:r w:rsidR="00461A8E">
        <w:rPr>
          <w:lang w:val="pl-PL"/>
        </w:rPr>
        <w:t xml:space="preserve">nie wskazywała jednak informacji niejawnych, na których się opierała, </w:t>
      </w:r>
      <w:r w:rsidR="009133B3">
        <w:rPr>
          <w:lang w:val="pl-PL"/>
        </w:rPr>
        <w:t>gdyż</w:t>
      </w:r>
      <w:r w:rsidR="00461A8E">
        <w:rPr>
          <w:lang w:val="pl-PL"/>
        </w:rPr>
        <w:t xml:space="preserve"> były one opatrzone klauzulą „zastrzeżone” i zgodnie z prawem nie mogły być ujawnione skarżącemu. </w:t>
      </w:r>
    </w:p>
    <w:p w:rsidR="00F10DEE" w:rsidRPr="009133B3" w:rsidRDefault="00F10DEE">
      <w:pPr>
        <w:pStyle w:val="ClinContent"/>
        <w:rPr>
          <w:lang w:val="pl-PL"/>
        </w:rPr>
      </w:pPr>
      <w:r w:rsidRPr="00F10DEE">
        <w:rPr>
          <w:lang w:val="pl-PL"/>
        </w:rPr>
        <w:t xml:space="preserve">Po wniesieniu odwołania przez skarżącego dyrektor Agencji potwierdził istnienie </w:t>
      </w:r>
      <w:r w:rsidR="00C62D93">
        <w:rPr>
          <w:lang w:val="pl-PL"/>
        </w:rPr>
        <w:t xml:space="preserve">takiego </w:t>
      </w:r>
      <w:r w:rsidRPr="00F10DEE">
        <w:rPr>
          <w:lang w:val="pl-PL"/>
        </w:rPr>
        <w:t xml:space="preserve">zagrożenia. </w:t>
      </w:r>
      <w:r>
        <w:rPr>
          <w:lang w:val="pl-PL"/>
        </w:rPr>
        <w:t>Wniosek skarżącego o dokonanie sądowej</w:t>
      </w:r>
      <w:r w:rsidR="00461A8E">
        <w:rPr>
          <w:lang w:val="pl-PL"/>
        </w:rPr>
        <w:t xml:space="preserve"> </w:t>
      </w:r>
      <w:r w:rsidR="007B61A3">
        <w:rPr>
          <w:lang w:val="pl-PL"/>
        </w:rPr>
        <w:t>kontroli</w:t>
      </w:r>
      <w:r>
        <w:rPr>
          <w:lang w:val="pl-PL"/>
        </w:rPr>
        <w:t xml:space="preserve"> tej decyzji został następnie oddalony przez Sąd Miejski, któremu Agencja przekazała przedmiotowe dokumenty. Skarżącemu i jego adwokatowi nie zezwolono na zapoznanie się z nimi. </w:t>
      </w:r>
      <w:r w:rsidRPr="009133B3">
        <w:rPr>
          <w:lang w:val="pl-PL"/>
        </w:rPr>
        <w:t xml:space="preserve">Kolejne odwołania skarżącego </w:t>
      </w:r>
      <w:r w:rsidR="001C15B9">
        <w:rPr>
          <w:lang w:val="pl-PL"/>
        </w:rPr>
        <w:t>zakończyły się niepowodzeniem</w:t>
      </w:r>
      <w:r w:rsidRPr="009133B3">
        <w:rPr>
          <w:lang w:val="pl-PL"/>
        </w:rPr>
        <w:t xml:space="preserve">. </w:t>
      </w:r>
    </w:p>
    <w:p w:rsidR="00ED223F" w:rsidRPr="00D356BC" w:rsidRDefault="00ED223F">
      <w:pPr>
        <w:pStyle w:val="ClinContent"/>
        <w:rPr>
          <w:lang w:val="pl-PL"/>
        </w:rPr>
      </w:pPr>
      <w:r w:rsidRPr="00D356BC">
        <w:rPr>
          <w:lang w:val="pl-PL"/>
        </w:rPr>
        <w:t xml:space="preserve">Na podstawie art. 6 ust. 1 Konwencji [o ochronie praw człowieka i podstawowych wolności] skarżący zarzucał, że postępowanie administracyjne </w:t>
      </w:r>
      <w:r w:rsidR="00D356BC">
        <w:rPr>
          <w:lang w:val="pl-PL"/>
        </w:rPr>
        <w:t>było nierzetelne, gdy</w:t>
      </w:r>
      <w:r w:rsidR="00461A8E">
        <w:rPr>
          <w:lang w:val="pl-PL"/>
        </w:rPr>
        <w:t>ż</w:t>
      </w:r>
      <w:r w:rsidR="00417177">
        <w:rPr>
          <w:lang w:val="pl-PL"/>
        </w:rPr>
        <w:t> </w:t>
      </w:r>
      <w:r w:rsidR="00D356BC">
        <w:rPr>
          <w:lang w:val="pl-PL"/>
        </w:rPr>
        <w:t>nie</w:t>
      </w:r>
      <w:r w:rsidR="00FA1101">
        <w:rPr>
          <w:lang w:val="pl-PL"/>
        </w:rPr>
        <w:t> </w:t>
      </w:r>
      <w:r w:rsidR="00461A8E">
        <w:rPr>
          <w:lang w:val="pl-PL"/>
        </w:rPr>
        <w:t xml:space="preserve">mógł </w:t>
      </w:r>
      <w:r w:rsidR="00D356BC">
        <w:rPr>
          <w:lang w:val="pl-PL"/>
        </w:rPr>
        <w:t>on uzyskać wglądu w decydujące dowody, sklasyfikowane jako informacje</w:t>
      </w:r>
      <w:r w:rsidR="00461A8E">
        <w:rPr>
          <w:lang w:val="pl-PL"/>
        </w:rPr>
        <w:t xml:space="preserve"> niejawne</w:t>
      </w:r>
      <w:r w:rsidR="00D356BC">
        <w:rPr>
          <w:lang w:val="pl-PL"/>
        </w:rPr>
        <w:t>, a które zostały ud</w:t>
      </w:r>
      <w:r w:rsidR="00461A8E">
        <w:rPr>
          <w:lang w:val="pl-PL"/>
        </w:rPr>
        <w:t>ostępnione sądom przez pozwany organ</w:t>
      </w:r>
      <w:r w:rsidR="00D356BC">
        <w:rPr>
          <w:lang w:val="pl-PL"/>
        </w:rPr>
        <w:t xml:space="preserve">. </w:t>
      </w:r>
    </w:p>
    <w:p w:rsidR="00E16905" w:rsidRPr="00E16905" w:rsidRDefault="00461A8E">
      <w:pPr>
        <w:pStyle w:val="ClinContent"/>
        <w:rPr>
          <w:lang w:val="pl-PL"/>
        </w:rPr>
      </w:pPr>
      <w:r>
        <w:rPr>
          <w:lang w:val="pl-PL"/>
        </w:rPr>
        <w:t xml:space="preserve">W wyroku z </w:t>
      </w:r>
      <w:r w:rsidR="009133B3">
        <w:rPr>
          <w:lang w:val="pl-PL"/>
        </w:rPr>
        <w:t xml:space="preserve">dnia </w:t>
      </w:r>
      <w:r>
        <w:rPr>
          <w:lang w:val="pl-PL"/>
        </w:rPr>
        <w:t>26 listopada 2015</w:t>
      </w:r>
      <w:r w:rsidR="00E16905" w:rsidRPr="00E16905">
        <w:rPr>
          <w:lang w:val="pl-PL"/>
        </w:rPr>
        <w:t xml:space="preserve"> r. </w:t>
      </w:r>
      <w:r w:rsidR="00E16905">
        <w:rPr>
          <w:lang w:val="pl-PL"/>
        </w:rPr>
        <w:t>Izba Trybunału jednomyślnie</w:t>
      </w:r>
      <w:r>
        <w:rPr>
          <w:lang w:val="pl-PL"/>
        </w:rPr>
        <w:t xml:space="preserve"> orzekła</w:t>
      </w:r>
      <w:r w:rsidR="00E16905">
        <w:rPr>
          <w:lang w:val="pl-PL"/>
        </w:rPr>
        <w:t xml:space="preserve">, że nie doszło do naruszenia art. 6 ust. 1 Konwencji, stwierdzając, że proces decyzyjny w możliwym zakresie spełniał wymogi kontradyktoryjności i równości broni oraz </w:t>
      </w:r>
      <w:r>
        <w:rPr>
          <w:lang w:val="pl-PL"/>
        </w:rPr>
        <w:t>uwzględniał</w:t>
      </w:r>
      <w:r w:rsidR="00E16905">
        <w:rPr>
          <w:lang w:val="pl-PL"/>
        </w:rPr>
        <w:t xml:space="preserve"> odpowiednie gwarancje ochrony interesów skarżącego.</w:t>
      </w:r>
    </w:p>
    <w:p w:rsidR="00E16905" w:rsidRPr="00E16905" w:rsidRDefault="00E16905">
      <w:pPr>
        <w:pStyle w:val="ClinContent"/>
        <w:rPr>
          <w:lang w:val="pl-PL"/>
        </w:rPr>
      </w:pPr>
      <w:r w:rsidRPr="00E16905">
        <w:rPr>
          <w:lang w:val="pl-PL"/>
        </w:rPr>
        <w:t>W dniu 2 maja 2016 r. sprawa została</w:t>
      </w:r>
      <w:r w:rsidR="009C632A">
        <w:rPr>
          <w:lang w:val="pl-PL"/>
        </w:rPr>
        <w:t>,</w:t>
      </w:r>
      <w:r w:rsidRPr="00E16905">
        <w:rPr>
          <w:lang w:val="pl-PL"/>
        </w:rPr>
        <w:t xml:space="preserve"> </w:t>
      </w:r>
      <w:r w:rsidR="00243DA2" w:rsidRPr="00E16905">
        <w:rPr>
          <w:lang w:val="pl-PL"/>
        </w:rPr>
        <w:t>na wniosek skarżącego</w:t>
      </w:r>
      <w:r w:rsidR="009C632A">
        <w:rPr>
          <w:lang w:val="pl-PL"/>
        </w:rPr>
        <w:t>,</w:t>
      </w:r>
      <w:r w:rsidR="00243DA2" w:rsidRPr="00E16905">
        <w:rPr>
          <w:lang w:val="pl-PL"/>
        </w:rPr>
        <w:t xml:space="preserve"> </w:t>
      </w:r>
      <w:r w:rsidRPr="00E16905">
        <w:rPr>
          <w:lang w:val="pl-PL"/>
        </w:rPr>
        <w:t xml:space="preserve">przekazana do Wielkiej Izby. </w:t>
      </w:r>
    </w:p>
    <w:p w:rsidR="00E16905" w:rsidRPr="009133B3" w:rsidRDefault="00E16905">
      <w:pPr>
        <w:pStyle w:val="ClinContent"/>
        <w:rPr>
          <w:lang w:val="pl-PL"/>
        </w:rPr>
      </w:pPr>
      <w:r w:rsidRPr="009133B3">
        <w:rPr>
          <w:i/>
          <w:lang w:val="pl-PL"/>
        </w:rPr>
        <w:lastRenderedPageBreak/>
        <w:t xml:space="preserve">Prawo </w:t>
      </w:r>
      <w:r w:rsidRPr="009133B3">
        <w:rPr>
          <w:lang w:val="pl-PL"/>
        </w:rPr>
        <w:t>– art. 6 ust. 1</w:t>
      </w:r>
    </w:p>
    <w:p w:rsidR="00787C50" w:rsidRPr="00787C50" w:rsidRDefault="00787C50">
      <w:pPr>
        <w:pStyle w:val="ClinContent"/>
        <w:rPr>
          <w:lang w:val="pl-PL"/>
        </w:rPr>
      </w:pPr>
      <w:r w:rsidRPr="00787C50">
        <w:rPr>
          <w:lang w:val="pl-PL"/>
        </w:rPr>
        <w:t xml:space="preserve">(a) </w:t>
      </w:r>
      <w:r w:rsidRPr="00787C50">
        <w:rPr>
          <w:i/>
          <w:lang w:val="pl-PL"/>
        </w:rPr>
        <w:t xml:space="preserve">Zastosowalność </w:t>
      </w:r>
      <w:r w:rsidRPr="00787C50">
        <w:rPr>
          <w:lang w:val="pl-PL"/>
        </w:rPr>
        <w:t xml:space="preserve">– Możliwość wypełniania obowiązków przez skarżącego była </w:t>
      </w:r>
      <w:r w:rsidR="00461A8E">
        <w:rPr>
          <w:lang w:val="pl-PL"/>
        </w:rPr>
        <w:t>uzależniona od posiadania</w:t>
      </w:r>
      <w:r w:rsidRPr="00787C50">
        <w:rPr>
          <w:lang w:val="pl-PL"/>
        </w:rPr>
        <w:t xml:space="preserve"> upoważnienia do dostępu do informacji niejawnych. </w:t>
      </w:r>
      <w:r w:rsidR="00B27822">
        <w:rPr>
          <w:lang w:val="pl-PL"/>
        </w:rPr>
        <w:t>Cofnięcie</w:t>
      </w:r>
      <w:r>
        <w:rPr>
          <w:lang w:val="pl-PL"/>
        </w:rPr>
        <w:t xml:space="preserve"> jego poświadczenia bezpieczeństwa uniemożliwiało mu zatem pełne wykonywanie </w:t>
      </w:r>
      <w:r w:rsidR="00461A8E">
        <w:rPr>
          <w:lang w:val="pl-PL"/>
        </w:rPr>
        <w:t xml:space="preserve">swych </w:t>
      </w:r>
      <w:r>
        <w:rPr>
          <w:lang w:val="pl-PL"/>
        </w:rPr>
        <w:t xml:space="preserve">obowiązków i miało </w:t>
      </w:r>
      <w:r w:rsidR="00160837">
        <w:rPr>
          <w:lang w:val="pl-PL"/>
        </w:rPr>
        <w:t xml:space="preserve">niekorzystny </w:t>
      </w:r>
      <w:r>
        <w:rPr>
          <w:lang w:val="pl-PL"/>
        </w:rPr>
        <w:t>wpływ na jego zdolność otrzymania nowego stanowiska w służbie cywilnej.</w:t>
      </w:r>
      <w:r w:rsidR="00160837">
        <w:rPr>
          <w:lang w:val="pl-PL"/>
        </w:rPr>
        <w:t xml:space="preserve"> W tych okolicznościach związek między decyzją o </w:t>
      </w:r>
      <w:r w:rsidR="00B27822">
        <w:rPr>
          <w:lang w:val="pl-PL"/>
        </w:rPr>
        <w:t>cofnięciu</w:t>
      </w:r>
      <w:r w:rsidR="00160837">
        <w:rPr>
          <w:lang w:val="pl-PL"/>
        </w:rPr>
        <w:t xml:space="preserve"> poświadczenia bezpieczeństwa skarżącego a utratą jego zatrudnienia i obowiązków nie</w:t>
      </w:r>
      <w:r w:rsidR="00FA1101">
        <w:rPr>
          <w:lang w:val="pl-PL"/>
        </w:rPr>
        <w:t> </w:t>
      </w:r>
      <w:r w:rsidR="00160837">
        <w:rPr>
          <w:lang w:val="pl-PL"/>
        </w:rPr>
        <w:t xml:space="preserve">był </w:t>
      </w:r>
      <w:r w:rsidR="00461A8E">
        <w:rPr>
          <w:lang w:val="pl-PL"/>
        </w:rPr>
        <w:t>wątpliwy</w:t>
      </w:r>
      <w:r w:rsidR="00160837">
        <w:rPr>
          <w:lang w:val="pl-PL"/>
        </w:rPr>
        <w:t xml:space="preserve"> </w:t>
      </w:r>
      <w:r w:rsidR="00461A8E">
        <w:rPr>
          <w:lang w:val="pl-PL"/>
        </w:rPr>
        <w:t>bądź odległy</w:t>
      </w:r>
      <w:r w:rsidR="00160837">
        <w:rPr>
          <w:lang w:val="pl-PL"/>
        </w:rPr>
        <w:t>. A zatem może on powoływać się na prawo do</w:t>
      </w:r>
      <w:r w:rsidR="00FA1101">
        <w:rPr>
          <w:lang w:val="pl-PL"/>
        </w:rPr>
        <w:t> </w:t>
      </w:r>
      <w:r w:rsidR="00160837">
        <w:rPr>
          <w:lang w:val="pl-PL"/>
        </w:rPr>
        <w:t xml:space="preserve">kwestionowania przed sądami zgodności z prawem </w:t>
      </w:r>
      <w:r w:rsidR="00B27822">
        <w:rPr>
          <w:lang w:val="pl-PL"/>
        </w:rPr>
        <w:t>cofnięcia</w:t>
      </w:r>
      <w:r w:rsidR="00160837">
        <w:rPr>
          <w:lang w:val="pl-PL"/>
        </w:rPr>
        <w:t xml:space="preserve"> jego poświadczenia. </w:t>
      </w:r>
    </w:p>
    <w:p w:rsidR="00160837" w:rsidRPr="00160837" w:rsidRDefault="00160837">
      <w:pPr>
        <w:pStyle w:val="ClinContent"/>
        <w:rPr>
          <w:lang w:val="pl-PL"/>
        </w:rPr>
      </w:pPr>
      <w:r w:rsidRPr="00160837">
        <w:rPr>
          <w:lang w:val="pl-PL"/>
        </w:rPr>
        <w:t xml:space="preserve">Stosunek </w:t>
      </w:r>
      <w:r w:rsidR="009C632A">
        <w:rPr>
          <w:lang w:val="pl-PL"/>
        </w:rPr>
        <w:t>pracy</w:t>
      </w:r>
      <w:r w:rsidRPr="00160837">
        <w:rPr>
          <w:lang w:val="pl-PL"/>
        </w:rPr>
        <w:t xml:space="preserve"> między skarżącym a Ministerstw</w:t>
      </w:r>
      <w:r>
        <w:rPr>
          <w:lang w:val="pl-PL"/>
        </w:rPr>
        <w:t>em Obrony opierał się</w:t>
      </w:r>
      <w:r w:rsidR="00FA1101">
        <w:rPr>
          <w:lang w:val="pl-PL"/>
        </w:rPr>
        <w:t> </w:t>
      </w:r>
      <w:r>
        <w:rPr>
          <w:lang w:val="pl-PL"/>
        </w:rPr>
        <w:t>na</w:t>
      </w:r>
      <w:r w:rsidR="00FA1101">
        <w:rPr>
          <w:lang w:val="pl-PL"/>
        </w:rPr>
        <w:t> </w:t>
      </w:r>
      <w:r>
        <w:rPr>
          <w:lang w:val="pl-PL"/>
        </w:rPr>
        <w:t>postanowieniach Kodeksu Pracy, które nie zawierały żadnych szczególnych postanowień mających zastosowanie do funkcji sprawowanych w</w:t>
      </w:r>
      <w:r w:rsidR="00461A8E">
        <w:rPr>
          <w:lang w:val="pl-PL"/>
        </w:rPr>
        <w:t xml:space="preserve"> ramach administracji państwowej</w:t>
      </w:r>
      <w:r>
        <w:rPr>
          <w:lang w:val="pl-PL"/>
        </w:rPr>
        <w:t xml:space="preserve">, </w:t>
      </w:r>
      <w:r w:rsidR="00461A8E">
        <w:rPr>
          <w:lang w:val="pl-PL"/>
        </w:rPr>
        <w:t xml:space="preserve">a więc w przedmiotowym czasie </w:t>
      </w:r>
      <w:r>
        <w:rPr>
          <w:lang w:val="pl-PL"/>
        </w:rPr>
        <w:t>nie było służby cywilnej, w tradycyjnym rozumieniu tego terminu, nakładającej na urzędników publicznych obowiązki i przywileje wychodzące poza zakres zwykłych ustaw. Ponieważ spory dotyczące zatrudnienia dotyczyły praw o charakterze cywilnym w rozumieniu art. 6 ust. 1 Konwencji, decyzja o</w:t>
      </w:r>
      <w:r w:rsidR="00FA1101">
        <w:rPr>
          <w:lang w:val="pl-PL"/>
        </w:rPr>
        <w:t> </w:t>
      </w:r>
      <w:r>
        <w:rPr>
          <w:lang w:val="pl-PL"/>
        </w:rPr>
        <w:t xml:space="preserve">cofnięciu poświadczenia bezpieczeństwa skarżącego oraz prowadzone następnie postępowania miały wpływ na jego prawa o charakterze cywilnym. </w:t>
      </w:r>
    </w:p>
    <w:p w:rsidR="00160837" w:rsidRPr="00160837" w:rsidRDefault="00160837">
      <w:pPr>
        <w:pStyle w:val="ClinContent"/>
        <w:rPr>
          <w:lang w:val="pl-PL"/>
        </w:rPr>
      </w:pPr>
      <w:r w:rsidRPr="00160837">
        <w:rPr>
          <w:lang w:val="pl-PL"/>
        </w:rPr>
        <w:t>W tej sytu</w:t>
      </w:r>
      <w:r>
        <w:rPr>
          <w:lang w:val="pl-PL"/>
        </w:rPr>
        <w:t>a</w:t>
      </w:r>
      <w:r w:rsidRPr="00160837">
        <w:rPr>
          <w:lang w:val="pl-PL"/>
        </w:rPr>
        <w:t>c</w:t>
      </w:r>
      <w:r>
        <w:rPr>
          <w:lang w:val="pl-PL"/>
        </w:rPr>
        <w:t>j</w:t>
      </w:r>
      <w:r w:rsidRPr="00160837">
        <w:rPr>
          <w:lang w:val="pl-PL"/>
        </w:rPr>
        <w:t xml:space="preserve">i, </w:t>
      </w:r>
      <w:r>
        <w:rPr>
          <w:lang w:val="pl-PL"/>
        </w:rPr>
        <w:t>przyjmując</w:t>
      </w:r>
      <w:r w:rsidR="009C632A">
        <w:rPr>
          <w:lang w:val="pl-PL"/>
        </w:rPr>
        <w:t xml:space="preserve"> nawet</w:t>
      </w:r>
      <w:r w:rsidRPr="00160837">
        <w:rPr>
          <w:lang w:val="pl-PL"/>
        </w:rPr>
        <w:t xml:space="preserve">, że skarżącego należało uważać za urzędnika </w:t>
      </w:r>
      <w:r w:rsidR="00071A40">
        <w:rPr>
          <w:lang w:val="pl-PL"/>
        </w:rPr>
        <w:t>służby cywilnej</w:t>
      </w:r>
      <w:r w:rsidRPr="00160837">
        <w:rPr>
          <w:lang w:val="pl-PL"/>
        </w:rPr>
        <w:t xml:space="preserve">, miał on możliwość wystąpienia </w:t>
      </w:r>
      <w:r>
        <w:rPr>
          <w:lang w:val="pl-PL"/>
        </w:rPr>
        <w:t xml:space="preserve">do sądów administracyjnych o kontrolę sądową decyzji Agencji. </w:t>
      </w:r>
      <w:r w:rsidR="007B61A3">
        <w:rPr>
          <w:lang w:val="pl-PL"/>
        </w:rPr>
        <w:t xml:space="preserve">W konsekwencji </w:t>
      </w:r>
      <w:r>
        <w:rPr>
          <w:lang w:val="pl-PL"/>
        </w:rPr>
        <w:t xml:space="preserve">art. 6 ma zastosowanie w </w:t>
      </w:r>
      <w:r w:rsidR="00ED68A4">
        <w:rPr>
          <w:lang w:val="pl-PL"/>
        </w:rPr>
        <w:t>niniejszej</w:t>
      </w:r>
      <w:r>
        <w:rPr>
          <w:lang w:val="pl-PL"/>
        </w:rPr>
        <w:t xml:space="preserve"> sprawie w swym aspekcie cywilnym. </w:t>
      </w:r>
    </w:p>
    <w:p w:rsidR="00621A9A" w:rsidRPr="00621A9A" w:rsidRDefault="007B61A3">
      <w:pPr>
        <w:pStyle w:val="ClinContent"/>
        <w:rPr>
          <w:lang w:val="pl-PL"/>
        </w:rPr>
      </w:pPr>
      <w:r>
        <w:rPr>
          <w:lang w:val="pl-PL"/>
        </w:rPr>
        <w:t xml:space="preserve">A zatem </w:t>
      </w:r>
      <w:r w:rsidR="00621A9A" w:rsidRPr="00621A9A">
        <w:rPr>
          <w:lang w:val="pl-PL"/>
        </w:rPr>
        <w:t xml:space="preserve">skarżący może </w:t>
      </w:r>
      <w:r w:rsidR="00C504AD">
        <w:rPr>
          <w:lang w:val="pl-PL"/>
        </w:rPr>
        <w:t xml:space="preserve">powoływać się na </w:t>
      </w:r>
      <w:r w:rsidR="00621A9A" w:rsidRPr="00621A9A">
        <w:rPr>
          <w:lang w:val="pl-PL"/>
        </w:rPr>
        <w:t xml:space="preserve">status ofiary na </w:t>
      </w:r>
      <w:r>
        <w:rPr>
          <w:lang w:val="pl-PL"/>
        </w:rPr>
        <w:t xml:space="preserve">potrzeby </w:t>
      </w:r>
      <w:r w:rsidR="00621A9A" w:rsidRPr="00621A9A">
        <w:rPr>
          <w:lang w:val="pl-PL"/>
        </w:rPr>
        <w:t xml:space="preserve">art. </w:t>
      </w:r>
      <w:r w:rsidR="00621A9A">
        <w:rPr>
          <w:lang w:val="pl-PL"/>
        </w:rPr>
        <w:t xml:space="preserve">34 Konwencji. </w:t>
      </w:r>
    </w:p>
    <w:p w:rsidR="00621A9A" w:rsidRPr="00621A9A" w:rsidRDefault="00621A9A">
      <w:pPr>
        <w:pStyle w:val="ClinContent"/>
        <w:rPr>
          <w:lang w:val="pl-PL"/>
        </w:rPr>
      </w:pPr>
      <w:r w:rsidRPr="00621A9A">
        <w:rPr>
          <w:i/>
          <w:lang w:val="pl-PL"/>
        </w:rPr>
        <w:t xml:space="preserve">Rozstrzygnięcie: </w:t>
      </w:r>
      <w:r w:rsidRPr="00621A9A">
        <w:rPr>
          <w:lang w:val="pl-PL"/>
        </w:rPr>
        <w:t>zastrzeżenia wstępne oddalone (piętnastoma głosami do dwóch)</w:t>
      </w:r>
      <w:r w:rsidR="00417177">
        <w:rPr>
          <w:lang w:val="pl-PL"/>
        </w:rPr>
        <w:t>.</w:t>
      </w:r>
    </w:p>
    <w:p w:rsidR="00621A9A" w:rsidRPr="00621A9A" w:rsidRDefault="00621A9A">
      <w:pPr>
        <w:pStyle w:val="ClinContent"/>
        <w:rPr>
          <w:lang w:val="pl-PL"/>
        </w:rPr>
      </w:pPr>
      <w:r w:rsidRPr="00621A9A">
        <w:rPr>
          <w:lang w:val="pl-PL"/>
        </w:rPr>
        <w:t xml:space="preserve">(b) </w:t>
      </w:r>
      <w:r w:rsidRPr="00621A9A">
        <w:rPr>
          <w:i/>
          <w:lang w:val="pl-PL"/>
        </w:rPr>
        <w:t xml:space="preserve">Przedmiot sprawy – </w:t>
      </w:r>
      <w:r w:rsidRPr="00621A9A">
        <w:rPr>
          <w:lang w:val="pl-PL"/>
        </w:rPr>
        <w:t xml:space="preserve">Zgodnie z wymogami prawa czeskiego dotyczącego </w:t>
      </w:r>
      <w:r w:rsidR="007B61A3">
        <w:rPr>
          <w:lang w:val="pl-PL"/>
        </w:rPr>
        <w:t xml:space="preserve">postępowania w sprawie </w:t>
      </w:r>
      <w:r w:rsidRPr="00621A9A">
        <w:rPr>
          <w:lang w:val="pl-PL"/>
        </w:rPr>
        <w:t xml:space="preserve">kwestionowania </w:t>
      </w:r>
      <w:r w:rsidR="00437BA8" w:rsidRPr="00621A9A">
        <w:rPr>
          <w:lang w:val="pl-PL"/>
        </w:rPr>
        <w:t>decyzji</w:t>
      </w:r>
      <w:r w:rsidRPr="00621A9A">
        <w:rPr>
          <w:lang w:val="pl-PL"/>
        </w:rPr>
        <w:t xml:space="preserve"> o odmowie wydania lub </w:t>
      </w:r>
      <w:r w:rsidR="00B27822">
        <w:rPr>
          <w:lang w:val="pl-PL"/>
        </w:rPr>
        <w:t>cofnięciu</w:t>
      </w:r>
      <w:r w:rsidRPr="00621A9A">
        <w:rPr>
          <w:lang w:val="pl-PL"/>
        </w:rPr>
        <w:t xml:space="preserve"> poświadczenia bezpieczeństwa, </w:t>
      </w:r>
      <w:r w:rsidR="00437BA8">
        <w:rPr>
          <w:lang w:val="pl-PL"/>
        </w:rPr>
        <w:t>postępowanie wszczęte przez skarżącego podlegało dwojakim ograniczeniom w porównaniu do zasad zwykłego ustawodawstwa gwarantującego rzetelny proces: po pierwsze, dokumenty i informacje</w:t>
      </w:r>
      <w:r w:rsidR="009C632A">
        <w:rPr>
          <w:lang w:val="pl-PL"/>
        </w:rPr>
        <w:t xml:space="preserve"> niejawne</w:t>
      </w:r>
      <w:r w:rsidR="00437BA8">
        <w:rPr>
          <w:lang w:val="pl-PL"/>
        </w:rPr>
        <w:t xml:space="preserve"> nie były dostępne ani dla niego, ani dla jego adwokata; po drugie, w zakresie, w jakim decyzja o</w:t>
      </w:r>
      <w:r w:rsidR="00FA1101">
        <w:rPr>
          <w:lang w:val="pl-PL"/>
        </w:rPr>
        <w:t> </w:t>
      </w:r>
      <w:r w:rsidR="00B27822">
        <w:rPr>
          <w:lang w:val="pl-PL"/>
        </w:rPr>
        <w:t>cofnięciu</w:t>
      </w:r>
      <w:r w:rsidR="00437BA8">
        <w:rPr>
          <w:lang w:val="pl-PL"/>
        </w:rPr>
        <w:t xml:space="preserve"> poświadczenia bezpieczeństwa opierała się na tych dokumentach, po</w:t>
      </w:r>
      <w:r w:rsidR="007B61A3">
        <w:rPr>
          <w:lang w:val="pl-PL"/>
        </w:rPr>
        <w:t>dstawy</w:t>
      </w:r>
      <w:r w:rsidR="00437BA8">
        <w:rPr>
          <w:lang w:val="pl-PL"/>
        </w:rPr>
        <w:t xml:space="preserve"> tej decyzji nie były mu ujawnione. </w:t>
      </w:r>
    </w:p>
    <w:p w:rsidR="00437BA8" w:rsidRPr="00437BA8" w:rsidRDefault="00437BA8">
      <w:pPr>
        <w:pStyle w:val="ClinContent"/>
        <w:rPr>
          <w:lang w:val="pl-PL"/>
        </w:rPr>
      </w:pPr>
      <w:r>
        <w:rPr>
          <w:lang w:val="pl-PL"/>
        </w:rPr>
        <w:t>Trybunał odnotował upraw</w:t>
      </w:r>
      <w:r w:rsidRPr="00437BA8">
        <w:rPr>
          <w:lang w:val="pl-PL"/>
        </w:rPr>
        <w:t xml:space="preserve">nienia przyznane sądom krajowym. </w:t>
      </w:r>
      <w:r w:rsidR="007B61A3">
        <w:rPr>
          <w:lang w:val="pl-PL"/>
        </w:rPr>
        <w:t>Sądy m</w:t>
      </w:r>
      <w:r>
        <w:rPr>
          <w:lang w:val="pl-PL"/>
        </w:rPr>
        <w:t>iały nieograniczony dostęp do wszystkich dokumentów</w:t>
      </w:r>
      <w:r w:rsidR="007B61A3" w:rsidRPr="007B61A3">
        <w:rPr>
          <w:lang w:val="pl-PL"/>
        </w:rPr>
        <w:t xml:space="preserve"> </w:t>
      </w:r>
      <w:r w:rsidR="007B61A3">
        <w:rPr>
          <w:lang w:val="pl-PL"/>
        </w:rPr>
        <w:t>niejawnych</w:t>
      </w:r>
      <w:r>
        <w:rPr>
          <w:lang w:val="pl-PL"/>
        </w:rPr>
        <w:t>, na których oparła się Agencja w celu uzasadnienia swej decyzji; były uprawnione d</w:t>
      </w:r>
      <w:r w:rsidR="007B61A3">
        <w:rPr>
          <w:lang w:val="pl-PL"/>
        </w:rPr>
        <w:t>o</w:t>
      </w:r>
      <w:r>
        <w:rPr>
          <w:lang w:val="pl-PL"/>
        </w:rPr>
        <w:t xml:space="preserve"> przeprowadzenia szczegółowego badania uzasadnienia podanego przez Agencję </w:t>
      </w:r>
      <w:r w:rsidR="007B61A3">
        <w:rPr>
          <w:lang w:val="pl-PL"/>
        </w:rPr>
        <w:t>na rzecz</w:t>
      </w:r>
      <w:r>
        <w:rPr>
          <w:lang w:val="pl-PL"/>
        </w:rPr>
        <w:t xml:space="preserve"> nieujawniania dokument</w:t>
      </w:r>
      <w:r w:rsidR="007B61A3">
        <w:rPr>
          <w:lang w:val="pl-PL"/>
        </w:rPr>
        <w:t xml:space="preserve">ów niejawnych; mogły </w:t>
      </w:r>
      <w:r w:rsidR="009133B3">
        <w:rPr>
          <w:lang w:val="pl-PL"/>
        </w:rPr>
        <w:t>także</w:t>
      </w:r>
      <w:r>
        <w:rPr>
          <w:lang w:val="pl-PL"/>
        </w:rPr>
        <w:t xml:space="preserve"> </w:t>
      </w:r>
      <w:r w:rsidR="009C632A">
        <w:rPr>
          <w:lang w:val="pl-PL"/>
        </w:rPr>
        <w:t>postanowić o</w:t>
      </w:r>
      <w:r>
        <w:rPr>
          <w:lang w:val="pl-PL"/>
        </w:rPr>
        <w:t xml:space="preserve"> ujawnieni</w:t>
      </w:r>
      <w:r w:rsidR="009C632A">
        <w:rPr>
          <w:lang w:val="pl-PL"/>
        </w:rPr>
        <w:t>u</w:t>
      </w:r>
      <w:r>
        <w:rPr>
          <w:lang w:val="pl-PL"/>
        </w:rPr>
        <w:t xml:space="preserve"> tych dokumentów, co do których uznały, że brak jest potrzeby klasyfikowania</w:t>
      </w:r>
      <w:r w:rsidR="009C632A">
        <w:rPr>
          <w:lang w:val="pl-PL"/>
        </w:rPr>
        <w:t xml:space="preserve"> ich</w:t>
      </w:r>
      <w:r>
        <w:rPr>
          <w:lang w:val="pl-PL"/>
        </w:rPr>
        <w:t xml:space="preserve"> jako niejawn</w:t>
      </w:r>
      <w:r w:rsidR="009C632A">
        <w:rPr>
          <w:lang w:val="pl-PL"/>
        </w:rPr>
        <w:t>ych</w:t>
      </w:r>
      <w:r>
        <w:rPr>
          <w:lang w:val="pl-PL"/>
        </w:rPr>
        <w:t xml:space="preserve">. Mogły również ocenić co do istoty decyzję Agencji </w:t>
      </w:r>
      <w:proofErr w:type="spellStart"/>
      <w:r>
        <w:rPr>
          <w:lang w:val="pl-PL"/>
        </w:rPr>
        <w:t>ws</w:t>
      </w:r>
      <w:proofErr w:type="spellEnd"/>
      <w:r>
        <w:rPr>
          <w:lang w:val="pl-PL"/>
        </w:rPr>
        <w:t xml:space="preserve">. </w:t>
      </w:r>
      <w:r w:rsidR="00B27822">
        <w:rPr>
          <w:lang w:val="pl-PL"/>
        </w:rPr>
        <w:t>cofnięcia</w:t>
      </w:r>
      <w:r>
        <w:rPr>
          <w:lang w:val="pl-PL"/>
        </w:rPr>
        <w:t xml:space="preserve"> poświadczenia bezpieczeństwa i tam, gdzie to stosowne, uchylić arbitralną decyzję. Ich jurysdykcja obejmowała wszystkie okoliczności faktyczne sprawy i nie była ograniczona do badania jedynie po</w:t>
      </w:r>
      <w:r w:rsidR="007B61A3">
        <w:rPr>
          <w:lang w:val="pl-PL"/>
        </w:rPr>
        <w:t>dstaw</w:t>
      </w:r>
      <w:r>
        <w:rPr>
          <w:lang w:val="pl-PL"/>
        </w:rPr>
        <w:t>, na których opierał się</w:t>
      </w:r>
      <w:r w:rsidR="00FA1101">
        <w:rPr>
          <w:lang w:val="pl-PL"/>
        </w:rPr>
        <w:t> </w:t>
      </w:r>
      <w:r>
        <w:rPr>
          <w:lang w:val="pl-PL"/>
        </w:rPr>
        <w:t xml:space="preserve">skarżący, </w:t>
      </w:r>
      <w:r w:rsidR="00417177">
        <w:rPr>
          <w:lang w:val="pl-PL"/>
        </w:rPr>
        <w:t>przy czym</w:t>
      </w:r>
      <w:r w:rsidR="007B61A3">
        <w:rPr>
          <w:lang w:val="pl-PL"/>
        </w:rPr>
        <w:t xml:space="preserve"> </w:t>
      </w:r>
      <w:r>
        <w:rPr>
          <w:lang w:val="pl-PL"/>
        </w:rPr>
        <w:t xml:space="preserve">został </w:t>
      </w:r>
      <w:r w:rsidR="00C504AD">
        <w:rPr>
          <w:lang w:val="pl-PL"/>
        </w:rPr>
        <w:t xml:space="preserve">on </w:t>
      </w:r>
      <w:r>
        <w:rPr>
          <w:lang w:val="pl-PL"/>
        </w:rPr>
        <w:t xml:space="preserve">przesłuchany przez sędziów i miał możliwość przedkładania swych oświadczeń również na piśmie. </w:t>
      </w:r>
    </w:p>
    <w:p w:rsidR="00C15C3B" w:rsidRPr="00C15C3B" w:rsidRDefault="00C15C3B">
      <w:pPr>
        <w:pStyle w:val="ClinContent"/>
        <w:rPr>
          <w:lang w:val="pl-PL"/>
        </w:rPr>
      </w:pPr>
      <w:r w:rsidRPr="00C15C3B">
        <w:rPr>
          <w:lang w:val="pl-PL"/>
        </w:rPr>
        <w:t>Sądy krajowe należycie wykonały uprawnienia kontr</w:t>
      </w:r>
      <w:r>
        <w:rPr>
          <w:lang w:val="pl-PL"/>
        </w:rPr>
        <w:t xml:space="preserve">olne </w:t>
      </w:r>
      <w:r w:rsidR="00E37230" w:rsidRPr="00C15C3B">
        <w:rPr>
          <w:lang w:val="pl-PL"/>
        </w:rPr>
        <w:t xml:space="preserve">przysługujące im </w:t>
      </w:r>
      <w:r>
        <w:rPr>
          <w:lang w:val="pl-PL"/>
        </w:rPr>
        <w:t>w t</w:t>
      </w:r>
      <w:r w:rsidR="00E37230">
        <w:rPr>
          <w:lang w:val="pl-PL"/>
        </w:rPr>
        <w:t xml:space="preserve">ego typu postępowaniach, zarówno w odniesieniu do </w:t>
      </w:r>
      <w:r w:rsidR="009133B3">
        <w:rPr>
          <w:lang w:val="pl-PL"/>
        </w:rPr>
        <w:t xml:space="preserve">[oceny] </w:t>
      </w:r>
      <w:r w:rsidR="00E37230">
        <w:rPr>
          <w:lang w:val="pl-PL"/>
        </w:rPr>
        <w:t>potrzeby zachowania poufności dokumentów</w:t>
      </w:r>
      <w:r w:rsidR="007B61A3" w:rsidRPr="007B61A3">
        <w:rPr>
          <w:lang w:val="pl-PL"/>
        </w:rPr>
        <w:t xml:space="preserve"> </w:t>
      </w:r>
      <w:r w:rsidR="007B61A3">
        <w:rPr>
          <w:lang w:val="pl-PL"/>
        </w:rPr>
        <w:t>niejawnych</w:t>
      </w:r>
      <w:r w:rsidR="00E37230">
        <w:rPr>
          <w:lang w:val="pl-PL"/>
        </w:rPr>
        <w:t>, jak też w odniesieniu do</w:t>
      </w:r>
      <w:r w:rsidR="009133B3">
        <w:rPr>
          <w:lang w:val="pl-PL"/>
        </w:rPr>
        <w:t xml:space="preserve"> [oceny]</w:t>
      </w:r>
      <w:r w:rsidR="00E37230">
        <w:rPr>
          <w:lang w:val="pl-PL"/>
        </w:rPr>
        <w:t xml:space="preserve"> uzasadnienia decyzji </w:t>
      </w:r>
      <w:proofErr w:type="spellStart"/>
      <w:r w:rsidR="00B27822">
        <w:rPr>
          <w:lang w:val="pl-PL"/>
        </w:rPr>
        <w:t>ws</w:t>
      </w:r>
      <w:proofErr w:type="spellEnd"/>
      <w:r w:rsidR="00B27822">
        <w:rPr>
          <w:lang w:val="pl-PL"/>
        </w:rPr>
        <w:t>.</w:t>
      </w:r>
      <w:r w:rsidR="00FA1101">
        <w:rPr>
          <w:lang w:val="pl-PL"/>
        </w:rPr>
        <w:t> </w:t>
      </w:r>
      <w:r w:rsidR="00B27822">
        <w:rPr>
          <w:lang w:val="pl-PL"/>
        </w:rPr>
        <w:t>cofnięcia</w:t>
      </w:r>
      <w:r w:rsidR="00E37230">
        <w:rPr>
          <w:lang w:val="pl-PL"/>
        </w:rPr>
        <w:t xml:space="preserve"> poświadczenie bezpieczeństwa skarżącego, </w:t>
      </w:r>
      <w:r w:rsidR="007B61A3">
        <w:rPr>
          <w:lang w:val="pl-PL"/>
        </w:rPr>
        <w:t>uzasadniając swe orzeczenia</w:t>
      </w:r>
      <w:r w:rsidR="00E37230">
        <w:rPr>
          <w:lang w:val="pl-PL"/>
        </w:rPr>
        <w:t xml:space="preserve"> z</w:t>
      </w:r>
      <w:r w:rsidR="00FA1101">
        <w:rPr>
          <w:lang w:val="pl-PL"/>
        </w:rPr>
        <w:t> </w:t>
      </w:r>
      <w:r w:rsidR="00E37230">
        <w:rPr>
          <w:lang w:val="pl-PL"/>
        </w:rPr>
        <w:t xml:space="preserve">uwzględnieniem konkretnych okoliczności </w:t>
      </w:r>
      <w:r w:rsidR="00CE6EB6">
        <w:rPr>
          <w:lang w:val="pl-PL"/>
        </w:rPr>
        <w:t>przedmiotowej</w:t>
      </w:r>
      <w:r w:rsidR="00E37230">
        <w:rPr>
          <w:lang w:val="pl-PL"/>
        </w:rPr>
        <w:t xml:space="preserve"> sprawy.  </w:t>
      </w:r>
    </w:p>
    <w:p w:rsidR="00E37230" w:rsidRPr="00E37230" w:rsidRDefault="009133B3">
      <w:pPr>
        <w:pStyle w:val="ClinContent"/>
        <w:rPr>
          <w:lang w:val="pl-PL"/>
        </w:rPr>
      </w:pPr>
      <w:r>
        <w:rPr>
          <w:lang w:val="pl-PL"/>
        </w:rPr>
        <w:lastRenderedPageBreak/>
        <w:t>I tak</w:t>
      </w:r>
      <w:r w:rsidR="00E37230" w:rsidRPr="00E37230">
        <w:rPr>
          <w:lang w:val="pl-PL"/>
        </w:rPr>
        <w:t xml:space="preserve">, Naczelny Sąd Administracyjny uznał, że ujawnienie dokumentów </w:t>
      </w:r>
      <w:r w:rsidR="007B61A3">
        <w:rPr>
          <w:lang w:val="pl-PL"/>
        </w:rPr>
        <w:t xml:space="preserve">niejawnych </w:t>
      </w:r>
      <w:r w:rsidR="00E37230" w:rsidRPr="00E37230">
        <w:rPr>
          <w:lang w:val="pl-PL"/>
        </w:rPr>
        <w:t>mogło skutkować ujawnieniem metod pracy słu</w:t>
      </w:r>
      <w:r w:rsidR="00E37230">
        <w:rPr>
          <w:lang w:val="pl-PL"/>
        </w:rPr>
        <w:t>żby wywiadowczej, ujawniając jej</w:t>
      </w:r>
      <w:r w:rsidR="00E37230" w:rsidRPr="00E37230">
        <w:rPr>
          <w:lang w:val="pl-PL"/>
        </w:rPr>
        <w:t xml:space="preserve"> źródła </w:t>
      </w:r>
      <w:r w:rsidR="00E37230">
        <w:rPr>
          <w:lang w:val="pl-PL"/>
        </w:rPr>
        <w:t>informacji lub prowadząc do prób wpływania na potencjalnych świadków. Wyjaśnił, że</w:t>
      </w:r>
      <w:r w:rsidR="00FA1101">
        <w:rPr>
          <w:lang w:val="pl-PL"/>
        </w:rPr>
        <w:t> </w:t>
      </w:r>
      <w:r w:rsidR="00E37230">
        <w:rPr>
          <w:lang w:val="pl-PL"/>
        </w:rPr>
        <w:t>z</w:t>
      </w:r>
      <w:r w:rsidR="00FA1101">
        <w:rPr>
          <w:lang w:val="pl-PL"/>
        </w:rPr>
        <w:t> </w:t>
      </w:r>
      <w:r w:rsidR="00E37230">
        <w:rPr>
          <w:lang w:val="pl-PL"/>
        </w:rPr>
        <w:t>prawnego punktu widzenia nie było możliwe wskazanie, gdzie dokładnie występuje zagrożenie bezpieczeństwa, lub precyzyjne wskazanie względów leżących u podstaw decyzji Agencji wynikającej wyłącznie z informacji niejawnej. Stosownie do tego nic nie</w:t>
      </w:r>
      <w:r w:rsidR="00FA1101">
        <w:rPr>
          <w:lang w:val="pl-PL"/>
        </w:rPr>
        <w:t> </w:t>
      </w:r>
      <w:r w:rsidR="00E37230">
        <w:rPr>
          <w:lang w:val="pl-PL"/>
        </w:rPr>
        <w:t xml:space="preserve">wskazuje, by decyzja o opatrzeniu klauzulą przedmiotowych dokumentów była podjęta w sposób arbitralny lub </w:t>
      </w:r>
      <w:r w:rsidR="00A257B3">
        <w:rPr>
          <w:lang w:val="pl-PL"/>
        </w:rPr>
        <w:t>służyła innym celom</w:t>
      </w:r>
      <w:r w:rsidR="00E37230">
        <w:rPr>
          <w:lang w:val="pl-PL"/>
        </w:rPr>
        <w:t xml:space="preserve"> niż wskazany uprawniony interes, do którego </w:t>
      </w:r>
      <w:r w:rsidR="00417177">
        <w:rPr>
          <w:lang w:val="pl-PL"/>
        </w:rPr>
        <w:t xml:space="preserve">realizacji </w:t>
      </w:r>
      <w:r w:rsidR="00E37230">
        <w:rPr>
          <w:lang w:val="pl-PL"/>
        </w:rPr>
        <w:t xml:space="preserve">dążono. </w:t>
      </w:r>
    </w:p>
    <w:p w:rsidR="00E37230" w:rsidRPr="00E37230" w:rsidRDefault="00E37230">
      <w:pPr>
        <w:pStyle w:val="ClinContent"/>
        <w:rPr>
          <w:lang w:val="pl-PL"/>
        </w:rPr>
      </w:pPr>
      <w:r w:rsidRPr="00E37230">
        <w:rPr>
          <w:lang w:val="pl-PL"/>
        </w:rPr>
        <w:t xml:space="preserve">W opinii Naczelnego Sądu Administracyjnego </w:t>
      </w:r>
      <w:r>
        <w:rPr>
          <w:lang w:val="pl-PL"/>
        </w:rPr>
        <w:t xml:space="preserve">z niejawnych dokumentów w sposób jednoznaczny </w:t>
      </w:r>
      <w:r w:rsidR="00B954B1">
        <w:rPr>
          <w:lang w:val="pl-PL"/>
        </w:rPr>
        <w:t>wynikało</w:t>
      </w:r>
      <w:r>
        <w:rPr>
          <w:lang w:val="pl-PL"/>
        </w:rPr>
        <w:t xml:space="preserve">, że skarżący nie </w:t>
      </w:r>
      <w:r w:rsidR="00B954B1">
        <w:rPr>
          <w:lang w:val="pl-PL"/>
        </w:rPr>
        <w:t>spełniał już wymogów ustawowych, by</w:t>
      </w:r>
      <w:r w:rsidR="00FA1101">
        <w:rPr>
          <w:lang w:val="pl-PL"/>
        </w:rPr>
        <w:t> </w:t>
      </w:r>
      <w:r w:rsidR="00B954B1">
        <w:rPr>
          <w:lang w:val="pl-PL"/>
        </w:rPr>
        <w:t>powierzano mu tajemnice państwowe. Jego postępowanie narażało bezpieczeństwo narodowe na zagrożenie. W tym względzie, w marcu 201</w:t>
      </w:r>
      <w:r w:rsidR="009133B3">
        <w:rPr>
          <w:lang w:val="pl-PL"/>
        </w:rPr>
        <w:t>1 r. wobec skarżącego prowadzone było</w:t>
      </w:r>
      <w:r w:rsidR="00B954B1">
        <w:rPr>
          <w:lang w:val="pl-PL"/>
        </w:rPr>
        <w:t xml:space="preserve"> dochodzenie </w:t>
      </w:r>
      <w:r w:rsidR="00A257B3">
        <w:rPr>
          <w:lang w:val="pl-PL"/>
        </w:rPr>
        <w:t>dotyczące</w:t>
      </w:r>
      <w:r w:rsidR="00B954B1">
        <w:rPr>
          <w:lang w:val="pl-PL"/>
        </w:rPr>
        <w:t xml:space="preserve"> udziału w przestępczości zorganizowanej, </w:t>
      </w:r>
      <w:r w:rsidR="00A257B3">
        <w:rPr>
          <w:lang w:val="pl-PL"/>
        </w:rPr>
        <w:t>pomocnictwa</w:t>
      </w:r>
      <w:r w:rsidR="00B954B1">
        <w:rPr>
          <w:lang w:val="pl-PL"/>
        </w:rPr>
        <w:t xml:space="preserve"> </w:t>
      </w:r>
      <w:r w:rsidR="00E507A0">
        <w:rPr>
          <w:lang w:val="pl-PL"/>
        </w:rPr>
        <w:t>i podżegania do nadużycia</w:t>
      </w:r>
      <w:r w:rsidR="00B954B1">
        <w:rPr>
          <w:lang w:val="pl-PL"/>
        </w:rPr>
        <w:t xml:space="preserve"> władzy publicznej; współudziału w nielegalnym wpływaniu na procedury przetargów i zamówień publicznych, a także </w:t>
      </w:r>
      <w:r w:rsidR="00A257B3">
        <w:rPr>
          <w:lang w:val="pl-PL"/>
        </w:rPr>
        <w:t>podżegania i</w:t>
      </w:r>
      <w:r w:rsidR="00FA1101">
        <w:rPr>
          <w:lang w:val="pl-PL"/>
        </w:rPr>
        <w:t> </w:t>
      </w:r>
      <w:r w:rsidR="00A257B3">
        <w:rPr>
          <w:lang w:val="pl-PL"/>
        </w:rPr>
        <w:t>pomocnictwa</w:t>
      </w:r>
      <w:r w:rsidR="00B954B1">
        <w:rPr>
          <w:lang w:val="pl-PL"/>
        </w:rPr>
        <w:t xml:space="preserve"> w naruszaniu obowiązujących regulacji dotyczących </w:t>
      </w:r>
      <w:r w:rsidR="00C30986">
        <w:rPr>
          <w:lang w:val="pl-PL"/>
        </w:rPr>
        <w:t>relacji</w:t>
      </w:r>
      <w:r w:rsidR="00B954B1">
        <w:rPr>
          <w:lang w:val="pl-PL"/>
        </w:rPr>
        <w:t xml:space="preserve"> gospodarczych.</w:t>
      </w:r>
      <w:r w:rsidR="00C30986">
        <w:rPr>
          <w:lang w:val="pl-PL"/>
        </w:rPr>
        <w:t xml:space="preserve"> Zrozumiałe było, że w sytuacji, gdy istniały takie podejrzenia, władze uznały za</w:t>
      </w:r>
      <w:r w:rsidR="00FA1101">
        <w:rPr>
          <w:lang w:val="pl-PL"/>
        </w:rPr>
        <w:t> </w:t>
      </w:r>
      <w:r w:rsidR="00C30986">
        <w:rPr>
          <w:lang w:val="pl-PL"/>
        </w:rPr>
        <w:t>konieczne podjąć szyb</w:t>
      </w:r>
      <w:r w:rsidR="00CE6EB6">
        <w:rPr>
          <w:lang w:val="pl-PL"/>
        </w:rPr>
        <w:t>k</w:t>
      </w:r>
      <w:r w:rsidR="00C30986">
        <w:rPr>
          <w:lang w:val="pl-PL"/>
        </w:rPr>
        <w:t xml:space="preserve">ie działania bez oczekiwania na wynik postępowania karnego, jednocześnie uniemożliwiając ujawnienie na tym wczesnym etapie podejrzeń dotyczących osób zainteresowanych, co wiązałoby się z ryzykiem utrudnienia śledztwa. </w:t>
      </w:r>
    </w:p>
    <w:p w:rsidR="00C30986" w:rsidRPr="00C30986" w:rsidRDefault="00C30986">
      <w:pPr>
        <w:pStyle w:val="ClinContent"/>
        <w:rPr>
          <w:lang w:val="pl-PL"/>
        </w:rPr>
      </w:pPr>
      <w:r w:rsidRPr="00C30986">
        <w:rPr>
          <w:lang w:val="pl-PL"/>
        </w:rPr>
        <w:t>Tym</w:t>
      </w:r>
      <w:r>
        <w:rPr>
          <w:lang w:val="pl-PL"/>
        </w:rPr>
        <w:t xml:space="preserve"> </w:t>
      </w:r>
      <w:r w:rsidRPr="00C30986">
        <w:rPr>
          <w:lang w:val="pl-PL"/>
        </w:rPr>
        <w:t xml:space="preserve">niemniej, byłoby pożądane – w zakresie zgodnym z </w:t>
      </w:r>
      <w:r>
        <w:rPr>
          <w:lang w:val="pl-PL"/>
        </w:rPr>
        <w:t>zachowaniem poufności i</w:t>
      </w:r>
      <w:r w:rsidR="00FA1101">
        <w:rPr>
          <w:lang w:val="pl-PL"/>
        </w:rPr>
        <w:t> </w:t>
      </w:r>
      <w:r>
        <w:rPr>
          <w:lang w:val="pl-PL"/>
        </w:rPr>
        <w:t xml:space="preserve">skuteczności dochodzeń w sprawie skarżącego – by władze krajowe, a przynajmniej Naczelny Sąd Administracyjny, wyjaśniły, choćby skrótowo, zakres </w:t>
      </w:r>
      <w:r w:rsidR="00A257B3">
        <w:rPr>
          <w:lang w:val="pl-PL"/>
        </w:rPr>
        <w:t>przeprowadzonej przez nie kontroli</w:t>
      </w:r>
      <w:r>
        <w:rPr>
          <w:lang w:val="pl-PL"/>
        </w:rPr>
        <w:t xml:space="preserve"> i </w:t>
      </w:r>
      <w:r w:rsidR="00E507A0">
        <w:rPr>
          <w:lang w:val="pl-PL"/>
        </w:rPr>
        <w:t>zarzutów</w:t>
      </w:r>
      <w:r>
        <w:rPr>
          <w:lang w:val="pl-PL"/>
        </w:rPr>
        <w:t xml:space="preserve"> wobec skarżącego. W tym względzie Trybunał z</w:t>
      </w:r>
      <w:r w:rsidR="00FA1101">
        <w:rPr>
          <w:lang w:val="pl-PL"/>
        </w:rPr>
        <w:t> </w:t>
      </w:r>
      <w:r>
        <w:rPr>
          <w:lang w:val="pl-PL"/>
        </w:rPr>
        <w:t>zadowoleniem odnotował najnowszy</w:t>
      </w:r>
      <w:r w:rsidR="00E507A0">
        <w:rPr>
          <w:lang w:val="pl-PL"/>
        </w:rPr>
        <w:t>,</w:t>
      </w:r>
      <w:r>
        <w:rPr>
          <w:lang w:val="pl-PL"/>
        </w:rPr>
        <w:t xml:space="preserve"> pozytywny rozwój orzecznictwa Naczelnego Sądu Administracyjnego.  </w:t>
      </w:r>
    </w:p>
    <w:p w:rsidR="00C30986" w:rsidRPr="00C30986" w:rsidRDefault="00C30986">
      <w:pPr>
        <w:pStyle w:val="ClinContent"/>
        <w:rPr>
          <w:lang w:val="pl-PL"/>
        </w:rPr>
      </w:pPr>
      <w:r w:rsidRPr="00C30986">
        <w:rPr>
          <w:lang w:val="pl-PL"/>
        </w:rPr>
        <w:t>Mając na względzie postępowanie jako całość, chara</w:t>
      </w:r>
      <w:r>
        <w:rPr>
          <w:lang w:val="pl-PL"/>
        </w:rPr>
        <w:t>k</w:t>
      </w:r>
      <w:r w:rsidRPr="00C30986">
        <w:rPr>
          <w:lang w:val="pl-PL"/>
        </w:rPr>
        <w:t xml:space="preserve">ter sporu oraz margines </w:t>
      </w:r>
      <w:r>
        <w:rPr>
          <w:lang w:val="pl-PL"/>
        </w:rPr>
        <w:t>ocen</w:t>
      </w:r>
      <w:r w:rsidRPr="00C30986">
        <w:rPr>
          <w:lang w:val="pl-PL"/>
        </w:rPr>
        <w:t>y przysługujący władzom krajowym, ograniczenia zmniejszające korzystanie przez</w:t>
      </w:r>
      <w:r w:rsidR="00FA1101">
        <w:rPr>
          <w:lang w:val="pl-PL"/>
        </w:rPr>
        <w:t> </w:t>
      </w:r>
      <w:r w:rsidRPr="00C30986">
        <w:rPr>
          <w:lang w:val="pl-PL"/>
        </w:rPr>
        <w:t>skarżącego z praw przyznanych mu zgodnie z zasadami kontradyktoryjności i</w:t>
      </w:r>
      <w:r w:rsidR="00B928DA">
        <w:rPr>
          <w:lang w:val="pl-PL"/>
        </w:rPr>
        <w:t> </w:t>
      </w:r>
      <w:r w:rsidRPr="00C30986">
        <w:rPr>
          <w:lang w:val="pl-PL"/>
        </w:rPr>
        <w:t xml:space="preserve">równości broni </w:t>
      </w:r>
      <w:r>
        <w:rPr>
          <w:lang w:val="pl-PL"/>
        </w:rPr>
        <w:t xml:space="preserve">w postępowaniu </w:t>
      </w:r>
      <w:r w:rsidRPr="00C30986">
        <w:rPr>
          <w:lang w:val="pl-PL"/>
        </w:rPr>
        <w:t>zostały zr</w:t>
      </w:r>
      <w:r>
        <w:rPr>
          <w:lang w:val="pl-PL"/>
        </w:rPr>
        <w:t>ekompensowane</w:t>
      </w:r>
      <w:r w:rsidRPr="00C30986">
        <w:rPr>
          <w:lang w:val="pl-PL"/>
        </w:rPr>
        <w:t xml:space="preserve"> w </w:t>
      </w:r>
      <w:r>
        <w:rPr>
          <w:lang w:val="pl-PL"/>
        </w:rPr>
        <w:t xml:space="preserve">taki </w:t>
      </w:r>
      <w:r w:rsidRPr="00C30986">
        <w:rPr>
          <w:lang w:val="pl-PL"/>
        </w:rPr>
        <w:t xml:space="preserve">sposób, </w:t>
      </w:r>
      <w:r>
        <w:rPr>
          <w:lang w:val="pl-PL"/>
        </w:rPr>
        <w:t>że</w:t>
      </w:r>
      <w:r w:rsidR="00B928DA">
        <w:rPr>
          <w:lang w:val="pl-PL"/>
        </w:rPr>
        <w:t> </w:t>
      </w:r>
      <w:r w:rsidR="00A257B3">
        <w:rPr>
          <w:lang w:val="pl-PL"/>
        </w:rPr>
        <w:t>nie</w:t>
      </w:r>
      <w:r w:rsidR="00B928DA">
        <w:rPr>
          <w:lang w:val="pl-PL"/>
        </w:rPr>
        <w:t> </w:t>
      </w:r>
      <w:r w:rsidR="00A257B3">
        <w:rPr>
          <w:lang w:val="pl-PL"/>
        </w:rPr>
        <w:t>wpłynęły</w:t>
      </w:r>
      <w:r w:rsidR="00831384">
        <w:rPr>
          <w:lang w:val="pl-PL"/>
        </w:rPr>
        <w:t xml:space="preserve"> </w:t>
      </w:r>
      <w:r w:rsidR="00A257B3">
        <w:rPr>
          <w:lang w:val="pl-PL"/>
        </w:rPr>
        <w:t>one</w:t>
      </w:r>
      <w:r w:rsidR="00831384">
        <w:rPr>
          <w:lang w:val="pl-PL"/>
        </w:rPr>
        <w:t xml:space="preserve"> na słuszną równowagę</w:t>
      </w:r>
      <w:r>
        <w:rPr>
          <w:lang w:val="pl-PL"/>
        </w:rPr>
        <w:t xml:space="preserve"> między stronami w </w:t>
      </w:r>
      <w:r w:rsidR="009133B3">
        <w:rPr>
          <w:lang w:val="pl-PL"/>
        </w:rPr>
        <w:t>stopniu</w:t>
      </w:r>
      <w:r w:rsidR="00A257B3">
        <w:rPr>
          <w:lang w:val="pl-PL"/>
        </w:rPr>
        <w:t xml:space="preserve"> podważającym </w:t>
      </w:r>
      <w:r>
        <w:rPr>
          <w:lang w:val="pl-PL"/>
        </w:rPr>
        <w:t xml:space="preserve">samą istotę prawa skarżącego do rzetelnego procesu sądowego. </w:t>
      </w:r>
    </w:p>
    <w:p w:rsidR="00831384" w:rsidRPr="00831384" w:rsidRDefault="00831384">
      <w:pPr>
        <w:pStyle w:val="ClinContent"/>
        <w:rPr>
          <w:lang w:val="pl-PL"/>
        </w:rPr>
      </w:pPr>
      <w:r w:rsidRPr="00831384">
        <w:rPr>
          <w:i/>
          <w:lang w:val="pl-PL"/>
        </w:rPr>
        <w:t>Rozstrzygnięcie</w:t>
      </w:r>
      <w:r w:rsidR="00F66201">
        <w:rPr>
          <w:lang w:val="pl-PL"/>
        </w:rPr>
        <w:t>: brak naruszenia (dziesięcioma głosami</w:t>
      </w:r>
      <w:r w:rsidRPr="00831384">
        <w:rPr>
          <w:lang w:val="pl-PL"/>
        </w:rPr>
        <w:t xml:space="preserve"> do siedmiu)</w:t>
      </w:r>
      <w:r w:rsidR="00E15EBB">
        <w:rPr>
          <w:lang w:val="pl-PL"/>
        </w:rPr>
        <w:t>.</w:t>
      </w:r>
    </w:p>
    <w:p w:rsidR="009E2214" w:rsidRPr="00831384" w:rsidRDefault="00862BE8">
      <w:pPr>
        <w:pStyle w:val="ClinContent"/>
        <w:rPr>
          <w:lang w:val="pl-PL"/>
        </w:rPr>
      </w:pPr>
      <w:r w:rsidRPr="00831384">
        <w:rPr>
          <w:lang w:val="pl-PL"/>
        </w:rPr>
        <w:t>(</w:t>
      </w:r>
      <w:r w:rsidR="00831384" w:rsidRPr="00831384">
        <w:rPr>
          <w:lang w:val="pl-PL"/>
        </w:rPr>
        <w:t>Zobacz</w:t>
      </w:r>
      <w:r w:rsidRPr="00831384">
        <w:rPr>
          <w:lang w:val="pl-PL"/>
        </w:rPr>
        <w:t xml:space="preserve"> </w:t>
      </w:r>
      <w:proofErr w:type="spellStart"/>
      <w:r w:rsidRPr="00831384">
        <w:rPr>
          <w:i/>
          <w:lang w:val="pl-PL"/>
        </w:rPr>
        <w:t>Fitt</w:t>
      </w:r>
      <w:proofErr w:type="spellEnd"/>
      <w:r w:rsidRPr="00831384">
        <w:rPr>
          <w:i/>
          <w:lang w:val="pl-PL"/>
        </w:rPr>
        <w:t xml:space="preserve"> </w:t>
      </w:r>
      <w:r w:rsidR="00831384" w:rsidRPr="00831384">
        <w:rPr>
          <w:i/>
          <w:lang w:val="pl-PL"/>
        </w:rPr>
        <w:t>p</w:t>
      </w:r>
      <w:r w:rsidRPr="00831384">
        <w:rPr>
          <w:i/>
          <w:lang w:val="pl-PL"/>
        </w:rPr>
        <w:t xml:space="preserve">. </w:t>
      </w:r>
      <w:r w:rsidR="00D77A00">
        <w:rPr>
          <w:i/>
          <w:lang w:val="pl-PL"/>
        </w:rPr>
        <w:t>Zjednoczonemu</w:t>
      </w:r>
      <w:r w:rsidR="00831384">
        <w:rPr>
          <w:i/>
          <w:lang w:val="pl-PL"/>
        </w:rPr>
        <w:t xml:space="preserve"> Królestwu </w:t>
      </w:r>
      <w:r w:rsidRPr="00831384">
        <w:rPr>
          <w:lang w:val="pl-PL"/>
        </w:rPr>
        <w:t>[</w:t>
      </w:r>
      <w:r w:rsidR="00831384">
        <w:rPr>
          <w:lang w:val="pl-PL"/>
        </w:rPr>
        <w:t>Wielka Brytania</w:t>
      </w:r>
      <w:r w:rsidRPr="00831384">
        <w:rPr>
          <w:lang w:val="pl-PL"/>
        </w:rPr>
        <w:t xml:space="preserve">], </w:t>
      </w:r>
      <w:r w:rsidR="00831384">
        <w:rPr>
          <w:lang w:val="pl-PL"/>
        </w:rPr>
        <w:t xml:space="preserve">skarga nr </w:t>
      </w:r>
      <w:r w:rsidRPr="00831384">
        <w:rPr>
          <w:lang w:val="pl-PL"/>
        </w:rPr>
        <w:t>29777/96, 16 </w:t>
      </w:r>
      <w:r w:rsidR="00831384">
        <w:rPr>
          <w:lang w:val="pl-PL"/>
        </w:rPr>
        <w:t>lutego</w:t>
      </w:r>
      <w:r w:rsidRPr="00831384">
        <w:rPr>
          <w:lang w:val="pl-PL"/>
        </w:rPr>
        <w:t xml:space="preserve"> 2000</w:t>
      </w:r>
      <w:r w:rsidR="00831384">
        <w:rPr>
          <w:lang w:val="pl-PL"/>
        </w:rPr>
        <w:t xml:space="preserve"> r.</w:t>
      </w:r>
      <w:r w:rsidRPr="00831384">
        <w:rPr>
          <w:lang w:val="pl-PL"/>
        </w:rPr>
        <w:t xml:space="preserve">, </w:t>
      </w:r>
      <w:hyperlink r:id="rId9" w:history="1">
        <w:r w:rsidR="00831384">
          <w:rPr>
            <w:rStyle w:val="Hipercze"/>
            <w:lang w:val="pl-PL"/>
          </w:rPr>
          <w:t>Nota inform</w:t>
        </w:r>
        <w:r w:rsidR="00831384">
          <w:rPr>
            <w:rStyle w:val="Hipercze"/>
            <w:lang w:val="pl-PL"/>
          </w:rPr>
          <w:t>a</w:t>
        </w:r>
        <w:r w:rsidR="00831384">
          <w:rPr>
            <w:rStyle w:val="Hipercze"/>
            <w:lang w:val="pl-PL"/>
          </w:rPr>
          <w:t>cyjna nt. orzecznictwa nr</w:t>
        </w:r>
        <w:r w:rsidRPr="00831384">
          <w:rPr>
            <w:rStyle w:val="Hipercze"/>
            <w:lang w:val="pl-PL"/>
          </w:rPr>
          <w:t> 15</w:t>
        </w:r>
      </w:hyperlink>
      <w:r w:rsidR="00831384">
        <w:rPr>
          <w:i/>
          <w:lang w:val="pl-PL"/>
        </w:rPr>
        <w:t xml:space="preserve">; </w:t>
      </w:r>
      <w:proofErr w:type="spellStart"/>
      <w:r w:rsidR="00831384">
        <w:rPr>
          <w:i/>
          <w:lang w:val="pl-PL"/>
        </w:rPr>
        <w:t>Ternovskis</w:t>
      </w:r>
      <w:proofErr w:type="spellEnd"/>
      <w:r w:rsidR="00831384">
        <w:rPr>
          <w:i/>
          <w:lang w:val="pl-PL"/>
        </w:rPr>
        <w:t xml:space="preserve"> p</w:t>
      </w:r>
      <w:r w:rsidRPr="00831384">
        <w:rPr>
          <w:i/>
          <w:lang w:val="pl-PL"/>
        </w:rPr>
        <w:t>. </w:t>
      </w:r>
      <w:r w:rsidR="00831384">
        <w:rPr>
          <w:i/>
          <w:lang w:val="pl-PL"/>
        </w:rPr>
        <w:t>Łotwie</w:t>
      </w:r>
      <w:r w:rsidRPr="00831384">
        <w:rPr>
          <w:lang w:val="pl-PL"/>
        </w:rPr>
        <w:t xml:space="preserve">, </w:t>
      </w:r>
      <w:r w:rsidR="00831384">
        <w:rPr>
          <w:lang w:val="pl-PL"/>
        </w:rPr>
        <w:t xml:space="preserve">skarga nr </w:t>
      </w:r>
      <w:hyperlink r:id="rId10" w:history="1">
        <w:r w:rsidRPr="00831384">
          <w:rPr>
            <w:rStyle w:val="Hipercze"/>
            <w:lang w:val="pl-PL"/>
          </w:rPr>
          <w:t>33637/02</w:t>
        </w:r>
      </w:hyperlink>
      <w:r w:rsidRPr="00831384">
        <w:rPr>
          <w:lang w:val="pl-PL"/>
        </w:rPr>
        <w:t xml:space="preserve">, 29 </w:t>
      </w:r>
      <w:r w:rsidR="00831384">
        <w:rPr>
          <w:lang w:val="pl-PL"/>
        </w:rPr>
        <w:t xml:space="preserve">kwietnia </w:t>
      </w:r>
      <w:r w:rsidRPr="00831384">
        <w:rPr>
          <w:lang w:val="pl-PL"/>
        </w:rPr>
        <w:t>2014</w:t>
      </w:r>
      <w:r w:rsidR="00831384">
        <w:rPr>
          <w:lang w:val="pl-PL"/>
        </w:rPr>
        <w:t xml:space="preserve"> r.</w:t>
      </w:r>
      <w:r w:rsidRPr="00831384">
        <w:rPr>
          <w:lang w:val="pl-PL"/>
        </w:rPr>
        <w:t xml:space="preserve">; </w:t>
      </w:r>
      <w:proofErr w:type="spellStart"/>
      <w:r w:rsidRPr="00831384">
        <w:rPr>
          <w:i/>
          <w:lang w:val="pl-PL"/>
        </w:rPr>
        <w:t>Schatschaschwili</w:t>
      </w:r>
      <w:proofErr w:type="spellEnd"/>
      <w:r w:rsidRPr="00831384">
        <w:rPr>
          <w:i/>
          <w:lang w:val="pl-PL"/>
        </w:rPr>
        <w:t xml:space="preserve"> </w:t>
      </w:r>
      <w:r w:rsidR="00831384">
        <w:rPr>
          <w:i/>
          <w:lang w:val="pl-PL"/>
        </w:rPr>
        <w:t>p</w:t>
      </w:r>
      <w:r w:rsidRPr="00831384">
        <w:rPr>
          <w:i/>
          <w:lang w:val="pl-PL"/>
        </w:rPr>
        <w:t xml:space="preserve">. </w:t>
      </w:r>
      <w:r w:rsidR="00831384">
        <w:rPr>
          <w:i/>
          <w:lang w:val="pl-PL"/>
        </w:rPr>
        <w:t xml:space="preserve">Niemcom </w:t>
      </w:r>
      <w:r w:rsidRPr="00831384">
        <w:rPr>
          <w:lang w:val="pl-PL"/>
        </w:rPr>
        <w:t>[</w:t>
      </w:r>
      <w:r w:rsidR="00831384">
        <w:rPr>
          <w:lang w:val="pl-PL"/>
        </w:rPr>
        <w:t>Wielka Izba</w:t>
      </w:r>
      <w:r w:rsidRPr="00831384">
        <w:rPr>
          <w:lang w:val="pl-PL"/>
        </w:rPr>
        <w:t xml:space="preserve">], </w:t>
      </w:r>
      <w:r w:rsidR="00831384">
        <w:rPr>
          <w:lang w:val="pl-PL"/>
        </w:rPr>
        <w:t xml:space="preserve">skarga nr </w:t>
      </w:r>
      <w:r w:rsidRPr="00831384">
        <w:rPr>
          <w:lang w:val="pl-PL"/>
        </w:rPr>
        <w:t xml:space="preserve">9154/10, 15 </w:t>
      </w:r>
      <w:r w:rsidR="00831384">
        <w:rPr>
          <w:lang w:val="pl-PL"/>
        </w:rPr>
        <w:t xml:space="preserve">grudnia </w:t>
      </w:r>
      <w:r w:rsidRPr="00831384">
        <w:rPr>
          <w:lang w:val="pl-PL"/>
        </w:rPr>
        <w:t>2015</w:t>
      </w:r>
      <w:r w:rsidR="00831384">
        <w:rPr>
          <w:lang w:val="pl-PL"/>
        </w:rPr>
        <w:t xml:space="preserve"> r.</w:t>
      </w:r>
      <w:r w:rsidRPr="00831384">
        <w:rPr>
          <w:lang w:val="pl-PL"/>
        </w:rPr>
        <w:t xml:space="preserve">, </w:t>
      </w:r>
      <w:hyperlink r:id="rId11" w:history="1">
        <w:r w:rsidR="00831384">
          <w:rPr>
            <w:rStyle w:val="Hipercze"/>
            <w:lang w:val="pl-PL"/>
          </w:rPr>
          <w:t>Nota infor</w:t>
        </w:r>
        <w:r w:rsidR="00831384">
          <w:rPr>
            <w:rStyle w:val="Hipercze"/>
            <w:lang w:val="pl-PL"/>
          </w:rPr>
          <w:t>m</w:t>
        </w:r>
        <w:r w:rsidR="00831384">
          <w:rPr>
            <w:rStyle w:val="Hipercze"/>
            <w:lang w:val="pl-PL"/>
          </w:rPr>
          <w:t>acyjna nt. orzecznictwa nr</w:t>
        </w:r>
        <w:r w:rsidRPr="00831384">
          <w:rPr>
            <w:rStyle w:val="Hipercze"/>
            <w:lang w:val="pl-PL"/>
          </w:rPr>
          <w:t> 191</w:t>
        </w:r>
      </w:hyperlink>
      <w:r w:rsidR="00831384">
        <w:rPr>
          <w:rStyle w:val="Odwoanieprzypisudolnego"/>
          <w:color w:val="0069D6"/>
          <w:u w:val="single"/>
        </w:rPr>
        <w:footnoteReference w:id="1"/>
      </w:r>
      <w:r w:rsidRPr="00831384">
        <w:rPr>
          <w:lang w:val="pl-PL"/>
        </w:rPr>
        <w:t xml:space="preserve">; </w:t>
      </w:r>
      <w:r w:rsidR="00831384">
        <w:rPr>
          <w:lang w:val="pl-PL"/>
        </w:rPr>
        <w:t>a</w:t>
      </w:r>
      <w:r w:rsidR="00FA1101">
        <w:rPr>
          <w:lang w:val="pl-PL"/>
        </w:rPr>
        <w:t> </w:t>
      </w:r>
      <w:r w:rsidR="00831384">
        <w:rPr>
          <w:lang w:val="pl-PL"/>
        </w:rPr>
        <w:t xml:space="preserve">także </w:t>
      </w:r>
      <w:proofErr w:type="spellStart"/>
      <w:r w:rsidRPr="00831384">
        <w:rPr>
          <w:i/>
          <w:lang w:val="pl-PL"/>
        </w:rPr>
        <w:t>Miryana</w:t>
      </w:r>
      <w:proofErr w:type="spellEnd"/>
      <w:r w:rsidRPr="00831384">
        <w:rPr>
          <w:i/>
          <w:lang w:val="pl-PL"/>
        </w:rPr>
        <w:t xml:space="preserve"> </w:t>
      </w:r>
      <w:proofErr w:type="spellStart"/>
      <w:r w:rsidRPr="00831384">
        <w:rPr>
          <w:i/>
          <w:lang w:val="pl-PL"/>
        </w:rPr>
        <w:t>Petrova</w:t>
      </w:r>
      <w:proofErr w:type="spellEnd"/>
      <w:r w:rsidRPr="00831384">
        <w:rPr>
          <w:i/>
          <w:lang w:val="pl-PL"/>
        </w:rPr>
        <w:t xml:space="preserve"> </w:t>
      </w:r>
      <w:r w:rsidR="00831384">
        <w:rPr>
          <w:i/>
          <w:lang w:val="pl-PL"/>
        </w:rPr>
        <w:t>p</w:t>
      </w:r>
      <w:r w:rsidRPr="00831384">
        <w:rPr>
          <w:i/>
          <w:lang w:val="pl-PL"/>
        </w:rPr>
        <w:t>. Bu</w:t>
      </w:r>
      <w:r w:rsidR="00831384">
        <w:rPr>
          <w:i/>
          <w:lang w:val="pl-PL"/>
        </w:rPr>
        <w:t>łgarii</w:t>
      </w:r>
      <w:r w:rsidRPr="00831384">
        <w:rPr>
          <w:lang w:val="pl-PL"/>
        </w:rPr>
        <w:t xml:space="preserve">, </w:t>
      </w:r>
      <w:r w:rsidR="00831384">
        <w:rPr>
          <w:lang w:val="pl-PL"/>
        </w:rPr>
        <w:t xml:space="preserve">skarga nr </w:t>
      </w:r>
      <w:hyperlink r:id="rId12" w:history="1">
        <w:r w:rsidRPr="00831384">
          <w:rPr>
            <w:rStyle w:val="Hipercze"/>
            <w:lang w:val="pl-PL"/>
          </w:rPr>
          <w:t>571</w:t>
        </w:r>
        <w:r w:rsidRPr="00831384">
          <w:rPr>
            <w:rStyle w:val="Hipercze"/>
            <w:lang w:val="pl-PL"/>
          </w:rPr>
          <w:t>4</w:t>
        </w:r>
        <w:r w:rsidRPr="00831384">
          <w:rPr>
            <w:rStyle w:val="Hipercze"/>
            <w:lang w:val="pl-PL"/>
          </w:rPr>
          <w:t>8/08</w:t>
        </w:r>
      </w:hyperlink>
      <w:r w:rsidRPr="00831384">
        <w:rPr>
          <w:lang w:val="pl-PL"/>
        </w:rPr>
        <w:t xml:space="preserve">, 21 </w:t>
      </w:r>
      <w:r w:rsidR="00831384">
        <w:rPr>
          <w:lang w:val="pl-PL"/>
        </w:rPr>
        <w:t xml:space="preserve">lipca </w:t>
      </w:r>
      <w:r w:rsidRPr="00831384">
        <w:rPr>
          <w:lang w:val="pl-PL"/>
        </w:rPr>
        <w:t>2016</w:t>
      </w:r>
      <w:r w:rsidR="00831384">
        <w:rPr>
          <w:lang w:val="pl-PL"/>
        </w:rPr>
        <w:t xml:space="preserve"> r.</w:t>
      </w:r>
      <w:r w:rsidRPr="00831384">
        <w:rPr>
          <w:lang w:val="pl-PL"/>
        </w:rPr>
        <w:t>)</w:t>
      </w:r>
    </w:p>
    <w:p w:rsidR="009E2214" w:rsidRPr="00831384" w:rsidRDefault="009E2214">
      <w:pPr>
        <w:pBdr>
          <w:bottom w:val="single" w:sz="8" w:space="1" w:color="auto"/>
        </w:pBdr>
        <w:rPr>
          <w:lang w:val="pl-PL"/>
        </w:rPr>
      </w:pPr>
    </w:p>
    <w:p w:rsidR="009845FA" w:rsidRDefault="00862BE8" w:rsidP="009845FA">
      <w:pPr>
        <w:pStyle w:val="ClinFooter"/>
        <w:rPr>
          <w:lang w:val="pl-PL"/>
        </w:rPr>
      </w:pPr>
      <w:r w:rsidRPr="009845FA">
        <w:rPr>
          <w:lang w:val="pl-PL"/>
        </w:rPr>
        <w:t xml:space="preserve">© </w:t>
      </w:r>
      <w:proofErr w:type="spellStart"/>
      <w:r w:rsidRPr="009845FA">
        <w:rPr>
          <w:lang w:val="pl-PL"/>
        </w:rPr>
        <w:t>Council</w:t>
      </w:r>
      <w:proofErr w:type="spellEnd"/>
      <w:r w:rsidRPr="009845FA">
        <w:rPr>
          <w:lang w:val="pl-PL"/>
        </w:rPr>
        <w:t xml:space="preserve"> of Europe/</w:t>
      </w:r>
      <w:proofErr w:type="spellStart"/>
      <w:r w:rsidRPr="009845FA">
        <w:rPr>
          <w:lang w:val="pl-PL"/>
        </w:rPr>
        <w:t>European</w:t>
      </w:r>
      <w:proofErr w:type="spellEnd"/>
      <w:r w:rsidRPr="009845FA">
        <w:rPr>
          <w:lang w:val="pl-PL"/>
        </w:rPr>
        <w:t xml:space="preserve"> Court of Human </w:t>
      </w:r>
      <w:proofErr w:type="spellStart"/>
      <w:r w:rsidRPr="009845FA">
        <w:rPr>
          <w:lang w:val="pl-PL"/>
        </w:rPr>
        <w:t>Rights</w:t>
      </w:r>
      <w:proofErr w:type="spellEnd"/>
      <w:r w:rsidRPr="009845FA">
        <w:rPr>
          <w:lang w:val="pl-PL"/>
        </w:rPr>
        <w:br/>
      </w:r>
      <w:r w:rsidR="009845FA">
        <w:rPr>
          <w:lang w:val="pl-PL"/>
        </w:rPr>
        <w:t xml:space="preserve">Niniejsze streszczenie przygotowane przez Kancelarię nie wiąże Trybunału.  </w:t>
      </w:r>
    </w:p>
    <w:p w:rsidR="009845FA" w:rsidRDefault="009845FA" w:rsidP="009845FA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3" w:history="1">
        <w:r>
          <w:rPr>
            <w:rStyle w:val="Hipercze"/>
            <w:lang w:val="pl-PL"/>
          </w:rPr>
          <w:t>Not informacyjnych n</w:t>
        </w:r>
        <w:r>
          <w:rPr>
            <w:rStyle w:val="Hipercze"/>
            <w:lang w:val="pl-PL"/>
          </w:rPr>
          <w:t>t</w:t>
        </w:r>
        <w:r>
          <w:rPr>
            <w:rStyle w:val="Hipercze"/>
            <w:lang w:val="pl-PL"/>
          </w:rPr>
          <w:t>. orzecznictwa</w:t>
        </w:r>
      </w:hyperlink>
    </w:p>
    <w:p w:rsidR="009E2214" w:rsidRPr="009845FA" w:rsidRDefault="009E2214" w:rsidP="004E724C">
      <w:pPr>
        <w:rPr>
          <w:lang w:val="pl-PL"/>
        </w:rPr>
      </w:pPr>
      <w:bookmarkStart w:id="0" w:name="_GoBack"/>
      <w:bookmarkEnd w:id="0"/>
    </w:p>
    <w:sectPr w:rsidR="009E2214" w:rsidRPr="009845FA" w:rsidSect="004A5B5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2FE" w:rsidRDefault="00B642FE" w:rsidP="00C63262">
      <w:r>
        <w:separator/>
      </w:r>
    </w:p>
  </w:endnote>
  <w:endnote w:type="continuationSeparator" w:id="0">
    <w:p w:rsidR="00B642FE" w:rsidRDefault="00B642FE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A3" w:rsidRDefault="005901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A3" w:rsidRDefault="005901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2FE" w:rsidRDefault="00B642FE" w:rsidP="00C63262">
      <w:r>
        <w:separator/>
      </w:r>
    </w:p>
  </w:footnote>
  <w:footnote w:type="continuationSeparator" w:id="0">
    <w:p w:rsidR="00B642FE" w:rsidRDefault="00B642FE" w:rsidP="00C63262">
      <w:r>
        <w:continuationSeparator/>
      </w:r>
    </w:p>
  </w:footnote>
  <w:footnote w:id="1">
    <w:p w:rsidR="00831384" w:rsidRPr="00831384" w:rsidRDefault="00831384" w:rsidP="00B176C3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31384">
        <w:rPr>
          <w:lang w:val="pl-PL"/>
        </w:rPr>
        <w:t xml:space="preserve"> </w:t>
      </w:r>
      <w:r w:rsidR="00B176C3">
        <w:rPr>
          <w:lang w:val="pl-PL"/>
        </w:rPr>
        <w:t>Zobacz również t</w:t>
      </w:r>
      <w:r w:rsidR="00B176C3" w:rsidRPr="003565CE">
        <w:rPr>
          <w:lang w:val="pl-PL"/>
        </w:rPr>
        <w:t xml:space="preserve">łumaczenie </w:t>
      </w:r>
      <w:r w:rsidR="00B176C3">
        <w:rPr>
          <w:lang w:val="pl-PL"/>
        </w:rPr>
        <w:t xml:space="preserve">na język polski </w:t>
      </w:r>
      <w:r w:rsidR="00B176C3" w:rsidRPr="003565CE">
        <w:rPr>
          <w:lang w:val="pl-PL"/>
        </w:rPr>
        <w:t xml:space="preserve">wyroku </w:t>
      </w:r>
      <w:proofErr w:type="spellStart"/>
      <w:r w:rsidR="00B176C3" w:rsidRPr="003565CE">
        <w:rPr>
          <w:lang w:val="pl-PL"/>
        </w:rPr>
        <w:t>ws</w:t>
      </w:r>
      <w:proofErr w:type="spellEnd"/>
      <w:r w:rsidR="00B176C3" w:rsidRPr="003565CE">
        <w:rPr>
          <w:lang w:val="pl-PL"/>
        </w:rPr>
        <w:t>.</w:t>
      </w:r>
      <w:r w:rsidR="00B176C3">
        <w:rPr>
          <w:lang w:val="pl-PL"/>
        </w:rPr>
        <w:t xml:space="preserve"> </w:t>
      </w:r>
      <w:hyperlink r:id="rId1" w:history="1">
        <w:proofErr w:type="spellStart"/>
        <w:r w:rsidR="00B176C3" w:rsidRPr="00B176C3">
          <w:rPr>
            <w:rStyle w:val="Hipercze"/>
            <w:i/>
            <w:lang w:val="pl-PL"/>
          </w:rPr>
          <w:t>Schatschaschwili</w:t>
        </w:r>
        <w:proofErr w:type="spellEnd"/>
        <w:r w:rsidR="00B176C3" w:rsidRPr="00B176C3">
          <w:rPr>
            <w:rStyle w:val="Hipercze"/>
            <w:i/>
            <w:lang w:val="pl-PL"/>
          </w:rPr>
          <w:t xml:space="preserve"> p. N</w:t>
        </w:r>
        <w:r w:rsidR="00B176C3" w:rsidRPr="00B176C3">
          <w:rPr>
            <w:rStyle w:val="Hipercze"/>
            <w:i/>
            <w:lang w:val="pl-PL"/>
          </w:rPr>
          <w:t>i</w:t>
        </w:r>
        <w:r w:rsidR="00B176C3" w:rsidRPr="00B176C3">
          <w:rPr>
            <w:rStyle w:val="Hipercze"/>
            <w:i/>
            <w:lang w:val="pl-PL"/>
          </w:rPr>
          <w:t>emcom</w:t>
        </w:r>
      </w:hyperlink>
      <w:r w:rsidR="00B176C3" w:rsidRPr="003565CE">
        <w:rPr>
          <w:lang w:val="pl-PL"/>
        </w:rPr>
        <w:t xml:space="preserve"> </w:t>
      </w:r>
      <w:r w:rsidR="00B176C3">
        <w:rPr>
          <w:lang w:val="pl-PL"/>
        </w:rPr>
        <w:t>[przyp. tłum.].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1A3" w:rsidRDefault="005901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B413D4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56294"/>
    <w:rsid w:val="00062341"/>
    <w:rsid w:val="00071A40"/>
    <w:rsid w:val="00097888"/>
    <w:rsid w:val="000F13B5"/>
    <w:rsid w:val="00107377"/>
    <w:rsid w:val="00143602"/>
    <w:rsid w:val="00160837"/>
    <w:rsid w:val="001769E4"/>
    <w:rsid w:val="00186560"/>
    <w:rsid w:val="001A1E24"/>
    <w:rsid w:val="001C15B9"/>
    <w:rsid w:val="00212E83"/>
    <w:rsid w:val="00243DA2"/>
    <w:rsid w:val="002545A0"/>
    <w:rsid w:val="002966E7"/>
    <w:rsid w:val="002E088D"/>
    <w:rsid w:val="0030264F"/>
    <w:rsid w:val="003450B3"/>
    <w:rsid w:val="00351C41"/>
    <w:rsid w:val="00386958"/>
    <w:rsid w:val="003A0911"/>
    <w:rsid w:val="003A64A6"/>
    <w:rsid w:val="003D7BB3"/>
    <w:rsid w:val="00417177"/>
    <w:rsid w:val="00437BA8"/>
    <w:rsid w:val="00461A8E"/>
    <w:rsid w:val="0046453F"/>
    <w:rsid w:val="004A5B52"/>
    <w:rsid w:val="004D568D"/>
    <w:rsid w:val="004E1037"/>
    <w:rsid w:val="004E1C15"/>
    <w:rsid w:val="004E724C"/>
    <w:rsid w:val="0052092D"/>
    <w:rsid w:val="00540D75"/>
    <w:rsid w:val="005514E5"/>
    <w:rsid w:val="00570E12"/>
    <w:rsid w:val="005901A3"/>
    <w:rsid w:val="006028A1"/>
    <w:rsid w:val="00621A9A"/>
    <w:rsid w:val="00631A28"/>
    <w:rsid w:val="00650B9E"/>
    <w:rsid w:val="006A13CA"/>
    <w:rsid w:val="006A36AD"/>
    <w:rsid w:val="006C1D96"/>
    <w:rsid w:val="0071773F"/>
    <w:rsid w:val="007503B1"/>
    <w:rsid w:val="00774515"/>
    <w:rsid w:val="00787C50"/>
    <w:rsid w:val="007B61A3"/>
    <w:rsid w:val="00831384"/>
    <w:rsid w:val="00862BE8"/>
    <w:rsid w:val="00895EF3"/>
    <w:rsid w:val="008C64D5"/>
    <w:rsid w:val="00903D38"/>
    <w:rsid w:val="009133B3"/>
    <w:rsid w:val="00953D59"/>
    <w:rsid w:val="009845FA"/>
    <w:rsid w:val="0099610D"/>
    <w:rsid w:val="009B3B2C"/>
    <w:rsid w:val="009C0F42"/>
    <w:rsid w:val="009C632A"/>
    <w:rsid w:val="009E2214"/>
    <w:rsid w:val="009E3EF0"/>
    <w:rsid w:val="00A01052"/>
    <w:rsid w:val="00A0229F"/>
    <w:rsid w:val="00A04D9C"/>
    <w:rsid w:val="00A148B9"/>
    <w:rsid w:val="00A257B3"/>
    <w:rsid w:val="00A258BB"/>
    <w:rsid w:val="00A33541"/>
    <w:rsid w:val="00A45616"/>
    <w:rsid w:val="00A84A4A"/>
    <w:rsid w:val="00AC7726"/>
    <w:rsid w:val="00B176C3"/>
    <w:rsid w:val="00B27822"/>
    <w:rsid w:val="00B413D4"/>
    <w:rsid w:val="00B642FE"/>
    <w:rsid w:val="00B80CA0"/>
    <w:rsid w:val="00B85770"/>
    <w:rsid w:val="00B928DA"/>
    <w:rsid w:val="00B954B1"/>
    <w:rsid w:val="00BC3A30"/>
    <w:rsid w:val="00BF1CD9"/>
    <w:rsid w:val="00C15C3B"/>
    <w:rsid w:val="00C30986"/>
    <w:rsid w:val="00C37433"/>
    <w:rsid w:val="00C504AD"/>
    <w:rsid w:val="00C62D93"/>
    <w:rsid w:val="00C63262"/>
    <w:rsid w:val="00C72355"/>
    <w:rsid w:val="00C93CFB"/>
    <w:rsid w:val="00CA5266"/>
    <w:rsid w:val="00CE6EB6"/>
    <w:rsid w:val="00CF7BA6"/>
    <w:rsid w:val="00D356BC"/>
    <w:rsid w:val="00D42086"/>
    <w:rsid w:val="00D425B3"/>
    <w:rsid w:val="00D77A00"/>
    <w:rsid w:val="00E1131F"/>
    <w:rsid w:val="00E1374E"/>
    <w:rsid w:val="00E15EBB"/>
    <w:rsid w:val="00E16905"/>
    <w:rsid w:val="00E3597C"/>
    <w:rsid w:val="00E37230"/>
    <w:rsid w:val="00E507A0"/>
    <w:rsid w:val="00E55491"/>
    <w:rsid w:val="00E5600C"/>
    <w:rsid w:val="00E83DB6"/>
    <w:rsid w:val="00EA53E7"/>
    <w:rsid w:val="00ED223F"/>
    <w:rsid w:val="00ED68A4"/>
    <w:rsid w:val="00F10DEE"/>
    <w:rsid w:val="00F508C9"/>
    <w:rsid w:val="00F50CCD"/>
    <w:rsid w:val="00F5247C"/>
    <w:rsid w:val="00F66201"/>
    <w:rsid w:val="00F74501"/>
    <w:rsid w:val="00FA1101"/>
    <w:rsid w:val="00FA29ED"/>
    <w:rsid w:val="00FB2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A1E2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A1E24"/>
  </w:style>
  <w:style w:type="character" w:customStyle="1" w:styleId="object">
    <w:name w:val="object"/>
    <w:basedOn w:val="Domylnaczcionkaakapitu"/>
    <w:rsid w:val="001A1E24"/>
  </w:style>
  <w:style w:type="character" w:styleId="UyteHipercze">
    <w:name w:val="FollowedHyperlink"/>
    <w:basedOn w:val="Domylnaczcionkaakapitu"/>
    <w:semiHidden/>
    <w:unhideWhenUsed/>
    <w:rsid w:val="00B176C3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1A1E2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1A1E24"/>
  </w:style>
  <w:style w:type="character" w:customStyle="1" w:styleId="object">
    <w:name w:val="object"/>
    <w:basedOn w:val="Domylnaczcionkaakapitu"/>
    <w:rsid w:val="001A1E24"/>
  </w:style>
  <w:style w:type="character" w:styleId="UyteHipercze">
    <w:name w:val="FollowedHyperlink"/>
    <w:basedOn w:val="Domylnaczcionkaakapitu"/>
    <w:semiHidden/>
    <w:unhideWhenUsed/>
    <w:rsid w:val="00B176C3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yperlink" Target="http://www.echr.coe.int/NoteInformation/en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hudoc.echr.coe.int/eng?i=001-164954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udoc.echr.coe.int/eng?i=002-1079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hudoc.echr.coe.int/eng?i=001-142670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1474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7599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15148-F6F0-4DB0-9CA6-3A6490CF0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1317</Words>
  <Characters>7904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2018-05-15T13:15:00Z</dcterms:created>
  <dcterms:modified xsi:type="dcterms:W3CDTF">2018-09-06T14:05:00Z</dcterms:modified>
</cp:coreProperties>
</file>