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202" w:rsidRDefault="008A3202" w:rsidP="008A3202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8A3202" w:rsidRDefault="008A3202" w:rsidP="008A3202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681658" w:rsidRPr="008A3202" w:rsidRDefault="008A3202" w:rsidP="008A3202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6B3317" w:rsidRPr="008A3202">
        <w:rPr>
          <w:lang w:val="pl-PL"/>
        </w:rPr>
        <w:t xml:space="preserve"> 209</w:t>
      </w:r>
    </w:p>
    <w:p w:rsidR="00681658" w:rsidRPr="00EE1EF6" w:rsidRDefault="00525F46">
      <w:pPr>
        <w:pStyle w:val="ClinEditionMonth"/>
        <w:rPr>
          <w:lang w:val="pl-PL"/>
        </w:rPr>
      </w:pPr>
      <w:r>
        <w:rPr>
          <w:lang w:val="pl-PL"/>
        </w:rPr>
        <w:t>L</w:t>
      </w:r>
      <w:r w:rsidRPr="00EE1EF6">
        <w:rPr>
          <w:lang w:val="pl-PL"/>
        </w:rPr>
        <w:t xml:space="preserve">ipiec </w:t>
      </w:r>
      <w:r w:rsidR="006B3317" w:rsidRPr="00EE1EF6">
        <w:rPr>
          <w:lang w:val="pl-PL"/>
        </w:rPr>
        <w:t>2017</w:t>
      </w:r>
      <w:r w:rsidR="00EE1EF6" w:rsidRPr="00EE1EF6">
        <w:rPr>
          <w:lang w:val="pl-PL"/>
        </w:rPr>
        <w:t xml:space="preserve"> r.</w:t>
      </w:r>
    </w:p>
    <w:p w:rsidR="00681658" w:rsidRPr="00EE1EF6" w:rsidRDefault="00EE1EF6">
      <w:pPr>
        <w:rPr>
          <w:lang w:val="pl-PL"/>
        </w:rPr>
      </w:pPr>
      <w:proofErr w:type="spellStart"/>
      <w:r w:rsidRPr="00EE1EF6">
        <w:rPr>
          <w:rStyle w:val="ClinCaseTitle"/>
          <w:lang w:val="pl-PL"/>
        </w:rPr>
        <w:t>Moreira</w:t>
      </w:r>
      <w:proofErr w:type="spellEnd"/>
      <w:r w:rsidRPr="00EE1EF6">
        <w:rPr>
          <w:rStyle w:val="ClinCaseTitle"/>
          <w:lang w:val="pl-PL"/>
        </w:rPr>
        <w:t xml:space="preserve"> Ferreira p</w:t>
      </w:r>
      <w:r w:rsidR="006B3317" w:rsidRPr="00EE1EF6">
        <w:rPr>
          <w:rStyle w:val="ClinCaseTitle"/>
          <w:lang w:val="pl-PL"/>
        </w:rPr>
        <w:t>. Portugal</w:t>
      </w:r>
      <w:r w:rsidRPr="00EE1EF6">
        <w:rPr>
          <w:rStyle w:val="ClinCaseTitle"/>
          <w:lang w:val="pl-PL"/>
        </w:rPr>
        <w:t>ii</w:t>
      </w:r>
      <w:r w:rsidR="006B3317" w:rsidRPr="00EE1EF6">
        <w:rPr>
          <w:rStyle w:val="ClinCaseTitle"/>
          <w:lang w:val="pl-PL"/>
        </w:rPr>
        <w:t xml:space="preserve"> (n</w:t>
      </w:r>
      <w:r w:rsidRPr="00EE1EF6">
        <w:rPr>
          <w:rStyle w:val="ClinCaseTitle"/>
          <w:lang w:val="pl-PL"/>
        </w:rPr>
        <w:t>r</w:t>
      </w:r>
      <w:r w:rsidR="006B3317" w:rsidRPr="00EE1EF6">
        <w:rPr>
          <w:rStyle w:val="ClinCaseTitle"/>
          <w:lang w:val="pl-PL"/>
        </w:rPr>
        <w:t xml:space="preserve"> 2) [</w:t>
      </w:r>
      <w:r w:rsidRPr="00EE1EF6">
        <w:rPr>
          <w:rStyle w:val="ClinCaseTitle"/>
          <w:lang w:val="pl-PL"/>
        </w:rPr>
        <w:t>Wielka Izba</w:t>
      </w:r>
      <w:r w:rsidR="006B3317" w:rsidRPr="00EE1EF6">
        <w:rPr>
          <w:rStyle w:val="ClinCaseTitle"/>
          <w:lang w:val="pl-PL"/>
        </w:rPr>
        <w:t>]</w:t>
      </w:r>
      <w:r w:rsidR="006B3317" w:rsidRPr="00EE1EF6">
        <w:rPr>
          <w:rStyle w:val="ClinApplicationNumber"/>
          <w:lang w:val="pl-PL"/>
        </w:rPr>
        <w:t xml:space="preserve"> </w:t>
      </w:r>
      <w:r w:rsidR="0005434B">
        <w:rPr>
          <w:rStyle w:val="ClinApplicationNumber"/>
          <w:lang w:val="pl-PL"/>
        </w:rPr>
        <w:br/>
      </w:r>
      <w:r w:rsidRPr="00EE1EF6">
        <w:rPr>
          <w:rStyle w:val="ClinApplicationNumber"/>
          <w:lang w:val="pl-PL"/>
        </w:rPr>
        <w:t>–</w:t>
      </w:r>
      <w:r w:rsidR="006B3317" w:rsidRPr="00EE1EF6">
        <w:rPr>
          <w:rStyle w:val="ClinApplicationNumber"/>
          <w:lang w:val="pl-PL"/>
        </w:rPr>
        <w:t xml:space="preserve"> </w:t>
      </w:r>
      <w:r w:rsidRPr="00EE1EF6">
        <w:rPr>
          <w:rStyle w:val="ClinApplicationNumber"/>
          <w:lang w:val="pl-PL"/>
        </w:rPr>
        <w:t xml:space="preserve">skarga nr </w:t>
      </w:r>
      <w:r w:rsidR="006B3317" w:rsidRPr="00EE1EF6">
        <w:rPr>
          <w:rStyle w:val="ClinApplicationNumber"/>
          <w:lang w:val="pl-PL"/>
        </w:rPr>
        <w:t>19867/12</w:t>
      </w:r>
    </w:p>
    <w:p w:rsidR="00681658" w:rsidRPr="00EE1EF6" w:rsidRDefault="00EE1EF6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6B3317" w:rsidRPr="00EE1EF6">
        <w:rPr>
          <w:rStyle w:val="ClinHudocDocumentTitle"/>
          <w:lang w:val="pl-PL"/>
        </w:rPr>
        <w:t>11.</w:t>
      </w:r>
      <w:r w:rsidRPr="00EE1EF6">
        <w:rPr>
          <w:rStyle w:val="ClinHudocDocumentTitle"/>
          <w:lang w:val="pl-PL"/>
        </w:rPr>
        <w:t>0</w:t>
      </w:r>
      <w:r w:rsidR="006B3317" w:rsidRPr="00EE1EF6">
        <w:rPr>
          <w:rStyle w:val="ClinHudocDocumentTitle"/>
          <w:lang w:val="pl-PL"/>
        </w:rPr>
        <w:t>7.2017</w:t>
      </w:r>
      <w:r w:rsidRPr="00EE1EF6">
        <w:rPr>
          <w:rStyle w:val="ClinHudocDocumentTitle"/>
          <w:lang w:val="pl-PL"/>
        </w:rPr>
        <w:t xml:space="preserve"> r.</w:t>
      </w:r>
      <w:r w:rsidR="006B3317" w:rsidRPr="00EE1EF6">
        <w:rPr>
          <w:rStyle w:val="ClinSectionName"/>
          <w:lang w:val="pl-PL"/>
        </w:rPr>
        <w:t xml:space="preserve"> [</w:t>
      </w:r>
      <w:r w:rsidRPr="00EE1EF6">
        <w:rPr>
          <w:rStyle w:val="ClinSectionName"/>
          <w:lang w:val="pl-PL"/>
        </w:rPr>
        <w:t>Wielka Izba</w:t>
      </w:r>
      <w:r w:rsidR="006B3317" w:rsidRPr="00EE1EF6">
        <w:rPr>
          <w:rStyle w:val="ClinSectionName"/>
          <w:lang w:val="pl-PL"/>
        </w:rPr>
        <w:t>]</w:t>
      </w:r>
    </w:p>
    <w:p w:rsidR="00681658" w:rsidRPr="00895060" w:rsidRDefault="006B3317">
      <w:pPr>
        <w:pStyle w:val="ClinMainKeywordCode"/>
        <w:rPr>
          <w:lang w:val="pl-PL"/>
        </w:rPr>
      </w:pPr>
      <w:r w:rsidRPr="00895060">
        <w:rPr>
          <w:lang w:val="pl-PL"/>
        </w:rPr>
        <w:t>Art</w:t>
      </w:r>
      <w:r w:rsidR="00EE1EF6" w:rsidRPr="00895060">
        <w:rPr>
          <w:lang w:val="pl-PL"/>
        </w:rPr>
        <w:t>.</w:t>
      </w:r>
      <w:r w:rsidRPr="00895060">
        <w:rPr>
          <w:lang w:val="pl-PL"/>
        </w:rPr>
        <w:t xml:space="preserve"> 6</w:t>
      </w:r>
    </w:p>
    <w:p w:rsidR="00681658" w:rsidRPr="00895060" w:rsidRDefault="00EE1EF6">
      <w:pPr>
        <w:pStyle w:val="ClinKeyword"/>
        <w:rPr>
          <w:lang w:val="pl-PL"/>
        </w:rPr>
      </w:pPr>
      <w:r w:rsidRPr="00895060">
        <w:rPr>
          <w:lang w:val="pl-PL"/>
        </w:rPr>
        <w:t>Postępowanie karne</w:t>
      </w:r>
    </w:p>
    <w:p w:rsidR="00681658" w:rsidRPr="00EE1EF6" w:rsidRDefault="006B3317">
      <w:pPr>
        <w:pStyle w:val="ClinChildKeywordCode"/>
        <w:rPr>
          <w:lang w:val="pl-PL"/>
        </w:rPr>
      </w:pPr>
      <w:r w:rsidRPr="00EE1EF6">
        <w:rPr>
          <w:lang w:val="pl-PL"/>
        </w:rPr>
        <w:t>Art</w:t>
      </w:r>
      <w:r w:rsidR="00EE1EF6" w:rsidRPr="00EE1EF6">
        <w:rPr>
          <w:lang w:val="pl-PL"/>
        </w:rPr>
        <w:t xml:space="preserve">. </w:t>
      </w:r>
      <w:r w:rsidRPr="00EE1EF6">
        <w:rPr>
          <w:lang w:val="pl-PL"/>
        </w:rPr>
        <w:t>6</w:t>
      </w:r>
      <w:r w:rsidR="00EE1EF6" w:rsidRPr="00EE1EF6">
        <w:rPr>
          <w:lang w:val="pl-PL"/>
        </w:rPr>
        <w:t xml:space="preserve"> ust. </w:t>
      </w:r>
      <w:r w:rsidRPr="00EE1EF6">
        <w:rPr>
          <w:lang w:val="pl-PL"/>
        </w:rPr>
        <w:t>1</w:t>
      </w:r>
    </w:p>
    <w:p w:rsidR="00681658" w:rsidRPr="00EE1EF6" w:rsidRDefault="00EE1EF6">
      <w:pPr>
        <w:pStyle w:val="ClinKeyword"/>
        <w:rPr>
          <w:lang w:val="pl-PL"/>
        </w:rPr>
      </w:pPr>
      <w:r w:rsidRPr="00EE1EF6">
        <w:rPr>
          <w:lang w:val="pl-PL"/>
        </w:rPr>
        <w:t xml:space="preserve">Dostęp do sądu </w:t>
      </w:r>
    </w:p>
    <w:p w:rsidR="00681658" w:rsidRPr="00EE1EF6" w:rsidRDefault="00EE1EF6">
      <w:pPr>
        <w:pStyle w:val="ClinKeyword"/>
        <w:rPr>
          <w:lang w:val="pl-PL"/>
        </w:rPr>
      </w:pPr>
      <w:r w:rsidRPr="00EE1EF6">
        <w:rPr>
          <w:lang w:val="pl-PL"/>
        </w:rPr>
        <w:t xml:space="preserve">Oskarżenie </w:t>
      </w:r>
      <w:r w:rsidR="0005434B">
        <w:rPr>
          <w:lang w:val="pl-PL"/>
        </w:rPr>
        <w:t xml:space="preserve">w </w:t>
      </w:r>
      <w:r>
        <w:rPr>
          <w:lang w:val="pl-PL"/>
        </w:rPr>
        <w:t>wytoczone</w:t>
      </w:r>
      <w:r w:rsidR="0005434B">
        <w:rPr>
          <w:lang w:val="pl-PL"/>
        </w:rPr>
        <w:t>j</w:t>
      </w:r>
      <w:r>
        <w:rPr>
          <w:lang w:val="pl-PL"/>
        </w:rPr>
        <w:t xml:space="preserve"> </w:t>
      </w:r>
      <w:r w:rsidRPr="00EE1EF6">
        <w:rPr>
          <w:lang w:val="pl-PL"/>
        </w:rPr>
        <w:t xml:space="preserve">sprawie karnej </w:t>
      </w:r>
    </w:p>
    <w:p w:rsidR="00681658" w:rsidRPr="00DB3073" w:rsidRDefault="00EE1EF6">
      <w:pPr>
        <w:pStyle w:val="ClinKeyword"/>
        <w:rPr>
          <w:lang w:val="pl-PL"/>
        </w:rPr>
      </w:pPr>
      <w:r w:rsidRPr="00DB3073">
        <w:rPr>
          <w:lang w:val="pl-PL"/>
        </w:rPr>
        <w:t xml:space="preserve">Sprawiedliwe rozpatrzenie </w:t>
      </w:r>
    </w:p>
    <w:p w:rsidR="00EE1EF6" w:rsidRDefault="00EE1EF6" w:rsidP="003A3542">
      <w:pPr>
        <w:jc w:val="both"/>
        <w:rPr>
          <w:rStyle w:val="ClinHeadNote"/>
          <w:i/>
          <w:lang w:val="pl-PL"/>
        </w:rPr>
      </w:pPr>
      <w:r w:rsidRPr="00EE1EF6">
        <w:rPr>
          <w:rStyle w:val="ClinHeadNote"/>
          <w:lang w:val="pl-PL"/>
        </w:rPr>
        <w:t>Skarga na odmowę wznowienia postępowania karnego przez sądy krajowe po</w:t>
      </w:r>
      <w:r w:rsidR="00344A76">
        <w:rPr>
          <w:rStyle w:val="ClinHeadNote"/>
          <w:lang w:val="pl-PL"/>
        </w:rPr>
        <w:t> </w:t>
      </w:r>
      <w:r w:rsidRPr="00EE1EF6">
        <w:rPr>
          <w:rStyle w:val="ClinHeadNote"/>
          <w:lang w:val="pl-PL"/>
        </w:rPr>
        <w:t>stwierdzeniu naruszenia art. 6 przez Europejski Trybunał Praw Człowieka:</w:t>
      </w:r>
      <w:r>
        <w:rPr>
          <w:rStyle w:val="ClinHeadNote"/>
          <w:i/>
          <w:lang w:val="pl-PL"/>
        </w:rPr>
        <w:t xml:space="preserve"> dopuszczalna</w:t>
      </w:r>
    </w:p>
    <w:p w:rsidR="00EE1EF6" w:rsidRDefault="00EE1EF6" w:rsidP="003A3542">
      <w:pPr>
        <w:jc w:val="both"/>
        <w:rPr>
          <w:rStyle w:val="ClinHeadNote"/>
          <w:lang w:val="pl-PL"/>
        </w:rPr>
      </w:pPr>
    </w:p>
    <w:p w:rsidR="00EE1EF6" w:rsidRPr="00EE1EF6" w:rsidRDefault="00EE1EF6" w:rsidP="003A3542">
      <w:pPr>
        <w:jc w:val="both"/>
        <w:rPr>
          <w:lang w:val="pl-PL"/>
        </w:rPr>
      </w:pPr>
      <w:r w:rsidRPr="00EE1EF6">
        <w:rPr>
          <w:rStyle w:val="ClinHeadNote"/>
          <w:lang w:val="pl-PL"/>
        </w:rPr>
        <w:t xml:space="preserve">Odmowa Sądu Najwyższego uwzględnienia wniosku o rewizję wyroku sądu </w:t>
      </w:r>
      <w:r w:rsidRPr="0005434B">
        <w:rPr>
          <w:rStyle w:val="ClinHeadNote"/>
          <w:lang w:val="pl-PL"/>
        </w:rPr>
        <w:t>karnego po</w:t>
      </w:r>
      <w:r w:rsidR="00344A76">
        <w:rPr>
          <w:rStyle w:val="ClinHeadNote"/>
          <w:lang w:val="pl-PL"/>
        </w:rPr>
        <w:t> </w:t>
      </w:r>
      <w:r w:rsidRPr="00EE1EF6">
        <w:rPr>
          <w:rStyle w:val="ClinHeadNote"/>
          <w:lang w:val="pl-PL"/>
        </w:rPr>
        <w:t>wyroku Europejskiego Trybunału Praw Człowieka stwierdzającym naruszenie art. 6:</w:t>
      </w:r>
      <w:r>
        <w:rPr>
          <w:rStyle w:val="ClinHeadNote"/>
          <w:i/>
          <w:lang w:val="pl-PL"/>
        </w:rPr>
        <w:t xml:space="preserve"> brak naruszenia</w:t>
      </w:r>
    </w:p>
    <w:p w:rsidR="00EE1EF6" w:rsidRPr="00EE1EF6" w:rsidRDefault="00EE1EF6">
      <w:pPr>
        <w:pStyle w:val="ClinContent"/>
        <w:rPr>
          <w:lang w:val="pl-PL"/>
        </w:rPr>
      </w:pPr>
      <w:r w:rsidRPr="00EE1EF6">
        <w:rPr>
          <w:i/>
          <w:lang w:val="pl-PL"/>
        </w:rPr>
        <w:t>Fakty</w:t>
      </w:r>
      <w:r w:rsidRPr="00EE1EF6">
        <w:rPr>
          <w:lang w:val="pl-PL"/>
        </w:rPr>
        <w:t xml:space="preserve"> – W dniu 21 </w:t>
      </w:r>
      <w:r w:rsidR="0026454C" w:rsidRPr="00EE1EF6">
        <w:rPr>
          <w:lang w:val="pl-PL"/>
        </w:rPr>
        <w:t>marca</w:t>
      </w:r>
      <w:r w:rsidRPr="00EE1EF6">
        <w:rPr>
          <w:lang w:val="pl-PL"/>
        </w:rPr>
        <w:t xml:space="preserve"> 2012 r. </w:t>
      </w:r>
      <w:r>
        <w:rPr>
          <w:lang w:val="pl-PL"/>
        </w:rPr>
        <w:t>Sąd Najwyższy wydał wyrok oddalający wniosek o</w:t>
      </w:r>
      <w:r w:rsidR="00344A76">
        <w:rPr>
          <w:lang w:val="pl-PL"/>
        </w:rPr>
        <w:t> </w:t>
      </w:r>
      <w:r>
        <w:rPr>
          <w:lang w:val="pl-PL"/>
        </w:rPr>
        <w:t xml:space="preserve">wznowienie sprawy </w:t>
      </w:r>
      <w:r w:rsidR="0005434B">
        <w:rPr>
          <w:lang w:val="pl-PL"/>
        </w:rPr>
        <w:t>karnej zakończonej wyrokiem</w:t>
      </w:r>
      <w:r>
        <w:rPr>
          <w:lang w:val="pl-PL"/>
        </w:rPr>
        <w:t xml:space="preserve">, </w:t>
      </w:r>
      <w:r w:rsidR="0026454C">
        <w:rPr>
          <w:lang w:val="pl-PL"/>
        </w:rPr>
        <w:t>złożony</w:t>
      </w:r>
      <w:r>
        <w:rPr>
          <w:lang w:val="pl-PL"/>
        </w:rPr>
        <w:t xml:space="preserve"> przez skarżąc</w:t>
      </w:r>
      <w:r w:rsidR="00895060">
        <w:rPr>
          <w:lang w:val="pl-PL"/>
        </w:rPr>
        <w:t>ą</w:t>
      </w:r>
      <w:r>
        <w:rPr>
          <w:lang w:val="pl-PL"/>
        </w:rPr>
        <w:t xml:space="preserve"> po </w:t>
      </w:r>
      <w:r w:rsidR="00895060">
        <w:rPr>
          <w:lang w:val="pl-PL"/>
        </w:rPr>
        <w:t xml:space="preserve">wydaniu przez </w:t>
      </w:r>
      <w:r>
        <w:rPr>
          <w:lang w:val="pl-PL"/>
        </w:rPr>
        <w:t>Europejski Trybunał Praw Człowieka („Trybunał”)</w:t>
      </w:r>
      <w:r w:rsidR="00895060">
        <w:rPr>
          <w:lang w:val="pl-PL"/>
        </w:rPr>
        <w:t xml:space="preserve"> wyroku</w:t>
      </w:r>
      <w:r>
        <w:rPr>
          <w:lang w:val="pl-PL"/>
        </w:rPr>
        <w:t>, w którym stwierdził on</w:t>
      </w:r>
      <w:r w:rsidR="00344A76">
        <w:rPr>
          <w:lang w:val="pl-PL"/>
        </w:rPr>
        <w:t> </w:t>
      </w:r>
      <w:r>
        <w:rPr>
          <w:lang w:val="pl-PL"/>
        </w:rPr>
        <w:t xml:space="preserve">naruszenie art. 6 ust. 1 [Konwencji o ochronie praw człowieka i podstawowych wolności] (zob. </w:t>
      </w:r>
      <w:proofErr w:type="spellStart"/>
      <w:r w:rsidRPr="0026454C">
        <w:rPr>
          <w:i/>
          <w:lang w:val="pl-PL"/>
        </w:rPr>
        <w:t>Moreira</w:t>
      </w:r>
      <w:proofErr w:type="spellEnd"/>
      <w:r w:rsidRPr="0026454C">
        <w:rPr>
          <w:i/>
          <w:lang w:val="pl-PL"/>
        </w:rPr>
        <w:t xml:space="preserve"> Ferreira p. Portugalii</w:t>
      </w:r>
      <w:r>
        <w:rPr>
          <w:lang w:val="pl-PL"/>
        </w:rPr>
        <w:t xml:space="preserve">, skarga nr </w:t>
      </w:r>
      <w:hyperlink r:id="rId9" w:history="1">
        <w:r w:rsidRPr="00EE1EF6">
          <w:rPr>
            <w:rStyle w:val="Hipercze"/>
            <w:lang w:val="pl-PL"/>
          </w:rPr>
          <w:t>1</w:t>
        </w:r>
        <w:r w:rsidRPr="00EE1EF6">
          <w:rPr>
            <w:rStyle w:val="Hipercze"/>
            <w:lang w:val="pl-PL"/>
          </w:rPr>
          <w:t>9</w:t>
        </w:r>
        <w:r w:rsidRPr="00EE1EF6">
          <w:rPr>
            <w:rStyle w:val="Hipercze"/>
            <w:lang w:val="pl-PL"/>
          </w:rPr>
          <w:t>808/08</w:t>
        </w:r>
      </w:hyperlink>
      <w:r w:rsidRPr="00EE1EF6">
        <w:rPr>
          <w:lang w:val="pl-PL"/>
        </w:rPr>
        <w:t>, wyrok z 5</w:t>
      </w:r>
      <w:r>
        <w:rPr>
          <w:lang w:val="pl-PL"/>
        </w:rPr>
        <w:t xml:space="preserve"> lipca 2011 r.).</w:t>
      </w:r>
      <w:r w:rsidR="00895060">
        <w:rPr>
          <w:lang w:val="pl-PL"/>
        </w:rPr>
        <w:t xml:space="preserve"> </w:t>
      </w:r>
      <w:r w:rsidR="004E229B">
        <w:rPr>
          <w:lang w:val="pl-PL"/>
        </w:rPr>
        <w:t xml:space="preserve">[W tamtym wyroku] </w:t>
      </w:r>
      <w:r>
        <w:rPr>
          <w:lang w:val="pl-PL"/>
        </w:rPr>
        <w:t>Trybunał stwierdził</w:t>
      </w:r>
      <w:r w:rsidR="004E229B">
        <w:rPr>
          <w:lang w:val="pl-PL"/>
        </w:rPr>
        <w:t xml:space="preserve"> na podstawie art. 41 [Konwencji]</w:t>
      </w:r>
      <w:r>
        <w:rPr>
          <w:lang w:val="pl-PL"/>
        </w:rPr>
        <w:t>, że</w:t>
      </w:r>
      <w:r w:rsidR="00344A76">
        <w:rPr>
          <w:lang w:val="pl-PL"/>
        </w:rPr>
        <w:t> </w:t>
      </w:r>
      <w:r>
        <w:rPr>
          <w:lang w:val="pl-PL"/>
        </w:rPr>
        <w:t>ponowny proces lub wznowienie postępowania na wniosek skarżące</w:t>
      </w:r>
      <w:r w:rsidR="00D02453">
        <w:rPr>
          <w:lang w:val="pl-PL"/>
        </w:rPr>
        <w:t>j stanowić będzie</w:t>
      </w:r>
      <w:r>
        <w:rPr>
          <w:lang w:val="pl-PL"/>
        </w:rPr>
        <w:t xml:space="preserve">, co do zasady, </w:t>
      </w:r>
      <w:r w:rsidR="00D02453">
        <w:rPr>
          <w:lang w:val="pl-PL"/>
        </w:rPr>
        <w:t>odpowiedni</w:t>
      </w:r>
      <w:r>
        <w:rPr>
          <w:lang w:val="pl-PL"/>
        </w:rPr>
        <w:t xml:space="preserve"> środek naprawienia stwierdzonego naruszenia. W</w:t>
      </w:r>
      <w:r w:rsidR="00344A76">
        <w:rPr>
          <w:lang w:val="pl-PL"/>
        </w:rPr>
        <w:t> </w:t>
      </w:r>
      <w:r>
        <w:rPr>
          <w:lang w:val="pl-PL"/>
        </w:rPr>
        <w:t>tym</w:t>
      </w:r>
      <w:r w:rsidR="00344A76">
        <w:rPr>
          <w:lang w:val="pl-PL"/>
        </w:rPr>
        <w:t> </w:t>
      </w:r>
      <w:r>
        <w:rPr>
          <w:lang w:val="pl-PL"/>
        </w:rPr>
        <w:t>względzie Trybunał odnotował, że art. 4</w:t>
      </w:r>
      <w:r w:rsidR="0005434B">
        <w:rPr>
          <w:lang w:val="pl-PL"/>
        </w:rPr>
        <w:t>4</w:t>
      </w:r>
      <w:r>
        <w:rPr>
          <w:lang w:val="pl-PL"/>
        </w:rPr>
        <w:t xml:space="preserve">9 portugalskiego Kodeksu </w:t>
      </w:r>
      <w:r w:rsidR="0057060A">
        <w:rPr>
          <w:lang w:val="pl-PL"/>
        </w:rPr>
        <w:t xml:space="preserve">postępowania karnego </w:t>
      </w:r>
      <w:r w:rsidR="00FE3AB3">
        <w:rPr>
          <w:lang w:val="pl-PL"/>
        </w:rPr>
        <w:t>umożliwia</w:t>
      </w:r>
      <w:r>
        <w:rPr>
          <w:lang w:val="pl-PL"/>
        </w:rPr>
        <w:t xml:space="preserve"> wznowienie postępowania krajowego w przypadku</w:t>
      </w:r>
      <w:r w:rsidR="000E4D15">
        <w:rPr>
          <w:lang w:val="pl-PL"/>
        </w:rPr>
        <w:t>,</w:t>
      </w:r>
      <w:r>
        <w:rPr>
          <w:lang w:val="pl-PL"/>
        </w:rPr>
        <w:t xml:space="preserve"> gdy Trybunał stwierdził naruszenie praw i podstawowych wolności skarżącego. </w:t>
      </w:r>
    </w:p>
    <w:p w:rsidR="0057060A" w:rsidRPr="0057060A" w:rsidRDefault="0057060A">
      <w:pPr>
        <w:pStyle w:val="ClinContent"/>
        <w:rPr>
          <w:lang w:val="pl-PL"/>
        </w:rPr>
      </w:pPr>
      <w:r w:rsidRPr="0057060A">
        <w:rPr>
          <w:lang w:val="pl-PL"/>
        </w:rPr>
        <w:t xml:space="preserve">Sąd Najwyższy orzekł, że wyrok Trybunału nie </w:t>
      </w:r>
      <w:r w:rsidR="0005434B">
        <w:rPr>
          <w:lang w:val="pl-PL"/>
        </w:rPr>
        <w:t xml:space="preserve">pozostawał w sprzeczności </w:t>
      </w:r>
      <w:r w:rsidR="00A25689">
        <w:rPr>
          <w:lang w:val="pl-PL"/>
        </w:rPr>
        <w:t>ze skazaniem skarżącej</w:t>
      </w:r>
      <w:r w:rsidRPr="0057060A">
        <w:rPr>
          <w:lang w:val="pl-PL"/>
        </w:rPr>
        <w:t xml:space="preserve"> i nie </w:t>
      </w:r>
      <w:r>
        <w:rPr>
          <w:lang w:val="pl-PL"/>
        </w:rPr>
        <w:t xml:space="preserve">podnosił poważnych wątpliwości </w:t>
      </w:r>
      <w:r w:rsidR="0005434B">
        <w:rPr>
          <w:lang w:val="pl-PL"/>
        </w:rPr>
        <w:t xml:space="preserve">co do </w:t>
      </w:r>
      <w:r w:rsidR="00A25689">
        <w:rPr>
          <w:lang w:val="pl-PL"/>
        </w:rPr>
        <w:t>zasadności</w:t>
      </w:r>
      <w:r w:rsidR="004E229B">
        <w:rPr>
          <w:lang w:val="pl-PL"/>
        </w:rPr>
        <w:t xml:space="preserve"> tego skazania</w:t>
      </w:r>
      <w:r>
        <w:rPr>
          <w:lang w:val="pl-PL"/>
        </w:rPr>
        <w:t>, czego</w:t>
      </w:r>
      <w:r w:rsidR="00344A76">
        <w:rPr>
          <w:lang w:val="pl-PL"/>
        </w:rPr>
        <w:t> </w:t>
      </w:r>
      <w:r>
        <w:rPr>
          <w:lang w:val="pl-PL"/>
        </w:rPr>
        <w:t xml:space="preserve">wymaga art. 449 ust. 1 lit. g Kodeksu postępowania karnego. </w:t>
      </w:r>
    </w:p>
    <w:p w:rsidR="00A25689" w:rsidRPr="00A25689" w:rsidRDefault="00A25689" w:rsidP="00161E5A">
      <w:pPr>
        <w:pStyle w:val="ClinContent"/>
        <w:spacing w:after="480"/>
        <w:rPr>
          <w:lang w:val="pl-PL"/>
        </w:rPr>
      </w:pPr>
      <w:r w:rsidRPr="00A25689">
        <w:rPr>
          <w:lang w:val="pl-PL"/>
        </w:rPr>
        <w:t xml:space="preserve">Skarżąca </w:t>
      </w:r>
      <w:r w:rsidR="004E229B">
        <w:rPr>
          <w:lang w:val="pl-PL"/>
        </w:rPr>
        <w:t xml:space="preserve">[w drugiej skardze do Trybunału] </w:t>
      </w:r>
      <w:r w:rsidRPr="00A25689">
        <w:rPr>
          <w:lang w:val="pl-PL"/>
        </w:rPr>
        <w:t>zarzuc</w:t>
      </w:r>
      <w:r w:rsidR="004E229B">
        <w:rPr>
          <w:lang w:val="pl-PL"/>
        </w:rPr>
        <w:t>i</w:t>
      </w:r>
      <w:r w:rsidRPr="00A25689">
        <w:rPr>
          <w:lang w:val="pl-PL"/>
        </w:rPr>
        <w:t xml:space="preserve">ła, że Sąd Najwyższy błędnie zinterpretował </w:t>
      </w:r>
      <w:r w:rsidR="004E229B">
        <w:rPr>
          <w:lang w:val="pl-PL"/>
        </w:rPr>
        <w:t xml:space="preserve">[pierwszy] </w:t>
      </w:r>
      <w:r w:rsidRPr="00A25689">
        <w:rPr>
          <w:lang w:val="pl-PL"/>
        </w:rPr>
        <w:t xml:space="preserve">wyrok Trybunału, </w:t>
      </w:r>
      <w:r>
        <w:rPr>
          <w:lang w:val="pl-PL"/>
        </w:rPr>
        <w:t xml:space="preserve">naruszając art. 6 ust. 1 oraz art. 46 ust. 1 Konwencji. </w:t>
      </w:r>
    </w:p>
    <w:p w:rsidR="0057060A" w:rsidRPr="004E229B" w:rsidRDefault="0057060A">
      <w:pPr>
        <w:pStyle w:val="ClinContent"/>
        <w:rPr>
          <w:lang w:val="pl-PL"/>
        </w:rPr>
      </w:pPr>
      <w:r w:rsidRPr="004E229B">
        <w:rPr>
          <w:i/>
          <w:lang w:val="pl-PL"/>
        </w:rPr>
        <w:lastRenderedPageBreak/>
        <w:t xml:space="preserve">Prawo </w:t>
      </w:r>
      <w:r w:rsidRPr="004E229B">
        <w:rPr>
          <w:i/>
          <w:lang w:val="pl-PL"/>
        </w:rPr>
        <w:softHyphen/>
        <w:t xml:space="preserve">– </w:t>
      </w:r>
      <w:r w:rsidRPr="004E229B">
        <w:rPr>
          <w:lang w:val="pl-PL"/>
        </w:rPr>
        <w:t>Art. 6 ust. 1</w:t>
      </w:r>
    </w:p>
    <w:p w:rsidR="00681658" w:rsidRPr="00CE2015" w:rsidRDefault="006B3317">
      <w:pPr>
        <w:pStyle w:val="ClinContent"/>
        <w:rPr>
          <w:lang w:val="pl-PL"/>
        </w:rPr>
      </w:pPr>
      <w:r w:rsidRPr="00CE2015">
        <w:rPr>
          <w:lang w:val="pl-PL"/>
        </w:rPr>
        <w:t>(a)</w:t>
      </w:r>
      <w:r w:rsidR="00122763" w:rsidRPr="00CE2015">
        <w:rPr>
          <w:lang w:val="pl-PL"/>
        </w:rPr>
        <w:t> </w:t>
      </w:r>
      <w:r w:rsidR="0057060A" w:rsidRPr="00CE2015">
        <w:rPr>
          <w:lang w:val="pl-PL"/>
        </w:rPr>
        <w:t>Dopuszczalność</w:t>
      </w:r>
    </w:p>
    <w:p w:rsidR="0057060A" w:rsidRPr="0057060A" w:rsidRDefault="0057060A">
      <w:pPr>
        <w:pStyle w:val="ClinContent"/>
        <w:rPr>
          <w:lang w:val="pl-PL"/>
        </w:rPr>
      </w:pPr>
      <w:r w:rsidRPr="0057060A">
        <w:rPr>
          <w:lang w:val="pl-PL"/>
        </w:rPr>
        <w:t xml:space="preserve">(i) </w:t>
      </w:r>
      <w:r w:rsidRPr="0005434B">
        <w:rPr>
          <w:i/>
          <w:lang w:val="pl-PL"/>
        </w:rPr>
        <w:t>Czy art. 46 Konwencji wyklucza zbadanie przez Trybunał skargi na podstawie art. 6 Konwencji</w:t>
      </w:r>
      <w:r>
        <w:rPr>
          <w:lang w:val="pl-PL"/>
        </w:rPr>
        <w:t xml:space="preserve"> – Zarzucany brak rzetelności postępowania, które prowadzono w </w:t>
      </w:r>
      <w:r w:rsidR="004E229B">
        <w:rPr>
          <w:lang w:val="pl-PL"/>
        </w:rPr>
        <w:t xml:space="preserve">sprawie </w:t>
      </w:r>
      <w:r>
        <w:rPr>
          <w:lang w:val="pl-PL"/>
        </w:rPr>
        <w:t xml:space="preserve">wniosku o </w:t>
      </w:r>
      <w:r w:rsidR="0005434B">
        <w:rPr>
          <w:lang w:val="pl-PL"/>
        </w:rPr>
        <w:t>wznowienie</w:t>
      </w:r>
      <w:r w:rsidRPr="0005434B">
        <w:rPr>
          <w:lang w:val="pl-PL"/>
        </w:rPr>
        <w:t>, a w</w:t>
      </w:r>
      <w:r>
        <w:rPr>
          <w:lang w:val="pl-PL"/>
        </w:rPr>
        <w:t xml:space="preserve"> szczególności błędy, którymi</w:t>
      </w:r>
      <w:r w:rsidR="004E229B">
        <w:rPr>
          <w:lang w:val="pl-PL"/>
        </w:rPr>
        <w:t xml:space="preserve"> w opinii skarżącej </w:t>
      </w:r>
      <w:r>
        <w:rPr>
          <w:lang w:val="pl-PL"/>
        </w:rPr>
        <w:t xml:space="preserve">obarczone </w:t>
      </w:r>
      <w:r w:rsidR="004E229B">
        <w:rPr>
          <w:lang w:val="pl-PL"/>
        </w:rPr>
        <w:t xml:space="preserve">było </w:t>
      </w:r>
      <w:r>
        <w:rPr>
          <w:lang w:val="pl-PL"/>
        </w:rPr>
        <w:t>uzasadnienie Sądu Najwyższego</w:t>
      </w:r>
      <w:r w:rsidR="0005434B">
        <w:rPr>
          <w:lang w:val="pl-PL"/>
        </w:rPr>
        <w:t>, stanowią</w:t>
      </w:r>
      <w:r>
        <w:rPr>
          <w:lang w:val="pl-PL"/>
        </w:rPr>
        <w:t xml:space="preserve"> nową informację </w:t>
      </w:r>
      <w:r w:rsidR="0005434B">
        <w:rPr>
          <w:lang w:val="pl-PL"/>
        </w:rPr>
        <w:t>w stosunku do</w:t>
      </w:r>
      <w:r w:rsidR="00344A76">
        <w:rPr>
          <w:lang w:val="pl-PL"/>
        </w:rPr>
        <w:t> </w:t>
      </w:r>
      <w:r>
        <w:rPr>
          <w:lang w:val="pl-PL"/>
        </w:rPr>
        <w:t xml:space="preserve">poprzedniego wyroku Trybunału. </w:t>
      </w:r>
    </w:p>
    <w:p w:rsidR="0057060A" w:rsidRPr="0057060A" w:rsidRDefault="0057060A">
      <w:pPr>
        <w:pStyle w:val="ClinContent"/>
        <w:rPr>
          <w:lang w:val="pl-PL"/>
        </w:rPr>
      </w:pPr>
      <w:r w:rsidRPr="0057060A">
        <w:rPr>
          <w:lang w:val="pl-PL"/>
        </w:rPr>
        <w:t xml:space="preserve">Ponadto procedura nadzoru nad wykonaniem wyroku Trybunału, która wciąż zawisła </w:t>
      </w:r>
      <w:r w:rsidR="004E229B">
        <w:rPr>
          <w:lang w:val="pl-PL"/>
        </w:rPr>
        <w:t xml:space="preserve">jest </w:t>
      </w:r>
      <w:r>
        <w:rPr>
          <w:lang w:val="pl-PL"/>
        </w:rPr>
        <w:t>przed Komitetem Ministrów [Rady Europy], nie uniemożliwia roz</w:t>
      </w:r>
      <w:r w:rsidR="00CE2015">
        <w:rPr>
          <w:lang w:val="pl-PL"/>
        </w:rPr>
        <w:t>patrzenia</w:t>
      </w:r>
      <w:r>
        <w:rPr>
          <w:lang w:val="pl-PL"/>
        </w:rPr>
        <w:t xml:space="preserve"> przez Trybunał nowej skargi w zakresie, w jakim obejmuje ona nowe aspekty, które nie zostały rozstrzygnięte w pierwotnym wyroku. </w:t>
      </w:r>
    </w:p>
    <w:p w:rsidR="0057060A" w:rsidRPr="0057060A" w:rsidRDefault="0057060A">
      <w:pPr>
        <w:pStyle w:val="ClinContent"/>
        <w:rPr>
          <w:lang w:val="pl-PL"/>
        </w:rPr>
      </w:pPr>
      <w:r w:rsidRPr="0057060A">
        <w:rPr>
          <w:lang w:val="pl-PL"/>
        </w:rPr>
        <w:t>A zatem art. 46 Konwencji nie wyklucza zbadania przez Trybunał nowej skargi na</w:t>
      </w:r>
      <w:r w:rsidR="00344A76">
        <w:rPr>
          <w:lang w:val="pl-PL"/>
        </w:rPr>
        <w:t> </w:t>
      </w:r>
      <w:r w:rsidRPr="0057060A">
        <w:rPr>
          <w:lang w:val="pl-PL"/>
        </w:rPr>
        <w:t xml:space="preserve">podstawie art. </w:t>
      </w:r>
      <w:r>
        <w:rPr>
          <w:lang w:val="pl-PL"/>
        </w:rPr>
        <w:t xml:space="preserve">6 Konwencji. </w:t>
      </w:r>
    </w:p>
    <w:p w:rsidR="00B5061F" w:rsidRPr="00B5061F" w:rsidRDefault="00B5061F">
      <w:pPr>
        <w:pStyle w:val="ClinContent"/>
        <w:rPr>
          <w:i/>
          <w:lang w:val="pl-PL"/>
        </w:rPr>
      </w:pPr>
      <w:r w:rsidRPr="00B5061F">
        <w:rPr>
          <w:lang w:val="pl-PL"/>
        </w:rPr>
        <w:t xml:space="preserve">(ii) </w:t>
      </w:r>
      <w:r w:rsidR="0005434B">
        <w:rPr>
          <w:i/>
          <w:lang w:val="pl-PL"/>
        </w:rPr>
        <w:t>Czy nowa skarga skarżącej</w:t>
      </w:r>
      <w:r w:rsidRPr="00B5061F">
        <w:rPr>
          <w:i/>
          <w:lang w:val="pl-PL"/>
        </w:rPr>
        <w:t xml:space="preserve"> jest zgodna </w:t>
      </w:r>
      <w:r w:rsidRPr="000F7B8A">
        <w:rPr>
          <w:i/>
          <w:lang w:val="pl-PL"/>
        </w:rPr>
        <w:t>ratione materiae</w:t>
      </w:r>
      <w:r>
        <w:rPr>
          <w:i/>
          <w:lang w:val="pl-PL"/>
        </w:rPr>
        <w:t xml:space="preserve"> z art. 6 ust. 1 Konwencji – </w:t>
      </w:r>
      <w:r w:rsidRPr="00B5061F">
        <w:rPr>
          <w:lang w:val="pl-PL"/>
        </w:rPr>
        <w:t xml:space="preserve">Sąd Najwyższy </w:t>
      </w:r>
      <w:r>
        <w:rPr>
          <w:lang w:val="pl-PL"/>
        </w:rPr>
        <w:t xml:space="preserve">musiał porównać skazanie </w:t>
      </w:r>
      <w:r w:rsidR="004E229B">
        <w:rPr>
          <w:lang w:val="pl-PL"/>
        </w:rPr>
        <w:t xml:space="preserve">[skarżącej] </w:t>
      </w:r>
      <w:r>
        <w:rPr>
          <w:lang w:val="pl-PL"/>
        </w:rPr>
        <w:t xml:space="preserve">z podstawami, na których Trybunał oparł swe stwierdzenie naruszenia Konwencji. Choć zadaniem Sądu </w:t>
      </w:r>
      <w:r w:rsidRPr="0005434B">
        <w:rPr>
          <w:lang w:val="pl-PL"/>
        </w:rPr>
        <w:t xml:space="preserve">Najwyższego było wydanie rozstrzygnięcia w sprawie wniosku o </w:t>
      </w:r>
      <w:r w:rsidR="0005434B" w:rsidRPr="0005434B">
        <w:rPr>
          <w:lang w:val="pl-PL"/>
        </w:rPr>
        <w:t>wznowienie</w:t>
      </w:r>
      <w:r>
        <w:rPr>
          <w:lang w:val="pl-PL"/>
        </w:rPr>
        <w:t>, przeprowadził on również ponowne badanie co do istoty szeregu aspektów zaskarżonej kwestii nieobecności skarżącej na rozprawie w sprawie jej apelacji oraz konsekwencj</w:t>
      </w:r>
      <w:r w:rsidR="004E229B">
        <w:rPr>
          <w:lang w:val="pl-PL"/>
        </w:rPr>
        <w:t>e</w:t>
      </w:r>
      <w:r>
        <w:rPr>
          <w:lang w:val="pl-PL"/>
        </w:rPr>
        <w:t xml:space="preserve"> jej nieobecności dla</w:t>
      </w:r>
      <w:r w:rsidR="00344A76">
        <w:rPr>
          <w:lang w:val="pl-PL"/>
        </w:rPr>
        <w:t> </w:t>
      </w:r>
      <w:r w:rsidR="0005434B">
        <w:rPr>
          <w:lang w:val="pl-PL"/>
        </w:rPr>
        <w:t xml:space="preserve">zasadności </w:t>
      </w:r>
      <w:r>
        <w:rPr>
          <w:lang w:val="pl-PL"/>
        </w:rPr>
        <w:t xml:space="preserve">jej skazania i wyroku. Zważywszy na zakres kontroli przeprowadzonej przez </w:t>
      </w:r>
      <w:r w:rsidR="003C2643">
        <w:rPr>
          <w:lang w:val="pl-PL"/>
        </w:rPr>
        <w:t>Sąd Najwyższy</w:t>
      </w:r>
      <w:r>
        <w:rPr>
          <w:lang w:val="pl-PL"/>
        </w:rPr>
        <w:t xml:space="preserve">, </w:t>
      </w:r>
      <w:r w:rsidR="004E229B">
        <w:rPr>
          <w:lang w:val="pl-PL"/>
        </w:rPr>
        <w:t>należy ją uznać</w:t>
      </w:r>
      <w:r>
        <w:rPr>
          <w:lang w:val="pl-PL"/>
        </w:rPr>
        <w:t xml:space="preserve"> za dalszy ciąg postępowania zakończonego wyrokiem z 19 grudnia 2017 r., w którym utrzymano w mocy skazanie skarżącej. Kontrola </w:t>
      </w:r>
      <w:r w:rsidR="003C2643">
        <w:rPr>
          <w:lang w:val="pl-PL"/>
        </w:rPr>
        <w:t xml:space="preserve">ta </w:t>
      </w:r>
      <w:r>
        <w:rPr>
          <w:lang w:val="pl-PL"/>
        </w:rPr>
        <w:t>ponownie koncentrowała się na rozpatr</w:t>
      </w:r>
      <w:r w:rsidR="003C2643">
        <w:rPr>
          <w:lang w:val="pl-PL"/>
        </w:rPr>
        <w:t>zeniu</w:t>
      </w:r>
      <w:r>
        <w:rPr>
          <w:lang w:val="pl-PL"/>
        </w:rPr>
        <w:t xml:space="preserve">, w rozumieniu art. 6 ust. 1 Konwencji, zasadności oskarżenia w wytoczonej przeciwko skarżącej sprawie karnej. </w:t>
      </w:r>
      <w:r w:rsidR="00867145">
        <w:rPr>
          <w:lang w:val="pl-PL"/>
        </w:rPr>
        <w:t xml:space="preserve">Wskutek </w:t>
      </w:r>
      <w:r w:rsidR="000F7B8A">
        <w:rPr>
          <w:lang w:val="pl-PL"/>
        </w:rPr>
        <w:t>tego</w:t>
      </w:r>
      <w:r>
        <w:rPr>
          <w:lang w:val="pl-PL"/>
        </w:rPr>
        <w:t xml:space="preserve"> gwarancje z art. 6 ust. 1 Konwencji miały zastosowanie do postępowania przed Sądem Najwyższym. </w:t>
      </w:r>
    </w:p>
    <w:p w:rsidR="00B5061F" w:rsidRPr="00B5061F" w:rsidRDefault="00B5061F">
      <w:pPr>
        <w:pStyle w:val="ClinContent"/>
        <w:rPr>
          <w:lang w:val="pl-PL"/>
        </w:rPr>
      </w:pPr>
      <w:r w:rsidRPr="00812DD2">
        <w:rPr>
          <w:lang w:val="pl-PL"/>
        </w:rPr>
        <w:t xml:space="preserve">W </w:t>
      </w:r>
      <w:r w:rsidR="003C2643" w:rsidRPr="00812DD2">
        <w:rPr>
          <w:lang w:val="pl-PL"/>
        </w:rPr>
        <w:t>konsekwencji</w:t>
      </w:r>
      <w:r w:rsidRPr="00B5061F">
        <w:rPr>
          <w:lang w:val="pl-PL"/>
        </w:rPr>
        <w:t xml:space="preserve"> </w:t>
      </w:r>
      <w:r>
        <w:rPr>
          <w:lang w:val="pl-PL"/>
        </w:rPr>
        <w:t xml:space="preserve">należy oddalić </w:t>
      </w:r>
      <w:r w:rsidRPr="00B5061F">
        <w:rPr>
          <w:lang w:val="pl-PL"/>
        </w:rPr>
        <w:t>zastrzeżenie Rządu</w:t>
      </w:r>
      <w:r>
        <w:rPr>
          <w:lang w:val="pl-PL"/>
        </w:rPr>
        <w:t xml:space="preserve">, </w:t>
      </w:r>
      <w:r w:rsidR="00933E0C">
        <w:rPr>
          <w:lang w:val="pl-PL"/>
        </w:rPr>
        <w:t xml:space="preserve">który podnosił, </w:t>
      </w:r>
      <w:r>
        <w:rPr>
          <w:lang w:val="pl-PL"/>
        </w:rPr>
        <w:t>że Trybunał nie</w:t>
      </w:r>
      <w:r w:rsidR="00344A76">
        <w:rPr>
          <w:lang w:val="pl-PL"/>
        </w:rPr>
        <w:t> </w:t>
      </w:r>
      <w:r>
        <w:rPr>
          <w:lang w:val="pl-PL"/>
        </w:rPr>
        <w:t xml:space="preserve">posiada </w:t>
      </w:r>
      <w:r w:rsidRPr="00B5061F">
        <w:rPr>
          <w:lang w:val="pl-PL"/>
        </w:rPr>
        <w:t xml:space="preserve">jurysdykcji </w:t>
      </w:r>
      <w:r w:rsidRPr="00933E0C">
        <w:rPr>
          <w:i/>
          <w:lang w:val="pl-PL"/>
        </w:rPr>
        <w:t>ratione materiae</w:t>
      </w:r>
      <w:r>
        <w:rPr>
          <w:lang w:val="pl-PL"/>
        </w:rPr>
        <w:t xml:space="preserve"> do zbadania przedmiotu skargi wniesionej przez skarżącą na podstawie art. 6 Konwencji.  </w:t>
      </w:r>
    </w:p>
    <w:p w:rsidR="00933E0C" w:rsidRPr="00933E0C" w:rsidRDefault="006D11AE">
      <w:pPr>
        <w:pStyle w:val="ClinContent"/>
        <w:rPr>
          <w:lang w:val="pl-PL"/>
        </w:rPr>
      </w:pPr>
      <w:r w:rsidRPr="00933E0C">
        <w:rPr>
          <w:i/>
          <w:lang w:val="pl-PL"/>
        </w:rPr>
        <w:t>Rozstrzygnięcie</w:t>
      </w:r>
      <w:r w:rsidR="00933E0C" w:rsidRPr="00933E0C">
        <w:rPr>
          <w:lang w:val="pl-PL"/>
        </w:rPr>
        <w:t>: skarga dopuszczalna (większością głosów)</w:t>
      </w:r>
    </w:p>
    <w:p w:rsidR="00E23632" w:rsidRPr="00E23632" w:rsidRDefault="00933E0C">
      <w:pPr>
        <w:pStyle w:val="ClinContent"/>
        <w:rPr>
          <w:lang w:val="pl-PL"/>
        </w:rPr>
      </w:pPr>
      <w:r w:rsidRPr="00E23632">
        <w:rPr>
          <w:lang w:val="pl-PL"/>
        </w:rPr>
        <w:t>(b) Przedmiot sprawy</w:t>
      </w:r>
    </w:p>
    <w:p w:rsidR="00933E0C" w:rsidRPr="00933E0C" w:rsidRDefault="00933E0C">
      <w:pPr>
        <w:pStyle w:val="ClinContent"/>
        <w:rPr>
          <w:i/>
          <w:lang w:val="pl-PL"/>
        </w:rPr>
      </w:pPr>
      <w:r w:rsidRPr="00933E0C">
        <w:rPr>
          <w:lang w:val="pl-PL"/>
        </w:rPr>
        <w:t xml:space="preserve">W świetle wykładni art. </w:t>
      </w:r>
      <w:r>
        <w:rPr>
          <w:lang w:val="pl-PL"/>
        </w:rPr>
        <w:t xml:space="preserve">449 ust. 1 lit. g Kodeksu postępowania karnego </w:t>
      </w:r>
      <w:r w:rsidR="003C2643">
        <w:rPr>
          <w:lang w:val="pl-PL"/>
        </w:rPr>
        <w:t>dokonanej przez</w:t>
      </w:r>
      <w:r w:rsidR="00344A76">
        <w:rPr>
          <w:lang w:val="pl-PL"/>
        </w:rPr>
        <w:t> </w:t>
      </w:r>
      <w:r w:rsidR="003C2643">
        <w:rPr>
          <w:lang w:val="pl-PL"/>
        </w:rPr>
        <w:t>Sąd Najwyższy</w:t>
      </w:r>
      <w:r w:rsidR="00637AA5">
        <w:rPr>
          <w:lang w:val="pl-PL"/>
        </w:rPr>
        <w:t xml:space="preserve"> </w:t>
      </w:r>
      <w:r>
        <w:rPr>
          <w:lang w:val="pl-PL"/>
        </w:rPr>
        <w:t xml:space="preserve">ten rodzaj nieprawidłowości proceduralnych, jakie zostały stwierdzone w obecnej sprawie, nie daje podstaw do jakiegokolwiek </w:t>
      </w:r>
      <w:r w:rsidR="003C2643">
        <w:rPr>
          <w:lang w:val="pl-PL"/>
        </w:rPr>
        <w:t xml:space="preserve">automatycznego </w:t>
      </w:r>
      <w:r>
        <w:rPr>
          <w:lang w:val="pl-PL"/>
        </w:rPr>
        <w:t xml:space="preserve">prawa do wznowienia postępowania. </w:t>
      </w:r>
    </w:p>
    <w:p w:rsidR="00933E0C" w:rsidRPr="00933E0C" w:rsidRDefault="00933E0C">
      <w:pPr>
        <w:pStyle w:val="ClinContent"/>
        <w:rPr>
          <w:lang w:val="pl-PL"/>
        </w:rPr>
      </w:pPr>
      <w:r w:rsidRPr="00933E0C">
        <w:rPr>
          <w:lang w:val="pl-PL"/>
        </w:rPr>
        <w:t>Wykładnia ta, której skutkiem było ograniczenie liczby przypadków wznowienia prawomocnie zakończonych postępowań karnych lub przynajmni</w:t>
      </w:r>
      <w:r w:rsidR="003C2643">
        <w:rPr>
          <w:lang w:val="pl-PL"/>
        </w:rPr>
        <w:t>ej poddanie ich</w:t>
      </w:r>
      <w:r w:rsidR="00344A76">
        <w:rPr>
          <w:lang w:val="pl-PL"/>
        </w:rPr>
        <w:t> </w:t>
      </w:r>
      <w:r w:rsidR="003C2643">
        <w:rPr>
          <w:lang w:val="pl-PL"/>
        </w:rPr>
        <w:t>kryteriom ocenianym przez sądy krajowe, nie wydaje się arbitralna</w:t>
      </w:r>
      <w:r w:rsidRPr="00933E0C">
        <w:rPr>
          <w:lang w:val="pl-PL"/>
        </w:rPr>
        <w:t xml:space="preserve"> i </w:t>
      </w:r>
      <w:r>
        <w:rPr>
          <w:lang w:val="pl-PL"/>
        </w:rPr>
        <w:t>jest ws</w:t>
      </w:r>
      <w:r w:rsidR="003C2643">
        <w:rPr>
          <w:lang w:val="pl-PL"/>
        </w:rPr>
        <w:t>parta</w:t>
      </w:r>
      <w:r w:rsidRPr="00933E0C">
        <w:rPr>
          <w:lang w:val="pl-PL"/>
        </w:rPr>
        <w:t xml:space="preserve"> </w:t>
      </w:r>
      <w:r w:rsidR="003C2643">
        <w:rPr>
          <w:lang w:val="pl-PL"/>
        </w:rPr>
        <w:t>przez utrwalone orzecznictwo</w:t>
      </w:r>
      <w:r w:rsidRPr="00933E0C">
        <w:rPr>
          <w:lang w:val="pl-PL"/>
        </w:rPr>
        <w:t xml:space="preserve"> </w:t>
      </w:r>
      <w:r w:rsidRPr="003C2643">
        <w:rPr>
          <w:lang w:val="pl-PL"/>
        </w:rPr>
        <w:t>Trybunału</w:t>
      </w:r>
      <w:r w:rsidR="003C2643">
        <w:rPr>
          <w:lang w:val="pl-PL"/>
        </w:rPr>
        <w:t>,</w:t>
      </w:r>
      <w:r>
        <w:rPr>
          <w:lang w:val="pl-PL"/>
        </w:rPr>
        <w:t xml:space="preserve"> </w:t>
      </w:r>
      <w:r w:rsidR="003C2643">
        <w:rPr>
          <w:lang w:val="pl-PL"/>
        </w:rPr>
        <w:t>w świetle którego</w:t>
      </w:r>
      <w:r>
        <w:rPr>
          <w:lang w:val="pl-PL"/>
        </w:rPr>
        <w:t xml:space="preserve"> Konwencja nie gwarantuje prawa do wznowienia postępowania lub do innego rodzaju środka odwoławczego, za</w:t>
      </w:r>
      <w:r w:rsidR="00344A76">
        <w:rPr>
          <w:lang w:val="pl-PL"/>
        </w:rPr>
        <w:t> </w:t>
      </w:r>
      <w:r>
        <w:rPr>
          <w:lang w:val="pl-PL"/>
        </w:rPr>
        <w:t>pomocą którego ostateczne rozstrzygnięcia sądowe mogłyby zo</w:t>
      </w:r>
      <w:r w:rsidR="003C2643">
        <w:rPr>
          <w:lang w:val="pl-PL"/>
        </w:rPr>
        <w:t>stać uchylone lub</w:t>
      </w:r>
      <w:r w:rsidR="00344A76">
        <w:rPr>
          <w:lang w:val="pl-PL"/>
        </w:rPr>
        <w:t> </w:t>
      </w:r>
      <w:r w:rsidR="003C2643">
        <w:rPr>
          <w:lang w:val="pl-PL"/>
        </w:rPr>
        <w:t xml:space="preserve">skontrolowane. Jest też wsparta </w:t>
      </w:r>
      <w:r>
        <w:rPr>
          <w:lang w:val="pl-PL"/>
        </w:rPr>
        <w:t xml:space="preserve">brakiem jednolitego podejścia wśród państw członkowskich do procedur </w:t>
      </w:r>
      <w:r w:rsidR="003C2643">
        <w:rPr>
          <w:lang w:val="pl-PL"/>
        </w:rPr>
        <w:t xml:space="preserve">funkcjonowania </w:t>
      </w:r>
      <w:r>
        <w:rPr>
          <w:lang w:val="pl-PL"/>
        </w:rPr>
        <w:t xml:space="preserve">jakiegokolwiek istniejącego mechanizmu wznowienia. Ponadto stwierdzenie naruszenia art. 6 </w:t>
      </w:r>
      <w:r w:rsidRPr="00CE2015">
        <w:rPr>
          <w:lang w:val="pl-PL"/>
        </w:rPr>
        <w:t xml:space="preserve">Konwencji </w:t>
      </w:r>
      <w:r w:rsidR="00637AA5" w:rsidRPr="00CE2015">
        <w:rPr>
          <w:lang w:val="pl-PL"/>
        </w:rPr>
        <w:t xml:space="preserve">zasadniczo </w:t>
      </w:r>
      <w:r w:rsidRPr="00CE2015">
        <w:rPr>
          <w:lang w:val="pl-PL"/>
        </w:rPr>
        <w:t>nie</w:t>
      </w:r>
      <w:r>
        <w:rPr>
          <w:lang w:val="pl-PL"/>
        </w:rPr>
        <w:t xml:space="preserve"> stwarza sytuacji </w:t>
      </w:r>
      <w:r w:rsidR="003C2643">
        <w:rPr>
          <w:lang w:val="pl-PL"/>
        </w:rPr>
        <w:t xml:space="preserve">ciągłej </w:t>
      </w:r>
      <w:r>
        <w:rPr>
          <w:lang w:val="pl-PL"/>
        </w:rPr>
        <w:t xml:space="preserve">i nie nakłada na pozwane Państwo </w:t>
      </w:r>
      <w:r w:rsidR="003C2643">
        <w:rPr>
          <w:lang w:val="pl-PL"/>
        </w:rPr>
        <w:t xml:space="preserve">ciągłego </w:t>
      </w:r>
      <w:r>
        <w:rPr>
          <w:lang w:val="pl-PL"/>
        </w:rPr>
        <w:t xml:space="preserve">obowiązku proceduralnego. </w:t>
      </w:r>
    </w:p>
    <w:p w:rsidR="00D02453" w:rsidRPr="00D02453" w:rsidRDefault="00D02453">
      <w:pPr>
        <w:pStyle w:val="ClinContent"/>
        <w:rPr>
          <w:lang w:val="pl-PL"/>
        </w:rPr>
      </w:pPr>
      <w:r w:rsidRPr="00D02453">
        <w:rPr>
          <w:lang w:val="pl-PL"/>
        </w:rPr>
        <w:lastRenderedPageBreak/>
        <w:t>Wyrok Izby</w:t>
      </w:r>
      <w:r>
        <w:rPr>
          <w:lang w:val="pl-PL"/>
        </w:rPr>
        <w:t xml:space="preserve"> Trybunału</w:t>
      </w:r>
      <w:r w:rsidRPr="00D02453">
        <w:rPr>
          <w:lang w:val="pl-PL"/>
        </w:rPr>
        <w:t xml:space="preserve"> z 5 lipca 2011 r. </w:t>
      </w:r>
      <w:r>
        <w:rPr>
          <w:lang w:val="pl-PL"/>
        </w:rPr>
        <w:t xml:space="preserve">stwierdzał, że ponowy proces lub wznowienie postępowania na wniosek skarżącej </w:t>
      </w:r>
      <w:r w:rsidRPr="00D02453">
        <w:rPr>
          <w:lang w:val="pl-PL"/>
        </w:rPr>
        <w:t xml:space="preserve">stanowi </w:t>
      </w:r>
      <w:r>
        <w:rPr>
          <w:lang w:val="pl-PL"/>
        </w:rPr>
        <w:t>„</w:t>
      </w:r>
      <w:r w:rsidRPr="00D02453">
        <w:rPr>
          <w:lang w:val="pl-PL"/>
        </w:rPr>
        <w:t xml:space="preserve">co do zasady, </w:t>
      </w:r>
      <w:r>
        <w:rPr>
          <w:lang w:val="pl-PL"/>
        </w:rPr>
        <w:t xml:space="preserve">odpowiedni </w:t>
      </w:r>
      <w:r w:rsidRPr="00D02453">
        <w:rPr>
          <w:lang w:val="pl-PL"/>
        </w:rPr>
        <w:t>środek naprawienia stwierdzonego naruszenia</w:t>
      </w:r>
      <w:r>
        <w:rPr>
          <w:lang w:val="pl-PL"/>
        </w:rPr>
        <w:t>”. Ponowny proces lub wznowienie zostało więc</w:t>
      </w:r>
      <w:r w:rsidR="00344A76">
        <w:rPr>
          <w:lang w:val="pl-PL"/>
        </w:rPr>
        <w:t> </w:t>
      </w:r>
      <w:r>
        <w:rPr>
          <w:lang w:val="pl-PL"/>
        </w:rPr>
        <w:t>opisane jako rozwiązanie</w:t>
      </w:r>
      <w:r w:rsidR="004E229B" w:rsidRPr="004E229B">
        <w:rPr>
          <w:lang w:val="pl-PL"/>
        </w:rPr>
        <w:t xml:space="preserve"> </w:t>
      </w:r>
      <w:r w:rsidR="004E229B">
        <w:rPr>
          <w:lang w:val="pl-PL"/>
        </w:rPr>
        <w:t>odpowiednie</w:t>
      </w:r>
      <w:r>
        <w:rPr>
          <w:lang w:val="pl-PL"/>
        </w:rPr>
        <w:t>, ale nie jako konieczne czy wyłączne. Ponadto użycie zwrotu „co do zasady” z</w:t>
      </w:r>
      <w:r w:rsidR="00CE2015">
        <w:rPr>
          <w:lang w:val="pl-PL"/>
        </w:rPr>
        <w:t>a</w:t>
      </w:r>
      <w:r>
        <w:rPr>
          <w:lang w:val="pl-PL"/>
        </w:rPr>
        <w:t>wężało zakres zalecenia, sugerując, że</w:t>
      </w:r>
      <w:r w:rsidR="00344A76">
        <w:rPr>
          <w:lang w:val="pl-PL"/>
        </w:rPr>
        <w:t> </w:t>
      </w:r>
      <w:r>
        <w:rPr>
          <w:lang w:val="pl-PL"/>
        </w:rPr>
        <w:t>w</w:t>
      </w:r>
      <w:r w:rsidR="00344A76">
        <w:rPr>
          <w:lang w:val="pl-PL"/>
        </w:rPr>
        <w:t> </w:t>
      </w:r>
      <w:r>
        <w:rPr>
          <w:lang w:val="pl-PL"/>
        </w:rPr>
        <w:t>niektórych sytuacjach ponowny proces lub wznowienie postępowania może nie</w:t>
      </w:r>
      <w:r w:rsidR="00344A76">
        <w:rPr>
          <w:lang w:val="pl-PL"/>
        </w:rPr>
        <w:t> </w:t>
      </w:r>
      <w:r>
        <w:rPr>
          <w:lang w:val="pl-PL"/>
        </w:rPr>
        <w:t xml:space="preserve">stanowić odpowiedniego rozwiązania. </w:t>
      </w:r>
      <w:r w:rsidR="00631857">
        <w:rPr>
          <w:lang w:val="pl-PL"/>
        </w:rPr>
        <w:t xml:space="preserve">Trybunał powstrzymał się zatem od udzielania wiążących wskazówek co do sposobu wykonania jego wyroku, a zamiast tego postanowił przyznać Państwu szeroki margines </w:t>
      </w:r>
      <w:r w:rsidR="00AA2A41">
        <w:rPr>
          <w:lang w:val="pl-PL"/>
        </w:rPr>
        <w:t xml:space="preserve">swobody </w:t>
      </w:r>
      <w:r w:rsidR="00631857">
        <w:rPr>
          <w:lang w:val="pl-PL"/>
        </w:rPr>
        <w:t xml:space="preserve">w tym obszarze. Ponadto Trybunał nie mógł przesądzać wyniku oceny sądów krajowych, czy w świetle konkretnych okoliczności sprawy właściwe będzie przyznanie ponownego procesu lub wznowienia postępowania. </w:t>
      </w:r>
    </w:p>
    <w:p w:rsidR="00D02453" w:rsidRPr="00D02453" w:rsidRDefault="004E229B">
      <w:pPr>
        <w:pStyle w:val="ClinContent"/>
        <w:rPr>
          <w:lang w:val="pl-PL"/>
        </w:rPr>
      </w:pPr>
      <w:r>
        <w:rPr>
          <w:lang w:val="pl-PL"/>
        </w:rPr>
        <w:t>Biorąc powyższe pod uwagę</w:t>
      </w:r>
      <w:r w:rsidR="00D02453" w:rsidRPr="00D02453">
        <w:rPr>
          <w:lang w:val="pl-PL"/>
        </w:rPr>
        <w:t>, wznowienie postę</w:t>
      </w:r>
      <w:r w:rsidR="00D02453">
        <w:rPr>
          <w:lang w:val="pl-PL"/>
        </w:rPr>
        <w:t xml:space="preserve">powania nie wydawało się jedynym sposobem wykonania wyroku Trybunału z 5 lipca 2011 r.; w najlepszym razie stanowiło ono najbardziej pożądaną opcję, której celowość należała do oceny </w:t>
      </w:r>
      <w:r>
        <w:rPr>
          <w:lang w:val="pl-PL"/>
        </w:rPr>
        <w:t>sądów krajowych</w:t>
      </w:r>
      <w:r w:rsidR="00D02453">
        <w:rPr>
          <w:lang w:val="pl-PL"/>
        </w:rPr>
        <w:t xml:space="preserve"> z</w:t>
      </w:r>
      <w:r w:rsidR="00344A76">
        <w:rPr>
          <w:lang w:val="pl-PL"/>
        </w:rPr>
        <w:t> </w:t>
      </w:r>
      <w:r w:rsidR="00D02453">
        <w:rPr>
          <w:lang w:val="pl-PL"/>
        </w:rPr>
        <w:t xml:space="preserve">uwzględnieniem prawa portugalskiego i szczególnych okoliczności sprawy. </w:t>
      </w:r>
    </w:p>
    <w:p w:rsidR="00D02453" w:rsidRPr="00D02453" w:rsidRDefault="00D02453">
      <w:pPr>
        <w:pStyle w:val="ClinContent"/>
        <w:rPr>
          <w:lang w:val="pl-PL"/>
        </w:rPr>
      </w:pPr>
      <w:r w:rsidRPr="00D02453">
        <w:rPr>
          <w:lang w:val="pl-PL"/>
        </w:rPr>
        <w:t xml:space="preserve">Sąd Najwyższy w uzasadnieniu swego wyroku z dnia 21 marca 2012 r. </w:t>
      </w:r>
      <w:r>
        <w:rPr>
          <w:lang w:val="pl-PL"/>
        </w:rPr>
        <w:t>przeanalizował treść wyroku Trybunału z dnia</w:t>
      </w:r>
      <w:r w:rsidR="00631857">
        <w:rPr>
          <w:lang w:val="pl-PL"/>
        </w:rPr>
        <w:t xml:space="preserve"> 5 lipca 2011 r. i przedstawił</w:t>
      </w:r>
      <w:r>
        <w:rPr>
          <w:lang w:val="pl-PL"/>
        </w:rPr>
        <w:t xml:space="preserve"> własną jego interpretację. </w:t>
      </w:r>
      <w:r w:rsidR="00631857">
        <w:rPr>
          <w:lang w:val="pl-PL"/>
        </w:rPr>
        <w:t>Zważywszy na przysługujący władzom krajowym margines</w:t>
      </w:r>
      <w:r>
        <w:rPr>
          <w:lang w:val="pl-PL"/>
        </w:rPr>
        <w:t xml:space="preserve"> oceny przy interpretacji wyroków Trybunału oraz </w:t>
      </w:r>
      <w:r w:rsidR="00CE2015">
        <w:rPr>
          <w:lang w:val="pl-PL"/>
        </w:rPr>
        <w:t xml:space="preserve">w świetle </w:t>
      </w:r>
      <w:r>
        <w:rPr>
          <w:lang w:val="pl-PL"/>
        </w:rPr>
        <w:t>zasad</w:t>
      </w:r>
      <w:r w:rsidR="00CE2015">
        <w:rPr>
          <w:lang w:val="pl-PL"/>
        </w:rPr>
        <w:t xml:space="preserve"> regulujących</w:t>
      </w:r>
      <w:r>
        <w:rPr>
          <w:lang w:val="pl-PL"/>
        </w:rPr>
        <w:t xml:space="preserve"> wykonywanie jego wyroków, Trybunał uznał, że zbędne jest wyrażanie stanowiska </w:t>
      </w:r>
      <w:r w:rsidR="00631857">
        <w:rPr>
          <w:lang w:val="pl-PL"/>
        </w:rPr>
        <w:t xml:space="preserve">co do </w:t>
      </w:r>
      <w:r w:rsidRPr="00631857">
        <w:rPr>
          <w:lang w:val="pl-PL"/>
        </w:rPr>
        <w:t>zasadności</w:t>
      </w:r>
      <w:r>
        <w:rPr>
          <w:lang w:val="pl-PL"/>
        </w:rPr>
        <w:t xml:space="preserve"> tej interpretacji. </w:t>
      </w:r>
      <w:r w:rsidR="004E229B">
        <w:rPr>
          <w:lang w:val="pl-PL"/>
        </w:rPr>
        <w:t>W</w:t>
      </w:r>
      <w:r w:rsidR="003565CE">
        <w:rPr>
          <w:lang w:val="pl-PL"/>
        </w:rPr>
        <w:t xml:space="preserve">ystarczające było ustalenie przez Trybunał, </w:t>
      </w:r>
      <w:r w:rsidR="00161E5A">
        <w:rPr>
          <w:lang w:val="pl-PL"/>
        </w:rPr>
        <w:t xml:space="preserve">że </w:t>
      </w:r>
      <w:r w:rsidR="003565CE">
        <w:rPr>
          <w:lang w:val="pl-PL"/>
        </w:rPr>
        <w:t xml:space="preserve">wyrok z 21 marca 2012 r. nie był arbitralny, to jest, </w:t>
      </w:r>
      <w:r w:rsidR="00161E5A">
        <w:rPr>
          <w:lang w:val="pl-PL"/>
        </w:rPr>
        <w:t xml:space="preserve">że </w:t>
      </w:r>
      <w:r w:rsidR="003565CE">
        <w:rPr>
          <w:lang w:val="pl-PL"/>
        </w:rPr>
        <w:t>sędziowie Sądu Najwyższego nie wypaczyli lub nie przedstawili w</w:t>
      </w:r>
      <w:r w:rsidR="00344A76">
        <w:rPr>
          <w:lang w:val="pl-PL"/>
        </w:rPr>
        <w:t> </w:t>
      </w:r>
      <w:r w:rsidR="003565CE">
        <w:rPr>
          <w:lang w:val="pl-PL"/>
        </w:rPr>
        <w:t>nieprawdziwym świetle wyroku wydanego przez Trybunał.</w:t>
      </w:r>
    </w:p>
    <w:p w:rsidR="003565CE" w:rsidRPr="003565CE" w:rsidRDefault="004E229B">
      <w:pPr>
        <w:pStyle w:val="ClinContent"/>
        <w:rPr>
          <w:lang w:val="pl-PL"/>
        </w:rPr>
      </w:pPr>
      <w:r>
        <w:rPr>
          <w:lang w:val="pl-PL"/>
        </w:rPr>
        <w:t xml:space="preserve">Nie można </w:t>
      </w:r>
      <w:r w:rsidR="003565CE" w:rsidRPr="003565CE">
        <w:rPr>
          <w:lang w:val="pl-PL"/>
        </w:rPr>
        <w:t>uznać, że sposób odczytania przez Sąd Najwyższy wyro</w:t>
      </w:r>
      <w:r w:rsidR="003565CE">
        <w:rPr>
          <w:lang w:val="pl-PL"/>
        </w:rPr>
        <w:t>ku Trybunału z</w:t>
      </w:r>
      <w:r w:rsidR="00344A76">
        <w:rPr>
          <w:lang w:val="pl-PL"/>
        </w:rPr>
        <w:t> </w:t>
      </w:r>
      <w:r w:rsidR="003565CE">
        <w:rPr>
          <w:lang w:val="pl-PL"/>
        </w:rPr>
        <w:t>2011</w:t>
      </w:r>
      <w:r w:rsidR="00A15F75">
        <w:rPr>
          <w:lang w:val="pl-PL"/>
        </w:rPr>
        <w:t> </w:t>
      </w:r>
      <w:r w:rsidR="003565CE">
        <w:rPr>
          <w:lang w:val="pl-PL"/>
        </w:rPr>
        <w:t xml:space="preserve">r., oceniany jako całość, </w:t>
      </w:r>
      <w:r w:rsidR="00631857">
        <w:rPr>
          <w:lang w:val="pl-PL"/>
        </w:rPr>
        <w:t xml:space="preserve">wynikał z </w:t>
      </w:r>
      <w:r w:rsidR="003565CE">
        <w:rPr>
          <w:lang w:val="pl-PL"/>
        </w:rPr>
        <w:t xml:space="preserve">oczywistego błędu co do </w:t>
      </w:r>
      <w:r w:rsidR="00631857">
        <w:rPr>
          <w:lang w:val="pl-PL"/>
        </w:rPr>
        <w:t xml:space="preserve">faktów lub </w:t>
      </w:r>
      <w:r w:rsidR="003565CE">
        <w:rPr>
          <w:lang w:val="pl-PL"/>
        </w:rPr>
        <w:t>prawa</w:t>
      </w:r>
      <w:r w:rsidR="00631857">
        <w:rPr>
          <w:lang w:val="pl-PL"/>
        </w:rPr>
        <w:t>,</w:t>
      </w:r>
      <w:r w:rsidR="003565CE">
        <w:rPr>
          <w:lang w:val="pl-PL"/>
        </w:rPr>
        <w:t xml:space="preserve"> </w:t>
      </w:r>
      <w:r w:rsidR="00631857">
        <w:rPr>
          <w:lang w:val="pl-PL"/>
        </w:rPr>
        <w:t>prowadząc</w:t>
      </w:r>
      <w:r w:rsidR="003565CE">
        <w:rPr>
          <w:lang w:val="pl-PL"/>
        </w:rPr>
        <w:t xml:space="preserve"> </w:t>
      </w:r>
      <w:r w:rsidR="003565CE" w:rsidRPr="00631857">
        <w:rPr>
          <w:lang w:val="pl-PL"/>
        </w:rPr>
        <w:t>do „odmowy sprawiedliwości</w:t>
      </w:r>
      <w:r w:rsidR="003565CE">
        <w:rPr>
          <w:lang w:val="pl-PL"/>
        </w:rPr>
        <w:t>”. Mając na względzie zasadę subsydiarności oraz</w:t>
      </w:r>
      <w:r w:rsidR="00344A76">
        <w:rPr>
          <w:lang w:val="pl-PL"/>
        </w:rPr>
        <w:t> </w:t>
      </w:r>
      <w:r w:rsidR="003565CE">
        <w:rPr>
          <w:lang w:val="pl-PL"/>
        </w:rPr>
        <w:t xml:space="preserve">sformułowanie wyroku Trybunału z 2011 r., Trybunał uznał, że odmowa wznowienia </w:t>
      </w:r>
      <w:r w:rsidR="00161E5A">
        <w:rPr>
          <w:lang w:val="pl-PL"/>
        </w:rPr>
        <w:t xml:space="preserve">postępowania </w:t>
      </w:r>
      <w:r w:rsidR="003565CE">
        <w:rPr>
          <w:lang w:val="pl-PL"/>
        </w:rPr>
        <w:t xml:space="preserve">przez Sąd Najwyższy, o </w:t>
      </w:r>
      <w:r w:rsidR="00161E5A">
        <w:rPr>
          <w:lang w:val="pl-PL"/>
        </w:rPr>
        <w:t>które</w:t>
      </w:r>
      <w:r w:rsidR="003565CE">
        <w:rPr>
          <w:lang w:val="pl-PL"/>
        </w:rPr>
        <w:t xml:space="preserve"> wnioskowała skarżąca, nie była arbitralna. Wyrok Sądu Najwyższego z dnia 21 marca 2012 r. w sposób wystarczający wskazywał podstawy, na jakich się opierał. Podstawy te należały do obszaru objęte</w:t>
      </w:r>
      <w:r w:rsidR="00A15F75">
        <w:rPr>
          <w:lang w:val="pl-PL"/>
        </w:rPr>
        <w:t>go</w:t>
      </w:r>
      <w:r w:rsidR="003565CE">
        <w:rPr>
          <w:lang w:val="pl-PL"/>
        </w:rPr>
        <w:t xml:space="preserve"> marginesem oceny władz krajowych i nie wypacz</w:t>
      </w:r>
      <w:r w:rsidR="00631857">
        <w:rPr>
          <w:lang w:val="pl-PL"/>
        </w:rPr>
        <w:t>a</w:t>
      </w:r>
      <w:r w:rsidR="003565CE">
        <w:rPr>
          <w:lang w:val="pl-PL"/>
        </w:rPr>
        <w:t xml:space="preserve">ły stwierdzeń zawartych w wyroku Trybunału.  </w:t>
      </w:r>
    </w:p>
    <w:p w:rsidR="003565CE" w:rsidRPr="003565CE" w:rsidRDefault="003565CE">
      <w:pPr>
        <w:pStyle w:val="ClinContent"/>
        <w:rPr>
          <w:lang w:val="pl-PL"/>
        </w:rPr>
      </w:pPr>
      <w:r w:rsidRPr="003565CE">
        <w:rPr>
          <w:lang w:val="pl-PL"/>
        </w:rPr>
        <w:t xml:space="preserve">Powyższe względy nie mają na celu </w:t>
      </w:r>
      <w:r>
        <w:rPr>
          <w:lang w:val="pl-PL"/>
        </w:rPr>
        <w:t xml:space="preserve">pomniejszenia </w:t>
      </w:r>
      <w:r w:rsidR="00161E5A">
        <w:rPr>
          <w:lang w:val="pl-PL"/>
        </w:rPr>
        <w:t xml:space="preserve">doniosłości </w:t>
      </w:r>
      <w:r>
        <w:rPr>
          <w:lang w:val="pl-PL"/>
        </w:rPr>
        <w:t>zapewnienia procedur krajowych, za pomocą których sprawa mogłaby zostać zbadana ponownie w świetle stwierdz</w:t>
      </w:r>
      <w:r w:rsidR="00161E5A">
        <w:rPr>
          <w:lang w:val="pl-PL"/>
        </w:rPr>
        <w:t>onego</w:t>
      </w:r>
      <w:r w:rsidR="004E229B">
        <w:rPr>
          <w:lang w:val="pl-PL"/>
        </w:rPr>
        <w:t xml:space="preserve"> [przez Trybunał]</w:t>
      </w:r>
      <w:r w:rsidR="00161E5A">
        <w:rPr>
          <w:lang w:val="pl-PL"/>
        </w:rPr>
        <w:t xml:space="preserve"> naruszenia </w:t>
      </w:r>
      <w:r>
        <w:rPr>
          <w:lang w:val="pl-PL"/>
        </w:rPr>
        <w:t xml:space="preserve">art. 6 Konwencji. Przeciwnie, procedury takie mogą być uznane za istotny aspekt wykonywania wyroków Trybunału, a ich dostępność wskazuje na przywiązanie Układających się Państw do Konwencji </w:t>
      </w:r>
      <w:r w:rsidR="00161E5A">
        <w:rPr>
          <w:lang w:val="pl-PL"/>
        </w:rPr>
        <w:t>i</w:t>
      </w:r>
      <w:r>
        <w:rPr>
          <w:lang w:val="pl-PL"/>
        </w:rPr>
        <w:t xml:space="preserve"> orzecznictwa Trybunału.</w:t>
      </w:r>
    </w:p>
    <w:p w:rsidR="003565CE" w:rsidRPr="003565CE" w:rsidRDefault="003565CE">
      <w:pPr>
        <w:pStyle w:val="ClinContent"/>
        <w:rPr>
          <w:lang w:val="pl-PL"/>
        </w:rPr>
      </w:pPr>
      <w:r w:rsidRPr="003565CE">
        <w:rPr>
          <w:i/>
          <w:lang w:val="pl-PL"/>
        </w:rPr>
        <w:t xml:space="preserve">Rozstrzygnięcie: </w:t>
      </w:r>
      <w:r w:rsidRPr="003565CE">
        <w:rPr>
          <w:lang w:val="pl-PL"/>
        </w:rPr>
        <w:t>brak naruszenia (</w:t>
      </w:r>
      <w:r w:rsidR="00631857" w:rsidRPr="003565CE">
        <w:rPr>
          <w:lang w:val="pl-PL"/>
        </w:rPr>
        <w:t>dziewięcioma</w:t>
      </w:r>
      <w:r w:rsidRPr="003565CE">
        <w:rPr>
          <w:lang w:val="pl-PL"/>
        </w:rPr>
        <w:t xml:space="preserve"> głosami do ośmiu).</w:t>
      </w:r>
    </w:p>
    <w:p w:rsidR="00681658" w:rsidRPr="003565CE" w:rsidRDefault="006B3317">
      <w:pPr>
        <w:pStyle w:val="ClinContent"/>
        <w:rPr>
          <w:lang w:val="pl-PL"/>
        </w:rPr>
      </w:pPr>
      <w:r w:rsidRPr="003565CE">
        <w:rPr>
          <w:lang w:val="pl-PL"/>
        </w:rPr>
        <w:t>(</w:t>
      </w:r>
      <w:r w:rsidR="003565CE" w:rsidRPr="003565CE">
        <w:rPr>
          <w:lang w:val="pl-PL"/>
        </w:rPr>
        <w:t xml:space="preserve">Zobacz także </w:t>
      </w:r>
      <w:proofErr w:type="spellStart"/>
      <w:r w:rsidRPr="003565CE">
        <w:rPr>
          <w:i/>
          <w:lang w:val="pl-PL"/>
        </w:rPr>
        <w:t>Meftah</w:t>
      </w:r>
      <w:proofErr w:type="spellEnd"/>
      <w:r w:rsidRPr="003565CE">
        <w:rPr>
          <w:i/>
          <w:lang w:val="pl-PL"/>
        </w:rPr>
        <w:t xml:space="preserve"> </w:t>
      </w:r>
      <w:r w:rsidR="003565CE" w:rsidRPr="003565CE">
        <w:rPr>
          <w:i/>
          <w:lang w:val="pl-PL"/>
        </w:rPr>
        <w:t xml:space="preserve">i Inni </w:t>
      </w:r>
      <w:r w:rsidR="003565CE">
        <w:rPr>
          <w:i/>
          <w:lang w:val="pl-PL"/>
        </w:rPr>
        <w:t>p.</w:t>
      </w:r>
      <w:r w:rsidRPr="003565CE">
        <w:rPr>
          <w:i/>
          <w:lang w:val="pl-PL"/>
        </w:rPr>
        <w:t> Franc</w:t>
      </w:r>
      <w:r w:rsidR="003565CE">
        <w:rPr>
          <w:i/>
          <w:lang w:val="pl-PL"/>
        </w:rPr>
        <w:t>ji</w:t>
      </w:r>
      <w:r w:rsidRPr="003565CE">
        <w:rPr>
          <w:lang w:val="pl-PL"/>
        </w:rPr>
        <w:t xml:space="preserve"> [</w:t>
      </w:r>
      <w:r w:rsidR="003565CE">
        <w:rPr>
          <w:lang w:val="pl-PL"/>
        </w:rPr>
        <w:t>Wielka Izba</w:t>
      </w:r>
      <w:r w:rsidRPr="003565CE">
        <w:rPr>
          <w:lang w:val="pl-PL"/>
        </w:rPr>
        <w:t>],</w:t>
      </w:r>
      <w:r w:rsidR="003565CE">
        <w:rPr>
          <w:lang w:val="pl-PL"/>
        </w:rPr>
        <w:t xml:space="preserve"> nr </w:t>
      </w:r>
      <w:r w:rsidRPr="003565CE">
        <w:rPr>
          <w:lang w:val="pl-PL"/>
        </w:rPr>
        <w:t xml:space="preserve">32911/96 </w:t>
      </w:r>
      <w:r w:rsidRPr="003565CE">
        <w:rPr>
          <w:i/>
          <w:lang w:val="pl-PL"/>
        </w:rPr>
        <w:t>et al.</w:t>
      </w:r>
      <w:r w:rsidRPr="003565CE">
        <w:rPr>
          <w:lang w:val="pl-PL"/>
        </w:rPr>
        <w:t>, 26 </w:t>
      </w:r>
      <w:r w:rsidR="003565CE">
        <w:rPr>
          <w:lang w:val="pl-PL"/>
        </w:rPr>
        <w:t xml:space="preserve">lipca </w:t>
      </w:r>
      <w:r w:rsidR="003565CE" w:rsidRPr="003565CE">
        <w:rPr>
          <w:lang w:val="pl-PL"/>
        </w:rPr>
        <w:t xml:space="preserve"> </w:t>
      </w:r>
      <w:r w:rsidRPr="003565CE">
        <w:rPr>
          <w:lang w:val="pl-PL"/>
        </w:rPr>
        <w:t>2002</w:t>
      </w:r>
      <w:r w:rsidR="00A15F75">
        <w:rPr>
          <w:lang w:val="pl-PL"/>
        </w:rPr>
        <w:t> </w:t>
      </w:r>
      <w:r w:rsidR="003565CE">
        <w:rPr>
          <w:lang w:val="pl-PL"/>
        </w:rPr>
        <w:t>r.</w:t>
      </w:r>
      <w:r w:rsidRPr="003565CE">
        <w:rPr>
          <w:lang w:val="pl-PL"/>
        </w:rPr>
        <w:t xml:space="preserve">, </w:t>
      </w:r>
      <w:hyperlink r:id="rId10" w:history="1">
        <w:r w:rsidR="003565CE">
          <w:rPr>
            <w:rStyle w:val="Hipercze"/>
            <w:lang w:val="pl-PL"/>
          </w:rPr>
          <w:t>Nota informacyjna</w:t>
        </w:r>
        <w:r w:rsidR="003565CE">
          <w:rPr>
            <w:rStyle w:val="Hipercze"/>
            <w:lang w:val="pl-PL"/>
          </w:rPr>
          <w:t xml:space="preserve"> </w:t>
        </w:r>
        <w:r w:rsidR="003565CE">
          <w:rPr>
            <w:rStyle w:val="Hipercze"/>
            <w:lang w:val="pl-PL"/>
          </w:rPr>
          <w:t xml:space="preserve">nt. orzecznictwa nr </w:t>
        </w:r>
        <w:r w:rsidRPr="003565CE">
          <w:rPr>
            <w:rStyle w:val="Hipercze"/>
            <w:lang w:val="pl-PL"/>
          </w:rPr>
          <w:t>44</w:t>
        </w:r>
      </w:hyperlink>
      <w:r w:rsidRPr="003565CE">
        <w:rPr>
          <w:lang w:val="pl-PL"/>
        </w:rPr>
        <w:t xml:space="preserve">; </w:t>
      </w:r>
      <w:proofErr w:type="spellStart"/>
      <w:r w:rsidRPr="003565CE">
        <w:rPr>
          <w:i/>
          <w:lang w:val="pl-PL"/>
        </w:rPr>
        <w:t>Lenskaya</w:t>
      </w:r>
      <w:proofErr w:type="spellEnd"/>
      <w:r w:rsidRPr="003565CE">
        <w:rPr>
          <w:i/>
          <w:lang w:val="pl-PL"/>
        </w:rPr>
        <w:t xml:space="preserve"> </w:t>
      </w:r>
      <w:r w:rsidR="003565CE">
        <w:rPr>
          <w:i/>
          <w:lang w:val="pl-PL"/>
        </w:rPr>
        <w:t>p</w:t>
      </w:r>
      <w:r w:rsidRPr="003565CE">
        <w:rPr>
          <w:i/>
          <w:lang w:val="pl-PL"/>
        </w:rPr>
        <w:t>. R</w:t>
      </w:r>
      <w:r w:rsidR="003565CE">
        <w:rPr>
          <w:i/>
          <w:lang w:val="pl-PL"/>
        </w:rPr>
        <w:t>osji</w:t>
      </w:r>
      <w:r w:rsidRPr="003565CE">
        <w:rPr>
          <w:lang w:val="pl-PL"/>
        </w:rPr>
        <w:t xml:space="preserve">, </w:t>
      </w:r>
      <w:r w:rsidR="003565CE">
        <w:rPr>
          <w:lang w:val="pl-PL"/>
        </w:rPr>
        <w:t xml:space="preserve">nr </w:t>
      </w:r>
      <w:r w:rsidRPr="003565CE">
        <w:rPr>
          <w:lang w:val="pl-PL"/>
        </w:rPr>
        <w:t xml:space="preserve">28730/03, </w:t>
      </w:r>
      <w:r w:rsidR="003565CE">
        <w:rPr>
          <w:lang w:val="pl-PL"/>
        </w:rPr>
        <w:t xml:space="preserve">29 stycznia </w:t>
      </w:r>
      <w:r w:rsidRPr="003565CE">
        <w:rPr>
          <w:lang w:val="pl-PL"/>
        </w:rPr>
        <w:t>2009</w:t>
      </w:r>
      <w:r w:rsidR="003565CE">
        <w:rPr>
          <w:lang w:val="pl-PL"/>
        </w:rPr>
        <w:t xml:space="preserve"> r.</w:t>
      </w:r>
      <w:r w:rsidRPr="003565CE">
        <w:rPr>
          <w:lang w:val="pl-PL"/>
        </w:rPr>
        <w:t xml:space="preserve">, </w:t>
      </w:r>
      <w:hyperlink r:id="rId11" w:history="1">
        <w:r w:rsidRPr="003565CE">
          <w:rPr>
            <w:rStyle w:val="Hipercze"/>
            <w:lang w:val="pl-PL"/>
          </w:rPr>
          <w:t>Not</w:t>
        </w:r>
        <w:r w:rsidR="003565CE">
          <w:rPr>
            <w:rStyle w:val="Hipercze"/>
            <w:lang w:val="pl-PL"/>
          </w:rPr>
          <w:t>a</w:t>
        </w:r>
        <w:r w:rsidR="003565CE">
          <w:rPr>
            <w:rStyle w:val="Hipercze"/>
            <w:lang w:val="pl-PL"/>
          </w:rPr>
          <w:t xml:space="preserve"> </w:t>
        </w:r>
        <w:r w:rsidR="003565CE">
          <w:rPr>
            <w:rStyle w:val="Hipercze"/>
            <w:lang w:val="pl-PL"/>
          </w:rPr>
          <w:t>informacyjna nt. orzecznictwa nr</w:t>
        </w:r>
        <w:r w:rsidRPr="003565CE">
          <w:rPr>
            <w:rStyle w:val="Hipercze"/>
            <w:lang w:val="pl-PL"/>
          </w:rPr>
          <w:t> 115</w:t>
        </w:r>
      </w:hyperlink>
      <w:r w:rsidRPr="003565CE">
        <w:rPr>
          <w:lang w:val="pl-PL"/>
        </w:rPr>
        <w:t xml:space="preserve">; </w:t>
      </w:r>
      <w:proofErr w:type="spellStart"/>
      <w:r w:rsidRPr="003565CE">
        <w:rPr>
          <w:i/>
          <w:lang w:val="pl-PL"/>
        </w:rPr>
        <w:t>Verein</w:t>
      </w:r>
      <w:proofErr w:type="spellEnd"/>
      <w:r w:rsidRPr="003565CE">
        <w:rPr>
          <w:i/>
          <w:lang w:val="pl-PL"/>
        </w:rPr>
        <w:t xml:space="preserve"> </w:t>
      </w:r>
      <w:proofErr w:type="spellStart"/>
      <w:r w:rsidRPr="003565CE">
        <w:rPr>
          <w:i/>
          <w:lang w:val="pl-PL"/>
        </w:rPr>
        <w:t>gegen</w:t>
      </w:r>
      <w:proofErr w:type="spellEnd"/>
      <w:r w:rsidRPr="003565CE">
        <w:rPr>
          <w:i/>
          <w:lang w:val="pl-PL"/>
        </w:rPr>
        <w:t xml:space="preserve"> </w:t>
      </w:r>
      <w:proofErr w:type="spellStart"/>
      <w:r w:rsidRPr="003565CE">
        <w:rPr>
          <w:i/>
          <w:lang w:val="pl-PL"/>
        </w:rPr>
        <w:t>Tierfabriken</w:t>
      </w:r>
      <w:proofErr w:type="spellEnd"/>
      <w:r w:rsidRPr="003565CE">
        <w:rPr>
          <w:i/>
          <w:lang w:val="pl-PL"/>
        </w:rPr>
        <w:t xml:space="preserve"> </w:t>
      </w:r>
      <w:proofErr w:type="spellStart"/>
      <w:r w:rsidRPr="003565CE">
        <w:rPr>
          <w:i/>
          <w:lang w:val="pl-PL"/>
        </w:rPr>
        <w:t>Schweiz</w:t>
      </w:r>
      <w:proofErr w:type="spellEnd"/>
      <w:r w:rsidRPr="003565CE">
        <w:rPr>
          <w:i/>
          <w:lang w:val="pl-PL"/>
        </w:rPr>
        <w:t xml:space="preserve"> (</w:t>
      </w:r>
      <w:proofErr w:type="spellStart"/>
      <w:r w:rsidRPr="003565CE">
        <w:rPr>
          <w:i/>
          <w:lang w:val="pl-PL"/>
        </w:rPr>
        <w:t>VgT</w:t>
      </w:r>
      <w:proofErr w:type="spellEnd"/>
      <w:r w:rsidRPr="003565CE">
        <w:rPr>
          <w:i/>
          <w:lang w:val="pl-PL"/>
        </w:rPr>
        <w:t xml:space="preserve">) </w:t>
      </w:r>
      <w:r w:rsidR="003565CE">
        <w:rPr>
          <w:i/>
          <w:lang w:val="pl-PL"/>
        </w:rPr>
        <w:t>p</w:t>
      </w:r>
      <w:r w:rsidRPr="003565CE">
        <w:rPr>
          <w:i/>
          <w:lang w:val="pl-PL"/>
        </w:rPr>
        <w:t>. S</w:t>
      </w:r>
      <w:r w:rsidR="003565CE">
        <w:rPr>
          <w:i/>
          <w:lang w:val="pl-PL"/>
        </w:rPr>
        <w:t>zwajcarii</w:t>
      </w:r>
      <w:r w:rsidRPr="003565CE">
        <w:rPr>
          <w:i/>
          <w:lang w:val="pl-PL"/>
        </w:rPr>
        <w:t xml:space="preserve"> (n</w:t>
      </w:r>
      <w:r w:rsidR="003565CE">
        <w:rPr>
          <w:i/>
          <w:lang w:val="pl-PL"/>
        </w:rPr>
        <w:t>r</w:t>
      </w:r>
      <w:r w:rsidRPr="003565CE">
        <w:rPr>
          <w:i/>
          <w:lang w:val="pl-PL"/>
        </w:rPr>
        <w:t xml:space="preserve"> 2) </w:t>
      </w:r>
      <w:r w:rsidRPr="003565CE">
        <w:rPr>
          <w:lang w:val="pl-PL"/>
        </w:rPr>
        <w:t>[</w:t>
      </w:r>
      <w:r w:rsidR="003565CE">
        <w:rPr>
          <w:lang w:val="pl-PL"/>
        </w:rPr>
        <w:t>Wielka Izba</w:t>
      </w:r>
      <w:r w:rsidRPr="003565CE">
        <w:rPr>
          <w:lang w:val="pl-PL"/>
        </w:rPr>
        <w:t>],</w:t>
      </w:r>
      <w:r w:rsidR="003565CE">
        <w:rPr>
          <w:lang w:val="pl-PL"/>
        </w:rPr>
        <w:t xml:space="preserve"> nr </w:t>
      </w:r>
      <w:r w:rsidRPr="003565CE">
        <w:rPr>
          <w:lang w:val="pl-PL"/>
        </w:rPr>
        <w:t>32772/02, 30 </w:t>
      </w:r>
      <w:r w:rsidR="003565CE">
        <w:rPr>
          <w:lang w:val="pl-PL"/>
        </w:rPr>
        <w:t>czerwca</w:t>
      </w:r>
      <w:r w:rsidRPr="003565CE">
        <w:rPr>
          <w:lang w:val="pl-PL"/>
        </w:rPr>
        <w:t xml:space="preserve"> 2009</w:t>
      </w:r>
      <w:r w:rsidR="003565CE">
        <w:rPr>
          <w:lang w:val="pl-PL"/>
        </w:rPr>
        <w:t xml:space="preserve"> r.</w:t>
      </w:r>
      <w:r w:rsidRPr="003565CE">
        <w:rPr>
          <w:lang w:val="pl-PL"/>
        </w:rPr>
        <w:t xml:space="preserve">, </w:t>
      </w:r>
      <w:hyperlink r:id="rId12" w:history="1">
        <w:r w:rsidR="003565CE">
          <w:rPr>
            <w:rStyle w:val="Hipercze"/>
            <w:lang w:val="pl-PL"/>
          </w:rPr>
          <w:t xml:space="preserve">Nota informacyjna nt. </w:t>
        </w:r>
        <w:r w:rsidR="003565CE">
          <w:rPr>
            <w:rStyle w:val="Hipercze"/>
            <w:lang w:val="pl-PL"/>
          </w:rPr>
          <w:t>o</w:t>
        </w:r>
        <w:r w:rsidR="003565CE">
          <w:rPr>
            <w:rStyle w:val="Hipercze"/>
            <w:lang w:val="pl-PL"/>
          </w:rPr>
          <w:t>rzecznictwa nr</w:t>
        </w:r>
        <w:r w:rsidRPr="003565CE">
          <w:rPr>
            <w:rStyle w:val="Hipercze"/>
            <w:lang w:val="pl-PL"/>
          </w:rPr>
          <w:t> 120</w:t>
        </w:r>
      </w:hyperlink>
      <w:r w:rsidRPr="003565CE">
        <w:rPr>
          <w:lang w:val="pl-PL"/>
        </w:rPr>
        <w:t xml:space="preserve">; </w:t>
      </w:r>
      <w:proofErr w:type="spellStart"/>
      <w:r w:rsidRPr="003565CE">
        <w:rPr>
          <w:i/>
          <w:lang w:val="pl-PL"/>
        </w:rPr>
        <w:t>Egmez</w:t>
      </w:r>
      <w:proofErr w:type="spellEnd"/>
      <w:r w:rsidRPr="003565CE">
        <w:rPr>
          <w:i/>
          <w:lang w:val="pl-PL"/>
        </w:rPr>
        <w:t xml:space="preserve"> </w:t>
      </w:r>
      <w:r w:rsidR="003565CE">
        <w:rPr>
          <w:i/>
          <w:lang w:val="pl-PL"/>
        </w:rPr>
        <w:t>p</w:t>
      </w:r>
      <w:r w:rsidRPr="003565CE">
        <w:rPr>
          <w:i/>
          <w:lang w:val="pl-PL"/>
        </w:rPr>
        <w:t>. Cypr</w:t>
      </w:r>
      <w:r w:rsidR="003565CE">
        <w:rPr>
          <w:i/>
          <w:lang w:val="pl-PL"/>
        </w:rPr>
        <w:t>owi</w:t>
      </w:r>
      <w:r w:rsidRPr="003565CE">
        <w:rPr>
          <w:lang w:val="pl-PL"/>
        </w:rPr>
        <w:t xml:space="preserve"> [dec</w:t>
      </w:r>
      <w:r w:rsidR="003565CE">
        <w:rPr>
          <w:lang w:val="pl-PL"/>
        </w:rPr>
        <w:t>yzja</w:t>
      </w:r>
      <w:r w:rsidRPr="003565CE">
        <w:rPr>
          <w:lang w:val="pl-PL"/>
        </w:rPr>
        <w:t xml:space="preserve">], </w:t>
      </w:r>
      <w:r w:rsidR="003565CE">
        <w:rPr>
          <w:lang w:val="pl-PL"/>
        </w:rPr>
        <w:t xml:space="preserve">nr </w:t>
      </w:r>
      <w:r w:rsidRPr="003565CE">
        <w:rPr>
          <w:lang w:val="pl-PL"/>
        </w:rPr>
        <w:t>12214/07, 18 </w:t>
      </w:r>
      <w:r w:rsidR="003565CE">
        <w:rPr>
          <w:lang w:val="pl-PL"/>
        </w:rPr>
        <w:t>września</w:t>
      </w:r>
      <w:r w:rsidR="003565CE" w:rsidRPr="003565CE">
        <w:rPr>
          <w:lang w:val="pl-PL"/>
        </w:rPr>
        <w:t xml:space="preserve"> </w:t>
      </w:r>
      <w:r w:rsidRPr="003565CE">
        <w:rPr>
          <w:lang w:val="pl-PL"/>
        </w:rPr>
        <w:t>2012</w:t>
      </w:r>
      <w:r w:rsidR="003565CE">
        <w:rPr>
          <w:lang w:val="pl-PL"/>
        </w:rPr>
        <w:t xml:space="preserve"> r.</w:t>
      </w:r>
      <w:r w:rsidRPr="003565CE">
        <w:rPr>
          <w:lang w:val="pl-PL"/>
        </w:rPr>
        <w:t xml:space="preserve">, </w:t>
      </w:r>
      <w:hyperlink r:id="rId13" w:history="1">
        <w:r w:rsidR="003565CE">
          <w:rPr>
            <w:rStyle w:val="Hipercze"/>
            <w:lang w:val="pl-PL"/>
          </w:rPr>
          <w:t>Nota in</w:t>
        </w:r>
        <w:r w:rsidR="003565CE">
          <w:rPr>
            <w:rStyle w:val="Hipercze"/>
            <w:lang w:val="pl-PL"/>
          </w:rPr>
          <w:t>f</w:t>
        </w:r>
        <w:r w:rsidR="003565CE">
          <w:rPr>
            <w:rStyle w:val="Hipercze"/>
            <w:lang w:val="pl-PL"/>
          </w:rPr>
          <w:t>ormacyjna nt. orzecznictwa nr</w:t>
        </w:r>
        <w:r w:rsidRPr="003565CE">
          <w:rPr>
            <w:rStyle w:val="Hipercze"/>
            <w:lang w:val="pl-PL"/>
          </w:rPr>
          <w:t> 155</w:t>
        </w:r>
      </w:hyperlink>
      <w:r w:rsidRPr="003565CE">
        <w:rPr>
          <w:lang w:val="pl-PL"/>
        </w:rPr>
        <w:t xml:space="preserve">; </w:t>
      </w:r>
      <w:proofErr w:type="spellStart"/>
      <w:r w:rsidRPr="003565CE">
        <w:rPr>
          <w:i/>
          <w:lang w:val="pl-PL"/>
        </w:rPr>
        <w:t>Bochan</w:t>
      </w:r>
      <w:proofErr w:type="spellEnd"/>
      <w:r w:rsidRPr="003565CE">
        <w:rPr>
          <w:i/>
          <w:lang w:val="pl-PL"/>
        </w:rPr>
        <w:t xml:space="preserve"> </w:t>
      </w:r>
      <w:r w:rsidR="003565CE">
        <w:rPr>
          <w:i/>
          <w:lang w:val="pl-PL"/>
        </w:rPr>
        <w:t>p</w:t>
      </w:r>
      <w:r w:rsidRPr="003565CE">
        <w:rPr>
          <w:i/>
          <w:lang w:val="pl-PL"/>
        </w:rPr>
        <w:t>. Ukrain</w:t>
      </w:r>
      <w:r w:rsidR="003565CE">
        <w:rPr>
          <w:i/>
          <w:lang w:val="pl-PL"/>
        </w:rPr>
        <w:t>ie</w:t>
      </w:r>
      <w:r w:rsidRPr="003565CE">
        <w:rPr>
          <w:i/>
          <w:lang w:val="pl-PL"/>
        </w:rPr>
        <w:t xml:space="preserve"> (n</w:t>
      </w:r>
      <w:r w:rsidR="003565CE">
        <w:rPr>
          <w:i/>
          <w:lang w:val="pl-PL"/>
        </w:rPr>
        <w:t>r</w:t>
      </w:r>
      <w:r w:rsidRPr="003565CE">
        <w:rPr>
          <w:i/>
          <w:lang w:val="pl-PL"/>
        </w:rPr>
        <w:t> 2)</w:t>
      </w:r>
      <w:r w:rsidR="003565CE">
        <w:rPr>
          <w:rStyle w:val="Odwoanieprzypisudolnego"/>
          <w:i/>
          <w:lang w:val="pl-PL"/>
        </w:rPr>
        <w:footnoteReference w:id="1"/>
      </w:r>
      <w:r w:rsidR="005C331A">
        <w:rPr>
          <w:i/>
          <w:lang w:val="pl-PL"/>
        </w:rPr>
        <w:t xml:space="preserve"> </w:t>
      </w:r>
      <w:r w:rsidRPr="003565CE">
        <w:rPr>
          <w:lang w:val="pl-PL"/>
        </w:rPr>
        <w:t>[</w:t>
      </w:r>
      <w:r w:rsidR="003565CE">
        <w:rPr>
          <w:lang w:val="pl-PL"/>
        </w:rPr>
        <w:t>Wielka Izba</w:t>
      </w:r>
      <w:r w:rsidRPr="003565CE">
        <w:rPr>
          <w:lang w:val="pl-PL"/>
        </w:rPr>
        <w:t>],</w:t>
      </w:r>
      <w:r w:rsidR="003565CE">
        <w:rPr>
          <w:lang w:val="pl-PL"/>
        </w:rPr>
        <w:t xml:space="preserve"> nr </w:t>
      </w:r>
      <w:r w:rsidRPr="003565CE">
        <w:rPr>
          <w:lang w:val="pl-PL"/>
        </w:rPr>
        <w:t>22251/08, 5 </w:t>
      </w:r>
      <w:r w:rsidR="003565CE">
        <w:rPr>
          <w:lang w:val="pl-PL"/>
        </w:rPr>
        <w:t>lutego</w:t>
      </w:r>
      <w:r w:rsidR="003565CE" w:rsidRPr="003565CE">
        <w:rPr>
          <w:lang w:val="pl-PL"/>
        </w:rPr>
        <w:t xml:space="preserve"> </w:t>
      </w:r>
      <w:r w:rsidRPr="003565CE">
        <w:rPr>
          <w:lang w:val="pl-PL"/>
        </w:rPr>
        <w:t>2015</w:t>
      </w:r>
      <w:r w:rsidR="00A15F75">
        <w:rPr>
          <w:lang w:val="pl-PL"/>
        </w:rPr>
        <w:t> </w:t>
      </w:r>
      <w:r w:rsidR="003565CE">
        <w:rPr>
          <w:lang w:val="pl-PL"/>
        </w:rPr>
        <w:t>r.</w:t>
      </w:r>
      <w:r w:rsidRPr="003565CE">
        <w:rPr>
          <w:lang w:val="pl-PL"/>
        </w:rPr>
        <w:t xml:space="preserve">, </w:t>
      </w:r>
      <w:hyperlink r:id="rId14" w:history="1">
        <w:r w:rsidRPr="003565CE">
          <w:rPr>
            <w:rStyle w:val="Hipercze"/>
            <w:lang w:val="pl-PL"/>
          </w:rPr>
          <w:t>No</w:t>
        </w:r>
        <w:r w:rsidRPr="003565CE">
          <w:rPr>
            <w:rStyle w:val="Hipercze"/>
            <w:lang w:val="pl-PL"/>
          </w:rPr>
          <w:t>t</w:t>
        </w:r>
        <w:r w:rsidR="003565CE">
          <w:rPr>
            <w:rStyle w:val="Hipercze"/>
            <w:lang w:val="pl-PL"/>
          </w:rPr>
          <w:t>a informacyjna nt. orzecznictwa nr</w:t>
        </w:r>
        <w:r w:rsidRPr="003565CE">
          <w:rPr>
            <w:rStyle w:val="Hipercze"/>
            <w:lang w:val="pl-PL"/>
          </w:rPr>
          <w:t> 182</w:t>
        </w:r>
      </w:hyperlink>
      <w:r w:rsidRPr="003565CE">
        <w:rPr>
          <w:lang w:val="pl-PL"/>
        </w:rPr>
        <w:t xml:space="preserve">; </w:t>
      </w:r>
      <w:r w:rsidR="003565CE">
        <w:rPr>
          <w:lang w:val="pl-PL"/>
        </w:rPr>
        <w:t xml:space="preserve">oraz </w:t>
      </w:r>
      <w:proofErr w:type="spellStart"/>
      <w:r w:rsidRPr="003565CE">
        <w:rPr>
          <w:i/>
          <w:lang w:val="pl-PL"/>
        </w:rPr>
        <w:t>Yaremen</w:t>
      </w:r>
      <w:r w:rsidR="003565CE">
        <w:rPr>
          <w:i/>
          <w:lang w:val="pl-PL"/>
        </w:rPr>
        <w:t>ko</w:t>
      </w:r>
      <w:proofErr w:type="spellEnd"/>
      <w:r w:rsidR="003565CE">
        <w:rPr>
          <w:i/>
          <w:lang w:val="pl-PL"/>
        </w:rPr>
        <w:t xml:space="preserve"> p</w:t>
      </w:r>
      <w:r w:rsidRPr="003565CE">
        <w:rPr>
          <w:i/>
          <w:lang w:val="pl-PL"/>
        </w:rPr>
        <w:t>. Ukrain</w:t>
      </w:r>
      <w:r w:rsidR="003565CE">
        <w:rPr>
          <w:i/>
          <w:lang w:val="pl-PL"/>
        </w:rPr>
        <w:t>i</w:t>
      </w:r>
      <w:r w:rsidRPr="003565CE">
        <w:rPr>
          <w:i/>
          <w:lang w:val="pl-PL"/>
        </w:rPr>
        <w:t>e (</w:t>
      </w:r>
      <w:r w:rsidR="003565CE">
        <w:rPr>
          <w:i/>
          <w:lang w:val="pl-PL"/>
        </w:rPr>
        <w:t>nr</w:t>
      </w:r>
      <w:r w:rsidRPr="003565CE">
        <w:rPr>
          <w:i/>
          <w:lang w:val="pl-PL"/>
        </w:rPr>
        <w:t> 2)</w:t>
      </w:r>
      <w:r w:rsidRPr="003565CE">
        <w:rPr>
          <w:lang w:val="pl-PL"/>
        </w:rPr>
        <w:t>,</w:t>
      </w:r>
      <w:r w:rsidR="003565CE">
        <w:rPr>
          <w:lang w:val="pl-PL"/>
        </w:rPr>
        <w:t xml:space="preserve"> nr </w:t>
      </w:r>
      <w:hyperlink r:id="rId15" w:history="1">
        <w:r w:rsidRPr="003565CE">
          <w:rPr>
            <w:rStyle w:val="Hipercze"/>
            <w:lang w:val="pl-PL"/>
          </w:rPr>
          <w:t>6633</w:t>
        </w:r>
        <w:r w:rsidRPr="003565CE">
          <w:rPr>
            <w:rStyle w:val="Hipercze"/>
            <w:lang w:val="pl-PL"/>
          </w:rPr>
          <w:t>8</w:t>
        </w:r>
        <w:r w:rsidRPr="003565CE">
          <w:rPr>
            <w:rStyle w:val="Hipercze"/>
            <w:lang w:val="pl-PL"/>
          </w:rPr>
          <w:t>/09</w:t>
        </w:r>
      </w:hyperlink>
      <w:r w:rsidRPr="003565CE">
        <w:rPr>
          <w:lang w:val="pl-PL"/>
        </w:rPr>
        <w:t>, 30 </w:t>
      </w:r>
      <w:r w:rsidR="003565CE">
        <w:rPr>
          <w:lang w:val="pl-PL"/>
        </w:rPr>
        <w:t xml:space="preserve">kwietnia </w:t>
      </w:r>
      <w:r w:rsidRPr="003565CE">
        <w:rPr>
          <w:lang w:val="pl-PL"/>
        </w:rPr>
        <w:t>2015</w:t>
      </w:r>
      <w:r w:rsidR="003565CE">
        <w:rPr>
          <w:lang w:val="pl-PL"/>
        </w:rPr>
        <w:t xml:space="preserve"> r.</w:t>
      </w:r>
      <w:r w:rsidRPr="003565CE">
        <w:rPr>
          <w:lang w:val="pl-PL"/>
        </w:rPr>
        <w:t>)</w:t>
      </w:r>
    </w:p>
    <w:p w:rsidR="00681658" w:rsidRPr="003565CE" w:rsidRDefault="00681658">
      <w:pPr>
        <w:pBdr>
          <w:bottom w:val="single" w:sz="8" w:space="1" w:color="auto"/>
        </w:pBdr>
        <w:rPr>
          <w:lang w:val="pl-PL"/>
        </w:rPr>
      </w:pPr>
    </w:p>
    <w:p w:rsidR="008A3202" w:rsidRDefault="006B3317" w:rsidP="008A3202">
      <w:pPr>
        <w:pStyle w:val="ClinFooter"/>
        <w:rPr>
          <w:lang w:val="pl-PL"/>
        </w:rPr>
      </w:pPr>
      <w:r w:rsidRPr="008A3202">
        <w:rPr>
          <w:lang w:val="pl-PL"/>
        </w:rPr>
        <w:lastRenderedPageBreak/>
        <w:t xml:space="preserve">© </w:t>
      </w:r>
      <w:proofErr w:type="spellStart"/>
      <w:r w:rsidRPr="008A3202">
        <w:rPr>
          <w:lang w:val="pl-PL"/>
        </w:rPr>
        <w:t>Council</w:t>
      </w:r>
      <w:proofErr w:type="spellEnd"/>
      <w:r w:rsidRPr="008A3202">
        <w:rPr>
          <w:lang w:val="pl-PL"/>
        </w:rPr>
        <w:t xml:space="preserve"> of Europe/</w:t>
      </w:r>
      <w:proofErr w:type="spellStart"/>
      <w:r w:rsidRPr="008A3202">
        <w:rPr>
          <w:lang w:val="pl-PL"/>
        </w:rPr>
        <w:t>European</w:t>
      </w:r>
      <w:proofErr w:type="spellEnd"/>
      <w:r w:rsidRPr="008A3202">
        <w:rPr>
          <w:lang w:val="pl-PL"/>
        </w:rPr>
        <w:t xml:space="preserve"> Court of Human </w:t>
      </w:r>
      <w:proofErr w:type="spellStart"/>
      <w:r w:rsidRPr="008A3202">
        <w:rPr>
          <w:lang w:val="pl-PL"/>
        </w:rPr>
        <w:t>Rights</w:t>
      </w:r>
      <w:proofErr w:type="spellEnd"/>
      <w:r w:rsidRPr="008A3202">
        <w:rPr>
          <w:lang w:val="pl-PL"/>
        </w:rPr>
        <w:br/>
      </w:r>
      <w:r w:rsidR="008A3202">
        <w:rPr>
          <w:lang w:val="pl-PL"/>
        </w:rPr>
        <w:t xml:space="preserve">Niniejsze streszczenie przygotowane przez Kancelarię nie wiąże Trybunału.  </w:t>
      </w:r>
    </w:p>
    <w:p w:rsidR="00681658" w:rsidRDefault="008A3202" w:rsidP="008A3202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r w:rsidR="00B4672E">
        <w:fldChar w:fldCharType="begin"/>
      </w:r>
      <w:r w:rsidR="00B4672E" w:rsidRPr="00344A76">
        <w:rPr>
          <w:lang w:val="pl-PL"/>
        </w:rPr>
        <w:instrText xml:space="preserve"> HYPERLINK "http://www.echr.co</w:instrText>
      </w:r>
      <w:r w:rsidR="00B4672E" w:rsidRPr="00344A76">
        <w:rPr>
          <w:lang w:val="pl-PL"/>
        </w:rPr>
        <w:instrText xml:space="preserve">e.int/NoteInformation/en" </w:instrText>
      </w:r>
      <w:bookmarkStart w:id="0" w:name="_GoBack"/>
      <w:bookmarkEnd w:id="0"/>
      <w:r w:rsidR="00B4672E">
        <w:fldChar w:fldCharType="separate"/>
      </w:r>
      <w:r>
        <w:rPr>
          <w:rStyle w:val="Hipercze"/>
          <w:lang w:val="pl-PL"/>
        </w:rPr>
        <w:t>Not informacyjnych nt. orzeczn</w:t>
      </w:r>
      <w:r>
        <w:rPr>
          <w:rStyle w:val="Hipercze"/>
          <w:lang w:val="pl-PL"/>
        </w:rPr>
        <w:t>i</w:t>
      </w:r>
      <w:r>
        <w:rPr>
          <w:rStyle w:val="Hipercze"/>
          <w:lang w:val="pl-PL"/>
        </w:rPr>
        <w:t>ctwa</w:t>
      </w:r>
      <w:r w:rsidR="00B4672E">
        <w:rPr>
          <w:rStyle w:val="Hipercze"/>
          <w:lang w:val="pl-PL"/>
        </w:rPr>
        <w:fldChar w:fldCharType="end"/>
      </w:r>
    </w:p>
    <w:p w:rsidR="009D1374" w:rsidRPr="008A3202" w:rsidRDefault="009D1374" w:rsidP="009D1374">
      <w:pPr>
        <w:pStyle w:val="ClinFooter"/>
        <w:jc w:val="left"/>
        <w:rPr>
          <w:lang w:val="pl-PL"/>
        </w:rPr>
      </w:pPr>
    </w:p>
    <w:sectPr w:rsidR="009D1374" w:rsidRPr="008A3202" w:rsidSect="004A5B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72E" w:rsidRDefault="00B4672E" w:rsidP="00C63262">
      <w:r>
        <w:separator/>
      </w:r>
    </w:p>
  </w:endnote>
  <w:endnote w:type="continuationSeparator" w:id="0">
    <w:p w:rsidR="00B4672E" w:rsidRDefault="00B4672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D1" w:rsidRDefault="006309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D1" w:rsidRDefault="006309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72E" w:rsidRDefault="00B4672E" w:rsidP="00C63262">
      <w:r>
        <w:separator/>
      </w:r>
    </w:p>
  </w:footnote>
  <w:footnote w:type="continuationSeparator" w:id="0">
    <w:p w:rsidR="00B4672E" w:rsidRDefault="00B4672E" w:rsidP="00C63262">
      <w:r>
        <w:continuationSeparator/>
      </w:r>
    </w:p>
  </w:footnote>
  <w:footnote w:id="1">
    <w:p w:rsidR="003565CE" w:rsidRDefault="003565CE" w:rsidP="009C2114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3565CE">
        <w:rPr>
          <w:lang w:val="pl-PL"/>
        </w:rPr>
        <w:t xml:space="preserve"> </w:t>
      </w:r>
      <w:r>
        <w:rPr>
          <w:lang w:val="pl-PL"/>
        </w:rPr>
        <w:t>Zobacz również t</w:t>
      </w:r>
      <w:r w:rsidRPr="003565CE">
        <w:rPr>
          <w:lang w:val="pl-PL"/>
        </w:rPr>
        <w:t xml:space="preserve">łumaczenie </w:t>
      </w:r>
      <w:r w:rsidR="009D19D1">
        <w:rPr>
          <w:lang w:val="pl-PL"/>
        </w:rPr>
        <w:t xml:space="preserve">na </w:t>
      </w:r>
      <w:r>
        <w:rPr>
          <w:lang w:val="pl-PL"/>
        </w:rPr>
        <w:t xml:space="preserve">język polski </w:t>
      </w:r>
      <w:r w:rsidRPr="003565CE">
        <w:rPr>
          <w:lang w:val="pl-PL"/>
        </w:rPr>
        <w:t xml:space="preserve">wyroku </w:t>
      </w:r>
      <w:proofErr w:type="spellStart"/>
      <w:r w:rsidRPr="003565CE">
        <w:rPr>
          <w:lang w:val="pl-PL"/>
        </w:rPr>
        <w:t>ws</w:t>
      </w:r>
      <w:proofErr w:type="spellEnd"/>
      <w:r w:rsidRPr="003565CE">
        <w:rPr>
          <w:lang w:val="pl-PL"/>
        </w:rPr>
        <w:t xml:space="preserve">. </w:t>
      </w:r>
      <w:hyperlink r:id="rId1" w:history="1">
        <w:proofErr w:type="spellStart"/>
        <w:r w:rsidRPr="00525F46">
          <w:rPr>
            <w:rStyle w:val="Hipercze"/>
            <w:i/>
            <w:lang w:val="pl-PL"/>
          </w:rPr>
          <w:t>Boc</w:t>
        </w:r>
        <w:r w:rsidRPr="00525F46">
          <w:rPr>
            <w:rStyle w:val="Hipercze"/>
            <w:i/>
            <w:lang w:val="pl-PL"/>
          </w:rPr>
          <w:t>h</w:t>
        </w:r>
        <w:r w:rsidRPr="00525F46">
          <w:rPr>
            <w:rStyle w:val="Hipercze"/>
            <w:i/>
            <w:lang w:val="pl-PL"/>
          </w:rPr>
          <w:t>an</w:t>
        </w:r>
        <w:proofErr w:type="spellEnd"/>
        <w:r w:rsidRPr="00525F46">
          <w:rPr>
            <w:rStyle w:val="Hipercze"/>
            <w:i/>
            <w:lang w:val="pl-PL"/>
          </w:rPr>
          <w:t xml:space="preserve"> p. Ukrainie (nr 2</w:t>
        </w:r>
        <w:r w:rsidRPr="00525F46">
          <w:rPr>
            <w:rStyle w:val="Hipercze"/>
            <w:lang w:val="pl-PL"/>
          </w:rPr>
          <w:t>)</w:t>
        </w:r>
      </w:hyperlink>
      <w:r w:rsidR="00705A18">
        <w:rPr>
          <w:lang w:val="pl-PL"/>
        </w:rPr>
        <w:t xml:space="preserve"> [przyp. tłum.].</w:t>
      </w:r>
    </w:p>
    <w:p w:rsidR="00F43315" w:rsidRPr="003565CE" w:rsidRDefault="00F43315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D1" w:rsidRDefault="006309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309D1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7FE1"/>
    <w:rsid w:val="00037CCC"/>
    <w:rsid w:val="0005434B"/>
    <w:rsid w:val="00097888"/>
    <w:rsid w:val="000A0ADB"/>
    <w:rsid w:val="000E4D15"/>
    <w:rsid w:val="000F13B5"/>
    <w:rsid w:val="000F7B8A"/>
    <w:rsid w:val="00107377"/>
    <w:rsid w:val="00122763"/>
    <w:rsid w:val="00143602"/>
    <w:rsid w:val="001547AB"/>
    <w:rsid w:val="00161E5A"/>
    <w:rsid w:val="001769E4"/>
    <w:rsid w:val="00186560"/>
    <w:rsid w:val="001C6D31"/>
    <w:rsid w:val="00212E83"/>
    <w:rsid w:val="0024208D"/>
    <w:rsid w:val="0026454C"/>
    <w:rsid w:val="002966E7"/>
    <w:rsid w:val="002E088D"/>
    <w:rsid w:val="002F230E"/>
    <w:rsid w:val="0030264F"/>
    <w:rsid w:val="00344A76"/>
    <w:rsid w:val="003450B3"/>
    <w:rsid w:val="003565CE"/>
    <w:rsid w:val="00386958"/>
    <w:rsid w:val="003A3542"/>
    <w:rsid w:val="003A64A6"/>
    <w:rsid w:val="003C2643"/>
    <w:rsid w:val="003D7BB3"/>
    <w:rsid w:val="004327B4"/>
    <w:rsid w:val="0046453F"/>
    <w:rsid w:val="004714D1"/>
    <w:rsid w:val="004A5B52"/>
    <w:rsid w:val="004D568D"/>
    <w:rsid w:val="004E1037"/>
    <w:rsid w:val="004E229B"/>
    <w:rsid w:val="00502E7C"/>
    <w:rsid w:val="0052092D"/>
    <w:rsid w:val="00525F46"/>
    <w:rsid w:val="00540D75"/>
    <w:rsid w:val="005514E5"/>
    <w:rsid w:val="0057060A"/>
    <w:rsid w:val="005C331A"/>
    <w:rsid w:val="005D5FF4"/>
    <w:rsid w:val="006028A1"/>
    <w:rsid w:val="00606D2C"/>
    <w:rsid w:val="006309D1"/>
    <w:rsid w:val="00631857"/>
    <w:rsid w:val="00631A28"/>
    <w:rsid w:val="00637AA5"/>
    <w:rsid w:val="00650ECA"/>
    <w:rsid w:val="00681658"/>
    <w:rsid w:val="006A36AD"/>
    <w:rsid w:val="006B3317"/>
    <w:rsid w:val="006C1D96"/>
    <w:rsid w:val="006D11AE"/>
    <w:rsid w:val="00705A18"/>
    <w:rsid w:val="0071773F"/>
    <w:rsid w:val="00761D36"/>
    <w:rsid w:val="00774515"/>
    <w:rsid w:val="007A3D9D"/>
    <w:rsid w:val="00812DD2"/>
    <w:rsid w:val="00843510"/>
    <w:rsid w:val="00867145"/>
    <w:rsid w:val="00895060"/>
    <w:rsid w:val="00895EF3"/>
    <w:rsid w:val="008A3202"/>
    <w:rsid w:val="008C64D5"/>
    <w:rsid w:val="00903D38"/>
    <w:rsid w:val="00933E0C"/>
    <w:rsid w:val="009804DC"/>
    <w:rsid w:val="009B3B2C"/>
    <w:rsid w:val="009C2114"/>
    <w:rsid w:val="009C500E"/>
    <w:rsid w:val="009D1374"/>
    <w:rsid w:val="009D19D1"/>
    <w:rsid w:val="009E3EF0"/>
    <w:rsid w:val="00A01052"/>
    <w:rsid w:val="00A01114"/>
    <w:rsid w:val="00A04D9C"/>
    <w:rsid w:val="00A15F75"/>
    <w:rsid w:val="00A25689"/>
    <w:rsid w:val="00A258BB"/>
    <w:rsid w:val="00A33541"/>
    <w:rsid w:val="00A45616"/>
    <w:rsid w:val="00AA2A41"/>
    <w:rsid w:val="00AC7726"/>
    <w:rsid w:val="00AF3AF5"/>
    <w:rsid w:val="00B4672E"/>
    <w:rsid w:val="00B5061F"/>
    <w:rsid w:val="00B80CA0"/>
    <w:rsid w:val="00B85770"/>
    <w:rsid w:val="00BD60FA"/>
    <w:rsid w:val="00BF1CD9"/>
    <w:rsid w:val="00C37433"/>
    <w:rsid w:val="00C63262"/>
    <w:rsid w:val="00C72355"/>
    <w:rsid w:val="00C93CFB"/>
    <w:rsid w:val="00CE2015"/>
    <w:rsid w:val="00CF7BA6"/>
    <w:rsid w:val="00D02453"/>
    <w:rsid w:val="00D42086"/>
    <w:rsid w:val="00D425B3"/>
    <w:rsid w:val="00DB3073"/>
    <w:rsid w:val="00E1501B"/>
    <w:rsid w:val="00E23632"/>
    <w:rsid w:val="00E55491"/>
    <w:rsid w:val="00E83853"/>
    <w:rsid w:val="00E83DB6"/>
    <w:rsid w:val="00EA53E7"/>
    <w:rsid w:val="00EE1EF6"/>
    <w:rsid w:val="00F43315"/>
    <w:rsid w:val="00F508C9"/>
    <w:rsid w:val="00F50CCD"/>
    <w:rsid w:val="00F5247C"/>
    <w:rsid w:val="00F709A0"/>
    <w:rsid w:val="00FA29ED"/>
    <w:rsid w:val="00FE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A320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A3202"/>
  </w:style>
  <w:style w:type="character" w:customStyle="1" w:styleId="object">
    <w:name w:val="object"/>
    <w:basedOn w:val="Domylnaczcionkaakapitu"/>
    <w:rsid w:val="008A3202"/>
  </w:style>
  <w:style w:type="character" w:styleId="UyteHipercze">
    <w:name w:val="FollowedHyperlink"/>
    <w:basedOn w:val="Domylnaczcionkaakapitu"/>
    <w:semiHidden/>
    <w:unhideWhenUsed/>
    <w:rsid w:val="00525F46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A320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A3202"/>
  </w:style>
  <w:style w:type="character" w:customStyle="1" w:styleId="object">
    <w:name w:val="object"/>
    <w:basedOn w:val="Domylnaczcionkaakapitu"/>
    <w:rsid w:val="008A3202"/>
  </w:style>
  <w:style w:type="character" w:styleId="UyteHipercze">
    <w:name w:val="FollowedHyperlink"/>
    <w:basedOn w:val="Domylnaczcionkaakapitu"/>
    <w:semiHidden/>
    <w:unhideWhenUsed/>
    <w:rsid w:val="00525F46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hudoc.echr.coe.int/eng?i=002-6464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1481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7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udoc.echr.coe.int/eng?i=001-15402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udoc.echr.coe.int/eng?i=002-5258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1-105519" TargetMode="External"/><Relationship Id="rId14" Type="http://schemas.openxmlformats.org/officeDocument/2006/relationships/hyperlink" Target="http://hudoc.echr.coe.int/eng?i=002-10360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74143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3D876-4FD5-4984-BD4B-CD437287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1353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2018-05-07T14:37:00Z</dcterms:created>
  <dcterms:modified xsi:type="dcterms:W3CDTF">2018-09-06T13:58:00Z</dcterms:modified>
</cp:coreProperties>
</file>