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4F7668" w:rsidRDefault="00014566" w:rsidP="004F7668">
      <w:pPr>
        <w:jc w:val="center"/>
      </w:pPr>
      <w:bookmarkStart w:id="0" w:name="_GoBack"/>
      <w:bookmarkEnd w:id="0"/>
    </w:p>
    <w:p w:rsidR="008C23CE" w:rsidRPr="004F7668" w:rsidRDefault="008C23CE" w:rsidP="004F7668">
      <w:pPr>
        <w:jc w:val="center"/>
      </w:pPr>
    </w:p>
    <w:p w:rsidR="008C23CE" w:rsidRPr="004F7668" w:rsidRDefault="008C23CE" w:rsidP="004F7668">
      <w:pPr>
        <w:jc w:val="center"/>
      </w:pPr>
    </w:p>
    <w:p w:rsidR="00014566" w:rsidRPr="004F7668" w:rsidRDefault="00D93367" w:rsidP="004F7668">
      <w:pPr>
        <w:jc w:val="center"/>
      </w:pPr>
      <w:r w:rsidRPr="004F7668">
        <w:t>FIRST SECTION</w:t>
      </w:r>
    </w:p>
    <w:p w:rsidR="00014566" w:rsidRPr="004F7668" w:rsidRDefault="00014566" w:rsidP="004F7668">
      <w:pPr>
        <w:jc w:val="center"/>
      </w:pPr>
    </w:p>
    <w:p w:rsidR="008C23CE" w:rsidRPr="004F7668" w:rsidRDefault="008C23CE" w:rsidP="004F7668">
      <w:pPr>
        <w:jc w:val="center"/>
      </w:pPr>
    </w:p>
    <w:p w:rsidR="008C23CE" w:rsidRPr="004F7668" w:rsidRDefault="008C23CE" w:rsidP="004F7668">
      <w:pPr>
        <w:jc w:val="center"/>
      </w:pPr>
    </w:p>
    <w:p w:rsidR="008C23CE" w:rsidRPr="004F7668" w:rsidRDefault="008C23CE" w:rsidP="004F7668">
      <w:pPr>
        <w:jc w:val="center"/>
      </w:pPr>
    </w:p>
    <w:p w:rsidR="008C23CE" w:rsidRPr="004F7668" w:rsidRDefault="008C23CE" w:rsidP="004F7668">
      <w:pPr>
        <w:jc w:val="center"/>
      </w:pPr>
    </w:p>
    <w:p w:rsidR="008C23CE" w:rsidRPr="004F7668" w:rsidRDefault="008C23CE" w:rsidP="004F7668">
      <w:pPr>
        <w:jc w:val="center"/>
      </w:pPr>
    </w:p>
    <w:p w:rsidR="00014566" w:rsidRPr="004F7668" w:rsidRDefault="00014566" w:rsidP="004F7668">
      <w:pPr>
        <w:jc w:val="center"/>
        <w:rPr>
          <w:b/>
        </w:rPr>
      </w:pPr>
      <w:bookmarkStart w:id="1" w:name="To"/>
      <w:r w:rsidRPr="004F7668">
        <w:rPr>
          <w:b/>
        </w:rPr>
        <w:t xml:space="preserve">CASE OF </w:t>
      </w:r>
      <w:bookmarkEnd w:id="1"/>
      <w:r w:rsidR="00D93367" w:rsidRPr="004F7668">
        <w:rPr>
          <w:b/>
        </w:rPr>
        <w:t>OLEKSA v. POLAND</w:t>
      </w:r>
    </w:p>
    <w:p w:rsidR="00014566" w:rsidRPr="004F7668" w:rsidRDefault="00014566" w:rsidP="004F7668">
      <w:pPr>
        <w:jc w:val="center"/>
      </w:pPr>
    </w:p>
    <w:p w:rsidR="00014566" w:rsidRPr="004F7668" w:rsidRDefault="00014566" w:rsidP="004F7668">
      <w:pPr>
        <w:jc w:val="center"/>
        <w:rPr>
          <w:i/>
        </w:rPr>
      </w:pPr>
      <w:r w:rsidRPr="004F7668">
        <w:rPr>
          <w:i/>
        </w:rPr>
        <w:t>(</w:t>
      </w:r>
      <w:r w:rsidR="00D93367" w:rsidRPr="004F7668">
        <w:rPr>
          <w:i/>
        </w:rPr>
        <w:t>Application no. 47580/13</w:t>
      </w:r>
      <w:r w:rsidRPr="004F7668">
        <w:rPr>
          <w:i/>
        </w:rPr>
        <w:t>)</w:t>
      </w:r>
    </w:p>
    <w:p w:rsidR="00014566" w:rsidRPr="004F7668" w:rsidRDefault="00014566" w:rsidP="004F7668">
      <w:pPr>
        <w:jc w:val="center"/>
      </w:pPr>
    </w:p>
    <w:p w:rsidR="00014566" w:rsidRPr="004F7668" w:rsidRDefault="00014566" w:rsidP="004F7668">
      <w:pPr>
        <w:jc w:val="center"/>
      </w:pPr>
    </w:p>
    <w:p w:rsidR="00014566" w:rsidRPr="004F7668" w:rsidRDefault="00014566" w:rsidP="004F7668">
      <w:pPr>
        <w:jc w:val="center"/>
      </w:pPr>
    </w:p>
    <w:p w:rsidR="00014566" w:rsidRPr="004F7668" w:rsidRDefault="00014566" w:rsidP="004F7668">
      <w:pPr>
        <w:jc w:val="center"/>
      </w:pPr>
    </w:p>
    <w:p w:rsidR="00014566" w:rsidRPr="004F7668" w:rsidRDefault="00014566" w:rsidP="004F7668">
      <w:pPr>
        <w:jc w:val="center"/>
      </w:pPr>
    </w:p>
    <w:p w:rsidR="004F7668" w:rsidRPr="004F7668" w:rsidRDefault="004F7668" w:rsidP="004F7668">
      <w:pPr>
        <w:jc w:val="center"/>
      </w:pPr>
    </w:p>
    <w:p w:rsidR="004F7668" w:rsidRPr="004F7668" w:rsidRDefault="004F7668" w:rsidP="004F7668">
      <w:pPr>
        <w:jc w:val="center"/>
      </w:pPr>
    </w:p>
    <w:p w:rsidR="004F7668" w:rsidRPr="004F7668" w:rsidRDefault="004F7668" w:rsidP="004F7668">
      <w:pPr>
        <w:jc w:val="center"/>
      </w:pPr>
    </w:p>
    <w:p w:rsidR="004F7668" w:rsidRPr="004F7668" w:rsidRDefault="004F7668" w:rsidP="004F7668">
      <w:pPr>
        <w:jc w:val="center"/>
      </w:pPr>
    </w:p>
    <w:p w:rsidR="004F7668" w:rsidRPr="004F7668" w:rsidRDefault="004F7668" w:rsidP="004F7668">
      <w:pPr>
        <w:jc w:val="center"/>
      </w:pPr>
    </w:p>
    <w:p w:rsidR="004F7668" w:rsidRPr="004F7668" w:rsidRDefault="004F7668" w:rsidP="004F7668">
      <w:pPr>
        <w:jc w:val="center"/>
      </w:pPr>
    </w:p>
    <w:p w:rsidR="004F7668" w:rsidRPr="004F7668" w:rsidRDefault="004F7668" w:rsidP="004F7668">
      <w:pPr>
        <w:jc w:val="center"/>
      </w:pPr>
    </w:p>
    <w:p w:rsidR="00014566" w:rsidRPr="004F7668" w:rsidRDefault="00014566" w:rsidP="004F7668">
      <w:pPr>
        <w:jc w:val="center"/>
      </w:pPr>
    </w:p>
    <w:p w:rsidR="00014566" w:rsidRPr="004F7668" w:rsidRDefault="008C23CE" w:rsidP="004F7668">
      <w:pPr>
        <w:jc w:val="center"/>
      </w:pPr>
      <w:r w:rsidRPr="004F7668">
        <w:t>JUDGMENT</w:t>
      </w:r>
    </w:p>
    <w:p w:rsidR="00014566" w:rsidRPr="004F7668" w:rsidRDefault="00014566" w:rsidP="004F7668">
      <w:pPr>
        <w:jc w:val="center"/>
      </w:pPr>
    </w:p>
    <w:p w:rsidR="00014566" w:rsidRPr="004F7668" w:rsidRDefault="00014566" w:rsidP="004F7668">
      <w:pPr>
        <w:jc w:val="center"/>
      </w:pPr>
    </w:p>
    <w:p w:rsidR="008C23CE" w:rsidRPr="004F7668" w:rsidRDefault="008C23CE" w:rsidP="004F7668">
      <w:pPr>
        <w:jc w:val="center"/>
      </w:pPr>
    </w:p>
    <w:p w:rsidR="008C23CE" w:rsidRPr="004F7668" w:rsidRDefault="008C23CE" w:rsidP="004F7668">
      <w:pPr>
        <w:jc w:val="center"/>
      </w:pPr>
    </w:p>
    <w:p w:rsidR="008C23CE" w:rsidRPr="004F7668" w:rsidRDefault="008C23CE" w:rsidP="004F7668">
      <w:pPr>
        <w:jc w:val="center"/>
      </w:pPr>
      <w:r w:rsidRPr="004F7668">
        <w:t>STRASBOURG</w:t>
      </w:r>
    </w:p>
    <w:p w:rsidR="008C23CE" w:rsidRPr="004F7668" w:rsidRDefault="008C23CE" w:rsidP="004F7668">
      <w:pPr>
        <w:jc w:val="center"/>
      </w:pPr>
    </w:p>
    <w:p w:rsidR="008C23CE" w:rsidRPr="004F7668" w:rsidRDefault="008C23CE" w:rsidP="004F7668">
      <w:pPr>
        <w:jc w:val="center"/>
      </w:pPr>
      <w:r w:rsidRPr="004F7668">
        <w:t>12 July 2018</w:t>
      </w:r>
    </w:p>
    <w:p w:rsidR="008C23CE" w:rsidRPr="004F7668" w:rsidRDefault="008C23CE" w:rsidP="004F7668">
      <w:pPr>
        <w:jc w:val="center"/>
      </w:pPr>
    </w:p>
    <w:p w:rsidR="008C23CE" w:rsidRPr="004F7668" w:rsidRDefault="008C23CE" w:rsidP="004F7668">
      <w:pPr>
        <w:jc w:val="center"/>
      </w:pPr>
    </w:p>
    <w:p w:rsidR="008C23CE" w:rsidRPr="004F7668" w:rsidRDefault="008C23CE" w:rsidP="004F7668">
      <w:pPr>
        <w:jc w:val="center"/>
      </w:pPr>
    </w:p>
    <w:p w:rsidR="004B29B7" w:rsidRPr="004F7668" w:rsidRDefault="008C23CE" w:rsidP="004F7668">
      <w:pPr>
        <w:jc w:val="center"/>
        <w:rPr>
          <w:i/>
          <w:sz w:val="22"/>
        </w:rPr>
      </w:pPr>
      <w:r w:rsidRPr="004F7668">
        <w:rPr>
          <w:i/>
          <w:sz w:val="22"/>
        </w:rPr>
        <w:t>This judgment is final but it may be subject to editorial revision.</w:t>
      </w:r>
    </w:p>
    <w:p w:rsidR="00110592" w:rsidRPr="004F7668" w:rsidRDefault="00110592" w:rsidP="004F7668">
      <w:pPr>
        <w:pStyle w:val="JuCase"/>
        <w:ind w:firstLine="0"/>
        <w:rPr>
          <w:b w:val="0"/>
          <w:i/>
          <w:sz w:val="22"/>
        </w:rPr>
        <w:sectPr w:rsidR="00110592" w:rsidRPr="004F7668" w:rsidSect="008C23CE">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rsidR="00014566" w:rsidRPr="004F7668" w:rsidRDefault="00014566" w:rsidP="004F7668">
      <w:pPr>
        <w:pStyle w:val="JuCase"/>
        <w:rPr>
          <w:bCs/>
        </w:rPr>
      </w:pPr>
      <w:r w:rsidRPr="004F7668">
        <w:lastRenderedPageBreak/>
        <w:t xml:space="preserve">In the case of </w:t>
      </w:r>
      <w:r w:rsidR="00D93367" w:rsidRPr="004F7668">
        <w:t>Oleksa v. Poland</w:t>
      </w:r>
      <w:r w:rsidRPr="004F7668">
        <w:t>,</w:t>
      </w:r>
    </w:p>
    <w:p w:rsidR="00014566" w:rsidRPr="004F7668" w:rsidRDefault="00014566" w:rsidP="004F7668">
      <w:pPr>
        <w:pStyle w:val="ECHRPara"/>
      </w:pPr>
      <w:r w:rsidRPr="004F7668">
        <w:t>The European Court of Human Rights (</w:t>
      </w:r>
      <w:r w:rsidR="00D93367" w:rsidRPr="004F7668">
        <w:t>First Section</w:t>
      </w:r>
      <w:r w:rsidRPr="004F7668">
        <w:t xml:space="preserve">), sitting as a </w:t>
      </w:r>
      <w:r w:rsidR="00D93367" w:rsidRPr="004F7668">
        <w:t>Committee</w:t>
      </w:r>
      <w:r w:rsidRPr="004F7668">
        <w:t xml:space="preserve"> composed of:</w:t>
      </w:r>
    </w:p>
    <w:p w:rsidR="00014566" w:rsidRPr="004F7668" w:rsidRDefault="008C23CE" w:rsidP="004F7668">
      <w:pPr>
        <w:pStyle w:val="ECHRDecisionBody"/>
      </w:pPr>
      <w:r w:rsidRPr="004F7668">
        <w:tab/>
        <w:t>Aleš Pejchal,</w:t>
      </w:r>
      <w:r w:rsidRPr="004F7668">
        <w:rPr>
          <w:i/>
        </w:rPr>
        <w:t xml:space="preserve"> President,</w:t>
      </w:r>
      <w:r w:rsidRPr="004F7668">
        <w:rPr>
          <w:i/>
        </w:rPr>
        <w:br/>
      </w:r>
      <w:r w:rsidRPr="004F7668">
        <w:tab/>
        <w:t>Krzysztof Wojtyczek,</w:t>
      </w:r>
      <w:r w:rsidRPr="004F7668">
        <w:rPr>
          <w:i/>
        </w:rPr>
        <w:br/>
      </w:r>
      <w:r w:rsidRPr="004F7668">
        <w:tab/>
        <w:t>Jovan Ilievski,</w:t>
      </w:r>
      <w:r w:rsidRPr="004F7668">
        <w:rPr>
          <w:i/>
        </w:rPr>
        <w:t xml:space="preserve"> judges,</w:t>
      </w:r>
      <w:r w:rsidR="00014566" w:rsidRPr="004F7668">
        <w:rPr>
          <w:szCs w:val="24"/>
        </w:rPr>
        <w:br/>
      </w:r>
      <w:r w:rsidR="00014566" w:rsidRPr="004F7668">
        <w:t xml:space="preserve">and </w:t>
      </w:r>
      <w:r w:rsidRPr="004F7668">
        <w:t>Abel Campos</w:t>
      </w:r>
      <w:r w:rsidR="00014566" w:rsidRPr="004F7668">
        <w:t xml:space="preserve">, </w:t>
      </w:r>
      <w:r w:rsidR="00D93367" w:rsidRPr="004F7668">
        <w:rPr>
          <w:i/>
        </w:rPr>
        <w:t xml:space="preserve">Section </w:t>
      </w:r>
      <w:r w:rsidR="00D93367" w:rsidRPr="004F7668">
        <w:rPr>
          <w:i/>
          <w:iCs/>
        </w:rPr>
        <w:t>Registrar</w:t>
      </w:r>
      <w:r w:rsidR="00014566" w:rsidRPr="004F7668">
        <w:rPr>
          <w:i/>
        </w:rPr>
        <w:t>,</w:t>
      </w:r>
    </w:p>
    <w:p w:rsidR="00014566" w:rsidRPr="004F7668" w:rsidRDefault="00014566" w:rsidP="004F7668">
      <w:pPr>
        <w:pStyle w:val="ECHRPara"/>
      </w:pPr>
      <w:r w:rsidRPr="004F7668">
        <w:t xml:space="preserve">Having deliberated in private on </w:t>
      </w:r>
      <w:r w:rsidR="008C23CE" w:rsidRPr="004F7668">
        <w:t>19 June 2018</w:t>
      </w:r>
      <w:r w:rsidRPr="004F7668">
        <w:t>,</w:t>
      </w:r>
    </w:p>
    <w:p w:rsidR="00014566" w:rsidRPr="004F7668" w:rsidRDefault="00014566" w:rsidP="004F7668">
      <w:pPr>
        <w:pStyle w:val="ECHRPara"/>
      </w:pPr>
      <w:r w:rsidRPr="004F7668">
        <w:t>Delivers the following judgment, which was adopted on that date:</w:t>
      </w:r>
    </w:p>
    <w:p w:rsidR="00014566" w:rsidRPr="004F7668" w:rsidRDefault="00014566" w:rsidP="004F7668">
      <w:pPr>
        <w:pStyle w:val="ECHRTitle1"/>
      </w:pPr>
      <w:r w:rsidRPr="004F7668">
        <w:t>PROCEDURE</w:t>
      </w:r>
    </w:p>
    <w:p w:rsidR="005E6235" w:rsidRPr="004F7668" w:rsidRDefault="00D93367" w:rsidP="004F7668">
      <w:pPr>
        <w:pStyle w:val="ECHRPara"/>
      </w:pPr>
      <w:r w:rsidRPr="004F7668">
        <w:fldChar w:fldCharType="begin"/>
      </w:r>
      <w:r w:rsidRPr="004F7668">
        <w:instrText xml:space="preserve"> SEQ level0 \*arabic </w:instrText>
      </w:r>
      <w:r w:rsidRPr="004F7668">
        <w:fldChar w:fldCharType="separate"/>
      </w:r>
      <w:r w:rsidR="004F7668" w:rsidRPr="004F7668">
        <w:rPr>
          <w:noProof/>
        </w:rPr>
        <w:t>1</w:t>
      </w:r>
      <w:r w:rsidRPr="004F7668">
        <w:fldChar w:fldCharType="end"/>
      </w:r>
      <w:r w:rsidR="00014566" w:rsidRPr="004F7668">
        <w:t xml:space="preserve">.  The case originated in </w:t>
      </w:r>
      <w:r w:rsidRPr="004F7668">
        <w:t>an application (no. 47580/13)</w:t>
      </w:r>
      <w:r w:rsidR="00014566" w:rsidRPr="004F7668">
        <w:t xml:space="preserve"> against </w:t>
      </w:r>
      <w:r w:rsidRPr="004F7668">
        <w:t>the Republic of Poland</w:t>
      </w:r>
      <w:r w:rsidR="00014566" w:rsidRPr="004F7668">
        <w:t xml:space="preserve"> lodged with the </w:t>
      </w:r>
      <w:r w:rsidRPr="004F7668">
        <w:t>Court under Article 34</w:t>
      </w:r>
      <w:r w:rsidR="00014566" w:rsidRPr="004F7668">
        <w:t xml:space="preserve"> of the Convention for the Protection of Human Rights and Fundamental Freedoms (“the Convention”) by </w:t>
      </w:r>
      <w:r w:rsidRPr="004F7668">
        <w:t>a Polish national, Mr Robert Oleksa (“the applicant”), on 11 July 2013</w:t>
      </w:r>
      <w:r w:rsidR="00014566" w:rsidRPr="004F7668">
        <w:t>.</w:t>
      </w:r>
    </w:p>
    <w:p w:rsidR="00014566" w:rsidRPr="004F7668" w:rsidRDefault="00D93367" w:rsidP="004F7668">
      <w:pPr>
        <w:pStyle w:val="ECHRPara"/>
      </w:pPr>
      <w:r w:rsidRPr="004F7668">
        <w:fldChar w:fldCharType="begin"/>
      </w:r>
      <w:r w:rsidRPr="004F7668">
        <w:instrText xml:space="preserve"> SEQ level0 \*arabic </w:instrText>
      </w:r>
      <w:r w:rsidRPr="004F7668">
        <w:fldChar w:fldCharType="separate"/>
      </w:r>
      <w:r w:rsidR="004F7668" w:rsidRPr="004F7668">
        <w:rPr>
          <w:noProof/>
        </w:rPr>
        <w:t>2</w:t>
      </w:r>
      <w:r w:rsidRPr="004F7668">
        <w:fldChar w:fldCharType="end"/>
      </w:r>
      <w:r w:rsidR="00014566" w:rsidRPr="004F7668">
        <w:t>.  </w:t>
      </w:r>
      <w:r w:rsidR="002A6C38" w:rsidRPr="004F7668">
        <w:t>The Polish Government (“the Government”) were represented by their Agent, Ms Justyna Chrzanowska</w:t>
      </w:r>
      <w:r w:rsidR="006B1338" w:rsidRPr="004F7668">
        <w:t>,</w:t>
      </w:r>
      <w:r w:rsidR="002A6C38" w:rsidRPr="004F7668">
        <w:t xml:space="preserve"> of the Ministry of Foreign Affairs</w:t>
      </w:r>
      <w:r w:rsidR="00014566" w:rsidRPr="004F7668">
        <w:t>.</w:t>
      </w:r>
    </w:p>
    <w:p w:rsidR="002A6C38" w:rsidRPr="004F7668" w:rsidRDefault="002A6C38" w:rsidP="004F7668">
      <w:pPr>
        <w:pStyle w:val="ECHRPara"/>
      </w:pPr>
      <w:r w:rsidRPr="004F7668">
        <w:fldChar w:fldCharType="begin"/>
      </w:r>
      <w:r w:rsidRPr="004F7668">
        <w:instrText xml:space="preserve"> SEQ level0 \*arabic </w:instrText>
      </w:r>
      <w:r w:rsidRPr="004F7668">
        <w:fldChar w:fldCharType="separate"/>
      </w:r>
      <w:r w:rsidR="004F7668" w:rsidRPr="004F7668">
        <w:rPr>
          <w:noProof/>
        </w:rPr>
        <w:t>3</w:t>
      </w:r>
      <w:r w:rsidRPr="004F7668">
        <w:fldChar w:fldCharType="end"/>
      </w:r>
      <w:r w:rsidRPr="004F7668">
        <w:t>.  The applicant alleged that the conditions of his detention had amounted to inhuman and degrading treatment.</w:t>
      </w:r>
    </w:p>
    <w:p w:rsidR="00014566" w:rsidRPr="004F7668" w:rsidRDefault="00D93367" w:rsidP="004F7668">
      <w:pPr>
        <w:pStyle w:val="ECHRPara"/>
      </w:pPr>
      <w:r w:rsidRPr="004F7668">
        <w:fldChar w:fldCharType="begin"/>
      </w:r>
      <w:r w:rsidRPr="004F7668">
        <w:instrText xml:space="preserve"> SEQ level0 \*arabic </w:instrText>
      </w:r>
      <w:r w:rsidRPr="004F7668">
        <w:fldChar w:fldCharType="separate"/>
      </w:r>
      <w:r w:rsidR="004F7668" w:rsidRPr="004F7668">
        <w:rPr>
          <w:noProof/>
        </w:rPr>
        <w:t>4</w:t>
      </w:r>
      <w:r w:rsidRPr="004F7668">
        <w:fldChar w:fldCharType="end"/>
      </w:r>
      <w:r w:rsidR="00014566" w:rsidRPr="004F7668">
        <w:t>.  </w:t>
      </w:r>
      <w:r w:rsidRPr="004F7668">
        <w:t xml:space="preserve">On </w:t>
      </w:r>
      <w:r w:rsidRPr="004F7668">
        <w:rPr>
          <w:szCs w:val="24"/>
        </w:rPr>
        <w:t>8 September 2014</w:t>
      </w:r>
      <w:r w:rsidR="00014566" w:rsidRPr="004F7668">
        <w:t xml:space="preserve"> the </w:t>
      </w:r>
      <w:r w:rsidRPr="004F7668">
        <w:t xml:space="preserve">complaint concerning </w:t>
      </w:r>
      <w:r w:rsidR="003E4230" w:rsidRPr="004F7668">
        <w:t xml:space="preserve">the </w:t>
      </w:r>
      <w:r w:rsidR="002A6C38" w:rsidRPr="004F7668">
        <w:t>conditions of his detention in</w:t>
      </w:r>
      <w:r w:rsidR="005E6235" w:rsidRPr="004F7668">
        <w:t xml:space="preserve"> </w:t>
      </w:r>
      <w:r w:rsidR="002A6C38" w:rsidRPr="004F7668">
        <w:t xml:space="preserve">Mysłowice Remand Centre </w:t>
      </w:r>
      <w:r w:rsidR="002E2242" w:rsidRPr="004F7668">
        <w:t>from 20 April 2010 to 12 January 2011</w:t>
      </w:r>
      <w:r w:rsidR="005E6235" w:rsidRPr="004F7668">
        <w:t xml:space="preserve"> </w:t>
      </w:r>
      <w:r w:rsidR="002E2242" w:rsidRPr="004F7668">
        <w:t>and in</w:t>
      </w:r>
      <w:r w:rsidR="005E6235" w:rsidRPr="004F7668">
        <w:t xml:space="preserve"> </w:t>
      </w:r>
      <w:r w:rsidR="002E2242" w:rsidRPr="004F7668">
        <w:t xml:space="preserve">Wojkowice Prison from 12 January 2011 to 9 March 2012 </w:t>
      </w:r>
      <w:r w:rsidRPr="004F7668">
        <w:t>was communicated to the Government and the remainder of the application was declared inadmissible</w:t>
      </w:r>
      <w:r w:rsidRPr="004F7668">
        <w:rPr>
          <w:szCs w:val="24"/>
        </w:rPr>
        <w:t xml:space="preserve"> </w:t>
      </w:r>
      <w:r w:rsidRPr="004F7668">
        <w:t>pursuant to Rule 54 § 3 of the Rules of Court</w:t>
      </w:r>
      <w:r w:rsidR="007509D5" w:rsidRPr="004F7668">
        <w:t>.</w:t>
      </w:r>
    </w:p>
    <w:p w:rsidR="00014566" w:rsidRPr="004F7668" w:rsidRDefault="00014566" w:rsidP="004F7668">
      <w:pPr>
        <w:pStyle w:val="ECHRTitle1"/>
      </w:pPr>
      <w:r w:rsidRPr="004F7668">
        <w:t>THE FACTS</w:t>
      </w:r>
    </w:p>
    <w:p w:rsidR="00014566" w:rsidRPr="004F7668" w:rsidRDefault="00014566" w:rsidP="004F7668">
      <w:pPr>
        <w:pStyle w:val="ECHRHeading1"/>
      </w:pPr>
      <w:r w:rsidRPr="004F7668">
        <w:t>I.  THE CIRCUMSTANCES OF THE CASE</w:t>
      </w:r>
    </w:p>
    <w:p w:rsidR="00014566" w:rsidRPr="004F7668" w:rsidRDefault="00D93367" w:rsidP="004F7668">
      <w:pPr>
        <w:pStyle w:val="ECHRPara"/>
      </w:pPr>
      <w:r w:rsidRPr="004F7668">
        <w:fldChar w:fldCharType="begin"/>
      </w:r>
      <w:r w:rsidRPr="004F7668">
        <w:instrText xml:space="preserve"> SEQ level0 \*arabic </w:instrText>
      </w:r>
      <w:r w:rsidRPr="004F7668">
        <w:fldChar w:fldCharType="separate"/>
      </w:r>
      <w:r w:rsidR="004F7668" w:rsidRPr="004F7668">
        <w:rPr>
          <w:noProof/>
        </w:rPr>
        <w:t>5</w:t>
      </w:r>
      <w:r w:rsidRPr="004F7668">
        <w:fldChar w:fldCharType="end"/>
      </w:r>
      <w:r w:rsidR="00014566" w:rsidRPr="004F7668">
        <w:t xml:space="preserve">.  The </w:t>
      </w:r>
      <w:r w:rsidRPr="004F7668">
        <w:t>applicant was born in 1979 and is detained</w:t>
      </w:r>
      <w:r w:rsidR="00014566" w:rsidRPr="004F7668">
        <w:t xml:space="preserve"> in </w:t>
      </w:r>
      <w:r w:rsidRPr="004F7668">
        <w:t>Strzelce Opolskie</w:t>
      </w:r>
      <w:r w:rsidR="005B68CE" w:rsidRPr="004F7668">
        <w:t xml:space="preserve"> Prison</w:t>
      </w:r>
      <w:r w:rsidR="00014566" w:rsidRPr="004F7668">
        <w:t>.</w:t>
      </w:r>
    </w:p>
    <w:p w:rsidR="002E2242" w:rsidRPr="004F7668" w:rsidRDefault="00D93367" w:rsidP="004F7668">
      <w:pPr>
        <w:pStyle w:val="ECHRPara"/>
      </w:pPr>
      <w:r w:rsidRPr="004F7668">
        <w:fldChar w:fldCharType="begin"/>
      </w:r>
      <w:r w:rsidRPr="004F7668">
        <w:instrText xml:space="preserve"> SEQ level0 \*arabic </w:instrText>
      </w:r>
      <w:r w:rsidRPr="004F7668">
        <w:fldChar w:fldCharType="separate"/>
      </w:r>
      <w:r w:rsidR="004F7668" w:rsidRPr="004F7668">
        <w:rPr>
          <w:noProof/>
        </w:rPr>
        <w:t>6</w:t>
      </w:r>
      <w:r w:rsidRPr="004F7668">
        <w:fldChar w:fldCharType="end"/>
      </w:r>
      <w:r w:rsidR="00014566" w:rsidRPr="004F7668">
        <w:t>.  </w:t>
      </w:r>
      <w:r w:rsidR="002E2242" w:rsidRPr="004F7668">
        <w:t>The facts of the case may be summarised as follows.</w:t>
      </w:r>
    </w:p>
    <w:p w:rsidR="00014566" w:rsidRPr="004F7668" w:rsidRDefault="00CF29F4" w:rsidP="004F7668">
      <w:pPr>
        <w:pStyle w:val="ECHRHeading2"/>
      </w:pPr>
      <w:r w:rsidRPr="004F7668">
        <w:t>A</w:t>
      </w:r>
      <w:r w:rsidR="002E2242" w:rsidRPr="004F7668">
        <w:t>.</w:t>
      </w:r>
      <w:r w:rsidR="005018D1" w:rsidRPr="004F7668">
        <w:t>  </w:t>
      </w:r>
      <w:r w:rsidR="002E2242" w:rsidRPr="004F7668">
        <w:t>The period of the applicant</w:t>
      </w:r>
      <w:r w:rsidR="004F7668" w:rsidRPr="004F7668">
        <w:t>’</w:t>
      </w:r>
      <w:r w:rsidR="002E2242" w:rsidRPr="004F7668">
        <w:t>s detention</w:t>
      </w:r>
    </w:p>
    <w:p w:rsidR="002E2242" w:rsidRPr="004F7668" w:rsidRDefault="002E2242" w:rsidP="004F7668">
      <w:pPr>
        <w:pStyle w:val="ECHRPara"/>
      </w:pPr>
      <w:r w:rsidRPr="004F7668">
        <w:fldChar w:fldCharType="begin"/>
      </w:r>
      <w:r w:rsidRPr="004F7668">
        <w:instrText xml:space="preserve"> SEQ level0 \*arabic </w:instrText>
      </w:r>
      <w:r w:rsidRPr="004F7668">
        <w:fldChar w:fldCharType="separate"/>
      </w:r>
      <w:r w:rsidR="004F7668" w:rsidRPr="004F7668">
        <w:rPr>
          <w:noProof/>
        </w:rPr>
        <w:t>7</w:t>
      </w:r>
      <w:r w:rsidRPr="004F7668">
        <w:fldChar w:fldCharType="end"/>
      </w:r>
      <w:r w:rsidRPr="004F7668">
        <w:t>. </w:t>
      </w:r>
      <w:r w:rsidR="00E115CB" w:rsidRPr="004F7668">
        <w:t> </w:t>
      </w:r>
      <w:r w:rsidRPr="004F7668">
        <w:t>The applicant was detained in Mysłowice Remand Centre from 20</w:t>
      </w:r>
      <w:r w:rsidR="003E4230" w:rsidRPr="004F7668">
        <w:t> </w:t>
      </w:r>
      <w:r w:rsidRPr="004F7668">
        <w:t xml:space="preserve">April 2010 to 12 January 2011 and in Wojkowice Prison from </w:t>
      </w:r>
      <w:r w:rsidR="00D1139D" w:rsidRPr="004F7668">
        <w:t>12</w:t>
      </w:r>
      <w:r w:rsidR="003E4230" w:rsidRPr="004F7668">
        <w:t> </w:t>
      </w:r>
      <w:r w:rsidR="00D1139D" w:rsidRPr="004F7668">
        <w:t>January 2011 to 9 March 2012</w:t>
      </w:r>
      <w:r w:rsidRPr="004F7668">
        <w:t xml:space="preserve"> (</w:t>
      </w:r>
      <w:r w:rsidR="00AE7502" w:rsidRPr="004F7668">
        <w:t>1 year, 10 months and</w:t>
      </w:r>
      <w:r w:rsidRPr="004F7668">
        <w:t xml:space="preserve"> 20 days).</w:t>
      </w:r>
    </w:p>
    <w:p w:rsidR="00D1139D" w:rsidRPr="004F7668" w:rsidRDefault="00CF29F4" w:rsidP="004F7668">
      <w:pPr>
        <w:pStyle w:val="ECHRHeading2"/>
      </w:pPr>
      <w:r w:rsidRPr="004F7668">
        <w:lastRenderedPageBreak/>
        <w:t>B</w:t>
      </w:r>
      <w:r w:rsidR="00D1139D" w:rsidRPr="004F7668">
        <w:t>.</w:t>
      </w:r>
      <w:r w:rsidR="005018D1" w:rsidRPr="004F7668">
        <w:t>  </w:t>
      </w:r>
      <w:r w:rsidR="00D1139D" w:rsidRPr="004F7668">
        <w:t>The conditions of the applicant</w:t>
      </w:r>
      <w:r w:rsidR="004F7668" w:rsidRPr="004F7668">
        <w:t>’</w:t>
      </w:r>
      <w:r w:rsidR="00D1139D" w:rsidRPr="004F7668">
        <w:t>s detention</w:t>
      </w:r>
    </w:p>
    <w:p w:rsidR="00D75626" w:rsidRPr="004F7668" w:rsidRDefault="00704EB1" w:rsidP="004F7668">
      <w:pPr>
        <w:pStyle w:val="ECHRPara"/>
      </w:pPr>
      <w:r w:rsidRPr="004F7668">
        <w:fldChar w:fldCharType="begin"/>
      </w:r>
      <w:r w:rsidRPr="004F7668">
        <w:instrText xml:space="preserve"> SEQ level0 \*arabic </w:instrText>
      </w:r>
      <w:r w:rsidRPr="004F7668">
        <w:fldChar w:fldCharType="separate"/>
      </w:r>
      <w:r w:rsidR="004F7668" w:rsidRPr="004F7668">
        <w:rPr>
          <w:noProof/>
        </w:rPr>
        <w:t>8</w:t>
      </w:r>
      <w:r w:rsidRPr="004F7668">
        <w:rPr>
          <w:noProof/>
        </w:rPr>
        <w:fldChar w:fldCharType="end"/>
      </w:r>
      <w:r w:rsidR="002E2242" w:rsidRPr="004F7668">
        <w:t>.  </w:t>
      </w:r>
      <w:r w:rsidR="00D75626" w:rsidRPr="004F7668">
        <w:t>The parties</w:t>
      </w:r>
      <w:r w:rsidR="004F7668" w:rsidRPr="004F7668">
        <w:t>’</w:t>
      </w:r>
      <w:r w:rsidR="00D75626" w:rsidRPr="004F7668">
        <w:t xml:space="preserve"> statements relating to the conditions of the applicant</w:t>
      </w:r>
      <w:r w:rsidR="004F7668" w:rsidRPr="004F7668">
        <w:t>’</w:t>
      </w:r>
      <w:r w:rsidR="00D75626" w:rsidRPr="004F7668">
        <w:t xml:space="preserve">s detention from </w:t>
      </w:r>
      <w:r w:rsidR="00257E54" w:rsidRPr="004F7668">
        <w:t xml:space="preserve">20 April 2010 to 9 March 2012 </w:t>
      </w:r>
      <w:r w:rsidR="00D75626" w:rsidRPr="004F7668">
        <w:t>are to a large extent contradictory</w:t>
      </w:r>
      <w:r w:rsidR="003E4230" w:rsidRPr="004F7668">
        <w:t>.</w:t>
      </w:r>
    </w:p>
    <w:p w:rsidR="002E2242" w:rsidRPr="004F7668" w:rsidRDefault="00704EB1" w:rsidP="004F7668">
      <w:pPr>
        <w:pStyle w:val="ECHRPara"/>
      </w:pPr>
      <w:r w:rsidRPr="004F7668">
        <w:fldChar w:fldCharType="begin"/>
      </w:r>
      <w:r w:rsidRPr="004F7668">
        <w:instrText xml:space="preserve"> SEQ level0 \*arabic </w:instrText>
      </w:r>
      <w:r w:rsidRPr="004F7668">
        <w:fldChar w:fldCharType="separate"/>
      </w:r>
      <w:r w:rsidR="004F7668" w:rsidRPr="004F7668">
        <w:rPr>
          <w:noProof/>
        </w:rPr>
        <w:t>9</w:t>
      </w:r>
      <w:r w:rsidRPr="004F7668">
        <w:rPr>
          <w:noProof/>
        </w:rPr>
        <w:fldChar w:fldCharType="end"/>
      </w:r>
      <w:r w:rsidR="00D75626" w:rsidRPr="004F7668">
        <w:t>.  </w:t>
      </w:r>
      <w:r w:rsidR="00D1139D" w:rsidRPr="004F7668">
        <w:t xml:space="preserve">The applicant submitted that throughout his detention in </w:t>
      </w:r>
      <w:r w:rsidR="00257E54" w:rsidRPr="004F7668">
        <w:t>Mysłowice Remand Centre and Wojkowice Prison</w:t>
      </w:r>
      <w:r w:rsidR="003E4230" w:rsidRPr="004F7668">
        <w:t>,</w:t>
      </w:r>
      <w:r w:rsidR="00D1139D" w:rsidRPr="004F7668">
        <w:t xml:space="preserve"> he had been held in overcrowded cells in which the space per person had been below the Polish sta</w:t>
      </w:r>
      <w:r w:rsidR="001E194C" w:rsidRPr="004F7668">
        <w:t>tutory minimum standard of 3</w:t>
      </w:r>
      <w:r w:rsidR="00D1139D" w:rsidRPr="004F7668">
        <w:t xml:space="preserve"> m</w:t>
      </w:r>
      <w:r w:rsidR="001E194C" w:rsidRPr="004F7668">
        <w:rPr>
          <w:rFonts w:cstheme="minorHAnsi"/>
        </w:rPr>
        <w:t>²</w:t>
      </w:r>
      <w:r w:rsidR="00D1139D" w:rsidRPr="004F7668">
        <w:t>.</w:t>
      </w:r>
    </w:p>
    <w:p w:rsidR="00257E54" w:rsidRPr="004F7668" w:rsidRDefault="00704EB1" w:rsidP="004F7668">
      <w:pPr>
        <w:pStyle w:val="ECHRPara"/>
      </w:pPr>
      <w:r w:rsidRPr="004F7668">
        <w:fldChar w:fldCharType="begin"/>
      </w:r>
      <w:r w:rsidRPr="004F7668">
        <w:instrText xml:space="preserve"> SEQ level0 \*arabic </w:instrText>
      </w:r>
      <w:r w:rsidRPr="004F7668">
        <w:fldChar w:fldCharType="separate"/>
      </w:r>
      <w:r w:rsidR="004F7668" w:rsidRPr="004F7668">
        <w:rPr>
          <w:noProof/>
        </w:rPr>
        <w:t>10</w:t>
      </w:r>
      <w:r w:rsidRPr="004F7668">
        <w:rPr>
          <w:noProof/>
        </w:rPr>
        <w:fldChar w:fldCharType="end"/>
      </w:r>
      <w:r w:rsidR="00257E54" w:rsidRPr="004F7668">
        <w:t>.  In their observations, the Government submitted that the applicant had been detained in overcrowded cells only on 20 April, 18 and 19 May 2009.</w:t>
      </w:r>
    </w:p>
    <w:p w:rsidR="00D1139D" w:rsidRPr="004F7668" w:rsidRDefault="00704EB1" w:rsidP="004F7668">
      <w:pPr>
        <w:pStyle w:val="ECHRPara"/>
      </w:pPr>
      <w:r w:rsidRPr="004F7668">
        <w:fldChar w:fldCharType="begin"/>
      </w:r>
      <w:r w:rsidRPr="004F7668">
        <w:instrText xml:space="preserve"> SEQ level0 \*arabic </w:instrText>
      </w:r>
      <w:r w:rsidRPr="004F7668">
        <w:fldChar w:fldCharType="separate"/>
      </w:r>
      <w:r w:rsidR="004F7668" w:rsidRPr="004F7668">
        <w:rPr>
          <w:noProof/>
        </w:rPr>
        <w:t>11</w:t>
      </w:r>
      <w:r w:rsidRPr="004F7668">
        <w:rPr>
          <w:noProof/>
        </w:rPr>
        <w:fldChar w:fldCharType="end"/>
      </w:r>
      <w:r w:rsidR="00D1139D" w:rsidRPr="004F7668">
        <w:t>.  </w:t>
      </w:r>
      <w:r w:rsidR="00AE7502" w:rsidRPr="004F7668">
        <w:t xml:space="preserve">In the </w:t>
      </w:r>
      <w:r w:rsidR="00CF5D19" w:rsidRPr="004F7668">
        <w:t>course</w:t>
      </w:r>
      <w:r w:rsidR="00AE7502" w:rsidRPr="004F7668">
        <w:t xml:space="preserve"> of civil proceedings instituted by the applicant</w:t>
      </w:r>
      <w:r w:rsidR="007213E9" w:rsidRPr="004F7668">
        <w:t xml:space="preserve"> (see paragraphs 14-16 below)</w:t>
      </w:r>
      <w:r w:rsidR="003E4230" w:rsidRPr="004F7668">
        <w:t>,</w:t>
      </w:r>
      <w:r w:rsidR="00AE7502" w:rsidRPr="004F7668">
        <w:t xml:space="preserve"> t</w:t>
      </w:r>
      <w:r w:rsidR="00D1139D" w:rsidRPr="004F7668">
        <w:t>he domestic courts established, without giving any further details, that the applicant had been detained in overcrowded cells from 20 April 2010 to 9</w:t>
      </w:r>
      <w:r w:rsidR="00C47FC4" w:rsidRPr="004F7668">
        <w:t xml:space="preserve"> </w:t>
      </w:r>
      <w:r w:rsidR="00D1139D" w:rsidRPr="004F7668">
        <w:t>March 2012</w:t>
      </w:r>
      <w:r w:rsidR="00AE7502" w:rsidRPr="004F7668">
        <w:t xml:space="preserve"> (1 year, 10 months and 20 days)</w:t>
      </w:r>
      <w:r w:rsidR="00D1139D" w:rsidRPr="004F7668">
        <w:t>.</w:t>
      </w:r>
    </w:p>
    <w:p w:rsidR="006F39F7" w:rsidRPr="004F7668" w:rsidRDefault="00704EB1" w:rsidP="004F7668">
      <w:pPr>
        <w:pStyle w:val="ECHRPara"/>
      </w:pPr>
      <w:r w:rsidRPr="004F7668">
        <w:fldChar w:fldCharType="begin"/>
      </w:r>
      <w:r w:rsidRPr="004F7668">
        <w:instrText xml:space="preserve"> SEQ level0 \*arabic </w:instrText>
      </w:r>
      <w:r w:rsidRPr="004F7668">
        <w:fldChar w:fldCharType="separate"/>
      </w:r>
      <w:r w:rsidR="004F7668" w:rsidRPr="004F7668">
        <w:rPr>
          <w:noProof/>
        </w:rPr>
        <w:t>12</w:t>
      </w:r>
      <w:r w:rsidRPr="004F7668">
        <w:rPr>
          <w:noProof/>
        </w:rPr>
        <w:fldChar w:fldCharType="end"/>
      </w:r>
      <w:r w:rsidR="006F39F7" w:rsidRPr="004F7668">
        <w:t xml:space="preserve">.  Regarding the </w:t>
      </w:r>
      <w:r w:rsidR="00AC66BB" w:rsidRPr="004F7668">
        <w:t>conditions of detention</w:t>
      </w:r>
      <w:r w:rsidR="006F39F7" w:rsidRPr="004F7668">
        <w:t xml:space="preserve"> in Mysłowice Remand Centre</w:t>
      </w:r>
      <w:r w:rsidR="003E4230" w:rsidRPr="004F7668">
        <w:t>,</w:t>
      </w:r>
      <w:r w:rsidR="006F39F7" w:rsidRPr="004F7668">
        <w:t xml:space="preserve"> the domestic court established that the overall conditions in cells were adequate. The applicant had one hot shower per week and one hour of outdoor exercise per day.</w:t>
      </w:r>
    </w:p>
    <w:p w:rsidR="00AC66BB" w:rsidRPr="004F7668" w:rsidRDefault="00704EB1" w:rsidP="004F7668">
      <w:pPr>
        <w:pStyle w:val="ECHRPara"/>
      </w:pPr>
      <w:r w:rsidRPr="004F7668">
        <w:fldChar w:fldCharType="begin"/>
      </w:r>
      <w:r w:rsidRPr="004F7668">
        <w:instrText xml:space="preserve"> SEQ level0 \*arabic </w:instrText>
      </w:r>
      <w:r w:rsidRPr="004F7668">
        <w:fldChar w:fldCharType="separate"/>
      </w:r>
      <w:r w:rsidR="004F7668" w:rsidRPr="004F7668">
        <w:rPr>
          <w:noProof/>
        </w:rPr>
        <w:t>13</w:t>
      </w:r>
      <w:r w:rsidRPr="004F7668">
        <w:rPr>
          <w:noProof/>
        </w:rPr>
        <w:fldChar w:fldCharType="end"/>
      </w:r>
      <w:r w:rsidR="00AC66BB" w:rsidRPr="004F7668">
        <w:t>. </w:t>
      </w:r>
      <w:r w:rsidR="00E115CB" w:rsidRPr="004F7668">
        <w:t> </w:t>
      </w:r>
      <w:r w:rsidR="00AC66BB" w:rsidRPr="004F7668">
        <w:t>Regarding the conditions of detention in Wojkowice Prison,</w:t>
      </w:r>
      <w:r w:rsidR="00C47FC4" w:rsidRPr="004F7668">
        <w:t xml:space="preserve"> </w:t>
      </w:r>
      <w:r w:rsidR="00AC66BB" w:rsidRPr="004F7668">
        <w:t>as established by the domestic courts</w:t>
      </w:r>
      <w:r w:rsidR="00B047D7" w:rsidRPr="004F7668">
        <w:t>,</w:t>
      </w:r>
      <w:r w:rsidR="00AC66BB" w:rsidRPr="004F7668">
        <w:t xml:space="preserve"> the toilets were separa</w:t>
      </w:r>
      <w:r w:rsidR="00AE7502" w:rsidRPr="004F7668">
        <w:t>ted from the cell</w:t>
      </w:r>
      <w:r w:rsidR="004F7668" w:rsidRPr="004F7668">
        <w:t>’</w:t>
      </w:r>
      <w:r w:rsidR="00AE7502" w:rsidRPr="004F7668">
        <w:t>s living area, e</w:t>
      </w:r>
      <w:r w:rsidR="00AC66BB" w:rsidRPr="004F7668">
        <w:t xml:space="preserve">very prisoner had his own bed, a stool and access to cold </w:t>
      </w:r>
      <w:r w:rsidR="008E79F3" w:rsidRPr="004F7668">
        <w:t xml:space="preserve">running </w:t>
      </w:r>
      <w:r w:rsidR="00AC66BB" w:rsidRPr="004F7668">
        <w:t xml:space="preserve">water. The </w:t>
      </w:r>
      <w:r w:rsidR="00B047D7" w:rsidRPr="004F7668">
        <w:t xml:space="preserve">prisoners had basic </w:t>
      </w:r>
      <w:r w:rsidR="00AC66BB" w:rsidRPr="004F7668">
        <w:t>hygiene products at the</w:t>
      </w:r>
      <w:r w:rsidR="00B047D7" w:rsidRPr="004F7668">
        <w:t>ir</w:t>
      </w:r>
      <w:r w:rsidR="00AC66BB" w:rsidRPr="004F7668">
        <w:t xml:space="preserve"> disposal. The ceiling was infested with humidity. </w:t>
      </w:r>
      <w:r w:rsidR="00AE7502" w:rsidRPr="004F7668">
        <w:t>T</w:t>
      </w:r>
      <w:r w:rsidR="00AC66BB" w:rsidRPr="004F7668">
        <w:t>he applicant had one hot shower per week and one hour of outdoor exercise per day.</w:t>
      </w:r>
    </w:p>
    <w:p w:rsidR="00D1139D" w:rsidRPr="004F7668" w:rsidRDefault="00CF29F4" w:rsidP="004F7668">
      <w:pPr>
        <w:pStyle w:val="ECHRHeading2"/>
      </w:pPr>
      <w:r w:rsidRPr="004F7668">
        <w:t>C</w:t>
      </w:r>
      <w:r w:rsidR="00D1139D" w:rsidRPr="004F7668">
        <w:t>.</w:t>
      </w:r>
      <w:r w:rsidR="005018D1" w:rsidRPr="004F7668">
        <w:t>  </w:t>
      </w:r>
      <w:r w:rsidR="00D1139D" w:rsidRPr="004F7668">
        <w:t>Civil proceedings against the State Treasury</w:t>
      </w:r>
    </w:p>
    <w:p w:rsidR="00D1139D" w:rsidRPr="004F7668" w:rsidRDefault="00704EB1" w:rsidP="004F7668">
      <w:pPr>
        <w:pStyle w:val="ECHRPara"/>
      </w:pPr>
      <w:r w:rsidRPr="004F7668">
        <w:fldChar w:fldCharType="begin"/>
      </w:r>
      <w:r w:rsidRPr="004F7668">
        <w:instrText xml:space="preserve"> SEQ level0 \*arabic </w:instrText>
      </w:r>
      <w:r w:rsidRPr="004F7668">
        <w:fldChar w:fldCharType="separate"/>
      </w:r>
      <w:r w:rsidR="004F7668" w:rsidRPr="004F7668">
        <w:rPr>
          <w:noProof/>
        </w:rPr>
        <w:t>14</w:t>
      </w:r>
      <w:r w:rsidRPr="004F7668">
        <w:rPr>
          <w:noProof/>
        </w:rPr>
        <w:fldChar w:fldCharType="end"/>
      </w:r>
      <w:r w:rsidR="00D1139D" w:rsidRPr="004F7668">
        <w:t xml:space="preserve">.  On 24 February 2012 the applicant brought a civil action </w:t>
      </w:r>
      <w:r w:rsidR="00B047D7" w:rsidRPr="004F7668">
        <w:t xml:space="preserve">for the </w:t>
      </w:r>
      <w:r w:rsidR="006B1338" w:rsidRPr="004F7668">
        <w:t xml:space="preserve">infringement </w:t>
      </w:r>
      <w:r w:rsidR="00B047D7" w:rsidRPr="004F7668">
        <w:t xml:space="preserve">of </w:t>
      </w:r>
      <w:r w:rsidR="00D1139D" w:rsidRPr="004F7668">
        <w:t>his p</w:t>
      </w:r>
      <w:r w:rsidR="00B047D7" w:rsidRPr="004F7668">
        <w:t>ersonal rights on account of</w:t>
      </w:r>
      <w:r w:rsidR="00D1139D" w:rsidRPr="004F7668">
        <w:t xml:space="preserve"> inadequate living conditions </w:t>
      </w:r>
      <w:r w:rsidR="008E79F3" w:rsidRPr="004F7668">
        <w:t xml:space="preserve">in </w:t>
      </w:r>
      <w:r w:rsidR="00D75626" w:rsidRPr="004F7668">
        <w:t>Wojkowice Prison from November 2005 to July 2006</w:t>
      </w:r>
      <w:r w:rsidR="000A694D" w:rsidRPr="004F7668">
        <w:t xml:space="preserve"> and</w:t>
      </w:r>
      <w:r w:rsidR="00D75626" w:rsidRPr="004F7668">
        <w:t xml:space="preserve"> from January to March 2007, in Mysłowice Remand Centre from 20 April 2010 to 12</w:t>
      </w:r>
      <w:r w:rsidR="00B047D7" w:rsidRPr="004F7668">
        <w:t> </w:t>
      </w:r>
      <w:r w:rsidR="00D75626" w:rsidRPr="004F7668">
        <w:t>January 2011 and</w:t>
      </w:r>
      <w:r w:rsidR="008E79F3" w:rsidRPr="004F7668">
        <w:t>,</w:t>
      </w:r>
      <w:r w:rsidR="00D75626" w:rsidRPr="004F7668">
        <w:t xml:space="preserve"> subsequently</w:t>
      </w:r>
      <w:r w:rsidR="008E79F3" w:rsidRPr="004F7668">
        <w:t>,</w:t>
      </w:r>
      <w:r w:rsidR="00D75626" w:rsidRPr="004F7668">
        <w:t xml:space="preserve"> again in Wojkowice Prison from 12</w:t>
      </w:r>
      <w:r w:rsidR="00B047D7" w:rsidRPr="004F7668">
        <w:t> </w:t>
      </w:r>
      <w:r w:rsidR="00D75626" w:rsidRPr="004F7668">
        <w:t>January 2011 to 9 March 2012.</w:t>
      </w:r>
      <w:r w:rsidR="00D1139D" w:rsidRPr="004F7668">
        <w:t xml:space="preserve"> The applicant argued that he had been detained in overcrowded cells</w:t>
      </w:r>
      <w:r w:rsidR="000A694D" w:rsidRPr="004F7668">
        <w:t>,</w:t>
      </w:r>
      <w:r w:rsidR="00D1139D" w:rsidRPr="004F7668">
        <w:t xml:space="preserve"> </w:t>
      </w:r>
      <w:r w:rsidR="000A694D" w:rsidRPr="004F7668">
        <w:t xml:space="preserve">where </w:t>
      </w:r>
      <w:r w:rsidR="00CF5D19" w:rsidRPr="004F7668">
        <w:t xml:space="preserve">the space </w:t>
      </w:r>
      <w:r w:rsidR="000A694D" w:rsidRPr="004F7668">
        <w:t>per person had been</w:t>
      </w:r>
      <w:r w:rsidR="00D1139D" w:rsidRPr="004F7668">
        <w:t xml:space="preserve"> below the </w:t>
      </w:r>
      <w:r w:rsidR="00D75626" w:rsidRPr="004F7668">
        <w:t>statutory minimum</w:t>
      </w:r>
      <w:r w:rsidR="000A694D" w:rsidRPr="004F7668">
        <w:t xml:space="preserve"> of</w:t>
      </w:r>
      <w:r w:rsidR="008E79F3" w:rsidRPr="004F7668">
        <w:t xml:space="preserve"> 3 m</w:t>
      </w:r>
      <w:r w:rsidR="008E79F3" w:rsidRPr="004F7668">
        <w:rPr>
          <w:rFonts w:cstheme="minorHAnsi"/>
        </w:rPr>
        <w:t>²</w:t>
      </w:r>
      <w:r w:rsidR="00D75626" w:rsidRPr="004F7668">
        <w:t>. He claimed 8</w:t>
      </w:r>
      <w:r w:rsidR="00D1139D" w:rsidRPr="004F7668">
        <w:t>0,000 Polis</w:t>
      </w:r>
      <w:r w:rsidR="00D75626" w:rsidRPr="004F7668">
        <w:t>h zlotys (PLN) (approximately 20</w:t>
      </w:r>
      <w:r w:rsidR="00D1139D" w:rsidRPr="004F7668">
        <w:t>,000 euros (EUR)) in compensation.</w:t>
      </w:r>
    </w:p>
    <w:p w:rsidR="005E6235" w:rsidRPr="004F7668" w:rsidRDefault="00704EB1" w:rsidP="004F7668">
      <w:pPr>
        <w:pStyle w:val="ECHRPara"/>
      </w:pPr>
      <w:r w:rsidRPr="004F7668">
        <w:fldChar w:fldCharType="begin"/>
      </w:r>
      <w:r w:rsidRPr="004F7668">
        <w:instrText xml:space="preserve"> SEQ level0 \*arabic </w:instrText>
      </w:r>
      <w:r w:rsidRPr="004F7668">
        <w:fldChar w:fldCharType="separate"/>
      </w:r>
      <w:r w:rsidR="004F7668" w:rsidRPr="004F7668">
        <w:rPr>
          <w:noProof/>
        </w:rPr>
        <w:t>15</w:t>
      </w:r>
      <w:r w:rsidRPr="004F7668">
        <w:rPr>
          <w:noProof/>
        </w:rPr>
        <w:fldChar w:fldCharType="end"/>
      </w:r>
      <w:r w:rsidR="00D75626" w:rsidRPr="004F7668">
        <w:t>.  On 18 December 2012 the Katowice Regional Court dismissed the a</w:t>
      </w:r>
      <w:r w:rsidR="00CD7966" w:rsidRPr="004F7668">
        <w:t>pplicant</w:t>
      </w:r>
      <w:r w:rsidR="004F7668" w:rsidRPr="004F7668">
        <w:t>’</w:t>
      </w:r>
      <w:r w:rsidR="00CD7966" w:rsidRPr="004F7668">
        <w:t>s action, finding that</w:t>
      </w:r>
      <w:r w:rsidR="00CF5D19" w:rsidRPr="004F7668">
        <w:t xml:space="preserve"> </w:t>
      </w:r>
      <w:r w:rsidR="00D75626" w:rsidRPr="004F7668">
        <w:t xml:space="preserve">from 20 April 2010 </w:t>
      </w:r>
      <w:r w:rsidR="001E194C" w:rsidRPr="004F7668">
        <w:t xml:space="preserve">to 9 March 2012 </w:t>
      </w:r>
      <w:r w:rsidR="00CD7966" w:rsidRPr="004F7668">
        <w:t>the applicant had been</w:t>
      </w:r>
      <w:r w:rsidR="00D75626" w:rsidRPr="004F7668">
        <w:t xml:space="preserve"> detained in cells above the minimum statutory standard</w:t>
      </w:r>
      <w:r w:rsidR="000A694D" w:rsidRPr="004F7668">
        <w:t>. A</w:t>
      </w:r>
      <w:r w:rsidR="00D75626" w:rsidRPr="004F7668">
        <w:t>s regards the remainder of the period</w:t>
      </w:r>
      <w:r w:rsidR="000A694D" w:rsidRPr="004F7668">
        <w:t>,</w:t>
      </w:r>
      <w:r w:rsidR="00D75626" w:rsidRPr="004F7668">
        <w:t xml:space="preserve"> </w:t>
      </w:r>
      <w:r w:rsidR="007213E9" w:rsidRPr="004F7668">
        <w:t>the claim was time-barred as lodged outside the</w:t>
      </w:r>
      <w:r w:rsidR="00D75626" w:rsidRPr="004F7668">
        <w:t xml:space="preserve"> </w:t>
      </w:r>
      <w:r w:rsidR="00CF5D19" w:rsidRPr="004F7668">
        <w:t>three-year</w:t>
      </w:r>
      <w:r w:rsidR="00D75626" w:rsidRPr="004F7668">
        <w:t xml:space="preserve"> </w:t>
      </w:r>
      <w:r w:rsidR="007213E9" w:rsidRPr="004F7668">
        <w:t xml:space="preserve">period of </w:t>
      </w:r>
      <w:r w:rsidR="00D75626" w:rsidRPr="004F7668">
        <w:t xml:space="preserve">statutory </w:t>
      </w:r>
      <w:r w:rsidR="007C6B15" w:rsidRPr="004F7668">
        <w:t>limitation</w:t>
      </w:r>
      <w:r w:rsidR="00D75626" w:rsidRPr="004F7668">
        <w:t>.</w:t>
      </w:r>
    </w:p>
    <w:p w:rsidR="00D75626" w:rsidRPr="004F7668" w:rsidRDefault="00704EB1" w:rsidP="004F7668">
      <w:pPr>
        <w:pStyle w:val="ECHRPara"/>
      </w:pPr>
      <w:r w:rsidRPr="004F7668">
        <w:lastRenderedPageBreak/>
        <w:fldChar w:fldCharType="begin"/>
      </w:r>
      <w:r w:rsidRPr="004F7668">
        <w:instrText xml:space="preserve"> SEQ level0 \*arabic </w:instrText>
      </w:r>
      <w:r w:rsidRPr="004F7668">
        <w:fldChar w:fldCharType="separate"/>
      </w:r>
      <w:r w:rsidR="004F7668" w:rsidRPr="004F7668">
        <w:rPr>
          <w:noProof/>
        </w:rPr>
        <w:t>16</w:t>
      </w:r>
      <w:r w:rsidRPr="004F7668">
        <w:rPr>
          <w:noProof/>
        </w:rPr>
        <w:fldChar w:fldCharType="end"/>
      </w:r>
      <w:r w:rsidR="00D75626" w:rsidRPr="004F7668">
        <w:t>.  </w:t>
      </w:r>
      <w:r w:rsidR="00AC66BB" w:rsidRPr="004F7668">
        <w:t xml:space="preserve">On 27 June 2013 the Katowice Court of Appeal </w:t>
      </w:r>
      <w:r w:rsidR="00F43E78" w:rsidRPr="004F7668">
        <w:t>overruled</w:t>
      </w:r>
      <w:r w:rsidR="00AC66BB" w:rsidRPr="004F7668">
        <w:t xml:space="preserve"> the </w:t>
      </w:r>
      <w:r w:rsidR="001E194C" w:rsidRPr="004F7668">
        <w:t>lower court</w:t>
      </w:r>
      <w:r w:rsidR="004F7668" w:rsidRPr="004F7668">
        <w:t>’</w:t>
      </w:r>
      <w:r w:rsidR="001E194C" w:rsidRPr="004F7668">
        <w:t>s</w:t>
      </w:r>
      <w:r w:rsidR="00AC66BB" w:rsidRPr="004F7668">
        <w:t xml:space="preserve"> judgment and</w:t>
      </w:r>
      <w:r w:rsidR="00F43E78" w:rsidRPr="004F7668">
        <w:t xml:space="preserve"> allowed the applicant</w:t>
      </w:r>
      <w:r w:rsidR="004F7668" w:rsidRPr="004F7668">
        <w:t>’</w:t>
      </w:r>
      <w:r w:rsidR="00F43E78" w:rsidRPr="004F7668">
        <w:t>s action</w:t>
      </w:r>
      <w:r w:rsidR="00046E8A" w:rsidRPr="004F7668">
        <w:t>,</w:t>
      </w:r>
      <w:r w:rsidR="00E77820" w:rsidRPr="004F7668">
        <w:t xml:space="preserve"> finding that from 20</w:t>
      </w:r>
      <w:r w:rsidR="007B59B2" w:rsidRPr="004F7668">
        <w:t> </w:t>
      </w:r>
      <w:r w:rsidR="00E77820" w:rsidRPr="004F7668">
        <w:t>April 2010 to 9 March 2012</w:t>
      </w:r>
      <w:r w:rsidR="00B047D7" w:rsidRPr="004F7668">
        <w:t xml:space="preserve"> he</w:t>
      </w:r>
      <w:r w:rsidR="00E77820" w:rsidRPr="004F7668">
        <w:t xml:space="preserve"> had been detained in overcrowded cells</w:t>
      </w:r>
      <w:r w:rsidR="00F43E78" w:rsidRPr="004F7668">
        <w:t xml:space="preserve">. </w:t>
      </w:r>
      <w:r w:rsidR="003258E3" w:rsidRPr="004F7668">
        <w:t xml:space="preserve">The court relied </w:t>
      </w:r>
      <w:r w:rsidR="001E194C" w:rsidRPr="004F7668">
        <w:t xml:space="preserve">in this respect </w:t>
      </w:r>
      <w:r w:rsidR="003258E3" w:rsidRPr="004F7668">
        <w:t>on the applicant</w:t>
      </w:r>
      <w:r w:rsidR="004F7668" w:rsidRPr="004F7668">
        <w:t>’</w:t>
      </w:r>
      <w:r w:rsidR="003258E3" w:rsidRPr="004F7668">
        <w:t>s submissions</w:t>
      </w:r>
      <w:r w:rsidR="0018356B" w:rsidRPr="004F7668">
        <w:t>,</w:t>
      </w:r>
      <w:r w:rsidR="003258E3" w:rsidRPr="004F7668">
        <w:t xml:space="preserve"> </w:t>
      </w:r>
      <w:r w:rsidR="00CF5D19" w:rsidRPr="004F7668">
        <w:t xml:space="preserve">holding that the State Treasury had </w:t>
      </w:r>
      <w:r w:rsidR="00CD7966" w:rsidRPr="004F7668">
        <w:t xml:space="preserve">in fact </w:t>
      </w:r>
      <w:r w:rsidR="00CF5D19" w:rsidRPr="004F7668">
        <w:t xml:space="preserve">acknowledged </w:t>
      </w:r>
      <w:r w:rsidR="00463CA7" w:rsidRPr="004F7668">
        <w:t>the</w:t>
      </w:r>
      <w:r w:rsidR="0018356B" w:rsidRPr="004F7668">
        <w:t>se</w:t>
      </w:r>
      <w:r w:rsidR="00463CA7" w:rsidRPr="004F7668">
        <w:t xml:space="preserve"> </w:t>
      </w:r>
      <w:r w:rsidR="00CD7966" w:rsidRPr="004F7668">
        <w:t>by its</w:t>
      </w:r>
      <w:r w:rsidR="003258E3" w:rsidRPr="004F7668">
        <w:t xml:space="preserve"> </w:t>
      </w:r>
      <w:r w:rsidR="00B45E7E" w:rsidRPr="004F7668">
        <w:t>multiple refusals</w:t>
      </w:r>
      <w:r w:rsidR="00AC66BB" w:rsidRPr="004F7668">
        <w:t xml:space="preserve"> to provide the </w:t>
      </w:r>
      <w:r w:rsidR="00B45E7E" w:rsidRPr="004F7668">
        <w:t xml:space="preserve">first and </w:t>
      </w:r>
      <w:r w:rsidR="00463CA7" w:rsidRPr="004F7668">
        <w:t xml:space="preserve">the </w:t>
      </w:r>
      <w:r w:rsidR="00B45E7E" w:rsidRPr="004F7668">
        <w:t xml:space="preserve">second instance </w:t>
      </w:r>
      <w:r w:rsidR="00AC66BB" w:rsidRPr="004F7668">
        <w:t>court</w:t>
      </w:r>
      <w:r w:rsidR="003258E3" w:rsidRPr="004F7668">
        <w:t>s</w:t>
      </w:r>
      <w:r w:rsidR="00AC66BB" w:rsidRPr="004F7668">
        <w:t xml:space="preserve"> </w:t>
      </w:r>
      <w:r w:rsidR="003258E3" w:rsidRPr="004F7668">
        <w:t xml:space="preserve">with </w:t>
      </w:r>
      <w:r w:rsidR="00B45E7E" w:rsidRPr="004F7668">
        <w:t>an</w:t>
      </w:r>
      <w:r w:rsidR="003258E3" w:rsidRPr="004F7668">
        <w:t xml:space="preserve"> </w:t>
      </w:r>
      <w:r w:rsidR="00B45E7E" w:rsidRPr="004F7668">
        <w:t xml:space="preserve">official </w:t>
      </w:r>
      <w:r w:rsidR="001F6435" w:rsidRPr="004F7668">
        <w:t xml:space="preserve">register of cells in which the applicant </w:t>
      </w:r>
      <w:r w:rsidR="003258E3" w:rsidRPr="004F7668">
        <w:t>had been detained</w:t>
      </w:r>
      <w:r w:rsidR="00B45E7E" w:rsidRPr="004F7668">
        <w:t>.</w:t>
      </w:r>
      <w:r w:rsidR="004D6509" w:rsidRPr="004F7668">
        <w:t xml:space="preserve"> </w:t>
      </w:r>
      <w:r w:rsidR="00E77820" w:rsidRPr="004F7668">
        <w:t xml:space="preserve">It also granted the </w:t>
      </w:r>
      <w:r w:rsidR="00370830" w:rsidRPr="004F7668">
        <w:t>applicant PLN </w:t>
      </w:r>
      <w:r w:rsidR="00CD7966" w:rsidRPr="004F7668">
        <w:t>1,000 (EUR 250) in</w:t>
      </w:r>
      <w:r w:rsidR="00E77820" w:rsidRPr="004F7668">
        <w:t xml:space="preserve"> compensation</w:t>
      </w:r>
      <w:r w:rsidR="0018356B" w:rsidRPr="004F7668">
        <w:t>,</w:t>
      </w:r>
      <w:r w:rsidR="00E77820" w:rsidRPr="004F7668">
        <w:t xml:space="preserve"> holding that </w:t>
      </w:r>
      <w:r w:rsidR="00B14AC3" w:rsidRPr="004F7668">
        <w:t xml:space="preserve">the </w:t>
      </w:r>
      <w:r w:rsidR="00E77820" w:rsidRPr="004F7668">
        <w:t xml:space="preserve">breach of </w:t>
      </w:r>
      <w:r w:rsidR="0018356B" w:rsidRPr="004F7668">
        <w:t xml:space="preserve">the </w:t>
      </w:r>
      <w:r w:rsidR="00E77820" w:rsidRPr="004F7668">
        <w:t xml:space="preserve">statutory minimum standard </w:t>
      </w:r>
      <w:r w:rsidR="00CF5D19" w:rsidRPr="004F7668">
        <w:t xml:space="preserve">had </w:t>
      </w:r>
      <w:r w:rsidR="00E77820" w:rsidRPr="004F7668">
        <w:t>not been significant.</w:t>
      </w:r>
    </w:p>
    <w:p w:rsidR="00014566" w:rsidRPr="004F7668" w:rsidRDefault="00014566" w:rsidP="004F7668">
      <w:pPr>
        <w:pStyle w:val="ECHRHeading1"/>
      </w:pPr>
      <w:r w:rsidRPr="004F7668">
        <w:t>II.  RELEVANT DOMESTIC LAW AND PRACTICE</w:t>
      </w:r>
    </w:p>
    <w:p w:rsidR="00014566" w:rsidRPr="004F7668" w:rsidRDefault="00D93367" w:rsidP="004F7668">
      <w:pPr>
        <w:pStyle w:val="ECHRPara"/>
      </w:pPr>
      <w:r w:rsidRPr="004F7668">
        <w:fldChar w:fldCharType="begin"/>
      </w:r>
      <w:r w:rsidRPr="004F7668">
        <w:instrText xml:space="preserve"> SEQ level0 \*arabic </w:instrText>
      </w:r>
      <w:r w:rsidRPr="004F7668">
        <w:fldChar w:fldCharType="separate"/>
      </w:r>
      <w:r w:rsidR="004F7668" w:rsidRPr="004F7668">
        <w:rPr>
          <w:noProof/>
        </w:rPr>
        <w:t>17</w:t>
      </w:r>
      <w:r w:rsidRPr="004F7668">
        <w:fldChar w:fldCharType="end"/>
      </w:r>
      <w:r w:rsidR="00014566" w:rsidRPr="004F7668">
        <w:t>.  </w:t>
      </w:r>
      <w:r w:rsidR="00370830" w:rsidRPr="004F7668">
        <w:t>A</w:t>
      </w:r>
      <w:r w:rsidR="00AC66BB" w:rsidRPr="004F7668">
        <w:t xml:space="preserve"> detailed description of the relevant domestic law and practice concerning general rules governing the conditions of detention in Poland</w:t>
      </w:r>
      <w:r w:rsidR="00913695" w:rsidRPr="004F7668">
        <w:t>,</w:t>
      </w:r>
      <w:r w:rsidR="00AC66BB" w:rsidRPr="004F7668">
        <w:t xml:space="preserve"> and domestic remedies available to detainees alleging that the conditions of their detention were inadequate</w:t>
      </w:r>
      <w:r w:rsidR="00913695" w:rsidRPr="004F7668">
        <w:t>,</w:t>
      </w:r>
      <w:r w:rsidR="00AC66BB" w:rsidRPr="004F7668">
        <w:t xml:space="preserve"> </w:t>
      </w:r>
      <w:r w:rsidR="0018356B" w:rsidRPr="004F7668">
        <w:t>is</w:t>
      </w:r>
      <w:r w:rsidR="00AC66BB" w:rsidRPr="004F7668">
        <w:t xml:space="preserve"> set out in the Court</w:t>
      </w:r>
      <w:r w:rsidR="004F7668" w:rsidRPr="004F7668">
        <w:t>’</w:t>
      </w:r>
      <w:r w:rsidR="00AC66BB" w:rsidRPr="004F7668">
        <w:t xml:space="preserve">s pilot judgments in the cases of </w:t>
      </w:r>
      <w:r w:rsidR="00AC66BB" w:rsidRPr="004F7668">
        <w:rPr>
          <w:i/>
        </w:rPr>
        <w:t>Orchowski v. Poland</w:t>
      </w:r>
      <w:r w:rsidR="00AC66BB" w:rsidRPr="004F7668">
        <w:t xml:space="preserve"> (no. 17885/04) and </w:t>
      </w:r>
      <w:r w:rsidR="00AC66BB" w:rsidRPr="004F7668">
        <w:rPr>
          <w:i/>
        </w:rPr>
        <w:t>Norbert Sikorski v.</w:t>
      </w:r>
      <w:r w:rsidR="005018D1" w:rsidRPr="004F7668">
        <w:rPr>
          <w:i/>
        </w:rPr>
        <w:t> </w:t>
      </w:r>
      <w:r w:rsidR="00AC66BB" w:rsidRPr="004F7668">
        <w:rPr>
          <w:i/>
        </w:rPr>
        <w:t>Poland</w:t>
      </w:r>
      <w:r w:rsidR="00AC66BB" w:rsidRPr="004F7668">
        <w:t xml:space="preserve"> (no. 17599/05) adopted on 22 October 2009 (see §§ 75</w:t>
      </w:r>
      <w:r w:rsidR="00913695" w:rsidRPr="004F7668">
        <w:t>-</w:t>
      </w:r>
      <w:r w:rsidR="00AC66BB" w:rsidRPr="004F7668">
        <w:t>85 and §§</w:t>
      </w:r>
      <w:r w:rsidR="00913695" w:rsidRPr="004F7668">
        <w:t> </w:t>
      </w:r>
      <w:r w:rsidR="00AC66BB" w:rsidRPr="004F7668">
        <w:t>45</w:t>
      </w:r>
      <w:r w:rsidR="00913695" w:rsidRPr="004F7668">
        <w:t>-</w:t>
      </w:r>
      <w:r w:rsidR="00AC66BB" w:rsidRPr="004F7668">
        <w:t>88 respectively). More recent developments are described in the Court</w:t>
      </w:r>
      <w:r w:rsidR="004F7668" w:rsidRPr="004F7668">
        <w:t>’</w:t>
      </w:r>
      <w:r w:rsidR="00AC66BB" w:rsidRPr="004F7668">
        <w:t xml:space="preserve">s decision in the case of </w:t>
      </w:r>
      <w:r w:rsidR="00AC66BB" w:rsidRPr="004F7668">
        <w:rPr>
          <w:i/>
        </w:rPr>
        <w:t>Łatak v. Poland</w:t>
      </w:r>
      <w:r w:rsidR="00C47FC4" w:rsidRPr="004F7668">
        <w:t xml:space="preserve"> (no. 52070/08, 12 </w:t>
      </w:r>
      <w:r w:rsidR="00AC66BB" w:rsidRPr="004F7668">
        <w:t>October 2010, §§ 25-54).</w:t>
      </w:r>
    </w:p>
    <w:p w:rsidR="00014566" w:rsidRPr="004F7668" w:rsidRDefault="00014566" w:rsidP="004F7668">
      <w:pPr>
        <w:pStyle w:val="ECHRTitle1"/>
      </w:pPr>
      <w:r w:rsidRPr="004F7668">
        <w:t>THE LAW</w:t>
      </w:r>
    </w:p>
    <w:p w:rsidR="00014566" w:rsidRPr="004F7668" w:rsidRDefault="00014566" w:rsidP="004F7668">
      <w:pPr>
        <w:pStyle w:val="ECHRHeading1"/>
      </w:pPr>
      <w:r w:rsidRPr="004F7668">
        <w:t xml:space="preserve">I.  ALLEGED VIOLATION OF ARTICLE </w:t>
      </w:r>
      <w:r w:rsidR="00AC66BB" w:rsidRPr="004F7668">
        <w:t>3</w:t>
      </w:r>
      <w:r w:rsidRPr="004F7668">
        <w:t xml:space="preserve"> OF THE CONVENTION</w:t>
      </w:r>
    </w:p>
    <w:p w:rsidR="00014566" w:rsidRPr="004F7668" w:rsidRDefault="00D93367" w:rsidP="004F7668">
      <w:pPr>
        <w:pStyle w:val="ECHRPara"/>
      </w:pPr>
      <w:r w:rsidRPr="004F7668">
        <w:fldChar w:fldCharType="begin"/>
      </w:r>
      <w:r w:rsidRPr="004F7668">
        <w:instrText xml:space="preserve"> SEQ level0 \*arabic </w:instrText>
      </w:r>
      <w:r w:rsidRPr="004F7668">
        <w:fldChar w:fldCharType="separate"/>
      </w:r>
      <w:r w:rsidR="004F7668" w:rsidRPr="004F7668">
        <w:rPr>
          <w:noProof/>
        </w:rPr>
        <w:t>18</w:t>
      </w:r>
      <w:r w:rsidRPr="004F7668">
        <w:fldChar w:fldCharType="end"/>
      </w:r>
      <w:r w:rsidR="00014566" w:rsidRPr="004F7668">
        <w:t xml:space="preserve">.  The applicant complained that </w:t>
      </w:r>
      <w:r w:rsidR="00AC66BB" w:rsidRPr="004F7668">
        <w:t xml:space="preserve">the conditions of his detention and the overcrowding in </w:t>
      </w:r>
      <w:r w:rsidR="00F43E78" w:rsidRPr="004F7668">
        <w:t>Mysłowice Remand Centre and Wojkowice Prison</w:t>
      </w:r>
      <w:r w:rsidR="00AC66BB" w:rsidRPr="004F7668">
        <w:t xml:space="preserve">, where he had been held </w:t>
      </w:r>
      <w:r w:rsidR="00CF5D19" w:rsidRPr="004F7668">
        <w:t>from</w:t>
      </w:r>
      <w:r w:rsidR="00AC66BB" w:rsidRPr="004F7668">
        <w:t xml:space="preserve"> </w:t>
      </w:r>
      <w:r w:rsidR="00F43E78" w:rsidRPr="004F7668">
        <w:t>20 April 2010 to 9 March 2012</w:t>
      </w:r>
      <w:r w:rsidR="00AC66BB" w:rsidRPr="004F7668">
        <w:t xml:space="preserve"> had amounted to inhuman and degrading treatment under</w:t>
      </w:r>
      <w:r w:rsidR="00014566" w:rsidRPr="004F7668">
        <w:t xml:space="preserve"> Article</w:t>
      </w:r>
      <w:r w:rsidR="00C47FC4" w:rsidRPr="004F7668">
        <w:t xml:space="preserve"> </w:t>
      </w:r>
      <w:r w:rsidR="00AC66BB" w:rsidRPr="004F7668">
        <w:t>3</w:t>
      </w:r>
      <w:r w:rsidR="00014566" w:rsidRPr="004F7668">
        <w:t xml:space="preserve"> of the Convention, which reads as follows:</w:t>
      </w:r>
    </w:p>
    <w:p w:rsidR="00014566" w:rsidRPr="004F7668" w:rsidRDefault="00AC66BB" w:rsidP="004F7668">
      <w:pPr>
        <w:pStyle w:val="ECHRParaQuote"/>
      </w:pPr>
      <w:r w:rsidRPr="004F7668">
        <w:t>“No one shall be subjected to torture or to inhuman or degrading treatment or punishment.”</w:t>
      </w:r>
    </w:p>
    <w:p w:rsidR="00014566" w:rsidRPr="004F7668" w:rsidRDefault="00D93367" w:rsidP="004F7668">
      <w:pPr>
        <w:pStyle w:val="ECHRPara"/>
      </w:pPr>
      <w:r w:rsidRPr="004F7668">
        <w:fldChar w:fldCharType="begin"/>
      </w:r>
      <w:r w:rsidRPr="004F7668">
        <w:instrText xml:space="preserve"> SEQ level0 \*arabic </w:instrText>
      </w:r>
      <w:r w:rsidRPr="004F7668">
        <w:fldChar w:fldCharType="separate"/>
      </w:r>
      <w:r w:rsidR="004F7668" w:rsidRPr="004F7668">
        <w:rPr>
          <w:noProof/>
        </w:rPr>
        <w:t>19</w:t>
      </w:r>
      <w:r w:rsidRPr="004F7668">
        <w:fldChar w:fldCharType="end"/>
      </w:r>
      <w:r w:rsidR="00014566" w:rsidRPr="004F7668">
        <w:t>.  </w:t>
      </w:r>
      <w:r w:rsidR="00C373A0" w:rsidRPr="004F7668">
        <w:t>The Government</w:t>
      </w:r>
      <w:r w:rsidR="004D61CD" w:rsidRPr="004F7668">
        <w:t>,</w:t>
      </w:r>
      <w:r w:rsidR="00C373A0" w:rsidRPr="004F7668">
        <w:t xml:space="preserve"> </w:t>
      </w:r>
      <w:r w:rsidR="004D61CD" w:rsidRPr="004F7668">
        <w:t>in their observation</w:t>
      </w:r>
      <w:r w:rsidR="00CF5D19" w:rsidRPr="004F7668">
        <w:t>s</w:t>
      </w:r>
      <w:r w:rsidR="0018356B" w:rsidRPr="004F7668">
        <w:t>,</w:t>
      </w:r>
      <w:r w:rsidR="004D61CD" w:rsidRPr="004F7668">
        <w:t xml:space="preserve"> acknowledged</w:t>
      </w:r>
      <w:r w:rsidR="00C373A0" w:rsidRPr="004F7668">
        <w:t xml:space="preserve"> that </w:t>
      </w:r>
      <w:r w:rsidR="001F6435" w:rsidRPr="004F7668">
        <w:t>on 20</w:t>
      </w:r>
      <w:r w:rsidR="00B047D7" w:rsidRPr="004F7668">
        <w:t> </w:t>
      </w:r>
      <w:r w:rsidR="001F6435" w:rsidRPr="004F7668">
        <w:t>April, 18 and 19 May 2009</w:t>
      </w:r>
      <w:r w:rsidR="00C373A0" w:rsidRPr="004F7668">
        <w:t xml:space="preserve"> </w:t>
      </w:r>
      <w:r w:rsidR="004D61CD" w:rsidRPr="004F7668">
        <w:t>the applicant had been detained in overcrowded cells w</w:t>
      </w:r>
      <w:r w:rsidR="0018356B" w:rsidRPr="004F7668">
        <w:t>here the</w:t>
      </w:r>
      <w:r w:rsidR="004D61CD" w:rsidRPr="004F7668">
        <w:t xml:space="preserve"> space</w:t>
      </w:r>
      <w:r w:rsidR="0018356B" w:rsidRPr="004F7668">
        <w:t xml:space="preserve"> per person</w:t>
      </w:r>
      <w:r w:rsidR="004D61CD" w:rsidRPr="004F7668">
        <w:t xml:space="preserve"> was below the statutory minimum</w:t>
      </w:r>
      <w:r w:rsidR="00C373A0" w:rsidRPr="004F7668">
        <w:t xml:space="preserve">. </w:t>
      </w:r>
      <w:r w:rsidR="00CF5D19" w:rsidRPr="004F7668">
        <w:t>As regards</w:t>
      </w:r>
      <w:r w:rsidR="00CD45AB" w:rsidRPr="004F7668">
        <w:t xml:space="preserve"> the remainder of</w:t>
      </w:r>
      <w:r w:rsidR="00B047D7" w:rsidRPr="004F7668">
        <w:t xml:space="preserve"> the</w:t>
      </w:r>
      <w:r w:rsidR="00CD45AB" w:rsidRPr="004F7668">
        <w:t xml:space="preserve"> impugned period</w:t>
      </w:r>
      <w:r w:rsidR="00CF5D19" w:rsidRPr="004F7668">
        <w:t>,</w:t>
      </w:r>
      <w:r w:rsidR="00CD45AB" w:rsidRPr="004F7668">
        <w:t xml:space="preserve"> the Government </w:t>
      </w:r>
      <w:r w:rsidR="001E194C" w:rsidRPr="004F7668">
        <w:t>submitted</w:t>
      </w:r>
      <w:r w:rsidR="00CD45AB" w:rsidRPr="004F7668">
        <w:t xml:space="preserve"> that the applicant </w:t>
      </w:r>
      <w:r w:rsidR="001E194C" w:rsidRPr="004F7668">
        <w:t>had been detained</w:t>
      </w:r>
      <w:r w:rsidR="00CD45AB" w:rsidRPr="004F7668">
        <w:t xml:space="preserve"> in cells where the space per person had been </w:t>
      </w:r>
      <w:r w:rsidR="00DC5F4B" w:rsidRPr="004F7668">
        <w:t>more than</w:t>
      </w:r>
      <w:r w:rsidR="004D61CD" w:rsidRPr="004F7668">
        <w:t xml:space="preserve"> 3</w:t>
      </w:r>
      <w:r w:rsidR="007B59B2" w:rsidRPr="004F7668">
        <w:t xml:space="preserve"> </w:t>
      </w:r>
      <w:r w:rsidR="004D61CD" w:rsidRPr="004F7668">
        <w:t>m²</w:t>
      </w:r>
      <w:r w:rsidR="00CF5D19" w:rsidRPr="004F7668">
        <w:t>. H</w:t>
      </w:r>
      <w:r w:rsidR="004D61CD" w:rsidRPr="004F7668">
        <w:t>owever</w:t>
      </w:r>
      <w:r w:rsidR="00CF5D19" w:rsidRPr="004F7668">
        <w:t>,</w:t>
      </w:r>
      <w:r w:rsidR="004D61CD" w:rsidRPr="004F7668">
        <w:t xml:space="preserve"> they failed to provide the Court with any evidence supporting their submissions.</w:t>
      </w:r>
    </w:p>
    <w:p w:rsidR="00014566" w:rsidRPr="004F7668" w:rsidRDefault="00014566" w:rsidP="004F7668">
      <w:pPr>
        <w:pStyle w:val="ECHRHeading2"/>
      </w:pPr>
      <w:r w:rsidRPr="004F7668">
        <w:lastRenderedPageBreak/>
        <w:t>A.  Admissibility</w:t>
      </w:r>
    </w:p>
    <w:p w:rsidR="0080367F" w:rsidRPr="004F7668" w:rsidRDefault="0080367F" w:rsidP="004F7668">
      <w:pPr>
        <w:pStyle w:val="ECHRHeading3"/>
      </w:pPr>
      <w:r w:rsidRPr="004F7668">
        <w:t>1.</w:t>
      </w:r>
      <w:r w:rsidR="005018D1" w:rsidRPr="004F7668">
        <w:t>  </w:t>
      </w:r>
      <w:r w:rsidR="00CF5D19" w:rsidRPr="004F7668">
        <w:t>Incompatibility</w:t>
      </w:r>
      <w:r w:rsidRPr="004F7668">
        <w:t xml:space="preserve"> ratione personae</w:t>
      </w:r>
    </w:p>
    <w:p w:rsidR="005E6235" w:rsidRPr="004F7668" w:rsidRDefault="00D93367" w:rsidP="004F7668">
      <w:pPr>
        <w:pStyle w:val="ECHRPara"/>
      </w:pPr>
      <w:r w:rsidRPr="004F7668">
        <w:fldChar w:fldCharType="begin"/>
      </w:r>
      <w:r w:rsidRPr="004F7668">
        <w:instrText xml:space="preserve"> SEQ level0 \*arabic </w:instrText>
      </w:r>
      <w:r w:rsidRPr="004F7668">
        <w:fldChar w:fldCharType="separate"/>
      </w:r>
      <w:r w:rsidR="004F7668" w:rsidRPr="004F7668">
        <w:rPr>
          <w:noProof/>
        </w:rPr>
        <w:t>20</w:t>
      </w:r>
      <w:r w:rsidRPr="004F7668">
        <w:fldChar w:fldCharType="end"/>
      </w:r>
      <w:r w:rsidR="00014566" w:rsidRPr="004F7668">
        <w:t>.  </w:t>
      </w:r>
      <w:r w:rsidR="003265FA" w:rsidRPr="004F7668">
        <w:t xml:space="preserve">The Government submitted that the applicant could no longer be considered a victim of the alleged violation </w:t>
      </w:r>
      <w:r w:rsidR="007B59B2" w:rsidRPr="004F7668">
        <w:t>because,</w:t>
      </w:r>
      <w:r w:rsidR="003265FA" w:rsidRPr="004F7668">
        <w:t xml:space="preserve"> by virtue of the domestic court</w:t>
      </w:r>
      <w:r w:rsidR="004F7668" w:rsidRPr="004F7668">
        <w:t>’</w:t>
      </w:r>
      <w:r w:rsidR="003265FA" w:rsidRPr="004F7668">
        <w:t xml:space="preserve">s judgment of </w:t>
      </w:r>
      <w:r w:rsidR="00F43E78" w:rsidRPr="004F7668">
        <w:t xml:space="preserve">27 June 2013 </w:t>
      </w:r>
      <w:r w:rsidR="003265FA" w:rsidRPr="004F7668">
        <w:t>he had be</w:t>
      </w:r>
      <w:r w:rsidR="00B047D7" w:rsidRPr="004F7668">
        <w:t>en awarded compensation of PLN 1,000</w:t>
      </w:r>
      <w:r w:rsidR="003265FA" w:rsidRPr="004F7668">
        <w:t xml:space="preserve"> plus interest. A</w:t>
      </w:r>
      <w:r w:rsidR="00CD7966" w:rsidRPr="004F7668">
        <w:t>dditionally, the domestic court</w:t>
      </w:r>
      <w:r w:rsidR="003265FA" w:rsidRPr="004F7668">
        <w:t xml:space="preserve"> relied on Article 3 of the Convention and thus acknowledged a breach of the Conventio</w:t>
      </w:r>
      <w:r w:rsidR="001E194C" w:rsidRPr="004F7668">
        <w:t xml:space="preserve">n. Moreover, </w:t>
      </w:r>
      <w:r w:rsidR="007C6B15" w:rsidRPr="004F7668">
        <w:t>it</w:t>
      </w:r>
      <w:r w:rsidR="003265FA" w:rsidRPr="004F7668">
        <w:t xml:space="preserve"> </w:t>
      </w:r>
      <w:r w:rsidR="00B047D7" w:rsidRPr="004F7668">
        <w:t xml:space="preserve">took </w:t>
      </w:r>
      <w:r w:rsidR="003265FA" w:rsidRPr="004F7668">
        <w:t xml:space="preserve">into account the fact that </w:t>
      </w:r>
      <w:r w:rsidR="00CF5D19" w:rsidRPr="004F7668">
        <w:t xml:space="preserve">the </w:t>
      </w:r>
      <w:r w:rsidR="000267AC" w:rsidRPr="004F7668">
        <w:t>breach of</w:t>
      </w:r>
      <w:r w:rsidR="0018356B" w:rsidRPr="004F7668">
        <w:t xml:space="preserve"> the</w:t>
      </w:r>
      <w:r w:rsidR="000267AC" w:rsidRPr="004F7668">
        <w:t xml:space="preserve"> statutory minimum standard of 3 </w:t>
      </w:r>
      <w:r w:rsidR="00E77820" w:rsidRPr="004F7668">
        <w:t>m</w:t>
      </w:r>
      <w:r w:rsidR="00E77820" w:rsidRPr="004F7668">
        <w:rPr>
          <w:rFonts w:cstheme="minorHAnsi"/>
        </w:rPr>
        <w:t>²</w:t>
      </w:r>
      <w:r w:rsidR="000267AC" w:rsidRPr="004F7668">
        <w:t xml:space="preserve"> had not been significant</w:t>
      </w:r>
      <w:r w:rsidR="003265FA" w:rsidRPr="004F7668">
        <w:t xml:space="preserve">. The Government </w:t>
      </w:r>
      <w:r w:rsidR="0018356B" w:rsidRPr="004F7668">
        <w:t>relied,</w:t>
      </w:r>
      <w:r w:rsidR="003265FA" w:rsidRPr="004F7668">
        <w:t xml:space="preserve"> </w:t>
      </w:r>
      <w:r w:rsidR="00E77820" w:rsidRPr="004F7668">
        <w:rPr>
          <w:i/>
        </w:rPr>
        <w:t>inter alia</w:t>
      </w:r>
      <w:r w:rsidR="0018356B" w:rsidRPr="004F7668">
        <w:rPr>
          <w:i/>
        </w:rPr>
        <w:t>,</w:t>
      </w:r>
      <w:r w:rsidR="00E77820" w:rsidRPr="004F7668">
        <w:t xml:space="preserve"> </w:t>
      </w:r>
      <w:r w:rsidR="0018356B" w:rsidRPr="004F7668">
        <w:t xml:space="preserve">on </w:t>
      </w:r>
      <w:r w:rsidR="003265FA" w:rsidRPr="004F7668">
        <w:t xml:space="preserve">the inadmissibility decisions in the cases of </w:t>
      </w:r>
      <w:r w:rsidR="003265FA" w:rsidRPr="004F7668">
        <w:rPr>
          <w:i/>
        </w:rPr>
        <w:t>B.G. v. Poland</w:t>
      </w:r>
      <w:r w:rsidR="003265FA" w:rsidRPr="004F7668">
        <w:t xml:space="preserve"> ((dec.), no.</w:t>
      </w:r>
      <w:r w:rsidR="00C47FC4" w:rsidRPr="004F7668">
        <w:t xml:space="preserve"> </w:t>
      </w:r>
      <w:r w:rsidR="003265FA" w:rsidRPr="004F7668">
        <w:t>61403/10 of 27 August 20013)</w:t>
      </w:r>
      <w:r w:rsidR="00C47FC4" w:rsidRPr="004F7668">
        <w:t>,</w:t>
      </w:r>
      <w:r w:rsidR="003265FA" w:rsidRPr="004F7668">
        <w:t xml:space="preserve"> and </w:t>
      </w:r>
      <w:r w:rsidR="00370830" w:rsidRPr="004F7668">
        <w:rPr>
          <w:i/>
        </w:rPr>
        <w:t>Dubjaková v. </w:t>
      </w:r>
      <w:r w:rsidR="003265FA" w:rsidRPr="004F7668">
        <w:rPr>
          <w:i/>
        </w:rPr>
        <w:t>Slovakia</w:t>
      </w:r>
      <w:r w:rsidR="003265FA" w:rsidRPr="004F7668">
        <w:t xml:space="preserve"> ((dec.), no.</w:t>
      </w:r>
      <w:r w:rsidR="00C47FC4" w:rsidRPr="004F7668">
        <w:t xml:space="preserve"> </w:t>
      </w:r>
      <w:r w:rsidR="003265FA" w:rsidRPr="004F7668">
        <w:t>67299/01 of 19 October 2004</w:t>
      </w:r>
      <w:r w:rsidR="00CD7966" w:rsidRPr="004F7668">
        <w:t>) and argued that the applicant</w:t>
      </w:r>
      <w:r w:rsidR="003265FA" w:rsidRPr="004F7668">
        <w:t xml:space="preserve"> could no longer claim to be </w:t>
      </w:r>
      <w:r w:rsidR="00CD7966" w:rsidRPr="004F7668">
        <w:t>a victim</w:t>
      </w:r>
      <w:r w:rsidR="003265FA" w:rsidRPr="004F7668">
        <w:t xml:space="preserve"> of a</w:t>
      </w:r>
      <w:r w:rsidR="00C47FC4" w:rsidRPr="004F7668">
        <w:t xml:space="preserve"> </w:t>
      </w:r>
      <w:r w:rsidR="003265FA" w:rsidRPr="004F7668">
        <w:t>violation of the Convention,</w:t>
      </w:r>
      <w:r w:rsidR="000267AC" w:rsidRPr="004F7668">
        <w:t xml:space="preserve"> as the compensation of </w:t>
      </w:r>
      <w:r w:rsidR="00CF5D19" w:rsidRPr="004F7668">
        <w:t xml:space="preserve">PLN </w:t>
      </w:r>
      <w:r w:rsidR="00C8014E" w:rsidRPr="004F7668">
        <w:t>1</w:t>
      </w:r>
      <w:r w:rsidR="00CD7966" w:rsidRPr="004F7668">
        <w:t>,</w:t>
      </w:r>
      <w:r w:rsidR="00C8014E" w:rsidRPr="004F7668">
        <w:t xml:space="preserve">000 </w:t>
      </w:r>
      <w:r w:rsidR="00CD7966" w:rsidRPr="004F7668">
        <w:t xml:space="preserve">was </w:t>
      </w:r>
      <w:r w:rsidR="00CF5D19" w:rsidRPr="004F7668">
        <w:t xml:space="preserve">sufficient </w:t>
      </w:r>
      <w:r w:rsidR="007B59B2" w:rsidRPr="004F7668">
        <w:t xml:space="preserve">to </w:t>
      </w:r>
      <w:r w:rsidR="00CF5D19" w:rsidRPr="004F7668">
        <w:t>compensate</w:t>
      </w:r>
      <w:r w:rsidR="0018356B" w:rsidRPr="004F7668">
        <w:t xml:space="preserve"> for</w:t>
      </w:r>
      <w:r w:rsidR="00CF5D19" w:rsidRPr="004F7668">
        <w:t xml:space="preserve"> </w:t>
      </w:r>
      <w:r w:rsidR="007C6B15" w:rsidRPr="004F7668">
        <w:t>his</w:t>
      </w:r>
      <w:r w:rsidR="00CF5D19" w:rsidRPr="004F7668">
        <w:t xml:space="preserve"> detention in overcrowded cells for three days</w:t>
      </w:r>
      <w:r w:rsidR="002B2F08" w:rsidRPr="004F7668">
        <w:t>.</w:t>
      </w:r>
    </w:p>
    <w:p w:rsidR="005E6235" w:rsidRPr="004F7668" w:rsidRDefault="00BF4F78" w:rsidP="004F7668">
      <w:pPr>
        <w:pStyle w:val="ECHRPara"/>
      </w:pPr>
      <w:r w:rsidRPr="004F7668">
        <w:fldChar w:fldCharType="begin"/>
      </w:r>
      <w:r w:rsidRPr="004F7668">
        <w:instrText xml:space="preserve"> SEQ level0 \*arabic </w:instrText>
      </w:r>
      <w:r w:rsidRPr="004F7668">
        <w:fldChar w:fldCharType="separate"/>
      </w:r>
      <w:r w:rsidR="004F7668" w:rsidRPr="004F7668">
        <w:rPr>
          <w:noProof/>
        </w:rPr>
        <w:t>21</w:t>
      </w:r>
      <w:r w:rsidRPr="004F7668">
        <w:fldChar w:fldCharType="end"/>
      </w:r>
      <w:r w:rsidRPr="004F7668">
        <w:t xml:space="preserve">.  The applicant refrained from taking position in </w:t>
      </w:r>
      <w:r w:rsidR="002B2F08" w:rsidRPr="004F7668">
        <w:t>this respect</w:t>
      </w:r>
      <w:r w:rsidRPr="004F7668">
        <w:t>.</w:t>
      </w:r>
    </w:p>
    <w:p w:rsidR="00BF4F78" w:rsidRPr="004F7668" w:rsidRDefault="00BF4F78" w:rsidP="004F7668">
      <w:pPr>
        <w:pStyle w:val="ECHRPara"/>
      </w:pPr>
      <w:r w:rsidRPr="004F7668">
        <w:fldChar w:fldCharType="begin"/>
      </w:r>
      <w:r w:rsidRPr="004F7668">
        <w:instrText xml:space="preserve"> SEQ level0 \*arabic </w:instrText>
      </w:r>
      <w:r w:rsidRPr="004F7668">
        <w:fldChar w:fldCharType="separate"/>
      </w:r>
      <w:r w:rsidR="004F7668" w:rsidRPr="004F7668">
        <w:rPr>
          <w:noProof/>
        </w:rPr>
        <w:t>22</w:t>
      </w:r>
      <w:r w:rsidRPr="004F7668">
        <w:fldChar w:fldCharType="end"/>
      </w:r>
      <w:r w:rsidRPr="004F7668">
        <w:t>.  The Court reiterates that a decision or measure favourable to the applicant is not, in principle, sufficient to deprive him of his status as a</w:t>
      </w:r>
      <w:r w:rsidR="00C47FC4" w:rsidRPr="004F7668">
        <w:t xml:space="preserve"> </w:t>
      </w:r>
      <w:r w:rsidRPr="004F7668">
        <w:t xml:space="preserve">“victim” for the purposes of Article 34 of the Convention unless the national authorities have acknowledged, either expressly or in substance, and then afforded redress for the breach of the Convention (see </w:t>
      </w:r>
      <w:r w:rsidRPr="004F7668">
        <w:rPr>
          <w:i/>
        </w:rPr>
        <w:t>Gäfgen v</w:t>
      </w:r>
      <w:r w:rsidR="005018D1" w:rsidRPr="004F7668">
        <w:rPr>
          <w:i/>
        </w:rPr>
        <w:t>. </w:t>
      </w:r>
      <w:r w:rsidRPr="004F7668">
        <w:rPr>
          <w:i/>
        </w:rPr>
        <w:t>Germany</w:t>
      </w:r>
      <w:r w:rsidRPr="004F7668">
        <w:t xml:space="preserve"> [GC], no. 22978/05, § 115, ECHR 2010).</w:t>
      </w:r>
    </w:p>
    <w:p w:rsidR="00BF4F78" w:rsidRPr="004F7668" w:rsidRDefault="00BF4F78" w:rsidP="004F7668">
      <w:pPr>
        <w:pStyle w:val="ECHRPara"/>
      </w:pPr>
      <w:r w:rsidRPr="004F7668">
        <w:fldChar w:fldCharType="begin"/>
      </w:r>
      <w:r w:rsidRPr="004F7668">
        <w:instrText xml:space="preserve"> SEQ level0 \*arabic </w:instrText>
      </w:r>
      <w:r w:rsidRPr="004F7668">
        <w:fldChar w:fldCharType="separate"/>
      </w:r>
      <w:r w:rsidR="004F7668" w:rsidRPr="004F7668">
        <w:rPr>
          <w:noProof/>
        </w:rPr>
        <w:t>23</w:t>
      </w:r>
      <w:r w:rsidRPr="004F7668">
        <w:fldChar w:fldCharType="end"/>
      </w:r>
      <w:r w:rsidRPr="004F7668">
        <w:t>.  The Court accepts the Government</w:t>
      </w:r>
      <w:r w:rsidR="004F7668" w:rsidRPr="004F7668">
        <w:t>’</w:t>
      </w:r>
      <w:r w:rsidRPr="004F7668">
        <w:t>s statement that a breach of the Convention was acknowledged by the national authorities. Nevertheless, it reiterates that the redress afforded must be appropriate and suffic</w:t>
      </w:r>
      <w:r w:rsidR="00CD7966" w:rsidRPr="004F7668">
        <w:t>ient. This will depend on all</w:t>
      </w:r>
      <w:r w:rsidRPr="004F7668">
        <w:t xml:space="preserve"> circumstances of the case, with particular regard to the nature of the Convention violation in issue (see </w:t>
      </w:r>
      <w:r w:rsidRPr="004F7668">
        <w:rPr>
          <w:i/>
        </w:rPr>
        <w:t>Gäfgen</w:t>
      </w:r>
      <w:r w:rsidRPr="004F7668">
        <w:t>, cited above, § 115). An applicant</w:t>
      </w:r>
      <w:r w:rsidR="004F7668" w:rsidRPr="004F7668">
        <w:t>’</w:t>
      </w:r>
      <w:r w:rsidRPr="004F7668">
        <w:t xml:space="preserve">s victim status may depend also on the level of compensation awarded at the domestic level on the basis of the facts about which he or she has complained to the Court (see </w:t>
      </w:r>
      <w:r w:rsidRPr="004F7668">
        <w:rPr>
          <w:i/>
        </w:rPr>
        <w:t>Scordino v. Italy</w:t>
      </w:r>
      <w:r w:rsidRPr="004F7668">
        <w:t xml:space="preserve"> (no. 1) [GC], no.</w:t>
      </w:r>
      <w:r w:rsidR="005018D1" w:rsidRPr="004F7668">
        <w:t> </w:t>
      </w:r>
      <w:r w:rsidRPr="004F7668">
        <w:t>36813/97, § 202, ECHR 2006</w:t>
      </w:r>
      <w:r w:rsidRPr="004F7668">
        <w:rPr>
          <w:rFonts w:ascii="MS Mincho" w:eastAsia="MS Mincho" w:hAnsi="MS Mincho" w:cs="MS Mincho"/>
        </w:rPr>
        <w:t>‑</w:t>
      </w:r>
      <w:r w:rsidRPr="004F7668">
        <w:t>V)</w:t>
      </w:r>
      <w:r w:rsidR="00B047D7" w:rsidRPr="004F7668">
        <w:t>.</w:t>
      </w:r>
    </w:p>
    <w:p w:rsidR="00BF4F78" w:rsidRPr="004F7668" w:rsidRDefault="00BF4F78" w:rsidP="004F7668">
      <w:pPr>
        <w:pStyle w:val="ECHRPara"/>
      </w:pPr>
      <w:r w:rsidRPr="004F7668">
        <w:fldChar w:fldCharType="begin"/>
      </w:r>
      <w:r w:rsidRPr="004F7668">
        <w:instrText xml:space="preserve"> SEQ level0 \*arabic </w:instrText>
      </w:r>
      <w:r w:rsidRPr="004F7668">
        <w:fldChar w:fldCharType="separate"/>
      </w:r>
      <w:r w:rsidR="004F7668" w:rsidRPr="004F7668">
        <w:rPr>
          <w:noProof/>
        </w:rPr>
        <w:t>24</w:t>
      </w:r>
      <w:r w:rsidRPr="004F7668">
        <w:fldChar w:fldCharType="end"/>
      </w:r>
      <w:r w:rsidRPr="004F7668">
        <w:t>.  The Court reiterates that Article 3 enshrines one of the most fundamental values of democratic societies</w:t>
      </w:r>
      <w:r w:rsidR="00017306" w:rsidRPr="004F7668">
        <w:t>. P</w:t>
      </w:r>
      <w:r w:rsidRPr="004F7668">
        <w:t>ersons in custody are in a</w:t>
      </w:r>
      <w:r w:rsidR="00C47FC4" w:rsidRPr="004F7668">
        <w:t xml:space="preserve"> </w:t>
      </w:r>
      <w:r w:rsidRPr="004F7668">
        <w:t xml:space="preserve">vulnerable position and the authorities are under a duty to protect them (see </w:t>
      </w:r>
      <w:r w:rsidRPr="004F7668">
        <w:rPr>
          <w:i/>
        </w:rPr>
        <w:t>Orchowski</w:t>
      </w:r>
      <w:r w:rsidRPr="004F7668">
        <w:t>, cited above, §§ 119-122). For that reason, despite acknowledgement of a breach of the Convention, the fact that an applicant has been awarded a sum of money in compensation in the domestic proceedings is not decisive when it comes to determining an applicant</w:t>
      </w:r>
      <w:r w:rsidR="004F7668" w:rsidRPr="004F7668">
        <w:t>’</w:t>
      </w:r>
      <w:r w:rsidRPr="004F7668">
        <w:t xml:space="preserve">s victim status (see </w:t>
      </w:r>
      <w:r w:rsidRPr="004F7668">
        <w:rPr>
          <w:i/>
        </w:rPr>
        <w:t>Norbert Sikorski</w:t>
      </w:r>
      <w:r w:rsidRPr="004F7668">
        <w:t>, cited above, §§ 96</w:t>
      </w:r>
      <w:r w:rsidRPr="004F7668">
        <w:rPr>
          <w:rFonts w:ascii="MS Mincho" w:eastAsia="MS Mincho" w:hAnsi="MS Mincho" w:cs="MS Mincho"/>
        </w:rPr>
        <w:t>‑</w:t>
      </w:r>
      <w:r w:rsidRPr="004F7668">
        <w:t>99).</w:t>
      </w:r>
    </w:p>
    <w:p w:rsidR="005E6235" w:rsidRPr="004F7668" w:rsidRDefault="00AC7879" w:rsidP="004F7668">
      <w:pPr>
        <w:pStyle w:val="ECHRPara"/>
      </w:pPr>
      <w:r w:rsidRPr="004F7668">
        <w:fldChar w:fldCharType="begin"/>
      </w:r>
      <w:r w:rsidRPr="004F7668">
        <w:instrText xml:space="preserve"> SEQ level0 \*arabic </w:instrText>
      </w:r>
      <w:r w:rsidRPr="004F7668">
        <w:fldChar w:fldCharType="separate"/>
      </w:r>
      <w:r w:rsidR="004F7668" w:rsidRPr="004F7668">
        <w:rPr>
          <w:noProof/>
        </w:rPr>
        <w:t>25</w:t>
      </w:r>
      <w:r w:rsidRPr="004F7668">
        <w:fldChar w:fldCharType="end"/>
      </w:r>
      <w:r w:rsidRPr="004F7668">
        <w:t>.  </w:t>
      </w:r>
      <w:r w:rsidR="00E77820" w:rsidRPr="004F7668">
        <w:t>The Court notes that i</w:t>
      </w:r>
      <w:r w:rsidR="00B047D7" w:rsidRPr="004F7668">
        <w:t>n the present case</w:t>
      </w:r>
      <w:r w:rsidRPr="004F7668">
        <w:t xml:space="preserve"> the applicant sued the State, </w:t>
      </w:r>
      <w:r w:rsidR="00017306" w:rsidRPr="004F7668">
        <w:t>submitting</w:t>
      </w:r>
      <w:r w:rsidRPr="004F7668">
        <w:t xml:space="preserve"> that the defendant had failed to ensure adequate conditions during his detention in Mysłowice Remand Centre and Wojkowice Prison </w:t>
      </w:r>
      <w:r w:rsidRPr="004F7668">
        <w:lastRenderedPageBreak/>
        <w:t xml:space="preserve">and the Katowice Court of Appeal found that his detention in overcrowded cells </w:t>
      </w:r>
      <w:r w:rsidR="00017306" w:rsidRPr="004F7668">
        <w:t xml:space="preserve">had </w:t>
      </w:r>
      <w:r w:rsidRPr="004F7668">
        <w:t>lasted from 20 April 2010 to 9 March 2012 (see paragraph</w:t>
      </w:r>
      <w:r w:rsidR="005018D1" w:rsidRPr="004F7668">
        <w:t> </w:t>
      </w:r>
      <w:r w:rsidRPr="004F7668">
        <w:t>16 above)</w:t>
      </w:r>
      <w:r w:rsidR="00E77820" w:rsidRPr="004F7668">
        <w:t>.</w:t>
      </w:r>
    </w:p>
    <w:p w:rsidR="000267AC" w:rsidRPr="004F7668" w:rsidRDefault="000267AC" w:rsidP="004F7668">
      <w:pPr>
        <w:pStyle w:val="ECHRPara"/>
      </w:pPr>
      <w:r w:rsidRPr="004F7668">
        <w:fldChar w:fldCharType="begin"/>
      </w:r>
      <w:r w:rsidRPr="004F7668">
        <w:instrText xml:space="preserve"> SEQ level0 \*arabic </w:instrText>
      </w:r>
      <w:r w:rsidRPr="004F7668">
        <w:fldChar w:fldCharType="separate"/>
      </w:r>
      <w:r w:rsidR="004F7668" w:rsidRPr="004F7668">
        <w:rPr>
          <w:noProof/>
        </w:rPr>
        <w:t>26</w:t>
      </w:r>
      <w:r w:rsidRPr="004F7668">
        <w:fldChar w:fldCharType="end"/>
      </w:r>
      <w:r w:rsidRPr="004F7668">
        <w:t>.  </w:t>
      </w:r>
      <w:r w:rsidR="007E0E6E" w:rsidRPr="004F7668">
        <w:t>T</w:t>
      </w:r>
      <w:r w:rsidRPr="004F7668">
        <w:t xml:space="preserve">aking into account </w:t>
      </w:r>
      <w:r w:rsidR="004D61CD" w:rsidRPr="004F7668">
        <w:t>the domestic court</w:t>
      </w:r>
      <w:r w:rsidR="004F7668" w:rsidRPr="004F7668">
        <w:t>’</w:t>
      </w:r>
      <w:r w:rsidR="004D61CD" w:rsidRPr="004F7668">
        <w:t>s findings in respect of the</w:t>
      </w:r>
      <w:r w:rsidR="00E77820" w:rsidRPr="004F7668">
        <w:t xml:space="preserve"> length of the</w:t>
      </w:r>
      <w:r w:rsidR="004D61CD" w:rsidRPr="004F7668">
        <w:t xml:space="preserve"> applicant</w:t>
      </w:r>
      <w:r w:rsidR="004F7668" w:rsidRPr="004F7668">
        <w:t>’</w:t>
      </w:r>
      <w:r w:rsidR="004D61CD" w:rsidRPr="004F7668">
        <w:t xml:space="preserve">s detention in overcrowded cells and </w:t>
      </w:r>
      <w:r w:rsidRPr="004F7668">
        <w:t>the Court</w:t>
      </w:r>
      <w:r w:rsidR="004F7668" w:rsidRPr="004F7668">
        <w:t>’</w:t>
      </w:r>
      <w:r w:rsidRPr="004F7668">
        <w:t>s case-law regarding the amount of compensation awarded in cases concerning prison conditions where the Court has found a violation of an applicant</w:t>
      </w:r>
      <w:r w:rsidR="004F7668" w:rsidRPr="004F7668">
        <w:t>’</w:t>
      </w:r>
      <w:r w:rsidRPr="004F7668">
        <w:t xml:space="preserve">s rights protected by Article 3, </w:t>
      </w:r>
      <w:r w:rsidR="00CD7966" w:rsidRPr="004F7668">
        <w:t>t</w:t>
      </w:r>
      <w:r w:rsidR="007E0E6E" w:rsidRPr="004F7668">
        <w:t xml:space="preserve">he Court finds that </w:t>
      </w:r>
      <w:r w:rsidRPr="004F7668">
        <w:t>the compensation awarded to th</w:t>
      </w:r>
      <w:r w:rsidR="00B047D7" w:rsidRPr="004F7668">
        <w:t>e</w:t>
      </w:r>
      <w:r w:rsidRPr="004F7668">
        <w:t xml:space="preserve"> applicant by t</w:t>
      </w:r>
      <w:r w:rsidR="00CD7966" w:rsidRPr="004F7668">
        <w:t>he domestic court</w:t>
      </w:r>
      <w:r w:rsidRPr="004F7668">
        <w:t xml:space="preserve"> is insufficient </w:t>
      </w:r>
      <w:r w:rsidR="007E0E6E" w:rsidRPr="004F7668">
        <w:t>to deprive h</w:t>
      </w:r>
      <w:r w:rsidR="00B047D7" w:rsidRPr="004F7668">
        <w:t>im</w:t>
      </w:r>
      <w:r w:rsidR="007E0E6E" w:rsidRPr="004F7668">
        <w:t xml:space="preserve"> of his victim status</w:t>
      </w:r>
      <w:r w:rsidRPr="004F7668">
        <w:t>.</w:t>
      </w:r>
    </w:p>
    <w:p w:rsidR="0080367F" w:rsidRPr="004F7668" w:rsidRDefault="0080367F" w:rsidP="004F7668">
      <w:pPr>
        <w:pStyle w:val="ECHRPara"/>
      </w:pPr>
      <w:r w:rsidRPr="004F7668">
        <w:fldChar w:fldCharType="begin"/>
      </w:r>
      <w:r w:rsidRPr="004F7668">
        <w:instrText xml:space="preserve"> SEQ level0 \*arabic </w:instrText>
      </w:r>
      <w:r w:rsidRPr="004F7668">
        <w:fldChar w:fldCharType="separate"/>
      </w:r>
      <w:r w:rsidR="004F7668" w:rsidRPr="004F7668">
        <w:rPr>
          <w:noProof/>
        </w:rPr>
        <w:t>27</w:t>
      </w:r>
      <w:r w:rsidRPr="004F7668">
        <w:fldChar w:fldCharType="end"/>
      </w:r>
      <w:r w:rsidRPr="004F7668">
        <w:t>.  </w:t>
      </w:r>
      <w:r w:rsidR="006A0ECB" w:rsidRPr="004F7668">
        <w:t>In the light of the foregoing, the Court considers that the applicant can still claim to be a victim of a violation of the substantive aspect of Article 3 on account of overcrowding and</w:t>
      </w:r>
      <w:r w:rsidR="00913695" w:rsidRPr="004F7668">
        <w:t xml:space="preserve"> the</w:t>
      </w:r>
      <w:r w:rsidR="006A0ECB" w:rsidRPr="004F7668">
        <w:t xml:space="preserve"> resulting inadequate conditions of his detention. It therefore dismisses the Government</w:t>
      </w:r>
      <w:r w:rsidR="004F7668" w:rsidRPr="004F7668">
        <w:t>’</w:t>
      </w:r>
      <w:r w:rsidR="006A0ECB" w:rsidRPr="004F7668">
        <w:t>s preliminary objection</w:t>
      </w:r>
      <w:r w:rsidR="00994F5F" w:rsidRPr="004F7668">
        <w:t xml:space="preserve"> </w:t>
      </w:r>
      <w:r w:rsidR="007213E9" w:rsidRPr="004F7668">
        <w:t>in that regard</w:t>
      </w:r>
      <w:r w:rsidRPr="004F7668">
        <w:t>.</w:t>
      </w:r>
    </w:p>
    <w:p w:rsidR="005E6235" w:rsidRPr="004F7668" w:rsidRDefault="007C6B15" w:rsidP="004F7668">
      <w:pPr>
        <w:pStyle w:val="ECHRHeading3"/>
      </w:pPr>
      <w:r w:rsidRPr="004F7668">
        <w:t>2.</w:t>
      </w:r>
      <w:r w:rsidR="005018D1" w:rsidRPr="004F7668">
        <w:t>  </w:t>
      </w:r>
      <w:r w:rsidRPr="004F7668">
        <w:t>No significant disadvantage</w:t>
      </w:r>
    </w:p>
    <w:p w:rsidR="0080367F" w:rsidRPr="004F7668" w:rsidRDefault="0080367F" w:rsidP="004F7668">
      <w:pPr>
        <w:pStyle w:val="ECHRPara"/>
      </w:pPr>
      <w:r w:rsidRPr="004F7668">
        <w:fldChar w:fldCharType="begin"/>
      </w:r>
      <w:r w:rsidRPr="004F7668">
        <w:instrText xml:space="preserve"> SEQ level0 \*arabic </w:instrText>
      </w:r>
      <w:r w:rsidRPr="004F7668">
        <w:fldChar w:fldCharType="separate"/>
      </w:r>
      <w:r w:rsidR="004F7668" w:rsidRPr="004F7668">
        <w:rPr>
          <w:noProof/>
        </w:rPr>
        <w:t>28</w:t>
      </w:r>
      <w:r w:rsidRPr="004F7668">
        <w:fldChar w:fldCharType="end"/>
      </w:r>
      <w:r w:rsidRPr="004F7668">
        <w:t>.  </w:t>
      </w:r>
      <w:r w:rsidR="00C8014E" w:rsidRPr="004F7668">
        <w:t>T</w:t>
      </w:r>
      <w:r w:rsidRPr="004F7668">
        <w:t xml:space="preserve">he Government </w:t>
      </w:r>
      <w:r w:rsidR="00C8014E" w:rsidRPr="004F7668">
        <w:t xml:space="preserve">further </w:t>
      </w:r>
      <w:r w:rsidRPr="004F7668">
        <w:t>argued that the applicant</w:t>
      </w:r>
      <w:r w:rsidR="004F7668" w:rsidRPr="004F7668">
        <w:t>’</w:t>
      </w:r>
      <w:r w:rsidRPr="004F7668">
        <w:t xml:space="preserve">s complaint </w:t>
      </w:r>
      <w:r w:rsidR="00CD7966" w:rsidRPr="004F7668">
        <w:t>should</w:t>
      </w:r>
      <w:r w:rsidRPr="004F7668">
        <w:t xml:space="preserve"> be</w:t>
      </w:r>
      <w:r w:rsidR="00C8014E" w:rsidRPr="004F7668">
        <w:t xml:space="preserve"> declared inadmissible because </w:t>
      </w:r>
      <w:r w:rsidRPr="004F7668">
        <w:t>he had not suffered a significant disadvantage within the meaning of Article 35 § 3 (b) of the Convention since the alleged violation did not attain the minimum level of severity required to warrant consideration by an international court.</w:t>
      </w:r>
    </w:p>
    <w:p w:rsidR="005E6235" w:rsidRPr="004F7668" w:rsidRDefault="00C373A0" w:rsidP="004F7668">
      <w:pPr>
        <w:pStyle w:val="ECHRPara"/>
      </w:pPr>
      <w:r w:rsidRPr="004F7668">
        <w:fldChar w:fldCharType="begin"/>
      </w:r>
      <w:r w:rsidRPr="004F7668">
        <w:instrText xml:space="preserve"> SEQ level0 \*arabic </w:instrText>
      </w:r>
      <w:r w:rsidRPr="004F7668">
        <w:fldChar w:fldCharType="separate"/>
      </w:r>
      <w:r w:rsidR="004F7668" w:rsidRPr="004F7668">
        <w:rPr>
          <w:noProof/>
        </w:rPr>
        <w:t>29</w:t>
      </w:r>
      <w:r w:rsidRPr="004F7668">
        <w:fldChar w:fldCharType="end"/>
      </w:r>
      <w:r w:rsidR="004D61CD" w:rsidRPr="004F7668">
        <w:t>. </w:t>
      </w:r>
      <w:r w:rsidR="00F04475" w:rsidRPr="004F7668">
        <w:t> </w:t>
      </w:r>
      <w:r w:rsidR="004D61CD" w:rsidRPr="004F7668">
        <w:t>T</w:t>
      </w:r>
      <w:r w:rsidRPr="004F7668">
        <w:t>he applicant did not comment on the Government</w:t>
      </w:r>
      <w:r w:rsidR="004F7668" w:rsidRPr="004F7668">
        <w:t>’</w:t>
      </w:r>
      <w:r w:rsidRPr="004F7668">
        <w:t>s objection</w:t>
      </w:r>
      <w:r w:rsidR="008D7A0A" w:rsidRPr="004F7668">
        <w:t>.</w:t>
      </w:r>
    </w:p>
    <w:p w:rsidR="005E6235" w:rsidRPr="004F7668" w:rsidRDefault="00392578" w:rsidP="004F7668">
      <w:pPr>
        <w:pStyle w:val="ECHRPara"/>
      </w:pPr>
      <w:r w:rsidRPr="004F7668">
        <w:fldChar w:fldCharType="begin"/>
      </w:r>
      <w:r w:rsidRPr="004F7668">
        <w:instrText xml:space="preserve"> SEQ level0 \*arabic </w:instrText>
      </w:r>
      <w:r w:rsidRPr="004F7668">
        <w:fldChar w:fldCharType="separate"/>
      </w:r>
      <w:r w:rsidR="004F7668" w:rsidRPr="004F7668">
        <w:rPr>
          <w:noProof/>
        </w:rPr>
        <w:t>30</w:t>
      </w:r>
      <w:r w:rsidRPr="004F7668">
        <w:fldChar w:fldCharType="end"/>
      </w:r>
      <w:r w:rsidR="00F04475" w:rsidRPr="004F7668">
        <w:t>.  </w:t>
      </w:r>
      <w:r w:rsidRPr="004F7668">
        <w:t>At</w:t>
      </w:r>
      <w:r w:rsidR="00F04475" w:rsidRPr="004F7668">
        <w:t xml:space="preserve"> </w:t>
      </w:r>
      <w:r w:rsidRPr="004F7668">
        <w:t>the outset, the Court notes that the application of this criterion is not limited to complaints relating to specific Articles of the Convention. However, the Court finds it difficult to envisage a situation in which a complaint under Article 3 of the Convention which would not be inadmissible on any other grounds and which would fall within the scope of Article 3 (which means that the minimum level of severity test would be fulfilled) might be declared inadmissible because the applicant has not suffered</w:t>
      </w:r>
      <w:r w:rsidR="00B047D7" w:rsidRPr="004F7668">
        <w:t xml:space="preserve"> a</w:t>
      </w:r>
      <w:r w:rsidRPr="004F7668">
        <w:t xml:space="preserve"> significant disadvantage (see </w:t>
      </w:r>
      <w:r w:rsidRPr="004F7668">
        <w:rPr>
          <w:i/>
        </w:rPr>
        <w:t>Y v. Latvia</w:t>
      </w:r>
      <w:r w:rsidRPr="004F7668">
        <w:t xml:space="preserve"> no. 61183/08, §</w:t>
      </w:r>
      <w:r w:rsidR="005018D1" w:rsidRPr="004F7668">
        <w:t> </w:t>
      </w:r>
      <w:r w:rsidRPr="004F7668">
        <w:t>74, 21</w:t>
      </w:r>
      <w:r w:rsidR="00B047D7" w:rsidRPr="004F7668">
        <w:t> </w:t>
      </w:r>
      <w:r w:rsidRPr="004F7668">
        <w:t xml:space="preserve">October 2014). </w:t>
      </w:r>
      <w:r w:rsidR="00623ADD" w:rsidRPr="004F7668">
        <w:t>As</w:t>
      </w:r>
      <w:r w:rsidR="00C8014E" w:rsidRPr="004F7668">
        <w:t xml:space="preserve"> indicated above, in view of the Government</w:t>
      </w:r>
      <w:r w:rsidR="004F7668" w:rsidRPr="004F7668">
        <w:t>’</w:t>
      </w:r>
      <w:r w:rsidR="00C8014E" w:rsidRPr="004F7668">
        <w:t>s failure to support their submission with any relevant evidence, the Court must rely on the findings made by</w:t>
      </w:r>
      <w:r w:rsidR="00CD7966" w:rsidRPr="004F7668">
        <w:t xml:space="preserve"> the domestic courts according</w:t>
      </w:r>
      <w:r w:rsidR="00C8014E" w:rsidRPr="004F7668">
        <w:t xml:space="preserve"> to which the applicant spent almost 1 year and 11 months</w:t>
      </w:r>
      <w:r w:rsidR="008D7A0A" w:rsidRPr="004F7668">
        <w:t xml:space="preserve"> in overcrowded cells</w:t>
      </w:r>
      <w:r w:rsidR="007213E9" w:rsidRPr="004F7668">
        <w:t>.</w:t>
      </w:r>
      <w:r w:rsidR="00C8014E" w:rsidRPr="004F7668">
        <w:t xml:space="preserve"> </w:t>
      </w:r>
      <w:r w:rsidR="005B68CE" w:rsidRPr="004F7668">
        <w:t>Given</w:t>
      </w:r>
      <w:r w:rsidR="007213E9" w:rsidRPr="004F7668">
        <w:t xml:space="preserve"> the length of that period, </w:t>
      </w:r>
      <w:r w:rsidR="00C8014E" w:rsidRPr="004F7668">
        <w:t>it finds that</w:t>
      </w:r>
      <w:r w:rsidR="00B047D7" w:rsidRPr="004F7668">
        <w:t xml:space="preserve"> the</w:t>
      </w:r>
      <w:r w:rsidR="00C8014E" w:rsidRPr="004F7668">
        <w:t xml:space="preserve"> situation complained of </w:t>
      </w:r>
      <w:r w:rsidR="006B1338" w:rsidRPr="004F7668">
        <w:t xml:space="preserve">cannot be characterised </w:t>
      </w:r>
      <w:r w:rsidR="008D7A0A" w:rsidRPr="004F7668">
        <w:t>as</w:t>
      </w:r>
      <w:r w:rsidR="00C8014E" w:rsidRPr="004F7668">
        <w:t xml:space="preserve"> “non-significant disadvan</w:t>
      </w:r>
      <w:r w:rsidR="00CD7966" w:rsidRPr="004F7668">
        <w:t>tage”. It follows that the</w:t>
      </w:r>
      <w:r w:rsidRPr="004F7668">
        <w:t xml:space="preserve"> Government</w:t>
      </w:r>
      <w:r w:rsidR="004F7668" w:rsidRPr="004F7668">
        <w:t>’</w:t>
      </w:r>
      <w:r w:rsidRPr="004F7668">
        <w:t xml:space="preserve">s objection </w:t>
      </w:r>
      <w:r w:rsidR="00C8014E" w:rsidRPr="004F7668">
        <w:t>must be dismissed</w:t>
      </w:r>
      <w:r w:rsidRPr="004F7668">
        <w:t>.</w:t>
      </w:r>
    </w:p>
    <w:p w:rsidR="005E6235" w:rsidRPr="004F7668" w:rsidRDefault="00CD7966" w:rsidP="004F7668">
      <w:pPr>
        <w:pStyle w:val="ECHRHeading3"/>
      </w:pPr>
      <w:r w:rsidRPr="004F7668">
        <w:t>3.</w:t>
      </w:r>
      <w:r w:rsidR="005018D1" w:rsidRPr="004F7668">
        <w:t>  </w:t>
      </w:r>
      <w:r w:rsidRPr="004F7668">
        <w:t>Conclusion as re</w:t>
      </w:r>
      <w:r w:rsidR="001F246F" w:rsidRPr="004F7668">
        <w:t>gards admissibility</w:t>
      </w:r>
    </w:p>
    <w:p w:rsidR="00014566" w:rsidRPr="004F7668" w:rsidRDefault="003265FA" w:rsidP="004F7668">
      <w:pPr>
        <w:pStyle w:val="ECHRPara"/>
      </w:pPr>
      <w:r w:rsidRPr="004F7668">
        <w:fldChar w:fldCharType="begin"/>
      </w:r>
      <w:r w:rsidRPr="004F7668">
        <w:instrText xml:space="preserve"> SEQ level0 \*arabic </w:instrText>
      </w:r>
      <w:r w:rsidRPr="004F7668">
        <w:fldChar w:fldCharType="separate"/>
      </w:r>
      <w:r w:rsidR="004F7668" w:rsidRPr="004F7668">
        <w:rPr>
          <w:noProof/>
        </w:rPr>
        <w:t>31</w:t>
      </w:r>
      <w:r w:rsidRPr="004F7668">
        <w:fldChar w:fldCharType="end"/>
      </w:r>
      <w:r w:rsidRPr="004F7668">
        <w:t>.  </w:t>
      </w:r>
      <w:r w:rsidR="00014566" w:rsidRPr="004F7668">
        <w:t xml:space="preserve">The Court notes that the </w:t>
      </w:r>
      <w:r w:rsidR="00E012EA" w:rsidRPr="004F7668">
        <w:t>applicant</w:t>
      </w:r>
      <w:r w:rsidR="004F7668" w:rsidRPr="004F7668">
        <w:t>’</w:t>
      </w:r>
      <w:r w:rsidR="00E012EA" w:rsidRPr="004F7668">
        <w:t xml:space="preserve">s </w:t>
      </w:r>
      <w:r w:rsidR="00014566" w:rsidRPr="004F7668">
        <w:t>complaint is not manifestly ill</w:t>
      </w:r>
      <w:r w:rsidR="008D7A0A" w:rsidRPr="004F7668">
        <w:noBreakHyphen/>
      </w:r>
      <w:r w:rsidR="00014566" w:rsidRPr="004F7668">
        <w:t xml:space="preserve">founded within the meaning of Article 35 § 3 (a) of the Convention. It </w:t>
      </w:r>
      <w:r w:rsidR="00014566" w:rsidRPr="004F7668">
        <w:lastRenderedPageBreak/>
        <w:t>further notes that it is not inadmissible on any other grounds. It must therefore be declared admissible.</w:t>
      </w:r>
    </w:p>
    <w:p w:rsidR="00014566" w:rsidRPr="004F7668" w:rsidRDefault="00014566" w:rsidP="004F7668">
      <w:pPr>
        <w:pStyle w:val="ECHRHeading2"/>
      </w:pPr>
      <w:r w:rsidRPr="004F7668">
        <w:t>B.  Merits</w:t>
      </w:r>
    </w:p>
    <w:p w:rsidR="00014566" w:rsidRPr="004F7668" w:rsidRDefault="00D93367" w:rsidP="004F7668">
      <w:pPr>
        <w:pStyle w:val="ECHRPara"/>
      </w:pPr>
      <w:r w:rsidRPr="004F7668">
        <w:fldChar w:fldCharType="begin"/>
      </w:r>
      <w:r w:rsidRPr="004F7668">
        <w:instrText xml:space="preserve"> SEQ level0 \*arabic </w:instrText>
      </w:r>
      <w:r w:rsidRPr="004F7668">
        <w:fldChar w:fldCharType="separate"/>
      </w:r>
      <w:r w:rsidR="004F7668" w:rsidRPr="004F7668">
        <w:rPr>
          <w:noProof/>
        </w:rPr>
        <w:t>32</w:t>
      </w:r>
      <w:r w:rsidRPr="004F7668">
        <w:fldChar w:fldCharType="end"/>
      </w:r>
      <w:r w:rsidR="00014566" w:rsidRPr="004F7668">
        <w:t xml:space="preserve">.  The applicant </w:t>
      </w:r>
      <w:r w:rsidR="008347C8" w:rsidRPr="004F7668">
        <w:t>maintained that the conditions of his detention</w:t>
      </w:r>
      <w:r w:rsidR="00293247" w:rsidRPr="004F7668">
        <w:t xml:space="preserve"> from 20</w:t>
      </w:r>
      <w:r w:rsidR="007C6B15" w:rsidRPr="004F7668">
        <w:t> </w:t>
      </w:r>
      <w:r w:rsidR="00293247" w:rsidRPr="004F7668">
        <w:t>April 2010 to 9 March 2012</w:t>
      </w:r>
      <w:r w:rsidR="008347C8" w:rsidRPr="004F7668">
        <w:t xml:space="preserve"> had fallen short of standards compatible with Article 3 of the Convention.</w:t>
      </w:r>
    </w:p>
    <w:p w:rsidR="00014566" w:rsidRPr="004F7668" w:rsidRDefault="00D93367" w:rsidP="004F7668">
      <w:pPr>
        <w:pStyle w:val="ECHRPara"/>
      </w:pPr>
      <w:r w:rsidRPr="004F7668">
        <w:fldChar w:fldCharType="begin"/>
      </w:r>
      <w:r w:rsidRPr="004F7668">
        <w:instrText xml:space="preserve"> SEQ level0 \*arabic </w:instrText>
      </w:r>
      <w:r w:rsidRPr="004F7668">
        <w:fldChar w:fldCharType="separate"/>
      </w:r>
      <w:r w:rsidR="004F7668" w:rsidRPr="004F7668">
        <w:rPr>
          <w:noProof/>
        </w:rPr>
        <w:t>33</w:t>
      </w:r>
      <w:r w:rsidRPr="004F7668">
        <w:fldChar w:fldCharType="end"/>
      </w:r>
      <w:r w:rsidR="00014566" w:rsidRPr="004F7668">
        <w:t>.  </w:t>
      </w:r>
      <w:r w:rsidR="00E012EA" w:rsidRPr="004F7668">
        <w:t>In their observations t</w:t>
      </w:r>
      <w:r w:rsidR="00014566" w:rsidRPr="004F7668">
        <w:t xml:space="preserve">he Government </w:t>
      </w:r>
      <w:r w:rsidR="00293247" w:rsidRPr="004F7668">
        <w:t xml:space="preserve">refrained from taking position on </w:t>
      </w:r>
      <w:r w:rsidR="008347C8" w:rsidRPr="004F7668">
        <w:t>the merits of the application.</w:t>
      </w:r>
    </w:p>
    <w:p w:rsidR="008C23CE" w:rsidRPr="004F7668" w:rsidRDefault="00892F30" w:rsidP="004F7668">
      <w:pPr>
        <w:pStyle w:val="ECHRPara"/>
      </w:pPr>
      <w:r w:rsidRPr="004F7668">
        <w:fldChar w:fldCharType="begin"/>
      </w:r>
      <w:r w:rsidRPr="004F7668">
        <w:instrText xml:space="preserve"> SEQ level0 \*arabic </w:instrText>
      </w:r>
      <w:r w:rsidRPr="004F7668">
        <w:fldChar w:fldCharType="separate"/>
      </w:r>
      <w:r w:rsidR="004F7668" w:rsidRPr="004F7668">
        <w:rPr>
          <w:noProof/>
        </w:rPr>
        <w:t>34</w:t>
      </w:r>
      <w:r w:rsidRPr="004F7668">
        <w:fldChar w:fldCharType="end"/>
      </w:r>
      <w:r w:rsidRPr="004F7668">
        <w:t>.  A restatement of the general principles concerning the examination of conditions of detention under Article 3 may be found in the Court</w:t>
      </w:r>
      <w:r w:rsidR="004F7668" w:rsidRPr="004F7668">
        <w:t>’</w:t>
      </w:r>
      <w:r w:rsidRPr="004F7668">
        <w:t xml:space="preserve">s </w:t>
      </w:r>
      <w:r w:rsidR="00F91B7E" w:rsidRPr="004F7668">
        <w:t xml:space="preserve">pilot </w:t>
      </w:r>
      <w:r w:rsidRPr="004F7668">
        <w:t>judgment</w:t>
      </w:r>
      <w:r w:rsidR="00F91B7E" w:rsidRPr="004F7668">
        <w:t>s</w:t>
      </w:r>
      <w:r w:rsidRPr="004F7668">
        <w:t xml:space="preserve"> in </w:t>
      </w:r>
      <w:r w:rsidRPr="004F7668">
        <w:rPr>
          <w:i/>
        </w:rPr>
        <w:t>Orchowski</w:t>
      </w:r>
      <w:r w:rsidRPr="004F7668">
        <w:t xml:space="preserve"> (cited above, §§ 119-131) </w:t>
      </w:r>
      <w:r w:rsidR="006B1338" w:rsidRPr="004F7668">
        <w:t xml:space="preserve">and </w:t>
      </w:r>
      <w:r w:rsidRPr="004F7668">
        <w:rPr>
          <w:i/>
        </w:rPr>
        <w:t>Norbert Sikorski</w:t>
      </w:r>
      <w:r w:rsidRPr="004F7668">
        <w:t xml:space="preserve"> (also cited above, §§ 126-141)</w:t>
      </w:r>
      <w:r w:rsidR="00C47FC4" w:rsidRPr="004F7668">
        <w:t>,</w:t>
      </w:r>
      <w:r w:rsidR="00F91B7E" w:rsidRPr="004F7668">
        <w:t xml:space="preserve"> and </w:t>
      </w:r>
      <w:r w:rsidR="006B1338" w:rsidRPr="004F7668">
        <w:t xml:space="preserve">in </w:t>
      </w:r>
      <w:r w:rsidR="00F91B7E" w:rsidRPr="004F7668">
        <w:rPr>
          <w:i/>
        </w:rPr>
        <w:t>Muršić</w:t>
      </w:r>
      <w:r w:rsidR="00F91B7E" w:rsidRPr="004F7668">
        <w:t xml:space="preserve"> v. Croatia [GC], </w:t>
      </w:r>
      <w:r w:rsidR="00370830" w:rsidRPr="004F7668">
        <w:t>no. 7334/13, §§ </w:t>
      </w:r>
      <w:r w:rsidR="00F91B7E" w:rsidRPr="004F7668">
        <w:t>96-141</w:t>
      </w:r>
      <w:r w:rsidR="00623ADD" w:rsidRPr="004F7668">
        <w:t>,</w:t>
      </w:r>
      <w:r w:rsidR="00F91B7E" w:rsidRPr="004F7668">
        <w:t xml:space="preserve"> ECHR 2016.</w:t>
      </w:r>
    </w:p>
    <w:p w:rsidR="008C23CE" w:rsidRPr="004F7668" w:rsidRDefault="00792BAB" w:rsidP="004F7668">
      <w:pPr>
        <w:pStyle w:val="ECHRPara"/>
      </w:pPr>
      <w:r w:rsidRPr="004F7668">
        <w:fldChar w:fldCharType="begin"/>
      </w:r>
      <w:r w:rsidRPr="004F7668">
        <w:instrText xml:space="preserve"> SEQ level0 \*arabic </w:instrText>
      </w:r>
      <w:r w:rsidRPr="004F7668">
        <w:fldChar w:fldCharType="separate"/>
      </w:r>
      <w:r w:rsidR="004F7668" w:rsidRPr="004F7668">
        <w:rPr>
          <w:noProof/>
        </w:rPr>
        <w:t>35</w:t>
      </w:r>
      <w:r w:rsidRPr="004F7668">
        <w:fldChar w:fldCharType="end"/>
      </w:r>
      <w:r w:rsidRPr="004F7668">
        <w:t>. </w:t>
      </w:r>
      <w:r w:rsidR="00F04475" w:rsidRPr="004F7668">
        <w:t> </w:t>
      </w:r>
      <w:r w:rsidR="00CF5F87" w:rsidRPr="004F7668">
        <w:t xml:space="preserve">The Court has already found that a strong presumption of a violation of Article 3 arises when the personal space available to a detainee falls below 3 m² multi-occupancy accommodation, a presumption which can be rebutted only where the following requirements are cumulatively met: where short, occasional and minor reductions of personal space are accompanied by sufficient freedom of movement outside the cell, and adequate out-of-cell activities and confinement is in, viewed generally, an appropriate detention facility (see, </w:t>
      </w:r>
      <w:r w:rsidR="00CF5F87" w:rsidRPr="004F7668">
        <w:rPr>
          <w:i/>
        </w:rPr>
        <w:t>Muršić</w:t>
      </w:r>
      <w:r w:rsidR="00CF5F87" w:rsidRPr="004F7668">
        <w:t>, cited above, §§ 137-138).</w:t>
      </w:r>
    </w:p>
    <w:p w:rsidR="00031418" w:rsidRPr="004F7668" w:rsidRDefault="00892F30" w:rsidP="004F7668">
      <w:pPr>
        <w:pStyle w:val="ECHRPara"/>
      </w:pPr>
      <w:r w:rsidRPr="004F7668">
        <w:fldChar w:fldCharType="begin"/>
      </w:r>
      <w:r w:rsidRPr="004F7668">
        <w:instrText xml:space="preserve"> SEQ level0 \*arabic </w:instrText>
      </w:r>
      <w:r w:rsidRPr="004F7668">
        <w:fldChar w:fldCharType="separate"/>
      </w:r>
      <w:r w:rsidR="004F7668" w:rsidRPr="004F7668">
        <w:rPr>
          <w:noProof/>
        </w:rPr>
        <w:t>36</w:t>
      </w:r>
      <w:r w:rsidRPr="004F7668">
        <w:fldChar w:fldCharType="end"/>
      </w:r>
      <w:r w:rsidRPr="004F7668">
        <w:t>.  </w:t>
      </w:r>
      <w:r w:rsidR="00E012EA" w:rsidRPr="004F7668">
        <w:t>Referring to the Government</w:t>
      </w:r>
      <w:r w:rsidR="004F7668" w:rsidRPr="004F7668">
        <w:t>’</w:t>
      </w:r>
      <w:r w:rsidR="00E012EA" w:rsidRPr="004F7668">
        <w:t>s failure to provide any supporting evidence in relation to their submissions</w:t>
      </w:r>
      <w:r w:rsidR="00104183" w:rsidRPr="004F7668">
        <w:t xml:space="preserve"> (see paragraph 19 above)</w:t>
      </w:r>
      <w:r w:rsidR="007E0E6E" w:rsidRPr="004F7668">
        <w:t>,</w:t>
      </w:r>
      <w:r w:rsidRPr="004F7668">
        <w:t xml:space="preserve"> </w:t>
      </w:r>
      <w:r w:rsidR="00E012EA" w:rsidRPr="004F7668">
        <w:t xml:space="preserve">the </w:t>
      </w:r>
      <w:r w:rsidRPr="004F7668">
        <w:t xml:space="preserve">Court </w:t>
      </w:r>
      <w:r w:rsidR="007E0E6E" w:rsidRPr="004F7668">
        <w:t>note</w:t>
      </w:r>
      <w:r w:rsidR="00E012EA" w:rsidRPr="004F7668">
        <w:t xml:space="preserve">s that it </w:t>
      </w:r>
      <w:r w:rsidR="008F1C1B" w:rsidRPr="004F7668">
        <w:t>has held</w:t>
      </w:r>
      <w:r w:rsidRPr="004F7668">
        <w:t xml:space="preserve"> on many occasions that cases concerning allegations of inadequate conditions of detention do not lend themselves to a rigorous application of the principle </w:t>
      </w:r>
      <w:r w:rsidRPr="004F7668">
        <w:rPr>
          <w:i/>
        </w:rPr>
        <w:t>affirmanti incumbit probatio</w:t>
      </w:r>
      <w:r w:rsidRPr="004F7668">
        <w:t xml:space="preserve"> (he who alleges something must prove that allegation), because in such instances the respondent Government alone have access to information capable of corroborating or refuting those allegations. It follows that, after the Court has given notice of the applicant</w:t>
      </w:r>
      <w:r w:rsidR="004F7668" w:rsidRPr="004F7668">
        <w:t>’</w:t>
      </w:r>
      <w:r w:rsidRPr="004F7668">
        <w:t>s complaint to the Government, the burden is on the latter to collect and produce relevant documents. A failure on their part to submit convincing evidence on material conditions of detention may give rise to the drawing of inferences as to the well</w:t>
      </w:r>
      <w:r w:rsidRPr="004F7668">
        <w:rPr>
          <w:rFonts w:ascii="MS Mincho" w:eastAsia="MS Mincho" w:hAnsi="MS Mincho" w:cs="MS Mincho"/>
        </w:rPr>
        <w:t>‑</w:t>
      </w:r>
      <w:r w:rsidRPr="004F7668">
        <w:t>foundedness of the applicant</w:t>
      </w:r>
      <w:r w:rsidR="004F7668" w:rsidRPr="004F7668">
        <w:rPr>
          <w:rFonts w:ascii="Times New Roman" w:hAnsi="Times New Roman" w:cs="Times New Roman"/>
        </w:rPr>
        <w:t>’</w:t>
      </w:r>
      <w:r w:rsidRPr="004F7668">
        <w:t>s allegations (</w:t>
      </w:r>
      <w:r w:rsidR="0018161A" w:rsidRPr="004F7668">
        <w:t xml:space="preserve">see </w:t>
      </w:r>
      <w:r w:rsidRPr="004F7668">
        <w:rPr>
          <w:i/>
        </w:rPr>
        <w:t>Olszewski v. Poland</w:t>
      </w:r>
      <w:r w:rsidRPr="004F7668">
        <w:t xml:space="preserve">, no. 21880/03, </w:t>
      </w:r>
      <w:r w:rsidRPr="004F7668">
        <w:rPr>
          <w:rFonts w:ascii="Times New Roman" w:hAnsi="Times New Roman" w:cs="Times New Roman"/>
        </w:rPr>
        <w:t>§</w:t>
      </w:r>
      <w:r w:rsidRPr="004F7668">
        <w:t xml:space="preserve"> 94, 2 April 2013).</w:t>
      </w:r>
    </w:p>
    <w:p w:rsidR="00CF2693" w:rsidRPr="004F7668" w:rsidRDefault="00CF2693" w:rsidP="004F7668">
      <w:pPr>
        <w:pStyle w:val="ECHRPara"/>
      </w:pPr>
      <w:r w:rsidRPr="004F7668">
        <w:fldChar w:fldCharType="begin"/>
      </w:r>
      <w:r w:rsidRPr="004F7668">
        <w:instrText xml:space="preserve"> SEQ level0 \*arabic </w:instrText>
      </w:r>
      <w:r w:rsidRPr="004F7668">
        <w:fldChar w:fldCharType="separate"/>
      </w:r>
      <w:r w:rsidR="004F7668" w:rsidRPr="004F7668">
        <w:rPr>
          <w:noProof/>
        </w:rPr>
        <w:t>37</w:t>
      </w:r>
      <w:r w:rsidRPr="004F7668">
        <w:fldChar w:fldCharType="end"/>
      </w:r>
      <w:r w:rsidRPr="004F7668">
        <w:t>.  The Court reiterates that, as established by the domestic court</w:t>
      </w:r>
      <w:r w:rsidR="00623ADD" w:rsidRPr="004F7668">
        <w:t>,</w:t>
      </w:r>
      <w:r w:rsidRPr="004F7668">
        <w:t xml:space="preserve"> from 20 April 2010 to 9 March 2012</w:t>
      </w:r>
      <w:r w:rsidRPr="004F7668">
        <w:rPr>
          <w:b/>
        </w:rPr>
        <w:t xml:space="preserve"> </w:t>
      </w:r>
      <w:r w:rsidRPr="004F7668">
        <w:t>the applicant had been detained in overcrowded cells, below 3 m² of personal space (see paragraph 16 above).</w:t>
      </w:r>
    </w:p>
    <w:p w:rsidR="004D61CD" w:rsidRPr="004F7668" w:rsidRDefault="00031418" w:rsidP="004F7668">
      <w:pPr>
        <w:pStyle w:val="ECHRPara"/>
      </w:pPr>
      <w:r w:rsidRPr="004F7668">
        <w:fldChar w:fldCharType="begin"/>
      </w:r>
      <w:r w:rsidRPr="004F7668">
        <w:instrText xml:space="preserve"> SEQ level0 \*arabic </w:instrText>
      </w:r>
      <w:r w:rsidRPr="004F7668">
        <w:fldChar w:fldCharType="separate"/>
      </w:r>
      <w:r w:rsidR="004F7668" w:rsidRPr="004F7668">
        <w:rPr>
          <w:noProof/>
        </w:rPr>
        <w:t>38</w:t>
      </w:r>
      <w:r w:rsidRPr="004F7668">
        <w:fldChar w:fldCharType="end"/>
      </w:r>
      <w:r w:rsidRPr="004F7668">
        <w:t>.  </w:t>
      </w:r>
      <w:r w:rsidR="00BE6067" w:rsidRPr="004F7668">
        <w:t xml:space="preserve">Having regard to the fact that the Government failed to provide any evidence to the contrary </w:t>
      </w:r>
      <w:r w:rsidR="006B1338" w:rsidRPr="004F7668">
        <w:t xml:space="preserve">or confirming compliance with </w:t>
      </w:r>
      <w:r w:rsidR="00BE6067" w:rsidRPr="004F7668">
        <w:t xml:space="preserve">the standards set in </w:t>
      </w:r>
      <w:r w:rsidR="0079128C" w:rsidRPr="004F7668">
        <w:rPr>
          <w:i/>
        </w:rPr>
        <w:t>Muršić</w:t>
      </w:r>
      <w:r w:rsidR="0079128C" w:rsidRPr="004F7668">
        <w:t xml:space="preserve"> (cited above)</w:t>
      </w:r>
      <w:r w:rsidR="00D26DBF" w:rsidRPr="004F7668">
        <w:t xml:space="preserve">, the Court finds that in these circumstances the reduction of the required personal space cannot be considered as “short, </w:t>
      </w:r>
      <w:r w:rsidR="00D26DBF" w:rsidRPr="004F7668">
        <w:lastRenderedPageBreak/>
        <w:t>occasional and minor” within the meaning of the Court</w:t>
      </w:r>
      <w:r w:rsidR="004F7668" w:rsidRPr="004F7668">
        <w:t>’</w:t>
      </w:r>
      <w:r w:rsidR="00D26DBF" w:rsidRPr="004F7668">
        <w:t xml:space="preserve">s case-law (see </w:t>
      </w:r>
      <w:r w:rsidR="00D26DBF" w:rsidRPr="004F7668">
        <w:rPr>
          <w:i/>
        </w:rPr>
        <w:t>Muršić</w:t>
      </w:r>
      <w:r w:rsidR="00D26DBF" w:rsidRPr="004F7668">
        <w:t>, cited above, § 130). It follows that in the present case the strong presumption of a violation of Article 3 cannot be rebutted.</w:t>
      </w:r>
    </w:p>
    <w:p w:rsidR="00014566" w:rsidRPr="004F7668" w:rsidRDefault="00D93367" w:rsidP="004F7668">
      <w:pPr>
        <w:pStyle w:val="ECHRPara"/>
      </w:pPr>
      <w:r w:rsidRPr="004F7668">
        <w:fldChar w:fldCharType="begin"/>
      </w:r>
      <w:r w:rsidRPr="004F7668">
        <w:instrText xml:space="preserve"> SEQ level0 \*arabic </w:instrText>
      </w:r>
      <w:r w:rsidRPr="004F7668">
        <w:fldChar w:fldCharType="separate"/>
      </w:r>
      <w:r w:rsidR="004F7668" w:rsidRPr="004F7668">
        <w:rPr>
          <w:noProof/>
        </w:rPr>
        <w:t>39</w:t>
      </w:r>
      <w:r w:rsidRPr="004F7668">
        <w:fldChar w:fldCharType="end"/>
      </w:r>
      <w:r w:rsidR="00014566" w:rsidRPr="004F7668">
        <w:t>.  </w:t>
      </w:r>
      <w:r w:rsidR="00E012EA" w:rsidRPr="004F7668">
        <w:t>Taking into account all the above circumstances the Court finds that</w:t>
      </w:r>
      <w:r w:rsidR="009C3FF3" w:rsidRPr="004F7668">
        <w:t xml:space="preserve"> in the present case</w:t>
      </w:r>
      <w:r w:rsidR="0032203F" w:rsidRPr="004F7668">
        <w:t xml:space="preserve"> </w:t>
      </w:r>
      <w:r w:rsidR="00E012EA" w:rsidRPr="004F7668">
        <w:t>there has</w:t>
      </w:r>
      <w:r w:rsidR="0032203F" w:rsidRPr="004F7668">
        <w:t xml:space="preserve"> been a violation of Article 3 of the Convention</w:t>
      </w:r>
      <w:r w:rsidR="00E012EA" w:rsidRPr="004F7668">
        <w:t>.</w:t>
      </w:r>
    </w:p>
    <w:p w:rsidR="00014566" w:rsidRPr="004F7668" w:rsidRDefault="009C3FF3" w:rsidP="004F7668">
      <w:pPr>
        <w:pStyle w:val="ECHRHeading1"/>
      </w:pPr>
      <w:r w:rsidRPr="004F7668">
        <w:t>II</w:t>
      </w:r>
      <w:r w:rsidR="00014566" w:rsidRPr="004F7668">
        <w:t>.  APPLICATION OF ARTICLE 41 OF THE CONVENTION</w:t>
      </w:r>
    </w:p>
    <w:p w:rsidR="00014566" w:rsidRPr="004F7668" w:rsidRDefault="00D93367" w:rsidP="004F7668">
      <w:pPr>
        <w:pStyle w:val="ECHRPara"/>
      </w:pPr>
      <w:r w:rsidRPr="004F7668">
        <w:fldChar w:fldCharType="begin"/>
      </w:r>
      <w:r w:rsidRPr="004F7668">
        <w:instrText xml:space="preserve"> SEQ level0 \*arabic </w:instrText>
      </w:r>
      <w:r w:rsidRPr="004F7668">
        <w:fldChar w:fldCharType="separate"/>
      </w:r>
      <w:r w:rsidR="004F7668" w:rsidRPr="004F7668">
        <w:rPr>
          <w:noProof/>
        </w:rPr>
        <w:t>40</w:t>
      </w:r>
      <w:r w:rsidRPr="004F7668">
        <w:fldChar w:fldCharType="end"/>
      </w:r>
      <w:r w:rsidR="00014566" w:rsidRPr="004F7668">
        <w:t>.  Article 41 of the Convention provides:</w:t>
      </w:r>
    </w:p>
    <w:p w:rsidR="00014566" w:rsidRPr="004F7668" w:rsidRDefault="00014566" w:rsidP="004F7668">
      <w:pPr>
        <w:pStyle w:val="ECHRParaQuote"/>
        <w:keepNext/>
        <w:keepLines/>
      </w:pPr>
      <w:r w:rsidRPr="004F7668">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8C23CE" w:rsidRPr="004F7668" w:rsidRDefault="00D93367" w:rsidP="004F7668">
      <w:pPr>
        <w:pStyle w:val="ECHRPara"/>
      </w:pPr>
      <w:r w:rsidRPr="004F7668">
        <w:fldChar w:fldCharType="begin"/>
      </w:r>
      <w:r w:rsidRPr="004F7668">
        <w:instrText xml:space="preserve"> SEQ level0 \*arabic </w:instrText>
      </w:r>
      <w:r w:rsidRPr="004F7668">
        <w:fldChar w:fldCharType="separate"/>
      </w:r>
      <w:r w:rsidR="004F7668" w:rsidRPr="004F7668">
        <w:rPr>
          <w:noProof/>
        </w:rPr>
        <w:t>41</w:t>
      </w:r>
      <w:r w:rsidRPr="004F7668">
        <w:fldChar w:fldCharType="end"/>
      </w:r>
      <w:r w:rsidR="00014566" w:rsidRPr="004F7668">
        <w:t xml:space="preserve">.  The applicant did not submit a claim for just satisfaction. Accordingly, the Court considers that there is no call to award </w:t>
      </w:r>
      <w:r w:rsidRPr="004F7668">
        <w:t>him</w:t>
      </w:r>
      <w:r w:rsidR="00014566" w:rsidRPr="004F7668">
        <w:t xml:space="preserve"> any sum on that account.</w:t>
      </w:r>
    </w:p>
    <w:p w:rsidR="00F91B7E" w:rsidRPr="004F7668" w:rsidRDefault="00F91B7E" w:rsidP="004F7668">
      <w:pPr>
        <w:pStyle w:val="ECHRTitle1"/>
      </w:pPr>
      <w:r w:rsidRPr="004F7668">
        <w:t>FOR THESE REASONS, THE COURT, UNANIMOUSLY,</w:t>
      </w:r>
    </w:p>
    <w:p w:rsidR="00F91B7E" w:rsidRPr="004F7668" w:rsidRDefault="00F91B7E" w:rsidP="004F7668">
      <w:pPr>
        <w:pStyle w:val="JuList"/>
      </w:pPr>
      <w:r w:rsidRPr="004F7668">
        <w:t>1.  </w:t>
      </w:r>
      <w:r w:rsidRPr="004F7668">
        <w:rPr>
          <w:i/>
        </w:rPr>
        <w:t>Declares</w:t>
      </w:r>
      <w:r w:rsidRPr="004F7668">
        <w:rPr>
          <w:color w:val="000000"/>
        </w:rPr>
        <w:t xml:space="preserve"> </w:t>
      </w:r>
      <w:r w:rsidRPr="004F7668">
        <w:t>the application admissible;</w:t>
      </w:r>
    </w:p>
    <w:p w:rsidR="00F91B7E" w:rsidRPr="004F7668" w:rsidRDefault="00F91B7E" w:rsidP="004F7668">
      <w:pPr>
        <w:pStyle w:val="JuList"/>
        <w:ind w:left="0" w:firstLine="0"/>
      </w:pPr>
    </w:p>
    <w:p w:rsidR="00014566" w:rsidRPr="004F7668" w:rsidRDefault="00F91B7E" w:rsidP="004F7668">
      <w:pPr>
        <w:pStyle w:val="ECHRPara"/>
        <w:ind w:firstLine="0"/>
      </w:pPr>
      <w:r w:rsidRPr="004F7668">
        <w:t>2.  </w:t>
      </w:r>
      <w:r w:rsidRPr="004F7668">
        <w:rPr>
          <w:i/>
        </w:rPr>
        <w:t>Holds</w:t>
      </w:r>
      <w:r w:rsidRPr="004F7668">
        <w:rPr>
          <w:color w:val="000000"/>
        </w:rPr>
        <w:t xml:space="preserve"> </w:t>
      </w:r>
      <w:r w:rsidRPr="004F7668">
        <w:t>that there has been a violation of Article 3</w:t>
      </w:r>
      <w:r w:rsidR="00C7599C" w:rsidRPr="004F7668">
        <w:t xml:space="preserve"> of the Convention.</w:t>
      </w:r>
    </w:p>
    <w:p w:rsidR="00014566" w:rsidRPr="004F7668" w:rsidRDefault="00014566" w:rsidP="004F7668">
      <w:pPr>
        <w:pStyle w:val="JuParaLast"/>
      </w:pPr>
      <w:r w:rsidRPr="004F7668">
        <w:t xml:space="preserve">Done in English, and notified in writing on </w:t>
      </w:r>
      <w:r w:rsidR="008C23CE" w:rsidRPr="004F7668">
        <w:t>12 July 2018</w:t>
      </w:r>
      <w:r w:rsidR="00C915FB" w:rsidRPr="004F7668">
        <w:t>, pursuant to Rule </w:t>
      </w:r>
      <w:r w:rsidRPr="004F7668">
        <w:t>77</w:t>
      </w:r>
      <w:r w:rsidR="00C915FB" w:rsidRPr="004F7668">
        <w:t> </w:t>
      </w:r>
      <w:r w:rsidRPr="004F7668">
        <w:t>§§</w:t>
      </w:r>
      <w:r w:rsidR="00C915FB" w:rsidRPr="004F7668">
        <w:t> </w:t>
      </w:r>
      <w:r w:rsidRPr="004F7668">
        <w:t>2 and 3 of the Rules of Court.</w:t>
      </w:r>
    </w:p>
    <w:p w:rsidR="003837FE" w:rsidRPr="004F7668" w:rsidRDefault="00014566" w:rsidP="004F7668">
      <w:pPr>
        <w:pStyle w:val="JuSigned"/>
        <w:rPr>
          <w:lang w:val="it-IT"/>
        </w:rPr>
      </w:pPr>
      <w:r w:rsidRPr="004F7668">
        <w:tab/>
      </w:r>
      <w:r w:rsidR="008C23CE" w:rsidRPr="004F7668">
        <w:rPr>
          <w:lang w:val="it-IT"/>
        </w:rPr>
        <w:t>Abel Campos</w:t>
      </w:r>
      <w:r w:rsidRPr="004F7668">
        <w:rPr>
          <w:lang w:val="it-IT"/>
        </w:rPr>
        <w:tab/>
      </w:r>
      <w:r w:rsidR="008C23CE" w:rsidRPr="004F7668">
        <w:rPr>
          <w:lang w:val="it-IT"/>
        </w:rPr>
        <w:t>Aleš Pejchal</w:t>
      </w:r>
      <w:r w:rsidR="00E1557C" w:rsidRPr="004F7668">
        <w:rPr>
          <w:szCs w:val="24"/>
          <w:lang w:val="it-IT"/>
        </w:rPr>
        <w:br/>
      </w:r>
      <w:r w:rsidRPr="004F7668">
        <w:rPr>
          <w:lang w:val="it-IT"/>
        </w:rPr>
        <w:tab/>
      </w:r>
      <w:r w:rsidR="00D93367" w:rsidRPr="004F7668">
        <w:rPr>
          <w:iCs/>
          <w:lang w:val="it-IT"/>
        </w:rPr>
        <w:t>Registrar</w:t>
      </w:r>
      <w:r w:rsidRPr="004F7668">
        <w:rPr>
          <w:lang w:val="it-IT"/>
        </w:rPr>
        <w:tab/>
        <w:t>President</w:t>
      </w:r>
    </w:p>
    <w:sectPr w:rsidR="003837FE" w:rsidRPr="004F7668" w:rsidSect="008C23CE">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1C31" w:rsidRPr="003152BA" w:rsidRDefault="00511C31" w:rsidP="00014566">
      <w:r w:rsidRPr="003152BA">
        <w:separator/>
      </w:r>
    </w:p>
  </w:endnote>
  <w:endnote w:type="continuationSeparator" w:id="0">
    <w:p w:rsidR="00511C31" w:rsidRPr="003152BA" w:rsidRDefault="00511C31" w:rsidP="00014566">
      <w:r w:rsidRPr="003152B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23CE" w:rsidRPr="00150BFA" w:rsidRDefault="008C23CE" w:rsidP="0020718E">
    <w:pPr>
      <w:jc w:val="center"/>
    </w:pPr>
    <w:r>
      <w:rPr>
        <w:noProof/>
        <w:lang w:val="pl-PL" w:eastAsia="pl-PL"/>
      </w:rPr>
      <w:drawing>
        <wp:inline distT="0" distB="0" distL="0" distR="0" wp14:anchorId="51FA0C21" wp14:editId="00B0279B">
          <wp:extent cx="771525" cy="619125"/>
          <wp:effectExtent l="0" t="0" r="9525" b="9525"/>
          <wp:docPr id="2" name="Picture 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8C23CE" w:rsidRDefault="008C23C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1C31" w:rsidRPr="003152BA" w:rsidRDefault="00511C31" w:rsidP="00014566">
      <w:r w:rsidRPr="003152BA">
        <w:separator/>
      </w:r>
    </w:p>
  </w:footnote>
  <w:footnote w:type="continuationSeparator" w:id="0">
    <w:p w:rsidR="00511C31" w:rsidRPr="003152BA" w:rsidRDefault="00511C31" w:rsidP="00014566">
      <w:r w:rsidRPr="003152B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966" w:rsidRPr="008C23CE" w:rsidRDefault="00CD7966" w:rsidP="008C23CE">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23CE" w:rsidRPr="00A45145" w:rsidRDefault="008C23CE" w:rsidP="00A45145">
    <w:pPr>
      <w:jc w:val="center"/>
    </w:pPr>
    <w:r>
      <w:rPr>
        <w:noProof/>
        <w:lang w:val="pl-PL" w:eastAsia="pl-PL"/>
      </w:rPr>
      <w:drawing>
        <wp:inline distT="0" distB="0" distL="0" distR="0" wp14:anchorId="2DBF0FED" wp14:editId="15D2C5C6">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CD7966" w:rsidRDefault="00CD796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23CE" w:rsidRPr="003152BA" w:rsidRDefault="008C23CE" w:rsidP="00EE1DA9">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4461AA">
      <w:rPr>
        <w:rStyle w:val="Numerstrony"/>
        <w:noProof/>
        <w:szCs w:val="18"/>
      </w:rPr>
      <w:t>6</w:t>
    </w:r>
    <w:r>
      <w:rPr>
        <w:rStyle w:val="Numerstrony"/>
        <w:szCs w:val="18"/>
      </w:rPr>
      <w:fldChar w:fldCharType="end"/>
    </w:r>
    <w:r w:rsidRPr="003152BA">
      <w:tab/>
    </w:r>
    <w:r>
      <w:t>OLEKSA v. POLAND</w:t>
    </w:r>
    <w:r w:rsidRPr="003152BA">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23CE" w:rsidRPr="003152BA" w:rsidRDefault="008C23CE" w:rsidP="00D60D87">
    <w:pPr>
      <w:pStyle w:val="ECHRHeader"/>
    </w:pPr>
    <w:r w:rsidRPr="003152BA">
      <w:tab/>
    </w:r>
    <w:r>
      <w:t>OLEKSA v. POLAND</w:t>
    </w:r>
    <w:r w:rsidRPr="003152BA">
      <w:t xml:space="preserve"> </w:t>
    </w:r>
    <w:r>
      <w:t>JUDGMENT</w:t>
    </w:r>
    <w:r w:rsidRPr="003152BA">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4461AA">
      <w:rPr>
        <w:rStyle w:val="Numerstrony"/>
        <w:noProof/>
        <w:szCs w:val="18"/>
      </w:rPr>
      <w:t>7</w:t>
    </w:r>
    <w:r>
      <w:rPr>
        <w:rStyle w:val="Numerstrony"/>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2"/>
  </w:num>
  <w:num w:numId="28">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D93367"/>
    <w:rsid w:val="00000067"/>
    <w:rsid w:val="000010ED"/>
    <w:rsid w:val="000041F8"/>
    <w:rsid w:val="000042A8"/>
    <w:rsid w:val="00004308"/>
    <w:rsid w:val="00005BF0"/>
    <w:rsid w:val="00007154"/>
    <w:rsid w:val="000103AE"/>
    <w:rsid w:val="00011D69"/>
    <w:rsid w:val="00012AD3"/>
    <w:rsid w:val="00014566"/>
    <w:rsid w:val="00015C2D"/>
    <w:rsid w:val="00015F00"/>
    <w:rsid w:val="00017306"/>
    <w:rsid w:val="00022C1D"/>
    <w:rsid w:val="000267AC"/>
    <w:rsid w:val="00031418"/>
    <w:rsid w:val="00034987"/>
    <w:rsid w:val="000350E3"/>
    <w:rsid w:val="00040F15"/>
    <w:rsid w:val="00046E8A"/>
    <w:rsid w:val="00054FEE"/>
    <w:rsid w:val="000602DF"/>
    <w:rsid w:val="00061B05"/>
    <w:rsid w:val="00062973"/>
    <w:rsid w:val="00062D5D"/>
    <w:rsid w:val="000632D5"/>
    <w:rsid w:val="000644EE"/>
    <w:rsid w:val="00066F84"/>
    <w:rsid w:val="00071ABC"/>
    <w:rsid w:val="000856D7"/>
    <w:rsid w:val="000902AD"/>
    <w:rsid w:val="000925AD"/>
    <w:rsid w:val="000A24EB"/>
    <w:rsid w:val="000A694D"/>
    <w:rsid w:val="000B6923"/>
    <w:rsid w:val="000C033C"/>
    <w:rsid w:val="000C5F3C"/>
    <w:rsid w:val="000C6DCC"/>
    <w:rsid w:val="000D47AA"/>
    <w:rsid w:val="000D721F"/>
    <w:rsid w:val="000E069B"/>
    <w:rsid w:val="000E0E82"/>
    <w:rsid w:val="000E1DC5"/>
    <w:rsid w:val="000E223F"/>
    <w:rsid w:val="000E35AC"/>
    <w:rsid w:val="000E7D45"/>
    <w:rsid w:val="000F338C"/>
    <w:rsid w:val="000F7851"/>
    <w:rsid w:val="00104183"/>
    <w:rsid w:val="00104E23"/>
    <w:rsid w:val="00110592"/>
    <w:rsid w:val="00111B0C"/>
    <w:rsid w:val="00120D6C"/>
    <w:rsid w:val="00123B64"/>
    <w:rsid w:val="001257EC"/>
    <w:rsid w:val="00126A7F"/>
    <w:rsid w:val="00132C6A"/>
    <w:rsid w:val="00133D33"/>
    <w:rsid w:val="00134D64"/>
    <w:rsid w:val="00135A30"/>
    <w:rsid w:val="0013612C"/>
    <w:rsid w:val="00137FF6"/>
    <w:rsid w:val="00141650"/>
    <w:rsid w:val="001457D8"/>
    <w:rsid w:val="00160AA8"/>
    <w:rsid w:val="00162A12"/>
    <w:rsid w:val="00166530"/>
    <w:rsid w:val="0018161A"/>
    <w:rsid w:val="001832BD"/>
    <w:rsid w:val="0018356B"/>
    <w:rsid w:val="001943B5"/>
    <w:rsid w:val="00195134"/>
    <w:rsid w:val="00195F68"/>
    <w:rsid w:val="001A145B"/>
    <w:rsid w:val="001A674C"/>
    <w:rsid w:val="001B3B24"/>
    <w:rsid w:val="001C0F98"/>
    <w:rsid w:val="001C2A42"/>
    <w:rsid w:val="001D63ED"/>
    <w:rsid w:val="001D7348"/>
    <w:rsid w:val="001E035B"/>
    <w:rsid w:val="001E0961"/>
    <w:rsid w:val="001E194C"/>
    <w:rsid w:val="001E3EAE"/>
    <w:rsid w:val="001E5348"/>
    <w:rsid w:val="001E6F32"/>
    <w:rsid w:val="001F2145"/>
    <w:rsid w:val="001F246F"/>
    <w:rsid w:val="001F6262"/>
    <w:rsid w:val="001F6435"/>
    <w:rsid w:val="001F67B0"/>
    <w:rsid w:val="001F7B3D"/>
    <w:rsid w:val="00205F9F"/>
    <w:rsid w:val="002078F1"/>
    <w:rsid w:val="00210338"/>
    <w:rsid w:val="002115FC"/>
    <w:rsid w:val="002133F8"/>
    <w:rsid w:val="0021423C"/>
    <w:rsid w:val="00230D00"/>
    <w:rsid w:val="00231DF7"/>
    <w:rsid w:val="00231FD1"/>
    <w:rsid w:val="002339E0"/>
    <w:rsid w:val="00233CF8"/>
    <w:rsid w:val="0023575D"/>
    <w:rsid w:val="00236E59"/>
    <w:rsid w:val="00237148"/>
    <w:rsid w:val="0024222D"/>
    <w:rsid w:val="00244B0E"/>
    <w:rsid w:val="00244F6C"/>
    <w:rsid w:val="002456B7"/>
    <w:rsid w:val="00247622"/>
    <w:rsid w:val="002532C5"/>
    <w:rsid w:val="00257E54"/>
    <w:rsid w:val="00260C03"/>
    <w:rsid w:val="0026540E"/>
    <w:rsid w:val="0027225C"/>
    <w:rsid w:val="00275123"/>
    <w:rsid w:val="00282240"/>
    <w:rsid w:val="0028572A"/>
    <w:rsid w:val="00293247"/>
    <w:rsid w:val="002948AD"/>
    <w:rsid w:val="00294C05"/>
    <w:rsid w:val="00294C92"/>
    <w:rsid w:val="002A01CC"/>
    <w:rsid w:val="002A61B1"/>
    <w:rsid w:val="002A663C"/>
    <w:rsid w:val="002A6C38"/>
    <w:rsid w:val="002B1E6C"/>
    <w:rsid w:val="002B2F08"/>
    <w:rsid w:val="002B444B"/>
    <w:rsid w:val="002B5887"/>
    <w:rsid w:val="002C0692"/>
    <w:rsid w:val="002C0E27"/>
    <w:rsid w:val="002C3040"/>
    <w:rsid w:val="002C5827"/>
    <w:rsid w:val="002D022D"/>
    <w:rsid w:val="002D1749"/>
    <w:rsid w:val="002D24BB"/>
    <w:rsid w:val="002E1B25"/>
    <w:rsid w:val="002E2242"/>
    <w:rsid w:val="002F171B"/>
    <w:rsid w:val="002F2AF7"/>
    <w:rsid w:val="002F3CCE"/>
    <w:rsid w:val="002F7E1C"/>
    <w:rsid w:val="00301A75"/>
    <w:rsid w:val="00302F70"/>
    <w:rsid w:val="0030336F"/>
    <w:rsid w:val="0030375E"/>
    <w:rsid w:val="0031102C"/>
    <w:rsid w:val="00312A30"/>
    <w:rsid w:val="003152BA"/>
    <w:rsid w:val="00320F72"/>
    <w:rsid w:val="0032203F"/>
    <w:rsid w:val="0032463E"/>
    <w:rsid w:val="003258E3"/>
    <w:rsid w:val="00326224"/>
    <w:rsid w:val="003265FA"/>
    <w:rsid w:val="0032676F"/>
    <w:rsid w:val="00331EAC"/>
    <w:rsid w:val="003333A7"/>
    <w:rsid w:val="00337EE4"/>
    <w:rsid w:val="00340FFD"/>
    <w:rsid w:val="003506B1"/>
    <w:rsid w:val="00356AC7"/>
    <w:rsid w:val="003609FA"/>
    <w:rsid w:val="00370830"/>
    <w:rsid w:val="003710C8"/>
    <w:rsid w:val="003750BE"/>
    <w:rsid w:val="003837FE"/>
    <w:rsid w:val="00387B9D"/>
    <w:rsid w:val="00392578"/>
    <w:rsid w:val="0039364F"/>
    <w:rsid w:val="00396686"/>
    <w:rsid w:val="0039778E"/>
    <w:rsid w:val="003A3814"/>
    <w:rsid w:val="003A441D"/>
    <w:rsid w:val="003B4941"/>
    <w:rsid w:val="003B7465"/>
    <w:rsid w:val="003C4DC1"/>
    <w:rsid w:val="003C5714"/>
    <w:rsid w:val="003C6B9F"/>
    <w:rsid w:val="003C6E2A"/>
    <w:rsid w:val="003D0299"/>
    <w:rsid w:val="003D0AE9"/>
    <w:rsid w:val="003E4230"/>
    <w:rsid w:val="003E6D80"/>
    <w:rsid w:val="003F0591"/>
    <w:rsid w:val="003F05FA"/>
    <w:rsid w:val="003F244A"/>
    <w:rsid w:val="003F30B8"/>
    <w:rsid w:val="003F4C45"/>
    <w:rsid w:val="003F5949"/>
    <w:rsid w:val="003F5F7B"/>
    <w:rsid w:val="003F7D64"/>
    <w:rsid w:val="00414300"/>
    <w:rsid w:val="00425C67"/>
    <w:rsid w:val="00427E7A"/>
    <w:rsid w:val="00436307"/>
    <w:rsid w:val="00436C49"/>
    <w:rsid w:val="00445366"/>
    <w:rsid w:val="004461AA"/>
    <w:rsid w:val="00447F5B"/>
    <w:rsid w:val="00461DB0"/>
    <w:rsid w:val="00462819"/>
    <w:rsid w:val="00463926"/>
    <w:rsid w:val="00463CA7"/>
    <w:rsid w:val="00464097"/>
    <w:rsid w:val="004646E0"/>
    <w:rsid w:val="00464C9A"/>
    <w:rsid w:val="00474F3D"/>
    <w:rsid w:val="00477E3A"/>
    <w:rsid w:val="00483E5F"/>
    <w:rsid w:val="00485FF9"/>
    <w:rsid w:val="004907F0"/>
    <w:rsid w:val="0049140B"/>
    <w:rsid w:val="004923A5"/>
    <w:rsid w:val="00496BFB"/>
    <w:rsid w:val="004A15C7"/>
    <w:rsid w:val="004B013B"/>
    <w:rsid w:val="004B112B"/>
    <w:rsid w:val="004B29B7"/>
    <w:rsid w:val="004C01E4"/>
    <w:rsid w:val="004C086C"/>
    <w:rsid w:val="004C1F56"/>
    <w:rsid w:val="004C27BC"/>
    <w:rsid w:val="004D15F3"/>
    <w:rsid w:val="004D347F"/>
    <w:rsid w:val="004D5311"/>
    <w:rsid w:val="004D5DCC"/>
    <w:rsid w:val="004D61CD"/>
    <w:rsid w:val="004D6509"/>
    <w:rsid w:val="004F10AF"/>
    <w:rsid w:val="004F11A4"/>
    <w:rsid w:val="004F2389"/>
    <w:rsid w:val="004F304D"/>
    <w:rsid w:val="004F61BE"/>
    <w:rsid w:val="004F66B1"/>
    <w:rsid w:val="004F7668"/>
    <w:rsid w:val="005003B7"/>
    <w:rsid w:val="005018D1"/>
    <w:rsid w:val="00502A0D"/>
    <w:rsid w:val="00511C07"/>
    <w:rsid w:val="00511C31"/>
    <w:rsid w:val="00512D5D"/>
    <w:rsid w:val="005173A6"/>
    <w:rsid w:val="00520BAA"/>
    <w:rsid w:val="00525208"/>
    <w:rsid w:val="005257A5"/>
    <w:rsid w:val="005264C0"/>
    <w:rsid w:val="00526A8A"/>
    <w:rsid w:val="00530586"/>
    <w:rsid w:val="00531DF2"/>
    <w:rsid w:val="00533CF7"/>
    <w:rsid w:val="00535BB8"/>
    <w:rsid w:val="005442EE"/>
    <w:rsid w:val="00547353"/>
    <w:rsid w:val="005474E7"/>
    <w:rsid w:val="005512A3"/>
    <w:rsid w:val="00556C2C"/>
    <w:rsid w:val="005578CE"/>
    <w:rsid w:val="00562781"/>
    <w:rsid w:val="00563E83"/>
    <w:rsid w:val="00564854"/>
    <w:rsid w:val="0057271C"/>
    <w:rsid w:val="00572845"/>
    <w:rsid w:val="00592772"/>
    <w:rsid w:val="0059574A"/>
    <w:rsid w:val="005A1B9B"/>
    <w:rsid w:val="005A6751"/>
    <w:rsid w:val="005B092E"/>
    <w:rsid w:val="005B152C"/>
    <w:rsid w:val="005B1EE0"/>
    <w:rsid w:val="005B2B24"/>
    <w:rsid w:val="005B4425"/>
    <w:rsid w:val="005B4B94"/>
    <w:rsid w:val="005B68CE"/>
    <w:rsid w:val="005C3EE8"/>
    <w:rsid w:val="005D34F9"/>
    <w:rsid w:val="005D4190"/>
    <w:rsid w:val="005D67A3"/>
    <w:rsid w:val="005E2988"/>
    <w:rsid w:val="005E2A43"/>
    <w:rsid w:val="005E3085"/>
    <w:rsid w:val="005E438A"/>
    <w:rsid w:val="005E6235"/>
    <w:rsid w:val="005F51E1"/>
    <w:rsid w:val="00611C80"/>
    <w:rsid w:val="00620692"/>
    <w:rsid w:val="00623ADD"/>
    <w:rsid w:val="006242CA"/>
    <w:rsid w:val="00627507"/>
    <w:rsid w:val="00633717"/>
    <w:rsid w:val="00633E63"/>
    <w:rsid w:val="006344E1"/>
    <w:rsid w:val="00637B35"/>
    <w:rsid w:val="006545C4"/>
    <w:rsid w:val="00661971"/>
    <w:rsid w:val="00661CE8"/>
    <w:rsid w:val="006623D9"/>
    <w:rsid w:val="0066550C"/>
    <w:rsid w:val="006716F2"/>
    <w:rsid w:val="00677813"/>
    <w:rsid w:val="00682BF2"/>
    <w:rsid w:val="006859CE"/>
    <w:rsid w:val="00691270"/>
    <w:rsid w:val="00694BA8"/>
    <w:rsid w:val="006A037C"/>
    <w:rsid w:val="006A0ECB"/>
    <w:rsid w:val="006A36F4"/>
    <w:rsid w:val="006A406F"/>
    <w:rsid w:val="006A5D3A"/>
    <w:rsid w:val="006B1338"/>
    <w:rsid w:val="006C23D4"/>
    <w:rsid w:val="006C7BB0"/>
    <w:rsid w:val="006C7C1E"/>
    <w:rsid w:val="006D3237"/>
    <w:rsid w:val="006E2E37"/>
    <w:rsid w:val="006E3CF1"/>
    <w:rsid w:val="006E7E80"/>
    <w:rsid w:val="006F1DF9"/>
    <w:rsid w:val="006F24DB"/>
    <w:rsid w:val="006F39F7"/>
    <w:rsid w:val="006F48CA"/>
    <w:rsid w:val="006F64DD"/>
    <w:rsid w:val="007000A7"/>
    <w:rsid w:val="00704EB1"/>
    <w:rsid w:val="00715127"/>
    <w:rsid w:val="00715E8E"/>
    <w:rsid w:val="007213E9"/>
    <w:rsid w:val="00723580"/>
    <w:rsid w:val="00723755"/>
    <w:rsid w:val="0073136C"/>
    <w:rsid w:val="00731F0F"/>
    <w:rsid w:val="00733250"/>
    <w:rsid w:val="00741404"/>
    <w:rsid w:val="0074489C"/>
    <w:rsid w:val="007449E5"/>
    <w:rsid w:val="00746C5A"/>
    <w:rsid w:val="00747FF0"/>
    <w:rsid w:val="007509D5"/>
    <w:rsid w:val="00764D4E"/>
    <w:rsid w:val="00765A1F"/>
    <w:rsid w:val="00774A6E"/>
    <w:rsid w:val="00775B6D"/>
    <w:rsid w:val="00776D68"/>
    <w:rsid w:val="007850EE"/>
    <w:rsid w:val="00785B95"/>
    <w:rsid w:val="00790E96"/>
    <w:rsid w:val="0079128C"/>
    <w:rsid w:val="00792BAB"/>
    <w:rsid w:val="00793366"/>
    <w:rsid w:val="007A716F"/>
    <w:rsid w:val="007B03FE"/>
    <w:rsid w:val="007B270A"/>
    <w:rsid w:val="007B59B2"/>
    <w:rsid w:val="007C0695"/>
    <w:rsid w:val="007C419A"/>
    <w:rsid w:val="007C4CC8"/>
    <w:rsid w:val="007C5426"/>
    <w:rsid w:val="007C5798"/>
    <w:rsid w:val="007C6B15"/>
    <w:rsid w:val="007D4832"/>
    <w:rsid w:val="007E0E6E"/>
    <w:rsid w:val="007E21B2"/>
    <w:rsid w:val="007E2C4E"/>
    <w:rsid w:val="007F1905"/>
    <w:rsid w:val="0080048F"/>
    <w:rsid w:val="00801300"/>
    <w:rsid w:val="00802C64"/>
    <w:rsid w:val="0080367F"/>
    <w:rsid w:val="00805E52"/>
    <w:rsid w:val="008061D0"/>
    <w:rsid w:val="00810B38"/>
    <w:rsid w:val="008204C7"/>
    <w:rsid w:val="00820992"/>
    <w:rsid w:val="00823602"/>
    <w:rsid w:val="008255F5"/>
    <w:rsid w:val="0083014E"/>
    <w:rsid w:val="0083214A"/>
    <w:rsid w:val="00834220"/>
    <w:rsid w:val="008347C8"/>
    <w:rsid w:val="00845723"/>
    <w:rsid w:val="00851EF9"/>
    <w:rsid w:val="008577FD"/>
    <w:rsid w:val="00860B03"/>
    <w:rsid w:val="0086497A"/>
    <w:rsid w:val="008713A1"/>
    <w:rsid w:val="008754AB"/>
    <w:rsid w:val="0088060C"/>
    <w:rsid w:val="00880B07"/>
    <w:rsid w:val="00892F30"/>
    <w:rsid w:val="00893576"/>
    <w:rsid w:val="00893E73"/>
    <w:rsid w:val="008A43C4"/>
    <w:rsid w:val="008B02DC"/>
    <w:rsid w:val="008B57CE"/>
    <w:rsid w:val="008B659F"/>
    <w:rsid w:val="008C23CE"/>
    <w:rsid w:val="008C26DE"/>
    <w:rsid w:val="008D2225"/>
    <w:rsid w:val="008D4752"/>
    <w:rsid w:val="008D552A"/>
    <w:rsid w:val="008D7A0A"/>
    <w:rsid w:val="008D7A62"/>
    <w:rsid w:val="008E07B1"/>
    <w:rsid w:val="008E271C"/>
    <w:rsid w:val="008E418E"/>
    <w:rsid w:val="008E5BC6"/>
    <w:rsid w:val="008E6A25"/>
    <w:rsid w:val="008E79F3"/>
    <w:rsid w:val="008F1C1B"/>
    <w:rsid w:val="008F5193"/>
    <w:rsid w:val="009013A7"/>
    <w:rsid w:val="009017FB"/>
    <w:rsid w:val="009017FC"/>
    <w:rsid w:val="00903B43"/>
    <w:rsid w:val="0090506B"/>
    <w:rsid w:val="009050C9"/>
    <w:rsid w:val="009066FC"/>
    <w:rsid w:val="00913695"/>
    <w:rsid w:val="009140A3"/>
    <w:rsid w:val="009144A2"/>
    <w:rsid w:val="0091510C"/>
    <w:rsid w:val="009259AC"/>
    <w:rsid w:val="00926F38"/>
    <w:rsid w:val="00934301"/>
    <w:rsid w:val="00936CD1"/>
    <w:rsid w:val="00941747"/>
    <w:rsid w:val="00941EFB"/>
    <w:rsid w:val="00947AFB"/>
    <w:rsid w:val="00951D7D"/>
    <w:rsid w:val="00952C12"/>
    <w:rsid w:val="009630C7"/>
    <w:rsid w:val="00972B55"/>
    <w:rsid w:val="009743B7"/>
    <w:rsid w:val="0098228B"/>
    <w:rsid w:val="009828DA"/>
    <w:rsid w:val="00985BAB"/>
    <w:rsid w:val="00994F5F"/>
    <w:rsid w:val="00997F03"/>
    <w:rsid w:val="009A46DF"/>
    <w:rsid w:val="009B1B5F"/>
    <w:rsid w:val="009B2EC2"/>
    <w:rsid w:val="009B6673"/>
    <w:rsid w:val="009C191B"/>
    <w:rsid w:val="009C2BD6"/>
    <w:rsid w:val="009C35B7"/>
    <w:rsid w:val="009C3FF3"/>
    <w:rsid w:val="009D6D32"/>
    <w:rsid w:val="009E1F32"/>
    <w:rsid w:val="009E5829"/>
    <w:rsid w:val="009E64BC"/>
    <w:rsid w:val="009E776C"/>
    <w:rsid w:val="009E79D7"/>
    <w:rsid w:val="009F6BD9"/>
    <w:rsid w:val="00A04E2F"/>
    <w:rsid w:val="00A130B4"/>
    <w:rsid w:val="00A1726E"/>
    <w:rsid w:val="00A204CF"/>
    <w:rsid w:val="00A23D49"/>
    <w:rsid w:val="00A27004"/>
    <w:rsid w:val="00A30C29"/>
    <w:rsid w:val="00A34DD6"/>
    <w:rsid w:val="00A36819"/>
    <w:rsid w:val="00A36989"/>
    <w:rsid w:val="00A4128A"/>
    <w:rsid w:val="00A43628"/>
    <w:rsid w:val="00A54192"/>
    <w:rsid w:val="00A6035E"/>
    <w:rsid w:val="00A6144C"/>
    <w:rsid w:val="00A66617"/>
    <w:rsid w:val="00A671F8"/>
    <w:rsid w:val="00A673A4"/>
    <w:rsid w:val="00A724AE"/>
    <w:rsid w:val="00A73329"/>
    <w:rsid w:val="00A82359"/>
    <w:rsid w:val="00A844C4"/>
    <w:rsid w:val="00A865D2"/>
    <w:rsid w:val="00A94C20"/>
    <w:rsid w:val="00A96ED6"/>
    <w:rsid w:val="00AA1153"/>
    <w:rsid w:val="00AA227F"/>
    <w:rsid w:val="00AA3BC7"/>
    <w:rsid w:val="00AA754A"/>
    <w:rsid w:val="00AB099E"/>
    <w:rsid w:val="00AB4328"/>
    <w:rsid w:val="00AB57ED"/>
    <w:rsid w:val="00AB5FA0"/>
    <w:rsid w:val="00AC66BB"/>
    <w:rsid w:val="00AC7879"/>
    <w:rsid w:val="00AE0A2E"/>
    <w:rsid w:val="00AE354C"/>
    <w:rsid w:val="00AE7502"/>
    <w:rsid w:val="00AF169C"/>
    <w:rsid w:val="00AF4B07"/>
    <w:rsid w:val="00AF6186"/>
    <w:rsid w:val="00AF7A3A"/>
    <w:rsid w:val="00B047D7"/>
    <w:rsid w:val="00B14AC3"/>
    <w:rsid w:val="00B160DB"/>
    <w:rsid w:val="00B20836"/>
    <w:rsid w:val="00B235BB"/>
    <w:rsid w:val="00B27A44"/>
    <w:rsid w:val="00B30BBF"/>
    <w:rsid w:val="00B33C03"/>
    <w:rsid w:val="00B44E56"/>
    <w:rsid w:val="00B45E7E"/>
    <w:rsid w:val="00B46543"/>
    <w:rsid w:val="00B47D33"/>
    <w:rsid w:val="00B52BE0"/>
    <w:rsid w:val="00B54133"/>
    <w:rsid w:val="00B637B9"/>
    <w:rsid w:val="00B701ED"/>
    <w:rsid w:val="00B7159C"/>
    <w:rsid w:val="00B80819"/>
    <w:rsid w:val="00B8086C"/>
    <w:rsid w:val="00B861B4"/>
    <w:rsid w:val="00B86DFE"/>
    <w:rsid w:val="00B90688"/>
    <w:rsid w:val="00B90990"/>
    <w:rsid w:val="00B922FF"/>
    <w:rsid w:val="00B92491"/>
    <w:rsid w:val="00B9281E"/>
    <w:rsid w:val="00B93925"/>
    <w:rsid w:val="00B95187"/>
    <w:rsid w:val="00BA2D55"/>
    <w:rsid w:val="00BA3C29"/>
    <w:rsid w:val="00BA71B1"/>
    <w:rsid w:val="00BB0637"/>
    <w:rsid w:val="00BB345F"/>
    <w:rsid w:val="00BB5883"/>
    <w:rsid w:val="00BB68EA"/>
    <w:rsid w:val="00BC1C27"/>
    <w:rsid w:val="00BC6BBF"/>
    <w:rsid w:val="00BD1572"/>
    <w:rsid w:val="00BE14E3"/>
    <w:rsid w:val="00BE3774"/>
    <w:rsid w:val="00BE41E5"/>
    <w:rsid w:val="00BE492E"/>
    <w:rsid w:val="00BE6067"/>
    <w:rsid w:val="00BF0BBB"/>
    <w:rsid w:val="00BF4109"/>
    <w:rsid w:val="00BF4CC3"/>
    <w:rsid w:val="00BF4F78"/>
    <w:rsid w:val="00C054C7"/>
    <w:rsid w:val="00C057B5"/>
    <w:rsid w:val="00C22687"/>
    <w:rsid w:val="00C31851"/>
    <w:rsid w:val="00C32E4D"/>
    <w:rsid w:val="00C333A0"/>
    <w:rsid w:val="00C36A81"/>
    <w:rsid w:val="00C373A0"/>
    <w:rsid w:val="00C41974"/>
    <w:rsid w:val="00C447AD"/>
    <w:rsid w:val="00C47FC4"/>
    <w:rsid w:val="00C53F4A"/>
    <w:rsid w:val="00C54125"/>
    <w:rsid w:val="00C55B54"/>
    <w:rsid w:val="00C6098E"/>
    <w:rsid w:val="00C6152C"/>
    <w:rsid w:val="00C621C2"/>
    <w:rsid w:val="00C74810"/>
    <w:rsid w:val="00C7599C"/>
    <w:rsid w:val="00C8014E"/>
    <w:rsid w:val="00C90D68"/>
    <w:rsid w:val="00C915FB"/>
    <w:rsid w:val="00C939FE"/>
    <w:rsid w:val="00CA4BDA"/>
    <w:rsid w:val="00CB1F66"/>
    <w:rsid w:val="00CB2951"/>
    <w:rsid w:val="00CD282B"/>
    <w:rsid w:val="00CD45AB"/>
    <w:rsid w:val="00CD4C35"/>
    <w:rsid w:val="00CD7369"/>
    <w:rsid w:val="00CD7966"/>
    <w:rsid w:val="00CE0B0E"/>
    <w:rsid w:val="00CE2F1E"/>
    <w:rsid w:val="00CE3831"/>
    <w:rsid w:val="00CF2693"/>
    <w:rsid w:val="00CF29F4"/>
    <w:rsid w:val="00CF5D19"/>
    <w:rsid w:val="00CF5F87"/>
    <w:rsid w:val="00D00ABB"/>
    <w:rsid w:val="00D02EEC"/>
    <w:rsid w:val="00D03551"/>
    <w:rsid w:val="00D06A63"/>
    <w:rsid w:val="00D07E0E"/>
    <w:rsid w:val="00D1139D"/>
    <w:rsid w:val="00D11478"/>
    <w:rsid w:val="00D15ED0"/>
    <w:rsid w:val="00D21B3E"/>
    <w:rsid w:val="00D21FED"/>
    <w:rsid w:val="00D24251"/>
    <w:rsid w:val="00D26DBF"/>
    <w:rsid w:val="00D343E2"/>
    <w:rsid w:val="00D361A2"/>
    <w:rsid w:val="00D44C2E"/>
    <w:rsid w:val="00D45414"/>
    <w:rsid w:val="00D53C0F"/>
    <w:rsid w:val="00D566BD"/>
    <w:rsid w:val="00D57A4D"/>
    <w:rsid w:val="00D60AA7"/>
    <w:rsid w:val="00D60D87"/>
    <w:rsid w:val="00D6435F"/>
    <w:rsid w:val="00D65B7C"/>
    <w:rsid w:val="00D75626"/>
    <w:rsid w:val="00D75E28"/>
    <w:rsid w:val="00D772C2"/>
    <w:rsid w:val="00D8008E"/>
    <w:rsid w:val="00D82C45"/>
    <w:rsid w:val="00D835EA"/>
    <w:rsid w:val="00D908A8"/>
    <w:rsid w:val="00D93367"/>
    <w:rsid w:val="00D977B6"/>
    <w:rsid w:val="00DA4A31"/>
    <w:rsid w:val="00DA61F2"/>
    <w:rsid w:val="00DA7B04"/>
    <w:rsid w:val="00DB36C2"/>
    <w:rsid w:val="00DB7196"/>
    <w:rsid w:val="00DC169B"/>
    <w:rsid w:val="00DC2AB9"/>
    <w:rsid w:val="00DC5F4B"/>
    <w:rsid w:val="00DC63F0"/>
    <w:rsid w:val="00DD6EE5"/>
    <w:rsid w:val="00DE1B8E"/>
    <w:rsid w:val="00DE386C"/>
    <w:rsid w:val="00DE4D35"/>
    <w:rsid w:val="00DF0549"/>
    <w:rsid w:val="00DF098B"/>
    <w:rsid w:val="00DF11C4"/>
    <w:rsid w:val="00DF210C"/>
    <w:rsid w:val="00DF4B6A"/>
    <w:rsid w:val="00E012EA"/>
    <w:rsid w:val="00E02C09"/>
    <w:rsid w:val="00E04D59"/>
    <w:rsid w:val="00E05A67"/>
    <w:rsid w:val="00E07DA1"/>
    <w:rsid w:val="00E115CB"/>
    <w:rsid w:val="00E123CB"/>
    <w:rsid w:val="00E1557C"/>
    <w:rsid w:val="00E20E13"/>
    <w:rsid w:val="00E21DBC"/>
    <w:rsid w:val="00E275D7"/>
    <w:rsid w:val="00E27DBE"/>
    <w:rsid w:val="00E32AB1"/>
    <w:rsid w:val="00E36C71"/>
    <w:rsid w:val="00E40404"/>
    <w:rsid w:val="00E4133A"/>
    <w:rsid w:val="00E459C6"/>
    <w:rsid w:val="00E47589"/>
    <w:rsid w:val="00E57B5C"/>
    <w:rsid w:val="00E64915"/>
    <w:rsid w:val="00E661D4"/>
    <w:rsid w:val="00E70091"/>
    <w:rsid w:val="00E720F5"/>
    <w:rsid w:val="00E76D47"/>
    <w:rsid w:val="00E77820"/>
    <w:rsid w:val="00E849F7"/>
    <w:rsid w:val="00E90302"/>
    <w:rsid w:val="00E9597F"/>
    <w:rsid w:val="00E97396"/>
    <w:rsid w:val="00EA185E"/>
    <w:rsid w:val="00EA592A"/>
    <w:rsid w:val="00EA737F"/>
    <w:rsid w:val="00EB14E4"/>
    <w:rsid w:val="00EB32A5"/>
    <w:rsid w:val="00EB34ED"/>
    <w:rsid w:val="00EB689F"/>
    <w:rsid w:val="00EB7B92"/>
    <w:rsid w:val="00EB7BE0"/>
    <w:rsid w:val="00EC315E"/>
    <w:rsid w:val="00ED077C"/>
    <w:rsid w:val="00ED1190"/>
    <w:rsid w:val="00ED6544"/>
    <w:rsid w:val="00EE0277"/>
    <w:rsid w:val="00EE1DA9"/>
    <w:rsid w:val="00EE3E00"/>
    <w:rsid w:val="00EE5DD2"/>
    <w:rsid w:val="00EF0073"/>
    <w:rsid w:val="00EF41F1"/>
    <w:rsid w:val="00EF4F08"/>
    <w:rsid w:val="00EF573B"/>
    <w:rsid w:val="00F006C0"/>
    <w:rsid w:val="00F00A79"/>
    <w:rsid w:val="00F00E86"/>
    <w:rsid w:val="00F00F8B"/>
    <w:rsid w:val="00F04475"/>
    <w:rsid w:val="00F07C1E"/>
    <w:rsid w:val="00F105DB"/>
    <w:rsid w:val="00F132BC"/>
    <w:rsid w:val="00F13D80"/>
    <w:rsid w:val="00F16AAA"/>
    <w:rsid w:val="00F21161"/>
    <w:rsid w:val="00F218EF"/>
    <w:rsid w:val="00F21BC7"/>
    <w:rsid w:val="00F266A2"/>
    <w:rsid w:val="00F32269"/>
    <w:rsid w:val="00F43171"/>
    <w:rsid w:val="00F43E78"/>
    <w:rsid w:val="00F4457E"/>
    <w:rsid w:val="00F56A6F"/>
    <w:rsid w:val="00F5709C"/>
    <w:rsid w:val="00F64EF1"/>
    <w:rsid w:val="00F666EC"/>
    <w:rsid w:val="00F8765F"/>
    <w:rsid w:val="00F90767"/>
    <w:rsid w:val="00F91B7E"/>
    <w:rsid w:val="00FA685B"/>
    <w:rsid w:val="00FB0C01"/>
    <w:rsid w:val="00FC056B"/>
    <w:rsid w:val="00FC18F2"/>
    <w:rsid w:val="00FC39E5"/>
    <w:rsid w:val="00FC3A78"/>
    <w:rsid w:val="00FC5FFE"/>
    <w:rsid w:val="00FD1005"/>
    <w:rsid w:val="00FD3180"/>
    <w:rsid w:val="00FD6C75"/>
    <w:rsid w:val="00FE71B3"/>
    <w:rsid w:val="00FF17CE"/>
    <w:rsid w:val="00FF2AC9"/>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370830"/>
    <w:pPr>
      <w:jc w:val="both"/>
    </w:pPr>
    <w:rPr>
      <w:rFonts w:eastAsiaTheme="minorEastAsia"/>
      <w:sz w:val="24"/>
      <w:lang w:val="en-GB"/>
    </w:rPr>
  </w:style>
  <w:style w:type="paragraph" w:styleId="Nagwek1">
    <w:name w:val="heading 1"/>
    <w:basedOn w:val="Normalny"/>
    <w:next w:val="Normalny"/>
    <w:link w:val="Nagwek1Znak"/>
    <w:uiPriority w:val="99"/>
    <w:semiHidden/>
    <w:rsid w:val="00370830"/>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370830"/>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370830"/>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370830"/>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370830"/>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370830"/>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370830"/>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370830"/>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370830"/>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370830"/>
    <w:rPr>
      <w:rFonts w:ascii="Tahoma" w:hAnsi="Tahoma" w:cs="Tahoma"/>
      <w:sz w:val="16"/>
      <w:szCs w:val="16"/>
    </w:rPr>
  </w:style>
  <w:style w:type="character" w:customStyle="1" w:styleId="TekstdymkaZnak">
    <w:name w:val="Tekst dymka Znak"/>
    <w:basedOn w:val="Domylnaczcionkaakapitu"/>
    <w:link w:val="Tekstdymka"/>
    <w:uiPriority w:val="99"/>
    <w:semiHidden/>
    <w:rsid w:val="00370830"/>
    <w:rPr>
      <w:rFonts w:ascii="Tahoma" w:eastAsiaTheme="minorEastAsia" w:hAnsi="Tahoma" w:cs="Tahoma"/>
      <w:sz w:val="16"/>
      <w:szCs w:val="16"/>
      <w:lang w:val="en-GB"/>
    </w:rPr>
  </w:style>
  <w:style w:type="character" w:styleId="Tytuksiki">
    <w:name w:val="Book Title"/>
    <w:uiPriority w:val="99"/>
    <w:semiHidden/>
    <w:qFormat/>
    <w:rsid w:val="00370830"/>
    <w:rPr>
      <w:i/>
      <w:iCs/>
      <w:smallCaps/>
      <w:spacing w:val="5"/>
    </w:rPr>
  </w:style>
  <w:style w:type="paragraph" w:customStyle="1" w:styleId="ECHRHeader">
    <w:name w:val="ECHR_Header"/>
    <w:aliases w:val="Ju_Header"/>
    <w:basedOn w:val="Nagwek"/>
    <w:uiPriority w:val="4"/>
    <w:qFormat/>
    <w:rsid w:val="00370830"/>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370830"/>
    <w:pPr>
      <w:jc w:val="left"/>
    </w:pPr>
    <w:rPr>
      <w:sz w:val="8"/>
    </w:rPr>
  </w:style>
  <w:style w:type="character" w:styleId="Pogrubienie">
    <w:name w:val="Strong"/>
    <w:uiPriority w:val="99"/>
    <w:semiHidden/>
    <w:qFormat/>
    <w:rsid w:val="00370830"/>
    <w:rPr>
      <w:b/>
      <w:bCs/>
    </w:rPr>
  </w:style>
  <w:style w:type="paragraph" w:styleId="Bezodstpw">
    <w:name w:val="No Spacing"/>
    <w:basedOn w:val="Normalny"/>
    <w:link w:val="BezodstpwZnak"/>
    <w:semiHidden/>
    <w:qFormat/>
    <w:rsid w:val="00370830"/>
    <w:rPr>
      <w:sz w:val="22"/>
      <w:lang w:val="en-US"/>
    </w:rPr>
  </w:style>
  <w:style w:type="character" w:customStyle="1" w:styleId="BezodstpwZnak">
    <w:name w:val="Bez odstępów Znak"/>
    <w:basedOn w:val="Domylnaczcionkaakapitu"/>
    <w:link w:val="Bezodstpw"/>
    <w:semiHidden/>
    <w:rsid w:val="00370830"/>
    <w:rPr>
      <w:rFonts w:eastAsiaTheme="minorEastAsia"/>
    </w:rPr>
  </w:style>
  <w:style w:type="paragraph" w:customStyle="1" w:styleId="ECHRFooterLine">
    <w:name w:val="ECHR_Footer_Line"/>
    <w:aliases w:val="Footer_Line"/>
    <w:basedOn w:val="Normalny"/>
    <w:next w:val="ECHRFooter"/>
    <w:uiPriority w:val="57"/>
    <w:semiHidden/>
    <w:rsid w:val="00370830"/>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370830"/>
  </w:style>
  <w:style w:type="paragraph" w:customStyle="1" w:styleId="DecList">
    <w:name w:val="Dec_List"/>
    <w:basedOn w:val="Normalny"/>
    <w:uiPriority w:val="9"/>
    <w:semiHidden/>
    <w:qFormat/>
    <w:rsid w:val="00370830"/>
    <w:pPr>
      <w:spacing w:before="240"/>
      <w:ind w:left="284"/>
    </w:pPr>
  </w:style>
  <w:style w:type="paragraph" w:customStyle="1" w:styleId="DummyStyle">
    <w:name w:val="Dummy_Style"/>
    <w:basedOn w:val="Normalny"/>
    <w:semiHidden/>
    <w:qFormat/>
    <w:rsid w:val="00370830"/>
    <w:rPr>
      <w:color w:val="00B050"/>
    </w:rPr>
  </w:style>
  <w:style w:type="paragraph" w:customStyle="1" w:styleId="ECHRTitleCentre3">
    <w:name w:val="ECHR_Title_Centre_3"/>
    <w:aliases w:val="Ju_H_Article"/>
    <w:basedOn w:val="Normalny"/>
    <w:next w:val="ECHRParaQuote"/>
    <w:uiPriority w:val="27"/>
    <w:qFormat/>
    <w:rsid w:val="00370830"/>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370830"/>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370830"/>
    <w:pPr>
      <w:numPr>
        <w:numId w:val="28"/>
      </w:numPr>
      <w:jc w:val="left"/>
    </w:pPr>
    <w:rPr>
      <w:b/>
    </w:rPr>
  </w:style>
  <w:style w:type="paragraph" w:customStyle="1" w:styleId="JuCourt">
    <w:name w:val="Ju_Court"/>
    <w:basedOn w:val="Normalny"/>
    <w:next w:val="Normalny"/>
    <w:uiPriority w:val="16"/>
    <w:qFormat/>
    <w:rsid w:val="00370830"/>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370830"/>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370830"/>
    <w:pPr>
      <w:spacing w:after="240"/>
      <w:jc w:val="center"/>
      <w:outlineLvl w:val="0"/>
    </w:pPr>
    <w:rPr>
      <w:rFonts w:asciiTheme="majorHAnsi" w:hAnsiTheme="majorHAnsi"/>
    </w:rPr>
  </w:style>
  <w:style w:type="paragraph" w:customStyle="1" w:styleId="JuInitialled">
    <w:name w:val="Ju_Initialled"/>
    <w:basedOn w:val="Normalny"/>
    <w:uiPriority w:val="31"/>
    <w:qFormat/>
    <w:rsid w:val="00370830"/>
    <w:pPr>
      <w:tabs>
        <w:tab w:val="center" w:pos="6407"/>
      </w:tabs>
      <w:spacing w:before="720"/>
      <w:jc w:val="right"/>
    </w:pPr>
  </w:style>
  <w:style w:type="paragraph" w:styleId="Tytu">
    <w:name w:val="Title"/>
    <w:basedOn w:val="Normalny"/>
    <w:next w:val="Normalny"/>
    <w:link w:val="TytuZnak"/>
    <w:uiPriority w:val="99"/>
    <w:semiHidden/>
    <w:qFormat/>
    <w:rsid w:val="00370830"/>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370830"/>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370830"/>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370830"/>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370830"/>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370830"/>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370830"/>
    <w:pPr>
      <w:keepNext/>
      <w:keepLines/>
      <w:spacing w:before="240" w:after="120"/>
      <w:ind w:left="1236"/>
    </w:pPr>
    <w:rPr>
      <w:sz w:val="20"/>
      <w:lang w:val="en-GB"/>
    </w:rPr>
  </w:style>
  <w:style w:type="character" w:customStyle="1" w:styleId="JuITMark">
    <w:name w:val="Ju_ITMark"/>
    <w:basedOn w:val="Domylnaczcionkaakapitu"/>
    <w:uiPriority w:val="38"/>
    <w:qFormat/>
    <w:rsid w:val="00370830"/>
    <w:rPr>
      <w:vanish w:val="0"/>
      <w:color w:val="auto"/>
      <w:sz w:val="14"/>
      <w:bdr w:val="none" w:sz="0" w:space="0" w:color="auto"/>
      <w:shd w:val="clear" w:color="auto" w:fill="BEE5FF" w:themeFill="background1" w:themeFillTint="33"/>
    </w:rPr>
  </w:style>
  <w:style w:type="paragraph" w:customStyle="1" w:styleId="JuLista">
    <w:name w:val="Ju_List_a"/>
    <w:basedOn w:val="JuList"/>
    <w:uiPriority w:val="28"/>
    <w:qFormat/>
    <w:rsid w:val="00370830"/>
    <w:pPr>
      <w:ind w:left="346" w:firstLine="0"/>
    </w:pPr>
  </w:style>
  <w:style w:type="paragraph" w:customStyle="1" w:styleId="JuListi">
    <w:name w:val="Ju_List_i"/>
    <w:basedOn w:val="Normalny"/>
    <w:next w:val="JuLista"/>
    <w:uiPriority w:val="28"/>
    <w:qFormat/>
    <w:rsid w:val="00370830"/>
    <w:pPr>
      <w:ind w:left="794"/>
    </w:pPr>
  </w:style>
  <w:style w:type="paragraph" w:styleId="Nagwek">
    <w:name w:val="header"/>
    <w:basedOn w:val="Normalny"/>
    <w:link w:val="NagwekZnak"/>
    <w:uiPriority w:val="57"/>
    <w:semiHidden/>
    <w:rsid w:val="00370830"/>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370830"/>
    <w:rPr>
      <w:sz w:val="24"/>
      <w:lang w:val="en-GB"/>
    </w:rPr>
  </w:style>
  <w:style w:type="character" w:customStyle="1" w:styleId="Nagwek1Znak">
    <w:name w:val="Nagłówek 1 Znak"/>
    <w:basedOn w:val="Domylnaczcionkaakapitu"/>
    <w:link w:val="Nagwek1"/>
    <w:uiPriority w:val="99"/>
    <w:semiHidden/>
    <w:rsid w:val="00370830"/>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370830"/>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370830"/>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370830"/>
    <w:rPr>
      <w:rFonts w:asciiTheme="majorHAnsi" w:eastAsiaTheme="majorEastAsia" w:hAnsiTheme="majorHAnsi" w:cstheme="majorBidi"/>
      <w:b/>
      <w:bCs/>
      <w:color w:val="4D4D4D"/>
      <w:sz w:val="26"/>
      <w:szCs w:val="26"/>
      <w:lang w:val="en-GB"/>
    </w:rPr>
  </w:style>
  <w:style w:type="character" w:customStyle="1" w:styleId="JUNAMES">
    <w:name w:val="JU_NAMES"/>
    <w:uiPriority w:val="17"/>
    <w:qFormat/>
    <w:rsid w:val="00370830"/>
    <w:rPr>
      <w:caps w:val="0"/>
      <w:smallCaps/>
    </w:rPr>
  </w:style>
  <w:style w:type="paragraph" w:customStyle="1" w:styleId="JuCase">
    <w:name w:val="Ju_Case"/>
    <w:basedOn w:val="Normalny"/>
    <w:next w:val="ECHRPara"/>
    <w:uiPriority w:val="10"/>
    <w:rsid w:val="00370830"/>
    <w:pPr>
      <w:ind w:firstLine="284"/>
    </w:pPr>
    <w:rPr>
      <w:b/>
    </w:rPr>
  </w:style>
  <w:style w:type="character" w:customStyle="1" w:styleId="Nagwek3Znak">
    <w:name w:val="Nagłówek 3 Znak"/>
    <w:basedOn w:val="Domylnaczcionkaakapitu"/>
    <w:link w:val="Nagwek3"/>
    <w:uiPriority w:val="99"/>
    <w:semiHidden/>
    <w:rsid w:val="00370830"/>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370830"/>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370830"/>
    <w:rPr>
      <w:rFonts w:asciiTheme="majorHAnsi" w:eastAsiaTheme="majorEastAsia" w:hAnsiTheme="majorHAnsi" w:cstheme="majorBidi"/>
      <w:b/>
      <w:bCs/>
      <w:color w:val="808080"/>
    </w:rPr>
  </w:style>
  <w:style w:type="character" w:styleId="Wyrnieniedelikatne">
    <w:name w:val="Subtle Emphasis"/>
    <w:uiPriority w:val="99"/>
    <w:semiHidden/>
    <w:qFormat/>
    <w:rsid w:val="00370830"/>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370830"/>
    <w:pPr>
      <w:keepNext/>
      <w:keepLines/>
      <w:spacing w:before="720" w:after="240"/>
      <w:outlineLvl w:val="0"/>
    </w:pPr>
    <w:rPr>
      <w:rFonts w:asciiTheme="majorHAnsi" w:hAnsiTheme="majorHAnsi"/>
      <w:sz w:val="28"/>
    </w:rPr>
  </w:style>
  <w:style w:type="character" w:styleId="Uwydatnienie">
    <w:name w:val="Emphasis"/>
    <w:uiPriority w:val="99"/>
    <w:semiHidden/>
    <w:qFormat/>
    <w:rsid w:val="00370830"/>
    <w:rPr>
      <w:b/>
      <w:bCs/>
      <w:i/>
      <w:iCs/>
      <w:spacing w:val="10"/>
      <w:bdr w:val="none" w:sz="0" w:space="0" w:color="auto"/>
      <w:shd w:val="clear" w:color="auto" w:fill="auto"/>
    </w:rPr>
  </w:style>
  <w:style w:type="paragraph" w:styleId="Stopka">
    <w:name w:val="footer"/>
    <w:basedOn w:val="Normalny"/>
    <w:link w:val="StopkaZnak"/>
    <w:uiPriority w:val="57"/>
    <w:semiHidden/>
    <w:rsid w:val="00370830"/>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370830"/>
    <w:rPr>
      <w:sz w:val="24"/>
      <w:lang w:val="en-GB"/>
    </w:rPr>
  </w:style>
  <w:style w:type="character" w:styleId="Odwoanieprzypisudolnego">
    <w:name w:val="footnote reference"/>
    <w:basedOn w:val="Domylnaczcionkaakapitu"/>
    <w:uiPriority w:val="99"/>
    <w:semiHidden/>
    <w:rsid w:val="00370830"/>
    <w:rPr>
      <w:vertAlign w:val="superscript"/>
    </w:rPr>
  </w:style>
  <w:style w:type="paragraph" w:styleId="Tekstprzypisudolnego">
    <w:name w:val="footnote text"/>
    <w:basedOn w:val="Normalny"/>
    <w:link w:val="TekstprzypisudolnegoZnak"/>
    <w:uiPriority w:val="99"/>
    <w:semiHidden/>
    <w:rsid w:val="00370830"/>
    <w:rPr>
      <w:sz w:val="20"/>
      <w:szCs w:val="20"/>
    </w:rPr>
  </w:style>
  <w:style w:type="character" w:customStyle="1" w:styleId="TekstprzypisudolnegoZnak">
    <w:name w:val="Tekst przypisu dolnego Znak"/>
    <w:basedOn w:val="Domylnaczcionkaakapitu"/>
    <w:link w:val="Tekstprzypisudolnego"/>
    <w:uiPriority w:val="99"/>
    <w:semiHidden/>
    <w:rsid w:val="00370830"/>
    <w:rPr>
      <w:rFonts w:eastAsiaTheme="minorEastAsia"/>
      <w:sz w:val="20"/>
      <w:szCs w:val="20"/>
      <w:lang w:val="en-GB"/>
    </w:rPr>
  </w:style>
  <w:style w:type="character" w:customStyle="1" w:styleId="Nagwek6Znak">
    <w:name w:val="Nagłówek 6 Znak"/>
    <w:basedOn w:val="Domylnaczcionkaakapitu"/>
    <w:link w:val="Nagwek6"/>
    <w:uiPriority w:val="99"/>
    <w:semiHidden/>
    <w:rsid w:val="00370830"/>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370830"/>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370830"/>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370830"/>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370830"/>
    <w:rPr>
      <w:color w:val="0072BC" w:themeColor="hyperlink"/>
      <w:u w:val="single"/>
    </w:rPr>
  </w:style>
  <w:style w:type="character" w:styleId="Wyrnienieintensywne">
    <w:name w:val="Intense Emphasis"/>
    <w:uiPriority w:val="99"/>
    <w:semiHidden/>
    <w:qFormat/>
    <w:rsid w:val="00370830"/>
    <w:rPr>
      <w:b/>
      <w:bCs/>
    </w:rPr>
  </w:style>
  <w:style w:type="paragraph" w:styleId="Cytatintensywny">
    <w:name w:val="Intense Quote"/>
    <w:basedOn w:val="Normalny"/>
    <w:next w:val="Normalny"/>
    <w:link w:val="CytatintensywnyZnak"/>
    <w:uiPriority w:val="99"/>
    <w:semiHidden/>
    <w:qFormat/>
    <w:rsid w:val="00370830"/>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370830"/>
    <w:rPr>
      <w:rFonts w:eastAsiaTheme="minorEastAsia"/>
      <w:b/>
      <w:bCs/>
      <w:i/>
      <w:iCs/>
      <w:lang w:bidi="en-US"/>
    </w:rPr>
  </w:style>
  <w:style w:type="character" w:styleId="Odwoanieintensywne">
    <w:name w:val="Intense Reference"/>
    <w:uiPriority w:val="99"/>
    <w:semiHidden/>
    <w:qFormat/>
    <w:rsid w:val="00370830"/>
    <w:rPr>
      <w:smallCaps/>
      <w:spacing w:val="5"/>
      <w:u w:val="single"/>
    </w:rPr>
  </w:style>
  <w:style w:type="paragraph" w:styleId="Akapitzlist">
    <w:name w:val="List Paragraph"/>
    <w:basedOn w:val="Normalny"/>
    <w:uiPriority w:val="99"/>
    <w:semiHidden/>
    <w:qFormat/>
    <w:rsid w:val="00370830"/>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370830"/>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370830"/>
    <w:rPr>
      <w:rFonts w:eastAsiaTheme="minorEastAsia"/>
      <w:i/>
      <w:iCs/>
      <w:lang w:bidi="en-US"/>
    </w:rPr>
  </w:style>
  <w:style w:type="character" w:styleId="Odwoaniedelikatne">
    <w:name w:val="Subtle Reference"/>
    <w:uiPriority w:val="99"/>
    <w:semiHidden/>
    <w:qFormat/>
    <w:rsid w:val="00370830"/>
    <w:rPr>
      <w:smallCaps/>
    </w:rPr>
  </w:style>
  <w:style w:type="table" w:styleId="Tabela-Siatka">
    <w:name w:val="Table Grid"/>
    <w:basedOn w:val="Standardowy"/>
    <w:uiPriority w:val="59"/>
    <w:semiHidden/>
    <w:rsid w:val="00370830"/>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370830"/>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370830"/>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370830"/>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370830"/>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370830"/>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370830"/>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370830"/>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370830"/>
    <w:pPr>
      <w:spacing w:before="120" w:after="120"/>
      <w:ind w:left="425" w:firstLine="142"/>
    </w:pPr>
    <w:rPr>
      <w:sz w:val="20"/>
    </w:rPr>
  </w:style>
  <w:style w:type="paragraph" w:customStyle="1" w:styleId="ECHRPara">
    <w:name w:val="ECHR_Para"/>
    <w:aliases w:val="Ju_Para"/>
    <w:basedOn w:val="Normalny"/>
    <w:link w:val="ECHRParaChar"/>
    <w:uiPriority w:val="12"/>
    <w:qFormat/>
    <w:rsid w:val="00370830"/>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370830"/>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370830"/>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370830"/>
    <w:pPr>
      <w:ind w:left="340" w:hanging="340"/>
    </w:pPr>
  </w:style>
  <w:style w:type="paragraph" w:customStyle="1" w:styleId="JuSigned">
    <w:name w:val="Ju_Signed"/>
    <w:basedOn w:val="Normalny"/>
    <w:next w:val="JuParaLast"/>
    <w:uiPriority w:val="32"/>
    <w:qFormat/>
    <w:rsid w:val="00370830"/>
    <w:pPr>
      <w:tabs>
        <w:tab w:val="center" w:pos="851"/>
        <w:tab w:val="center" w:pos="6407"/>
      </w:tabs>
      <w:spacing w:before="720"/>
      <w:jc w:val="left"/>
    </w:pPr>
  </w:style>
  <w:style w:type="paragraph" w:customStyle="1" w:styleId="JuParaLast">
    <w:name w:val="Ju_Para_Last"/>
    <w:basedOn w:val="Normalny"/>
    <w:next w:val="ECHRPara"/>
    <w:uiPriority w:val="30"/>
    <w:qFormat/>
    <w:rsid w:val="00370830"/>
    <w:pPr>
      <w:keepNext/>
      <w:keepLines/>
      <w:spacing w:before="240"/>
      <w:ind w:firstLine="284"/>
    </w:pPr>
  </w:style>
  <w:style w:type="paragraph" w:customStyle="1" w:styleId="JuParaSub">
    <w:name w:val="Ju_Para_Sub"/>
    <w:basedOn w:val="ECHRPara"/>
    <w:uiPriority w:val="13"/>
    <w:qFormat/>
    <w:rsid w:val="00370830"/>
    <w:pPr>
      <w:ind w:left="284"/>
    </w:pPr>
  </w:style>
  <w:style w:type="character" w:styleId="Numerstrony">
    <w:name w:val="page number"/>
    <w:uiPriority w:val="99"/>
    <w:semiHidden/>
    <w:rsid w:val="00014566"/>
    <w:rPr>
      <w:sz w:val="18"/>
    </w:rPr>
  </w:style>
  <w:style w:type="paragraph" w:customStyle="1" w:styleId="JuQuotSub">
    <w:name w:val="Ju_Quot_Sub"/>
    <w:basedOn w:val="ECHRParaQuote"/>
    <w:uiPriority w:val="15"/>
    <w:qFormat/>
    <w:rsid w:val="00370830"/>
    <w:pPr>
      <w:ind w:left="567"/>
    </w:pPr>
  </w:style>
  <w:style w:type="paragraph" w:customStyle="1" w:styleId="JuTitle">
    <w:name w:val="Ju_Title"/>
    <w:basedOn w:val="Normalny"/>
    <w:next w:val="ECHRPara"/>
    <w:uiPriority w:val="3"/>
    <w:semiHidden/>
    <w:qFormat/>
    <w:rsid w:val="00370830"/>
    <w:pPr>
      <w:spacing w:before="720" w:after="240"/>
      <w:jc w:val="center"/>
      <w:outlineLvl w:val="0"/>
    </w:pPr>
    <w:rPr>
      <w:rFonts w:asciiTheme="majorHAnsi" w:hAnsiTheme="majorHAnsi"/>
      <w:b/>
      <w:caps/>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370830"/>
    <w:rPr>
      <w:vertAlign w:val="superscript"/>
    </w:rPr>
  </w:style>
  <w:style w:type="paragraph" w:styleId="Tekstprzypisukocowego">
    <w:name w:val="endnote text"/>
    <w:basedOn w:val="Normalny"/>
    <w:link w:val="TekstprzypisukocowegoZnak"/>
    <w:uiPriority w:val="99"/>
    <w:semiHidden/>
    <w:rsid w:val="00370830"/>
    <w:rPr>
      <w:sz w:val="20"/>
      <w:szCs w:val="20"/>
    </w:rPr>
  </w:style>
  <w:style w:type="character" w:customStyle="1" w:styleId="TekstprzypisukocowegoZnak">
    <w:name w:val="Tekst przypisu końcowego Znak"/>
    <w:basedOn w:val="Domylnaczcionkaakapitu"/>
    <w:link w:val="Tekstprzypisukocowego"/>
    <w:uiPriority w:val="99"/>
    <w:semiHidden/>
    <w:rsid w:val="00370830"/>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370830"/>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370830"/>
    <w:pPr>
      <w:ind w:left="833" w:hanging="357"/>
      <w:outlineLvl w:val="3"/>
    </w:pPr>
    <w:rPr>
      <w:b/>
      <w:i w:val="0"/>
      <w:sz w:val="20"/>
    </w:rPr>
  </w:style>
  <w:style w:type="paragraph" w:styleId="Podtytu">
    <w:name w:val="Subtitle"/>
    <w:basedOn w:val="Normalny"/>
    <w:next w:val="Normalny"/>
    <w:link w:val="PodtytuZnak"/>
    <w:uiPriority w:val="99"/>
    <w:semiHidden/>
    <w:qFormat/>
    <w:rsid w:val="00370830"/>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370830"/>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370830"/>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370830"/>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370830"/>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370830"/>
    <w:pPr>
      <w:tabs>
        <w:tab w:val="clear" w:pos="357"/>
      </w:tabs>
      <w:outlineLvl w:val="1"/>
    </w:pPr>
    <w:rPr>
      <w:b/>
    </w:rPr>
  </w:style>
  <w:style w:type="paragraph" w:customStyle="1" w:styleId="OpiHi">
    <w:name w:val="Opi_H_i"/>
    <w:basedOn w:val="ECHRHeading4"/>
    <w:uiPriority w:val="44"/>
    <w:qFormat/>
    <w:rsid w:val="00370830"/>
    <w:pPr>
      <w:ind w:left="1037" w:hanging="357"/>
      <w:outlineLvl w:val="4"/>
    </w:pPr>
    <w:rPr>
      <w:b w:val="0"/>
      <w:i/>
    </w:rPr>
  </w:style>
  <w:style w:type="paragraph" w:customStyle="1" w:styleId="OpiPara">
    <w:name w:val="Opi_Para"/>
    <w:basedOn w:val="ECHRPara"/>
    <w:uiPriority w:val="46"/>
    <w:qFormat/>
    <w:rsid w:val="00370830"/>
  </w:style>
  <w:style w:type="paragraph" w:customStyle="1" w:styleId="OpiParaSub">
    <w:name w:val="Opi_Para_Sub"/>
    <w:basedOn w:val="JuParaSub"/>
    <w:uiPriority w:val="47"/>
    <w:qFormat/>
    <w:rsid w:val="00370830"/>
  </w:style>
  <w:style w:type="paragraph" w:customStyle="1" w:styleId="OpiQuot">
    <w:name w:val="Opi_Quot"/>
    <w:basedOn w:val="ECHRParaQuote"/>
    <w:uiPriority w:val="48"/>
    <w:qFormat/>
    <w:rsid w:val="00370830"/>
  </w:style>
  <w:style w:type="paragraph" w:customStyle="1" w:styleId="OpiQuotSub">
    <w:name w:val="Opi_Quot_Sub"/>
    <w:basedOn w:val="JuQuotSub"/>
    <w:uiPriority w:val="49"/>
    <w:qFormat/>
    <w:rsid w:val="00370830"/>
  </w:style>
  <w:style w:type="paragraph" w:customStyle="1" w:styleId="OpiTranslation">
    <w:name w:val="Opi_Translation"/>
    <w:basedOn w:val="Normalny"/>
    <w:next w:val="OpiPara"/>
    <w:uiPriority w:val="40"/>
    <w:qFormat/>
    <w:rsid w:val="00370830"/>
    <w:pPr>
      <w:jc w:val="center"/>
      <w:outlineLvl w:val="0"/>
    </w:pPr>
    <w:rPr>
      <w:i/>
    </w:rPr>
  </w:style>
  <w:style w:type="paragraph" w:styleId="Poprawka">
    <w:name w:val="Revision"/>
    <w:hidden/>
    <w:uiPriority w:val="99"/>
    <w:semiHidden/>
    <w:rsid w:val="003C4DC1"/>
    <w:rPr>
      <w:rFonts w:eastAsiaTheme="minorEastAsia"/>
      <w:sz w:val="24"/>
    </w:rPr>
  </w:style>
  <w:style w:type="character" w:customStyle="1" w:styleId="ECHRParaChar">
    <w:name w:val="ECHR_Para Char"/>
    <w:aliases w:val="Ju_Para Char"/>
    <w:link w:val="ECHRPara"/>
    <w:uiPriority w:val="12"/>
    <w:rsid w:val="00F91B7E"/>
    <w:rPr>
      <w:rFonts w:eastAsiaTheme="minorEastAsia"/>
      <w:sz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370830"/>
    <w:pPr>
      <w:jc w:val="both"/>
    </w:pPr>
    <w:rPr>
      <w:rFonts w:eastAsiaTheme="minorEastAsia"/>
      <w:sz w:val="24"/>
      <w:lang w:val="en-GB"/>
    </w:rPr>
  </w:style>
  <w:style w:type="paragraph" w:styleId="Nagwek1">
    <w:name w:val="heading 1"/>
    <w:basedOn w:val="Normalny"/>
    <w:next w:val="Normalny"/>
    <w:link w:val="Nagwek1Znak"/>
    <w:uiPriority w:val="99"/>
    <w:semiHidden/>
    <w:rsid w:val="00370830"/>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370830"/>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370830"/>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370830"/>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370830"/>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370830"/>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370830"/>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370830"/>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370830"/>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370830"/>
    <w:rPr>
      <w:rFonts w:ascii="Tahoma" w:hAnsi="Tahoma" w:cs="Tahoma"/>
      <w:sz w:val="16"/>
      <w:szCs w:val="16"/>
    </w:rPr>
  </w:style>
  <w:style w:type="character" w:customStyle="1" w:styleId="TekstdymkaZnak">
    <w:name w:val="Tekst dymka Znak"/>
    <w:basedOn w:val="Domylnaczcionkaakapitu"/>
    <w:link w:val="Tekstdymka"/>
    <w:uiPriority w:val="99"/>
    <w:semiHidden/>
    <w:rsid w:val="00370830"/>
    <w:rPr>
      <w:rFonts w:ascii="Tahoma" w:eastAsiaTheme="minorEastAsia" w:hAnsi="Tahoma" w:cs="Tahoma"/>
      <w:sz w:val="16"/>
      <w:szCs w:val="16"/>
      <w:lang w:val="en-GB"/>
    </w:rPr>
  </w:style>
  <w:style w:type="character" w:styleId="Tytuksiki">
    <w:name w:val="Book Title"/>
    <w:uiPriority w:val="99"/>
    <w:semiHidden/>
    <w:qFormat/>
    <w:rsid w:val="00370830"/>
    <w:rPr>
      <w:i/>
      <w:iCs/>
      <w:smallCaps/>
      <w:spacing w:val="5"/>
    </w:rPr>
  </w:style>
  <w:style w:type="paragraph" w:customStyle="1" w:styleId="ECHRHeader">
    <w:name w:val="ECHR_Header"/>
    <w:aliases w:val="Ju_Header"/>
    <w:basedOn w:val="Nagwek"/>
    <w:uiPriority w:val="4"/>
    <w:qFormat/>
    <w:rsid w:val="00370830"/>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370830"/>
    <w:pPr>
      <w:jc w:val="left"/>
    </w:pPr>
    <w:rPr>
      <w:sz w:val="8"/>
    </w:rPr>
  </w:style>
  <w:style w:type="character" w:styleId="Pogrubienie">
    <w:name w:val="Strong"/>
    <w:uiPriority w:val="99"/>
    <w:semiHidden/>
    <w:qFormat/>
    <w:rsid w:val="00370830"/>
    <w:rPr>
      <w:b/>
      <w:bCs/>
    </w:rPr>
  </w:style>
  <w:style w:type="paragraph" w:styleId="Bezodstpw">
    <w:name w:val="No Spacing"/>
    <w:basedOn w:val="Normalny"/>
    <w:link w:val="BezodstpwZnak"/>
    <w:semiHidden/>
    <w:qFormat/>
    <w:rsid w:val="00370830"/>
    <w:rPr>
      <w:sz w:val="22"/>
      <w:lang w:val="en-US"/>
    </w:rPr>
  </w:style>
  <w:style w:type="character" w:customStyle="1" w:styleId="BezodstpwZnak">
    <w:name w:val="Bez odstępów Znak"/>
    <w:basedOn w:val="Domylnaczcionkaakapitu"/>
    <w:link w:val="Bezodstpw"/>
    <w:semiHidden/>
    <w:rsid w:val="00370830"/>
    <w:rPr>
      <w:rFonts w:eastAsiaTheme="minorEastAsia"/>
    </w:rPr>
  </w:style>
  <w:style w:type="paragraph" w:customStyle="1" w:styleId="ECHRFooterLine">
    <w:name w:val="ECHR_Footer_Line"/>
    <w:aliases w:val="Footer_Line"/>
    <w:basedOn w:val="Normalny"/>
    <w:next w:val="ECHRFooter"/>
    <w:uiPriority w:val="57"/>
    <w:semiHidden/>
    <w:rsid w:val="00370830"/>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370830"/>
  </w:style>
  <w:style w:type="paragraph" w:customStyle="1" w:styleId="DecList">
    <w:name w:val="Dec_List"/>
    <w:basedOn w:val="Normalny"/>
    <w:uiPriority w:val="9"/>
    <w:semiHidden/>
    <w:qFormat/>
    <w:rsid w:val="00370830"/>
    <w:pPr>
      <w:spacing w:before="240"/>
      <w:ind w:left="284"/>
    </w:pPr>
  </w:style>
  <w:style w:type="paragraph" w:customStyle="1" w:styleId="DummyStyle">
    <w:name w:val="Dummy_Style"/>
    <w:basedOn w:val="Normalny"/>
    <w:semiHidden/>
    <w:qFormat/>
    <w:rsid w:val="00370830"/>
    <w:rPr>
      <w:color w:val="00B050"/>
    </w:rPr>
  </w:style>
  <w:style w:type="paragraph" w:customStyle="1" w:styleId="ECHRTitleCentre3">
    <w:name w:val="ECHR_Title_Centre_3"/>
    <w:aliases w:val="Ju_H_Article"/>
    <w:basedOn w:val="Normalny"/>
    <w:next w:val="ECHRParaQuote"/>
    <w:uiPriority w:val="27"/>
    <w:qFormat/>
    <w:rsid w:val="00370830"/>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370830"/>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370830"/>
    <w:pPr>
      <w:numPr>
        <w:numId w:val="28"/>
      </w:numPr>
      <w:jc w:val="left"/>
    </w:pPr>
    <w:rPr>
      <w:b/>
    </w:rPr>
  </w:style>
  <w:style w:type="paragraph" w:customStyle="1" w:styleId="JuCourt">
    <w:name w:val="Ju_Court"/>
    <w:basedOn w:val="Normalny"/>
    <w:next w:val="Normalny"/>
    <w:uiPriority w:val="16"/>
    <w:qFormat/>
    <w:rsid w:val="00370830"/>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370830"/>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370830"/>
    <w:pPr>
      <w:spacing w:after="240"/>
      <w:jc w:val="center"/>
      <w:outlineLvl w:val="0"/>
    </w:pPr>
    <w:rPr>
      <w:rFonts w:asciiTheme="majorHAnsi" w:hAnsiTheme="majorHAnsi"/>
    </w:rPr>
  </w:style>
  <w:style w:type="paragraph" w:customStyle="1" w:styleId="JuInitialled">
    <w:name w:val="Ju_Initialled"/>
    <w:basedOn w:val="Normalny"/>
    <w:uiPriority w:val="31"/>
    <w:qFormat/>
    <w:rsid w:val="00370830"/>
    <w:pPr>
      <w:tabs>
        <w:tab w:val="center" w:pos="6407"/>
      </w:tabs>
      <w:spacing w:before="720"/>
      <w:jc w:val="right"/>
    </w:pPr>
  </w:style>
  <w:style w:type="paragraph" w:styleId="Tytu">
    <w:name w:val="Title"/>
    <w:basedOn w:val="Normalny"/>
    <w:next w:val="Normalny"/>
    <w:link w:val="TytuZnak"/>
    <w:uiPriority w:val="99"/>
    <w:semiHidden/>
    <w:qFormat/>
    <w:rsid w:val="00370830"/>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370830"/>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370830"/>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370830"/>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370830"/>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370830"/>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370830"/>
    <w:pPr>
      <w:keepNext/>
      <w:keepLines/>
      <w:spacing w:before="240" w:after="120"/>
      <w:ind w:left="1236"/>
    </w:pPr>
    <w:rPr>
      <w:sz w:val="20"/>
      <w:lang w:val="en-GB"/>
    </w:rPr>
  </w:style>
  <w:style w:type="character" w:customStyle="1" w:styleId="JuITMark">
    <w:name w:val="Ju_ITMark"/>
    <w:basedOn w:val="Domylnaczcionkaakapitu"/>
    <w:uiPriority w:val="38"/>
    <w:qFormat/>
    <w:rsid w:val="00370830"/>
    <w:rPr>
      <w:vanish w:val="0"/>
      <w:color w:val="auto"/>
      <w:sz w:val="14"/>
      <w:bdr w:val="none" w:sz="0" w:space="0" w:color="auto"/>
      <w:shd w:val="clear" w:color="auto" w:fill="BEE5FF" w:themeFill="background1" w:themeFillTint="33"/>
    </w:rPr>
  </w:style>
  <w:style w:type="paragraph" w:customStyle="1" w:styleId="JuLista">
    <w:name w:val="Ju_List_a"/>
    <w:basedOn w:val="JuList"/>
    <w:uiPriority w:val="28"/>
    <w:qFormat/>
    <w:rsid w:val="00370830"/>
    <w:pPr>
      <w:ind w:left="346" w:firstLine="0"/>
    </w:pPr>
  </w:style>
  <w:style w:type="paragraph" w:customStyle="1" w:styleId="JuListi">
    <w:name w:val="Ju_List_i"/>
    <w:basedOn w:val="Normalny"/>
    <w:next w:val="JuLista"/>
    <w:uiPriority w:val="28"/>
    <w:qFormat/>
    <w:rsid w:val="00370830"/>
    <w:pPr>
      <w:ind w:left="794"/>
    </w:pPr>
  </w:style>
  <w:style w:type="paragraph" w:styleId="Nagwek">
    <w:name w:val="header"/>
    <w:basedOn w:val="Normalny"/>
    <w:link w:val="NagwekZnak"/>
    <w:uiPriority w:val="57"/>
    <w:semiHidden/>
    <w:rsid w:val="00370830"/>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370830"/>
    <w:rPr>
      <w:sz w:val="24"/>
      <w:lang w:val="en-GB"/>
    </w:rPr>
  </w:style>
  <w:style w:type="character" w:customStyle="1" w:styleId="Nagwek1Znak">
    <w:name w:val="Nagłówek 1 Znak"/>
    <w:basedOn w:val="Domylnaczcionkaakapitu"/>
    <w:link w:val="Nagwek1"/>
    <w:uiPriority w:val="99"/>
    <w:semiHidden/>
    <w:rsid w:val="00370830"/>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370830"/>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370830"/>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370830"/>
    <w:rPr>
      <w:rFonts w:asciiTheme="majorHAnsi" w:eastAsiaTheme="majorEastAsia" w:hAnsiTheme="majorHAnsi" w:cstheme="majorBidi"/>
      <w:b/>
      <w:bCs/>
      <w:color w:val="4D4D4D"/>
      <w:sz w:val="26"/>
      <w:szCs w:val="26"/>
      <w:lang w:val="en-GB"/>
    </w:rPr>
  </w:style>
  <w:style w:type="character" w:customStyle="1" w:styleId="JUNAMES">
    <w:name w:val="JU_NAMES"/>
    <w:uiPriority w:val="17"/>
    <w:qFormat/>
    <w:rsid w:val="00370830"/>
    <w:rPr>
      <w:caps w:val="0"/>
      <w:smallCaps/>
    </w:rPr>
  </w:style>
  <w:style w:type="paragraph" w:customStyle="1" w:styleId="JuCase">
    <w:name w:val="Ju_Case"/>
    <w:basedOn w:val="Normalny"/>
    <w:next w:val="ECHRPara"/>
    <w:uiPriority w:val="10"/>
    <w:rsid w:val="00370830"/>
    <w:pPr>
      <w:ind w:firstLine="284"/>
    </w:pPr>
    <w:rPr>
      <w:b/>
    </w:rPr>
  </w:style>
  <w:style w:type="character" w:customStyle="1" w:styleId="Nagwek3Znak">
    <w:name w:val="Nagłówek 3 Znak"/>
    <w:basedOn w:val="Domylnaczcionkaakapitu"/>
    <w:link w:val="Nagwek3"/>
    <w:uiPriority w:val="99"/>
    <w:semiHidden/>
    <w:rsid w:val="00370830"/>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370830"/>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370830"/>
    <w:rPr>
      <w:rFonts w:asciiTheme="majorHAnsi" w:eastAsiaTheme="majorEastAsia" w:hAnsiTheme="majorHAnsi" w:cstheme="majorBidi"/>
      <w:b/>
      <w:bCs/>
      <w:color w:val="808080"/>
    </w:rPr>
  </w:style>
  <w:style w:type="character" w:styleId="Wyrnieniedelikatne">
    <w:name w:val="Subtle Emphasis"/>
    <w:uiPriority w:val="99"/>
    <w:semiHidden/>
    <w:qFormat/>
    <w:rsid w:val="00370830"/>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370830"/>
    <w:pPr>
      <w:keepNext/>
      <w:keepLines/>
      <w:spacing w:before="720" w:after="240"/>
      <w:outlineLvl w:val="0"/>
    </w:pPr>
    <w:rPr>
      <w:rFonts w:asciiTheme="majorHAnsi" w:hAnsiTheme="majorHAnsi"/>
      <w:sz w:val="28"/>
    </w:rPr>
  </w:style>
  <w:style w:type="character" w:styleId="Uwydatnienie">
    <w:name w:val="Emphasis"/>
    <w:uiPriority w:val="99"/>
    <w:semiHidden/>
    <w:qFormat/>
    <w:rsid w:val="00370830"/>
    <w:rPr>
      <w:b/>
      <w:bCs/>
      <w:i/>
      <w:iCs/>
      <w:spacing w:val="10"/>
      <w:bdr w:val="none" w:sz="0" w:space="0" w:color="auto"/>
      <w:shd w:val="clear" w:color="auto" w:fill="auto"/>
    </w:rPr>
  </w:style>
  <w:style w:type="paragraph" w:styleId="Stopka">
    <w:name w:val="footer"/>
    <w:basedOn w:val="Normalny"/>
    <w:link w:val="StopkaZnak"/>
    <w:uiPriority w:val="57"/>
    <w:semiHidden/>
    <w:rsid w:val="00370830"/>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370830"/>
    <w:rPr>
      <w:sz w:val="24"/>
      <w:lang w:val="en-GB"/>
    </w:rPr>
  </w:style>
  <w:style w:type="character" w:styleId="Odwoanieprzypisudolnego">
    <w:name w:val="footnote reference"/>
    <w:basedOn w:val="Domylnaczcionkaakapitu"/>
    <w:uiPriority w:val="99"/>
    <w:semiHidden/>
    <w:rsid w:val="00370830"/>
    <w:rPr>
      <w:vertAlign w:val="superscript"/>
    </w:rPr>
  </w:style>
  <w:style w:type="paragraph" w:styleId="Tekstprzypisudolnego">
    <w:name w:val="footnote text"/>
    <w:basedOn w:val="Normalny"/>
    <w:link w:val="TekstprzypisudolnegoZnak"/>
    <w:uiPriority w:val="99"/>
    <w:semiHidden/>
    <w:rsid w:val="00370830"/>
    <w:rPr>
      <w:sz w:val="20"/>
      <w:szCs w:val="20"/>
    </w:rPr>
  </w:style>
  <w:style w:type="character" w:customStyle="1" w:styleId="TekstprzypisudolnegoZnak">
    <w:name w:val="Tekst przypisu dolnego Znak"/>
    <w:basedOn w:val="Domylnaczcionkaakapitu"/>
    <w:link w:val="Tekstprzypisudolnego"/>
    <w:uiPriority w:val="99"/>
    <w:semiHidden/>
    <w:rsid w:val="00370830"/>
    <w:rPr>
      <w:rFonts w:eastAsiaTheme="minorEastAsia"/>
      <w:sz w:val="20"/>
      <w:szCs w:val="20"/>
      <w:lang w:val="en-GB"/>
    </w:rPr>
  </w:style>
  <w:style w:type="character" w:customStyle="1" w:styleId="Nagwek6Znak">
    <w:name w:val="Nagłówek 6 Znak"/>
    <w:basedOn w:val="Domylnaczcionkaakapitu"/>
    <w:link w:val="Nagwek6"/>
    <w:uiPriority w:val="99"/>
    <w:semiHidden/>
    <w:rsid w:val="00370830"/>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370830"/>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370830"/>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370830"/>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370830"/>
    <w:rPr>
      <w:color w:val="0072BC" w:themeColor="hyperlink"/>
      <w:u w:val="single"/>
    </w:rPr>
  </w:style>
  <w:style w:type="character" w:styleId="Wyrnienieintensywne">
    <w:name w:val="Intense Emphasis"/>
    <w:uiPriority w:val="99"/>
    <w:semiHidden/>
    <w:qFormat/>
    <w:rsid w:val="00370830"/>
    <w:rPr>
      <w:b/>
      <w:bCs/>
    </w:rPr>
  </w:style>
  <w:style w:type="paragraph" w:styleId="Cytatintensywny">
    <w:name w:val="Intense Quote"/>
    <w:basedOn w:val="Normalny"/>
    <w:next w:val="Normalny"/>
    <w:link w:val="CytatintensywnyZnak"/>
    <w:uiPriority w:val="99"/>
    <w:semiHidden/>
    <w:qFormat/>
    <w:rsid w:val="00370830"/>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370830"/>
    <w:rPr>
      <w:rFonts w:eastAsiaTheme="minorEastAsia"/>
      <w:b/>
      <w:bCs/>
      <w:i/>
      <w:iCs/>
      <w:lang w:bidi="en-US"/>
    </w:rPr>
  </w:style>
  <w:style w:type="character" w:styleId="Odwoanieintensywne">
    <w:name w:val="Intense Reference"/>
    <w:uiPriority w:val="99"/>
    <w:semiHidden/>
    <w:qFormat/>
    <w:rsid w:val="00370830"/>
    <w:rPr>
      <w:smallCaps/>
      <w:spacing w:val="5"/>
      <w:u w:val="single"/>
    </w:rPr>
  </w:style>
  <w:style w:type="paragraph" w:styleId="Akapitzlist">
    <w:name w:val="List Paragraph"/>
    <w:basedOn w:val="Normalny"/>
    <w:uiPriority w:val="99"/>
    <w:semiHidden/>
    <w:qFormat/>
    <w:rsid w:val="00370830"/>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370830"/>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370830"/>
    <w:rPr>
      <w:rFonts w:eastAsiaTheme="minorEastAsia"/>
      <w:i/>
      <w:iCs/>
      <w:lang w:bidi="en-US"/>
    </w:rPr>
  </w:style>
  <w:style w:type="character" w:styleId="Odwoaniedelikatne">
    <w:name w:val="Subtle Reference"/>
    <w:uiPriority w:val="99"/>
    <w:semiHidden/>
    <w:qFormat/>
    <w:rsid w:val="00370830"/>
    <w:rPr>
      <w:smallCaps/>
    </w:rPr>
  </w:style>
  <w:style w:type="table" w:styleId="Tabela-Siatka">
    <w:name w:val="Table Grid"/>
    <w:basedOn w:val="Standardowy"/>
    <w:uiPriority w:val="59"/>
    <w:semiHidden/>
    <w:rsid w:val="00370830"/>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370830"/>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370830"/>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370830"/>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370830"/>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370830"/>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370830"/>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370830"/>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370830"/>
    <w:pPr>
      <w:spacing w:before="120" w:after="120"/>
      <w:ind w:left="425" w:firstLine="142"/>
    </w:pPr>
    <w:rPr>
      <w:sz w:val="20"/>
    </w:rPr>
  </w:style>
  <w:style w:type="paragraph" w:customStyle="1" w:styleId="ECHRPara">
    <w:name w:val="ECHR_Para"/>
    <w:aliases w:val="Ju_Para"/>
    <w:basedOn w:val="Normalny"/>
    <w:link w:val="ECHRParaChar"/>
    <w:uiPriority w:val="12"/>
    <w:qFormat/>
    <w:rsid w:val="00370830"/>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370830"/>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370830"/>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370830"/>
    <w:pPr>
      <w:ind w:left="340" w:hanging="340"/>
    </w:pPr>
  </w:style>
  <w:style w:type="paragraph" w:customStyle="1" w:styleId="JuSigned">
    <w:name w:val="Ju_Signed"/>
    <w:basedOn w:val="Normalny"/>
    <w:next w:val="JuParaLast"/>
    <w:uiPriority w:val="32"/>
    <w:qFormat/>
    <w:rsid w:val="00370830"/>
    <w:pPr>
      <w:tabs>
        <w:tab w:val="center" w:pos="851"/>
        <w:tab w:val="center" w:pos="6407"/>
      </w:tabs>
      <w:spacing w:before="720"/>
      <w:jc w:val="left"/>
    </w:pPr>
  </w:style>
  <w:style w:type="paragraph" w:customStyle="1" w:styleId="JuParaLast">
    <w:name w:val="Ju_Para_Last"/>
    <w:basedOn w:val="Normalny"/>
    <w:next w:val="ECHRPara"/>
    <w:uiPriority w:val="30"/>
    <w:qFormat/>
    <w:rsid w:val="00370830"/>
    <w:pPr>
      <w:keepNext/>
      <w:keepLines/>
      <w:spacing w:before="240"/>
      <w:ind w:firstLine="284"/>
    </w:pPr>
  </w:style>
  <w:style w:type="paragraph" w:customStyle="1" w:styleId="JuParaSub">
    <w:name w:val="Ju_Para_Sub"/>
    <w:basedOn w:val="ECHRPara"/>
    <w:uiPriority w:val="13"/>
    <w:qFormat/>
    <w:rsid w:val="00370830"/>
    <w:pPr>
      <w:ind w:left="284"/>
    </w:pPr>
  </w:style>
  <w:style w:type="character" w:styleId="Numerstrony">
    <w:name w:val="page number"/>
    <w:uiPriority w:val="99"/>
    <w:semiHidden/>
    <w:rsid w:val="00014566"/>
    <w:rPr>
      <w:sz w:val="18"/>
    </w:rPr>
  </w:style>
  <w:style w:type="paragraph" w:customStyle="1" w:styleId="JuQuotSub">
    <w:name w:val="Ju_Quot_Sub"/>
    <w:basedOn w:val="ECHRParaQuote"/>
    <w:uiPriority w:val="15"/>
    <w:qFormat/>
    <w:rsid w:val="00370830"/>
    <w:pPr>
      <w:ind w:left="567"/>
    </w:pPr>
  </w:style>
  <w:style w:type="paragraph" w:customStyle="1" w:styleId="JuTitle">
    <w:name w:val="Ju_Title"/>
    <w:basedOn w:val="Normalny"/>
    <w:next w:val="ECHRPara"/>
    <w:uiPriority w:val="3"/>
    <w:semiHidden/>
    <w:qFormat/>
    <w:rsid w:val="00370830"/>
    <w:pPr>
      <w:spacing w:before="720" w:after="240"/>
      <w:jc w:val="center"/>
      <w:outlineLvl w:val="0"/>
    </w:pPr>
    <w:rPr>
      <w:rFonts w:asciiTheme="majorHAnsi" w:hAnsiTheme="majorHAnsi"/>
      <w:b/>
      <w:caps/>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370830"/>
    <w:rPr>
      <w:vertAlign w:val="superscript"/>
    </w:rPr>
  </w:style>
  <w:style w:type="paragraph" w:styleId="Tekstprzypisukocowego">
    <w:name w:val="endnote text"/>
    <w:basedOn w:val="Normalny"/>
    <w:link w:val="TekstprzypisukocowegoZnak"/>
    <w:uiPriority w:val="99"/>
    <w:semiHidden/>
    <w:rsid w:val="00370830"/>
    <w:rPr>
      <w:sz w:val="20"/>
      <w:szCs w:val="20"/>
    </w:rPr>
  </w:style>
  <w:style w:type="character" w:customStyle="1" w:styleId="TekstprzypisukocowegoZnak">
    <w:name w:val="Tekst przypisu końcowego Znak"/>
    <w:basedOn w:val="Domylnaczcionkaakapitu"/>
    <w:link w:val="Tekstprzypisukocowego"/>
    <w:uiPriority w:val="99"/>
    <w:semiHidden/>
    <w:rsid w:val="00370830"/>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370830"/>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370830"/>
    <w:pPr>
      <w:ind w:left="833" w:hanging="357"/>
      <w:outlineLvl w:val="3"/>
    </w:pPr>
    <w:rPr>
      <w:b/>
      <w:i w:val="0"/>
      <w:sz w:val="20"/>
    </w:rPr>
  </w:style>
  <w:style w:type="paragraph" w:styleId="Podtytu">
    <w:name w:val="Subtitle"/>
    <w:basedOn w:val="Normalny"/>
    <w:next w:val="Normalny"/>
    <w:link w:val="PodtytuZnak"/>
    <w:uiPriority w:val="99"/>
    <w:semiHidden/>
    <w:qFormat/>
    <w:rsid w:val="00370830"/>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370830"/>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370830"/>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370830"/>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370830"/>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370830"/>
    <w:pPr>
      <w:tabs>
        <w:tab w:val="clear" w:pos="357"/>
      </w:tabs>
      <w:outlineLvl w:val="1"/>
    </w:pPr>
    <w:rPr>
      <w:b/>
    </w:rPr>
  </w:style>
  <w:style w:type="paragraph" w:customStyle="1" w:styleId="OpiHi">
    <w:name w:val="Opi_H_i"/>
    <w:basedOn w:val="ECHRHeading4"/>
    <w:uiPriority w:val="44"/>
    <w:qFormat/>
    <w:rsid w:val="00370830"/>
    <w:pPr>
      <w:ind w:left="1037" w:hanging="357"/>
      <w:outlineLvl w:val="4"/>
    </w:pPr>
    <w:rPr>
      <w:b w:val="0"/>
      <w:i/>
    </w:rPr>
  </w:style>
  <w:style w:type="paragraph" w:customStyle="1" w:styleId="OpiPara">
    <w:name w:val="Opi_Para"/>
    <w:basedOn w:val="ECHRPara"/>
    <w:uiPriority w:val="46"/>
    <w:qFormat/>
    <w:rsid w:val="00370830"/>
  </w:style>
  <w:style w:type="paragraph" w:customStyle="1" w:styleId="OpiParaSub">
    <w:name w:val="Opi_Para_Sub"/>
    <w:basedOn w:val="JuParaSub"/>
    <w:uiPriority w:val="47"/>
    <w:qFormat/>
    <w:rsid w:val="00370830"/>
  </w:style>
  <w:style w:type="paragraph" w:customStyle="1" w:styleId="OpiQuot">
    <w:name w:val="Opi_Quot"/>
    <w:basedOn w:val="ECHRParaQuote"/>
    <w:uiPriority w:val="48"/>
    <w:qFormat/>
    <w:rsid w:val="00370830"/>
  </w:style>
  <w:style w:type="paragraph" w:customStyle="1" w:styleId="OpiQuotSub">
    <w:name w:val="Opi_Quot_Sub"/>
    <w:basedOn w:val="JuQuotSub"/>
    <w:uiPriority w:val="49"/>
    <w:qFormat/>
    <w:rsid w:val="00370830"/>
  </w:style>
  <w:style w:type="paragraph" w:customStyle="1" w:styleId="OpiTranslation">
    <w:name w:val="Opi_Translation"/>
    <w:basedOn w:val="Normalny"/>
    <w:next w:val="OpiPara"/>
    <w:uiPriority w:val="40"/>
    <w:qFormat/>
    <w:rsid w:val="00370830"/>
    <w:pPr>
      <w:jc w:val="center"/>
      <w:outlineLvl w:val="0"/>
    </w:pPr>
    <w:rPr>
      <w:i/>
    </w:rPr>
  </w:style>
  <w:style w:type="paragraph" w:styleId="Poprawka">
    <w:name w:val="Revision"/>
    <w:hidden/>
    <w:uiPriority w:val="99"/>
    <w:semiHidden/>
    <w:rsid w:val="003C4DC1"/>
    <w:rPr>
      <w:rFonts w:eastAsiaTheme="minorEastAsia"/>
      <w:sz w:val="24"/>
    </w:rPr>
  </w:style>
  <w:style w:type="character" w:customStyle="1" w:styleId="ECHRParaChar">
    <w:name w:val="ECHR_Para Char"/>
    <w:aliases w:val="Ju_Para Char"/>
    <w:link w:val="ECHRPara"/>
    <w:uiPriority w:val="12"/>
    <w:rsid w:val="00F91B7E"/>
    <w:rPr>
      <w:rFonts w:eastAsiaTheme="minorEastAsia"/>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B14560-8C65-4B45-B3D3-6EDB844125F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08A03A-F180-43CC-92B4-E673CE5C28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58032F10-0A50-429E-B831-EF1135589EB6}">
  <ds:schemaRefs>
    <ds:schemaRef ds:uri="http://schemas.microsoft.com/sharepoint/v3/contenttype/forms"/>
  </ds:schemaRefs>
</ds:datastoreItem>
</file>

<file path=customXml/itemProps4.xml><?xml version="1.0" encoding="utf-8"?>
<ds:datastoreItem xmlns:ds="http://schemas.openxmlformats.org/officeDocument/2006/customXml" ds:itemID="{3D9B745D-06E0-4A58-95D2-FCDF532C9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2435</Words>
  <Characters>14613</Characters>
  <Application>Microsoft Office Word</Application>
  <DocSecurity>0</DocSecurity>
  <Lines>121</Lines>
  <Paragraphs>34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17014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2017-11-16T10:39:00Z</cp:lastPrinted>
  <dcterms:created xsi:type="dcterms:W3CDTF">2018-08-31T07:23:00Z</dcterms:created>
  <dcterms:modified xsi:type="dcterms:W3CDTF">2018-08-31T07:23:00Z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47580/13</vt:lpwstr>
  </property>
  <property fmtid="{D5CDD505-2E9C-101B-9397-08002B2CF9AE}" pid="4" name="CASEID">
    <vt:lpwstr>898204</vt:lpwstr>
  </property>
  <property fmtid="{D5CDD505-2E9C-101B-9397-08002B2CF9AE}" pid="5" name="ContentTypeId">
    <vt:lpwstr>0x010100558EB02BDB9E204AB350EDD385B68E10</vt:lpwstr>
  </property>
</Properties>
</file>