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805CA" w:rsidRDefault="00014566" w:rsidP="007805CA">
      <w:pPr>
        <w:jc w:val="center"/>
      </w:pPr>
      <w:bookmarkStart w:id="0" w:name="_GoBack"/>
      <w:bookmarkEnd w:id="0"/>
    </w:p>
    <w:p w:rsidR="00B5078E" w:rsidRPr="007805CA" w:rsidRDefault="00B5078E" w:rsidP="007805CA">
      <w:pPr>
        <w:jc w:val="center"/>
      </w:pPr>
    </w:p>
    <w:p w:rsidR="00B5078E" w:rsidRPr="007805CA" w:rsidRDefault="00B5078E" w:rsidP="007805CA">
      <w:pPr>
        <w:jc w:val="center"/>
      </w:pPr>
    </w:p>
    <w:p w:rsidR="00014566" w:rsidRPr="007805CA" w:rsidRDefault="00CC5AEA" w:rsidP="007805CA">
      <w:pPr>
        <w:jc w:val="center"/>
      </w:pPr>
      <w:r w:rsidRPr="007805CA">
        <w:t>FIRST SECTION</w:t>
      </w:r>
    </w:p>
    <w:p w:rsidR="00014566" w:rsidRPr="007805CA" w:rsidRDefault="00014566" w:rsidP="007805CA">
      <w:pPr>
        <w:jc w:val="center"/>
      </w:pPr>
    </w:p>
    <w:p w:rsidR="00B5078E" w:rsidRPr="007805CA" w:rsidRDefault="00B5078E" w:rsidP="007805CA">
      <w:pPr>
        <w:jc w:val="center"/>
      </w:pPr>
    </w:p>
    <w:p w:rsidR="00B5078E" w:rsidRPr="007805CA" w:rsidRDefault="00B5078E" w:rsidP="007805CA">
      <w:pPr>
        <w:jc w:val="center"/>
      </w:pPr>
    </w:p>
    <w:p w:rsidR="00B5078E" w:rsidRPr="007805CA" w:rsidRDefault="00B5078E" w:rsidP="007805CA">
      <w:pPr>
        <w:jc w:val="center"/>
      </w:pPr>
    </w:p>
    <w:p w:rsidR="00B5078E" w:rsidRPr="007805CA" w:rsidRDefault="00B5078E" w:rsidP="007805CA">
      <w:pPr>
        <w:jc w:val="center"/>
      </w:pPr>
    </w:p>
    <w:p w:rsidR="00B5078E" w:rsidRPr="007805CA" w:rsidRDefault="00B5078E" w:rsidP="007805CA">
      <w:pPr>
        <w:jc w:val="center"/>
      </w:pPr>
    </w:p>
    <w:p w:rsidR="00014566" w:rsidRPr="007805CA" w:rsidRDefault="00014566" w:rsidP="007805CA">
      <w:pPr>
        <w:jc w:val="center"/>
        <w:rPr>
          <w:b/>
        </w:rPr>
      </w:pPr>
      <w:bookmarkStart w:id="1" w:name="To"/>
      <w:r w:rsidRPr="007805CA">
        <w:rPr>
          <w:b/>
        </w:rPr>
        <w:t xml:space="preserve">CASE OF </w:t>
      </w:r>
      <w:bookmarkEnd w:id="1"/>
      <w:r w:rsidR="00CC5AEA" w:rsidRPr="007805CA">
        <w:rPr>
          <w:b/>
        </w:rPr>
        <w:t>ZIELIŃSKI v. POLAND</w:t>
      </w:r>
    </w:p>
    <w:p w:rsidR="00014566" w:rsidRPr="007805CA" w:rsidRDefault="00014566" w:rsidP="007805CA">
      <w:pPr>
        <w:jc w:val="center"/>
      </w:pPr>
    </w:p>
    <w:p w:rsidR="00014566" w:rsidRPr="007805CA" w:rsidRDefault="00014566" w:rsidP="007805CA">
      <w:pPr>
        <w:jc w:val="center"/>
        <w:rPr>
          <w:i/>
        </w:rPr>
      </w:pPr>
      <w:r w:rsidRPr="007805CA">
        <w:rPr>
          <w:i/>
        </w:rPr>
        <w:t>(</w:t>
      </w:r>
      <w:r w:rsidR="00CC5AEA" w:rsidRPr="007805CA">
        <w:rPr>
          <w:i/>
        </w:rPr>
        <w:t>Application no. 43924/12</w:t>
      </w:r>
      <w:r w:rsidRPr="007805CA">
        <w:rPr>
          <w:i/>
        </w:rPr>
        <w:t>)</w:t>
      </w:r>
    </w:p>
    <w:p w:rsidR="00014566" w:rsidRPr="007805CA" w:rsidRDefault="00014566" w:rsidP="007805CA">
      <w:pPr>
        <w:jc w:val="center"/>
      </w:pPr>
    </w:p>
    <w:p w:rsidR="00014566" w:rsidRPr="007805CA" w:rsidRDefault="00014566" w:rsidP="007805CA">
      <w:pPr>
        <w:jc w:val="center"/>
      </w:pPr>
    </w:p>
    <w:p w:rsidR="00014566" w:rsidRPr="007805CA" w:rsidRDefault="00014566" w:rsidP="007805CA">
      <w:pPr>
        <w:jc w:val="center"/>
      </w:pPr>
    </w:p>
    <w:p w:rsidR="00014566" w:rsidRPr="007805CA" w:rsidRDefault="00014566" w:rsidP="007805CA">
      <w:pPr>
        <w:jc w:val="center"/>
      </w:pPr>
    </w:p>
    <w:p w:rsidR="00A17510" w:rsidRPr="007805CA" w:rsidRDefault="00A17510" w:rsidP="007805CA">
      <w:pPr>
        <w:jc w:val="center"/>
      </w:pPr>
    </w:p>
    <w:p w:rsidR="00A17510" w:rsidRPr="007805CA" w:rsidRDefault="00A17510" w:rsidP="007805CA">
      <w:pPr>
        <w:jc w:val="center"/>
      </w:pPr>
    </w:p>
    <w:p w:rsidR="00A17510" w:rsidRPr="007805CA" w:rsidRDefault="00A17510" w:rsidP="007805CA">
      <w:pPr>
        <w:jc w:val="center"/>
      </w:pPr>
    </w:p>
    <w:p w:rsidR="00A17510" w:rsidRPr="007805CA" w:rsidRDefault="00A17510" w:rsidP="007805CA">
      <w:pPr>
        <w:jc w:val="center"/>
      </w:pPr>
    </w:p>
    <w:p w:rsidR="00A17510" w:rsidRPr="007805CA" w:rsidRDefault="00A17510" w:rsidP="007805CA">
      <w:pPr>
        <w:jc w:val="center"/>
      </w:pPr>
    </w:p>
    <w:p w:rsidR="00014566" w:rsidRPr="007805CA" w:rsidRDefault="00014566" w:rsidP="007805CA">
      <w:pPr>
        <w:jc w:val="center"/>
      </w:pPr>
    </w:p>
    <w:p w:rsidR="00014566" w:rsidRPr="007805CA" w:rsidRDefault="00014566" w:rsidP="007805CA">
      <w:pPr>
        <w:jc w:val="center"/>
      </w:pPr>
    </w:p>
    <w:p w:rsidR="00014566" w:rsidRPr="007805CA" w:rsidRDefault="00014566" w:rsidP="007805CA">
      <w:pPr>
        <w:jc w:val="center"/>
      </w:pPr>
    </w:p>
    <w:p w:rsidR="00014566" w:rsidRPr="007805CA" w:rsidRDefault="00014566" w:rsidP="007805CA">
      <w:pPr>
        <w:jc w:val="center"/>
      </w:pPr>
    </w:p>
    <w:p w:rsidR="00B5078E" w:rsidRPr="007805CA" w:rsidRDefault="00B5078E" w:rsidP="007805CA">
      <w:pPr>
        <w:jc w:val="center"/>
      </w:pPr>
      <w:r w:rsidRPr="007805CA">
        <w:t>JUDGMENT</w:t>
      </w:r>
    </w:p>
    <w:p w:rsidR="00B5078E" w:rsidRPr="007805CA" w:rsidRDefault="00B5078E" w:rsidP="007805CA">
      <w:pPr>
        <w:jc w:val="center"/>
        <w:rPr>
          <w:szCs w:val="24"/>
        </w:rPr>
      </w:pPr>
    </w:p>
    <w:p w:rsidR="00B5078E" w:rsidRPr="007805CA" w:rsidRDefault="00B5078E" w:rsidP="007805CA">
      <w:pPr>
        <w:jc w:val="center"/>
        <w:rPr>
          <w:szCs w:val="24"/>
        </w:rPr>
      </w:pPr>
    </w:p>
    <w:p w:rsidR="00A17510" w:rsidRPr="007805CA" w:rsidRDefault="00A17510" w:rsidP="007805CA">
      <w:pPr>
        <w:jc w:val="center"/>
        <w:rPr>
          <w:szCs w:val="24"/>
        </w:rPr>
      </w:pPr>
    </w:p>
    <w:p w:rsidR="00B5078E" w:rsidRPr="007805CA" w:rsidRDefault="00B5078E" w:rsidP="007805CA">
      <w:pPr>
        <w:jc w:val="center"/>
        <w:rPr>
          <w:szCs w:val="24"/>
        </w:rPr>
      </w:pPr>
      <w:r w:rsidRPr="007805CA">
        <w:rPr>
          <w:szCs w:val="24"/>
        </w:rPr>
        <w:t>STRASBOURG</w:t>
      </w:r>
    </w:p>
    <w:p w:rsidR="00B5078E" w:rsidRPr="007805CA" w:rsidRDefault="00B5078E" w:rsidP="007805CA">
      <w:pPr>
        <w:jc w:val="center"/>
        <w:rPr>
          <w:szCs w:val="24"/>
        </w:rPr>
      </w:pPr>
    </w:p>
    <w:p w:rsidR="00B5078E" w:rsidRPr="007805CA" w:rsidRDefault="007805CA" w:rsidP="007805CA">
      <w:pPr>
        <w:jc w:val="center"/>
        <w:rPr>
          <w:szCs w:val="24"/>
        </w:rPr>
      </w:pPr>
      <w:r w:rsidRPr="007805CA">
        <w:rPr>
          <w:szCs w:val="24"/>
        </w:rPr>
        <w:t>5 July 201</w:t>
      </w:r>
      <w:r w:rsidR="00B5078E" w:rsidRPr="007805CA">
        <w:rPr>
          <w:szCs w:val="24"/>
        </w:rPr>
        <w:t>8</w:t>
      </w:r>
    </w:p>
    <w:p w:rsidR="00B5078E" w:rsidRPr="007805CA" w:rsidRDefault="00B5078E" w:rsidP="007805CA">
      <w:pPr>
        <w:jc w:val="center"/>
        <w:rPr>
          <w:szCs w:val="24"/>
        </w:rPr>
      </w:pPr>
    </w:p>
    <w:p w:rsidR="00B5078E" w:rsidRPr="007805CA" w:rsidRDefault="00B5078E" w:rsidP="007805CA">
      <w:pPr>
        <w:jc w:val="center"/>
        <w:rPr>
          <w:szCs w:val="24"/>
        </w:rPr>
      </w:pPr>
    </w:p>
    <w:p w:rsidR="00B5078E" w:rsidRPr="007805CA" w:rsidRDefault="00B5078E" w:rsidP="007805CA">
      <w:pPr>
        <w:jc w:val="center"/>
        <w:rPr>
          <w:szCs w:val="24"/>
        </w:rPr>
      </w:pPr>
    </w:p>
    <w:p w:rsidR="00B5078E" w:rsidRPr="007805CA" w:rsidRDefault="00B5078E" w:rsidP="007805CA">
      <w:pPr>
        <w:jc w:val="center"/>
        <w:rPr>
          <w:i/>
          <w:sz w:val="22"/>
          <w:szCs w:val="24"/>
        </w:rPr>
      </w:pPr>
      <w:r w:rsidRPr="007805CA">
        <w:rPr>
          <w:i/>
          <w:sz w:val="22"/>
          <w:szCs w:val="24"/>
        </w:rPr>
        <w:t>This judgment is final but it may be subject to editorial revision.</w:t>
      </w:r>
    </w:p>
    <w:p w:rsidR="00B5078E" w:rsidRPr="007805CA" w:rsidRDefault="00B5078E" w:rsidP="007805CA">
      <w:pPr>
        <w:rPr>
          <w:i/>
          <w:sz w:val="22"/>
          <w:szCs w:val="24"/>
        </w:rPr>
        <w:sectPr w:rsidR="00B5078E" w:rsidRPr="007805CA" w:rsidSect="00B5078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7805CA" w:rsidRDefault="00014566" w:rsidP="007805CA">
      <w:pPr>
        <w:pStyle w:val="JuCase"/>
        <w:ind w:firstLine="0"/>
        <w:rPr>
          <w:bCs/>
        </w:rPr>
      </w:pPr>
      <w:r w:rsidRPr="007805CA">
        <w:lastRenderedPageBreak/>
        <w:t xml:space="preserve">In the case of </w:t>
      </w:r>
      <w:r w:rsidR="00CC5AEA" w:rsidRPr="007805CA">
        <w:t>Zieliński v. Poland</w:t>
      </w:r>
      <w:r w:rsidRPr="007805CA">
        <w:t>,</w:t>
      </w:r>
    </w:p>
    <w:p w:rsidR="00014566" w:rsidRPr="007805CA" w:rsidRDefault="00014566" w:rsidP="007805CA">
      <w:pPr>
        <w:pStyle w:val="ECHRPara"/>
      </w:pPr>
      <w:r w:rsidRPr="007805CA">
        <w:t>The European Court of Human Rights (</w:t>
      </w:r>
      <w:r w:rsidR="00CC5AEA" w:rsidRPr="007805CA">
        <w:t>First Section</w:t>
      </w:r>
      <w:r w:rsidRPr="007805CA">
        <w:t xml:space="preserve">), sitting as </w:t>
      </w:r>
      <w:r w:rsidR="00A17510" w:rsidRPr="007805CA">
        <w:t xml:space="preserve">a </w:t>
      </w:r>
      <w:r w:rsidR="00CC5AEA" w:rsidRPr="007805CA">
        <w:t>Committee</w:t>
      </w:r>
      <w:r w:rsidRPr="007805CA">
        <w:t xml:space="preserve"> composed of:</w:t>
      </w:r>
    </w:p>
    <w:p w:rsidR="00014566" w:rsidRPr="007805CA" w:rsidRDefault="00B5078E" w:rsidP="007805CA">
      <w:pPr>
        <w:pStyle w:val="ECHRDecisionBody"/>
      </w:pPr>
      <w:r w:rsidRPr="007805CA">
        <w:tab/>
        <w:t>Aleš Pejchal,</w:t>
      </w:r>
      <w:r w:rsidRPr="007805CA">
        <w:rPr>
          <w:i/>
        </w:rPr>
        <w:t xml:space="preserve"> President,</w:t>
      </w:r>
      <w:r w:rsidRPr="007805CA">
        <w:rPr>
          <w:i/>
        </w:rPr>
        <w:br/>
      </w:r>
      <w:r w:rsidRPr="007805CA">
        <w:tab/>
        <w:t>Armen Harutyunyan,</w:t>
      </w:r>
      <w:r w:rsidRPr="007805CA">
        <w:rPr>
          <w:i/>
        </w:rPr>
        <w:br/>
      </w:r>
      <w:r w:rsidRPr="007805CA">
        <w:tab/>
        <w:t>Jovan Ilievski,</w:t>
      </w:r>
      <w:r w:rsidRPr="007805CA">
        <w:rPr>
          <w:i/>
        </w:rPr>
        <w:t xml:space="preserve"> judges,</w:t>
      </w:r>
      <w:r w:rsidR="00014566" w:rsidRPr="007805CA">
        <w:rPr>
          <w:szCs w:val="24"/>
        </w:rPr>
        <w:br/>
      </w:r>
      <w:r w:rsidR="00014566" w:rsidRPr="007805CA">
        <w:t xml:space="preserve">and </w:t>
      </w:r>
      <w:r w:rsidR="00CC5AEA" w:rsidRPr="007805CA">
        <w:t>Renat</w:t>
      </w:r>
      <w:r w:rsidR="00A17510" w:rsidRPr="007805CA">
        <w:t xml:space="preserve">a </w:t>
      </w:r>
      <w:r w:rsidR="00CC5AEA" w:rsidRPr="007805CA">
        <w:t>Degener</w:t>
      </w:r>
      <w:r w:rsidR="00014566" w:rsidRPr="007805CA">
        <w:t xml:space="preserve">, </w:t>
      </w:r>
      <w:r w:rsidR="00CC5AEA" w:rsidRPr="007805CA">
        <w:rPr>
          <w:i/>
        </w:rPr>
        <w:t xml:space="preserve">Deputy Section </w:t>
      </w:r>
      <w:r w:rsidR="00CC5AEA" w:rsidRPr="007805CA">
        <w:rPr>
          <w:i/>
          <w:iCs/>
        </w:rPr>
        <w:t>Registrar</w:t>
      </w:r>
      <w:r w:rsidR="00014566" w:rsidRPr="007805CA">
        <w:rPr>
          <w:i/>
        </w:rPr>
        <w:t>,</w:t>
      </w:r>
    </w:p>
    <w:p w:rsidR="00014566" w:rsidRPr="007805CA" w:rsidRDefault="00014566" w:rsidP="007805CA">
      <w:pPr>
        <w:pStyle w:val="ECHRPara"/>
      </w:pPr>
      <w:r w:rsidRPr="007805CA">
        <w:t xml:space="preserve">Having deliberated in private on </w:t>
      </w:r>
      <w:r w:rsidR="00B5078E" w:rsidRPr="007805CA">
        <w:t>12 June 2018</w:t>
      </w:r>
      <w:r w:rsidRPr="007805CA">
        <w:t>,</w:t>
      </w:r>
    </w:p>
    <w:p w:rsidR="00014566" w:rsidRPr="007805CA" w:rsidRDefault="00014566" w:rsidP="007805CA">
      <w:pPr>
        <w:pStyle w:val="ECHRPara"/>
      </w:pPr>
      <w:r w:rsidRPr="007805CA">
        <w:t>Delivers the following judgment, which was adopted on that date:</w:t>
      </w:r>
    </w:p>
    <w:p w:rsidR="00014566" w:rsidRPr="007805CA" w:rsidRDefault="00014566" w:rsidP="007805CA">
      <w:pPr>
        <w:pStyle w:val="ECHRTitle1"/>
      </w:pPr>
      <w:r w:rsidRPr="007805CA">
        <w:t>PROCEDURE</w:t>
      </w:r>
    </w:p>
    <w:p w:rsidR="00C67865"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w:t>
      </w:r>
      <w:r w:rsidRPr="007805CA">
        <w:fldChar w:fldCharType="end"/>
      </w:r>
      <w:r w:rsidR="00014566" w:rsidRPr="007805CA">
        <w:t xml:space="preserve">.  The case originated in </w:t>
      </w:r>
      <w:r w:rsidRPr="007805CA">
        <w:t>an application (no. 43924/12)</w:t>
      </w:r>
      <w:r w:rsidR="00014566" w:rsidRPr="007805CA">
        <w:t xml:space="preserve"> against </w:t>
      </w:r>
      <w:r w:rsidRPr="007805CA">
        <w:t>the Republic of Poland</w:t>
      </w:r>
      <w:r w:rsidR="00014566" w:rsidRPr="007805CA">
        <w:t xml:space="preserve"> lodged with the </w:t>
      </w:r>
      <w:r w:rsidRPr="007805CA">
        <w:t>Court under Article 34</w:t>
      </w:r>
      <w:r w:rsidR="00014566" w:rsidRPr="007805CA">
        <w:t xml:space="preserve"> of the Convention for the Protection of Human Rights and Fundamental Freedoms (“the Convention”) by </w:t>
      </w:r>
      <w:r w:rsidR="00A17510" w:rsidRPr="007805CA">
        <w:t xml:space="preserve">a </w:t>
      </w:r>
      <w:r w:rsidRPr="007805CA">
        <w:t>Polish national, Mr Ryszard Zieliński (“the applicant”), on 25 June 2012</w:t>
      </w:r>
      <w:r w:rsidR="00014566" w:rsidRPr="007805CA">
        <w:t>.</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w:t>
      </w:r>
      <w:r w:rsidRPr="007805CA">
        <w:fldChar w:fldCharType="end"/>
      </w:r>
      <w:r w:rsidR="00014566" w:rsidRPr="007805CA">
        <w:t>.  </w:t>
      </w:r>
      <w:r w:rsidRPr="007805CA">
        <w:t xml:space="preserve">The applicant was represented by Ms </w:t>
      </w:r>
      <w:r w:rsidR="00857122" w:rsidRPr="007805CA">
        <w:t>A.</w:t>
      </w:r>
      <w:r w:rsidRPr="007805CA">
        <w:t xml:space="preserve"> Plejewska, </w:t>
      </w:r>
      <w:r w:rsidR="00A17510" w:rsidRPr="007805CA">
        <w:t xml:space="preserve">a </w:t>
      </w:r>
      <w:r w:rsidRPr="007805CA">
        <w:t xml:space="preserve">lawyer practising in Gdynia. </w:t>
      </w:r>
      <w:r w:rsidR="00014566" w:rsidRPr="007805CA">
        <w:t xml:space="preserve">The </w:t>
      </w:r>
      <w:r w:rsidRPr="007805CA">
        <w:t>Polish</w:t>
      </w:r>
      <w:r w:rsidR="00014566" w:rsidRPr="007805CA">
        <w:t xml:space="preserve"> Government (“the Government”) </w:t>
      </w:r>
      <w:r w:rsidR="00E00611" w:rsidRPr="007805CA">
        <w:t>were represented by their Agent, Ms J. Chrzanowsk</w:t>
      </w:r>
      <w:r w:rsidR="00A17510" w:rsidRPr="007805CA">
        <w:t xml:space="preserve">a </w:t>
      </w:r>
      <w:r w:rsidR="00E00611" w:rsidRPr="007805CA">
        <w:t>of the Ministry of Foreign Affairs</w:t>
      </w:r>
      <w:r w:rsidR="00014566" w:rsidRPr="007805CA">
        <w:t>.</w:t>
      </w:r>
    </w:p>
    <w:p w:rsidR="00CC5AEA"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w:t>
      </w:r>
      <w:r w:rsidRPr="007805CA">
        <w:fldChar w:fldCharType="end"/>
      </w:r>
      <w:r w:rsidR="00014566" w:rsidRPr="007805CA">
        <w:t>.  </w:t>
      </w:r>
      <w:r w:rsidRPr="007805CA">
        <w:t xml:space="preserve">On </w:t>
      </w:r>
      <w:r w:rsidRPr="007805CA">
        <w:rPr>
          <w:szCs w:val="24"/>
        </w:rPr>
        <w:t>16 January 2014</w:t>
      </w:r>
      <w:r w:rsidR="00014566" w:rsidRPr="007805CA">
        <w:t xml:space="preserve"> the </w:t>
      </w:r>
      <w:r w:rsidRPr="007805CA">
        <w:rPr>
          <w:szCs w:val="24"/>
        </w:rPr>
        <w:t>application was communicated to the Government</w:t>
      </w:r>
      <w:r w:rsidR="007509D5" w:rsidRPr="007805CA">
        <w:t>.</w:t>
      </w:r>
    </w:p>
    <w:p w:rsidR="00014566" w:rsidRPr="007805CA" w:rsidRDefault="00014566" w:rsidP="007805CA">
      <w:pPr>
        <w:pStyle w:val="ECHRTitle1"/>
      </w:pPr>
      <w:r w:rsidRPr="007805CA">
        <w:t>THE FACTS</w:t>
      </w:r>
    </w:p>
    <w:p w:rsidR="00014566" w:rsidRPr="007805CA" w:rsidRDefault="00014566" w:rsidP="007805CA">
      <w:pPr>
        <w:pStyle w:val="ECHRHeading1"/>
      </w:pPr>
      <w:r w:rsidRPr="007805CA">
        <w:t>I.  THE CIRCUMSTANCES OF THE CASE</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w:t>
      </w:r>
      <w:r w:rsidRPr="007805CA">
        <w:fldChar w:fldCharType="end"/>
      </w:r>
      <w:r w:rsidR="00014566" w:rsidRPr="007805CA">
        <w:t xml:space="preserve">.  The </w:t>
      </w:r>
      <w:r w:rsidRPr="007805CA">
        <w:t>applicant was born in 1954 and lives</w:t>
      </w:r>
      <w:r w:rsidR="00014566" w:rsidRPr="007805CA">
        <w:t xml:space="preserve"> in </w:t>
      </w:r>
      <w:r w:rsidRPr="007805CA">
        <w:t>Gdynia</w:t>
      </w:r>
      <w:r w:rsidR="00014566" w:rsidRPr="007805CA">
        <w:t>.</w:t>
      </w:r>
    </w:p>
    <w:p w:rsidR="00C67865"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w:t>
      </w:r>
      <w:r w:rsidRPr="007805CA">
        <w:fldChar w:fldCharType="end"/>
      </w:r>
      <w:r w:rsidR="00014566" w:rsidRPr="007805CA">
        <w:t>.  </w:t>
      </w:r>
      <w:r w:rsidR="00446E67" w:rsidRPr="007805CA">
        <w:t>On 2 January 2007 the applicant was arrested on suspic</w:t>
      </w:r>
      <w:r w:rsidR="00857122" w:rsidRPr="007805CA">
        <w:t>ion of having committed homicide</w:t>
      </w:r>
      <w:r w:rsidR="00446E67" w:rsidRPr="007805CA">
        <w:t xml:space="preserve"> together with other persons.</w:t>
      </w:r>
    </w:p>
    <w:p w:rsidR="00014566"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6</w:t>
      </w:r>
      <w:r w:rsidRPr="007805CA">
        <w:fldChar w:fldCharType="end"/>
      </w:r>
      <w:r w:rsidRPr="007805CA">
        <w:t>.  On 5 January 2007 the Gdyni</w:t>
      </w:r>
      <w:r w:rsidR="00A17510" w:rsidRPr="007805CA">
        <w:t xml:space="preserve">a </w:t>
      </w:r>
      <w:r w:rsidRPr="007805CA">
        <w:t>District Court (</w:t>
      </w:r>
      <w:r w:rsidRPr="007805CA">
        <w:rPr>
          <w:i/>
        </w:rPr>
        <w:t>Sąd Rejonowy</w:t>
      </w:r>
      <w:r w:rsidRPr="007805CA">
        <w:t>) remanded him in custody. The court stressed the need to ensure the proper conduct of the proceedings</w:t>
      </w:r>
      <w:r w:rsidR="003B73C8" w:rsidRPr="007805CA">
        <w:t>,</w:t>
      </w:r>
      <w:r w:rsidRPr="007805CA">
        <w:t xml:space="preserve"> given that extensive evidence</w:t>
      </w:r>
      <w:r w:rsidR="005C5323" w:rsidRPr="007805CA">
        <w:t xml:space="preserve"> </w:t>
      </w:r>
      <w:r w:rsidRPr="007805CA">
        <w:t>had still to be obtained in the case</w:t>
      </w:r>
      <w:r w:rsidR="00D84985" w:rsidRPr="007805CA">
        <w:t xml:space="preserve">. It also referred to the fact </w:t>
      </w:r>
      <w:r w:rsidRPr="007805CA">
        <w:t xml:space="preserve">that the proceedings in question concerned several alleged accomplices. The court </w:t>
      </w:r>
      <w:r w:rsidR="00D84985" w:rsidRPr="007805CA">
        <w:t xml:space="preserve">further </w:t>
      </w:r>
      <w:r w:rsidRPr="007805CA">
        <w:t xml:space="preserve">relied on the likelihood that </w:t>
      </w:r>
      <w:r w:rsidR="00A17510" w:rsidRPr="007805CA">
        <w:t xml:space="preserve">a </w:t>
      </w:r>
      <w:r w:rsidRPr="007805CA">
        <w:t>severe penalty would be imposed on the applicant.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7</w:t>
      </w:r>
      <w:r w:rsidRPr="007805CA">
        <w:fldChar w:fldCharType="end"/>
      </w:r>
      <w:r w:rsidRPr="007805CA">
        <w:t xml:space="preserve">.  On 12 February 2007 the applicant applied for the preventive measure to be lifted or varied. On 15 February the District Prosecutor refused the </w:t>
      </w:r>
      <w:r w:rsidRPr="007805CA">
        <w:lastRenderedPageBreak/>
        <w:t>request</w:t>
      </w:r>
      <w:r w:rsidR="00C41AE3" w:rsidRPr="007805CA">
        <w:t>,</w:t>
      </w:r>
      <w:r w:rsidRPr="007805CA">
        <w:t xml:space="preserve"> finding that the grounds for the imposition of this measure remained valid.</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8</w:t>
      </w:r>
      <w:r w:rsidRPr="007805CA">
        <w:fldChar w:fldCharType="end"/>
      </w:r>
      <w:r w:rsidRPr="007805CA">
        <w:t>.  The applicant</w:t>
      </w:r>
      <w:r w:rsidR="007805CA" w:rsidRPr="007805CA">
        <w:t>’</w:t>
      </w:r>
      <w:r w:rsidRPr="007805CA">
        <w:t>s deten</w:t>
      </w:r>
      <w:r w:rsidR="005C5323" w:rsidRPr="007805CA">
        <w:t>tion was further extended by</w:t>
      </w:r>
      <w:r w:rsidRPr="007805CA">
        <w:t xml:space="preserve"> decisions of the Gdańsk Regional Court (</w:t>
      </w:r>
      <w:r w:rsidRPr="007805CA">
        <w:rPr>
          <w:i/>
        </w:rPr>
        <w:t>Sąd Okręgowy</w:t>
      </w:r>
      <w:r w:rsidRPr="007805CA">
        <w:t>) of 20 March, 19 June and 21</w:t>
      </w:r>
      <w:r w:rsidR="00C41AE3" w:rsidRPr="007805CA">
        <w:t> </w:t>
      </w:r>
      <w:r w:rsidRPr="007805CA">
        <w:t>August 2007. The applicant appealed against all of those decisions. His appeals were dismissed by the Gdańsk Court of Appeal (</w:t>
      </w:r>
      <w:r w:rsidRPr="007805CA">
        <w:rPr>
          <w:i/>
        </w:rPr>
        <w:t>Sąd Apelacyjny</w:t>
      </w:r>
      <w:r w:rsidR="00F23403" w:rsidRPr="007805CA">
        <w:t>) on 4 </w:t>
      </w:r>
      <w:r w:rsidRPr="007805CA">
        <w:t xml:space="preserve">May, 1 August and 19 September 2007 respectively. The courts repeatedly relied in their decisions on the strong suspicion that the applicant had committed the offence in question, </w:t>
      </w:r>
      <w:r w:rsidR="00857122" w:rsidRPr="007805CA">
        <w:t xml:space="preserve">the likelihood of </w:t>
      </w:r>
      <w:r w:rsidR="00A17510" w:rsidRPr="007805CA">
        <w:t xml:space="preserve">a </w:t>
      </w:r>
      <w:r w:rsidRPr="007805CA">
        <w:t xml:space="preserve">severe </w:t>
      </w:r>
      <w:r w:rsidR="00B97E2F" w:rsidRPr="007805CA">
        <w:t xml:space="preserve">prison </w:t>
      </w:r>
      <w:r w:rsidRPr="007805CA">
        <w:t xml:space="preserve">sentence being imposed on </w:t>
      </w:r>
      <w:r w:rsidR="005C5323" w:rsidRPr="007805CA">
        <w:t>him</w:t>
      </w:r>
      <w:r w:rsidRPr="007805CA">
        <w:t xml:space="preserve"> and the need to secure the proper conduct of the investigation, especially the need to obtain further </w:t>
      </w:r>
      <w:r w:rsidR="005C5323" w:rsidRPr="007805CA">
        <w:t>expert</w:t>
      </w:r>
      <w:r w:rsidR="00253F67" w:rsidRPr="007805CA">
        <w:t xml:space="preserve"> </w:t>
      </w:r>
      <w:r w:rsidRPr="007805CA">
        <w:t>evidence.</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9</w:t>
      </w:r>
      <w:r w:rsidRPr="007805CA">
        <w:fldChar w:fldCharType="end"/>
      </w:r>
      <w:r w:rsidRPr="007805CA">
        <w:t>.</w:t>
      </w:r>
      <w:r w:rsidR="006005F2" w:rsidRPr="007805CA">
        <w:t> </w:t>
      </w:r>
      <w:r w:rsidRPr="007805CA">
        <w:t> On 17 September 2007 the applicant again applied for release. His application was refused on 21 September 2007 by the Gdyni</w:t>
      </w:r>
      <w:r w:rsidR="00A17510" w:rsidRPr="007805CA">
        <w:t xml:space="preserve">a </w:t>
      </w:r>
      <w:r w:rsidRPr="007805CA">
        <w:t>District Prosecutor.</w:t>
      </w:r>
    </w:p>
    <w:p w:rsidR="00C73650"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10</w:t>
      </w:r>
      <w:r w:rsidRPr="007805CA">
        <w:fldChar w:fldCharType="end"/>
      </w:r>
      <w:r w:rsidRPr="007805CA">
        <w:t>.  On 27 November 2007 the Gdańsk Regional Court further extended the applicant</w:t>
      </w:r>
      <w:r w:rsidR="007805CA" w:rsidRPr="007805CA">
        <w:t>’</w:t>
      </w:r>
      <w:r w:rsidRPr="007805CA">
        <w:t xml:space="preserve">s detention until 31 March 2008. </w:t>
      </w:r>
      <w:r w:rsidR="005C5323" w:rsidRPr="007805CA">
        <w:t>The applicant appealed</w:t>
      </w:r>
      <w:r w:rsidR="00C41AE3" w:rsidRPr="007805CA">
        <w:t>,</w:t>
      </w:r>
      <w:r w:rsidR="005C5323" w:rsidRPr="007805CA">
        <w:t xml:space="preserve"> unsuccessfully</w:t>
      </w:r>
      <w:r w:rsidR="00857122" w:rsidRPr="007805CA">
        <w: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11</w:t>
      </w:r>
      <w:r w:rsidRPr="007805CA">
        <w:fldChar w:fldCharType="end"/>
      </w:r>
      <w:r w:rsidRPr="007805CA">
        <w:t xml:space="preserve">.  On an unspecified date in late 2007 </w:t>
      </w:r>
      <w:r w:rsidR="00A17510" w:rsidRPr="007805CA">
        <w:t xml:space="preserve">a </w:t>
      </w:r>
      <w:r w:rsidRPr="007805CA">
        <w:t xml:space="preserve">bill of indictment was lodged with the Gdańsk Regional Court. The applicant was charged with </w:t>
      </w:r>
      <w:r w:rsidR="00BC4C66" w:rsidRPr="007805CA">
        <w:t>homicide</w:t>
      </w:r>
      <w:r w:rsidRPr="007805CA">
        <w:t xml:space="preserve"> committed together with two other co-accused.</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12</w:t>
      </w:r>
      <w:r w:rsidRPr="007805CA">
        <w:fldChar w:fldCharType="end"/>
      </w:r>
      <w:r w:rsidRPr="007805CA">
        <w:t>. </w:t>
      </w:r>
      <w:r w:rsidR="00F23403" w:rsidRPr="007805CA">
        <w:t> </w:t>
      </w:r>
      <w:r w:rsidRPr="007805CA">
        <w:t>The applicant</w:t>
      </w:r>
      <w:r w:rsidR="007805CA" w:rsidRPr="007805CA">
        <w:t>’</w:t>
      </w:r>
      <w:r w:rsidRPr="007805CA">
        <w:t xml:space="preserve">s detention was continually extended </w:t>
      </w:r>
      <w:r w:rsidR="00C41AE3" w:rsidRPr="007805CA">
        <w:t>during</w:t>
      </w:r>
      <w:r w:rsidRPr="007805CA">
        <w:t xml:space="preserve"> the course of the </w:t>
      </w:r>
      <w:r w:rsidR="005C5323" w:rsidRPr="007805CA">
        <w:t>trial</w:t>
      </w:r>
      <w:r w:rsidRPr="007805CA">
        <w: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13</w:t>
      </w:r>
      <w:r w:rsidRPr="007805CA">
        <w:fldChar w:fldCharType="end"/>
      </w:r>
      <w:r w:rsidRPr="007805CA">
        <w:t xml:space="preserve">.  On 4 August </w:t>
      </w:r>
      <w:r w:rsidR="00BC4C66" w:rsidRPr="007805CA">
        <w:t>2008 the applicant requested the court to</w:t>
      </w:r>
      <w:r w:rsidRPr="007805CA">
        <w:t xml:space="preserve"> release </w:t>
      </w:r>
      <w:r w:rsidR="00BC4C66" w:rsidRPr="007805CA">
        <w:t xml:space="preserve">him </w:t>
      </w:r>
      <w:r w:rsidRPr="007805CA">
        <w:t xml:space="preserve">on health grounds. On 19 August 2008 the </w:t>
      </w:r>
      <w:r w:rsidR="00B508F4" w:rsidRPr="007805CA">
        <w:t xml:space="preserve">trial court </w:t>
      </w:r>
      <w:r w:rsidRPr="007805CA">
        <w:t>refused his request</w:t>
      </w:r>
      <w:r w:rsidR="00BC4C66" w:rsidRPr="007805CA">
        <w:t xml:space="preserve">. It relied </w:t>
      </w:r>
      <w:r w:rsidRPr="007805CA">
        <w:t xml:space="preserve">on the medical certificate issued by </w:t>
      </w:r>
      <w:r w:rsidR="00A17510" w:rsidRPr="007805CA">
        <w:t xml:space="preserve">a </w:t>
      </w:r>
      <w:r w:rsidRPr="007805CA">
        <w:t>prison doctor</w:t>
      </w:r>
      <w:r w:rsidR="00BC4C66" w:rsidRPr="007805CA">
        <w:t>,</w:t>
      </w:r>
      <w:r w:rsidRPr="007805CA">
        <w:t xml:space="preserve"> stating that the applicant could be adequately treated </w:t>
      </w:r>
      <w:r w:rsidR="005C5323" w:rsidRPr="007805CA">
        <w:t>in detention</w:t>
      </w:r>
      <w:r w:rsidRPr="007805CA">
        <w:t>.</w:t>
      </w:r>
    </w:p>
    <w:p w:rsidR="00C73650"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14</w:t>
      </w:r>
      <w:r w:rsidRPr="007805CA">
        <w:fldChar w:fldCharType="end"/>
      </w:r>
      <w:r w:rsidRPr="007805CA">
        <w:t>. </w:t>
      </w:r>
      <w:r w:rsidR="00F23403" w:rsidRPr="007805CA">
        <w:t> </w:t>
      </w:r>
      <w:r w:rsidRPr="007805CA">
        <w:t>On 25 September 2008 the Gdańsk Regional Court gave judgment (case no. IV 457/07). The applicant was convicted as charged a</w:t>
      </w:r>
      <w:r w:rsidR="005C5323" w:rsidRPr="007805CA">
        <w:t>nd sentenced to fifteen years</w:t>
      </w:r>
      <w:r w:rsidR="007805CA" w:rsidRPr="007805CA">
        <w:t>’</w:t>
      </w:r>
      <w:r w:rsidRPr="007805CA">
        <w:t xml:space="preserve"> imprisonment. </w:t>
      </w:r>
      <w:r w:rsidR="00675781" w:rsidRPr="007805CA">
        <w:t xml:space="preserve">He </w:t>
      </w:r>
      <w:r w:rsidRPr="007805CA">
        <w:t>lodged an appeal</w:t>
      </w:r>
      <w:r w:rsidR="00675781" w:rsidRPr="007805CA">
        <w: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15</w:t>
      </w:r>
      <w:r w:rsidRPr="007805CA">
        <w:fldChar w:fldCharType="end"/>
      </w:r>
      <w:r w:rsidRPr="007805CA">
        <w:t>.  On 13 May 2009 the Gdańsk Court of Appeal quashed the impugned judgment and remitted the case for retrial (case no. II AK</w:t>
      </w:r>
      <w:r w:rsidR="00A17510" w:rsidRPr="007805CA">
        <w:t xml:space="preserve">a </w:t>
      </w:r>
      <w:r w:rsidRPr="007805CA">
        <w:t>45/09).</w:t>
      </w:r>
    </w:p>
    <w:p w:rsidR="00C67865"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16</w:t>
      </w:r>
      <w:r w:rsidRPr="007805CA">
        <w:fldChar w:fldCharType="end"/>
      </w:r>
      <w:r w:rsidRPr="007805CA">
        <w:t>.  The applicant</w:t>
      </w:r>
      <w:r w:rsidR="007805CA" w:rsidRPr="007805CA">
        <w:t>’</w:t>
      </w:r>
      <w:r w:rsidRPr="007805CA">
        <w:t>s detention was continu</w:t>
      </w:r>
      <w:r w:rsidR="00DC5E82" w:rsidRPr="007805CA">
        <w:t>al</w:t>
      </w:r>
      <w:r w:rsidRPr="007805CA">
        <w:t xml:space="preserve">ly </w:t>
      </w:r>
      <w:r w:rsidR="00683510" w:rsidRPr="007805CA">
        <w:t>extend</w:t>
      </w:r>
      <w:r w:rsidRPr="007805CA">
        <w:t>ed by the domestic courts</w:t>
      </w:r>
      <w:r w:rsidR="00DC5E82" w:rsidRPr="007805CA">
        <w:t>,</w:t>
      </w:r>
      <w:r w:rsidRPr="007805CA">
        <w:t xml:space="preserve"> pending his appeal and in the course of the retrial. In particular, on 24 August 2009 the Gdańsk Regional Court extended his detention until 31</w:t>
      </w:r>
      <w:r w:rsidR="00DC5E82" w:rsidRPr="007805CA">
        <w:t> </w:t>
      </w:r>
      <w:r w:rsidRPr="007805CA">
        <w:t>December 2009. The applicant appealed against this decision. On 23</w:t>
      </w:r>
      <w:r w:rsidR="00DC5E82" w:rsidRPr="007805CA">
        <w:t> </w:t>
      </w:r>
      <w:r w:rsidRPr="007805CA">
        <w:t>September 2009 the Gdańsk Court of Appeal upheld the impugned decision, finding that the reasonable suspicion that the applicant had committed the offence in question persisted</w:t>
      </w:r>
      <w:r w:rsidR="00DC5E82" w:rsidRPr="007805CA">
        <w:t>,</w:t>
      </w:r>
      <w:r w:rsidRPr="007805CA">
        <w:t xml:space="preserve"> despite the fact that the judgment convicting the applicant had been quashed. The Court of Appeal further considered that the Regional Court </w:t>
      </w:r>
      <w:r w:rsidR="009340F2" w:rsidRPr="007805CA">
        <w:t xml:space="preserve">had correctly relied </w:t>
      </w:r>
      <w:r w:rsidRPr="007805CA">
        <w:t>on the severity of the anticipated penalty as the principal ground for the a</w:t>
      </w:r>
      <w:r w:rsidR="006A0654" w:rsidRPr="007805CA">
        <w:t>pplicant</w:t>
      </w:r>
      <w:r w:rsidR="007805CA" w:rsidRPr="007805CA">
        <w:t>’</w:t>
      </w:r>
      <w:r w:rsidR="006A0654" w:rsidRPr="007805CA">
        <w:t xml:space="preserve">s continuing detention and </w:t>
      </w:r>
      <w:r w:rsidR="005C5323" w:rsidRPr="007805CA">
        <w:t xml:space="preserve">on </w:t>
      </w:r>
      <w:r w:rsidR="009340F2" w:rsidRPr="007805CA">
        <w:t xml:space="preserve">the </w:t>
      </w:r>
      <w:r w:rsidR="00537DDA" w:rsidRPr="007805CA">
        <w:t>risk of</w:t>
      </w:r>
      <w:r w:rsidR="006A0654" w:rsidRPr="007805CA">
        <w:t xml:space="preserve"> </w:t>
      </w:r>
      <w:r w:rsidR="005C5323" w:rsidRPr="007805CA">
        <w:t xml:space="preserve">the </w:t>
      </w:r>
      <w:r w:rsidR="00537DDA" w:rsidRPr="007805CA">
        <w:t xml:space="preserve">obstruction </w:t>
      </w:r>
      <w:r w:rsidR="00FF6E61" w:rsidRPr="007805CA">
        <w:t>of the</w:t>
      </w:r>
      <w:r w:rsidR="006A0654" w:rsidRPr="007805CA">
        <w:t xml:space="preserve"> proceedings</w:t>
      </w:r>
      <w:r w:rsidR="00537DDA" w:rsidRPr="007805CA">
        <w:t>.</w:t>
      </w:r>
    </w:p>
    <w:p w:rsidR="00446E67" w:rsidRPr="007805CA" w:rsidRDefault="00446E67" w:rsidP="007805CA">
      <w:pPr>
        <w:pStyle w:val="ECHRPara"/>
      </w:pPr>
      <w:r w:rsidRPr="007805CA">
        <w:lastRenderedPageBreak/>
        <w:fldChar w:fldCharType="begin"/>
      </w:r>
      <w:r w:rsidRPr="007805CA">
        <w:instrText xml:space="preserve"> SEQ level0 \*arabic </w:instrText>
      </w:r>
      <w:r w:rsidRPr="007805CA">
        <w:fldChar w:fldCharType="separate"/>
      </w:r>
      <w:r w:rsidR="007805CA" w:rsidRPr="007805CA">
        <w:rPr>
          <w:noProof/>
        </w:rPr>
        <w:t>17</w:t>
      </w:r>
      <w:r w:rsidRPr="007805CA">
        <w:fldChar w:fldCharType="end"/>
      </w:r>
      <w:r w:rsidRPr="007805CA">
        <w:t xml:space="preserve">.  On 16 March 2010 the Gdańsk Regional Court gave judgment (case no. XIV K 48/09). The applicant was </w:t>
      </w:r>
      <w:r w:rsidR="00BC4C66" w:rsidRPr="007805CA">
        <w:t xml:space="preserve">again </w:t>
      </w:r>
      <w:r w:rsidRPr="007805CA">
        <w:t>convicted as charged and sentenced to twelve years</w:t>
      </w:r>
      <w:r w:rsidR="007805CA" w:rsidRPr="007805CA">
        <w:t>’</w:t>
      </w:r>
      <w:r w:rsidRPr="007805CA">
        <w:t xml:space="preserve"> imprisonment. The applica</w:t>
      </w:r>
      <w:r w:rsidR="009340F2" w:rsidRPr="007805CA">
        <w:t>nt lodged an appeal</w:t>
      </w:r>
      <w:r w:rsidRPr="007805CA">
        <w: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18</w:t>
      </w:r>
      <w:r w:rsidRPr="007805CA">
        <w:fldChar w:fldCharType="end"/>
      </w:r>
      <w:r w:rsidRPr="007805CA">
        <w:t>.   On 10 November 2010 the Gdańsk Court of Appeal quashed the judgment and remitted the case for retrial (case no. II AK</w:t>
      </w:r>
      <w:r w:rsidR="00A17510" w:rsidRPr="007805CA">
        <w:t xml:space="preserve">a </w:t>
      </w:r>
      <w:r w:rsidRPr="007805CA">
        <w:t>277/10).</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19</w:t>
      </w:r>
      <w:r w:rsidRPr="007805CA">
        <w:fldChar w:fldCharType="end"/>
      </w:r>
      <w:r w:rsidRPr="007805CA">
        <w:t>.  </w:t>
      </w:r>
      <w:r w:rsidR="003A0B7D" w:rsidRPr="007805CA">
        <w:t>On 23 March 2012 t</w:t>
      </w:r>
      <w:r w:rsidRPr="007805CA">
        <w:t xml:space="preserve">he Gdańsk Regional Court further </w:t>
      </w:r>
      <w:r w:rsidR="00BB75CB" w:rsidRPr="007805CA">
        <w:t>extend</w:t>
      </w:r>
      <w:r w:rsidRPr="007805CA">
        <w:t>ed the applicant</w:t>
      </w:r>
      <w:r w:rsidR="007805CA" w:rsidRPr="007805CA">
        <w:t>’</w:t>
      </w:r>
      <w:r w:rsidRPr="007805CA">
        <w:t xml:space="preserve">s detention, reiterating the grounds given in </w:t>
      </w:r>
      <w:r w:rsidR="00BC4C66" w:rsidRPr="007805CA">
        <w:t xml:space="preserve">its </w:t>
      </w:r>
      <w:r w:rsidRPr="007805CA">
        <w:t>initial decisions. Th</w:t>
      </w:r>
      <w:r w:rsidR="003A0B7D" w:rsidRPr="007805CA">
        <w:t xml:space="preserve">e applicant </w:t>
      </w:r>
      <w:r w:rsidR="009340F2" w:rsidRPr="007805CA">
        <w:t xml:space="preserve">appealed </w:t>
      </w:r>
      <w:r w:rsidR="00BC4C66" w:rsidRPr="007805CA">
        <w:t>unsuccessfully</w:t>
      </w:r>
      <w:r w:rsidRPr="007805CA">
        <w:t>.</w:t>
      </w:r>
    </w:p>
    <w:p w:rsidR="00C67865"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20</w:t>
      </w:r>
      <w:r w:rsidRPr="007805CA">
        <w:fldChar w:fldCharType="end"/>
      </w:r>
      <w:r w:rsidRPr="007805CA">
        <w:t>.  During the retrial proceedings the Gdańsk Regional Court held fifteen hearings</w:t>
      </w:r>
      <w:r w:rsidR="00BC4C66" w:rsidRPr="007805CA">
        <w:t xml:space="preserve"> in total</w:t>
      </w:r>
      <w:r w:rsidRPr="007805CA">
        <w:t>.</w:t>
      </w:r>
    </w:p>
    <w:p w:rsidR="00446E67" w:rsidRPr="007805CA" w:rsidRDefault="001D4659"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21</w:t>
      </w:r>
      <w:r w:rsidRPr="007805CA">
        <w:fldChar w:fldCharType="end"/>
      </w:r>
      <w:r w:rsidRPr="007805CA">
        <w:t>.  </w:t>
      </w:r>
      <w:r w:rsidR="00446E67" w:rsidRPr="007805CA">
        <w:t>On 12 July 2012 the court gave judgment (case no. XIV K 210/10). The applicant was again convicted and sentenced to twelve years</w:t>
      </w:r>
      <w:r w:rsidR="007805CA" w:rsidRPr="007805CA">
        <w:t>’</w:t>
      </w:r>
      <w:r w:rsidR="00446E67" w:rsidRPr="007805CA">
        <w:t xml:space="preserve"> imprisonment. He lodged an appeal against that judgment.</w:t>
      </w:r>
    </w:p>
    <w:p w:rsidR="00206544" w:rsidRPr="007805CA" w:rsidRDefault="00206544"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22</w:t>
      </w:r>
      <w:r w:rsidRPr="007805CA">
        <w:fldChar w:fldCharType="end"/>
      </w:r>
      <w:r w:rsidRPr="007805CA">
        <w:t xml:space="preserve">.  On 26 October 2012 the Gdańsk Regional Court extended </w:t>
      </w:r>
      <w:r w:rsidR="00BC4C66" w:rsidRPr="007805CA">
        <w:t>the applicant</w:t>
      </w:r>
      <w:r w:rsidR="007805CA" w:rsidRPr="007805CA">
        <w:t>’</w:t>
      </w:r>
      <w:r w:rsidR="00BC4C66" w:rsidRPr="007805CA">
        <w:t xml:space="preserve">s </w:t>
      </w:r>
      <w:r w:rsidRPr="007805CA">
        <w:t>detention until 30 December 2012. On 13 November 2012 the Gdańsk Court of Appe</w:t>
      </w:r>
      <w:r w:rsidR="00C0788A" w:rsidRPr="007805CA">
        <w:t>al upheld the impugned decision.</w:t>
      </w:r>
      <w:r w:rsidRPr="007805CA">
        <w:t xml:space="preserve"> </w:t>
      </w:r>
      <w:r w:rsidR="00C0788A" w:rsidRPr="007805CA">
        <w:t>It considered that the applicant</w:t>
      </w:r>
      <w:r w:rsidR="007805CA" w:rsidRPr="007805CA">
        <w:t>’</w:t>
      </w:r>
      <w:r w:rsidR="00C0788A" w:rsidRPr="007805CA">
        <w:t>s involvement in the offences with which he had been charged had been supported by the non-final judgment of 12 July 2012, in which he had been convicted and</w:t>
      </w:r>
      <w:r w:rsidR="00683510" w:rsidRPr="007805CA">
        <w:t xml:space="preserve"> had</w:t>
      </w:r>
      <w:r w:rsidR="00C0788A" w:rsidRPr="007805CA">
        <w:t xml:space="preserve"> received </w:t>
      </w:r>
      <w:r w:rsidR="00A17510" w:rsidRPr="007805CA">
        <w:t xml:space="preserve">a </w:t>
      </w:r>
      <w:r w:rsidR="00C0788A" w:rsidRPr="007805CA">
        <w:t xml:space="preserve">severe sentence. The court also held that further detention on remand was the only preventive measure capable of securing the proper course of the proceedings until the delivery of </w:t>
      </w:r>
      <w:r w:rsidR="00A17510" w:rsidRPr="007805CA">
        <w:t xml:space="preserve">a </w:t>
      </w:r>
      <w:r w:rsidR="00C0788A" w:rsidRPr="007805CA">
        <w:t>final judgment.</w:t>
      </w:r>
    </w:p>
    <w:p w:rsidR="00446E67" w:rsidRPr="007805CA" w:rsidRDefault="00446E6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23</w:t>
      </w:r>
      <w:r w:rsidRPr="007805CA">
        <w:fldChar w:fldCharType="end"/>
      </w:r>
      <w:r w:rsidRPr="007805CA">
        <w:t>.  On 6 June 2013 the Gdańsk Court of Appeal partly allowed the applicant</w:t>
      </w:r>
      <w:r w:rsidR="007805CA" w:rsidRPr="007805CA">
        <w:t>’</w:t>
      </w:r>
      <w:r w:rsidRPr="007805CA">
        <w:t>s appeal (case no. II AK</w:t>
      </w:r>
      <w:r w:rsidR="00A17510" w:rsidRPr="007805CA">
        <w:t xml:space="preserve">a </w:t>
      </w:r>
      <w:r w:rsidRPr="007805CA">
        <w:t>84/13). The appellate court upheld the conviction but reclassified the offence as involuntary manslaughter (</w:t>
      </w:r>
      <w:r w:rsidRPr="007805CA">
        <w:rPr>
          <w:i/>
        </w:rPr>
        <w:t>nieumyślne spowodowanie śmierci</w:t>
      </w:r>
      <w:r w:rsidRPr="007805CA">
        <w:t>). The applicant</w:t>
      </w:r>
      <w:r w:rsidR="007805CA" w:rsidRPr="007805CA">
        <w:t>’</w:t>
      </w:r>
      <w:r w:rsidR="00BC4C66" w:rsidRPr="007805CA">
        <w:t>s sentence was reduced</w:t>
      </w:r>
      <w:r w:rsidRPr="007805CA">
        <w:t xml:space="preserve"> to four years</w:t>
      </w:r>
      <w:r w:rsidR="007805CA" w:rsidRPr="007805CA">
        <w:t>’</w:t>
      </w:r>
      <w:r w:rsidRPr="007805CA">
        <w:t xml:space="preserve"> imprisonment.</w:t>
      </w:r>
      <w:r w:rsidR="002127FE" w:rsidRPr="007805CA">
        <w:t xml:space="preserve"> </w:t>
      </w:r>
      <w:r w:rsidRPr="007805CA">
        <w:t>The applicant was released on the same day.</w:t>
      </w:r>
    </w:p>
    <w:p w:rsidR="00014566" w:rsidRPr="007805CA" w:rsidRDefault="00C30C9C" w:rsidP="007805CA">
      <w:pPr>
        <w:pStyle w:val="ECHRHeading1"/>
      </w:pPr>
      <w:r w:rsidRPr="007805CA">
        <w:t>II.</w:t>
      </w:r>
      <w:r w:rsidR="006005F2" w:rsidRPr="007805CA">
        <w:t> </w:t>
      </w:r>
      <w:r w:rsidRPr="007805CA">
        <w:t> </w:t>
      </w:r>
      <w:r w:rsidR="00014566" w:rsidRPr="007805CA">
        <w:t>RELEVANT DOMESTIC LAW AND PRACTICE</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24</w:t>
      </w:r>
      <w:r w:rsidRPr="007805CA">
        <w:fldChar w:fldCharType="end"/>
      </w:r>
      <w:r w:rsidR="00014566" w:rsidRPr="007805CA">
        <w:t>.  </w:t>
      </w:r>
      <w:r w:rsidR="00D82EAE" w:rsidRPr="007805CA">
        <w:t xml:space="preserve">The relevant domestic law and practice concerning the imposition of </w:t>
      </w:r>
      <w:r w:rsidR="00E46597" w:rsidRPr="007805CA">
        <w:t>pre-trial</w:t>
      </w:r>
      <w:r w:rsidR="00D82EAE" w:rsidRPr="007805CA">
        <w:t xml:space="preserve"> detention (</w:t>
      </w:r>
      <w:r w:rsidR="00D82EAE" w:rsidRPr="007805CA">
        <w:rPr>
          <w:i/>
        </w:rPr>
        <w:t>tymczasowe aresztowanie</w:t>
      </w:r>
      <w:r w:rsidR="00D82EAE" w:rsidRPr="007805CA">
        <w:t>), the grounds for its extension, release from detention and rules governing other, so-called “preventive measures” (</w:t>
      </w:r>
      <w:r w:rsidR="00D82EAE" w:rsidRPr="007805CA">
        <w:rPr>
          <w:i/>
        </w:rPr>
        <w:t>środki zapobiegawcze</w:t>
      </w:r>
      <w:r w:rsidR="00D82EAE" w:rsidRPr="007805CA">
        <w:t>) are stated in the Court</w:t>
      </w:r>
      <w:r w:rsidR="007805CA" w:rsidRPr="007805CA">
        <w:t>’</w:t>
      </w:r>
      <w:r w:rsidR="00D82EAE" w:rsidRPr="007805CA">
        <w:t xml:space="preserve">s judgments in the cases of </w:t>
      </w:r>
      <w:r w:rsidR="00D82EAE" w:rsidRPr="007805CA">
        <w:rPr>
          <w:i/>
        </w:rPr>
        <w:t>Kudł</w:t>
      </w:r>
      <w:r w:rsidR="00A17510" w:rsidRPr="007805CA">
        <w:rPr>
          <w:i/>
        </w:rPr>
        <w:t xml:space="preserve">a </w:t>
      </w:r>
      <w:r w:rsidR="00D82EAE" w:rsidRPr="007805CA">
        <w:rPr>
          <w:i/>
        </w:rPr>
        <w:t>v. Poland</w:t>
      </w:r>
      <w:r w:rsidR="00D82EAE" w:rsidRPr="007805CA">
        <w:t xml:space="preserve"> [GC], no. 30210/96, §§ 75–79, ECHR 2000-XI; </w:t>
      </w:r>
      <w:r w:rsidR="00D82EAE" w:rsidRPr="007805CA">
        <w:rPr>
          <w:i/>
        </w:rPr>
        <w:t>Bagiński v. Poland</w:t>
      </w:r>
      <w:r w:rsidR="00D82EAE" w:rsidRPr="007805CA">
        <w:t xml:space="preserve">, no. 37444/97, §§ 42–46, 11 October 2005; and </w:t>
      </w:r>
      <w:r w:rsidR="00D82EAE" w:rsidRPr="007805CA">
        <w:rPr>
          <w:i/>
        </w:rPr>
        <w:t>Celejewski v. Poland</w:t>
      </w:r>
      <w:r w:rsidR="00D82EAE" w:rsidRPr="007805CA">
        <w:t>, no. 17584/04, §§ 22–23, 4 May 2006.</w:t>
      </w:r>
    </w:p>
    <w:p w:rsidR="00BC4C66" w:rsidRPr="007805CA" w:rsidRDefault="00BC4C66"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25</w:t>
      </w:r>
      <w:r w:rsidRPr="007805CA">
        <w:fldChar w:fldCharType="end"/>
      </w:r>
      <w:r w:rsidRPr="007805CA">
        <w:t>.  Article 552 of the Code of Criminal Procedure provides:</w:t>
      </w:r>
    </w:p>
    <w:p w:rsidR="00BC4C66" w:rsidRPr="007805CA" w:rsidRDefault="00BC4C66" w:rsidP="007805CA">
      <w:pPr>
        <w:pStyle w:val="ECHRParaQuote"/>
      </w:pPr>
      <w:r w:rsidRPr="007805CA">
        <w:t>“1.</w:t>
      </w:r>
      <w:r w:rsidR="006005F2" w:rsidRPr="007805CA">
        <w:t>  </w:t>
      </w:r>
      <w:r w:rsidRPr="007805CA">
        <w:t xml:space="preserve">An accused who, as </w:t>
      </w:r>
      <w:r w:rsidR="00A17510" w:rsidRPr="007805CA">
        <w:t xml:space="preserve">a </w:t>
      </w:r>
      <w:r w:rsidRPr="007805CA">
        <w:t>result of the reopening of proceedings or an appeal on points of law, has been acquitted or re</w:t>
      </w:r>
      <w:r w:rsidRPr="007805CA">
        <w:rPr>
          <w:rFonts w:ascii="MS Mincho" w:eastAsia="MS Mincho" w:hAnsi="MS Mincho" w:cs="MS Mincho" w:hint="eastAsia"/>
        </w:rPr>
        <w:t>‑</w:t>
      </w:r>
      <w:r w:rsidRPr="007805CA">
        <w:t xml:space="preserve">sentenced under </w:t>
      </w:r>
      <w:r w:rsidR="00A17510" w:rsidRPr="007805CA">
        <w:t xml:space="preserve">a </w:t>
      </w:r>
      <w:r w:rsidRPr="007805CA">
        <w:t>more lenient provision, shall be entitled to receive from the State Treasury compensation for the pecuniary and non</w:t>
      </w:r>
      <w:r w:rsidR="00A17510" w:rsidRPr="007805CA">
        <w:rPr>
          <w:rFonts w:ascii="MS Mincho" w:eastAsia="MS Mincho" w:hAnsi="MS Mincho" w:cs="MS Mincho"/>
        </w:rPr>
        <w:noBreakHyphen/>
      </w:r>
      <w:r w:rsidRPr="007805CA">
        <w:t xml:space="preserve">pecuniary damage which he has suffered as </w:t>
      </w:r>
      <w:r w:rsidR="00A17510" w:rsidRPr="007805CA">
        <w:t xml:space="preserve">a </w:t>
      </w:r>
      <w:r w:rsidRPr="007805CA">
        <w:t>result of having served all or part of the sentence unjustifiably imposed on him.</w:t>
      </w:r>
    </w:p>
    <w:p w:rsidR="00BC4C66" w:rsidRPr="007805CA" w:rsidRDefault="00BC4C66" w:rsidP="007805CA">
      <w:pPr>
        <w:pStyle w:val="ECHRParaQuote"/>
      </w:pPr>
      <w:r w:rsidRPr="007805CA">
        <w:lastRenderedPageBreak/>
        <w:t>2.</w:t>
      </w:r>
      <w:r w:rsidR="006005F2" w:rsidRPr="007805CA">
        <w:t>  </w:t>
      </w:r>
      <w:r w:rsidRPr="007805CA">
        <w:t>The provisions of paragraph 1 shall also be applicable if, after the sentencing judgment has been reversed or declared null and void, the proceedings have been discontinued by reason of material circumstances not duly considered in prior proceedings.</w:t>
      </w:r>
    </w:p>
    <w:p w:rsidR="00BC4C66" w:rsidRPr="007805CA" w:rsidRDefault="00BC4C66" w:rsidP="007805CA">
      <w:pPr>
        <w:pStyle w:val="ECHRParaQuote"/>
      </w:pPr>
      <w:r w:rsidRPr="007805CA">
        <w:t>3.</w:t>
      </w:r>
      <w:r w:rsidR="006005F2" w:rsidRPr="007805CA">
        <w:t>  </w:t>
      </w:r>
      <w:r w:rsidR="00A17510" w:rsidRPr="007805CA">
        <w:t xml:space="preserve">A </w:t>
      </w:r>
      <w:r w:rsidRPr="007805CA">
        <w:t>right to compensation for pecuniary and non</w:t>
      </w:r>
      <w:r w:rsidRPr="007805CA">
        <w:rPr>
          <w:rFonts w:ascii="MS Mincho" w:eastAsia="MS Mincho" w:hAnsi="MS Mincho" w:cs="MS Mincho" w:hint="eastAsia"/>
        </w:rPr>
        <w:t>‑</w:t>
      </w:r>
      <w:r w:rsidRPr="007805CA">
        <w:t xml:space="preserve">pecuniary damage shall also arise if </w:t>
      </w:r>
      <w:r w:rsidR="00A17510" w:rsidRPr="007805CA">
        <w:t xml:space="preserve">a </w:t>
      </w:r>
      <w:r w:rsidRPr="007805CA">
        <w:t>preventive measure has been applied under the conditions specified in paragraphs 1 and 2.</w:t>
      </w:r>
    </w:p>
    <w:p w:rsidR="00BC4C66" w:rsidRPr="007805CA" w:rsidRDefault="00BC4C66" w:rsidP="007805CA">
      <w:pPr>
        <w:pStyle w:val="ECHRParaQuote"/>
      </w:pPr>
      <w:r w:rsidRPr="007805CA">
        <w:t>4.</w:t>
      </w:r>
      <w:r w:rsidR="006005F2" w:rsidRPr="007805CA">
        <w:t>  </w:t>
      </w:r>
      <w:r w:rsidR="00A17510" w:rsidRPr="007805CA">
        <w:t xml:space="preserve">A </w:t>
      </w:r>
      <w:r w:rsidRPr="007805CA">
        <w:t>right to compensation for pecuniary and non</w:t>
      </w:r>
      <w:r w:rsidRPr="007805CA">
        <w:rPr>
          <w:rFonts w:ascii="MS Mincho" w:eastAsia="MS Mincho" w:hAnsi="MS Mincho" w:cs="MS Mincho" w:hint="eastAsia"/>
        </w:rPr>
        <w:t>‑</w:t>
      </w:r>
      <w:r w:rsidRPr="007805CA">
        <w:t>pecuniary damage shall also arise in the event of undoubtedly unjustified (</w:t>
      </w:r>
      <w:r w:rsidRPr="007805CA">
        <w:rPr>
          <w:i/>
        </w:rPr>
        <w:t>niewątpliwie niesłuszne</w:t>
      </w:r>
      <w:r w:rsidRPr="007805CA">
        <w:t>) pre</w:t>
      </w:r>
      <w:r w:rsidRPr="007805CA">
        <w:rPr>
          <w:rFonts w:ascii="MS Mincho" w:eastAsia="MS Mincho" w:hAnsi="MS Mincho" w:cs="MS Mincho" w:hint="eastAsia"/>
        </w:rPr>
        <w:t>‑</w:t>
      </w:r>
      <w:r w:rsidRPr="007805CA">
        <w:t>trial detention or arrest.</w:t>
      </w:r>
      <w:r w:rsidRPr="007805CA">
        <w:rPr>
          <w:rFonts w:ascii="Times New Roman" w:hAnsi="Times New Roman" w:cs="Times New Roman"/>
        </w:rPr>
        <w:t>”</w:t>
      </w:r>
    </w:p>
    <w:p w:rsidR="00014566" w:rsidRPr="007805CA" w:rsidRDefault="00014566" w:rsidP="007805CA">
      <w:pPr>
        <w:pStyle w:val="ECHRTitle1"/>
      </w:pPr>
      <w:r w:rsidRPr="007805CA">
        <w:t>THE LAW</w:t>
      </w:r>
    </w:p>
    <w:p w:rsidR="00014566" w:rsidRPr="007805CA" w:rsidRDefault="00014566" w:rsidP="007805CA">
      <w:pPr>
        <w:pStyle w:val="ECHRHeading1"/>
      </w:pPr>
      <w:r w:rsidRPr="007805CA">
        <w:t xml:space="preserve">I.  ALLEGED VIOLATION OF ARTICLE </w:t>
      </w:r>
      <w:r w:rsidR="00D82EAE" w:rsidRPr="007805CA">
        <w:t>5 § 3</w:t>
      </w:r>
      <w:r w:rsidR="00C67865" w:rsidRPr="007805CA">
        <w:t xml:space="preserve"> </w:t>
      </w:r>
      <w:r w:rsidRPr="007805CA">
        <w:t>OF THE CONVENTION</w:t>
      </w:r>
    </w:p>
    <w:p w:rsidR="00D82EAE"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26</w:t>
      </w:r>
      <w:r w:rsidRPr="007805CA">
        <w:fldChar w:fldCharType="end"/>
      </w:r>
      <w:r w:rsidR="00014566" w:rsidRPr="007805CA">
        <w:t>.  </w:t>
      </w:r>
      <w:r w:rsidR="00EA7D9D" w:rsidRPr="007805CA">
        <w:t>Rely</w:t>
      </w:r>
      <w:r w:rsidR="00D82EAE" w:rsidRPr="007805CA">
        <w:t>ing</w:t>
      </w:r>
      <w:r w:rsidR="00EA7D9D" w:rsidRPr="007805CA">
        <w:t xml:space="preserve"> on</w:t>
      </w:r>
      <w:r w:rsidR="00D82EAE" w:rsidRPr="007805CA">
        <w:t xml:space="preserve"> Article 5 § 3 of the Convention, the applicant complained that his pre-trial detention had been excessively lengthy.</w:t>
      </w:r>
    </w:p>
    <w:p w:rsidR="00014566" w:rsidRPr="007805CA" w:rsidRDefault="00D82EAE" w:rsidP="007805CA">
      <w:pPr>
        <w:pStyle w:val="ECHRPara"/>
      </w:pPr>
      <w:r w:rsidRPr="007805CA">
        <w:t>Article 5 § 3 of the Convention, in so far as relevant, reads</w:t>
      </w:r>
      <w:r w:rsidR="00014566" w:rsidRPr="007805CA">
        <w:t>:</w:t>
      </w:r>
    </w:p>
    <w:p w:rsidR="00014566" w:rsidRPr="007805CA" w:rsidRDefault="00D82EAE" w:rsidP="007805CA">
      <w:pPr>
        <w:pStyle w:val="ECHRParaQuote"/>
      </w:pPr>
      <w:r w:rsidRPr="007805CA">
        <w:t xml:space="preserve">“Everyone arrested or detained in accordance with the provisions of paragraph 1 (c) of this Article shall be ... entitled to trial within </w:t>
      </w:r>
      <w:r w:rsidR="00A17510" w:rsidRPr="007805CA">
        <w:t xml:space="preserve">a </w:t>
      </w:r>
      <w:r w:rsidRPr="007805CA">
        <w:t>reasonable time or to release pending trial. Release may be conditioned by guarantees to appear for trial.”</w:t>
      </w:r>
    </w:p>
    <w:p w:rsidR="00014566" w:rsidRPr="007805CA" w:rsidRDefault="00014566" w:rsidP="007805CA">
      <w:pPr>
        <w:pStyle w:val="ECHRHeading2"/>
      </w:pPr>
      <w:r w:rsidRPr="007805CA">
        <w:t>A.  Admissibility</w:t>
      </w:r>
    </w:p>
    <w:p w:rsidR="00C67865" w:rsidRPr="007805CA" w:rsidRDefault="00BD5E49"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27</w:t>
      </w:r>
      <w:r w:rsidRPr="007805CA">
        <w:fldChar w:fldCharType="end"/>
      </w:r>
      <w:r w:rsidRPr="007805CA">
        <w:t>.  The Government asserted that this complaint was inadmissible for non</w:t>
      </w:r>
      <w:r w:rsidR="00180663" w:rsidRPr="007805CA">
        <w:rPr>
          <w:rFonts w:ascii="MS Mincho" w:eastAsia="MS Mincho" w:hAnsi="MS Mincho" w:cs="MS Mincho"/>
        </w:rPr>
        <w:t>-</w:t>
      </w:r>
      <w:r w:rsidRPr="007805CA">
        <w:t>exhaustion of domestic remedies. They stated that the applicant ha</w:t>
      </w:r>
      <w:r w:rsidR="002337A8" w:rsidRPr="007805CA">
        <w:t>d</w:t>
      </w:r>
      <w:r w:rsidRPr="007805CA">
        <w:t xml:space="preserve"> instituted proceedings for compensation for unjustified detention under Article 552 § 4 of the Code of Criminal Procedure</w:t>
      </w:r>
      <w:r w:rsidR="00BE74FE" w:rsidRPr="007805CA">
        <w:t xml:space="preserve"> (“CCP”)</w:t>
      </w:r>
      <w:r w:rsidRPr="007805CA">
        <w:t xml:space="preserve"> and that the</w:t>
      </w:r>
      <w:r w:rsidR="00BE74FE" w:rsidRPr="007805CA">
        <w:t>se proceedings were</w:t>
      </w:r>
      <w:r w:rsidRPr="007805CA">
        <w:t xml:space="preserve"> pending.</w:t>
      </w:r>
      <w:r w:rsidR="001D4659" w:rsidRPr="007805CA">
        <w:t xml:space="preserve"> </w:t>
      </w:r>
      <w:r w:rsidR="00BE74FE" w:rsidRPr="007805CA">
        <w:t xml:space="preserve">In their view, </w:t>
      </w:r>
      <w:r w:rsidR="00A17510" w:rsidRPr="007805CA">
        <w:t xml:space="preserve">a </w:t>
      </w:r>
      <w:r w:rsidR="00691E64" w:rsidRPr="007805CA">
        <w:t>claim for compensa</w:t>
      </w:r>
      <w:r w:rsidR="007C63DD" w:rsidRPr="007805CA">
        <w:t>tion under A</w:t>
      </w:r>
      <w:r w:rsidR="00691E64" w:rsidRPr="007805CA">
        <w:t>rticle 552 § 4</w:t>
      </w:r>
      <w:r w:rsidR="007C63DD" w:rsidRPr="007805CA">
        <w:t xml:space="preserve"> of the CCP</w:t>
      </w:r>
      <w:r w:rsidR="00691E64" w:rsidRPr="007805CA">
        <w:t xml:space="preserve"> covered to some extent </w:t>
      </w:r>
      <w:r w:rsidR="00A17510" w:rsidRPr="007805CA">
        <w:t xml:space="preserve">a </w:t>
      </w:r>
      <w:r w:rsidR="007C63DD" w:rsidRPr="007805CA">
        <w:t>complain</w:t>
      </w:r>
      <w:r w:rsidR="00EA7D9D" w:rsidRPr="007805CA">
        <w:t>t</w:t>
      </w:r>
      <w:r w:rsidR="00691E64" w:rsidRPr="007805CA">
        <w:t xml:space="preserve"> resulting from the length of the detention on remand. The Government </w:t>
      </w:r>
      <w:r w:rsidR="007C63DD" w:rsidRPr="007805CA">
        <w:t>submitted</w:t>
      </w:r>
      <w:r w:rsidR="00691E64" w:rsidRPr="007805CA">
        <w:t xml:space="preserve"> that the </w:t>
      </w:r>
      <w:r w:rsidR="00F37D4A" w:rsidRPr="007805CA">
        <w:t>applicant</w:t>
      </w:r>
      <w:r w:rsidR="007805CA" w:rsidRPr="007805CA">
        <w:t>’</w:t>
      </w:r>
      <w:r w:rsidR="00F37D4A" w:rsidRPr="007805CA">
        <w:t>s accomplice</w:t>
      </w:r>
      <w:r w:rsidR="00E46597" w:rsidRPr="007805CA">
        <w:t xml:space="preserve"> had </w:t>
      </w:r>
      <w:r w:rsidR="00F37D4A" w:rsidRPr="007805CA">
        <w:t xml:space="preserve">lodged </w:t>
      </w:r>
      <w:r w:rsidR="00A17510" w:rsidRPr="007805CA">
        <w:t xml:space="preserve">a </w:t>
      </w:r>
      <w:r w:rsidR="00F37D4A" w:rsidRPr="007805CA">
        <w:t>complaint under Article 552</w:t>
      </w:r>
      <w:r w:rsidR="00E0613F" w:rsidRPr="007805CA">
        <w:t> </w:t>
      </w:r>
      <w:r w:rsidR="00F37D4A" w:rsidRPr="007805CA">
        <w:t>§</w:t>
      </w:r>
      <w:r w:rsidR="00E0613F" w:rsidRPr="007805CA">
        <w:t> </w:t>
      </w:r>
      <w:r w:rsidR="00F37D4A" w:rsidRPr="007805CA">
        <w:t>4</w:t>
      </w:r>
      <w:r w:rsidR="007C63DD" w:rsidRPr="007805CA">
        <w:t xml:space="preserve"> of the CCP</w:t>
      </w:r>
      <w:r w:rsidR="00F37D4A" w:rsidRPr="007805CA">
        <w:t xml:space="preserve"> </w:t>
      </w:r>
      <w:r w:rsidR="007C63DD" w:rsidRPr="007805CA">
        <w:t>and</w:t>
      </w:r>
      <w:r w:rsidR="002D0F77" w:rsidRPr="007805CA">
        <w:t xml:space="preserve"> had been awarded PLN</w:t>
      </w:r>
      <w:r w:rsidR="002127FE" w:rsidRPr="007805CA">
        <w:t xml:space="preserve"> </w:t>
      </w:r>
      <w:r w:rsidR="002D0F77" w:rsidRPr="007805CA">
        <w:t>100</w:t>
      </w:r>
      <w:r w:rsidR="002127FE" w:rsidRPr="007805CA">
        <w:t>,</w:t>
      </w:r>
      <w:r w:rsidR="007C63DD" w:rsidRPr="007805CA">
        <w:t>000</w:t>
      </w:r>
      <w:r w:rsidR="00F37D4A" w:rsidRPr="007805CA">
        <w:t xml:space="preserve"> </w:t>
      </w:r>
      <w:r w:rsidR="007C63DD" w:rsidRPr="007805CA">
        <w:t>(approx</w:t>
      </w:r>
      <w:r w:rsidR="002B40E4" w:rsidRPr="007805CA">
        <w:t>imately</w:t>
      </w:r>
      <w:r w:rsidR="007C63DD" w:rsidRPr="007805CA">
        <w:t xml:space="preserve"> EUR 25,000) </w:t>
      </w:r>
      <w:r w:rsidR="00F37D4A" w:rsidRPr="007805CA">
        <w:t>in that respect.</w:t>
      </w:r>
    </w:p>
    <w:p w:rsidR="00E0613F"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28</w:t>
      </w:r>
      <w:r w:rsidRPr="007805CA">
        <w:rPr>
          <w:noProof/>
        </w:rPr>
        <w:fldChar w:fldCharType="end"/>
      </w:r>
      <w:r w:rsidR="00E0613F" w:rsidRPr="007805CA">
        <w:t xml:space="preserve">.  The applicant </w:t>
      </w:r>
      <w:r w:rsidR="00D44DEE" w:rsidRPr="007805CA">
        <w:t>disagreed</w:t>
      </w:r>
      <w:r w:rsidR="00E0613F" w:rsidRPr="007805CA">
        <w:t>.</w:t>
      </w:r>
    </w:p>
    <w:p w:rsidR="00C73650"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29</w:t>
      </w:r>
      <w:r w:rsidRPr="007805CA">
        <w:rPr>
          <w:noProof/>
        </w:rPr>
        <w:fldChar w:fldCharType="end"/>
      </w:r>
      <w:r w:rsidR="00BD5E49" w:rsidRPr="007805CA">
        <w:t xml:space="preserve">.  In the present case the applicant lodged appeals against </w:t>
      </w:r>
      <w:r w:rsidR="007C63DD" w:rsidRPr="007805CA">
        <w:t>most</w:t>
      </w:r>
      <w:r w:rsidR="00BD5E49" w:rsidRPr="007805CA">
        <w:t xml:space="preserve"> of the decisions </w:t>
      </w:r>
      <w:r w:rsidR="007865F8" w:rsidRPr="007805CA">
        <w:t>extend</w:t>
      </w:r>
      <w:r w:rsidR="00BD5E49" w:rsidRPr="007805CA">
        <w:t>ing his detention. He also lodged many requests for the detention measure to be lifted. The applicant</w:t>
      </w:r>
      <w:r w:rsidR="007805CA" w:rsidRPr="007805CA">
        <w:t>’</w:t>
      </w:r>
      <w:r w:rsidR="00BD5E49" w:rsidRPr="007805CA">
        <w:t xml:space="preserve">s aim in using the remedies was to obtain </w:t>
      </w:r>
      <w:r w:rsidR="00A17510" w:rsidRPr="007805CA">
        <w:t xml:space="preserve">a </w:t>
      </w:r>
      <w:r w:rsidR="00BD5E49" w:rsidRPr="007805CA">
        <w:t>review of his detention pending trial and to obtain his release.</w:t>
      </w:r>
    </w:p>
    <w:p w:rsidR="00C67865"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30</w:t>
      </w:r>
      <w:r w:rsidRPr="007805CA">
        <w:rPr>
          <w:noProof/>
        </w:rPr>
        <w:fldChar w:fldCharType="end"/>
      </w:r>
      <w:r w:rsidR="001D374C" w:rsidRPr="007805CA">
        <w:t>.  </w:t>
      </w:r>
      <w:r w:rsidR="00537DDA" w:rsidRPr="007805CA">
        <w:t xml:space="preserve">The Court notes that under </w:t>
      </w:r>
      <w:r w:rsidR="007C63DD" w:rsidRPr="007805CA">
        <w:t xml:space="preserve">the </w:t>
      </w:r>
      <w:r w:rsidR="00537DDA" w:rsidRPr="007805CA">
        <w:t xml:space="preserve">Convention case-law, where the lawfulness of detention is concerned, an action for damages against the </w:t>
      </w:r>
      <w:r w:rsidR="00537DDA" w:rsidRPr="007805CA">
        <w:lastRenderedPageBreak/>
        <w:t xml:space="preserve">State is not </w:t>
      </w:r>
      <w:r w:rsidR="00A17510" w:rsidRPr="007805CA">
        <w:t xml:space="preserve">a </w:t>
      </w:r>
      <w:r w:rsidR="00537DDA" w:rsidRPr="007805CA">
        <w:t xml:space="preserve">remedy which has to be used because the right to have the lawfulness of detention examined by </w:t>
      </w:r>
      <w:r w:rsidR="00A17510" w:rsidRPr="007805CA">
        <w:t xml:space="preserve">a </w:t>
      </w:r>
      <w:r w:rsidR="00537DDA" w:rsidRPr="007805CA">
        <w:t xml:space="preserve">court and the right to obtain compensation for any deprivation of liberty incompatible with Article 5 are two separate rights (see </w:t>
      </w:r>
      <w:r w:rsidR="00537DDA" w:rsidRPr="007805CA">
        <w:rPr>
          <w:i/>
        </w:rPr>
        <w:t>Porowski v. Poland</w:t>
      </w:r>
      <w:r w:rsidR="00537DDA" w:rsidRPr="007805CA">
        <w:t xml:space="preserve">, no. 34458/03, § 129, 21 March 2017, with further references). It further reiterates that </w:t>
      </w:r>
      <w:r w:rsidR="00A17510" w:rsidRPr="007805CA">
        <w:t xml:space="preserve">a </w:t>
      </w:r>
      <w:r w:rsidR="00537DDA" w:rsidRPr="007805CA">
        <w:t>request for compensation for manifestly unjustified detention on remand under Article</w:t>
      </w:r>
      <w:r w:rsidR="007865F8" w:rsidRPr="007805CA">
        <w:t> </w:t>
      </w:r>
      <w:r w:rsidR="00537DDA" w:rsidRPr="007805CA">
        <w:t xml:space="preserve">552 of the </w:t>
      </w:r>
      <w:r w:rsidR="00EE196F" w:rsidRPr="007805CA">
        <w:t>CCP</w:t>
      </w:r>
      <w:r w:rsidR="00537DDA" w:rsidRPr="007805CA">
        <w:t xml:space="preserve"> enables </w:t>
      </w:r>
      <w:r w:rsidR="00A17510" w:rsidRPr="007805CA">
        <w:t xml:space="preserve">a </w:t>
      </w:r>
      <w:r w:rsidR="00537DDA" w:rsidRPr="007805CA">
        <w:t xml:space="preserve">detainee to seek, retrospectively, </w:t>
      </w:r>
      <w:r w:rsidR="00A17510" w:rsidRPr="007805CA">
        <w:t xml:space="preserve">a </w:t>
      </w:r>
      <w:r w:rsidR="00537DDA" w:rsidRPr="007805CA">
        <w:t xml:space="preserve">ruling as to whether his detention in already terminated criminal proceedings was justified, and to obtain compensation when it was not. The proceedings relating to such </w:t>
      </w:r>
      <w:r w:rsidR="00A17510" w:rsidRPr="007805CA">
        <w:t xml:space="preserve">a </w:t>
      </w:r>
      <w:r w:rsidR="00537DDA" w:rsidRPr="007805CA">
        <w:t>request are essentially designed to secure financial reparation for damage arising from the execution of unjustified detention on remand (ibid.).</w:t>
      </w:r>
    </w:p>
    <w:p w:rsidR="00537DDA"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31</w:t>
      </w:r>
      <w:r w:rsidRPr="007805CA">
        <w:rPr>
          <w:noProof/>
        </w:rPr>
        <w:fldChar w:fldCharType="end"/>
      </w:r>
      <w:r w:rsidR="00537DDA" w:rsidRPr="007805CA">
        <w:t xml:space="preserve">.  With regard to complaints under Article 5 § 3, the Court has already considered that an appeal against </w:t>
      </w:r>
      <w:r w:rsidR="00A17510" w:rsidRPr="007805CA">
        <w:t xml:space="preserve">a </w:t>
      </w:r>
      <w:r w:rsidR="00537DDA" w:rsidRPr="007805CA">
        <w:t xml:space="preserve">detention order, </w:t>
      </w:r>
      <w:r w:rsidR="00A17510" w:rsidRPr="007805CA">
        <w:t xml:space="preserve">a </w:t>
      </w:r>
      <w:r w:rsidR="00537DDA" w:rsidRPr="007805CA">
        <w:t xml:space="preserve">request for release, whether submitted to the prosecutor or to the court, depending on the stage of the proceedings, and also an appeal against </w:t>
      </w:r>
      <w:r w:rsidR="00A17510" w:rsidRPr="007805CA">
        <w:t xml:space="preserve">a </w:t>
      </w:r>
      <w:r w:rsidR="00537DDA" w:rsidRPr="007805CA">
        <w:t xml:space="preserve">decision </w:t>
      </w:r>
      <w:r w:rsidR="007865F8" w:rsidRPr="007805CA">
        <w:t>extend</w:t>
      </w:r>
      <w:r w:rsidR="00537DDA" w:rsidRPr="007805CA">
        <w:t xml:space="preserve">ing detention on remand, serve the same purpose under Polish law. Their objective is to secure </w:t>
      </w:r>
      <w:r w:rsidR="00A17510" w:rsidRPr="007805CA">
        <w:t xml:space="preserve">a </w:t>
      </w:r>
      <w:r w:rsidR="00537DDA" w:rsidRPr="007805CA">
        <w:t xml:space="preserve">review of the lawfulness of detention at any point during the proceedings, both at the pre-trial and trial stage, and to obtain release if the circumstances of the case no longer justify continued detention (see, among other authorities, </w:t>
      </w:r>
      <w:r w:rsidR="00537DDA" w:rsidRPr="007805CA">
        <w:rPr>
          <w:i/>
        </w:rPr>
        <w:t>Wolf v. Poland</w:t>
      </w:r>
      <w:r w:rsidR="00537DDA" w:rsidRPr="007805CA">
        <w:t>, nos. 15667/03 and 2929/04, §</w:t>
      </w:r>
      <w:r w:rsidR="004657AD" w:rsidRPr="007805CA">
        <w:t> </w:t>
      </w:r>
      <w:r w:rsidR="00537DDA" w:rsidRPr="007805CA">
        <w:t xml:space="preserve">78, 16 January 2007, and </w:t>
      </w:r>
      <w:r w:rsidR="00537DDA" w:rsidRPr="007805CA">
        <w:rPr>
          <w:i/>
        </w:rPr>
        <w:t>Gracki v. Poland</w:t>
      </w:r>
      <w:r w:rsidR="00537DDA" w:rsidRPr="007805CA">
        <w:t>, no. 14224/05, §</w:t>
      </w:r>
      <w:r w:rsidR="006005F2" w:rsidRPr="007805CA">
        <w:t> </w:t>
      </w:r>
      <w:r w:rsidR="00537DDA" w:rsidRPr="007805CA">
        <w:t>33, 29</w:t>
      </w:r>
      <w:r w:rsidR="007865F8" w:rsidRPr="007805CA">
        <w:t> </w:t>
      </w:r>
      <w:r w:rsidR="00537DDA" w:rsidRPr="007805CA">
        <w:t xml:space="preserve">January 2008). In the present case, the applicant lodged appeals against most of the decisions </w:t>
      </w:r>
      <w:r w:rsidR="007865F8" w:rsidRPr="007805CA">
        <w:t>extend</w:t>
      </w:r>
      <w:r w:rsidR="00537DDA" w:rsidRPr="007805CA">
        <w:t xml:space="preserve">ing his detention. </w:t>
      </w:r>
      <w:r w:rsidR="00EE196F" w:rsidRPr="007805CA">
        <w:t xml:space="preserve">On </w:t>
      </w:r>
      <w:r w:rsidR="00A17510" w:rsidRPr="007805CA">
        <w:t xml:space="preserve">a </w:t>
      </w:r>
      <w:r w:rsidR="00EE196F" w:rsidRPr="007805CA">
        <w:t>number of occasions he also requested the authorities to lift the detention measure</w:t>
      </w:r>
      <w:r w:rsidR="002127FE" w:rsidRPr="007805CA">
        <w:t xml:space="preserve"> and appealed against decisions dismissing his requests</w:t>
      </w:r>
      <w:r w:rsidR="00537DDA" w:rsidRPr="007805CA">
        <w:t>.</w:t>
      </w:r>
    </w:p>
    <w:p w:rsidR="00BD5E49"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32</w:t>
      </w:r>
      <w:r w:rsidRPr="007805CA">
        <w:rPr>
          <w:noProof/>
        </w:rPr>
        <w:fldChar w:fldCharType="end"/>
      </w:r>
      <w:r w:rsidR="00BD5E49" w:rsidRPr="007805CA">
        <w:t>.  </w:t>
      </w:r>
      <w:r w:rsidR="00F37D4A" w:rsidRPr="007805CA">
        <w:t>T</w:t>
      </w:r>
      <w:r w:rsidR="00BD5E49" w:rsidRPr="007805CA">
        <w:t>he Court observes that the applicant does not complain that he has not obtained compensation for his detentio</w:t>
      </w:r>
      <w:r w:rsidR="00180663" w:rsidRPr="007805CA">
        <w:t>n in contravention of Article</w:t>
      </w:r>
      <w:r w:rsidR="007865F8" w:rsidRPr="007805CA">
        <w:t> </w:t>
      </w:r>
      <w:r w:rsidR="00A17510" w:rsidRPr="007805CA">
        <w:t xml:space="preserve">5 </w:t>
      </w:r>
      <w:r w:rsidR="00BD5E49" w:rsidRPr="007805CA">
        <w:t>§</w:t>
      </w:r>
      <w:r w:rsidR="00180663" w:rsidRPr="007805CA">
        <w:t> </w:t>
      </w:r>
      <w:r w:rsidR="00BD5E49" w:rsidRPr="007805CA">
        <w:t>5 of the Convention.</w:t>
      </w:r>
    </w:p>
    <w:p w:rsidR="00014566" w:rsidRPr="007805CA" w:rsidRDefault="00252EF8"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33</w:t>
      </w:r>
      <w:r w:rsidRPr="007805CA">
        <w:rPr>
          <w:noProof/>
        </w:rPr>
        <w:fldChar w:fldCharType="end"/>
      </w:r>
      <w:r w:rsidR="00BD5E49" w:rsidRPr="007805CA">
        <w:t>.</w:t>
      </w:r>
      <w:r w:rsidR="006005F2" w:rsidRPr="007805CA">
        <w:t> </w:t>
      </w:r>
      <w:r w:rsidR="00BD5E49" w:rsidRPr="007805CA">
        <w:t xml:space="preserve"> It follows that </w:t>
      </w:r>
      <w:r w:rsidR="000E3549" w:rsidRPr="007805CA">
        <w:t xml:space="preserve">the </w:t>
      </w:r>
      <w:r w:rsidR="00BD5E49" w:rsidRPr="007805CA">
        <w:t xml:space="preserve">complaint </w:t>
      </w:r>
      <w:r w:rsidR="000E3549" w:rsidRPr="007805CA">
        <w:t xml:space="preserve">under Article 5 § 3 </w:t>
      </w:r>
      <w:r w:rsidR="00BD5E49" w:rsidRPr="007805CA">
        <w:t>cannot be rejected for non-exhaustion of domestic remedies. The Court further notes that it is not inadmissible on any other grounds. It must therefore be declared admissible.</w:t>
      </w:r>
    </w:p>
    <w:p w:rsidR="00014566" w:rsidRPr="007805CA" w:rsidRDefault="00014566" w:rsidP="007805CA">
      <w:pPr>
        <w:pStyle w:val="ECHRHeading2"/>
      </w:pPr>
      <w:r w:rsidRPr="007805CA">
        <w:t>B.  Merits</w:t>
      </w:r>
    </w:p>
    <w:p w:rsidR="00006FFC" w:rsidRPr="007805CA" w:rsidRDefault="00006FFC" w:rsidP="007805CA">
      <w:pPr>
        <w:pStyle w:val="ECHRHeading3"/>
      </w:pPr>
      <w:r w:rsidRPr="007805CA">
        <w:t>1.</w:t>
      </w:r>
      <w:r w:rsidR="006005F2" w:rsidRPr="007805CA">
        <w:t>  </w:t>
      </w:r>
      <w:r w:rsidRPr="007805CA">
        <w:t>Period to be taken into consideration</w:t>
      </w:r>
    </w:p>
    <w:p w:rsidR="00006FFC" w:rsidRPr="007805CA" w:rsidRDefault="00006FFC"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34</w:t>
      </w:r>
      <w:r w:rsidRPr="007805CA">
        <w:fldChar w:fldCharType="end"/>
      </w:r>
      <w:r w:rsidRPr="007805CA">
        <w:t>.  The Court notes that the relevant period lasted from 2 January 2007 to 25 September 2008 (when the applicant was convicted by the first</w:t>
      </w:r>
      <w:r w:rsidR="007865F8" w:rsidRPr="007805CA">
        <w:noBreakHyphen/>
      </w:r>
      <w:r w:rsidRPr="007805CA">
        <w:t>instance court) and from 13 May 2009 (when the conviction was quashed) to 16 March 2010 (when he was again convicted by the first</w:t>
      </w:r>
      <w:r w:rsidR="007865F8" w:rsidRPr="007805CA">
        <w:noBreakHyphen/>
      </w:r>
      <w:r w:rsidRPr="007805CA">
        <w:t xml:space="preserve">instance court) and then from 10 November 2010 (when the conviction was again quashed) to </w:t>
      </w:r>
      <w:r w:rsidR="00C2742E" w:rsidRPr="007805CA">
        <w:t>12 July 2012</w:t>
      </w:r>
      <w:r w:rsidRPr="007805CA">
        <w:t xml:space="preserve"> (</w:t>
      </w:r>
      <w:r w:rsidR="00C2742E" w:rsidRPr="007805CA">
        <w:t xml:space="preserve">when the applicant was again </w:t>
      </w:r>
      <w:r w:rsidR="00C2742E" w:rsidRPr="007805CA">
        <w:lastRenderedPageBreak/>
        <w:t>convicted by the first-instance court</w:t>
      </w:r>
      <w:r w:rsidRPr="007805CA">
        <w:t>). According to the Convention organs</w:t>
      </w:r>
      <w:r w:rsidR="007805CA" w:rsidRPr="007805CA">
        <w:t>’</w:t>
      </w:r>
      <w:r w:rsidRPr="007805CA">
        <w:t xml:space="preserve"> case-law, </w:t>
      </w:r>
      <w:r w:rsidR="00A17510" w:rsidRPr="007805CA">
        <w:t xml:space="preserve">a </w:t>
      </w:r>
      <w:r w:rsidRPr="007805CA">
        <w:t>person convicted at first instance cannot be regarded as being detained “for the purpose of bringing him before the competent legal authority on reasonable suspicion of having committed an offence”, as specified in Article 5 § 1 (c), but is in the position provided for by Article</w:t>
      </w:r>
      <w:r w:rsidR="007865F8" w:rsidRPr="007805CA">
        <w:t> </w:t>
      </w:r>
      <w:r w:rsidRPr="007805CA">
        <w:t>5</w:t>
      </w:r>
      <w:r w:rsidR="00A17510" w:rsidRPr="007805CA">
        <w:t xml:space="preserve"> </w:t>
      </w:r>
      <w:r w:rsidRPr="007805CA">
        <w:t xml:space="preserve">§ 1 (a), which authorises deprivation of liberty “after conviction by </w:t>
      </w:r>
      <w:r w:rsidR="00A17510" w:rsidRPr="007805CA">
        <w:t xml:space="preserve">a </w:t>
      </w:r>
      <w:r w:rsidRPr="007805CA">
        <w:t xml:space="preserve">competent court” (see, for example, </w:t>
      </w:r>
      <w:r w:rsidR="00C30C9C" w:rsidRPr="007805CA">
        <w:rPr>
          <w:i/>
        </w:rPr>
        <w:t>B. v. Austria</w:t>
      </w:r>
      <w:r w:rsidR="00C30C9C" w:rsidRPr="007805CA">
        <w:t>, 28 March 1990, §</w:t>
      </w:r>
      <w:r w:rsidR="007865F8" w:rsidRPr="007805CA">
        <w:t> </w:t>
      </w:r>
      <w:r w:rsidR="00C30C9C" w:rsidRPr="007805CA">
        <w:t>36</w:t>
      </w:r>
      <w:r w:rsidR="007865F8" w:rsidRPr="007805CA">
        <w:noBreakHyphen/>
      </w:r>
      <w:r w:rsidR="00C30C9C" w:rsidRPr="007805CA">
        <w:t xml:space="preserve">39, Series </w:t>
      </w:r>
      <w:r w:rsidR="00A17510" w:rsidRPr="007805CA">
        <w:t xml:space="preserve">A </w:t>
      </w:r>
      <w:r w:rsidR="00C30C9C" w:rsidRPr="007805CA">
        <w:t>no. 175</w:t>
      </w:r>
      <w:r w:rsidRPr="007805CA">
        <w:t>).</w:t>
      </w:r>
    </w:p>
    <w:p w:rsidR="00006FFC" w:rsidRPr="007805CA" w:rsidRDefault="00006FFC"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35</w:t>
      </w:r>
      <w:r w:rsidRPr="007805CA">
        <w:fldChar w:fldCharType="end"/>
      </w:r>
      <w:r w:rsidRPr="007805CA">
        <w:t>.  </w:t>
      </w:r>
      <w:r w:rsidR="00E22F1E" w:rsidRPr="007805CA">
        <w:t>Consequently, t</w:t>
      </w:r>
      <w:r w:rsidRPr="007805CA">
        <w:t>he period to be ta</w:t>
      </w:r>
      <w:r w:rsidR="00D44DEE" w:rsidRPr="007805CA">
        <w:t>ken into consideration lasted 4</w:t>
      </w:r>
      <w:r w:rsidR="004657AD" w:rsidRPr="007805CA">
        <w:t> </w:t>
      </w:r>
      <w:r w:rsidR="00D44DEE" w:rsidRPr="007805CA">
        <w:t>years and 3 months</w:t>
      </w:r>
      <w:r w:rsidRPr="007805CA">
        <w:t>.</w:t>
      </w:r>
    </w:p>
    <w:p w:rsidR="00C73650" w:rsidRPr="007805CA" w:rsidRDefault="006005F2" w:rsidP="007805CA">
      <w:pPr>
        <w:pStyle w:val="ECHRHeading3"/>
      </w:pPr>
      <w:r w:rsidRPr="007805CA">
        <w:t>2</w:t>
      </w:r>
      <w:r w:rsidR="00852E6C" w:rsidRPr="007805CA">
        <w:t>.</w:t>
      </w:r>
      <w:r w:rsidRPr="007805CA">
        <w:t>  </w:t>
      </w:r>
      <w:r w:rsidR="00852E6C" w:rsidRPr="007805CA">
        <w:t>The parties</w:t>
      </w:r>
      <w:r w:rsidR="007805CA" w:rsidRPr="007805CA">
        <w:t>’</w:t>
      </w:r>
      <w:r w:rsidR="00852E6C" w:rsidRPr="007805CA">
        <w:t xml:space="preserve"> submissions</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36</w:t>
      </w:r>
      <w:r w:rsidRPr="007805CA">
        <w:fldChar w:fldCharType="end"/>
      </w:r>
      <w:r w:rsidR="00014566" w:rsidRPr="007805CA">
        <w:t xml:space="preserve">.  The applicant </w:t>
      </w:r>
      <w:r w:rsidR="004C3095" w:rsidRPr="007805CA">
        <w:t>submitted</w:t>
      </w:r>
      <w:r w:rsidR="006A0654" w:rsidRPr="007805CA">
        <w:t xml:space="preserve"> that no reasons could </w:t>
      </w:r>
      <w:r w:rsidR="00D44DEE" w:rsidRPr="007805CA">
        <w:t xml:space="preserve">have </w:t>
      </w:r>
      <w:r w:rsidR="00FD129D" w:rsidRPr="007805CA">
        <w:t>justified</w:t>
      </w:r>
      <w:r w:rsidR="006A0654" w:rsidRPr="007805CA">
        <w:t xml:space="preserve"> the length of his pre-trial detention. He</w:t>
      </w:r>
      <w:r w:rsidR="00D44DEE" w:rsidRPr="007805CA">
        <w:t xml:space="preserve"> maintained that it had been an</w:t>
      </w:r>
      <w:r w:rsidR="006A0654" w:rsidRPr="007805CA">
        <w:t xml:space="preserve"> inefficient organisation of the courts</w:t>
      </w:r>
      <w:r w:rsidR="007805CA" w:rsidRPr="007805CA">
        <w:t>’</w:t>
      </w:r>
      <w:r w:rsidR="006A0654" w:rsidRPr="007805CA">
        <w:t xml:space="preserve"> work which had contributed to the length of </w:t>
      </w:r>
      <w:r w:rsidR="00FD129D" w:rsidRPr="007805CA">
        <w:t xml:space="preserve">the </w:t>
      </w:r>
      <w:r w:rsidR="006A0654" w:rsidRPr="007805CA">
        <w:t>proceedings</w:t>
      </w:r>
    </w:p>
    <w:p w:rsidR="00C67865"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37</w:t>
      </w:r>
      <w:r w:rsidRPr="007805CA">
        <w:fldChar w:fldCharType="end"/>
      </w:r>
      <w:r w:rsidR="006D3C2A" w:rsidRPr="007805CA">
        <w:t xml:space="preserve">.  The Government refrained from taking </w:t>
      </w:r>
      <w:r w:rsidR="00A17510" w:rsidRPr="007805CA">
        <w:t xml:space="preserve">a </w:t>
      </w:r>
      <w:r w:rsidR="006D3C2A" w:rsidRPr="007805CA">
        <w:t>position on the merits of this complaint.</w:t>
      </w:r>
    </w:p>
    <w:p w:rsidR="00852E6C" w:rsidRPr="007805CA" w:rsidRDefault="006005F2" w:rsidP="007805CA">
      <w:pPr>
        <w:pStyle w:val="ECHRHeading3"/>
      </w:pPr>
      <w:r w:rsidRPr="007805CA">
        <w:t>3.  </w:t>
      </w:r>
      <w:r w:rsidR="00852E6C" w:rsidRPr="007805CA">
        <w:t>The Court</w:t>
      </w:r>
      <w:r w:rsidR="007805CA" w:rsidRPr="007805CA">
        <w:t>’</w:t>
      </w:r>
      <w:r w:rsidR="00852E6C" w:rsidRPr="007805CA">
        <w:t>s assessment</w:t>
      </w:r>
    </w:p>
    <w:p w:rsidR="00852E6C" w:rsidRPr="007805CA" w:rsidRDefault="00852E6C"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38</w:t>
      </w:r>
      <w:r w:rsidRPr="007805CA">
        <w:fldChar w:fldCharType="end"/>
      </w:r>
      <w:r w:rsidRPr="007805CA">
        <w:t xml:space="preserve">.  The Court reiterates that the general principles regarding the right “to trial within </w:t>
      </w:r>
      <w:r w:rsidR="00A17510" w:rsidRPr="007805CA">
        <w:t xml:space="preserve">a </w:t>
      </w:r>
      <w:r w:rsidRPr="007805CA">
        <w:t>reasonable time or to release pending trial</w:t>
      </w:r>
      <w:r w:rsidR="00431F37" w:rsidRPr="007805CA">
        <w:t>”</w:t>
      </w:r>
      <w:r w:rsidRPr="007805CA">
        <w:t xml:space="preserve">, as guaranteed by Article 5 § 3 of the Convention were stated in </w:t>
      </w:r>
      <w:r w:rsidR="00A17510" w:rsidRPr="007805CA">
        <w:t xml:space="preserve">a </w:t>
      </w:r>
      <w:r w:rsidRPr="007805CA">
        <w:t xml:space="preserve">number of its previous judgments (see, among many other authorities, </w:t>
      </w:r>
      <w:r w:rsidRPr="007805CA">
        <w:rPr>
          <w:i/>
        </w:rPr>
        <w:t>Kudł</w:t>
      </w:r>
      <w:r w:rsidR="00A17510" w:rsidRPr="007805CA">
        <w:rPr>
          <w:i/>
        </w:rPr>
        <w:t xml:space="preserve">a </w:t>
      </w:r>
      <w:r w:rsidRPr="007805CA">
        <w:rPr>
          <w:i/>
        </w:rPr>
        <w:t>v. Poland</w:t>
      </w:r>
      <w:r w:rsidRPr="007805CA">
        <w:t xml:space="preserve"> [GC], no.</w:t>
      </w:r>
      <w:r w:rsidR="006005F2" w:rsidRPr="007805CA">
        <w:t> </w:t>
      </w:r>
      <w:r w:rsidRPr="007805CA">
        <w:t>30210/96, § 110 et seq, ECHR 2000</w:t>
      </w:r>
      <w:r w:rsidRPr="007805CA">
        <w:rPr>
          <w:rFonts w:ascii="MS Mincho" w:eastAsia="MS Mincho" w:hAnsi="MS Mincho" w:cs="MS Mincho" w:hint="eastAsia"/>
        </w:rPr>
        <w:t>‑</w:t>
      </w:r>
      <w:r w:rsidR="0029018A" w:rsidRPr="007805CA">
        <w:t>XI;</w:t>
      </w:r>
      <w:r w:rsidRPr="007805CA">
        <w:t xml:space="preserve"> </w:t>
      </w:r>
      <w:r w:rsidRPr="007805CA">
        <w:rPr>
          <w:i/>
        </w:rPr>
        <w:t>McKay v. the United Kingdom</w:t>
      </w:r>
      <w:r w:rsidRPr="007805CA">
        <w:t xml:space="preserve">, </w:t>
      </w:r>
      <w:r w:rsidR="0029018A" w:rsidRPr="007805CA">
        <w:t>[GC], no.</w:t>
      </w:r>
      <w:r w:rsidR="00FD129D" w:rsidRPr="007805CA">
        <w:t xml:space="preserve"> 543/03, §§ 41-44, ECHR 2006-X</w:t>
      </w:r>
      <w:r w:rsidR="0029018A" w:rsidRPr="007805CA">
        <w:t>, with further references</w:t>
      </w:r>
      <w:r w:rsidR="000E3549" w:rsidRPr="007805CA">
        <w:t>;</w:t>
      </w:r>
      <w:r w:rsidR="0029018A" w:rsidRPr="007805CA">
        <w:t xml:space="preserve"> and </w:t>
      </w:r>
      <w:r w:rsidR="0029018A" w:rsidRPr="007805CA">
        <w:rPr>
          <w:i/>
        </w:rPr>
        <w:t>Buzadji v. the Republic of Moldov</w:t>
      </w:r>
      <w:r w:rsidR="00A17510" w:rsidRPr="007805CA">
        <w:rPr>
          <w:i/>
        </w:rPr>
        <w:t xml:space="preserve">a </w:t>
      </w:r>
      <w:r w:rsidR="0029018A" w:rsidRPr="007805CA">
        <w:t>[GC], no. 23755/07, §§ 84-102, 5</w:t>
      </w:r>
      <w:r w:rsidR="00B51841" w:rsidRPr="007805CA">
        <w:t> </w:t>
      </w:r>
      <w:r w:rsidR="0029018A" w:rsidRPr="007805CA">
        <w:t>July 2016</w:t>
      </w:r>
      <w:r w:rsidRPr="007805CA">
        <w:t>).</w:t>
      </w:r>
    </w:p>
    <w:p w:rsidR="00D72768" w:rsidRPr="007805CA" w:rsidRDefault="00852E6C" w:rsidP="007805CA">
      <w:pPr>
        <w:pStyle w:val="ECHRPara"/>
        <w:rPr>
          <w:b/>
        </w:rPr>
      </w:pPr>
      <w:r w:rsidRPr="007805CA">
        <w:fldChar w:fldCharType="begin"/>
      </w:r>
      <w:r w:rsidRPr="007805CA">
        <w:instrText xml:space="preserve"> SEQ level0 \*arabic </w:instrText>
      </w:r>
      <w:r w:rsidRPr="007805CA">
        <w:fldChar w:fldCharType="separate"/>
      </w:r>
      <w:r w:rsidR="007805CA" w:rsidRPr="007805CA">
        <w:rPr>
          <w:noProof/>
        </w:rPr>
        <w:t>39</w:t>
      </w:r>
      <w:r w:rsidRPr="007805CA">
        <w:fldChar w:fldCharType="end"/>
      </w:r>
      <w:r w:rsidRPr="007805CA">
        <w:t xml:space="preserve">.  In their detention decisions, the authorities, in addition to the reasonable suspicion against the applicant, relied principally on </w:t>
      </w:r>
      <w:r w:rsidR="006A0654" w:rsidRPr="007805CA">
        <w:t>three</w:t>
      </w:r>
      <w:r w:rsidRPr="007805CA">
        <w:t xml:space="preserve"> grounds, namely (1) th</w:t>
      </w:r>
      <w:r w:rsidR="004C3095" w:rsidRPr="007805CA">
        <w:t>e serious nature of the offence</w:t>
      </w:r>
      <w:r w:rsidRPr="007805CA">
        <w:t xml:space="preserve"> with which he had been charged, (2) the severity of the penal</w:t>
      </w:r>
      <w:r w:rsidR="007C01DF" w:rsidRPr="007805CA">
        <w:t>ty to which he was liable and (3</w:t>
      </w:r>
      <w:r w:rsidRPr="007805CA">
        <w:t>)</w:t>
      </w:r>
      <w:r w:rsidR="00431F37" w:rsidRPr="007805CA">
        <w:t> </w:t>
      </w:r>
      <w:r w:rsidRPr="007805CA">
        <w:t xml:space="preserve">the need to secure the proper conduct of the proceedings. As regards the latter, </w:t>
      </w:r>
      <w:r w:rsidR="00410C52" w:rsidRPr="007805CA">
        <w:t xml:space="preserve">they relied </w:t>
      </w:r>
      <w:r w:rsidR="00D72768" w:rsidRPr="007805CA">
        <w:t xml:space="preserve">on the severity of the </w:t>
      </w:r>
      <w:r w:rsidR="006A0654" w:rsidRPr="007805CA">
        <w:t xml:space="preserve">anticipated </w:t>
      </w:r>
      <w:r w:rsidR="00D72768" w:rsidRPr="007805CA">
        <w:t xml:space="preserve">punishment which had created </w:t>
      </w:r>
      <w:r w:rsidR="00A17510" w:rsidRPr="007805CA">
        <w:t xml:space="preserve">a </w:t>
      </w:r>
      <w:r w:rsidR="00253F67" w:rsidRPr="007805CA">
        <w:t>risk</w:t>
      </w:r>
      <w:r w:rsidR="00D72768" w:rsidRPr="007805CA">
        <w:t xml:space="preserve"> that he would attempt to obstruct the proper conduct of the proceed</w:t>
      </w:r>
      <w:r w:rsidR="006A0654" w:rsidRPr="007805CA">
        <w:t>ings if released (see paragraphs</w:t>
      </w:r>
      <w:r w:rsidR="00D72768" w:rsidRPr="007805CA">
        <w:t xml:space="preserve"> </w:t>
      </w:r>
      <w:r w:rsidR="006A0654" w:rsidRPr="007805CA">
        <w:t>16, 19 and 22</w:t>
      </w:r>
      <w:r w:rsidR="00D72768" w:rsidRPr="007805CA">
        <w:t xml:space="preserve"> above).</w:t>
      </w:r>
    </w:p>
    <w:p w:rsidR="00410C52" w:rsidRPr="007805CA" w:rsidRDefault="00410C5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40</w:t>
      </w:r>
      <w:r w:rsidRPr="007805CA">
        <w:fldChar w:fldCharType="end"/>
      </w:r>
      <w:r w:rsidRPr="007805CA">
        <w:t>.  </w:t>
      </w:r>
      <w:r w:rsidR="00E22F1E" w:rsidRPr="007805CA">
        <w:t xml:space="preserve">The Court accepts that the reasonable suspicion </w:t>
      </w:r>
      <w:r w:rsidR="00360775" w:rsidRPr="007805CA">
        <w:t>that</w:t>
      </w:r>
      <w:r w:rsidR="00E22F1E" w:rsidRPr="007805CA">
        <w:t xml:space="preserve"> the applicant </w:t>
      </w:r>
      <w:r w:rsidR="00360775" w:rsidRPr="007805CA">
        <w:t>had</w:t>
      </w:r>
      <w:r w:rsidR="00E22F1E" w:rsidRPr="007805CA">
        <w:t xml:space="preserve"> committed serious offences could </w:t>
      </w:r>
      <w:r w:rsidR="00671175" w:rsidRPr="007805CA">
        <w:t>initially warrant his detention</w:t>
      </w:r>
      <w:r w:rsidR="00E22F1E" w:rsidRPr="007805CA">
        <w:t>.</w:t>
      </w:r>
      <w:r w:rsidR="007C01DF" w:rsidRPr="007805CA">
        <w:t xml:space="preserve"> </w:t>
      </w:r>
      <w:r w:rsidRPr="007805CA">
        <w:t>However, with the passage of time, those grounds became less and less relevant. The Court must then establish whether the other grounds adduced by the courts – namely, the severity of</w:t>
      </w:r>
      <w:r w:rsidR="00253F67" w:rsidRPr="007805CA">
        <w:t xml:space="preserve"> the anticipated sentence and</w:t>
      </w:r>
      <w:r w:rsidR="004C3095" w:rsidRPr="007805CA">
        <w:t xml:space="preserve"> </w:t>
      </w:r>
      <w:r w:rsidRPr="007805CA">
        <w:t xml:space="preserve">the risk that the applicant would tamper </w:t>
      </w:r>
      <w:r w:rsidR="007E3892" w:rsidRPr="007805CA">
        <w:t xml:space="preserve">with </w:t>
      </w:r>
      <w:r w:rsidR="00253F67" w:rsidRPr="007805CA">
        <w:t>the proceedings</w:t>
      </w:r>
      <w:r w:rsidRPr="007805CA">
        <w:t xml:space="preserve"> – were “sufficient” and “relevant” (see </w:t>
      </w:r>
      <w:r w:rsidR="00671175" w:rsidRPr="007805CA">
        <w:rPr>
          <w:i/>
        </w:rPr>
        <w:t>Kudła</w:t>
      </w:r>
      <w:r w:rsidR="00671175" w:rsidRPr="007805CA">
        <w:t>, cited above, § 111</w:t>
      </w:r>
      <w:r w:rsidRPr="007805CA">
        <w:t>).</w:t>
      </w:r>
    </w:p>
    <w:p w:rsidR="00410C52" w:rsidRPr="007805CA" w:rsidRDefault="00410C52" w:rsidP="007805CA">
      <w:pPr>
        <w:pStyle w:val="ECHRPara"/>
      </w:pPr>
      <w:r w:rsidRPr="007805CA">
        <w:lastRenderedPageBreak/>
        <w:fldChar w:fldCharType="begin"/>
      </w:r>
      <w:r w:rsidRPr="007805CA">
        <w:instrText xml:space="preserve"> SEQ level0 \*arabic </w:instrText>
      </w:r>
      <w:r w:rsidRPr="007805CA">
        <w:fldChar w:fldCharType="separate"/>
      </w:r>
      <w:r w:rsidR="007805CA" w:rsidRPr="007805CA">
        <w:rPr>
          <w:noProof/>
        </w:rPr>
        <w:t>41</w:t>
      </w:r>
      <w:r w:rsidRPr="007805CA">
        <w:fldChar w:fldCharType="end"/>
      </w:r>
      <w:r w:rsidRPr="007805CA">
        <w:t xml:space="preserve">.  According to the authorities, the gravity of the charges against the applicant and, consequently, the likelihood of </w:t>
      </w:r>
      <w:r w:rsidR="00A17510" w:rsidRPr="007805CA">
        <w:t xml:space="preserve">a </w:t>
      </w:r>
      <w:r w:rsidRPr="007805CA">
        <w:t xml:space="preserve">severe sentence </w:t>
      </w:r>
      <w:r w:rsidR="004C3095" w:rsidRPr="007805CA">
        <w:t xml:space="preserve">being imposed on him, created </w:t>
      </w:r>
      <w:r w:rsidR="00A17510" w:rsidRPr="007805CA">
        <w:t xml:space="preserve">a </w:t>
      </w:r>
      <w:r w:rsidR="00995941" w:rsidRPr="007805CA">
        <w:t>risk</w:t>
      </w:r>
      <w:r w:rsidRPr="007805CA">
        <w:t xml:space="preserve"> that the applicant would </w:t>
      </w:r>
      <w:r w:rsidR="003A0B7D" w:rsidRPr="007805CA">
        <w:t>attempt to obstruct the proceedings</w:t>
      </w:r>
      <w:r w:rsidRPr="007805CA">
        <w:t xml:space="preserve">. However, the Court would reiterate that, while the severity of the sentence faced is </w:t>
      </w:r>
      <w:r w:rsidR="00A17510" w:rsidRPr="007805CA">
        <w:t xml:space="preserve">a </w:t>
      </w:r>
      <w:r w:rsidRPr="007805CA">
        <w:t xml:space="preserve">relevant element in the assessment of the risk of </w:t>
      </w:r>
      <w:r w:rsidR="00E716E4" w:rsidRPr="007805CA">
        <w:t xml:space="preserve">obstructing </w:t>
      </w:r>
      <w:r w:rsidR="003A0B7D" w:rsidRPr="007805CA">
        <w:t>the proceedings</w:t>
      </w:r>
      <w:r w:rsidRPr="007805CA">
        <w:t xml:space="preserve">, the gravity of the charges cannot by itself justify long periods of detention on remand (see </w:t>
      </w:r>
      <w:r w:rsidRPr="007805CA">
        <w:rPr>
          <w:i/>
        </w:rPr>
        <w:t>Micht</w:t>
      </w:r>
      <w:r w:rsidR="00A17510" w:rsidRPr="007805CA">
        <w:rPr>
          <w:i/>
        </w:rPr>
        <w:t xml:space="preserve">a </w:t>
      </w:r>
      <w:r w:rsidRPr="007805CA">
        <w:rPr>
          <w:i/>
        </w:rPr>
        <w:t>v. Poland</w:t>
      </w:r>
      <w:r w:rsidRPr="007805CA">
        <w:t>, no.</w:t>
      </w:r>
      <w:r w:rsidR="006005F2" w:rsidRPr="007805CA">
        <w:t> </w:t>
      </w:r>
      <w:r w:rsidRPr="007805CA">
        <w:t>13425/02, §§ 49, 4 May 2006).</w:t>
      </w:r>
    </w:p>
    <w:p w:rsidR="00410C52" w:rsidRPr="007805CA" w:rsidRDefault="00410C5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42</w:t>
      </w:r>
      <w:r w:rsidRPr="007805CA">
        <w:fldChar w:fldCharType="end"/>
      </w:r>
      <w:r w:rsidRPr="007805CA">
        <w:t xml:space="preserve">.  As regards the risk that the applicant would obstruct the proceedings, the Court is not persuaded that it constituted </w:t>
      </w:r>
      <w:r w:rsidR="00A17510" w:rsidRPr="007805CA">
        <w:t xml:space="preserve">a </w:t>
      </w:r>
      <w:r w:rsidRPr="007805CA">
        <w:t>valid ground for the entire length of his pre-trial detention. Firstly, it notes that the Gdyni</w:t>
      </w:r>
      <w:r w:rsidR="00A17510" w:rsidRPr="007805CA">
        <w:t xml:space="preserve">a </w:t>
      </w:r>
      <w:r w:rsidRPr="007805CA">
        <w:t xml:space="preserve">District Court, when initially remanding the applicant in custody, made only </w:t>
      </w:r>
      <w:r w:rsidR="00A17510" w:rsidRPr="007805CA">
        <w:t xml:space="preserve">a </w:t>
      </w:r>
      <w:r w:rsidRPr="007805CA">
        <w:t xml:space="preserve">general reference to the fact that the offence had been </w:t>
      </w:r>
      <w:r w:rsidR="00E87821" w:rsidRPr="007805CA">
        <w:t xml:space="preserve">committed </w:t>
      </w:r>
      <w:r w:rsidRPr="007805CA">
        <w:t xml:space="preserve">by several perpetrators and the risk that the applicant would attempt to avoid </w:t>
      </w:r>
      <w:r w:rsidR="00A17510" w:rsidRPr="007805CA">
        <w:t xml:space="preserve">a </w:t>
      </w:r>
      <w:r w:rsidRPr="007805CA">
        <w:t xml:space="preserve">severe </w:t>
      </w:r>
      <w:r w:rsidR="007E3892" w:rsidRPr="007805CA">
        <w:t>penalty</w:t>
      </w:r>
      <w:r w:rsidRPr="007805CA">
        <w:t>. Secondly, the Court notes that the relevant decisions did not contain any argument capable of showing that these fears were well</w:t>
      </w:r>
      <w:r w:rsidR="00431F37" w:rsidRPr="007805CA">
        <w:noBreakHyphen/>
      </w:r>
      <w:r w:rsidRPr="007805CA">
        <w:t xml:space="preserve">founded. Such </w:t>
      </w:r>
      <w:r w:rsidR="00A17510" w:rsidRPr="007805CA">
        <w:t xml:space="preserve">a </w:t>
      </w:r>
      <w:r w:rsidRPr="007805CA">
        <w:t>generally formulated risk, flowing</w:t>
      </w:r>
      <w:r w:rsidR="00E87821" w:rsidRPr="007805CA">
        <w:t xml:space="preserve"> from the nature of the offence</w:t>
      </w:r>
      <w:r w:rsidRPr="007805CA">
        <w:t xml:space="preserve"> with which the applicant had been charged, might possibly be accepted as the basis for his detention at the initial stages of the proceedings. Nevertheless, in the absence of any other factor capable of showing that the risk of his </w:t>
      </w:r>
      <w:r w:rsidR="007E3892" w:rsidRPr="007805CA">
        <w:t>attempt</w:t>
      </w:r>
      <w:r w:rsidR="00584962" w:rsidRPr="007805CA">
        <w:t>ing</w:t>
      </w:r>
      <w:r w:rsidR="007E3892" w:rsidRPr="007805CA">
        <w:t xml:space="preserve"> to ta</w:t>
      </w:r>
      <w:r w:rsidRPr="007805CA">
        <w:t xml:space="preserve">mper </w:t>
      </w:r>
      <w:r w:rsidR="007E3892" w:rsidRPr="007805CA">
        <w:t xml:space="preserve">with </w:t>
      </w:r>
      <w:r w:rsidRPr="007805CA">
        <w:t xml:space="preserve">the proceedings actually existed, the Court cannot accept that ground as </w:t>
      </w:r>
      <w:r w:rsidR="00A17510" w:rsidRPr="007805CA">
        <w:t xml:space="preserve">a </w:t>
      </w:r>
      <w:r w:rsidRPr="007805CA">
        <w:t xml:space="preserve">justification for holding the applicant in custody for the entire period in question (see </w:t>
      </w:r>
      <w:r w:rsidR="00D27D8F" w:rsidRPr="007805CA">
        <w:rPr>
          <w:i/>
        </w:rPr>
        <w:t>Krzysztofiak</w:t>
      </w:r>
      <w:r w:rsidRPr="007805CA">
        <w:rPr>
          <w:i/>
        </w:rPr>
        <w:t xml:space="preserve"> v. Poland</w:t>
      </w:r>
      <w:r w:rsidR="00D27D8F" w:rsidRPr="007805CA">
        <w:t>, no. 38018</w:t>
      </w:r>
      <w:r w:rsidR="00FC1ACD" w:rsidRPr="007805CA">
        <w:t>/07</w:t>
      </w:r>
      <w:r w:rsidRPr="007805CA">
        <w:t xml:space="preserve">, § </w:t>
      </w:r>
      <w:r w:rsidR="00D27D8F" w:rsidRPr="007805CA">
        <w:t>4</w:t>
      </w:r>
      <w:r w:rsidRPr="007805CA">
        <w:t xml:space="preserve">8, </w:t>
      </w:r>
      <w:r w:rsidR="00D27D8F" w:rsidRPr="007805CA">
        <w:t>20 April 2010</w:t>
      </w:r>
      <w:r w:rsidRPr="007805CA">
        <w:t>).</w:t>
      </w:r>
    </w:p>
    <w:p w:rsidR="00A86C42" w:rsidRPr="007805CA" w:rsidRDefault="00A86C4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43</w:t>
      </w:r>
      <w:r w:rsidRPr="007805CA">
        <w:fldChar w:fldCharType="end"/>
      </w:r>
      <w:r w:rsidRPr="007805CA">
        <w:t>.  The Court observes that the applicant</w:t>
      </w:r>
      <w:r w:rsidR="007805CA" w:rsidRPr="007805CA">
        <w:t>’</w:t>
      </w:r>
      <w:r w:rsidRPr="007805CA">
        <w:t>s detention was supervised by the courts at regular intervals. However, in their decisions extending the applicant</w:t>
      </w:r>
      <w:r w:rsidR="007805CA" w:rsidRPr="007805CA">
        <w:t>’</w:t>
      </w:r>
      <w:r w:rsidRPr="007805CA">
        <w:t>s detention</w:t>
      </w:r>
      <w:r w:rsidR="00A5457A" w:rsidRPr="007805CA">
        <w:t>,</w:t>
      </w:r>
      <w:r w:rsidRPr="007805CA">
        <w:t xml:space="preserve"> the domestic authorities repeatedly relied on the same grounds, namely </w:t>
      </w:r>
      <w:r w:rsidR="00A17510" w:rsidRPr="007805CA">
        <w:t xml:space="preserve">a </w:t>
      </w:r>
      <w:r w:rsidRPr="007805CA">
        <w:t xml:space="preserve">reasonable suspicion that the applicant had </w:t>
      </w:r>
      <w:r w:rsidR="00E87821" w:rsidRPr="007805CA">
        <w:t>committed the offence</w:t>
      </w:r>
      <w:r w:rsidRPr="007805CA">
        <w:t xml:space="preserve"> in question, the severity of the likely penalty and the risk that the applicant would obstruct the proper conduct of the proceedings. No other grounds for detention were given in those decisions, notwithstanding </w:t>
      </w:r>
      <w:r w:rsidR="00A5457A" w:rsidRPr="007805CA">
        <w:t>the</w:t>
      </w:r>
      <w:r w:rsidR="00A17510" w:rsidRPr="007805CA">
        <w:t xml:space="preserve"> </w:t>
      </w:r>
      <w:r w:rsidR="007E3892" w:rsidRPr="007805CA">
        <w:t>significant length of the applicant</w:t>
      </w:r>
      <w:r w:rsidR="007805CA" w:rsidRPr="007805CA">
        <w:t>’</w:t>
      </w:r>
      <w:r w:rsidR="007E3892" w:rsidRPr="007805CA">
        <w:t>s detention on remand</w:t>
      </w:r>
      <w:r w:rsidRPr="007805CA">
        <w:t>.</w:t>
      </w:r>
    </w:p>
    <w:p w:rsidR="00C73650" w:rsidRPr="007805CA" w:rsidRDefault="007E389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44</w:t>
      </w:r>
      <w:r w:rsidRPr="007805CA">
        <w:fldChar w:fldCharType="end"/>
      </w:r>
      <w:r w:rsidRPr="007805CA">
        <w:t>.  </w:t>
      </w:r>
      <w:r w:rsidR="00922334" w:rsidRPr="007805CA">
        <w:t>T</w:t>
      </w:r>
      <w:r w:rsidRPr="007805CA">
        <w:t xml:space="preserve">he Court also notes that the applicant was eventually sentenced </w:t>
      </w:r>
      <w:r w:rsidR="00D8109B" w:rsidRPr="007805CA">
        <w:t>to four</w:t>
      </w:r>
      <w:r w:rsidRPr="007805CA">
        <w:t xml:space="preserve"> years</w:t>
      </w:r>
      <w:r w:rsidR="007805CA" w:rsidRPr="007805CA">
        <w:t>’</w:t>
      </w:r>
      <w:r w:rsidRPr="007805CA">
        <w:t xml:space="preserve"> imprisonment </w:t>
      </w:r>
      <w:r w:rsidR="00EF6EF8" w:rsidRPr="007805CA">
        <w:t>(see paragraph 23)</w:t>
      </w:r>
      <w:r w:rsidR="000E3549" w:rsidRPr="007805CA">
        <w:t>,</w:t>
      </w:r>
      <w:r w:rsidR="00EF6EF8" w:rsidRPr="007805CA">
        <w:t xml:space="preserve"> </w:t>
      </w:r>
      <w:r w:rsidRPr="007805CA">
        <w:t>while his detention on remand for the purpose of Article 5 § 3 was three months longer than his eventual sentence.</w:t>
      </w:r>
    </w:p>
    <w:p w:rsidR="00E22F1E" w:rsidRPr="007805CA" w:rsidRDefault="00410C5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45</w:t>
      </w:r>
      <w:r w:rsidRPr="007805CA">
        <w:fldChar w:fldCharType="end"/>
      </w:r>
      <w:r w:rsidRPr="007805CA">
        <w:t>.  </w:t>
      </w:r>
      <w:r w:rsidR="007C01DF" w:rsidRPr="007805CA">
        <w:t xml:space="preserve">The Court would also emphasise that under Article 5 § 3 the authorities, when deciding whether </w:t>
      </w:r>
      <w:r w:rsidR="00A17510" w:rsidRPr="007805CA">
        <w:t xml:space="preserve">a </w:t>
      </w:r>
      <w:r w:rsidR="007C01DF" w:rsidRPr="007805CA">
        <w:t>person should be released or detained, are obliged to consider alternative measures f</w:t>
      </w:r>
      <w:r w:rsidR="00A5457A" w:rsidRPr="007805CA">
        <w:t>or</w:t>
      </w:r>
      <w:r w:rsidR="007C01DF" w:rsidRPr="007805CA">
        <w:t xml:space="preserve"> ensuring his appe</w:t>
      </w:r>
      <w:r w:rsidR="00A86C42" w:rsidRPr="007805CA">
        <w:t>arance at trial</w:t>
      </w:r>
      <w:r w:rsidR="00922334" w:rsidRPr="007805CA">
        <w:t>.</w:t>
      </w:r>
      <w:r w:rsidR="00A86C42" w:rsidRPr="007805CA">
        <w:t xml:space="preserve"> </w:t>
      </w:r>
      <w:r w:rsidR="007C01DF" w:rsidRPr="007805CA">
        <w:t xml:space="preserve">Indeed, that provision proclaims not only the right to “trial within </w:t>
      </w:r>
      <w:r w:rsidR="00A17510" w:rsidRPr="007805CA">
        <w:t xml:space="preserve">a </w:t>
      </w:r>
      <w:r w:rsidR="007C01DF" w:rsidRPr="007805CA">
        <w:t xml:space="preserve">reasonable time or to release pending trial” but also lays down that “release may be conditioned by guarantees to appear for trial” (see </w:t>
      </w:r>
      <w:r w:rsidR="007C01DF" w:rsidRPr="007805CA">
        <w:rPr>
          <w:i/>
        </w:rPr>
        <w:t>G.K. v.</w:t>
      </w:r>
      <w:r w:rsidR="006005F2" w:rsidRPr="007805CA">
        <w:rPr>
          <w:i/>
        </w:rPr>
        <w:t> </w:t>
      </w:r>
      <w:r w:rsidR="007C01DF" w:rsidRPr="007805CA">
        <w:rPr>
          <w:i/>
        </w:rPr>
        <w:t>Poland</w:t>
      </w:r>
      <w:r w:rsidR="007C01DF" w:rsidRPr="007805CA">
        <w:t xml:space="preserve">, no. 38816/97, § 85, 20 January 2004). </w:t>
      </w:r>
      <w:r w:rsidR="00A17510" w:rsidRPr="007805CA">
        <w:t xml:space="preserve">A </w:t>
      </w:r>
      <w:r w:rsidR="007C01DF" w:rsidRPr="007805CA">
        <w:t>range of other, less stringent</w:t>
      </w:r>
      <w:r w:rsidR="00A5457A" w:rsidRPr="007805CA">
        <w:t>,</w:t>
      </w:r>
      <w:r w:rsidR="007C01DF" w:rsidRPr="007805CA">
        <w:t xml:space="preserve"> </w:t>
      </w:r>
      <w:r w:rsidR="007C01DF" w:rsidRPr="007805CA">
        <w:lastRenderedPageBreak/>
        <w:t>preventive measures could have been alternatively considered and imposed on the applicant to ensure his presence and participation in the proceedings.</w:t>
      </w:r>
    </w:p>
    <w:p w:rsidR="00A86C42" w:rsidRPr="007805CA" w:rsidRDefault="00A86C42"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46</w:t>
      </w:r>
      <w:r w:rsidRPr="007805CA">
        <w:fldChar w:fldCharType="end"/>
      </w:r>
      <w:r w:rsidRPr="007805CA">
        <w:t>.  In the present case</w:t>
      </w:r>
      <w:r w:rsidR="00922334" w:rsidRPr="007805CA">
        <w:t>,</w:t>
      </w:r>
      <w:r w:rsidRPr="007805CA">
        <w:t xml:space="preserve"> the Court notes that during the entire period </w:t>
      </w:r>
      <w:r w:rsidR="00922334" w:rsidRPr="007805CA">
        <w:t xml:space="preserve">of </w:t>
      </w:r>
      <w:r w:rsidRPr="007805CA">
        <w:t>the applicant</w:t>
      </w:r>
      <w:r w:rsidR="007805CA" w:rsidRPr="007805CA">
        <w:t>’</w:t>
      </w:r>
      <w:r w:rsidR="00922334" w:rsidRPr="007805CA">
        <w:t>s detention</w:t>
      </w:r>
      <w:r w:rsidRPr="007805CA">
        <w:t xml:space="preserve">, and despite his repeated applications for </w:t>
      </w:r>
      <w:r w:rsidR="00E12CCA" w:rsidRPr="007805CA">
        <w:t>release</w:t>
      </w:r>
      <w:r w:rsidRPr="007805CA">
        <w:t>, the authorities did not envisage any other guarantees</w:t>
      </w:r>
      <w:r w:rsidR="004429FD" w:rsidRPr="007805CA">
        <w:t xml:space="preserve"> to ensure</w:t>
      </w:r>
      <w:r w:rsidRPr="007805CA">
        <w:t xml:space="preserve"> that he would appear for trial. They did not give any consideration to the possibility of ensuring his presence at trial by imposing on him other “preventive measures” – such as bail or police supervision – expressly foreseen by Polish law to secure the proper conduct of criminal proceedings</w:t>
      </w:r>
      <w:r w:rsidR="003A0B7D" w:rsidRPr="007805CA">
        <w:t>.</w:t>
      </w:r>
    </w:p>
    <w:p w:rsidR="00C73650" w:rsidRPr="007805CA" w:rsidRDefault="00E22F1E"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47</w:t>
      </w:r>
      <w:r w:rsidRPr="007805CA">
        <w:fldChar w:fldCharType="end"/>
      </w:r>
      <w:r w:rsidRPr="007805CA">
        <w:t>.  </w:t>
      </w:r>
      <w:r w:rsidR="008371B5" w:rsidRPr="007805CA">
        <w:t xml:space="preserve">The Court further observes that the applicant was detained on </w:t>
      </w:r>
      <w:r w:rsidR="00A17510" w:rsidRPr="007805CA">
        <w:t xml:space="preserve">a </w:t>
      </w:r>
      <w:r w:rsidR="008371B5" w:rsidRPr="007805CA">
        <w:t xml:space="preserve">charge of homicide committed together with two accomplices. The defendants had not been formally charged with acting as part of an organised criminal group. In these circumstances, the Court is not persuaded that the instant case presented particular difficulties for the investigation authorities or for the courts to determine the facts and mount </w:t>
      </w:r>
      <w:r w:rsidR="00A17510" w:rsidRPr="007805CA">
        <w:t xml:space="preserve">a </w:t>
      </w:r>
      <w:r w:rsidR="008371B5" w:rsidRPr="007805CA">
        <w:t>case against the perpetrators, as would undoubtedly have been the case had the proceedings concerned organised crime (see</w:t>
      </w:r>
      <w:r w:rsidR="000E3549" w:rsidRPr="007805CA">
        <w:t xml:space="preserve"> </w:t>
      </w:r>
      <w:r w:rsidR="000E3549" w:rsidRPr="007805CA">
        <w:rPr>
          <w:i/>
          <w:lang w:val="en-US"/>
        </w:rPr>
        <w:t>Bąk v. Poland</w:t>
      </w:r>
      <w:r w:rsidR="000E3549" w:rsidRPr="007805CA">
        <w:rPr>
          <w:lang w:val="en-US"/>
        </w:rPr>
        <w:t>, no.</w:t>
      </w:r>
      <w:r w:rsidR="006005F2" w:rsidRPr="007805CA">
        <w:rPr>
          <w:lang w:val="en-US"/>
        </w:rPr>
        <w:t> </w:t>
      </w:r>
      <w:r w:rsidR="000E3549" w:rsidRPr="007805CA">
        <w:rPr>
          <w:lang w:val="en-US"/>
        </w:rPr>
        <w:t xml:space="preserve">7870/04, </w:t>
      </w:r>
      <w:r w:rsidR="000E3549" w:rsidRPr="007805CA">
        <w:t>§§</w:t>
      </w:r>
      <w:r w:rsidR="00AC63AB" w:rsidRPr="007805CA">
        <w:t> </w:t>
      </w:r>
      <w:r w:rsidR="000E3549" w:rsidRPr="007805CA">
        <w:t>56-65,</w:t>
      </w:r>
      <w:r w:rsidR="000E3549" w:rsidRPr="007805CA">
        <w:rPr>
          <w:lang w:val="en-US"/>
        </w:rPr>
        <w:t xml:space="preserve"> 16 January 2007, and, </w:t>
      </w:r>
      <w:r w:rsidR="00A17510" w:rsidRPr="007805CA">
        <w:rPr>
          <w:i/>
        </w:rPr>
        <w:t xml:space="preserve">a </w:t>
      </w:r>
      <w:r w:rsidR="00E87821" w:rsidRPr="007805CA">
        <w:rPr>
          <w:i/>
        </w:rPr>
        <w:t>contrario</w:t>
      </w:r>
      <w:r w:rsidR="000E3549" w:rsidRPr="007805CA">
        <w:t xml:space="preserve">, </w:t>
      </w:r>
      <w:r w:rsidR="008371B5" w:rsidRPr="007805CA">
        <w:rPr>
          <w:i/>
        </w:rPr>
        <w:t>Kwiatek v. Poland</w:t>
      </w:r>
      <w:r w:rsidR="008371B5" w:rsidRPr="007805CA">
        <w:t>, no.</w:t>
      </w:r>
      <w:r w:rsidR="006005F2" w:rsidRPr="007805CA">
        <w:t> </w:t>
      </w:r>
      <w:r w:rsidR="008371B5" w:rsidRPr="007805CA">
        <w:t>2020</w:t>
      </w:r>
      <w:r w:rsidR="000E3549" w:rsidRPr="007805CA">
        <w:t>4/02, § 46, 6 February 2007).</w:t>
      </w:r>
    </w:p>
    <w:p w:rsidR="00C67865" w:rsidRPr="007805CA" w:rsidRDefault="00C0788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48</w:t>
      </w:r>
      <w:r w:rsidRPr="007805CA">
        <w:fldChar w:fldCharType="end"/>
      </w:r>
      <w:r w:rsidRPr="007805CA">
        <w:t>.  </w:t>
      </w:r>
      <w:r w:rsidR="007C01DF" w:rsidRPr="007805CA">
        <w:t>Having regard to the foregoing, the Court concludes that the grounds given by the domestic authorities could not justify the overall period of the applicant</w:t>
      </w:r>
      <w:r w:rsidR="007805CA" w:rsidRPr="007805CA">
        <w:t>’</w:t>
      </w:r>
      <w:r w:rsidR="007C01DF" w:rsidRPr="007805CA">
        <w:t>s detention.</w:t>
      </w:r>
    </w:p>
    <w:p w:rsidR="006E156F" w:rsidRPr="007805CA" w:rsidRDefault="000B0DC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49</w:t>
      </w:r>
      <w:r w:rsidRPr="007805CA">
        <w:fldChar w:fldCharType="end"/>
      </w:r>
      <w:r w:rsidR="009E1FD3" w:rsidRPr="007805CA">
        <w:t>.</w:t>
      </w:r>
      <w:r w:rsidR="006005F2" w:rsidRPr="007805CA">
        <w:t> </w:t>
      </w:r>
      <w:r w:rsidR="009E1FD3" w:rsidRPr="007805CA">
        <w:t> </w:t>
      </w:r>
      <w:r w:rsidR="007C01DF" w:rsidRPr="007805CA">
        <w:t>In these circumstances</w:t>
      </w:r>
      <w:r w:rsidR="00922334" w:rsidRPr="007805CA">
        <w:t>,</w:t>
      </w:r>
      <w:r w:rsidR="007C01DF" w:rsidRPr="007805CA">
        <w:t xml:space="preserve"> it is not necessary to examine whether the proceedings were conducted with special diligence.</w:t>
      </w:r>
    </w:p>
    <w:p w:rsidR="002D0F77" w:rsidRPr="007805CA" w:rsidRDefault="002D0F77"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50</w:t>
      </w:r>
      <w:r w:rsidRPr="007805CA">
        <w:fldChar w:fldCharType="end"/>
      </w:r>
      <w:r w:rsidRPr="007805CA">
        <w:t>.  </w:t>
      </w:r>
      <w:r w:rsidR="00C803BD" w:rsidRPr="007805CA">
        <w:t xml:space="preserve">There has accordingly been </w:t>
      </w:r>
      <w:r w:rsidR="00A17510" w:rsidRPr="007805CA">
        <w:t xml:space="preserve">a </w:t>
      </w:r>
      <w:r w:rsidR="00C803BD" w:rsidRPr="007805CA">
        <w:t>violation of Article 5 § 3 of the Convention.</w:t>
      </w:r>
    </w:p>
    <w:p w:rsidR="00014566" w:rsidRPr="007805CA" w:rsidRDefault="000D7925" w:rsidP="007805CA">
      <w:pPr>
        <w:pStyle w:val="ECHRHeading1"/>
      </w:pPr>
      <w:r w:rsidRPr="007805CA">
        <w:t>II</w:t>
      </w:r>
      <w:r w:rsidR="00014566" w:rsidRPr="007805CA">
        <w:t>.  APPLICATION OF ARTICLE 41 OF THE CONVENTION</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51</w:t>
      </w:r>
      <w:r w:rsidRPr="007805CA">
        <w:fldChar w:fldCharType="end"/>
      </w:r>
      <w:r w:rsidR="00014566" w:rsidRPr="007805CA">
        <w:t>.  Article 41 of the Convention provides:</w:t>
      </w:r>
    </w:p>
    <w:p w:rsidR="00014566" w:rsidRPr="007805CA" w:rsidRDefault="004657AD" w:rsidP="007805CA">
      <w:pPr>
        <w:pStyle w:val="ECHRParaQuote"/>
        <w:keepNext/>
        <w:keepLines/>
      </w:pPr>
      <w:r w:rsidRPr="007805CA">
        <w:t xml:space="preserve">“If </w:t>
      </w:r>
      <w:r w:rsidR="00014566" w:rsidRPr="007805CA">
        <w:t xml:space="preserve">the Court finds that there has been </w:t>
      </w:r>
      <w:r w:rsidR="00A17510" w:rsidRPr="007805CA">
        <w:t xml:space="preserve">a </w:t>
      </w:r>
      <w:r w:rsidR="00014566" w:rsidRPr="007805CA">
        <w:t>violation of the Convention or the Protocols thereto, and if the internal law of the High Contracting Party concerned allows only partial reparation to be made, the Court shall, if necessary, afford just satisfaction to the injured party.”</w:t>
      </w:r>
    </w:p>
    <w:p w:rsidR="00014566" w:rsidRPr="007805CA" w:rsidRDefault="00014566" w:rsidP="007805CA">
      <w:pPr>
        <w:pStyle w:val="ECHRHeading2"/>
      </w:pPr>
      <w:r w:rsidRPr="007805CA">
        <w:t>A.  Damage</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52</w:t>
      </w:r>
      <w:r w:rsidRPr="007805CA">
        <w:fldChar w:fldCharType="end"/>
      </w:r>
      <w:r w:rsidR="00A91BAB" w:rsidRPr="007805CA">
        <w:t>.  The applicant claimed</w:t>
      </w:r>
      <w:r w:rsidR="002813E9" w:rsidRPr="007805CA">
        <w:t xml:space="preserve"> PLN 100,000 (approximately EUR 25,000) </w:t>
      </w:r>
      <w:r w:rsidR="00014566" w:rsidRPr="007805CA">
        <w:t>in respect of non</w:t>
      </w:r>
      <w:r w:rsidR="002F1895" w:rsidRPr="007805CA">
        <w:noBreakHyphen/>
      </w:r>
      <w:r w:rsidR="00014566" w:rsidRPr="007805CA">
        <w:t>pecuniary damage.</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53</w:t>
      </w:r>
      <w:r w:rsidRPr="007805CA">
        <w:fldChar w:fldCharType="end"/>
      </w:r>
      <w:r w:rsidR="00014566" w:rsidRPr="007805CA">
        <w:t xml:space="preserve">.   </w:t>
      </w:r>
      <w:r w:rsidR="00A91BAB" w:rsidRPr="007805CA">
        <w:t>The Government considered the claim groundless</w:t>
      </w:r>
      <w:r w:rsidR="002F1895" w:rsidRPr="007805CA">
        <w:t>,</w:t>
      </w:r>
      <w:r w:rsidR="00E60254" w:rsidRPr="007805CA">
        <w:t xml:space="preserve"> taking into account that the applicant had already lodged </w:t>
      </w:r>
      <w:r w:rsidR="00A17510" w:rsidRPr="007805CA">
        <w:t xml:space="preserve">a </w:t>
      </w:r>
      <w:r w:rsidR="00E60254" w:rsidRPr="007805CA">
        <w:t xml:space="preserve">claim </w:t>
      </w:r>
      <w:r w:rsidR="009E1FD3" w:rsidRPr="007805CA">
        <w:t>for</w:t>
      </w:r>
      <w:r w:rsidR="00E60254" w:rsidRPr="007805CA">
        <w:t xml:space="preserve"> compensation for unjustified detention under Article 552 § 4 of the </w:t>
      </w:r>
      <w:r w:rsidR="00922334" w:rsidRPr="007805CA">
        <w:t>CCP</w:t>
      </w:r>
      <w:r w:rsidR="002F1895" w:rsidRPr="007805CA">
        <w:t xml:space="preserve"> with the domestic court</w:t>
      </w:r>
      <w:r w:rsidR="008920A1" w:rsidRPr="007805CA">
        <w:t>s</w:t>
      </w:r>
      <w:r w:rsidR="00E60254" w:rsidRPr="007805CA">
        <w:t xml:space="preserve"> and that the</w:t>
      </w:r>
      <w:r w:rsidR="00922334" w:rsidRPr="007805CA">
        <w:t>se proceedings were</w:t>
      </w:r>
      <w:r w:rsidR="00E60254" w:rsidRPr="007805CA">
        <w:t xml:space="preserve"> pending.</w:t>
      </w:r>
    </w:p>
    <w:p w:rsidR="00014566" w:rsidRPr="007805CA" w:rsidRDefault="00CC5AEA" w:rsidP="007805CA">
      <w:pPr>
        <w:pStyle w:val="ECHRPara"/>
      </w:pPr>
      <w:r w:rsidRPr="007805CA">
        <w:lastRenderedPageBreak/>
        <w:fldChar w:fldCharType="begin"/>
      </w:r>
      <w:r w:rsidRPr="007805CA">
        <w:instrText xml:space="preserve"> SEQ level0 \*arabic </w:instrText>
      </w:r>
      <w:r w:rsidRPr="007805CA">
        <w:fldChar w:fldCharType="separate"/>
      </w:r>
      <w:r w:rsidR="007805CA" w:rsidRPr="007805CA">
        <w:rPr>
          <w:noProof/>
        </w:rPr>
        <w:t>54</w:t>
      </w:r>
      <w:r w:rsidRPr="007805CA">
        <w:fldChar w:fldCharType="end"/>
      </w:r>
      <w:r w:rsidR="00014566" w:rsidRPr="007805CA">
        <w:t>.  </w:t>
      </w:r>
      <w:r w:rsidR="00A91BAB" w:rsidRPr="007805CA">
        <w:t xml:space="preserve">The Court considers that the applicant has suffered non-pecuniary damage which is not sufficiently compensated by the finding of </w:t>
      </w:r>
      <w:r w:rsidR="00A17510" w:rsidRPr="007805CA">
        <w:t xml:space="preserve">a </w:t>
      </w:r>
      <w:r w:rsidR="00A91BAB" w:rsidRPr="007805CA">
        <w:t>violation of the Convention. Considering the circumstances of the case and making its assessment on an equitable basis, the Court awards the applicant EUR</w:t>
      </w:r>
      <w:r w:rsidR="002F1895" w:rsidRPr="007805CA">
        <w:t> </w:t>
      </w:r>
      <w:r w:rsidR="00922334" w:rsidRPr="007805CA">
        <w:t>5,20</w:t>
      </w:r>
      <w:r w:rsidR="00A91BAB" w:rsidRPr="007805CA">
        <w:t>0 under this head</w:t>
      </w:r>
      <w:r w:rsidR="00014566" w:rsidRPr="007805CA">
        <w:t>.</w:t>
      </w:r>
    </w:p>
    <w:p w:rsidR="00014566" w:rsidRPr="007805CA" w:rsidRDefault="00014566" w:rsidP="007805CA">
      <w:pPr>
        <w:pStyle w:val="ECHRHeading2"/>
      </w:pPr>
      <w:r w:rsidRPr="007805CA">
        <w:t>B.  Costs and expenses</w:t>
      </w:r>
    </w:p>
    <w:p w:rsidR="00014566"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55</w:t>
      </w:r>
      <w:r w:rsidRPr="007805CA">
        <w:fldChar w:fldCharType="end"/>
      </w:r>
      <w:r w:rsidR="00014566" w:rsidRPr="007805CA">
        <w:t>.  </w:t>
      </w:r>
      <w:r w:rsidR="00A91BAB" w:rsidRPr="007805CA">
        <w:t>The applicant did not make any claim for costs and expenses.</w:t>
      </w:r>
    </w:p>
    <w:p w:rsidR="00014566" w:rsidRPr="007805CA" w:rsidRDefault="00014566" w:rsidP="007805CA">
      <w:pPr>
        <w:pStyle w:val="ECHRHeading2"/>
      </w:pPr>
      <w:r w:rsidRPr="007805CA">
        <w:t>C.  Default interest</w:t>
      </w:r>
    </w:p>
    <w:p w:rsidR="00E60254" w:rsidRPr="007805CA" w:rsidRDefault="00CC5AEA" w:rsidP="007805CA">
      <w:pPr>
        <w:pStyle w:val="ECHRPara"/>
      </w:pPr>
      <w:r w:rsidRPr="007805CA">
        <w:fldChar w:fldCharType="begin"/>
      </w:r>
      <w:r w:rsidRPr="007805CA">
        <w:instrText xml:space="preserve"> SEQ level0 \*arabic </w:instrText>
      </w:r>
      <w:r w:rsidRPr="007805CA">
        <w:fldChar w:fldCharType="separate"/>
      </w:r>
      <w:r w:rsidR="007805CA" w:rsidRPr="007805CA">
        <w:rPr>
          <w:noProof/>
        </w:rPr>
        <w:t>56</w:t>
      </w:r>
      <w:r w:rsidRPr="007805CA">
        <w:fldChar w:fldCharType="end"/>
      </w:r>
      <w:r w:rsidR="00014566" w:rsidRPr="007805CA">
        <w:t>.  The Court considers it appropriate that the default interest rate should be based on the marginal lending rate of the European Central Bank, to which should be added three percentage points.</w:t>
      </w:r>
    </w:p>
    <w:p w:rsidR="00014566" w:rsidRPr="007805CA" w:rsidRDefault="00BB5883" w:rsidP="007805CA">
      <w:pPr>
        <w:pStyle w:val="ECHRTitle1"/>
      </w:pPr>
      <w:r w:rsidRPr="007805CA">
        <w:t>FOR THESE REASONS, THE COURT</w:t>
      </w:r>
      <w:r w:rsidR="00CC5AEA" w:rsidRPr="007805CA">
        <w:t>, UNANIMOUSLY,</w:t>
      </w:r>
    </w:p>
    <w:p w:rsidR="00B637B9" w:rsidRPr="007805CA" w:rsidRDefault="00B637B9" w:rsidP="007805CA">
      <w:pPr>
        <w:pStyle w:val="JuList"/>
      </w:pPr>
      <w:r w:rsidRPr="007805CA">
        <w:t>1.  </w:t>
      </w:r>
      <w:r w:rsidRPr="007805CA">
        <w:rPr>
          <w:i/>
        </w:rPr>
        <w:t>Declares</w:t>
      </w:r>
      <w:r w:rsidRPr="007805CA">
        <w:rPr>
          <w:color w:val="000000"/>
        </w:rPr>
        <w:t xml:space="preserve"> </w:t>
      </w:r>
      <w:r w:rsidRPr="007805CA">
        <w:t xml:space="preserve">the </w:t>
      </w:r>
      <w:r w:rsidR="00CC5AEA" w:rsidRPr="007805CA">
        <w:t>application</w:t>
      </w:r>
      <w:r w:rsidRPr="007805CA">
        <w:t xml:space="preserve"> admissible;</w:t>
      </w:r>
    </w:p>
    <w:p w:rsidR="00014566" w:rsidRPr="007805CA" w:rsidRDefault="00014566" w:rsidP="007805CA">
      <w:pPr>
        <w:pStyle w:val="JuList"/>
        <w:ind w:left="0" w:firstLine="0"/>
      </w:pPr>
    </w:p>
    <w:p w:rsidR="00014566" w:rsidRPr="007805CA" w:rsidRDefault="00BF1602" w:rsidP="007805CA">
      <w:pPr>
        <w:pStyle w:val="JuList"/>
      </w:pPr>
      <w:r w:rsidRPr="007805CA">
        <w:t>2</w:t>
      </w:r>
      <w:r w:rsidR="00014566" w:rsidRPr="007805CA">
        <w:t>.  </w:t>
      </w:r>
      <w:r w:rsidR="00014566" w:rsidRPr="007805CA">
        <w:rPr>
          <w:i/>
        </w:rPr>
        <w:t>Holds</w:t>
      </w:r>
      <w:r w:rsidR="00014566" w:rsidRPr="007805CA">
        <w:rPr>
          <w:color w:val="000000"/>
        </w:rPr>
        <w:t xml:space="preserve"> </w:t>
      </w:r>
      <w:r w:rsidR="00014566" w:rsidRPr="007805CA">
        <w:t xml:space="preserve">that there has been </w:t>
      </w:r>
      <w:r w:rsidR="00A17510" w:rsidRPr="007805CA">
        <w:t xml:space="preserve">a </w:t>
      </w:r>
      <w:r w:rsidR="00014566" w:rsidRPr="007805CA">
        <w:t xml:space="preserve">violation of Article </w:t>
      </w:r>
      <w:r w:rsidRPr="007805CA">
        <w:t>5 § 3 of the Convention</w:t>
      </w:r>
      <w:r w:rsidR="00014566" w:rsidRPr="007805CA">
        <w:t>;</w:t>
      </w:r>
    </w:p>
    <w:p w:rsidR="00014566" w:rsidRPr="007805CA" w:rsidRDefault="00014566" w:rsidP="007805CA">
      <w:pPr>
        <w:pStyle w:val="JuList"/>
      </w:pPr>
    </w:p>
    <w:p w:rsidR="00C67865" w:rsidRPr="007805CA" w:rsidRDefault="003D49FB" w:rsidP="007805CA">
      <w:pPr>
        <w:pStyle w:val="JuList"/>
      </w:pPr>
      <w:r w:rsidRPr="007805CA">
        <w:t>3</w:t>
      </w:r>
      <w:r w:rsidR="00014566" w:rsidRPr="007805CA">
        <w:t>.  </w:t>
      </w:r>
      <w:r w:rsidR="00014566" w:rsidRPr="007805CA">
        <w:rPr>
          <w:i/>
        </w:rPr>
        <w:t>Holds</w:t>
      </w:r>
    </w:p>
    <w:p w:rsidR="00014566" w:rsidRPr="007805CA" w:rsidRDefault="00014566" w:rsidP="007805CA">
      <w:pPr>
        <w:pStyle w:val="JuLista"/>
      </w:pPr>
      <w:r w:rsidRPr="007805CA">
        <w:t>(a)  </w:t>
      </w:r>
      <w:r w:rsidR="003D49FB" w:rsidRPr="007805CA">
        <w:t>that the respondent State is to pay the applicant</w:t>
      </w:r>
      <w:r w:rsidR="00922334" w:rsidRPr="007805CA">
        <w:t>, within three months, EUR 5,20</w:t>
      </w:r>
      <w:r w:rsidR="003D49FB" w:rsidRPr="007805CA">
        <w:t xml:space="preserve">0 (five thousand </w:t>
      </w:r>
      <w:r w:rsidR="00922334" w:rsidRPr="007805CA">
        <w:t xml:space="preserve">two hundred </w:t>
      </w:r>
      <w:r w:rsidR="003D49FB" w:rsidRPr="007805CA">
        <w:t>euros) in respect of non-pecuniary damage, plus any tax that may be chargeable to the applicant, to be converted into the currency of the respondent State at the rate applicable at the date of settlement;</w:t>
      </w:r>
    </w:p>
    <w:p w:rsidR="00014566" w:rsidRPr="007805CA" w:rsidRDefault="00014566" w:rsidP="007805CA">
      <w:pPr>
        <w:pStyle w:val="JuLista"/>
      </w:pPr>
      <w:r w:rsidRPr="007805CA">
        <w:t>(b)  </w:t>
      </w:r>
      <w:r w:rsidR="003D49FB" w:rsidRPr="007805CA">
        <w:t xml:space="preserve">that from the expiry of the above-mentioned three months until settlement simple interest shall be payable on the above amount at </w:t>
      </w:r>
      <w:r w:rsidR="00A17510" w:rsidRPr="007805CA">
        <w:t xml:space="preserve">a </w:t>
      </w:r>
      <w:r w:rsidR="003D49FB" w:rsidRPr="007805CA">
        <w:t>rate equal to the marginal lending rate of the European Central Bank during the default period plus three percentage points</w:t>
      </w:r>
      <w:r w:rsidRPr="007805CA">
        <w:t>;</w:t>
      </w:r>
    </w:p>
    <w:p w:rsidR="00014566" w:rsidRPr="007805CA" w:rsidRDefault="00014566" w:rsidP="007805CA">
      <w:pPr>
        <w:pStyle w:val="JuList"/>
      </w:pPr>
    </w:p>
    <w:p w:rsidR="00014566" w:rsidRPr="007805CA" w:rsidRDefault="003D49FB" w:rsidP="007805CA">
      <w:pPr>
        <w:pStyle w:val="JuList"/>
      </w:pPr>
      <w:r w:rsidRPr="007805CA">
        <w:t>4</w:t>
      </w:r>
      <w:r w:rsidR="00014566" w:rsidRPr="007805CA">
        <w:t>.  </w:t>
      </w:r>
      <w:r w:rsidR="00014566" w:rsidRPr="007805CA">
        <w:rPr>
          <w:i/>
        </w:rPr>
        <w:t>Dismisses</w:t>
      </w:r>
      <w:r w:rsidR="00014566" w:rsidRPr="007805CA">
        <w:rPr>
          <w:color w:val="000000"/>
        </w:rPr>
        <w:t xml:space="preserve"> </w:t>
      </w:r>
      <w:r w:rsidR="00014566" w:rsidRPr="007805CA">
        <w:t>the remainder of the applicant</w:t>
      </w:r>
      <w:r w:rsidR="007805CA" w:rsidRPr="007805CA">
        <w:t>’</w:t>
      </w:r>
      <w:r w:rsidR="00CC5AEA" w:rsidRPr="007805CA">
        <w:t>s</w:t>
      </w:r>
      <w:r w:rsidR="00014566" w:rsidRPr="007805CA">
        <w:t xml:space="preserve"> claim for just satisfaction.</w:t>
      </w:r>
    </w:p>
    <w:p w:rsidR="00014566" w:rsidRPr="007805CA" w:rsidRDefault="00014566" w:rsidP="007805CA">
      <w:pPr>
        <w:pStyle w:val="JuParaLast"/>
      </w:pPr>
      <w:r w:rsidRPr="007805CA">
        <w:t xml:space="preserve">Done in English, and notified in writing on </w:t>
      </w:r>
      <w:r w:rsidR="00B5078E" w:rsidRPr="007805CA">
        <w:t>5 July 2018</w:t>
      </w:r>
      <w:r w:rsidR="00C915FB" w:rsidRPr="007805CA">
        <w:t>, pursuant to Rule </w:t>
      </w:r>
      <w:r w:rsidRPr="007805CA">
        <w:t>77</w:t>
      </w:r>
      <w:r w:rsidR="00C915FB" w:rsidRPr="007805CA">
        <w:t> </w:t>
      </w:r>
      <w:r w:rsidRPr="007805CA">
        <w:t>§§</w:t>
      </w:r>
      <w:r w:rsidR="00C915FB" w:rsidRPr="007805CA">
        <w:t> </w:t>
      </w:r>
      <w:r w:rsidRPr="007805CA">
        <w:t>2 and 3 of the Rules of Court.</w:t>
      </w:r>
    </w:p>
    <w:p w:rsidR="004D15F3" w:rsidRPr="007805CA" w:rsidRDefault="00014566" w:rsidP="007805CA">
      <w:pPr>
        <w:pStyle w:val="JuSigned"/>
        <w:rPr>
          <w:lang w:val="it-IT"/>
        </w:rPr>
      </w:pPr>
      <w:r w:rsidRPr="007805CA">
        <w:tab/>
      </w:r>
      <w:r w:rsidR="00CC5AEA" w:rsidRPr="007805CA">
        <w:rPr>
          <w:lang w:val="it-IT"/>
        </w:rPr>
        <w:t>Renat</w:t>
      </w:r>
      <w:r w:rsidR="00A17510" w:rsidRPr="007805CA">
        <w:rPr>
          <w:lang w:val="it-IT"/>
        </w:rPr>
        <w:t xml:space="preserve">a </w:t>
      </w:r>
      <w:r w:rsidR="00CC5AEA" w:rsidRPr="007805CA">
        <w:rPr>
          <w:lang w:val="it-IT"/>
        </w:rPr>
        <w:t>Degener</w:t>
      </w:r>
      <w:r w:rsidRPr="007805CA">
        <w:rPr>
          <w:lang w:val="it-IT"/>
        </w:rPr>
        <w:tab/>
      </w:r>
      <w:r w:rsidR="00B5078E" w:rsidRPr="007805CA">
        <w:rPr>
          <w:lang w:val="it-IT"/>
        </w:rPr>
        <w:t>Aleš Pejchal</w:t>
      </w:r>
      <w:r w:rsidR="00E1557C" w:rsidRPr="007805CA">
        <w:rPr>
          <w:szCs w:val="24"/>
          <w:lang w:val="it-IT"/>
        </w:rPr>
        <w:br/>
      </w:r>
      <w:r w:rsidRPr="007805CA">
        <w:rPr>
          <w:lang w:val="it-IT"/>
        </w:rPr>
        <w:tab/>
      </w:r>
      <w:r w:rsidR="00CC5AEA" w:rsidRPr="007805CA">
        <w:rPr>
          <w:lang w:val="it-IT"/>
        </w:rPr>
        <w:t xml:space="preserve">Deputy </w:t>
      </w:r>
      <w:r w:rsidR="00CC5AEA" w:rsidRPr="007805CA">
        <w:rPr>
          <w:iCs/>
          <w:lang w:val="it-IT"/>
        </w:rPr>
        <w:t>Registrar</w:t>
      </w:r>
      <w:r w:rsidRPr="007805CA">
        <w:rPr>
          <w:lang w:val="it-IT"/>
        </w:rPr>
        <w:tab/>
        <w:t>President</w:t>
      </w:r>
    </w:p>
    <w:sectPr w:rsidR="004D15F3" w:rsidRPr="007805CA" w:rsidSect="00B5078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66F" w:rsidRPr="003152BA" w:rsidRDefault="000C266F" w:rsidP="00014566">
      <w:r w:rsidRPr="003152BA">
        <w:separator/>
      </w:r>
    </w:p>
  </w:endnote>
  <w:endnote w:type="continuationSeparator" w:id="0">
    <w:p w:rsidR="000C266F" w:rsidRPr="003152BA" w:rsidRDefault="000C266F"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78E" w:rsidRPr="00150BFA" w:rsidRDefault="00B5078E" w:rsidP="0020718E">
    <w:pPr>
      <w:jc w:val="center"/>
    </w:pPr>
    <w:r>
      <w:rPr>
        <w:noProof/>
        <w:lang w:val="pl-PL" w:eastAsia="pl-PL"/>
      </w:rPr>
      <w:drawing>
        <wp:inline distT="0" distB="0" distL="0" distR="0" wp14:anchorId="019A828A" wp14:editId="1F8E9FF5">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5078E" w:rsidRDefault="00B5078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66F" w:rsidRPr="003152BA" w:rsidRDefault="000C266F" w:rsidP="00014566">
      <w:r w:rsidRPr="003152BA">
        <w:separator/>
      </w:r>
    </w:p>
  </w:footnote>
  <w:footnote w:type="continuationSeparator" w:id="0">
    <w:p w:rsidR="000C266F" w:rsidRPr="003152BA" w:rsidRDefault="000C266F"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602" w:rsidRPr="00B5078E" w:rsidRDefault="00BF1602" w:rsidP="00B5078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78E" w:rsidRPr="00A45145" w:rsidRDefault="00B5078E" w:rsidP="00A45145">
    <w:pPr>
      <w:jc w:val="center"/>
    </w:pPr>
    <w:r>
      <w:rPr>
        <w:noProof/>
        <w:lang w:val="pl-PL" w:eastAsia="pl-PL"/>
      </w:rPr>
      <w:drawing>
        <wp:inline distT="0" distB="0" distL="0" distR="0" wp14:anchorId="4C079C41" wp14:editId="5B02483F">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F1602" w:rsidRDefault="00BF16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78E" w:rsidRPr="003152BA" w:rsidRDefault="00B5078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576CF">
      <w:rPr>
        <w:rStyle w:val="Numerstrony"/>
        <w:noProof/>
        <w:szCs w:val="18"/>
      </w:rPr>
      <w:t>8</w:t>
    </w:r>
    <w:r>
      <w:rPr>
        <w:rStyle w:val="Numerstrony"/>
        <w:szCs w:val="18"/>
      </w:rPr>
      <w:fldChar w:fldCharType="end"/>
    </w:r>
    <w:r w:rsidRPr="003152BA">
      <w:tab/>
    </w:r>
    <w:r>
      <w:t>ZIELIŃSKI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78E" w:rsidRPr="003152BA" w:rsidRDefault="00B5078E" w:rsidP="00D60D87">
    <w:pPr>
      <w:pStyle w:val="ECHRHeader"/>
    </w:pPr>
    <w:r w:rsidRPr="003152BA">
      <w:tab/>
    </w:r>
    <w:r>
      <w:t>ZIELIŃSKI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576CF">
      <w:rPr>
        <w:rStyle w:val="Numerstrony"/>
        <w:noProof/>
        <w:szCs w:val="18"/>
      </w:rPr>
      <w:t>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C5AEA"/>
    <w:rsid w:val="00000067"/>
    <w:rsid w:val="000010ED"/>
    <w:rsid w:val="000041F8"/>
    <w:rsid w:val="000042A8"/>
    <w:rsid w:val="00004308"/>
    <w:rsid w:val="00005BF0"/>
    <w:rsid w:val="00006FFC"/>
    <w:rsid w:val="00007154"/>
    <w:rsid w:val="000103AE"/>
    <w:rsid w:val="00011D69"/>
    <w:rsid w:val="00012AD3"/>
    <w:rsid w:val="00014566"/>
    <w:rsid w:val="00015C2D"/>
    <w:rsid w:val="00015F00"/>
    <w:rsid w:val="00022C1D"/>
    <w:rsid w:val="00034987"/>
    <w:rsid w:val="000350E3"/>
    <w:rsid w:val="00054FEE"/>
    <w:rsid w:val="000602DF"/>
    <w:rsid w:val="00061B05"/>
    <w:rsid w:val="00062973"/>
    <w:rsid w:val="00062D5D"/>
    <w:rsid w:val="000632D5"/>
    <w:rsid w:val="000644EE"/>
    <w:rsid w:val="00066F84"/>
    <w:rsid w:val="00071ABC"/>
    <w:rsid w:val="000856D7"/>
    <w:rsid w:val="000902AD"/>
    <w:rsid w:val="000925AD"/>
    <w:rsid w:val="000A24EB"/>
    <w:rsid w:val="000B0DCA"/>
    <w:rsid w:val="000B6923"/>
    <w:rsid w:val="000C033C"/>
    <w:rsid w:val="000C060D"/>
    <w:rsid w:val="000C266F"/>
    <w:rsid w:val="000C5F3C"/>
    <w:rsid w:val="000C6DCC"/>
    <w:rsid w:val="000D47AA"/>
    <w:rsid w:val="000D721F"/>
    <w:rsid w:val="000D7925"/>
    <w:rsid w:val="000E069B"/>
    <w:rsid w:val="000E0E82"/>
    <w:rsid w:val="000E1DC5"/>
    <w:rsid w:val="000E223F"/>
    <w:rsid w:val="000E3549"/>
    <w:rsid w:val="000E35AC"/>
    <w:rsid w:val="000E7D45"/>
    <w:rsid w:val="000F338C"/>
    <w:rsid w:val="000F7851"/>
    <w:rsid w:val="00104E23"/>
    <w:rsid w:val="00111B0C"/>
    <w:rsid w:val="00120D6C"/>
    <w:rsid w:val="00123B64"/>
    <w:rsid w:val="001257EC"/>
    <w:rsid w:val="00126A35"/>
    <w:rsid w:val="00126A7F"/>
    <w:rsid w:val="00132C6A"/>
    <w:rsid w:val="00133D33"/>
    <w:rsid w:val="00134D64"/>
    <w:rsid w:val="00135A30"/>
    <w:rsid w:val="0013612C"/>
    <w:rsid w:val="00137FF6"/>
    <w:rsid w:val="00141650"/>
    <w:rsid w:val="001457D8"/>
    <w:rsid w:val="00162A12"/>
    <w:rsid w:val="00166530"/>
    <w:rsid w:val="00180663"/>
    <w:rsid w:val="001832BD"/>
    <w:rsid w:val="001943B5"/>
    <w:rsid w:val="00195134"/>
    <w:rsid w:val="0019534F"/>
    <w:rsid w:val="001A145B"/>
    <w:rsid w:val="001A674C"/>
    <w:rsid w:val="001B3B24"/>
    <w:rsid w:val="001C0F98"/>
    <w:rsid w:val="001C2A42"/>
    <w:rsid w:val="001D374C"/>
    <w:rsid w:val="001D4659"/>
    <w:rsid w:val="001D63ED"/>
    <w:rsid w:val="001D7348"/>
    <w:rsid w:val="001E035B"/>
    <w:rsid w:val="001E04DB"/>
    <w:rsid w:val="001E0961"/>
    <w:rsid w:val="001E3EAE"/>
    <w:rsid w:val="001E5348"/>
    <w:rsid w:val="001E6F32"/>
    <w:rsid w:val="001F2145"/>
    <w:rsid w:val="001F6262"/>
    <w:rsid w:val="001F67B0"/>
    <w:rsid w:val="001F7B3D"/>
    <w:rsid w:val="00205F9F"/>
    <w:rsid w:val="00206544"/>
    <w:rsid w:val="00210338"/>
    <w:rsid w:val="002115FC"/>
    <w:rsid w:val="002127FE"/>
    <w:rsid w:val="002133F8"/>
    <w:rsid w:val="0021423C"/>
    <w:rsid w:val="00225835"/>
    <w:rsid w:val="00230D00"/>
    <w:rsid w:val="00231DF7"/>
    <w:rsid w:val="00231FD1"/>
    <w:rsid w:val="002337A8"/>
    <w:rsid w:val="002339E0"/>
    <w:rsid w:val="00233CF8"/>
    <w:rsid w:val="0023575D"/>
    <w:rsid w:val="00237148"/>
    <w:rsid w:val="0024222D"/>
    <w:rsid w:val="00242568"/>
    <w:rsid w:val="00244B0E"/>
    <w:rsid w:val="00244F6C"/>
    <w:rsid w:val="00247622"/>
    <w:rsid w:val="00252EF8"/>
    <w:rsid w:val="002532C5"/>
    <w:rsid w:val="00253F67"/>
    <w:rsid w:val="00260C03"/>
    <w:rsid w:val="0026540E"/>
    <w:rsid w:val="0027225C"/>
    <w:rsid w:val="00275123"/>
    <w:rsid w:val="002813E9"/>
    <w:rsid w:val="00282240"/>
    <w:rsid w:val="0028572A"/>
    <w:rsid w:val="0029018A"/>
    <w:rsid w:val="002948AD"/>
    <w:rsid w:val="00294C05"/>
    <w:rsid w:val="00294C92"/>
    <w:rsid w:val="002A01CC"/>
    <w:rsid w:val="002A61B1"/>
    <w:rsid w:val="002A663C"/>
    <w:rsid w:val="002A7BED"/>
    <w:rsid w:val="002B1E6C"/>
    <w:rsid w:val="002B40E4"/>
    <w:rsid w:val="002B444B"/>
    <w:rsid w:val="002B5887"/>
    <w:rsid w:val="002C0692"/>
    <w:rsid w:val="002C0E27"/>
    <w:rsid w:val="002C3040"/>
    <w:rsid w:val="002D022D"/>
    <w:rsid w:val="002D0F77"/>
    <w:rsid w:val="002D24BB"/>
    <w:rsid w:val="002F171B"/>
    <w:rsid w:val="002F1895"/>
    <w:rsid w:val="002F2AF7"/>
    <w:rsid w:val="002F7E1C"/>
    <w:rsid w:val="00301A75"/>
    <w:rsid w:val="00302F70"/>
    <w:rsid w:val="00303314"/>
    <w:rsid w:val="0030336F"/>
    <w:rsid w:val="0030375E"/>
    <w:rsid w:val="0031102C"/>
    <w:rsid w:val="003126BF"/>
    <w:rsid w:val="00312A30"/>
    <w:rsid w:val="003152BA"/>
    <w:rsid w:val="00320F72"/>
    <w:rsid w:val="0032463E"/>
    <w:rsid w:val="00326224"/>
    <w:rsid w:val="0032676F"/>
    <w:rsid w:val="00331EAC"/>
    <w:rsid w:val="00337EE4"/>
    <w:rsid w:val="00340FFD"/>
    <w:rsid w:val="003506B1"/>
    <w:rsid w:val="00356AC7"/>
    <w:rsid w:val="00360775"/>
    <w:rsid w:val="003609FA"/>
    <w:rsid w:val="003710C8"/>
    <w:rsid w:val="003750BE"/>
    <w:rsid w:val="00387B9D"/>
    <w:rsid w:val="0039364F"/>
    <w:rsid w:val="00396686"/>
    <w:rsid w:val="0039778E"/>
    <w:rsid w:val="003A0B7D"/>
    <w:rsid w:val="003A441D"/>
    <w:rsid w:val="003B4941"/>
    <w:rsid w:val="003B689A"/>
    <w:rsid w:val="003B73C8"/>
    <w:rsid w:val="003C5714"/>
    <w:rsid w:val="003C6B9F"/>
    <w:rsid w:val="003C6E2A"/>
    <w:rsid w:val="003D0299"/>
    <w:rsid w:val="003D0AE9"/>
    <w:rsid w:val="003D15E3"/>
    <w:rsid w:val="003D49FB"/>
    <w:rsid w:val="003D7319"/>
    <w:rsid w:val="003E6D80"/>
    <w:rsid w:val="003F05FA"/>
    <w:rsid w:val="003F244A"/>
    <w:rsid w:val="003F30B8"/>
    <w:rsid w:val="003F4C45"/>
    <w:rsid w:val="003F5949"/>
    <w:rsid w:val="003F5F7B"/>
    <w:rsid w:val="003F7D64"/>
    <w:rsid w:val="00410C52"/>
    <w:rsid w:val="00414300"/>
    <w:rsid w:val="00425525"/>
    <w:rsid w:val="00425C67"/>
    <w:rsid w:val="00427E7A"/>
    <w:rsid w:val="00431F37"/>
    <w:rsid w:val="00436307"/>
    <w:rsid w:val="00436C49"/>
    <w:rsid w:val="004429FD"/>
    <w:rsid w:val="00445366"/>
    <w:rsid w:val="00446E67"/>
    <w:rsid w:val="00447F5B"/>
    <w:rsid w:val="00461DB0"/>
    <w:rsid w:val="00463926"/>
    <w:rsid w:val="00464097"/>
    <w:rsid w:val="004646E0"/>
    <w:rsid w:val="00464C9A"/>
    <w:rsid w:val="004657AD"/>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3095"/>
    <w:rsid w:val="004D15F3"/>
    <w:rsid w:val="004D347F"/>
    <w:rsid w:val="004D5311"/>
    <w:rsid w:val="004D5DCC"/>
    <w:rsid w:val="004F10AF"/>
    <w:rsid w:val="004F11A4"/>
    <w:rsid w:val="004F2389"/>
    <w:rsid w:val="004F304D"/>
    <w:rsid w:val="004F61BE"/>
    <w:rsid w:val="004F66B1"/>
    <w:rsid w:val="00502A0D"/>
    <w:rsid w:val="00511C07"/>
    <w:rsid w:val="00512D5D"/>
    <w:rsid w:val="005173A6"/>
    <w:rsid w:val="00520BAA"/>
    <w:rsid w:val="00525208"/>
    <w:rsid w:val="005257A5"/>
    <w:rsid w:val="005264C0"/>
    <w:rsid w:val="00526A8A"/>
    <w:rsid w:val="00530586"/>
    <w:rsid w:val="00531DF2"/>
    <w:rsid w:val="00533CF7"/>
    <w:rsid w:val="00535BB8"/>
    <w:rsid w:val="00537DDA"/>
    <w:rsid w:val="005442EE"/>
    <w:rsid w:val="00547353"/>
    <w:rsid w:val="005474E7"/>
    <w:rsid w:val="005512A3"/>
    <w:rsid w:val="00556C2C"/>
    <w:rsid w:val="005578CE"/>
    <w:rsid w:val="00562781"/>
    <w:rsid w:val="00563E83"/>
    <w:rsid w:val="0057271C"/>
    <w:rsid w:val="00572845"/>
    <w:rsid w:val="005759E9"/>
    <w:rsid w:val="00584962"/>
    <w:rsid w:val="00592772"/>
    <w:rsid w:val="0059574A"/>
    <w:rsid w:val="005A1B9B"/>
    <w:rsid w:val="005A63F2"/>
    <w:rsid w:val="005A6751"/>
    <w:rsid w:val="005B092E"/>
    <w:rsid w:val="005B152C"/>
    <w:rsid w:val="005B1EE0"/>
    <w:rsid w:val="005B2B24"/>
    <w:rsid w:val="005B4425"/>
    <w:rsid w:val="005B4B94"/>
    <w:rsid w:val="005C3EE8"/>
    <w:rsid w:val="005C5323"/>
    <w:rsid w:val="005D34F9"/>
    <w:rsid w:val="005D4190"/>
    <w:rsid w:val="005D67A3"/>
    <w:rsid w:val="005E2988"/>
    <w:rsid w:val="005E2A43"/>
    <w:rsid w:val="005E3085"/>
    <w:rsid w:val="005E438A"/>
    <w:rsid w:val="005F51E1"/>
    <w:rsid w:val="006005F2"/>
    <w:rsid w:val="00611C80"/>
    <w:rsid w:val="00620692"/>
    <w:rsid w:val="006242CA"/>
    <w:rsid w:val="00627507"/>
    <w:rsid w:val="00633717"/>
    <w:rsid w:val="00633E63"/>
    <w:rsid w:val="006344E1"/>
    <w:rsid w:val="006545C4"/>
    <w:rsid w:val="00661971"/>
    <w:rsid w:val="00661CE8"/>
    <w:rsid w:val="006623D9"/>
    <w:rsid w:val="0066550C"/>
    <w:rsid w:val="00671175"/>
    <w:rsid w:val="006716F2"/>
    <w:rsid w:val="00675781"/>
    <w:rsid w:val="006807B1"/>
    <w:rsid w:val="00682BF2"/>
    <w:rsid w:val="006830AE"/>
    <w:rsid w:val="00683510"/>
    <w:rsid w:val="006859CE"/>
    <w:rsid w:val="00691270"/>
    <w:rsid w:val="00691E64"/>
    <w:rsid w:val="00694BA8"/>
    <w:rsid w:val="006A037C"/>
    <w:rsid w:val="006A0654"/>
    <w:rsid w:val="006A36F4"/>
    <w:rsid w:val="006A406F"/>
    <w:rsid w:val="006A5D3A"/>
    <w:rsid w:val="006C23D4"/>
    <w:rsid w:val="006C7BB0"/>
    <w:rsid w:val="006C7C1E"/>
    <w:rsid w:val="006D3237"/>
    <w:rsid w:val="006D3C2A"/>
    <w:rsid w:val="006E156F"/>
    <w:rsid w:val="006E2E37"/>
    <w:rsid w:val="006E3CF1"/>
    <w:rsid w:val="006E7E80"/>
    <w:rsid w:val="006F1DF9"/>
    <w:rsid w:val="006F24DB"/>
    <w:rsid w:val="006F48CA"/>
    <w:rsid w:val="006F64DD"/>
    <w:rsid w:val="007000A7"/>
    <w:rsid w:val="007121B2"/>
    <w:rsid w:val="00715127"/>
    <w:rsid w:val="00715E8E"/>
    <w:rsid w:val="00723580"/>
    <w:rsid w:val="00723755"/>
    <w:rsid w:val="0073136C"/>
    <w:rsid w:val="00731F0F"/>
    <w:rsid w:val="00733250"/>
    <w:rsid w:val="00741404"/>
    <w:rsid w:val="007449E5"/>
    <w:rsid w:val="00746C5A"/>
    <w:rsid w:val="00747FF0"/>
    <w:rsid w:val="007509D5"/>
    <w:rsid w:val="00764D4E"/>
    <w:rsid w:val="00765A1F"/>
    <w:rsid w:val="00774A6E"/>
    <w:rsid w:val="00775B6D"/>
    <w:rsid w:val="00776D68"/>
    <w:rsid w:val="007805CA"/>
    <w:rsid w:val="007850EE"/>
    <w:rsid w:val="00785B95"/>
    <w:rsid w:val="007865F8"/>
    <w:rsid w:val="00790E96"/>
    <w:rsid w:val="00793366"/>
    <w:rsid w:val="007A716F"/>
    <w:rsid w:val="007B270A"/>
    <w:rsid w:val="007C01DF"/>
    <w:rsid w:val="007C0695"/>
    <w:rsid w:val="007C419A"/>
    <w:rsid w:val="007C4CC8"/>
    <w:rsid w:val="007C5426"/>
    <w:rsid w:val="007C5798"/>
    <w:rsid w:val="007C63DD"/>
    <w:rsid w:val="007D4832"/>
    <w:rsid w:val="007E21B2"/>
    <w:rsid w:val="007E2C4E"/>
    <w:rsid w:val="007E3892"/>
    <w:rsid w:val="007F1905"/>
    <w:rsid w:val="0080048F"/>
    <w:rsid w:val="00801300"/>
    <w:rsid w:val="00802C64"/>
    <w:rsid w:val="00805E52"/>
    <w:rsid w:val="008061D0"/>
    <w:rsid w:val="00810B38"/>
    <w:rsid w:val="008204C7"/>
    <w:rsid w:val="00820992"/>
    <w:rsid w:val="00823602"/>
    <w:rsid w:val="008255F5"/>
    <w:rsid w:val="008271CA"/>
    <w:rsid w:val="0083014E"/>
    <w:rsid w:val="0083214A"/>
    <w:rsid w:val="00834220"/>
    <w:rsid w:val="008371B5"/>
    <w:rsid w:val="00845723"/>
    <w:rsid w:val="00851EF9"/>
    <w:rsid w:val="00852E6C"/>
    <w:rsid w:val="00856F82"/>
    <w:rsid w:val="00857122"/>
    <w:rsid w:val="008576CF"/>
    <w:rsid w:val="008577FD"/>
    <w:rsid w:val="00860B03"/>
    <w:rsid w:val="0086497A"/>
    <w:rsid w:val="008713A1"/>
    <w:rsid w:val="008754AB"/>
    <w:rsid w:val="0088060C"/>
    <w:rsid w:val="00880B07"/>
    <w:rsid w:val="00885158"/>
    <w:rsid w:val="008920A1"/>
    <w:rsid w:val="00893576"/>
    <w:rsid w:val="00893E73"/>
    <w:rsid w:val="008A43C4"/>
    <w:rsid w:val="008B02DC"/>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22334"/>
    <w:rsid w:val="009259AC"/>
    <w:rsid w:val="00926F38"/>
    <w:rsid w:val="009340F2"/>
    <w:rsid w:val="00934301"/>
    <w:rsid w:val="00936CD1"/>
    <w:rsid w:val="00941747"/>
    <w:rsid w:val="00941EFB"/>
    <w:rsid w:val="00946D9E"/>
    <w:rsid w:val="00947AFB"/>
    <w:rsid w:val="00951D7D"/>
    <w:rsid w:val="00952C12"/>
    <w:rsid w:val="009630C7"/>
    <w:rsid w:val="00972B55"/>
    <w:rsid w:val="009743B7"/>
    <w:rsid w:val="0098228B"/>
    <w:rsid w:val="009828DA"/>
    <w:rsid w:val="00985BAB"/>
    <w:rsid w:val="00995941"/>
    <w:rsid w:val="00997F03"/>
    <w:rsid w:val="009A46DF"/>
    <w:rsid w:val="009B1B5F"/>
    <w:rsid w:val="009B2EC2"/>
    <w:rsid w:val="009B6673"/>
    <w:rsid w:val="009C191B"/>
    <w:rsid w:val="009C2BD6"/>
    <w:rsid w:val="009C35B7"/>
    <w:rsid w:val="009E1F32"/>
    <w:rsid w:val="009E1FD3"/>
    <w:rsid w:val="009E4F8E"/>
    <w:rsid w:val="009E5829"/>
    <w:rsid w:val="009E776C"/>
    <w:rsid w:val="009F6BD9"/>
    <w:rsid w:val="00A130B4"/>
    <w:rsid w:val="00A1726E"/>
    <w:rsid w:val="00A17510"/>
    <w:rsid w:val="00A204CF"/>
    <w:rsid w:val="00A23D49"/>
    <w:rsid w:val="00A27004"/>
    <w:rsid w:val="00A30C29"/>
    <w:rsid w:val="00A34DD6"/>
    <w:rsid w:val="00A36819"/>
    <w:rsid w:val="00A36989"/>
    <w:rsid w:val="00A43628"/>
    <w:rsid w:val="00A54192"/>
    <w:rsid w:val="00A5457A"/>
    <w:rsid w:val="00A6035E"/>
    <w:rsid w:val="00A6144C"/>
    <w:rsid w:val="00A66617"/>
    <w:rsid w:val="00A671F8"/>
    <w:rsid w:val="00A673A4"/>
    <w:rsid w:val="00A724AE"/>
    <w:rsid w:val="00A73329"/>
    <w:rsid w:val="00A82359"/>
    <w:rsid w:val="00A865D2"/>
    <w:rsid w:val="00A86C42"/>
    <w:rsid w:val="00A91BAB"/>
    <w:rsid w:val="00A94C20"/>
    <w:rsid w:val="00A96ED6"/>
    <w:rsid w:val="00AA227F"/>
    <w:rsid w:val="00AA3BC7"/>
    <w:rsid w:val="00AA754A"/>
    <w:rsid w:val="00AB099E"/>
    <w:rsid w:val="00AB4328"/>
    <w:rsid w:val="00AB57ED"/>
    <w:rsid w:val="00AB5FA0"/>
    <w:rsid w:val="00AC63AB"/>
    <w:rsid w:val="00AE0A2E"/>
    <w:rsid w:val="00AE354C"/>
    <w:rsid w:val="00AF3ED8"/>
    <w:rsid w:val="00AF4B07"/>
    <w:rsid w:val="00AF6186"/>
    <w:rsid w:val="00AF7A3A"/>
    <w:rsid w:val="00B160DB"/>
    <w:rsid w:val="00B20836"/>
    <w:rsid w:val="00B235BB"/>
    <w:rsid w:val="00B27A44"/>
    <w:rsid w:val="00B30BBF"/>
    <w:rsid w:val="00B30C52"/>
    <w:rsid w:val="00B33C03"/>
    <w:rsid w:val="00B44E56"/>
    <w:rsid w:val="00B46219"/>
    <w:rsid w:val="00B46543"/>
    <w:rsid w:val="00B47D33"/>
    <w:rsid w:val="00B5078E"/>
    <w:rsid w:val="00B508F4"/>
    <w:rsid w:val="00B51841"/>
    <w:rsid w:val="00B52BE0"/>
    <w:rsid w:val="00B54133"/>
    <w:rsid w:val="00B61707"/>
    <w:rsid w:val="00B637B9"/>
    <w:rsid w:val="00B701ED"/>
    <w:rsid w:val="00B8086C"/>
    <w:rsid w:val="00B861B4"/>
    <w:rsid w:val="00B86887"/>
    <w:rsid w:val="00B86DFE"/>
    <w:rsid w:val="00B90990"/>
    <w:rsid w:val="00B922FF"/>
    <w:rsid w:val="00B92491"/>
    <w:rsid w:val="00B9281E"/>
    <w:rsid w:val="00B93925"/>
    <w:rsid w:val="00B95187"/>
    <w:rsid w:val="00B97E2F"/>
    <w:rsid w:val="00BA2D55"/>
    <w:rsid w:val="00BA71B1"/>
    <w:rsid w:val="00BB0637"/>
    <w:rsid w:val="00BB345F"/>
    <w:rsid w:val="00BB5883"/>
    <w:rsid w:val="00BB68EA"/>
    <w:rsid w:val="00BB75CB"/>
    <w:rsid w:val="00BC1C27"/>
    <w:rsid w:val="00BC466A"/>
    <w:rsid w:val="00BC4C66"/>
    <w:rsid w:val="00BC6BBF"/>
    <w:rsid w:val="00BD1572"/>
    <w:rsid w:val="00BD2E2F"/>
    <w:rsid w:val="00BD5E49"/>
    <w:rsid w:val="00BE14E3"/>
    <w:rsid w:val="00BE3774"/>
    <w:rsid w:val="00BE41E5"/>
    <w:rsid w:val="00BE74FE"/>
    <w:rsid w:val="00BF0BBB"/>
    <w:rsid w:val="00BF1602"/>
    <w:rsid w:val="00BF4109"/>
    <w:rsid w:val="00BF4CC3"/>
    <w:rsid w:val="00C054C7"/>
    <w:rsid w:val="00C057B5"/>
    <w:rsid w:val="00C0788A"/>
    <w:rsid w:val="00C22687"/>
    <w:rsid w:val="00C2742E"/>
    <w:rsid w:val="00C30C9C"/>
    <w:rsid w:val="00C32E4D"/>
    <w:rsid w:val="00C333A0"/>
    <w:rsid w:val="00C368F4"/>
    <w:rsid w:val="00C36A81"/>
    <w:rsid w:val="00C41974"/>
    <w:rsid w:val="00C41AE3"/>
    <w:rsid w:val="00C447AD"/>
    <w:rsid w:val="00C53F4A"/>
    <w:rsid w:val="00C54125"/>
    <w:rsid w:val="00C55B54"/>
    <w:rsid w:val="00C6098E"/>
    <w:rsid w:val="00C6152C"/>
    <w:rsid w:val="00C621C2"/>
    <w:rsid w:val="00C67865"/>
    <w:rsid w:val="00C73650"/>
    <w:rsid w:val="00C74810"/>
    <w:rsid w:val="00C803BD"/>
    <w:rsid w:val="00C90D68"/>
    <w:rsid w:val="00C915FB"/>
    <w:rsid w:val="00C939FE"/>
    <w:rsid w:val="00CA4BDA"/>
    <w:rsid w:val="00CB1F66"/>
    <w:rsid w:val="00CB2951"/>
    <w:rsid w:val="00CC5AEA"/>
    <w:rsid w:val="00CD282B"/>
    <w:rsid w:val="00CD4C35"/>
    <w:rsid w:val="00CD7369"/>
    <w:rsid w:val="00CE0B0E"/>
    <w:rsid w:val="00CE2F1E"/>
    <w:rsid w:val="00CE3831"/>
    <w:rsid w:val="00D00ABB"/>
    <w:rsid w:val="00D02EEC"/>
    <w:rsid w:val="00D03551"/>
    <w:rsid w:val="00D06A63"/>
    <w:rsid w:val="00D07E0E"/>
    <w:rsid w:val="00D11478"/>
    <w:rsid w:val="00D15ED0"/>
    <w:rsid w:val="00D21B3E"/>
    <w:rsid w:val="00D21FED"/>
    <w:rsid w:val="00D24251"/>
    <w:rsid w:val="00D27D8F"/>
    <w:rsid w:val="00D343E2"/>
    <w:rsid w:val="00D361A2"/>
    <w:rsid w:val="00D44C2E"/>
    <w:rsid w:val="00D44DEE"/>
    <w:rsid w:val="00D45414"/>
    <w:rsid w:val="00D53C0F"/>
    <w:rsid w:val="00D566BD"/>
    <w:rsid w:val="00D57A4D"/>
    <w:rsid w:val="00D60AA7"/>
    <w:rsid w:val="00D60D87"/>
    <w:rsid w:val="00D6435F"/>
    <w:rsid w:val="00D72768"/>
    <w:rsid w:val="00D75E28"/>
    <w:rsid w:val="00D772C2"/>
    <w:rsid w:val="00D8008E"/>
    <w:rsid w:val="00D8109B"/>
    <w:rsid w:val="00D82C45"/>
    <w:rsid w:val="00D82EAE"/>
    <w:rsid w:val="00D835EA"/>
    <w:rsid w:val="00D84985"/>
    <w:rsid w:val="00D908A8"/>
    <w:rsid w:val="00D977B6"/>
    <w:rsid w:val="00DA4A31"/>
    <w:rsid w:val="00DA61F2"/>
    <w:rsid w:val="00DA7B04"/>
    <w:rsid w:val="00DB36C2"/>
    <w:rsid w:val="00DB562F"/>
    <w:rsid w:val="00DB7196"/>
    <w:rsid w:val="00DC169B"/>
    <w:rsid w:val="00DC2AB9"/>
    <w:rsid w:val="00DC5E82"/>
    <w:rsid w:val="00DC63F0"/>
    <w:rsid w:val="00DD6EE5"/>
    <w:rsid w:val="00DE1B8E"/>
    <w:rsid w:val="00DE386C"/>
    <w:rsid w:val="00DE4D35"/>
    <w:rsid w:val="00DF0549"/>
    <w:rsid w:val="00DF098B"/>
    <w:rsid w:val="00DF11C4"/>
    <w:rsid w:val="00DF210C"/>
    <w:rsid w:val="00DF4B6A"/>
    <w:rsid w:val="00E00611"/>
    <w:rsid w:val="00E02C09"/>
    <w:rsid w:val="00E04D59"/>
    <w:rsid w:val="00E0613F"/>
    <w:rsid w:val="00E07DA1"/>
    <w:rsid w:val="00E123CB"/>
    <w:rsid w:val="00E12CCA"/>
    <w:rsid w:val="00E1557C"/>
    <w:rsid w:val="00E20E13"/>
    <w:rsid w:val="00E21DBC"/>
    <w:rsid w:val="00E22F1E"/>
    <w:rsid w:val="00E275D7"/>
    <w:rsid w:val="00E27DBE"/>
    <w:rsid w:val="00E32AB1"/>
    <w:rsid w:val="00E36C71"/>
    <w:rsid w:val="00E40404"/>
    <w:rsid w:val="00E4133A"/>
    <w:rsid w:val="00E459C6"/>
    <w:rsid w:val="00E46597"/>
    <w:rsid w:val="00E47589"/>
    <w:rsid w:val="00E60254"/>
    <w:rsid w:val="00E64915"/>
    <w:rsid w:val="00E661D4"/>
    <w:rsid w:val="00E70091"/>
    <w:rsid w:val="00E716E4"/>
    <w:rsid w:val="00E720F5"/>
    <w:rsid w:val="00E76D47"/>
    <w:rsid w:val="00E849F7"/>
    <w:rsid w:val="00E87821"/>
    <w:rsid w:val="00E8788C"/>
    <w:rsid w:val="00E90302"/>
    <w:rsid w:val="00E9597F"/>
    <w:rsid w:val="00E97396"/>
    <w:rsid w:val="00EA185E"/>
    <w:rsid w:val="00EA592A"/>
    <w:rsid w:val="00EA737F"/>
    <w:rsid w:val="00EA7D9D"/>
    <w:rsid w:val="00EB14E4"/>
    <w:rsid w:val="00EB32A5"/>
    <w:rsid w:val="00EB34ED"/>
    <w:rsid w:val="00EB689F"/>
    <w:rsid w:val="00EB7BE0"/>
    <w:rsid w:val="00EC315E"/>
    <w:rsid w:val="00ED077C"/>
    <w:rsid w:val="00ED1190"/>
    <w:rsid w:val="00ED6544"/>
    <w:rsid w:val="00ED6D0E"/>
    <w:rsid w:val="00EE0277"/>
    <w:rsid w:val="00EE196F"/>
    <w:rsid w:val="00EE1DA9"/>
    <w:rsid w:val="00EE3E00"/>
    <w:rsid w:val="00EE5DD2"/>
    <w:rsid w:val="00EF0073"/>
    <w:rsid w:val="00EF41F1"/>
    <w:rsid w:val="00EF4F08"/>
    <w:rsid w:val="00EF573B"/>
    <w:rsid w:val="00EF6EF8"/>
    <w:rsid w:val="00F00A79"/>
    <w:rsid w:val="00F00E86"/>
    <w:rsid w:val="00F00F8B"/>
    <w:rsid w:val="00F0429B"/>
    <w:rsid w:val="00F07C1E"/>
    <w:rsid w:val="00F105DB"/>
    <w:rsid w:val="00F132BC"/>
    <w:rsid w:val="00F13D80"/>
    <w:rsid w:val="00F16AAA"/>
    <w:rsid w:val="00F20D45"/>
    <w:rsid w:val="00F21161"/>
    <w:rsid w:val="00F218EF"/>
    <w:rsid w:val="00F21BC7"/>
    <w:rsid w:val="00F23403"/>
    <w:rsid w:val="00F25FFA"/>
    <w:rsid w:val="00F266A2"/>
    <w:rsid w:val="00F32269"/>
    <w:rsid w:val="00F37D4A"/>
    <w:rsid w:val="00F4457E"/>
    <w:rsid w:val="00F56A6F"/>
    <w:rsid w:val="00F5709C"/>
    <w:rsid w:val="00F64EF1"/>
    <w:rsid w:val="00F74574"/>
    <w:rsid w:val="00F8765F"/>
    <w:rsid w:val="00F90767"/>
    <w:rsid w:val="00FA685B"/>
    <w:rsid w:val="00FB0C01"/>
    <w:rsid w:val="00FC18F2"/>
    <w:rsid w:val="00FC1ACD"/>
    <w:rsid w:val="00FC39E5"/>
    <w:rsid w:val="00FC3A78"/>
    <w:rsid w:val="00FC5FFE"/>
    <w:rsid w:val="00FD1005"/>
    <w:rsid w:val="00FD129D"/>
    <w:rsid w:val="00FD3180"/>
    <w:rsid w:val="00FD6C75"/>
    <w:rsid w:val="00FE71B3"/>
    <w:rsid w:val="00FF2AC9"/>
    <w:rsid w:val="00FF42C5"/>
    <w:rsid w:val="00FF6E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8788C"/>
    <w:pPr>
      <w:jc w:val="both"/>
    </w:pPr>
    <w:rPr>
      <w:rFonts w:eastAsiaTheme="minorEastAsia"/>
      <w:sz w:val="24"/>
      <w:lang w:val="en-GB"/>
    </w:rPr>
  </w:style>
  <w:style w:type="paragraph" w:styleId="Nagwek1">
    <w:name w:val="heading 1"/>
    <w:basedOn w:val="Normalny"/>
    <w:next w:val="Normalny"/>
    <w:link w:val="Nagwek1Znak"/>
    <w:uiPriority w:val="99"/>
    <w:semiHidden/>
    <w:rsid w:val="00E8788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8788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8788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8788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8788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8788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8788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8788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8788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8788C"/>
    <w:rPr>
      <w:rFonts w:ascii="Tahoma" w:hAnsi="Tahoma" w:cs="Tahoma"/>
      <w:sz w:val="16"/>
      <w:szCs w:val="16"/>
    </w:rPr>
  </w:style>
  <w:style w:type="character" w:customStyle="1" w:styleId="TekstdymkaZnak">
    <w:name w:val="Tekst dymka Znak"/>
    <w:basedOn w:val="Domylnaczcionkaakapitu"/>
    <w:link w:val="Tekstdymka"/>
    <w:uiPriority w:val="99"/>
    <w:semiHidden/>
    <w:rsid w:val="00E8788C"/>
    <w:rPr>
      <w:rFonts w:ascii="Tahoma" w:eastAsiaTheme="minorEastAsia" w:hAnsi="Tahoma" w:cs="Tahoma"/>
      <w:sz w:val="16"/>
      <w:szCs w:val="16"/>
      <w:lang w:val="en-GB"/>
    </w:rPr>
  </w:style>
  <w:style w:type="character" w:styleId="Tytuksiki">
    <w:name w:val="Book Title"/>
    <w:uiPriority w:val="99"/>
    <w:semiHidden/>
    <w:qFormat/>
    <w:rsid w:val="00E8788C"/>
    <w:rPr>
      <w:i/>
      <w:iCs/>
      <w:smallCaps/>
      <w:spacing w:val="5"/>
    </w:rPr>
  </w:style>
  <w:style w:type="paragraph" w:customStyle="1" w:styleId="ECHRHeader">
    <w:name w:val="ECHR_Header"/>
    <w:aliases w:val="Ju_Header"/>
    <w:basedOn w:val="Nagwek"/>
    <w:uiPriority w:val="4"/>
    <w:qFormat/>
    <w:rsid w:val="00E8788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8788C"/>
    <w:pPr>
      <w:jc w:val="left"/>
    </w:pPr>
    <w:rPr>
      <w:sz w:val="8"/>
    </w:rPr>
  </w:style>
  <w:style w:type="character" w:styleId="Pogrubienie">
    <w:name w:val="Strong"/>
    <w:uiPriority w:val="99"/>
    <w:semiHidden/>
    <w:qFormat/>
    <w:rsid w:val="00E8788C"/>
    <w:rPr>
      <w:b/>
      <w:bCs/>
    </w:rPr>
  </w:style>
  <w:style w:type="paragraph" w:styleId="Bezodstpw">
    <w:name w:val="No Spacing"/>
    <w:basedOn w:val="Normalny"/>
    <w:link w:val="BezodstpwZnak"/>
    <w:semiHidden/>
    <w:qFormat/>
    <w:rsid w:val="00E8788C"/>
    <w:rPr>
      <w:sz w:val="22"/>
      <w:lang w:val="en-US"/>
    </w:rPr>
  </w:style>
  <w:style w:type="character" w:customStyle="1" w:styleId="BezodstpwZnak">
    <w:name w:val="Bez odstępów Znak"/>
    <w:basedOn w:val="Domylnaczcionkaakapitu"/>
    <w:link w:val="Bezodstpw"/>
    <w:semiHidden/>
    <w:rsid w:val="00E8788C"/>
    <w:rPr>
      <w:rFonts w:eastAsiaTheme="minorEastAsia"/>
    </w:rPr>
  </w:style>
  <w:style w:type="paragraph" w:customStyle="1" w:styleId="ECHRFooterLine">
    <w:name w:val="ECHR_Footer_Line"/>
    <w:aliases w:val="Footer_Line"/>
    <w:basedOn w:val="Normalny"/>
    <w:next w:val="ECHRFooter"/>
    <w:uiPriority w:val="57"/>
    <w:semiHidden/>
    <w:rsid w:val="00E8788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8788C"/>
  </w:style>
  <w:style w:type="paragraph" w:customStyle="1" w:styleId="DecList">
    <w:name w:val="Dec_List"/>
    <w:basedOn w:val="Normalny"/>
    <w:uiPriority w:val="9"/>
    <w:semiHidden/>
    <w:qFormat/>
    <w:rsid w:val="00E8788C"/>
    <w:pPr>
      <w:spacing w:before="240"/>
      <w:ind w:left="284"/>
    </w:pPr>
  </w:style>
  <w:style w:type="paragraph" w:customStyle="1" w:styleId="DummyStyle">
    <w:name w:val="Dummy_Style"/>
    <w:basedOn w:val="Normalny"/>
    <w:semiHidden/>
    <w:qFormat/>
    <w:rsid w:val="00E8788C"/>
    <w:rPr>
      <w:color w:val="00B050"/>
    </w:rPr>
  </w:style>
  <w:style w:type="paragraph" w:customStyle="1" w:styleId="ECHRTitleCentre3">
    <w:name w:val="ECHR_Title_Centre_3"/>
    <w:aliases w:val="Ju_H_Article"/>
    <w:basedOn w:val="Normalny"/>
    <w:next w:val="ECHRParaQuote"/>
    <w:uiPriority w:val="27"/>
    <w:qFormat/>
    <w:rsid w:val="00E8788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8788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8788C"/>
    <w:pPr>
      <w:numPr>
        <w:numId w:val="22"/>
      </w:numPr>
      <w:jc w:val="left"/>
    </w:pPr>
    <w:rPr>
      <w:b/>
    </w:rPr>
  </w:style>
  <w:style w:type="paragraph" w:customStyle="1" w:styleId="JuCourt">
    <w:name w:val="Ju_Court"/>
    <w:basedOn w:val="Normalny"/>
    <w:next w:val="Normalny"/>
    <w:uiPriority w:val="16"/>
    <w:qFormat/>
    <w:rsid w:val="00E8788C"/>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8788C"/>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8788C"/>
    <w:pPr>
      <w:spacing w:after="240"/>
      <w:jc w:val="center"/>
      <w:outlineLvl w:val="0"/>
    </w:pPr>
    <w:rPr>
      <w:rFonts w:asciiTheme="majorHAnsi" w:hAnsiTheme="majorHAnsi"/>
    </w:rPr>
  </w:style>
  <w:style w:type="paragraph" w:customStyle="1" w:styleId="JuInitialled">
    <w:name w:val="Ju_Initialled"/>
    <w:basedOn w:val="Normalny"/>
    <w:uiPriority w:val="31"/>
    <w:qFormat/>
    <w:rsid w:val="00E8788C"/>
    <w:pPr>
      <w:tabs>
        <w:tab w:val="center" w:pos="6407"/>
      </w:tabs>
      <w:spacing w:before="720"/>
      <w:jc w:val="right"/>
    </w:pPr>
  </w:style>
  <w:style w:type="paragraph" w:styleId="Tytu">
    <w:name w:val="Title"/>
    <w:basedOn w:val="Normalny"/>
    <w:next w:val="Normalny"/>
    <w:link w:val="TytuZnak"/>
    <w:uiPriority w:val="99"/>
    <w:semiHidden/>
    <w:qFormat/>
    <w:rsid w:val="00E8788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8788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8788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8788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8788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8788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8788C"/>
    <w:pPr>
      <w:keepNext/>
      <w:keepLines/>
      <w:spacing w:before="240" w:after="120"/>
      <w:ind w:left="1236"/>
    </w:pPr>
    <w:rPr>
      <w:sz w:val="20"/>
      <w:lang w:val="en-GB"/>
    </w:rPr>
  </w:style>
  <w:style w:type="paragraph" w:customStyle="1" w:styleId="JuQuotSub">
    <w:name w:val="Ju_Quot_Sub"/>
    <w:basedOn w:val="ECHRParaQuote"/>
    <w:uiPriority w:val="15"/>
    <w:qFormat/>
    <w:rsid w:val="00E8788C"/>
    <w:pPr>
      <w:ind w:left="567"/>
    </w:pPr>
  </w:style>
  <w:style w:type="character" w:customStyle="1" w:styleId="JuITMark">
    <w:name w:val="Ju_ITMark"/>
    <w:basedOn w:val="Domylnaczcionkaakapitu"/>
    <w:uiPriority w:val="38"/>
    <w:qFormat/>
    <w:rsid w:val="00E8788C"/>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E8788C"/>
    <w:pPr>
      <w:ind w:left="794"/>
    </w:pPr>
  </w:style>
  <w:style w:type="paragraph" w:styleId="Nagwek">
    <w:name w:val="header"/>
    <w:basedOn w:val="Normalny"/>
    <w:link w:val="NagwekZnak"/>
    <w:uiPriority w:val="57"/>
    <w:semiHidden/>
    <w:rsid w:val="00E8788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8788C"/>
    <w:rPr>
      <w:sz w:val="24"/>
      <w:lang w:val="en-GB"/>
    </w:rPr>
  </w:style>
  <w:style w:type="character" w:customStyle="1" w:styleId="Nagwek1Znak">
    <w:name w:val="Nagłówek 1 Znak"/>
    <w:basedOn w:val="Domylnaczcionkaakapitu"/>
    <w:link w:val="Nagwek1"/>
    <w:uiPriority w:val="99"/>
    <w:semiHidden/>
    <w:rsid w:val="00E8788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8788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8788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8788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E8788C"/>
    <w:rPr>
      <w:caps w:val="0"/>
      <w:smallCaps/>
    </w:rPr>
  </w:style>
  <w:style w:type="paragraph" w:customStyle="1" w:styleId="JuCase">
    <w:name w:val="Ju_Case"/>
    <w:basedOn w:val="Normalny"/>
    <w:next w:val="ECHRPara"/>
    <w:uiPriority w:val="10"/>
    <w:rsid w:val="00E8788C"/>
    <w:pPr>
      <w:ind w:firstLine="284"/>
    </w:pPr>
    <w:rPr>
      <w:b/>
    </w:rPr>
  </w:style>
  <w:style w:type="character" w:customStyle="1" w:styleId="Nagwek3Znak">
    <w:name w:val="Nagłówek 3 Znak"/>
    <w:basedOn w:val="Domylnaczcionkaakapitu"/>
    <w:link w:val="Nagwek3"/>
    <w:uiPriority w:val="99"/>
    <w:semiHidden/>
    <w:rsid w:val="00E8788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E8788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E8788C"/>
    <w:rPr>
      <w:rFonts w:asciiTheme="majorHAnsi" w:eastAsiaTheme="majorEastAsia" w:hAnsiTheme="majorHAnsi" w:cstheme="majorBidi"/>
      <w:b/>
      <w:bCs/>
      <w:color w:val="808080"/>
    </w:rPr>
  </w:style>
  <w:style w:type="character" w:styleId="Wyrnieniedelikatne">
    <w:name w:val="Subtle Emphasis"/>
    <w:uiPriority w:val="99"/>
    <w:semiHidden/>
    <w:qFormat/>
    <w:rsid w:val="00E8788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8788C"/>
    <w:pPr>
      <w:keepNext/>
      <w:keepLines/>
      <w:spacing w:before="720" w:after="240"/>
      <w:outlineLvl w:val="0"/>
    </w:pPr>
    <w:rPr>
      <w:rFonts w:asciiTheme="majorHAnsi" w:hAnsiTheme="majorHAnsi"/>
      <w:sz w:val="28"/>
    </w:rPr>
  </w:style>
  <w:style w:type="character" w:styleId="Uwydatnienie">
    <w:name w:val="Emphasis"/>
    <w:uiPriority w:val="99"/>
    <w:semiHidden/>
    <w:qFormat/>
    <w:rsid w:val="00E8788C"/>
    <w:rPr>
      <w:b/>
      <w:bCs/>
      <w:i/>
      <w:iCs/>
      <w:spacing w:val="10"/>
      <w:bdr w:val="none" w:sz="0" w:space="0" w:color="auto"/>
      <w:shd w:val="clear" w:color="auto" w:fill="auto"/>
    </w:rPr>
  </w:style>
  <w:style w:type="paragraph" w:styleId="Stopka">
    <w:name w:val="footer"/>
    <w:basedOn w:val="Normalny"/>
    <w:link w:val="StopkaZnak"/>
    <w:uiPriority w:val="57"/>
    <w:semiHidden/>
    <w:rsid w:val="00E8788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8788C"/>
    <w:rPr>
      <w:sz w:val="24"/>
      <w:lang w:val="en-GB"/>
    </w:rPr>
  </w:style>
  <w:style w:type="character" w:styleId="Odwoanieprzypisudolnego">
    <w:name w:val="footnote reference"/>
    <w:basedOn w:val="Domylnaczcionkaakapitu"/>
    <w:uiPriority w:val="99"/>
    <w:semiHidden/>
    <w:rsid w:val="00E8788C"/>
    <w:rPr>
      <w:vertAlign w:val="superscript"/>
    </w:rPr>
  </w:style>
  <w:style w:type="paragraph" w:styleId="Tekstprzypisudolnego">
    <w:name w:val="footnote text"/>
    <w:basedOn w:val="Normalny"/>
    <w:link w:val="TekstprzypisudolnegoZnak"/>
    <w:uiPriority w:val="99"/>
    <w:semiHidden/>
    <w:rsid w:val="00E8788C"/>
    <w:rPr>
      <w:sz w:val="20"/>
      <w:szCs w:val="20"/>
    </w:rPr>
  </w:style>
  <w:style w:type="character" w:customStyle="1" w:styleId="TekstprzypisudolnegoZnak">
    <w:name w:val="Tekst przypisu dolnego Znak"/>
    <w:basedOn w:val="Domylnaczcionkaakapitu"/>
    <w:link w:val="Tekstprzypisudolnego"/>
    <w:uiPriority w:val="99"/>
    <w:semiHidden/>
    <w:rsid w:val="00E8788C"/>
    <w:rPr>
      <w:rFonts w:eastAsiaTheme="minorEastAsia"/>
      <w:sz w:val="20"/>
      <w:szCs w:val="20"/>
      <w:lang w:val="en-GB"/>
    </w:rPr>
  </w:style>
  <w:style w:type="character" w:customStyle="1" w:styleId="Nagwek6Znak">
    <w:name w:val="Nagłówek 6 Znak"/>
    <w:basedOn w:val="Domylnaczcionkaakapitu"/>
    <w:link w:val="Nagwek6"/>
    <w:uiPriority w:val="99"/>
    <w:semiHidden/>
    <w:rsid w:val="00E8788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8788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8788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8788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8788C"/>
    <w:rPr>
      <w:color w:val="0072BC" w:themeColor="hyperlink"/>
      <w:u w:val="single"/>
    </w:rPr>
  </w:style>
  <w:style w:type="character" w:styleId="Wyrnienieintensywne">
    <w:name w:val="Intense Emphasis"/>
    <w:uiPriority w:val="99"/>
    <w:semiHidden/>
    <w:qFormat/>
    <w:rsid w:val="00E8788C"/>
    <w:rPr>
      <w:b/>
      <w:bCs/>
    </w:rPr>
  </w:style>
  <w:style w:type="paragraph" w:styleId="Cytatintensywny">
    <w:name w:val="Intense Quote"/>
    <w:basedOn w:val="Normalny"/>
    <w:next w:val="Normalny"/>
    <w:link w:val="CytatintensywnyZnak"/>
    <w:uiPriority w:val="99"/>
    <w:semiHidden/>
    <w:qFormat/>
    <w:rsid w:val="00E8788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8788C"/>
    <w:rPr>
      <w:rFonts w:eastAsiaTheme="minorEastAsia"/>
      <w:b/>
      <w:bCs/>
      <w:i/>
      <w:iCs/>
      <w:lang w:bidi="en-US"/>
    </w:rPr>
  </w:style>
  <w:style w:type="character" w:styleId="Odwoanieintensywne">
    <w:name w:val="Intense Reference"/>
    <w:uiPriority w:val="99"/>
    <w:semiHidden/>
    <w:qFormat/>
    <w:rsid w:val="00E8788C"/>
    <w:rPr>
      <w:smallCaps/>
      <w:spacing w:val="5"/>
      <w:u w:val="single"/>
    </w:rPr>
  </w:style>
  <w:style w:type="paragraph" w:styleId="Akapitzlist">
    <w:name w:val="List Paragraph"/>
    <w:basedOn w:val="Normalny"/>
    <w:uiPriority w:val="99"/>
    <w:semiHidden/>
    <w:qFormat/>
    <w:rsid w:val="00E8788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8788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8788C"/>
    <w:rPr>
      <w:rFonts w:eastAsiaTheme="minorEastAsia"/>
      <w:i/>
      <w:iCs/>
      <w:lang w:bidi="en-US"/>
    </w:rPr>
  </w:style>
  <w:style w:type="character" w:styleId="Odwoaniedelikatne">
    <w:name w:val="Subtle Reference"/>
    <w:uiPriority w:val="99"/>
    <w:semiHidden/>
    <w:qFormat/>
    <w:rsid w:val="00E8788C"/>
    <w:rPr>
      <w:smallCaps/>
    </w:rPr>
  </w:style>
  <w:style w:type="table" w:styleId="Tabela-Siatka">
    <w:name w:val="Table Grid"/>
    <w:basedOn w:val="Standardowy"/>
    <w:uiPriority w:val="59"/>
    <w:semiHidden/>
    <w:rsid w:val="00E8788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8788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8788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8788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8788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8788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8788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8788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8788C"/>
    <w:pPr>
      <w:spacing w:before="120" w:after="120"/>
      <w:ind w:left="425" w:firstLine="142"/>
    </w:pPr>
    <w:rPr>
      <w:sz w:val="20"/>
    </w:rPr>
  </w:style>
  <w:style w:type="paragraph" w:customStyle="1" w:styleId="ECHRPara">
    <w:name w:val="ECHR_Para"/>
    <w:aliases w:val="Ju_Para"/>
    <w:basedOn w:val="Normalny"/>
    <w:link w:val="ECHRParaChar"/>
    <w:uiPriority w:val="12"/>
    <w:qFormat/>
    <w:rsid w:val="00E8788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8788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8788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8788C"/>
    <w:pPr>
      <w:ind w:left="340" w:hanging="340"/>
    </w:pPr>
  </w:style>
  <w:style w:type="paragraph" w:customStyle="1" w:styleId="JuSigned">
    <w:name w:val="Ju_Signed"/>
    <w:basedOn w:val="Normalny"/>
    <w:next w:val="JuParaLast"/>
    <w:uiPriority w:val="32"/>
    <w:qFormat/>
    <w:rsid w:val="00E8788C"/>
    <w:pPr>
      <w:tabs>
        <w:tab w:val="center" w:pos="851"/>
        <w:tab w:val="center" w:pos="6407"/>
      </w:tabs>
      <w:spacing w:before="720"/>
      <w:jc w:val="left"/>
    </w:pPr>
  </w:style>
  <w:style w:type="paragraph" w:customStyle="1" w:styleId="JuParaLast">
    <w:name w:val="Ju_Para_Last"/>
    <w:basedOn w:val="Normalny"/>
    <w:next w:val="ECHRPara"/>
    <w:uiPriority w:val="30"/>
    <w:qFormat/>
    <w:rsid w:val="00E8788C"/>
    <w:pPr>
      <w:keepNext/>
      <w:keepLines/>
      <w:spacing w:before="240"/>
      <w:ind w:firstLine="284"/>
    </w:pPr>
  </w:style>
  <w:style w:type="paragraph" w:customStyle="1" w:styleId="JuParaSub">
    <w:name w:val="Ju_Para_Sub"/>
    <w:basedOn w:val="ECHRPara"/>
    <w:uiPriority w:val="13"/>
    <w:qFormat/>
    <w:rsid w:val="00E8788C"/>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8788C"/>
    <w:pPr>
      <w:ind w:left="346" w:firstLine="0"/>
    </w:pPr>
  </w:style>
  <w:style w:type="paragraph" w:customStyle="1" w:styleId="JuTitle">
    <w:name w:val="Ju_Title"/>
    <w:basedOn w:val="Normalny"/>
    <w:next w:val="ECHRPara"/>
    <w:uiPriority w:val="3"/>
    <w:semiHidden/>
    <w:qFormat/>
    <w:rsid w:val="00E8788C"/>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E8788C"/>
    <w:rPr>
      <w:vertAlign w:val="superscript"/>
    </w:rPr>
  </w:style>
  <w:style w:type="paragraph" w:styleId="Tekstprzypisukocowego">
    <w:name w:val="endnote text"/>
    <w:basedOn w:val="Normalny"/>
    <w:link w:val="TekstprzypisukocowegoZnak"/>
    <w:uiPriority w:val="99"/>
    <w:semiHidden/>
    <w:rsid w:val="00E8788C"/>
    <w:rPr>
      <w:sz w:val="20"/>
      <w:szCs w:val="20"/>
    </w:rPr>
  </w:style>
  <w:style w:type="character" w:customStyle="1" w:styleId="TekstprzypisukocowegoZnak">
    <w:name w:val="Tekst przypisu końcowego Znak"/>
    <w:basedOn w:val="Domylnaczcionkaakapitu"/>
    <w:link w:val="Tekstprzypisukocowego"/>
    <w:uiPriority w:val="99"/>
    <w:semiHidden/>
    <w:rsid w:val="00E8788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E8788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E8788C"/>
    <w:pPr>
      <w:ind w:left="833" w:hanging="357"/>
      <w:outlineLvl w:val="3"/>
    </w:pPr>
    <w:rPr>
      <w:b/>
      <w:i w:val="0"/>
      <w:sz w:val="20"/>
    </w:rPr>
  </w:style>
  <w:style w:type="paragraph" w:styleId="Podtytu">
    <w:name w:val="Subtitle"/>
    <w:basedOn w:val="Normalny"/>
    <w:next w:val="Normalny"/>
    <w:link w:val="PodtytuZnak"/>
    <w:uiPriority w:val="99"/>
    <w:semiHidden/>
    <w:qFormat/>
    <w:rsid w:val="00E8788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8788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E8788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8788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8788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E8788C"/>
    <w:pPr>
      <w:tabs>
        <w:tab w:val="clear" w:pos="357"/>
      </w:tabs>
      <w:outlineLvl w:val="1"/>
    </w:pPr>
    <w:rPr>
      <w:b/>
    </w:rPr>
  </w:style>
  <w:style w:type="paragraph" w:customStyle="1" w:styleId="OpiHi">
    <w:name w:val="Opi_H_i"/>
    <w:basedOn w:val="ECHRHeading4"/>
    <w:uiPriority w:val="44"/>
    <w:qFormat/>
    <w:rsid w:val="00E8788C"/>
    <w:pPr>
      <w:ind w:left="1037" w:hanging="357"/>
      <w:outlineLvl w:val="4"/>
    </w:pPr>
    <w:rPr>
      <w:b w:val="0"/>
      <w:i/>
    </w:rPr>
  </w:style>
  <w:style w:type="paragraph" w:customStyle="1" w:styleId="OpiPara">
    <w:name w:val="Opi_Para"/>
    <w:basedOn w:val="ECHRPara"/>
    <w:uiPriority w:val="46"/>
    <w:qFormat/>
    <w:rsid w:val="00E8788C"/>
  </w:style>
  <w:style w:type="paragraph" w:customStyle="1" w:styleId="OpiParaSub">
    <w:name w:val="Opi_Para_Sub"/>
    <w:basedOn w:val="JuParaSub"/>
    <w:uiPriority w:val="47"/>
    <w:qFormat/>
    <w:rsid w:val="00E8788C"/>
  </w:style>
  <w:style w:type="paragraph" w:customStyle="1" w:styleId="OpiQuot">
    <w:name w:val="Opi_Quot"/>
    <w:basedOn w:val="ECHRParaQuote"/>
    <w:uiPriority w:val="48"/>
    <w:qFormat/>
    <w:rsid w:val="00E8788C"/>
  </w:style>
  <w:style w:type="paragraph" w:customStyle="1" w:styleId="OpiQuotSub">
    <w:name w:val="Opi_Quot_Sub"/>
    <w:basedOn w:val="JuQuotSub"/>
    <w:uiPriority w:val="49"/>
    <w:qFormat/>
    <w:rsid w:val="00E8788C"/>
  </w:style>
  <w:style w:type="paragraph" w:customStyle="1" w:styleId="OpiTranslation">
    <w:name w:val="Opi_Translation"/>
    <w:basedOn w:val="Normalny"/>
    <w:next w:val="OpiPara"/>
    <w:uiPriority w:val="40"/>
    <w:qFormat/>
    <w:rsid w:val="00E8788C"/>
    <w:pPr>
      <w:jc w:val="center"/>
      <w:outlineLvl w:val="0"/>
    </w:pPr>
    <w:rPr>
      <w:i/>
    </w:rPr>
  </w:style>
  <w:style w:type="character" w:customStyle="1" w:styleId="ECHRParaChar">
    <w:name w:val="ECHR_Para Char"/>
    <w:aliases w:val="Ju_Para Char"/>
    <w:link w:val="ECHRPara"/>
    <w:uiPriority w:val="12"/>
    <w:rsid w:val="000E3549"/>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E8788C"/>
    <w:pPr>
      <w:jc w:val="both"/>
    </w:pPr>
    <w:rPr>
      <w:rFonts w:eastAsiaTheme="minorEastAsia"/>
      <w:sz w:val="24"/>
      <w:lang w:val="en-GB"/>
    </w:rPr>
  </w:style>
  <w:style w:type="paragraph" w:styleId="Nagwek1">
    <w:name w:val="heading 1"/>
    <w:basedOn w:val="Normalny"/>
    <w:next w:val="Normalny"/>
    <w:link w:val="Nagwek1Znak"/>
    <w:uiPriority w:val="99"/>
    <w:semiHidden/>
    <w:rsid w:val="00E8788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8788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8788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8788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8788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8788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8788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8788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8788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8788C"/>
    <w:rPr>
      <w:rFonts w:ascii="Tahoma" w:hAnsi="Tahoma" w:cs="Tahoma"/>
      <w:sz w:val="16"/>
      <w:szCs w:val="16"/>
    </w:rPr>
  </w:style>
  <w:style w:type="character" w:customStyle="1" w:styleId="TekstdymkaZnak">
    <w:name w:val="Tekst dymka Znak"/>
    <w:basedOn w:val="Domylnaczcionkaakapitu"/>
    <w:link w:val="Tekstdymka"/>
    <w:uiPriority w:val="99"/>
    <w:semiHidden/>
    <w:rsid w:val="00E8788C"/>
    <w:rPr>
      <w:rFonts w:ascii="Tahoma" w:eastAsiaTheme="minorEastAsia" w:hAnsi="Tahoma" w:cs="Tahoma"/>
      <w:sz w:val="16"/>
      <w:szCs w:val="16"/>
      <w:lang w:val="en-GB"/>
    </w:rPr>
  </w:style>
  <w:style w:type="character" w:styleId="Tytuksiki">
    <w:name w:val="Book Title"/>
    <w:uiPriority w:val="99"/>
    <w:semiHidden/>
    <w:qFormat/>
    <w:rsid w:val="00E8788C"/>
    <w:rPr>
      <w:i/>
      <w:iCs/>
      <w:smallCaps/>
      <w:spacing w:val="5"/>
    </w:rPr>
  </w:style>
  <w:style w:type="paragraph" w:customStyle="1" w:styleId="ECHRHeader">
    <w:name w:val="ECHR_Header"/>
    <w:aliases w:val="Ju_Header"/>
    <w:basedOn w:val="Nagwek"/>
    <w:uiPriority w:val="4"/>
    <w:qFormat/>
    <w:rsid w:val="00E8788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8788C"/>
    <w:pPr>
      <w:jc w:val="left"/>
    </w:pPr>
    <w:rPr>
      <w:sz w:val="8"/>
    </w:rPr>
  </w:style>
  <w:style w:type="character" w:styleId="Pogrubienie">
    <w:name w:val="Strong"/>
    <w:uiPriority w:val="99"/>
    <w:semiHidden/>
    <w:qFormat/>
    <w:rsid w:val="00E8788C"/>
    <w:rPr>
      <w:b/>
      <w:bCs/>
    </w:rPr>
  </w:style>
  <w:style w:type="paragraph" w:styleId="Bezodstpw">
    <w:name w:val="No Spacing"/>
    <w:basedOn w:val="Normalny"/>
    <w:link w:val="BezodstpwZnak"/>
    <w:semiHidden/>
    <w:qFormat/>
    <w:rsid w:val="00E8788C"/>
    <w:rPr>
      <w:sz w:val="22"/>
      <w:lang w:val="en-US"/>
    </w:rPr>
  </w:style>
  <w:style w:type="character" w:customStyle="1" w:styleId="BezodstpwZnak">
    <w:name w:val="Bez odstępów Znak"/>
    <w:basedOn w:val="Domylnaczcionkaakapitu"/>
    <w:link w:val="Bezodstpw"/>
    <w:semiHidden/>
    <w:rsid w:val="00E8788C"/>
    <w:rPr>
      <w:rFonts w:eastAsiaTheme="minorEastAsia"/>
    </w:rPr>
  </w:style>
  <w:style w:type="paragraph" w:customStyle="1" w:styleId="ECHRFooterLine">
    <w:name w:val="ECHR_Footer_Line"/>
    <w:aliases w:val="Footer_Line"/>
    <w:basedOn w:val="Normalny"/>
    <w:next w:val="ECHRFooter"/>
    <w:uiPriority w:val="57"/>
    <w:semiHidden/>
    <w:rsid w:val="00E8788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8788C"/>
  </w:style>
  <w:style w:type="paragraph" w:customStyle="1" w:styleId="DecList">
    <w:name w:val="Dec_List"/>
    <w:basedOn w:val="Normalny"/>
    <w:uiPriority w:val="9"/>
    <w:semiHidden/>
    <w:qFormat/>
    <w:rsid w:val="00E8788C"/>
    <w:pPr>
      <w:spacing w:before="240"/>
      <w:ind w:left="284"/>
    </w:pPr>
  </w:style>
  <w:style w:type="paragraph" w:customStyle="1" w:styleId="DummyStyle">
    <w:name w:val="Dummy_Style"/>
    <w:basedOn w:val="Normalny"/>
    <w:semiHidden/>
    <w:qFormat/>
    <w:rsid w:val="00E8788C"/>
    <w:rPr>
      <w:color w:val="00B050"/>
    </w:rPr>
  </w:style>
  <w:style w:type="paragraph" w:customStyle="1" w:styleId="ECHRTitleCentre3">
    <w:name w:val="ECHR_Title_Centre_3"/>
    <w:aliases w:val="Ju_H_Article"/>
    <w:basedOn w:val="Normalny"/>
    <w:next w:val="ECHRParaQuote"/>
    <w:uiPriority w:val="27"/>
    <w:qFormat/>
    <w:rsid w:val="00E8788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8788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8788C"/>
    <w:pPr>
      <w:numPr>
        <w:numId w:val="22"/>
      </w:numPr>
      <w:jc w:val="left"/>
    </w:pPr>
    <w:rPr>
      <w:b/>
    </w:rPr>
  </w:style>
  <w:style w:type="paragraph" w:customStyle="1" w:styleId="JuCourt">
    <w:name w:val="Ju_Court"/>
    <w:basedOn w:val="Normalny"/>
    <w:next w:val="Normalny"/>
    <w:uiPriority w:val="16"/>
    <w:qFormat/>
    <w:rsid w:val="00E8788C"/>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8788C"/>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8788C"/>
    <w:pPr>
      <w:spacing w:after="240"/>
      <w:jc w:val="center"/>
      <w:outlineLvl w:val="0"/>
    </w:pPr>
    <w:rPr>
      <w:rFonts w:asciiTheme="majorHAnsi" w:hAnsiTheme="majorHAnsi"/>
    </w:rPr>
  </w:style>
  <w:style w:type="paragraph" w:customStyle="1" w:styleId="JuInitialled">
    <w:name w:val="Ju_Initialled"/>
    <w:basedOn w:val="Normalny"/>
    <w:uiPriority w:val="31"/>
    <w:qFormat/>
    <w:rsid w:val="00E8788C"/>
    <w:pPr>
      <w:tabs>
        <w:tab w:val="center" w:pos="6407"/>
      </w:tabs>
      <w:spacing w:before="720"/>
      <w:jc w:val="right"/>
    </w:pPr>
  </w:style>
  <w:style w:type="paragraph" w:styleId="Tytu">
    <w:name w:val="Title"/>
    <w:basedOn w:val="Normalny"/>
    <w:next w:val="Normalny"/>
    <w:link w:val="TytuZnak"/>
    <w:uiPriority w:val="99"/>
    <w:semiHidden/>
    <w:qFormat/>
    <w:rsid w:val="00E8788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8788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8788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8788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8788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8788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8788C"/>
    <w:pPr>
      <w:keepNext/>
      <w:keepLines/>
      <w:spacing w:before="240" w:after="120"/>
      <w:ind w:left="1236"/>
    </w:pPr>
    <w:rPr>
      <w:sz w:val="20"/>
      <w:lang w:val="en-GB"/>
    </w:rPr>
  </w:style>
  <w:style w:type="paragraph" w:customStyle="1" w:styleId="JuQuotSub">
    <w:name w:val="Ju_Quot_Sub"/>
    <w:basedOn w:val="ECHRParaQuote"/>
    <w:uiPriority w:val="15"/>
    <w:qFormat/>
    <w:rsid w:val="00E8788C"/>
    <w:pPr>
      <w:ind w:left="567"/>
    </w:pPr>
  </w:style>
  <w:style w:type="character" w:customStyle="1" w:styleId="JuITMark">
    <w:name w:val="Ju_ITMark"/>
    <w:basedOn w:val="Domylnaczcionkaakapitu"/>
    <w:uiPriority w:val="38"/>
    <w:qFormat/>
    <w:rsid w:val="00E8788C"/>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E8788C"/>
    <w:pPr>
      <w:ind w:left="794"/>
    </w:pPr>
  </w:style>
  <w:style w:type="paragraph" w:styleId="Nagwek">
    <w:name w:val="header"/>
    <w:basedOn w:val="Normalny"/>
    <w:link w:val="NagwekZnak"/>
    <w:uiPriority w:val="57"/>
    <w:semiHidden/>
    <w:rsid w:val="00E8788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8788C"/>
    <w:rPr>
      <w:sz w:val="24"/>
      <w:lang w:val="en-GB"/>
    </w:rPr>
  </w:style>
  <w:style w:type="character" w:customStyle="1" w:styleId="Nagwek1Znak">
    <w:name w:val="Nagłówek 1 Znak"/>
    <w:basedOn w:val="Domylnaczcionkaakapitu"/>
    <w:link w:val="Nagwek1"/>
    <w:uiPriority w:val="99"/>
    <w:semiHidden/>
    <w:rsid w:val="00E8788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8788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8788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8788C"/>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E8788C"/>
    <w:rPr>
      <w:caps w:val="0"/>
      <w:smallCaps/>
    </w:rPr>
  </w:style>
  <w:style w:type="paragraph" w:customStyle="1" w:styleId="JuCase">
    <w:name w:val="Ju_Case"/>
    <w:basedOn w:val="Normalny"/>
    <w:next w:val="ECHRPara"/>
    <w:uiPriority w:val="10"/>
    <w:rsid w:val="00E8788C"/>
    <w:pPr>
      <w:ind w:firstLine="284"/>
    </w:pPr>
    <w:rPr>
      <w:b/>
    </w:rPr>
  </w:style>
  <w:style w:type="character" w:customStyle="1" w:styleId="Nagwek3Znak">
    <w:name w:val="Nagłówek 3 Znak"/>
    <w:basedOn w:val="Domylnaczcionkaakapitu"/>
    <w:link w:val="Nagwek3"/>
    <w:uiPriority w:val="99"/>
    <w:semiHidden/>
    <w:rsid w:val="00E8788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E8788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E8788C"/>
    <w:rPr>
      <w:rFonts w:asciiTheme="majorHAnsi" w:eastAsiaTheme="majorEastAsia" w:hAnsiTheme="majorHAnsi" w:cstheme="majorBidi"/>
      <w:b/>
      <w:bCs/>
      <w:color w:val="808080"/>
    </w:rPr>
  </w:style>
  <w:style w:type="character" w:styleId="Wyrnieniedelikatne">
    <w:name w:val="Subtle Emphasis"/>
    <w:uiPriority w:val="99"/>
    <w:semiHidden/>
    <w:qFormat/>
    <w:rsid w:val="00E8788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8788C"/>
    <w:pPr>
      <w:keepNext/>
      <w:keepLines/>
      <w:spacing w:before="720" w:after="240"/>
      <w:outlineLvl w:val="0"/>
    </w:pPr>
    <w:rPr>
      <w:rFonts w:asciiTheme="majorHAnsi" w:hAnsiTheme="majorHAnsi"/>
      <w:sz w:val="28"/>
    </w:rPr>
  </w:style>
  <w:style w:type="character" w:styleId="Uwydatnienie">
    <w:name w:val="Emphasis"/>
    <w:uiPriority w:val="99"/>
    <w:semiHidden/>
    <w:qFormat/>
    <w:rsid w:val="00E8788C"/>
    <w:rPr>
      <w:b/>
      <w:bCs/>
      <w:i/>
      <w:iCs/>
      <w:spacing w:val="10"/>
      <w:bdr w:val="none" w:sz="0" w:space="0" w:color="auto"/>
      <w:shd w:val="clear" w:color="auto" w:fill="auto"/>
    </w:rPr>
  </w:style>
  <w:style w:type="paragraph" w:styleId="Stopka">
    <w:name w:val="footer"/>
    <w:basedOn w:val="Normalny"/>
    <w:link w:val="StopkaZnak"/>
    <w:uiPriority w:val="57"/>
    <w:semiHidden/>
    <w:rsid w:val="00E8788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8788C"/>
    <w:rPr>
      <w:sz w:val="24"/>
      <w:lang w:val="en-GB"/>
    </w:rPr>
  </w:style>
  <w:style w:type="character" w:styleId="Odwoanieprzypisudolnego">
    <w:name w:val="footnote reference"/>
    <w:basedOn w:val="Domylnaczcionkaakapitu"/>
    <w:uiPriority w:val="99"/>
    <w:semiHidden/>
    <w:rsid w:val="00E8788C"/>
    <w:rPr>
      <w:vertAlign w:val="superscript"/>
    </w:rPr>
  </w:style>
  <w:style w:type="paragraph" w:styleId="Tekstprzypisudolnego">
    <w:name w:val="footnote text"/>
    <w:basedOn w:val="Normalny"/>
    <w:link w:val="TekstprzypisudolnegoZnak"/>
    <w:uiPriority w:val="99"/>
    <w:semiHidden/>
    <w:rsid w:val="00E8788C"/>
    <w:rPr>
      <w:sz w:val="20"/>
      <w:szCs w:val="20"/>
    </w:rPr>
  </w:style>
  <w:style w:type="character" w:customStyle="1" w:styleId="TekstprzypisudolnegoZnak">
    <w:name w:val="Tekst przypisu dolnego Znak"/>
    <w:basedOn w:val="Domylnaczcionkaakapitu"/>
    <w:link w:val="Tekstprzypisudolnego"/>
    <w:uiPriority w:val="99"/>
    <w:semiHidden/>
    <w:rsid w:val="00E8788C"/>
    <w:rPr>
      <w:rFonts w:eastAsiaTheme="minorEastAsia"/>
      <w:sz w:val="20"/>
      <w:szCs w:val="20"/>
      <w:lang w:val="en-GB"/>
    </w:rPr>
  </w:style>
  <w:style w:type="character" w:customStyle="1" w:styleId="Nagwek6Znak">
    <w:name w:val="Nagłówek 6 Znak"/>
    <w:basedOn w:val="Domylnaczcionkaakapitu"/>
    <w:link w:val="Nagwek6"/>
    <w:uiPriority w:val="99"/>
    <w:semiHidden/>
    <w:rsid w:val="00E8788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8788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8788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8788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8788C"/>
    <w:rPr>
      <w:color w:val="0072BC" w:themeColor="hyperlink"/>
      <w:u w:val="single"/>
    </w:rPr>
  </w:style>
  <w:style w:type="character" w:styleId="Wyrnienieintensywne">
    <w:name w:val="Intense Emphasis"/>
    <w:uiPriority w:val="99"/>
    <w:semiHidden/>
    <w:qFormat/>
    <w:rsid w:val="00E8788C"/>
    <w:rPr>
      <w:b/>
      <w:bCs/>
    </w:rPr>
  </w:style>
  <w:style w:type="paragraph" w:styleId="Cytatintensywny">
    <w:name w:val="Intense Quote"/>
    <w:basedOn w:val="Normalny"/>
    <w:next w:val="Normalny"/>
    <w:link w:val="CytatintensywnyZnak"/>
    <w:uiPriority w:val="99"/>
    <w:semiHidden/>
    <w:qFormat/>
    <w:rsid w:val="00E8788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8788C"/>
    <w:rPr>
      <w:rFonts w:eastAsiaTheme="minorEastAsia"/>
      <w:b/>
      <w:bCs/>
      <w:i/>
      <w:iCs/>
      <w:lang w:bidi="en-US"/>
    </w:rPr>
  </w:style>
  <w:style w:type="character" w:styleId="Odwoanieintensywne">
    <w:name w:val="Intense Reference"/>
    <w:uiPriority w:val="99"/>
    <w:semiHidden/>
    <w:qFormat/>
    <w:rsid w:val="00E8788C"/>
    <w:rPr>
      <w:smallCaps/>
      <w:spacing w:val="5"/>
      <w:u w:val="single"/>
    </w:rPr>
  </w:style>
  <w:style w:type="paragraph" w:styleId="Akapitzlist">
    <w:name w:val="List Paragraph"/>
    <w:basedOn w:val="Normalny"/>
    <w:uiPriority w:val="99"/>
    <w:semiHidden/>
    <w:qFormat/>
    <w:rsid w:val="00E8788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8788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8788C"/>
    <w:rPr>
      <w:rFonts w:eastAsiaTheme="minorEastAsia"/>
      <w:i/>
      <w:iCs/>
      <w:lang w:bidi="en-US"/>
    </w:rPr>
  </w:style>
  <w:style w:type="character" w:styleId="Odwoaniedelikatne">
    <w:name w:val="Subtle Reference"/>
    <w:uiPriority w:val="99"/>
    <w:semiHidden/>
    <w:qFormat/>
    <w:rsid w:val="00E8788C"/>
    <w:rPr>
      <w:smallCaps/>
    </w:rPr>
  </w:style>
  <w:style w:type="table" w:styleId="Tabela-Siatka">
    <w:name w:val="Table Grid"/>
    <w:basedOn w:val="Standardowy"/>
    <w:uiPriority w:val="59"/>
    <w:semiHidden/>
    <w:rsid w:val="00E8788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8788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8788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8788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8788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8788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8788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8788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8788C"/>
    <w:pPr>
      <w:spacing w:before="120" w:after="120"/>
      <w:ind w:left="425" w:firstLine="142"/>
    </w:pPr>
    <w:rPr>
      <w:sz w:val="20"/>
    </w:rPr>
  </w:style>
  <w:style w:type="paragraph" w:customStyle="1" w:styleId="ECHRPara">
    <w:name w:val="ECHR_Para"/>
    <w:aliases w:val="Ju_Para"/>
    <w:basedOn w:val="Normalny"/>
    <w:link w:val="ECHRParaChar"/>
    <w:uiPriority w:val="12"/>
    <w:qFormat/>
    <w:rsid w:val="00E8788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8788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8788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8788C"/>
    <w:pPr>
      <w:ind w:left="340" w:hanging="340"/>
    </w:pPr>
  </w:style>
  <w:style w:type="paragraph" w:customStyle="1" w:styleId="JuSigned">
    <w:name w:val="Ju_Signed"/>
    <w:basedOn w:val="Normalny"/>
    <w:next w:val="JuParaLast"/>
    <w:uiPriority w:val="32"/>
    <w:qFormat/>
    <w:rsid w:val="00E8788C"/>
    <w:pPr>
      <w:tabs>
        <w:tab w:val="center" w:pos="851"/>
        <w:tab w:val="center" w:pos="6407"/>
      </w:tabs>
      <w:spacing w:before="720"/>
      <w:jc w:val="left"/>
    </w:pPr>
  </w:style>
  <w:style w:type="paragraph" w:customStyle="1" w:styleId="JuParaLast">
    <w:name w:val="Ju_Para_Last"/>
    <w:basedOn w:val="Normalny"/>
    <w:next w:val="ECHRPara"/>
    <w:uiPriority w:val="30"/>
    <w:qFormat/>
    <w:rsid w:val="00E8788C"/>
    <w:pPr>
      <w:keepNext/>
      <w:keepLines/>
      <w:spacing w:before="240"/>
      <w:ind w:firstLine="284"/>
    </w:pPr>
  </w:style>
  <w:style w:type="paragraph" w:customStyle="1" w:styleId="JuParaSub">
    <w:name w:val="Ju_Para_Sub"/>
    <w:basedOn w:val="ECHRPara"/>
    <w:uiPriority w:val="13"/>
    <w:qFormat/>
    <w:rsid w:val="00E8788C"/>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8788C"/>
    <w:pPr>
      <w:ind w:left="346" w:firstLine="0"/>
    </w:pPr>
  </w:style>
  <w:style w:type="paragraph" w:customStyle="1" w:styleId="JuTitle">
    <w:name w:val="Ju_Title"/>
    <w:basedOn w:val="Normalny"/>
    <w:next w:val="ECHRPara"/>
    <w:uiPriority w:val="3"/>
    <w:semiHidden/>
    <w:qFormat/>
    <w:rsid w:val="00E8788C"/>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E8788C"/>
    <w:rPr>
      <w:vertAlign w:val="superscript"/>
    </w:rPr>
  </w:style>
  <w:style w:type="paragraph" w:styleId="Tekstprzypisukocowego">
    <w:name w:val="endnote text"/>
    <w:basedOn w:val="Normalny"/>
    <w:link w:val="TekstprzypisukocowegoZnak"/>
    <w:uiPriority w:val="99"/>
    <w:semiHidden/>
    <w:rsid w:val="00E8788C"/>
    <w:rPr>
      <w:sz w:val="20"/>
      <w:szCs w:val="20"/>
    </w:rPr>
  </w:style>
  <w:style w:type="character" w:customStyle="1" w:styleId="TekstprzypisukocowegoZnak">
    <w:name w:val="Tekst przypisu końcowego Znak"/>
    <w:basedOn w:val="Domylnaczcionkaakapitu"/>
    <w:link w:val="Tekstprzypisukocowego"/>
    <w:uiPriority w:val="99"/>
    <w:semiHidden/>
    <w:rsid w:val="00E8788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E8788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E8788C"/>
    <w:pPr>
      <w:ind w:left="833" w:hanging="357"/>
      <w:outlineLvl w:val="3"/>
    </w:pPr>
    <w:rPr>
      <w:b/>
      <w:i w:val="0"/>
      <w:sz w:val="20"/>
    </w:rPr>
  </w:style>
  <w:style w:type="paragraph" w:styleId="Podtytu">
    <w:name w:val="Subtitle"/>
    <w:basedOn w:val="Normalny"/>
    <w:next w:val="Normalny"/>
    <w:link w:val="PodtytuZnak"/>
    <w:uiPriority w:val="99"/>
    <w:semiHidden/>
    <w:qFormat/>
    <w:rsid w:val="00E8788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8788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E8788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8788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8788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E8788C"/>
    <w:pPr>
      <w:tabs>
        <w:tab w:val="clear" w:pos="357"/>
      </w:tabs>
      <w:outlineLvl w:val="1"/>
    </w:pPr>
    <w:rPr>
      <w:b/>
    </w:rPr>
  </w:style>
  <w:style w:type="paragraph" w:customStyle="1" w:styleId="OpiHi">
    <w:name w:val="Opi_H_i"/>
    <w:basedOn w:val="ECHRHeading4"/>
    <w:uiPriority w:val="44"/>
    <w:qFormat/>
    <w:rsid w:val="00E8788C"/>
    <w:pPr>
      <w:ind w:left="1037" w:hanging="357"/>
      <w:outlineLvl w:val="4"/>
    </w:pPr>
    <w:rPr>
      <w:b w:val="0"/>
      <w:i/>
    </w:rPr>
  </w:style>
  <w:style w:type="paragraph" w:customStyle="1" w:styleId="OpiPara">
    <w:name w:val="Opi_Para"/>
    <w:basedOn w:val="ECHRPara"/>
    <w:uiPriority w:val="46"/>
    <w:qFormat/>
    <w:rsid w:val="00E8788C"/>
  </w:style>
  <w:style w:type="paragraph" w:customStyle="1" w:styleId="OpiParaSub">
    <w:name w:val="Opi_Para_Sub"/>
    <w:basedOn w:val="JuParaSub"/>
    <w:uiPriority w:val="47"/>
    <w:qFormat/>
    <w:rsid w:val="00E8788C"/>
  </w:style>
  <w:style w:type="paragraph" w:customStyle="1" w:styleId="OpiQuot">
    <w:name w:val="Opi_Quot"/>
    <w:basedOn w:val="ECHRParaQuote"/>
    <w:uiPriority w:val="48"/>
    <w:qFormat/>
    <w:rsid w:val="00E8788C"/>
  </w:style>
  <w:style w:type="paragraph" w:customStyle="1" w:styleId="OpiQuotSub">
    <w:name w:val="Opi_Quot_Sub"/>
    <w:basedOn w:val="JuQuotSub"/>
    <w:uiPriority w:val="49"/>
    <w:qFormat/>
    <w:rsid w:val="00E8788C"/>
  </w:style>
  <w:style w:type="paragraph" w:customStyle="1" w:styleId="OpiTranslation">
    <w:name w:val="Opi_Translation"/>
    <w:basedOn w:val="Normalny"/>
    <w:next w:val="OpiPara"/>
    <w:uiPriority w:val="40"/>
    <w:qFormat/>
    <w:rsid w:val="00E8788C"/>
    <w:pPr>
      <w:jc w:val="center"/>
      <w:outlineLvl w:val="0"/>
    </w:pPr>
    <w:rPr>
      <w:i/>
    </w:rPr>
  </w:style>
  <w:style w:type="character" w:customStyle="1" w:styleId="ECHRParaChar">
    <w:name w:val="ECHR_Para Char"/>
    <w:aliases w:val="Ju_Para Char"/>
    <w:link w:val="ECHRPara"/>
    <w:uiPriority w:val="12"/>
    <w:rsid w:val="000E3549"/>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BAE67-1C00-4BFF-9FE6-91EBCADB41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003D66-E08F-4689-9453-53CA27BC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E87BA43-D2E8-41D3-80DC-010C2E403B30}">
  <ds:schemaRefs>
    <ds:schemaRef ds:uri="http://schemas.microsoft.com/sharepoint/v3/contenttype/forms"/>
  </ds:schemaRefs>
</ds:datastoreItem>
</file>

<file path=customXml/itemProps4.xml><?xml version="1.0" encoding="utf-8"?>
<ds:datastoreItem xmlns:ds="http://schemas.openxmlformats.org/officeDocument/2006/customXml" ds:itemID="{24935BBB-B944-40E8-A244-B1E1C250A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3345</Words>
  <Characters>20076</Characters>
  <Application>Microsoft Office Word</Application>
  <DocSecurity>0</DocSecurity>
  <Lines>167</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2018-08-14T13:55:00Z</dcterms:created>
  <dcterms:modified xsi:type="dcterms:W3CDTF">2018-08-14T13:55:00Z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43924/12</vt:lpwstr>
  </property>
  <property fmtid="{D5CDD505-2E9C-101B-9397-08002B2CF9AE}" pid="4" name="CASEID">
    <vt:lpwstr>812592</vt:lpwstr>
  </property>
  <property fmtid="{D5CDD505-2E9C-101B-9397-08002B2CF9AE}" pid="5" name="ContentTypeId">
    <vt:lpwstr>0x010100558EB02BDB9E204AB350EDD385B68E10</vt:lpwstr>
  </property>
</Properties>
</file>