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4566" w:rsidRPr="00114D08" w:rsidRDefault="00014566" w:rsidP="00114D08">
      <w:pPr>
        <w:jc w:val="center"/>
      </w:pPr>
      <w:bookmarkStart w:id="0" w:name="_GoBack"/>
      <w:bookmarkEnd w:id="0"/>
    </w:p>
    <w:p w:rsidR="00B1731A" w:rsidRPr="00114D08" w:rsidRDefault="00B1731A" w:rsidP="00114D08">
      <w:pPr>
        <w:jc w:val="center"/>
      </w:pPr>
    </w:p>
    <w:p w:rsidR="00B1731A" w:rsidRPr="00114D08" w:rsidRDefault="00B1731A" w:rsidP="00114D08">
      <w:pPr>
        <w:jc w:val="center"/>
      </w:pPr>
    </w:p>
    <w:p w:rsidR="00014566" w:rsidRPr="00114D08" w:rsidRDefault="00D268FB" w:rsidP="00114D08">
      <w:pPr>
        <w:jc w:val="center"/>
      </w:pPr>
      <w:r w:rsidRPr="00114D08">
        <w:t>FIRST SECTION</w:t>
      </w:r>
    </w:p>
    <w:p w:rsidR="00014566" w:rsidRPr="00114D08" w:rsidRDefault="00014566" w:rsidP="00114D08">
      <w:pPr>
        <w:jc w:val="center"/>
      </w:pPr>
    </w:p>
    <w:p w:rsidR="00B1731A" w:rsidRPr="00114D08" w:rsidRDefault="00B1731A" w:rsidP="00114D08">
      <w:pPr>
        <w:jc w:val="center"/>
      </w:pPr>
    </w:p>
    <w:p w:rsidR="00B1731A" w:rsidRPr="00114D08" w:rsidRDefault="00B1731A" w:rsidP="00114D08">
      <w:pPr>
        <w:jc w:val="center"/>
      </w:pPr>
    </w:p>
    <w:p w:rsidR="00B1731A" w:rsidRPr="00114D08" w:rsidRDefault="00B1731A" w:rsidP="00114D08">
      <w:pPr>
        <w:jc w:val="center"/>
      </w:pPr>
    </w:p>
    <w:p w:rsidR="00B1731A" w:rsidRPr="00114D08" w:rsidRDefault="00B1731A" w:rsidP="00114D08">
      <w:pPr>
        <w:jc w:val="center"/>
      </w:pPr>
    </w:p>
    <w:p w:rsidR="00B1731A" w:rsidRPr="00114D08" w:rsidRDefault="00B1731A" w:rsidP="00114D08">
      <w:pPr>
        <w:jc w:val="center"/>
      </w:pPr>
    </w:p>
    <w:p w:rsidR="00014566" w:rsidRPr="00114D08" w:rsidRDefault="00014566" w:rsidP="00114D08">
      <w:pPr>
        <w:jc w:val="center"/>
        <w:rPr>
          <w:b/>
        </w:rPr>
      </w:pPr>
      <w:bookmarkStart w:id="1" w:name="To"/>
      <w:r w:rsidRPr="00114D08">
        <w:rPr>
          <w:b/>
        </w:rPr>
        <w:t xml:space="preserve">CASE OF </w:t>
      </w:r>
      <w:bookmarkEnd w:id="1"/>
      <w:r w:rsidR="00D268FB" w:rsidRPr="00114D08">
        <w:rPr>
          <w:b/>
        </w:rPr>
        <w:t>WOŁOSOWICZ v. POLAND</w:t>
      </w:r>
    </w:p>
    <w:p w:rsidR="00014566" w:rsidRPr="00114D08" w:rsidRDefault="00014566" w:rsidP="00114D08">
      <w:pPr>
        <w:jc w:val="center"/>
      </w:pPr>
    </w:p>
    <w:p w:rsidR="00014566" w:rsidRPr="00114D08" w:rsidRDefault="00014566" w:rsidP="00114D08">
      <w:pPr>
        <w:jc w:val="center"/>
        <w:rPr>
          <w:i/>
        </w:rPr>
      </w:pPr>
      <w:r w:rsidRPr="00114D08">
        <w:rPr>
          <w:i/>
        </w:rPr>
        <w:t>(</w:t>
      </w:r>
      <w:r w:rsidR="00D268FB" w:rsidRPr="00114D08">
        <w:rPr>
          <w:i/>
        </w:rPr>
        <w:t>Application no. 11757/15</w:t>
      </w:r>
      <w:r w:rsidRPr="00114D08">
        <w:rPr>
          <w:i/>
        </w:rPr>
        <w:t>)</w:t>
      </w:r>
    </w:p>
    <w:p w:rsidR="00014566" w:rsidRPr="00114D08" w:rsidRDefault="00014566" w:rsidP="00114D08">
      <w:pPr>
        <w:jc w:val="center"/>
      </w:pPr>
    </w:p>
    <w:p w:rsidR="00014566" w:rsidRPr="00114D08" w:rsidRDefault="00014566" w:rsidP="00114D08">
      <w:pPr>
        <w:jc w:val="center"/>
      </w:pPr>
    </w:p>
    <w:p w:rsidR="00014566" w:rsidRPr="00114D08" w:rsidRDefault="00014566" w:rsidP="00114D08">
      <w:pPr>
        <w:jc w:val="center"/>
      </w:pPr>
    </w:p>
    <w:p w:rsidR="00114D08" w:rsidRPr="00114D08" w:rsidRDefault="00114D08" w:rsidP="00114D08">
      <w:pPr>
        <w:jc w:val="center"/>
      </w:pPr>
    </w:p>
    <w:p w:rsidR="00114D08" w:rsidRPr="00114D08" w:rsidRDefault="00114D08" w:rsidP="00114D08">
      <w:pPr>
        <w:jc w:val="center"/>
      </w:pPr>
    </w:p>
    <w:p w:rsidR="00114D08" w:rsidRPr="00114D08" w:rsidRDefault="00114D08" w:rsidP="00114D08">
      <w:pPr>
        <w:jc w:val="center"/>
      </w:pPr>
    </w:p>
    <w:p w:rsidR="00114D08" w:rsidRPr="00114D08" w:rsidRDefault="00114D08" w:rsidP="00114D08">
      <w:pPr>
        <w:jc w:val="center"/>
      </w:pPr>
    </w:p>
    <w:p w:rsidR="00114D08" w:rsidRPr="00114D08" w:rsidRDefault="00114D08" w:rsidP="00114D08">
      <w:pPr>
        <w:jc w:val="center"/>
      </w:pPr>
    </w:p>
    <w:p w:rsidR="00114D08" w:rsidRPr="00114D08" w:rsidRDefault="00114D08" w:rsidP="00114D08">
      <w:pPr>
        <w:jc w:val="center"/>
      </w:pPr>
    </w:p>
    <w:p w:rsidR="00114D08" w:rsidRPr="00114D08" w:rsidRDefault="00114D08" w:rsidP="00114D08">
      <w:pPr>
        <w:jc w:val="center"/>
      </w:pPr>
    </w:p>
    <w:p w:rsidR="00114D08" w:rsidRPr="00114D08" w:rsidRDefault="00114D08" w:rsidP="00114D08">
      <w:pPr>
        <w:jc w:val="center"/>
      </w:pPr>
    </w:p>
    <w:p w:rsidR="00014566" w:rsidRPr="00114D08" w:rsidRDefault="00014566" w:rsidP="00114D08">
      <w:pPr>
        <w:jc w:val="center"/>
      </w:pPr>
    </w:p>
    <w:p w:rsidR="00014566" w:rsidRPr="00114D08" w:rsidRDefault="00014566" w:rsidP="00114D08">
      <w:pPr>
        <w:jc w:val="center"/>
      </w:pPr>
    </w:p>
    <w:p w:rsidR="00014566" w:rsidRPr="00114D08" w:rsidRDefault="005063E8" w:rsidP="00114D08">
      <w:pPr>
        <w:jc w:val="center"/>
      </w:pPr>
      <w:r w:rsidRPr="00114D08">
        <w:t>JUDGMENT</w:t>
      </w:r>
    </w:p>
    <w:p w:rsidR="00014566" w:rsidRPr="00114D08" w:rsidRDefault="00014566" w:rsidP="00114D08">
      <w:pPr>
        <w:jc w:val="center"/>
      </w:pPr>
    </w:p>
    <w:p w:rsidR="00014566" w:rsidRPr="00114D08" w:rsidRDefault="00014566" w:rsidP="00114D08">
      <w:pPr>
        <w:jc w:val="center"/>
      </w:pPr>
    </w:p>
    <w:p w:rsidR="00014566" w:rsidRPr="00114D08" w:rsidRDefault="00014566" w:rsidP="00114D08">
      <w:pPr>
        <w:jc w:val="center"/>
      </w:pPr>
    </w:p>
    <w:p w:rsidR="00B1731A" w:rsidRPr="00114D08" w:rsidRDefault="00B1731A" w:rsidP="00114D08">
      <w:pPr>
        <w:jc w:val="center"/>
      </w:pPr>
    </w:p>
    <w:p w:rsidR="00B1731A" w:rsidRPr="00114D08" w:rsidRDefault="00B1731A" w:rsidP="00114D08">
      <w:pPr>
        <w:jc w:val="center"/>
        <w:rPr>
          <w:szCs w:val="24"/>
        </w:rPr>
      </w:pPr>
      <w:r w:rsidRPr="00114D08">
        <w:rPr>
          <w:szCs w:val="24"/>
        </w:rPr>
        <w:t>STRASBOURG</w:t>
      </w:r>
    </w:p>
    <w:p w:rsidR="00B1731A" w:rsidRPr="00114D08" w:rsidRDefault="00B1731A" w:rsidP="00114D08">
      <w:pPr>
        <w:jc w:val="center"/>
        <w:rPr>
          <w:szCs w:val="24"/>
        </w:rPr>
      </w:pPr>
    </w:p>
    <w:p w:rsidR="00B1731A" w:rsidRPr="00114D08" w:rsidRDefault="005063E8" w:rsidP="00114D08">
      <w:pPr>
        <w:jc w:val="center"/>
        <w:rPr>
          <w:szCs w:val="24"/>
        </w:rPr>
      </w:pPr>
      <w:r w:rsidRPr="00114D08">
        <w:rPr>
          <w:szCs w:val="24"/>
        </w:rPr>
        <w:t>12 July 2018</w:t>
      </w:r>
    </w:p>
    <w:p w:rsidR="00B1731A" w:rsidRPr="00114D08" w:rsidRDefault="00B1731A" w:rsidP="00114D08">
      <w:pPr>
        <w:jc w:val="center"/>
        <w:rPr>
          <w:szCs w:val="24"/>
        </w:rPr>
      </w:pPr>
    </w:p>
    <w:p w:rsidR="00B1731A" w:rsidRPr="00114D08" w:rsidRDefault="00B1731A" w:rsidP="00114D08">
      <w:pPr>
        <w:jc w:val="center"/>
        <w:rPr>
          <w:szCs w:val="24"/>
        </w:rPr>
      </w:pPr>
    </w:p>
    <w:p w:rsidR="00013C28" w:rsidRPr="00114D08" w:rsidRDefault="00013C28" w:rsidP="00114D08">
      <w:pPr>
        <w:jc w:val="center"/>
        <w:rPr>
          <w:szCs w:val="24"/>
        </w:rPr>
      </w:pPr>
    </w:p>
    <w:p w:rsidR="00B1731A" w:rsidRPr="00114D08" w:rsidRDefault="005063E8" w:rsidP="00114D08">
      <w:pPr>
        <w:rPr>
          <w:i/>
          <w:sz w:val="22"/>
          <w:szCs w:val="24"/>
        </w:rPr>
      </w:pPr>
      <w:r w:rsidRPr="00114D08">
        <w:rPr>
          <w:i/>
          <w:sz w:val="22"/>
          <w:szCs w:val="24"/>
        </w:rPr>
        <w:t>This judgment is final bu</w:t>
      </w:r>
      <w:r w:rsidR="00B1731A" w:rsidRPr="00114D08">
        <w:rPr>
          <w:i/>
          <w:sz w:val="22"/>
          <w:szCs w:val="24"/>
        </w:rPr>
        <w:t>t it may be subject to editorial revision.</w:t>
      </w:r>
    </w:p>
    <w:p w:rsidR="005063E8" w:rsidRPr="00114D08" w:rsidRDefault="005063E8" w:rsidP="00114D08">
      <w:pPr>
        <w:sectPr w:rsidR="005063E8" w:rsidRPr="00114D08" w:rsidSect="00B1731A">
          <w:headerReference w:type="default" r:id="rId12"/>
          <w:headerReference w:type="first" r:id="rId13"/>
          <w:footerReference w:type="first" r:id="rId14"/>
          <w:footnotePr>
            <w:numRestart w:val="eachSect"/>
          </w:footnotePr>
          <w:pgSz w:w="11906" w:h="16838" w:code="9"/>
          <w:pgMar w:top="2274" w:right="2274" w:bottom="2274" w:left="2274" w:header="1701" w:footer="720" w:gutter="0"/>
          <w:pgNumType w:start="1"/>
          <w:cols w:space="720"/>
          <w:titlePg/>
          <w:docGrid w:linePitch="326"/>
        </w:sectPr>
      </w:pPr>
    </w:p>
    <w:p w:rsidR="00014566" w:rsidRPr="00114D08" w:rsidRDefault="00014566" w:rsidP="00114D08">
      <w:pPr>
        <w:pStyle w:val="JuCase"/>
        <w:ind w:firstLine="0"/>
        <w:rPr>
          <w:bCs/>
        </w:rPr>
      </w:pPr>
      <w:r w:rsidRPr="00114D08">
        <w:lastRenderedPageBreak/>
        <w:t xml:space="preserve">In the case of </w:t>
      </w:r>
      <w:r w:rsidR="00D268FB" w:rsidRPr="00114D08">
        <w:t>Wołosowicz v. Poland</w:t>
      </w:r>
      <w:r w:rsidRPr="00114D08">
        <w:t>,</w:t>
      </w:r>
    </w:p>
    <w:p w:rsidR="00014566" w:rsidRPr="00114D08" w:rsidRDefault="00014566" w:rsidP="00114D08">
      <w:pPr>
        <w:pStyle w:val="ECHRPara"/>
      </w:pPr>
      <w:r w:rsidRPr="00114D08">
        <w:t>The European Court of Human Rights (</w:t>
      </w:r>
      <w:r w:rsidR="00D268FB" w:rsidRPr="00114D08">
        <w:t>First Section</w:t>
      </w:r>
      <w:r w:rsidR="005063E8" w:rsidRPr="00114D08">
        <w:t xml:space="preserve">), sitting as </w:t>
      </w:r>
      <w:r w:rsidR="00114D08" w:rsidRPr="00114D08">
        <w:t xml:space="preserve">a </w:t>
      </w:r>
      <w:r w:rsidR="00D268FB" w:rsidRPr="00114D08">
        <w:t>Committee</w:t>
      </w:r>
      <w:r w:rsidRPr="00114D08">
        <w:t xml:space="preserve"> composed of:</w:t>
      </w:r>
    </w:p>
    <w:p w:rsidR="00014566" w:rsidRPr="00114D08" w:rsidRDefault="005063E8" w:rsidP="00114D08">
      <w:pPr>
        <w:pStyle w:val="ECHRDecisionBody"/>
      </w:pPr>
      <w:r w:rsidRPr="00114D08">
        <w:tab/>
        <w:t>Aleš Pejchal,</w:t>
      </w:r>
      <w:r w:rsidRPr="00114D08">
        <w:rPr>
          <w:i/>
        </w:rPr>
        <w:t xml:space="preserve"> President,</w:t>
      </w:r>
      <w:r w:rsidRPr="00114D08">
        <w:rPr>
          <w:i/>
        </w:rPr>
        <w:br/>
      </w:r>
      <w:r w:rsidRPr="00114D08">
        <w:tab/>
        <w:t>Armen Harutyunyan,</w:t>
      </w:r>
      <w:r w:rsidRPr="00114D08">
        <w:rPr>
          <w:i/>
        </w:rPr>
        <w:br/>
      </w:r>
      <w:r w:rsidRPr="00114D08">
        <w:tab/>
        <w:t>Jovan Ilievski,</w:t>
      </w:r>
      <w:r w:rsidRPr="00114D08">
        <w:rPr>
          <w:i/>
        </w:rPr>
        <w:t xml:space="preserve"> judges,</w:t>
      </w:r>
      <w:r w:rsidR="00014566" w:rsidRPr="00114D08">
        <w:rPr>
          <w:szCs w:val="24"/>
        </w:rPr>
        <w:br/>
      </w:r>
      <w:r w:rsidR="00014566" w:rsidRPr="00114D08">
        <w:t xml:space="preserve">and </w:t>
      </w:r>
      <w:r w:rsidR="002C13BA" w:rsidRPr="00114D08">
        <w:t>Abel Campos</w:t>
      </w:r>
      <w:r w:rsidR="00014566" w:rsidRPr="00114D08">
        <w:t xml:space="preserve">, </w:t>
      </w:r>
      <w:r w:rsidR="00D268FB" w:rsidRPr="00114D08">
        <w:rPr>
          <w:i/>
        </w:rPr>
        <w:t xml:space="preserve">Section </w:t>
      </w:r>
      <w:r w:rsidR="00D268FB" w:rsidRPr="00114D08">
        <w:rPr>
          <w:i/>
          <w:iCs/>
        </w:rPr>
        <w:t>Registrar</w:t>
      </w:r>
      <w:r w:rsidR="00014566" w:rsidRPr="00114D08">
        <w:rPr>
          <w:i/>
        </w:rPr>
        <w:t>,</w:t>
      </w:r>
    </w:p>
    <w:p w:rsidR="00014566" w:rsidRPr="00114D08" w:rsidRDefault="00014566" w:rsidP="00114D08">
      <w:pPr>
        <w:pStyle w:val="ECHRPara"/>
      </w:pPr>
      <w:r w:rsidRPr="00114D08">
        <w:t xml:space="preserve">Having deliberated in private on </w:t>
      </w:r>
      <w:r w:rsidR="005063E8" w:rsidRPr="00114D08">
        <w:t>19 June 2018</w:t>
      </w:r>
      <w:r w:rsidRPr="00114D08">
        <w:t>,</w:t>
      </w:r>
    </w:p>
    <w:p w:rsidR="00014566" w:rsidRPr="00114D08" w:rsidRDefault="00014566" w:rsidP="00114D08">
      <w:pPr>
        <w:pStyle w:val="ECHRPara"/>
      </w:pPr>
      <w:r w:rsidRPr="00114D08">
        <w:t>Delivers the following judgment, which was adopted on that date:</w:t>
      </w:r>
    </w:p>
    <w:p w:rsidR="00014566" w:rsidRPr="00114D08" w:rsidRDefault="00014566" w:rsidP="00114D08">
      <w:pPr>
        <w:pStyle w:val="ECHRTitle1"/>
      </w:pPr>
      <w:r w:rsidRPr="00114D08">
        <w:t>PROCEDURE</w:t>
      </w:r>
    </w:p>
    <w:p w:rsidR="00E124A1" w:rsidRPr="00114D08" w:rsidRDefault="00D268FB"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1</w:t>
      </w:r>
      <w:r w:rsidRPr="00114D08">
        <w:fldChar w:fldCharType="end"/>
      </w:r>
      <w:r w:rsidR="00014566" w:rsidRPr="00114D08">
        <w:t xml:space="preserve">.  The case originated in </w:t>
      </w:r>
      <w:r w:rsidRPr="00114D08">
        <w:t>an application (no. 11757/15)</w:t>
      </w:r>
      <w:r w:rsidR="00014566" w:rsidRPr="00114D08">
        <w:t xml:space="preserve"> against </w:t>
      </w:r>
      <w:r w:rsidRPr="00114D08">
        <w:t>the Republic of Poland</w:t>
      </w:r>
      <w:r w:rsidR="00014566" w:rsidRPr="00114D08">
        <w:t xml:space="preserve"> lodged with the </w:t>
      </w:r>
      <w:r w:rsidRPr="00114D08">
        <w:t>Court under Article 34</w:t>
      </w:r>
      <w:r w:rsidR="00014566" w:rsidRPr="00114D08">
        <w:t xml:space="preserve"> of the Convention for the Protection of Human Rights and Fundamental Freedoms (“the Convention”) by </w:t>
      </w:r>
      <w:r w:rsidR="00114D08" w:rsidRPr="00114D08">
        <w:t xml:space="preserve">a </w:t>
      </w:r>
      <w:r w:rsidRPr="00114D08">
        <w:t>Polish national, Mr Arkadiusz Wołosowicz (“the applicant”), on 8 April 2015</w:t>
      </w:r>
      <w:r w:rsidR="00014566" w:rsidRPr="00114D08">
        <w:t>.</w:t>
      </w:r>
    </w:p>
    <w:p w:rsidR="00D268FB" w:rsidRPr="00114D08" w:rsidRDefault="00D268FB"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2</w:t>
      </w:r>
      <w:r w:rsidRPr="00114D08">
        <w:fldChar w:fldCharType="end"/>
      </w:r>
      <w:r w:rsidR="00014566" w:rsidRPr="00114D08">
        <w:t xml:space="preserve">.  The </w:t>
      </w:r>
      <w:r w:rsidRPr="00114D08">
        <w:t>Polish</w:t>
      </w:r>
      <w:r w:rsidR="00014566" w:rsidRPr="00114D08">
        <w:t xml:space="preserve"> Government (“the Government”) </w:t>
      </w:r>
      <w:r w:rsidRPr="00114D08">
        <w:t>were represented by their Agent, Ms Justyn</w:t>
      </w:r>
      <w:r w:rsidR="00114D08" w:rsidRPr="00114D08">
        <w:t xml:space="preserve">a </w:t>
      </w:r>
      <w:r w:rsidRPr="00114D08">
        <w:t>Chrzanowsk</w:t>
      </w:r>
      <w:r w:rsidR="00114D08" w:rsidRPr="00114D08">
        <w:t xml:space="preserve">a </w:t>
      </w:r>
      <w:r w:rsidRPr="00114D08">
        <w:t>of the Ministry of Foreign Affairs</w:t>
      </w:r>
      <w:r w:rsidR="00014566" w:rsidRPr="00114D08">
        <w:t>.</w:t>
      </w:r>
    </w:p>
    <w:p w:rsidR="00014566" w:rsidRPr="00114D08" w:rsidRDefault="00D268FB"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3</w:t>
      </w:r>
      <w:r w:rsidRPr="00114D08">
        <w:fldChar w:fldCharType="end"/>
      </w:r>
      <w:r w:rsidR="00014566" w:rsidRPr="00114D08">
        <w:t>.  </w:t>
      </w:r>
      <w:r w:rsidRPr="00114D08">
        <w:t xml:space="preserve">On </w:t>
      </w:r>
      <w:r w:rsidRPr="00114D08">
        <w:rPr>
          <w:szCs w:val="24"/>
        </w:rPr>
        <w:t>4 October 2016</w:t>
      </w:r>
      <w:r w:rsidR="00014566" w:rsidRPr="00114D08">
        <w:t xml:space="preserve"> the </w:t>
      </w:r>
      <w:r w:rsidRPr="00114D08">
        <w:t>complaint concerning conditions of detention was communicated to the Government and the remainder of the application was declared inadmissible</w:t>
      </w:r>
      <w:r w:rsidRPr="00114D08">
        <w:rPr>
          <w:szCs w:val="24"/>
        </w:rPr>
        <w:t xml:space="preserve"> </w:t>
      </w:r>
      <w:r w:rsidRPr="00114D08">
        <w:t>pursuant to Rule 54 § 3 of the Rules of Court</w:t>
      </w:r>
      <w:r w:rsidR="007509D5" w:rsidRPr="00114D08">
        <w:t>.</w:t>
      </w:r>
    </w:p>
    <w:p w:rsidR="00014566" w:rsidRPr="00114D08" w:rsidRDefault="00014566" w:rsidP="00114D08">
      <w:pPr>
        <w:pStyle w:val="ECHRTitle1"/>
      </w:pPr>
      <w:r w:rsidRPr="00114D08">
        <w:t>THE FACTS</w:t>
      </w:r>
    </w:p>
    <w:p w:rsidR="00014566" w:rsidRPr="00114D08" w:rsidRDefault="00014566" w:rsidP="00114D08">
      <w:pPr>
        <w:pStyle w:val="ECHRHeading1"/>
      </w:pPr>
      <w:r w:rsidRPr="00114D08">
        <w:t>I.  THE CIRCUMSTANCES OF THE CASE</w:t>
      </w:r>
    </w:p>
    <w:p w:rsidR="00014566" w:rsidRPr="00114D08" w:rsidRDefault="00D268FB"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4</w:t>
      </w:r>
      <w:r w:rsidRPr="00114D08">
        <w:fldChar w:fldCharType="end"/>
      </w:r>
      <w:r w:rsidR="00014566" w:rsidRPr="00114D08">
        <w:t xml:space="preserve">.  The </w:t>
      </w:r>
      <w:r w:rsidRPr="00114D08">
        <w:t xml:space="preserve">applicant was born in 1976 and </w:t>
      </w:r>
      <w:r w:rsidR="00FA4B77" w:rsidRPr="00114D08">
        <w:t>lives</w:t>
      </w:r>
      <w:r w:rsidR="00014566" w:rsidRPr="00114D08">
        <w:t xml:space="preserve"> </w:t>
      </w:r>
      <w:r w:rsidR="00FA4B77" w:rsidRPr="00114D08">
        <w:t>in Bielsk Podlaski</w:t>
      </w:r>
      <w:r w:rsidR="00014566" w:rsidRPr="00114D08">
        <w:t>.</w:t>
      </w:r>
    </w:p>
    <w:p w:rsidR="00014566" w:rsidRPr="00114D08" w:rsidRDefault="00D268FB"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5</w:t>
      </w:r>
      <w:r w:rsidRPr="00114D08">
        <w:fldChar w:fldCharType="end"/>
      </w:r>
      <w:r w:rsidR="00014566" w:rsidRPr="00114D08">
        <w:t>.  </w:t>
      </w:r>
      <w:r w:rsidRPr="00114D08">
        <w:t>The facts of the case were not in dispute and may be summarised as follows.</w:t>
      </w:r>
    </w:p>
    <w:p w:rsidR="00D268FB" w:rsidRPr="00114D08" w:rsidRDefault="00E47EA3" w:rsidP="00114D08">
      <w:pPr>
        <w:pStyle w:val="ECHRHeading2"/>
      </w:pPr>
      <w:r w:rsidRPr="00114D08">
        <w:t>A</w:t>
      </w:r>
      <w:r w:rsidR="00D268FB" w:rsidRPr="00114D08">
        <w:t>.</w:t>
      </w:r>
      <w:r w:rsidR="004F5837" w:rsidRPr="00114D08">
        <w:t>  </w:t>
      </w:r>
      <w:r w:rsidR="00D268FB" w:rsidRPr="00114D08">
        <w:t>The period of the applicant</w:t>
      </w:r>
      <w:r w:rsidR="00114D08" w:rsidRPr="00114D08">
        <w:t>’</w:t>
      </w:r>
      <w:r w:rsidR="00D268FB" w:rsidRPr="00114D08">
        <w:t>s detention</w:t>
      </w:r>
    </w:p>
    <w:p w:rsidR="00D268FB" w:rsidRPr="00114D08" w:rsidRDefault="00D268FB"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6</w:t>
      </w:r>
      <w:r w:rsidRPr="00114D08">
        <w:fldChar w:fldCharType="end"/>
      </w:r>
      <w:r w:rsidRPr="00114D08">
        <w:t>.  The applicant was detained in Siedlce Prison from</w:t>
      </w:r>
      <w:r w:rsidR="00736A25" w:rsidRPr="00114D08">
        <w:t xml:space="preserve"> 26 January to 19</w:t>
      </w:r>
      <w:r w:rsidR="00653FB0" w:rsidRPr="00114D08">
        <w:t> </w:t>
      </w:r>
      <w:r w:rsidR="00736A25" w:rsidRPr="00114D08">
        <w:t>April 2007 and from 15 July to 15 October 2009.</w:t>
      </w:r>
    </w:p>
    <w:p w:rsidR="00640648" w:rsidRPr="00114D08" w:rsidRDefault="00E47EA3" w:rsidP="00114D08">
      <w:pPr>
        <w:pStyle w:val="ECHRHeading2"/>
      </w:pPr>
      <w:r w:rsidRPr="00114D08">
        <w:t>B</w:t>
      </w:r>
      <w:r w:rsidR="00640648" w:rsidRPr="00114D08">
        <w:t>.</w:t>
      </w:r>
      <w:r w:rsidR="004F5837" w:rsidRPr="00114D08">
        <w:t>  </w:t>
      </w:r>
      <w:r w:rsidR="00640648" w:rsidRPr="00114D08">
        <w:t>The conditions of the applicant</w:t>
      </w:r>
      <w:r w:rsidR="00114D08" w:rsidRPr="00114D08">
        <w:t>’</w:t>
      </w:r>
      <w:r w:rsidR="00640648" w:rsidRPr="00114D08">
        <w:t>s detention</w:t>
      </w:r>
    </w:p>
    <w:p w:rsidR="00640648" w:rsidRPr="00114D08" w:rsidRDefault="00640648"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7</w:t>
      </w:r>
      <w:r w:rsidRPr="00114D08">
        <w:fldChar w:fldCharType="end"/>
      </w:r>
      <w:r w:rsidRPr="00114D08">
        <w:t>.  The applicant submitted that</w:t>
      </w:r>
      <w:r w:rsidR="00E170E2" w:rsidRPr="00114D08">
        <w:t>,</w:t>
      </w:r>
      <w:r w:rsidRPr="00114D08">
        <w:t xml:space="preserve"> during his detention in Siedlce Prison</w:t>
      </w:r>
      <w:r w:rsidR="00E170E2" w:rsidRPr="00114D08">
        <w:t>,</w:t>
      </w:r>
      <w:r w:rsidRPr="00114D08">
        <w:t xml:space="preserve"> he had been </w:t>
      </w:r>
      <w:r w:rsidR="001F2E06" w:rsidRPr="00114D08">
        <w:t>held in</w:t>
      </w:r>
      <w:r w:rsidRPr="00114D08">
        <w:t xml:space="preserve"> cells </w:t>
      </w:r>
      <w:r w:rsidR="001F2E06" w:rsidRPr="00114D08">
        <w:t>where</w:t>
      </w:r>
      <w:r w:rsidRPr="00114D08">
        <w:t xml:space="preserve"> the </w:t>
      </w:r>
      <w:r w:rsidR="00E170E2" w:rsidRPr="00114D08">
        <w:t xml:space="preserve">amount of </w:t>
      </w:r>
      <w:r w:rsidRPr="00114D08">
        <w:t xml:space="preserve">space per person had been </w:t>
      </w:r>
      <w:r w:rsidRPr="00114D08">
        <w:lastRenderedPageBreak/>
        <w:t>below the Polish statutory minimum standard of 3 m².</w:t>
      </w:r>
      <w:r w:rsidR="00E124A1" w:rsidRPr="00114D08">
        <w:t xml:space="preserve"> </w:t>
      </w:r>
      <w:r w:rsidRPr="00114D08">
        <w:t xml:space="preserve">He </w:t>
      </w:r>
      <w:r w:rsidR="001F2E06" w:rsidRPr="00114D08">
        <w:t xml:space="preserve">also </w:t>
      </w:r>
      <w:r w:rsidRPr="00114D08">
        <w:t>su</w:t>
      </w:r>
      <w:r w:rsidR="001F2E06" w:rsidRPr="00114D08">
        <w:t>b</w:t>
      </w:r>
      <w:r w:rsidRPr="00114D08">
        <w:t>mit</w:t>
      </w:r>
      <w:r w:rsidR="001F2E06" w:rsidRPr="00114D08">
        <w:t>t</w:t>
      </w:r>
      <w:r w:rsidRPr="00114D08">
        <w:t xml:space="preserve">ed that he </w:t>
      </w:r>
      <w:r w:rsidR="001F2E06" w:rsidRPr="00114D08">
        <w:t>had been</w:t>
      </w:r>
      <w:r w:rsidRPr="00114D08">
        <w:t xml:space="preserve"> held in cells with smokers. Moreover</w:t>
      </w:r>
      <w:r w:rsidR="00653FB0" w:rsidRPr="00114D08">
        <w:t>,</w:t>
      </w:r>
      <w:r w:rsidRPr="00114D08">
        <w:t xml:space="preserve"> he raised the problems of humidity, lack of hygiene </w:t>
      </w:r>
      <w:r w:rsidR="0037256E" w:rsidRPr="00114D08">
        <w:t xml:space="preserve">and </w:t>
      </w:r>
      <w:r w:rsidRPr="00114D08">
        <w:t>warm water and limited access to</w:t>
      </w:r>
      <w:r w:rsidR="001F2E06" w:rsidRPr="00114D08">
        <w:t xml:space="preserve"> make</w:t>
      </w:r>
      <w:r w:rsidRPr="00114D08">
        <w:t xml:space="preserve"> </w:t>
      </w:r>
      <w:r w:rsidR="001F2E06" w:rsidRPr="00114D08">
        <w:t>tele</w:t>
      </w:r>
      <w:r w:rsidRPr="00114D08">
        <w:t>phone</w:t>
      </w:r>
      <w:r w:rsidR="0037256E" w:rsidRPr="00114D08">
        <w:t xml:space="preserve"> </w:t>
      </w:r>
      <w:r w:rsidRPr="00114D08">
        <w:t>calls.</w:t>
      </w:r>
    </w:p>
    <w:p w:rsidR="00640648" w:rsidRPr="00114D08" w:rsidRDefault="00640648"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8</w:t>
      </w:r>
      <w:r w:rsidRPr="00114D08">
        <w:fldChar w:fldCharType="end"/>
      </w:r>
      <w:r w:rsidRPr="00114D08">
        <w:t xml:space="preserve">.  The domestic courts found that the applicant had been detained in an overcrowded cell during his </w:t>
      </w:r>
      <w:r w:rsidR="00FA4B77" w:rsidRPr="00114D08">
        <w:t xml:space="preserve">detention </w:t>
      </w:r>
      <w:r w:rsidRPr="00114D08">
        <w:t>in Siedlce Prison from 15 July to 15</w:t>
      </w:r>
      <w:r w:rsidR="00653FB0" w:rsidRPr="00114D08">
        <w:t> </w:t>
      </w:r>
      <w:r w:rsidRPr="00114D08">
        <w:t>October 2009</w:t>
      </w:r>
      <w:r w:rsidR="00736A25" w:rsidRPr="00114D08">
        <w:t xml:space="preserve"> (91 days)</w:t>
      </w:r>
      <w:r w:rsidRPr="00114D08">
        <w:t>, when he had been as</w:t>
      </w:r>
      <w:r w:rsidR="00AA3258" w:rsidRPr="00114D08">
        <w:t>signed to cell no. </w:t>
      </w:r>
      <w:r w:rsidR="00653FB0" w:rsidRPr="00114D08">
        <w:t>616 (15</w:t>
      </w:r>
      <w:r w:rsidR="001F2E06" w:rsidRPr="00114D08">
        <w:t>.</w:t>
      </w:r>
      <w:r w:rsidR="00653FB0" w:rsidRPr="00114D08">
        <w:t>94 m²</w:t>
      </w:r>
      <w:r w:rsidRPr="00114D08">
        <w:t>) with 5 other prisoners (2.65 m² per person).</w:t>
      </w:r>
    </w:p>
    <w:p w:rsidR="00640648" w:rsidRPr="00114D08" w:rsidRDefault="00640648"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9</w:t>
      </w:r>
      <w:r w:rsidRPr="00114D08">
        <w:fldChar w:fldCharType="end"/>
      </w:r>
      <w:r w:rsidRPr="00114D08">
        <w:t xml:space="preserve">.  The courts </w:t>
      </w:r>
      <w:r w:rsidR="0087666F" w:rsidRPr="00114D08">
        <w:t xml:space="preserve">further </w:t>
      </w:r>
      <w:r w:rsidRPr="00114D08">
        <w:t xml:space="preserve">found that the toilet areas had been separated from the rest of the living space in the cells in compliance with the relevant law. The toilet annex had only cold running water. It was further noted that the cells were adequately equipped. The applicant was </w:t>
      </w:r>
      <w:r w:rsidR="001F2E06" w:rsidRPr="00114D08">
        <w:t>held in</w:t>
      </w:r>
      <w:r w:rsidRPr="00114D08">
        <w:t xml:space="preserve"> cells in accordance with his declaration about his tobacco habits.</w:t>
      </w:r>
    </w:p>
    <w:p w:rsidR="00640648" w:rsidRPr="00114D08" w:rsidRDefault="00E47EA3" w:rsidP="00114D08">
      <w:pPr>
        <w:pStyle w:val="ECHRHeading2"/>
      </w:pPr>
      <w:r w:rsidRPr="00114D08">
        <w:t>C</w:t>
      </w:r>
      <w:r w:rsidR="00640648" w:rsidRPr="00114D08">
        <w:t>.</w:t>
      </w:r>
      <w:r w:rsidR="004F5837" w:rsidRPr="00114D08">
        <w:t>  </w:t>
      </w:r>
      <w:r w:rsidR="00640648" w:rsidRPr="00114D08">
        <w:t>Civil proceedings against the State Treasury</w:t>
      </w:r>
    </w:p>
    <w:p w:rsidR="00640648" w:rsidRPr="00114D08" w:rsidRDefault="00640648"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10</w:t>
      </w:r>
      <w:r w:rsidRPr="00114D08">
        <w:fldChar w:fldCharType="end"/>
      </w:r>
      <w:r w:rsidRPr="00114D08">
        <w:t xml:space="preserve">.  On 13 July 2013 the applicant brought </w:t>
      </w:r>
      <w:r w:rsidR="00114D08" w:rsidRPr="00114D08">
        <w:t xml:space="preserve">a </w:t>
      </w:r>
      <w:r w:rsidRPr="00114D08">
        <w:t>civil action against the State Treasury for infringement of his personal rights and for compensation on account of his detention in an over</w:t>
      </w:r>
      <w:r w:rsidR="0087666F" w:rsidRPr="00114D08">
        <w:t xml:space="preserve">crowded cell in Siedlce Prison. </w:t>
      </w:r>
      <w:r w:rsidRPr="00114D08">
        <w:t>He</w:t>
      </w:r>
      <w:r w:rsidR="004F5837" w:rsidRPr="00114D08">
        <w:t xml:space="preserve"> </w:t>
      </w:r>
      <w:r w:rsidRPr="00114D08">
        <w:t>claimed 43,0</w:t>
      </w:r>
      <w:r w:rsidR="00210780" w:rsidRPr="00114D08">
        <w:t xml:space="preserve">00 Polish zlotys </w:t>
      </w:r>
      <w:r w:rsidR="00A852A3" w:rsidRPr="00114D08">
        <w:t xml:space="preserve">(PLN) </w:t>
      </w:r>
      <w:r w:rsidR="00210780" w:rsidRPr="00114D08">
        <w:t>(</w:t>
      </w:r>
      <w:r w:rsidRPr="00114D08">
        <w:t>10,750 euros (EUR)) in compensation.</w:t>
      </w:r>
    </w:p>
    <w:p w:rsidR="00640648" w:rsidRPr="00114D08" w:rsidRDefault="00640648"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11</w:t>
      </w:r>
      <w:r w:rsidRPr="00114D08">
        <w:fldChar w:fldCharType="end"/>
      </w:r>
      <w:r w:rsidRPr="00114D08">
        <w:t xml:space="preserve">.  On 30 May 2014 the Siedlce District Court </w:t>
      </w:r>
      <w:r w:rsidRPr="00114D08">
        <w:rPr>
          <w:i/>
        </w:rPr>
        <w:t>(Sąd Rejonowy)</w:t>
      </w:r>
      <w:r w:rsidRPr="00114D08">
        <w:t xml:space="preserve"> dismissed the applicant</w:t>
      </w:r>
      <w:r w:rsidR="00114D08" w:rsidRPr="00114D08">
        <w:t>’</w:t>
      </w:r>
      <w:r w:rsidRPr="00114D08">
        <w:t>s action. It confirmed</w:t>
      </w:r>
      <w:r w:rsidR="001F2E06" w:rsidRPr="00114D08">
        <w:t>,</w:t>
      </w:r>
      <w:r w:rsidRPr="00114D08">
        <w:t xml:space="preserve"> however</w:t>
      </w:r>
      <w:r w:rsidR="001F2E06" w:rsidRPr="00114D08">
        <w:t>,</w:t>
      </w:r>
      <w:r w:rsidRPr="00114D08">
        <w:t xml:space="preserve"> that the applicant had been detained</w:t>
      </w:r>
      <w:r w:rsidR="00A17F36" w:rsidRPr="00114D08">
        <w:t xml:space="preserve"> temporarily</w:t>
      </w:r>
      <w:r w:rsidRPr="00114D08">
        <w:t xml:space="preserve"> in an overcrowded cell</w:t>
      </w:r>
      <w:r w:rsidR="00A17F36" w:rsidRPr="00114D08">
        <w:t>, from 15 July to 15 October 2009</w:t>
      </w:r>
      <w:r w:rsidRPr="00114D08">
        <w:t>.</w:t>
      </w:r>
    </w:p>
    <w:p w:rsidR="00640648" w:rsidRPr="00114D08" w:rsidRDefault="00640648"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12</w:t>
      </w:r>
      <w:r w:rsidRPr="00114D08">
        <w:fldChar w:fldCharType="end"/>
      </w:r>
      <w:r w:rsidRPr="00114D08">
        <w:t xml:space="preserve">.  On 17 February 2015 the Siedlce Regional Court </w:t>
      </w:r>
      <w:r w:rsidRPr="00114D08">
        <w:rPr>
          <w:i/>
        </w:rPr>
        <w:t>(Sąd Okręgowy)</w:t>
      </w:r>
      <w:r w:rsidRPr="00114D08">
        <w:t xml:space="preserve"> dismissed the applicant</w:t>
      </w:r>
      <w:r w:rsidR="00114D08" w:rsidRPr="00114D08">
        <w:t>’</w:t>
      </w:r>
      <w:r w:rsidRPr="00114D08">
        <w:t>s appeal.</w:t>
      </w:r>
    </w:p>
    <w:p w:rsidR="00014566" w:rsidRPr="00114D08" w:rsidRDefault="00014566" w:rsidP="00114D08">
      <w:pPr>
        <w:pStyle w:val="ECHRHeading1"/>
      </w:pPr>
      <w:r w:rsidRPr="00114D08">
        <w:t>II.</w:t>
      </w:r>
      <w:r w:rsidR="00DC634D" w:rsidRPr="00114D08">
        <w:t> </w:t>
      </w:r>
      <w:r w:rsidR="004F5837" w:rsidRPr="00114D08">
        <w:t> </w:t>
      </w:r>
      <w:r w:rsidR="00DC634D" w:rsidRPr="00114D08">
        <w:t>RELEVANT</w:t>
      </w:r>
      <w:r w:rsidRPr="00114D08">
        <w:t xml:space="preserve"> DOMESTIC LAW AND PRACTICE</w:t>
      </w:r>
    </w:p>
    <w:p w:rsidR="00014566" w:rsidRPr="00114D08" w:rsidRDefault="00D268FB"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13</w:t>
      </w:r>
      <w:r w:rsidRPr="00114D08">
        <w:fldChar w:fldCharType="end"/>
      </w:r>
      <w:r w:rsidR="00014566" w:rsidRPr="00114D08">
        <w:t>.  </w:t>
      </w:r>
      <w:r w:rsidR="00114D08" w:rsidRPr="00114D08">
        <w:t xml:space="preserve">A </w:t>
      </w:r>
      <w:r w:rsidR="00640648" w:rsidRPr="00114D08">
        <w:t>detailed description of the relevant domestic law and practice concerning general rules governing the conditions of detention in Poland</w:t>
      </w:r>
      <w:r w:rsidR="00A17F36" w:rsidRPr="00114D08">
        <w:t>,</w:t>
      </w:r>
      <w:r w:rsidR="00640648" w:rsidRPr="00114D08">
        <w:t xml:space="preserve"> and domestic remedies available to detainees alleging that the conditions of their detention were inadequate</w:t>
      </w:r>
      <w:r w:rsidR="00A17F36" w:rsidRPr="00114D08">
        <w:t>,</w:t>
      </w:r>
      <w:r w:rsidR="00640648" w:rsidRPr="00114D08">
        <w:t xml:space="preserve"> </w:t>
      </w:r>
      <w:r w:rsidR="00E170E2" w:rsidRPr="00114D08">
        <w:t>is</w:t>
      </w:r>
      <w:r w:rsidR="00640648" w:rsidRPr="00114D08">
        <w:t xml:space="preserve"> set out in the Court</w:t>
      </w:r>
      <w:r w:rsidR="00114D08" w:rsidRPr="00114D08">
        <w:t>’</w:t>
      </w:r>
      <w:r w:rsidR="00640648" w:rsidRPr="00114D08">
        <w:t xml:space="preserve">s pilot judgments in the cases of </w:t>
      </w:r>
      <w:r w:rsidR="00640648" w:rsidRPr="00114D08">
        <w:rPr>
          <w:i/>
        </w:rPr>
        <w:t>Orchowski v. Poland</w:t>
      </w:r>
      <w:r w:rsidR="00640648" w:rsidRPr="00114D08">
        <w:t xml:space="preserve"> (no. 17885/04) and </w:t>
      </w:r>
      <w:r w:rsidR="00640648" w:rsidRPr="00114D08">
        <w:rPr>
          <w:i/>
        </w:rPr>
        <w:t>Norbert Sikors</w:t>
      </w:r>
      <w:r w:rsidR="00AA3258" w:rsidRPr="00114D08">
        <w:rPr>
          <w:i/>
        </w:rPr>
        <w:t>ki v. </w:t>
      </w:r>
      <w:r w:rsidR="00640648" w:rsidRPr="00114D08">
        <w:rPr>
          <w:i/>
        </w:rPr>
        <w:t>Poland</w:t>
      </w:r>
      <w:r w:rsidR="00640648" w:rsidRPr="00114D08">
        <w:t xml:space="preserve"> (no. 17599/05) adopted on 22 October 2009 (see §§ 75</w:t>
      </w:r>
      <w:r w:rsidR="00A17F36" w:rsidRPr="00114D08">
        <w:t>-</w:t>
      </w:r>
      <w:r w:rsidR="00640648" w:rsidRPr="00114D08">
        <w:t>85 and §§</w:t>
      </w:r>
      <w:r w:rsidR="00A17F36" w:rsidRPr="00114D08">
        <w:t> </w:t>
      </w:r>
      <w:r w:rsidR="00640648" w:rsidRPr="00114D08">
        <w:t>45</w:t>
      </w:r>
      <w:r w:rsidR="00A17F36" w:rsidRPr="00114D08">
        <w:t>-</w:t>
      </w:r>
      <w:r w:rsidR="00640648" w:rsidRPr="00114D08">
        <w:t>88 respectively). More recent developments are described in the Court</w:t>
      </w:r>
      <w:r w:rsidR="00114D08" w:rsidRPr="00114D08">
        <w:t>’</w:t>
      </w:r>
      <w:r w:rsidR="00640648" w:rsidRPr="00114D08">
        <w:t xml:space="preserve">s decision in the case of </w:t>
      </w:r>
      <w:r w:rsidR="00640648" w:rsidRPr="00114D08">
        <w:rPr>
          <w:i/>
        </w:rPr>
        <w:t>Łatak v. Poland</w:t>
      </w:r>
      <w:r w:rsidR="00640648" w:rsidRPr="00114D08">
        <w:t xml:space="preserve"> (no. 52070/08, 12</w:t>
      </w:r>
      <w:r w:rsidR="00AA3258" w:rsidRPr="00114D08">
        <w:t> </w:t>
      </w:r>
      <w:r w:rsidR="00640648" w:rsidRPr="00114D08">
        <w:t>October 2010, §§</w:t>
      </w:r>
      <w:r w:rsidR="00653FB0" w:rsidRPr="00114D08">
        <w:t> </w:t>
      </w:r>
      <w:r w:rsidR="00640648" w:rsidRPr="00114D08">
        <w:t>25-54).</w:t>
      </w:r>
    </w:p>
    <w:p w:rsidR="00014566" w:rsidRPr="00114D08" w:rsidRDefault="00014566" w:rsidP="00114D08">
      <w:pPr>
        <w:pStyle w:val="ECHRTitle1"/>
      </w:pPr>
      <w:r w:rsidRPr="00114D08">
        <w:t>THE LAW</w:t>
      </w:r>
    </w:p>
    <w:p w:rsidR="00E124A1" w:rsidRPr="00114D08" w:rsidRDefault="00014566" w:rsidP="00114D08">
      <w:pPr>
        <w:pStyle w:val="ECHRHeading1"/>
      </w:pPr>
      <w:r w:rsidRPr="00114D08">
        <w:t>I.  </w:t>
      </w:r>
      <w:r w:rsidR="00EA0188" w:rsidRPr="00114D08">
        <w:t>THE GOVERNMENT</w:t>
      </w:r>
      <w:r w:rsidR="00114D08" w:rsidRPr="00114D08">
        <w:t>’</w:t>
      </w:r>
      <w:r w:rsidR="00EA0188" w:rsidRPr="00114D08">
        <w:t>S REQUEST FOR THE APPLICATION TO BE STRUCK OUT UNDER ARTICLE 37 OF THE CONVENTION</w:t>
      </w:r>
    </w:p>
    <w:p w:rsidR="00EA0188" w:rsidRPr="00114D08" w:rsidRDefault="00EA0188"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14</w:t>
      </w:r>
      <w:r w:rsidRPr="00114D08">
        <w:fldChar w:fldCharType="end"/>
      </w:r>
      <w:r w:rsidRPr="00114D08">
        <w:t xml:space="preserve">.  On 20 February 2017 the Government submitted </w:t>
      </w:r>
      <w:r w:rsidR="00114D08" w:rsidRPr="00114D08">
        <w:t xml:space="preserve">a </w:t>
      </w:r>
      <w:r w:rsidRPr="00114D08">
        <w:t xml:space="preserve">unilateral declaration similar to that in the case of </w:t>
      </w:r>
      <w:r w:rsidRPr="00114D08">
        <w:rPr>
          <w:i/>
        </w:rPr>
        <w:t>Tahsin Acar v. Turkey</w:t>
      </w:r>
      <w:r w:rsidRPr="00114D08">
        <w:t xml:space="preserve"> (</w:t>
      </w:r>
      <w:r w:rsidRPr="00114D08">
        <w:rPr>
          <w:i/>
        </w:rPr>
        <w:t>Tahsin Acar v.</w:t>
      </w:r>
      <w:r w:rsidR="004F5837" w:rsidRPr="00114D08">
        <w:rPr>
          <w:i/>
        </w:rPr>
        <w:t> </w:t>
      </w:r>
      <w:r w:rsidRPr="00114D08">
        <w:rPr>
          <w:i/>
        </w:rPr>
        <w:t>Turkey</w:t>
      </w:r>
      <w:r w:rsidRPr="00114D08">
        <w:t xml:space="preserve"> (preliminary objection) [GC], no. 26307/95, ECHR 2003</w:t>
      </w:r>
      <w:r w:rsidRPr="00114D08">
        <w:rPr>
          <w:rFonts w:ascii="MS Mincho" w:eastAsia="MS Mincho" w:hAnsi="MS Mincho" w:cs="MS Mincho"/>
        </w:rPr>
        <w:t>‑</w:t>
      </w:r>
      <w:r w:rsidRPr="00114D08">
        <w:t>VI)</w:t>
      </w:r>
      <w:r w:rsidR="0009437C" w:rsidRPr="00114D08">
        <w:t xml:space="preserve">. They </w:t>
      </w:r>
      <w:r w:rsidRPr="00114D08">
        <w:t xml:space="preserve">informed the Court that they were ready to accept that there had been </w:t>
      </w:r>
      <w:r w:rsidR="00114D08" w:rsidRPr="00114D08">
        <w:t xml:space="preserve">a </w:t>
      </w:r>
      <w:r w:rsidRPr="00114D08">
        <w:t>violation of the applicant</w:t>
      </w:r>
      <w:r w:rsidR="00114D08" w:rsidRPr="00114D08">
        <w:t>’</w:t>
      </w:r>
      <w:r w:rsidRPr="00114D08">
        <w:t>s right under Article 3 of the Convention as regards the overcrowded detention conditions</w:t>
      </w:r>
      <w:r w:rsidR="00CF416C" w:rsidRPr="00114D08">
        <w:t xml:space="preserve"> and proposed an amount that they were prepared to pay for non-pecuniary damage sustained by the applicant</w:t>
      </w:r>
      <w:r w:rsidRPr="00114D08">
        <w:t>. The Government invited the Court to strike out the application in accordance with Article 37 of the Convention.</w:t>
      </w:r>
    </w:p>
    <w:p w:rsidR="00EA0188" w:rsidRPr="00114D08" w:rsidRDefault="00EA0188"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15</w:t>
      </w:r>
      <w:r w:rsidRPr="00114D08">
        <w:fldChar w:fldCharType="end"/>
      </w:r>
      <w:r w:rsidRPr="00114D08">
        <w:t>.  The applicant did not agree with the Government</w:t>
      </w:r>
      <w:r w:rsidR="00114D08" w:rsidRPr="00114D08">
        <w:t>’</w:t>
      </w:r>
      <w:r w:rsidRPr="00114D08">
        <w:t xml:space="preserve">s proposal. </w:t>
      </w:r>
      <w:r w:rsidR="00736A25" w:rsidRPr="00114D08">
        <w:t xml:space="preserve">He </w:t>
      </w:r>
      <w:r w:rsidRPr="00114D08">
        <w:t xml:space="preserve">submitted that the amount proposed did not constitute sufficient just satisfaction for the damage </w:t>
      </w:r>
      <w:r w:rsidR="00653FB0" w:rsidRPr="00114D08">
        <w:t>he</w:t>
      </w:r>
      <w:r w:rsidRPr="00114D08">
        <w:t xml:space="preserve"> had sustained and requested the Court to continue the examination of the application.</w:t>
      </w:r>
    </w:p>
    <w:p w:rsidR="00EA0188" w:rsidRPr="00114D08" w:rsidRDefault="00EA0188"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16</w:t>
      </w:r>
      <w:r w:rsidRPr="00114D08">
        <w:fldChar w:fldCharType="end"/>
      </w:r>
      <w:r w:rsidRPr="00114D08">
        <w:t xml:space="preserve">.  The Court observes that, as it has already held on many occasions, it may be appropriate under certain circumstances to strike out an application or part thereof under Article 37 § 1 (c) of the Convention on the basis of </w:t>
      </w:r>
      <w:r w:rsidR="00114D08" w:rsidRPr="00114D08">
        <w:t xml:space="preserve">a </w:t>
      </w:r>
      <w:r w:rsidRPr="00114D08">
        <w:t>unilateral declaration by the respondent Government</w:t>
      </w:r>
      <w:r w:rsidR="00E170E2" w:rsidRPr="00114D08">
        <w:t>,</w:t>
      </w:r>
      <w:r w:rsidRPr="00114D08">
        <w:t xml:space="preserve"> even if the applicant wishes the examination of the case to be continued. It will depend on the particular circumstances whether the unilateral declaration offers </w:t>
      </w:r>
      <w:r w:rsidR="00114D08" w:rsidRPr="00114D08">
        <w:t xml:space="preserve">a </w:t>
      </w:r>
      <w:r w:rsidRPr="00114D08">
        <w:t xml:space="preserve">sufficient basis for finding that respect for human rights as defined in the Convention and its Protocols does not require the Court to continue its examination of the case (see </w:t>
      </w:r>
      <w:r w:rsidRPr="00114D08">
        <w:rPr>
          <w:i/>
        </w:rPr>
        <w:t>Tahsin Acar</w:t>
      </w:r>
      <w:r w:rsidRPr="00114D08">
        <w:t xml:space="preserve">, cited above, § 75, and </w:t>
      </w:r>
      <w:r w:rsidRPr="00114D08">
        <w:rPr>
          <w:i/>
        </w:rPr>
        <w:t>Melnic v.</w:t>
      </w:r>
      <w:r w:rsidR="00653FB0" w:rsidRPr="00114D08">
        <w:rPr>
          <w:i/>
        </w:rPr>
        <w:t> </w:t>
      </w:r>
      <w:r w:rsidRPr="00114D08">
        <w:rPr>
          <w:i/>
        </w:rPr>
        <w:t>Moldov</w:t>
      </w:r>
      <w:r w:rsidR="00114D08" w:rsidRPr="00114D08">
        <w:rPr>
          <w:i/>
        </w:rPr>
        <w:t xml:space="preserve">a </w:t>
      </w:r>
      <w:r w:rsidRPr="00114D08">
        <w:t>, no. 6923/03, § 22, 14 November 2006).</w:t>
      </w:r>
    </w:p>
    <w:p w:rsidR="007C31FC" w:rsidRPr="00114D08" w:rsidRDefault="00EA0188"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17</w:t>
      </w:r>
      <w:r w:rsidRPr="00114D08">
        <w:fldChar w:fldCharType="end"/>
      </w:r>
      <w:r w:rsidRPr="00114D08">
        <w:t>.  According to the Court</w:t>
      </w:r>
      <w:r w:rsidR="00114D08" w:rsidRPr="00114D08">
        <w:t>’</w:t>
      </w:r>
      <w:r w:rsidRPr="00114D08">
        <w:t xml:space="preserve">s case-law, the amount proposed in </w:t>
      </w:r>
      <w:r w:rsidR="00114D08" w:rsidRPr="00114D08">
        <w:t xml:space="preserve">a </w:t>
      </w:r>
      <w:r w:rsidRPr="00114D08">
        <w:t xml:space="preserve">unilateral declaration may be considered </w:t>
      </w:r>
      <w:r w:rsidR="00114D08" w:rsidRPr="00114D08">
        <w:t xml:space="preserve">a </w:t>
      </w:r>
      <w:r w:rsidRPr="00114D08">
        <w:t xml:space="preserve">sufficient basis for striking out an application or part thereof. The Court will have regard in this connection to the compatibility of the amount with its own awards in similar </w:t>
      </w:r>
      <w:r w:rsidR="0033474D" w:rsidRPr="00114D08">
        <w:t xml:space="preserve">cases regarding </w:t>
      </w:r>
      <w:r w:rsidR="005A3B7B" w:rsidRPr="00114D08">
        <w:t>overcrowd</w:t>
      </w:r>
      <w:r w:rsidR="00BD548B" w:rsidRPr="00114D08">
        <w:t xml:space="preserve">ing in prison </w:t>
      </w:r>
      <w:r w:rsidR="005A3B7B" w:rsidRPr="00114D08">
        <w:t>(</w:t>
      </w:r>
      <w:r w:rsidR="00E7419F" w:rsidRPr="00114D08">
        <w:t xml:space="preserve">see </w:t>
      </w:r>
      <w:r w:rsidR="005A3B7B" w:rsidRPr="00114D08">
        <w:t>the strike</w:t>
      </w:r>
      <w:r w:rsidR="00A17F36" w:rsidRPr="00114D08">
        <w:t>-</w:t>
      </w:r>
      <w:r w:rsidR="005A3B7B" w:rsidRPr="00114D08">
        <w:t xml:space="preserve">out decisions following </w:t>
      </w:r>
      <w:r w:rsidR="00114D08" w:rsidRPr="00114D08">
        <w:t xml:space="preserve">a </w:t>
      </w:r>
      <w:r w:rsidR="005A3B7B" w:rsidRPr="00114D08">
        <w:t xml:space="preserve">friendly settlement in </w:t>
      </w:r>
      <w:r w:rsidR="005A3B7B" w:rsidRPr="00114D08">
        <w:rPr>
          <w:i/>
        </w:rPr>
        <w:t>Soszyński v. Poland</w:t>
      </w:r>
      <w:r w:rsidR="005A3B7B" w:rsidRPr="00114D08">
        <w:t>, no. 23854/12, 15</w:t>
      </w:r>
      <w:r w:rsidR="00653FB0" w:rsidRPr="00114D08">
        <w:t> </w:t>
      </w:r>
      <w:r w:rsidR="005A3B7B" w:rsidRPr="00114D08">
        <w:t xml:space="preserve">January 2013; </w:t>
      </w:r>
      <w:r w:rsidR="00811F84" w:rsidRPr="00114D08">
        <w:t xml:space="preserve">and </w:t>
      </w:r>
      <w:r w:rsidR="005A3B7B" w:rsidRPr="00114D08">
        <w:rPr>
          <w:i/>
        </w:rPr>
        <w:t>Budziszewski, v. Poland</w:t>
      </w:r>
      <w:r w:rsidR="00811F84" w:rsidRPr="00114D08">
        <w:t>, no. 16544/12</w:t>
      </w:r>
      <w:r w:rsidR="005A3B7B" w:rsidRPr="00114D08">
        <w:t>, 29 January 2013)</w:t>
      </w:r>
      <w:r w:rsidRPr="00114D08">
        <w:t xml:space="preserve">, bearing in mind the principles which it has developed for determining victim status and for assessing the amount of non-pecuniary compensation to be awarded </w:t>
      </w:r>
      <w:r w:rsidR="0033474D" w:rsidRPr="00114D08">
        <w:t>in cases concerning detention in conditions contrary to Article 3 of the Convention</w:t>
      </w:r>
      <w:r w:rsidRPr="00114D08">
        <w:t xml:space="preserve"> (see </w:t>
      </w:r>
      <w:r w:rsidR="00E7419F" w:rsidRPr="00114D08">
        <w:rPr>
          <w:i/>
        </w:rPr>
        <w:t xml:space="preserve">Janusz Wojciechowski v. Poland, </w:t>
      </w:r>
      <w:r w:rsidR="00736A25" w:rsidRPr="00114D08">
        <w:t>no.</w:t>
      </w:r>
      <w:r w:rsidR="00811F84" w:rsidRPr="00114D08">
        <w:t xml:space="preserve"> </w:t>
      </w:r>
      <w:r w:rsidR="00736A25" w:rsidRPr="00114D08">
        <w:t>54511/11, § 42</w:t>
      </w:r>
      <w:r w:rsidR="00811F84" w:rsidRPr="00114D08">
        <w:t>, 28 </w:t>
      </w:r>
      <w:r w:rsidR="00E7419F" w:rsidRPr="00114D08">
        <w:t>June 2016, and</w:t>
      </w:r>
      <w:r w:rsidR="00E7419F" w:rsidRPr="00114D08">
        <w:rPr>
          <w:i/>
        </w:rPr>
        <w:t xml:space="preserve"> Olszewski v. Poland, </w:t>
      </w:r>
      <w:r w:rsidR="00E7419F" w:rsidRPr="00114D08">
        <w:t>no. 21880/03, §</w:t>
      </w:r>
      <w:r w:rsidR="00653FB0" w:rsidRPr="00114D08">
        <w:t> </w:t>
      </w:r>
      <w:r w:rsidR="00E7419F" w:rsidRPr="00114D08">
        <w:t>124, 2 April 2013</w:t>
      </w:r>
      <w:r w:rsidR="005D10DB" w:rsidRPr="00114D08">
        <w:t>)</w:t>
      </w:r>
      <w:r w:rsidRPr="00114D08">
        <w:t>.</w:t>
      </w:r>
    </w:p>
    <w:p w:rsidR="0094645E" w:rsidRPr="00114D08" w:rsidRDefault="0094645E"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18</w:t>
      </w:r>
      <w:r w:rsidRPr="00114D08">
        <w:fldChar w:fldCharType="end"/>
      </w:r>
      <w:r w:rsidRPr="00114D08">
        <w:t xml:space="preserve">.  As to whether it would be appropriate to strike out the present application on the basis of the unilateral declaration made by the Government, the Court considers that the sum proposed in the declaration in respect of the non-pecuniary damage suffered by the applicant as </w:t>
      </w:r>
      <w:r w:rsidR="00114D08" w:rsidRPr="00114D08">
        <w:t xml:space="preserve">a </w:t>
      </w:r>
      <w:r w:rsidRPr="00114D08">
        <w:t xml:space="preserve">result of the alleged violation of the Convention does not bear </w:t>
      </w:r>
      <w:r w:rsidR="00114D08" w:rsidRPr="00114D08">
        <w:t xml:space="preserve">a </w:t>
      </w:r>
      <w:r w:rsidRPr="00114D08">
        <w:t>reasonable relationship to the amounts awarded by the Court in similar cases in respect of non</w:t>
      </w:r>
      <w:r w:rsidRPr="00114D08">
        <w:rPr>
          <w:rFonts w:ascii="MS Mincho" w:eastAsia="MS Mincho" w:hAnsi="MS Mincho" w:cs="MS Mincho"/>
        </w:rPr>
        <w:t>‑</w:t>
      </w:r>
      <w:r w:rsidRPr="00114D08">
        <w:t>pecuniary damage</w:t>
      </w:r>
      <w:r w:rsidR="0038543B" w:rsidRPr="00114D08">
        <w:t xml:space="preserve"> (see</w:t>
      </w:r>
      <w:r w:rsidR="0038543B" w:rsidRPr="00114D08">
        <w:rPr>
          <w:i/>
        </w:rPr>
        <w:t xml:space="preserve"> Soszyński </w:t>
      </w:r>
      <w:r w:rsidR="0038543B" w:rsidRPr="00114D08">
        <w:t>and</w:t>
      </w:r>
      <w:r w:rsidR="0038543B" w:rsidRPr="00114D08">
        <w:rPr>
          <w:i/>
        </w:rPr>
        <w:t xml:space="preserve"> Budziszewski</w:t>
      </w:r>
      <w:r w:rsidR="00210780" w:rsidRPr="00114D08">
        <w:rPr>
          <w:i/>
        </w:rPr>
        <w:t>,</w:t>
      </w:r>
      <w:r w:rsidR="0038543B" w:rsidRPr="00114D08">
        <w:t xml:space="preserve"> </w:t>
      </w:r>
      <w:r w:rsidR="0087666F" w:rsidRPr="00114D08">
        <w:t>both cited above).</w:t>
      </w:r>
    </w:p>
    <w:p w:rsidR="0094645E" w:rsidRPr="00114D08" w:rsidRDefault="0094645E"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19</w:t>
      </w:r>
      <w:r w:rsidRPr="00114D08">
        <w:fldChar w:fldCharType="end"/>
      </w:r>
      <w:r w:rsidRPr="00114D08">
        <w:t xml:space="preserve">.  On the facts, and for the reasons set out above, the Court finds that the Government failed to submit </w:t>
      </w:r>
      <w:r w:rsidR="00114D08" w:rsidRPr="00114D08">
        <w:t xml:space="preserve">a </w:t>
      </w:r>
      <w:r w:rsidRPr="00114D08">
        <w:t xml:space="preserve">statement offering </w:t>
      </w:r>
      <w:r w:rsidR="00114D08" w:rsidRPr="00114D08">
        <w:t xml:space="preserve">a </w:t>
      </w:r>
      <w:r w:rsidRPr="00114D08">
        <w:t>sufficient basis for finding that respect for human rights as defined in the Convention and its Protocols does not require the Court to continue its examination of the case (see, by contrast</w:t>
      </w:r>
      <w:r w:rsidR="00AA3258" w:rsidRPr="00114D08">
        <w:rPr>
          <w:i/>
        </w:rPr>
        <w:t xml:space="preserve"> WAZ</w:t>
      </w:r>
      <w:r w:rsidR="00114D08" w:rsidRPr="00114D08">
        <w:rPr>
          <w:i/>
        </w:rPr>
        <w:t xml:space="preserve">A </w:t>
      </w:r>
      <w:r w:rsidRPr="00114D08">
        <w:rPr>
          <w:i/>
        </w:rPr>
        <w:t>Spółk</w:t>
      </w:r>
      <w:r w:rsidR="00114D08" w:rsidRPr="00114D08">
        <w:rPr>
          <w:i/>
        </w:rPr>
        <w:t xml:space="preserve">a </w:t>
      </w:r>
      <w:r w:rsidRPr="00114D08">
        <w:rPr>
          <w:i/>
        </w:rPr>
        <w:t>z o.o. v. Poland</w:t>
      </w:r>
      <w:r w:rsidRPr="00114D08">
        <w:t xml:space="preserve"> (striking out), no. 11602/02, 26</w:t>
      </w:r>
      <w:r w:rsidR="004F5837" w:rsidRPr="00114D08">
        <w:t> </w:t>
      </w:r>
      <w:r w:rsidRPr="00114D08">
        <w:t>June 2007).</w:t>
      </w:r>
    </w:p>
    <w:p w:rsidR="00E124A1" w:rsidRPr="00114D08" w:rsidRDefault="0094645E"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20</w:t>
      </w:r>
      <w:r w:rsidRPr="00114D08">
        <w:fldChar w:fldCharType="end"/>
      </w:r>
      <w:r w:rsidRPr="00114D08">
        <w:t>. </w:t>
      </w:r>
      <w:r w:rsidR="004A6E21" w:rsidRPr="00114D08">
        <w:t> </w:t>
      </w:r>
      <w:r w:rsidRPr="00114D08">
        <w:t>This being so, the Court rejects the Government</w:t>
      </w:r>
      <w:r w:rsidR="00114D08" w:rsidRPr="00114D08">
        <w:t>’</w:t>
      </w:r>
      <w:r w:rsidRPr="00114D08">
        <w:t>s request for the application to be struck out under Article 37 of the Convention and will accordingly pursue its examination of the admissibility and merits of the case.</w:t>
      </w:r>
    </w:p>
    <w:p w:rsidR="00EA0188" w:rsidRPr="00114D08" w:rsidRDefault="00EA0188" w:rsidP="00114D08">
      <w:pPr>
        <w:pStyle w:val="ECHRHeading1"/>
      </w:pPr>
      <w:r w:rsidRPr="00114D08">
        <w:t>II.</w:t>
      </w:r>
      <w:r w:rsidR="004F5837" w:rsidRPr="00114D08">
        <w:t> </w:t>
      </w:r>
      <w:r w:rsidR="004A6E21" w:rsidRPr="00114D08">
        <w:t> </w:t>
      </w:r>
      <w:r w:rsidRPr="00114D08">
        <w:t>ALLEGED VIOLATION OF ARTICLE 3 OF THE CONVENTION</w:t>
      </w:r>
    </w:p>
    <w:p w:rsidR="00640648" w:rsidRPr="00114D08" w:rsidRDefault="00D268FB"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21</w:t>
      </w:r>
      <w:r w:rsidRPr="00114D08">
        <w:fldChar w:fldCharType="end"/>
      </w:r>
      <w:r w:rsidR="00014566" w:rsidRPr="00114D08">
        <w:t>.  </w:t>
      </w:r>
      <w:r w:rsidR="00640648" w:rsidRPr="00114D08">
        <w:t>The applicant complained that the conditions of his detention and the overcrowding in Siedlce Prison, where he had been held from 15</w:t>
      </w:r>
      <w:r w:rsidR="00AA3258" w:rsidRPr="00114D08">
        <w:t xml:space="preserve"> </w:t>
      </w:r>
      <w:r w:rsidR="00640648" w:rsidRPr="00114D08">
        <w:t>July to 15</w:t>
      </w:r>
      <w:r w:rsidR="00210780" w:rsidRPr="00114D08">
        <w:t> </w:t>
      </w:r>
      <w:r w:rsidR="00640648" w:rsidRPr="00114D08">
        <w:t>October 2009 (91 days)</w:t>
      </w:r>
      <w:r w:rsidR="00EE5075" w:rsidRPr="00114D08">
        <w:t>,</w:t>
      </w:r>
      <w:r w:rsidR="00640648" w:rsidRPr="00114D08">
        <w:t xml:space="preserve"> had amounted to inhuman and degrading treatment under Article 3 of the Convention, which reads as follows:</w:t>
      </w:r>
    </w:p>
    <w:p w:rsidR="00014566" w:rsidRPr="00114D08" w:rsidRDefault="00640648" w:rsidP="00114D08">
      <w:pPr>
        <w:pStyle w:val="ECHRParaQuote"/>
      </w:pPr>
      <w:r w:rsidRPr="00114D08">
        <w:t>“No one shall be subjected to torture or to inhuman or degrading treatment or punishment.”</w:t>
      </w:r>
    </w:p>
    <w:p w:rsidR="00E124A1" w:rsidRPr="00114D08" w:rsidRDefault="00D268FB"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22</w:t>
      </w:r>
      <w:r w:rsidRPr="00114D08">
        <w:fldChar w:fldCharType="end"/>
      </w:r>
      <w:r w:rsidR="00014566" w:rsidRPr="00114D08">
        <w:t>.  </w:t>
      </w:r>
      <w:r w:rsidR="0094645E" w:rsidRPr="00114D08">
        <w:t xml:space="preserve">The Government, having submitted </w:t>
      </w:r>
      <w:r w:rsidR="00114D08" w:rsidRPr="00114D08">
        <w:t xml:space="preserve">a </w:t>
      </w:r>
      <w:r w:rsidR="0094645E" w:rsidRPr="00114D08">
        <w:t xml:space="preserve">unilateral declaration, did not </w:t>
      </w:r>
      <w:r w:rsidR="0087666F" w:rsidRPr="00114D08">
        <w:t>make</w:t>
      </w:r>
      <w:r w:rsidR="0094645E" w:rsidRPr="00114D08">
        <w:t xml:space="preserve"> </w:t>
      </w:r>
      <w:r w:rsidR="0038543B" w:rsidRPr="00114D08">
        <w:t>detailed observations on the merits of the case</w:t>
      </w:r>
      <w:r w:rsidR="0094645E" w:rsidRPr="00114D08">
        <w:t>.</w:t>
      </w:r>
    </w:p>
    <w:p w:rsidR="00014566" w:rsidRPr="00114D08" w:rsidRDefault="00014566" w:rsidP="00114D08">
      <w:pPr>
        <w:pStyle w:val="ECHRHeading2"/>
      </w:pPr>
      <w:r w:rsidRPr="00114D08">
        <w:t>A.  Admissibility</w:t>
      </w:r>
    </w:p>
    <w:p w:rsidR="00014566" w:rsidRPr="00114D08" w:rsidRDefault="00D268FB"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23</w:t>
      </w:r>
      <w:r w:rsidRPr="00114D08">
        <w:fldChar w:fldCharType="end"/>
      </w:r>
      <w:r w:rsidR="00014566" w:rsidRPr="00114D08">
        <w:t>.  The Court notes that the ap</w:t>
      </w:r>
      <w:r w:rsidR="00AA3258" w:rsidRPr="00114D08">
        <w:t>plication is not manifestly ill</w:t>
      </w:r>
      <w:r w:rsidR="00AA3258" w:rsidRPr="00114D08">
        <w:noBreakHyphen/>
      </w:r>
      <w:r w:rsidR="00014566" w:rsidRPr="00114D08">
        <w:t>founded within the meaning of Article 35 § 3 (a) of the Convention. It further notes that it is not inadmissible on any other grounds. It must therefore be declared admissible.</w:t>
      </w:r>
    </w:p>
    <w:p w:rsidR="00014566" w:rsidRPr="00114D08" w:rsidRDefault="00DC634D" w:rsidP="00114D08">
      <w:pPr>
        <w:pStyle w:val="ECHRHeading2"/>
      </w:pPr>
      <w:r w:rsidRPr="00114D08">
        <w:t>B.  Merits</w:t>
      </w:r>
    </w:p>
    <w:p w:rsidR="00053EDD" w:rsidRPr="00114D08" w:rsidRDefault="00D268FB"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24</w:t>
      </w:r>
      <w:r w:rsidRPr="00114D08">
        <w:fldChar w:fldCharType="end"/>
      </w:r>
      <w:r w:rsidR="00014566" w:rsidRPr="00114D08">
        <w:t>. </w:t>
      </w:r>
      <w:r w:rsidR="004A6E21" w:rsidRPr="00114D08">
        <w:t> </w:t>
      </w:r>
      <w:r w:rsidR="00114D08" w:rsidRPr="00114D08">
        <w:t xml:space="preserve">A </w:t>
      </w:r>
      <w:r w:rsidR="00053EDD" w:rsidRPr="00114D08">
        <w:t>restatement of the general principles concerning the examination of conditions of detention under Article 3 may be found in the Court</w:t>
      </w:r>
      <w:r w:rsidR="00114D08" w:rsidRPr="00114D08">
        <w:t>’</w:t>
      </w:r>
      <w:r w:rsidR="00053EDD" w:rsidRPr="00114D08">
        <w:t xml:space="preserve">s </w:t>
      </w:r>
      <w:r w:rsidR="004B251E" w:rsidRPr="00114D08">
        <w:t xml:space="preserve">pilot </w:t>
      </w:r>
      <w:r w:rsidR="00053EDD" w:rsidRPr="00114D08">
        <w:t>judgment</w:t>
      </w:r>
      <w:r w:rsidR="0091780B" w:rsidRPr="00114D08">
        <w:t>s</w:t>
      </w:r>
      <w:r w:rsidR="00BD548B" w:rsidRPr="00114D08">
        <w:t xml:space="preserve"> against Poland (see</w:t>
      </w:r>
      <w:r w:rsidR="00053EDD" w:rsidRPr="00114D08">
        <w:t xml:space="preserve"> </w:t>
      </w:r>
      <w:r w:rsidR="00053EDD" w:rsidRPr="00114D08">
        <w:rPr>
          <w:i/>
        </w:rPr>
        <w:t>Orchowsk</w:t>
      </w:r>
      <w:r w:rsidR="00053EDD" w:rsidRPr="00114D08">
        <w:t>i (cited above, §§ 119-131)</w:t>
      </w:r>
      <w:r w:rsidR="0091780B" w:rsidRPr="00114D08">
        <w:t>,</w:t>
      </w:r>
      <w:r w:rsidR="00053EDD" w:rsidRPr="00114D08">
        <w:t xml:space="preserve"> </w:t>
      </w:r>
      <w:r w:rsidR="00053EDD" w:rsidRPr="00114D08">
        <w:rPr>
          <w:i/>
        </w:rPr>
        <w:t>Norbert Sikorski</w:t>
      </w:r>
      <w:r w:rsidR="00053EDD" w:rsidRPr="00114D08">
        <w:t xml:space="preserve"> (cited above, §§ 126-141)</w:t>
      </w:r>
      <w:r w:rsidR="00BD548B" w:rsidRPr="00114D08">
        <w:t>)</w:t>
      </w:r>
      <w:r w:rsidR="00C058F1" w:rsidRPr="00114D08">
        <w:t>,</w:t>
      </w:r>
      <w:r w:rsidR="00053EDD" w:rsidRPr="00114D08">
        <w:t xml:space="preserve"> and</w:t>
      </w:r>
      <w:r w:rsidR="00BD548B" w:rsidRPr="00114D08">
        <w:t xml:space="preserve"> in</w:t>
      </w:r>
      <w:r w:rsidR="004B251E" w:rsidRPr="00114D08">
        <w:rPr>
          <w:i/>
          <w:lang w:val="pt-PT"/>
        </w:rPr>
        <w:t xml:space="preserve"> Muršić v. Croati</w:t>
      </w:r>
      <w:r w:rsidR="00114D08" w:rsidRPr="00114D08">
        <w:rPr>
          <w:i/>
          <w:lang w:val="pt-PT"/>
        </w:rPr>
        <w:t xml:space="preserve">a </w:t>
      </w:r>
      <w:r w:rsidR="00033467" w:rsidRPr="00114D08">
        <w:rPr>
          <w:snapToGrid w:val="0"/>
          <w:lang w:val="pt-PT"/>
        </w:rPr>
        <w:t>[GC], no. </w:t>
      </w:r>
      <w:r w:rsidR="004B251E" w:rsidRPr="00114D08">
        <w:rPr>
          <w:snapToGrid w:val="0"/>
          <w:lang w:val="pt-PT"/>
        </w:rPr>
        <w:t>7334/13</w:t>
      </w:r>
      <w:r w:rsidR="004B251E" w:rsidRPr="00114D08">
        <w:rPr>
          <w:lang w:val="pt-PT"/>
        </w:rPr>
        <w:t>, §§ 102-141 ECHR 2016</w:t>
      </w:r>
      <w:r w:rsidR="00053EDD" w:rsidRPr="00114D08">
        <w:t>.</w:t>
      </w:r>
    </w:p>
    <w:p w:rsidR="0094645E" w:rsidRPr="00114D08" w:rsidRDefault="004B251E"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25</w:t>
      </w:r>
      <w:r w:rsidRPr="00114D08">
        <w:fldChar w:fldCharType="end"/>
      </w:r>
      <w:r w:rsidR="00C84A3F" w:rsidRPr="00114D08">
        <w:t>.</w:t>
      </w:r>
      <w:r w:rsidR="004A6E21" w:rsidRPr="00114D08">
        <w:t>  </w:t>
      </w:r>
      <w:r w:rsidR="0057104B" w:rsidRPr="00114D08">
        <w:t xml:space="preserve">The Court has already found that </w:t>
      </w:r>
      <w:r w:rsidR="00114D08" w:rsidRPr="00114D08">
        <w:t xml:space="preserve">a </w:t>
      </w:r>
      <w:r w:rsidR="0057104B" w:rsidRPr="00114D08">
        <w:t xml:space="preserve">strong presumption of </w:t>
      </w:r>
      <w:r w:rsidR="00114D08" w:rsidRPr="00114D08">
        <w:t xml:space="preserve">a </w:t>
      </w:r>
      <w:r w:rsidR="0057104B" w:rsidRPr="00114D08">
        <w:t xml:space="preserve">violation of Article 3 arises when the personal space available to </w:t>
      </w:r>
      <w:r w:rsidR="00114D08" w:rsidRPr="00114D08">
        <w:t xml:space="preserve">a </w:t>
      </w:r>
      <w:r w:rsidR="0057104B" w:rsidRPr="00114D08">
        <w:t xml:space="preserve">detainee falls below 3 m² multi-occupancy accommodation, </w:t>
      </w:r>
      <w:r w:rsidR="00114D08" w:rsidRPr="00114D08">
        <w:t xml:space="preserve">a </w:t>
      </w:r>
      <w:r w:rsidR="0057104B" w:rsidRPr="00114D08">
        <w:t xml:space="preserve">presumption which can be rebutted only where the following requirements are cumulatively met: where short, occasional and minor reductions of personal space are accompanied by sufficient freedom of movement outside the cell, and adequate out-of-cell activities and confinement is in, viewed generally, an appropriate detention facility (see, </w:t>
      </w:r>
      <w:r w:rsidR="0057104B" w:rsidRPr="00114D08">
        <w:rPr>
          <w:i/>
        </w:rPr>
        <w:t>Muršić</w:t>
      </w:r>
      <w:r w:rsidR="0057104B" w:rsidRPr="00114D08">
        <w:t>, cited above, §§ 137-138).</w:t>
      </w:r>
    </w:p>
    <w:p w:rsidR="00A5170F" w:rsidRPr="00114D08" w:rsidRDefault="00D268FB"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26</w:t>
      </w:r>
      <w:r w:rsidRPr="00114D08">
        <w:fldChar w:fldCharType="end"/>
      </w:r>
      <w:r w:rsidR="00014566" w:rsidRPr="00114D08">
        <w:t>. </w:t>
      </w:r>
      <w:r w:rsidR="004A6E21" w:rsidRPr="00114D08">
        <w:t> </w:t>
      </w:r>
      <w:r w:rsidR="00A5170F" w:rsidRPr="00114D08">
        <w:t>The Court notes that the applicant was detained in overcrowded cells in Siedlce Prison from 15 July to 15 October 2009, that is after the systemic problem of overcrowding in Poland was considered to have been resolved (</w:t>
      </w:r>
      <w:r w:rsidR="00A5170F" w:rsidRPr="00114D08">
        <w:rPr>
          <w:i/>
        </w:rPr>
        <w:t>Orchowsk</w:t>
      </w:r>
      <w:r w:rsidR="00A5170F" w:rsidRPr="00114D08">
        <w:t>i</w:t>
      </w:r>
      <w:r w:rsidR="0091780B" w:rsidRPr="00114D08">
        <w:t>,</w:t>
      </w:r>
      <w:r w:rsidR="00DF3C14" w:rsidRPr="00114D08">
        <w:t xml:space="preserve"> </w:t>
      </w:r>
      <w:r w:rsidR="00A5170F" w:rsidRPr="00114D08">
        <w:t xml:space="preserve">cited above, §§ 119-131 and </w:t>
      </w:r>
      <w:r w:rsidR="00A5170F" w:rsidRPr="00114D08">
        <w:rPr>
          <w:i/>
        </w:rPr>
        <w:t>Norbert Sikorski</w:t>
      </w:r>
      <w:r w:rsidR="0091780B" w:rsidRPr="00114D08">
        <w:rPr>
          <w:i/>
        </w:rPr>
        <w:t>,</w:t>
      </w:r>
      <w:r w:rsidR="00A5170F" w:rsidRPr="00114D08">
        <w:t xml:space="preserve"> cited above, §§</w:t>
      </w:r>
      <w:r w:rsidR="00317012" w:rsidRPr="00114D08">
        <w:t> </w:t>
      </w:r>
      <w:r w:rsidR="00A5170F" w:rsidRPr="00114D08">
        <w:t>126-141).</w:t>
      </w:r>
    </w:p>
    <w:p w:rsidR="004B251E" w:rsidRPr="00114D08" w:rsidRDefault="00A5170F"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27</w:t>
      </w:r>
      <w:r w:rsidRPr="00114D08">
        <w:fldChar w:fldCharType="end"/>
      </w:r>
      <w:r w:rsidRPr="00114D08">
        <w:t>.  </w:t>
      </w:r>
      <w:r w:rsidR="0094645E" w:rsidRPr="00114D08">
        <w:t xml:space="preserve">The Court </w:t>
      </w:r>
      <w:r w:rsidR="0087666F" w:rsidRPr="00114D08">
        <w:t xml:space="preserve">further </w:t>
      </w:r>
      <w:r w:rsidR="0094645E" w:rsidRPr="00114D08">
        <w:t xml:space="preserve">notes that the domestic courts established, in </w:t>
      </w:r>
      <w:r w:rsidR="00114D08" w:rsidRPr="00114D08">
        <w:t xml:space="preserve">a </w:t>
      </w:r>
      <w:r w:rsidR="0094645E" w:rsidRPr="00114D08">
        <w:t>finding that was uncontested by the applicant or the Government, that the applicant</w:t>
      </w:r>
      <w:r w:rsidR="00114D08" w:rsidRPr="00114D08">
        <w:t>’</w:t>
      </w:r>
      <w:r w:rsidR="0094645E" w:rsidRPr="00114D08">
        <w:t xml:space="preserve">s detention in Siedlce Prison was marked by serious overcrowding for </w:t>
      </w:r>
      <w:r w:rsidR="00114D08" w:rsidRPr="00114D08">
        <w:t xml:space="preserve">a </w:t>
      </w:r>
      <w:r w:rsidR="0094645E" w:rsidRPr="00114D08">
        <w:t>period of 91 days.</w:t>
      </w:r>
      <w:r w:rsidR="001B4A12" w:rsidRPr="00114D08">
        <w:t xml:space="preserve"> In particular, the personal space per </w:t>
      </w:r>
      <w:r w:rsidRPr="00114D08">
        <w:t>prisoner</w:t>
      </w:r>
      <w:r w:rsidR="001B4A12" w:rsidRPr="00114D08">
        <w:t xml:space="preserve"> was reduced to 2.65 m²</w:t>
      </w:r>
      <w:r w:rsidR="004B251E" w:rsidRPr="00114D08">
        <w:t>.</w:t>
      </w:r>
    </w:p>
    <w:p w:rsidR="00A5170F" w:rsidRPr="00114D08" w:rsidRDefault="00C84A3F"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28</w:t>
      </w:r>
      <w:r w:rsidRPr="00114D08">
        <w:fldChar w:fldCharType="end"/>
      </w:r>
      <w:r w:rsidRPr="00114D08">
        <w:t>.  </w:t>
      </w:r>
      <w:r w:rsidR="00A5170F" w:rsidRPr="00114D08">
        <w:t>The Court finds</w:t>
      </w:r>
      <w:r w:rsidRPr="00114D08">
        <w:t xml:space="preserve"> </w:t>
      </w:r>
      <w:r w:rsidR="00A5170F" w:rsidRPr="00114D08">
        <w:t>that</w:t>
      </w:r>
      <w:r w:rsidR="0091780B" w:rsidRPr="00114D08">
        <w:t xml:space="preserve"> in these circumstances the reduction of the required personal space cannot be considered as “short, occasional and minor” </w:t>
      </w:r>
      <w:r w:rsidR="00A5170F" w:rsidRPr="00114D08">
        <w:t>within the meaning of the Court</w:t>
      </w:r>
      <w:r w:rsidR="00114D08" w:rsidRPr="00114D08">
        <w:t>’</w:t>
      </w:r>
      <w:r w:rsidR="00A5170F" w:rsidRPr="00114D08">
        <w:t xml:space="preserve">s case-law (see </w:t>
      </w:r>
      <w:r w:rsidR="00A5170F" w:rsidRPr="00114D08">
        <w:rPr>
          <w:i/>
        </w:rPr>
        <w:t>Muršić</w:t>
      </w:r>
      <w:r w:rsidR="00033467" w:rsidRPr="00114D08">
        <w:t>, cited above, § </w:t>
      </w:r>
      <w:r w:rsidR="00A5170F" w:rsidRPr="00114D08">
        <w:t>130)</w:t>
      </w:r>
      <w:r w:rsidRPr="00114D08">
        <w:t>.</w:t>
      </w:r>
      <w:r w:rsidR="00A5170F" w:rsidRPr="00114D08">
        <w:t xml:space="preserve"> </w:t>
      </w:r>
      <w:r w:rsidR="0091780B" w:rsidRPr="00114D08">
        <w:t>It follows that in the present case the strong presu</w:t>
      </w:r>
      <w:r w:rsidR="00033467" w:rsidRPr="00114D08">
        <w:t xml:space="preserve">mption of </w:t>
      </w:r>
      <w:r w:rsidR="00114D08" w:rsidRPr="00114D08">
        <w:t xml:space="preserve">a </w:t>
      </w:r>
      <w:r w:rsidR="0091780B" w:rsidRPr="00114D08">
        <w:t>violation of Article 3 cannot be rebutted.</w:t>
      </w:r>
    </w:p>
    <w:p w:rsidR="00014566" w:rsidRPr="00114D08" w:rsidRDefault="00D12204"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29</w:t>
      </w:r>
      <w:r w:rsidRPr="00114D08">
        <w:fldChar w:fldCharType="end"/>
      </w:r>
      <w:r w:rsidRPr="00114D08">
        <w:t>.  </w:t>
      </w:r>
      <w:r w:rsidR="0094645E" w:rsidRPr="00114D08">
        <w:t>Having regard to the</w:t>
      </w:r>
      <w:r w:rsidR="0091780B" w:rsidRPr="00114D08">
        <w:t xml:space="preserve"> above findings</w:t>
      </w:r>
      <w:r w:rsidR="0094645E" w:rsidRPr="00114D08">
        <w:t xml:space="preserve">, the Court considers that the distress and hardship endured by </w:t>
      </w:r>
      <w:r w:rsidR="0091780B" w:rsidRPr="00114D08">
        <w:t xml:space="preserve">the applicant </w:t>
      </w:r>
      <w:r w:rsidR="0094645E" w:rsidRPr="00114D08">
        <w:t>exceeded the unavoidable level of suffering inherent in detention and went beyond the threshold of severity under Article 3 of the Convention.</w:t>
      </w:r>
    </w:p>
    <w:p w:rsidR="00E124A1" w:rsidRPr="00114D08" w:rsidRDefault="0033257D"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30</w:t>
      </w:r>
      <w:r w:rsidRPr="00114D08">
        <w:fldChar w:fldCharType="end"/>
      </w:r>
      <w:r w:rsidRPr="00114D08">
        <w:t>. </w:t>
      </w:r>
      <w:r w:rsidR="004A6E21" w:rsidRPr="00114D08">
        <w:t> </w:t>
      </w:r>
      <w:r w:rsidRPr="00114D08">
        <w:t xml:space="preserve">There has accordingly been </w:t>
      </w:r>
      <w:r w:rsidR="00114D08" w:rsidRPr="00114D08">
        <w:t xml:space="preserve">a </w:t>
      </w:r>
      <w:r w:rsidRPr="00114D08">
        <w:t>violation of that Article.</w:t>
      </w:r>
    </w:p>
    <w:p w:rsidR="00014566" w:rsidRPr="00114D08" w:rsidRDefault="0033257D" w:rsidP="00114D08">
      <w:pPr>
        <w:pStyle w:val="ECHRHeading1"/>
      </w:pPr>
      <w:r w:rsidRPr="00114D08">
        <w:t>III</w:t>
      </w:r>
      <w:r w:rsidR="00014566" w:rsidRPr="00114D08">
        <w:t>.</w:t>
      </w:r>
      <w:r w:rsidR="00DC634D" w:rsidRPr="00114D08">
        <w:t> </w:t>
      </w:r>
      <w:r w:rsidR="004A6E21" w:rsidRPr="00114D08">
        <w:t> </w:t>
      </w:r>
      <w:r w:rsidR="00DC634D" w:rsidRPr="00114D08">
        <w:t>APPLICATION</w:t>
      </w:r>
      <w:r w:rsidR="00014566" w:rsidRPr="00114D08">
        <w:t xml:space="preserve"> OF ARTICLE 41 OF THE CONVENTION</w:t>
      </w:r>
    </w:p>
    <w:p w:rsidR="00014566" w:rsidRPr="00114D08" w:rsidRDefault="00D268FB"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31</w:t>
      </w:r>
      <w:r w:rsidRPr="00114D08">
        <w:fldChar w:fldCharType="end"/>
      </w:r>
      <w:r w:rsidR="00014566" w:rsidRPr="00114D08">
        <w:t>.  Article 41 of the Convention provides:</w:t>
      </w:r>
    </w:p>
    <w:p w:rsidR="00014566" w:rsidRPr="00114D08" w:rsidRDefault="00014566" w:rsidP="00114D08">
      <w:pPr>
        <w:pStyle w:val="ECHRParaQuote"/>
        <w:keepNext/>
        <w:keepLines/>
      </w:pPr>
      <w:r w:rsidRPr="00114D08">
        <w:t xml:space="preserve">“If the Court finds that there has been </w:t>
      </w:r>
      <w:r w:rsidR="00114D08" w:rsidRPr="00114D08">
        <w:t xml:space="preserve">a </w:t>
      </w:r>
      <w:r w:rsidRPr="00114D08">
        <w:t>violation of the Convention or the Protocols thereto, and if the internal law of the High Contracting Party concerned allows only partial reparation to be made, the Court shall, if necessary, afford just satisfaction to the injured party.”</w:t>
      </w:r>
    </w:p>
    <w:p w:rsidR="00014566" w:rsidRPr="00114D08" w:rsidRDefault="00014566" w:rsidP="00114D08">
      <w:pPr>
        <w:pStyle w:val="ECHRHeading2"/>
      </w:pPr>
      <w:r w:rsidRPr="00114D08">
        <w:t>A.  Damage</w:t>
      </w:r>
    </w:p>
    <w:p w:rsidR="00014566" w:rsidRPr="00114D08" w:rsidRDefault="00D268FB"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32</w:t>
      </w:r>
      <w:r w:rsidRPr="00114D08">
        <w:fldChar w:fldCharType="end"/>
      </w:r>
      <w:r w:rsidR="00014566" w:rsidRPr="00114D08">
        <w:t>.  </w:t>
      </w:r>
      <w:r w:rsidR="0033257D" w:rsidRPr="00114D08">
        <w:t xml:space="preserve">The applicant claimed </w:t>
      </w:r>
      <w:r w:rsidR="00C84A3F" w:rsidRPr="00114D08">
        <w:t xml:space="preserve">PLN 8,180 (approximately EUR 2,045) </w:t>
      </w:r>
      <w:r w:rsidR="00014566" w:rsidRPr="00114D08">
        <w:t>in respect of</w:t>
      </w:r>
      <w:r w:rsidR="00E124A1" w:rsidRPr="00114D08">
        <w:t xml:space="preserve"> </w:t>
      </w:r>
      <w:r w:rsidR="00014566" w:rsidRPr="00114D08">
        <w:t>non</w:t>
      </w:r>
      <w:r w:rsidR="00EE5075" w:rsidRPr="00114D08">
        <w:noBreakHyphen/>
      </w:r>
      <w:r w:rsidR="00014566" w:rsidRPr="00114D08">
        <w:t>pecuniary damage.</w:t>
      </w:r>
    </w:p>
    <w:p w:rsidR="00014566" w:rsidRPr="00114D08" w:rsidRDefault="00D268FB"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33</w:t>
      </w:r>
      <w:r w:rsidRPr="00114D08">
        <w:fldChar w:fldCharType="end"/>
      </w:r>
      <w:r w:rsidR="00014566" w:rsidRPr="00114D08">
        <w:t xml:space="preserve">.  The Government </w:t>
      </w:r>
      <w:r w:rsidR="0033257D" w:rsidRPr="00114D08">
        <w:t>did not express an opinion on the matter.</w:t>
      </w:r>
    </w:p>
    <w:p w:rsidR="00014566" w:rsidRPr="00114D08" w:rsidRDefault="00D268FB"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34</w:t>
      </w:r>
      <w:r w:rsidRPr="00114D08">
        <w:fldChar w:fldCharType="end"/>
      </w:r>
      <w:r w:rsidR="00014566" w:rsidRPr="00114D08">
        <w:t>.  </w:t>
      </w:r>
      <w:r w:rsidR="0033257D" w:rsidRPr="00114D08">
        <w:t>The Court considers that the</w:t>
      </w:r>
      <w:r w:rsidR="00033467" w:rsidRPr="00114D08">
        <w:t xml:space="preserve"> applicant suffered damage of </w:t>
      </w:r>
      <w:r w:rsidR="00114D08" w:rsidRPr="00114D08">
        <w:t xml:space="preserve">a </w:t>
      </w:r>
      <w:r w:rsidR="00911D25" w:rsidRPr="00114D08">
        <w:t>non</w:t>
      </w:r>
      <w:r w:rsidR="00FB5A94" w:rsidRPr="00114D08">
        <w:noBreakHyphen/>
      </w:r>
      <w:r w:rsidR="00911D25" w:rsidRPr="00114D08">
        <w:t>pecuniary</w:t>
      </w:r>
      <w:r w:rsidR="0033257D" w:rsidRPr="00114D08">
        <w:t xml:space="preserve"> nature as </w:t>
      </w:r>
      <w:r w:rsidR="00114D08" w:rsidRPr="00114D08">
        <w:t xml:space="preserve">a </w:t>
      </w:r>
      <w:r w:rsidR="0033257D" w:rsidRPr="00114D08">
        <w:t>result of his detention in conditions contrary to Article</w:t>
      </w:r>
      <w:r w:rsidR="0038543B" w:rsidRPr="00114D08">
        <w:t> </w:t>
      </w:r>
      <w:r w:rsidR="0033257D" w:rsidRPr="00114D08">
        <w:t>3 of the Convention (see paragraphs</w:t>
      </w:r>
      <w:r w:rsidR="00703787" w:rsidRPr="00114D08">
        <w:t xml:space="preserve"> 24-</w:t>
      </w:r>
      <w:r w:rsidR="00D12204" w:rsidRPr="00114D08">
        <w:t>30</w:t>
      </w:r>
      <w:r w:rsidR="00911D25" w:rsidRPr="00114D08">
        <w:t xml:space="preserve"> above),</w:t>
      </w:r>
      <w:r w:rsidR="0033257D" w:rsidRPr="00114D08">
        <w:t xml:space="preserve"> </w:t>
      </w:r>
      <w:r w:rsidR="00911D25" w:rsidRPr="00114D08">
        <w:t xml:space="preserve">which is not sufficiently redressed by the finding of </w:t>
      </w:r>
      <w:r w:rsidR="00114D08" w:rsidRPr="00114D08">
        <w:t xml:space="preserve">a </w:t>
      </w:r>
      <w:r w:rsidR="00911D25" w:rsidRPr="00114D08">
        <w:t>violation of his rights under the Convention. Making an assessment on an equitable basis, as required by Article 41 of the Convention, the Court awards the applicant EUR 1,</w:t>
      </w:r>
      <w:r w:rsidR="00E9223A" w:rsidRPr="00114D08">
        <w:t>800</w:t>
      </w:r>
      <w:r w:rsidR="007C31FC" w:rsidRPr="00114D08">
        <w:t xml:space="preserve"> </w:t>
      </w:r>
      <w:r w:rsidR="00911D25" w:rsidRPr="00114D08">
        <w:t>under this head</w:t>
      </w:r>
      <w:r w:rsidR="0038543B" w:rsidRPr="00114D08">
        <w:t>.</w:t>
      </w:r>
    </w:p>
    <w:p w:rsidR="00014566" w:rsidRPr="00114D08" w:rsidRDefault="00014566" w:rsidP="00114D08">
      <w:pPr>
        <w:pStyle w:val="ECHRHeading2"/>
      </w:pPr>
      <w:r w:rsidRPr="00114D08">
        <w:t>B.  Costs and expenses</w:t>
      </w:r>
    </w:p>
    <w:p w:rsidR="009A0B50" w:rsidRPr="00114D08" w:rsidRDefault="00D268FB"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35</w:t>
      </w:r>
      <w:r w:rsidRPr="00114D08">
        <w:fldChar w:fldCharType="end"/>
      </w:r>
      <w:r w:rsidR="00014566" w:rsidRPr="00114D08">
        <w:t>.  </w:t>
      </w:r>
      <w:r w:rsidR="009A0B50" w:rsidRPr="00114D08">
        <w:t>The applicant did not make any claim for costs and expenses for the proceedings</w:t>
      </w:r>
      <w:r w:rsidR="0038543B" w:rsidRPr="00114D08">
        <w:t xml:space="preserve"> before the Court or the domestic courts</w:t>
      </w:r>
      <w:r w:rsidR="009A0B50" w:rsidRPr="00114D08">
        <w:t>.</w:t>
      </w:r>
    </w:p>
    <w:p w:rsidR="00014566" w:rsidRPr="00114D08" w:rsidRDefault="00014566" w:rsidP="00114D08">
      <w:pPr>
        <w:pStyle w:val="ECHRHeading2"/>
      </w:pPr>
      <w:r w:rsidRPr="00114D08">
        <w:t>C.  Default interest</w:t>
      </w:r>
    </w:p>
    <w:p w:rsidR="00A5170F" w:rsidRPr="00114D08" w:rsidRDefault="00D268FB" w:rsidP="00114D08">
      <w:pPr>
        <w:pStyle w:val="ECHRPara"/>
      </w:pPr>
      <w:r w:rsidRPr="00114D08">
        <w:fldChar w:fldCharType="begin"/>
      </w:r>
      <w:r w:rsidRPr="00114D08">
        <w:instrText xml:space="preserve"> SEQ level0 \*arabic </w:instrText>
      </w:r>
      <w:r w:rsidRPr="00114D08">
        <w:fldChar w:fldCharType="separate"/>
      </w:r>
      <w:r w:rsidR="00114D08" w:rsidRPr="00114D08">
        <w:rPr>
          <w:noProof/>
        </w:rPr>
        <w:t>36</w:t>
      </w:r>
      <w:r w:rsidRPr="00114D08">
        <w:fldChar w:fldCharType="end"/>
      </w:r>
      <w:r w:rsidR="00014566" w:rsidRPr="00114D08">
        <w:t>.  The Court considers it appropriate that the default interest rate should be based on the marginal lending rate of the European Central Bank, to which should be added three percentage points.</w:t>
      </w:r>
    </w:p>
    <w:p w:rsidR="00014566" w:rsidRPr="00114D08" w:rsidRDefault="00BB5883" w:rsidP="00114D08">
      <w:pPr>
        <w:pStyle w:val="ECHRTitle1"/>
      </w:pPr>
      <w:r w:rsidRPr="00114D08">
        <w:t>FOR THESE REASONS, THE COURT</w:t>
      </w:r>
      <w:r w:rsidR="00D268FB" w:rsidRPr="00114D08">
        <w:t>, UNANIMOUSLY,</w:t>
      </w:r>
    </w:p>
    <w:p w:rsidR="00B637B9" w:rsidRPr="00114D08" w:rsidRDefault="00B637B9" w:rsidP="00114D08">
      <w:pPr>
        <w:pStyle w:val="JuList"/>
      </w:pPr>
      <w:r w:rsidRPr="00114D08">
        <w:t>1.  </w:t>
      </w:r>
      <w:r w:rsidR="00653FB0" w:rsidRPr="00114D08">
        <w:rPr>
          <w:i/>
        </w:rPr>
        <w:t xml:space="preserve">Rejects </w:t>
      </w:r>
      <w:r w:rsidR="00653FB0" w:rsidRPr="00114D08">
        <w:t>the Government</w:t>
      </w:r>
      <w:r w:rsidR="00114D08" w:rsidRPr="00114D08">
        <w:t>’</w:t>
      </w:r>
      <w:r w:rsidR="00653FB0" w:rsidRPr="00114D08">
        <w:t>s request to strike the application out of the list</w:t>
      </w:r>
      <w:r w:rsidRPr="00114D08">
        <w:t>;</w:t>
      </w:r>
    </w:p>
    <w:p w:rsidR="0038543B" w:rsidRPr="00114D08" w:rsidRDefault="0038543B" w:rsidP="00114D08">
      <w:pPr>
        <w:pStyle w:val="JuList"/>
      </w:pPr>
    </w:p>
    <w:p w:rsidR="00653FB0" w:rsidRPr="00114D08" w:rsidRDefault="00653FB0" w:rsidP="00114D08">
      <w:pPr>
        <w:pStyle w:val="JuList"/>
      </w:pPr>
      <w:r w:rsidRPr="00114D08">
        <w:t>2.  </w:t>
      </w:r>
      <w:r w:rsidRPr="00114D08">
        <w:rPr>
          <w:i/>
        </w:rPr>
        <w:t>Declares</w:t>
      </w:r>
      <w:r w:rsidRPr="00114D08">
        <w:rPr>
          <w:color w:val="000000"/>
        </w:rPr>
        <w:t xml:space="preserve"> </w:t>
      </w:r>
      <w:r w:rsidRPr="00114D08">
        <w:t>the application admissible;</w:t>
      </w:r>
    </w:p>
    <w:p w:rsidR="00014566" w:rsidRPr="00114D08" w:rsidRDefault="00014566" w:rsidP="00114D08">
      <w:pPr>
        <w:pStyle w:val="JuList"/>
        <w:ind w:left="0" w:firstLine="0"/>
      </w:pPr>
    </w:p>
    <w:p w:rsidR="00014566" w:rsidRPr="00114D08" w:rsidRDefault="00653FB0" w:rsidP="00114D08">
      <w:pPr>
        <w:pStyle w:val="JuList"/>
      </w:pPr>
      <w:r w:rsidRPr="00114D08">
        <w:t>3</w:t>
      </w:r>
      <w:r w:rsidR="00014566" w:rsidRPr="00114D08">
        <w:t>.  </w:t>
      </w:r>
      <w:r w:rsidR="00014566" w:rsidRPr="00114D08">
        <w:rPr>
          <w:i/>
        </w:rPr>
        <w:t>Holds</w:t>
      </w:r>
      <w:r w:rsidR="00014566" w:rsidRPr="00114D08">
        <w:rPr>
          <w:color w:val="000000"/>
        </w:rPr>
        <w:t xml:space="preserve"> </w:t>
      </w:r>
      <w:r w:rsidR="00014566" w:rsidRPr="00114D08">
        <w:t xml:space="preserve">that there has been </w:t>
      </w:r>
      <w:r w:rsidR="00114D08" w:rsidRPr="00114D08">
        <w:t xml:space="preserve">a </w:t>
      </w:r>
      <w:r w:rsidR="00014566" w:rsidRPr="00114D08">
        <w:t xml:space="preserve">violation of Article </w:t>
      </w:r>
      <w:r w:rsidR="009A0B50" w:rsidRPr="00114D08">
        <w:t>3</w:t>
      </w:r>
      <w:r w:rsidR="00014566" w:rsidRPr="00114D08">
        <w:t xml:space="preserve"> of the Convention;</w:t>
      </w:r>
    </w:p>
    <w:p w:rsidR="00014566" w:rsidRPr="00114D08" w:rsidRDefault="00014566" w:rsidP="00114D08">
      <w:pPr>
        <w:pStyle w:val="JuList"/>
        <w:ind w:left="0" w:firstLine="0"/>
      </w:pPr>
    </w:p>
    <w:p w:rsidR="00E124A1" w:rsidRPr="00114D08" w:rsidRDefault="00653FB0" w:rsidP="00114D08">
      <w:pPr>
        <w:pStyle w:val="JuList"/>
      </w:pPr>
      <w:r w:rsidRPr="00114D08">
        <w:t>4</w:t>
      </w:r>
      <w:r w:rsidR="00014566" w:rsidRPr="00114D08">
        <w:t>.  </w:t>
      </w:r>
      <w:r w:rsidR="00014566" w:rsidRPr="00114D08">
        <w:rPr>
          <w:i/>
        </w:rPr>
        <w:t>Holds</w:t>
      </w:r>
    </w:p>
    <w:p w:rsidR="00911D25" w:rsidRPr="00114D08" w:rsidRDefault="00014566" w:rsidP="00114D08">
      <w:pPr>
        <w:pStyle w:val="JuLista"/>
      </w:pPr>
      <w:r w:rsidRPr="00114D08">
        <w:t>(a)  </w:t>
      </w:r>
      <w:r w:rsidR="00911D25" w:rsidRPr="00114D08">
        <w:t>that the respondent State is to pay the applicant within three months EUR</w:t>
      </w:r>
      <w:r w:rsidR="00033467" w:rsidRPr="00114D08">
        <w:t> </w:t>
      </w:r>
      <w:r w:rsidR="00911D25" w:rsidRPr="00114D08">
        <w:t>1</w:t>
      </w:r>
      <w:r w:rsidR="00E9223A" w:rsidRPr="00114D08">
        <w:t>,800</w:t>
      </w:r>
      <w:r w:rsidR="00911D25" w:rsidRPr="00114D08">
        <w:t xml:space="preserve"> (</w:t>
      </w:r>
      <w:r w:rsidR="00E9223A" w:rsidRPr="00114D08">
        <w:t>one</w:t>
      </w:r>
      <w:r w:rsidR="00911D25" w:rsidRPr="00114D08">
        <w:t xml:space="preserve"> thousa</w:t>
      </w:r>
      <w:r w:rsidR="00703787" w:rsidRPr="00114D08">
        <w:t>nd eight</w:t>
      </w:r>
      <w:r w:rsidR="00911D25" w:rsidRPr="00114D08">
        <w:t xml:space="preserve"> hundred euros), plus any tax that may be chargeable, in respect of non-pecuniary damage, to be converted into the currency of the respondent State at the rate applicable at the date of settlement</w:t>
      </w:r>
      <w:r w:rsidR="00BB6F6A" w:rsidRPr="00114D08">
        <w:t>;</w:t>
      </w:r>
    </w:p>
    <w:p w:rsidR="00014566" w:rsidRPr="00114D08" w:rsidRDefault="00014566" w:rsidP="00114D08">
      <w:pPr>
        <w:pStyle w:val="JuLista"/>
      </w:pPr>
      <w:r w:rsidRPr="00114D08">
        <w:t>(b)  </w:t>
      </w:r>
      <w:r w:rsidR="00653FB0" w:rsidRPr="00114D08">
        <w:t xml:space="preserve">that from the expiry of the above-mentioned three months until settlement simple interest shall be payable on the above amount at </w:t>
      </w:r>
      <w:r w:rsidR="00114D08" w:rsidRPr="00114D08">
        <w:t xml:space="preserve">a </w:t>
      </w:r>
      <w:r w:rsidR="00653FB0" w:rsidRPr="00114D08">
        <w:t>rate equal to the marginal lending rate of the European Central Bank during the default period plus three percentage points</w:t>
      </w:r>
      <w:r w:rsidRPr="00114D08">
        <w:t>;</w:t>
      </w:r>
    </w:p>
    <w:p w:rsidR="00014566" w:rsidRPr="00114D08" w:rsidRDefault="00014566" w:rsidP="00114D08">
      <w:pPr>
        <w:pStyle w:val="JuList"/>
      </w:pPr>
    </w:p>
    <w:p w:rsidR="00014566" w:rsidRPr="00114D08" w:rsidRDefault="00653FB0" w:rsidP="00114D08">
      <w:pPr>
        <w:pStyle w:val="JuList"/>
      </w:pPr>
      <w:r w:rsidRPr="00114D08">
        <w:t>5</w:t>
      </w:r>
      <w:r w:rsidR="00014566" w:rsidRPr="00114D08">
        <w:t>.  </w:t>
      </w:r>
      <w:r w:rsidR="00014566" w:rsidRPr="00114D08">
        <w:rPr>
          <w:i/>
        </w:rPr>
        <w:t>Dismisses</w:t>
      </w:r>
      <w:r w:rsidR="00014566" w:rsidRPr="00114D08">
        <w:rPr>
          <w:color w:val="000000"/>
        </w:rPr>
        <w:t xml:space="preserve"> </w:t>
      </w:r>
      <w:r w:rsidR="00014566" w:rsidRPr="00114D08">
        <w:t>the remainder of the applicant</w:t>
      </w:r>
      <w:r w:rsidR="00114D08" w:rsidRPr="00114D08">
        <w:t>’</w:t>
      </w:r>
      <w:r w:rsidR="00D268FB" w:rsidRPr="00114D08">
        <w:t>s</w:t>
      </w:r>
      <w:r w:rsidR="00014566" w:rsidRPr="00114D08">
        <w:t xml:space="preserve"> claim for just satisfaction.</w:t>
      </w:r>
    </w:p>
    <w:p w:rsidR="00014566" w:rsidRPr="00114D08" w:rsidRDefault="00014566" w:rsidP="00114D08">
      <w:pPr>
        <w:pStyle w:val="JuParaLast"/>
      </w:pPr>
      <w:r w:rsidRPr="00114D08">
        <w:t xml:space="preserve">Done in English, and notified in writing on </w:t>
      </w:r>
      <w:r w:rsidR="005063E8" w:rsidRPr="00114D08">
        <w:t>12 July 2018</w:t>
      </w:r>
      <w:r w:rsidR="00C915FB" w:rsidRPr="00114D08">
        <w:t>, pursuant to Rule </w:t>
      </w:r>
      <w:r w:rsidRPr="00114D08">
        <w:t>77</w:t>
      </w:r>
      <w:r w:rsidR="00C915FB" w:rsidRPr="00114D08">
        <w:t> </w:t>
      </w:r>
      <w:r w:rsidRPr="00114D08">
        <w:t>§§</w:t>
      </w:r>
      <w:r w:rsidR="00C915FB" w:rsidRPr="00114D08">
        <w:t> </w:t>
      </w:r>
      <w:r w:rsidRPr="00114D08">
        <w:t>2 and 3 of the Rules of Court.</w:t>
      </w:r>
    </w:p>
    <w:p w:rsidR="00014566" w:rsidRPr="00114D08" w:rsidRDefault="00014566" w:rsidP="00114D08">
      <w:pPr>
        <w:pStyle w:val="JuSigned"/>
        <w:rPr>
          <w:lang w:val="it-IT"/>
        </w:rPr>
      </w:pPr>
      <w:r w:rsidRPr="00114D08">
        <w:tab/>
      </w:r>
      <w:r w:rsidR="00813867" w:rsidRPr="00114D08">
        <w:rPr>
          <w:lang w:val="it-IT"/>
        </w:rPr>
        <w:t>Abel Campos</w:t>
      </w:r>
      <w:r w:rsidRPr="00114D08">
        <w:rPr>
          <w:lang w:val="it-IT"/>
        </w:rPr>
        <w:tab/>
      </w:r>
      <w:r w:rsidR="005063E8" w:rsidRPr="00114D08">
        <w:rPr>
          <w:lang w:val="it-IT"/>
        </w:rPr>
        <w:t>Aleš Pejchal</w:t>
      </w:r>
      <w:r w:rsidR="00E1557C" w:rsidRPr="00114D08">
        <w:rPr>
          <w:szCs w:val="24"/>
          <w:lang w:val="it-IT"/>
        </w:rPr>
        <w:br/>
      </w:r>
      <w:r w:rsidRPr="00114D08">
        <w:rPr>
          <w:lang w:val="it-IT"/>
        </w:rPr>
        <w:tab/>
      </w:r>
      <w:r w:rsidR="00D268FB" w:rsidRPr="00114D08">
        <w:rPr>
          <w:iCs/>
          <w:lang w:val="it-IT"/>
        </w:rPr>
        <w:t>Registrar</w:t>
      </w:r>
      <w:r w:rsidRPr="00114D08">
        <w:rPr>
          <w:lang w:val="it-IT"/>
        </w:rPr>
        <w:tab/>
        <w:t>President</w:t>
      </w:r>
    </w:p>
    <w:sectPr w:rsidR="00014566" w:rsidRPr="00114D08" w:rsidSect="00B1731A">
      <w:headerReference w:type="even" r:id="rId15"/>
      <w:headerReference w:type="default" r:id="rId16"/>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0210" w:rsidRPr="003152BA" w:rsidRDefault="00EB0210" w:rsidP="00014566">
      <w:r w:rsidRPr="003152BA">
        <w:separator/>
      </w:r>
    </w:p>
  </w:endnote>
  <w:endnote w:type="continuationSeparator" w:id="0">
    <w:p w:rsidR="00EB0210" w:rsidRPr="003152BA" w:rsidRDefault="00EB0210" w:rsidP="00014566">
      <w:r w:rsidRPr="003152B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31A" w:rsidRPr="00150BFA" w:rsidRDefault="00B1731A" w:rsidP="0020718E">
    <w:pPr>
      <w:jc w:val="center"/>
    </w:pPr>
    <w:r>
      <w:rPr>
        <w:noProof/>
        <w:lang w:val="pl-PL" w:eastAsia="pl-PL"/>
      </w:rPr>
      <w:drawing>
        <wp:inline distT="0" distB="0" distL="0" distR="0" wp14:anchorId="6E1A4D46" wp14:editId="0213609B">
          <wp:extent cx="771525" cy="619125"/>
          <wp:effectExtent l="0" t="0" r="9525" b="9525"/>
          <wp:docPr id="17" name="Picture 1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B1731A" w:rsidRDefault="00B1731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0210" w:rsidRPr="003152BA" w:rsidRDefault="00EB0210" w:rsidP="00014566">
      <w:r w:rsidRPr="003152BA">
        <w:separator/>
      </w:r>
    </w:p>
  </w:footnote>
  <w:footnote w:type="continuationSeparator" w:id="0">
    <w:p w:rsidR="00EB0210" w:rsidRPr="003152BA" w:rsidRDefault="00EB0210" w:rsidP="00014566">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0188" w:rsidRPr="00B1731A" w:rsidRDefault="00EA0188" w:rsidP="00B1731A">
    <w:pPr>
      <w:pStyle w:val="Nagwek"/>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31A" w:rsidRPr="00A45145" w:rsidRDefault="00B1731A" w:rsidP="00A45145">
    <w:pPr>
      <w:jc w:val="center"/>
    </w:pPr>
    <w:r>
      <w:rPr>
        <w:noProof/>
        <w:lang w:val="pl-PL" w:eastAsia="pl-PL"/>
      </w:rPr>
      <w:drawing>
        <wp:inline distT="0" distB="0" distL="0" distR="0" wp14:anchorId="23BF157C" wp14:editId="74A80D7C">
          <wp:extent cx="2962275" cy="1219200"/>
          <wp:effectExtent l="0" t="0" r="9525" b="0"/>
          <wp:docPr id="16" name="Picture 16"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EA0188" w:rsidRDefault="00EA0188">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31A" w:rsidRPr="003152BA" w:rsidRDefault="00B1731A" w:rsidP="00EE1DA9">
    <w:pPr>
      <w:pStyle w:val="ECHRHeader"/>
    </w:pPr>
    <w:r>
      <w:rPr>
        <w:rStyle w:val="Numerstrony"/>
        <w:szCs w:val="18"/>
      </w:rPr>
      <w:fldChar w:fldCharType="begin"/>
    </w:r>
    <w:r>
      <w:rPr>
        <w:rStyle w:val="Numerstrony"/>
        <w:szCs w:val="18"/>
      </w:rPr>
      <w:instrText xml:space="preserve"> PAGE </w:instrText>
    </w:r>
    <w:r>
      <w:rPr>
        <w:rStyle w:val="Numerstrony"/>
        <w:szCs w:val="18"/>
      </w:rPr>
      <w:fldChar w:fldCharType="separate"/>
    </w:r>
    <w:r w:rsidR="00114D08">
      <w:rPr>
        <w:rStyle w:val="Numerstrony"/>
        <w:noProof/>
        <w:szCs w:val="18"/>
      </w:rPr>
      <w:t>6</w:t>
    </w:r>
    <w:r>
      <w:rPr>
        <w:rStyle w:val="Numerstrony"/>
        <w:szCs w:val="18"/>
      </w:rPr>
      <w:fldChar w:fldCharType="end"/>
    </w:r>
    <w:r w:rsidRPr="003152BA">
      <w:tab/>
    </w:r>
    <w:r>
      <w:t>WOŁOSOWICZ v. POLAND</w:t>
    </w:r>
    <w:r w:rsidRPr="003152BA">
      <w:t xml:space="preserve"> </w:t>
    </w:r>
    <w: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731A" w:rsidRPr="003152BA" w:rsidRDefault="00B1731A" w:rsidP="00D60D87">
    <w:pPr>
      <w:pStyle w:val="ECHRHeader"/>
    </w:pPr>
    <w:r w:rsidRPr="003152BA">
      <w:tab/>
    </w:r>
    <w:r>
      <w:t>WOŁOSOWICZ v. POLAND</w:t>
    </w:r>
    <w:r w:rsidRPr="003152BA">
      <w:t xml:space="preserve"> </w:t>
    </w:r>
    <w:r>
      <w:t>JUDGMENT</w:t>
    </w:r>
    <w:r w:rsidRPr="003152BA">
      <w:tab/>
    </w:r>
    <w:r>
      <w:rPr>
        <w:rStyle w:val="Numerstrony"/>
        <w:szCs w:val="18"/>
      </w:rPr>
      <w:fldChar w:fldCharType="begin"/>
    </w:r>
    <w:r>
      <w:rPr>
        <w:rStyle w:val="Numerstrony"/>
        <w:szCs w:val="18"/>
      </w:rPr>
      <w:instrText xml:space="preserve"> PAGE </w:instrText>
    </w:r>
    <w:r>
      <w:rPr>
        <w:rStyle w:val="Numerstrony"/>
        <w:szCs w:val="18"/>
      </w:rPr>
      <w:fldChar w:fldCharType="separate"/>
    </w:r>
    <w:r w:rsidR="0033409A">
      <w:rPr>
        <w:rStyle w:val="Numerstrony"/>
        <w:noProof/>
        <w:szCs w:val="18"/>
      </w:rPr>
      <w:t>1</w:t>
    </w:r>
    <w:r>
      <w:rPr>
        <w:rStyle w:val="Numerstrony"/>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2">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3">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1"/>
  </w:num>
  <w:num w:numId="2">
    <w:abstractNumId w:val="10"/>
  </w:num>
  <w:num w:numId="3">
    <w:abstractNumId w:val="9"/>
  </w:num>
  <w:num w:numId="4">
    <w:abstractNumId w:val="13"/>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D268FB"/>
    <w:rsid w:val="00000067"/>
    <w:rsid w:val="000010ED"/>
    <w:rsid w:val="000041F8"/>
    <w:rsid w:val="000042A8"/>
    <w:rsid w:val="00004308"/>
    <w:rsid w:val="00005BF0"/>
    <w:rsid w:val="00007154"/>
    <w:rsid w:val="000103AE"/>
    <w:rsid w:val="00011D69"/>
    <w:rsid w:val="00012AD3"/>
    <w:rsid w:val="00013C28"/>
    <w:rsid w:val="00014566"/>
    <w:rsid w:val="00015C2D"/>
    <w:rsid w:val="00015F00"/>
    <w:rsid w:val="00022C1D"/>
    <w:rsid w:val="00033467"/>
    <w:rsid w:val="00034987"/>
    <w:rsid w:val="000350E3"/>
    <w:rsid w:val="00053EDD"/>
    <w:rsid w:val="00054FEE"/>
    <w:rsid w:val="000602DF"/>
    <w:rsid w:val="00061B05"/>
    <w:rsid w:val="00062973"/>
    <w:rsid w:val="00062D5D"/>
    <w:rsid w:val="000632D5"/>
    <w:rsid w:val="000644EE"/>
    <w:rsid w:val="00066F84"/>
    <w:rsid w:val="00071ABC"/>
    <w:rsid w:val="00082EA2"/>
    <w:rsid w:val="000856D7"/>
    <w:rsid w:val="000902AD"/>
    <w:rsid w:val="000925AD"/>
    <w:rsid w:val="0009437C"/>
    <w:rsid w:val="000A24EB"/>
    <w:rsid w:val="000B6923"/>
    <w:rsid w:val="000C033C"/>
    <w:rsid w:val="000C5F3C"/>
    <w:rsid w:val="000C6DCC"/>
    <w:rsid w:val="000D47AA"/>
    <w:rsid w:val="000D721F"/>
    <w:rsid w:val="000E069B"/>
    <w:rsid w:val="000E0E82"/>
    <w:rsid w:val="000E1DC5"/>
    <w:rsid w:val="000E223F"/>
    <w:rsid w:val="000E35AC"/>
    <w:rsid w:val="000E7D45"/>
    <w:rsid w:val="000F338C"/>
    <w:rsid w:val="000F7851"/>
    <w:rsid w:val="00104E23"/>
    <w:rsid w:val="00111B0C"/>
    <w:rsid w:val="00114D08"/>
    <w:rsid w:val="00120D6C"/>
    <w:rsid w:val="00123B64"/>
    <w:rsid w:val="001257EC"/>
    <w:rsid w:val="00126A7F"/>
    <w:rsid w:val="00132C6A"/>
    <w:rsid w:val="00133D33"/>
    <w:rsid w:val="00134D64"/>
    <w:rsid w:val="00135A30"/>
    <w:rsid w:val="0013612C"/>
    <w:rsid w:val="00137FF6"/>
    <w:rsid w:val="00141650"/>
    <w:rsid w:val="001457D8"/>
    <w:rsid w:val="00162A12"/>
    <w:rsid w:val="00166530"/>
    <w:rsid w:val="00173175"/>
    <w:rsid w:val="001832BD"/>
    <w:rsid w:val="001943B5"/>
    <w:rsid w:val="00195134"/>
    <w:rsid w:val="001A145B"/>
    <w:rsid w:val="001A674C"/>
    <w:rsid w:val="001B3B24"/>
    <w:rsid w:val="001B4A12"/>
    <w:rsid w:val="001B7DBC"/>
    <w:rsid w:val="001C0F98"/>
    <w:rsid w:val="001C2A42"/>
    <w:rsid w:val="001D63ED"/>
    <w:rsid w:val="001D7348"/>
    <w:rsid w:val="001E035B"/>
    <w:rsid w:val="001E0961"/>
    <w:rsid w:val="001E3EAE"/>
    <w:rsid w:val="001E5348"/>
    <w:rsid w:val="001E6F32"/>
    <w:rsid w:val="001F2145"/>
    <w:rsid w:val="001F2E06"/>
    <w:rsid w:val="001F6262"/>
    <w:rsid w:val="001F67B0"/>
    <w:rsid w:val="001F7B3D"/>
    <w:rsid w:val="00205F9F"/>
    <w:rsid w:val="00210338"/>
    <w:rsid w:val="00210780"/>
    <w:rsid w:val="002115FC"/>
    <w:rsid w:val="002133F8"/>
    <w:rsid w:val="0021423C"/>
    <w:rsid w:val="002155F4"/>
    <w:rsid w:val="00230D00"/>
    <w:rsid w:val="00231DF7"/>
    <w:rsid w:val="00231FD1"/>
    <w:rsid w:val="002339E0"/>
    <w:rsid w:val="00233CF8"/>
    <w:rsid w:val="0023575D"/>
    <w:rsid w:val="00237148"/>
    <w:rsid w:val="0024222D"/>
    <w:rsid w:val="00244B0E"/>
    <w:rsid w:val="00244F6C"/>
    <w:rsid w:val="00247622"/>
    <w:rsid w:val="002532C5"/>
    <w:rsid w:val="00260C03"/>
    <w:rsid w:val="0026540E"/>
    <w:rsid w:val="00267504"/>
    <w:rsid w:val="0027225C"/>
    <w:rsid w:val="00275123"/>
    <w:rsid w:val="00282240"/>
    <w:rsid w:val="0028572A"/>
    <w:rsid w:val="002948AD"/>
    <w:rsid w:val="00294C05"/>
    <w:rsid w:val="00294C92"/>
    <w:rsid w:val="002A01CC"/>
    <w:rsid w:val="002A61B1"/>
    <w:rsid w:val="002A663C"/>
    <w:rsid w:val="002B1E6C"/>
    <w:rsid w:val="002B444B"/>
    <w:rsid w:val="002B5887"/>
    <w:rsid w:val="002C0692"/>
    <w:rsid w:val="002C0E27"/>
    <w:rsid w:val="002C13BA"/>
    <w:rsid w:val="002C3040"/>
    <w:rsid w:val="002D022D"/>
    <w:rsid w:val="002D24BB"/>
    <w:rsid w:val="002F171B"/>
    <w:rsid w:val="002F2AF7"/>
    <w:rsid w:val="002F7E1C"/>
    <w:rsid w:val="00301A75"/>
    <w:rsid w:val="00302F70"/>
    <w:rsid w:val="0030336F"/>
    <w:rsid w:val="0030375E"/>
    <w:rsid w:val="0031102C"/>
    <w:rsid w:val="00312A30"/>
    <w:rsid w:val="00314A25"/>
    <w:rsid w:val="003152BA"/>
    <w:rsid w:val="00315C9B"/>
    <w:rsid w:val="00317012"/>
    <w:rsid w:val="00320F72"/>
    <w:rsid w:val="0032463E"/>
    <w:rsid w:val="00326224"/>
    <w:rsid w:val="0032676F"/>
    <w:rsid w:val="00331EAC"/>
    <w:rsid w:val="0033257D"/>
    <w:rsid w:val="0033409A"/>
    <w:rsid w:val="0033474D"/>
    <w:rsid w:val="00337EE4"/>
    <w:rsid w:val="00340FFD"/>
    <w:rsid w:val="003506B1"/>
    <w:rsid w:val="003541D1"/>
    <w:rsid w:val="00356AC7"/>
    <w:rsid w:val="003609FA"/>
    <w:rsid w:val="003710C8"/>
    <w:rsid w:val="0037256E"/>
    <w:rsid w:val="003750BE"/>
    <w:rsid w:val="0038543B"/>
    <w:rsid w:val="00387B9D"/>
    <w:rsid w:val="0039364F"/>
    <w:rsid w:val="00396686"/>
    <w:rsid w:val="0039778E"/>
    <w:rsid w:val="003A441D"/>
    <w:rsid w:val="003B4941"/>
    <w:rsid w:val="003C5714"/>
    <w:rsid w:val="003C6B9F"/>
    <w:rsid w:val="003C6E2A"/>
    <w:rsid w:val="003D0299"/>
    <w:rsid w:val="003D0AE9"/>
    <w:rsid w:val="003E6D80"/>
    <w:rsid w:val="003F05FA"/>
    <w:rsid w:val="003F244A"/>
    <w:rsid w:val="003F30B8"/>
    <w:rsid w:val="003F4C45"/>
    <w:rsid w:val="003F5949"/>
    <w:rsid w:val="003F5F7B"/>
    <w:rsid w:val="003F7D64"/>
    <w:rsid w:val="00414300"/>
    <w:rsid w:val="00425C67"/>
    <w:rsid w:val="00427E7A"/>
    <w:rsid w:val="00436307"/>
    <w:rsid w:val="00436C49"/>
    <w:rsid w:val="00445366"/>
    <w:rsid w:val="00447F5B"/>
    <w:rsid w:val="00461DB0"/>
    <w:rsid w:val="00463926"/>
    <w:rsid w:val="00464097"/>
    <w:rsid w:val="004646E0"/>
    <w:rsid w:val="00464C9A"/>
    <w:rsid w:val="00464F8D"/>
    <w:rsid w:val="00474F3D"/>
    <w:rsid w:val="00477E3A"/>
    <w:rsid w:val="00483E5F"/>
    <w:rsid w:val="00485FF9"/>
    <w:rsid w:val="004907F0"/>
    <w:rsid w:val="0049140B"/>
    <w:rsid w:val="004923A5"/>
    <w:rsid w:val="00496BFB"/>
    <w:rsid w:val="004A15C7"/>
    <w:rsid w:val="004A6E21"/>
    <w:rsid w:val="004B013B"/>
    <w:rsid w:val="004B112B"/>
    <w:rsid w:val="004B251E"/>
    <w:rsid w:val="004B3BA5"/>
    <w:rsid w:val="004C01E4"/>
    <w:rsid w:val="004C086C"/>
    <w:rsid w:val="004C1F56"/>
    <w:rsid w:val="004C27BC"/>
    <w:rsid w:val="004D15F3"/>
    <w:rsid w:val="004D3052"/>
    <w:rsid w:val="004D347F"/>
    <w:rsid w:val="004D5311"/>
    <w:rsid w:val="004D5DCC"/>
    <w:rsid w:val="004E5461"/>
    <w:rsid w:val="004F10AF"/>
    <w:rsid w:val="004F11A4"/>
    <w:rsid w:val="004F2389"/>
    <w:rsid w:val="004F304D"/>
    <w:rsid w:val="004F5837"/>
    <w:rsid w:val="004F61BE"/>
    <w:rsid w:val="004F66B1"/>
    <w:rsid w:val="00502A0D"/>
    <w:rsid w:val="005063E8"/>
    <w:rsid w:val="00511C07"/>
    <w:rsid w:val="00512D5D"/>
    <w:rsid w:val="005173A6"/>
    <w:rsid w:val="00520BAA"/>
    <w:rsid w:val="00521800"/>
    <w:rsid w:val="00525208"/>
    <w:rsid w:val="005257A5"/>
    <w:rsid w:val="005264C0"/>
    <w:rsid w:val="00526A8A"/>
    <w:rsid w:val="00530586"/>
    <w:rsid w:val="00531DF2"/>
    <w:rsid w:val="00533CF7"/>
    <w:rsid w:val="00535BB8"/>
    <w:rsid w:val="005442EE"/>
    <w:rsid w:val="00547353"/>
    <w:rsid w:val="005474E7"/>
    <w:rsid w:val="005512A3"/>
    <w:rsid w:val="00556C2C"/>
    <w:rsid w:val="005578CE"/>
    <w:rsid w:val="00562781"/>
    <w:rsid w:val="00563E83"/>
    <w:rsid w:val="0057104B"/>
    <w:rsid w:val="0057271C"/>
    <w:rsid w:val="00572845"/>
    <w:rsid w:val="00592772"/>
    <w:rsid w:val="0059574A"/>
    <w:rsid w:val="005A1B9B"/>
    <w:rsid w:val="005A3B7B"/>
    <w:rsid w:val="005A6751"/>
    <w:rsid w:val="005B092E"/>
    <w:rsid w:val="005B152C"/>
    <w:rsid w:val="005B1EE0"/>
    <w:rsid w:val="005B2B24"/>
    <w:rsid w:val="005B4425"/>
    <w:rsid w:val="005B4B94"/>
    <w:rsid w:val="005C3EE8"/>
    <w:rsid w:val="005D10DB"/>
    <w:rsid w:val="005D34F9"/>
    <w:rsid w:val="005D4190"/>
    <w:rsid w:val="005D67A3"/>
    <w:rsid w:val="005E2988"/>
    <w:rsid w:val="005E2A43"/>
    <w:rsid w:val="005E3085"/>
    <w:rsid w:val="005E438A"/>
    <w:rsid w:val="005F51E1"/>
    <w:rsid w:val="00611C80"/>
    <w:rsid w:val="006131D2"/>
    <w:rsid w:val="00620692"/>
    <w:rsid w:val="006242CA"/>
    <w:rsid w:val="00627507"/>
    <w:rsid w:val="00633717"/>
    <w:rsid w:val="00633E63"/>
    <w:rsid w:val="006344E1"/>
    <w:rsid w:val="00640648"/>
    <w:rsid w:val="00653FB0"/>
    <w:rsid w:val="006545C4"/>
    <w:rsid w:val="00661971"/>
    <w:rsid w:val="00661CE8"/>
    <w:rsid w:val="006623D9"/>
    <w:rsid w:val="0066550C"/>
    <w:rsid w:val="006716F2"/>
    <w:rsid w:val="00682BF2"/>
    <w:rsid w:val="006859CE"/>
    <w:rsid w:val="00691270"/>
    <w:rsid w:val="00694BA8"/>
    <w:rsid w:val="006A037C"/>
    <w:rsid w:val="006A36F4"/>
    <w:rsid w:val="006A406F"/>
    <w:rsid w:val="006A5D3A"/>
    <w:rsid w:val="006C23D4"/>
    <w:rsid w:val="006C30B2"/>
    <w:rsid w:val="006C7BB0"/>
    <w:rsid w:val="006C7C1E"/>
    <w:rsid w:val="006D3237"/>
    <w:rsid w:val="006E2E37"/>
    <w:rsid w:val="006E3CF1"/>
    <w:rsid w:val="006E7E80"/>
    <w:rsid w:val="006F1DF9"/>
    <w:rsid w:val="006F24DB"/>
    <w:rsid w:val="006F48CA"/>
    <w:rsid w:val="006F64DD"/>
    <w:rsid w:val="007000A7"/>
    <w:rsid w:val="00703787"/>
    <w:rsid w:val="00715127"/>
    <w:rsid w:val="00715E8E"/>
    <w:rsid w:val="00723580"/>
    <w:rsid w:val="00723755"/>
    <w:rsid w:val="00726C9F"/>
    <w:rsid w:val="0073136C"/>
    <w:rsid w:val="00731F0F"/>
    <w:rsid w:val="00733250"/>
    <w:rsid w:val="00736A25"/>
    <w:rsid w:val="00741404"/>
    <w:rsid w:val="007449E5"/>
    <w:rsid w:val="00746C5A"/>
    <w:rsid w:val="00747FF0"/>
    <w:rsid w:val="007509D5"/>
    <w:rsid w:val="00764D4E"/>
    <w:rsid w:val="00765A1F"/>
    <w:rsid w:val="00774A6E"/>
    <w:rsid w:val="00775B6D"/>
    <w:rsid w:val="00776D68"/>
    <w:rsid w:val="007850EE"/>
    <w:rsid w:val="00785B95"/>
    <w:rsid w:val="00790E96"/>
    <w:rsid w:val="00793366"/>
    <w:rsid w:val="007A716F"/>
    <w:rsid w:val="007B270A"/>
    <w:rsid w:val="007C0695"/>
    <w:rsid w:val="007C31FC"/>
    <w:rsid w:val="007C419A"/>
    <w:rsid w:val="007C4CC8"/>
    <w:rsid w:val="007C5426"/>
    <w:rsid w:val="007C5798"/>
    <w:rsid w:val="007D4832"/>
    <w:rsid w:val="007E21B2"/>
    <w:rsid w:val="007E2C4E"/>
    <w:rsid w:val="007F0049"/>
    <w:rsid w:val="007F1905"/>
    <w:rsid w:val="0080048F"/>
    <w:rsid w:val="00801300"/>
    <w:rsid w:val="00802C64"/>
    <w:rsid w:val="00805E52"/>
    <w:rsid w:val="008061D0"/>
    <w:rsid w:val="008106C8"/>
    <w:rsid w:val="00810B38"/>
    <w:rsid w:val="00811F84"/>
    <w:rsid w:val="00813867"/>
    <w:rsid w:val="008204C7"/>
    <w:rsid w:val="00820992"/>
    <w:rsid w:val="00823602"/>
    <w:rsid w:val="008255F5"/>
    <w:rsid w:val="008278B6"/>
    <w:rsid w:val="0083014E"/>
    <w:rsid w:val="0083214A"/>
    <w:rsid w:val="00834220"/>
    <w:rsid w:val="00845723"/>
    <w:rsid w:val="00851EF9"/>
    <w:rsid w:val="008577FD"/>
    <w:rsid w:val="00860B03"/>
    <w:rsid w:val="0086497A"/>
    <w:rsid w:val="008713A1"/>
    <w:rsid w:val="008754AB"/>
    <w:rsid w:val="0087666F"/>
    <w:rsid w:val="0088060C"/>
    <w:rsid w:val="00880B07"/>
    <w:rsid w:val="00893576"/>
    <w:rsid w:val="00893E73"/>
    <w:rsid w:val="008A3959"/>
    <w:rsid w:val="008A43C4"/>
    <w:rsid w:val="008B02DC"/>
    <w:rsid w:val="008B57CE"/>
    <w:rsid w:val="008B659F"/>
    <w:rsid w:val="008C26DE"/>
    <w:rsid w:val="008D2225"/>
    <w:rsid w:val="008D4752"/>
    <w:rsid w:val="008D552A"/>
    <w:rsid w:val="008E271C"/>
    <w:rsid w:val="008E418E"/>
    <w:rsid w:val="008E5BC6"/>
    <w:rsid w:val="008E6A25"/>
    <w:rsid w:val="008F5193"/>
    <w:rsid w:val="009013A7"/>
    <w:rsid w:val="009017FB"/>
    <w:rsid w:val="009017FC"/>
    <w:rsid w:val="00903B43"/>
    <w:rsid w:val="0090506B"/>
    <w:rsid w:val="009050C9"/>
    <w:rsid w:val="009066FC"/>
    <w:rsid w:val="00911D25"/>
    <w:rsid w:val="009140A3"/>
    <w:rsid w:val="009144A2"/>
    <w:rsid w:val="0091510C"/>
    <w:rsid w:val="0091780B"/>
    <w:rsid w:val="009259AC"/>
    <w:rsid w:val="00926F38"/>
    <w:rsid w:val="00934301"/>
    <w:rsid w:val="00936CD1"/>
    <w:rsid w:val="00941747"/>
    <w:rsid w:val="00941EFB"/>
    <w:rsid w:val="00942497"/>
    <w:rsid w:val="0094645E"/>
    <w:rsid w:val="00947AFB"/>
    <w:rsid w:val="00951D7D"/>
    <w:rsid w:val="00952C12"/>
    <w:rsid w:val="009630C7"/>
    <w:rsid w:val="009703DD"/>
    <w:rsid w:val="00972B55"/>
    <w:rsid w:val="009743B7"/>
    <w:rsid w:val="0098228B"/>
    <w:rsid w:val="009828DA"/>
    <w:rsid w:val="00982CE5"/>
    <w:rsid w:val="00985BAB"/>
    <w:rsid w:val="00997F03"/>
    <w:rsid w:val="009A0B50"/>
    <w:rsid w:val="009A46DF"/>
    <w:rsid w:val="009B1B5F"/>
    <w:rsid w:val="009B2EC2"/>
    <w:rsid w:val="009B6673"/>
    <w:rsid w:val="009C191B"/>
    <w:rsid w:val="009C2BD6"/>
    <w:rsid w:val="009C35B7"/>
    <w:rsid w:val="009C763A"/>
    <w:rsid w:val="009E1F32"/>
    <w:rsid w:val="009E5829"/>
    <w:rsid w:val="009E776C"/>
    <w:rsid w:val="009F6BD9"/>
    <w:rsid w:val="00A130B4"/>
    <w:rsid w:val="00A1726E"/>
    <w:rsid w:val="00A17F36"/>
    <w:rsid w:val="00A204CF"/>
    <w:rsid w:val="00A23D49"/>
    <w:rsid w:val="00A27004"/>
    <w:rsid w:val="00A30C29"/>
    <w:rsid w:val="00A34DD6"/>
    <w:rsid w:val="00A36819"/>
    <w:rsid w:val="00A36989"/>
    <w:rsid w:val="00A43628"/>
    <w:rsid w:val="00A5170F"/>
    <w:rsid w:val="00A54192"/>
    <w:rsid w:val="00A6035E"/>
    <w:rsid w:val="00A6129E"/>
    <w:rsid w:val="00A6144C"/>
    <w:rsid w:val="00A66617"/>
    <w:rsid w:val="00A671F8"/>
    <w:rsid w:val="00A673A4"/>
    <w:rsid w:val="00A70C71"/>
    <w:rsid w:val="00A724AE"/>
    <w:rsid w:val="00A73329"/>
    <w:rsid w:val="00A82359"/>
    <w:rsid w:val="00A852A3"/>
    <w:rsid w:val="00A865D2"/>
    <w:rsid w:val="00A94C20"/>
    <w:rsid w:val="00A96ED6"/>
    <w:rsid w:val="00AA227F"/>
    <w:rsid w:val="00AA3258"/>
    <w:rsid w:val="00AA3BC7"/>
    <w:rsid w:val="00AA754A"/>
    <w:rsid w:val="00AB099E"/>
    <w:rsid w:val="00AB4328"/>
    <w:rsid w:val="00AB57ED"/>
    <w:rsid w:val="00AB5FA0"/>
    <w:rsid w:val="00AE078E"/>
    <w:rsid w:val="00AE0A2E"/>
    <w:rsid w:val="00AE354C"/>
    <w:rsid w:val="00AF4B07"/>
    <w:rsid w:val="00AF6186"/>
    <w:rsid w:val="00AF7A3A"/>
    <w:rsid w:val="00B160DB"/>
    <w:rsid w:val="00B1731A"/>
    <w:rsid w:val="00B20836"/>
    <w:rsid w:val="00B235BB"/>
    <w:rsid w:val="00B27A44"/>
    <w:rsid w:val="00B30BBF"/>
    <w:rsid w:val="00B33C03"/>
    <w:rsid w:val="00B44D64"/>
    <w:rsid w:val="00B44E56"/>
    <w:rsid w:val="00B46543"/>
    <w:rsid w:val="00B47D33"/>
    <w:rsid w:val="00B52BE0"/>
    <w:rsid w:val="00B54133"/>
    <w:rsid w:val="00B637B9"/>
    <w:rsid w:val="00B701ED"/>
    <w:rsid w:val="00B8086C"/>
    <w:rsid w:val="00B861B4"/>
    <w:rsid w:val="00B86DFE"/>
    <w:rsid w:val="00B90990"/>
    <w:rsid w:val="00B922FF"/>
    <w:rsid w:val="00B92491"/>
    <w:rsid w:val="00B9281E"/>
    <w:rsid w:val="00B93925"/>
    <w:rsid w:val="00B95187"/>
    <w:rsid w:val="00BA2D55"/>
    <w:rsid w:val="00BA71B1"/>
    <w:rsid w:val="00BB0637"/>
    <w:rsid w:val="00BB345F"/>
    <w:rsid w:val="00BB5883"/>
    <w:rsid w:val="00BB68EA"/>
    <w:rsid w:val="00BB6F6A"/>
    <w:rsid w:val="00BC1C27"/>
    <w:rsid w:val="00BC6BBF"/>
    <w:rsid w:val="00BD1572"/>
    <w:rsid w:val="00BD548B"/>
    <w:rsid w:val="00BE14E3"/>
    <w:rsid w:val="00BE3774"/>
    <w:rsid w:val="00BE41E5"/>
    <w:rsid w:val="00BF0BBB"/>
    <w:rsid w:val="00BF4109"/>
    <w:rsid w:val="00BF4CC3"/>
    <w:rsid w:val="00C054C7"/>
    <w:rsid w:val="00C057B5"/>
    <w:rsid w:val="00C058F1"/>
    <w:rsid w:val="00C15E51"/>
    <w:rsid w:val="00C22687"/>
    <w:rsid w:val="00C32E4D"/>
    <w:rsid w:val="00C333A0"/>
    <w:rsid w:val="00C36A81"/>
    <w:rsid w:val="00C41974"/>
    <w:rsid w:val="00C447AD"/>
    <w:rsid w:val="00C53F4A"/>
    <w:rsid w:val="00C54125"/>
    <w:rsid w:val="00C55B54"/>
    <w:rsid w:val="00C6098E"/>
    <w:rsid w:val="00C6152C"/>
    <w:rsid w:val="00C621C2"/>
    <w:rsid w:val="00C74810"/>
    <w:rsid w:val="00C84A3F"/>
    <w:rsid w:val="00C90D68"/>
    <w:rsid w:val="00C915FB"/>
    <w:rsid w:val="00C939FE"/>
    <w:rsid w:val="00CA4BDA"/>
    <w:rsid w:val="00CB1F66"/>
    <w:rsid w:val="00CB2951"/>
    <w:rsid w:val="00CD282B"/>
    <w:rsid w:val="00CD4C35"/>
    <w:rsid w:val="00CD7369"/>
    <w:rsid w:val="00CE0B0E"/>
    <w:rsid w:val="00CE2F1E"/>
    <w:rsid w:val="00CE3831"/>
    <w:rsid w:val="00CF416C"/>
    <w:rsid w:val="00D00ABB"/>
    <w:rsid w:val="00D02EEC"/>
    <w:rsid w:val="00D03551"/>
    <w:rsid w:val="00D06A63"/>
    <w:rsid w:val="00D07E0E"/>
    <w:rsid w:val="00D11478"/>
    <w:rsid w:val="00D12204"/>
    <w:rsid w:val="00D15ED0"/>
    <w:rsid w:val="00D21B3E"/>
    <w:rsid w:val="00D21FED"/>
    <w:rsid w:val="00D24251"/>
    <w:rsid w:val="00D268FB"/>
    <w:rsid w:val="00D343E2"/>
    <w:rsid w:val="00D361A2"/>
    <w:rsid w:val="00D44C2E"/>
    <w:rsid w:val="00D45414"/>
    <w:rsid w:val="00D53C0F"/>
    <w:rsid w:val="00D566BD"/>
    <w:rsid w:val="00D57A4D"/>
    <w:rsid w:val="00D60AA7"/>
    <w:rsid w:val="00D60D87"/>
    <w:rsid w:val="00D6435F"/>
    <w:rsid w:val="00D75E28"/>
    <w:rsid w:val="00D772C2"/>
    <w:rsid w:val="00D8008E"/>
    <w:rsid w:val="00D82C45"/>
    <w:rsid w:val="00D835EA"/>
    <w:rsid w:val="00D908A8"/>
    <w:rsid w:val="00D977B6"/>
    <w:rsid w:val="00DA4A31"/>
    <w:rsid w:val="00DA61F2"/>
    <w:rsid w:val="00DA7B04"/>
    <w:rsid w:val="00DB36C2"/>
    <w:rsid w:val="00DB7196"/>
    <w:rsid w:val="00DC169B"/>
    <w:rsid w:val="00DC1D18"/>
    <w:rsid w:val="00DC2AB9"/>
    <w:rsid w:val="00DC634D"/>
    <w:rsid w:val="00DC63F0"/>
    <w:rsid w:val="00DD5F75"/>
    <w:rsid w:val="00DD6EE5"/>
    <w:rsid w:val="00DE1B8E"/>
    <w:rsid w:val="00DE386C"/>
    <w:rsid w:val="00DE4D35"/>
    <w:rsid w:val="00DF0549"/>
    <w:rsid w:val="00DF098B"/>
    <w:rsid w:val="00DF11C4"/>
    <w:rsid w:val="00DF210C"/>
    <w:rsid w:val="00DF3C14"/>
    <w:rsid w:val="00DF4B6A"/>
    <w:rsid w:val="00E02C09"/>
    <w:rsid w:val="00E04D59"/>
    <w:rsid w:val="00E07DA1"/>
    <w:rsid w:val="00E123CB"/>
    <w:rsid w:val="00E124A1"/>
    <w:rsid w:val="00E1557C"/>
    <w:rsid w:val="00E170E2"/>
    <w:rsid w:val="00E20E13"/>
    <w:rsid w:val="00E21DBC"/>
    <w:rsid w:val="00E275D7"/>
    <w:rsid w:val="00E27DBE"/>
    <w:rsid w:val="00E32AB1"/>
    <w:rsid w:val="00E36C71"/>
    <w:rsid w:val="00E40404"/>
    <w:rsid w:val="00E4133A"/>
    <w:rsid w:val="00E459C6"/>
    <w:rsid w:val="00E47589"/>
    <w:rsid w:val="00E47EA3"/>
    <w:rsid w:val="00E64915"/>
    <w:rsid w:val="00E661D4"/>
    <w:rsid w:val="00E70091"/>
    <w:rsid w:val="00E720F5"/>
    <w:rsid w:val="00E7419F"/>
    <w:rsid w:val="00E76D47"/>
    <w:rsid w:val="00E849F7"/>
    <w:rsid w:val="00E90302"/>
    <w:rsid w:val="00E9223A"/>
    <w:rsid w:val="00E9597F"/>
    <w:rsid w:val="00E97396"/>
    <w:rsid w:val="00EA0188"/>
    <w:rsid w:val="00EA185E"/>
    <w:rsid w:val="00EA592A"/>
    <w:rsid w:val="00EA737F"/>
    <w:rsid w:val="00EB0210"/>
    <w:rsid w:val="00EB14E4"/>
    <w:rsid w:val="00EB32A5"/>
    <w:rsid w:val="00EB340B"/>
    <w:rsid w:val="00EB34ED"/>
    <w:rsid w:val="00EB689F"/>
    <w:rsid w:val="00EB7BE0"/>
    <w:rsid w:val="00EC315E"/>
    <w:rsid w:val="00ED077C"/>
    <w:rsid w:val="00ED1190"/>
    <w:rsid w:val="00ED6544"/>
    <w:rsid w:val="00EE0277"/>
    <w:rsid w:val="00EE1DA9"/>
    <w:rsid w:val="00EE3E00"/>
    <w:rsid w:val="00EE5075"/>
    <w:rsid w:val="00EE5DD2"/>
    <w:rsid w:val="00EF0073"/>
    <w:rsid w:val="00EF41F1"/>
    <w:rsid w:val="00EF4F08"/>
    <w:rsid w:val="00EF573B"/>
    <w:rsid w:val="00F00A79"/>
    <w:rsid w:val="00F00E86"/>
    <w:rsid w:val="00F00F8B"/>
    <w:rsid w:val="00F0429B"/>
    <w:rsid w:val="00F07C1E"/>
    <w:rsid w:val="00F105DB"/>
    <w:rsid w:val="00F132BC"/>
    <w:rsid w:val="00F13D80"/>
    <w:rsid w:val="00F16AAA"/>
    <w:rsid w:val="00F21161"/>
    <w:rsid w:val="00F218EF"/>
    <w:rsid w:val="00F21BC7"/>
    <w:rsid w:val="00F266A2"/>
    <w:rsid w:val="00F32269"/>
    <w:rsid w:val="00F4457E"/>
    <w:rsid w:val="00F56A6F"/>
    <w:rsid w:val="00F5709C"/>
    <w:rsid w:val="00F64EF1"/>
    <w:rsid w:val="00F74574"/>
    <w:rsid w:val="00F8765F"/>
    <w:rsid w:val="00F90767"/>
    <w:rsid w:val="00FA4B77"/>
    <w:rsid w:val="00FA685B"/>
    <w:rsid w:val="00FB0C01"/>
    <w:rsid w:val="00FB5A94"/>
    <w:rsid w:val="00FC18F2"/>
    <w:rsid w:val="00FC39E5"/>
    <w:rsid w:val="00FC3A78"/>
    <w:rsid w:val="00FC5FFE"/>
    <w:rsid w:val="00FD1005"/>
    <w:rsid w:val="00FD3180"/>
    <w:rsid w:val="00FD6C75"/>
    <w:rsid w:val="00FE71B3"/>
    <w:rsid w:val="00FF2AC9"/>
    <w:rsid w:val="00FF42C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13C28"/>
    <w:pPr>
      <w:jc w:val="both"/>
    </w:pPr>
    <w:rPr>
      <w:rFonts w:eastAsiaTheme="minorEastAsia"/>
      <w:sz w:val="24"/>
      <w:lang w:val="en-GB"/>
    </w:rPr>
  </w:style>
  <w:style w:type="paragraph" w:styleId="Nagwek1">
    <w:name w:val="heading 1"/>
    <w:basedOn w:val="Normalny"/>
    <w:next w:val="Normalny"/>
    <w:link w:val="Nagwek1Znak"/>
    <w:uiPriority w:val="99"/>
    <w:semiHidden/>
    <w:rsid w:val="00013C2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13C2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13C2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13C2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3C28"/>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13C2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3C28"/>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13C28"/>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13C28"/>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13C28"/>
    <w:rPr>
      <w:rFonts w:ascii="Tahoma" w:hAnsi="Tahoma" w:cs="Tahoma"/>
      <w:sz w:val="16"/>
      <w:szCs w:val="16"/>
    </w:rPr>
  </w:style>
  <w:style w:type="character" w:customStyle="1" w:styleId="TekstdymkaZnak">
    <w:name w:val="Tekst dymka Znak"/>
    <w:basedOn w:val="Domylnaczcionkaakapitu"/>
    <w:link w:val="Tekstdymka"/>
    <w:uiPriority w:val="99"/>
    <w:semiHidden/>
    <w:rsid w:val="00013C28"/>
    <w:rPr>
      <w:rFonts w:ascii="Tahoma" w:eastAsiaTheme="minorEastAsia" w:hAnsi="Tahoma" w:cs="Tahoma"/>
      <w:sz w:val="16"/>
      <w:szCs w:val="16"/>
      <w:lang w:val="en-GB"/>
    </w:rPr>
  </w:style>
  <w:style w:type="character" w:styleId="Tytuksiki">
    <w:name w:val="Book Title"/>
    <w:uiPriority w:val="99"/>
    <w:semiHidden/>
    <w:qFormat/>
    <w:rsid w:val="00013C28"/>
    <w:rPr>
      <w:i/>
      <w:iCs/>
      <w:smallCaps/>
      <w:spacing w:val="5"/>
    </w:rPr>
  </w:style>
  <w:style w:type="paragraph" w:customStyle="1" w:styleId="ECHRHeader">
    <w:name w:val="ECHR_Header"/>
    <w:aliases w:val="Ju_Header"/>
    <w:basedOn w:val="Nagwek"/>
    <w:uiPriority w:val="4"/>
    <w:qFormat/>
    <w:rsid w:val="00013C2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13C28"/>
    <w:pPr>
      <w:jc w:val="left"/>
    </w:pPr>
    <w:rPr>
      <w:sz w:val="8"/>
    </w:rPr>
  </w:style>
  <w:style w:type="character" w:styleId="Pogrubienie">
    <w:name w:val="Strong"/>
    <w:uiPriority w:val="99"/>
    <w:semiHidden/>
    <w:qFormat/>
    <w:rsid w:val="00013C28"/>
    <w:rPr>
      <w:b/>
      <w:bCs/>
    </w:rPr>
  </w:style>
  <w:style w:type="paragraph" w:styleId="Bezodstpw">
    <w:name w:val="No Spacing"/>
    <w:basedOn w:val="Normalny"/>
    <w:link w:val="BezodstpwZnak"/>
    <w:semiHidden/>
    <w:qFormat/>
    <w:rsid w:val="00013C28"/>
    <w:rPr>
      <w:sz w:val="22"/>
      <w:lang w:val="en-US"/>
    </w:rPr>
  </w:style>
  <w:style w:type="character" w:customStyle="1" w:styleId="BezodstpwZnak">
    <w:name w:val="Bez odstępów Znak"/>
    <w:basedOn w:val="Domylnaczcionkaakapitu"/>
    <w:link w:val="Bezodstpw"/>
    <w:semiHidden/>
    <w:rsid w:val="00013C28"/>
    <w:rPr>
      <w:rFonts w:eastAsiaTheme="minorEastAsia"/>
    </w:rPr>
  </w:style>
  <w:style w:type="paragraph" w:customStyle="1" w:styleId="ECHRFooterLine">
    <w:name w:val="ECHR_Footer_Line"/>
    <w:aliases w:val="Footer_Line"/>
    <w:basedOn w:val="Normalny"/>
    <w:next w:val="ECHRFooter"/>
    <w:uiPriority w:val="57"/>
    <w:semiHidden/>
    <w:rsid w:val="00013C2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13C28"/>
  </w:style>
  <w:style w:type="paragraph" w:customStyle="1" w:styleId="DecList">
    <w:name w:val="Dec_List"/>
    <w:basedOn w:val="Normalny"/>
    <w:uiPriority w:val="9"/>
    <w:semiHidden/>
    <w:qFormat/>
    <w:rsid w:val="00013C28"/>
    <w:pPr>
      <w:spacing w:before="240"/>
      <w:ind w:left="284"/>
    </w:pPr>
  </w:style>
  <w:style w:type="paragraph" w:customStyle="1" w:styleId="DummyStyle">
    <w:name w:val="Dummy_Style"/>
    <w:basedOn w:val="Normalny"/>
    <w:semiHidden/>
    <w:qFormat/>
    <w:rsid w:val="00013C28"/>
    <w:rPr>
      <w:color w:val="00B050"/>
    </w:rPr>
  </w:style>
  <w:style w:type="paragraph" w:customStyle="1" w:styleId="ECHRTitleCentre3">
    <w:name w:val="ECHR_Title_Centre_3"/>
    <w:aliases w:val="Ju_H_Article"/>
    <w:basedOn w:val="Normalny"/>
    <w:next w:val="ECHRParaQuote"/>
    <w:uiPriority w:val="27"/>
    <w:qFormat/>
    <w:rsid w:val="00013C2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3C2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013C28"/>
    <w:pPr>
      <w:numPr>
        <w:numId w:val="32"/>
      </w:numPr>
      <w:jc w:val="left"/>
    </w:pPr>
    <w:rPr>
      <w:b/>
    </w:rPr>
  </w:style>
  <w:style w:type="paragraph" w:customStyle="1" w:styleId="JuCourt">
    <w:name w:val="Ju_Court"/>
    <w:basedOn w:val="Normalny"/>
    <w:next w:val="Normalny"/>
    <w:uiPriority w:val="16"/>
    <w:qFormat/>
    <w:rsid w:val="00013C2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013C2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013C28"/>
    <w:pPr>
      <w:spacing w:after="240"/>
      <w:jc w:val="center"/>
      <w:outlineLvl w:val="0"/>
    </w:pPr>
    <w:rPr>
      <w:rFonts w:asciiTheme="majorHAnsi" w:hAnsiTheme="majorHAnsi"/>
    </w:rPr>
  </w:style>
  <w:style w:type="paragraph" w:customStyle="1" w:styleId="JuInitialled">
    <w:name w:val="Ju_Initialled"/>
    <w:basedOn w:val="Normalny"/>
    <w:uiPriority w:val="31"/>
    <w:qFormat/>
    <w:rsid w:val="00013C28"/>
    <w:pPr>
      <w:tabs>
        <w:tab w:val="center" w:pos="6407"/>
      </w:tabs>
      <w:spacing w:before="720"/>
      <w:jc w:val="right"/>
    </w:pPr>
  </w:style>
  <w:style w:type="paragraph" w:styleId="Tytu">
    <w:name w:val="Title"/>
    <w:basedOn w:val="Normalny"/>
    <w:next w:val="Normalny"/>
    <w:link w:val="TytuZnak"/>
    <w:uiPriority w:val="99"/>
    <w:semiHidden/>
    <w:qFormat/>
    <w:rsid w:val="00013C2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13C2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13C2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13C2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13C2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13C2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13C28"/>
    <w:pPr>
      <w:keepNext/>
      <w:keepLines/>
      <w:spacing w:before="240" w:after="120"/>
      <w:ind w:left="1236"/>
    </w:pPr>
    <w:rPr>
      <w:sz w:val="20"/>
      <w:lang w:val="en-GB"/>
    </w:rPr>
  </w:style>
  <w:style w:type="paragraph" w:customStyle="1" w:styleId="JuQuotSub">
    <w:name w:val="Ju_Quot_Sub"/>
    <w:basedOn w:val="ECHRParaQuote"/>
    <w:uiPriority w:val="15"/>
    <w:qFormat/>
    <w:rsid w:val="00013C28"/>
    <w:pPr>
      <w:ind w:left="567"/>
    </w:pPr>
  </w:style>
  <w:style w:type="character" w:customStyle="1" w:styleId="JuITMark">
    <w:name w:val="Ju_ITMark"/>
    <w:basedOn w:val="Domylnaczcionkaakapitu"/>
    <w:uiPriority w:val="38"/>
    <w:qFormat/>
    <w:rsid w:val="00013C28"/>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013C28"/>
    <w:pPr>
      <w:ind w:left="794"/>
    </w:pPr>
  </w:style>
  <w:style w:type="paragraph" w:styleId="Nagwek">
    <w:name w:val="header"/>
    <w:basedOn w:val="Normalny"/>
    <w:link w:val="NagwekZnak"/>
    <w:uiPriority w:val="57"/>
    <w:semiHidden/>
    <w:rsid w:val="00013C2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13C28"/>
    <w:rPr>
      <w:sz w:val="24"/>
      <w:lang w:val="en-GB"/>
    </w:rPr>
  </w:style>
  <w:style w:type="character" w:customStyle="1" w:styleId="Nagwek1Znak">
    <w:name w:val="Nagłówek 1 Znak"/>
    <w:basedOn w:val="Domylnaczcionkaakapitu"/>
    <w:link w:val="Nagwek1"/>
    <w:uiPriority w:val="99"/>
    <w:semiHidden/>
    <w:rsid w:val="00013C28"/>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013C2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13C2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13C28"/>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013C28"/>
    <w:rPr>
      <w:caps w:val="0"/>
      <w:smallCaps/>
    </w:rPr>
  </w:style>
  <w:style w:type="paragraph" w:customStyle="1" w:styleId="JuCase">
    <w:name w:val="Ju_Case"/>
    <w:basedOn w:val="Normalny"/>
    <w:next w:val="ECHRPara"/>
    <w:uiPriority w:val="10"/>
    <w:rsid w:val="00013C28"/>
    <w:pPr>
      <w:ind w:firstLine="284"/>
    </w:pPr>
    <w:rPr>
      <w:b/>
    </w:rPr>
  </w:style>
  <w:style w:type="character" w:customStyle="1" w:styleId="Nagwek3Znak">
    <w:name w:val="Nagłówek 3 Znak"/>
    <w:basedOn w:val="Domylnaczcionkaakapitu"/>
    <w:link w:val="Nagwek3"/>
    <w:uiPriority w:val="99"/>
    <w:semiHidden/>
    <w:rsid w:val="00013C28"/>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013C28"/>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013C28"/>
    <w:rPr>
      <w:rFonts w:asciiTheme="majorHAnsi" w:eastAsiaTheme="majorEastAsia" w:hAnsiTheme="majorHAnsi" w:cstheme="majorBidi"/>
      <w:b/>
      <w:bCs/>
      <w:color w:val="808080"/>
    </w:rPr>
  </w:style>
  <w:style w:type="character" w:styleId="Wyrnieniedelikatne">
    <w:name w:val="Subtle Emphasis"/>
    <w:uiPriority w:val="99"/>
    <w:semiHidden/>
    <w:qFormat/>
    <w:rsid w:val="00013C2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13C28"/>
    <w:pPr>
      <w:keepNext/>
      <w:keepLines/>
      <w:spacing w:before="720" w:after="240"/>
      <w:outlineLvl w:val="0"/>
    </w:pPr>
    <w:rPr>
      <w:rFonts w:asciiTheme="majorHAnsi" w:hAnsiTheme="majorHAnsi"/>
      <w:sz w:val="28"/>
    </w:rPr>
  </w:style>
  <w:style w:type="character" w:styleId="Uwydatnienie">
    <w:name w:val="Emphasis"/>
    <w:uiPriority w:val="99"/>
    <w:semiHidden/>
    <w:qFormat/>
    <w:rsid w:val="00013C28"/>
    <w:rPr>
      <w:b/>
      <w:bCs/>
      <w:i/>
      <w:iCs/>
      <w:spacing w:val="10"/>
      <w:bdr w:val="none" w:sz="0" w:space="0" w:color="auto"/>
      <w:shd w:val="clear" w:color="auto" w:fill="auto"/>
    </w:rPr>
  </w:style>
  <w:style w:type="paragraph" w:styleId="Stopka">
    <w:name w:val="footer"/>
    <w:basedOn w:val="Normalny"/>
    <w:link w:val="StopkaZnak"/>
    <w:uiPriority w:val="57"/>
    <w:semiHidden/>
    <w:rsid w:val="00013C2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13C28"/>
    <w:rPr>
      <w:sz w:val="24"/>
      <w:lang w:val="en-GB"/>
    </w:rPr>
  </w:style>
  <w:style w:type="character" w:styleId="Odwoanieprzypisudolnego">
    <w:name w:val="footnote reference"/>
    <w:basedOn w:val="Domylnaczcionkaakapitu"/>
    <w:uiPriority w:val="99"/>
    <w:semiHidden/>
    <w:rsid w:val="00013C28"/>
    <w:rPr>
      <w:vertAlign w:val="superscript"/>
    </w:rPr>
  </w:style>
  <w:style w:type="paragraph" w:styleId="Tekstprzypisudolnego">
    <w:name w:val="footnote text"/>
    <w:basedOn w:val="Normalny"/>
    <w:link w:val="TekstprzypisudolnegoZnak"/>
    <w:uiPriority w:val="99"/>
    <w:semiHidden/>
    <w:rsid w:val="00013C28"/>
    <w:rPr>
      <w:sz w:val="20"/>
      <w:szCs w:val="20"/>
    </w:rPr>
  </w:style>
  <w:style w:type="character" w:customStyle="1" w:styleId="TekstprzypisudolnegoZnak">
    <w:name w:val="Tekst przypisu dolnego Znak"/>
    <w:basedOn w:val="Domylnaczcionkaakapitu"/>
    <w:link w:val="Tekstprzypisudolnego"/>
    <w:uiPriority w:val="99"/>
    <w:semiHidden/>
    <w:rsid w:val="00013C28"/>
    <w:rPr>
      <w:rFonts w:eastAsiaTheme="minorEastAsia"/>
      <w:sz w:val="20"/>
      <w:szCs w:val="20"/>
      <w:lang w:val="en-GB"/>
    </w:rPr>
  </w:style>
  <w:style w:type="character" w:customStyle="1" w:styleId="Nagwek6Znak">
    <w:name w:val="Nagłówek 6 Znak"/>
    <w:basedOn w:val="Domylnaczcionkaakapitu"/>
    <w:link w:val="Nagwek6"/>
    <w:uiPriority w:val="99"/>
    <w:semiHidden/>
    <w:rsid w:val="00013C28"/>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13C2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3C2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3C2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13C28"/>
    <w:rPr>
      <w:color w:val="0072BC" w:themeColor="hyperlink"/>
      <w:u w:val="single"/>
    </w:rPr>
  </w:style>
  <w:style w:type="character" w:styleId="Wyrnienieintensywne">
    <w:name w:val="Intense Emphasis"/>
    <w:uiPriority w:val="99"/>
    <w:semiHidden/>
    <w:qFormat/>
    <w:rsid w:val="00013C28"/>
    <w:rPr>
      <w:b/>
      <w:bCs/>
    </w:rPr>
  </w:style>
  <w:style w:type="paragraph" w:styleId="Cytatintensywny">
    <w:name w:val="Intense Quote"/>
    <w:basedOn w:val="Normalny"/>
    <w:next w:val="Normalny"/>
    <w:link w:val="CytatintensywnyZnak"/>
    <w:uiPriority w:val="99"/>
    <w:semiHidden/>
    <w:qFormat/>
    <w:rsid w:val="00013C28"/>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13C28"/>
    <w:rPr>
      <w:rFonts w:eastAsiaTheme="minorEastAsia"/>
      <w:b/>
      <w:bCs/>
      <w:i/>
      <w:iCs/>
      <w:lang w:bidi="en-US"/>
    </w:rPr>
  </w:style>
  <w:style w:type="character" w:styleId="Odwoanieintensywne">
    <w:name w:val="Intense Reference"/>
    <w:uiPriority w:val="99"/>
    <w:semiHidden/>
    <w:qFormat/>
    <w:rsid w:val="00013C28"/>
    <w:rPr>
      <w:smallCaps/>
      <w:spacing w:val="5"/>
      <w:u w:val="single"/>
    </w:rPr>
  </w:style>
  <w:style w:type="paragraph" w:styleId="Akapitzlist">
    <w:name w:val="List Paragraph"/>
    <w:basedOn w:val="Normalny"/>
    <w:uiPriority w:val="99"/>
    <w:semiHidden/>
    <w:qFormat/>
    <w:rsid w:val="00013C2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13C28"/>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13C28"/>
    <w:rPr>
      <w:rFonts w:eastAsiaTheme="minorEastAsia"/>
      <w:i/>
      <w:iCs/>
      <w:lang w:bidi="en-US"/>
    </w:rPr>
  </w:style>
  <w:style w:type="character" w:styleId="Odwoaniedelikatne">
    <w:name w:val="Subtle Reference"/>
    <w:uiPriority w:val="99"/>
    <w:semiHidden/>
    <w:qFormat/>
    <w:rsid w:val="00013C28"/>
    <w:rPr>
      <w:smallCaps/>
    </w:rPr>
  </w:style>
  <w:style w:type="table" w:styleId="Tabela-Siatka">
    <w:name w:val="Table Grid"/>
    <w:basedOn w:val="Standardowy"/>
    <w:uiPriority w:val="59"/>
    <w:semiHidden/>
    <w:rsid w:val="00013C2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13C2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13C2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13C2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13C2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13C2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13C2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13C2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13C28"/>
    <w:pPr>
      <w:spacing w:before="120" w:after="120"/>
      <w:ind w:left="425" w:firstLine="142"/>
    </w:pPr>
    <w:rPr>
      <w:sz w:val="20"/>
    </w:rPr>
  </w:style>
  <w:style w:type="paragraph" w:customStyle="1" w:styleId="ECHRPara">
    <w:name w:val="ECHR_Para"/>
    <w:aliases w:val="Ju_Para"/>
    <w:basedOn w:val="Normalny"/>
    <w:link w:val="ECHRParaChar"/>
    <w:uiPriority w:val="12"/>
    <w:qFormat/>
    <w:rsid w:val="00013C28"/>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13C2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013C2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013C28"/>
    <w:pPr>
      <w:ind w:left="340" w:hanging="340"/>
    </w:pPr>
  </w:style>
  <w:style w:type="paragraph" w:customStyle="1" w:styleId="JuSigned">
    <w:name w:val="Ju_Signed"/>
    <w:basedOn w:val="Normalny"/>
    <w:next w:val="JuParaLast"/>
    <w:uiPriority w:val="32"/>
    <w:qFormat/>
    <w:rsid w:val="00013C28"/>
    <w:pPr>
      <w:tabs>
        <w:tab w:val="center" w:pos="851"/>
        <w:tab w:val="center" w:pos="6407"/>
      </w:tabs>
      <w:spacing w:before="720"/>
      <w:jc w:val="left"/>
    </w:pPr>
  </w:style>
  <w:style w:type="paragraph" w:customStyle="1" w:styleId="JuParaLast">
    <w:name w:val="Ju_Para_Last"/>
    <w:basedOn w:val="Normalny"/>
    <w:next w:val="ECHRPara"/>
    <w:uiPriority w:val="30"/>
    <w:qFormat/>
    <w:rsid w:val="00013C28"/>
    <w:pPr>
      <w:keepNext/>
      <w:keepLines/>
      <w:spacing w:before="240"/>
      <w:ind w:firstLine="284"/>
    </w:pPr>
  </w:style>
  <w:style w:type="paragraph" w:customStyle="1" w:styleId="JuParaSub">
    <w:name w:val="Ju_Para_Sub"/>
    <w:basedOn w:val="ECHRPara"/>
    <w:uiPriority w:val="13"/>
    <w:qFormat/>
    <w:rsid w:val="00013C28"/>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013C28"/>
    <w:pPr>
      <w:ind w:left="346" w:firstLine="0"/>
    </w:pPr>
  </w:style>
  <w:style w:type="paragraph" w:customStyle="1" w:styleId="JuTitle">
    <w:name w:val="Ju_Title"/>
    <w:basedOn w:val="Normalny"/>
    <w:next w:val="ECHRPara"/>
    <w:uiPriority w:val="3"/>
    <w:semiHidden/>
    <w:qFormat/>
    <w:rsid w:val="00013C28"/>
    <w:pPr>
      <w:spacing w:before="720" w:after="240"/>
      <w:jc w:val="center"/>
      <w:outlineLvl w:val="0"/>
    </w:pPr>
    <w:rPr>
      <w:rFonts w:asciiTheme="majorHAnsi" w:hAnsiTheme="majorHAnsi"/>
      <w:b/>
      <w:cap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013C28"/>
    <w:rPr>
      <w:vertAlign w:val="superscript"/>
    </w:rPr>
  </w:style>
  <w:style w:type="paragraph" w:styleId="Tekstprzypisukocowego">
    <w:name w:val="endnote text"/>
    <w:basedOn w:val="Normalny"/>
    <w:link w:val="TekstprzypisukocowegoZnak"/>
    <w:uiPriority w:val="99"/>
    <w:semiHidden/>
    <w:rsid w:val="00013C28"/>
    <w:rPr>
      <w:sz w:val="20"/>
      <w:szCs w:val="20"/>
    </w:rPr>
  </w:style>
  <w:style w:type="character" w:customStyle="1" w:styleId="TekstprzypisukocowegoZnak">
    <w:name w:val="Tekst przypisu końcowego Znak"/>
    <w:basedOn w:val="Domylnaczcionkaakapitu"/>
    <w:link w:val="Tekstprzypisukocowego"/>
    <w:uiPriority w:val="99"/>
    <w:semiHidden/>
    <w:rsid w:val="00013C28"/>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013C28"/>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013C28"/>
    <w:pPr>
      <w:ind w:left="833" w:hanging="357"/>
      <w:outlineLvl w:val="3"/>
    </w:pPr>
    <w:rPr>
      <w:b/>
      <w:i w:val="0"/>
      <w:sz w:val="20"/>
    </w:rPr>
  </w:style>
  <w:style w:type="paragraph" w:styleId="Podtytu">
    <w:name w:val="Subtitle"/>
    <w:basedOn w:val="Normalny"/>
    <w:next w:val="Normalny"/>
    <w:link w:val="PodtytuZnak"/>
    <w:uiPriority w:val="99"/>
    <w:semiHidden/>
    <w:qFormat/>
    <w:rsid w:val="00013C28"/>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13C2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3C2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3C2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13C2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013C28"/>
    <w:pPr>
      <w:tabs>
        <w:tab w:val="clear" w:pos="357"/>
      </w:tabs>
      <w:outlineLvl w:val="1"/>
    </w:pPr>
    <w:rPr>
      <w:b/>
    </w:rPr>
  </w:style>
  <w:style w:type="paragraph" w:customStyle="1" w:styleId="OpiHi">
    <w:name w:val="Opi_H_i"/>
    <w:basedOn w:val="ECHRHeading4"/>
    <w:uiPriority w:val="44"/>
    <w:qFormat/>
    <w:rsid w:val="00013C28"/>
    <w:pPr>
      <w:ind w:left="1037" w:hanging="357"/>
      <w:outlineLvl w:val="4"/>
    </w:pPr>
    <w:rPr>
      <w:b w:val="0"/>
      <w:i/>
    </w:rPr>
  </w:style>
  <w:style w:type="paragraph" w:customStyle="1" w:styleId="OpiPara">
    <w:name w:val="Opi_Para"/>
    <w:basedOn w:val="ECHRPara"/>
    <w:uiPriority w:val="46"/>
    <w:qFormat/>
    <w:rsid w:val="00013C28"/>
  </w:style>
  <w:style w:type="paragraph" w:customStyle="1" w:styleId="OpiParaSub">
    <w:name w:val="Opi_Para_Sub"/>
    <w:basedOn w:val="JuParaSub"/>
    <w:uiPriority w:val="47"/>
    <w:qFormat/>
    <w:rsid w:val="00013C28"/>
  </w:style>
  <w:style w:type="paragraph" w:customStyle="1" w:styleId="OpiQuot">
    <w:name w:val="Opi_Quot"/>
    <w:basedOn w:val="ECHRParaQuote"/>
    <w:uiPriority w:val="48"/>
    <w:qFormat/>
    <w:rsid w:val="00013C28"/>
  </w:style>
  <w:style w:type="paragraph" w:customStyle="1" w:styleId="OpiQuotSub">
    <w:name w:val="Opi_Quot_Sub"/>
    <w:basedOn w:val="JuQuotSub"/>
    <w:uiPriority w:val="49"/>
    <w:qFormat/>
    <w:rsid w:val="00013C28"/>
  </w:style>
  <w:style w:type="paragraph" w:customStyle="1" w:styleId="OpiTranslation">
    <w:name w:val="Opi_Translation"/>
    <w:basedOn w:val="Normalny"/>
    <w:next w:val="OpiPara"/>
    <w:uiPriority w:val="40"/>
    <w:qFormat/>
    <w:rsid w:val="00013C28"/>
    <w:pPr>
      <w:jc w:val="center"/>
      <w:outlineLvl w:val="0"/>
    </w:pPr>
    <w:rPr>
      <w:i/>
    </w:rPr>
  </w:style>
  <w:style w:type="paragraph" w:styleId="Poprawka">
    <w:name w:val="Revision"/>
    <w:hidden/>
    <w:uiPriority w:val="99"/>
    <w:semiHidden/>
    <w:rsid w:val="00E170E2"/>
    <w:rPr>
      <w:rFonts w:eastAsiaTheme="minorEastAsia"/>
      <w:sz w:val="24"/>
    </w:rPr>
  </w:style>
  <w:style w:type="character" w:customStyle="1" w:styleId="ECHRParaChar">
    <w:name w:val="ECHR_Para Char"/>
    <w:aliases w:val="Ju_Para Char"/>
    <w:link w:val="ECHRPara"/>
    <w:uiPriority w:val="12"/>
    <w:rsid w:val="004B251E"/>
    <w:rPr>
      <w:rFonts w:eastAsiaTheme="minorEastAsia"/>
      <w:sz w:val="24"/>
      <w:lang w:val="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013C28"/>
    <w:pPr>
      <w:jc w:val="both"/>
    </w:pPr>
    <w:rPr>
      <w:rFonts w:eastAsiaTheme="minorEastAsia"/>
      <w:sz w:val="24"/>
      <w:lang w:val="en-GB"/>
    </w:rPr>
  </w:style>
  <w:style w:type="paragraph" w:styleId="Nagwek1">
    <w:name w:val="heading 1"/>
    <w:basedOn w:val="Normalny"/>
    <w:next w:val="Normalny"/>
    <w:link w:val="Nagwek1Znak"/>
    <w:uiPriority w:val="99"/>
    <w:semiHidden/>
    <w:rsid w:val="00013C28"/>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013C28"/>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013C28"/>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013C28"/>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013C28"/>
    <w:pPr>
      <w:spacing w:before="200"/>
      <w:outlineLvl w:val="4"/>
    </w:pPr>
    <w:rPr>
      <w:rFonts w:asciiTheme="majorHAnsi" w:eastAsiaTheme="majorEastAsia" w:hAnsiTheme="majorHAnsi" w:cstheme="majorBidi"/>
      <w:b/>
      <w:bCs/>
      <w:color w:val="808080"/>
      <w:sz w:val="22"/>
      <w:lang w:val="en-US"/>
    </w:rPr>
  </w:style>
  <w:style w:type="paragraph" w:styleId="Nagwek6">
    <w:name w:val="heading 6"/>
    <w:basedOn w:val="Normalny"/>
    <w:next w:val="Normalny"/>
    <w:link w:val="Nagwek6Znak"/>
    <w:uiPriority w:val="99"/>
    <w:semiHidden/>
    <w:rsid w:val="00013C28"/>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013C28"/>
    <w:pPr>
      <w:outlineLvl w:val="6"/>
    </w:pPr>
    <w:rPr>
      <w:rFonts w:asciiTheme="majorHAnsi" w:eastAsiaTheme="majorEastAsia" w:hAnsiTheme="majorHAnsi" w:cstheme="majorBidi"/>
      <w:i/>
      <w:iCs/>
      <w:sz w:val="22"/>
      <w:lang w:val="en-US" w:bidi="en-US"/>
    </w:rPr>
  </w:style>
  <w:style w:type="paragraph" w:styleId="Nagwek8">
    <w:name w:val="heading 8"/>
    <w:basedOn w:val="Normalny"/>
    <w:next w:val="Normalny"/>
    <w:link w:val="Nagwek8Znak"/>
    <w:uiPriority w:val="99"/>
    <w:semiHidden/>
    <w:qFormat/>
    <w:rsid w:val="00013C28"/>
    <w:pPr>
      <w:outlineLvl w:val="7"/>
    </w:pPr>
    <w:rPr>
      <w:rFonts w:asciiTheme="majorHAnsi" w:eastAsiaTheme="majorEastAsia" w:hAnsiTheme="majorHAnsi" w:cstheme="majorBidi"/>
      <w:sz w:val="20"/>
      <w:szCs w:val="20"/>
      <w:lang w:val="en-US" w:bidi="en-US"/>
    </w:rPr>
  </w:style>
  <w:style w:type="paragraph" w:styleId="Nagwek9">
    <w:name w:val="heading 9"/>
    <w:basedOn w:val="Normalny"/>
    <w:next w:val="Normalny"/>
    <w:link w:val="Nagwek9Znak"/>
    <w:uiPriority w:val="99"/>
    <w:semiHidden/>
    <w:qFormat/>
    <w:rsid w:val="00013C28"/>
    <w:pPr>
      <w:outlineLvl w:val="8"/>
    </w:pPr>
    <w:rPr>
      <w:rFonts w:asciiTheme="majorHAnsi" w:eastAsiaTheme="majorEastAsia" w:hAnsiTheme="majorHAnsi" w:cstheme="majorBidi"/>
      <w:i/>
      <w:iCs/>
      <w:spacing w:val="5"/>
      <w:sz w:val="20"/>
      <w:szCs w:val="20"/>
      <w:lang w:val="en-US"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013C28"/>
    <w:rPr>
      <w:rFonts w:ascii="Tahoma" w:hAnsi="Tahoma" w:cs="Tahoma"/>
      <w:sz w:val="16"/>
      <w:szCs w:val="16"/>
    </w:rPr>
  </w:style>
  <w:style w:type="character" w:customStyle="1" w:styleId="TekstdymkaZnak">
    <w:name w:val="Tekst dymka Znak"/>
    <w:basedOn w:val="Domylnaczcionkaakapitu"/>
    <w:link w:val="Tekstdymka"/>
    <w:uiPriority w:val="99"/>
    <w:semiHidden/>
    <w:rsid w:val="00013C28"/>
    <w:rPr>
      <w:rFonts w:ascii="Tahoma" w:eastAsiaTheme="minorEastAsia" w:hAnsi="Tahoma" w:cs="Tahoma"/>
      <w:sz w:val="16"/>
      <w:szCs w:val="16"/>
      <w:lang w:val="en-GB"/>
    </w:rPr>
  </w:style>
  <w:style w:type="character" w:styleId="Tytuksiki">
    <w:name w:val="Book Title"/>
    <w:uiPriority w:val="99"/>
    <w:semiHidden/>
    <w:qFormat/>
    <w:rsid w:val="00013C28"/>
    <w:rPr>
      <w:i/>
      <w:iCs/>
      <w:smallCaps/>
      <w:spacing w:val="5"/>
    </w:rPr>
  </w:style>
  <w:style w:type="paragraph" w:customStyle="1" w:styleId="ECHRHeader">
    <w:name w:val="ECHR_Header"/>
    <w:aliases w:val="Ju_Header"/>
    <w:basedOn w:val="Nagwek"/>
    <w:uiPriority w:val="4"/>
    <w:qFormat/>
    <w:rsid w:val="00013C28"/>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013C28"/>
    <w:pPr>
      <w:jc w:val="left"/>
    </w:pPr>
    <w:rPr>
      <w:sz w:val="8"/>
    </w:rPr>
  </w:style>
  <w:style w:type="character" w:styleId="Pogrubienie">
    <w:name w:val="Strong"/>
    <w:uiPriority w:val="99"/>
    <w:semiHidden/>
    <w:qFormat/>
    <w:rsid w:val="00013C28"/>
    <w:rPr>
      <w:b/>
      <w:bCs/>
    </w:rPr>
  </w:style>
  <w:style w:type="paragraph" w:styleId="Bezodstpw">
    <w:name w:val="No Spacing"/>
    <w:basedOn w:val="Normalny"/>
    <w:link w:val="BezodstpwZnak"/>
    <w:semiHidden/>
    <w:qFormat/>
    <w:rsid w:val="00013C28"/>
    <w:rPr>
      <w:sz w:val="22"/>
      <w:lang w:val="en-US"/>
    </w:rPr>
  </w:style>
  <w:style w:type="character" w:customStyle="1" w:styleId="BezodstpwZnak">
    <w:name w:val="Bez odstępów Znak"/>
    <w:basedOn w:val="Domylnaczcionkaakapitu"/>
    <w:link w:val="Bezodstpw"/>
    <w:semiHidden/>
    <w:rsid w:val="00013C28"/>
    <w:rPr>
      <w:rFonts w:eastAsiaTheme="minorEastAsia"/>
    </w:rPr>
  </w:style>
  <w:style w:type="paragraph" w:customStyle="1" w:styleId="ECHRFooterLine">
    <w:name w:val="ECHR_Footer_Line"/>
    <w:aliases w:val="Footer_Line"/>
    <w:basedOn w:val="Normalny"/>
    <w:next w:val="ECHRFooter"/>
    <w:uiPriority w:val="57"/>
    <w:semiHidden/>
    <w:rsid w:val="00013C28"/>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013C28"/>
  </w:style>
  <w:style w:type="paragraph" w:customStyle="1" w:styleId="DecList">
    <w:name w:val="Dec_List"/>
    <w:basedOn w:val="Normalny"/>
    <w:uiPriority w:val="9"/>
    <w:semiHidden/>
    <w:qFormat/>
    <w:rsid w:val="00013C28"/>
    <w:pPr>
      <w:spacing w:before="240"/>
      <w:ind w:left="284"/>
    </w:pPr>
  </w:style>
  <w:style w:type="paragraph" w:customStyle="1" w:styleId="DummyStyle">
    <w:name w:val="Dummy_Style"/>
    <w:basedOn w:val="Normalny"/>
    <w:semiHidden/>
    <w:qFormat/>
    <w:rsid w:val="00013C28"/>
    <w:rPr>
      <w:color w:val="00B050"/>
    </w:rPr>
  </w:style>
  <w:style w:type="paragraph" w:customStyle="1" w:styleId="ECHRTitleCentre3">
    <w:name w:val="ECHR_Title_Centre_3"/>
    <w:aliases w:val="Ju_H_Article"/>
    <w:basedOn w:val="Normalny"/>
    <w:next w:val="ECHRParaQuote"/>
    <w:uiPriority w:val="27"/>
    <w:qFormat/>
    <w:rsid w:val="00013C28"/>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013C28"/>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013C28"/>
    <w:pPr>
      <w:numPr>
        <w:numId w:val="32"/>
      </w:numPr>
      <w:jc w:val="left"/>
    </w:pPr>
    <w:rPr>
      <w:b/>
    </w:rPr>
  </w:style>
  <w:style w:type="paragraph" w:customStyle="1" w:styleId="JuCourt">
    <w:name w:val="Ju_Court"/>
    <w:basedOn w:val="Normalny"/>
    <w:next w:val="Normalny"/>
    <w:uiPriority w:val="16"/>
    <w:qFormat/>
    <w:rsid w:val="00013C28"/>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013C28"/>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013C28"/>
    <w:pPr>
      <w:spacing w:after="240"/>
      <w:jc w:val="center"/>
      <w:outlineLvl w:val="0"/>
    </w:pPr>
    <w:rPr>
      <w:rFonts w:asciiTheme="majorHAnsi" w:hAnsiTheme="majorHAnsi"/>
    </w:rPr>
  </w:style>
  <w:style w:type="paragraph" w:customStyle="1" w:styleId="JuInitialled">
    <w:name w:val="Ju_Initialled"/>
    <w:basedOn w:val="Normalny"/>
    <w:uiPriority w:val="31"/>
    <w:qFormat/>
    <w:rsid w:val="00013C28"/>
    <w:pPr>
      <w:tabs>
        <w:tab w:val="center" w:pos="6407"/>
      </w:tabs>
      <w:spacing w:before="720"/>
      <w:jc w:val="right"/>
    </w:pPr>
  </w:style>
  <w:style w:type="paragraph" w:styleId="Tytu">
    <w:name w:val="Title"/>
    <w:basedOn w:val="Normalny"/>
    <w:next w:val="Normalny"/>
    <w:link w:val="TytuZnak"/>
    <w:uiPriority w:val="99"/>
    <w:semiHidden/>
    <w:qFormat/>
    <w:rsid w:val="00013C28"/>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ytuZnak">
    <w:name w:val="Tytuł Znak"/>
    <w:basedOn w:val="Domylnaczcionkaakapitu"/>
    <w:link w:val="Tytu"/>
    <w:uiPriority w:val="99"/>
    <w:semiHidden/>
    <w:rsid w:val="00013C28"/>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013C28"/>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013C28"/>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013C28"/>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Nagwek6"/>
    <w:next w:val="ECHRPara"/>
    <w:uiPriority w:val="24"/>
    <w:qFormat/>
    <w:rsid w:val="00013C28"/>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Nagwek7"/>
    <w:next w:val="ECHRPara"/>
    <w:uiPriority w:val="25"/>
    <w:qFormat/>
    <w:rsid w:val="00013C28"/>
    <w:pPr>
      <w:keepNext/>
      <w:keepLines/>
      <w:spacing w:before="240" w:after="120"/>
      <w:ind w:left="1236"/>
    </w:pPr>
    <w:rPr>
      <w:sz w:val="20"/>
      <w:lang w:val="en-GB"/>
    </w:rPr>
  </w:style>
  <w:style w:type="paragraph" w:customStyle="1" w:styleId="JuQuotSub">
    <w:name w:val="Ju_Quot_Sub"/>
    <w:basedOn w:val="ECHRParaQuote"/>
    <w:uiPriority w:val="15"/>
    <w:qFormat/>
    <w:rsid w:val="00013C28"/>
    <w:pPr>
      <w:ind w:left="567"/>
    </w:pPr>
  </w:style>
  <w:style w:type="character" w:customStyle="1" w:styleId="JuITMark">
    <w:name w:val="Ju_ITMark"/>
    <w:basedOn w:val="Domylnaczcionkaakapitu"/>
    <w:uiPriority w:val="38"/>
    <w:qFormat/>
    <w:rsid w:val="00013C28"/>
    <w:rPr>
      <w:vanish w:val="0"/>
      <w:color w:val="auto"/>
      <w:sz w:val="14"/>
      <w:bdr w:val="none" w:sz="0" w:space="0" w:color="auto"/>
      <w:shd w:val="clear" w:color="auto" w:fill="BEE5FF" w:themeFill="background1" w:themeFillTint="33"/>
    </w:rPr>
  </w:style>
  <w:style w:type="paragraph" w:customStyle="1" w:styleId="JuListi">
    <w:name w:val="Ju_List_i"/>
    <w:basedOn w:val="Normalny"/>
    <w:next w:val="JuLista"/>
    <w:uiPriority w:val="28"/>
    <w:qFormat/>
    <w:rsid w:val="00013C28"/>
    <w:pPr>
      <w:ind w:left="794"/>
    </w:pPr>
  </w:style>
  <w:style w:type="paragraph" w:styleId="Nagwek">
    <w:name w:val="header"/>
    <w:basedOn w:val="Normalny"/>
    <w:link w:val="NagwekZnak"/>
    <w:uiPriority w:val="57"/>
    <w:semiHidden/>
    <w:rsid w:val="00013C28"/>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013C28"/>
    <w:rPr>
      <w:sz w:val="24"/>
      <w:lang w:val="en-GB"/>
    </w:rPr>
  </w:style>
  <w:style w:type="character" w:customStyle="1" w:styleId="Nagwek1Znak">
    <w:name w:val="Nagłówek 1 Znak"/>
    <w:basedOn w:val="Domylnaczcionkaakapitu"/>
    <w:link w:val="Nagwek1"/>
    <w:uiPriority w:val="99"/>
    <w:semiHidden/>
    <w:rsid w:val="00013C28"/>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Nagwek1"/>
    <w:next w:val="ECHRPara"/>
    <w:uiPriority w:val="19"/>
    <w:qFormat/>
    <w:rsid w:val="00013C28"/>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013C28"/>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013C28"/>
    <w:rPr>
      <w:rFonts w:asciiTheme="majorHAnsi" w:eastAsiaTheme="majorEastAsia" w:hAnsiTheme="majorHAnsi" w:cstheme="majorBidi"/>
      <w:b/>
      <w:bCs/>
      <w:color w:val="4D4D4D"/>
      <w:sz w:val="26"/>
      <w:szCs w:val="26"/>
      <w:lang w:val="en-GB"/>
    </w:rPr>
  </w:style>
  <w:style w:type="character" w:customStyle="1" w:styleId="JUNAMES">
    <w:name w:val="JU_NAMES"/>
    <w:uiPriority w:val="17"/>
    <w:qFormat/>
    <w:rsid w:val="00013C28"/>
    <w:rPr>
      <w:caps w:val="0"/>
      <w:smallCaps/>
    </w:rPr>
  </w:style>
  <w:style w:type="paragraph" w:customStyle="1" w:styleId="JuCase">
    <w:name w:val="Ju_Case"/>
    <w:basedOn w:val="Normalny"/>
    <w:next w:val="ECHRPara"/>
    <w:uiPriority w:val="10"/>
    <w:rsid w:val="00013C28"/>
    <w:pPr>
      <w:ind w:firstLine="284"/>
    </w:pPr>
    <w:rPr>
      <w:b/>
    </w:rPr>
  </w:style>
  <w:style w:type="character" w:customStyle="1" w:styleId="Nagwek3Znak">
    <w:name w:val="Nagłówek 3 Znak"/>
    <w:basedOn w:val="Domylnaczcionkaakapitu"/>
    <w:link w:val="Nagwek3"/>
    <w:uiPriority w:val="99"/>
    <w:semiHidden/>
    <w:rsid w:val="00013C28"/>
    <w:rPr>
      <w:rFonts w:asciiTheme="majorHAnsi" w:eastAsiaTheme="majorEastAsia" w:hAnsiTheme="majorHAnsi" w:cstheme="majorBidi"/>
      <w:b/>
      <w:bCs/>
      <w:color w:val="5F5F5F"/>
      <w:sz w:val="24"/>
      <w:lang w:val="en-GB"/>
    </w:rPr>
  </w:style>
  <w:style w:type="character" w:customStyle="1" w:styleId="Nagwek4Znak">
    <w:name w:val="Nagłówek 4 Znak"/>
    <w:basedOn w:val="Domylnaczcionkaakapitu"/>
    <w:link w:val="Nagwek4"/>
    <w:uiPriority w:val="99"/>
    <w:semiHidden/>
    <w:rsid w:val="00013C28"/>
    <w:rPr>
      <w:rFonts w:asciiTheme="majorHAnsi" w:eastAsiaTheme="majorEastAsia" w:hAnsiTheme="majorHAnsi" w:cstheme="majorBidi"/>
      <w:b/>
      <w:bCs/>
      <w:i/>
      <w:iCs/>
      <w:color w:val="777777"/>
      <w:sz w:val="24"/>
      <w:lang w:val="en-GB"/>
    </w:rPr>
  </w:style>
  <w:style w:type="character" w:customStyle="1" w:styleId="Nagwek5Znak">
    <w:name w:val="Nagłówek 5 Znak"/>
    <w:basedOn w:val="Domylnaczcionkaakapitu"/>
    <w:link w:val="Nagwek5"/>
    <w:uiPriority w:val="99"/>
    <w:semiHidden/>
    <w:rsid w:val="00013C28"/>
    <w:rPr>
      <w:rFonts w:asciiTheme="majorHAnsi" w:eastAsiaTheme="majorEastAsia" w:hAnsiTheme="majorHAnsi" w:cstheme="majorBidi"/>
      <w:b/>
      <w:bCs/>
      <w:color w:val="808080"/>
    </w:rPr>
  </w:style>
  <w:style w:type="character" w:styleId="Wyrnieniedelikatne">
    <w:name w:val="Subtle Emphasis"/>
    <w:uiPriority w:val="99"/>
    <w:semiHidden/>
    <w:qFormat/>
    <w:rsid w:val="00013C28"/>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013C28"/>
    <w:pPr>
      <w:keepNext/>
      <w:keepLines/>
      <w:spacing w:before="720" w:after="240"/>
      <w:outlineLvl w:val="0"/>
    </w:pPr>
    <w:rPr>
      <w:rFonts w:asciiTheme="majorHAnsi" w:hAnsiTheme="majorHAnsi"/>
      <w:sz w:val="28"/>
    </w:rPr>
  </w:style>
  <w:style w:type="character" w:styleId="Uwydatnienie">
    <w:name w:val="Emphasis"/>
    <w:uiPriority w:val="99"/>
    <w:semiHidden/>
    <w:qFormat/>
    <w:rsid w:val="00013C28"/>
    <w:rPr>
      <w:b/>
      <w:bCs/>
      <w:i/>
      <w:iCs/>
      <w:spacing w:val="10"/>
      <w:bdr w:val="none" w:sz="0" w:space="0" w:color="auto"/>
      <w:shd w:val="clear" w:color="auto" w:fill="auto"/>
    </w:rPr>
  </w:style>
  <w:style w:type="paragraph" w:styleId="Stopka">
    <w:name w:val="footer"/>
    <w:basedOn w:val="Normalny"/>
    <w:link w:val="StopkaZnak"/>
    <w:uiPriority w:val="57"/>
    <w:semiHidden/>
    <w:rsid w:val="00013C28"/>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013C28"/>
    <w:rPr>
      <w:sz w:val="24"/>
      <w:lang w:val="en-GB"/>
    </w:rPr>
  </w:style>
  <w:style w:type="character" w:styleId="Odwoanieprzypisudolnego">
    <w:name w:val="footnote reference"/>
    <w:basedOn w:val="Domylnaczcionkaakapitu"/>
    <w:uiPriority w:val="99"/>
    <w:semiHidden/>
    <w:rsid w:val="00013C28"/>
    <w:rPr>
      <w:vertAlign w:val="superscript"/>
    </w:rPr>
  </w:style>
  <w:style w:type="paragraph" w:styleId="Tekstprzypisudolnego">
    <w:name w:val="footnote text"/>
    <w:basedOn w:val="Normalny"/>
    <w:link w:val="TekstprzypisudolnegoZnak"/>
    <w:uiPriority w:val="99"/>
    <w:semiHidden/>
    <w:rsid w:val="00013C28"/>
    <w:rPr>
      <w:sz w:val="20"/>
      <w:szCs w:val="20"/>
    </w:rPr>
  </w:style>
  <w:style w:type="character" w:customStyle="1" w:styleId="TekstprzypisudolnegoZnak">
    <w:name w:val="Tekst przypisu dolnego Znak"/>
    <w:basedOn w:val="Domylnaczcionkaakapitu"/>
    <w:link w:val="Tekstprzypisudolnego"/>
    <w:uiPriority w:val="99"/>
    <w:semiHidden/>
    <w:rsid w:val="00013C28"/>
    <w:rPr>
      <w:rFonts w:eastAsiaTheme="minorEastAsia"/>
      <w:sz w:val="20"/>
      <w:szCs w:val="20"/>
      <w:lang w:val="en-GB"/>
    </w:rPr>
  </w:style>
  <w:style w:type="character" w:customStyle="1" w:styleId="Nagwek6Znak">
    <w:name w:val="Nagłówek 6 Znak"/>
    <w:basedOn w:val="Domylnaczcionkaakapitu"/>
    <w:link w:val="Nagwek6"/>
    <w:uiPriority w:val="99"/>
    <w:semiHidden/>
    <w:rsid w:val="00013C28"/>
    <w:rPr>
      <w:rFonts w:asciiTheme="majorHAnsi" w:eastAsiaTheme="majorEastAsia" w:hAnsiTheme="majorHAnsi" w:cstheme="majorBidi"/>
      <w:b/>
      <w:bCs/>
      <w:i/>
      <w:iCs/>
      <w:color w:val="7F7F7F" w:themeColor="text1" w:themeTint="80"/>
      <w:sz w:val="24"/>
      <w:lang w:val="en-GB" w:bidi="en-US"/>
    </w:rPr>
  </w:style>
  <w:style w:type="character" w:customStyle="1" w:styleId="Nagwek7Znak">
    <w:name w:val="Nagłówek 7 Znak"/>
    <w:basedOn w:val="Domylnaczcionkaakapitu"/>
    <w:link w:val="Nagwek7"/>
    <w:uiPriority w:val="99"/>
    <w:semiHidden/>
    <w:rsid w:val="00013C28"/>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013C28"/>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013C28"/>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013C28"/>
    <w:rPr>
      <w:color w:val="0072BC" w:themeColor="hyperlink"/>
      <w:u w:val="single"/>
    </w:rPr>
  </w:style>
  <w:style w:type="character" w:styleId="Wyrnienieintensywne">
    <w:name w:val="Intense Emphasis"/>
    <w:uiPriority w:val="99"/>
    <w:semiHidden/>
    <w:qFormat/>
    <w:rsid w:val="00013C28"/>
    <w:rPr>
      <w:b/>
      <w:bCs/>
    </w:rPr>
  </w:style>
  <w:style w:type="paragraph" w:styleId="Cytatintensywny">
    <w:name w:val="Intense Quote"/>
    <w:basedOn w:val="Normalny"/>
    <w:next w:val="Normalny"/>
    <w:link w:val="CytatintensywnyZnak"/>
    <w:uiPriority w:val="99"/>
    <w:semiHidden/>
    <w:qFormat/>
    <w:rsid w:val="00013C28"/>
    <w:pPr>
      <w:pBdr>
        <w:bottom w:val="single" w:sz="4" w:space="1" w:color="auto"/>
      </w:pBdr>
      <w:spacing w:before="200" w:after="280"/>
      <w:ind w:left="1008" w:right="1152"/>
    </w:pPr>
    <w:rPr>
      <w:b/>
      <w:bCs/>
      <w:i/>
      <w:iCs/>
      <w:sz w:val="22"/>
      <w:lang w:val="en-US" w:bidi="en-US"/>
    </w:rPr>
  </w:style>
  <w:style w:type="character" w:customStyle="1" w:styleId="CytatintensywnyZnak">
    <w:name w:val="Cytat intensywny Znak"/>
    <w:basedOn w:val="Domylnaczcionkaakapitu"/>
    <w:link w:val="Cytatintensywny"/>
    <w:uiPriority w:val="99"/>
    <w:semiHidden/>
    <w:rsid w:val="00013C28"/>
    <w:rPr>
      <w:rFonts w:eastAsiaTheme="minorEastAsia"/>
      <w:b/>
      <w:bCs/>
      <w:i/>
      <w:iCs/>
      <w:lang w:bidi="en-US"/>
    </w:rPr>
  </w:style>
  <w:style w:type="character" w:styleId="Odwoanieintensywne">
    <w:name w:val="Intense Reference"/>
    <w:uiPriority w:val="99"/>
    <w:semiHidden/>
    <w:qFormat/>
    <w:rsid w:val="00013C28"/>
    <w:rPr>
      <w:smallCaps/>
      <w:spacing w:val="5"/>
      <w:u w:val="single"/>
    </w:rPr>
  </w:style>
  <w:style w:type="paragraph" w:styleId="Akapitzlist">
    <w:name w:val="List Paragraph"/>
    <w:basedOn w:val="Normalny"/>
    <w:uiPriority w:val="99"/>
    <w:semiHidden/>
    <w:qFormat/>
    <w:rsid w:val="00013C28"/>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013C28"/>
    <w:pPr>
      <w:spacing w:before="200"/>
      <w:ind w:left="360" w:right="360"/>
    </w:pPr>
    <w:rPr>
      <w:i/>
      <w:iCs/>
      <w:sz w:val="22"/>
      <w:lang w:val="en-US" w:bidi="en-US"/>
    </w:rPr>
  </w:style>
  <w:style w:type="character" w:customStyle="1" w:styleId="CytatZnak">
    <w:name w:val="Cytat Znak"/>
    <w:basedOn w:val="Domylnaczcionkaakapitu"/>
    <w:link w:val="Cytat"/>
    <w:uiPriority w:val="99"/>
    <w:semiHidden/>
    <w:rsid w:val="00013C28"/>
    <w:rPr>
      <w:rFonts w:eastAsiaTheme="minorEastAsia"/>
      <w:i/>
      <w:iCs/>
      <w:lang w:bidi="en-US"/>
    </w:rPr>
  </w:style>
  <w:style w:type="character" w:styleId="Odwoaniedelikatne">
    <w:name w:val="Subtle Reference"/>
    <w:uiPriority w:val="99"/>
    <w:semiHidden/>
    <w:qFormat/>
    <w:rsid w:val="00013C28"/>
    <w:rPr>
      <w:smallCaps/>
    </w:rPr>
  </w:style>
  <w:style w:type="table" w:styleId="Tabela-Siatka">
    <w:name w:val="Table Grid"/>
    <w:basedOn w:val="Standardowy"/>
    <w:uiPriority w:val="59"/>
    <w:semiHidden/>
    <w:rsid w:val="00013C28"/>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013C28"/>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013C28"/>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013C28"/>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013C28"/>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013C28"/>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013C28"/>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013C28"/>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013C28"/>
    <w:pPr>
      <w:spacing w:before="120" w:after="120"/>
      <w:ind w:left="425" w:firstLine="142"/>
    </w:pPr>
    <w:rPr>
      <w:sz w:val="20"/>
    </w:rPr>
  </w:style>
  <w:style w:type="paragraph" w:customStyle="1" w:styleId="ECHRPara">
    <w:name w:val="ECHR_Para"/>
    <w:aliases w:val="Ju_Para"/>
    <w:basedOn w:val="Normalny"/>
    <w:link w:val="ECHRParaChar"/>
    <w:uiPriority w:val="12"/>
    <w:qFormat/>
    <w:rsid w:val="00013C28"/>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013C28"/>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013C28"/>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013C28"/>
    <w:pPr>
      <w:ind w:left="340" w:hanging="340"/>
    </w:pPr>
  </w:style>
  <w:style w:type="paragraph" w:customStyle="1" w:styleId="JuSigned">
    <w:name w:val="Ju_Signed"/>
    <w:basedOn w:val="Normalny"/>
    <w:next w:val="JuParaLast"/>
    <w:uiPriority w:val="32"/>
    <w:qFormat/>
    <w:rsid w:val="00013C28"/>
    <w:pPr>
      <w:tabs>
        <w:tab w:val="center" w:pos="851"/>
        <w:tab w:val="center" w:pos="6407"/>
      </w:tabs>
      <w:spacing w:before="720"/>
      <w:jc w:val="left"/>
    </w:pPr>
  </w:style>
  <w:style w:type="paragraph" w:customStyle="1" w:styleId="JuParaLast">
    <w:name w:val="Ju_Para_Last"/>
    <w:basedOn w:val="Normalny"/>
    <w:next w:val="ECHRPara"/>
    <w:uiPriority w:val="30"/>
    <w:qFormat/>
    <w:rsid w:val="00013C28"/>
    <w:pPr>
      <w:keepNext/>
      <w:keepLines/>
      <w:spacing w:before="240"/>
      <w:ind w:firstLine="284"/>
    </w:pPr>
  </w:style>
  <w:style w:type="paragraph" w:customStyle="1" w:styleId="JuParaSub">
    <w:name w:val="Ju_Para_Sub"/>
    <w:basedOn w:val="ECHRPara"/>
    <w:uiPriority w:val="13"/>
    <w:qFormat/>
    <w:rsid w:val="00013C28"/>
    <w:pPr>
      <w:ind w:left="284"/>
    </w:p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013C28"/>
    <w:pPr>
      <w:ind w:left="346" w:firstLine="0"/>
    </w:pPr>
  </w:style>
  <w:style w:type="paragraph" w:customStyle="1" w:styleId="JuTitle">
    <w:name w:val="Ju_Title"/>
    <w:basedOn w:val="Normalny"/>
    <w:next w:val="ECHRPara"/>
    <w:uiPriority w:val="3"/>
    <w:semiHidden/>
    <w:qFormat/>
    <w:rsid w:val="00013C28"/>
    <w:pPr>
      <w:spacing w:before="720" w:after="240"/>
      <w:jc w:val="center"/>
      <w:outlineLvl w:val="0"/>
    </w:pPr>
    <w:rPr>
      <w:rFonts w:asciiTheme="majorHAnsi" w:hAnsiTheme="majorHAnsi"/>
      <w:b/>
      <w:caps/>
    </w:r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uiPriority w:val="99"/>
    <w:semiHidden/>
    <w:rsid w:val="00014566"/>
    <w:rPr>
      <w:sz w:val="20"/>
    </w:rPr>
  </w:style>
  <w:style w:type="character" w:customStyle="1" w:styleId="TekstkomentarzaZnak">
    <w:name w:val="Tekst komentarza Znak"/>
    <w:basedOn w:val="Domylnaczcionkaakapitu"/>
    <w:link w:val="Tekstkomentarza"/>
    <w:uiPriority w:val="99"/>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basedOn w:val="Domylnaczcionkaakapitu"/>
    <w:uiPriority w:val="99"/>
    <w:semiHidden/>
    <w:rsid w:val="00013C28"/>
    <w:rPr>
      <w:vertAlign w:val="superscript"/>
    </w:rPr>
  </w:style>
  <w:style w:type="paragraph" w:styleId="Tekstprzypisukocowego">
    <w:name w:val="endnote text"/>
    <w:basedOn w:val="Normalny"/>
    <w:link w:val="TekstprzypisukocowegoZnak"/>
    <w:uiPriority w:val="99"/>
    <w:semiHidden/>
    <w:rsid w:val="00013C28"/>
    <w:rPr>
      <w:sz w:val="20"/>
      <w:szCs w:val="20"/>
    </w:rPr>
  </w:style>
  <w:style w:type="character" w:customStyle="1" w:styleId="TekstprzypisukocowegoZnak">
    <w:name w:val="Tekst przypisu końcowego Znak"/>
    <w:basedOn w:val="Domylnaczcionkaakapitu"/>
    <w:link w:val="Tekstprzypisukocowego"/>
    <w:uiPriority w:val="99"/>
    <w:semiHidden/>
    <w:rsid w:val="00013C28"/>
    <w:rPr>
      <w:rFonts w:eastAsiaTheme="minorEastAsia"/>
      <w:sz w:val="20"/>
      <w:szCs w:val="20"/>
      <w:lang w:val="en-GB"/>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013C28"/>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013C28"/>
    <w:pPr>
      <w:ind w:left="833" w:hanging="357"/>
      <w:outlineLvl w:val="3"/>
    </w:pPr>
    <w:rPr>
      <w:b/>
      <w:i w:val="0"/>
      <w:sz w:val="20"/>
    </w:rPr>
  </w:style>
  <w:style w:type="paragraph" w:styleId="Podtytu">
    <w:name w:val="Subtitle"/>
    <w:basedOn w:val="Normalny"/>
    <w:next w:val="Normalny"/>
    <w:link w:val="PodtytuZnak"/>
    <w:uiPriority w:val="99"/>
    <w:semiHidden/>
    <w:qFormat/>
    <w:rsid w:val="00013C28"/>
    <w:pPr>
      <w:spacing w:after="600"/>
    </w:pPr>
    <w:rPr>
      <w:rFonts w:asciiTheme="majorHAnsi" w:eastAsiaTheme="majorEastAsia" w:hAnsiTheme="majorHAnsi" w:cstheme="majorBidi"/>
      <w:i/>
      <w:iCs/>
      <w:spacing w:val="13"/>
      <w:szCs w:val="24"/>
      <w:lang w:val="en-US" w:bidi="en-US"/>
    </w:rPr>
  </w:style>
  <w:style w:type="character" w:customStyle="1" w:styleId="PodtytuZnak">
    <w:name w:val="Podtytuł Znak"/>
    <w:basedOn w:val="Domylnaczcionkaakapitu"/>
    <w:link w:val="Podtytu"/>
    <w:uiPriority w:val="99"/>
    <w:semiHidden/>
    <w:rsid w:val="00013C28"/>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3C28"/>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3C28"/>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013C28"/>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013C28"/>
    <w:pPr>
      <w:tabs>
        <w:tab w:val="clear" w:pos="357"/>
      </w:tabs>
      <w:outlineLvl w:val="1"/>
    </w:pPr>
    <w:rPr>
      <w:b/>
    </w:rPr>
  </w:style>
  <w:style w:type="paragraph" w:customStyle="1" w:styleId="OpiHi">
    <w:name w:val="Opi_H_i"/>
    <w:basedOn w:val="ECHRHeading4"/>
    <w:uiPriority w:val="44"/>
    <w:qFormat/>
    <w:rsid w:val="00013C28"/>
    <w:pPr>
      <w:ind w:left="1037" w:hanging="357"/>
      <w:outlineLvl w:val="4"/>
    </w:pPr>
    <w:rPr>
      <w:b w:val="0"/>
      <w:i/>
    </w:rPr>
  </w:style>
  <w:style w:type="paragraph" w:customStyle="1" w:styleId="OpiPara">
    <w:name w:val="Opi_Para"/>
    <w:basedOn w:val="ECHRPara"/>
    <w:uiPriority w:val="46"/>
    <w:qFormat/>
    <w:rsid w:val="00013C28"/>
  </w:style>
  <w:style w:type="paragraph" w:customStyle="1" w:styleId="OpiParaSub">
    <w:name w:val="Opi_Para_Sub"/>
    <w:basedOn w:val="JuParaSub"/>
    <w:uiPriority w:val="47"/>
    <w:qFormat/>
    <w:rsid w:val="00013C28"/>
  </w:style>
  <w:style w:type="paragraph" w:customStyle="1" w:styleId="OpiQuot">
    <w:name w:val="Opi_Quot"/>
    <w:basedOn w:val="ECHRParaQuote"/>
    <w:uiPriority w:val="48"/>
    <w:qFormat/>
    <w:rsid w:val="00013C28"/>
  </w:style>
  <w:style w:type="paragraph" w:customStyle="1" w:styleId="OpiQuotSub">
    <w:name w:val="Opi_Quot_Sub"/>
    <w:basedOn w:val="JuQuotSub"/>
    <w:uiPriority w:val="49"/>
    <w:qFormat/>
    <w:rsid w:val="00013C28"/>
  </w:style>
  <w:style w:type="paragraph" w:customStyle="1" w:styleId="OpiTranslation">
    <w:name w:val="Opi_Translation"/>
    <w:basedOn w:val="Normalny"/>
    <w:next w:val="OpiPara"/>
    <w:uiPriority w:val="40"/>
    <w:qFormat/>
    <w:rsid w:val="00013C28"/>
    <w:pPr>
      <w:jc w:val="center"/>
      <w:outlineLvl w:val="0"/>
    </w:pPr>
    <w:rPr>
      <w:i/>
    </w:rPr>
  </w:style>
  <w:style w:type="paragraph" w:styleId="Poprawka">
    <w:name w:val="Revision"/>
    <w:hidden/>
    <w:uiPriority w:val="99"/>
    <w:semiHidden/>
    <w:rsid w:val="00E170E2"/>
    <w:rPr>
      <w:rFonts w:eastAsiaTheme="minorEastAsia"/>
      <w:sz w:val="24"/>
    </w:rPr>
  </w:style>
  <w:style w:type="character" w:customStyle="1" w:styleId="ECHRParaChar">
    <w:name w:val="ECHR_Para Char"/>
    <w:aliases w:val="Ju_Para Char"/>
    <w:link w:val="ECHRPara"/>
    <w:uiPriority w:val="12"/>
    <w:rsid w:val="004B251E"/>
    <w:rPr>
      <w:rFonts w:eastAsiaTheme="minorEastAsia"/>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1401400">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96EC79-0D8A-459F-9BD7-D708A623B3E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A0F5262-D73A-4B2C-BBF2-3762EEAEDE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50845FE5-B6E1-4D3C-80EC-0F5311312E46}">
  <ds:schemaRefs>
    <ds:schemaRef ds:uri="http://schemas.microsoft.com/sharepoint/v3/contenttype/forms"/>
  </ds:schemaRefs>
</ds:datastoreItem>
</file>

<file path=customXml/itemProps4.xml><?xml version="1.0" encoding="utf-8"?>
<ds:datastoreItem xmlns:ds="http://schemas.openxmlformats.org/officeDocument/2006/customXml" ds:itemID="{F06ECEDF-1386-4C94-AB76-91DA093F15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1987</Words>
  <Characters>11923</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13883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dcterms:created xsi:type="dcterms:W3CDTF">2018-08-21T12:47:00Z</dcterms:created>
  <dcterms:modified xsi:type="dcterms:W3CDTF">2018-08-21T12:47:00Z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11757/15</vt:lpwstr>
  </property>
  <property fmtid="{D5CDD505-2E9C-101B-9397-08002B2CF9AE}" pid="4" name="CASEID">
    <vt:lpwstr>1122114</vt:lpwstr>
  </property>
  <property fmtid="{D5CDD505-2E9C-101B-9397-08002B2CF9AE}" pid="5" name="ContentTypeId">
    <vt:lpwstr>0x010100558EB02BDB9E204AB350EDD385B68E10</vt:lpwstr>
  </property>
</Properties>
</file>