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8F" w:rsidRPr="00555021" w:rsidRDefault="00CE75D4" w:rsidP="00E65593">
      <w:pPr>
        <w:pStyle w:val="Nagwek1"/>
        <w:spacing w:before="0" w:after="120" w:line="240" w:lineRule="auto"/>
        <w:jc w:val="right"/>
        <w:rPr>
          <w:rFonts w:asciiTheme="minorHAnsi" w:hAnsiTheme="minorHAnsi"/>
          <w:u w:val="single"/>
          <w:lang w:val="pl-PL"/>
        </w:rPr>
      </w:pPr>
      <w:bookmarkStart w:id="0" w:name="_Toc421029254"/>
      <w:bookmarkStart w:id="1" w:name="_GoBack"/>
      <w:bookmarkEnd w:id="1"/>
      <w:r>
        <w:rPr>
          <w:rFonts w:asciiTheme="minorHAnsi" w:hAnsiTheme="minorHAnsi"/>
          <w:u w:val="single"/>
          <w:lang w:val="pl-PL"/>
        </w:rPr>
        <w:t xml:space="preserve"> </w:t>
      </w:r>
    </w:p>
    <w:p w:rsidR="0053148F" w:rsidRPr="00D7274E" w:rsidRDefault="0053148F" w:rsidP="00E65593">
      <w:pPr>
        <w:pStyle w:val="Nagwek1"/>
        <w:spacing w:before="0" w:after="120" w:line="240" w:lineRule="auto"/>
        <w:jc w:val="center"/>
        <w:rPr>
          <w:rFonts w:asciiTheme="minorHAnsi" w:hAnsiTheme="minorHAnsi"/>
          <w:lang w:val="pl-PL"/>
        </w:rPr>
      </w:pPr>
    </w:p>
    <w:p w:rsidR="00E15455" w:rsidRPr="00D7274E" w:rsidRDefault="00FF1D0E" w:rsidP="00E65593">
      <w:pPr>
        <w:pStyle w:val="Nagwek1"/>
        <w:spacing w:before="0" w:after="120" w:line="240" w:lineRule="auto"/>
        <w:jc w:val="center"/>
        <w:rPr>
          <w:rFonts w:asciiTheme="minorHAnsi" w:hAnsiTheme="minorHAnsi"/>
          <w:sz w:val="32"/>
          <w:szCs w:val="32"/>
          <w:lang w:val="pl-PL"/>
        </w:rPr>
      </w:pPr>
      <w:r>
        <w:rPr>
          <w:rFonts w:asciiTheme="minorHAnsi" w:hAnsiTheme="minorHAnsi"/>
          <w:sz w:val="32"/>
          <w:szCs w:val="32"/>
          <w:lang w:val="pl-PL"/>
        </w:rPr>
        <w:t xml:space="preserve"> </w:t>
      </w:r>
    </w:p>
    <w:p w:rsidR="00862AA6" w:rsidRDefault="00862AA6" w:rsidP="00E65593">
      <w:pPr>
        <w:pStyle w:val="Nagwek1"/>
        <w:spacing w:before="0" w:after="120" w:line="240" w:lineRule="auto"/>
        <w:jc w:val="center"/>
        <w:rPr>
          <w:rFonts w:asciiTheme="minorHAnsi" w:hAnsiTheme="minorHAnsi"/>
          <w:sz w:val="32"/>
          <w:szCs w:val="32"/>
          <w:lang w:val="pl-PL"/>
        </w:rPr>
      </w:pPr>
    </w:p>
    <w:p w:rsidR="00862AA6" w:rsidRDefault="00862AA6" w:rsidP="00E65593">
      <w:pPr>
        <w:pStyle w:val="Nagwek1"/>
        <w:spacing w:before="0" w:after="120" w:line="240" w:lineRule="auto"/>
        <w:jc w:val="center"/>
        <w:rPr>
          <w:rFonts w:asciiTheme="minorHAnsi" w:hAnsiTheme="minorHAnsi"/>
          <w:sz w:val="32"/>
          <w:szCs w:val="32"/>
          <w:lang w:val="pl-PL"/>
        </w:rPr>
      </w:pPr>
    </w:p>
    <w:p w:rsidR="00862AA6" w:rsidRDefault="00862AA6" w:rsidP="00E65593">
      <w:pPr>
        <w:pStyle w:val="Nagwek1"/>
        <w:spacing w:before="0" w:after="120" w:line="240" w:lineRule="auto"/>
        <w:jc w:val="center"/>
        <w:rPr>
          <w:rFonts w:asciiTheme="minorHAnsi" w:hAnsiTheme="minorHAnsi"/>
          <w:sz w:val="32"/>
          <w:szCs w:val="32"/>
          <w:lang w:val="pl-PL"/>
        </w:rPr>
      </w:pPr>
    </w:p>
    <w:p w:rsidR="008D3934" w:rsidRDefault="00E94F72" w:rsidP="00E65593">
      <w:pPr>
        <w:pStyle w:val="Nagwek1"/>
        <w:spacing w:before="0" w:after="120" w:line="240" w:lineRule="auto"/>
        <w:jc w:val="center"/>
        <w:rPr>
          <w:rFonts w:asciiTheme="minorHAnsi" w:hAnsiTheme="minorHAnsi"/>
          <w:sz w:val="32"/>
          <w:szCs w:val="32"/>
          <w:lang w:val="pl-PL"/>
        </w:rPr>
      </w:pPr>
      <w:r w:rsidRPr="00D7274E">
        <w:rPr>
          <w:rFonts w:asciiTheme="minorHAnsi" w:hAnsiTheme="minorHAnsi"/>
          <w:sz w:val="32"/>
          <w:szCs w:val="32"/>
          <w:lang w:val="pl-PL"/>
        </w:rPr>
        <w:t>Przegląd orzecznictwa Europej</w:t>
      </w:r>
      <w:r w:rsidR="00B90E51" w:rsidRPr="00D7274E">
        <w:rPr>
          <w:rFonts w:asciiTheme="minorHAnsi" w:hAnsiTheme="minorHAnsi"/>
          <w:sz w:val="32"/>
          <w:szCs w:val="32"/>
          <w:lang w:val="pl-PL"/>
        </w:rPr>
        <w:t>skiego Trybunału Praw Człowieka</w:t>
      </w:r>
      <w:r w:rsidR="004E7FF2" w:rsidRPr="00D7274E">
        <w:rPr>
          <w:rFonts w:asciiTheme="minorHAnsi" w:hAnsiTheme="minorHAnsi"/>
          <w:sz w:val="32"/>
          <w:szCs w:val="32"/>
          <w:lang w:val="pl-PL"/>
        </w:rPr>
        <w:br/>
      </w:r>
      <w:r w:rsidRPr="00D7274E">
        <w:rPr>
          <w:rFonts w:asciiTheme="minorHAnsi" w:hAnsiTheme="minorHAnsi"/>
          <w:sz w:val="32"/>
          <w:szCs w:val="32"/>
          <w:lang w:val="pl-PL"/>
        </w:rPr>
        <w:t>w sprawach dotyczących państw trzecich</w:t>
      </w:r>
      <w:r w:rsidR="004E7FF2" w:rsidRPr="00D7274E">
        <w:rPr>
          <w:rFonts w:asciiTheme="minorHAnsi" w:hAnsiTheme="minorHAnsi"/>
          <w:sz w:val="32"/>
          <w:szCs w:val="32"/>
          <w:lang w:val="pl-PL"/>
        </w:rPr>
        <w:t xml:space="preserve"> – </w:t>
      </w:r>
      <w:r w:rsidR="00C941E0">
        <w:rPr>
          <w:rFonts w:asciiTheme="minorHAnsi" w:hAnsiTheme="minorHAnsi"/>
          <w:sz w:val="32"/>
          <w:szCs w:val="32"/>
          <w:lang w:val="pl-PL"/>
        </w:rPr>
        <w:t>stycz</w:t>
      </w:r>
      <w:r w:rsidR="004B2C39">
        <w:rPr>
          <w:rFonts w:asciiTheme="minorHAnsi" w:hAnsiTheme="minorHAnsi"/>
          <w:sz w:val="32"/>
          <w:szCs w:val="32"/>
          <w:lang w:val="pl-PL"/>
        </w:rPr>
        <w:t>eń</w:t>
      </w:r>
      <w:r w:rsidR="00C941E0">
        <w:rPr>
          <w:rFonts w:asciiTheme="minorHAnsi" w:hAnsiTheme="minorHAnsi"/>
          <w:sz w:val="32"/>
          <w:szCs w:val="32"/>
          <w:lang w:val="pl-PL"/>
        </w:rPr>
        <w:t xml:space="preserve"> 2016</w:t>
      </w:r>
      <w:r w:rsidR="004E7FF2" w:rsidRPr="00D7274E">
        <w:rPr>
          <w:rFonts w:asciiTheme="minorHAnsi" w:hAnsiTheme="minorHAnsi"/>
          <w:sz w:val="32"/>
          <w:szCs w:val="32"/>
          <w:lang w:val="pl-PL"/>
        </w:rPr>
        <w:t xml:space="preserve"> r.</w:t>
      </w:r>
      <w:bookmarkEnd w:id="0"/>
    </w:p>
    <w:p w:rsidR="00636A9F" w:rsidRPr="00636A9F" w:rsidRDefault="00636A9F" w:rsidP="00636A9F">
      <w:pPr>
        <w:rPr>
          <w:lang w:val="pl-PL"/>
        </w:rPr>
      </w:pPr>
    </w:p>
    <w:p w:rsidR="00E15455" w:rsidRPr="00D7274E" w:rsidRDefault="00E15455" w:rsidP="00E65593">
      <w:pPr>
        <w:spacing w:after="120" w:line="240" w:lineRule="auto"/>
        <w:rPr>
          <w:lang w:val="pl-PL"/>
        </w:rPr>
      </w:pPr>
    </w:p>
    <w:p w:rsidR="00E15455" w:rsidRPr="00D7274E" w:rsidRDefault="00E15455" w:rsidP="00E65593">
      <w:pPr>
        <w:spacing w:after="120" w:line="240" w:lineRule="auto"/>
        <w:rPr>
          <w:lang w:val="pl-PL"/>
        </w:rPr>
      </w:pPr>
      <w:r w:rsidRPr="00D7274E">
        <w:rPr>
          <w:noProof/>
          <w:lang w:val="pl-PL" w:eastAsia="pl-PL"/>
        </w:rPr>
        <w:drawing>
          <wp:inline distT="0" distB="0" distL="0" distR="0" wp14:anchorId="7F639824" wp14:editId="2AD0A7C6">
            <wp:extent cx="5760720" cy="38404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etpcz_lato0020.jpg"/>
                    <pic:cNvPicPr/>
                  </pic:nvPicPr>
                  <pic:blipFill>
                    <a:blip r:embed="rId9">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E15455" w:rsidRPr="00D7274E" w:rsidRDefault="00E15455" w:rsidP="00E65593">
      <w:pPr>
        <w:spacing w:after="120" w:line="240" w:lineRule="auto"/>
        <w:jc w:val="center"/>
        <w:rPr>
          <w:b/>
          <w:sz w:val="26"/>
          <w:lang w:val="pl-PL"/>
        </w:rPr>
      </w:pPr>
    </w:p>
    <w:p w:rsidR="00E94F72" w:rsidRPr="00D7274E" w:rsidRDefault="00E94F72" w:rsidP="00E65593">
      <w:pPr>
        <w:spacing w:after="120" w:line="240" w:lineRule="auto"/>
        <w:jc w:val="center"/>
        <w:rPr>
          <w:b/>
          <w:sz w:val="26"/>
          <w:lang w:val="pl-PL"/>
        </w:rPr>
      </w:pPr>
      <w:r w:rsidRPr="00D7274E">
        <w:rPr>
          <w:b/>
          <w:sz w:val="26"/>
          <w:lang w:val="pl-PL"/>
        </w:rPr>
        <w:t xml:space="preserve">Nr </w:t>
      </w:r>
      <w:r w:rsidR="005174E1" w:rsidRPr="00106DFF">
        <w:rPr>
          <w:b/>
          <w:sz w:val="26"/>
          <w:lang w:val="pl-PL"/>
        </w:rPr>
        <w:t>10</w:t>
      </w:r>
      <w:r w:rsidR="00D24F30">
        <w:rPr>
          <w:b/>
          <w:sz w:val="26"/>
          <w:lang w:val="pl-PL"/>
        </w:rPr>
        <w:t xml:space="preserve"> </w:t>
      </w:r>
      <w:r w:rsidR="00106DFF">
        <w:rPr>
          <w:b/>
          <w:sz w:val="26"/>
          <w:lang w:val="pl-PL"/>
        </w:rPr>
        <w:t>(</w:t>
      </w:r>
      <w:r w:rsidR="00C941E0">
        <w:rPr>
          <w:b/>
          <w:sz w:val="26"/>
          <w:lang w:val="pl-PL"/>
        </w:rPr>
        <w:t>2016</w:t>
      </w:r>
      <w:r w:rsidR="00106DFF">
        <w:rPr>
          <w:b/>
          <w:sz w:val="26"/>
          <w:lang w:val="pl-PL"/>
        </w:rPr>
        <w:t>)</w:t>
      </w:r>
    </w:p>
    <w:p w:rsidR="00E15455" w:rsidRPr="00D7274E" w:rsidRDefault="00E15455" w:rsidP="00E65593">
      <w:pPr>
        <w:spacing w:after="120" w:line="240" w:lineRule="auto"/>
        <w:jc w:val="both"/>
        <w:rPr>
          <w:b/>
          <w:sz w:val="26"/>
          <w:lang w:val="pl-PL"/>
        </w:rPr>
      </w:pPr>
    </w:p>
    <w:p w:rsidR="00862AA6" w:rsidRDefault="00862AA6">
      <w:pPr>
        <w:rPr>
          <w:b/>
          <w:sz w:val="26"/>
          <w:lang w:val="pl-PL"/>
        </w:rPr>
      </w:pPr>
      <w:r>
        <w:rPr>
          <w:b/>
          <w:sz w:val="26"/>
          <w:lang w:val="pl-PL"/>
        </w:rPr>
        <w:br w:type="page"/>
      </w:r>
    </w:p>
    <w:p w:rsidR="000B3113" w:rsidRDefault="00F47558">
      <w:pPr>
        <w:pStyle w:val="Spistreci2"/>
        <w:rPr>
          <w:rFonts w:eastAsiaTheme="minorEastAsia"/>
          <w:smallCaps w:val="0"/>
          <w:color w:val="auto"/>
          <w:sz w:val="22"/>
          <w:szCs w:val="22"/>
          <w:lang w:val="pl-PL" w:eastAsia="pl-PL"/>
        </w:rPr>
      </w:pPr>
      <w:r w:rsidRPr="00D7274E">
        <w:rPr>
          <w:lang w:val="pl-PL"/>
        </w:rPr>
        <w:lastRenderedPageBreak/>
        <w:fldChar w:fldCharType="begin"/>
      </w:r>
      <w:r w:rsidRPr="00D7274E">
        <w:rPr>
          <w:lang w:val="pl-PL"/>
        </w:rPr>
        <w:instrText xml:space="preserve"> TOC \o "2-3" \h \z \u </w:instrText>
      </w:r>
      <w:r w:rsidRPr="00D7274E">
        <w:rPr>
          <w:lang w:val="pl-PL"/>
        </w:rPr>
        <w:fldChar w:fldCharType="separate"/>
      </w:r>
      <w:hyperlink w:anchor="_Toc449106381" w:history="1">
        <w:r w:rsidR="000B3113" w:rsidRPr="007169D9">
          <w:rPr>
            <w:rStyle w:val="Hipercze"/>
          </w:rPr>
          <w:t>1.</w:t>
        </w:r>
        <w:r w:rsidR="000B3113">
          <w:rPr>
            <w:rFonts w:eastAsiaTheme="minorEastAsia"/>
            <w:smallCaps w:val="0"/>
            <w:color w:val="auto"/>
            <w:sz w:val="22"/>
            <w:szCs w:val="22"/>
            <w:lang w:val="pl-PL" w:eastAsia="pl-PL"/>
          </w:rPr>
          <w:tab/>
        </w:r>
        <w:r w:rsidR="000B3113" w:rsidRPr="007169D9">
          <w:rPr>
            <w:rStyle w:val="Hipercze"/>
          </w:rPr>
          <w:t>Frumkin p. Rosji, skarga nr 74568/12, wyrok Izby z 5.01.2016 r., nieostateczny</w:t>
        </w:r>
        <w:r w:rsidR="000B3113">
          <w:rPr>
            <w:webHidden/>
          </w:rPr>
          <w:tab/>
        </w:r>
        <w:r w:rsidR="000B3113">
          <w:rPr>
            <w:webHidden/>
          </w:rPr>
          <w:fldChar w:fldCharType="begin"/>
        </w:r>
        <w:r w:rsidR="000B3113">
          <w:rPr>
            <w:webHidden/>
          </w:rPr>
          <w:instrText xml:space="preserve"> PAGEREF _Toc449106381 \h </w:instrText>
        </w:r>
        <w:r w:rsidR="000B3113">
          <w:rPr>
            <w:webHidden/>
          </w:rPr>
        </w:r>
        <w:r w:rsidR="000B3113">
          <w:rPr>
            <w:webHidden/>
          </w:rPr>
          <w:fldChar w:fldCharType="separate"/>
        </w:r>
        <w:r w:rsidR="000B3113">
          <w:rPr>
            <w:webHidden/>
          </w:rPr>
          <w:t>3</w:t>
        </w:r>
        <w:r w:rsidR="000B3113">
          <w:rPr>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2"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naruszenie art. 11 Konwencji (wolność zgromadzeń i stowarzyszania się – aspekt wolności zgromadzeń) z powodu niezapewnienia przez władze krajowe pokojowego przebiegu zgromadzenia oraz z powodu zatrzymania i aresztowania skarżącego oraz nałożenia na niego kary administracyjnej</w:t>
        </w:r>
        <w:r w:rsidR="000B3113">
          <w:rPr>
            <w:noProof/>
            <w:webHidden/>
          </w:rPr>
          <w:tab/>
        </w:r>
        <w:r w:rsidR="000B3113">
          <w:rPr>
            <w:noProof/>
            <w:webHidden/>
          </w:rPr>
          <w:fldChar w:fldCharType="begin"/>
        </w:r>
        <w:r w:rsidR="000B3113">
          <w:rPr>
            <w:noProof/>
            <w:webHidden/>
          </w:rPr>
          <w:instrText xml:space="preserve"> PAGEREF _Toc449106382 \h </w:instrText>
        </w:r>
        <w:r w:rsidR="000B3113">
          <w:rPr>
            <w:noProof/>
            <w:webHidden/>
          </w:rPr>
        </w:r>
        <w:r w:rsidR="000B3113">
          <w:rPr>
            <w:noProof/>
            <w:webHidden/>
          </w:rPr>
          <w:fldChar w:fldCharType="separate"/>
        </w:r>
        <w:r w:rsidR="000B3113">
          <w:rPr>
            <w:noProof/>
            <w:webHidden/>
          </w:rPr>
          <w:t>3</w:t>
        </w:r>
        <w:r w:rsidR="000B3113">
          <w:rPr>
            <w:noProof/>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3"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naruszenie art. 5 ust. 1 Konwencji (prawo do wolności i bezpieczeństwa osobistego) z uwagi na brak wyjaśnienia powodów 36-godzinnego zatrzymania skarżącego przed rozprawą o wykroczenie</w:t>
        </w:r>
        <w:r w:rsidR="000B3113">
          <w:rPr>
            <w:noProof/>
            <w:webHidden/>
          </w:rPr>
          <w:tab/>
        </w:r>
        <w:r w:rsidR="000B3113">
          <w:rPr>
            <w:noProof/>
            <w:webHidden/>
          </w:rPr>
          <w:fldChar w:fldCharType="begin"/>
        </w:r>
        <w:r w:rsidR="000B3113">
          <w:rPr>
            <w:noProof/>
            <w:webHidden/>
          </w:rPr>
          <w:instrText xml:space="preserve"> PAGEREF _Toc449106383 \h </w:instrText>
        </w:r>
        <w:r w:rsidR="000B3113">
          <w:rPr>
            <w:noProof/>
            <w:webHidden/>
          </w:rPr>
        </w:r>
        <w:r w:rsidR="000B3113">
          <w:rPr>
            <w:noProof/>
            <w:webHidden/>
          </w:rPr>
          <w:fldChar w:fldCharType="separate"/>
        </w:r>
        <w:r w:rsidR="000B3113">
          <w:rPr>
            <w:noProof/>
            <w:webHidden/>
          </w:rPr>
          <w:t>3</w:t>
        </w:r>
        <w:r w:rsidR="000B3113">
          <w:rPr>
            <w:noProof/>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4"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naruszenie art. 6 ust. 1 i ust. 3 lit. d) Konwencji (prawo do rzetelnego procesu sądowego) z uwagi na oparcie wyroku skazującego jedynie na standardowych dokumentach sporządzonych przez policję w trakcie dochodzenia</w:t>
        </w:r>
        <w:r w:rsidR="000B3113">
          <w:rPr>
            <w:noProof/>
            <w:webHidden/>
          </w:rPr>
          <w:tab/>
        </w:r>
        <w:r w:rsidR="000B3113">
          <w:rPr>
            <w:noProof/>
            <w:webHidden/>
          </w:rPr>
          <w:fldChar w:fldCharType="begin"/>
        </w:r>
        <w:r w:rsidR="000B3113">
          <w:rPr>
            <w:noProof/>
            <w:webHidden/>
          </w:rPr>
          <w:instrText xml:space="preserve"> PAGEREF _Toc449106384 \h </w:instrText>
        </w:r>
        <w:r w:rsidR="000B3113">
          <w:rPr>
            <w:noProof/>
            <w:webHidden/>
          </w:rPr>
        </w:r>
        <w:r w:rsidR="000B3113">
          <w:rPr>
            <w:noProof/>
            <w:webHidden/>
          </w:rPr>
          <w:fldChar w:fldCharType="separate"/>
        </w:r>
        <w:r w:rsidR="000B3113">
          <w:rPr>
            <w:noProof/>
            <w:webHidden/>
          </w:rPr>
          <w:t>3</w:t>
        </w:r>
        <w:r w:rsidR="000B3113">
          <w:rPr>
            <w:noProof/>
            <w:webHidden/>
          </w:rPr>
          <w:fldChar w:fldCharType="end"/>
        </w:r>
      </w:hyperlink>
    </w:p>
    <w:p w:rsidR="000B3113" w:rsidRDefault="004D279D">
      <w:pPr>
        <w:pStyle w:val="Spistreci2"/>
        <w:rPr>
          <w:rFonts w:eastAsiaTheme="minorEastAsia"/>
          <w:smallCaps w:val="0"/>
          <w:color w:val="auto"/>
          <w:sz w:val="22"/>
          <w:szCs w:val="22"/>
          <w:lang w:val="pl-PL" w:eastAsia="pl-PL"/>
        </w:rPr>
      </w:pPr>
      <w:hyperlink w:anchor="_Toc449106385" w:history="1">
        <w:r w:rsidR="000B3113" w:rsidRPr="007169D9">
          <w:rPr>
            <w:rStyle w:val="Hipercze"/>
          </w:rPr>
          <w:t>2.</w:t>
        </w:r>
        <w:r w:rsidR="000B3113">
          <w:rPr>
            <w:rFonts w:eastAsiaTheme="minorEastAsia"/>
            <w:smallCaps w:val="0"/>
            <w:color w:val="auto"/>
            <w:sz w:val="22"/>
            <w:szCs w:val="22"/>
            <w:lang w:val="pl-PL" w:eastAsia="pl-PL"/>
          </w:rPr>
          <w:tab/>
        </w:r>
        <w:r w:rsidR="000B3113" w:rsidRPr="007169D9">
          <w:rPr>
            <w:rStyle w:val="Hipercze"/>
          </w:rPr>
          <w:t>Bergmann p. Niemcom, skarga nr 23279/14, wyrok Izby z 7.01.2016 r., ostateczny</w:t>
        </w:r>
        <w:r w:rsidR="000B3113">
          <w:rPr>
            <w:webHidden/>
          </w:rPr>
          <w:tab/>
        </w:r>
        <w:r w:rsidR="000B3113">
          <w:rPr>
            <w:webHidden/>
          </w:rPr>
          <w:fldChar w:fldCharType="begin"/>
        </w:r>
        <w:r w:rsidR="000B3113">
          <w:rPr>
            <w:webHidden/>
          </w:rPr>
          <w:instrText xml:space="preserve"> PAGEREF _Toc449106385 \h </w:instrText>
        </w:r>
        <w:r w:rsidR="000B3113">
          <w:rPr>
            <w:webHidden/>
          </w:rPr>
        </w:r>
        <w:r w:rsidR="000B3113">
          <w:rPr>
            <w:webHidden/>
          </w:rPr>
          <w:fldChar w:fldCharType="separate"/>
        </w:r>
        <w:r w:rsidR="000B3113">
          <w:rPr>
            <w:webHidden/>
          </w:rPr>
          <w:t>6</w:t>
        </w:r>
        <w:r w:rsidR="000B3113">
          <w:rPr>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6"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przedłużenie prewencyjnego pozbawienia wolności sprawców niebezpiecznych, o ile jest stosowane i prowadzone w odpowiedni sposób, może być zgodne z art. 5 ust 1 Konwencji (prawo do wolności i bezpieczeństwa osobistego), jak również art. 7 ust 1 Konwencji (zakaz karania bez podstawy prawnej – aspekt dotyczący wymierzania kary surowszej niż przewidziana w momencie popełnienia czynu), nawet jeżeli maksymalny czas trwania prewencyjnego pozbawienia wolności został wydłużony na mocy przepisów, które weszły w życie w trakcie jego trwania</w:t>
        </w:r>
        <w:r w:rsidR="000B3113">
          <w:rPr>
            <w:noProof/>
            <w:webHidden/>
          </w:rPr>
          <w:tab/>
        </w:r>
        <w:r w:rsidR="000B3113">
          <w:rPr>
            <w:noProof/>
            <w:webHidden/>
          </w:rPr>
          <w:fldChar w:fldCharType="begin"/>
        </w:r>
        <w:r w:rsidR="000B3113">
          <w:rPr>
            <w:noProof/>
            <w:webHidden/>
          </w:rPr>
          <w:instrText xml:space="preserve"> PAGEREF _Toc449106386 \h </w:instrText>
        </w:r>
        <w:r w:rsidR="000B3113">
          <w:rPr>
            <w:noProof/>
            <w:webHidden/>
          </w:rPr>
        </w:r>
        <w:r w:rsidR="000B3113">
          <w:rPr>
            <w:noProof/>
            <w:webHidden/>
          </w:rPr>
          <w:fldChar w:fldCharType="separate"/>
        </w:r>
        <w:r w:rsidR="000B3113">
          <w:rPr>
            <w:noProof/>
            <w:webHidden/>
          </w:rPr>
          <w:t>6</w:t>
        </w:r>
        <w:r w:rsidR="000B3113">
          <w:rPr>
            <w:noProof/>
            <w:webHidden/>
          </w:rPr>
          <w:fldChar w:fldCharType="end"/>
        </w:r>
      </w:hyperlink>
    </w:p>
    <w:p w:rsidR="000B3113" w:rsidRDefault="004D279D">
      <w:pPr>
        <w:pStyle w:val="Spistreci2"/>
        <w:rPr>
          <w:rFonts w:eastAsiaTheme="minorEastAsia"/>
          <w:smallCaps w:val="0"/>
          <w:color w:val="auto"/>
          <w:sz w:val="22"/>
          <w:szCs w:val="22"/>
          <w:lang w:val="pl-PL" w:eastAsia="pl-PL"/>
        </w:rPr>
      </w:pPr>
      <w:hyperlink w:anchor="_Toc449106387" w:history="1">
        <w:r w:rsidR="000B3113" w:rsidRPr="007169D9">
          <w:rPr>
            <w:rStyle w:val="Hipercze"/>
          </w:rPr>
          <w:t>3.</w:t>
        </w:r>
        <w:r w:rsidR="000B3113">
          <w:rPr>
            <w:rFonts w:eastAsiaTheme="minorEastAsia"/>
            <w:smallCaps w:val="0"/>
            <w:color w:val="auto"/>
            <w:sz w:val="22"/>
            <w:szCs w:val="22"/>
            <w:lang w:val="pl-PL" w:eastAsia="pl-PL"/>
          </w:rPr>
          <w:tab/>
        </w:r>
        <w:r w:rsidR="000B3113" w:rsidRPr="007169D9">
          <w:rPr>
            <w:rStyle w:val="Hipercze"/>
          </w:rPr>
          <w:t>Szabó i Vissy p. Wegrom, skarga nr 37138/14, wyrok Izby z 12.01.2016 r., nieostateczny</w:t>
        </w:r>
        <w:r w:rsidR="000B3113">
          <w:rPr>
            <w:webHidden/>
          </w:rPr>
          <w:tab/>
        </w:r>
        <w:r w:rsidR="000B3113">
          <w:rPr>
            <w:webHidden/>
          </w:rPr>
          <w:fldChar w:fldCharType="begin"/>
        </w:r>
        <w:r w:rsidR="000B3113">
          <w:rPr>
            <w:webHidden/>
          </w:rPr>
          <w:instrText xml:space="preserve"> PAGEREF _Toc449106387 \h </w:instrText>
        </w:r>
        <w:r w:rsidR="000B3113">
          <w:rPr>
            <w:webHidden/>
          </w:rPr>
        </w:r>
        <w:r w:rsidR="000B3113">
          <w:rPr>
            <w:webHidden/>
          </w:rPr>
          <w:fldChar w:fldCharType="separate"/>
        </w:r>
        <w:r w:rsidR="000B3113">
          <w:rPr>
            <w:webHidden/>
          </w:rPr>
          <w:t>11</w:t>
        </w:r>
        <w:r w:rsidR="000B3113">
          <w:rPr>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8"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z uwagi na brak wystarczających środków krajowych i ogólny zakres zastosowania ustawodawstwa dotyczącego tajnej kontroli połączeń – przyznanie statusu ofiary (art. 34 Konwencji) w odniesieniu do skarżących, którzy skarżyli się na system prawny dotyczący kontroli połączeń i ryzyko podlegania mu, a nie na konkretne środki kontroli zastosowane wobec nich</w:t>
        </w:r>
        <w:r w:rsidR="000B3113">
          <w:rPr>
            <w:noProof/>
            <w:webHidden/>
          </w:rPr>
          <w:tab/>
        </w:r>
        <w:r w:rsidR="000B3113">
          <w:rPr>
            <w:noProof/>
            <w:webHidden/>
          </w:rPr>
          <w:fldChar w:fldCharType="begin"/>
        </w:r>
        <w:r w:rsidR="000B3113">
          <w:rPr>
            <w:noProof/>
            <w:webHidden/>
          </w:rPr>
          <w:instrText xml:space="preserve"> PAGEREF _Toc449106388 \h </w:instrText>
        </w:r>
        <w:r w:rsidR="000B3113">
          <w:rPr>
            <w:noProof/>
            <w:webHidden/>
          </w:rPr>
        </w:r>
        <w:r w:rsidR="000B3113">
          <w:rPr>
            <w:noProof/>
            <w:webHidden/>
          </w:rPr>
          <w:fldChar w:fldCharType="separate"/>
        </w:r>
        <w:r w:rsidR="000B3113">
          <w:rPr>
            <w:noProof/>
            <w:webHidden/>
          </w:rPr>
          <w:t>11</w:t>
        </w:r>
        <w:r w:rsidR="000B3113">
          <w:rPr>
            <w:noProof/>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89"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zbadanie przez Trybunał  ustawodawstwa krajowego in abstracto i stwierdzenie naruszenia art. 8 Konwencji (prawo do poszanowania życia prywatnego i korespondencji) z uwagi na niewystarczające regulacje prawne i brak gwarancji przeciw nadużyciom w systemie umożliwiającym tajną kontrolę połączeń</w:t>
        </w:r>
        <w:r w:rsidR="000B3113">
          <w:rPr>
            <w:noProof/>
            <w:webHidden/>
          </w:rPr>
          <w:tab/>
        </w:r>
        <w:r w:rsidR="000B3113">
          <w:rPr>
            <w:noProof/>
            <w:webHidden/>
          </w:rPr>
          <w:fldChar w:fldCharType="begin"/>
        </w:r>
        <w:r w:rsidR="000B3113">
          <w:rPr>
            <w:noProof/>
            <w:webHidden/>
          </w:rPr>
          <w:instrText xml:space="preserve"> PAGEREF _Toc449106389 \h </w:instrText>
        </w:r>
        <w:r w:rsidR="000B3113">
          <w:rPr>
            <w:noProof/>
            <w:webHidden/>
          </w:rPr>
        </w:r>
        <w:r w:rsidR="000B3113">
          <w:rPr>
            <w:noProof/>
            <w:webHidden/>
          </w:rPr>
          <w:fldChar w:fldCharType="separate"/>
        </w:r>
        <w:r w:rsidR="000B3113">
          <w:rPr>
            <w:noProof/>
            <w:webHidden/>
          </w:rPr>
          <w:t>11</w:t>
        </w:r>
        <w:r w:rsidR="000B3113">
          <w:rPr>
            <w:noProof/>
            <w:webHidden/>
          </w:rPr>
          <w:fldChar w:fldCharType="end"/>
        </w:r>
      </w:hyperlink>
    </w:p>
    <w:p w:rsidR="000B3113" w:rsidRDefault="004D279D">
      <w:pPr>
        <w:pStyle w:val="Spistreci2"/>
        <w:rPr>
          <w:rFonts w:eastAsiaTheme="minorEastAsia"/>
          <w:smallCaps w:val="0"/>
          <w:color w:val="auto"/>
          <w:sz w:val="22"/>
          <w:szCs w:val="22"/>
          <w:lang w:val="pl-PL" w:eastAsia="pl-PL"/>
        </w:rPr>
      </w:pPr>
      <w:hyperlink w:anchor="_Toc449106390" w:history="1">
        <w:r w:rsidR="000B3113" w:rsidRPr="007169D9">
          <w:rPr>
            <w:rStyle w:val="Hipercze"/>
          </w:rPr>
          <w:t>4.</w:t>
        </w:r>
        <w:r w:rsidR="000B3113">
          <w:rPr>
            <w:rFonts w:eastAsiaTheme="minorEastAsia"/>
            <w:smallCaps w:val="0"/>
            <w:color w:val="auto"/>
            <w:sz w:val="22"/>
            <w:szCs w:val="22"/>
            <w:lang w:val="pl-PL" w:eastAsia="pl-PL"/>
          </w:rPr>
          <w:tab/>
        </w:r>
        <w:r w:rsidR="000B3113" w:rsidRPr="007169D9">
          <w:rPr>
            <w:rStyle w:val="Hipercze"/>
          </w:rPr>
          <w:t>Genner p. Austrii, skarga nr 55495/08, wyrok Izby z dnia 12.01.2016 r., nieostateczny</w:t>
        </w:r>
        <w:r w:rsidR="000B3113">
          <w:rPr>
            <w:webHidden/>
          </w:rPr>
          <w:tab/>
        </w:r>
        <w:r w:rsidR="000B3113">
          <w:rPr>
            <w:webHidden/>
          </w:rPr>
          <w:fldChar w:fldCharType="begin"/>
        </w:r>
        <w:r w:rsidR="000B3113">
          <w:rPr>
            <w:webHidden/>
          </w:rPr>
          <w:instrText xml:space="preserve"> PAGEREF _Toc449106390 \h </w:instrText>
        </w:r>
        <w:r w:rsidR="000B3113">
          <w:rPr>
            <w:webHidden/>
          </w:rPr>
        </w:r>
        <w:r w:rsidR="000B3113">
          <w:rPr>
            <w:webHidden/>
          </w:rPr>
          <w:fldChar w:fldCharType="separate"/>
        </w:r>
        <w:r w:rsidR="000B3113">
          <w:rPr>
            <w:webHidden/>
          </w:rPr>
          <w:t>14</w:t>
        </w:r>
        <w:r w:rsidR="000B3113">
          <w:rPr>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91"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brak naruszenia art. 10 Konwencji (wolność wyrażania opinii) w odniesieniu do skazania na karę grzywny za zniesławienie za wypowiedź stanowiącą atak personalny wymierzony w zmarłą minister dzień po jej śmierci, pomimo iż wypowiedź dotyczyła ”kwestii interesu publicznego” i stanowiła element „debaty politycznej”</w:t>
        </w:r>
        <w:r w:rsidR="000B3113">
          <w:rPr>
            <w:noProof/>
            <w:webHidden/>
          </w:rPr>
          <w:tab/>
        </w:r>
        <w:r w:rsidR="000B3113">
          <w:rPr>
            <w:noProof/>
            <w:webHidden/>
          </w:rPr>
          <w:fldChar w:fldCharType="begin"/>
        </w:r>
        <w:r w:rsidR="000B3113">
          <w:rPr>
            <w:noProof/>
            <w:webHidden/>
          </w:rPr>
          <w:instrText xml:space="preserve"> PAGEREF _Toc449106391 \h </w:instrText>
        </w:r>
        <w:r w:rsidR="000B3113">
          <w:rPr>
            <w:noProof/>
            <w:webHidden/>
          </w:rPr>
        </w:r>
        <w:r w:rsidR="000B3113">
          <w:rPr>
            <w:noProof/>
            <w:webHidden/>
          </w:rPr>
          <w:fldChar w:fldCharType="separate"/>
        </w:r>
        <w:r w:rsidR="000B3113">
          <w:rPr>
            <w:noProof/>
            <w:webHidden/>
          </w:rPr>
          <w:t>14</w:t>
        </w:r>
        <w:r w:rsidR="000B3113">
          <w:rPr>
            <w:noProof/>
            <w:webHidden/>
          </w:rPr>
          <w:fldChar w:fldCharType="end"/>
        </w:r>
      </w:hyperlink>
    </w:p>
    <w:p w:rsidR="000B3113" w:rsidRDefault="004D279D">
      <w:pPr>
        <w:pStyle w:val="Spistreci2"/>
        <w:rPr>
          <w:rFonts w:eastAsiaTheme="minorEastAsia"/>
          <w:smallCaps w:val="0"/>
          <w:color w:val="auto"/>
          <w:sz w:val="22"/>
          <w:szCs w:val="22"/>
          <w:lang w:val="pl-PL" w:eastAsia="pl-PL"/>
        </w:rPr>
      </w:pPr>
      <w:hyperlink w:anchor="_Toc449106392" w:history="1">
        <w:r w:rsidR="000B3113" w:rsidRPr="007169D9">
          <w:rPr>
            <w:rStyle w:val="Hipercze"/>
          </w:rPr>
          <w:t>5.</w:t>
        </w:r>
        <w:r w:rsidR="000B3113">
          <w:rPr>
            <w:rFonts w:eastAsiaTheme="minorEastAsia"/>
            <w:smallCaps w:val="0"/>
            <w:color w:val="auto"/>
            <w:sz w:val="22"/>
            <w:szCs w:val="22"/>
            <w:lang w:val="pl-PL" w:eastAsia="pl-PL"/>
          </w:rPr>
          <w:tab/>
        </w:r>
        <w:r w:rsidR="000B3113" w:rsidRPr="007169D9">
          <w:rPr>
            <w:rStyle w:val="Hipercze"/>
          </w:rPr>
          <w:t>Kalda p. Estonii, skarga nr 17429/10, wyrok Izby z 19.01.2016 r., nieostateczny</w:t>
        </w:r>
        <w:r w:rsidR="000B3113">
          <w:rPr>
            <w:webHidden/>
          </w:rPr>
          <w:tab/>
        </w:r>
        <w:r w:rsidR="000B3113">
          <w:rPr>
            <w:webHidden/>
          </w:rPr>
          <w:fldChar w:fldCharType="begin"/>
        </w:r>
        <w:r w:rsidR="000B3113">
          <w:rPr>
            <w:webHidden/>
          </w:rPr>
          <w:instrText xml:space="preserve"> PAGEREF _Toc449106392 \h </w:instrText>
        </w:r>
        <w:r w:rsidR="000B3113">
          <w:rPr>
            <w:webHidden/>
          </w:rPr>
        </w:r>
        <w:r w:rsidR="000B3113">
          <w:rPr>
            <w:webHidden/>
          </w:rPr>
          <w:fldChar w:fldCharType="separate"/>
        </w:r>
        <w:r w:rsidR="000B3113">
          <w:rPr>
            <w:webHidden/>
          </w:rPr>
          <w:t>15</w:t>
        </w:r>
        <w:r w:rsidR="000B3113">
          <w:rPr>
            <w:webHidden/>
          </w:rPr>
          <w:fldChar w:fldCharType="end"/>
        </w:r>
      </w:hyperlink>
    </w:p>
    <w:p w:rsidR="000B3113" w:rsidRDefault="004D279D">
      <w:pPr>
        <w:pStyle w:val="Spistreci3"/>
        <w:tabs>
          <w:tab w:val="left" w:pos="880"/>
          <w:tab w:val="right" w:leader="dot" w:pos="9062"/>
        </w:tabs>
        <w:rPr>
          <w:rFonts w:eastAsiaTheme="minorEastAsia"/>
          <w:i w:val="0"/>
          <w:iCs w:val="0"/>
          <w:noProof/>
          <w:sz w:val="22"/>
          <w:szCs w:val="22"/>
          <w:lang w:val="pl-PL" w:eastAsia="pl-PL"/>
        </w:rPr>
      </w:pPr>
      <w:hyperlink w:anchor="_Toc449106393" w:history="1">
        <w:r w:rsidR="000B3113" w:rsidRPr="007169D9">
          <w:rPr>
            <w:rStyle w:val="Hipercze"/>
            <w:rFonts w:ascii="Wingdings" w:hAnsi="Wingdings"/>
            <w:noProof/>
            <w:lang w:val="pl-PL"/>
          </w:rPr>
          <w:t></w:t>
        </w:r>
        <w:r w:rsidR="000B3113">
          <w:rPr>
            <w:rFonts w:eastAsiaTheme="minorEastAsia"/>
            <w:i w:val="0"/>
            <w:iCs w:val="0"/>
            <w:noProof/>
            <w:sz w:val="22"/>
            <w:szCs w:val="22"/>
            <w:lang w:val="pl-PL" w:eastAsia="pl-PL"/>
          </w:rPr>
          <w:tab/>
        </w:r>
        <w:r w:rsidR="000B3113" w:rsidRPr="007169D9">
          <w:rPr>
            <w:rStyle w:val="Hipercze"/>
            <w:b/>
            <w:noProof/>
            <w:lang w:val="pl-PL"/>
          </w:rPr>
          <w:t>naruszenie art. 10 ust. 1 Konwencji (wolność wyrażania opinii – aspekt prawa do otrzymywania informacji bez ingerencji władz publicznych) w odniesieniu do sytuacji, w której więźniowi ogranicza się dostęp do niektórych urzędowych stron internetowych zawierających informację prawną</w:t>
        </w:r>
        <w:r w:rsidR="000B3113">
          <w:rPr>
            <w:noProof/>
            <w:webHidden/>
          </w:rPr>
          <w:tab/>
        </w:r>
        <w:r w:rsidR="000B3113">
          <w:rPr>
            <w:noProof/>
            <w:webHidden/>
          </w:rPr>
          <w:fldChar w:fldCharType="begin"/>
        </w:r>
        <w:r w:rsidR="000B3113">
          <w:rPr>
            <w:noProof/>
            <w:webHidden/>
          </w:rPr>
          <w:instrText xml:space="preserve"> PAGEREF _Toc449106393 \h </w:instrText>
        </w:r>
        <w:r w:rsidR="000B3113">
          <w:rPr>
            <w:noProof/>
            <w:webHidden/>
          </w:rPr>
        </w:r>
        <w:r w:rsidR="000B3113">
          <w:rPr>
            <w:noProof/>
            <w:webHidden/>
          </w:rPr>
          <w:fldChar w:fldCharType="separate"/>
        </w:r>
        <w:r w:rsidR="000B3113">
          <w:rPr>
            <w:noProof/>
            <w:webHidden/>
          </w:rPr>
          <w:t>15</w:t>
        </w:r>
        <w:r w:rsidR="000B3113">
          <w:rPr>
            <w:noProof/>
            <w:webHidden/>
          </w:rPr>
          <w:fldChar w:fldCharType="end"/>
        </w:r>
      </w:hyperlink>
    </w:p>
    <w:p w:rsidR="00F7704E" w:rsidRDefault="00F47558" w:rsidP="002D2CE5">
      <w:pPr>
        <w:spacing w:after="120" w:line="240" w:lineRule="auto"/>
        <w:jc w:val="both"/>
        <w:rPr>
          <w:smallCaps/>
          <w:sz w:val="20"/>
          <w:szCs w:val="20"/>
          <w:lang w:val="pl-PL"/>
        </w:rPr>
      </w:pPr>
      <w:r w:rsidRPr="00D7274E">
        <w:rPr>
          <w:smallCaps/>
          <w:sz w:val="20"/>
          <w:szCs w:val="20"/>
          <w:lang w:val="pl-PL"/>
        </w:rPr>
        <w:fldChar w:fldCharType="end"/>
      </w:r>
    </w:p>
    <w:p w:rsidR="00022B32" w:rsidRDefault="00022B32" w:rsidP="002D2CE5">
      <w:pPr>
        <w:spacing w:after="120" w:line="240" w:lineRule="auto"/>
        <w:jc w:val="both"/>
        <w:rPr>
          <w:rFonts w:eastAsiaTheme="majorEastAsia" w:cstheme="majorBidi"/>
          <w:b/>
          <w:bCs/>
          <w:color w:val="4F81BD" w:themeColor="accent1"/>
          <w:sz w:val="24"/>
          <w:szCs w:val="24"/>
          <w:lang w:val="pl-PL"/>
        </w:rPr>
      </w:pPr>
    </w:p>
    <w:p w:rsidR="00C941E0" w:rsidRPr="00C941E0" w:rsidRDefault="00C941E0" w:rsidP="00C941E0">
      <w:pPr>
        <w:pStyle w:val="Nagwek2"/>
        <w:numPr>
          <w:ilvl w:val="0"/>
          <w:numId w:val="29"/>
        </w:numPr>
        <w:spacing w:before="480"/>
      </w:pPr>
      <w:bookmarkStart w:id="2" w:name="_Toc449106381"/>
      <w:proofErr w:type="spellStart"/>
      <w:r w:rsidRPr="00C941E0">
        <w:lastRenderedPageBreak/>
        <w:t>Frumkin</w:t>
      </w:r>
      <w:proofErr w:type="spellEnd"/>
      <w:r w:rsidRPr="00C941E0">
        <w:t xml:space="preserve"> p. Rosji</w:t>
      </w:r>
      <w:r w:rsidR="005729BF">
        <w:t xml:space="preserve">, </w:t>
      </w:r>
      <w:r w:rsidRPr="00C941E0">
        <w:t xml:space="preserve">skarga nr 74568/12, wyrok </w:t>
      </w:r>
      <w:r w:rsidR="00EC043D">
        <w:t xml:space="preserve">Izby </w:t>
      </w:r>
      <w:r w:rsidRPr="00C941E0">
        <w:t>z 5</w:t>
      </w:r>
      <w:r w:rsidR="00EC043D">
        <w:t>.01.</w:t>
      </w:r>
      <w:r w:rsidRPr="00C941E0">
        <w:t>2016 r.</w:t>
      </w:r>
      <w:r w:rsidR="00EC043D">
        <w:t>, nieostateczny</w:t>
      </w:r>
      <w:bookmarkEnd w:id="2"/>
    </w:p>
    <w:p w:rsidR="00F02BDD" w:rsidRPr="002F13D3" w:rsidRDefault="00F02BDD" w:rsidP="002F13D3">
      <w:pPr>
        <w:pStyle w:val="Akapitzlist"/>
        <w:keepNext/>
        <w:keepLines/>
        <w:numPr>
          <w:ilvl w:val="0"/>
          <w:numId w:val="38"/>
        </w:numPr>
        <w:spacing w:after="120" w:line="240" w:lineRule="auto"/>
        <w:ind w:left="357" w:hanging="357"/>
        <w:contextualSpacing w:val="0"/>
        <w:jc w:val="both"/>
        <w:outlineLvl w:val="2"/>
        <w:rPr>
          <w:b/>
          <w:color w:val="000000" w:themeColor="text1"/>
          <w:lang w:val="pl-PL"/>
        </w:rPr>
      </w:pPr>
      <w:bookmarkStart w:id="3" w:name="_Toc449106382"/>
      <w:r w:rsidRPr="002F13D3">
        <w:rPr>
          <w:b/>
          <w:color w:val="000000" w:themeColor="text1"/>
          <w:lang w:val="pl-PL"/>
        </w:rPr>
        <w:t>naruszenie art. 11 Konwencji</w:t>
      </w:r>
      <w:r w:rsidR="005B7C47">
        <w:rPr>
          <w:rStyle w:val="Odwoanieprzypisudolnego"/>
          <w:b/>
          <w:color w:val="000000" w:themeColor="text1"/>
          <w:lang w:val="pl-PL"/>
        </w:rPr>
        <w:footnoteReference w:id="1"/>
      </w:r>
      <w:r w:rsidRPr="002F13D3">
        <w:rPr>
          <w:b/>
          <w:color w:val="000000" w:themeColor="text1"/>
          <w:lang w:val="pl-PL"/>
        </w:rPr>
        <w:t xml:space="preserve"> (wolność zgromadzeń</w:t>
      </w:r>
      <w:r w:rsidR="005729BF" w:rsidRPr="002F13D3">
        <w:rPr>
          <w:b/>
          <w:color w:val="000000" w:themeColor="text1"/>
          <w:lang w:val="pl-PL"/>
        </w:rPr>
        <w:t xml:space="preserve"> i stowarzyszania się – aspekt wolności zgromadzeń</w:t>
      </w:r>
      <w:r w:rsidRPr="002F13D3">
        <w:rPr>
          <w:b/>
          <w:color w:val="000000" w:themeColor="text1"/>
          <w:lang w:val="pl-PL"/>
        </w:rPr>
        <w:t xml:space="preserve">) z </w:t>
      </w:r>
      <w:r w:rsidR="005174E1" w:rsidRPr="002F13D3">
        <w:rPr>
          <w:b/>
          <w:color w:val="000000" w:themeColor="text1"/>
          <w:lang w:val="pl-PL"/>
        </w:rPr>
        <w:t>powodu</w:t>
      </w:r>
      <w:r w:rsidRPr="002F13D3">
        <w:rPr>
          <w:b/>
          <w:color w:val="000000" w:themeColor="text1"/>
          <w:lang w:val="pl-PL"/>
        </w:rPr>
        <w:t xml:space="preserve"> niezapewnienia przez władze krajowe pokojowego przebiegu zgromadzenia </w:t>
      </w:r>
      <w:r w:rsidR="003762C5" w:rsidRPr="002F13D3">
        <w:rPr>
          <w:b/>
          <w:color w:val="000000" w:themeColor="text1"/>
          <w:lang w:val="pl-PL"/>
        </w:rPr>
        <w:t xml:space="preserve">oraz </w:t>
      </w:r>
      <w:r w:rsidRPr="002F13D3">
        <w:rPr>
          <w:b/>
          <w:color w:val="000000" w:themeColor="text1"/>
          <w:lang w:val="pl-PL"/>
        </w:rPr>
        <w:t xml:space="preserve">z </w:t>
      </w:r>
      <w:r w:rsidR="005729BF" w:rsidRPr="002F13D3">
        <w:rPr>
          <w:b/>
          <w:color w:val="000000" w:themeColor="text1"/>
          <w:lang w:val="pl-PL"/>
        </w:rPr>
        <w:t>powodu</w:t>
      </w:r>
      <w:r w:rsidRPr="002F13D3">
        <w:rPr>
          <w:b/>
          <w:color w:val="000000" w:themeColor="text1"/>
          <w:lang w:val="pl-PL"/>
        </w:rPr>
        <w:t xml:space="preserve"> zatrzymania i aresztowania skarżącego oraz nałożenia na niego kary administracyjnej</w:t>
      </w:r>
      <w:bookmarkEnd w:id="3"/>
    </w:p>
    <w:p w:rsidR="00923CD6" w:rsidRPr="00F418F6" w:rsidRDefault="00923CD6" w:rsidP="002F13D3">
      <w:pPr>
        <w:pStyle w:val="Akapitzlist"/>
        <w:keepNext/>
        <w:keepLines/>
        <w:numPr>
          <w:ilvl w:val="0"/>
          <w:numId w:val="38"/>
        </w:numPr>
        <w:spacing w:after="120" w:line="240" w:lineRule="auto"/>
        <w:ind w:left="357" w:hanging="357"/>
        <w:contextualSpacing w:val="0"/>
        <w:jc w:val="both"/>
        <w:outlineLvl w:val="2"/>
        <w:rPr>
          <w:b/>
          <w:color w:val="000000" w:themeColor="text1"/>
          <w:lang w:val="pl-PL"/>
        </w:rPr>
      </w:pPr>
      <w:bookmarkStart w:id="4" w:name="_Toc449106383"/>
      <w:r w:rsidRPr="00F418F6">
        <w:rPr>
          <w:b/>
          <w:color w:val="000000" w:themeColor="text1"/>
          <w:lang w:val="pl-PL"/>
        </w:rPr>
        <w:t>naruszenie art. 5 ust. 1</w:t>
      </w:r>
      <w:r w:rsidR="00CA7AC6" w:rsidRPr="00F418F6">
        <w:rPr>
          <w:b/>
          <w:color w:val="000000" w:themeColor="text1"/>
          <w:lang w:val="pl-PL"/>
        </w:rPr>
        <w:t xml:space="preserve"> Konwencji</w:t>
      </w:r>
      <w:r w:rsidRPr="00F418F6">
        <w:rPr>
          <w:b/>
          <w:color w:val="000000" w:themeColor="text1"/>
          <w:lang w:val="pl-PL"/>
        </w:rPr>
        <w:t xml:space="preserve"> (prawo do wolności i bezpieczeństwa osobistego) z uwagi na brak wyjaśnienia powodów 36-godzinnego zatrzymania skarżącego </w:t>
      </w:r>
      <w:r w:rsidR="00C463BA">
        <w:rPr>
          <w:b/>
          <w:color w:val="000000" w:themeColor="text1"/>
          <w:lang w:val="pl-PL"/>
        </w:rPr>
        <w:t>przed rozprawą o wykroczenie</w:t>
      </w:r>
      <w:bookmarkEnd w:id="4"/>
    </w:p>
    <w:p w:rsidR="00923CD6" w:rsidRPr="00F418F6" w:rsidRDefault="00923CD6" w:rsidP="002F13D3">
      <w:pPr>
        <w:pStyle w:val="Akapitzlist"/>
        <w:keepNext/>
        <w:keepLines/>
        <w:numPr>
          <w:ilvl w:val="0"/>
          <w:numId w:val="38"/>
        </w:numPr>
        <w:spacing w:after="240" w:line="240" w:lineRule="auto"/>
        <w:ind w:left="357" w:hanging="357"/>
        <w:contextualSpacing w:val="0"/>
        <w:jc w:val="both"/>
        <w:outlineLvl w:val="2"/>
        <w:rPr>
          <w:b/>
          <w:color w:val="000000" w:themeColor="text1"/>
          <w:lang w:val="pl-PL"/>
        </w:rPr>
      </w:pPr>
      <w:bookmarkStart w:id="5" w:name="_Toc449106384"/>
      <w:r w:rsidRPr="00F418F6">
        <w:rPr>
          <w:b/>
          <w:color w:val="000000" w:themeColor="text1"/>
          <w:lang w:val="pl-PL"/>
        </w:rPr>
        <w:t>naruszenie art. 6 ust. 1 i ust. 3 lit. d</w:t>
      </w:r>
      <w:r w:rsidR="005729BF">
        <w:rPr>
          <w:b/>
          <w:color w:val="000000" w:themeColor="text1"/>
          <w:lang w:val="pl-PL"/>
        </w:rPr>
        <w:t>)</w:t>
      </w:r>
      <w:r w:rsidRPr="00F418F6">
        <w:rPr>
          <w:b/>
          <w:color w:val="000000" w:themeColor="text1"/>
          <w:lang w:val="pl-PL"/>
        </w:rPr>
        <w:t xml:space="preserve"> </w:t>
      </w:r>
      <w:r w:rsidR="00CA7AC6" w:rsidRPr="00F418F6">
        <w:rPr>
          <w:b/>
          <w:color w:val="000000" w:themeColor="text1"/>
          <w:lang w:val="pl-PL"/>
        </w:rPr>
        <w:t xml:space="preserve">Konwencji </w:t>
      </w:r>
      <w:r w:rsidRPr="00F418F6">
        <w:rPr>
          <w:b/>
          <w:color w:val="000000" w:themeColor="text1"/>
          <w:lang w:val="pl-PL"/>
        </w:rPr>
        <w:t>(prawo do rzetelnego procesu sądowego) z uwagi na oparcie wyroku skazującego jedynie na standardowych dokumentach sporządzonych prze</w:t>
      </w:r>
      <w:r w:rsidR="00F418F6">
        <w:rPr>
          <w:b/>
          <w:color w:val="000000" w:themeColor="text1"/>
          <w:lang w:val="pl-PL"/>
        </w:rPr>
        <w:t>z policję w trakcie dochodzenia</w:t>
      </w:r>
      <w:bookmarkEnd w:id="5"/>
    </w:p>
    <w:p w:rsidR="00C941E0" w:rsidRPr="00C941E0" w:rsidRDefault="00C941E0" w:rsidP="00A06FAA">
      <w:pPr>
        <w:spacing w:after="120" w:line="240" w:lineRule="auto"/>
        <w:jc w:val="both"/>
        <w:rPr>
          <w:u w:val="single"/>
          <w:lang w:val="pl-PL"/>
        </w:rPr>
      </w:pPr>
      <w:r w:rsidRPr="00C941E0">
        <w:rPr>
          <w:u w:val="single"/>
          <w:lang w:val="pl-PL"/>
        </w:rPr>
        <w:t>Stan faktyczny</w:t>
      </w:r>
    </w:p>
    <w:p w:rsidR="00C941E0" w:rsidRPr="00C941E0" w:rsidRDefault="00C941E0" w:rsidP="00A06FAA">
      <w:pPr>
        <w:spacing w:after="120" w:line="240" w:lineRule="auto"/>
        <w:jc w:val="both"/>
        <w:rPr>
          <w:lang w:val="pl-PL"/>
        </w:rPr>
      </w:pPr>
      <w:r w:rsidRPr="00C941E0">
        <w:rPr>
          <w:lang w:val="pl-PL"/>
        </w:rPr>
        <w:t xml:space="preserve">Skarżący, Jewgienij </w:t>
      </w:r>
      <w:proofErr w:type="spellStart"/>
      <w:r w:rsidRPr="00C941E0">
        <w:rPr>
          <w:lang w:val="pl-PL"/>
        </w:rPr>
        <w:t>Frumkin</w:t>
      </w:r>
      <w:proofErr w:type="spellEnd"/>
      <w:r w:rsidRPr="00C941E0">
        <w:rPr>
          <w:lang w:val="pl-PL"/>
        </w:rPr>
        <w:t xml:space="preserve">, jest obywatelem rosyjskim. W dniu 6 maja 2012 </w:t>
      </w:r>
      <w:r w:rsidR="00B735F6">
        <w:rPr>
          <w:lang w:val="pl-PL"/>
        </w:rPr>
        <w:t>r.</w:t>
      </w:r>
      <w:r w:rsidRPr="00C941E0">
        <w:rPr>
          <w:lang w:val="pl-PL"/>
        </w:rPr>
        <w:t xml:space="preserve"> brał udział w wiecu politycznym na Placu Błotnym w Moskwie, którego celem było zaprotestowanie przeciwko "nadużyciom i fałszerstwom", jakie rzekomo miały miejsce podczas wyborów do Dumy Państwowej w 2011 </w:t>
      </w:r>
      <w:r w:rsidR="00B735F6">
        <w:rPr>
          <w:lang w:val="pl-PL"/>
        </w:rPr>
        <w:t>r.</w:t>
      </w:r>
      <w:r w:rsidRPr="00C941E0">
        <w:rPr>
          <w:lang w:val="pl-PL"/>
        </w:rPr>
        <w:t xml:space="preserve"> i wyborów prezydenckich w 2012 </w:t>
      </w:r>
      <w:r w:rsidR="00B735F6">
        <w:rPr>
          <w:lang w:val="pl-PL"/>
        </w:rPr>
        <w:t>r.</w:t>
      </w:r>
      <w:r w:rsidRPr="00C941E0">
        <w:rPr>
          <w:lang w:val="pl-PL"/>
        </w:rPr>
        <w:t xml:space="preserve"> Wydarzenie rozpoczęło się spokojnie, natomiast zakończyło się starciem manifestantów z policją, w wyniku czego dokonano licznych aresztowań.</w:t>
      </w:r>
    </w:p>
    <w:p w:rsidR="00C941E0" w:rsidRPr="00C941E0" w:rsidRDefault="00C941E0" w:rsidP="00A06FAA">
      <w:pPr>
        <w:spacing w:after="120" w:line="240" w:lineRule="auto"/>
        <w:jc w:val="both"/>
        <w:rPr>
          <w:lang w:val="pl-PL"/>
        </w:rPr>
      </w:pPr>
      <w:r w:rsidRPr="00C941E0">
        <w:rPr>
          <w:lang w:val="pl-PL"/>
        </w:rPr>
        <w:t xml:space="preserve">Trasa marszu została zatwierdzona przez </w:t>
      </w:r>
      <w:r w:rsidR="005729BF">
        <w:rPr>
          <w:lang w:val="pl-PL"/>
        </w:rPr>
        <w:t>właściwe</w:t>
      </w:r>
      <w:r w:rsidRPr="00C941E0">
        <w:rPr>
          <w:lang w:val="pl-PL"/>
        </w:rPr>
        <w:t xml:space="preserve"> władze moskiewskie. Według skarżącego, na spotkaniu roboczym </w:t>
      </w:r>
      <w:r w:rsidR="00E44CF3">
        <w:rPr>
          <w:lang w:val="pl-PL"/>
        </w:rPr>
        <w:t xml:space="preserve">na </w:t>
      </w:r>
      <w:r w:rsidRPr="00C941E0">
        <w:rPr>
          <w:lang w:val="pl-PL"/>
        </w:rPr>
        <w:t>dwa dni przed wydarzeniem, władze i organizatorzy przyjęli, że kwestie dotyczące ochrony powinny zostać rozwiązane identycznie</w:t>
      </w:r>
      <w:r w:rsidR="00E44CF3">
        <w:rPr>
          <w:lang w:val="pl-PL"/>
        </w:rPr>
        <w:t>,</w:t>
      </w:r>
      <w:r w:rsidRPr="00C941E0">
        <w:rPr>
          <w:lang w:val="pl-PL"/>
        </w:rPr>
        <w:t xml:space="preserve"> jak w przypadku poprzedniego publicznego wydarzenia organizowanego przez tę samą grupę działaczy opozycyjnych w lutym 2012</w:t>
      </w:r>
      <w:r w:rsidR="005729BF">
        <w:rPr>
          <w:lang w:val="pl-PL"/>
        </w:rPr>
        <w:t xml:space="preserve"> r</w:t>
      </w:r>
      <w:r w:rsidRPr="00C941E0">
        <w:rPr>
          <w:lang w:val="pl-PL"/>
        </w:rPr>
        <w:t xml:space="preserve">. W związku z powyższym, lokalizacja wydarzenia przewidywała także wkroczenie na teren parku na Placu Błotnym. Mapa obszaru wyznaczonego na spotkaniu w maju 2012 </w:t>
      </w:r>
      <w:r w:rsidR="00B735F6">
        <w:rPr>
          <w:lang w:val="pl-PL"/>
        </w:rPr>
        <w:t>r.</w:t>
      </w:r>
      <w:r w:rsidRPr="00C941E0">
        <w:rPr>
          <w:lang w:val="pl-PL"/>
        </w:rPr>
        <w:t>, opublikowana na stronie internetowej Departamentu Spraw Wewnętrznych w Moskwie na dzień przed imprezą</w:t>
      </w:r>
      <w:r w:rsidR="005729BF">
        <w:rPr>
          <w:lang w:val="pl-PL"/>
        </w:rPr>
        <w:t>,</w:t>
      </w:r>
      <w:r w:rsidRPr="00C941E0">
        <w:rPr>
          <w:lang w:val="pl-PL"/>
        </w:rPr>
        <w:t xml:space="preserve"> obejmowała także ów park. Prokuratura rejonowa wydała ostrzeżenie o nieprzekraczaniu zadeklarowanej liczby uczestników i nierozstawianiu namiotów, zamiar czego organizatorzy rzekomo wyrazili. Wewnętrzny plan bezpieczeństwa moskiewskiej policji, przedłożony Trybunałowi przez rząd rosyjski, przewidywał siły liczące ponad 8</w:t>
      </w:r>
      <w:r w:rsidR="005729BF">
        <w:rPr>
          <w:lang w:val="pl-PL"/>
        </w:rPr>
        <w:t xml:space="preserve"> </w:t>
      </w:r>
      <w:r w:rsidRPr="00C941E0">
        <w:rPr>
          <w:lang w:val="pl-PL"/>
        </w:rPr>
        <w:t>000 funkcjonariuszy</w:t>
      </w:r>
      <w:r w:rsidR="00B735F6">
        <w:rPr>
          <w:lang w:val="pl-PL"/>
        </w:rPr>
        <w:t xml:space="preserve">, zarówno </w:t>
      </w:r>
      <w:r w:rsidRPr="00C941E0">
        <w:rPr>
          <w:lang w:val="pl-PL"/>
        </w:rPr>
        <w:t xml:space="preserve">policji </w:t>
      </w:r>
      <w:r w:rsidR="00B735F6">
        <w:rPr>
          <w:lang w:val="pl-PL"/>
        </w:rPr>
        <w:t xml:space="preserve">jak </w:t>
      </w:r>
      <w:r w:rsidRPr="00C941E0">
        <w:rPr>
          <w:lang w:val="pl-PL"/>
        </w:rPr>
        <w:t>i żołnierzy, mających za zadanie kontrolować centrum miasta oraz zapobiegać tworzeniu się nielegalnych publicznych zbiegowisk.</w:t>
      </w:r>
    </w:p>
    <w:p w:rsidR="00C941E0" w:rsidRPr="00C941E0" w:rsidRDefault="00C941E0" w:rsidP="00A06FAA">
      <w:pPr>
        <w:spacing w:after="120" w:line="240" w:lineRule="auto"/>
        <w:jc w:val="both"/>
        <w:rPr>
          <w:lang w:val="pl-PL"/>
        </w:rPr>
      </w:pPr>
      <w:r w:rsidRPr="00C941E0">
        <w:rPr>
          <w:lang w:val="pl-PL"/>
        </w:rPr>
        <w:t xml:space="preserve">Według władz, w wydarzeniu wzięło udział około 8 000 osób, podczas gdy organizatorzy szacowali, że ​​było to około 25 000 osób. W dniu 6 maja 2012 </w:t>
      </w:r>
      <w:r w:rsidR="00B735F6">
        <w:rPr>
          <w:lang w:val="pl-PL"/>
        </w:rPr>
        <w:t>r.</w:t>
      </w:r>
      <w:r w:rsidRPr="00C941E0">
        <w:rPr>
          <w:lang w:val="pl-PL"/>
        </w:rPr>
        <w:t xml:space="preserve">, po spokojnym przemarszu, około godziny 17:00 demonstranci osiągnęli Plac Błotny. Tam, wbrew </w:t>
      </w:r>
      <w:r w:rsidR="00CA7AC6">
        <w:rPr>
          <w:lang w:val="pl-PL"/>
        </w:rPr>
        <w:t xml:space="preserve">ich </w:t>
      </w:r>
      <w:r w:rsidRPr="00C941E0">
        <w:rPr>
          <w:lang w:val="pl-PL"/>
        </w:rPr>
        <w:t>oczekiwaniom</w:t>
      </w:r>
      <w:r w:rsidR="00CA7AC6">
        <w:rPr>
          <w:lang w:val="pl-PL"/>
        </w:rPr>
        <w:t>,</w:t>
      </w:r>
      <w:r w:rsidRPr="00C941E0">
        <w:rPr>
          <w:lang w:val="pl-PL"/>
        </w:rPr>
        <w:t xml:space="preserve"> park został wykluczony ze strefy dostępnej dla demonstrantów, a dostęp do niego zablokowany przez kordon policji. Przestrzeń była ograniczona do Nasypu Błotnego, na którym to organizatorzy zaplanowali scenę. Według protestujących, demonstranci zostali zaskoczeni zmianą i dlatego zaczęli zgłaszać żądania, aby kordon policji ustąpił. Według władz, protestujący zamierzali przełamać kordon po to</w:t>
      </w:r>
      <w:r w:rsidR="00263E73">
        <w:rPr>
          <w:lang w:val="pl-PL"/>
        </w:rPr>
        <w:t>,</w:t>
      </w:r>
      <w:r w:rsidRPr="00C941E0">
        <w:rPr>
          <w:lang w:val="pl-PL"/>
        </w:rPr>
        <w:t xml:space="preserve"> aby wkroczyć na pobliski most i posuwać się w kierunku Kremla, </w:t>
      </w:r>
      <w:r w:rsidR="005729BF">
        <w:rPr>
          <w:lang w:val="pl-PL"/>
        </w:rPr>
        <w:t>ewentualnie</w:t>
      </w:r>
      <w:r w:rsidRPr="00C941E0">
        <w:rPr>
          <w:lang w:val="pl-PL"/>
        </w:rPr>
        <w:t xml:space="preserve"> aby podburzyć tłum i wywołać zamieszki. Bezsporne jest, że funkcjonariusze tworzący kordon nie wdali się w dyskusję z organizatorami protestu oraz że żaden </w:t>
      </w:r>
      <w:r w:rsidR="005729BF">
        <w:rPr>
          <w:lang w:val="pl-PL"/>
        </w:rPr>
        <w:t>wyższy rangą</w:t>
      </w:r>
      <w:r w:rsidRPr="00C941E0">
        <w:rPr>
          <w:lang w:val="pl-PL"/>
        </w:rPr>
        <w:t xml:space="preserve"> oficer nie został delegowany do negocjacji.</w:t>
      </w:r>
    </w:p>
    <w:p w:rsidR="00C941E0" w:rsidRPr="00C941E0" w:rsidRDefault="00C941E0" w:rsidP="00A06FAA">
      <w:pPr>
        <w:spacing w:after="120" w:line="240" w:lineRule="auto"/>
        <w:jc w:val="both"/>
        <w:rPr>
          <w:lang w:val="pl-PL"/>
        </w:rPr>
      </w:pPr>
      <w:r w:rsidRPr="00C941E0">
        <w:rPr>
          <w:lang w:val="pl-PL"/>
        </w:rPr>
        <w:t xml:space="preserve">Po bezskutecznej próbie negocjacji czterech przywódców marszu ogłosiło </w:t>
      </w:r>
      <w:r w:rsidR="00676433">
        <w:rPr>
          <w:lang w:val="pl-PL"/>
        </w:rPr>
        <w:t>protest</w:t>
      </w:r>
      <w:r w:rsidRPr="00C941E0">
        <w:rPr>
          <w:lang w:val="pl-PL"/>
        </w:rPr>
        <w:t xml:space="preserve"> "siadany" i usiadło na ziemi. Przyłączyło się do nich od 20 do 50 osób. Jakiś czas później kordon policji został krótkotrwale przełamany przez protestujących. Około godziny 18:00 policja zwróciła się do jednego z organizatorów, aby ogłosił, że zgromadzenie zostaje rozwiązane. Choć polecenie policji zostało wykonane, większość demonstrantów i przedstawicieli mediów nie usłyszała komunikatu. Następnie policja rozpoczęła akcję rozpędzania demonstrantów i aresztowała paru działaczy, w tym kilku organizatorów zgromadzenia.</w:t>
      </w:r>
    </w:p>
    <w:p w:rsidR="00C941E0" w:rsidRPr="00C941E0" w:rsidRDefault="00C941E0" w:rsidP="00A06FAA">
      <w:pPr>
        <w:spacing w:after="120" w:line="240" w:lineRule="auto"/>
        <w:jc w:val="both"/>
        <w:rPr>
          <w:lang w:val="pl-PL"/>
        </w:rPr>
      </w:pPr>
      <w:r w:rsidRPr="00C941E0">
        <w:rPr>
          <w:lang w:val="pl-PL"/>
        </w:rPr>
        <w:lastRenderedPageBreak/>
        <w:t xml:space="preserve">Jeszcze tego samego dnia wszczęto śledztwo w przedmiocie zamieszek. Następnie kilku obrońców praw człowieka wniosło skargi na postępowanie policji i represje wobec zatrzymanych osób. W marcu 2013 </w:t>
      </w:r>
      <w:r w:rsidR="00B735F6">
        <w:rPr>
          <w:lang w:val="pl-PL"/>
        </w:rPr>
        <w:t>r.</w:t>
      </w:r>
      <w:r w:rsidRPr="00C941E0">
        <w:rPr>
          <w:lang w:val="pl-PL"/>
        </w:rPr>
        <w:t xml:space="preserve"> władze krajowe oddaliły kilka skarg dotyczących rzekomego przekroczenia uprawnień przez policję, w tym nadmiernego użycia siły i dokonywania arbitralnych aresztowań.</w:t>
      </w:r>
    </w:p>
    <w:p w:rsidR="00C941E0" w:rsidRPr="00C941E0" w:rsidRDefault="00C941E0" w:rsidP="00A06FAA">
      <w:pPr>
        <w:spacing w:after="120" w:line="240" w:lineRule="auto"/>
        <w:jc w:val="both"/>
        <w:rPr>
          <w:lang w:val="pl-PL"/>
        </w:rPr>
      </w:pPr>
      <w:r w:rsidRPr="00C941E0">
        <w:rPr>
          <w:lang w:val="pl-PL"/>
        </w:rPr>
        <w:t xml:space="preserve">W lutym 2014 </w:t>
      </w:r>
      <w:r w:rsidR="00B735F6">
        <w:rPr>
          <w:lang w:val="pl-PL"/>
        </w:rPr>
        <w:t>r.</w:t>
      </w:r>
      <w:r w:rsidRPr="00C941E0">
        <w:rPr>
          <w:lang w:val="pl-PL"/>
        </w:rPr>
        <w:t xml:space="preserve"> osiem osób zostało skazanych za udział w zamieszkach ulicznych i dokonanie aktów przemocy wobec funkcjonariuszy policji podczas demonstracji w dniu 6 maja 2012 </w:t>
      </w:r>
      <w:r w:rsidR="00B735F6">
        <w:rPr>
          <w:lang w:val="pl-PL"/>
        </w:rPr>
        <w:t>r.</w:t>
      </w:r>
      <w:r w:rsidRPr="00C941E0">
        <w:rPr>
          <w:lang w:val="pl-PL"/>
        </w:rPr>
        <w:t xml:space="preserve"> Otrzymali oni wyroki od dwóch i pół do czterech lat pozbawienia wolności. W czerwcu 2014 </w:t>
      </w:r>
      <w:r w:rsidR="00B735F6">
        <w:rPr>
          <w:lang w:val="pl-PL"/>
        </w:rPr>
        <w:t>r.</w:t>
      </w:r>
      <w:r w:rsidRPr="00C941E0">
        <w:rPr>
          <w:lang w:val="pl-PL"/>
        </w:rPr>
        <w:t xml:space="preserve"> moskiewski sąd podtrzymał ów wyrok. W innej sprawie karnej kolejne cztery osoby zostały skazane za te same przestępstwa, otrzymując karę więzienia od dwóch i pół do trzech i pół roku. Moskiewski sąd podtrzymał ów wyrok w listopadzie 2014 </w:t>
      </w:r>
      <w:r w:rsidR="00B735F6">
        <w:rPr>
          <w:lang w:val="pl-PL"/>
        </w:rPr>
        <w:t>r.</w:t>
      </w:r>
      <w:r w:rsidRPr="00C941E0">
        <w:rPr>
          <w:lang w:val="pl-PL"/>
        </w:rPr>
        <w:t xml:space="preserve"> W lipcu 2014 </w:t>
      </w:r>
      <w:r w:rsidR="00B735F6">
        <w:rPr>
          <w:lang w:val="pl-PL"/>
        </w:rPr>
        <w:t>r.</w:t>
      </w:r>
      <w:r w:rsidRPr="00C941E0">
        <w:rPr>
          <w:lang w:val="pl-PL"/>
        </w:rPr>
        <w:t xml:space="preserve"> moskiewski sąd skazał dwie osoby, w tym jednego z organizatorów, za przestępstwo organizowania zamieszek ulicznych i skazał ich na cztery i pół roku więzienia. Wyrok został utrzymany przez Sąd Najwyższy w marcu 2015 r.</w:t>
      </w:r>
    </w:p>
    <w:p w:rsidR="00C941E0" w:rsidRPr="00ED2D44" w:rsidRDefault="00C941E0" w:rsidP="00A06FAA">
      <w:pPr>
        <w:spacing w:after="120" w:line="240" w:lineRule="auto"/>
        <w:jc w:val="both"/>
        <w:rPr>
          <w:lang w:val="pl-PL"/>
        </w:rPr>
      </w:pPr>
      <w:r w:rsidRPr="00C941E0">
        <w:rPr>
          <w:lang w:val="pl-PL"/>
        </w:rPr>
        <w:t xml:space="preserve">Według </w:t>
      </w:r>
      <w:r w:rsidR="001E1AD7">
        <w:rPr>
          <w:lang w:val="pl-PL"/>
        </w:rPr>
        <w:t>skarżącego</w:t>
      </w:r>
      <w:r w:rsidRPr="00C941E0">
        <w:rPr>
          <w:lang w:val="pl-PL"/>
        </w:rPr>
        <w:t xml:space="preserve">, podczas wydarzeń 6 maja 2012 </w:t>
      </w:r>
      <w:r w:rsidR="00B735F6">
        <w:rPr>
          <w:lang w:val="pl-PL"/>
        </w:rPr>
        <w:t>r.</w:t>
      </w:r>
      <w:r w:rsidRPr="00C941E0">
        <w:rPr>
          <w:lang w:val="pl-PL"/>
        </w:rPr>
        <w:t xml:space="preserve"> między godziną 18:00 a 19:00 znajdował się </w:t>
      </w:r>
      <w:r w:rsidR="00F22C58">
        <w:rPr>
          <w:lang w:val="pl-PL"/>
        </w:rPr>
        <w:t xml:space="preserve">on </w:t>
      </w:r>
      <w:r w:rsidRPr="00C941E0">
        <w:rPr>
          <w:lang w:val="pl-PL"/>
        </w:rPr>
        <w:t>w spokojnym miejscu. Twierdził, że został zatrzymany arbitralnie i bez ostrzeżenia około godziny 19:00</w:t>
      </w:r>
      <w:r w:rsidR="00E44CF3">
        <w:rPr>
          <w:lang w:val="pl-PL"/>
        </w:rPr>
        <w:t xml:space="preserve"> –</w:t>
      </w:r>
      <w:r w:rsidRPr="00C941E0">
        <w:rPr>
          <w:lang w:val="pl-PL"/>
        </w:rPr>
        <w:t xml:space="preserve"> po tym</w:t>
      </w:r>
      <w:r w:rsidR="00E44CF3">
        <w:rPr>
          <w:lang w:val="pl-PL"/>
        </w:rPr>
        <w:t>,</w:t>
      </w:r>
      <w:r w:rsidRPr="00C941E0">
        <w:rPr>
          <w:lang w:val="pl-PL"/>
        </w:rPr>
        <w:t xml:space="preserve"> jak policja wezwała demonstrantów do rozejścia się. Twierdził, że </w:t>
      </w:r>
      <w:r w:rsidR="00E44CF3" w:rsidRPr="00C941E0">
        <w:rPr>
          <w:lang w:val="pl-PL"/>
        </w:rPr>
        <w:t xml:space="preserve">w ogólnym zamieszaniu </w:t>
      </w:r>
      <w:r w:rsidRPr="00C941E0">
        <w:rPr>
          <w:lang w:val="pl-PL"/>
        </w:rPr>
        <w:t xml:space="preserve">nie był w stanie natychmiast opuścić terenu zgromadzenia. Zdaniem rządu rosyjskiego, skarżący został zatrzymany o godzinie 20:30 na Placu Błotnym z uwagi na utrudnianie ruchu i ignorowanie rozkazów policji. Został przewieziony na komisariat, a następnie oskarżony o wykroczenie administracyjne utrudniania ruchu i niewykonanie polecenia policji. Pozostał w areszcie do dnia 8 maja 2012 </w:t>
      </w:r>
      <w:r w:rsidR="00B735F6">
        <w:rPr>
          <w:lang w:val="pl-PL"/>
        </w:rPr>
        <w:t>r.</w:t>
      </w:r>
      <w:r w:rsidRPr="00C941E0">
        <w:rPr>
          <w:lang w:val="pl-PL"/>
        </w:rPr>
        <w:t xml:space="preserve">, kiedy to został uznany </w:t>
      </w:r>
      <w:r w:rsidR="00E44CF3">
        <w:rPr>
          <w:lang w:val="pl-PL"/>
        </w:rPr>
        <w:t>winnym</w:t>
      </w:r>
      <w:r w:rsidRPr="00C941E0">
        <w:rPr>
          <w:lang w:val="pl-PL"/>
        </w:rPr>
        <w:t xml:space="preserve"> stawianych mu zarzutów i skazany na areszt administracyjny w wymiarze 15 dni. </w:t>
      </w:r>
      <w:r w:rsidRPr="00ED2D44">
        <w:rPr>
          <w:lang w:val="pl-PL"/>
        </w:rPr>
        <w:t>Jego odwołania zostały od</w:t>
      </w:r>
      <w:r w:rsidR="00F22C58">
        <w:rPr>
          <w:lang w:val="pl-PL"/>
        </w:rPr>
        <w:t>dalone</w:t>
      </w:r>
      <w:r w:rsidRPr="00ED2D44">
        <w:rPr>
          <w:lang w:val="pl-PL"/>
        </w:rPr>
        <w:t>.</w:t>
      </w:r>
    </w:p>
    <w:p w:rsidR="00C941E0" w:rsidRPr="00ED2D44" w:rsidRDefault="00C941E0" w:rsidP="00A06FAA">
      <w:pPr>
        <w:spacing w:after="120" w:line="240" w:lineRule="auto"/>
        <w:jc w:val="both"/>
        <w:rPr>
          <w:u w:val="single"/>
          <w:lang w:val="pl-PL"/>
        </w:rPr>
      </w:pPr>
      <w:r w:rsidRPr="00ED2D44">
        <w:rPr>
          <w:u w:val="single"/>
          <w:lang w:val="pl-PL"/>
        </w:rPr>
        <w:t xml:space="preserve">Zarzuty </w:t>
      </w:r>
      <w:r w:rsidR="001E1AD7">
        <w:rPr>
          <w:u w:val="single"/>
          <w:lang w:val="pl-PL"/>
        </w:rPr>
        <w:t>s</w:t>
      </w:r>
      <w:r w:rsidRPr="00ED2D44">
        <w:rPr>
          <w:u w:val="single"/>
          <w:lang w:val="pl-PL"/>
        </w:rPr>
        <w:t>karżącego</w:t>
      </w:r>
    </w:p>
    <w:p w:rsidR="00C941E0" w:rsidRPr="00C941E0" w:rsidRDefault="00C941E0" w:rsidP="00A06FAA">
      <w:pPr>
        <w:spacing w:after="120" w:line="240" w:lineRule="auto"/>
        <w:jc w:val="both"/>
        <w:rPr>
          <w:lang w:val="pl-PL"/>
        </w:rPr>
      </w:pPr>
      <w:r w:rsidRPr="00C941E0">
        <w:rPr>
          <w:lang w:val="pl-PL"/>
        </w:rPr>
        <w:t xml:space="preserve">W skardze wniesionej do Trybunału </w:t>
      </w:r>
      <w:r w:rsidR="001E1AD7">
        <w:rPr>
          <w:lang w:val="pl-PL"/>
        </w:rPr>
        <w:t>s</w:t>
      </w:r>
      <w:r w:rsidRPr="00C941E0">
        <w:rPr>
          <w:lang w:val="pl-PL"/>
        </w:rPr>
        <w:t>karżący zarzucił pań</w:t>
      </w:r>
      <w:r w:rsidR="00676433">
        <w:rPr>
          <w:lang w:val="pl-PL"/>
        </w:rPr>
        <w:t>stwu rosyjskiemu naruszenie art.</w:t>
      </w:r>
      <w:r w:rsidRPr="00C941E0">
        <w:rPr>
          <w:lang w:val="pl-PL"/>
        </w:rPr>
        <w:t xml:space="preserve"> 11 </w:t>
      </w:r>
      <w:r w:rsidR="00676433">
        <w:rPr>
          <w:lang w:val="pl-PL"/>
        </w:rPr>
        <w:t xml:space="preserve">Konwencji </w:t>
      </w:r>
      <w:r w:rsidRPr="00C941E0">
        <w:rPr>
          <w:lang w:val="pl-PL"/>
        </w:rPr>
        <w:t>z uwagi na okoliczności jego zatrzymania i aresztowania oraz nałożenia nań kary administracyjnej za popełnione wykroczenie</w:t>
      </w:r>
      <w:r w:rsidR="00E44CF3">
        <w:rPr>
          <w:lang w:val="pl-PL"/>
        </w:rPr>
        <w:t>, a także</w:t>
      </w:r>
      <w:r w:rsidRPr="00C941E0">
        <w:rPr>
          <w:lang w:val="pl-PL"/>
        </w:rPr>
        <w:t xml:space="preserve"> z tytułu niezapewnienia przez władze krajowe pokojowego przebiegu zgromadzenia. Ponadto zarzucił naruszenie </w:t>
      </w:r>
      <w:r w:rsidR="00676433">
        <w:rPr>
          <w:lang w:val="pl-PL"/>
        </w:rPr>
        <w:t>art.</w:t>
      </w:r>
      <w:r w:rsidRPr="00C941E0">
        <w:rPr>
          <w:lang w:val="pl-PL"/>
        </w:rPr>
        <w:t xml:space="preserve"> 5 ust. 1 Konwencji (prawo do wolności i bezpieczeństwa osobistego), a także naruszenie </w:t>
      </w:r>
      <w:r w:rsidR="00676433">
        <w:rPr>
          <w:lang w:val="pl-PL"/>
        </w:rPr>
        <w:t>art.</w:t>
      </w:r>
      <w:r w:rsidRPr="00C941E0">
        <w:rPr>
          <w:lang w:val="pl-PL"/>
        </w:rPr>
        <w:t xml:space="preserve"> 6 ust. 1 i 3 lit. d</w:t>
      </w:r>
      <w:r w:rsidR="00E44CF3">
        <w:rPr>
          <w:lang w:val="pl-PL"/>
        </w:rPr>
        <w:t>)</w:t>
      </w:r>
      <w:r w:rsidRPr="00C941E0">
        <w:rPr>
          <w:lang w:val="pl-PL"/>
        </w:rPr>
        <w:t xml:space="preserve"> Konwencji (prawo do rzetelnego procesu sądowego) wskazując, iż jego zatrzymanie i aresztowanie w postępowaniu o wykroczenie były arbitralne i bezprawne, a samo postępowanie</w:t>
      </w:r>
      <w:r w:rsidR="00F22C58">
        <w:rPr>
          <w:lang w:val="pl-PL"/>
        </w:rPr>
        <w:t xml:space="preserve"> nie</w:t>
      </w:r>
      <w:r w:rsidRPr="00C941E0">
        <w:rPr>
          <w:lang w:val="pl-PL"/>
        </w:rPr>
        <w:t xml:space="preserve"> </w:t>
      </w:r>
      <w:r w:rsidR="00676433">
        <w:rPr>
          <w:lang w:val="pl-PL"/>
        </w:rPr>
        <w:t xml:space="preserve">spełniało wymogów </w:t>
      </w:r>
      <w:r w:rsidRPr="00C941E0">
        <w:rPr>
          <w:lang w:val="pl-PL"/>
        </w:rPr>
        <w:t xml:space="preserve">rzetelności. Ponadto zarzucił naruszenie </w:t>
      </w:r>
      <w:r w:rsidR="00676433">
        <w:rPr>
          <w:lang w:val="pl-PL"/>
        </w:rPr>
        <w:t>art.</w:t>
      </w:r>
      <w:r w:rsidRPr="00C941E0">
        <w:rPr>
          <w:lang w:val="pl-PL"/>
        </w:rPr>
        <w:t xml:space="preserve"> 18 Konwencji (zakaz </w:t>
      </w:r>
      <w:r w:rsidR="00E44CF3">
        <w:rPr>
          <w:lang w:val="pl-PL"/>
        </w:rPr>
        <w:t>nakładania</w:t>
      </w:r>
      <w:r w:rsidR="001E1AD7">
        <w:rPr>
          <w:lang w:val="pl-PL"/>
        </w:rPr>
        <w:t xml:space="preserve"> ograniczeń na</w:t>
      </w:r>
      <w:r w:rsidRPr="00C941E0">
        <w:rPr>
          <w:lang w:val="pl-PL"/>
        </w:rPr>
        <w:t xml:space="preserve"> korzystanie z praw gwarantowanych Konwencją</w:t>
      </w:r>
      <w:r w:rsidR="001E1AD7">
        <w:rPr>
          <w:lang w:val="pl-PL"/>
        </w:rPr>
        <w:t xml:space="preserve"> w innych celach niż te dla, których je wprowadzono</w:t>
      </w:r>
      <w:r w:rsidRPr="00C941E0">
        <w:rPr>
          <w:lang w:val="pl-PL"/>
        </w:rPr>
        <w:t>).</w:t>
      </w:r>
    </w:p>
    <w:p w:rsidR="00C941E0" w:rsidRPr="00C941E0" w:rsidRDefault="00C941E0" w:rsidP="00A06FAA">
      <w:pPr>
        <w:spacing w:after="120" w:line="240" w:lineRule="auto"/>
        <w:jc w:val="both"/>
        <w:rPr>
          <w:u w:val="single"/>
          <w:lang w:val="pl-PL"/>
        </w:rPr>
      </w:pPr>
      <w:r w:rsidRPr="00C941E0">
        <w:rPr>
          <w:u w:val="single"/>
          <w:lang w:val="pl-PL"/>
        </w:rPr>
        <w:t>Rozstrzygnięcie Trybunału</w:t>
      </w:r>
    </w:p>
    <w:p w:rsidR="003B1B3A" w:rsidRDefault="00C941E0" w:rsidP="00A06FAA">
      <w:pPr>
        <w:spacing w:after="120" w:line="240" w:lineRule="auto"/>
        <w:jc w:val="both"/>
        <w:rPr>
          <w:lang w:val="pl-PL"/>
        </w:rPr>
      </w:pPr>
      <w:r w:rsidRPr="00C941E0">
        <w:rPr>
          <w:lang w:val="pl-PL"/>
        </w:rPr>
        <w:t xml:space="preserve">Trybunał w niniejszej sprawie stwierdził </w:t>
      </w:r>
      <w:r w:rsidR="00C234E4">
        <w:rPr>
          <w:lang w:val="pl-PL"/>
        </w:rPr>
        <w:t xml:space="preserve">dwa </w:t>
      </w:r>
      <w:r w:rsidRPr="00C941E0">
        <w:rPr>
          <w:lang w:val="pl-PL"/>
        </w:rPr>
        <w:t>n</w:t>
      </w:r>
      <w:r w:rsidR="00C234E4">
        <w:rPr>
          <w:lang w:val="pl-PL"/>
        </w:rPr>
        <w:t xml:space="preserve">aruszenia </w:t>
      </w:r>
      <w:r w:rsidR="00676433">
        <w:rPr>
          <w:lang w:val="pl-PL"/>
        </w:rPr>
        <w:t>art.</w:t>
      </w:r>
      <w:r w:rsidR="00C234E4">
        <w:rPr>
          <w:lang w:val="pl-PL"/>
        </w:rPr>
        <w:t xml:space="preserve"> 11 Konwencji: </w:t>
      </w:r>
    </w:p>
    <w:p w:rsidR="003B1B3A" w:rsidRDefault="00C941E0" w:rsidP="003B1B3A">
      <w:pPr>
        <w:pStyle w:val="Akapitzlist"/>
        <w:numPr>
          <w:ilvl w:val="0"/>
          <w:numId w:val="37"/>
        </w:numPr>
        <w:spacing w:after="120" w:line="240" w:lineRule="auto"/>
        <w:jc w:val="both"/>
        <w:rPr>
          <w:lang w:val="pl-PL"/>
        </w:rPr>
      </w:pPr>
      <w:r w:rsidRPr="003B1B3A">
        <w:rPr>
          <w:lang w:val="pl-PL"/>
        </w:rPr>
        <w:t>z tytułu niezapewnienia przez władze krajowe po</w:t>
      </w:r>
      <w:r w:rsidR="003B1B3A">
        <w:rPr>
          <w:lang w:val="pl-PL"/>
        </w:rPr>
        <w:t>kojowego przebiegu zgromadzenia;</w:t>
      </w:r>
    </w:p>
    <w:p w:rsidR="00C941E0" w:rsidRPr="003B1B3A" w:rsidRDefault="00C941E0" w:rsidP="003B1B3A">
      <w:pPr>
        <w:pStyle w:val="Akapitzlist"/>
        <w:numPr>
          <w:ilvl w:val="0"/>
          <w:numId w:val="37"/>
        </w:numPr>
        <w:spacing w:after="120" w:line="240" w:lineRule="auto"/>
        <w:jc w:val="both"/>
        <w:rPr>
          <w:lang w:val="pl-PL"/>
        </w:rPr>
      </w:pPr>
      <w:r w:rsidRPr="003B1B3A">
        <w:rPr>
          <w:lang w:val="pl-PL"/>
        </w:rPr>
        <w:t xml:space="preserve">z tytułu zatrzymania i aresztowania </w:t>
      </w:r>
      <w:r w:rsidR="00AE6E97" w:rsidRPr="003B1B3A">
        <w:rPr>
          <w:lang w:val="pl-PL"/>
        </w:rPr>
        <w:t xml:space="preserve">skarżącego </w:t>
      </w:r>
      <w:r w:rsidRPr="003B1B3A">
        <w:rPr>
          <w:lang w:val="pl-PL"/>
        </w:rPr>
        <w:t xml:space="preserve">oraz nałożenia na niego kary administracyjnej za popełnione wykroczenie. </w:t>
      </w:r>
    </w:p>
    <w:p w:rsidR="003B1B3A" w:rsidRDefault="00C941E0" w:rsidP="00A06FAA">
      <w:pPr>
        <w:spacing w:after="120" w:line="240" w:lineRule="auto"/>
        <w:jc w:val="both"/>
        <w:rPr>
          <w:lang w:val="pl-PL"/>
        </w:rPr>
      </w:pPr>
      <w:r w:rsidRPr="00C941E0">
        <w:rPr>
          <w:lang w:val="pl-PL"/>
        </w:rPr>
        <w:t>Trybunał stwierdził w szczególności, że działania władz nie były zgodne z podstawowymi wymaganiami nakładanymi przez</w:t>
      </w:r>
      <w:r w:rsidR="00E44CF3">
        <w:rPr>
          <w:lang w:val="pl-PL"/>
        </w:rPr>
        <w:t xml:space="preserve"> art. 11 Konwencji</w:t>
      </w:r>
      <w:r w:rsidRPr="00C941E0">
        <w:rPr>
          <w:lang w:val="pl-PL"/>
        </w:rPr>
        <w:t xml:space="preserve">, takimi jak wymóg komunikowania się z organizatorami zgromadzenia, który stanowi istotną część składową obowiązku zapewnienia pokojowego przebiegu zgromadzenia i służyć ma zapobieganiu zamieszkom </w:t>
      </w:r>
      <w:r w:rsidR="00676433">
        <w:rPr>
          <w:lang w:val="pl-PL"/>
        </w:rPr>
        <w:t>oraz</w:t>
      </w:r>
      <w:r w:rsidRPr="00C941E0">
        <w:rPr>
          <w:lang w:val="pl-PL"/>
        </w:rPr>
        <w:t xml:space="preserve"> zapewnieniu bezpieczeństwa wszystkich zaangażowanych obywateli. </w:t>
      </w:r>
    </w:p>
    <w:p w:rsidR="00AE6E97" w:rsidRPr="00BC2DA1" w:rsidRDefault="00AE6E97" w:rsidP="00A06FAA">
      <w:pPr>
        <w:spacing w:after="120" w:line="240" w:lineRule="auto"/>
        <w:jc w:val="both"/>
        <w:rPr>
          <w:rFonts w:ascii="Calibri" w:hAnsi="Calibri" w:cs="Calibri"/>
          <w:color w:val="000000"/>
          <w:lang w:val="pl-PL"/>
        </w:rPr>
      </w:pPr>
      <w:r>
        <w:rPr>
          <w:lang w:val="pl-PL"/>
        </w:rPr>
        <w:t>Trybunał nie uznał</w:t>
      </w:r>
      <w:r w:rsidR="003B1B3A">
        <w:rPr>
          <w:lang w:val="pl-PL"/>
        </w:rPr>
        <w:t xml:space="preserve"> co prawda</w:t>
      </w:r>
      <w:r w:rsidR="00676433">
        <w:rPr>
          <w:lang w:val="pl-PL"/>
        </w:rPr>
        <w:t>, by decyzja</w:t>
      </w:r>
      <w:r>
        <w:rPr>
          <w:lang w:val="pl-PL"/>
        </w:rPr>
        <w:t xml:space="preserve"> o zamknięciu parku dla demonstrantów </w:t>
      </w:r>
      <w:r w:rsidR="00BC3407">
        <w:rPr>
          <w:lang w:val="pl-PL"/>
        </w:rPr>
        <w:t>sam</w:t>
      </w:r>
      <w:r w:rsidR="00676433">
        <w:rPr>
          <w:lang w:val="pl-PL"/>
        </w:rPr>
        <w:t>a</w:t>
      </w:r>
      <w:r w:rsidR="00BC3407">
        <w:rPr>
          <w:lang w:val="pl-PL"/>
        </w:rPr>
        <w:t xml:space="preserve"> w sobie </w:t>
      </w:r>
      <w:r w:rsidR="00676433">
        <w:rPr>
          <w:lang w:val="pl-PL"/>
        </w:rPr>
        <w:t xml:space="preserve">stanowiła </w:t>
      </w:r>
      <w:r>
        <w:rPr>
          <w:lang w:val="pl-PL"/>
        </w:rPr>
        <w:t xml:space="preserve">przejaw wrogości ze strony władz </w:t>
      </w:r>
      <w:r w:rsidR="003B1B3A">
        <w:rPr>
          <w:lang w:val="pl-PL"/>
        </w:rPr>
        <w:t>(</w:t>
      </w:r>
      <w:r>
        <w:rPr>
          <w:lang w:val="pl-PL"/>
        </w:rPr>
        <w:t>plac był wystarczający duży, by pomieścić uczestników wydarzenia</w:t>
      </w:r>
      <w:r w:rsidR="003B1B3A">
        <w:rPr>
          <w:lang w:val="pl-PL"/>
        </w:rPr>
        <w:t>)</w:t>
      </w:r>
      <w:r>
        <w:rPr>
          <w:lang w:val="pl-PL"/>
        </w:rPr>
        <w:t xml:space="preserve">. Jednakże </w:t>
      </w:r>
      <w:r w:rsidR="00676433">
        <w:rPr>
          <w:lang w:val="pl-PL"/>
        </w:rPr>
        <w:t xml:space="preserve">w okolicznościach obecnej sprawy </w:t>
      </w:r>
      <w:r w:rsidR="00E44CF3">
        <w:rPr>
          <w:lang w:val="pl-PL"/>
        </w:rPr>
        <w:t xml:space="preserve">Trybunał </w:t>
      </w:r>
      <w:r w:rsidR="007D0A98">
        <w:rPr>
          <w:lang w:val="pl-PL"/>
        </w:rPr>
        <w:t>stwierdził,</w:t>
      </w:r>
      <w:r>
        <w:rPr>
          <w:lang w:val="pl-PL"/>
        </w:rPr>
        <w:t xml:space="preserve"> że organizatorzy marszu mogli rozsądnie zakładać, że udzielono im przynajmniej milczącej zgody na wykorzystanie również parku (m.in. władze opublikowały </w:t>
      </w:r>
      <w:r w:rsidR="007D0A98">
        <w:rPr>
          <w:lang w:val="pl-PL"/>
        </w:rPr>
        <w:t xml:space="preserve">w internecie </w:t>
      </w:r>
      <w:r>
        <w:rPr>
          <w:lang w:val="pl-PL"/>
        </w:rPr>
        <w:t xml:space="preserve">mapkę uwzględniającą park jako miejsce zgromadzenia). W tej sytuacji zaskoczeniem </w:t>
      </w:r>
      <w:r w:rsidR="00BC3407">
        <w:rPr>
          <w:lang w:val="pl-PL"/>
        </w:rPr>
        <w:t>dla</w:t>
      </w:r>
      <w:r w:rsidR="007D0A98">
        <w:rPr>
          <w:lang w:val="pl-PL"/>
        </w:rPr>
        <w:t xml:space="preserve"> uczestników mógł być fakt</w:t>
      </w:r>
      <w:r>
        <w:rPr>
          <w:lang w:val="pl-PL"/>
        </w:rPr>
        <w:t xml:space="preserve">, że dostęp do parku został </w:t>
      </w:r>
      <w:r w:rsidR="00BC3407">
        <w:rPr>
          <w:lang w:val="pl-PL"/>
        </w:rPr>
        <w:t xml:space="preserve">w ostatniej chwili </w:t>
      </w:r>
      <w:r>
        <w:rPr>
          <w:lang w:val="pl-PL"/>
        </w:rPr>
        <w:t xml:space="preserve">zamknięty. </w:t>
      </w:r>
      <w:r w:rsidR="00BC3407">
        <w:rPr>
          <w:lang w:val="pl-PL"/>
        </w:rPr>
        <w:t>Trybunał uznał za udowodnione, że u</w:t>
      </w:r>
      <w:r w:rsidR="00EB21E2">
        <w:rPr>
          <w:lang w:val="pl-PL"/>
        </w:rPr>
        <w:t xml:space="preserve">czestnicy „siedzącego” protestu domagali się </w:t>
      </w:r>
      <w:r w:rsidR="007D0A98">
        <w:rPr>
          <w:lang w:val="pl-PL"/>
        </w:rPr>
        <w:t xml:space="preserve">jedynie </w:t>
      </w:r>
      <w:r w:rsidR="00EB21E2">
        <w:rPr>
          <w:lang w:val="pl-PL"/>
        </w:rPr>
        <w:t>dostępu do parku</w:t>
      </w:r>
      <w:r w:rsidR="00BC3407">
        <w:rPr>
          <w:lang w:val="pl-PL"/>
        </w:rPr>
        <w:t xml:space="preserve"> (a nie jak twierdziły władze – do mostu umożliwiającego </w:t>
      </w:r>
      <w:r w:rsidR="00BC3407">
        <w:rPr>
          <w:lang w:val="pl-PL"/>
        </w:rPr>
        <w:lastRenderedPageBreak/>
        <w:t>przejście pod Kreml). P</w:t>
      </w:r>
      <w:r w:rsidR="00EB21E2">
        <w:rPr>
          <w:lang w:val="pl-PL"/>
        </w:rPr>
        <w:t>rotest ten miał charakter pokojowy, uczestniczyło w nim do 50 osób, pozostawiając odpowiedni</w:t>
      </w:r>
      <w:r w:rsidR="00C959C2">
        <w:rPr>
          <w:lang w:val="pl-PL"/>
        </w:rPr>
        <w:t>e</w:t>
      </w:r>
      <w:r w:rsidR="00EB21E2">
        <w:rPr>
          <w:lang w:val="pl-PL"/>
        </w:rPr>
        <w:t xml:space="preserve"> </w:t>
      </w:r>
      <w:r w:rsidR="00BC2DA1">
        <w:rPr>
          <w:lang w:val="pl-PL"/>
        </w:rPr>
        <w:t>prze</w:t>
      </w:r>
      <w:r w:rsidR="00C959C2">
        <w:rPr>
          <w:lang w:val="pl-PL"/>
        </w:rPr>
        <w:t>jście</w:t>
      </w:r>
      <w:r w:rsidR="00EB21E2">
        <w:rPr>
          <w:lang w:val="pl-PL"/>
        </w:rPr>
        <w:t xml:space="preserve">. W tej sytuacji kluczową sprawą było, by policja w sposób otwarty, jasny i szybki </w:t>
      </w:r>
      <w:r w:rsidR="00BC2DA1">
        <w:rPr>
          <w:lang w:val="pl-PL"/>
        </w:rPr>
        <w:t>przekazała</w:t>
      </w:r>
      <w:r w:rsidR="00EB21E2">
        <w:rPr>
          <w:lang w:val="pl-PL"/>
        </w:rPr>
        <w:t xml:space="preserve"> swoje stanowisko organizatorom.</w:t>
      </w:r>
      <w:r w:rsidR="00510D43">
        <w:rPr>
          <w:lang w:val="pl-PL"/>
        </w:rPr>
        <w:t xml:space="preserve"> Trybunał był gotów zaakceptować nawet decyzję odmowną władz w sprawie udostępnienia parku, jako że na placu była wystarczająca ilość miejsca dla uczestników demonstracji. </w:t>
      </w:r>
      <w:r w:rsidR="00EB21E2">
        <w:rPr>
          <w:lang w:val="pl-PL"/>
        </w:rPr>
        <w:t xml:space="preserve">Nie podjęto jednak wystarczających </w:t>
      </w:r>
      <w:r w:rsidR="00BC2DA1">
        <w:rPr>
          <w:lang w:val="pl-PL"/>
        </w:rPr>
        <w:t>wysiłków</w:t>
      </w:r>
      <w:r w:rsidR="00EB21E2">
        <w:rPr>
          <w:lang w:val="pl-PL"/>
        </w:rPr>
        <w:t xml:space="preserve"> </w:t>
      </w:r>
      <w:r w:rsidR="007D0A98">
        <w:rPr>
          <w:lang w:val="pl-PL"/>
        </w:rPr>
        <w:t>na rzecz</w:t>
      </w:r>
      <w:r w:rsidR="00EB21E2">
        <w:rPr>
          <w:lang w:val="pl-PL"/>
        </w:rPr>
        <w:t xml:space="preserve"> </w:t>
      </w:r>
      <w:r w:rsidR="00BC2DA1">
        <w:rPr>
          <w:lang w:val="pl-PL"/>
        </w:rPr>
        <w:t>rozwiązania</w:t>
      </w:r>
      <w:r w:rsidR="00EB21E2">
        <w:rPr>
          <w:lang w:val="pl-PL"/>
        </w:rPr>
        <w:t xml:space="preserve"> napięcia spowodowanego zamieszaniem dotyczącym </w:t>
      </w:r>
      <w:r w:rsidR="007D0A98">
        <w:rPr>
          <w:lang w:val="pl-PL"/>
        </w:rPr>
        <w:t xml:space="preserve">zmiany </w:t>
      </w:r>
      <w:r w:rsidR="00EB21E2">
        <w:rPr>
          <w:lang w:val="pl-PL"/>
        </w:rPr>
        <w:t>miejsca zgromadzenia.</w:t>
      </w:r>
      <w:r w:rsidR="00510D43">
        <w:rPr>
          <w:lang w:val="pl-PL"/>
        </w:rPr>
        <w:t xml:space="preserve"> </w:t>
      </w:r>
      <w:r w:rsidR="00BC2DA1">
        <w:rPr>
          <w:lang w:val="pl-PL"/>
        </w:rPr>
        <w:t>Trybunał wyraził</w:t>
      </w:r>
      <w:r w:rsidR="00EB21E2">
        <w:rPr>
          <w:lang w:val="pl-PL"/>
        </w:rPr>
        <w:t xml:space="preserve"> zdziwienie, że pomimo znaczących przygotowań mających na celu zapewnienie bezpieczeństwa, policja nie wyznaczyła nawet osoby kontaktowej do komunikowania się</w:t>
      </w:r>
      <w:r w:rsidR="00BC2DA1">
        <w:rPr>
          <w:lang w:val="pl-PL"/>
        </w:rPr>
        <w:t xml:space="preserve"> </w:t>
      </w:r>
      <w:r w:rsidR="00EB21E2">
        <w:rPr>
          <w:lang w:val="pl-PL"/>
        </w:rPr>
        <w:t xml:space="preserve">z organizatorami marszu. Władze nie odpowiedziały w sposób konstruktywny na budzący zaniepokojenie rozwój wydarzeń. </w:t>
      </w:r>
      <w:r w:rsidR="00510D43">
        <w:rPr>
          <w:lang w:val="pl-PL"/>
        </w:rPr>
        <w:t xml:space="preserve">Początkowo nie było żadnego wyższego </w:t>
      </w:r>
      <w:r w:rsidR="003B1B3A">
        <w:rPr>
          <w:lang w:val="pl-PL"/>
        </w:rPr>
        <w:t xml:space="preserve">rangą </w:t>
      </w:r>
      <w:r w:rsidR="00510D43">
        <w:rPr>
          <w:lang w:val="pl-PL"/>
        </w:rPr>
        <w:t xml:space="preserve">przedstawiciela policji do prowadzenia rozmów z organizatorami. </w:t>
      </w:r>
      <w:r w:rsidR="00EB21E2">
        <w:rPr>
          <w:lang w:val="pl-PL"/>
        </w:rPr>
        <w:t xml:space="preserve">Żaden przedstawiciel władz nie przemówił do uczestników, a jedynie wysłano Rzecznika Praw Obywatelskich, który wezwał uczestników do </w:t>
      </w:r>
      <w:r w:rsidR="00510D43">
        <w:rPr>
          <w:lang w:val="pl-PL"/>
        </w:rPr>
        <w:t xml:space="preserve">kontynuowania marszu w kierunku </w:t>
      </w:r>
      <w:r w:rsidR="00C959C2">
        <w:rPr>
          <w:lang w:val="pl-PL"/>
        </w:rPr>
        <w:t xml:space="preserve">sceny </w:t>
      </w:r>
      <w:r w:rsidR="00EB21E2">
        <w:rPr>
          <w:lang w:val="pl-PL"/>
        </w:rPr>
        <w:t xml:space="preserve">– co nie stanowiło </w:t>
      </w:r>
      <w:r w:rsidR="00BC2DA1">
        <w:rPr>
          <w:lang w:val="pl-PL"/>
        </w:rPr>
        <w:t>jednak o</w:t>
      </w:r>
      <w:r w:rsidR="00EB21E2">
        <w:rPr>
          <w:lang w:val="pl-PL"/>
        </w:rPr>
        <w:t xml:space="preserve">dpowiedzi na </w:t>
      </w:r>
      <w:r w:rsidR="003B1B3A">
        <w:rPr>
          <w:lang w:val="pl-PL"/>
        </w:rPr>
        <w:t>powód ich zaniepokojenia</w:t>
      </w:r>
      <w:r w:rsidR="00510D43">
        <w:rPr>
          <w:lang w:val="pl-PL"/>
        </w:rPr>
        <w:t xml:space="preserve">. Nie było też jasne, jaki </w:t>
      </w:r>
      <w:r w:rsidR="007D0A98">
        <w:rPr>
          <w:lang w:val="pl-PL"/>
        </w:rPr>
        <w:t xml:space="preserve">był </w:t>
      </w:r>
      <w:r w:rsidR="00510D43">
        <w:rPr>
          <w:lang w:val="pl-PL"/>
        </w:rPr>
        <w:t xml:space="preserve">zakres uprawnień decyzyjnych przedstawicieli policji, którzy ostatecznie kontaktowali się z organizatorami. Kontrowersje mogły zostać wyjaśnione, jeśliby właściwi przedstawiciele policji skontaktowali się z organizatorami i przedyskutowali sprawę rozmieszczenia kordonu policji, co mogłoby zmniejszyć napięcie spowodowane nieoczekiwaną dla uczestników zgromadzenia zmianą jego miejsca. </w:t>
      </w:r>
      <w:r w:rsidR="00EB21E2">
        <w:rPr>
          <w:lang w:val="pl-PL"/>
        </w:rPr>
        <w:t>Zaniechani</w:t>
      </w:r>
      <w:r w:rsidR="00510D43">
        <w:rPr>
          <w:lang w:val="pl-PL"/>
        </w:rPr>
        <w:t>a</w:t>
      </w:r>
      <w:r w:rsidR="00EB21E2">
        <w:rPr>
          <w:lang w:val="pl-PL"/>
        </w:rPr>
        <w:t xml:space="preserve"> władz</w:t>
      </w:r>
      <w:r w:rsidR="005D1007">
        <w:rPr>
          <w:lang w:val="pl-PL"/>
        </w:rPr>
        <w:t>, niewystarczający kontakt z organizatorami</w:t>
      </w:r>
      <w:r w:rsidR="00EB21E2">
        <w:rPr>
          <w:lang w:val="pl-PL"/>
        </w:rPr>
        <w:t xml:space="preserve"> i niepodjęcie oczywistych działań, gdy tylko pojawiły się pierwsze sygnały konfliktu, pozwoliło na </w:t>
      </w:r>
      <w:r w:rsidR="003B1B3A">
        <w:rPr>
          <w:lang w:val="pl-PL"/>
        </w:rPr>
        <w:t xml:space="preserve">jego </w:t>
      </w:r>
      <w:r w:rsidR="00EB21E2">
        <w:rPr>
          <w:lang w:val="pl-PL"/>
        </w:rPr>
        <w:t xml:space="preserve">eskalację, powodując zerwanie wcześniej pokojowej manifestacji. </w:t>
      </w:r>
      <w:r w:rsidR="005D1007">
        <w:rPr>
          <w:lang w:val="pl-PL"/>
        </w:rPr>
        <w:t>Władze nie dopełniły pozytywnych obowiązków zapewnienia pokojowego przebiegu zgromadzenia, naruszając zobowiązania wynikające z art. 11 Konwencji.</w:t>
      </w:r>
    </w:p>
    <w:p w:rsidR="003B1B3A" w:rsidRDefault="00036DCF" w:rsidP="00C959C2">
      <w:pPr>
        <w:pStyle w:val="ECHRPara"/>
        <w:spacing w:after="120"/>
        <w:ind w:firstLine="0"/>
        <w:rPr>
          <w:rFonts w:eastAsiaTheme="minorHAnsi"/>
          <w:sz w:val="22"/>
          <w:lang w:val="pl-PL"/>
        </w:rPr>
      </w:pPr>
      <w:r w:rsidRPr="00036DCF">
        <w:rPr>
          <w:rFonts w:eastAsiaTheme="minorHAnsi"/>
          <w:sz w:val="22"/>
          <w:lang w:val="pl-PL"/>
        </w:rPr>
        <w:t>N</w:t>
      </w:r>
      <w:r w:rsidR="004D6623" w:rsidRPr="00036DCF">
        <w:rPr>
          <w:rFonts w:eastAsiaTheme="minorHAnsi"/>
          <w:sz w:val="22"/>
          <w:lang w:val="pl-PL"/>
        </w:rPr>
        <w:t>ie wykazano</w:t>
      </w:r>
      <w:r w:rsidR="007D0A98">
        <w:rPr>
          <w:rFonts w:eastAsiaTheme="minorHAnsi"/>
          <w:sz w:val="22"/>
          <w:lang w:val="pl-PL"/>
        </w:rPr>
        <w:t xml:space="preserve"> też</w:t>
      </w:r>
      <w:r w:rsidR="004D6623" w:rsidRPr="00036DCF">
        <w:rPr>
          <w:rFonts w:eastAsiaTheme="minorHAnsi"/>
          <w:sz w:val="22"/>
          <w:lang w:val="pl-PL"/>
        </w:rPr>
        <w:t xml:space="preserve">, by przed podjęciem </w:t>
      </w:r>
      <w:r w:rsidRPr="00036DCF">
        <w:rPr>
          <w:rFonts w:eastAsiaTheme="minorHAnsi"/>
          <w:sz w:val="22"/>
          <w:lang w:val="pl-PL"/>
        </w:rPr>
        <w:t xml:space="preserve">decyzji o rozwiązaniu zgromadzenia </w:t>
      </w:r>
      <w:r w:rsidR="004D6623" w:rsidRPr="00036DCF">
        <w:rPr>
          <w:rFonts w:eastAsiaTheme="minorHAnsi"/>
          <w:sz w:val="22"/>
          <w:lang w:val="pl-PL"/>
        </w:rPr>
        <w:t>władze próbowały odseparować sektor, w którym dochodziło do turbulencji, tak by umożliwić kontynuowanie zgromadzenia w sektorze, gdzie sytuacja była spokojna. Trybunał nie był prz</w:t>
      </w:r>
      <w:r w:rsidRPr="00036DCF">
        <w:rPr>
          <w:rFonts w:eastAsiaTheme="minorHAnsi"/>
          <w:sz w:val="22"/>
          <w:lang w:val="pl-PL"/>
        </w:rPr>
        <w:t>e</w:t>
      </w:r>
      <w:r w:rsidR="004D6623" w:rsidRPr="00036DCF">
        <w:rPr>
          <w:rFonts w:eastAsiaTheme="minorHAnsi"/>
          <w:sz w:val="22"/>
          <w:lang w:val="pl-PL"/>
        </w:rPr>
        <w:t xml:space="preserve">konany, że rozwiązanie </w:t>
      </w:r>
      <w:r w:rsidRPr="00036DCF">
        <w:rPr>
          <w:rFonts w:eastAsiaTheme="minorHAnsi"/>
          <w:sz w:val="22"/>
          <w:lang w:val="pl-PL"/>
        </w:rPr>
        <w:t>zgromadzenia</w:t>
      </w:r>
      <w:r w:rsidR="004D6623" w:rsidRPr="00036DCF">
        <w:rPr>
          <w:rFonts w:eastAsiaTheme="minorHAnsi"/>
          <w:sz w:val="22"/>
          <w:lang w:val="pl-PL"/>
        </w:rPr>
        <w:t xml:space="preserve"> było nieuni</w:t>
      </w:r>
      <w:r w:rsidRPr="00036DCF">
        <w:rPr>
          <w:rFonts w:eastAsiaTheme="minorHAnsi"/>
          <w:sz w:val="22"/>
          <w:lang w:val="pl-PL"/>
        </w:rPr>
        <w:t>k</w:t>
      </w:r>
      <w:r w:rsidR="004D6623" w:rsidRPr="00036DCF">
        <w:rPr>
          <w:rFonts w:eastAsiaTheme="minorHAnsi"/>
          <w:sz w:val="22"/>
          <w:lang w:val="pl-PL"/>
        </w:rPr>
        <w:t xml:space="preserve">nione, a </w:t>
      </w:r>
      <w:r w:rsidRPr="00036DCF">
        <w:rPr>
          <w:rFonts w:eastAsiaTheme="minorHAnsi"/>
          <w:sz w:val="22"/>
          <w:lang w:val="pl-PL"/>
        </w:rPr>
        <w:t xml:space="preserve">w każdym razie </w:t>
      </w:r>
      <w:r w:rsidR="004D6623" w:rsidRPr="00036DCF">
        <w:rPr>
          <w:rFonts w:eastAsiaTheme="minorHAnsi"/>
          <w:sz w:val="22"/>
          <w:lang w:val="pl-PL"/>
        </w:rPr>
        <w:t>decyzja ta powinna była zostać wdroż</w:t>
      </w:r>
      <w:r w:rsidRPr="00036DCF">
        <w:rPr>
          <w:rFonts w:eastAsiaTheme="minorHAnsi"/>
          <w:sz w:val="22"/>
          <w:lang w:val="pl-PL"/>
        </w:rPr>
        <w:t>o</w:t>
      </w:r>
      <w:r w:rsidR="004D6623" w:rsidRPr="00036DCF">
        <w:rPr>
          <w:rFonts w:eastAsiaTheme="minorHAnsi"/>
          <w:sz w:val="22"/>
          <w:lang w:val="pl-PL"/>
        </w:rPr>
        <w:t xml:space="preserve">na w inny sposób. </w:t>
      </w:r>
    </w:p>
    <w:p w:rsidR="002313D7" w:rsidRDefault="00036DCF" w:rsidP="00C959C2">
      <w:pPr>
        <w:pStyle w:val="ECHRPara"/>
        <w:spacing w:after="120"/>
        <w:ind w:firstLine="0"/>
        <w:rPr>
          <w:lang w:val="pl-PL"/>
        </w:rPr>
      </w:pPr>
      <w:r w:rsidRPr="00036DCF">
        <w:rPr>
          <w:rFonts w:eastAsiaTheme="minorHAnsi"/>
          <w:sz w:val="22"/>
          <w:lang w:val="pl-PL"/>
        </w:rPr>
        <w:t>O</w:t>
      </w:r>
      <w:r w:rsidR="004D6623" w:rsidRPr="00036DCF">
        <w:rPr>
          <w:rFonts w:eastAsiaTheme="minorHAnsi"/>
          <w:sz w:val="22"/>
          <w:lang w:val="pl-PL"/>
        </w:rPr>
        <w:t xml:space="preserve">chrona art. 11 </w:t>
      </w:r>
      <w:r w:rsidR="003B1B3A">
        <w:rPr>
          <w:rFonts w:eastAsiaTheme="minorHAnsi"/>
          <w:sz w:val="22"/>
          <w:lang w:val="pl-PL"/>
        </w:rPr>
        <w:t xml:space="preserve">Konwencji </w:t>
      </w:r>
      <w:r w:rsidR="004D6623" w:rsidRPr="00036DCF">
        <w:rPr>
          <w:rFonts w:eastAsiaTheme="minorHAnsi"/>
          <w:sz w:val="22"/>
          <w:lang w:val="pl-PL"/>
        </w:rPr>
        <w:t xml:space="preserve">rozciąga się </w:t>
      </w:r>
      <w:r w:rsidR="007D0A98">
        <w:rPr>
          <w:rFonts w:eastAsiaTheme="minorHAnsi"/>
          <w:sz w:val="22"/>
          <w:lang w:val="pl-PL"/>
        </w:rPr>
        <w:t xml:space="preserve">też </w:t>
      </w:r>
      <w:r w:rsidR="004D6623" w:rsidRPr="00036DCF">
        <w:rPr>
          <w:rFonts w:eastAsiaTheme="minorHAnsi"/>
          <w:sz w:val="22"/>
          <w:lang w:val="pl-PL"/>
        </w:rPr>
        <w:t xml:space="preserve">na pokojowych uczestników zgromadzenia, które zostało zakłócone przez pojedyncze akty przemocy popełnione przez innych uczestników. </w:t>
      </w:r>
      <w:r w:rsidRPr="00036DCF">
        <w:rPr>
          <w:rFonts w:eastAsiaTheme="minorHAnsi"/>
          <w:sz w:val="22"/>
          <w:lang w:val="pl-PL"/>
        </w:rPr>
        <w:t xml:space="preserve">Nawet po oficjalnym rozwiązaniu zgromadzenia, gwarancje art. 11 w dalszym ciągu miały </w:t>
      </w:r>
      <w:r w:rsidR="005D1007">
        <w:rPr>
          <w:rFonts w:eastAsiaTheme="minorHAnsi"/>
          <w:sz w:val="22"/>
          <w:lang w:val="pl-PL"/>
        </w:rPr>
        <w:t xml:space="preserve">nadal </w:t>
      </w:r>
      <w:r w:rsidRPr="00036DCF">
        <w:rPr>
          <w:rFonts w:eastAsiaTheme="minorHAnsi"/>
          <w:sz w:val="22"/>
          <w:lang w:val="pl-PL"/>
        </w:rPr>
        <w:t>zastosowanie do skarżącego, a wszelkie podejmowane środki musiały spełniać wymogi legalności, mieć uprawniony cel i być konieczne w społeczeństwie demokratycznym</w:t>
      </w:r>
      <w:r w:rsidR="003B1B3A">
        <w:rPr>
          <w:rFonts w:eastAsiaTheme="minorHAnsi"/>
          <w:sz w:val="22"/>
          <w:lang w:val="pl-PL"/>
        </w:rPr>
        <w:t xml:space="preserve"> (zgodnie z art. 11 ust. 2</w:t>
      </w:r>
      <w:r w:rsidR="00E44CF3">
        <w:rPr>
          <w:rFonts w:eastAsiaTheme="minorHAnsi"/>
          <w:sz w:val="22"/>
          <w:lang w:val="pl-PL"/>
        </w:rPr>
        <w:t xml:space="preserve"> Konwencji</w:t>
      </w:r>
      <w:r w:rsidR="003B1B3A">
        <w:rPr>
          <w:rFonts w:eastAsiaTheme="minorHAnsi"/>
          <w:sz w:val="22"/>
          <w:lang w:val="pl-PL"/>
        </w:rPr>
        <w:t>)</w:t>
      </w:r>
      <w:r w:rsidRPr="00036DCF">
        <w:rPr>
          <w:rFonts w:eastAsiaTheme="minorHAnsi"/>
          <w:sz w:val="22"/>
          <w:lang w:val="pl-PL"/>
        </w:rPr>
        <w:t xml:space="preserve">. </w:t>
      </w:r>
      <w:r w:rsidR="000956DF" w:rsidRPr="00036DCF">
        <w:rPr>
          <w:rFonts w:eastAsiaTheme="minorHAnsi"/>
          <w:sz w:val="22"/>
          <w:lang w:val="pl-PL"/>
        </w:rPr>
        <w:t xml:space="preserve">Trybunał odnotował, że </w:t>
      </w:r>
      <w:r w:rsidRPr="00036DCF">
        <w:rPr>
          <w:rFonts w:eastAsiaTheme="minorHAnsi"/>
          <w:sz w:val="22"/>
          <w:lang w:val="pl-PL"/>
        </w:rPr>
        <w:t xml:space="preserve">skarżący </w:t>
      </w:r>
      <w:r w:rsidR="000956DF" w:rsidRPr="00036DCF">
        <w:rPr>
          <w:rFonts w:eastAsiaTheme="minorHAnsi"/>
          <w:sz w:val="22"/>
          <w:lang w:val="pl-PL"/>
        </w:rPr>
        <w:t>pozostawał na obszarze objętym kordonem policyjnym, jego zachowanie było</w:t>
      </w:r>
      <w:r w:rsidR="00CE5B5C" w:rsidRPr="00036DCF">
        <w:rPr>
          <w:rFonts w:eastAsiaTheme="minorHAnsi"/>
          <w:sz w:val="22"/>
          <w:lang w:val="pl-PL"/>
        </w:rPr>
        <w:t xml:space="preserve"> </w:t>
      </w:r>
      <w:r w:rsidR="000956DF" w:rsidRPr="00036DCF">
        <w:rPr>
          <w:rFonts w:eastAsiaTheme="minorHAnsi"/>
          <w:sz w:val="22"/>
          <w:lang w:val="pl-PL"/>
        </w:rPr>
        <w:t xml:space="preserve">pokojowe, a </w:t>
      </w:r>
      <w:r w:rsidRPr="00036DCF">
        <w:rPr>
          <w:rFonts w:eastAsiaTheme="minorHAnsi"/>
          <w:sz w:val="22"/>
          <w:lang w:val="pl-PL"/>
        </w:rPr>
        <w:t>zatrzymany</w:t>
      </w:r>
      <w:r w:rsidR="000956DF" w:rsidRPr="00036DCF">
        <w:rPr>
          <w:rFonts w:eastAsiaTheme="minorHAnsi"/>
          <w:sz w:val="22"/>
          <w:lang w:val="pl-PL"/>
        </w:rPr>
        <w:t xml:space="preserve"> i skazany został nie z tytułu naruszenia zasad zgromadzenia, a za utrudnianie ruchu drogowego i zignorowanie nakazu policji </w:t>
      </w:r>
      <w:proofErr w:type="spellStart"/>
      <w:r w:rsidR="000956DF" w:rsidRPr="00036DCF">
        <w:rPr>
          <w:rFonts w:eastAsiaTheme="minorHAnsi"/>
          <w:sz w:val="22"/>
          <w:lang w:val="pl-PL"/>
        </w:rPr>
        <w:t>ws</w:t>
      </w:r>
      <w:proofErr w:type="spellEnd"/>
      <w:r w:rsidR="000956DF" w:rsidRPr="00036DCF">
        <w:rPr>
          <w:rFonts w:eastAsiaTheme="minorHAnsi"/>
          <w:sz w:val="22"/>
          <w:lang w:val="pl-PL"/>
        </w:rPr>
        <w:t>. zaprzestania tego.</w:t>
      </w:r>
      <w:r w:rsidR="005D1007">
        <w:rPr>
          <w:rFonts w:eastAsiaTheme="minorHAnsi"/>
          <w:sz w:val="22"/>
          <w:lang w:val="pl-PL"/>
        </w:rPr>
        <w:t xml:space="preserve"> Bez uzasadnienia zastosowano wobec niego surowe sankcje, pomimo że nie oskarżono go ani o stosowanie przemocy ani o „bierny opór” w proteście wobec rozwiązania zgromadzenia. </w:t>
      </w:r>
      <w:r w:rsidR="002313D7" w:rsidRPr="00036DCF">
        <w:rPr>
          <w:rFonts w:eastAsiaTheme="minorHAnsi"/>
          <w:sz w:val="22"/>
          <w:lang w:val="pl-PL"/>
        </w:rPr>
        <w:t xml:space="preserve">Wyroki sądów krajowych nie </w:t>
      </w:r>
      <w:r w:rsidR="00C959C2">
        <w:rPr>
          <w:rFonts w:eastAsiaTheme="minorHAnsi"/>
          <w:sz w:val="22"/>
          <w:lang w:val="pl-PL"/>
        </w:rPr>
        <w:t xml:space="preserve">ustosunkowały </w:t>
      </w:r>
      <w:r w:rsidR="002313D7" w:rsidRPr="00036DCF">
        <w:rPr>
          <w:rFonts w:eastAsiaTheme="minorHAnsi"/>
          <w:sz w:val="22"/>
          <w:lang w:val="pl-PL"/>
        </w:rPr>
        <w:t xml:space="preserve">się do wyjaśnienia skarżącego, że </w:t>
      </w:r>
      <w:r w:rsidR="00CE5B5C" w:rsidRPr="00036DCF">
        <w:rPr>
          <w:rFonts w:eastAsiaTheme="minorHAnsi"/>
          <w:sz w:val="22"/>
          <w:lang w:val="pl-PL"/>
        </w:rPr>
        <w:t xml:space="preserve">w ogólnym zamieszaniu </w:t>
      </w:r>
      <w:r w:rsidR="002313D7" w:rsidRPr="00036DCF">
        <w:rPr>
          <w:rFonts w:eastAsiaTheme="minorHAnsi"/>
          <w:sz w:val="22"/>
          <w:lang w:val="pl-PL"/>
        </w:rPr>
        <w:t xml:space="preserve">po prostu nie udało mu się na czas opuścić miejsca zgromadzenia. </w:t>
      </w:r>
      <w:r w:rsidR="005D1007">
        <w:rPr>
          <w:rFonts w:eastAsiaTheme="minorHAnsi"/>
          <w:sz w:val="22"/>
          <w:lang w:val="pl-PL"/>
        </w:rPr>
        <w:t xml:space="preserve">Nawet zakładając, że celem zastosowanych wobec skarżącego środków było zapewnienie porządku publicznego, </w:t>
      </w:r>
      <w:r w:rsidR="002313D7" w:rsidRPr="00036DCF">
        <w:rPr>
          <w:rFonts w:eastAsiaTheme="minorHAnsi"/>
          <w:sz w:val="22"/>
          <w:lang w:val="pl-PL"/>
        </w:rPr>
        <w:t xml:space="preserve">Trybunał uznał, że </w:t>
      </w:r>
      <w:r w:rsidR="00CE5B5C" w:rsidRPr="00036DCF">
        <w:rPr>
          <w:rFonts w:eastAsiaTheme="minorHAnsi"/>
          <w:sz w:val="22"/>
          <w:lang w:val="pl-PL"/>
        </w:rPr>
        <w:t>a</w:t>
      </w:r>
      <w:r w:rsidR="002313D7" w:rsidRPr="00036DCF">
        <w:rPr>
          <w:rFonts w:eastAsiaTheme="minorHAnsi"/>
          <w:sz w:val="22"/>
          <w:lang w:val="pl-PL"/>
        </w:rPr>
        <w:t xml:space="preserve">resztowanie, zatrzymanie </w:t>
      </w:r>
      <w:r w:rsidR="003B1B3A">
        <w:rPr>
          <w:rFonts w:eastAsiaTheme="minorHAnsi"/>
          <w:sz w:val="22"/>
          <w:lang w:val="pl-PL"/>
        </w:rPr>
        <w:t>oraz</w:t>
      </w:r>
      <w:r w:rsidR="002313D7" w:rsidRPr="00036DCF">
        <w:rPr>
          <w:rFonts w:eastAsiaTheme="minorHAnsi"/>
          <w:sz w:val="22"/>
          <w:lang w:val="pl-PL"/>
        </w:rPr>
        <w:t xml:space="preserve"> nałożenie </w:t>
      </w:r>
      <w:r w:rsidR="00CE5B5C" w:rsidRPr="00036DCF">
        <w:rPr>
          <w:rFonts w:eastAsiaTheme="minorHAnsi"/>
          <w:sz w:val="22"/>
          <w:lang w:val="pl-PL"/>
        </w:rPr>
        <w:t xml:space="preserve">na skarżącego </w:t>
      </w:r>
      <w:r w:rsidR="002313D7" w:rsidRPr="00036DCF">
        <w:rPr>
          <w:rFonts w:eastAsiaTheme="minorHAnsi"/>
          <w:sz w:val="22"/>
          <w:lang w:val="pl-PL"/>
        </w:rPr>
        <w:t xml:space="preserve">kary </w:t>
      </w:r>
      <w:r>
        <w:rPr>
          <w:rFonts w:eastAsiaTheme="minorHAnsi"/>
          <w:sz w:val="22"/>
          <w:lang w:val="pl-PL"/>
        </w:rPr>
        <w:t>pozbawienia wolności, nawet krótkiej,</w:t>
      </w:r>
      <w:r w:rsidR="002313D7" w:rsidRPr="00036DCF">
        <w:rPr>
          <w:rFonts w:eastAsiaTheme="minorHAnsi"/>
          <w:sz w:val="22"/>
          <w:lang w:val="pl-PL"/>
        </w:rPr>
        <w:t xml:space="preserve"> z tytułu wykroczenia były rażąco nieproporcjonalne do celu, któremu miały służyć. Środki te zapewne będą miały efekt odstraszający, zarówno w stosunku do skarżącego, jak i do ogółu społeczeństwa, zniechęcając </w:t>
      </w:r>
      <w:r w:rsidR="007D0A98">
        <w:rPr>
          <w:rFonts w:eastAsiaTheme="minorHAnsi"/>
          <w:sz w:val="22"/>
          <w:lang w:val="pl-PL"/>
        </w:rPr>
        <w:t>skarżące</w:t>
      </w:r>
      <w:r w:rsidR="002313D7" w:rsidRPr="00036DCF">
        <w:rPr>
          <w:rFonts w:eastAsiaTheme="minorHAnsi"/>
          <w:sz w:val="22"/>
          <w:lang w:val="pl-PL"/>
        </w:rPr>
        <w:t>go i jemu podobnych do udziału w wiecach protestacyjnych, lub ogólnie</w:t>
      </w:r>
      <w:r w:rsidR="00AA7BC8">
        <w:rPr>
          <w:rFonts w:eastAsiaTheme="minorHAnsi"/>
          <w:sz w:val="22"/>
          <w:lang w:val="pl-PL"/>
        </w:rPr>
        <w:t xml:space="preserve"> –</w:t>
      </w:r>
      <w:r w:rsidR="002313D7" w:rsidRPr="00036DCF">
        <w:rPr>
          <w:rFonts w:eastAsiaTheme="minorHAnsi"/>
          <w:sz w:val="22"/>
          <w:lang w:val="pl-PL"/>
        </w:rPr>
        <w:t xml:space="preserve"> do aktywnego angażowania się w działalność opozycyjną</w:t>
      </w:r>
      <w:r w:rsidR="002313D7" w:rsidRPr="00C941E0">
        <w:rPr>
          <w:lang w:val="pl-PL"/>
        </w:rPr>
        <w:t>.</w:t>
      </w:r>
    </w:p>
    <w:p w:rsidR="00B1662B" w:rsidRDefault="00AE6E97" w:rsidP="00A06FAA">
      <w:pPr>
        <w:spacing w:after="120" w:line="240" w:lineRule="auto"/>
        <w:jc w:val="both"/>
        <w:rPr>
          <w:lang w:val="pl-PL"/>
        </w:rPr>
      </w:pPr>
      <w:r>
        <w:rPr>
          <w:lang w:val="pl-PL"/>
        </w:rPr>
        <w:t>Trybunał s</w:t>
      </w:r>
      <w:r w:rsidRPr="00C941E0">
        <w:rPr>
          <w:lang w:val="pl-PL"/>
        </w:rPr>
        <w:t xml:space="preserve">twierdził również naruszenie </w:t>
      </w:r>
      <w:r w:rsidR="00D577E3">
        <w:rPr>
          <w:lang w:val="pl-PL"/>
        </w:rPr>
        <w:t>art.</w:t>
      </w:r>
      <w:r w:rsidRPr="00C941E0">
        <w:rPr>
          <w:lang w:val="pl-PL"/>
        </w:rPr>
        <w:t xml:space="preserve"> 5 </w:t>
      </w:r>
      <w:r w:rsidR="00CE5B5C">
        <w:rPr>
          <w:lang w:val="pl-PL"/>
        </w:rPr>
        <w:t>ust.</w:t>
      </w:r>
      <w:r w:rsidRPr="00C941E0">
        <w:rPr>
          <w:lang w:val="pl-PL"/>
        </w:rPr>
        <w:t xml:space="preserve"> 1</w:t>
      </w:r>
      <w:r w:rsidR="00AA7BC8">
        <w:rPr>
          <w:lang w:val="pl-PL"/>
        </w:rPr>
        <w:t xml:space="preserve"> Konwencji</w:t>
      </w:r>
      <w:r w:rsidRPr="00C941E0">
        <w:rPr>
          <w:lang w:val="pl-PL"/>
        </w:rPr>
        <w:t xml:space="preserve"> (prawo do wolności i bezpieczeństwa</w:t>
      </w:r>
      <w:r w:rsidR="003B1B3A">
        <w:rPr>
          <w:lang w:val="pl-PL"/>
        </w:rPr>
        <w:t xml:space="preserve"> osobistego</w:t>
      </w:r>
      <w:r w:rsidRPr="00C941E0">
        <w:rPr>
          <w:lang w:val="pl-PL"/>
        </w:rPr>
        <w:t>)</w:t>
      </w:r>
      <w:r w:rsidR="00B1662B">
        <w:rPr>
          <w:lang w:val="pl-PL"/>
        </w:rPr>
        <w:t xml:space="preserve">, odnotowując, że skarżący został zatrzymany </w:t>
      </w:r>
      <w:r w:rsidR="00A251D3">
        <w:rPr>
          <w:lang w:val="pl-PL"/>
        </w:rPr>
        <w:t xml:space="preserve">najpóźniej </w:t>
      </w:r>
      <w:r w:rsidR="00B1662B">
        <w:rPr>
          <w:lang w:val="pl-PL"/>
        </w:rPr>
        <w:t>ok.</w:t>
      </w:r>
      <w:r w:rsidR="00CE5B5C">
        <w:rPr>
          <w:lang w:val="pl-PL"/>
        </w:rPr>
        <w:t xml:space="preserve"> godz.</w:t>
      </w:r>
      <w:r w:rsidR="00B1662B">
        <w:rPr>
          <w:lang w:val="pl-PL"/>
        </w:rPr>
        <w:t xml:space="preserve"> 20.30 w dniu 6 maja, a dopiero w dniu 8 maja 2012 r. rano został przewiedziony do sądu. Po sporządzeniu raportu nt. wydarzeń</w:t>
      </w:r>
      <w:r w:rsidR="00450F01">
        <w:rPr>
          <w:lang w:val="pl-PL"/>
        </w:rPr>
        <w:t xml:space="preserve"> </w:t>
      </w:r>
      <w:r w:rsidR="00D577E3">
        <w:rPr>
          <w:lang w:val="pl-PL"/>
        </w:rPr>
        <w:t>(</w:t>
      </w:r>
      <w:r w:rsidR="00450F01">
        <w:rPr>
          <w:lang w:val="pl-PL"/>
        </w:rPr>
        <w:t>ok. godz. 21.30</w:t>
      </w:r>
      <w:r w:rsidR="00D577E3">
        <w:rPr>
          <w:lang w:val="pl-PL"/>
        </w:rPr>
        <w:t>)</w:t>
      </w:r>
      <w:r w:rsidR="00B1662B">
        <w:rPr>
          <w:lang w:val="pl-PL"/>
        </w:rPr>
        <w:t xml:space="preserve">, cel </w:t>
      </w:r>
      <w:r w:rsidR="00CE5B5C">
        <w:rPr>
          <w:lang w:val="pl-PL"/>
        </w:rPr>
        <w:t xml:space="preserve">jego </w:t>
      </w:r>
      <w:r w:rsidR="00B1662B">
        <w:rPr>
          <w:lang w:val="pl-PL"/>
        </w:rPr>
        <w:t xml:space="preserve">odeskortowania na komisariat policji został zrealizowany, </w:t>
      </w:r>
      <w:r w:rsidR="00450F01">
        <w:rPr>
          <w:lang w:val="pl-PL"/>
        </w:rPr>
        <w:t xml:space="preserve">a </w:t>
      </w:r>
      <w:r w:rsidR="00B1662B">
        <w:rPr>
          <w:lang w:val="pl-PL"/>
        </w:rPr>
        <w:t xml:space="preserve">władze nie przedstawiły żadnego wyjaśnienia </w:t>
      </w:r>
      <w:r w:rsidR="00450F01">
        <w:rPr>
          <w:lang w:val="pl-PL"/>
        </w:rPr>
        <w:t xml:space="preserve">potrzeby </w:t>
      </w:r>
      <w:r w:rsidR="00B1662B">
        <w:rPr>
          <w:lang w:val="pl-PL"/>
        </w:rPr>
        <w:t>dalszego zatrzymania</w:t>
      </w:r>
      <w:r w:rsidR="00D577E3">
        <w:rPr>
          <w:lang w:val="pl-PL"/>
        </w:rPr>
        <w:t xml:space="preserve"> skarżącego</w:t>
      </w:r>
      <w:r w:rsidR="00B1662B">
        <w:rPr>
          <w:lang w:val="pl-PL"/>
        </w:rPr>
        <w:t xml:space="preserve">. </w:t>
      </w:r>
      <w:r w:rsidR="00535C7E">
        <w:rPr>
          <w:lang w:val="pl-PL"/>
        </w:rPr>
        <w:t xml:space="preserve">Władze argumentowały, że nie </w:t>
      </w:r>
      <w:r w:rsidR="008B61C1">
        <w:rPr>
          <w:lang w:val="pl-PL"/>
        </w:rPr>
        <w:t>przekroczono dopuszczalnego</w:t>
      </w:r>
      <w:r w:rsidR="00535C7E">
        <w:rPr>
          <w:lang w:val="pl-PL"/>
        </w:rPr>
        <w:t xml:space="preserve"> terminu 48 godzin zatrzymania, ale nie  wskazały spełnienia przesłanek </w:t>
      </w:r>
      <w:r w:rsidR="00D577E3">
        <w:rPr>
          <w:lang w:val="pl-PL"/>
        </w:rPr>
        <w:t>zatrzymania (</w:t>
      </w:r>
      <w:r w:rsidR="00535C7E">
        <w:rPr>
          <w:lang w:val="pl-PL"/>
        </w:rPr>
        <w:t xml:space="preserve">„wyjątkowego charakteru” i „potrzeby pilnego zbadania </w:t>
      </w:r>
      <w:r w:rsidR="00535C7E">
        <w:rPr>
          <w:lang w:val="pl-PL"/>
        </w:rPr>
        <w:lastRenderedPageBreak/>
        <w:t>sprawy”</w:t>
      </w:r>
      <w:r w:rsidR="00D577E3">
        <w:rPr>
          <w:lang w:val="pl-PL"/>
        </w:rPr>
        <w:t>)</w:t>
      </w:r>
      <w:r w:rsidR="00535C7E">
        <w:rPr>
          <w:lang w:val="pl-PL"/>
        </w:rPr>
        <w:t xml:space="preserve">. </w:t>
      </w:r>
      <w:r w:rsidR="00B1662B">
        <w:rPr>
          <w:lang w:val="pl-PL"/>
        </w:rPr>
        <w:t xml:space="preserve">Z uwagi na brak </w:t>
      </w:r>
      <w:r w:rsidR="008B61C1">
        <w:rPr>
          <w:lang w:val="pl-PL"/>
        </w:rPr>
        <w:t xml:space="preserve">takiego </w:t>
      </w:r>
      <w:r w:rsidR="00CE5B5C">
        <w:rPr>
          <w:lang w:val="pl-PL"/>
        </w:rPr>
        <w:t>wyjaśnienia</w:t>
      </w:r>
      <w:r w:rsidR="00B1662B">
        <w:rPr>
          <w:lang w:val="pl-PL"/>
        </w:rPr>
        <w:t>, Trybunał uznał, że 36-godzinne zatrzymanie</w:t>
      </w:r>
      <w:r w:rsidR="00365186">
        <w:rPr>
          <w:lang w:val="pl-PL"/>
        </w:rPr>
        <w:t xml:space="preserve"> przed rozprawą</w:t>
      </w:r>
      <w:r w:rsidR="00B1662B">
        <w:rPr>
          <w:lang w:val="pl-PL"/>
        </w:rPr>
        <w:t xml:space="preserve"> było nieuzasadnione i arbitralne, naruszając art. 5 ust. 1 Konwencji.</w:t>
      </w:r>
    </w:p>
    <w:p w:rsidR="00B1662B" w:rsidRPr="001A11CB" w:rsidRDefault="00B1662B" w:rsidP="00A06FAA">
      <w:pPr>
        <w:spacing w:after="120" w:line="240" w:lineRule="auto"/>
        <w:jc w:val="both"/>
        <w:rPr>
          <w:lang w:val="pl-PL"/>
        </w:rPr>
      </w:pPr>
      <w:r w:rsidRPr="001A11CB">
        <w:rPr>
          <w:lang w:val="pl-PL"/>
        </w:rPr>
        <w:t>Trybunał stwierdził również naruszenie art. 6 ust. 1 oraz ust. 3 lit. d</w:t>
      </w:r>
      <w:r w:rsidR="003B1B3A">
        <w:rPr>
          <w:lang w:val="pl-PL"/>
        </w:rPr>
        <w:t>)</w:t>
      </w:r>
      <w:r w:rsidRPr="001A11CB">
        <w:rPr>
          <w:lang w:val="pl-PL"/>
        </w:rPr>
        <w:t xml:space="preserve"> Konwencji z uwagi na fakt, że postępowanie </w:t>
      </w:r>
      <w:proofErr w:type="spellStart"/>
      <w:r w:rsidRPr="001A11CB">
        <w:rPr>
          <w:lang w:val="pl-PL"/>
        </w:rPr>
        <w:t>ws</w:t>
      </w:r>
      <w:proofErr w:type="spellEnd"/>
      <w:r w:rsidRPr="001A11CB">
        <w:rPr>
          <w:lang w:val="pl-PL"/>
        </w:rPr>
        <w:t xml:space="preserve">. o wykroczenie było </w:t>
      </w:r>
      <w:r w:rsidR="001A11CB" w:rsidRPr="001A11CB">
        <w:rPr>
          <w:lang w:val="pl-PL"/>
        </w:rPr>
        <w:t>nierzetelne</w:t>
      </w:r>
      <w:r w:rsidRPr="001A11CB">
        <w:rPr>
          <w:lang w:val="pl-PL"/>
        </w:rPr>
        <w:t xml:space="preserve">, w szczególności </w:t>
      </w:r>
      <w:r w:rsidR="003B1B3A">
        <w:rPr>
          <w:lang w:val="pl-PL"/>
        </w:rPr>
        <w:t>z tego względu</w:t>
      </w:r>
      <w:r w:rsidRPr="001A11CB">
        <w:rPr>
          <w:lang w:val="pl-PL"/>
        </w:rPr>
        <w:t>, że sąd oparł wyrok wyłącznie na standardowych dokumentach przedłożonych przez policję i odmówił przyjęcia dodatkowych dowodów</w:t>
      </w:r>
      <w:r w:rsidR="00D577E3">
        <w:rPr>
          <w:lang w:val="pl-PL"/>
        </w:rPr>
        <w:t xml:space="preserve"> zgłaszanych przez skarżącego</w:t>
      </w:r>
      <w:r w:rsidRPr="001A11CB">
        <w:rPr>
          <w:lang w:val="pl-PL"/>
        </w:rPr>
        <w:t xml:space="preserve">. </w:t>
      </w:r>
    </w:p>
    <w:p w:rsidR="00C941E0" w:rsidRDefault="00B1662B" w:rsidP="00364855">
      <w:pPr>
        <w:spacing w:after="120" w:line="240" w:lineRule="auto"/>
        <w:jc w:val="both"/>
        <w:rPr>
          <w:lang w:val="pl-PL"/>
        </w:rPr>
      </w:pPr>
      <w:r w:rsidRPr="001A11CB">
        <w:rPr>
          <w:u w:val="single"/>
          <w:lang w:val="pl-PL"/>
        </w:rPr>
        <w:t>Znaczenie wyroku dla Polski</w:t>
      </w:r>
      <w:r w:rsidRPr="001A11CB">
        <w:rPr>
          <w:lang w:val="pl-PL"/>
        </w:rPr>
        <w:t xml:space="preserve"> – wskazuje na obowiązki pozytywne władz </w:t>
      </w:r>
      <w:r w:rsidR="00B91264">
        <w:rPr>
          <w:lang w:val="pl-PL"/>
        </w:rPr>
        <w:t>(</w:t>
      </w:r>
      <w:r w:rsidR="003B1B3A">
        <w:rPr>
          <w:lang w:val="pl-PL"/>
        </w:rPr>
        <w:t xml:space="preserve">w szczególności </w:t>
      </w:r>
      <w:r w:rsidR="00B91264">
        <w:rPr>
          <w:lang w:val="pl-PL"/>
        </w:rPr>
        <w:t xml:space="preserve">policji) </w:t>
      </w:r>
      <w:r w:rsidR="003B1B3A">
        <w:rPr>
          <w:lang w:val="pl-PL"/>
        </w:rPr>
        <w:t xml:space="preserve">dotyczące </w:t>
      </w:r>
      <w:r w:rsidRPr="001A11CB">
        <w:rPr>
          <w:lang w:val="pl-PL"/>
        </w:rPr>
        <w:t>zapewni</w:t>
      </w:r>
      <w:r w:rsidR="003B1B3A">
        <w:rPr>
          <w:lang w:val="pl-PL"/>
        </w:rPr>
        <w:t>a</w:t>
      </w:r>
      <w:r w:rsidRPr="001A11CB">
        <w:rPr>
          <w:lang w:val="pl-PL"/>
        </w:rPr>
        <w:t xml:space="preserve">nia pokojowego przebiegu zgromadzeń, w tym obowiązek </w:t>
      </w:r>
      <w:r w:rsidR="00364855">
        <w:rPr>
          <w:lang w:val="pl-PL"/>
        </w:rPr>
        <w:t xml:space="preserve">aktywnego </w:t>
      </w:r>
      <w:r w:rsidRPr="001A11CB">
        <w:rPr>
          <w:lang w:val="pl-PL"/>
        </w:rPr>
        <w:t>komunikowania się z organizatorami zgromadzenia (</w:t>
      </w:r>
      <w:r w:rsidR="00B91264">
        <w:rPr>
          <w:lang w:val="pl-PL"/>
        </w:rPr>
        <w:t xml:space="preserve">również </w:t>
      </w:r>
      <w:r w:rsidRPr="001A11CB">
        <w:rPr>
          <w:lang w:val="pl-PL"/>
        </w:rPr>
        <w:t xml:space="preserve">wyznaczenia osoby do kontaktów) i konstruktywnego reagowania na niepokojący rozwój wydarzeń mogący doprowadzić do przekształcenia pokojowego zgromadzenia w zamieszki. </w:t>
      </w:r>
      <w:r w:rsidR="003B1B3A">
        <w:rPr>
          <w:lang w:val="pl-PL"/>
        </w:rPr>
        <w:t>P</w:t>
      </w:r>
      <w:r w:rsidR="00345F5F">
        <w:rPr>
          <w:lang w:val="pl-PL"/>
        </w:rPr>
        <w:t>rzypom</w:t>
      </w:r>
      <w:r w:rsidR="003B1B3A">
        <w:rPr>
          <w:lang w:val="pl-PL"/>
        </w:rPr>
        <w:t xml:space="preserve">ina </w:t>
      </w:r>
      <w:r w:rsidR="00345F5F">
        <w:rPr>
          <w:lang w:val="pl-PL"/>
        </w:rPr>
        <w:t>zasad</w:t>
      </w:r>
      <w:r w:rsidR="003B1B3A">
        <w:rPr>
          <w:lang w:val="pl-PL"/>
        </w:rPr>
        <w:t xml:space="preserve">y ogólne </w:t>
      </w:r>
      <w:r w:rsidR="00AA7BC8">
        <w:rPr>
          <w:lang w:val="pl-PL"/>
        </w:rPr>
        <w:t xml:space="preserve">odnoszące się do </w:t>
      </w:r>
      <w:r w:rsidR="00345F5F">
        <w:rPr>
          <w:lang w:val="pl-PL"/>
        </w:rPr>
        <w:t xml:space="preserve">obowiązków pozytywnych państw oraz poszczególnych uczestników zgromadzeń. </w:t>
      </w:r>
      <w:r w:rsidRPr="001A11CB">
        <w:rPr>
          <w:lang w:val="pl-PL"/>
        </w:rPr>
        <w:t xml:space="preserve">Wyrok warto upowszechnić </w:t>
      </w:r>
      <w:r w:rsidR="00AA7BC8">
        <w:rPr>
          <w:lang w:val="pl-PL"/>
        </w:rPr>
        <w:t xml:space="preserve">m.in. </w:t>
      </w:r>
      <w:r w:rsidRPr="001A11CB">
        <w:rPr>
          <w:lang w:val="pl-PL"/>
        </w:rPr>
        <w:t>wśród organów policji, a także sądów.</w:t>
      </w:r>
      <w:r w:rsidR="005A1C0A">
        <w:rPr>
          <w:lang w:val="pl-PL"/>
        </w:rPr>
        <w:t xml:space="preserve"> Wyrok nie jest jednak jeszcze ostateczny, z uwagi na złożenie przez Rosję wniosku o przekazanie sprawy do Wielkiej Izby.</w:t>
      </w:r>
    </w:p>
    <w:p w:rsidR="00C81EBA" w:rsidRPr="00D64787" w:rsidRDefault="00C81EBA" w:rsidP="00C81EBA">
      <w:pPr>
        <w:pStyle w:val="Nagwek2"/>
        <w:numPr>
          <w:ilvl w:val="0"/>
          <w:numId w:val="29"/>
        </w:numPr>
        <w:spacing w:before="480"/>
      </w:pPr>
      <w:bookmarkStart w:id="6" w:name="_Toc449106385"/>
      <w:proofErr w:type="spellStart"/>
      <w:r w:rsidRPr="00D64787">
        <w:t>Bergmann</w:t>
      </w:r>
      <w:proofErr w:type="spellEnd"/>
      <w:r w:rsidRPr="00D64787">
        <w:t xml:space="preserve"> p. Niemcom</w:t>
      </w:r>
      <w:r w:rsidR="00875099">
        <w:t>,</w:t>
      </w:r>
      <w:r w:rsidRPr="00D64787">
        <w:t xml:space="preserve"> skarga nr 23279/14, wyrok Izby z 7.01.2016 r., ostateczny</w:t>
      </w:r>
      <w:bookmarkEnd w:id="6"/>
    </w:p>
    <w:p w:rsidR="00C81EBA" w:rsidRPr="003C0532" w:rsidRDefault="00875099" w:rsidP="00875099">
      <w:pPr>
        <w:pStyle w:val="Akapitzlist"/>
        <w:keepNext/>
        <w:keepLines/>
        <w:numPr>
          <w:ilvl w:val="0"/>
          <w:numId w:val="38"/>
        </w:numPr>
        <w:spacing w:after="240" w:line="240" w:lineRule="auto"/>
        <w:ind w:left="357" w:hanging="357"/>
        <w:contextualSpacing w:val="0"/>
        <w:jc w:val="both"/>
        <w:outlineLvl w:val="2"/>
        <w:rPr>
          <w:b/>
          <w:color w:val="000000" w:themeColor="text1"/>
          <w:lang w:val="pl-PL"/>
        </w:rPr>
      </w:pPr>
      <w:bookmarkStart w:id="7" w:name="_Toc449106386"/>
      <w:r>
        <w:rPr>
          <w:b/>
          <w:color w:val="000000" w:themeColor="text1"/>
          <w:lang w:val="pl-PL"/>
        </w:rPr>
        <w:t xml:space="preserve">przedłużenie </w:t>
      </w:r>
      <w:r w:rsidR="001A1741">
        <w:rPr>
          <w:b/>
          <w:color w:val="000000" w:themeColor="text1"/>
          <w:lang w:val="pl-PL"/>
        </w:rPr>
        <w:t>prewencyjne</w:t>
      </w:r>
      <w:r>
        <w:rPr>
          <w:b/>
          <w:color w:val="000000" w:themeColor="text1"/>
          <w:lang w:val="pl-PL"/>
        </w:rPr>
        <w:t xml:space="preserve">go </w:t>
      </w:r>
      <w:r w:rsidR="003E0AE3">
        <w:rPr>
          <w:b/>
          <w:color w:val="000000" w:themeColor="text1"/>
          <w:lang w:val="pl-PL"/>
        </w:rPr>
        <w:t xml:space="preserve">pozbawienia wolności </w:t>
      </w:r>
      <w:r w:rsidR="00C81EBA" w:rsidRPr="003C0532">
        <w:rPr>
          <w:b/>
          <w:color w:val="000000" w:themeColor="text1"/>
          <w:lang w:val="pl-PL"/>
        </w:rPr>
        <w:t xml:space="preserve">sprawców niebezpiecznych, o ile jest </w:t>
      </w:r>
      <w:r w:rsidR="001A1741">
        <w:rPr>
          <w:b/>
          <w:color w:val="000000" w:themeColor="text1"/>
          <w:lang w:val="pl-PL"/>
        </w:rPr>
        <w:t>stosowane i prowadzone</w:t>
      </w:r>
      <w:r w:rsidR="00C81EBA" w:rsidRPr="003C0532">
        <w:rPr>
          <w:b/>
          <w:color w:val="000000" w:themeColor="text1"/>
          <w:lang w:val="pl-PL"/>
        </w:rPr>
        <w:t xml:space="preserve"> </w:t>
      </w:r>
      <w:r w:rsidR="001A1741">
        <w:rPr>
          <w:b/>
          <w:color w:val="000000" w:themeColor="text1"/>
          <w:lang w:val="pl-PL"/>
        </w:rPr>
        <w:t xml:space="preserve">w odpowiedni sposób, </w:t>
      </w:r>
      <w:r w:rsidR="00F76462">
        <w:rPr>
          <w:b/>
          <w:color w:val="000000" w:themeColor="text1"/>
          <w:lang w:val="pl-PL"/>
        </w:rPr>
        <w:t xml:space="preserve">może być </w:t>
      </w:r>
      <w:r w:rsidR="001A1741">
        <w:rPr>
          <w:b/>
          <w:color w:val="000000" w:themeColor="text1"/>
          <w:lang w:val="pl-PL"/>
        </w:rPr>
        <w:t>zgodne</w:t>
      </w:r>
      <w:r w:rsidR="00C81EBA" w:rsidRPr="003C0532">
        <w:rPr>
          <w:b/>
          <w:color w:val="000000" w:themeColor="text1"/>
          <w:lang w:val="pl-PL"/>
        </w:rPr>
        <w:t xml:space="preserve"> z art. 5 ust 1 Konwencji (</w:t>
      </w:r>
      <w:r w:rsidR="001A1741">
        <w:rPr>
          <w:b/>
          <w:color w:val="000000" w:themeColor="text1"/>
          <w:lang w:val="pl-PL"/>
        </w:rPr>
        <w:t>prawo do wolności i bezpieczeństwa osobistego)</w:t>
      </w:r>
      <w:r w:rsidR="00C81EBA" w:rsidRPr="003C0532">
        <w:rPr>
          <w:b/>
          <w:color w:val="000000" w:themeColor="text1"/>
          <w:lang w:val="pl-PL"/>
        </w:rPr>
        <w:t xml:space="preserve">, jak również art. 7 ust 1 Konwencji (zakaz </w:t>
      </w:r>
      <w:r w:rsidR="001A1741">
        <w:rPr>
          <w:b/>
          <w:color w:val="000000" w:themeColor="text1"/>
          <w:lang w:val="pl-PL"/>
        </w:rPr>
        <w:t xml:space="preserve">karania bez podstawy prawnej – aspekt dotyczący </w:t>
      </w:r>
      <w:r w:rsidR="00C81EBA" w:rsidRPr="003C0532">
        <w:rPr>
          <w:b/>
          <w:color w:val="000000" w:themeColor="text1"/>
          <w:lang w:val="pl-PL"/>
        </w:rPr>
        <w:t xml:space="preserve">wymierzania kary surowszej niż </w:t>
      </w:r>
      <w:r w:rsidR="001A1741">
        <w:rPr>
          <w:b/>
          <w:color w:val="000000" w:themeColor="text1"/>
          <w:lang w:val="pl-PL"/>
        </w:rPr>
        <w:t xml:space="preserve">przewidziana </w:t>
      </w:r>
      <w:r w:rsidR="00C81EBA" w:rsidRPr="003C0532">
        <w:rPr>
          <w:b/>
          <w:color w:val="000000" w:themeColor="text1"/>
          <w:lang w:val="pl-PL"/>
        </w:rPr>
        <w:t xml:space="preserve">w momencie popełnienia czynu), nawet jeżeli maksymalny czas trwania prewencyjnego </w:t>
      </w:r>
      <w:r w:rsidR="003E0AE3">
        <w:rPr>
          <w:b/>
          <w:color w:val="000000" w:themeColor="text1"/>
          <w:lang w:val="pl-PL"/>
        </w:rPr>
        <w:t xml:space="preserve">pozbawienia wolności </w:t>
      </w:r>
      <w:r w:rsidR="00C81EBA" w:rsidRPr="003C0532">
        <w:rPr>
          <w:b/>
          <w:color w:val="000000" w:themeColor="text1"/>
          <w:lang w:val="pl-PL"/>
        </w:rPr>
        <w:t xml:space="preserve">został </w:t>
      </w:r>
      <w:r>
        <w:rPr>
          <w:b/>
          <w:color w:val="000000" w:themeColor="text1"/>
          <w:lang w:val="pl-PL"/>
        </w:rPr>
        <w:t>wy</w:t>
      </w:r>
      <w:r w:rsidR="00C81EBA" w:rsidRPr="003C0532">
        <w:rPr>
          <w:b/>
          <w:color w:val="000000" w:themeColor="text1"/>
          <w:lang w:val="pl-PL"/>
        </w:rPr>
        <w:t>dłużony na mocy przepisów, które weszły w życie w trakcie jego trwania</w:t>
      </w:r>
      <w:bookmarkEnd w:id="7"/>
      <w:r w:rsidR="00C81EBA" w:rsidRPr="003C0532">
        <w:rPr>
          <w:b/>
          <w:color w:val="000000" w:themeColor="text1"/>
          <w:lang w:val="pl-PL"/>
        </w:rPr>
        <w:t xml:space="preserve"> </w:t>
      </w:r>
    </w:p>
    <w:p w:rsidR="00C81EBA" w:rsidRPr="003C0532" w:rsidRDefault="00C81EBA" w:rsidP="001E0F37">
      <w:pPr>
        <w:spacing w:after="120" w:line="240" w:lineRule="auto"/>
        <w:jc w:val="both"/>
        <w:rPr>
          <w:lang w:val="pl-PL"/>
        </w:rPr>
      </w:pPr>
      <w:r w:rsidRPr="003C0532">
        <w:rPr>
          <w:u w:val="single"/>
          <w:lang w:val="pl-PL"/>
        </w:rPr>
        <w:t xml:space="preserve">Stan faktyczny </w:t>
      </w:r>
    </w:p>
    <w:p w:rsidR="00C81EBA" w:rsidRPr="003C0532" w:rsidRDefault="00C81EBA" w:rsidP="001E0F37">
      <w:pPr>
        <w:spacing w:after="120" w:line="240" w:lineRule="auto"/>
        <w:jc w:val="both"/>
        <w:rPr>
          <w:lang w:val="pl-PL"/>
        </w:rPr>
      </w:pPr>
      <w:r w:rsidRPr="003C0532">
        <w:rPr>
          <w:lang w:val="pl-PL"/>
        </w:rPr>
        <w:t xml:space="preserve">Skarżący, Karl-Heinz </w:t>
      </w:r>
      <w:proofErr w:type="spellStart"/>
      <w:r w:rsidRPr="003C0532">
        <w:rPr>
          <w:lang w:val="pl-PL"/>
        </w:rPr>
        <w:t>Bergmann</w:t>
      </w:r>
      <w:proofErr w:type="spellEnd"/>
      <w:r w:rsidRPr="003C0532">
        <w:rPr>
          <w:lang w:val="pl-PL"/>
        </w:rPr>
        <w:t>, jest obywatelem niemieckim i po</w:t>
      </w:r>
      <w:r w:rsidR="00A91C6C">
        <w:rPr>
          <w:lang w:val="pl-PL"/>
        </w:rPr>
        <w:t>dlega</w:t>
      </w:r>
      <w:r w:rsidRPr="003C0532">
        <w:rPr>
          <w:lang w:val="pl-PL"/>
        </w:rPr>
        <w:t xml:space="preserve"> obecnie </w:t>
      </w:r>
      <w:r w:rsidR="003E0AE3">
        <w:rPr>
          <w:lang w:val="pl-PL"/>
        </w:rPr>
        <w:t>prewencyjnemu</w:t>
      </w:r>
      <w:r w:rsidR="003E0AE3" w:rsidRPr="003C0532">
        <w:rPr>
          <w:lang w:val="pl-PL"/>
        </w:rPr>
        <w:t xml:space="preserve"> </w:t>
      </w:r>
      <w:r w:rsidR="003E0AE3">
        <w:rPr>
          <w:lang w:val="pl-PL"/>
        </w:rPr>
        <w:t xml:space="preserve">pozbawieniu wolności </w:t>
      </w:r>
      <w:r w:rsidRPr="003C0532">
        <w:rPr>
          <w:lang w:val="pl-PL"/>
        </w:rPr>
        <w:t xml:space="preserve">w centrum prewencyjnego </w:t>
      </w:r>
      <w:r w:rsidR="003E0AE3">
        <w:rPr>
          <w:lang w:val="pl-PL"/>
        </w:rPr>
        <w:t xml:space="preserve">pozbawienia wolności </w:t>
      </w:r>
      <w:r w:rsidRPr="003C0532">
        <w:rPr>
          <w:lang w:val="pl-PL"/>
        </w:rPr>
        <w:t xml:space="preserve">przy więzieniu w </w:t>
      </w:r>
      <w:proofErr w:type="spellStart"/>
      <w:r w:rsidRPr="003C0532">
        <w:rPr>
          <w:lang w:val="pl-PL"/>
        </w:rPr>
        <w:t>Rosdorf</w:t>
      </w:r>
      <w:proofErr w:type="spellEnd"/>
      <w:r w:rsidR="001C2B0E" w:rsidRPr="003C0532">
        <w:rPr>
          <w:lang w:val="pl-PL"/>
        </w:rPr>
        <w:t xml:space="preserve"> </w:t>
      </w:r>
      <w:r w:rsidRPr="003C0532">
        <w:rPr>
          <w:lang w:val="pl-PL"/>
        </w:rPr>
        <w:t xml:space="preserve">(dalej </w:t>
      </w:r>
      <w:r w:rsidR="001C2B0E" w:rsidRPr="003C0532">
        <w:rPr>
          <w:lang w:val="pl-PL"/>
        </w:rPr>
        <w:t>zwane „</w:t>
      </w:r>
      <w:r w:rsidRPr="003C0532">
        <w:rPr>
          <w:lang w:val="pl-PL"/>
        </w:rPr>
        <w:t>Centrum</w:t>
      </w:r>
      <w:r w:rsidR="001C2B0E" w:rsidRPr="003C0532">
        <w:rPr>
          <w:lang w:val="pl-PL"/>
        </w:rPr>
        <w:t>”</w:t>
      </w:r>
      <w:r w:rsidRPr="003C0532">
        <w:rPr>
          <w:lang w:val="pl-PL"/>
        </w:rPr>
        <w:t xml:space="preserve">). W latach 1966-84 był wielokrotnie skazywany za przestępstwa seksualne i inne czyny zabronione </w:t>
      </w:r>
      <w:r w:rsidR="001C2B0E" w:rsidRPr="003C0532">
        <w:rPr>
          <w:lang w:val="pl-PL"/>
        </w:rPr>
        <w:t xml:space="preserve">popełnione </w:t>
      </w:r>
      <w:r w:rsidRPr="003C0532">
        <w:rPr>
          <w:lang w:val="pl-PL"/>
        </w:rPr>
        <w:t xml:space="preserve">z </w:t>
      </w:r>
      <w:r w:rsidR="001C2B0E" w:rsidRPr="003C0532">
        <w:rPr>
          <w:lang w:val="pl-PL"/>
        </w:rPr>
        <w:t xml:space="preserve">użyciem </w:t>
      </w:r>
      <w:r w:rsidRPr="003C0532">
        <w:rPr>
          <w:lang w:val="pl-PL"/>
        </w:rPr>
        <w:t>przemocy. W 1986 r</w:t>
      </w:r>
      <w:r w:rsidR="001C2B0E" w:rsidRPr="003C0532">
        <w:rPr>
          <w:lang w:val="pl-PL"/>
        </w:rPr>
        <w:t>.</w:t>
      </w:r>
      <w:r w:rsidRPr="003C0532">
        <w:rPr>
          <w:lang w:val="pl-PL"/>
        </w:rPr>
        <w:t xml:space="preserve"> Sąd Okręgowy w Hanowerze skazał skarżącego </w:t>
      </w:r>
      <w:r w:rsidR="00814CBC" w:rsidRPr="003C0532">
        <w:rPr>
          <w:lang w:val="pl-PL"/>
        </w:rPr>
        <w:t xml:space="preserve">na karę pozbawienia wolności </w:t>
      </w:r>
      <w:r w:rsidRPr="003C0532">
        <w:rPr>
          <w:lang w:val="pl-PL"/>
        </w:rPr>
        <w:t>w związku z kilk</w:t>
      </w:r>
      <w:r w:rsidR="00814CBC">
        <w:rPr>
          <w:lang w:val="pl-PL"/>
        </w:rPr>
        <w:t>u</w:t>
      </w:r>
      <w:r w:rsidRPr="003C0532">
        <w:rPr>
          <w:lang w:val="pl-PL"/>
        </w:rPr>
        <w:t>krotn</w:t>
      </w:r>
      <w:r w:rsidR="003F5FC1">
        <w:rPr>
          <w:lang w:val="pl-PL"/>
        </w:rPr>
        <w:t xml:space="preserve">ym usiłowaniem zabójstwa </w:t>
      </w:r>
      <w:r w:rsidRPr="003C0532">
        <w:rPr>
          <w:lang w:val="pl-PL"/>
        </w:rPr>
        <w:t>na tle seksualnym, włamanie</w:t>
      </w:r>
      <w:r w:rsidR="00814CBC">
        <w:rPr>
          <w:lang w:val="pl-PL"/>
        </w:rPr>
        <w:t>m</w:t>
      </w:r>
      <w:r w:rsidRPr="003C0532">
        <w:rPr>
          <w:lang w:val="pl-PL"/>
        </w:rPr>
        <w:t xml:space="preserve"> i </w:t>
      </w:r>
      <w:r w:rsidR="003F5FC1">
        <w:rPr>
          <w:lang w:val="pl-PL"/>
        </w:rPr>
        <w:t xml:space="preserve">napaścią </w:t>
      </w:r>
      <w:r w:rsidRPr="003C0532">
        <w:rPr>
          <w:lang w:val="pl-PL"/>
        </w:rPr>
        <w:t xml:space="preserve">w celu uzyskania satysfakcji seksualnej. </w:t>
      </w:r>
      <w:r w:rsidR="00F76462">
        <w:rPr>
          <w:lang w:val="pl-PL"/>
        </w:rPr>
        <w:t>Zdiagnozowano</w:t>
      </w:r>
      <w:r w:rsidRPr="003C0532">
        <w:rPr>
          <w:lang w:val="pl-PL"/>
        </w:rPr>
        <w:t xml:space="preserve"> u</w:t>
      </w:r>
      <w:r w:rsidR="00875099">
        <w:rPr>
          <w:lang w:val="pl-PL"/>
        </w:rPr>
        <w:t xml:space="preserve"> niego</w:t>
      </w:r>
      <w:r w:rsidRPr="003C0532">
        <w:rPr>
          <w:lang w:val="pl-PL"/>
        </w:rPr>
        <w:t xml:space="preserve"> występowanie dewiacji na tle seksualnym i poważne uzależnienie od alkoholu, które to czynniki składały się na zwiększoną skłonność do popełniania przestępstw.</w:t>
      </w:r>
      <w:r w:rsidR="00F76462" w:rsidRPr="00F76462">
        <w:rPr>
          <w:lang w:val="pl-PL"/>
        </w:rPr>
        <w:t xml:space="preserve"> </w:t>
      </w:r>
      <w:r w:rsidR="00F76462" w:rsidRPr="003C0532">
        <w:rPr>
          <w:lang w:val="pl-PL"/>
        </w:rPr>
        <w:t>Biegli lekarze stwierdzili, że popełnił wszystkie te czyny w stanie ogranicz</w:t>
      </w:r>
      <w:r w:rsidR="00814CBC">
        <w:rPr>
          <w:lang w:val="pl-PL"/>
        </w:rPr>
        <w:t xml:space="preserve">onej poczytalności </w:t>
      </w:r>
      <w:r w:rsidR="00F76462" w:rsidRPr="003C0532">
        <w:rPr>
          <w:lang w:val="pl-PL"/>
        </w:rPr>
        <w:t>(</w:t>
      </w:r>
      <w:r w:rsidR="00F76462">
        <w:rPr>
          <w:lang w:val="pl-PL"/>
        </w:rPr>
        <w:t xml:space="preserve">z powodu wspomnianych zaburzeń psychicznych w powiązaniu z </w:t>
      </w:r>
      <w:r w:rsidR="00F76462" w:rsidRPr="003C0532">
        <w:rPr>
          <w:lang w:val="pl-PL"/>
        </w:rPr>
        <w:t>ilością spożytego alkoholu).</w:t>
      </w:r>
      <w:r w:rsidRPr="003C0532">
        <w:rPr>
          <w:lang w:val="pl-PL"/>
        </w:rPr>
        <w:t xml:space="preserve"> W rezultacie skarżący został skazany na 15 lat więzienia oraz 10 lat prewencyjnego </w:t>
      </w:r>
      <w:r w:rsidR="006B0F8E">
        <w:rPr>
          <w:lang w:val="pl-PL"/>
        </w:rPr>
        <w:t>pozbawieniu wolności</w:t>
      </w:r>
      <w:r w:rsidR="006B0F8E" w:rsidRPr="003C0532">
        <w:rPr>
          <w:lang w:val="pl-PL"/>
        </w:rPr>
        <w:t xml:space="preserve"> </w:t>
      </w:r>
      <w:r w:rsidRPr="003C0532">
        <w:rPr>
          <w:lang w:val="pl-PL"/>
        </w:rPr>
        <w:t>po odbyciu kary. W momencie wydania orzeczenia 10 lat było najdłuższym możliwym okresem poddania skazanego procedurze prewencyjnego</w:t>
      </w:r>
      <w:r w:rsidR="00783229">
        <w:rPr>
          <w:lang w:val="pl-PL"/>
        </w:rPr>
        <w:t xml:space="preserve"> pozbawienia wolności</w:t>
      </w:r>
      <w:r w:rsidRPr="003C0532">
        <w:rPr>
          <w:lang w:val="pl-PL"/>
        </w:rPr>
        <w:t xml:space="preserve">. Sąd zdecydował </w:t>
      </w:r>
      <w:r w:rsidR="00530764">
        <w:rPr>
          <w:lang w:val="pl-PL"/>
        </w:rPr>
        <w:t xml:space="preserve">o poddaniu </w:t>
      </w:r>
      <w:r w:rsidRPr="003C0532">
        <w:rPr>
          <w:lang w:val="pl-PL"/>
        </w:rPr>
        <w:t xml:space="preserve">skarżącego </w:t>
      </w:r>
      <w:r w:rsidR="00530764">
        <w:rPr>
          <w:lang w:val="pl-PL"/>
        </w:rPr>
        <w:t>prewencyjnemu</w:t>
      </w:r>
      <w:r w:rsidRPr="003C0532">
        <w:rPr>
          <w:lang w:val="pl-PL"/>
        </w:rPr>
        <w:t xml:space="preserve"> </w:t>
      </w:r>
      <w:r w:rsidR="00783229">
        <w:rPr>
          <w:lang w:val="pl-PL"/>
        </w:rPr>
        <w:t xml:space="preserve">pozbawieniu wolności </w:t>
      </w:r>
      <w:r w:rsidRPr="003C0532">
        <w:rPr>
          <w:lang w:val="pl-PL"/>
        </w:rPr>
        <w:t>zamiast le</w:t>
      </w:r>
      <w:r w:rsidR="00530764">
        <w:rPr>
          <w:lang w:val="pl-PL"/>
        </w:rPr>
        <w:t>czeniu</w:t>
      </w:r>
      <w:r w:rsidRPr="003C0532">
        <w:rPr>
          <w:lang w:val="pl-PL"/>
        </w:rPr>
        <w:t xml:space="preserve"> w szpitalu psychiatrycznym w związku z jego niezdolnością do efektywnego uczestniczenia w terapii i zagrożeniem stwarzanym dla społeczeństwa. </w:t>
      </w:r>
    </w:p>
    <w:p w:rsidR="00C81EBA" w:rsidRPr="003C0532" w:rsidRDefault="00C81EBA" w:rsidP="001E0F37">
      <w:pPr>
        <w:spacing w:after="120" w:line="240" w:lineRule="auto"/>
        <w:jc w:val="both"/>
        <w:rPr>
          <w:lang w:val="pl-PL"/>
        </w:rPr>
      </w:pPr>
      <w:r w:rsidRPr="003C0532">
        <w:rPr>
          <w:lang w:val="pl-PL"/>
        </w:rPr>
        <w:t xml:space="preserve">Skarżący odbywał karę pozbawienia wolności do 2001 r. W 2001 </w:t>
      </w:r>
      <w:r w:rsidR="001C2B0E" w:rsidRPr="003C0532">
        <w:rPr>
          <w:lang w:val="pl-PL"/>
        </w:rPr>
        <w:t>r.</w:t>
      </w:r>
      <w:r w:rsidRPr="003C0532">
        <w:rPr>
          <w:lang w:val="pl-PL"/>
        </w:rPr>
        <w:t xml:space="preserve"> zaczął się okres</w:t>
      </w:r>
      <w:r w:rsidR="00530764">
        <w:rPr>
          <w:lang w:val="pl-PL"/>
        </w:rPr>
        <w:t xml:space="preserve"> </w:t>
      </w:r>
      <w:r w:rsidRPr="003C0532">
        <w:rPr>
          <w:lang w:val="pl-PL"/>
        </w:rPr>
        <w:t>prewencyjnego</w:t>
      </w:r>
      <w:r w:rsidR="00783229">
        <w:rPr>
          <w:lang w:val="pl-PL"/>
        </w:rPr>
        <w:t xml:space="preserve"> pozbawienia wolności</w:t>
      </w:r>
      <w:r w:rsidRPr="003C0532">
        <w:rPr>
          <w:lang w:val="pl-PL"/>
        </w:rPr>
        <w:t>. Jeszcze w czasie odbywania przez skarżącego kary więzi</w:t>
      </w:r>
      <w:r w:rsidR="001C2B0E" w:rsidRPr="003C0532">
        <w:rPr>
          <w:lang w:val="pl-PL"/>
        </w:rPr>
        <w:t>enia (</w:t>
      </w:r>
      <w:r w:rsidR="00F76462">
        <w:rPr>
          <w:lang w:val="pl-PL"/>
        </w:rPr>
        <w:t xml:space="preserve">w </w:t>
      </w:r>
      <w:r w:rsidR="001C2B0E" w:rsidRPr="003C0532">
        <w:rPr>
          <w:lang w:val="pl-PL"/>
        </w:rPr>
        <w:t>1998 r</w:t>
      </w:r>
      <w:r w:rsidR="00F76462">
        <w:rPr>
          <w:lang w:val="pl-PL"/>
        </w:rPr>
        <w:t>.</w:t>
      </w:r>
      <w:r w:rsidR="001C2B0E" w:rsidRPr="003C0532">
        <w:rPr>
          <w:lang w:val="pl-PL"/>
        </w:rPr>
        <w:t>) weszła w życie u</w:t>
      </w:r>
      <w:r w:rsidRPr="003C0532">
        <w:rPr>
          <w:lang w:val="pl-PL"/>
        </w:rPr>
        <w:t xml:space="preserve">stawa o </w:t>
      </w:r>
      <w:r w:rsidR="001C2B0E" w:rsidRPr="003C0532">
        <w:rPr>
          <w:lang w:val="pl-PL"/>
        </w:rPr>
        <w:t>z</w:t>
      </w:r>
      <w:r w:rsidRPr="003C0532">
        <w:rPr>
          <w:lang w:val="pl-PL"/>
        </w:rPr>
        <w:t>walczaniu przestępstw seksualnych i innych niebezpiecznych przestępstw, znosząca górną granicę czasową okresu prewencyjnego</w:t>
      </w:r>
      <w:r w:rsidR="00783229">
        <w:rPr>
          <w:lang w:val="pl-PL"/>
        </w:rPr>
        <w:t xml:space="preserve"> pozbawienia wolności</w:t>
      </w:r>
      <w:r w:rsidRPr="003C0532">
        <w:rPr>
          <w:lang w:val="pl-PL"/>
        </w:rPr>
        <w:t>, przy czym na mocy przepisów miała się ona odnosić również do skazanych, wobec kt</w:t>
      </w:r>
      <w:r w:rsidR="00530764">
        <w:rPr>
          <w:lang w:val="pl-PL"/>
        </w:rPr>
        <w:t xml:space="preserve">órych orzeczono o </w:t>
      </w:r>
      <w:r w:rsidR="00875099">
        <w:rPr>
          <w:lang w:val="pl-PL"/>
        </w:rPr>
        <w:t>zatrzymaniu prewencyjnym</w:t>
      </w:r>
      <w:r w:rsidRPr="003C0532">
        <w:rPr>
          <w:lang w:val="pl-PL"/>
        </w:rPr>
        <w:t xml:space="preserve"> jeszcze przed wejściem w życie ustawy. Na mocy jej przepisów Sąd Okręgowy w </w:t>
      </w:r>
      <w:proofErr w:type="spellStart"/>
      <w:r w:rsidRPr="003C0532">
        <w:rPr>
          <w:lang w:val="pl-PL"/>
        </w:rPr>
        <w:t>Lüneburgu</w:t>
      </w:r>
      <w:proofErr w:type="spellEnd"/>
      <w:r w:rsidRPr="003C0532">
        <w:rPr>
          <w:lang w:val="pl-PL"/>
        </w:rPr>
        <w:t xml:space="preserve"> orzek</w:t>
      </w:r>
      <w:r w:rsidR="00BF0205">
        <w:rPr>
          <w:lang w:val="pl-PL"/>
        </w:rPr>
        <w:t>a</w:t>
      </w:r>
      <w:r w:rsidRPr="003C0532">
        <w:rPr>
          <w:lang w:val="pl-PL"/>
        </w:rPr>
        <w:t xml:space="preserve">ł o kontynuowaniu prewencyjnego </w:t>
      </w:r>
      <w:r w:rsidR="00783229">
        <w:rPr>
          <w:lang w:val="pl-PL"/>
        </w:rPr>
        <w:t xml:space="preserve">pozbawienia wolności </w:t>
      </w:r>
      <w:r w:rsidR="00875099">
        <w:rPr>
          <w:lang w:val="pl-PL"/>
        </w:rPr>
        <w:t xml:space="preserve">skarżącego </w:t>
      </w:r>
      <w:r w:rsidRPr="003C0532">
        <w:rPr>
          <w:lang w:val="pl-PL"/>
        </w:rPr>
        <w:t>w 2011 i 2012</w:t>
      </w:r>
      <w:r w:rsidR="001C2B0E" w:rsidRPr="003C0532">
        <w:rPr>
          <w:lang w:val="pl-PL"/>
        </w:rPr>
        <w:t>r.</w:t>
      </w:r>
      <w:r w:rsidRPr="003C0532">
        <w:rPr>
          <w:lang w:val="pl-PL"/>
        </w:rPr>
        <w:t xml:space="preserve"> </w:t>
      </w:r>
    </w:p>
    <w:p w:rsidR="00C81EBA" w:rsidRPr="003C0532" w:rsidRDefault="00C81EBA" w:rsidP="001E0F37">
      <w:pPr>
        <w:spacing w:after="120" w:line="240" w:lineRule="auto"/>
        <w:jc w:val="both"/>
        <w:rPr>
          <w:lang w:val="pl-PL"/>
        </w:rPr>
      </w:pPr>
      <w:r w:rsidRPr="003C0532">
        <w:rPr>
          <w:lang w:val="pl-PL"/>
        </w:rPr>
        <w:t>W lipcu 2013</w:t>
      </w:r>
      <w:r w:rsidR="00F9608D">
        <w:rPr>
          <w:lang w:val="pl-PL"/>
        </w:rPr>
        <w:t xml:space="preserve"> r.</w:t>
      </w:r>
      <w:r w:rsidRPr="003C0532">
        <w:rPr>
          <w:lang w:val="pl-PL"/>
        </w:rPr>
        <w:t xml:space="preserve"> Sąd Okręgowy w </w:t>
      </w:r>
      <w:proofErr w:type="spellStart"/>
      <w:r w:rsidRPr="003C0532">
        <w:rPr>
          <w:lang w:val="pl-PL"/>
        </w:rPr>
        <w:t>Lüneburgu</w:t>
      </w:r>
      <w:proofErr w:type="spellEnd"/>
      <w:r w:rsidRPr="003C0532">
        <w:rPr>
          <w:lang w:val="pl-PL"/>
        </w:rPr>
        <w:t xml:space="preserve"> orzekł ponownie o przedłużeniu prewencyjnego</w:t>
      </w:r>
      <w:r w:rsidR="00783229">
        <w:rPr>
          <w:lang w:val="pl-PL"/>
        </w:rPr>
        <w:t xml:space="preserve"> pozbawienia wolności</w:t>
      </w:r>
      <w:r w:rsidRPr="003C0532">
        <w:rPr>
          <w:lang w:val="pl-PL"/>
        </w:rPr>
        <w:t xml:space="preserve">, polecając jednocześnie Centrum przygotowanie dla skarżącego indywidualnej </w:t>
      </w:r>
      <w:r w:rsidRPr="003C0532">
        <w:rPr>
          <w:lang w:val="pl-PL"/>
        </w:rPr>
        <w:lastRenderedPageBreak/>
        <w:t xml:space="preserve">terapii hormonalnej, mającej służyć wytłumieniu jego popędu seksualnego i sadystycznych fantazji. </w:t>
      </w:r>
      <w:r w:rsidR="00862754" w:rsidRPr="003C0532">
        <w:rPr>
          <w:lang w:val="pl-PL"/>
        </w:rPr>
        <w:t>Sąd uwzględnił informacje przedstawione</w:t>
      </w:r>
      <w:r w:rsidRPr="003C0532">
        <w:rPr>
          <w:lang w:val="pl-PL"/>
        </w:rPr>
        <w:t xml:space="preserve"> przez biegł</w:t>
      </w:r>
      <w:r w:rsidR="00862754" w:rsidRPr="003C0532">
        <w:rPr>
          <w:lang w:val="pl-PL"/>
        </w:rPr>
        <w:t>ego psychiatrę (potwierdzające</w:t>
      </w:r>
      <w:r w:rsidRPr="003C0532">
        <w:rPr>
          <w:lang w:val="pl-PL"/>
        </w:rPr>
        <w:t xml:space="preserve"> wyniki wcześniejszych ekspertyz)</w:t>
      </w:r>
      <w:r w:rsidR="00F9608D">
        <w:rPr>
          <w:lang w:val="pl-PL"/>
        </w:rPr>
        <w:t>,</w:t>
      </w:r>
      <w:r w:rsidRPr="003C0532">
        <w:rPr>
          <w:lang w:val="pl-PL"/>
        </w:rPr>
        <w:t xml:space="preserve"> </w:t>
      </w:r>
      <w:r w:rsidR="00F9608D">
        <w:rPr>
          <w:lang w:val="pl-PL"/>
        </w:rPr>
        <w:t xml:space="preserve">z których </w:t>
      </w:r>
      <w:r w:rsidRPr="003C0532">
        <w:rPr>
          <w:lang w:val="pl-PL"/>
        </w:rPr>
        <w:t>wynikało, że skarżący cierpi na zaburzenie preferencji seksualnych połączone z elementami sadystyczno-pedofilsko-fetyszystycznymi</w:t>
      </w:r>
      <w:r w:rsidR="001C2B0E" w:rsidRPr="003C0532">
        <w:rPr>
          <w:lang w:val="pl-PL"/>
        </w:rPr>
        <w:t>,</w:t>
      </w:r>
      <w:r w:rsidRPr="003C0532">
        <w:rPr>
          <w:lang w:val="pl-PL"/>
        </w:rPr>
        <w:t xml:space="preserve"> jak również </w:t>
      </w:r>
      <w:r w:rsidR="001C2B0E" w:rsidRPr="003C0532">
        <w:rPr>
          <w:lang w:val="pl-PL"/>
        </w:rPr>
        <w:t xml:space="preserve">na </w:t>
      </w:r>
      <w:r w:rsidRPr="003C0532">
        <w:rPr>
          <w:lang w:val="pl-PL"/>
        </w:rPr>
        <w:t xml:space="preserve">uzależnienie od alkoholu (utrzymujące się pomimo niepicia alkoholu od kilkudziesięciu lat). </w:t>
      </w:r>
      <w:r w:rsidR="001C2B0E" w:rsidRPr="003C0532">
        <w:rPr>
          <w:lang w:val="pl-PL"/>
        </w:rPr>
        <w:t>Biegły z</w:t>
      </w:r>
      <w:r w:rsidRPr="003C0532">
        <w:rPr>
          <w:lang w:val="pl-PL"/>
        </w:rPr>
        <w:t xml:space="preserve">wrócił uwagę, że skarżącemu nie udało się zwalczyć powyższych zaburzeń pomimo wcześniejszej terapii oraz że mimo wieku 69 lat nie uległo </w:t>
      </w:r>
      <w:r w:rsidR="00875099" w:rsidRPr="003C0532">
        <w:rPr>
          <w:lang w:val="pl-PL"/>
        </w:rPr>
        <w:t xml:space="preserve">zmniejszeniu </w:t>
      </w:r>
      <w:r w:rsidRPr="003C0532">
        <w:rPr>
          <w:lang w:val="pl-PL"/>
        </w:rPr>
        <w:t xml:space="preserve">również jego libido. Z tych względów Sąd uznał, że </w:t>
      </w:r>
      <w:r w:rsidR="00862754" w:rsidRPr="003C0532">
        <w:rPr>
          <w:lang w:val="pl-PL"/>
        </w:rPr>
        <w:t>w razie zwolnienia istnieje bardzo wysokie ryzyko, iż skarżący popełni poważne p</w:t>
      </w:r>
      <w:r w:rsidR="006E102E" w:rsidRPr="003C0532">
        <w:rPr>
          <w:lang w:val="pl-PL"/>
        </w:rPr>
        <w:t xml:space="preserve">rzestępstwo na tle seksualnym i </w:t>
      </w:r>
      <w:r w:rsidRPr="003C0532">
        <w:rPr>
          <w:lang w:val="pl-PL"/>
        </w:rPr>
        <w:t>nie jest możliwe zastosowanie łagodniejszego środka (np. d</w:t>
      </w:r>
      <w:r w:rsidR="00EC088A">
        <w:rPr>
          <w:lang w:val="pl-PL"/>
        </w:rPr>
        <w:t>o</w:t>
      </w:r>
      <w:r w:rsidRPr="003C0532">
        <w:rPr>
          <w:lang w:val="pl-PL"/>
        </w:rPr>
        <w:t>z</w:t>
      </w:r>
      <w:r w:rsidR="00BF0205">
        <w:rPr>
          <w:lang w:val="pl-PL"/>
        </w:rPr>
        <w:t>o</w:t>
      </w:r>
      <w:r w:rsidR="00783229">
        <w:rPr>
          <w:lang w:val="pl-PL"/>
        </w:rPr>
        <w:t>r</w:t>
      </w:r>
      <w:r w:rsidR="00BF0205">
        <w:rPr>
          <w:lang w:val="pl-PL"/>
        </w:rPr>
        <w:t>u</w:t>
      </w:r>
      <w:r w:rsidR="00783229">
        <w:rPr>
          <w:lang w:val="pl-PL"/>
        </w:rPr>
        <w:t xml:space="preserve"> w </w:t>
      </w:r>
      <w:r w:rsidRPr="003C0532">
        <w:rPr>
          <w:lang w:val="pl-PL"/>
        </w:rPr>
        <w:t xml:space="preserve">miejscu zamieszkania). Orzeczenie to zostało w sierpniu 2013 </w:t>
      </w:r>
      <w:r w:rsidR="001C2B0E" w:rsidRPr="003C0532">
        <w:rPr>
          <w:lang w:val="pl-PL"/>
        </w:rPr>
        <w:t>r.</w:t>
      </w:r>
      <w:r w:rsidRPr="003C0532">
        <w:rPr>
          <w:lang w:val="pl-PL"/>
        </w:rPr>
        <w:t xml:space="preserve"> podtrzymane przez Sąd Apelacyjny w Celle, który podkreślił ponadto niechęć skarżącego do udziału w proponowanych mu sesjach terapeutycznych. W październiku 2013 </w:t>
      </w:r>
      <w:r w:rsidR="001C2B0E" w:rsidRPr="003C0532">
        <w:rPr>
          <w:lang w:val="pl-PL"/>
        </w:rPr>
        <w:t>r.</w:t>
      </w:r>
      <w:r w:rsidRPr="003C0532">
        <w:rPr>
          <w:lang w:val="pl-PL"/>
        </w:rPr>
        <w:t xml:space="preserve"> Federalny Trybunał Konstytucyjny odrzucił złożoną przez skarżącego skargę konstytucyjną na orzeczenie Sądu Apelacyjnego. Kolejne sądy podtrzymywały decyzję o utrzymaniu nadzoru prewencyjnego orzeczeniami z kwietnia 2014 </w:t>
      </w:r>
      <w:r w:rsidR="001C2B0E" w:rsidRPr="003C0532">
        <w:rPr>
          <w:lang w:val="pl-PL"/>
        </w:rPr>
        <w:t xml:space="preserve">r. </w:t>
      </w:r>
      <w:r w:rsidRPr="003C0532">
        <w:rPr>
          <w:lang w:val="pl-PL"/>
        </w:rPr>
        <w:t>i stycznia 2015</w:t>
      </w:r>
      <w:r w:rsidR="001C2B0E" w:rsidRPr="003C0532">
        <w:rPr>
          <w:lang w:val="pl-PL"/>
        </w:rPr>
        <w:t xml:space="preserve"> r</w:t>
      </w:r>
      <w:r w:rsidRPr="003C0532">
        <w:rPr>
          <w:lang w:val="pl-PL"/>
        </w:rPr>
        <w:t xml:space="preserve">. </w:t>
      </w:r>
    </w:p>
    <w:p w:rsidR="00C81EBA" w:rsidRPr="003C0532" w:rsidRDefault="00C81EBA" w:rsidP="001E0F37">
      <w:pPr>
        <w:spacing w:after="120" w:line="240" w:lineRule="auto"/>
        <w:jc w:val="both"/>
        <w:rPr>
          <w:lang w:val="pl-PL"/>
        </w:rPr>
      </w:pPr>
      <w:r w:rsidRPr="003C0532">
        <w:rPr>
          <w:lang w:val="pl-PL"/>
        </w:rPr>
        <w:t xml:space="preserve">Odnośnie </w:t>
      </w:r>
      <w:r w:rsidR="00814CBC">
        <w:rPr>
          <w:lang w:val="pl-PL"/>
        </w:rPr>
        <w:t xml:space="preserve">do </w:t>
      </w:r>
      <w:r w:rsidRPr="003C0532">
        <w:rPr>
          <w:lang w:val="pl-PL"/>
        </w:rPr>
        <w:t xml:space="preserve">warunków prewencyjnego </w:t>
      </w:r>
      <w:r w:rsidR="00783229">
        <w:rPr>
          <w:lang w:val="pl-PL"/>
        </w:rPr>
        <w:t xml:space="preserve">pozbawienia wolności </w:t>
      </w:r>
      <w:r w:rsidR="001C2B0E" w:rsidRPr="003C0532">
        <w:rPr>
          <w:lang w:val="pl-PL"/>
        </w:rPr>
        <w:t xml:space="preserve">– </w:t>
      </w:r>
      <w:r w:rsidRPr="003C0532">
        <w:rPr>
          <w:lang w:val="pl-PL"/>
        </w:rPr>
        <w:t xml:space="preserve">skarżący aż do 2012 </w:t>
      </w:r>
      <w:r w:rsidR="001C2B0E" w:rsidRPr="003C0532">
        <w:rPr>
          <w:lang w:val="pl-PL"/>
        </w:rPr>
        <w:t>r.</w:t>
      </w:r>
      <w:r w:rsidRPr="003C0532">
        <w:rPr>
          <w:lang w:val="pl-PL"/>
        </w:rPr>
        <w:t xml:space="preserve"> przetrzymywany był w skrzydle więzienia Celle przeznaczon</w:t>
      </w:r>
      <w:r w:rsidR="00862754" w:rsidRPr="003C0532">
        <w:rPr>
          <w:lang w:val="pl-PL"/>
        </w:rPr>
        <w:t>ym</w:t>
      </w:r>
      <w:r w:rsidRPr="003C0532">
        <w:rPr>
          <w:lang w:val="pl-PL"/>
        </w:rPr>
        <w:t xml:space="preserve"> dla osób poddanych prewencyjnemu</w:t>
      </w:r>
      <w:r w:rsidR="00783229">
        <w:rPr>
          <w:lang w:val="pl-PL"/>
        </w:rPr>
        <w:t xml:space="preserve"> pozbawieniu wolności</w:t>
      </w:r>
      <w:r w:rsidRPr="003C0532">
        <w:rPr>
          <w:lang w:val="pl-PL"/>
        </w:rPr>
        <w:t xml:space="preserve">. Następnie w latach 2012-13 przebywał </w:t>
      </w:r>
      <w:r w:rsidR="001C2B0E" w:rsidRPr="003C0532">
        <w:rPr>
          <w:lang w:val="pl-PL"/>
        </w:rPr>
        <w:t xml:space="preserve">on </w:t>
      </w:r>
      <w:r w:rsidRPr="003C0532">
        <w:rPr>
          <w:lang w:val="pl-PL"/>
        </w:rPr>
        <w:t xml:space="preserve">w tymczasowych pomieszczeniach dla osób poddanych nadzorowi prewencyjnemu, a od lipca 2013 </w:t>
      </w:r>
      <w:r w:rsidR="001C2B0E" w:rsidRPr="003C0532">
        <w:rPr>
          <w:lang w:val="pl-PL"/>
        </w:rPr>
        <w:t xml:space="preserve">r. </w:t>
      </w:r>
      <w:r w:rsidRPr="003C0532">
        <w:rPr>
          <w:lang w:val="pl-PL"/>
        </w:rPr>
        <w:t xml:space="preserve">przebywał w </w:t>
      </w:r>
      <w:r w:rsidR="001C2B0E" w:rsidRPr="003C0532">
        <w:rPr>
          <w:lang w:val="pl-PL"/>
        </w:rPr>
        <w:t xml:space="preserve">Centrum </w:t>
      </w:r>
      <w:r w:rsidRPr="003C0532">
        <w:rPr>
          <w:lang w:val="pl-PL"/>
        </w:rPr>
        <w:t xml:space="preserve">przy więzieniu w </w:t>
      </w:r>
      <w:proofErr w:type="spellStart"/>
      <w:r w:rsidRPr="003C0532">
        <w:rPr>
          <w:lang w:val="pl-PL"/>
        </w:rPr>
        <w:t>Rosdorf</w:t>
      </w:r>
      <w:proofErr w:type="spellEnd"/>
      <w:r w:rsidRPr="003C0532">
        <w:rPr>
          <w:lang w:val="pl-PL"/>
        </w:rPr>
        <w:t xml:space="preserve">, przygotowanym zgodnie z założeniami </w:t>
      </w:r>
      <w:r w:rsidR="001C2B0E" w:rsidRPr="003C0532">
        <w:rPr>
          <w:lang w:val="pl-PL"/>
        </w:rPr>
        <w:t>u</w:t>
      </w:r>
      <w:r w:rsidRPr="003C0532">
        <w:rPr>
          <w:lang w:val="pl-PL"/>
        </w:rPr>
        <w:t xml:space="preserve">stawy </w:t>
      </w:r>
      <w:r w:rsidR="00F9608D" w:rsidRPr="003C0532">
        <w:rPr>
          <w:lang w:val="pl-PL"/>
        </w:rPr>
        <w:t>z 2012 r</w:t>
      </w:r>
      <w:r w:rsidR="00F9608D">
        <w:rPr>
          <w:lang w:val="pl-PL"/>
        </w:rPr>
        <w:t>.</w:t>
      </w:r>
      <w:r w:rsidR="00F9608D" w:rsidRPr="003C0532">
        <w:rPr>
          <w:lang w:val="pl-PL"/>
        </w:rPr>
        <w:t xml:space="preserve"> </w:t>
      </w:r>
      <w:r w:rsidRPr="003C0532">
        <w:rPr>
          <w:lang w:val="pl-PL"/>
        </w:rPr>
        <w:t xml:space="preserve">o </w:t>
      </w:r>
      <w:r w:rsidR="004148F7">
        <w:rPr>
          <w:lang w:val="pl-PL"/>
        </w:rPr>
        <w:t>stosowaniu</w:t>
      </w:r>
      <w:r w:rsidRPr="003C0532">
        <w:rPr>
          <w:lang w:val="pl-PL"/>
        </w:rPr>
        <w:t xml:space="preserve"> prewencyjnego</w:t>
      </w:r>
      <w:r w:rsidR="00783229">
        <w:rPr>
          <w:lang w:val="pl-PL"/>
        </w:rPr>
        <w:t xml:space="preserve"> pozbawienia wolności</w:t>
      </w:r>
      <w:r w:rsidR="001C2B0E" w:rsidRPr="003C0532">
        <w:rPr>
          <w:lang w:val="pl-PL"/>
        </w:rPr>
        <w:t>.</w:t>
      </w:r>
      <w:r w:rsidRPr="003C0532">
        <w:rPr>
          <w:lang w:val="pl-PL"/>
        </w:rPr>
        <w:t xml:space="preserve"> W </w:t>
      </w:r>
      <w:r w:rsidR="001C2B0E" w:rsidRPr="003C0532">
        <w:rPr>
          <w:lang w:val="pl-PL"/>
        </w:rPr>
        <w:t xml:space="preserve">Centrum </w:t>
      </w:r>
      <w:r w:rsidRPr="003C0532">
        <w:rPr>
          <w:lang w:val="pl-PL"/>
        </w:rPr>
        <w:t xml:space="preserve">miał on do dyspozycji prywatny pokój w apartamencie dzielonym z innymi osobami, mógł nosić własne ubrania, korzystać ze stołówki lub gotować samemu, a także pracować. Codziennie mógł przebywać na powietrzu od </w:t>
      </w:r>
      <w:r w:rsidR="00875099">
        <w:rPr>
          <w:lang w:val="pl-PL"/>
        </w:rPr>
        <w:t xml:space="preserve">godz. </w:t>
      </w:r>
      <w:r w:rsidRPr="003C0532">
        <w:rPr>
          <w:lang w:val="pl-PL"/>
        </w:rPr>
        <w:t xml:space="preserve">6.00 do 21.45, w pokoju miał do dyspozycji komputer z ograniczonym dostępem do internetu i poczty elektronicznej, telefon i telewizję. Personel </w:t>
      </w:r>
      <w:r w:rsidR="001C2B0E" w:rsidRPr="003C0532">
        <w:rPr>
          <w:lang w:val="pl-PL"/>
        </w:rPr>
        <w:t xml:space="preserve">Centrum </w:t>
      </w:r>
      <w:r w:rsidRPr="003C0532">
        <w:rPr>
          <w:lang w:val="pl-PL"/>
        </w:rPr>
        <w:t xml:space="preserve">przy więzieniu w </w:t>
      </w:r>
      <w:proofErr w:type="spellStart"/>
      <w:r w:rsidRPr="003C0532">
        <w:rPr>
          <w:lang w:val="pl-PL"/>
        </w:rPr>
        <w:t>Rosdorf</w:t>
      </w:r>
      <w:proofErr w:type="spellEnd"/>
      <w:r w:rsidRPr="003C0532">
        <w:rPr>
          <w:lang w:val="pl-PL"/>
        </w:rPr>
        <w:t xml:space="preserve"> miał skład podobny do obsady pobliskiego szpitala psychiatrycznego, w szczególności w jego skład wchodzili psychiatrzy, psychologowie i pracownicy społeczni. W okresie prewencyjnego </w:t>
      </w:r>
      <w:r w:rsidR="00783229">
        <w:rPr>
          <w:lang w:val="pl-PL"/>
        </w:rPr>
        <w:t xml:space="preserve">pozbawienia wolności </w:t>
      </w:r>
      <w:r w:rsidRPr="003C0532">
        <w:rPr>
          <w:lang w:val="pl-PL"/>
        </w:rPr>
        <w:t xml:space="preserve">w każdym z tych miejsc </w:t>
      </w:r>
      <w:r w:rsidR="00F9608D">
        <w:rPr>
          <w:lang w:val="pl-PL"/>
        </w:rPr>
        <w:t xml:space="preserve">skarżący </w:t>
      </w:r>
      <w:r w:rsidRPr="003C0532">
        <w:rPr>
          <w:lang w:val="pl-PL"/>
        </w:rPr>
        <w:t xml:space="preserve">miał możliwość brania udziału w sesjach terapeutycznych dotyczących zarówno zaburzeń na tle seksualnym, jak również alkoholowym. W Centrum dla skarżącego przygotowano dodatkowo indywidualny plan terapii. Skarżący jednak jedynie w niewielkim stopniu korzystał z oferowanych mu możliwości terapii zaburzeń seksualnych, a z możliwości terapii alkoholowej nie korzystał w ogóle. Ponadto w obawie o swoje zdrowie odmówił podjęcia terapii hormonalnej. </w:t>
      </w:r>
    </w:p>
    <w:p w:rsidR="00C81EBA" w:rsidRPr="003C0532" w:rsidRDefault="00C81EBA" w:rsidP="001E0F37">
      <w:pPr>
        <w:spacing w:after="120" w:line="240" w:lineRule="auto"/>
        <w:jc w:val="both"/>
        <w:rPr>
          <w:lang w:val="pl-PL"/>
        </w:rPr>
      </w:pPr>
      <w:r w:rsidRPr="003C0532">
        <w:rPr>
          <w:lang w:val="pl-PL"/>
        </w:rPr>
        <w:t xml:space="preserve">Skarżący zarzucił przed Trybunałem, że poddanie go prewencyjnemu </w:t>
      </w:r>
      <w:r w:rsidR="00783229">
        <w:rPr>
          <w:lang w:val="pl-PL"/>
        </w:rPr>
        <w:t xml:space="preserve">pozbawieniu wolności </w:t>
      </w:r>
      <w:r w:rsidRPr="003C0532">
        <w:rPr>
          <w:lang w:val="pl-PL"/>
        </w:rPr>
        <w:t xml:space="preserve">stanowiło </w:t>
      </w:r>
      <w:r w:rsidR="001C2B0E" w:rsidRPr="003C0532">
        <w:rPr>
          <w:lang w:val="pl-PL"/>
        </w:rPr>
        <w:t xml:space="preserve">naruszenie </w:t>
      </w:r>
      <w:r w:rsidRPr="003C0532">
        <w:rPr>
          <w:lang w:val="pl-PL"/>
        </w:rPr>
        <w:t>art. 5 ust. 1 Konwencji</w:t>
      </w:r>
      <w:r w:rsidR="001C2B0E" w:rsidRPr="003C0532">
        <w:rPr>
          <w:lang w:val="pl-PL"/>
        </w:rPr>
        <w:t>,</w:t>
      </w:r>
      <w:r w:rsidRPr="003C0532">
        <w:rPr>
          <w:lang w:val="pl-PL"/>
        </w:rPr>
        <w:t xml:space="preserve"> ponieważ nie </w:t>
      </w:r>
      <w:r w:rsidR="001C2B0E" w:rsidRPr="003C0532">
        <w:rPr>
          <w:lang w:val="pl-PL"/>
        </w:rPr>
        <w:t>wypełniało ono przesłanek określonych</w:t>
      </w:r>
      <w:r w:rsidRPr="003C0532">
        <w:rPr>
          <w:lang w:val="pl-PL"/>
        </w:rPr>
        <w:t xml:space="preserve"> w art. 5 ust. 1 lit. a) i e) Konwencji (wyrok skazujący </w:t>
      </w:r>
      <w:r w:rsidR="00875099">
        <w:rPr>
          <w:lang w:val="pl-PL"/>
        </w:rPr>
        <w:t>s</w:t>
      </w:r>
      <w:r w:rsidRPr="003C0532">
        <w:rPr>
          <w:lang w:val="pl-PL"/>
        </w:rPr>
        <w:t xml:space="preserve">ądu </w:t>
      </w:r>
      <w:r w:rsidR="00F9608D">
        <w:rPr>
          <w:lang w:val="pl-PL"/>
        </w:rPr>
        <w:t>lub</w:t>
      </w:r>
      <w:r w:rsidRPr="003C0532">
        <w:rPr>
          <w:lang w:val="pl-PL"/>
        </w:rPr>
        <w:t xml:space="preserve"> choroba umysłowa lub alkoholizm). Ponadto </w:t>
      </w:r>
      <w:r w:rsidR="001C2B0E" w:rsidRPr="003C0532">
        <w:rPr>
          <w:lang w:val="pl-PL"/>
        </w:rPr>
        <w:t xml:space="preserve">skarżący </w:t>
      </w:r>
      <w:r w:rsidRPr="003C0532">
        <w:rPr>
          <w:lang w:val="pl-PL"/>
        </w:rPr>
        <w:t>zarzucił, że przedłużenie w 201</w:t>
      </w:r>
      <w:r w:rsidR="00F9608D">
        <w:rPr>
          <w:lang w:val="pl-PL"/>
        </w:rPr>
        <w:t>3</w:t>
      </w:r>
      <w:r w:rsidRPr="003C0532">
        <w:rPr>
          <w:lang w:val="pl-PL"/>
        </w:rPr>
        <w:t xml:space="preserve"> </w:t>
      </w:r>
      <w:r w:rsidR="001C2B0E" w:rsidRPr="003C0532">
        <w:rPr>
          <w:lang w:val="pl-PL"/>
        </w:rPr>
        <w:t>r.</w:t>
      </w:r>
      <w:r w:rsidRPr="003C0532">
        <w:rPr>
          <w:lang w:val="pl-PL"/>
        </w:rPr>
        <w:t xml:space="preserve"> prewencyjnego </w:t>
      </w:r>
      <w:r w:rsidR="00783229">
        <w:rPr>
          <w:lang w:val="pl-PL"/>
        </w:rPr>
        <w:t xml:space="preserve">pozbawienia wolności </w:t>
      </w:r>
      <w:r w:rsidRPr="003C0532">
        <w:rPr>
          <w:lang w:val="pl-PL"/>
        </w:rPr>
        <w:t xml:space="preserve">na podstawie przepisów przejściowych na </w:t>
      </w:r>
      <w:r w:rsidR="00F9608D">
        <w:rPr>
          <w:lang w:val="pl-PL"/>
        </w:rPr>
        <w:t>okres wykraczający</w:t>
      </w:r>
      <w:r w:rsidRPr="003C0532">
        <w:rPr>
          <w:lang w:val="pl-PL"/>
        </w:rPr>
        <w:t xml:space="preserve"> ponad 10 lat (a więc dłuższy niż był przewidziany przez przepisy w momencie </w:t>
      </w:r>
      <w:r w:rsidR="00F9608D">
        <w:rPr>
          <w:lang w:val="pl-PL"/>
        </w:rPr>
        <w:t xml:space="preserve">popełnienia czynu i </w:t>
      </w:r>
      <w:r w:rsidRPr="003C0532">
        <w:rPr>
          <w:lang w:val="pl-PL"/>
        </w:rPr>
        <w:t>skazania) stanowiło naruszenie art. 7 ust. 1 Konwencji poprzez wymierzenie kary surowszej niż obowiązująca w momencie popełnienia przestępstwa.</w:t>
      </w:r>
    </w:p>
    <w:p w:rsidR="00C81EBA" w:rsidRPr="003C0532" w:rsidRDefault="00C81EBA" w:rsidP="001E0F37">
      <w:pPr>
        <w:spacing w:after="120" w:line="240" w:lineRule="auto"/>
        <w:jc w:val="both"/>
        <w:rPr>
          <w:u w:val="single"/>
          <w:lang w:val="pl-PL"/>
        </w:rPr>
      </w:pPr>
      <w:r w:rsidRPr="003C0532">
        <w:rPr>
          <w:u w:val="single"/>
          <w:lang w:val="pl-PL"/>
        </w:rPr>
        <w:t>Ocena Trybunału</w:t>
      </w:r>
    </w:p>
    <w:p w:rsidR="00C81EBA" w:rsidRPr="003C0532" w:rsidRDefault="00C81EBA" w:rsidP="001E0F37">
      <w:pPr>
        <w:spacing w:after="120" w:line="240" w:lineRule="auto"/>
        <w:jc w:val="both"/>
        <w:rPr>
          <w:lang w:val="pl-PL"/>
        </w:rPr>
      </w:pPr>
      <w:r w:rsidRPr="003C0532">
        <w:rPr>
          <w:lang w:val="pl-PL"/>
        </w:rPr>
        <w:t xml:space="preserve">Odnosząc się do podniesionego przez skarżącego zarzutu naruszenia art. 5 ust. 1 Konwencji, </w:t>
      </w:r>
      <w:r w:rsidR="001C2B0E" w:rsidRPr="003C0532">
        <w:rPr>
          <w:lang w:val="pl-PL"/>
        </w:rPr>
        <w:t>przewidującego</w:t>
      </w:r>
      <w:r w:rsidRPr="003C0532">
        <w:rPr>
          <w:lang w:val="pl-PL"/>
        </w:rPr>
        <w:t xml:space="preserve">, że nikt nie może być pozbawiony wolności, chyba że w trybie ustalonym przez prawo i w </w:t>
      </w:r>
      <w:r w:rsidR="004E3648" w:rsidRPr="003C0532">
        <w:rPr>
          <w:lang w:val="pl-PL"/>
        </w:rPr>
        <w:t>jednym</w:t>
      </w:r>
      <w:r w:rsidRPr="003C0532">
        <w:rPr>
          <w:lang w:val="pl-PL"/>
        </w:rPr>
        <w:t xml:space="preserve"> z wymienionych w Konwencji przypadków, Trybunał uznał, że </w:t>
      </w:r>
      <w:r w:rsidR="004E3648" w:rsidRPr="003C0532">
        <w:rPr>
          <w:lang w:val="pl-PL"/>
        </w:rPr>
        <w:t xml:space="preserve">zarzut ten </w:t>
      </w:r>
      <w:r w:rsidRPr="003C0532">
        <w:rPr>
          <w:lang w:val="pl-PL"/>
        </w:rPr>
        <w:t>jest nieuzasadniony.</w:t>
      </w:r>
      <w:r w:rsidR="00420678" w:rsidRPr="003C0532">
        <w:rPr>
          <w:lang w:val="pl-PL"/>
        </w:rPr>
        <w:t xml:space="preserve"> </w:t>
      </w:r>
      <w:r w:rsidR="00B61470">
        <w:rPr>
          <w:lang w:val="pl-PL"/>
        </w:rPr>
        <w:t>S</w:t>
      </w:r>
      <w:r w:rsidR="00420678" w:rsidRPr="003C0532">
        <w:rPr>
          <w:lang w:val="pl-PL"/>
        </w:rPr>
        <w:t>twierdził, że pozbawienia wolności w drodze zastosowania prewencyjnego</w:t>
      </w:r>
      <w:r w:rsidR="00783229" w:rsidRPr="00783229">
        <w:rPr>
          <w:lang w:val="pl-PL"/>
        </w:rPr>
        <w:t xml:space="preserve"> </w:t>
      </w:r>
      <w:r w:rsidR="00783229">
        <w:rPr>
          <w:lang w:val="pl-PL"/>
        </w:rPr>
        <w:t>pozbawienia wolności</w:t>
      </w:r>
      <w:r w:rsidR="00B61470">
        <w:rPr>
          <w:lang w:val="pl-PL"/>
        </w:rPr>
        <w:t>, choć nie może zostać uznane</w:t>
      </w:r>
      <w:r w:rsidR="00420678" w:rsidRPr="003C0532">
        <w:rPr>
          <w:lang w:val="pl-PL"/>
        </w:rPr>
        <w:t xml:space="preserve"> za pozbawienie wolności </w:t>
      </w:r>
      <w:r w:rsidR="00875099">
        <w:rPr>
          <w:lang w:val="pl-PL"/>
        </w:rPr>
        <w:t>„</w:t>
      </w:r>
      <w:r w:rsidR="00B61470">
        <w:rPr>
          <w:lang w:val="pl-PL"/>
        </w:rPr>
        <w:t>w wyniku skazania przez właściwy sąd</w:t>
      </w:r>
      <w:r w:rsidR="00875099">
        <w:rPr>
          <w:lang w:val="pl-PL"/>
        </w:rPr>
        <w:t>”</w:t>
      </w:r>
      <w:r w:rsidR="00B61470">
        <w:rPr>
          <w:lang w:val="pl-PL"/>
        </w:rPr>
        <w:t xml:space="preserve"> w rozumieniu art. 5 ust. 1 lit. a)</w:t>
      </w:r>
      <w:r w:rsidR="00420678" w:rsidRPr="003C0532">
        <w:rPr>
          <w:lang w:val="pl-PL"/>
        </w:rPr>
        <w:t>, jest jednak uzasadnione „chorobą umysłową” skarżącego</w:t>
      </w:r>
      <w:r w:rsidR="00B61470">
        <w:rPr>
          <w:lang w:val="pl-PL"/>
        </w:rPr>
        <w:t xml:space="preserve"> w rozumieniu art. 5 ust. 1 lit. e) Konwencji</w:t>
      </w:r>
      <w:r w:rsidR="00420678" w:rsidRPr="003C0532">
        <w:rPr>
          <w:lang w:val="pl-PL"/>
        </w:rPr>
        <w:t>.</w:t>
      </w:r>
    </w:p>
    <w:p w:rsidR="001A1741" w:rsidRDefault="00C81EBA" w:rsidP="001E0F37">
      <w:pPr>
        <w:spacing w:after="120" w:line="240" w:lineRule="auto"/>
        <w:jc w:val="both"/>
        <w:rPr>
          <w:lang w:val="pl-PL"/>
        </w:rPr>
      </w:pPr>
      <w:r w:rsidRPr="003C0532">
        <w:rPr>
          <w:lang w:val="pl-PL"/>
        </w:rPr>
        <w:t>Trybunał w pierwszej kolejności przypomniał zasady sformułowane w</w:t>
      </w:r>
      <w:r w:rsidR="004E3648" w:rsidRPr="003C0532">
        <w:rPr>
          <w:lang w:val="pl-PL"/>
        </w:rPr>
        <w:t xml:space="preserve"> swym</w:t>
      </w:r>
      <w:r w:rsidRPr="003C0532">
        <w:rPr>
          <w:lang w:val="pl-PL"/>
        </w:rPr>
        <w:t xml:space="preserve"> wcześniejszym orzecznictwie. Co do wymogu zachowania przy pozbawieniu wolności trybu określonego przez prawo </w:t>
      </w:r>
      <w:r w:rsidR="004E3648" w:rsidRPr="003C0532">
        <w:rPr>
          <w:lang w:val="pl-PL"/>
        </w:rPr>
        <w:t xml:space="preserve">Trybunał </w:t>
      </w:r>
      <w:r w:rsidRPr="003C0532">
        <w:rPr>
          <w:lang w:val="pl-PL"/>
        </w:rPr>
        <w:t xml:space="preserve">wskazał, że wystarczające jest przestrzeganie przepisów krajowych i brak arbitralności w pozbawianiu wolności. Trybunał podkreślił też, że z gwarancyjnej funkcji art. 5 Konwencji wynika, że </w:t>
      </w:r>
      <w:r w:rsidRPr="003C0532">
        <w:rPr>
          <w:lang w:val="pl-PL"/>
        </w:rPr>
        <w:lastRenderedPageBreak/>
        <w:t xml:space="preserve">pozbawienie wolności może być zgodne z prawem wyłącznie, jeżeli ma miejsce w którymś z wąsko interpretowanych przypadków wskazanych w </w:t>
      </w:r>
      <w:r w:rsidR="004E3648" w:rsidRPr="003C0532">
        <w:rPr>
          <w:lang w:val="pl-PL"/>
        </w:rPr>
        <w:t xml:space="preserve">art. 5 ust. </w:t>
      </w:r>
      <w:r w:rsidRPr="003C0532">
        <w:rPr>
          <w:lang w:val="pl-PL"/>
        </w:rPr>
        <w:t>1</w:t>
      </w:r>
      <w:r w:rsidR="001A1741">
        <w:rPr>
          <w:lang w:val="pl-PL"/>
        </w:rPr>
        <w:t xml:space="preserve"> Konwencji</w:t>
      </w:r>
      <w:r w:rsidRPr="003C0532">
        <w:rPr>
          <w:lang w:val="pl-PL"/>
        </w:rPr>
        <w:t xml:space="preserve">. </w:t>
      </w:r>
    </w:p>
    <w:p w:rsidR="001A1741" w:rsidRDefault="00420678" w:rsidP="001E0F37">
      <w:pPr>
        <w:spacing w:after="120" w:line="240" w:lineRule="auto"/>
        <w:jc w:val="both"/>
        <w:rPr>
          <w:lang w:val="pl-PL"/>
        </w:rPr>
      </w:pPr>
      <w:r w:rsidRPr="003C0532">
        <w:rPr>
          <w:lang w:val="pl-PL"/>
        </w:rPr>
        <w:t xml:space="preserve">W obecnej sprawie </w:t>
      </w:r>
      <w:r w:rsidR="00783229">
        <w:rPr>
          <w:lang w:val="pl-PL"/>
        </w:rPr>
        <w:t xml:space="preserve">pozbawienia wolności </w:t>
      </w:r>
      <w:r w:rsidR="008D6264">
        <w:rPr>
          <w:lang w:val="pl-PL"/>
        </w:rPr>
        <w:t>skarżącego nie można było uznać</w:t>
      </w:r>
      <w:r w:rsidRPr="003C0532">
        <w:rPr>
          <w:lang w:val="pl-PL"/>
        </w:rPr>
        <w:t xml:space="preserve"> za </w:t>
      </w:r>
      <w:r w:rsidR="008D6264">
        <w:rPr>
          <w:lang w:val="pl-PL"/>
        </w:rPr>
        <w:t xml:space="preserve">pozbawienie wolności </w:t>
      </w:r>
      <w:r w:rsidRPr="003C0532">
        <w:rPr>
          <w:lang w:val="pl-PL"/>
        </w:rPr>
        <w:t xml:space="preserve">„w wyniku skazania przez właściwy sąd” w rozumieniu art. 5 ust. 1 lit. a) Konwencji, gdyż nie zachodził wystarczający związek przyczynowy między wyrokiem skazującym z 1968 r. a </w:t>
      </w:r>
      <w:r w:rsidR="00382EB8">
        <w:rPr>
          <w:lang w:val="pl-PL"/>
        </w:rPr>
        <w:t xml:space="preserve">przedłużonym </w:t>
      </w:r>
      <w:r w:rsidRPr="003C0532">
        <w:rPr>
          <w:lang w:val="pl-PL"/>
        </w:rPr>
        <w:t xml:space="preserve">zatrzymaniem </w:t>
      </w:r>
      <w:r w:rsidR="00382EB8">
        <w:rPr>
          <w:lang w:val="pl-PL"/>
        </w:rPr>
        <w:t xml:space="preserve">prewencyjnym </w:t>
      </w:r>
      <w:r w:rsidRPr="003C0532">
        <w:rPr>
          <w:lang w:val="pl-PL"/>
        </w:rPr>
        <w:t xml:space="preserve">skarżącego. </w:t>
      </w:r>
    </w:p>
    <w:p w:rsidR="00D64787" w:rsidRDefault="00C81EBA" w:rsidP="001E0F37">
      <w:pPr>
        <w:spacing w:after="120" w:line="240" w:lineRule="auto"/>
        <w:jc w:val="both"/>
        <w:rPr>
          <w:lang w:val="pl-PL"/>
        </w:rPr>
      </w:pPr>
      <w:r w:rsidRPr="00275057">
        <w:rPr>
          <w:lang w:val="pl-PL"/>
        </w:rPr>
        <w:t xml:space="preserve">W dalszej kolejności </w:t>
      </w:r>
      <w:r w:rsidR="004E3648" w:rsidRPr="00275057">
        <w:rPr>
          <w:lang w:val="pl-PL"/>
        </w:rPr>
        <w:t xml:space="preserve">Trybunał </w:t>
      </w:r>
      <w:r w:rsidRPr="00275057">
        <w:rPr>
          <w:lang w:val="pl-PL"/>
        </w:rPr>
        <w:t>zwrócił uwagę, że termin „osoba umysłowo chora” na gruncie art. 5 ust. 1 lit. e) Konwencji ma znaczenie autonomiczne względem krajowych porządków prawnych</w:t>
      </w:r>
      <w:r w:rsidR="008D6264" w:rsidRPr="00275057">
        <w:rPr>
          <w:lang w:val="pl-PL"/>
        </w:rPr>
        <w:t>.</w:t>
      </w:r>
      <w:r w:rsidRPr="00275057">
        <w:rPr>
          <w:lang w:val="pl-PL"/>
        </w:rPr>
        <w:t xml:space="preserve"> </w:t>
      </w:r>
      <w:r w:rsidR="008D6264" w:rsidRPr="00275057">
        <w:rPr>
          <w:lang w:val="pl-PL"/>
        </w:rPr>
        <w:t>Z</w:t>
      </w:r>
      <w:r w:rsidRPr="00275057">
        <w:rPr>
          <w:lang w:val="pl-PL"/>
        </w:rPr>
        <w:t xml:space="preserve"> drugiej</w:t>
      </w:r>
      <w:r w:rsidR="00420678" w:rsidRPr="00275057">
        <w:rPr>
          <w:lang w:val="pl-PL"/>
        </w:rPr>
        <w:t xml:space="preserve"> zaś strony</w:t>
      </w:r>
      <w:r w:rsidRPr="00275057">
        <w:rPr>
          <w:lang w:val="pl-PL"/>
        </w:rPr>
        <w:t xml:space="preserve"> </w:t>
      </w:r>
      <w:r w:rsidR="00BF0205">
        <w:rPr>
          <w:lang w:val="pl-PL"/>
        </w:rPr>
        <w:t xml:space="preserve">termin ten jest </w:t>
      </w:r>
      <w:r w:rsidRPr="00275057">
        <w:rPr>
          <w:lang w:val="pl-PL"/>
        </w:rPr>
        <w:t>pojęciem nieostrym, którego znaczenie zmienia się</w:t>
      </w:r>
      <w:r w:rsidR="004E3648" w:rsidRPr="00275057">
        <w:rPr>
          <w:lang w:val="pl-PL"/>
        </w:rPr>
        <w:t>,</w:t>
      </w:r>
      <w:r w:rsidRPr="00275057">
        <w:rPr>
          <w:lang w:val="pl-PL"/>
        </w:rPr>
        <w:t xml:space="preserve"> w szczególności w zależności od aktualnego stanu wiedzy z dziedziny psychiatrii i psychologii.</w:t>
      </w:r>
      <w:r w:rsidRPr="003C0532">
        <w:rPr>
          <w:lang w:val="pl-PL"/>
        </w:rPr>
        <w:t xml:space="preserve"> </w:t>
      </w:r>
      <w:r w:rsidR="00420678" w:rsidRPr="003C0532">
        <w:rPr>
          <w:lang w:val="pl-PL"/>
        </w:rPr>
        <w:t xml:space="preserve">Trybunał przypomniał, że osoba nie może zostać pozbawiona wolności jako „osoba umysłowo chora”, jeśli nie są spełnione następujące trzy wymogi minimalne (tzw. kryteria </w:t>
      </w:r>
      <w:proofErr w:type="spellStart"/>
      <w:r w:rsidR="00420678" w:rsidRPr="003C0532">
        <w:rPr>
          <w:i/>
          <w:lang w:val="pl-PL"/>
        </w:rPr>
        <w:t>Winterwerp</w:t>
      </w:r>
      <w:proofErr w:type="spellEnd"/>
      <w:r w:rsidR="008D6264">
        <w:rPr>
          <w:rStyle w:val="Odwoanieprzypisudolnego"/>
          <w:i/>
          <w:lang w:val="pl-PL"/>
        </w:rPr>
        <w:footnoteReference w:id="2"/>
      </w:r>
      <w:r w:rsidR="00420678" w:rsidRPr="003C0532">
        <w:rPr>
          <w:lang w:val="pl-PL"/>
        </w:rPr>
        <w:t xml:space="preserve">): </w:t>
      </w:r>
    </w:p>
    <w:p w:rsidR="00D64787" w:rsidRDefault="00420678" w:rsidP="001E0F37">
      <w:pPr>
        <w:spacing w:after="120" w:line="240" w:lineRule="auto"/>
        <w:jc w:val="both"/>
        <w:rPr>
          <w:lang w:val="pl-PL"/>
        </w:rPr>
      </w:pPr>
      <w:r w:rsidRPr="003C0532">
        <w:rPr>
          <w:lang w:val="pl-PL"/>
        </w:rPr>
        <w:t>1) wykazan</w:t>
      </w:r>
      <w:r w:rsidR="00F9608D">
        <w:rPr>
          <w:lang w:val="pl-PL"/>
        </w:rPr>
        <w:t>ie</w:t>
      </w:r>
      <w:r w:rsidRPr="003C0532">
        <w:rPr>
          <w:lang w:val="pl-PL"/>
        </w:rPr>
        <w:t xml:space="preserve"> w sposób wiarygodny, że osoba j</w:t>
      </w:r>
      <w:r w:rsidR="00F9608D">
        <w:rPr>
          <w:lang w:val="pl-PL"/>
        </w:rPr>
        <w:t>est chora umysłowo, tj. wykazanie</w:t>
      </w:r>
      <w:r w:rsidRPr="003C0532">
        <w:rPr>
          <w:lang w:val="pl-PL"/>
        </w:rPr>
        <w:t xml:space="preserve"> przed właściwym organem i na podstawie obiektywne</w:t>
      </w:r>
      <w:r w:rsidR="00875099">
        <w:rPr>
          <w:lang w:val="pl-PL"/>
        </w:rPr>
        <w:t>j ekspertyzy medycznej istnienia</w:t>
      </w:r>
      <w:r w:rsidR="001A1741">
        <w:rPr>
          <w:lang w:val="pl-PL"/>
        </w:rPr>
        <w:t xml:space="preserve"> u</w:t>
      </w:r>
      <w:r w:rsidR="00F9608D">
        <w:rPr>
          <w:lang w:val="pl-PL"/>
        </w:rPr>
        <w:t xml:space="preserve"> tej osoby</w:t>
      </w:r>
      <w:r w:rsidRPr="003C0532">
        <w:rPr>
          <w:lang w:val="pl-PL"/>
        </w:rPr>
        <w:t xml:space="preserve"> rzeczywistego zaburzenia psychicznego; </w:t>
      </w:r>
    </w:p>
    <w:p w:rsidR="00D64787" w:rsidRDefault="00420678" w:rsidP="001E0F37">
      <w:pPr>
        <w:spacing w:after="120" w:line="240" w:lineRule="auto"/>
        <w:jc w:val="both"/>
        <w:rPr>
          <w:lang w:val="pl-PL"/>
        </w:rPr>
      </w:pPr>
      <w:r w:rsidRPr="003C0532">
        <w:rPr>
          <w:lang w:val="pl-PL"/>
        </w:rPr>
        <w:t>2) zaburzenie psychiczne jest tej natury lub rod</w:t>
      </w:r>
      <w:r w:rsidR="001A1741">
        <w:rPr>
          <w:lang w:val="pl-PL"/>
        </w:rPr>
        <w:t>zaju, że wymaga przymusowe</w:t>
      </w:r>
      <w:r w:rsidR="00DD7759">
        <w:rPr>
          <w:lang w:val="pl-PL"/>
        </w:rPr>
        <w:t xml:space="preserve">go zatrzymania </w:t>
      </w:r>
      <w:r w:rsidR="00F9608D">
        <w:rPr>
          <w:lang w:val="pl-PL"/>
        </w:rPr>
        <w:t>(</w:t>
      </w:r>
      <w:r w:rsidR="00875099">
        <w:rPr>
          <w:lang w:val="pl-PL"/>
        </w:rPr>
        <w:t>jak wyjaśnił Trybunał</w:t>
      </w:r>
      <w:r w:rsidR="00F9608D">
        <w:rPr>
          <w:lang w:val="pl-PL"/>
        </w:rPr>
        <w:t xml:space="preserve">, </w:t>
      </w:r>
      <w:r w:rsidR="00DD7759">
        <w:rPr>
          <w:lang w:val="pl-PL"/>
        </w:rPr>
        <w:t>dotyczy to sytuacji, w których osoba potrzebuje terapii, podawania leków lub innej formy leczenia klinicznego w celu wyleczenia lub złagodzenia jej stanu, ale także</w:t>
      </w:r>
      <w:r w:rsidR="00875099">
        <w:rPr>
          <w:lang w:val="pl-PL"/>
        </w:rPr>
        <w:t xml:space="preserve"> sytuacji</w:t>
      </w:r>
      <w:r w:rsidR="00DD7759">
        <w:rPr>
          <w:lang w:val="pl-PL"/>
        </w:rPr>
        <w:t xml:space="preserve">, </w:t>
      </w:r>
      <w:r w:rsidR="00875099">
        <w:rPr>
          <w:lang w:val="pl-PL"/>
        </w:rPr>
        <w:t xml:space="preserve">gdy </w:t>
      </w:r>
      <w:r w:rsidR="00DD7759">
        <w:rPr>
          <w:lang w:val="pl-PL"/>
        </w:rPr>
        <w:t xml:space="preserve">osoba ta wymaga kontroli lub nadzoru, aby zapobiec </w:t>
      </w:r>
      <w:r w:rsidR="00F9608D">
        <w:rPr>
          <w:lang w:val="pl-PL"/>
        </w:rPr>
        <w:t>wyrządzeniu</w:t>
      </w:r>
      <w:r w:rsidR="00DD7759">
        <w:rPr>
          <w:lang w:val="pl-PL"/>
        </w:rPr>
        <w:t xml:space="preserve"> przez nią szkody sobie lub innym osobom</w:t>
      </w:r>
      <w:r w:rsidR="00F9608D">
        <w:rPr>
          <w:lang w:val="pl-PL"/>
        </w:rPr>
        <w:t>);</w:t>
      </w:r>
      <w:r w:rsidR="00DD7759">
        <w:rPr>
          <w:lang w:val="pl-PL"/>
        </w:rPr>
        <w:t xml:space="preserve"> </w:t>
      </w:r>
    </w:p>
    <w:p w:rsidR="00D64787" w:rsidRDefault="00420678" w:rsidP="001E0F37">
      <w:pPr>
        <w:spacing w:after="120" w:line="240" w:lineRule="auto"/>
        <w:jc w:val="both"/>
        <w:rPr>
          <w:lang w:val="pl-PL"/>
        </w:rPr>
      </w:pPr>
      <w:r w:rsidRPr="003C0532">
        <w:rPr>
          <w:lang w:val="pl-PL"/>
        </w:rPr>
        <w:t xml:space="preserve">3) </w:t>
      </w:r>
      <w:r w:rsidR="001A1741">
        <w:rPr>
          <w:lang w:val="pl-PL"/>
        </w:rPr>
        <w:t>możliwość kontynuowania zatrzymania jest uzależniona</w:t>
      </w:r>
      <w:r w:rsidRPr="003C0532">
        <w:rPr>
          <w:lang w:val="pl-PL"/>
        </w:rPr>
        <w:t xml:space="preserve"> od utrzymywania się tego zaburzenia. </w:t>
      </w:r>
    </w:p>
    <w:p w:rsidR="00DD7759" w:rsidRDefault="00DD7759" w:rsidP="001E0F37">
      <w:pPr>
        <w:spacing w:after="120" w:line="240" w:lineRule="auto"/>
        <w:jc w:val="both"/>
        <w:rPr>
          <w:lang w:val="pl-PL"/>
        </w:rPr>
      </w:pPr>
      <w:r>
        <w:rPr>
          <w:lang w:val="pl-PL"/>
        </w:rPr>
        <w:t xml:space="preserve">Przy rozstrzyganiu, czy </w:t>
      </w:r>
      <w:r w:rsidRPr="00DD7759">
        <w:rPr>
          <w:lang w:val="pl-PL"/>
        </w:rPr>
        <w:t>„choroba umysłowa” uzasadnia pozbawienie wolności wł</w:t>
      </w:r>
      <w:r>
        <w:rPr>
          <w:lang w:val="pl-PL"/>
        </w:rPr>
        <w:t>aściwym</w:t>
      </w:r>
      <w:r w:rsidRPr="00DD7759">
        <w:rPr>
          <w:lang w:val="pl-PL"/>
        </w:rPr>
        <w:t xml:space="preserve"> władz</w:t>
      </w:r>
      <w:r>
        <w:rPr>
          <w:lang w:val="pl-PL"/>
        </w:rPr>
        <w:t xml:space="preserve">om krajowym </w:t>
      </w:r>
      <w:r w:rsidRPr="00DD7759">
        <w:rPr>
          <w:lang w:val="pl-PL"/>
        </w:rPr>
        <w:t xml:space="preserve">przysługuje pewien zakres uznania, w szczególności przy ocenie przedstawionego </w:t>
      </w:r>
      <w:r w:rsidR="00382EB8" w:rsidRPr="00DD7759">
        <w:rPr>
          <w:lang w:val="pl-PL"/>
        </w:rPr>
        <w:t xml:space="preserve">medycznego </w:t>
      </w:r>
      <w:r w:rsidRPr="00DD7759">
        <w:rPr>
          <w:lang w:val="pl-PL"/>
        </w:rPr>
        <w:t>materiału</w:t>
      </w:r>
      <w:r w:rsidR="00382EB8">
        <w:rPr>
          <w:lang w:val="pl-PL"/>
        </w:rPr>
        <w:t xml:space="preserve"> dowodowego</w:t>
      </w:r>
      <w:r w:rsidRPr="00DD7759">
        <w:rPr>
          <w:lang w:val="pl-PL"/>
        </w:rPr>
        <w:t xml:space="preserve">. Dla oceny stanu psychicznego </w:t>
      </w:r>
      <w:r w:rsidR="00BF0205">
        <w:rPr>
          <w:lang w:val="pl-PL"/>
        </w:rPr>
        <w:t xml:space="preserve">osoby </w:t>
      </w:r>
      <w:r w:rsidRPr="00DD7759">
        <w:rPr>
          <w:lang w:val="pl-PL"/>
        </w:rPr>
        <w:t>pozbawiane</w:t>
      </w:r>
      <w:r w:rsidR="00BF0205">
        <w:rPr>
          <w:lang w:val="pl-PL"/>
        </w:rPr>
        <w:t>j</w:t>
      </w:r>
      <w:r w:rsidRPr="00DD7759">
        <w:rPr>
          <w:lang w:val="pl-PL"/>
        </w:rPr>
        <w:t xml:space="preserve"> wolności adekwatny jest moment wydania decyzji o pozbawieniu wolności. </w:t>
      </w:r>
      <w:r w:rsidR="00420678" w:rsidRPr="00DD7759">
        <w:rPr>
          <w:lang w:val="pl-PL"/>
        </w:rPr>
        <w:t xml:space="preserve">Dodatkowo, </w:t>
      </w:r>
      <w:r w:rsidRPr="00DD7759">
        <w:rPr>
          <w:lang w:val="pl-PL"/>
        </w:rPr>
        <w:t>instytucja, w której przebywa osoba pozbawiona wolności</w:t>
      </w:r>
      <w:r w:rsidR="00382EB8">
        <w:rPr>
          <w:lang w:val="pl-PL"/>
        </w:rPr>
        <w:t>,</w:t>
      </w:r>
      <w:r w:rsidRPr="00DD7759">
        <w:rPr>
          <w:lang w:val="pl-PL"/>
        </w:rPr>
        <w:t xml:space="preserve"> musi odpowiadać jej stanowi, tj. realizować funkcję terapeutyczną</w:t>
      </w:r>
      <w:r w:rsidRPr="003C0532">
        <w:rPr>
          <w:lang w:val="pl-PL"/>
        </w:rPr>
        <w:t xml:space="preserve"> </w:t>
      </w:r>
      <w:r>
        <w:rPr>
          <w:lang w:val="pl-PL"/>
        </w:rPr>
        <w:t xml:space="preserve">– </w:t>
      </w:r>
      <w:r w:rsidR="00420678" w:rsidRPr="003C0532">
        <w:rPr>
          <w:lang w:val="pl-PL"/>
        </w:rPr>
        <w:t xml:space="preserve">zatrzymanie osoby jako pacjenta chorego umysłowo co do zasady będzie zgodne z prawem dla celów art. </w:t>
      </w:r>
      <w:r w:rsidR="00D64787">
        <w:rPr>
          <w:lang w:val="pl-PL"/>
        </w:rPr>
        <w:t>5</w:t>
      </w:r>
      <w:r w:rsidR="00420678" w:rsidRPr="003C0532">
        <w:rPr>
          <w:lang w:val="pl-PL"/>
        </w:rPr>
        <w:t xml:space="preserve"> ust. 1 lit. e) </w:t>
      </w:r>
      <w:r w:rsidR="001A1741">
        <w:rPr>
          <w:lang w:val="pl-PL"/>
        </w:rPr>
        <w:t xml:space="preserve">Konwencji </w:t>
      </w:r>
      <w:r w:rsidR="00420678" w:rsidRPr="003C0532">
        <w:rPr>
          <w:lang w:val="pl-PL"/>
        </w:rPr>
        <w:t>tylko, jeśli będzie realizowane w szpitalu, klinice lub innej podobnej instytucji.</w:t>
      </w:r>
    </w:p>
    <w:p w:rsidR="00F86B07" w:rsidRPr="003C0532" w:rsidRDefault="00F86B07" w:rsidP="001E0F37">
      <w:pPr>
        <w:spacing w:after="120" w:line="240" w:lineRule="auto"/>
        <w:jc w:val="both"/>
        <w:rPr>
          <w:lang w:val="pl-PL"/>
        </w:rPr>
      </w:pPr>
      <w:r w:rsidRPr="003C0532">
        <w:rPr>
          <w:lang w:val="pl-PL"/>
        </w:rPr>
        <w:t xml:space="preserve">W odniesieniu do obecnej sprawy </w:t>
      </w:r>
      <w:r w:rsidR="00C81EBA" w:rsidRPr="003C0532">
        <w:rPr>
          <w:lang w:val="pl-PL"/>
        </w:rPr>
        <w:t>Trybunał uznał, że skarżący został pozbawiony wolności na podstawie przepisów prawa</w:t>
      </w:r>
      <w:r w:rsidR="001A1741">
        <w:rPr>
          <w:lang w:val="pl-PL"/>
        </w:rPr>
        <w:t xml:space="preserve"> krajowego</w:t>
      </w:r>
      <w:r w:rsidRPr="003C0532">
        <w:rPr>
          <w:lang w:val="pl-PL"/>
        </w:rPr>
        <w:t xml:space="preserve"> przez właściwe organy</w:t>
      </w:r>
      <w:r w:rsidR="00C81EBA" w:rsidRPr="003C0532">
        <w:rPr>
          <w:lang w:val="pl-PL"/>
        </w:rPr>
        <w:t xml:space="preserve"> i w sposób niearbitralny.</w:t>
      </w:r>
      <w:r w:rsidRPr="003C0532">
        <w:rPr>
          <w:lang w:val="pl-PL"/>
        </w:rPr>
        <w:t xml:space="preserve"> Decyzje oparte były </w:t>
      </w:r>
      <w:r w:rsidR="00382EB8">
        <w:rPr>
          <w:lang w:val="pl-PL"/>
        </w:rPr>
        <w:t xml:space="preserve">nie tylko na istnieniu ryzyka popełnienia ponownego przestępstwa przez skarżącego, ale też </w:t>
      </w:r>
      <w:r w:rsidRPr="003C0532">
        <w:rPr>
          <w:lang w:val="pl-PL"/>
        </w:rPr>
        <w:t xml:space="preserve">na </w:t>
      </w:r>
      <w:r w:rsidR="00A91C6C">
        <w:rPr>
          <w:lang w:val="pl-PL"/>
        </w:rPr>
        <w:t>aktualnyc</w:t>
      </w:r>
      <w:r w:rsidRPr="003C0532">
        <w:rPr>
          <w:lang w:val="pl-PL"/>
        </w:rPr>
        <w:t>h</w:t>
      </w:r>
      <w:r w:rsidR="00382EB8">
        <w:rPr>
          <w:lang w:val="pl-PL"/>
        </w:rPr>
        <w:t xml:space="preserve"> i</w:t>
      </w:r>
      <w:r w:rsidRPr="003C0532">
        <w:rPr>
          <w:lang w:val="pl-PL"/>
        </w:rPr>
        <w:t xml:space="preserve"> obiektywnych opiniach </w:t>
      </w:r>
      <w:r w:rsidR="00382EB8">
        <w:rPr>
          <w:lang w:val="pl-PL"/>
        </w:rPr>
        <w:t xml:space="preserve">wydanych przez </w:t>
      </w:r>
      <w:r w:rsidR="001A1741">
        <w:rPr>
          <w:lang w:val="pl-PL"/>
        </w:rPr>
        <w:t xml:space="preserve">właściwych biegłych z dziedziny </w:t>
      </w:r>
      <w:r w:rsidRPr="003C0532">
        <w:rPr>
          <w:lang w:val="pl-PL"/>
        </w:rPr>
        <w:t>psychiatr</w:t>
      </w:r>
      <w:r w:rsidR="001A1741">
        <w:rPr>
          <w:lang w:val="pl-PL"/>
        </w:rPr>
        <w:t xml:space="preserve">ii, </w:t>
      </w:r>
      <w:r w:rsidR="00C81EBA" w:rsidRPr="003C0532">
        <w:rPr>
          <w:lang w:val="pl-PL"/>
        </w:rPr>
        <w:t>klasyfik</w:t>
      </w:r>
      <w:r w:rsidR="001A1741">
        <w:rPr>
          <w:lang w:val="pl-PL"/>
        </w:rPr>
        <w:t>ujących</w:t>
      </w:r>
      <w:r w:rsidR="00C81EBA" w:rsidRPr="003C0532">
        <w:rPr>
          <w:lang w:val="pl-PL"/>
        </w:rPr>
        <w:t xml:space="preserve"> skarżącego jako osobę chorą umysłową</w:t>
      </w:r>
      <w:r w:rsidR="00A91C6C">
        <w:rPr>
          <w:lang w:val="pl-PL"/>
        </w:rPr>
        <w:t>.</w:t>
      </w:r>
      <w:r w:rsidR="00C81EBA" w:rsidRPr="003C0532">
        <w:rPr>
          <w:lang w:val="pl-PL"/>
        </w:rPr>
        <w:t xml:space="preserve"> </w:t>
      </w:r>
      <w:r w:rsidR="00A91C6C">
        <w:rPr>
          <w:lang w:val="pl-PL"/>
        </w:rPr>
        <w:t>B</w:t>
      </w:r>
      <w:r w:rsidR="001A1741">
        <w:rPr>
          <w:lang w:val="pl-PL"/>
        </w:rPr>
        <w:t xml:space="preserve">iegli </w:t>
      </w:r>
      <w:r w:rsidR="00C81EBA" w:rsidRPr="003C0532">
        <w:rPr>
          <w:lang w:val="pl-PL"/>
        </w:rPr>
        <w:t>zgodnie wskazywali</w:t>
      </w:r>
      <w:r w:rsidRPr="003C0532">
        <w:rPr>
          <w:lang w:val="pl-PL"/>
        </w:rPr>
        <w:t>, że skarżący cierpi na zaburzenie psychiczne w rozumieniu prawa krajowego</w:t>
      </w:r>
      <w:r w:rsidR="00C81EBA" w:rsidRPr="003C0532">
        <w:rPr>
          <w:lang w:val="pl-PL"/>
        </w:rPr>
        <w:t xml:space="preserve"> </w:t>
      </w:r>
      <w:r w:rsidRPr="003C0532">
        <w:rPr>
          <w:lang w:val="pl-PL"/>
        </w:rPr>
        <w:t>(poważne dewiacje seksualne)</w:t>
      </w:r>
      <w:r w:rsidR="00C81EBA" w:rsidRPr="003C0532">
        <w:rPr>
          <w:lang w:val="pl-PL"/>
        </w:rPr>
        <w:t xml:space="preserve">. </w:t>
      </w:r>
      <w:r w:rsidR="004148F7" w:rsidRPr="003C0532">
        <w:rPr>
          <w:lang w:val="pl-PL"/>
        </w:rPr>
        <w:t>Jego stan wymagał leczenia p</w:t>
      </w:r>
      <w:r w:rsidR="00875099">
        <w:rPr>
          <w:lang w:val="pl-PL"/>
        </w:rPr>
        <w:t>od nadzorem medycznym i terapii. Trybunał odnotował też, że</w:t>
      </w:r>
      <w:r w:rsidR="004148F7" w:rsidRPr="003C0532">
        <w:rPr>
          <w:lang w:val="pl-PL"/>
        </w:rPr>
        <w:t xml:space="preserve"> </w:t>
      </w:r>
      <w:r w:rsidR="00F9608D">
        <w:rPr>
          <w:lang w:val="pl-PL"/>
        </w:rPr>
        <w:t xml:space="preserve">wcześniej </w:t>
      </w:r>
      <w:r w:rsidR="004148F7" w:rsidRPr="003C0532">
        <w:rPr>
          <w:lang w:val="pl-PL"/>
        </w:rPr>
        <w:t>sąd uznał przedmiotowe zaburzenie (w powiązaniu ze spożywaniem alkoholu)</w:t>
      </w:r>
      <w:r w:rsidR="004148F7">
        <w:rPr>
          <w:lang w:val="pl-PL"/>
        </w:rPr>
        <w:t xml:space="preserve"> </w:t>
      </w:r>
      <w:r w:rsidR="004148F7" w:rsidRPr="003C0532">
        <w:rPr>
          <w:lang w:val="pl-PL"/>
        </w:rPr>
        <w:t xml:space="preserve">za wystarczająco poważne, by </w:t>
      </w:r>
      <w:r w:rsidR="00783229">
        <w:rPr>
          <w:lang w:val="pl-PL"/>
        </w:rPr>
        <w:t>złagodzić wymierzoną karę</w:t>
      </w:r>
      <w:r w:rsidR="004148F7" w:rsidRPr="003C0532">
        <w:rPr>
          <w:lang w:val="pl-PL"/>
        </w:rPr>
        <w:t xml:space="preserve">. </w:t>
      </w:r>
      <w:r w:rsidR="004148F7">
        <w:rPr>
          <w:lang w:val="pl-PL"/>
        </w:rPr>
        <w:t xml:space="preserve">W odniesieniu do pytania, czy „zaburzenie psychiczne” stwierdzone u skarżącego może być zakwalifikowane jako „choroba umysłowa” w rozumieniu art. 5 Konwencji, Trybunał podkreślił poważną naturę stwierdzonych zaburzeń, co sprawia, że może się ono kwalifikować dla celów zastosowania art. 5 ust. 1 lit. e) Konwencji. </w:t>
      </w:r>
      <w:r w:rsidRPr="003C0532">
        <w:rPr>
          <w:lang w:val="pl-PL"/>
        </w:rPr>
        <w:t>Zaburzenie to było tego rodzaju lub stopnia, że uzasadniało</w:t>
      </w:r>
      <w:r w:rsidR="003C4EBF">
        <w:rPr>
          <w:lang w:val="pl-PL"/>
        </w:rPr>
        <w:t xml:space="preserve"> przymusowe</w:t>
      </w:r>
      <w:r w:rsidRPr="003C0532">
        <w:rPr>
          <w:lang w:val="pl-PL"/>
        </w:rPr>
        <w:t xml:space="preserve"> </w:t>
      </w:r>
      <w:r w:rsidR="00783229">
        <w:rPr>
          <w:lang w:val="pl-PL"/>
        </w:rPr>
        <w:t xml:space="preserve">prewencyjne pozbawienie wolności </w:t>
      </w:r>
      <w:r w:rsidRPr="003C0532">
        <w:rPr>
          <w:lang w:val="pl-PL"/>
        </w:rPr>
        <w:t xml:space="preserve">z uwagi na bardzo wysokie ryzyko popełnienia </w:t>
      </w:r>
      <w:r w:rsidR="003C4EBF">
        <w:rPr>
          <w:lang w:val="pl-PL"/>
        </w:rPr>
        <w:t xml:space="preserve">przez skarżącego </w:t>
      </w:r>
      <w:r w:rsidRPr="003C0532">
        <w:rPr>
          <w:lang w:val="pl-PL"/>
        </w:rPr>
        <w:t xml:space="preserve">poważnego przestępstwa na tle seksualnym w razie zwolnienia. </w:t>
      </w:r>
      <w:r w:rsidR="003C4EBF">
        <w:rPr>
          <w:lang w:val="pl-PL"/>
        </w:rPr>
        <w:t>Ponadto, w</w:t>
      </w:r>
      <w:r w:rsidRPr="003C0532">
        <w:rPr>
          <w:lang w:val="pl-PL"/>
        </w:rPr>
        <w:t xml:space="preserve"> świetle prawa krajowego </w:t>
      </w:r>
      <w:r w:rsidR="003C4EBF">
        <w:rPr>
          <w:lang w:val="pl-PL"/>
        </w:rPr>
        <w:t xml:space="preserve">dalsze </w:t>
      </w:r>
      <w:r w:rsidRPr="003C0532">
        <w:rPr>
          <w:lang w:val="pl-PL"/>
        </w:rPr>
        <w:t xml:space="preserve">prewencyjne </w:t>
      </w:r>
      <w:r w:rsidR="00783229">
        <w:rPr>
          <w:lang w:val="pl-PL"/>
        </w:rPr>
        <w:t xml:space="preserve">pozbawienia wolności </w:t>
      </w:r>
      <w:r w:rsidRPr="003C0532">
        <w:rPr>
          <w:lang w:val="pl-PL"/>
        </w:rPr>
        <w:t>mogło być zarządzane tylko</w:t>
      </w:r>
      <w:r w:rsidR="00FC6715" w:rsidRPr="003C0532">
        <w:rPr>
          <w:lang w:val="pl-PL"/>
        </w:rPr>
        <w:t>,</w:t>
      </w:r>
      <w:r w:rsidRPr="003C0532">
        <w:rPr>
          <w:lang w:val="pl-PL"/>
        </w:rPr>
        <w:t xml:space="preserve"> jeśli w razie zwolnienia</w:t>
      </w:r>
      <w:r w:rsidR="003C4EBF">
        <w:rPr>
          <w:lang w:val="pl-PL"/>
        </w:rPr>
        <w:t xml:space="preserve"> skarżącego </w:t>
      </w:r>
      <w:r w:rsidRPr="003C0532">
        <w:rPr>
          <w:lang w:val="pl-PL"/>
        </w:rPr>
        <w:t xml:space="preserve">istniało wysokie ryzyko </w:t>
      </w:r>
      <w:r w:rsidR="00FC6715" w:rsidRPr="003C0532">
        <w:rPr>
          <w:lang w:val="pl-PL"/>
        </w:rPr>
        <w:t>ponownego</w:t>
      </w:r>
      <w:r w:rsidRPr="003C0532">
        <w:rPr>
          <w:lang w:val="pl-PL"/>
        </w:rPr>
        <w:t xml:space="preserve"> popełnienia przestępstwa z powodu tego zaburzenia, </w:t>
      </w:r>
      <w:r w:rsidR="00FC6715" w:rsidRPr="003C0532">
        <w:rPr>
          <w:lang w:val="pl-PL"/>
        </w:rPr>
        <w:t>i</w:t>
      </w:r>
      <w:r w:rsidRPr="003C0532">
        <w:rPr>
          <w:lang w:val="pl-PL"/>
        </w:rPr>
        <w:t xml:space="preserve"> tylko tak długo, jak długo istniało to ryzyko. </w:t>
      </w:r>
      <w:r w:rsidR="008D781B" w:rsidRPr="003C0532">
        <w:rPr>
          <w:lang w:val="pl-PL"/>
        </w:rPr>
        <w:t xml:space="preserve">Trybunał zwrócił uwagę na fakt, że zarówno wcześniejsze brutalne zachowania skarżącego, jak również opinie biegłych na temat jego stanu psychicznego, pozwalają </w:t>
      </w:r>
      <w:r w:rsidR="008D781B" w:rsidRPr="003C0532">
        <w:rPr>
          <w:lang w:val="pl-PL"/>
        </w:rPr>
        <w:lastRenderedPageBreak/>
        <w:t xml:space="preserve">uznać, że stanowi on zagrożenie dla otoczenia. </w:t>
      </w:r>
      <w:r w:rsidR="003C4EBF" w:rsidRPr="003C0532">
        <w:rPr>
          <w:lang w:val="pl-PL"/>
        </w:rPr>
        <w:t xml:space="preserve">Z tych względów Trybunał uznał, że skarżący </w:t>
      </w:r>
      <w:r w:rsidR="003C4EBF">
        <w:rPr>
          <w:lang w:val="pl-PL"/>
        </w:rPr>
        <w:t xml:space="preserve">może być uznany za „osobę chorą </w:t>
      </w:r>
      <w:r w:rsidR="008D781B">
        <w:rPr>
          <w:lang w:val="pl-PL"/>
        </w:rPr>
        <w:t>umysłowo</w:t>
      </w:r>
      <w:r w:rsidR="003C4EBF">
        <w:rPr>
          <w:lang w:val="pl-PL"/>
        </w:rPr>
        <w:t xml:space="preserve">” </w:t>
      </w:r>
      <w:r w:rsidR="003C4EBF" w:rsidRPr="003C0532">
        <w:rPr>
          <w:lang w:val="pl-PL"/>
        </w:rPr>
        <w:t>dla celów art. 5 ust. 1 lit. e) Konwencji.</w:t>
      </w:r>
      <w:r w:rsidR="00A91C6C">
        <w:rPr>
          <w:lang w:val="pl-PL"/>
        </w:rPr>
        <w:t xml:space="preserve"> Należy przy tym podkreślić, że wobec faktu spełniania przez zaburzenia skarżącego wymogów art. 5 Konwencji, dla Trybunału obojętnym było, że niemieckie przepisy krajowe definiuj</w:t>
      </w:r>
      <w:r w:rsidR="00495023">
        <w:rPr>
          <w:lang w:val="pl-PL"/>
        </w:rPr>
        <w:t>ą zaburzenia psychiczne szerzej</w:t>
      </w:r>
      <w:r w:rsidR="00A91C6C">
        <w:rPr>
          <w:lang w:val="pl-PL"/>
        </w:rPr>
        <w:t xml:space="preserve"> aniżeli Konwencja.</w:t>
      </w:r>
    </w:p>
    <w:p w:rsidR="00F86B07" w:rsidRPr="003C0532" w:rsidRDefault="00C81EBA" w:rsidP="001E0F37">
      <w:pPr>
        <w:spacing w:after="120" w:line="240" w:lineRule="auto"/>
        <w:jc w:val="both"/>
        <w:rPr>
          <w:lang w:val="pl-PL"/>
        </w:rPr>
      </w:pPr>
      <w:r w:rsidRPr="003C0532">
        <w:rPr>
          <w:lang w:val="pl-PL"/>
        </w:rPr>
        <w:t>Następnie, odnosząc się do warunków pozbawienia wolności</w:t>
      </w:r>
      <w:r w:rsidR="003C4EBF">
        <w:rPr>
          <w:lang w:val="pl-PL"/>
        </w:rPr>
        <w:t>,</w:t>
      </w:r>
      <w:r w:rsidRPr="003C0532">
        <w:rPr>
          <w:lang w:val="pl-PL"/>
        </w:rPr>
        <w:t xml:space="preserve"> Trybunał stwierdził, że Centrum</w:t>
      </w:r>
      <w:r w:rsidR="00F9608D">
        <w:rPr>
          <w:lang w:val="pl-PL"/>
        </w:rPr>
        <w:t>, w którym umieszczono skarżącego,</w:t>
      </w:r>
      <w:r w:rsidRPr="003C0532">
        <w:rPr>
          <w:lang w:val="pl-PL"/>
        </w:rPr>
        <w:t xml:space="preserve"> stanowiło </w:t>
      </w:r>
      <w:r w:rsidR="003C4EBF">
        <w:rPr>
          <w:lang w:val="pl-PL"/>
        </w:rPr>
        <w:t>miejsce</w:t>
      </w:r>
      <w:r w:rsidRPr="003C0532">
        <w:rPr>
          <w:lang w:val="pl-PL"/>
        </w:rPr>
        <w:t xml:space="preserve"> odpowiednie dla terapii osób chorych psychicznie – było ono fizycznie oddzielone od więzienia i różniło się od niego w sposób wystarczający; jego obsada odpowiadała obsadzie szpitala psychiatrycznego</w:t>
      </w:r>
      <w:r w:rsidR="00FC6715" w:rsidRPr="003C0532">
        <w:rPr>
          <w:lang w:val="pl-PL"/>
        </w:rPr>
        <w:t xml:space="preserve"> (w jej skład wchodził personel psychiatryczny, psychologiczny i pracownicy społeczni)</w:t>
      </w:r>
      <w:r w:rsidRPr="003C0532">
        <w:rPr>
          <w:lang w:val="pl-PL"/>
        </w:rPr>
        <w:t xml:space="preserve">; skarżącemu </w:t>
      </w:r>
      <w:r w:rsidR="00FC6715" w:rsidRPr="003C0532">
        <w:rPr>
          <w:lang w:val="pl-PL"/>
        </w:rPr>
        <w:t xml:space="preserve">regularnie </w:t>
      </w:r>
      <w:r w:rsidRPr="003C0532">
        <w:rPr>
          <w:lang w:val="pl-PL"/>
        </w:rPr>
        <w:t>proponowano indywidualny plan terapii psychiatrycznej</w:t>
      </w:r>
      <w:r w:rsidR="00FC6715" w:rsidRPr="003C0532">
        <w:rPr>
          <w:lang w:val="pl-PL"/>
        </w:rPr>
        <w:t>, miał również dostęp do terapii grupowej oraz spotkań motywacyjnych</w:t>
      </w:r>
      <w:r w:rsidRPr="003C0532">
        <w:rPr>
          <w:lang w:val="pl-PL"/>
        </w:rPr>
        <w:t>.</w:t>
      </w:r>
      <w:r w:rsidR="00FC6715" w:rsidRPr="003C0532">
        <w:rPr>
          <w:lang w:val="pl-PL"/>
        </w:rPr>
        <w:t xml:space="preserve"> </w:t>
      </w:r>
      <w:r w:rsidR="00F9608D">
        <w:rPr>
          <w:lang w:val="pl-PL"/>
        </w:rPr>
        <w:t>Generalnie, p</w:t>
      </w:r>
      <w:r w:rsidR="00FC6715" w:rsidRPr="003C0532">
        <w:rPr>
          <w:lang w:val="pl-PL"/>
        </w:rPr>
        <w:t xml:space="preserve">o przeniesieniu do </w:t>
      </w:r>
      <w:r w:rsidR="003C4EBF" w:rsidRPr="003C0532">
        <w:rPr>
          <w:lang w:val="pl-PL"/>
        </w:rPr>
        <w:t xml:space="preserve">Centrum </w:t>
      </w:r>
      <w:r w:rsidR="00FC6715" w:rsidRPr="003C0532">
        <w:rPr>
          <w:lang w:val="pl-PL"/>
        </w:rPr>
        <w:t xml:space="preserve">nastąpiła znacząca zmiana w odniesieniu do </w:t>
      </w:r>
      <w:r w:rsidR="003C4EBF">
        <w:rPr>
          <w:lang w:val="pl-PL"/>
        </w:rPr>
        <w:t xml:space="preserve">zakresu </w:t>
      </w:r>
      <w:r w:rsidR="00FC6715" w:rsidRPr="003C0532">
        <w:rPr>
          <w:lang w:val="pl-PL"/>
        </w:rPr>
        <w:t xml:space="preserve">opieki medycznej i terapeutycznej oferowanej skarżącemu. Jego sytuacja różniła się więc od sytuacji skarżących w sprawie m.in. </w:t>
      </w:r>
      <w:proofErr w:type="spellStart"/>
      <w:r w:rsidR="00F86B07" w:rsidRPr="003C0532">
        <w:rPr>
          <w:i/>
          <w:lang w:val="pl-PL"/>
        </w:rPr>
        <w:t>Glien</w:t>
      </w:r>
      <w:proofErr w:type="spellEnd"/>
      <w:r w:rsidR="00F86B07" w:rsidRPr="003C0532">
        <w:rPr>
          <w:i/>
          <w:lang w:val="pl-PL"/>
        </w:rPr>
        <w:t xml:space="preserve"> </w:t>
      </w:r>
      <w:r w:rsidR="00FC6715" w:rsidRPr="003C0532">
        <w:rPr>
          <w:i/>
          <w:lang w:val="pl-PL"/>
        </w:rPr>
        <w:t>p</w:t>
      </w:r>
      <w:r w:rsidR="00F86B07" w:rsidRPr="003C0532">
        <w:rPr>
          <w:i/>
          <w:lang w:val="pl-PL"/>
        </w:rPr>
        <w:t>. </w:t>
      </w:r>
      <w:r w:rsidR="00FC6715" w:rsidRPr="003C0532">
        <w:rPr>
          <w:i/>
          <w:lang w:val="pl-PL"/>
        </w:rPr>
        <w:t>Niemcom</w:t>
      </w:r>
      <w:r w:rsidR="00307AFD">
        <w:rPr>
          <w:rStyle w:val="Odwoanieprzypisudolnego"/>
          <w:i/>
          <w:lang w:val="pl-PL"/>
        </w:rPr>
        <w:footnoteReference w:id="3"/>
      </w:r>
      <w:r w:rsidR="003C4EBF">
        <w:rPr>
          <w:i/>
          <w:lang w:val="pl-PL"/>
        </w:rPr>
        <w:t>,</w:t>
      </w:r>
      <w:r w:rsidR="00F86B07" w:rsidRPr="003C0532">
        <w:rPr>
          <w:lang w:val="pl-PL"/>
        </w:rPr>
        <w:t xml:space="preserve"> </w:t>
      </w:r>
      <w:r w:rsidR="00FC6715" w:rsidRPr="003C0532">
        <w:rPr>
          <w:lang w:val="pl-PL"/>
        </w:rPr>
        <w:t xml:space="preserve">którzy byli zatrzymani w oddzielnym skrzydle więzienia bez wyposażenia odpowiedniego dla pacjentów z problemami zdrowia psychicznego.  </w:t>
      </w:r>
    </w:p>
    <w:p w:rsidR="00F86B07" w:rsidRPr="003C0532" w:rsidRDefault="00FC6715" w:rsidP="006C6867">
      <w:pPr>
        <w:spacing w:after="120" w:line="240" w:lineRule="auto"/>
        <w:jc w:val="both"/>
        <w:rPr>
          <w:lang w:val="pl-PL"/>
        </w:rPr>
      </w:pPr>
      <w:r w:rsidRPr="003C0532">
        <w:rPr>
          <w:lang w:val="pl-PL"/>
        </w:rPr>
        <w:t>Z powyższych względów Trybunał</w:t>
      </w:r>
      <w:r w:rsidR="0038193A" w:rsidRPr="003C0532">
        <w:rPr>
          <w:lang w:val="pl-PL"/>
        </w:rPr>
        <w:t xml:space="preserve"> jednomyślnie</w:t>
      </w:r>
      <w:r w:rsidRPr="003C0532">
        <w:rPr>
          <w:lang w:val="pl-PL"/>
        </w:rPr>
        <w:t xml:space="preserve"> uznał, że skarżący był „osobą umysłowo chorą” w rozumieniu art. 5 ust. 1 lit. </w:t>
      </w:r>
      <w:r w:rsidR="0038193A" w:rsidRPr="003C0532">
        <w:rPr>
          <w:lang w:val="pl-PL"/>
        </w:rPr>
        <w:t>e), a jego</w:t>
      </w:r>
      <w:r w:rsidR="008D781B">
        <w:rPr>
          <w:lang w:val="pl-PL"/>
        </w:rPr>
        <w:t xml:space="preserve"> prewencyjne</w:t>
      </w:r>
      <w:r w:rsidR="0038193A" w:rsidRPr="003C0532">
        <w:rPr>
          <w:lang w:val="pl-PL"/>
        </w:rPr>
        <w:t xml:space="preserve"> </w:t>
      </w:r>
      <w:r w:rsidR="0051194C">
        <w:rPr>
          <w:lang w:val="pl-PL"/>
        </w:rPr>
        <w:t xml:space="preserve">pozbawienie wolności </w:t>
      </w:r>
      <w:r w:rsidR="0038193A" w:rsidRPr="003C0532">
        <w:rPr>
          <w:lang w:val="pl-PL"/>
        </w:rPr>
        <w:t>nie naruszało tego postanowienia.</w:t>
      </w:r>
    </w:p>
    <w:p w:rsidR="00C81EBA" w:rsidRPr="003C0532" w:rsidRDefault="00C81EBA" w:rsidP="001E0F37">
      <w:pPr>
        <w:spacing w:after="120" w:line="240" w:lineRule="auto"/>
        <w:jc w:val="both"/>
        <w:rPr>
          <w:lang w:val="pl-PL"/>
        </w:rPr>
      </w:pPr>
      <w:r w:rsidRPr="003C0532">
        <w:rPr>
          <w:lang w:val="pl-PL"/>
        </w:rPr>
        <w:t xml:space="preserve">Również w odniesieniu do zarzutu </w:t>
      </w:r>
      <w:r w:rsidR="004E3648" w:rsidRPr="003C0532">
        <w:rPr>
          <w:lang w:val="pl-PL"/>
        </w:rPr>
        <w:t xml:space="preserve">naruszenia </w:t>
      </w:r>
      <w:r w:rsidRPr="003C0532">
        <w:rPr>
          <w:lang w:val="pl-PL"/>
        </w:rPr>
        <w:t>art. 7 ust.</w:t>
      </w:r>
      <w:r w:rsidR="008E14D9">
        <w:rPr>
          <w:lang w:val="pl-PL"/>
        </w:rPr>
        <w:t xml:space="preserve"> 1</w:t>
      </w:r>
      <w:r w:rsidRPr="003C0532">
        <w:rPr>
          <w:lang w:val="pl-PL"/>
        </w:rPr>
        <w:t xml:space="preserve"> Konwencji, zakazującego wymierzania kary surowszej niż obowiązująca w chwili popełnienia przestępstwa</w:t>
      </w:r>
      <w:r w:rsidR="003C4EBF">
        <w:rPr>
          <w:lang w:val="pl-PL"/>
        </w:rPr>
        <w:t>,</w:t>
      </w:r>
      <w:r w:rsidRPr="003C0532">
        <w:rPr>
          <w:lang w:val="pl-PL"/>
        </w:rPr>
        <w:t xml:space="preserve"> Trybunał nie </w:t>
      </w:r>
      <w:r w:rsidR="004E3648" w:rsidRPr="003C0532">
        <w:rPr>
          <w:lang w:val="pl-PL"/>
        </w:rPr>
        <w:t>przyznał racji skarżącemu</w:t>
      </w:r>
      <w:r w:rsidR="003C4EBF">
        <w:rPr>
          <w:lang w:val="pl-PL"/>
        </w:rPr>
        <w:t>.</w:t>
      </w:r>
      <w:r w:rsidR="004E3648" w:rsidRPr="003C0532">
        <w:rPr>
          <w:lang w:val="pl-PL"/>
        </w:rPr>
        <w:t xml:space="preserve"> </w:t>
      </w:r>
      <w:r w:rsidR="003C4EBF">
        <w:rPr>
          <w:lang w:val="pl-PL"/>
        </w:rPr>
        <w:t>S</w:t>
      </w:r>
      <w:r w:rsidRPr="003C0532">
        <w:rPr>
          <w:lang w:val="pl-PL"/>
        </w:rPr>
        <w:t xml:space="preserve">twierdził, że choć przedłużenie prewencyjnego </w:t>
      </w:r>
      <w:r w:rsidR="0051194C">
        <w:rPr>
          <w:lang w:val="pl-PL"/>
        </w:rPr>
        <w:t xml:space="preserve">pozbawienia wolności </w:t>
      </w:r>
      <w:r w:rsidR="004E3648" w:rsidRPr="003C0532">
        <w:rPr>
          <w:lang w:val="pl-PL"/>
        </w:rPr>
        <w:t>stanowiło retroaktywne przedłużenie</w:t>
      </w:r>
      <w:r w:rsidRPr="003C0532">
        <w:rPr>
          <w:lang w:val="pl-PL"/>
        </w:rPr>
        <w:t xml:space="preserve"> pozbawienia wolności</w:t>
      </w:r>
      <w:r w:rsidR="0038193A" w:rsidRPr="003C0532">
        <w:rPr>
          <w:lang w:val="pl-PL"/>
        </w:rPr>
        <w:t xml:space="preserve"> na podstawie ustawy uchwalonej po popełnieniu przestępstw</w:t>
      </w:r>
      <w:r w:rsidR="003C4EBF">
        <w:rPr>
          <w:lang w:val="pl-PL"/>
        </w:rPr>
        <w:t>a</w:t>
      </w:r>
      <w:r w:rsidR="0038193A" w:rsidRPr="003C0532">
        <w:rPr>
          <w:lang w:val="pl-PL"/>
        </w:rPr>
        <w:t xml:space="preserve"> przez skarżącego</w:t>
      </w:r>
      <w:r w:rsidRPr="003C0532">
        <w:rPr>
          <w:lang w:val="pl-PL"/>
        </w:rPr>
        <w:t xml:space="preserve">, to jednak </w:t>
      </w:r>
      <w:r w:rsidR="008E14D9">
        <w:rPr>
          <w:lang w:val="pl-PL"/>
        </w:rPr>
        <w:t xml:space="preserve">w szczególnych okolicznościach sprawy skarżącego </w:t>
      </w:r>
      <w:r w:rsidRPr="003C0532">
        <w:rPr>
          <w:lang w:val="pl-PL"/>
        </w:rPr>
        <w:t xml:space="preserve">nie stanowiło ono „kary” w rozumieniu art. 7 ust. 1 Konwencji, ponieważ terapeutyczno-prewencyjne aspekty nadzoru nad skarżącym w </w:t>
      </w:r>
      <w:r w:rsidR="0038193A" w:rsidRPr="003C0532">
        <w:rPr>
          <w:lang w:val="pl-PL"/>
        </w:rPr>
        <w:t xml:space="preserve">Centrum </w:t>
      </w:r>
      <w:r w:rsidRPr="003C0532">
        <w:rPr>
          <w:lang w:val="pl-PL"/>
        </w:rPr>
        <w:t xml:space="preserve">przy więzieniu w </w:t>
      </w:r>
      <w:proofErr w:type="spellStart"/>
      <w:r w:rsidRPr="003C0532">
        <w:rPr>
          <w:lang w:val="pl-PL"/>
        </w:rPr>
        <w:t>Rosdorf</w:t>
      </w:r>
      <w:proofErr w:type="spellEnd"/>
      <w:r w:rsidRPr="003C0532">
        <w:rPr>
          <w:lang w:val="pl-PL"/>
        </w:rPr>
        <w:t xml:space="preserve"> zdecydowanie przysłoniły aspekty penalne. </w:t>
      </w:r>
    </w:p>
    <w:p w:rsidR="0038193A" w:rsidRDefault="0038193A" w:rsidP="001E0F37">
      <w:pPr>
        <w:pStyle w:val="ClinContent"/>
        <w:spacing w:before="0" w:after="120"/>
        <w:rPr>
          <w:rFonts w:asciiTheme="minorHAnsi" w:hAnsiTheme="minorHAnsi"/>
          <w:sz w:val="22"/>
          <w:szCs w:val="22"/>
          <w:lang w:val="pl-PL"/>
        </w:rPr>
      </w:pPr>
      <w:r w:rsidRPr="003C0532">
        <w:rPr>
          <w:rFonts w:asciiTheme="minorHAnsi" w:hAnsiTheme="minorHAnsi"/>
          <w:sz w:val="22"/>
          <w:szCs w:val="22"/>
          <w:lang w:val="pl-PL"/>
        </w:rPr>
        <w:t>Trybunał przypomniał, że pojęcie “kary” w rozumieniu art. 7 Konw</w:t>
      </w:r>
      <w:r w:rsidR="003C4EBF">
        <w:rPr>
          <w:rFonts w:asciiTheme="minorHAnsi" w:hAnsiTheme="minorHAnsi"/>
          <w:sz w:val="22"/>
          <w:szCs w:val="22"/>
          <w:lang w:val="pl-PL"/>
        </w:rPr>
        <w:t>encji ma charakter autonomiczny.</w:t>
      </w:r>
      <w:r w:rsidRPr="003C0532">
        <w:rPr>
          <w:rFonts w:asciiTheme="minorHAnsi" w:hAnsiTheme="minorHAnsi"/>
          <w:sz w:val="22"/>
          <w:szCs w:val="22"/>
          <w:lang w:val="pl-PL"/>
        </w:rPr>
        <w:t xml:space="preserve"> </w:t>
      </w:r>
      <w:r w:rsidR="003C4EBF">
        <w:rPr>
          <w:rFonts w:asciiTheme="minorHAnsi" w:hAnsiTheme="minorHAnsi"/>
          <w:sz w:val="22"/>
          <w:szCs w:val="22"/>
          <w:lang w:val="pl-PL"/>
        </w:rPr>
        <w:t>I</w:t>
      </w:r>
      <w:r w:rsidRPr="003C0532">
        <w:rPr>
          <w:rFonts w:asciiTheme="minorHAnsi" w:hAnsiTheme="minorHAnsi"/>
          <w:sz w:val="22"/>
          <w:szCs w:val="22"/>
          <w:lang w:val="pl-PL"/>
        </w:rPr>
        <w:t>stotnym czynnikiem przy ocenie</w:t>
      </w:r>
      <w:r w:rsidR="003C4EBF">
        <w:rPr>
          <w:rFonts w:asciiTheme="minorHAnsi" w:hAnsiTheme="minorHAnsi"/>
          <w:sz w:val="22"/>
          <w:szCs w:val="22"/>
          <w:lang w:val="pl-PL"/>
        </w:rPr>
        <w:t xml:space="preserve"> jest to</w:t>
      </w:r>
      <w:r w:rsidRPr="003C0532">
        <w:rPr>
          <w:rFonts w:asciiTheme="minorHAnsi" w:hAnsiTheme="minorHAnsi"/>
          <w:sz w:val="22"/>
          <w:szCs w:val="22"/>
          <w:lang w:val="pl-PL"/>
        </w:rPr>
        <w:t>, czy dany środek został nałożony w wyniku</w:t>
      </w:r>
      <w:r w:rsidR="008E14D9">
        <w:rPr>
          <w:rFonts w:asciiTheme="minorHAnsi" w:hAnsiTheme="minorHAnsi"/>
          <w:sz w:val="22"/>
          <w:szCs w:val="22"/>
          <w:lang w:val="pl-PL"/>
        </w:rPr>
        <w:t xml:space="preserve"> skazania za przestępstwo karne, ale </w:t>
      </w:r>
      <w:r w:rsidRPr="003C0532">
        <w:rPr>
          <w:rFonts w:asciiTheme="minorHAnsi" w:hAnsiTheme="minorHAnsi"/>
          <w:sz w:val="22"/>
          <w:szCs w:val="22"/>
          <w:lang w:val="pl-PL"/>
        </w:rPr>
        <w:t xml:space="preserve">także inne czynniki </w:t>
      </w:r>
      <w:r w:rsidR="008E14D9">
        <w:rPr>
          <w:rFonts w:asciiTheme="minorHAnsi" w:hAnsiTheme="minorHAnsi"/>
          <w:sz w:val="22"/>
          <w:szCs w:val="22"/>
          <w:lang w:val="pl-PL"/>
        </w:rPr>
        <w:t xml:space="preserve">– </w:t>
      </w:r>
      <w:r w:rsidRPr="003C0532">
        <w:rPr>
          <w:rFonts w:asciiTheme="minorHAnsi" w:hAnsiTheme="minorHAnsi"/>
          <w:sz w:val="22"/>
          <w:szCs w:val="22"/>
          <w:lang w:val="pl-PL"/>
        </w:rPr>
        <w:t xml:space="preserve">takie jak kwalifikacja środka w świetle prawa krajowego, jego natura i cel, procedury związane z jego nakładaniem i wdrażaniem, </w:t>
      </w:r>
      <w:r w:rsidR="008D781B">
        <w:rPr>
          <w:rFonts w:asciiTheme="minorHAnsi" w:hAnsiTheme="minorHAnsi"/>
          <w:sz w:val="22"/>
          <w:szCs w:val="22"/>
          <w:lang w:val="pl-PL"/>
        </w:rPr>
        <w:t xml:space="preserve">a także </w:t>
      </w:r>
      <w:r w:rsidRPr="003C0532">
        <w:rPr>
          <w:rFonts w:asciiTheme="minorHAnsi" w:hAnsiTheme="minorHAnsi"/>
          <w:sz w:val="22"/>
          <w:szCs w:val="22"/>
          <w:lang w:val="pl-PL"/>
        </w:rPr>
        <w:t>jego surowość</w:t>
      </w:r>
      <w:r w:rsidR="005B754F">
        <w:rPr>
          <w:rFonts w:asciiTheme="minorHAnsi" w:hAnsiTheme="minorHAnsi"/>
          <w:sz w:val="22"/>
          <w:szCs w:val="22"/>
          <w:lang w:val="pl-PL"/>
        </w:rPr>
        <w:t xml:space="preserve"> – choć ten aspekt sam w sobie nie jest decydujący</w:t>
      </w:r>
      <w:r w:rsidRPr="003C0532">
        <w:rPr>
          <w:rFonts w:asciiTheme="minorHAnsi" w:hAnsiTheme="minorHAnsi"/>
          <w:sz w:val="22"/>
          <w:szCs w:val="22"/>
          <w:lang w:val="pl-PL"/>
        </w:rPr>
        <w:t xml:space="preserve">. </w:t>
      </w:r>
    </w:p>
    <w:p w:rsidR="008D0C6F" w:rsidRDefault="008D0C6F" w:rsidP="001E0F37">
      <w:pPr>
        <w:pStyle w:val="ClinContent"/>
        <w:spacing w:before="0" w:after="120"/>
        <w:rPr>
          <w:rFonts w:asciiTheme="minorHAnsi" w:hAnsiTheme="minorHAnsi"/>
          <w:sz w:val="22"/>
          <w:szCs w:val="22"/>
          <w:lang w:val="pl-PL"/>
        </w:rPr>
      </w:pPr>
      <w:r>
        <w:rPr>
          <w:rFonts w:asciiTheme="minorHAnsi" w:hAnsiTheme="minorHAnsi"/>
          <w:sz w:val="22"/>
          <w:szCs w:val="22"/>
          <w:lang w:val="pl-PL"/>
        </w:rPr>
        <w:t xml:space="preserve">Trybunał uznał, że prewencyjne </w:t>
      </w:r>
      <w:r w:rsidR="0051194C">
        <w:rPr>
          <w:rFonts w:asciiTheme="minorHAnsi" w:hAnsiTheme="minorHAnsi"/>
          <w:sz w:val="22"/>
          <w:szCs w:val="22"/>
          <w:lang w:val="pl-PL"/>
        </w:rPr>
        <w:t xml:space="preserve">pozbawienie wolności </w:t>
      </w:r>
      <w:r>
        <w:rPr>
          <w:rFonts w:asciiTheme="minorHAnsi" w:hAnsiTheme="minorHAnsi"/>
          <w:sz w:val="22"/>
          <w:szCs w:val="22"/>
          <w:lang w:val="pl-PL"/>
        </w:rPr>
        <w:t xml:space="preserve">skarżącego stosowane było w wyniku skazania go za czyn zabroniony ustawą, sytuacja skarżącego pod tym względem nie różni się więc od sytuacji skarżących w sprawie </w:t>
      </w:r>
      <w:proofErr w:type="spellStart"/>
      <w:r w:rsidRPr="008D0C6F">
        <w:rPr>
          <w:rFonts w:asciiTheme="minorHAnsi" w:hAnsiTheme="minorHAnsi"/>
          <w:i/>
          <w:sz w:val="22"/>
          <w:szCs w:val="22"/>
          <w:lang w:val="pl-PL"/>
        </w:rPr>
        <w:t>Glien</w:t>
      </w:r>
      <w:proofErr w:type="spellEnd"/>
      <w:r w:rsidRPr="008D0C6F">
        <w:rPr>
          <w:rFonts w:asciiTheme="minorHAnsi" w:hAnsiTheme="minorHAnsi"/>
          <w:i/>
          <w:sz w:val="22"/>
          <w:szCs w:val="22"/>
          <w:lang w:val="pl-PL"/>
        </w:rPr>
        <w:t xml:space="preserve"> p. Niemcom</w:t>
      </w:r>
      <w:r>
        <w:rPr>
          <w:rFonts w:asciiTheme="minorHAnsi" w:hAnsiTheme="minorHAnsi"/>
          <w:sz w:val="22"/>
          <w:szCs w:val="22"/>
          <w:lang w:val="pl-PL"/>
        </w:rPr>
        <w:t>.</w:t>
      </w:r>
    </w:p>
    <w:p w:rsidR="009820E0" w:rsidRPr="008D0C6F" w:rsidRDefault="008D0C6F" w:rsidP="001E0F37">
      <w:pPr>
        <w:pStyle w:val="ClinContent"/>
        <w:spacing w:before="0" w:after="120"/>
        <w:rPr>
          <w:rFonts w:asciiTheme="minorHAnsi" w:hAnsiTheme="minorHAnsi"/>
          <w:sz w:val="22"/>
          <w:szCs w:val="22"/>
          <w:lang w:val="pl-PL"/>
        </w:rPr>
      </w:pPr>
      <w:r>
        <w:rPr>
          <w:rFonts w:asciiTheme="minorHAnsi" w:hAnsiTheme="minorHAnsi"/>
          <w:sz w:val="22"/>
          <w:szCs w:val="22"/>
          <w:lang w:val="pl-PL"/>
        </w:rPr>
        <w:t xml:space="preserve">Oceniając naturę </w:t>
      </w:r>
      <w:r w:rsidR="00037BA5">
        <w:rPr>
          <w:rFonts w:asciiTheme="minorHAnsi" w:hAnsiTheme="minorHAnsi"/>
          <w:sz w:val="22"/>
          <w:szCs w:val="22"/>
          <w:lang w:val="pl-PL"/>
        </w:rPr>
        <w:t xml:space="preserve">i cel </w:t>
      </w:r>
      <w:r>
        <w:rPr>
          <w:rFonts w:asciiTheme="minorHAnsi" w:hAnsiTheme="minorHAnsi"/>
          <w:sz w:val="22"/>
          <w:szCs w:val="22"/>
          <w:lang w:val="pl-PL"/>
        </w:rPr>
        <w:t>zastosowanego środka, T</w:t>
      </w:r>
      <w:r w:rsidRPr="008D0C6F">
        <w:rPr>
          <w:rFonts w:asciiTheme="minorHAnsi" w:hAnsiTheme="minorHAnsi"/>
          <w:sz w:val="22"/>
          <w:szCs w:val="22"/>
          <w:lang w:val="pl-PL"/>
        </w:rPr>
        <w:t xml:space="preserve">rybunał </w:t>
      </w:r>
      <w:r w:rsidR="00C81EBA" w:rsidRPr="008D0C6F">
        <w:rPr>
          <w:rFonts w:asciiTheme="minorHAnsi" w:hAnsiTheme="minorHAnsi"/>
          <w:sz w:val="22"/>
          <w:szCs w:val="22"/>
          <w:lang w:val="pl-PL"/>
        </w:rPr>
        <w:t>stwierdził</w:t>
      </w:r>
      <w:r w:rsidR="008D781B">
        <w:rPr>
          <w:rFonts w:asciiTheme="minorHAnsi" w:hAnsiTheme="minorHAnsi"/>
          <w:sz w:val="22"/>
          <w:szCs w:val="22"/>
          <w:lang w:val="pl-PL"/>
        </w:rPr>
        <w:t xml:space="preserve"> natomiast</w:t>
      </w:r>
      <w:r w:rsidR="00C81EBA" w:rsidRPr="008D0C6F">
        <w:rPr>
          <w:rFonts w:asciiTheme="minorHAnsi" w:hAnsiTheme="minorHAnsi"/>
          <w:sz w:val="22"/>
          <w:szCs w:val="22"/>
          <w:lang w:val="pl-PL"/>
        </w:rPr>
        <w:t xml:space="preserve">, że warunki zapewnione skarżącemu w Centrum różniły się zasadniczo od warunków więziennych: miał znacznie lepsze warunki materialne, większą swobodę przemieszczania się i szeroki dostęp do możliwości korzystania z terapii. </w:t>
      </w:r>
      <w:r w:rsidR="003B4AF6" w:rsidRPr="008D0C6F">
        <w:rPr>
          <w:rFonts w:asciiTheme="minorHAnsi" w:hAnsiTheme="minorHAnsi"/>
          <w:sz w:val="22"/>
          <w:szCs w:val="22"/>
          <w:lang w:val="pl-PL"/>
        </w:rPr>
        <w:t xml:space="preserve">Pomimo że prewencyjne </w:t>
      </w:r>
      <w:r w:rsidR="0051194C">
        <w:rPr>
          <w:rFonts w:asciiTheme="minorHAnsi" w:hAnsiTheme="minorHAnsi"/>
          <w:sz w:val="22"/>
          <w:szCs w:val="22"/>
          <w:lang w:val="pl-PL"/>
        </w:rPr>
        <w:t xml:space="preserve">pozbawienie wolności </w:t>
      </w:r>
      <w:r w:rsidR="003B4AF6" w:rsidRPr="008D0C6F">
        <w:rPr>
          <w:rFonts w:asciiTheme="minorHAnsi" w:hAnsiTheme="minorHAnsi"/>
          <w:sz w:val="22"/>
          <w:szCs w:val="22"/>
          <w:lang w:val="pl-PL"/>
        </w:rPr>
        <w:t>nadal stanowi</w:t>
      </w:r>
      <w:r w:rsidR="003B4AF6">
        <w:rPr>
          <w:rFonts w:asciiTheme="minorHAnsi" w:hAnsiTheme="minorHAnsi"/>
          <w:sz w:val="22"/>
          <w:szCs w:val="22"/>
          <w:lang w:val="pl-PL"/>
        </w:rPr>
        <w:t>ło</w:t>
      </w:r>
      <w:r w:rsidR="003B4AF6" w:rsidRPr="008D0C6F">
        <w:rPr>
          <w:rFonts w:asciiTheme="minorHAnsi" w:hAnsiTheme="minorHAnsi"/>
          <w:sz w:val="22"/>
          <w:szCs w:val="22"/>
          <w:lang w:val="pl-PL"/>
        </w:rPr>
        <w:t xml:space="preserve"> reakcję państwa na popełnione przestępstwo, </w:t>
      </w:r>
      <w:r w:rsidR="003B4AF6">
        <w:rPr>
          <w:rFonts w:asciiTheme="minorHAnsi" w:hAnsiTheme="minorHAnsi"/>
          <w:sz w:val="22"/>
          <w:szCs w:val="22"/>
          <w:lang w:val="pl-PL"/>
        </w:rPr>
        <w:t xml:space="preserve">sposób wykonywania </w:t>
      </w:r>
      <w:r w:rsidR="0051194C">
        <w:rPr>
          <w:rFonts w:asciiTheme="minorHAnsi" w:hAnsiTheme="minorHAnsi"/>
          <w:sz w:val="22"/>
          <w:szCs w:val="22"/>
          <w:lang w:val="pl-PL"/>
        </w:rPr>
        <w:t>tego środka</w:t>
      </w:r>
      <w:r w:rsidR="00CB25C8">
        <w:rPr>
          <w:rFonts w:asciiTheme="minorHAnsi" w:hAnsiTheme="minorHAnsi"/>
          <w:sz w:val="22"/>
          <w:szCs w:val="22"/>
          <w:lang w:val="pl-PL"/>
        </w:rPr>
        <w:t xml:space="preserve"> wobec</w:t>
      </w:r>
      <w:r w:rsidR="0051194C">
        <w:rPr>
          <w:rFonts w:asciiTheme="minorHAnsi" w:hAnsiTheme="minorHAnsi"/>
          <w:sz w:val="22"/>
          <w:szCs w:val="22"/>
          <w:lang w:val="pl-PL"/>
        </w:rPr>
        <w:t xml:space="preserve"> </w:t>
      </w:r>
      <w:r w:rsidR="00CB25C8">
        <w:rPr>
          <w:rFonts w:asciiTheme="minorHAnsi" w:hAnsiTheme="minorHAnsi"/>
          <w:sz w:val="22"/>
          <w:szCs w:val="22"/>
          <w:lang w:val="pl-PL"/>
        </w:rPr>
        <w:t>s</w:t>
      </w:r>
      <w:r w:rsidR="003B4AF6">
        <w:rPr>
          <w:rFonts w:asciiTheme="minorHAnsi" w:hAnsiTheme="minorHAnsi"/>
          <w:sz w:val="22"/>
          <w:szCs w:val="22"/>
          <w:lang w:val="pl-PL"/>
        </w:rPr>
        <w:t xml:space="preserve">karżącego </w:t>
      </w:r>
      <w:r w:rsidR="0051194C">
        <w:rPr>
          <w:rFonts w:asciiTheme="minorHAnsi" w:hAnsiTheme="minorHAnsi"/>
          <w:sz w:val="22"/>
          <w:szCs w:val="22"/>
          <w:lang w:val="pl-PL"/>
        </w:rPr>
        <w:t>był znacząco inny niż kary pozbawienia wolności</w:t>
      </w:r>
      <w:r w:rsidR="003B4AF6">
        <w:rPr>
          <w:rFonts w:asciiTheme="minorHAnsi" w:hAnsiTheme="minorHAnsi"/>
          <w:sz w:val="22"/>
          <w:szCs w:val="22"/>
          <w:lang w:val="pl-PL"/>
        </w:rPr>
        <w:t>.</w:t>
      </w:r>
      <w:r w:rsidR="00D65795" w:rsidRPr="00D65795">
        <w:rPr>
          <w:rFonts w:asciiTheme="minorHAnsi" w:hAnsiTheme="minorHAnsi"/>
          <w:sz w:val="22"/>
          <w:szCs w:val="22"/>
          <w:lang w:val="pl-PL"/>
        </w:rPr>
        <w:t xml:space="preserve"> </w:t>
      </w:r>
      <w:r w:rsidR="00307AFD" w:rsidRPr="008D0C6F">
        <w:rPr>
          <w:rFonts w:asciiTheme="minorHAnsi" w:hAnsiTheme="minorHAnsi"/>
          <w:sz w:val="22"/>
          <w:szCs w:val="22"/>
          <w:lang w:val="pl-PL"/>
        </w:rPr>
        <w:t xml:space="preserve">Ponadto, </w:t>
      </w:r>
      <w:r w:rsidR="00530764">
        <w:rPr>
          <w:rFonts w:asciiTheme="minorHAnsi" w:hAnsiTheme="minorHAnsi"/>
          <w:sz w:val="22"/>
          <w:szCs w:val="22"/>
          <w:lang w:val="pl-PL"/>
        </w:rPr>
        <w:t>prewencyjne</w:t>
      </w:r>
      <w:r w:rsidR="003130E3" w:rsidRPr="008D0C6F">
        <w:rPr>
          <w:rFonts w:asciiTheme="minorHAnsi" w:hAnsiTheme="minorHAnsi"/>
          <w:sz w:val="22"/>
          <w:szCs w:val="22"/>
          <w:lang w:val="pl-PL"/>
        </w:rPr>
        <w:t xml:space="preserve"> </w:t>
      </w:r>
      <w:r w:rsidR="0051194C">
        <w:rPr>
          <w:rFonts w:asciiTheme="minorHAnsi" w:hAnsiTheme="minorHAnsi"/>
          <w:sz w:val="22"/>
          <w:szCs w:val="22"/>
          <w:lang w:val="pl-PL"/>
        </w:rPr>
        <w:t xml:space="preserve">pozbawienie wolności </w:t>
      </w:r>
      <w:r w:rsidR="003130E3" w:rsidRPr="008D0C6F">
        <w:rPr>
          <w:rFonts w:asciiTheme="minorHAnsi" w:hAnsiTheme="minorHAnsi"/>
          <w:sz w:val="22"/>
          <w:szCs w:val="22"/>
          <w:lang w:val="pl-PL"/>
        </w:rPr>
        <w:t>został</w:t>
      </w:r>
      <w:r w:rsidR="00530764">
        <w:rPr>
          <w:rFonts w:asciiTheme="minorHAnsi" w:hAnsiTheme="minorHAnsi"/>
          <w:sz w:val="22"/>
          <w:szCs w:val="22"/>
          <w:lang w:val="pl-PL"/>
        </w:rPr>
        <w:t>o przedłużone</w:t>
      </w:r>
      <w:r w:rsidR="003130E3" w:rsidRPr="008D0C6F">
        <w:rPr>
          <w:rFonts w:asciiTheme="minorHAnsi" w:hAnsiTheme="minorHAnsi"/>
          <w:sz w:val="22"/>
          <w:szCs w:val="22"/>
          <w:lang w:val="pl-PL"/>
        </w:rPr>
        <w:t xml:space="preserve"> z powodu konieczności prowadzenia terapii zaburzenia psychicznego</w:t>
      </w:r>
      <w:r w:rsidR="009820E0" w:rsidRPr="008D0C6F">
        <w:rPr>
          <w:rFonts w:asciiTheme="minorHAnsi" w:hAnsiTheme="minorHAnsi"/>
          <w:sz w:val="22"/>
          <w:szCs w:val="22"/>
          <w:lang w:val="pl-PL"/>
        </w:rPr>
        <w:t xml:space="preserve">. </w:t>
      </w:r>
      <w:r w:rsidR="008D781B">
        <w:rPr>
          <w:rFonts w:asciiTheme="minorHAnsi" w:hAnsiTheme="minorHAnsi"/>
          <w:sz w:val="22"/>
          <w:szCs w:val="22"/>
          <w:lang w:val="pl-PL"/>
        </w:rPr>
        <w:t>O</w:t>
      </w:r>
      <w:r w:rsidR="00C81EBA" w:rsidRPr="008D0C6F">
        <w:rPr>
          <w:rFonts w:asciiTheme="minorHAnsi" w:hAnsiTheme="minorHAnsi"/>
          <w:sz w:val="22"/>
          <w:szCs w:val="22"/>
          <w:lang w:val="pl-PL"/>
        </w:rPr>
        <w:t>d 201</w:t>
      </w:r>
      <w:r w:rsidR="003A6C7E">
        <w:rPr>
          <w:rFonts w:asciiTheme="minorHAnsi" w:hAnsiTheme="minorHAnsi"/>
          <w:sz w:val="22"/>
          <w:szCs w:val="22"/>
          <w:lang w:val="pl-PL"/>
        </w:rPr>
        <w:t>3</w:t>
      </w:r>
      <w:r w:rsidR="00C81EBA" w:rsidRPr="008D0C6F">
        <w:rPr>
          <w:rFonts w:asciiTheme="minorHAnsi" w:hAnsiTheme="minorHAnsi"/>
          <w:sz w:val="22"/>
          <w:szCs w:val="22"/>
          <w:lang w:val="pl-PL"/>
        </w:rPr>
        <w:t xml:space="preserve"> </w:t>
      </w:r>
      <w:r w:rsidR="001C2B0E" w:rsidRPr="008D0C6F">
        <w:rPr>
          <w:rFonts w:asciiTheme="minorHAnsi" w:hAnsiTheme="minorHAnsi"/>
          <w:sz w:val="22"/>
          <w:szCs w:val="22"/>
          <w:lang w:val="pl-PL"/>
        </w:rPr>
        <w:t>r.</w:t>
      </w:r>
      <w:r w:rsidR="00C81EBA" w:rsidRPr="008D0C6F">
        <w:rPr>
          <w:rFonts w:asciiTheme="minorHAnsi" w:hAnsiTheme="minorHAnsi"/>
          <w:sz w:val="22"/>
          <w:szCs w:val="22"/>
          <w:lang w:val="pl-PL"/>
        </w:rPr>
        <w:t xml:space="preserve"> według niemieckich przepisów</w:t>
      </w:r>
      <w:r w:rsidR="00037BA5">
        <w:rPr>
          <w:rFonts w:asciiTheme="minorHAnsi" w:hAnsiTheme="minorHAnsi"/>
          <w:sz w:val="22"/>
          <w:szCs w:val="22"/>
          <w:lang w:val="pl-PL"/>
        </w:rPr>
        <w:t xml:space="preserve"> dodatkowym</w:t>
      </w:r>
      <w:r w:rsidR="00C81EBA" w:rsidRPr="008D0C6F">
        <w:rPr>
          <w:rFonts w:asciiTheme="minorHAnsi" w:hAnsiTheme="minorHAnsi"/>
          <w:sz w:val="22"/>
          <w:szCs w:val="22"/>
          <w:lang w:val="pl-PL"/>
        </w:rPr>
        <w:t xml:space="preserve"> warunkiem </w:t>
      </w:r>
      <w:r w:rsidR="00C81EBA" w:rsidRPr="008D0C6F">
        <w:rPr>
          <w:rFonts w:asciiTheme="minorHAnsi" w:hAnsiTheme="minorHAnsi"/>
          <w:i/>
          <w:sz w:val="22"/>
          <w:szCs w:val="22"/>
          <w:lang w:val="pl-PL"/>
        </w:rPr>
        <w:t>sine qua non</w:t>
      </w:r>
      <w:r w:rsidR="00C81EBA" w:rsidRPr="008D0C6F">
        <w:rPr>
          <w:rFonts w:asciiTheme="minorHAnsi" w:hAnsiTheme="minorHAnsi"/>
          <w:sz w:val="22"/>
          <w:szCs w:val="22"/>
          <w:lang w:val="pl-PL"/>
        </w:rPr>
        <w:t xml:space="preserve"> </w:t>
      </w:r>
      <w:r w:rsidRPr="008D0C6F">
        <w:rPr>
          <w:rFonts w:asciiTheme="minorHAnsi" w:hAnsiTheme="minorHAnsi"/>
          <w:sz w:val="22"/>
          <w:szCs w:val="22"/>
          <w:lang w:val="pl-PL"/>
        </w:rPr>
        <w:t xml:space="preserve">retroaktywnego przedłużenia </w:t>
      </w:r>
      <w:r w:rsidR="00C81EBA" w:rsidRPr="008D0C6F">
        <w:rPr>
          <w:rFonts w:asciiTheme="minorHAnsi" w:hAnsiTheme="minorHAnsi"/>
          <w:sz w:val="22"/>
          <w:szCs w:val="22"/>
          <w:lang w:val="pl-PL"/>
        </w:rPr>
        <w:t xml:space="preserve">prewencyjnego </w:t>
      </w:r>
      <w:r w:rsidR="0051194C">
        <w:rPr>
          <w:rFonts w:asciiTheme="minorHAnsi" w:hAnsiTheme="minorHAnsi"/>
          <w:sz w:val="22"/>
          <w:szCs w:val="22"/>
          <w:lang w:val="pl-PL"/>
        </w:rPr>
        <w:t xml:space="preserve">pozbawienia wolności </w:t>
      </w:r>
      <w:r w:rsidRPr="008D0C6F">
        <w:rPr>
          <w:rFonts w:asciiTheme="minorHAnsi" w:hAnsiTheme="minorHAnsi"/>
          <w:sz w:val="22"/>
          <w:szCs w:val="22"/>
          <w:lang w:val="pl-PL"/>
        </w:rPr>
        <w:t>jest</w:t>
      </w:r>
      <w:r w:rsidR="00C81EBA" w:rsidRPr="008D0C6F">
        <w:rPr>
          <w:rFonts w:asciiTheme="minorHAnsi" w:hAnsiTheme="minorHAnsi"/>
          <w:sz w:val="22"/>
          <w:szCs w:val="22"/>
          <w:lang w:val="pl-PL"/>
        </w:rPr>
        <w:t xml:space="preserve"> stwierdzenie zaburzeń umysłowych u osoby poddanej nadzorowi. </w:t>
      </w:r>
      <w:r w:rsidR="00CB25C8">
        <w:rPr>
          <w:rFonts w:asciiTheme="minorHAnsi" w:hAnsiTheme="minorHAnsi"/>
          <w:sz w:val="22"/>
          <w:szCs w:val="22"/>
          <w:lang w:val="pl-PL"/>
        </w:rPr>
        <w:t>D</w:t>
      </w:r>
      <w:r w:rsidR="00037BA5" w:rsidRPr="008D0C6F">
        <w:rPr>
          <w:rFonts w:asciiTheme="minorHAnsi" w:hAnsiTheme="minorHAnsi"/>
          <w:sz w:val="22"/>
          <w:szCs w:val="22"/>
          <w:lang w:val="pl-PL"/>
        </w:rPr>
        <w:t>oszło</w:t>
      </w:r>
      <w:r w:rsidR="00037BA5">
        <w:rPr>
          <w:rFonts w:asciiTheme="minorHAnsi" w:hAnsiTheme="minorHAnsi"/>
          <w:sz w:val="22"/>
          <w:szCs w:val="22"/>
          <w:lang w:val="pl-PL"/>
        </w:rPr>
        <w:t xml:space="preserve"> </w:t>
      </w:r>
      <w:r w:rsidR="00037BA5" w:rsidRPr="008D0C6F">
        <w:rPr>
          <w:rFonts w:asciiTheme="minorHAnsi" w:hAnsiTheme="minorHAnsi"/>
          <w:sz w:val="22"/>
          <w:szCs w:val="22"/>
          <w:lang w:val="pl-PL"/>
        </w:rPr>
        <w:t xml:space="preserve">do znaczącej zmiany charakteru </w:t>
      </w:r>
      <w:r w:rsidR="0051194C">
        <w:rPr>
          <w:rFonts w:asciiTheme="minorHAnsi" w:hAnsiTheme="minorHAnsi"/>
          <w:sz w:val="22"/>
          <w:szCs w:val="22"/>
          <w:lang w:val="pl-PL"/>
        </w:rPr>
        <w:t xml:space="preserve">pozbawienia wolności </w:t>
      </w:r>
      <w:r w:rsidR="00037BA5" w:rsidRPr="008D0C6F">
        <w:rPr>
          <w:rFonts w:asciiTheme="minorHAnsi" w:hAnsiTheme="minorHAnsi"/>
          <w:sz w:val="22"/>
          <w:szCs w:val="22"/>
          <w:lang w:val="pl-PL"/>
        </w:rPr>
        <w:t>skarżącego</w:t>
      </w:r>
      <w:r w:rsidR="00CB25C8">
        <w:rPr>
          <w:rFonts w:asciiTheme="minorHAnsi" w:hAnsiTheme="minorHAnsi"/>
          <w:sz w:val="22"/>
          <w:szCs w:val="22"/>
          <w:lang w:val="pl-PL"/>
        </w:rPr>
        <w:t xml:space="preserve"> </w:t>
      </w:r>
      <w:r w:rsidR="00037BA5" w:rsidRPr="008D0C6F">
        <w:rPr>
          <w:rFonts w:asciiTheme="minorHAnsi" w:hAnsiTheme="minorHAnsi"/>
          <w:sz w:val="22"/>
          <w:szCs w:val="22"/>
          <w:lang w:val="pl-PL"/>
        </w:rPr>
        <w:t>po jego przeniesieniu do Centrum – nacisk został położony na terapię medyczną i terapeutyczną skarżącego</w:t>
      </w:r>
      <w:r w:rsidR="00037BA5">
        <w:rPr>
          <w:rFonts w:asciiTheme="minorHAnsi" w:hAnsiTheme="minorHAnsi"/>
          <w:sz w:val="22"/>
          <w:szCs w:val="22"/>
          <w:lang w:val="pl-PL"/>
        </w:rPr>
        <w:t xml:space="preserve">. </w:t>
      </w:r>
      <w:r w:rsidR="00037BA5" w:rsidRPr="008D0C6F">
        <w:rPr>
          <w:rFonts w:asciiTheme="minorHAnsi" w:hAnsiTheme="minorHAnsi"/>
          <w:sz w:val="22"/>
          <w:szCs w:val="22"/>
          <w:lang w:val="pl-PL"/>
        </w:rPr>
        <w:t>Trybunał podkreślił fakt, że w nowym Centrum skarżącemu oferowana jest wysokiej jakości i zindywidualizowana opieka</w:t>
      </w:r>
      <w:r w:rsidR="008D781B">
        <w:rPr>
          <w:rFonts w:asciiTheme="minorHAnsi" w:hAnsiTheme="minorHAnsi"/>
          <w:sz w:val="22"/>
          <w:szCs w:val="22"/>
          <w:lang w:val="pl-PL"/>
        </w:rPr>
        <w:t xml:space="preserve"> ze strony </w:t>
      </w:r>
      <w:r w:rsidR="00037BA5">
        <w:rPr>
          <w:rFonts w:asciiTheme="minorHAnsi" w:hAnsiTheme="minorHAnsi"/>
          <w:sz w:val="22"/>
          <w:szCs w:val="22"/>
          <w:lang w:val="pl-PL"/>
        </w:rPr>
        <w:t>personel</w:t>
      </w:r>
      <w:r w:rsidR="008D781B">
        <w:rPr>
          <w:rFonts w:asciiTheme="minorHAnsi" w:hAnsiTheme="minorHAnsi"/>
          <w:sz w:val="22"/>
          <w:szCs w:val="22"/>
          <w:lang w:val="pl-PL"/>
        </w:rPr>
        <w:t>u</w:t>
      </w:r>
      <w:r w:rsidR="00037BA5">
        <w:rPr>
          <w:rFonts w:asciiTheme="minorHAnsi" w:hAnsiTheme="minorHAnsi"/>
          <w:sz w:val="22"/>
          <w:szCs w:val="22"/>
          <w:lang w:val="pl-PL"/>
        </w:rPr>
        <w:t xml:space="preserve"> reprezentujący wiele różnych dziedzin</w:t>
      </w:r>
      <w:r w:rsidR="008D781B" w:rsidRPr="008D0C6F">
        <w:rPr>
          <w:rFonts w:asciiTheme="minorHAnsi" w:hAnsiTheme="minorHAnsi"/>
          <w:sz w:val="22"/>
          <w:szCs w:val="22"/>
          <w:lang w:val="pl-PL"/>
        </w:rPr>
        <w:t xml:space="preserve">, w tym kontynuowane są wysiłki mające na </w:t>
      </w:r>
      <w:r w:rsidR="008D781B" w:rsidRPr="008D0C6F">
        <w:rPr>
          <w:rFonts w:asciiTheme="minorHAnsi" w:hAnsiTheme="minorHAnsi"/>
          <w:sz w:val="22"/>
          <w:szCs w:val="22"/>
          <w:lang w:val="pl-PL"/>
        </w:rPr>
        <w:lastRenderedPageBreak/>
        <w:t>celu zachęcenie go do uczestniczenia w terapii</w:t>
      </w:r>
      <w:r w:rsidR="008D781B">
        <w:rPr>
          <w:rFonts w:asciiTheme="minorHAnsi" w:hAnsiTheme="minorHAnsi"/>
          <w:sz w:val="22"/>
          <w:szCs w:val="22"/>
          <w:lang w:val="pl-PL"/>
        </w:rPr>
        <w:t>. Opieka ta jest</w:t>
      </w:r>
      <w:r w:rsidR="00037BA5">
        <w:rPr>
          <w:rFonts w:asciiTheme="minorHAnsi" w:hAnsiTheme="minorHAnsi"/>
          <w:sz w:val="22"/>
          <w:szCs w:val="22"/>
          <w:lang w:val="pl-PL"/>
        </w:rPr>
        <w:t xml:space="preserve"> realizowana </w:t>
      </w:r>
      <w:r w:rsidR="00037BA5" w:rsidRPr="008D0C6F">
        <w:rPr>
          <w:rFonts w:asciiTheme="minorHAnsi" w:hAnsiTheme="minorHAnsi"/>
          <w:sz w:val="22"/>
          <w:szCs w:val="22"/>
          <w:lang w:val="pl-PL"/>
        </w:rPr>
        <w:t xml:space="preserve">w spójnych ramach mających na celu </w:t>
      </w:r>
      <w:r w:rsidR="00037BA5">
        <w:rPr>
          <w:rFonts w:asciiTheme="minorHAnsi" w:hAnsiTheme="minorHAnsi"/>
          <w:sz w:val="22"/>
          <w:szCs w:val="22"/>
          <w:lang w:val="pl-PL"/>
        </w:rPr>
        <w:t xml:space="preserve">doprowadzenie do </w:t>
      </w:r>
      <w:r w:rsidR="00037BA5" w:rsidRPr="008D0C6F">
        <w:rPr>
          <w:rFonts w:asciiTheme="minorHAnsi" w:hAnsiTheme="minorHAnsi"/>
          <w:sz w:val="22"/>
          <w:szCs w:val="22"/>
          <w:lang w:val="pl-PL"/>
        </w:rPr>
        <w:t>postęp</w:t>
      </w:r>
      <w:r w:rsidR="00037BA5">
        <w:rPr>
          <w:rFonts w:asciiTheme="minorHAnsi" w:hAnsiTheme="minorHAnsi"/>
          <w:sz w:val="22"/>
          <w:szCs w:val="22"/>
          <w:lang w:val="pl-PL"/>
        </w:rPr>
        <w:t>u</w:t>
      </w:r>
      <w:r w:rsidR="00663340">
        <w:rPr>
          <w:rFonts w:asciiTheme="minorHAnsi" w:hAnsiTheme="minorHAnsi"/>
          <w:sz w:val="22"/>
          <w:szCs w:val="22"/>
          <w:lang w:val="pl-PL"/>
        </w:rPr>
        <w:t xml:space="preserve"> terapii</w:t>
      </w:r>
      <w:r w:rsidR="00037BA5" w:rsidRPr="008D0C6F">
        <w:rPr>
          <w:rFonts w:asciiTheme="minorHAnsi" w:hAnsiTheme="minorHAnsi"/>
          <w:sz w:val="22"/>
          <w:szCs w:val="22"/>
          <w:lang w:val="pl-PL"/>
        </w:rPr>
        <w:t xml:space="preserve"> </w:t>
      </w:r>
      <w:r w:rsidR="00037BA5">
        <w:rPr>
          <w:rFonts w:asciiTheme="minorHAnsi" w:hAnsiTheme="minorHAnsi"/>
          <w:sz w:val="22"/>
          <w:szCs w:val="22"/>
          <w:lang w:val="pl-PL"/>
        </w:rPr>
        <w:t xml:space="preserve">i </w:t>
      </w:r>
      <w:r w:rsidR="00663340">
        <w:rPr>
          <w:rFonts w:asciiTheme="minorHAnsi" w:hAnsiTheme="minorHAnsi"/>
          <w:sz w:val="22"/>
          <w:szCs w:val="22"/>
          <w:lang w:val="pl-PL"/>
        </w:rPr>
        <w:t xml:space="preserve">– </w:t>
      </w:r>
      <w:r w:rsidR="00037BA5">
        <w:rPr>
          <w:rFonts w:asciiTheme="minorHAnsi" w:hAnsiTheme="minorHAnsi"/>
          <w:sz w:val="22"/>
          <w:szCs w:val="22"/>
          <w:lang w:val="pl-PL"/>
        </w:rPr>
        <w:t>w efekcie</w:t>
      </w:r>
      <w:r w:rsidR="00037BA5" w:rsidRPr="008D0C6F">
        <w:rPr>
          <w:rFonts w:asciiTheme="minorHAnsi" w:hAnsiTheme="minorHAnsi"/>
          <w:sz w:val="22"/>
          <w:szCs w:val="22"/>
          <w:lang w:val="pl-PL"/>
        </w:rPr>
        <w:t xml:space="preserve"> </w:t>
      </w:r>
      <w:r w:rsidR="00663340">
        <w:rPr>
          <w:rFonts w:asciiTheme="minorHAnsi" w:hAnsiTheme="minorHAnsi"/>
          <w:sz w:val="22"/>
          <w:szCs w:val="22"/>
          <w:lang w:val="pl-PL"/>
        </w:rPr>
        <w:t xml:space="preserve">– </w:t>
      </w:r>
      <w:r w:rsidR="00037BA5" w:rsidRPr="008D0C6F">
        <w:rPr>
          <w:rFonts w:asciiTheme="minorHAnsi" w:hAnsiTheme="minorHAnsi"/>
          <w:sz w:val="22"/>
          <w:szCs w:val="22"/>
          <w:lang w:val="pl-PL"/>
        </w:rPr>
        <w:t>do zwolnienia.</w:t>
      </w:r>
    </w:p>
    <w:p w:rsidR="00D858A8" w:rsidRPr="008D0C6F" w:rsidRDefault="00037BA5" w:rsidP="001E0F37">
      <w:pPr>
        <w:spacing w:after="120" w:line="240" w:lineRule="auto"/>
        <w:jc w:val="both"/>
        <w:rPr>
          <w:lang w:val="pl-PL"/>
        </w:rPr>
      </w:pPr>
      <w:r>
        <w:rPr>
          <w:lang w:val="pl-PL"/>
        </w:rPr>
        <w:t>S</w:t>
      </w:r>
      <w:r w:rsidR="00C81EBA" w:rsidRPr="008D0C6F">
        <w:rPr>
          <w:lang w:val="pl-PL"/>
        </w:rPr>
        <w:t xml:space="preserve">am fakt orzekania o prewencyjnym </w:t>
      </w:r>
      <w:r w:rsidR="0051194C">
        <w:rPr>
          <w:lang w:val="pl-PL"/>
        </w:rPr>
        <w:t xml:space="preserve">pozbawieniu wolności </w:t>
      </w:r>
      <w:r w:rsidR="00C81EBA" w:rsidRPr="008D0C6F">
        <w:rPr>
          <w:lang w:val="pl-PL"/>
        </w:rPr>
        <w:t xml:space="preserve">przez sąd karny nie </w:t>
      </w:r>
      <w:r>
        <w:rPr>
          <w:lang w:val="pl-PL"/>
        </w:rPr>
        <w:t>został uznany przez Trybunał za przesądzający</w:t>
      </w:r>
      <w:r w:rsidR="00C81EBA" w:rsidRPr="008D0C6F">
        <w:rPr>
          <w:lang w:val="pl-PL"/>
        </w:rPr>
        <w:t xml:space="preserve"> o jego penalnym charakterze. </w:t>
      </w:r>
      <w:r w:rsidR="00D563DE" w:rsidRPr="008D0C6F">
        <w:rPr>
          <w:lang w:val="pl-PL"/>
        </w:rPr>
        <w:t xml:space="preserve">Trybunał uwzględnił argument rządu, że sądy zajmujące się wykonaniem kar mają szczególne doświadczenie </w:t>
      </w:r>
      <w:r w:rsidR="00321ED5">
        <w:rPr>
          <w:lang w:val="pl-PL"/>
        </w:rPr>
        <w:t>w</w:t>
      </w:r>
      <w:r w:rsidR="00D563DE" w:rsidRPr="008D0C6F">
        <w:rPr>
          <w:lang w:val="pl-PL"/>
        </w:rPr>
        <w:t xml:space="preserve"> dokonywaniu oceny konieczności </w:t>
      </w:r>
      <w:r w:rsidR="0051194C">
        <w:rPr>
          <w:lang w:val="pl-PL"/>
        </w:rPr>
        <w:t xml:space="preserve">odosobnienia </w:t>
      </w:r>
      <w:r w:rsidR="00D563DE" w:rsidRPr="008D0C6F">
        <w:rPr>
          <w:lang w:val="pl-PL"/>
        </w:rPr>
        <w:t xml:space="preserve">pacjentów z chorobami psychicznymi, gdyż zajmują się również zarządzaniem </w:t>
      </w:r>
      <w:r w:rsidR="0051194C">
        <w:rPr>
          <w:lang w:val="pl-PL"/>
        </w:rPr>
        <w:t xml:space="preserve">izolacji </w:t>
      </w:r>
      <w:r w:rsidR="00D563DE" w:rsidRPr="008D0C6F">
        <w:rPr>
          <w:lang w:val="pl-PL"/>
        </w:rPr>
        <w:t xml:space="preserve">w szpitalu psychiatrycznym na podstawie kodeksu karnego. </w:t>
      </w:r>
      <w:r w:rsidR="00D858A8" w:rsidRPr="008D0C6F">
        <w:rPr>
          <w:lang w:val="pl-PL"/>
        </w:rPr>
        <w:t>Trybunał podkreślał</w:t>
      </w:r>
      <w:r w:rsidR="001E073A" w:rsidRPr="008D0C6F">
        <w:rPr>
          <w:lang w:val="pl-PL"/>
        </w:rPr>
        <w:t xml:space="preserve"> też </w:t>
      </w:r>
      <w:r w:rsidR="00D858A8" w:rsidRPr="008D0C6F">
        <w:rPr>
          <w:lang w:val="pl-PL"/>
        </w:rPr>
        <w:t xml:space="preserve">kilkukrotnie, że pojęcia zawarte w treści Konwencji winny być rozumiane w sposób autonomiczny wobec krajowego porządku prawnego, w związku z czym klasyfikacja danej instytucji prawnej na gruncie prawa krajowego nie jest dla Trybunału wiążąca. </w:t>
      </w:r>
    </w:p>
    <w:p w:rsidR="00C81EBA" w:rsidRPr="003C0532" w:rsidRDefault="00C81EBA" w:rsidP="001E0F37">
      <w:pPr>
        <w:spacing w:after="120" w:line="240" w:lineRule="auto"/>
        <w:jc w:val="both"/>
        <w:rPr>
          <w:lang w:val="pl-PL"/>
        </w:rPr>
      </w:pPr>
      <w:r w:rsidRPr="008D0C6F">
        <w:rPr>
          <w:lang w:val="pl-PL"/>
        </w:rPr>
        <w:t xml:space="preserve">Trybunał zwrócił wreszcie uwagę, że oceniając surowość orzeczonego </w:t>
      </w:r>
      <w:r w:rsidR="00D4588C">
        <w:rPr>
          <w:lang w:val="pl-PL"/>
        </w:rPr>
        <w:t>prewencyjnego</w:t>
      </w:r>
      <w:r w:rsidRPr="008D0C6F">
        <w:rPr>
          <w:lang w:val="pl-PL"/>
        </w:rPr>
        <w:t xml:space="preserve"> </w:t>
      </w:r>
      <w:r w:rsidR="0051194C">
        <w:rPr>
          <w:lang w:val="pl-PL"/>
        </w:rPr>
        <w:t xml:space="preserve">pozbawienia wolności </w:t>
      </w:r>
      <w:r w:rsidRPr="008D0C6F">
        <w:rPr>
          <w:lang w:val="pl-PL"/>
        </w:rPr>
        <w:t xml:space="preserve">należy uwzględnić fakt, że jego utrzymywanie uzależnione jest w znacznej mierze od działań osoby poddanej nadzorowi, nie jest on bowiem przedłużany w razie wyleczenia uzasadniających go zaburzeń psychicznych, a w niniejszej sprawie skarżący w sposób ewidentny w niewielkim tylko stopniu korzystał z proponowanej mu terapii. </w:t>
      </w:r>
    </w:p>
    <w:p w:rsidR="002415B9" w:rsidRDefault="00082C3A" w:rsidP="002415B9">
      <w:pPr>
        <w:spacing w:after="120" w:line="240" w:lineRule="auto"/>
        <w:jc w:val="both"/>
        <w:rPr>
          <w:lang w:val="pl-PL"/>
        </w:rPr>
      </w:pPr>
      <w:r>
        <w:rPr>
          <w:lang w:val="pl-PL"/>
        </w:rPr>
        <w:t xml:space="preserve">Podsumowując powyższe rozważania Trybunał </w:t>
      </w:r>
      <w:r w:rsidR="00D563DE">
        <w:rPr>
          <w:lang w:val="pl-PL"/>
        </w:rPr>
        <w:t>uznał, że prewencyjne</w:t>
      </w:r>
      <w:r w:rsidR="00C557D8">
        <w:rPr>
          <w:lang w:val="pl-PL"/>
        </w:rPr>
        <w:t xml:space="preserve"> </w:t>
      </w:r>
      <w:r w:rsidR="0051194C">
        <w:rPr>
          <w:lang w:val="pl-PL"/>
        </w:rPr>
        <w:t>pozbawieni</w:t>
      </w:r>
      <w:r w:rsidR="00EC088A">
        <w:rPr>
          <w:lang w:val="pl-PL"/>
        </w:rPr>
        <w:t>e</w:t>
      </w:r>
      <w:r w:rsidR="0051194C">
        <w:rPr>
          <w:lang w:val="pl-PL"/>
        </w:rPr>
        <w:t xml:space="preserve"> wolności </w:t>
      </w:r>
      <w:r w:rsidR="00C557D8">
        <w:rPr>
          <w:lang w:val="pl-PL"/>
        </w:rPr>
        <w:t>w świetle prawa niemieckiego</w:t>
      </w:r>
      <w:r w:rsidR="00D563DE">
        <w:rPr>
          <w:lang w:val="pl-PL"/>
        </w:rPr>
        <w:t xml:space="preserve"> co do zasady nadal stanowi karę w rozumieniu art. 7 ust. 1 Konwencji. </w:t>
      </w:r>
      <w:r>
        <w:rPr>
          <w:lang w:val="pl-PL"/>
        </w:rPr>
        <w:t>Okoliczność</w:t>
      </w:r>
      <w:r w:rsidR="00D563DE" w:rsidRPr="003C0532">
        <w:rPr>
          <w:lang w:val="pl-PL"/>
        </w:rPr>
        <w:t>, że środek</w:t>
      </w:r>
      <w:r w:rsidR="00D563DE">
        <w:rPr>
          <w:lang w:val="pl-PL"/>
        </w:rPr>
        <w:t xml:space="preserve"> ten</w:t>
      </w:r>
      <w:r w:rsidR="00D563DE" w:rsidRPr="003C0532">
        <w:rPr>
          <w:lang w:val="pl-PL"/>
        </w:rPr>
        <w:t>, w jego zmienionej postaci, m</w:t>
      </w:r>
      <w:r w:rsidR="00D563DE">
        <w:rPr>
          <w:lang w:val="pl-PL"/>
        </w:rPr>
        <w:t>a</w:t>
      </w:r>
      <w:r w:rsidR="00D563DE" w:rsidRPr="003C0532">
        <w:rPr>
          <w:lang w:val="pl-PL"/>
        </w:rPr>
        <w:t xml:space="preserve"> </w:t>
      </w:r>
      <w:r w:rsidR="00B641C2">
        <w:rPr>
          <w:lang w:val="pl-PL"/>
        </w:rPr>
        <w:t xml:space="preserve">bardziej </w:t>
      </w:r>
      <w:r w:rsidR="005C02AC" w:rsidRPr="003C0532">
        <w:rPr>
          <w:lang w:val="pl-PL"/>
        </w:rPr>
        <w:t>za</w:t>
      </w:r>
      <w:r w:rsidR="005C02AC">
        <w:rPr>
          <w:lang w:val="pl-PL"/>
        </w:rPr>
        <w:t>bezpieczający</w:t>
      </w:r>
      <w:r w:rsidR="005C02AC" w:rsidRPr="003C0532">
        <w:rPr>
          <w:lang w:val="pl-PL"/>
        </w:rPr>
        <w:t xml:space="preserve"> </w:t>
      </w:r>
      <w:r w:rsidR="00D563DE" w:rsidRPr="003C0532">
        <w:rPr>
          <w:lang w:val="pl-PL"/>
        </w:rPr>
        <w:t>charakter i cel</w:t>
      </w:r>
      <w:r w:rsidR="008D781B">
        <w:rPr>
          <w:lang w:val="pl-PL"/>
        </w:rPr>
        <w:t>,</w:t>
      </w:r>
      <w:r w:rsidR="00D563DE">
        <w:rPr>
          <w:lang w:val="pl-PL"/>
        </w:rPr>
        <w:t xml:space="preserve"> </w:t>
      </w:r>
      <w:r w:rsidR="00D563DE" w:rsidRPr="003C0532">
        <w:rPr>
          <w:lang w:val="pl-PL"/>
        </w:rPr>
        <w:t xml:space="preserve">nie </w:t>
      </w:r>
      <w:r w:rsidR="00D563DE">
        <w:rPr>
          <w:lang w:val="pl-PL"/>
        </w:rPr>
        <w:t>wystarcza, by przesłonić fakt, że chodzi</w:t>
      </w:r>
      <w:r w:rsidR="00D563DE" w:rsidRPr="003C0532">
        <w:rPr>
          <w:lang w:val="pl-PL"/>
        </w:rPr>
        <w:t xml:space="preserve"> o środek zakładający pozbawienie wolności</w:t>
      </w:r>
      <w:r w:rsidR="00037BA5">
        <w:rPr>
          <w:lang w:val="pl-PL"/>
        </w:rPr>
        <w:t>,</w:t>
      </w:r>
      <w:r w:rsidR="00D563DE" w:rsidRPr="003C0532">
        <w:rPr>
          <w:lang w:val="pl-PL"/>
        </w:rPr>
        <w:t xml:space="preserve"> </w:t>
      </w:r>
      <w:r w:rsidR="00D563DE">
        <w:rPr>
          <w:lang w:val="pl-PL"/>
        </w:rPr>
        <w:t>stosowany bez określenia maksymalnej długości</w:t>
      </w:r>
      <w:r w:rsidR="00D563DE" w:rsidRPr="003C0532">
        <w:rPr>
          <w:lang w:val="pl-PL"/>
        </w:rPr>
        <w:t xml:space="preserve"> </w:t>
      </w:r>
      <w:r w:rsidR="00D563DE">
        <w:rPr>
          <w:lang w:val="pl-PL"/>
        </w:rPr>
        <w:t xml:space="preserve">jego </w:t>
      </w:r>
      <w:r w:rsidR="00D563DE" w:rsidRPr="003C0532">
        <w:rPr>
          <w:lang w:val="pl-PL"/>
        </w:rPr>
        <w:t>trwania</w:t>
      </w:r>
      <w:r w:rsidR="00D563DE">
        <w:rPr>
          <w:lang w:val="pl-PL"/>
        </w:rPr>
        <w:t xml:space="preserve"> i</w:t>
      </w:r>
      <w:r w:rsidR="00D563DE" w:rsidRPr="003C0532">
        <w:rPr>
          <w:lang w:val="pl-PL"/>
        </w:rPr>
        <w:t xml:space="preserve"> </w:t>
      </w:r>
      <w:r w:rsidR="00D563DE">
        <w:rPr>
          <w:lang w:val="pl-PL"/>
        </w:rPr>
        <w:t>zarządz</w:t>
      </w:r>
      <w:r w:rsidR="00037BA5">
        <w:rPr>
          <w:lang w:val="pl-PL"/>
        </w:rPr>
        <w:t>a</w:t>
      </w:r>
      <w:r w:rsidR="00D563DE" w:rsidRPr="003C0532">
        <w:rPr>
          <w:lang w:val="pl-PL"/>
        </w:rPr>
        <w:t xml:space="preserve">ny </w:t>
      </w:r>
      <w:r w:rsidR="00D563DE">
        <w:rPr>
          <w:lang w:val="pl-PL"/>
        </w:rPr>
        <w:t>„</w:t>
      </w:r>
      <w:r w:rsidR="00D563DE" w:rsidRPr="003C0532">
        <w:rPr>
          <w:lang w:val="pl-PL"/>
        </w:rPr>
        <w:t xml:space="preserve">w </w:t>
      </w:r>
      <w:r w:rsidR="00D563DE">
        <w:rPr>
          <w:lang w:val="pl-PL"/>
        </w:rPr>
        <w:t>wyniku skazania”</w:t>
      </w:r>
      <w:r w:rsidR="00D563DE" w:rsidRPr="003C0532">
        <w:rPr>
          <w:lang w:val="pl-PL"/>
        </w:rPr>
        <w:t xml:space="preserve"> </w:t>
      </w:r>
      <w:r w:rsidR="00D563DE">
        <w:rPr>
          <w:lang w:val="pl-PL"/>
        </w:rPr>
        <w:t xml:space="preserve">za </w:t>
      </w:r>
      <w:r w:rsidR="00D563DE" w:rsidRPr="003C0532">
        <w:rPr>
          <w:lang w:val="pl-PL"/>
        </w:rPr>
        <w:t>popeł</w:t>
      </w:r>
      <w:r w:rsidR="00D563DE">
        <w:rPr>
          <w:lang w:val="pl-PL"/>
        </w:rPr>
        <w:t xml:space="preserve">nienie „czynu zagrożonego karą” i </w:t>
      </w:r>
      <w:r w:rsidR="00D563DE" w:rsidRPr="003C0532">
        <w:rPr>
          <w:lang w:val="pl-PL"/>
        </w:rPr>
        <w:t xml:space="preserve">przedłużany przez kolejne sądy karne. </w:t>
      </w:r>
      <w:r w:rsidR="002415B9">
        <w:rPr>
          <w:lang w:val="pl-PL"/>
        </w:rPr>
        <w:t xml:space="preserve">Jednakże </w:t>
      </w:r>
      <w:r w:rsidR="005C02AC">
        <w:rPr>
          <w:lang w:val="pl-PL"/>
        </w:rPr>
        <w:t>Trybunał zgodził się, że w sprawach, w których prewencyjne pozbawienie wolności jest przedłużane z powodu konieczności leczenia zaburzenia psychicznego (i w celu leczenia), tak jak to miało miejsce w sprawie skarżącego, w wyniku podjętych reform ustawowych nastąpiła taka zmiana</w:t>
      </w:r>
      <w:r w:rsidR="002415B9">
        <w:rPr>
          <w:lang w:val="pl-PL"/>
        </w:rPr>
        <w:t xml:space="preserve"> natury oraz celu tego środka, </w:t>
      </w:r>
      <w:r w:rsidR="005C02AC">
        <w:rPr>
          <w:lang w:val="pl-PL"/>
        </w:rPr>
        <w:t xml:space="preserve">że aspekt terapeutyczny dominuje nad aspektem penalnym do tego stopnia, że prewencyjne pozbawienie wolności </w:t>
      </w:r>
      <w:r w:rsidR="008E64B5">
        <w:rPr>
          <w:lang w:val="pl-PL"/>
        </w:rPr>
        <w:t>nie może być już kwalifikowane jako kara</w:t>
      </w:r>
      <w:r w:rsidR="005C02AC">
        <w:rPr>
          <w:lang w:val="pl-PL"/>
        </w:rPr>
        <w:t xml:space="preserve"> w rozumieniu art. 7 ust. 1 Konwencji</w:t>
      </w:r>
      <w:r w:rsidR="002415B9">
        <w:rPr>
          <w:lang w:val="pl-PL"/>
        </w:rPr>
        <w:t xml:space="preserve">. </w:t>
      </w:r>
      <w:r w:rsidR="002415B9" w:rsidRPr="003C0532">
        <w:rPr>
          <w:lang w:val="pl-PL"/>
        </w:rPr>
        <w:t xml:space="preserve">Z tych względów Trybunał jednogłośnie uznał, że poddanie skarżącego prewencyjnemu </w:t>
      </w:r>
      <w:r w:rsidR="00B641C2">
        <w:rPr>
          <w:lang w:val="pl-PL"/>
        </w:rPr>
        <w:t xml:space="preserve">pozbawieniu wolności </w:t>
      </w:r>
      <w:r w:rsidR="002415B9" w:rsidRPr="003C0532">
        <w:rPr>
          <w:lang w:val="pl-PL"/>
        </w:rPr>
        <w:t>nie stanowiło naruszenia</w:t>
      </w:r>
      <w:r w:rsidR="002415B9">
        <w:rPr>
          <w:lang w:val="pl-PL"/>
        </w:rPr>
        <w:t xml:space="preserve"> art. 7</w:t>
      </w:r>
      <w:r w:rsidR="002415B9" w:rsidRPr="003C0532">
        <w:rPr>
          <w:lang w:val="pl-PL"/>
        </w:rPr>
        <w:t xml:space="preserve"> Konwencji.</w:t>
      </w:r>
    </w:p>
    <w:p w:rsidR="00C81EBA" w:rsidRPr="003C0532" w:rsidRDefault="00C81EBA" w:rsidP="002415B9">
      <w:pPr>
        <w:spacing w:after="120" w:line="240" w:lineRule="auto"/>
        <w:jc w:val="both"/>
        <w:rPr>
          <w:u w:val="single"/>
          <w:lang w:val="pl-PL"/>
        </w:rPr>
      </w:pPr>
      <w:r w:rsidRPr="00321ED5">
        <w:rPr>
          <w:u w:val="single"/>
          <w:lang w:val="pl-PL"/>
        </w:rPr>
        <w:t>Kontekst wyroku</w:t>
      </w:r>
    </w:p>
    <w:p w:rsidR="00C81EBA" w:rsidRPr="003C0532" w:rsidRDefault="00C81EBA" w:rsidP="001E0F37">
      <w:pPr>
        <w:spacing w:after="120" w:line="240" w:lineRule="auto"/>
        <w:jc w:val="both"/>
        <w:rPr>
          <w:lang w:val="pl-PL"/>
        </w:rPr>
      </w:pPr>
      <w:r w:rsidRPr="003C0532">
        <w:rPr>
          <w:lang w:val="pl-PL"/>
        </w:rPr>
        <w:t xml:space="preserve">Powyższy wyrok powinien być odczytywany w kontekście wcześniejszych </w:t>
      </w:r>
      <w:r w:rsidR="00900ED2">
        <w:rPr>
          <w:lang w:val="pl-PL"/>
        </w:rPr>
        <w:t xml:space="preserve">rozstrzygnięć </w:t>
      </w:r>
      <w:r w:rsidRPr="003C0532">
        <w:rPr>
          <w:lang w:val="pl-PL"/>
        </w:rPr>
        <w:t xml:space="preserve">Trybunału </w:t>
      </w:r>
      <w:r w:rsidR="00900ED2">
        <w:rPr>
          <w:lang w:val="pl-PL"/>
        </w:rPr>
        <w:t>w sprawie instytucji</w:t>
      </w:r>
      <w:r w:rsidRPr="003C0532">
        <w:rPr>
          <w:lang w:val="pl-PL"/>
        </w:rPr>
        <w:t xml:space="preserve"> prewencyjnego </w:t>
      </w:r>
      <w:r w:rsidR="0051194C">
        <w:rPr>
          <w:lang w:val="pl-PL"/>
        </w:rPr>
        <w:t xml:space="preserve">pozbawienia wolności </w:t>
      </w:r>
      <w:r w:rsidRPr="003C0532">
        <w:rPr>
          <w:lang w:val="pl-PL"/>
        </w:rPr>
        <w:t xml:space="preserve">w prawie niemieckim. </w:t>
      </w:r>
    </w:p>
    <w:p w:rsidR="00C81EBA" w:rsidRPr="003C0532" w:rsidRDefault="00C81EBA" w:rsidP="001E0F37">
      <w:pPr>
        <w:spacing w:after="120" w:line="240" w:lineRule="auto"/>
        <w:jc w:val="both"/>
        <w:rPr>
          <w:lang w:val="pl-PL"/>
        </w:rPr>
      </w:pPr>
      <w:r w:rsidRPr="003C0532">
        <w:rPr>
          <w:lang w:val="pl-PL"/>
        </w:rPr>
        <w:t xml:space="preserve">Do utrwalonej tradycji prawa niemieckiego należy rozróżnienie między karą </w:t>
      </w:r>
      <w:r w:rsidR="00900ED2">
        <w:rPr>
          <w:lang w:val="pl-PL"/>
        </w:rPr>
        <w:t>pozbawienia wolności</w:t>
      </w:r>
      <w:r w:rsidRPr="003C0532">
        <w:rPr>
          <w:lang w:val="pl-PL"/>
        </w:rPr>
        <w:t xml:space="preserve">, prewencyjnym </w:t>
      </w:r>
      <w:r w:rsidR="0051194C">
        <w:rPr>
          <w:lang w:val="pl-PL"/>
        </w:rPr>
        <w:t xml:space="preserve">pozbawieniem wolności </w:t>
      </w:r>
      <w:r w:rsidRPr="003C0532">
        <w:rPr>
          <w:lang w:val="pl-PL"/>
        </w:rPr>
        <w:t>i izolacją w</w:t>
      </w:r>
      <w:r w:rsidR="00046B8C">
        <w:rPr>
          <w:lang w:val="pl-PL"/>
        </w:rPr>
        <w:t xml:space="preserve"> zakładzie psychiatrycznym. P</w:t>
      </w:r>
      <w:r w:rsidR="00530764">
        <w:rPr>
          <w:lang w:val="pl-PL"/>
        </w:rPr>
        <w:t>rewencyjne</w:t>
      </w:r>
      <w:r w:rsidRPr="003C0532">
        <w:rPr>
          <w:lang w:val="pl-PL"/>
        </w:rPr>
        <w:t xml:space="preserve"> </w:t>
      </w:r>
      <w:r w:rsidR="0051194C">
        <w:rPr>
          <w:lang w:val="pl-PL"/>
        </w:rPr>
        <w:t xml:space="preserve">pozbawienie wolności </w:t>
      </w:r>
      <w:r w:rsidRPr="003C0532">
        <w:rPr>
          <w:lang w:val="pl-PL"/>
        </w:rPr>
        <w:t xml:space="preserve">co do zasady służy izolacji sprawcy po odbyciu przez niego kary, ze względu na </w:t>
      </w:r>
      <w:r w:rsidR="00046B8C">
        <w:rPr>
          <w:lang w:val="pl-PL"/>
        </w:rPr>
        <w:t>zagrożenie</w:t>
      </w:r>
      <w:r w:rsidR="00530764">
        <w:rPr>
          <w:lang w:val="pl-PL"/>
        </w:rPr>
        <w:t>,</w:t>
      </w:r>
      <w:r w:rsidRPr="003C0532">
        <w:rPr>
          <w:lang w:val="pl-PL"/>
        </w:rPr>
        <w:t xml:space="preserve"> które nadal stanowi dla społeczeństwa. Przez długi czas różnice między warunkami odbywania kary a </w:t>
      </w:r>
      <w:r w:rsidR="000B7633">
        <w:rPr>
          <w:lang w:val="pl-PL"/>
        </w:rPr>
        <w:t xml:space="preserve">wykonywaniem </w:t>
      </w:r>
      <w:r w:rsidRPr="003C0532">
        <w:rPr>
          <w:lang w:val="pl-PL"/>
        </w:rPr>
        <w:t xml:space="preserve">prewencyjnego </w:t>
      </w:r>
      <w:r w:rsidR="000B7633">
        <w:rPr>
          <w:lang w:val="pl-PL"/>
        </w:rPr>
        <w:t xml:space="preserve">pozbawienia wolności </w:t>
      </w:r>
      <w:r w:rsidRPr="003C0532">
        <w:rPr>
          <w:lang w:val="pl-PL"/>
        </w:rPr>
        <w:t xml:space="preserve">były </w:t>
      </w:r>
      <w:r w:rsidR="008D781B">
        <w:rPr>
          <w:lang w:val="pl-PL"/>
        </w:rPr>
        <w:t>względnie</w:t>
      </w:r>
      <w:r w:rsidRPr="003C0532">
        <w:rPr>
          <w:lang w:val="pl-PL"/>
        </w:rPr>
        <w:t xml:space="preserve"> nie</w:t>
      </w:r>
      <w:r w:rsidR="00046B8C">
        <w:rPr>
          <w:lang w:val="pl-PL"/>
        </w:rPr>
        <w:t>wielkie</w:t>
      </w:r>
      <w:r w:rsidRPr="003C0532">
        <w:rPr>
          <w:lang w:val="pl-PL"/>
        </w:rPr>
        <w:t xml:space="preserve">, </w:t>
      </w:r>
      <w:r w:rsidR="00046B8C">
        <w:rPr>
          <w:lang w:val="pl-PL"/>
        </w:rPr>
        <w:t xml:space="preserve">a </w:t>
      </w:r>
      <w:r w:rsidRPr="003C0532">
        <w:rPr>
          <w:lang w:val="pl-PL"/>
        </w:rPr>
        <w:t xml:space="preserve">osoby poddane </w:t>
      </w:r>
      <w:r w:rsidR="000B7633">
        <w:rPr>
          <w:lang w:val="pl-PL"/>
        </w:rPr>
        <w:t xml:space="preserve">mu </w:t>
      </w:r>
      <w:r w:rsidRPr="003C0532">
        <w:rPr>
          <w:lang w:val="pl-PL"/>
        </w:rPr>
        <w:t xml:space="preserve">przebywały przeważnie w wydzielonym skrzydle więzienia, gdzie były poddane stosunkowo mniejszemu rygorowi i miały ograniczony dostęp do terapii. Możliwość zasądzenia </w:t>
      </w:r>
      <w:r w:rsidR="008D781B">
        <w:rPr>
          <w:lang w:val="pl-PL"/>
        </w:rPr>
        <w:t xml:space="preserve">wobec </w:t>
      </w:r>
      <w:r w:rsidRPr="003C0532">
        <w:rPr>
          <w:lang w:val="pl-PL"/>
        </w:rPr>
        <w:t>sprawcy w związku z tym samym czynem kary pozbawienia wolności oraz</w:t>
      </w:r>
      <w:r w:rsidR="00530764">
        <w:rPr>
          <w:lang w:val="pl-PL"/>
        </w:rPr>
        <w:t xml:space="preserve"> </w:t>
      </w:r>
      <w:r w:rsidRPr="003C0532">
        <w:rPr>
          <w:lang w:val="pl-PL"/>
        </w:rPr>
        <w:t xml:space="preserve">prewencyjnego </w:t>
      </w:r>
      <w:r w:rsidR="000B7633">
        <w:rPr>
          <w:lang w:val="pl-PL"/>
        </w:rPr>
        <w:t xml:space="preserve">pozbawienia wolności </w:t>
      </w:r>
      <w:r w:rsidRPr="003C0532">
        <w:rPr>
          <w:lang w:val="pl-PL"/>
        </w:rPr>
        <w:t xml:space="preserve">została wielokrotnie uznana przez niemiecki Federalny Trybunał Konstytucyjny (FTK) za zgodną z </w:t>
      </w:r>
      <w:r w:rsidR="00AC5BA9" w:rsidRPr="003C0532">
        <w:rPr>
          <w:lang w:val="pl-PL"/>
        </w:rPr>
        <w:t xml:space="preserve">ustawą </w:t>
      </w:r>
      <w:r w:rsidRPr="003C0532">
        <w:rPr>
          <w:lang w:val="pl-PL"/>
        </w:rPr>
        <w:t xml:space="preserve">zasadniczą RFN. FTK uznał również za zgodne z konstytucją retroaktywne zniesienie </w:t>
      </w:r>
      <w:r w:rsidR="008D781B">
        <w:rPr>
          <w:lang w:val="pl-PL"/>
        </w:rPr>
        <w:t>w</w:t>
      </w:r>
      <w:r w:rsidR="008D781B" w:rsidRPr="003C0532">
        <w:rPr>
          <w:lang w:val="pl-PL"/>
        </w:rPr>
        <w:t xml:space="preserve"> 1998</w:t>
      </w:r>
      <w:r w:rsidR="008D781B">
        <w:rPr>
          <w:lang w:val="pl-PL"/>
        </w:rPr>
        <w:t xml:space="preserve"> r</w:t>
      </w:r>
      <w:r w:rsidR="008D781B" w:rsidRPr="003C0532">
        <w:rPr>
          <w:lang w:val="pl-PL"/>
        </w:rPr>
        <w:t>.</w:t>
      </w:r>
      <w:r w:rsidR="008D781B">
        <w:rPr>
          <w:lang w:val="pl-PL"/>
        </w:rPr>
        <w:t xml:space="preserve"> </w:t>
      </w:r>
      <w:r w:rsidRPr="003C0532">
        <w:rPr>
          <w:lang w:val="pl-PL"/>
        </w:rPr>
        <w:t xml:space="preserve">górnej granicy </w:t>
      </w:r>
      <w:r w:rsidR="00A04DEA">
        <w:rPr>
          <w:lang w:val="pl-PL"/>
        </w:rPr>
        <w:t>długości</w:t>
      </w:r>
      <w:r w:rsidR="00530764">
        <w:rPr>
          <w:lang w:val="pl-PL"/>
        </w:rPr>
        <w:t xml:space="preserve"> </w:t>
      </w:r>
      <w:r w:rsidR="00A04DEA">
        <w:rPr>
          <w:lang w:val="pl-PL"/>
        </w:rPr>
        <w:t>prewencyjnego</w:t>
      </w:r>
      <w:r w:rsidR="000B7633">
        <w:rPr>
          <w:lang w:val="pl-PL"/>
        </w:rPr>
        <w:t xml:space="preserve"> pozbawienia wolności</w:t>
      </w:r>
      <w:r w:rsidR="008D781B">
        <w:rPr>
          <w:lang w:val="pl-PL"/>
        </w:rPr>
        <w:t>.</w:t>
      </w:r>
    </w:p>
    <w:p w:rsidR="00C81EBA" w:rsidRPr="003C0532" w:rsidRDefault="00C81EBA" w:rsidP="001E0F37">
      <w:pPr>
        <w:spacing w:after="120" w:line="240" w:lineRule="auto"/>
        <w:jc w:val="both"/>
        <w:rPr>
          <w:lang w:val="pl-PL"/>
        </w:rPr>
      </w:pPr>
      <w:r w:rsidRPr="003C0532">
        <w:rPr>
          <w:lang w:val="pl-PL"/>
        </w:rPr>
        <w:t xml:space="preserve">Jedno z takich rozstrzygnięć zostało zaskarżone do Strasburga, w rezultacie czego Trybunał w swoim </w:t>
      </w:r>
      <w:r w:rsidR="00AC5BA9">
        <w:rPr>
          <w:lang w:val="pl-PL"/>
        </w:rPr>
        <w:t xml:space="preserve">wyroku </w:t>
      </w:r>
      <w:r w:rsidRPr="003C0532">
        <w:rPr>
          <w:lang w:val="pl-PL"/>
        </w:rPr>
        <w:t xml:space="preserve">z 17 grudnia 2009 </w:t>
      </w:r>
      <w:r w:rsidR="001C2B0E" w:rsidRPr="003C0532">
        <w:rPr>
          <w:lang w:val="pl-PL"/>
        </w:rPr>
        <w:t>r.</w:t>
      </w:r>
      <w:r w:rsidR="00AC5BA9">
        <w:rPr>
          <w:lang w:val="pl-PL"/>
        </w:rPr>
        <w:t xml:space="preserve"> w sprawie</w:t>
      </w:r>
      <w:r w:rsidRPr="003C0532">
        <w:rPr>
          <w:lang w:val="pl-PL"/>
        </w:rPr>
        <w:t xml:space="preserve"> </w:t>
      </w:r>
      <w:r w:rsidRPr="003C0532">
        <w:rPr>
          <w:i/>
          <w:lang w:val="pl-PL"/>
        </w:rPr>
        <w:t>M</w:t>
      </w:r>
      <w:r w:rsidR="003B4AF6">
        <w:rPr>
          <w:i/>
          <w:lang w:val="pl-PL"/>
        </w:rPr>
        <w:t>.</w:t>
      </w:r>
      <w:r w:rsidRPr="003C0532">
        <w:rPr>
          <w:i/>
          <w:lang w:val="pl-PL"/>
        </w:rPr>
        <w:t xml:space="preserve"> przeciwko Niemcom</w:t>
      </w:r>
      <w:r w:rsidR="00AC5BA9">
        <w:rPr>
          <w:lang w:val="pl-PL"/>
        </w:rPr>
        <w:t xml:space="preserve"> (</w:t>
      </w:r>
      <w:r w:rsidRPr="003C0532">
        <w:rPr>
          <w:lang w:val="pl-PL"/>
        </w:rPr>
        <w:t>nr skargi 19359/04</w:t>
      </w:r>
      <w:r w:rsidR="00AC5BA9">
        <w:rPr>
          <w:lang w:val="pl-PL"/>
        </w:rPr>
        <w:t>)</w:t>
      </w:r>
      <w:r w:rsidRPr="003C0532">
        <w:rPr>
          <w:lang w:val="pl-PL"/>
        </w:rPr>
        <w:t xml:space="preserve"> stwierdził, że Niemcy poprzez takie ukształtowanie prewencyjnego</w:t>
      </w:r>
      <w:r w:rsidR="000B7633">
        <w:rPr>
          <w:lang w:val="pl-PL"/>
        </w:rPr>
        <w:t xml:space="preserve"> pozbawienia wolności</w:t>
      </w:r>
      <w:r w:rsidRPr="003C0532">
        <w:rPr>
          <w:lang w:val="pl-PL"/>
        </w:rPr>
        <w:t xml:space="preserve"> </w:t>
      </w:r>
      <w:r w:rsidR="00AC5BA9">
        <w:rPr>
          <w:lang w:val="pl-PL"/>
        </w:rPr>
        <w:t xml:space="preserve">naruszyły </w:t>
      </w:r>
      <w:r w:rsidRPr="003C0532">
        <w:rPr>
          <w:lang w:val="pl-PL"/>
        </w:rPr>
        <w:t xml:space="preserve">zarówno art. 5 ust. 1 Konwencji </w:t>
      </w:r>
      <w:r w:rsidR="008E64B5">
        <w:rPr>
          <w:lang w:val="pl-PL"/>
        </w:rPr>
        <w:t>(</w:t>
      </w:r>
      <w:r w:rsidR="00046B8C">
        <w:rPr>
          <w:lang w:val="pl-PL"/>
        </w:rPr>
        <w:t>umożliwiając przedłużenie prewencyjnego pozbawienie wolności skarżącego poza termin 10 lat przewidziany w wyroku skazującym</w:t>
      </w:r>
      <w:r w:rsidR="008E64B5">
        <w:rPr>
          <w:lang w:val="pl-PL"/>
        </w:rPr>
        <w:t>),</w:t>
      </w:r>
      <w:r w:rsidR="00046B8C">
        <w:rPr>
          <w:lang w:val="pl-PL"/>
        </w:rPr>
        <w:t xml:space="preserve"> </w:t>
      </w:r>
      <w:r w:rsidRPr="003C0532">
        <w:rPr>
          <w:lang w:val="pl-PL"/>
        </w:rPr>
        <w:t xml:space="preserve">jak </w:t>
      </w:r>
      <w:r w:rsidR="008E64B5">
        <w:rPr>
          <w:lang w:val="pl-PL"/>
        </w:rPr>
        <w:t>również art. 7 ust. 1 Konwencji</w:t>
      </w:r>
      <w:r w:rsidRPr="003C0532">
        <w:rPr>
          <w:lang w:val="pl-PL"/>
        </w:rPr>
        <w:t xml:space="preserve"> </w:t>
      </w:r>
      <w:r w:rsidR="008E64B5">
        <w:rPr>
          <w:lang w:val="pl-PL"/>
        </w:rPr>
        <w:t>(</w:t>
      </w:r>
      <w:r w:rsidRPr="00AC5BA9">
        <w:rPr>
          <w:i/>
          <w:lang w:val="pl-PL"/>
        </w:rPr>
        <w:t>de facto</w:t>
      </w:r>
      <w:r w:rsidRPr="003C0532">
        <w:rPr>
          <w:lang w:val="pl-PL"/>
        </w:rPr>
        <w:t xml:space="preserve"> wymierzając skarżącemu</w:t>
      </w:r>
      <w:r w:rsidR="00AC5BA9">
        <w:rPr>
          <w:lang w:val="pl-PL"/>
        </w:rPr>
        <w:t xml:space="preserve"> karę surowszą</w:t>
      </w:r>
      <w:r w:rsidRPr="003C0532">
        <w:rPr>
          <w:lang w:val="pl-PL"/>
        </w:rPr>
        <w:t xml:space="preserve"> niż </w:t>
      </w:r>
      <w:r w:rsidR="00AC5BA9">
        <w:rPr>
          <w:lang w:val="pl-PL"/>
        </w:rPr>
        <w:t>przewidziana</w:t>
      </w:r>
      <w:r w:rsidRPr="003C0532">
        <w:rPr>
          <w:lang w:val="pl-PL"/>
        </w:rPr>
        <w:t xml:space="preserve"> w chwili popełnienia przez niego przestępstwa</w:t>
      </w:r>
      <w:r w:rsidR="008E64B5">
        <w:rPr>
          <w:lang w:val="pl-PL"/>
        </w:rPr>
        <w:t>)</w:t>
      </w:r>
      <w:r w:rsidRPr="003C0532">
        <w:rPr>
          <w:lang w:val="pl-PL"/>
        </w:rPr>
        <w:t>.</w:t>
      </w:r>
    </w:p>
    <w:p w:rsidR="00C81EBA" w:rsidRPr="003C0532" w:rsidRDefault="00C81EBA" w:rsidP="001E0F37">
      <w:pPr>
        <w:spacing w:after="120" w:line="240" w:lineRule="auto"/>
        <w:jc w:val="both"/>
        <w:rPr>
          <w:i/>
          <w:lang w:val="pl-PL"/>
        </w:rPr>
      </w:pPr>
      <w:r w:rsidRPr="003C0532">
        <w:rPr>
          <w:lang w:val="pl-PL"/>
        </w:rPr>
        <w:lastRenderedPageBreak/>
        <w:t xml:space="preserve">FTK przy okazji następnych skarg konstytucyjnych </w:t>
      </w:r>
      <w:r w:rsidR="00AC5BA9">
        <w:rPr>
          <w:lang w:val="pl-PL"/>
        </w:rPr>
        <w:t>odniósł</w:t>
      </w:r>
      <w:r w:rsidRPr="003C0532">
        <w:rPr>
          <w:lang w:val="pl-PL"/>
        </w:rPr>
        <w:t xml:space="preserve"> się do zarzutów Trybunału. W swoim fundamentalnym wyroku z 4 maja 2011 </w:t>
      </w:r>
      <w:r w:rsidR="001C2B0E" w:rsidRPr="003C0532">
        <w:rPr>
          <w:lang w:val="pl-PL"/>
        </w:rPr>
        <w:t>r.</w:t>
      </w:r>
      <w:r w:rsidRPr="003C0532">
        <w:rPr>
          <w:lang w:val="pl-PL"/>
        </w:rPr>
        <w:t xml:space="preserve"> postanowił zmienić swoje wcześniejsze orzecznictwo </w:t>
      </w:r>
      <w:r w:rsidR="001E0F37">
        <w:rPr>
          <w:lang w:val="pl-PL"/>
        </w:rPr>
        <w:t xml:space="preserve">dotyczące </w:t>
      </w:r>
      <w:r w:rsidRPr="003C0532">
        <w:rPr>
          <w:lang w:val="pl-PL"/>
        </w:rPr>
        <w:t>prewencyjnego</w:t>
      </w:r>
      <w:r w:rsidR="000B7633">
        <w:rPr>
          <w:lang w:val="pl-PL"/>
        </w:rPr>
        <w:t xml:space="preserve"> pozbawienia wolności</w:t>
      </w:r>
      <w:r w:rsidRPr="003C0532">
        <w:rPr>
          <w:lang w:val="pl-PL"/>
        </w:rPr>
        <w:t>, powołując się na rolę</w:t>
      </w:r>
      <w:r w:rsidR="00AC5BA9">
        <w:rPr>
          <w:lang w:val="pl-PL"/>
        </w:rPr>
        <w:t>,</w:t>
      </w:r>
      <w:r w:rsidRPr="003C0532">
        <w:rPr>
          <w:lang w:val="pl-PL"/>
        </w:rPr>
        <w:t xml:space="preserve"> jaką Konwencji przypisuje niemiecka ustawa zasadnicza. Próbując </w:t>
      </w:r>
      <w:r w:rsidR="00AC5BA9">
        <w:rPr>
          <w:lang w:val="pl-PL"/>
        </w:rPr>
        <w:t>po</w:t>
      </w:r>
      <w:r w:rsidRPr="003C0532">
        <w:rPr>
          <w:lang w:val="pl-PL"/>
        </w:rPr>
        <w:t xml:space="preserve">godzić ze sobą niemieckie tradycje prawne i wymogi postawione </w:t>
      </w:r>
      <w:r w:rsidR="001E0F37" w:rsidRPr="003C0532">
        <w:rPr>
          <w:lang w:val="pl-PL"/>
        </w:rPr>
        <w:t>przez Trybunał</w:t>
      </w:r>
      <w:r w:rsidR="001E0F37">
        <w:rPr>
          <w:lang w:val="pl-PL"/>
        </w:rPr>
        <w:t xml:space="preserve"> Strasburski</w:t>
      </w:r>
      <w:r w:rsidR="001E0F37" w:rsidRPr="003C0532">
        <w:rPr>
          <w:lang w:val="pl-PL"/>
        </w:rPr>
        <w:t xml:space="preserve"> </w:t>
      </w:r>
      <w:r w:rsidRPr="003C0532">
        <w:rPr>
          <w:lang w:val="pl-PL"/>
        </w:rPr>
        <w:t xml:space="preserve">w orzeczeniu </w:t>
      </w:r>
      <w:r w:rsidRPr="003C0532">
        <w:rPr>
          <w:i/>
          <w:lang w:val="pl-PL"/>
        </w:rPr>
        <w:t>M</w:t>
      </w:r>
      <w:r w:rsidR="001E0F37">
        <w:rPr>
          <w:i/>
          <w:lang w:val="pl-PL"/>
        </w:rPr>
        <w:t>.</w:t>
      </w:r>
      <w:r w:rsidRPr="003C0532">
        <w:rPr>
          <w:i/>
          <w:lang w:val="pl-PL"/>
        </w:rPr>
        <w:t xml:space="preserve"> przeciwko Niemcom</w:t>
      </w:r>
      <w:r w:rsidRPr="003C0532">
        <w:rPr>
          <w:lang w:val="pl-PL"/>
        </w:rPr>
        <w:t xml:space="preserve">, FTK stwierdził niezgodność z konstytucją dotychczasowych przepisów dotyczących </w:t>
      </w:r>
      <w:r w:rsidR="008E64B5">
        <w:rPr>
          <w:lang w:val="pl-PL"/>
        </w:rPr>
        <w:t xml:space="preserve">retroaktywnego przedłużania lub zarządzania </w:t>
      </w:r>
      <w:r w:rsidRPr="003C0532">
        <w:rPr>
          <w:lang w:val="pl-PL"/>
        </w:rPr>
        <w:t xml:space="preserve">prewencyjnego </w:t>
      </w:r>
      <w:r w:rsidR="000B7633">
        <w:rPr>
          <w:lang w:val="pl-PL"/>
        </w:rPr>
        <w:t>pozbawienia wolności</w:t>
      </w:r>
      <w:r w:rsidR="008E64B5">
        <w:rPr>
          <w:lang w:val="pl-PL"/>
        </w:rPr>
        <w:t>, a także</w:t>
      </w:r>
      <w:r w:rsidR="0081062C">
        <w:rPr>
          <w:lang w:val="pl-PL"/>
        </w:rPr>
        <w:t xml:space="preserve"> przepisów kodeksu karnego dotyczących nakładania i długości trwania takiego środka </w:t>
      </w:r>
      <w:r w:rsidRPr="003C0532">
        <w:rPr>
          <w:lang w:val="pl-PL"/>
        </w:rPr>
        <w:t xml:space="preserve">(wyznaczając 18-miesięczny okres przejściowy) i wskazał, że nowe regulacje muszą w dostatecznym stopniu uwzględniać zasadniczą różnicę między karą </w:t>
      </w:r>
      <w:r w:rsidR="00AC5BA9">
        <w:rPr>
          <w:lang w:val="pl-PL"/>
        </w:rPr>
        <w:t xml:space="preserve">pozbawienia wolności </w:t>
      </w:r>
      <w:r w:rsidRPr="003C0532">
        <w:rPr>
          <w:lang w:val="pl-PL"/>
        </w:rPr>
        <w:t>a prewencyjnym</w:t>
      </w:r>
      <w:r w:rsidR="001E0F37">
        <w:rPr>
          <w:lang w:val="pl-PL"/>
        </w:rPr>
        <w:t xml:space="preserve"> </w:t>
      </w:r>
      <w:r w:rsidR="000B7633">
        <w:rPr>
          <w:lang w:val="pl-PL"/>
        </w:rPr>
        <w:t xml:space="preserve">pozbawienia wolności </w:t>
      </w:r>
      <w:r w:rsidR="001E0F37">
        <w:rPr>
          <w:lang w:val="pl-PL"/>
        </w:rPr>
        <w:t xml:space="preserve">- </w:t>
      </w:r>
      <w:r w:rsidRPr="003C0532">
        <w:rPr>
          <w:lang w:val="pl-PL"/>
        </w:rPr>
        <w:t xml:space="preserve">mającym mieć głównie charakter terapeutyczno-prewencyjny. </w:t>
      </w:r>
    </w:p>
    <w:p w:rsidR="00C81EBA" w:rsidRPr="003C0532" w:rsidRDefault="00C81EBA" w:rsidP="001E0F37">
      <w:pPr>
        <w:spacing w:after="120" w:line="240" w:lineRule="auto"/>
        <w:jc w:val="both"/>
        <w:rPr>
          <w:lang w:val="pl-PL"/>
        </w:rPr>
      </w:pPr>
      <w:r w:rsidRPr="003C0532">
        <w:rPr>
          <w:lang w:val="pl-PL"/>
        </w:rPr>
        <w:t xml:space="preserve">Ustawodawca niemiecki wykonał wyrok FTK poprzez przyjęcie </w:t>
      </w:r>
      <w:r w:rsidR="00AC5BA9" w:rsidRPr="003C0532">
        <w:rPr>
          <w:lang w:val="pl-PL"/>
        </w:rPr>
        <w:t>w grudniu 2012 r.</w:t>
      </w:r>
      <w:r w:rsidR="00AC5BA9">
        <w:rPr>
          <w:lang w:val="pl-PL"/>
        </w:rPr>
        <w:t xml:space="preserve"> </w:t>
      </w:r>
      <w:r w:rsidR="00AC5BA9" w:rsidRPr="003C0532">
        <w:rPr>
          <w:lang w:val="pl-PL"/>
        </w:rPr>
        <w:t xml:space="preserve">ustawy </w:t>
      </w:r>
      <w:r w:rsidRPr="003C0532">
        <w:rPr>
          <w:lang w:val="pl-PL"/>
        </w:rPr>
        <w:t xml:space="preserve">o </w:t>
      </w:r>
      <w:r w:rsidR="004148F7">
        <w:rPr>
          <w:lang w:val="pl-PL"/>
        </w:rPr>
        <w:t xml:space="preserve">stosowaniu </w:t>
      </w:r>
      <w:r w:rsidRPr="003C0532">
        <w:rPr>
          <w:lang w:val="pl-PL"/>
        </w:rPr>
        <w:t>pre</w:t>
      </w:r>
      <w:r w:rsidR="001E0F37">
        <w:rPr>
          <w:lang w:val="pl-PL"/>
        </w:rPr>
        <w:t>wencyjnego</w:t>
      </w:r>
      <w:r w:rsidR="000B7633">
        <w:rPr>
          <w:lang w:val="pl-PL"/>
        </w:rPr>
        <w:t xml:space="preserve"> pozbawienia wolności</w:t>
      </w:r>
      <w:r w:rsidR="001E0F37">
        <w:rPr>
          <w:lang w:val="pl-PL"/>
        </w:rPr>
        <w:t>. Ustawa zakładała m.</w:t>
      </w:r>
      <w:r w:rsidRPr="003C0532">
        <w:rPr>
          <w:lang w:val="pl-PL"/>
        </w:rPr>
        <w:t xml:space="preserve">in. uzależnienie </w:t>
      </w:r>
      <w:r w:rsidR="009F6BCB">
        <w:rPr>
          <w:lang w:val="pl-PL"/>
        </w:rPr>
        <w:t>przedłużenia</w:t>
      </w:r>
      <w:r w:rsidR="00530764">
        <w:rPr>
          <w:lang w:val="pl-PL"/>
        </w:rPr>
        <w:t xml:space="preserve"> </w:t>
      </w:r>
      <w:r w:rsidRPr="003C0532">
        <w:rPr>
          <w:lang w:val="pl-PL"/>
        </w:rPr>
        <w:t xml:space="preserve">prewencyjnego </w:t>
      </w:r>
      <w:r w:rsidR="000B7633">
        <w:rPr>
          <w:lang w:val="pl-PL"/>
        </w:rPr>
        <w:t>pozbawienia wolności</w:t>
      </w:r>
      <w:r w:rsidR="000B7633" w:rsidRPr="003C0532">
        <w:rPr>
          <w:lang w:val="pl-PL"/>
        </w:rPr>
        <w:t xml:space="preserve"> </w:t>
      </w:r>
      <w:r w:rsidRPr="003C0532">
        <w:rPr>
          <w:lang w:val="pl-PL"/>
        </w:rPr>
        <w:t xml:space="preserve">od występowania u sprawcy zaburzeń psychicznych oraz dostosowanie warunków </w:t>
      </w:r>
      <w:r w:rsidR="00530764">
        <w:rPr>
          <w:lang w:val="pl-PL"/>
        </w:rPr>
        <w:t>zatrzymania</w:t>
      </w:r>
      <w:r w:rsidRPr="003C0532">
        <w:rPr>
          <w:lang w:val="pl-PL"/>
        </w:rPr>
        <w:t xml:space="preserve"> prewencyjnego do jego terapeutyczno-prewencyjnej funkcji. </w:t>
      </w:r>
    </w:p>
    <w:p w:rsidR="00C81EBA" w:rsidRPr="003C0532" w:rsidRDefault="00C81EBA" w:rsidP="001E0F37">
      <w:pPr>
        <w:spacing w:after="120" w:line="240" w:lineRule="auto"/>
        <w:jc w:val="both"/>
        <w:rPr>
          <w:lang w:val="pl-PL"/>
        </w:rPr>
      </w:pPr>
      <w:r w:rsidRPr="003C0532">
        <w:rPr>
          <w:lang w:val="pl-PL"/>
        </w:rPr>
        <w:t xml:space="preserve">Wyrok w sprawie </w:t>
      </w:r>
      <w:proofErr w:type="spellStart"/>
      <w:r w:rsidRPr="003C0532">
        <w:rPr>
          <w:i/>
          <w:lang w:val="pl-PL"/>
        </w:rPr>
        <w:t>Bergmann</w:t>
      </w:r>
      <w:proofErr w:type="spellEnd"/>
      <w:r w:rsidRPr="003C0532">
        <w:rPr>
          <w:i/>
          <w:lang w:val="pl-PL"/>
        </w:rPr>
        <w:t xml:space="preserve"> przeciwko Niemcom</w:t>
      </w:r>
      <w:r w:rsidRPr="003C0532">
        <w:rPr>
          <w:lang w:val="pl-PL"/>
        </w:rPr>
        <w:t xml:space="preserve"> stanowi tym samym zwieńczenie wieloletniego dialogu pomiędzy Trybunałem a FTK: najpierw w wyroku </w:t>
      </w:r>
      <w:r w:rsidRPr="003C0532">
        <w:rPr>
          <w:i/>
          <w:lang w:val="pl-PL"/>
        </w:rPr>
        <w:t>M. przeciwko Niemcom</w:t>
      </w:r>
      <w:r w:rsidRPr="003C0532">
        <w:rPr>
          <w:lang w:val="pl-PL"/>
        </w:rPr>
        <w:t xml:space="preserve"> Trybunał wskazał Niemcom, że ich długoletnia praktyka, usankcjonowana orzecznictwem FTK, stanowiła naruszenie Konwencji. Następnie FTK, odnosząc się szeroko do orzecznictwa strasburskiego zmienił swoją ocenę konstytucyjności instytucji prewencyjnego </w:t>
      </w:r>
      <w:r w:rsidR="000B7633">
        <w:rPr>
          <w:lang w:val="pl-PL"/>
        </w:rPr>
        <w:t>pozbawienia wolności</w:t>
      </w:r>
      <w:r w:rsidR="000B7633" w:rsidRPr="003C0532">
        <w:rPr>
          <w:lang w:val="pl-PL"/>
        </w:rPr>
        <w:t xml:space="preserve"> </w:t>
      </w:r>
      <w:r w:rsidRPr="003C0532">
        <w:rPr>
          <w:lang w:val="pl-PL"/>
        </w:rPr>
        <w:t xml:space="preserve">w zastanym kształcie, jednocześnie wskazując warunki, pod którymi mogłaby ona spełniać wymogi konstytucyjności i być zgodna z Konwencją. Wreszcie Trybunał </w:t>
      </w:r>
      <w:r w:rsidR="00AC5BA9">
        <w:rPr>
          <w:lang w:val="pl-PL"/>
        </w:rPr>
        <w:t xml:space="preserve">Strasburski </w:t>
      </w:r>
      <w:r w:rsidRPr="003C0532">
        <w:rPr>
          <w:lang w:val="pl-PL"/>
        </w:rPr>
        <w:t xml:space="preserve">w wyroku będącym przedmiotem niniejszego omówienia zbadał warunki prewencyjnego </w:t>
      </w:r>
      <w:r w:rsidR="000B7633">
        <w:rPr>
          <w:lang w:val="pl-PL"/>
        </w:rPr>
        <w:t>pozbawienia wolności</w:t>
      </w:r>
      <w:r w:rsidR="000B7633" w:rsidRPr="003C0532">
        <w:rPr>
          <w:lang w:val="pl-PL"/>
        </w:rPr>
        <w:t xml:space="preserve"> </w:t>
      </w:r>
      <w:r w:rsidRPr="003C0532">
        <w:rPr>
          <w:lang w:val="pl-PL"/>
        </w:rPr>
        <w:t xml:space="preserve">prowadzonego w sposób określony w wyroku FTK i uznał je za zgodne z Konwencją. </w:t>
      </w:r>
    </w:p>
    <w:p w:rsidR="00C81EBA" w:rsidRPr="003C0532" w:rsidRDefault="00C81EBA" w:rsidP="001E0F37">
      <w:pPr>
        <w:spacing w:after="120" w:line="240" w:lineRule="auto"/>
        <w:jc w:val="both"/>
        <w:rPr>
          <w:lang w:val="pl-PL"/>
        </w:rPr>
      </w:pPr>
      <w:r w:rsidRPr="003C0532">
        <w:rPr>
          <w:u w:val="single"/>
          <w:lang w:val="pl-PL"/>
        </w:rPr>
        <w:t>Znaczenie wyroku dla Polski</w:t>
      </w:r>
      <w:r w:rsidRPr="003C0532">
        <w:rPr>
          <w:lang w:val="pl-PL"/>
        </w:rPr>
        <w:t xml:space="preserve"> – </w:t>
      </w:r>
      <w:r w:rsidR="00AC5BA9">
        <w:rPr>
          <w:lang w:val="pl-PL"/>
        </w:rPr>
        <w:t xml:space="preserve">wyrok </w:t>
      </w:r>
      <w:r w:rsidR="00AC5BA9" w:rsidRPr="003C0532">
        <w:rPr>
          <w:lang w:val="pl-PL"/>
        </w:rPr>
        <w:t xml:space="preserve">wskazuje dość szczegółowo, w jakich warunkach </w:t>
      </w:r>
      <w:r w:rsidR="00985C36">
        <w:rPr>
          <w:lang w:val="pl-PL"/>
        </w:rPr>
        <w:t xml:space="preserve">retroaktywne </w:t>
      </w:r>
      <w:r w:rsidR="00530764">
        <w:rPr>
          <w:lang w:val="pl-PL"/>
        </w:rPr>
        <w:t>prewencyjne</w:t>
      </w:r>
      <w:r w:rsidR="00AC5BA9" w:rsidRPr="003C0532">
        <w:rPr>
          <w:lang w:val="pl-PL"/>
        </w:rPr>
        <w:t xml:space="preserve"> </w:t>
      </w:r>
      <w:r w:rsidR="000B7633">
        <w:rPr>
          <w:lang w:val="pl-PL"/>
        </w:rPr>
        <w:t>pozbawienia wolności</w:t>
      </w:r>
      <w:r w:rsidR="000B7633" w:rsidRPr="003C0532">
        <w:rPr>
          <w:lang w:val="pl-PL"/>
        </w:rPr>
        <w:t xml:space="preserve"> </w:t>
      </w:r>
      <w:r w:rsidR="00AC5BA9" w:rsidRPr="003C0532">
        <w:rPr>
          <w:lang w:val="pl-PL"/>
        </w:rPr>
        <w:t xml:space="preserve">sprawców szczególnie niebezpiecznych może być </w:t>
      </w:r>
      <w:r w:rsidR="002415B9">
        <w:rPr>
          <w:lang w:val="pl-PL"/>
        </w:rPr>
        <w:t>stosowane</w:t>
      </w:r>
      <w:r w:rsidR="00AC5BA9" w:rsidRPr="003C0532">
        <w:rPr>
          <w:lang w:val="pl-PL"/>
        </w:rPr>
        <w:t xml:space="preserve"> w sposób zgodny z Konwencją.</w:t>
      </w:r>
      <w:r w:rsidR="00AC5BA9">
        <w:rPr>
          <w:lang w:val="pl-PL"/>
        </w:rPr>
        <w:t xml:space="preserve"> W</w:t>
      </w:r>
      <w:r w:rsidRPr="003C0532">
        <w:rPr>
          <w:lang w:val="pl-PL"/>
        </w:rPr>
        <w:t xml:space="preserve">arto </w:t>
      </w:r>
      <w:r w:rsidR="00AC5BA9">
        <w:rPr>
          <w:lang w:val="pl-PL"/>
        </w:rPr>
        <w:t xml:space="preserve">go szczegółowo </w:t>
      </w:r>
      <w:r w:rsidRPr="003C0532">
        <w:rPr>
          <w:lang w:val="pl-PL"/>
        </w:rPr>
        <w:t xml:space="preserve">przeanalizować </w:t>
      </w:r>
      <w:r w:rsidR="0081062C">
        <w:rPr>
          <w:lang w:val="pl-PL"/>
        </w:rPr>
        <w:t xml:space="preserve">(obecna informacja ma charakter jedynie sygnalizacyjny), w szczególności </w:t>
      </w:r>
      <w:r w:rsidRPr="003C0532">
        <w:rPr>
          <w:lang w:val="pl-PL"/>
        </w:rPr>
        <w:t xml:space="preserve">w kontekście zgodności z Konwencją </w:t>
      </w:r>
      <w:r w:rsidR="00985C36" w:rsidRPr="00985C36">
        <w:rPr>
          <w:i/>
          <w:lang w:val="pl-PL"/>
        </w:rPr>
        <w:t>ustawy z 22 listopada 2013 r. o postępowaniu wobec osób z zaburzeniami psychicznymi stwarzających zagrożenie życia, zdrowia lub wolności seksualnej innych osób</w:t>
      </w:r>
      <w:r w:rsidR="00AC5BA9">
        <w:rPr>
          <w:lang w:val="pl-PL"/>
        </w:rPr>
        <w:t xml:space="preserve">. Wyrok stanowi również interesujący przykład </w:t>
      </w:r>
      <w:r w:rsidRPr="003C0532">
        <w:rPr>
          <w:lang w:val="pl-PL"/>
        </w:rPr>
        <w:t>dialog</w:t>
      </w:r>
      <w:r w:rsidR="00AC5BA9">
        <w:rPr>
          <w:lang w:val="pl-PL"/>
        </w:rPr>
        <w:t>u</w:t>
      </w:r>
      <w:r w:rsidRPr="003C0532">
        <w:rPr>
          <w:lang w:val="pl-PL"/>
        </w:rPr>
        <w:t xml:space="preserve"> między krajowym sądem konstytucyjnym a Trybunałem</w:t>
      </w:r>
      <w:r w:rsidR="00AC5BA9">
        <w:rPr>
          <w:lang w:val="pl-PL"/>
        </w:rPr>
        <w:t xml:space="preserve"> Strasburskim, prowadzącego</w:t>
      </w:r>
      <w:r w:rsidRPr="003C0532">
        <w:rPr>
          <w:lang w:val="pl-PL"/>
        </w:rPr>
        <w:t xml:space="preserve"> do nadania problematycznej instytucji prawa krajowego kształtu będącego do pogodzenia z Konwencją.</w:t>
      </w:r>
    </w:p>
    <w:p w:rsidR="00124EB4" w:rsidRDefault="00124EB4" w:rsidP="00124EB4">
      <w:pPr>
        <w:pStyle w:val="Nagwek2"/>
        <w:numPr>
          <w:ilvl w:val="0"/>
          <w:numId w:val="29"/>
        </w:numPr>
        <w:spacing w:before="480"/>
      </w:pPr>
      <w:bookmarkStart w:id="8" w:name="_Toc449106387"/>
      <w:proofErr w:type="spellStart"/>
      <w:r w:rsidRPr="00124EB4">
        <w:t>Szabó</w:t>
      </w:r>
      <w:proofErr w:type="spellEnd"/>
      <w:r w:rsidRPr="00124EB4">
        <w:t xml:space="preserve"> i </w:t>
      </w:r>
      <w:proofErr w:type="spellStart"/>
      <w:r w:rsidRPr="00124EB4">
        <w:t>Vissy</w:t>
      </w:r>
      <w:proofErr w:type="spellEnd"/>
      <w:r w:rsidRPr="00124EB4">
        <w:t xml:space="preserve"> p. </w:t>
      </w:r>
      <w:proofErr w:type="spellStart"/>
      <w:r w:rsidRPr="00124EB4">
        <w:t>Wegrom</w:t>
      </w:r>
      <w:proofErr w:type="spellEnd"/>
      <w:r w:rsidR="008F715D">
        <w:t>,</w:t>
      </w:r>
      <w:r w:rsidRPr="00124EB4">
        <w:t xml:space="preserve"> skarga nr 37138/14</w:t>
      </w:r>
      <w:r w:rsidR="002D6A05">
        <w:t>, wyrok Izby z</w:t>
      </w:r>
      <w:r w:rsidRPr="00124EB4">
        <w:t xml:space="preserve"> 12</w:t>
      </w:r>
      <w:r w:rsidR="002D6A05">
        <w:t>.01.</w:t>
      </w:r>
      <w:r w:rsidRPr="00124EB4">
        <w:t>2016 r</w:t>
      </w:r>
      <w:r w:rsidRPr="00364A22">
        <w:t>.</w:t>
      </w:r>
      <w:r w:rsidR="002D6A05">
        <w:t>, nieostateczny</w:t>
      </w:r>
      <w:bookmarkEnd w:id="8"/>
    </w:p>
    <w:p w:rsidR="00F024DF" w:rsidRDefault="00F024DF" w:rsidP="00487A59">
      <w:pPr>
        <w:pStyle w:val="Akapitzlist"/>
        <w:keepNext/>
        <w:keepLines/>
        <w:numPr>
          <w:ilvl w:val="0"/>
          <w:numId w:val="38"/>
        </w:numPr>
        <w:spacing w:after="120" w:line="240" w:lineRule="auto"/>
        <w:ind w:left="357" w:hanging="357"/>
        <w:contextualSpacing w:val="0"/>
        <w:jc w:val="both"/>
        <w:outlineLvl w:val="2"/>
        <w:rPr>
          <w:b/>
          <w:color w:val="000000" w:themeColor="text1"/>
          <w:lang w:val="pl-PL"/>
        </w:rPr>
      </w:pPr>
      <w:bookmarkStart w:id="9" w:name="_Toc443313896"/>
      <w:bookmarkStart w:id="10" w:name="_Toc449106388"/>
      <w:r>
        <w:rPr>
          <w:b/>
          <w:color w:val="000000" w:themeColor="text1"/>
          <w:lang w:val="pl-PL"/>
        </w:rPr>
        <w:t xml:space="preserve">z uwagi na brak wystarczających środków krajowych i ogólny zakres zastosowania ustawodawstwa dotyczącego tajnej kontroli połączeń – przyznanie statusu ofiary (art. 34 Konwencji) w odniesieniu do skarżących, którzy skarżyli się na system prawny dotyczący kontroli połączeń i ryzyko podlegania mu, a nie na konkretne środki kontroli zastosowane wobec </w:t>
      </w:r>
      <w:bookmarkEnd w:id="9"/>
      <w:r>
        <w:rPr>
          <w:b/>
          <w:color w:val="000000" w:themeColor="text1"/>
          <w:lang w:val="pl-PL"/>
        </w:rPr>
        <w:t>nich</w:t>
      </w:r>
      <w:bookmarkEnd w:id="10"/>
    </w:p>
    <w:p w:rsidR="00F024DF" w:rsidRDefault="00F024DF" w:rsidP="00487A59">
      <w:pPr>
        <w:pStyle w:val="Akapitzlist"/>
        <w:keepNext/>
        <w:keepLines/>
        <w:numPr>
          <w:ilvl w:val="0"/>
          <w:numId w:val="38"/>
        </w:numPr>
        <w:spacing w:after="240" w:line="240" w:lineRule="auto"/>
        <w:ind w:left="357" w:hanging="357"/>
        <w:contextualSpacing w:val="0"/>
        <w:jc w:val="both"/>
        <w:outlineLvl w:val="2"/>
        <w:rPr>
          <w:b/>
          <w:color w:val="000000" w:themeColor="text1"/>
          <w:lang w:val="pl-PL"/>
        </w:rPr>
      </w:pPr>
      <w:bookmarkStart w:id="11" w:name="_Toc449106389"/>
      <w:bookmarkStart w:id="12" w:name="_Toc443313897"/>
      <w:r>
        <w:rPr>
          <w:b/>
          <w:color w:val="000000" w:themeColor="text1"/>
          <w:lang w:val="pl-PL"/>
        </w:rPr>
        <w:t xml:space="preserve">zbadanie przez Trybunał  ustawodawstwa krajowego </w:t>
      </w:r>
      <w:r>
        <w:rPr>
          <w:b/>
          <w:i/>
          <w:color w:val="000000" w:themeColor="text1"/>
          <w:lang w:val="pl-PL"/>
        </w:rPr>
        <w:t xml:space="preserve">in </w:t>
      </w:r>
      <w:proofErr w:type="spellStart"/>
      <w:r>
        <w:rPr>
          <w:b/>
          <w:i/>
          <w:color w:val="000000" w:themeColor="text1"/>
          <w:lang w:val="pl-PL"/>
        </w:rPr>
        <w:t>abstracto</w:t>
      </w:r>
      <w:proofErr w:type="spellEnd"/>
      <w:r>
        <w:rPr>
          <w:b/>
          <w:color w:val="000000" w:themeColor="text1"/>
          <w:lang w:val="pl-PL"/>
        </w:rPr>
        <w:t xml:space="preserve"> i stwierdzenie naruszenia art. 8 Konwencji (prawo do poszanowania życia prywatnego i korespondencji) z uwagi na niewystarczające regulacje prawne i </w:t>
      </w:r>
      <w:r w:rsidR="00667D25">
        <w:rPr>
          <w:b/>
          <w:color w:val="000000" w:themeColor="text1"/>
          <w:lang w:val="pl-PL"/>
        </w:rPr>
        <w:t>brak gwarancji</w:t>
      </w:r>
      <w:r>
        <w:rPr>
          <w:b/>
          <w:color w:val="000000" w:themeColor="text1"/>
          <w:lang w:val="pl-PL"/>
        </w:rPr>
        <w:t xml:space="preserve"> przeciw nadużyciom </w:t>
      </w:r>
      <w:r w:rsidR="00667D25">
        <w:rPr>
          <w:b/>
          <w:color w:val="000000" w:themeColor="text1"/>
          <w:lang w:val="pl-PL"/>
        </w:rPr>
        <w:t>w systemie umożliwiającym</w:t>
      </w:r>
      <w:r>
        <w:rPr>
          <w:b/>
          <w:color w:val="000000" w:themeColor="text1"/>
          <w:lang w:val="pl-PL"/>
        </w:rPr>
        <w:t xml:space="preserve"> tajną kontrolę połączeń</w:t>
      </w:r>
      <w:bookmarkEnd w:id="11"/>
      <w:r>
        <w:rPr>
          <w:b/>
          <w:color w:val="000000" w:themeColor="text1"/>
          <w:lang w:val="pl-PL"/>
        </w:rPr>
        <w:t xml:space="preserve"> </w:t>
      </w:r>
      <w:bookmarkEnd w:id="12"/>
    </w:p>
    <w:p w:rsidR="00331C32" w:rsidRPr="00331C32" w:rsidRDefault="00331C32" w:rsidP="00A46951">
      <w:pPr>
        <w:spacing w:after="120" w:line="240" w:lineRule="auto"/>
        <w:ind w:right="284"/>
        <w:jc w:val="both"/>
        <w:rPr>
          <w:rFonts w:cs="Helvetica"/>
          <w:u w:val="single"/>
          <w:lang w:val="pl-PL"/>
        </w:rPr>
      </w:pPr>
      <w:r w:rsidRPr="00331C32">
        <w:rPr>
          <w:rFonts w:cs="Helvetica"/>
          <w:u w:val="single"/>
          <w:lang w:val="pl-PL"/>
        </w:rPr>
        <w:t>Stan faktyczny i zarzuty skarżących</w:t>
      </w:r>
    </w:p>
    <w:p w:rsidR="00124EB4" w:rsidRPr="00124EB4" w:rsidRDefault="004C349F" w:rsidP="00A46951">
      <w:pPr>
        <w:spacing w:after="120" w:line="240" w:lineRule="auto"/>
        <w:ind w:right="284"/>
        <w:jc w:val="both"/>
        <w:rPr>
          <w:rFonts w:cs="Helvetica"/>
          <w:lang w:val="pl-PL"/>
        </w:rPr>
      </w:pPr>
      <w:r w:rsidRPr="00F21238">
        <w:rPr>
          <w:rFonts w:cs="Arial"/>
          <w:iCs/>
          <w:lang w:val="pl-PL"/>
        </w:rPr>
        <w:t xml:space="preserve">W </w:t>
      </w:r>
      <w:r w:rsidR="008F715D">
        <w:rPr>
          <w:rFonts w:cs="Arial"/>
          <w:iCs/>
          <w:lang w:val="pl-PL"/>
        </w:rPr>
        <w:t>ramach p</w:t>
      </w:r>
      <w:r w:rsidR="00124EB4" w:rsidRPr="00124EB4">
        <w:rPr>
          <w:rFonts w:cs="Helvetica,Italic"/>
          <w:iCs/>
          <w:lang w:val="pl-PL"/>
        </w:rPr>
        <w:t xml:space="preserve">olicji węgierskiej od 1 stycznia 2011 r. funkcjonuje Specjalna Jednostka Antyterrorystyczna (TEK), której uprawnienia zostały określone w art. 7/E ustawy nr XXXIV z 1994 r. o </w:t>
      </w:r>
      <w:r w:rsidR="00487A59" w:rsidRPr="00124EB4">
        <w:rPr>
          <w:rFonts w:cs="Helvetica,Italic"/>
          <w:iCs/>
          <w:lang w:val="pl-PL"/>
        </w:rPr>
        <w:t>policji</w:t>
      </w:r>
      <w:r w:rsidR="00124EB4" w:rsidRPr="00124EB4">
        <w:rPr>
          <w:rFonts w:cs="Helvetica,Italic"/>
          <w:iCs/>
          <w:lang w:val="pl-PL"/>
        </w:rPr>
        <w:t>, znowelizowanej ustawą nr CCVII z 2011 r. Zgodnie z przepisami uprawnieni</w:t>
      </w:r>
      <w:r w:rsidR="00124EB4" w:rsidRPr="00124EB4">
        <w:rPr>
          <w:rFonts w:cs="Arial"/>
          <w:iCs/>
          <w:lang w:val="pl-PL"/>
        </w:rPr>
        <w:t xml:space="preserve">a tej jednostki </w:t>
      </w:r>
      <w:r w:rsidR="00124EB4" w:rsidRPr="00124EB4">
        <w:rPr>
          <w:rFonts w:cs="Helvetica,Italic"/>
          <w:iCs/>
          <w:lang w:val="pl-PL"/>
        </w:rPr>
        <w:t xml:space="preserve">w dziedzinie gromadzenia tajnych informacji obejmują tajne przeszukania domów i </w:t>
      </w:r>
      <w:r w:rsidR="00124EB4" w:rsidRPr="00124EB4">
        <w:rPr>
          <w:rFonts w:cs="Helvetica,Italic"/>
          <w:iCs/>
          <w:lang w:val="pl-PL"/>
        </w:rPr>
        <w:lastRenderedPageBreak/>
        <w:t>inwigilację w drodze rejestrowania rozmów, otwieranie listów i paczek, kontrolę i rejestrowanie treści korespondencji elektronicznej lub połączeń za poś</w:t>
      </w:r>
      <w:r w:rsidR="00124EB4" w:rsidRPr="00124EB4">
        <w:rPr>
          <w:rFonts w:cs="Arial"/>
          <w:iCs/>
          <w:lang w:val="pl-PL"/>
        </w:rPr>
        <w:t>rednictwem komputera.</w:t>
      </w:r>
      <w:r w:rsidR="00124EB4" w:rsidRPr="00124EB4">
        <w:rPr>
          <w:rFonts w:cs="Helvetica,Italic"/>
          <w:iCs/>
          <w:lang w:val="pl-PL"/>
        </w:rPr>
        <w:tab/>
      </w:r>
    </w:p>
    <w:p w:rsidR="00124EB4" w:rsidRDefault="00124EB4" w:rsidP="00A46951">
      <w:pPr>
        <w:autoSpaceDE w:val="0"/>
        <w:autoSpaceDN w:val="0"/>
        <w:adjustRightInd w:val="0"/>
        <w:spacing w:after="120" w:line="240" w:lineRule="auto"/>
        <w:ind w:right="284"/>
        <w:jc w:val="both"/>
        <w:rPr>
          <w:rFonts w:cs="Helvetica"/>
          <w:lang w:val="pl-PL"/>
        </w:rPr>
      </w:pPr>
      <w:r w:rsidRPr="00124EB4">
        <w:rPr>
          <w:rFonts w:cs="Helvetica"/>
          <w:lang w:val="pl-PL"/>
        </w:rPr>
        <w:t xml:space="preserve">Skarżący </w:t>
      </w:r>
      <w:proofErr w:type="spellStart"/>
      <w:r w:rsidRPr="00124EB4">
        <w:rPr>
          <w:rFonts w:cs="Helvetica"/>
          <w:lang w:val="pl-PL"/>
        </w:rPr>
        <w:t>Máté</w:t>
      </w:r>
      <w:proofErr w:type="spellEnd"/>
      <w:r w:rsidRPr="00124EB4">
        <w:rPr>
          <w:rFonts w:cs="Helvetica"/>
          <w:lang w:val="pl-PL"/>
        </w:rPr>
        <w:t xml:space="preserve"> </w:t>
      </w:r>
      <w:proofErr w:type="spellStart"/>
      <w:r w:rsidRPr="00124EB4">
        <w:rPr>
          <w:lang w:val="pl-PL"/>
        </w:rPr>
        <w:t>Szabó</w:t>
      </w:r>
      <w:proofErr w:type="spellEnd"/>
      <w:r w:rsidRPr="00124EB4">
        <w:rPr>
          <w:lang w:val="pl-PL"/>
        </w:rPr>
        <w:t xml:space="preserve"> i </w:t>
      </w:r>
      <w:proofErr w:type="spellStart"/>
      <w:r w:rsidRPr="00124EB4">
        <w:rPr>
          <w:lang w:val="pl-PL"/>
        </w:rPr>
        <w:t>Beatrix</w:t>
      </w:r>
      <w:proofErr w:type="spellEnd"/>
      <w:r w:rsidRPr="00124EB4">
        <w:rPr>
          <w:lang w:val="pl-PL"/>
        </w:rPr>
        <w:t xml:space="preserve"> </w:t>
      </w:r>
      <w:proofErr w:type="spellStart"/>
      <w:r w:rsidRPr="00124EB4">
        <w:rPr>
          <w:lang w:val="pl-PL"/>
        </w:rPr>
        <w:t>Vissy</w:t>
      </w:r>
      <w:proofErr w:type="spellEnd"/>
      <w:r w:rsidRPr="00124EB4">
        <w:rPr>
          <w:lang w:val="pl-PL"/>
        </w:rPr>
        <w:t xml:space="preserve">, obywatele Węgier, </w:t>
      </w:r>
      <w:r w:rsidRPr="00124EB4">
        <w:rPr>
          <w:rFonts w:cs="Helvetica"/>
          <w:lang w:val="pl-PL"/>
        </w:rPr>
        <w:t xml:space="preserve">w skardze do Trybunału zarzucili, powołując się na art. 8 Konwencji, że potencjalnie mogą być poddani nieuzasadnionym i nieproporcjonalnym ingerencjom władzy w sferę ich życia prywatnego na podstawie węgierskich regulacji prawnych dotyczących tajnej kontroli. W szczególności skarżący zarzucili ingerencję w ich </w:t>
      </w:r>
      <w:r w:rsidR="00331C32">
        <w:rPr>
          <w:rFonts w:cs="Helvetica"/>
          <w:lang w:val="pl-PL"/>
        </w:rPr>
        <w:t>mieszkanie</w:t>
      </w:r>
      <w:r w:rsidRPr="00124EB4">
        <w:rPr>
          <w:rFonts w:cs="Helvetica"/>
          <w:lang w:val="pl-PL"/>
        </w:rPr>
        <w:t>, połączenia i prywatność komunikowania się z powodu samego istnienia prawa zezwalającego na tajną kontrolę oraz brak mechanizmu zabezpiecz</w:t>
      </w:r>
      <w:r w:rsidR="008F715D">
        <w:rPr>
          <w:rFonts w:cs="Helvetica"/>
          <w:lang w:val="pl-PL"/>
        </w:rPr>
        <w:t>ającego</w:t>
      </w:r>
      <w:r w:rsidRPr="00124EB4">
        <w:rPr>
          <w:rFonts w:cs="Helvetica"/>
          <w:lang w:val="pl-PL"/>
        </w:rPr>
        <w:t xml:space="preserve"> przed arbitralną ingere</w:t>
      </w:r>
      <w:r w:rsidR="00331C32">
        <w:rPr>
          <w:rFonts w:cs="Helvetica"/>
          <w:lang w:val="pl-PL"/>
        </w:rPr>
        <w:t>ncją</w:t>
      </w:r>
      <w:r w:rsidRPr="00124EB4">
        <w:rPr>
          <w:rFonts w:cs="Helvetica"/>
          <w:lang w:val="pl-PL"/>
        </w:rPr>
        <w:t xml:space="preserve"> władz. Ponadto twierdzili, że ich sytuacje osobiste i zawodowe nie uzasadniały inwigilacji. Uważali jednak, że byli narażeni na szczególne ryzyko inwigilacji z powodu zatrudnienia w organizacjach pozar</w:t>
      </w:r>
      <w:r w:rsidR="00F21238">
        <w:rPr>
          <w:rFonts w:cs="Helvetica"/>
          <w:lang w:val="pl-PL"/>
        </w:rPr>
        <w:t xml:space="preserve">ządowych krytykujących rząd. </w:t>
      </w:r>
    </w:p>
    <w:p w:rsidR="00124EB4" w:rsidRDefault="00124EB4" w:rsidP="00A46951">
      <w:pPr>
        <w:autoSpaceDE w:val="0"/>
        <w:autoSpaceDN w:val="0"/>
        <w:adjustRightInd w:val="0"/>
        <w:spacing w:after="120" w:line="240" w:lineRule="auto"/>
        <w:ind w:right="284"/>
        <w:jc w:val="both"/>
        <w:rPr>
          <w:rFonts w:cs="Helvetica"/>
          <w:lang w:val="pl-PL"/>
        </w:rPr>
      </w:pPr>
      <w:r w:rsidRPr="00124EB4">
        <w:rPr>
          <w:rFonts w:cs="Helvetica"/>
          <w:lang w:val="pl-PL"/>
        </w:rPr>
        <w:t>Skarżący twierdzili</w:t>
      </w:r>
      <w:r w:rsidR="00F21238">
        <w:rPr>
          <w:rFonts w:cs="Helvetica"/>
          <w:lang w:val="pl-PL"/>
        </w:rPr>
        <w:t xml:space="preserve"> też</w:t>
      </w:r>
      <w:r w:rsidRPr="00124EB4">
        <w:rPr>
          <w:rFonts w:cs="Helvetica"/>
          <w:lang w:val="pl-PL"/>
        </w:rPr>
        <w:t xml:space="preserve">, że narażenie na tajną inwigilację bez kontroli sądowej </w:t>
      </w:r>
      <w:r w:rsidR="00F21238">
        <w:rPr>
          <w:rFonts w:cs="Helvetica"/>
          <w:lang w:val="pl-PL"/>
        </w:rPr>
        <w:t>oraz brak dostępnych dla nich środków</w:t>
      </w:r>
      <w:r w:rsidRPr="00124EB4">
        <w:rPr>
          <w:rFonts w:cs="Helvetica"/>
          <w:lang w:val="pl-PL"/>
        </w:rPr>
        <w:t xml:space="preserve"> prawn</w:t>
      </w:r>
      <w:r w:rsidR="00F21238">
        <w:rPr>
          <w:rFonts w:cs="Helvetica"/>
          <w:lang w:val="pl-PL"/>
        </w:rPr>
        <w:t>ych</w:t>
      </w:r>
      <w:r w:rsidRPr="00124EB4">
        <w:rPr>
          <w:rFonts w:cs="Helvetica"/>
          <w:lang w:val="pl-PL"/>
        </w:rPr>
        <w:t xml:space="preserve"> zagraża ich prawu dostępu do sądu i rzetelnego procesu sądowego gwarantowanego w art. 6 ust. 1 Konwencji oraz prawu do skutecznego środka odwoławczego przewidzianego w art. 13 Konwencji w związku z art. 8 Konwencji.</w:t>
      </w:r>
      <w:r w:rsidRPr="00124EB4">
        <w:rPr>
          <w:rFonts w:cs="Helvetica"/>
          <w:lang w:val="pl-PL"/>
        </w:rPr>
        <w:tab/>
      </w:r>
    </w:p>
    <w:p w:rsidR="00331C32" w:rsidRPr="00331C32" w:rsidRDefault="00331C32" w:rsidP="00A46951">
      <w:pPr>
        <w:autoSpaceDE w:val="0"/>
        <w:autoSpaceDN w:val="0"/>
        <w:adjustRightInd w:val="0"/>
        <w:spacing w:after="120" w:line="240" w:lineRule="auto"/>
        <w:ind w:right="284"/>
        <w:jc w:val="both"/>
        <w:rPr>
          <w:rFonts w:cs="Helvetica"/>
          <w:u w:val="single"/>
          <w:lang w:val="pl-PL"/>
        </w:rPr>
      </w:pPr>
      <w:r w:rsidRPr="00331C32">
        <w:rPr>
          <w:rFonts w:cs="Helvetica"/>
          <w:u w:val="single"/>
          <w:lang w:val="pl-PL"/>
        </w:rPr>
        <w:t>Rozstrzygnięcie Trybunału</w:t>
      </w:r>
    </w:p>
    <w:p w:rsidR="007D0A98" w:rsidRDefault="007D0A98" w:rsidP="007D0A98">
      <w:pPr>
        <w:autoSpaceDE w:val="0"/>
        <w:autoSpaceDN w:val="0"/>
        <w:adjustRightInd w:val="0"/>
        <w:spacing w:after="120" w:line="240" w:lineRule="auto"/>
        <w:ind w:right="284"/>
        <w:jc w:val="both"/>
        <w:rPr>
          <w:rFonts w:cs="Helvetica"/>
          <w:lang w:val="pl-PL"/>
        </w:rPr>
      </w:pPr>
      <w:r w:rsidRPr="007D0A98">
        <w:rPr>
          <w:rFonts w:cs="Helvetica"/>
          <w:lang w:val="pl-PL"/>
        </w:rPr>
        <w:t xml:space="preserve">W oparciu o zasady sformułowane wcześniej w sprawach </w:t>
      </w:r>
      <w:r w:rsidRPr="007D0A98">
        <w:rPr>
          <w:rFonts w:cs="Helvetica"/>
          <w:i/>
          <w:lang w:val="pl-PL"/>
        </w:rPr>
        <w:t>Kennedy p. Wielkiej Brytanii</w:t>
      </w:r>
      <w:r w:rsidRPr="007D0A98">
        <w:rPr>
          <w:rFonts w:cs="Helvetica"/>
          <w:lang w:val="pl-PL"/>
        </w:rPr>
        <w:t xml:space="preserve"> </w:t>
      </w:r>
      <w:r w:rsidR="008F715D" w:rsidRPr="008F715D">
        <w:rPr>
          <w:rFonts w:cs="Helvetica"/>
          <w:lang w:val="pl-PL"/>
        </w:rPr>
        <w:t>(</w:t>
      </w:r>
      <w:r w:rsidR="00487A59">
        <w:rPr>
          <w:rFonts w:cs="Helvetica"/>
          <w:lang w:val="pl-PL"/>
        </w:rPr>
        <w:t xml:space="preserve">skarga </w:t>
      </w:r>
      <w:r w:rsidR="008F715D" w:rsidRPr="008F715D">
        <w:rPr>
          <w:rFonts w:cs="Helvetica"/>
          <w:lang w:val="pl-PL"/>
        </w:rPr>
        <w:t>n</w:t>
      </w:r>
      <w:r w:rsidR="008F715D">
        <w:rPr>
          <w:rFonts w:cs="Helvetica"/>
          <w:lang w:val="pl-PL"/>
        </w:rPr>
        <w:t>r</w:t>
      </w:r>
      <w:r w:rsidR="008F715D" w:rsidRPr="008F715D">
        <w:rPr>
          <w:rFonts w:cs="Helvetica"/>
          <w:lang w:val="pl-PL"/>
        </w:rPr>
        <w:t xml:space="preserve"> 26839/05, </w:t>
      </w:r>
      <w:r w:rsidR="008F715D">
        <w:rPr>
          <w:rFonts w:cs="Helvetica"/>
          <w:lang w:val="pl-PL"/>
        </w:rPr>
        <w:t xml:space="preserve">wyrok z </w:t>
      </w:r>
      <w:r w:rsidR="008F715D" w:rsidRPr="008F715D">
        <w:rPr>
          <w:rFonts w:cs="Helvetica"/>
          <w:lang w:val="pl-PL"/>
        </w:rPr>
        <w:t xml:space="preserve">18 </w:t>
      </w:r>
      <w:r w:rsidR="008F715D">
        <w:rPr>
          <w:rFonts w:cs="Helvetica"/>
          <w:lang w:val="pl-PL"/>
        </w:rPr>
        <w:t xml:space="preserve">maja </w:t>
      </w:r>
      <w:r w:rsidR="008F715D" w:rsidRPr="008F715D">
        <w:rPr>
          <w:rFonts w:cs="Helvetica"/>
          <w:lang w:val="pl-PL"/>
        </w:rPr>
        <w:t>2010</w:t>
      </w:r>
      <w:r w:rsidR="008F715D">
        <w:rPr>
          <w:rFonts w:cs="Helvetica"/>
          <w:lang w:val="pl-PL"/>
        </w:rPr>
        <w:t xml:space="preserve"> r.</w:t>
      </w:r>
      <w:r w:rsidR="008F715D" w:rsidRPr="008F715D">
        <w:rPr>
          <w:rFonts w:cs="Helvetica"/>
          <w:lang w:val="pl-PL"/>
        </w:rPr>
        <w:t>)</w:t>
      </w:r>
      <w:r w:rsidR="008F715D">
        <w:rPr>
          <w:rFonts w:cs="Helvetica"/>
          <w:lang w:val="pl-PL"/>
        </w:rPr>
        <w:t xml:space="preserve"> </w:t>
      </w:r>
      <w:r w:rsidRPr="007D0A98">
        <w:rPr>
          <w:rFonts w:cs="Helvetica"/>
          <w:lang w:val="pl-PL"/>
        </w:rPr>
        <w:t xml:space="preserve">oraz </w:t>
      </w:r>
      <w:proofErr w:type="spellStart"/>
      <w:r w:rsidRPr="007D0A98">
        <w:rPr>
          <w:rFonts w:cs="Helvetica"/>
          <w:i/>
          <w:lang w:val="pl-PL"/>
        </w:rPr>
        <w:t>Zakharov</w:t>
      </w:r>
      <w:proofErr w:type="spellEnd"/>
      <w:r w:rsidRPr="007D0A98">
        <w:rPr>
          <w:rFonts w:cs="Helvetica"/>
          <w:i/>
          <w:lang w:val="pl-PL"/>
        </w:rPr>
        <w:t xml:space="preserve"> p. Rosji</w:t>
      </w:r>
      <w:r w:rsidR="008F715D" w:rsidRPr="008F715D">
        <w:rPr>
          <w:lang w:val="pl-PL"/>
        </w:rPr>
        <w:t xml:space="preserve"> (</w:t>
      </w:r>
      <w:r w:rsidR="00487A59">
        <w:rPr>
          <w:lang w:val="pl-PL"/>
        </w:rPr>
        <w:t xml:space="preserve">skarga </w:t>
      </w:r>
      <w:r w:rsidR="008F715D" w:rsidRPr="008F715D">
        <w:rPr>
          <w:rFonts w:cs="Helvetica"/>
          <w:lang w:val="pl-PL"/>
        </w:rPr>
        <w:t>nr 47143/06, wyrok z 4 grudnia 2015 r.)</w:t>
      </w:r>
      <w:r w:rsidRPr="008F715D">
        <w:rPr>
          <w:rStyle w:val="Odwoanieprzypisudolnego"/>
          <w:rFonts w:cs="Helvetica"/>
          <w:lang w:val="pl-PL"/>
        </w:rPr>
        <w:footnoteReference w:id="4"/>
      </w:r>
      <w:r w:rsidRPr="008F715D">
        <w:rPr>
          <w:rFonts w:cs="Helvetica"/>
          <w:lang w:val="pl-PL"/>
        </w:rPr>
        <w:t xml:space="preserve"> </w:t>
      </w:r>
      <w:r w:rsidRPr="007D0A98">
        <w:rPr>
          <w:rFonts w:cs="Helvetica"/>
          <w:lang w:val="pl-PL"/>
        </w:rPr>
        <w:t xml:space="preserve">Trybunał uznał, że skarżący mogą twierdzić, że są ofiarami naruszenia Konwencji, mimo że skarżyli się jedynie na ryzyko podlegania tajnej kontroli, a nie na konkretne zastosowane wobec nich środki. W tym względzie Trybunał uwzględnił, że przedmiotowe ustawodawstwo </w:t>
      </w:r>
      <w:r w:rsidR="008F715D" w:rsidRPr="007D0A98">
        <w:rPr>
          <w:rFonts w:cs="Helvetica"/>
          <w:lang w:val="pl-PL"/>
        </w:rPr>
        <w:t xml:space="preserve">potencjalnie </w:t>
      </w:r>
      <w:r w:rsidRPr="007D0A98">
        <w:rPr>
          <w:rFonts w:cs="Helvetica"/>
          <w:lang w:val="pl-PL"/>
        </w:rPr>
        <w:t>miało zastosowanie do wszystkich użytkowników system</w:t>
      </w:r>
      <w:r w:rsidR="00F076D5">
        <w:rPr>
          <w:rFonts w:cs="Helvetica"/>
          <w:lang w:val="pl-PL"/>
        </w:rPr>
        <w:t>ów łączności</w:t>
      </w:r>
      <w:r w:rsidRPr="007D0A98">
        <w:rPr>
          <w:rFonts w:cs="Helvetica"/>
          <w:lang w:val="pl-PL"/>
        </w:rPr>
        <w:t xml:space="preserve">, a jednocześnie nie przewidywało możliwości </w:t>
      </w:r>
      <w:r w:rsidR="00F21238">
        <w:rPr>
          <w:rFonts w:cs="Helvetica"/>
          <w:lang w:val="pl-PL"/>
        </w:rPr>
        <w:t>z</w:t>
      </w:r>
      <w:r w:rsidRPr="007D0A98">
        <w:rPr>
          <w:rFonts w:cs="Helvetica"/>
          <w:lang w:val="pl-PL"/>
        </w:rPr>
        <w:t xml:space="preserve">łożenia </w:t>
      </w:r>
      <w:r w:rsidR="00F21238">
        <w:rPr>
          <w:rFonts w:cs="Helvetica"/>
          <w:lang w:val="pl-PL"/>
        </w:rPr>
        <w:t xml:space="preserve">na poziomie krajowym </w:t>
      </w:r>
      <w:r w:rsidRPr="007D0A98">
        <w:rPr>
          <w:rFonts w:cs="Helvetica"/>
          <w:lang w:val="pl-PL"/>
        </w:rPr>
        <w:t xml:space="preserve">skargi do niezależnego organu. </w:t>
      </w:r>
      <w:r w:rsidR="00CC6F18">
        <w:rPr>
          <w:rFonts w:cs="Helvetica"/>
          <w:lang w:val="pl-PL"/>
        </w:rPr>
        <w:t xml:space="preserve"> </w:t>
      </w:r>
    </w:p>
    <w:p w:rsidR="00CC6F18" w:rsidRPr="00CC6F18" w:rsidRDefault="00CC6F18" w:rsidP="007D0A98">
      <w:pPr>
        <w:autoSpaceDE w:val="0"/>
        <w:autoSpaceDN w:val="0"/>
        <w:adjustRightInd w:val="0"/>
        <w:spacing w:after="120" w:line="240" w:lineRule="auto"/>
        <w:ind w:right="284"/>
        <w:jc w:val="both"/>
        <w:rPr>
          <w:rFonts w:cs="Helvetica"/>
          <w:lang w:val="pl-PL"/>
        </w:rPr>
      </w:pPr>
      <w:r w:rsidRPr="00CC6F18">
        <w:rPr>
          <w:rFonts w:cs="Helvetica"/>
          <w:lang w:val="pl-PL"/>
        </w:rPr>
        <w:t>Z samym faktem istnien</w:t>
      </w:r>
      <w:r>
        <w:rPr>
          <w:rFonts w:cs="Helvetica"/>
          <w:lang w:val="pl-PL"/>
        </w:rPr>
        <w:t>ia przedmiotowego ustawodawstwa związane jest zagrożenie inwigilacją dla każdej osoby, wobec której ustawodawstwo to może być stosowane. Takie zagrożenie dotyka wolności komunikacji między uczestnikami usług pocztowych i telekomunikacyjnych</w:t>
      </w:r>
      <w:r w:rsidR="00487A59">
        <w:rPr>
          <w:rFonts w:cs="Helvetica"/>
          <w:lang w:val="pl-PL"/>
        </w:rPr>
        <w:t>,</w:t>
      </w:r>
      <w:r>
        <w:rPr>
          <w:rFonts w:cs="Helvetica"/>
          <w:lang w:val="pl-PL"/>
        </w:rPr>
        <w:t xml:space="preserve"> i z tego względu stanowi ono ingerencję władz publicznych w wykonywanie przez skarżących prawa do poszanowania ich życia prywatnego i rodzinnego oraz korespondencji. </w:t>
      </w:r>
    </w:p>
    <w:p w:rsidR="00A920B6" w:rsidRPr="00A920B6" w:rsidRDefault="008420F1" w:rsidP="00A920B6">
      <w:pPr>
        <w:autoSpaceDE w:val="0"/>
        <w:autoSpaceDN w:val="0"/>
        <w:adjustRightInd w:val="0"/>
        <w:spacing w:after="120" w:line="240" w:lineRule="auto"/>
        <w:ind w:right="284"/>
        <w:jc w:val="both"/>
        <w:rPr>
          <w:rFonts w:cs="Helvetica"/>
          <w:lang w:val="pl-PL"/>
        </w:rPr>
      </w:pPr>
      <w:r w:rsidRPr="008420F1">
        <w:rPr>
          <w:rFonts w:cs="Helvetica"/>
          <w:lang w:val="pl-PL"/>
        </w:rPr>
        <w:t xml:space="preserve">Trybunał nie zakwestionował, że zaskarżone regulacje </w:t>
      </w:r>
      <w:r>
        <w:rPr>
          <w:rFonts w:cs="Helvetica"/>
          <w:lang w:val="pl-PL"/>
        </w:rPr>
        <w:t xml:space="preserve">miały uprawniony </w:t>
      </w:r>
      <w:r w:rsidR="00F21238">
        <w:rPr>
          <w:rFonts w:cs="Helvetica"/>
          <w:lang w:val="pl-PL"/>
        </w:rPr>
        <w:t xml:space="preserve">– </w:t>
      </w:r>
      <w:r>
        <w:rPr>
          <w:rFonts w:cs="Helvetica"/>
          <w:lang w:val="pl-PL"/>
        </w:rPr>
        <w:t xml:space="preserve">w świetle art. 8 ust. 2 Konwencji </w:t>
      </w:r>
      <w:r w:rsidR="00F21238">
        <w:rPr>
          <w:rFonts w:cs="Helvetica"/>
          <w:lang w:val="pl-PL"/>
        </w:rPr>
        <w:t xml:space="preserve">– </w:t>
      </w:r>
      <w:r>
        <w:rPr>
          <w:rFonts w:cs="Helvetica"/>
          <w:lang w:val="pl-PL"/>
        </w:rPr>
        <w:t xml:space="preserve">cel, jakim jest zapewnienie bezpieczeństwa </w:t>
      </w:r>
      <w:r w:rsidR="00487A59">
        <w:rPr>
          <w:rFonts w:cs="Helvetica"/>
          <w:lang w:val="pl-PL"/>
        </w:rPr>
        <w:t>narodowego, ochrona</w:t>
      </w:r>
      <w:r w:rsidR="00622A77">
        <w:rPr>
          <w:rFonts w:cs="Helvetica"/>
          <w:lang w:val="pl-PL"/>
        </w:rPr>
        <w:t xml:space="preserve"> porządku i zapobieganie przestępstwom. </w:t>
      </w:r>
      <w:r w:rsidR="00A920B6">
        <w:rPr>
          <w:rFonts w:cs="Helvetica"/>
          <w:lang w:val="pl-PL"/>
        </w:rPr>
        <w:t>Przypomniał, że możliwość ingerencji w prawa chronione tym postanowieniem należy interpretować wąsko</w:t>
      </w:r>
      <w:r w:rsidR="00A920B6" w:rsidRPr="00A920B6">
        <w:rPr>
          <w:rFonts w:cs="Helvetica"/>
          <w:lang w:val="pl-PL"/>
        </w:rPr>
        <w:t xml:space="preserve"> </w:t>
      </w:r>
      <w:r w:rsidR="00A920B6">
        <w:rPr>
          <w:rFonts w:cs="Helvetica"/>
          <w:lang w:val="pl-PL"/>
        </w:rPr>
        <w:t xml:space="preserve">i zbadał, czy środki przewidziane w ustawie do osiągnięcia jej celu były „ściśle” konieczne w społeczeństwie demokratycznym.  </w:t>
      </w:r>
    </w:p>
    <w:p w:rsidR="00622A77" w:rsidRDefault="00124EB4" w:rsidP="00A46951">
      <w:pPr>
        <w:autoSpaceDE w:val="0"/>
        <w:autoSpaceDN w:val="0"/>
        <w:adjustRightInd w:val="0"/>
        <w:spacing w:after="120" w:line="240" w:lineRule="auto"/>
        <w:ind w:right="284"/>
        <w:jc w:val="both"/>
        <w:rPr>
          <w:rFonts w:cs="Helvetica"/>
          <w:lang w:val="pl-PL"/>
        </w:rPr>
      </w:pPr>
      <w:r w:rsidRPr="00124EB4">
        <w:rPr>
          <w:rFonts w:cs="Helvetica"/>
          <w:lang w:val="pl-PL"/>
        </w:rPr>
        <w:t xml:space="preserve">Trybunał przypomniał sformułowane we wcześniejszym orzecznictwie minimalne </w:t>
      </w:r>
      <w:r w:rsidR="00A920B6">
        <w:rPr>
          <w:rFonts w:cs="Helvetica"/>
          <w:lang w:val="pl-PL"/>
        </w:rPr>
        <w:t>gwarancje</w:t>
      </w:r>
      <w:r w:rsidRPr="00124EB4">
        <w:rPr>
          <w:rFonts w:cs="Helvetica"/>
          <w:lang w:val="pl-PL"/>
        </w:rPr>
        <w:t xml:space="preserve"> prawne, jakie powinny przewidywać przepisy krajowe regulujące tajną kontrolę</w:t>
      </w:r>
      <w:r w:rsidR="00331C32">
        <w:rPr>
          <w:rFonts w:cs="Helvetica"/>
          <w:lang w:val="pl-PL"/>
        </w:rPr>
        <w:t>,</w:t>
      </w:r>
      <w:r w:rsidRPr="00124EB4">
        <w:rPr>
          <w:rFonts w:cs="Helvetica"/>
          <w:lang w:val="pl-PL"/>
        </w:rPr>
        <w:t xml:space="preserve"> </w:t>
      </w:r>
      <w:r w:rsidR="008F715D">
        <w:rPr>
          <w:rFonts w:cs="Helvetica"/>
          <w:lang w:val="pl-PL"/>
        </w:rPr>
        <w:t>tak aby uniemożliwić nadużywanie</w:t>
      </w:r>
      <w:r w:rsidRPr="00124EB4">
        <w:rPr>
          <w:rFonts w:cs="Helvetica"/>
          <w:lang w:val="pl-PL"/>
        </w:rPr>
        <w:t xml:space="preserve"> władzy: określenie natury przestępstw, które mogą prowadzić do zarządzenia inwigilacji; zdefi</w:t>
      </w:r>
      <w:r w:rsidR="00F21238">
        <w:rPr>
          <w:rFonts w:cs="Helvetica"/>
          <w:lang w:val="pl-PL"/>
        </w:rPr>
        <w:t>niowanie kategorii osób, które</w:t>
      </w:r>
      <w:r w:rsidRPr="00124EB4">
        <w:rPr>
          <w:rFonts w:cs="Helvetica"/>
          <w:lang w:val="pl-PL"/>
        </w:rPr>
        <w:t xml:space="preserve"> mogą być podsłuchiwane; określenie maksymalnego okresu stosowania</w:t>
      </w:r>
      <w:r w:rsidR="00667D25">
        <w:rPr>
          <w:rFonts w:cs="Helvetica"/>
          <w:lang w:val="pl-PL"/>
        </w:rPr>
        <w:t xml:space="preserve"> tajnej kontroli</w:t>
      </w:r>
      <w:r w:rsidRPr="00124EB4">
        <w:rPr>
          <w:rFonts w:cs="Helvetica"/>
          <w:lang w:val="pl-PL"/>
        </w:rPr>
        <w:t>; ustanowienie procedury badania, korzystania i przechowywania uzyskanych danych</w:t>
      </w:r>
      <w:r w:rsidR="00A920B6">
        <w:rPr>
          <w:rFonts w:cs="Helvetica"/>
          <w:lang w:val="pl-PL"/>
        </w:rPr>
        <w:t>; ustanowienie</w:t>
      </w:r>
      <w:r w:rsidRPr="00124EB4">
        <w:rPr>
          <w:rFonts w:cs="Helvetica"/>
          <w:lang w:val="pl-PL"/>
        </w:rPr>
        <w:t xml:space="preserve"> środków ostrożności przy przekazywaniu </w:t>
      </w:r>
      <w:r w:rsidR="008F715D">
        <w:rPr>
          <w:rFonts w:cs="Helvetica"/>
          <w:lang w:val="pl-PL"/>
        </w:rPr>
        <w:t xml:space="preserve">danych </w:t>
      </w:r>
      <w:r w:rsidRPr="00124EB4">
        <w:rPr>
          <w:rFonts w:cs="Helvetica"/>
          <w:lang w:val="pl-PL"/>
        </w:rPr>
        <w:t>innym podmiotom</w:t>
      </w:r>
      <w:r w:rsidR="00331C32">
        <w:rPr>
          <w:rFonts w:cs="Helvetica"/>
          <w:lang w:val="pl-PL"/>
        </w:rPr>
        <w:t>, a także</w:t>
      </w:r>
      <w:r w:rsidRPr="00124EB4">
        <w:rPr>
          <w:rFonts w:cs="Helvetica"/>
          <w:lang w:val="pl-PL"/>
        </w:rPr>
        <w:t xml:space="preserve"> okoliczności, w jakich zapisy mogą albo muszą być skas</w:t>
      </w:r>
      <w:r>
        <w:rPr>
          <w:rFonts w:cs="Helvetica"/>
          <w:lang w:val="pl-PL"/>
        </w:rPr>
        <w:t>owane albo zniszczone.</w:t>
      </w:r>
      <w:r>
        <w:rPr>
          <w:rFonts w:cs="Helvetica"/>
          <w:lang w:val="pl-PL"/>
        </w:rPr>
        <w:tab/>
      </w:r>
      <w:r>
        <w:rPr>
          <w:rFonts w:cs="Helvetica"/>
          <w:lang w:val="pl-PL"/>
        </w:rPr>
        <w:tab/>
      </w:r>
      <w:r>
        <w:rPr>
          <w:rFonts w:cs="Helvetica"/>
          <w:lang w:val="pl-PL"/>
        </w:rPr>
        <w:tab/>
      </w:r>
      <w:r>
        <w:rPr>
          <w:rFonts w:cs="Helvetica"/>
          <w:lang w:val="pl-PL"/>
        </w:rPr>
        <w:tab/>
      </w:r>
      <w:r>
        <w:rPr>
          <w:rFonts w:cs="Helvetica"/>
          <w:lang w:val="pl-PL"/>
        </w:rPr>
        <w:tab/>
      </w:r>
      <w:r>
        <w:rPr>
          <w:rFonts w:cs="Helvetica"/>
          <w:lang w:val="pl-PL"/>
        </w:rPr>
        <w:tab/>
      </w:r>
    </w:p>
    <w:p w:rsidR="00622A77" w:rsidRPr="00636A9F" w:rsidRDefault="00622A77" w:rsidP="00622A77">
      <w:pPr>
        <w:autoSpaceDE w:val="0"/>
        <w:autoSpaceDN w:val="0"/>
        <w:adjustRightInd w:val="0"/>
        <w:spacing w:after="120" w:line="240" w:lineRule="auto"/>
        <w:ind w:right="284"/>
        <w:jc w:val="both"/>
        <w:rPr>
          <w:rFonts w:ascii="Times New Roman" w:eastAsia="TimesNewRomanPSMT" w:hAnsi="Times New Roman" w:cs="Times New Roman"/>
          <w:szCs w:val="24"/>
          <w:lang w:val="pl-PL"/>
        </w:rPr>
      </w:pPr>
      <w:r>
        <w:rPr>
          <w:rFonts w:cs="Helvetica"/>
          <w:lang w:val="pl-PL"/>
        </w:rPr>
        <w:t xml:space="preserve">Trybunał nie podzielił zarzutów skarżących </w:t>
      </w:r>
      <w:r w:rsidR="00487A59">
        <w:rPr>
          <w:rFonts w:cs="Helvetica"/>
          <w:lang w:val="pl-PL"/>
        </w:rPr>
        <w:t>dotycząc</w:t>
      </w:r>
      <w:r w:rsidR="00F076D5">
        <w:rPr>
          <w:rFonts w:cs="Helvetica"/>
          <w:lang w:val="pl-PL"/>
        </w:rPr>
        <w:t xml:space="preserve">ych </w:t>
      </w:r>
      <w:r>
        <w:rPr>
          <w:rFonts w:cs="Helvetica"/>
          <w:lang w:val="pl-PL"/>
        </w:rPr>
        <w:t xml:space="preserve">braku wystarczającego zdefiniowania przypadków, w których stosowane </w:t>
      </w:r>
      <w:r w:rsidR="00F21238">
        <w:rPr>
          <w:rFonts w:cs="Helvetica"/>
          <w:lang w:val="pl-PL"/>
        </w:rPr>
        <w:t>mogą być</w:t>
      </w:r>
      <w:r>
        <w:rPr>
          <w:rFonts w:cs="Helvetica"/>
          <w:lang w:val="pl-PL"/>
        </w:rPr>
        <w:t xml:space="preserve"> przedmiotowe środki (</w:t>
      </w:r>
      <w:r w:rsidR="00F21238">
        <w:rPr>
          <w:rFonts w:cs="Helvetica"/>
          <w:lang w:val="pl-PL"/>
        </w:rPr>
        <w:t xml:space="preserve">tj. </w:t>
      </w:r>
      <w:r>
        <w:rPr>
          <w:rFonts w:cs="Helvetica"/>
          <w:lang w:val="pl-PL"/>
        </w:rPr>
        <w:t xml:space="preserve">zapobieganie, śledzenie i odpieranie aktów terrorystycznych oraz zbieranie danych wywiadowczych niezbędnych dla ratowania narażonych obywateli za granicą). Uznał, że prawo nie może być nadmiernie sztywne i powinno być w stanie odpowiadać na zmieniające się okoliczności, tym bardziej w odniesieniu do </w:t>
      </w:r>
      <w:r>
        <w:rPr>
          <w:rFonts w:cs="Helvetica"/>
          <w:lang w:val="pl-PL"/>
        </w:rPr>
        <w:lastRenderedPageBreak/>
        <w:t xml:space="preserve">zagrożenia terrorystycznego. Wymóg „przewidywalności” prawa nie oznacza konieczności szczegółowego wyliczenia wszystkich przypadków, a odniesienia do „zagrożeń terrorystycznych i operacji ratunkowych” co do zasady </w:t>
      </w:r>
      <w:r w:rsidR="008F715D">
        <w:rPr>
          <w:rFonts w:cs="Helvetica"/>
          <w:lang w:val="pl-PL"/>
        </w:rPr>
        <w:t xml:space="preserve">są </w:t>
      </w:r>
      <w:r>
        <w:rPr>
          <w:rFonts w:cs="Helvetica"/>
          <w:lang w:val="pl-PL"/>
        </w:rPr>
        <w:t xml:space="preserve">wystarczającą wskazówką dla obywateli.  </w:t>
      </w:r>
    </w:p>
    <w:p w:rsidR="00124EB4" w:rsidRPr="00124EB4" w:rsidRDefault="00124EB4" w:rsidP="00A46951">
      <w:pPr>
        <w:autoSpaceDE w:val="0"/>
        <w:autoSpaceDN w:val="0"/>
        <w:adjustRightInd w:val="0"/>
        <w:spacing w:after="120" w:line="240" w:lineRule="auto"/>
        <w:ind w:right="284"/>
        <w:jc w:val="both"/>
        <w:rPr>
          <w:rFonts w:cs="Helvetica"/>
          <w:lang w:val="pl-PL"/>
        </w:rPr>
      </w:pPr>
      <w:r w:rsidRPr="00124EB4">
        <w:rPr>
          <w:rFonts w:cs="Helvetica"/>
          <w:lang w:val="pl-PL"/>
        </w:rPr>
        <w:t xml:space="preserve">W omawianej sprawie Trybunał zwrócił </w:t>
      </w:r>
      <w:r w:rsidR="00622A77">
        <w:rPr>
          <w:rFonts w:cs="Helvetica"/>
          <w:lang w:val="pl-PL"/>
        </w:rPr>
        <w:t xml:space="preserve">natomiast </w:t>
      </w:r>
      <w:r w:rsidRPr="00124EB4">
        <w:rPr>
          <w:rFonts w:cs="Helvetica"/>
          <w:lang w:val="pl-PL"/>
        </w:rPr>
        <w:t xml:space="preserve">uwagę </w:t>
      </w:r>
      <w:r w:rsidR="00487A59">
        <w:rPr>
          <w:rFonts w:cs="Helvetica"/>
          <w:lang w:val="pl-PL"/>
        </w:rPr>
        <w:t xml:space="preserve">w szczególności </w:t>
      </w:r>
      <w:r w:rsidRPr="00124EB4">
        <w:rPr>
          <w:rFonts w:cs="Helvetica"/>
          <w:lang w:val="pl-PL"/>
        </w:rPr>
        <w:t xml:space="preserve">na cztery </w:t>
      </w:r>
      <w:r w:rsidR="00A920B6">
        <w:rPr>
          <w:rFonts w:cs="Helvetica"/>
          <w:lang w:val="pl-PL"/>
        </w:rPr>
        <w:t xml:space="preserve">problematyczne </w:t>
      </w:r>
      <w:r w:rsidR="00487A59">
        <w:rPr>
          <w:rFonts w:cs="Helvetica"/>
          <w:lang w:val="pl-PL"/>
        </w:rPr>
        <w:t>aspekty</w:t>
      </w:r>
      <w:r w:rsidRPr="00124EB4">
        <w:rPr>
          <w:rFonts w:cs="Helvetica"/>
          <w:lang w:val="pl-PL"/>
        </w:rPr>
        <w:t>:</w:t>
      </w:r>
      <w:r>
        <w:rPr>
          <w:rFonts w:cs="Helvetica"/>
          <w:lang w:val="pl-PL"/>
        </w:rPr>
        <w:t xml:space="preserve"> </w:t>
      </w:r>
    </w:p>
    <w:p w:rsidR="00124EB4" w:rsidRPr="00124EB4" w:rsidRDefault="00124EB4" w:rsidP="0005030F">
      <w:pPr>
        <w:pStyle w:val="Akapitzlist"/>
        <w:numPr>
          <w:ilvl w:val="0"/>
          <w:numId w:val="36"/>
        </w:numPr>
        <w:spacing w:after="120" w:line="240" w:lineRule="auto"/>
        <w:ind w:left="357" w:right="284" w:hanging="357"/>
        <w:contextualSpacing w:val="0"/>
        <w:jc w:val="both"/>
        <w:rPr>
          <w:rFonts w:cs="Helvetica"/>
          <w:lang w:val="pl-PL"/>
        </w:rPr>
      </w:pPr>
      <w:r w:rsidRPr="00124EB4">
        <w:rPr>
          <w:rFonts w:cs="Helvetica"/>
          <w:lang w:val="pl-PL"/>
        </w:rPr>
        <w:t xml:space="preserve">brak zdefiniowania w prawie węgierskim kategorii osób, których połączenia </w:t>
      </w:r>
      <w:r w:rsidR="00331C32" w:rsidRPr="00124EB4">
        <w:rPr>
          <w:rFonts w:cs="Helvetica"/>
          <w:lang w:val="pl-PL"/>
        </w:rPr>
        <w:t xml:space="preserve">w praktyce </w:t>
      </w:r>
      <w:r w:rsidRPr="00124EB4">
        <w:rPr>
          <w:rFonts w:cs="Helvetica"/>
          <w:lang w:val="pl-PL"/>
        </w:rPr>
        <w:t>mogą być kontrolowane;</w:t>
      </w:r>
    </w:p>
    <w:p w:rsidR="00124EB4" w:rsidRPr="00124EB4" w:rsidRDefault="004C033E" w:rsidP="0005030F">
      <w:pPr>
        <w:pStyle w:val="Akapitzlist"/>
        <w:numPr>
          <w:ilvl w:val="0"/>
          <w:numId w:val="36"/>
        </w:numPr>
        <w:spacing w:after="120" w:line="240" w:lineRule="auto"/>
        <w:ind w:left="357" w:right="284" w:hanging="357"/>
        <w:contextualSpacing w:val="0"/>
        <w:jc w:val="both"/>
        <w:rPr>
          <w:rFonts w:cs="Helvetica"/>
          <w:lang w:val="pl-PL"/>
        </w:rPr>
      </w:pPr>
      <w:r>
        <w:rPr>
          <w:rFonts w:cs="Helvetica"/>
          <w:lang w:val="pl-PL"/>
        </w:rPr>
        <w:t>udzielanie</w:t>
      </w:r>
      <w:r w:rsidR="00124EB4" w:rsidRPr="00124EB4">
        <w:rPr>
          <w:rFonts w:cs="Helvetica"/>
          <w:lang w:val="pl-PL"/>
        </w:rPr>
        <w:t xml:space="preserve"> zgody na tajną kontrolę przez odpowiedzialnego ministra zamiast sądu;</w:t>
      </w:r>
    </w:p>
    <w:p w:rsidR="00124EB4" w:rsidRPr="00124EB4" w:rsidRDefault="00124EB4" w:rsidP="0005030F">
      <w:pPr>
        <w:pStyle w:val="Akapitzlist"/>
        <w:numPr>
          <w:ilvl w:val="0"/>
          <w:numId w:val="36"/>
        </w:numPr>
        <w:spacing w:after="120" w:line="240" w:lineRule="auto"/>
        <w:ind w:left="357" w:right="284" w:hanging="357"/>
        <w:contextualSpacing w:val="0"/>
        <w:jc w:val="both"/>
        <w:rPr>
          <w:rFonts w:cs="Helvetica"/>
          <w:lang w:val="pl-PL"/>
        </w:rPr>
      </w:pPr>
      <w:r w:rsidRPr="00124EB4">
        <w:rPr>
          <w:rFonts w:cs="Helvetica"/>
          <w:lang w:val="pl-PL"/>
        </w:rPr>
        <w:t>brak jasnego uregulowania w ustawie, ile razy tajna kontrola może być przedłużana;</w:t>
      </w:r>
    </w:p>
    <w:p w:rsidR="00124EB4" w:rsidRDefault="00124EB4" w:rsidP="0005030F">
      <w:pPr>
        <w:pStyle w:val="Akapitzlist"/>
        <w:numPr>
          <w:ilvl w:val="0"/>
          <w:numId w:val="36"/>
        </w:numPr>
        <w:spacing w:after="120" w:line="240" w:lineRule="auto"/>
        <w:ind w:left="357" w:right="284" w:hanging="357"/>
        <w:contextualSpacing w:val="0"/>
        <w:jc w:val="both"/>
        <w:rPr>
          <w:rFonts w:cs="Helvetica"/>
          <w:lang w:val="pl-PL"/>
        </w:rPr>
      </w:pPr>
      <w:r w:rsidRPr="00124EB4">
        <w:rPr>
          <w:rFonts w:cs="Helvetica"/>
          <w:lang w:val="pl-PL"/>
        </w:rPr>
        <w:t>problem nieinformowania jednostki o tym, że była poddana tajnej kontroli oraz niezapewnienia właściwych środków odwoławczych.</w:t>
      </w:r>
    </w:p>
    <w:p w:rsidR="00124EB4" w:rsidRDefault="00124EB4" w:rsidP="00A46951">
      <w:pPr>
        <w:autoSpaceDE w:val="0"/>
        <w:autoSpaceDN w:val="0"/>
        <w:adjustRightInd w:val="0"/>
        <w:spacing w:after="120" w:line="240" w:lineRule="auto"/>
        <w:ind w:right="284"/>
        <w:jc w:val="both"/>
        <w:rPr>
          <w:rFonts w:cs="Helvetica"/>
          <w:lang w:val="pl-PL"/>
        </w:rPr>
      </w:pPr>
      <w:r w:rsidRPr="00124EB4">
        <w:rPr>
          <w:rFonts w:cs="Helvetica"/>
          <w:lang w:val="pl-PL"/>
        </w:rPr>
        <w:t xml:space="preserve">Trybunał zauważył, że w świetle </w:t>
      </w:r>
      <w:r w:rsidRPr="00124EB4">
        <w:rPr>
          <w:rFonts w:cs="Helvetica"/>
          <w:color w:val="000000"/>
          <w:lang w:val="pl-PL"/>
        </w:rPr>
        <w:t xml:space="preserve">obowiązujących </w:t>
      </w:r>
      <w:r w:rsidRPr="00124EB4">
        <w:rPr>
          <w:rFonts w:cs="Arial"/>
          <w:color w:val="000000"/>
          <w:lang w:val="pl-PL"/>
        </w:rPr>
        <w:t>przep</w:t>
      </w:r>
      <w:r w:rsidRPr="00124EB4">
        <w:rPr>
          <w:rFonts w:cs="Helvetica"/>
          <w:color w:val="000000"/>
          <w:lang w:val="pl-PL"/>
        </w:rPr>
        <w:t xml:space="preserve">isów prawa węgierskiego </w:t>
      </w:r>
      <w:r w:rsidRPr="00124EB4">
        <w:rPr>
          <w:rFonts w:cs="Helvetica"/>
          <w:lang w:val="pl-PL"/>
        </w:rPr>
        <w:t>istnieje w praktyce możliwość poddania każdej osoby tajnej kontroli, ponieważ prawo nie wskazuje kategorii osób, których połączenia mogą być w praktyce kontrolowane</w:t>
      </w:r>
      <w:r w:rsidR="00F21238">
        <w:rPr>
          <w:rFonts w:cs="Helvetica"/>
          <w:lang w:val="pl-PL"/>
        </w:rPr>
        <w:t>.</w:t>
      </w:r>
      <w:r w:rsidR="005D4A5B">
        <w:rPr>
          <w:rFonts w:cs="Helvetica"/>
          <w:lang w:val="pl-PL"/>
        </w:rPr>
        <w:t xml:space="preserve"> Szczególne zastrzeżenia Trybunału wywołało</w:t>
      </w:r>
      <w:r w:rsidR="00796669">
        <w:rPr>
          <w:rFonts w:cs="Helvetica"/>
          <w:lang w:val="pl-PL"/>
        </w:rPr>
        <w:t>, że środki tak</w:t>
      </w:r>
      <w:r w:rsidR="00796669" w:rsidRPr="001055A1">
        <w:rPr>
          <w:rFonts w:cs="Helvetica"/>
          <w:lang w:val="pl-PL"/>
        </w:rPr>
        <w:t xml:space="preserve">ie mogą być stosowane nie tylko wobec osób wskazanych z nazwiska, ale też wobec „zakresu osób”, </w:t>
      </w:r>
      <w:r w:rsidR="005D4A5B" w:rsidRPr="001055A1">
        <w:rPr>
          <w:rFonts w:cs="Helvetica"/>
          <w:lang w:val="pl-PL"/>
        </w:rPr>
        <w:t>bez jakichkolwiek wskazówek precyzując</w:t>
      </w:r>
      <w:r w:rsidR="00F21238" w:rsidRPr="001055A1">
        <w:rPr>
          <w:rFonts w:cs="Helvetica"/>
          <w:lang w:val="pl-PL"/>
        </w:rPr>
        <w:t>ych</w:t>
      </w:r>
      <w:r w:rsidR="005D4A5B" w:rsidRPr="001055A1">
        <w:rPr>
          <w:rFonts w:cs="Helvetica"/>
          <w:lang w:val="pl-PL"/>
        </w:rPr>
        <w:t xml:space="preserve">, jak pojęcie to należy stosować. </w:t>
      </w:r>
      <w:r w:rsidR="005945E7" w:rsidRPr="001055A1">
        <w:rPr>
          <w:rFonts w:cs="Helvetica"/>
          <w:lang w:val="pl-PL"/>
        </w:rPr>
        <w:t>Trybunał wytknął</w:t>
      </w:r>
      <w:r w:rsidR="005D4A5B" w:rsidRPr="001055A1">
        <w:rPr>
          <w:rFonts w:cs="Helvetica"/>
          <w:lang w:val="pl-PL"/>
        </w:rPr>
        <w:t xml:space="preserve"> też brak wymogu wyk</w:t>
      </w:r>
      <w:r w:rsidR="004C033E">
        <w:rPr>
          <w:rFonts w:cs="Helvetica"/>
          <w:lang w:val="pl-PL"/>
        </w:rPr>
        <w:t>azania przez władze rzeczywistego</w:t>
      </w:r>
      <w:r w:rsidR="005D4A5B" w:rsidRPr="001055A1">
        <w:rPr>
          <w:rFonts w:cs="Helvetica"/>
          <w:lang w:val="pl-PL"/>
        </w:rPr>
        <w:t xml:space="preserve"> lu</w:t>
      </w:r>
      <w:r w:rsidR="008074A1" w:rsidRPr="001055A1">
        <w:rPr>
          <w:rFonts w:cs="Helvetica"/>
          <w:lang w:val="pl-PL"/>
        </w:rPr>
        <w:t>b</w:t>
      </w:r>
      <w:r w:rsidR="005D4A5B" w:rsidRPr="001055A1">
        <w:rPr>
          <w:rFonts w:cs="Helvetica"/>
          <w:lang w:val="pl-PL"/>
        </w:rPr>
        <w:t xml:space="preserve"> </w:t>
      </w:r>
      <w:r w:rsidR="004C033E">
        <w:rPr>
          <w:rFonts w:cs="Helvetica"/>
          <w:lang w:val="pl-PL"/>
        </w:rPr>
        <w:t>domniemanego związku</w:t>
      </w:r>
      <w:r w:rsidR="005D4A5B" w:rsidRPr="001055A1">
        <w:rPr>
          <w:rFonts w:cs="Helvetica"/>
          <w:lang w:val="pl-PL"/>
        </w:rPr>
        <w:t xml:space="preserve"> między osobami a zapobieganiem zagrożeniom terrorystycznym. </w:t>
      </w:r>
      <w:r w:rsidR="00D156DE" w:rsidRPr="001055A1">
        <w:rPr>
          <w:rFonts w:cs="Helvetica"/>
          <w:lang w:val="pl-PL"/>
        </w:rPr>
        <w:t>Trybunał wyraził obawy</w:t>
      </w:r>
      <w:r w:rsidR="00E55956">
        <w:rPr>
          <w:rFonts w:cs="Helvetica"/>
          <w:lang w:val="pl-PL"/>
        </w:rPr>
        <w:t>, że ogólnie sformułowane prawo nie wyklucza</w:t>
      </w:r>
      <w:r w:rsidR="00D156DE" w:rsidRPr="001055A1">
        <w:rPr>
          <w:rFonts w:cs="Helvetica"/>
          <w:lang w:val="pl-PL"/>
        </w:rPr>
        <w:t xml:space="preserve"> możliwości stosowania metod kontroli umożliwiających zbieranie na dużą skalę i bez rozróżnienia</w:t>
      </w:r>
      <w:r w:rsidR="00E55956">
        <w:rPr>
          <w:rFonts w:cs="Helvetica"/>
          <w:lang w:val="pl-PL"/>
        </w:rPr>
        <w:t>,</w:t>
      </w:r>
      <w:r w:rsidR="00D156DE" w:rsidRPr="001055A1">
        <w:rPr>
          <w:rFonts w:cs="Helvetica"/>
          <w:lang w:val="pl-PL"/>
        </w:rPr>
        <w:t xml:space="preserve"> wszelkich danych będących przedmiotem komunikacji, a </w:t>
      </w:r>
      <w:r w:rsidR="00E55956">
        <w:rPr>
          <w:rFonts w:cs="Helvetica"/>
          <w:lang w:val="pl-PL"/>
        </w:rPr>
        <w:t xml:space="preserve">technicznie dostępna jest </w:t>
      </w:r>
      <w:r w:rsidR="00D156DE" w:rsidRPr="001055A1">
        <w:rPr>
          <w:rFonts w:cs="Helvetica"/>
          <w:lang w:val="pl-PL"/>
        </w:rPr>
        <w:t>możliwo</w:t>
      </w:r>
      <w:r w:rsidR="006237B7" w:rsidRPr="001055A1">
        <w:rPr>
          <w:rFonts w:cs="Helvetica"/>
          <w:lang w:val="pl-PL"/>
        </w:rPr>
        <w:t>ść</w:t>
      </w:r>
      <w:r w:rsidR="00D156DE" w:rsidRPr="001055A1">
        <w:rPr>
          <w:rFonts w:cs="Helvetica"/>
          <w:lang w:val="pl-PL"/>
        </w:rPr>
        <w:t xml:space="preserve"> tworzenia </w:t>
      </w:r>
      <w:r w:rsidR="00593154">
        <w:rPr>
          <w:rFonts w:cs="Helvetica"/>
          <w:lang w:val="pl-PL"/>
        </w:rPr>
        <w:t>na tej podstawie szczegółowych profilów</w:t>
      </w:r>
      <w:r w:rsidR="00D156DE" w:rsidRPr="001055A1">
        <w:rPr>
          <w:rFonts w:cs="Helvetica"/>
          <w:lang w:val="pl-PL"/>
        </w:rPr>
        <w:t xml:space="preserve"> osób, wkraczających </w:t>
      </w:r>
      <w:r w:rsidR="00F21238" w:rsidRPr="001055A1">
        <w:rPr>
          <w:rFonts w:cs="Helvetica"/>
          <w:lang w:val="pl-PL"/>
        </w:rPr>
        <w:t xml:space="preserve">w </w:t>
      </w:r>
      <w:r w:rsidR="00D156DE" w:rsidRPr="001055A1">
        <w:rPr>
          <w:rFonts w:cs="Helvetica"/>
          <w:lang w:val="pl-PL"/>
        </w:rPr>
        <w:t>najbardziej intymne aspekty życia obywateli</w:t>
      </w:r>
      <w:r w:rsidR="00F21238" w:rsidRPr="001055A1">
        <w:rPr>
          <w:rFonts w:cs="Helvetica"/>
          <w:lang w:val="pl-PL"/>
        </w:rPr>
        <w:t>. Brak jest jednocześnie</w:t>
      </w:r>
      <w:r w:rsidR="00D156DE" w:rsidRPr="001055A1">
        <w:rPr>
          <w:rFonts w:cs="Helvetica"/>
          <w:lang w:val="pl-PL"/>
        </w:rPr>
        <w:t xml:space="preserve"> wymogu, by władze przedstawiły </w:t>
      </w:r>
      <w:r w:rsidR="00C85965" w:rsidRPr="001055A1">
        <w:rPr>
          <w:rFonts w:cs="Helvetica"/>
          <w:lang w:val="pl-PL"/>
        </w:rPr>
        <w:t xml:space="preserve">odpowiednie </w:t>
      </w:r>
      <w:r w:rsidR="00D156DE" w:rsidRPr="001055A1">
        <w:rPr>
          <w:rFonts w:cs="Helvetica"/>
          <w:lang w:val="pl-PL"/>
        </w:rPr>
        <w:t xml:space="preserve">uzasadnienie wniosku o zastosowanie tajnej kontroli </w:t>
      </w:r>
      <w:r w:rsidR="00F21238" w:rsidRPr="001055A1">
        <w:rPr>
          <w:rFonts w:cs="Helvetica"/>
          <w:lang w:val="pl-PL"/>
        </w:rPr>
        <w:t>wra</w:t>
      </w:r>
      <w:r w:rsidR="00C85965" w:rsidRPr="001055A1">
        <w:rPr>
          <w:rFonts w:cs="Helvetica"/>
          <w:lang w:val="pl-PL"/>
        </w:rPr>
        <w:t xml:space="preserve">z </w:t>
      </w:r>
      <w:r w:rsidR="00C54899">
        <w:rPr>
          <w:rFonts w:cs="Helvetica"/>
          <w:lang w:val="pl-PL"/>
        </w:rPr>
        <w:t xml:space="preserve">z </w:t>
      </w:r>
      <w:r w:rsidR="00C85965" w:rsidRPr="001055A1">
        <w:rPr>
          <w:rFonts w:cs="Helvetica"/>
          <w:lang w:val="pl-PL"/>
        </w:rPr>
        <w:t>dokumentami wspierającymi taki wniosek,</w:t>
      </w:r>
      <w:r w:rsidR="00C54899">
        <w:rPr>
          <w:rFonts w:cs="Helvetica"/>
          <w:lang w:val="pl-PL"/>
        </w:rPr>
        <w:t xml:space="preserve"> a w szczególności </w:t>
      </w:r>
      <w:r w:rsidR="00AA3F10">
        <w:rPr>
          <w:rFonts w:cs="Helvetica"/>
          <w:lang w:val="pl-PL"/>
        </w:rPr>
        <w:t xml:space="preserve">by </w:t>
      </w:r>
      <w:r w:rsidR="00C54899">
        <w:rPr>
          <w:rFonts w:cs="Helvetica"/>
          <w:lang w:val="pl-PL"/>
        </w:rPr>
        <w:t>p</w:t>
      </w:r>
      <w:r w:rsidR="00AA3F10">
        <w:rPr>
          <w:rFonts w:cs="Helvetica"/>
          <w:lang w:val="pl-PL"/>
        </w:rPr>
        <w:t>odały odpowiednie</w:t>
      </w:r>
      <w:r w:rsidR="00C54899">
        <w:rPr>
          <w:rFonts w:cs="Helvetica"/>
          <w:lang w:val="pl-PL"/>
        </w:rPr>
        <w:t xml:space="preserve"> podstaw</w:t>
      </w:r>
      <w:r w:rsidR="00AA3F10">
        <w:rPr>
          <w:rFonts w:cs="Helvetica"/>
          <w:lang w:val="pl-PL"/>
        </w:rPr>
        <w:t>y faktyczne</w:t>
      </w:r>
      <w:r w:rsidR="00C54899">
        <w:rPr>
          <w:rFonts w:cs="Helvetica"/>
          <w:lang w:val="pl-PL"/>
        </w:rPr>
        <w:t xml:space="preserve"> wniosku,</w:t>
      </w:r>
      <w:r w:rsidR="00C85965" w:rsidRPr="001055A1">
        <w:rPr>
          <w:rFonts w:cs="Helvetica"/>
          <w:lang w:val="pl-PL"/>
        </w:rPr>
        <w:t xml:space="preserve"> w taki sposób, aby organ wyrażający zgodę mógł ocenić konieczność zastosowania </w:t>
      </w:r>
      <w:r w:rsidR="004C033E">
        <w:rPr>
          <w:rFonts w:cs="Helvetica"/>
          <w:lang w:val="pl-PL"/>
        </w:rPr>
        <w:t xml:space="preserve">tego środka </w:t>
      </w:r>
      <w:r w:rsidR="00C54899">
        <w:rPr>
          <w:rFonts w:cs="Helvetica"/>
          <w:lang w:val="pl-PL"/>
        </w:rPr>
        <w:t xml:space="preserve">w oparciu o </w:t>
      </w:r>
      <w:r w:rsidR="004C033E">
        <w:rPr>
          <w:rFonts w:cs="Helvetica"/>
          <w:lang w:val="pl-PL"/>
        </w:rPr>
        <w:t>istnienie</w:t>
      </w:r>
      <w:r w:rsidR="00C85965" w:rsidRPr="001055A1">
        <w:rPr>
          <w:rFonts w:cs="Helvetica"/>
          <w:lang w:val="pl-PL"/>
        </w:rPr>
        <w:t xml:space="preserve"> indywidualnego podejrzenia wobec danej osoby.</w:t>
      </w:r>
      <w:r w:rsidR="00F21238" w:rsidRPr="001055A1">
        <w:rPr>
          <w:rFonts w:cs="Helvetica"/>
          <w:lang w:val="pl-PL"/>
        </w:rPr>
        <w:t xml:space="preserve"> S</w:t>
      </w:r>
      <w:r w:rsidR="00E266B9" w:rsidRPr="001055A1">
        <w:rPr>
          <w:rFonts w:cs="Helvetica"/>
          <w:lang w:val="pl-PL"/>
        </w:rPr>
        <w:t>tosowanie środków</w:t>
      </w:r>
      <w:r w:rsidR="00F21238" w:rsidRPr="001055A1">
        <w:rPr>
          <w:rFonts w:cs="Helvetica"/>
          <w:lang w:val="pl-PL"/>
        </w:rPr>
        <w:t xml:space="preserve"> tajnej kontroli </w:t>
      </w:r>
      <w:r w:rsidR="00E266B9" w:rsidRPr="001055A1">
        <w:rPr>
          <w:rFonts w:cs="Helvetica"/>
          <w:lang w:val="pl-PL"/>
        </w:rPr>
        <w:t>powinno</w:t>
      </w:r>
      <w:r w:rsidR="00F21238" w:rsidRPr="001055A1">
        <w:rPr>
          <w:rFonts w:cs="Helvetica"/>
          <w:lang w:val="pl-PL"/>
        </w:rPr>
        <w:t xml:space="preserve"> </w:t>
      </w:r>
      <w:r w:rsidR="00E266B9" w:rsidRPr="001055A1">
        <w:rPr>
          <w:rFonts w:cs="Helvetica"/>
          <w:lang w:val="pl-PL"/>
        </w:rPr>
        <w:t xml:space="preserve">spełniać wymóg </w:t>
      </w:r>
      <w:r w:rsidR="00F21238" w:rsidRPr="001055A1">
        <w:rPr>
          <w:rFonts w:cs="Helvetica"/>
          <w:lang w:val="pl-PL"/>
        </w:rPr>
        <w:t>„</w:t>
      </w:r>
      <w:r w:rsidR="00E266B9" w:rsidRPr="001055A1">
        <w:rPr>
          <w:rFonts w:cs="Helvetica"/>
          <w:lang w:val="pl-PL"/>
        </w:rPr>
        <w:t>ścisłej konieczności</w:t>
      </w:r>
      <w:r w:rsidR="00F21238" w:rsidRPr="001055A1">
        <w:rPr>
          <w:rFonts w:cs="Helvetica"/>
          <w:lang w:val="pl-PL"/>
        </w:rPr>
        <w:t>”</w:t>
      </w:r>
      <w:r w:rsidR="00C54899">
        <w:rPr>
          <w:rFonts w:cs="Helvetica"/>
          <w:lang w:val="pl-PL"/>
        </w:rPr>
        <w:t xml:space="preserve"> w dwóch wymiarach: musi to być konieczne ze </w:t>
      </w:r>
      <w:r w:rsidR="001E683C" w:rsidRPr="001055A1">
        <w:rPr>
          <w:rFonts w:cs="Helvetica"/>
          <w:lang w:val="pl-PL"/>
        </w:rPr>
        <w:t>względów ogólnych (</w:t>
      </w:r>
      <w:r w:rsidR="00C54899">
        <w:rPr>
          <w:rFonts w:cs="Helvetica"/>
          <w:lang w:val="pl-PL"/>
        </w:rPr>
        <w:t>dla zabezpieczenia instytucji demokratycznych</w:t>
      </w:r>
      <w:r w:rsidR="001E683C" w:rsidRPr="001055A1">
        <w:rPr>
          <w:rFonts w:cs="Helvetica"/>
          <w:lang w:val="pl-PL"/>
        </w:rPr>
        <w:t xml:space="preserve">), jak </w:t>
      </w:r>
      <w:r w:rsidR="005C48EC" w:rsidRPr="001055A1">
        <w:rPr>
          <w:rFonts w:cs="Helvetica"/>
          <w:lang w:val="pl-PL"/>
        </w:rPr>
        <w:t>i</w:t>
      </w:r>
      <w:r w:rsidR="001E683C" w:rsidRPr="001055A1">
        <w:rPr>
          <w:rFonts w:cs="Helvetica"/>
          <w:lang w:val="pl-PL"/>
        </w:rPr>
        <w:t xml:space="preserve"> szczególnych (służyć uzyskaniu kluczowej informacji wywiadowczej w ramach danej operacji)</w:t>
      </w:r>
      <w:r w:rsidR="00DB549C" w:rsidRPr="001055A1">
        <w:rPr>
          <w:rFonts w:cs="Helvetica"/>
          <w:lang w:val="pl-PL"/>
        </w:rPr>
        <w:t xml:space="preserve"> – w przeciwnym razie istnieje ryzyko nadużyć</w:t>
      </w:r>
      <w:r w:rsidR="001E683C" w:rsidRPr="001055A1">
        <w:rPr>
          <w:rFonts w:cs="Helvetica"/>
          <w:lang w:val="pl-PL"/>
        </w:rPr>
        <w:t>.</w:t>
      </w:r>
      <w:r w:rsidR="00C85965" w:rsidRPr="001055A1">
        <w:rPr>
          <w:rFonts w:cs="Helvetica"/>
          <w:lang w:val="pl-PL"/>
        </w:rPr>
        <w:t xml:space="preserve"> </w:t>
      </w:r>
    </w:p>
    <w:p w:rsidR="00331C32" w:rsidRDefault="00124EB4" w:rsidP="00A46951">
      <w:pPr>
        <w:autoSpaceDE w:val="0"/>
        <w:autoSpaceDN w:val="0"/>
        <w:adjustRightInd w:val="0"/>
        <w:spacing w:after="120" w:line="240" w:lineRule="auto"/>
        <w:ind w:right="284"/>
        <w:jc w:val="both"/>
        <w:rPr>
          <w:rFonts w:cs="Helvetica"/>
          <w:lang w:val="pl-PL"/>
        </w:rPr>
      </w:pPr>
      <w:r w:rsidRPr="001055A1">
        <w:rPr>
          <w:rFonts w:cs="Helvetica"/>
          <w:lang w:val="pl-PL"/>
        </w:rPr>
        <w:t xml:space="preserve">Dalej Trybunał odnotował, że </w:t>
      </w:r>
      <w:r w:rsidRPr="001055A1">
        <w:rPr>
          <w:rFonts w:cs="Helvetica"/>
          <w:color w:val="000000"/>
          <w:lang w:val="pl-PL"/>
        </w:rPr>
        <w:t xml:space="preserve">wyrażenie zgody na tajną kontrolę nie jest </w:t>
      </w:r>
      <w:r w:rsidR="00C54899">
        <w:rPr>
          <w:rFonts w:cs="Helvetica"/>
          <w:color w:val="000000"/>
          <w:lang w:val="pl-PL"/>
        </w:rPr>
        <w:t xml:space="preserve">przedmiotem decyzji </w:t>
      </w:r>
      <w:r w:rsidRPr="001055A1">
        <w:rPr>
          <w:rFonts w:cs="Helvetica"/>
          <w:color w:val="000000"/>
          <w:lang w:val="pl-PL"/>
        </w:rPr>
        <w:t>sądu, a jedynie odpowiedzialnego ministra.</w:t>
      </w:r>
      <w:r w:rsidR="006F341C">
        <w:rPr>
          <w:rFonts w:cs="Helvetica"/>
          <w:color w:val="000000"/>
          <w:lang w:val="pl-PL"/>
        </w:rPr>
        <w:t xml:space="preserve"> Także nadzór nad stosowaniem środków jest sprawowany przez ministra, a nie przez sąd.</w:t>
      </w:r>
      <w:r w:rsidRPr="001055A1">
        <w:rPr>
          <w:rFonts w:cs="Helvetica"/>
          <w:color w:val="000000"/>
          <w:lang w:val="pl-PL"/>
        </w:rPr>
        <w:t xml:space="preserve"> </w:t>
      </w:r>
      <w:r w:rsidRPr="001055A1">
        <w:rPr>
          <w:rFonts w:cs="Helvetica"/>
          <w:lang w:val="pl-PL"/>
        </w:rPr>
        <w:t xml:space="preserve">Trybunał </w:t>
      </w:r>
      <w:r w:rsidR="00F024DF" w:rsidRPr="001055A1">
        <w:rPr>
          <w:rFonts w:cs="Helvetica"/>
          <w:lang w:val="pl-PL"/>
        </w:rPr>
        <w:t>podkreślił</w:t>
      </w:r>
      <w:r w:rsidRPr="001055A1">
        <w:rPr>
          <w:rFonts w:cs="Helvetica"/>
          <w:lang w:val="pl-PL"/>
        </w:rPr>
        <w:t xml:space="preserve">, iż albo </w:t>
      </w:r>
      <w:r w:rsidR="00331C32" w:rsidRPr="001055A1">
        <w:rPr>
          <w:rFonts w:cs="Helvetica"/>
          <w:lang w:val="pl-PL"/>
        </w:rPr>
        <w:t xml:space="preserve">należy zapewnić niezależny status organu </w:t>
      </w:r>
      <w:r w:rsidRPr="001055A1">
        <w:rPr>
          <w:rFonts w:cs="Helvetica"/>
          <w:lang w:val="pl-PL"/>
        </w:rPr>
        <w:t>wydające</w:t>
      </w:r>
      <w:r w:rsidR="00331C32" w:rsidRPr="001055A1">
        <w:rPr>
          <w:rFonts w:cs="Helvetica"/>
          <w:lang w:val="pl-PL"/>
        </w:rPr>
        <w:t>go</w:t>
      </w:r>
      <w:r w:rsidR="003E24E1" w:rsidRPr="001055A1">
        <w:rPr>
          <w:rFonts w:cs="Helvetica"/>
          <w:lang w:val="pl-PL"/>
        </w:rPr>
        <w:t xml:space="preserve"> zezwolenia na inwigilację</w:t>
      </w:r>
      <w:r w:rsidRPr="001055A1">
        <w:rPr>
          <w:rFonts w:cs="Helvetica"/>
          <w:lang w:val="pl-PL"/>
        </w:rPr>
        <w:t xml:space="preserve">, albo działania </w:t>
      </w:r>
      <w:r w:rsidR="004C033E">
        <w:rPr>
          <w:rFonts w:cs="Helvetica"/>
          <w:lang w:val="pl-PL"/>
        </w:rPr>
        <w:t xml:space="preserve">tego organu </w:t>
      </w:r>
      <w:r w:rsidRPr="001055A1">
        <w:rPr>
          <w:rFonts w:cs="Helvetica"/>
          <w:lang w:val="pl-PL"/>
        </w:rPr>
        <w:t>powinny podlegać kontroli s</w:t>
      </w:r>
      <w:r w:rsidR="00F024DF" w:rsidRPr="001055A1">
        <w:rPr>
          <w:rFonts w:cs="Helvetica"/>
          <w:lang w:val="pl-PL"/>
        </w:rPr>
        <w:t>ąd</w:t>
      </w:r>
      <w:r w:rsidR="004C033E">
        <w:rPr>
          <w:rFonts w:cs="Helvetica"/>
          <w:lang w:val="pl-PL"/>
        </w:rPr>
        <w:t>u</w:t>
      </w:r>
      <w:r w:rsidRPr="001055A1">
        <w:rPr>
          <w:rFonts w:cs="Helvetica"/>
          <w:lang w:val="pl-PL"/>
        </w:rPr>
        <w:t xml:space="preserve"> lub niezależnego organu</w:t>
      </w:r>
      <w:r w:rsidR="00331C32" w:rsidRPr="001055A1">
        <w:rPr>
          <w:rFonts w:cs="Helvetica"/>
          <w:lang w:val="pl-PL"/>
        </w:rPr>
        <w:t>.</w:t>
      </w:r>
      <w:r w:rsidRPr="001055A1">
        <w:rPr>
          <w:rFonts w:cs="Helvetica"/>
          <w:lang w:val="pl-PL"/>
        </w:rPr>
        <w:t xml:space="preserve"> </w:t>
      </w:r>
      <w:r w:rsidR="00331C32" w:rsidRPr="001055A1">
        <w:rPr>
          <w:rFonts w:cs="Helvetica"/>
          <w:lang w:val="pl-PL"/>
        </w:rPr>
        <w:t>P</w:t>
      </w:r>
      <w:r w:rsidRPr="001055A1">
        <w:rPr>
          <w:rFonts w:cs="Helvetica"/>
          <w:lang w:val="pl-PL"/>
        </w:rPr>
        <w:t>odkreślił, że rządy prawa oznaczają m.in., że ingerencja organów władzy wykonawczej w prawa jednostki powinna być poddana skutecznej kontroli sądowej, przynajmniej w ostatniej instancji. Sądowa kontrola oferuje bowiem najlepsze gwarancje niezależności, bezstronności i właściwej procedury.</w:t>
      </w:r>
      <w:r w:rsidR="006F341C">
        <w:rPr>
          <w:rFonts w:cs="Helvetica"/>
          <w:lang w:val="pl-PL"/>
        </w:rPr>
        <w:t xml:space="preserve"> Polityczna kontrola nie jest w stanie zapewnić odpowiedniej oceny, czy stosowanie środka jest „ściśle” koni</w:t>
      </w:r>
      <w:r w:rsidR="00AA3F10">
        <w:rPr>
          <w:rFonts w:cs="Helvetica"/>
          <w:lang w:val="pl-PL"/>
        </w:rPr>
        <w:t>e</w:t>
      </w:r>
      <w:r w:rsidR="006F341C">
        <w:rPr>
          <w:rFonts w:cs="Helvetica"/>
          <w:lang w:val="pl-PL"/>
        </w:rPr>
        <w:t>czne.</w:t>
      </w:r>
      <w:r w:rsidRPr="001055A1">
        <w:rPr>
          <w:rFonts w:cs="Helvetica"/>
          <w:lang w:val="pl-PL"/>
        </w:rPr>
        <w:t xml:space="preserve"> Zwłaszcza w dziedzinie, w której potencjalne nadużycia mogą rodzić bardzo szkodliwe konsekwencje dla społeczeństwa demokratycznego jako całości, pożądane jest co do zasady powierzenie nadzoru sędziemu (zob. par. 77 wyroku).</w:t>
      </w:r>
      <w:r w:rsidR="006F341C">
        <w:rPr>
          <w:rFonts w:cs="Helvetica"/>
          <w:lang w:val="pl-PL"/>
        </w:rPr>
        <w:t xml:space="preserve"> Choć </w:t>
      </w:r>
      <w:r w:rsidR="00FD68AD">
        <w:rPr>
          <w:rFonts w:cs="Helvetica"/>
          <w:lang w:val="pl-PL"/>
        </w:rPr>
        <w:t xml:space="preserve">co prawda </w:t>
      </w:r>
      <w:r w:rsidR="006F341C">
        <w:rPr>
          <w:rFonts w:cs="Helvetica"/>
          <w:lang w:val="pl-PL"/>
        </w:rPr>
        <w:t>z uwagi na charakter zagrożenia terrorystycznego w niektórych przypadkach nagłych uzyskanie uprzedniej zgody sądu może być nie</w:t>
      </w:r>
      <w:r w:rsidR="00FD68AD">
        <w:rPr>
          <w:rFonts w:cs="Helvetica"/>
          <w:lang w:val="pl-PL"/>
        </w:rPr>
        <w:t>wykonalne lub zbyt czasochłonne</w:t>
      </w:r>
      <w:r w:rsidR="006F341C">
        <w:rPr>
          <w:rFonts w:cs="Helvetica"/>
          <w:lang w:val="pl-PL"/>
        </w:rPr>
        <w:t xml:space="preserve">, Trybunał uznał, że </w:t>
      </w:r>
      <w:r w:rsidR="00FD68AD">
        <w:rPr>
          <w:rFonts w:cs="Helvetica"/>
          <w:lang w:val="pl-PL"/>
        </w:rPr>
        <w:t xml:space="preserve">wystarczająca jest w takich sytuacjach </w:t>
      </w:r>
      <w:r w:rsidR="00AA3F10">
        <w:rPr>
          <w:rFonts w:cs="Helvetica"/>
          <w:lang w:val="pl-PL"/>
        </w:rPr>
        <w:t>instytucja</w:t>
      </w:r>
      <w:r w:rsidR="00FD68AD">
        <w:rPr>
          <w:rFonts w:cs="Helvetica"/>
          <w:lang w:val="pl-PL"/>
        </w:rPr>
        <w:t xml:space="preserve"> </w:t>
      </w:r>
      <w:r w:rsidR="006F341C">
        <w:rPr>
          <w:rFonts w:cs="Helvetica"/>
          <w:lang w:val="pl-PL"/>
        </w:rPr>
        <w:t xml:space="preserve">udzielenia </w:t>
      </w:r>
      <w:r w:rsidR="00FD68AD">
        <w:rPr>
          <w:rFonts w:cs="Helvetica"/>
          <w:lang w:val="pl-PL"/>
        </w:rPr>
        <w:t xml:space="preserve">zgody tymczasowej przez właściwego dyrektora służby </w:t>
      </w:r>
      <w:r w:rsidR="006F341C">
        <w:rPr>
          <w:rFonts w:cs="Helvetica"/>
          <w:lang w:val="pl-PL"/>
        </w:rPr>
        <w:t xml:space="preserve">na okres </w:t>
      </w:r>
      <w:r w:rsidR="00FD68AD">
        <w:rPr>
          <w:rFonts w:cs="Helvetica"/>
          <w:lang w:val="pl-PL"/>
        </w:rPr>
        <w:t xml:space="preserve">nie dłuższy niż </w:t>
      </w:r>
      <w:r w:rsidR="006F341C">
        <w:rPr>
          <w:rFonts w:cs="Helvetica"/>
          <w:lang w:val="pl-PL"/>
        </w:rPr>
        <w:t xml:space="preserve">72 </w:t>
      </w:r>
      <w:r w:rsidR="00FD68AD">
        <w:rPr>
          <w:rFonts w:cs="Helvetica"/>
          <w:lang w:val="pl-PL"/>
        </w:rPr>
        <w:t xml:space="preserve">godziny, taki środek wymaga jednak istnienia kontroli sądowej </w:t>
      </w:r>
      <w:r w:rsidR="00FD68AD">
        <w:rPr>
          <w:rFonts w:cs="Helvetica"/>
          <w:i/>
          <w:lang w:val="pl-PL"/>
        </w:rPr>
        <w:t>post factum</w:t>
      </w:r>
      <w:r w:rsidR="00FD68AD">
        <w:rPr>
          <w:rFonts w:cs="Helvetica"/>
          <w:lang w:val="pl-PL"/>
        </w:rPr>
        <w:t xml:space="preserve">. </w:t>
      </w:r>
    </w:p>
    <w:p w:rsidR="00331C32" w:rsidRPr="001055A1" w:rsidRDefault="00124EB4" w:rsidP="00A46951">
      <w:pPr>
        <w:autoSpaceDE w:val="0"/>
        <w:autoSpaceDN w:val="0"/>
        <w:adjustRightInd w:val="0"/>
        <w:spacing w:after="120" w:line="240" w:lineRule="auto"/>
        <w:ind w:right="284"/>
        <w:jc w:val="both"/>
        <w:rPr>
          <w:rFonts w:cs="Helvetica"/>
          <w:lang w:val="pl-PL"/>
        </w:rPr>
      </w:pPr>
      <w:r w:rsidRPr="001055A1">
        <w:rPr>
          <w:rFonts w:cs="Helvetica"/>
          <w:lang w:val="pl-PL"/>
        </w:rPr>
        <w:t xml:space="preserve">Trybunał negatywnie ocenił </w:t>
      </w:r>
      <w:r w:rsidR="00331C32" w:rsidRPr="001055A1">
        <w:rPr>
          <w:rFonts w:cs="Helvetica"/>
          <w:lang w:val="pl-PL"/>
        </w:rPr>
        <w:t xml:space="preserve">również </w:t>
      </w:r>
      <w:r w:rsidRPr="001055A1">
        <w:rPr>
          <w:rFonts w:cs="Helvetica"/>
          <w:lang w:val="pl-PL"/>
        </w:rPr>
        <w:t>węgierskie przepisy w zakresie</w:t>
      </w:r>
      <w:r w:rsidR="00901B7D" w:rsidRPr="001055A1">
        <w:rPr>
          <w:rFonts w:cs="Helvetica"/>
          <w:lang w:val="pl-PL"/>
        </w:rPr>
        <w:t>,</w:t>
      </w:r>
      <w:r w:rsidRPr="001055A1">
        <w:rPr>
          <w:rFonts w:cs="Helvetica"/>
          <w:lang w:val="pl-PL"/>
        </w:rPr>
        <w:t xml:space="preserve"> w jakim nie regulują one jasno, ile razy tajna kontrola może być przedłużana. Trybunał zauważył, że przepisy </w:t>
      </w:r>
      <w:r w:rsidR="00331C32" w:rsidRPr="001055A1">
        <w:rPr>
          <w:rFonts w:cs="Helvetica"/>
          <w:lang w:val="pl-PL"/>
        </w:rPr>
        <w:t xml:space="preserve">węgierskie </w:t>
      </w:r>
      <w:r w:rsidRPr="001055A1">
        <w:rPr>
          <w:rFonts w:cs="Helvetica"/>
          <w:lang w:val="pl-PL"/>
        </w:rPr>
        <w:t>wskazują termin wygaśnięcia zezwolenia (</w:t>
      </w:r>
      <w:r w:rsidR="00AA3F10">
        <w:rPr>
          <w:rFonts w:cs="Helvetica"/>
          <w:lang w:val="pl-PL"/>
        </w:rPr>
        <w:t xml:space="preserve">maksymalnie </w:t>
      </w:r>
      <w:r w:rsidRPr="001055A1">
        <w:rPr>
          <w:rFonts w:cs="Helvetica"/>
          <w:lang w:val="pl-PL"/>
        </w:rPr>
        <w:t xml:space="preserve">po 90 dniach) i warunki jego przedłużenia </w:t>
      </w:r>
      <w:r w:rsidRPr="001055A1">
        <w:rPr>
          <w:rFonts w:cs="Helvetica"/>
          <w:lang w:val="pl-PL"/>
        </w:rPr>
        <w:lastRenderedPageBreak/>
        <w:t>na kolejn</w:t>
      </w:r>
      <w:r w:rsidR="001F16DF">
        <w:rPr>
          <w:rFonts w:cs="Helvetica"/>
          <w:lang w:val="pl-PL"/>
        </w:rPr>
        <w:t>e</w:t>
      </w:r>
      <w:r w:rsidRPr="001055A1">
        <w:rPr>
          <w:rFonts w:cs="Helvetica"/>
          <w:lang w:val="pl-PL"/>
        </w:rPr>
        <w:t xml:space="preserve"> 90 dni. Każde takie przedłużenie przez właściwego ministra może nastąpić na uzasadniony wniosek danej służby. Zezwolenie musi być uchylone, jeśli: nie jest już ko</w:t>
      </w:r>
      <w:r w:rsidRPr="001055A1">
        <w:rPr>
          <w:rFonts w:cs="Arial"/>
          <w:lang w:val="pl-PL"/>
        </w:rPr>
        <w:t xml:space="preserve">nieczne </w:t>
      </w:r>
      <w:r w:rsidR="00AA3F10">
        <w:rPr>
          <w:rFonts w:cs="Arial"/>
          <w:lang w:val="pl-PL"/>
        </w:rPr>
        <w:t xml:space="preserve">jego </w:t>
      </w:r>
      <w:r w:rsidRPr="001055A1">
        <w:rPr>
          <w:rFonts w:cs="Arial"/>
          <w:lang w:val="pl-PL"/>
        </w:rPr>
        <w:t xml:space="preserve">przedłużenie; dalsza inwigilacja nie daje szans na jakiekolwiek rezultaty; </w:t>
      </w:r>
      <w:r w:rsidRPr="001055A1">
        <w:rPr>
          <w:rFonts w:cs="Helvetica"/>
          <w:lang w:val="pl-PL"/>
        </w:rPr>
        <w:t xml:space="preserve">jej termin upłynął albo okaże się, że z jakiegoś powodu nastąpiło naruszenie prawa. Z ustawy </w:t>
      </w:r>
      <w:r w:rsidR="00593154" w:rsidRPr="001055A1">
        <w:rPr>
          <w:rFonts w:cs="Helvetica"/>
          <w:lang w:val="pl-PL"/>
        </w:rPr>
        <w:t xml:space="preserve">nie </w:t>
      </w:r>
      <w:r w:rsidRPr="001055A1">
        <w:rPr>
          <w:rFonts w:cs="Helvetica"/>
          <w:lang w:val="pl-PL"/>
        </w:rPr>
        <w:t>wynika więc</w:t>
      </w:r>
      <w:r w:rsidR="00593154">
        <w:rPr>
          <w:rFonts w:cs="Helvetica"/>
          <w:lang w:val="pl-PL"/>
        </w:rPr>
        <w:t xml:space="preserve"> jasno</w:t>
      </w:r>
      <w:r w:rsidRPr="001055A1">
        <w:rPr>
          <w:rFonts w:cs="Helvetica"/>
          <w:lang w:val="pl-PL"/>
        </w:rPr>
        <w:t xml:space="preserve">, czy takie przedłużenie może być tylko jednorazowe, czy w ślad za nim mogą </w:t>
      </w:r>
      <w:r w:rsidR="00AA3F10">
        <w:rPr>
          <w:rFonts w:cs="Helvetica"/>
          <w:lang w:val="pl-PL"/>
        </w:rPr>
        <w:t>nastąpić kolejne</w:t>
      </w:r>
      <w:r w:rsidRPr="001055A1">
        <w:rPr>
          <w:rFonts w:cs="Helvetica"/>
          <w:lang w:val="pl-PL"/>
        </w:rPr>
        <w:t>. W opinii Trybunału taka regulacja może stanowić kolejny element umożliwiający nadużycia, zwłaszcza</w:t>
      </w:r>
      <w:r w:rsidR="00331C32" w:rsidRPr="001055A1">
        <w:rPr>
          <w:rFonts w:cs="Helvetica"/>
          <w:lang w:val="pl-PL"/>
        </w:rPr>
        <w:t xml:space="preserve"> przy </w:t>
      </w:r>
      <w:r w:rsidRPr="001055A1">
        <w:rPr>
          <w:rFonts w:cs="Helvetica"/>
          <w:lang w:val="pl-PL"/>
        </w:rPr>
        <w:t xml:space="preserve">braku </w:t>
      </w:r>
      <w:r w:rsidR="00331C32" w:rsidRPr="001055A1">
        <w:rPr>
          <w:rFonts w:cs="Helvetica"/>
          <w:lang w:val="pl-PL"/>
        </w:rPr>
        <w:t xml:space="preserve">oceny </w:t>
      </w:r>
      <w:r w:rsidRPr="001055A1">
        <w:rPr>
          <w:rFonts w:cs="Helvetica"/>
          <w:lang w:val="pl-PL"/>
        </w:rPr>
        <w:t>sąd</w:t>
      </w:r>
      <w:r w:rsidR="00331C32" w:rsidRPr="001055A1">
        <w:rPr>
          <w:rFonts w:cs="Helvetica"/>
          <w:lang w:val="pl-PL"/>
        </w:rPr>
        <w:t>u</w:t>
      </w:r>
      <w:r w:rsidRPr="001055A1">
        <w:rPr>
          <w:rFonts w:cs="Helvetica"/>
          <w:lang w:val="pl-PL"/>
        </w:rPr>
        <w:t xml:space="preserve"> </w:t>
      </w:r>
      <w:r w:rsidR="00331C32" w:rsidRPr="001055A1">
        <w:rPr>
          <w:rFonts w:cs="Helvetica"/>
          <w:lang w:val="pl-PL"/>
        </w:rPr>
        <w:t>(zob. par. 74 wyroku).</w:t>
      </w:r>
      <w:r w:rsidR="00331C32" w:rsidRPr="001055A1">
        <w:rPr>
          <w:rFonts w:cs="Helvetica"/>
          <w:lang w:val="pl-PL"/>
        </w:rPr>
        <w:tab/>
      </w:r>
      <w:r w:rsidR="00331C32" w:rsidRPr="001055A1">
        <w:rPr>
          <w:rFonts w:cs="Helvetica"/>
          <w:lang w:val="pl-PL"/>
        </w:rPr>
        <w:tab/>
      </w:r>
      <w:r w:rsidR="00331C32" w:rsidRPr="001055A1">
        <w:rPr>
          <w:rFonts w:cs="Helvetica"/>
          <w:lang w:val="pl-PL"/>
        </w:rPr>
        <w:tab/>
      </w:r>
    </w:p>
    <w:p w:rsidR="00124EB4" w:rsidRPr="001055A1" w:rsidRDefault="00124EB4" w:rsidP="00A46951">
      <w:pPr>
        <w:autoSpaceDE w:val="0"/>
        <w:autoSpaceDN w:val="0"/>
        <w:adjustRightInd w:val="0"/>
        <w:spacing w:after="120" w:line="240" w:lineRule="auto"/>
        <w:ind w:right="284"/>
        <w:jc w:val="both"/>
        <w:rPr>
          <w:rFonts w:cs="Helvetica"/>
          <w:lang w:val="pl-PL"/>
        </w:rPr>
      </w:pPr>
      <w:r w:rsidRPr="001055A1">
        <w:rPr>
          <w:rFonts w:cs="Helvetica"/>
          <w:lang w:val="pl-PL"/>
        </w:rPr>
        <w:t>Trybunał odnotował</w:t>
      </w:r>
      <w:r w:rsidR="003E24E1" w:rsidRPr="001055A1">
        <w:rPr>
          <w:rFonts w:cs="Helvetica"/>
          <w:lang w:val="pl-PL"/>
        </w:rPr>
        <w:t xml:space="preserve"> też</w:t>
      </w:r>
      <w:r w:rsidRPr="001055A1">
        <w:rPr>
          <w:rFonts w:cs="Helvetica"/>
          <w:lang w:val="pl-PL"/>
        </w:rPr>
        <w:t xml:space="preserve">, że regulacje węgierskie nie przewidują informowania jednostki o fakcie, że była poddana inwigilacji. Trybunał zgodził się z opinią Komisji Weneckiej, zgodnie z którą </w:t>
      </w:r>
      <w:r w:rsidR="00AA3F10">
        <w:rPr>
          <w:rFonts w:cs="Helvetica"/>
          <w:lang w:val="pl-PL"/>
        </w:rPr>
        <w:t>„</w:t>
      </w:r>
      <w:r w:rsidRPr="001055A1">
        <w:rPr>
          <w:rFonts w:cs="Helvetica"/>
          <w:i/>
          <w:lang w:val="pl-PL"/>
        </w:rPr>
        <w:t>osoby, które zarzucają naruszenie prawa przez państwo w innych dziedzinach zwykle mają prawo do</w:t>
      </w:r>
      <w:r w:rsidR="003E24E1" w:rsidRPr="001055A1">
        <w:rPr>
          <w:rFonts w:cs="Helvetica"/>
          <w:i/>
          <w:lang w:val="pl-PL"/>
        </w:rPr>
        <w:t>chodzenia odszkodowania</w:t>
      </w:r>
      <w:r w:rsidRPr="001055A1">
        <w:rPr>
          <w:rFonts w:cs="Helvetica"/>
          <w:i/>
          <w:lang w:val="pl-PL"/>
        </w:rPr>
        <w:t xml:space="preserve"> przed sądami. Skuteczność tego prawa zależy jednak od ich wiedzy o rzekomo bezprawnym działaniu oraz przekonującego udowodnienia tego faktu przed sądem”</w:t>
      </w:r>
      <w:r w:rsidRPr="001055A1">
        <w:rPr>
          <w:rFonts w:cs="Helvetica"/>
          <w:lang w:val="pl-PL"/>
        </w:rPr>
        <w:t xml:space="preserve"> (zob. par. 83 wyroku). Trybunał podkreślił, że kwestia zawiadomienia po fakcie o stosowaniu inwigilacji nierozerwalnie wiąże się ze skutecznością środków prawnych i w rezultacie </w:t>
      </w:r>
      <w:r w:rsidR="001F16DF">
        <w:rPr>
          <w:rFonts w:cs="Helvetica"/>
          <w:lang w:val="pl-PL"/>
        </w:rPr>
        <w:t xml:space="preserve">z </w:t>
      </w:r>
      <w:r w:rsidRPr="001055A1">
        <w:rPr>
          <w:rFonts w:cs="Helvetica"/>
          <w:lang w:val="pl-PL"/>
        </w:rPr>
        <w:t>istnieniem właściwych gwarancji przed nadużywaniem uprawnień przez władzę. Jeśli po zakończeni</w:t>
      </w:r>
      <w:r w:rsidRPr="001055A1">
        <w:rPr>
          <w:rFonts w:cs="Arial"/>
          <w:lang w:val="pl-PL"/>
        </w:rPr>
        <w:t xml:space="preserve">u </w:t>
      </w:r>
      <w:r w:rsidRPr="001055A1">
        <w:rPr>
          <w:rFonts w:cs="Helvetica"/>
          <w:lang w:val="pl-PL"/>
        </w:rPr>
        <w:t xml:space="preserve">inwigilacji okaże się, że osoba inwigilowana może zostać o tym fakcie powiadomiona bez szkody dla celu </w:t>
      </w:r>
      <w:r w:rsidR="00593154">
        <w:rPr>
          <w:rFonts w:cs="Helvetica"/>
          <w:lang w:val="pl-PL"/>
        </w:rPr>
        <w:t xml:space="preserve">stosowania </w:t>
      </w:r>
      <w:r w:rsidRPr="001055A1">
        <w:rPr>
          <w:rFonts w:cs="Helvetica"/>
          <w:lang w:val="pl-PL"/>
        </w:rPr>
        <w:t>tego środka, powinn</w:t>
      </w:r>
      <w:r w:rsidR="00F71A55">
        <w:rPr>
          <w:rFonts w:cs="Helvetica"/>
          <w:lang w:val="pl-PL"/>
        </w:rPr>
        <w:t>o</w:t>
      </w:r>
      <w:r w:rsidRPr="001055A1">
        <w:rPr>
          <w:rFonts w:cs="Helvetica"/>
          <w:lang w:val="pl-PL"/>
        </w:rPr>
        <w:t xml:space="preserve"> to nastąpić niezwłocznie. W prawie węgierskim nie jest </w:t>
      </w:r>
      <w:r w:rsidR="00593154" w:rsidRPr="001055A1">
        <w:rPr>
          <w:rFonts w:cs="Helvetica"/>
          <w:lang w:val="pl-PL"/>
        </w:rPr>
        <w:t xml:space="preserve">jednak </w:t>
      </w:r>
      <w:r w:rsidRPr="001055A1">
        <w:rPr>
          <w:rFonts w:cs="Helvetica"/>
          <w:lang w:val="pl-PL"/>
        </w:rPr>
        <w:t>przewidziany żaden rodzaj takiej notyfikacji. Fakt ten, wraz z brakiem formalnych środków od</w:t>
      </w:r>
      <w:r w:rsidR="00593154">
        <w:rPr>
          <w:rFonts w:cs="Helvetica"/>
          <w:lang w:val="pl-PL"/>
        </w:rPr>
        <w:t>woławczych w przypadku nadużyć</w:t>
      </w:r>
      <w:r w:rsidRPr="001055A1">
        <w:rPr>
          <w:rFonts w:cs="Helvetica"/>
          <w:lang w:val="pl-PL"/>
        </w:rPr>
        <w:t>, wskazywał, że ustawodawstwo węgierskie nie zapewnia odpowiednich zabezpieczeń (zob. par. 86 wyroku).</w:t>
      </w:r>
      <w:r w:rsidRPr="001055A1">
        <w:rPr>
          <w:rFonts w:cs="Helvetica"/>
          <w:lang w:val="pl-PL"/>
        </w:rPr>
        <w:tab/>
      </w:r>
    </w:p>
    <w:p w:rsidR="00124EB4" w:rsidRPr="00636A9F" w:rsidRDefault="00124EB4" w:rsidP="00A46951">
      <w:pPr>
        <w:autoSpaceDE w:val="0"/>
        <w:autoSpaceDN w:val="0"/>
        <w:adjustRightInd w:val="0"/>
        <w:spacing w:after="120" w:line="240" w:lineRule="auto"/>
        <w:ind w:right="284"/>
        <w:jc w:val="both"/>
        <w:rPr>
          <w:rStyle w:val="sfbbfee58"/>
          <w:rFonts w:eastAsiaTheme="majorEastAsia"/>
          <w:lang w:val="pl-PL"/>
        </w:rPr>
      </w:pPr>
      <w:r w:rsidRPr="00636A9F">
        <w:rPr>
          <w:rStyle w:val="sfbbfee58"/>
          <w:rFonts w:eastAsiaTheme="majorEastAsia"/>
          <w:lang w:val="pl-PL"/>
        </w:rPr>
        <w:t>Trybunał orzekł</w:t>
      </w:r>
      <w:r w:rsidR="00593154">
        <w:rPr>
          <w:rStyle w:val="sfbbfee58"/>
          <w:rFonts w:eastAsiaTheme="majorEastAsia"/>
          <w:lang w:val="pl-PL"/>
        </w:rPr>
        <w:t xml:space="preserve"> więc</w:t>
      </w:r>
      <w:r w:rsidRPr="00636A9F">
        <w:rPr>
          <w:rStyle w:val="sfbbfee58"/>
          <w:rFonts w:eastAsiaTheme="majorEastAsia"/>
          <w:lang w:val="pl-PL"/>
        </w:rPr>
        <w:t>, że badane ustawodawstwo węgierskie nie jest wystarczająco precyzyjne, skuteczne i kompleksowe w odniesieniu do zarządzania i stosowania środków tajnej kontroli</w:t>
      </w:r>
      <w:r w:rsidR="003E24E1" w:rsidRPr="00636A9F">
        <w:rPr>
          <w:rStyle w:val="sfbbfee58"/>
          <w:rFonts w:eastAsiaTheme="majorEastAsia"/>
          <w:lang w:val="pl-PL"/>
        </w:rPr>
        <w:t xml:space="preserve"> oraz naprawiania </w:t>
      </w:r>
      <w:r w:rsidR="00CE4DF0" w:rsidRPr="00636A9F">
        <w:rPr>
          <w:rStyle w:val="sfbbfee58"/>
          <w:rFonts w:eastAsiaTheme="majorEastAsia"/>
          <w:lang w:val="pl-PL"/>
        </w:rPr>
        <w:t xml:space="preserve">potencjalnych </w:t>
      </w:r>
      <w:r w:rsidR="003E24E1" w:rsidRPr="00636A9F">
        <w:rPr>
          <w:rStyle w:val="sfbbfee58"/>
          <w:rFonts w:eastAsiaTheme="majorEastAsia"/>
          <w:lang w:val="pl-PL"/>
        </w:rPr>
        <w:t>naruszeń</w:t>
      </w:r>
      <w:r w:rsidR="0005030F" w:rsidRPr="00636A9F">
        <w:rPr>
          <w:rStyle w:val="sfbbfee58"/>
          <w:rFonts w:eastAsiaTheme="majorEastAsia"/>
          <w:lang w:val="pl-PL"/>
        </w:rPr>
        <w:t>. Z uwagi na zakres jego zastosowania dotyczący praktycznie każde</w:t>
      </w:r>
      <w:r w:rsidR="00593154">
        <w:rPr>
          <w:rStyle w:val="sfbbfee58"/>
          <w:rFonts w:eastAsiaTheme="majorEastAsia"/>
          <w:lang w:val="pl-PL"/>
        </w:rPr>
        <w:t>j osoby</w:t>
      </w:r>
      <w:r w:rsidR="0005030F" w:rsidRPr="00636A9F">
        <w:rPr>
          <w:rStyle w:val="sfbbfee58"/>
          <w:rFonts w:eastAsiaTheme="majorEastAsia"/>
          <w:lang w:val="pl-PL"/>
        </w:rPr>
        <w:t xml:space="preserve">, </w:t>
      </w:r>
      <w:r w:rsidR="001F16DF">
        <w:rPr>
          <w:rStyle w:val="sfbbfee58"/>
          <w:rFonts w:eastAsiaTheme="majorEastAsia"/>
          <w:lang w:val="pl-PL"/>
        </w:rPr>
        <w:t>a także ze względu na fakt pozostawienia</w:t>
      </w:r>
      <w:r w:rsidR="0005030F" w:rsidRPr="00636A9F">
        <w:rPr>
          <w:rStyle w:val="sfbbfee58"/>
          <w:rFonts w:eastAsiaTheme="majorEastAsia"/>
          <w:lang w:val="pl-PL"/>
        </w:rPr>
        <w:t xml:space="preserve"> </w:t>
      </w:r>
      <w:r w:rsidR="001F16DF">
        <w:rPr>
          <w:rStyle w:val="sfbbfee58"/>
          <w:rFonts w:eastAsiaTheme="majorEastAsia"/>
          <w:lang w:val="pl-PL"/>
        </w:rPr>
        <w:t>decyzji o zarządzaniu</w:t>
      </w:r>
      <w:r w:rsidR="0005030F" w:rsidRPr="00636A9F">
        <w:rPr>
          <w:rStyle w:val="sfbbfee58"/>
          <w:rFonts w:eastAsiaTheme="majorEastAsia"/>
          <w:lang w:val="pl-PL"/>
        </w:rPr>
        <w:t xml:space="preserve"> stosowania środków wyłącznie w gestii władz wykonawczych i brak obowiązku oceny „ścisłej konieczności” zastosowania takich środków, przy istnieniu nowych technologii umożliwiających rządowi łatwe przechwytywanie na masową skalę danych dotyczących osób nawet będących poza pierwotnym zakresem operacji, </w:t>
      </w:r>
      <w:r w:rsidR="001F16DF">
        <w:rPr>
          <w:rStyle w:val="sfbbfee58"/>
          <w:rFonts w:eastAsiaTheme="majorEastAsia"/>
          <w:lang w:val="pl-PL"/>
        </w:rPr>
        <w:t xml:space="preserve">oraz </w:t>
      </w:r>
      <w:r w:rsidR="0005030F" w:rsidRPr="00636A9F">
        <w:rPr>
          <w:rStyle w:val="sfbbfee58"/>
          <w:rFonts w:eastAsiaTheme="majorEastAsia"/>
          <w:lang w:val="pl-PL"/>
        </w:rPr>
        <w:t xml:space="preserve">z uwagi na </w:t>
      </w:r>
      <w:r w:rsidRPr="00636A9F">
        <w:rPr>
          <w:rStyle w:val="sfbbfee58"/>
          <w:rFonts w:eastAsiaTheme="majorEastAsia"/>
          <w:lang w:val="pl-PL"/>
        </w:rPr>
        <w:t>brak jakichkolwiek skutecznych środków</w:t>
      </w:r>
      <w:r w:rsidR="0005030F" w:rsidRPr="00636A9F">
        <w:rPr>
          <w:rStyle w:val="sfbbfee58"/>
          <w:rFonts w:eastAsiaTheme="majorEastAsia"/>
          <w:lang w:val="pl-PL"/>
        </w:rPr>
        <w:t xml:space="preserve"> prawnych, nie mówiąc już o kontroli sądowej,</w:t>
      </w:r>
      <w:r w:rsidRPr="00636A9F">
        <w:rPr>
          <w:rStyle w:val="sfbbfee58"/>
          <w:rFonts w:eastAsiaTheme="majorEastAsia"/>
          <w:lang w:val="pl-PL"/>
        </w:rPr>
        <w:t xml:space="preserve"> Trybunał stwierdził jednogłośnie naruszenie art.</w:t>
      </w:r>
      <w:r w:rsidR="007266E0">
        <w:rPr>
          <w:rStyle w:val="sfbbfee58"/>
          <w:rFonts w:eastAsiaTheme="majorEastAsia"/>
          <w:lang w:val="pl-PL"/>
        </w:rPr>
        <w:t xml:space="preserve"> </w:t>
      </w:r>
      <w:r w:rsidRPr="00636A9F">
        <w:rPr>
          <w:rStyle w:val="sfbbfee58"/>
          <w:rFonts w:eastAsiaTheme="majorEastAsia"/>
          <w:lang w:val="pl-PL"/>
        </w:rPr>
        <w:t>8 Konwencji.</w:t>
      </w:r>
    </w:p>
    <w:p w:rsidR="001055A1" w:rsidRPr="001055A1" w:rsidRDefault="00124EB4" w:rsidP="001055A1">
      <w:pPr>
        <w:autoSpaceDE w:val="0"/>
        <w:autoSpaceDN w:val="0"/>
        <w:adjustRightInd w:val="0"/>
        <w:spacing w:after="120" w:line="240" w:lineRule="auto"/>
        <w:ind w:right="284"/>
        <w:jc w:val="both"/>
        <w:rPr>
          <w:rFonts w:cs="Helvetica"/>
          <w:lang w:val="pl-PL"/>
        </w:rPr>
      </w:pPr>
      <w:r w:rsidRPr="001055A1">
        <w:rPr>
          <w:rFonts w:cs="Helvetica"/>
          <w:lang w:val="pl-PL"/>
        </w:rPr>
        <w:t>Trybunał uznał</w:t>
      </w:r>
      <w:r w:rsidR="00901B7D" w:rsidRPr="001055A1">
        <w:rPr>
          <w:rFonts w:cs="Helvetica"/>
          <w:lang w:val="pl-PL"/>
        </w:rPr>
        <w:t xml:space="preserve"> natomiast</w:t>
      </w:r>
      <w:r w:rsidRPr="001055A1">
        <w:rPr>
          <w:rFonts w:cs="Helvetica"/>
          <w:lang w:val="pl-PL"/>
        </w:rPr>
        <w:t xml:space="preserve">, że </w:t>
      </w:r>
      <w:r w:rsidRPr="009A534B">
        <w:rPr>
          <w:rFonts w:cs="Helvetica"/>
          <w:lang w:val="pl-PL"/>
        </w:rPr>
        <w:t>nie doszło do naruszenia</w:t>
      </w:r>
      <w:r w:rsidRPr="001055A1">
        <w:rPr>
          <w:rFonts w:cs="Helvetica"/>
          <w:lang w:val="pl-PL"/>
        </w:rPr>
        <w:t xml:space="preserve"> art. 13 w związku z art. 8 Konwencji</w:t>
      </w:r>
      <w:r w:rsidR="00901B7D" w:rsidRPr="001055A1">
        <w:rPr>
          <w:rFonts w:cs="Helvetica"/>
          <w:lang w:val="pl-PL"/>
        </w:rPr>
        <w:t>,</w:t>
      </w:r>
      <w:r w:rsidRPr="001055A1">
        <w:rPr>
          <w:rFonts w:cs="Helvetica"/>
          <w:lang w:val="pl-PL"/>
        </w:rPr>
        <w:t xml:space="preserve"> </w:t>
      </w:r>
      <w:r w:rsidR="00CE4DF0" w:rsidRPr="001055A1">
        <w:rPr>
          <w:rFonts w:cs="Helvetica"/>
          <w:lang w:val="pl-PL"/>
        </w:rPr>
        <w:br/>
      </w:r>
      <w:r w:rsidRPr="001055A1">
        <w:rPr>
          <w:rFonts w:cs="Helvetica"/>
          <w:lang w:val="pl-PL"/>
        </w:rPr>
        <w:t xml:space="preserve">i nie </w:t>
      </w:r>
      <w:r w:rsidR="00E911E2" w:rsidRPr="001055A1">
        <w:rPr>
          <w:rFonts w:cs="Helvetica"/>
          <w:lang w:val="pl-PL"/>
        </w:rPr>
        <w:t>dostrzegł</w:t>
      </w:r>
      <w:r w:rsidRPr="001055A1">
        <w:rPr>
          <w:rFonts w:cs="Helvetica"/>
          <w:lang w:val="pl-PL"/>
        </w:rPr>
        <w:t xml:space="preserve"> potrzeby </w:t>
      </w:r>
      <w:r w:rsidR="00E911E2" w:rsidRPr="001055A1">
        <w:rPr>
          <w:rFonts w:cs="Helvetica"/>
          <w:lang w:val="pl-PL"/>
        </w:rPr>
        <w:t>z</w:t>
      </w:r>
      <w:r w:rsidRPr="001055A1">
        <w:rPr>
          <w:rFonts w:cs="Helvetica"/>
          <w:lang w:val="pl-PL"/>
        </w:rPr>
        <w:t xml:space="preserve">badania, czy w tej sprawie nastąpiło również naruszenie art. 6 </w:t>
      </w:r>
      <w:r w:rsidR="00331C32" w:rsidRPr="001055A1">
        <w:rPr>
          <w:rFonts w:cs="Helvetica"/>
          <w:lang w:val="pl-PL"/>
        </w:rPr>
        <w:t>K</w:t>
      </w:r>
      <w:r w:rsidR="001055A1" w:rsidRPr="001055A1">
        <w:rPr>
          <w:rFonts w:cs="Helvetica"/>
          <w:lang w:val="pl-PL"/>
        </w:rPr>
        <w:t>onwencji.</w:t>
      </w:r>
    </w:p>
    <w:p w:rsidR="005D4960" w:rsidRPr="001055A1" w:rsidRDefault="005D4960" w:rsidP="00AB0AA6">
      <w:pPr>
        <w:spacing w:after="120" w:line="240" w:lineRule="auto"/>
        <w:jc w:val="both"/>
        <w:rPr>
          <w:rStyle w:val="sfbbfee58"/>
          <w:rFonts w:eastAsiaTheme="majorEastAsia"/>
          <w:lang w:val="pl-PL"/>
        </w:rPr>
      </w:pPr>
      <w:r w:rsidRPr="001055A1">
        <w:rPr>
          <w:rStyle w:val="sfbbfee58"/>
          <w:rFonts w:eastAsiaTheme="majorEastAsia"/>
          <w:u w:val="single"/>
          <w:lang w:val="pl-PL"/>
        </w:rPr>
        <w:t>Znaczenie wyroku dla Polski</w:t>
      </w:r>
      <w:r w:rsidRPr="001055A1">
        <w:rPr>
          <w:rStyle w:val="sfbbfee58"/>
          <w:rFonts w:eastAsiaTheme="majorEastAsia"/>
          <w:lang w:val="pl-PL"/>
        </w:rPr>
        <w:t xml:space="preserve"> – kolejny wyrok Trybunału wskazujący na wymagane gwarancje </w:t>
      </w:r>
      <w:r w:rsidR="00B008D9" w:rsidRPr="001055A1">
        <w:rPr>
          <w:rStyle w:val="sfbbfee58"/>
          <w:rFonts w:eastAsiaTheme="majorEastAsia"/>
          <w:lang w:val="pl-PL"/>
        </w:rPr>
        <w:t>zabezpieczające prawa jednostek</w:t>
      </w:r>
      <w:r w:rsidR="001F16DF">
        <w:rPr>
          <w:rStyle w:val="sfbbfee58"/>
          <w:rFonts w:eastAsiaTheme="majorEastAsia"/>
          <w:lang w:val="pl-PL"/>
        </w:rPr>
        <w:t>, które powinny być przewidziane w regulacjach</w:t>
      </w:r>
      <w:r w:rsidRPr="001055A1">
        <w:rPr>
          <w:rStyle w:val="sfbbfee58"/>
          <w:rFonts w:eastAsiaTheme="majorEastAsia"/>
          <w:lang w:val="pl-PL"/>
        </w:rPr>
        <w:t xml:space="preserve"> krajowych przewidujących możliwość stosowania środków tajnej kontroli operacyjnej. Wyrok warto dokładnie przeanalizować.</w:t>
      </w:r>
      <w:r w:rsidR="00B475F7">
        <w:rPr>
          <w:rStyle w:val="sfbbfee58"/>
          <w:rFonts w:eastAsiaTheme="majorEastAsia"/>
          <w:lang w:val="pl-PL"/>
        </w:rPr>
        <w:t xml:space="preserve"> </w:t>
      </w:r>
      <w:r w:rsidR="00B475F7">
        <w:rPr>
          <w:lang w:val="pl-PL"/>
        </w:rPr>
        <w:t>Wyrok nie jest jednak jeszcze ostateczny, z uwagi na złożenie przez Węgry wniosku o przekazanie sprawy do Wielkiej Izby.</w:t>
      </w:r>
    </w:p>
    <w:p w:rsidR="003D0710" w:rsidRPr="003D0710" w:rsidRDefault="00F53C57" w:rsidP="003D0710">
      <w:pPr>
        <w:pStyle w:val="Nagwek2"/>
        <w:numPr>
          <w:ilvl w:val="0"/>
          <w:numId w:val="29"/>
        </w:numPr>
        <w:spacing w:before="480"/>
      </w:pPr>
      <w:bookmarkStart w:id="13" w:name="_Toc449106390"/>
      <w:proofErr w:type="spellStart"/>
      <w:r w:rsidRPr="003D0710">
        <w:t>Genner</w:t>
      </w:r>
      <w:proofErr w:type="spellEnd"/>
      <w:r w:rsidRPr="003D0710">
        <w:t xml:space="preserve"> </w:t>
      </w:r>
      <w:r w:rsidR="003D0710" w:rsidRPr="003D0710">
        <w:t>p. Austrii</w:t>
      </w:r>
      <w:r w:rsidR="00C77146">
        <w:t>,</w:t>
      </w:r>
      <w:r w:rsidR="003D0710" w:rsidRPr="003D0710">
        <w:t xml:space="preserve"> </w:t>
      </w:r>
      <w:r>
        <w:t xml:space="preserve">skarga nr </w:t>
      </w:r>
      <w:r w:rsidR="003D0710" w:rsidRPr="003D0710">
        <w:t xml:space="preserve">55495/08, wyrok </w:t>
      </w:r>
      <w:r>
        <w:t xml:space="preserve">Izby </w:t>
      </w:r>
      <w:r w:rsidR="003D0710" w:rsidRPr="003D0710">
        <w:t>z dnia 12</w:t>
      </w:r>
      <w:r>
        <w:t>.01.</w:t>
      </w:r>
      <w:r w:rsidR="003D0710" w:rsidRPr="003D0710">
        <w:t>2016 r.</w:t>
      </w:r>
      <w:r>
        <w:t>, nieostateczny</w:t>
      </w:r>
      <w:bookmarkEnd w:id="13"/>
    </w:p>
    <w:p w:rsidR="003075A0" w:rsidRPr="00D0387E" w:rsidRDefault="003075A0" w:rsidP="001977D8">
      <w:pPr>
        <w:pStyle w:val="Akapitzlist"/>
        <w:keepNext/>
        <w:keepLines/>
        <w:numPr>
          <w:ilvl w:val="0"/>
          <w:numId w:val="38"/>
        </w:numPr>
        <w:spacing w:after="240" w:line="240" w:lineRule="auto"/>
        <w:ind w:left="357" w:hanging="357"/>
        <w:contextualSpacing w:val="0"/>
        <w:jc w:val="both"/>
        <w:outlineLvl w:val="2"/>
        <w:rPr>
          <w:b/>
          <w:color w:val="000000" w:themeColor="text1"/>
          <w:lang w:val="pl-PL"/>
        </w:rPr>
      </w:pPr>
      <w:bookmarkStart w:id="14" w:name="_Toc449106391"/>
      <w:r w:rsidRPr="00D0387E">
        <w:rPr>
          <w:b/>
          <w:color w:val="000000" w:themeColor="text1"/>
          <w:lang w:val="pl-PL"/>
        </w:rPr>
        <w:t xml:space="preserve">brak naruszenia art. 10 Konwencji (wolność wyrażania opinii) w odniesieniu do skazania na karę grzywny za </w:t>
      </w:r>
      <w:r w:rsidR="00D0387E">
        <w:rPr>
          <w:b/>
          <w:color w:val="000000" w:themeColor="text1"/>
          <w:lang w:val="pl-PL"/>
        </w:rPr>
        <w:t xml:space="preserve">zniesławienie za </w:t>
      </w:r>
      <w:r w:rsidRPr="00D0387E">
        <w:rPr>
          <w:b/>
          <w:color w:val="000000" w:themeColor="text1"/>
          <w:lang w:val="pl-PL"/>
        </w:rPr>
        <w:t xml:space="preserve">wypowiedź stanowiącą atak </w:t>
      </w:r>
      <w:r w:rsidR="001977D8" w:rsidRPr="00D0387E">
        <w:rPr>
          <w:b/>
          <w:color w:val="000000" w:themeColor="text1"/>
          <w:lang w:val="pl-PL"/>
        </w:rPr>
        <w:t xml:space="preserve">personalny </w:t>
      </w:r>
      <w:r w:rsidRPr="00D0387E">
        <w:rPr>
          <w:b/>
          <w:color w:val="000000" w:themeColor="text1"/>
          <w:lang w:val="pl-PL"/>
        </w:rPr>
        <w:t xml:space="preserve">wymierzony w zmarłą minister dzień po jej śmierci, </w:t>
      </w:r>
      <w:r w:rsidR="00C77146">
        <w:rPr>
          <w:b/>
          <w:color w:val="000000" w:themeColor="text1"/>
          <w:lang w:val="pl-PL"/>
        </w:rPr>
        <w:t>pomimo iż</w:t>
      </w:r>
      <w:r w:rsidRPr="00D0387E">
        <w:rPr>
          <w:b/>
          <w:color w:val="000000" w:themeColor="text1"/>
          <w:lang w:val="pl-PL"/>
        </w:rPr>
        <w:t xml:space="preserve"> wypowiedź </w:t>
      </w:r>
      <w:r w:rsidR="00D31E30" w:rsidRPr="00D0387E">
        <w:rPr>
          <w:b/>
          <w:color w:val="000000" w:themeColor="text1"/>
          <w:lang w:val="pl-PL"/>
        </w:rPr>
        <w:t>dotyczyła</w:t>
      </w:r>
      <w:r w:rsidRPr="00D0387E">
        <w:rPr>
          <w:b/>
          <w:color w:val="000000" w:themeColor="text1"/>
          <w:lang w:val="pl-PL"/>
        </w:rPr>
        <w:t xml:space="preserve"> ”kwestii interesu publicznego” i </w:t>
      </w:r>
      <w:r w:rsidR="00D31E30" w:rsidRPr="00D0387E">
        <w:rPr>
          <w:b/>
          <w:color w:val="000000" w:themeColor="text1"/>
          <w:lang w:val="pl-PL"/>
        </w:rPr>
        <w:t xml:space="preserve">stanowiła </w:t>
      </w:r>
      <w:r w:rsidRPr="00D0387E">
        <w:rPr>
          <w:b/>
          <w:color w:val="000000" w:themeColor="text1"/>
          <w:lang w:val="pl-PL"/>
        </w:rPr>
        <w:t>element „debaty politycznej”</w:t>
      </w:r>
      <w:bookmarkEnd w:id="14"/>
    </w:p>
    <w:p w:rsidR="003D0710" w:rsidRPr="003D0710" w:rsidRDefault="003D0710" w:rsidP="00005885">
      <w:pPr>
        <w:spacing w:after="120" w:line="240" w:lineRule="auto"/>
        <w:jc w:val="both"/>
        <w:rPr>
          <w:u w:val="single"/>
          <w:lang w:val="pl-PL"/>
        </w:rPr>
      </w:pPr>
      <w:r w:rsidRPr="003D0710">
        <w:rPr>
          <w:u w:val="single"/>
          <w:lang w:val="pl-PL"/>
        </w:rPr>
        <w:t>Stan faktyczny</w:t>
      </w:r>
      <w:r w:rsidR="00E955B2">
        <w:rPr>
          <w:u w:val="single"/>
          <w:lang w:val="pl-PL"/>
        </w:rPr>
        <w:t xml:space="preserve"> i zarzuty skarżącego</w:t>
      </w:r>
    </w:p>
    <w:p w:rsidR="001D6707" w:rsidRPr="00D632AA" w:rsidRDefault="003D0710" w:rsidP="00005885">
      <w:pPr>
        <w:spacing w:after="120" w:line="240" w:lineRule="auto"/>
        <w:jc w:val="both"/>
        <w:rPr>
          <w:rFonts w:ascii="Calibri" w:hAnsi="Calibri" w:cs="Calibri"/>
          <w:color w:val="000000"/>
          <w:lang w:val="pl-PL"/>
        </w:rPr>
      </w:pPr>
      <w:r w:rsidRPr="003D0710">
        <w:rPr>
          <w:lang w:val="pl-PL"/>
        </w:rPr>
        <w:t xml:space="preserve">Skarżący był pracownikiem stowarzyszenia </w:t>
      </w:r>
      <w:r w:rsidR="00461E7B">
        <w:rPr>
          <w:lang w:val="pl-PL"/>
        </w:rPr>
        <w:t>„Azyl w Potrzebie” (</w:t>
      </w:r>
      <w:proofErr w:type="spellStart"/>
      <w:r w:rsidRPr="00461E7B">
        <w:rPr>
          <w:i/>
          <w:lang w:val="pl-PL"/>
        </w:rPr>
        <w:t>Asyl</w:t>
      </w:r>
      <w:proofErr w:type="spellEnd"/>
      <w:r w:rsidRPr="00461E7B">
        <w:rPr>
          <w:i/>
          <w:lang w:val="pl-PL"/>
        </w:rPr>
        <w:t xml:space="preserve"> in Not</w:t>
      </w:r>
      <w:r w:rsidR="00461E7B">
        <w:rPr>
          <w:i/>
          <w:lang w:val="pl-PL"/>
        </w:rPr>
        <w:t>)</w:t>
      </w:r>
      <w:r w:rsidR="000B6E51">
        <w:rPr>
          <w:i/>
          <w:lang w:val="pl-PL"/>
        </w:rPr>
        <w:t>,</w:t>
      </w:r>
      <w:r w:rsidRPr="003D0710">
        <w:rPr>
          <w:lang w:val="pl-PL"/>
        </w:rPr>
        <w:t xml:space="preserve"> oferującego pomoc prawną i wsparcie socjalne osobom ubiegającym się o azyl i uchodźcom. Po śmierci austriackiej minister spraw wewnętrznych skarżą</w:t>
      </w:r>
      <w:r w:rsidR="00461E7B">
        <w:rPr>
          <w:lang w:val="pl-PL"/>
        </w:rPr>
        <w:t>cy napisał artykuł</w:t>
      </w:r>
      <w:r w:rsidRPr="003D0710">
        <w:rPr>
          <w:lang w:val="pl-PL"/>
        </w:rPr>
        <w:t>, w którym nazwał zmarłą minister zbrodniarzem wojennym</w:t>
      </w:r>
      <w:r w:rsidR="00E955B2">
        <w:rPr>
          <w:lang w:val="pl-PL"/>
        </w:rPr>
        <w:t>,</w:t>
      </w:r>
      <w:r w:rsidRPr="003D0710">
        <w:rPr>
          <w:lang w:val="pl-PL"/>
        </w:rPr>
        <w:t xml:space="preserve"> porównując ją do innych znanych z historii austriackich zbrodniarzy</w:t>
      </w:r>
      <w:r w:rsidR="00461E7B">
        <w:rPr>
          <w:lang w:val="pl-PL"/>
        </w:rPr>
        <w:t xml:space="preserve"> i wyrażając satysfakcję z powodu jej śmierci</w:t>
      </w:r>
      <w:r w:rsidRPr="003D0710">
        <w:rPr>
          <w:lang w:val="pl-PL"/>
        </w:rPr>
        <w:t>.</w:t>
      </w:r>
      <w:r w:rsidR="00E955B2">
        <w:rPr>
          <w:lang w:val="pl-PL"/>
        </w:rPr>
        <w:t xml:space="preserve"> </w:t>
      </w:r>
      <w:r w:rsidR="00C77146">
        <w:rPr>
          <w:lang w:val="pl-PL"/>
        </w:rPr>
        <w:t>Po ukazaniu</w:t>
      </w:r>
      <w:r w:rsidRPr="003D0710">
        <w:rPr>
          <w:lang w:val="pl-PL"/>
        </w:rPr>
        <w:t xml:space="preserve"> się artykułu mąż zmarłej minister </w:t>
      </w:r>
      <w:r w:rsidR="00E955B2">
        <w:rPr>
          <w:lang w:val="pl-PL"/>
        </w:rPr>
        <w:t xml:space="preserve">skierował </w:t>
      </w:r>
      <w:r w:rsidRPr="003D0710">
        <w:rPr>
          <w:lang w:val="pl-PL"/>
        </w:rPr>
        <w:t xml:space="preserve">przeciwko skarżącemu </w:t>
      </w:r>
      <w:r w:rsidR="00E955B2">
        <w:rPr>
          <w:lang w:val="pl-PL"/>
        </w:rPr>
        <w:t>prywatny akt oskarżenia</w:t>
      </w:r>
      <w:r w:rsidRPr="00F7051B">
        <w:rPr>
          <w:lang w:val="pl-PL"/>
        </w:rPr>
        <w:t xml:space="preserve"> o zniesławienie. </w:t>
      </w:r>
      <w:r w:rsidR="001D6707" w:rsidRPr="00F7051B">
        <w:rPr>
          <w:lang w:val="pl-PL"/>
        </w:rPr>
        <w:t xml:space="preserve">Sąd Okręgowy uznał skarżącego </w:t>
      </w:r>
      <w:r w:rsidR="001D6707" w:rsidRPr="00F7051B">
        <w:rPr>
          <w:lang w:val="pl-PL"/>
        </w:rPr>
        <w:lastRenderedPageBreak/>
        <w:t>winnym i zasądził karę grzywny w wysokości 1 200 euro. Sąd Apelacyjny podtrzymał to rozstrzygnięcie.</w:t>
      </w:r>
      <w:r w:rsidR="001D6707" w:rsidRPr="00ED2D44">
        <w:rPr>
          <w:lang w:val="pl-PL"/>
        </w:rPr>
        <w:t xml:space="preserve"> </w:t>
      </w:r>
      <w:r w:rsidR="001D6707" w:rsidRPr="00F7051B">
        <w:rPr>
          <w:lang w:val="pl-PL"/>
        </w:rPr>
        <w:t>Sąd uznał m.in., że niedawne zmiany w ustawodawstwie dotyczące status</w:t>
      </w:r>
      <w:r w:rsidR="000B6E51">
        <w:rPr>
          <w:lang w:val="pl-PL"/>
        </w:rPr>
        <w:t>u</w:t>
      </w:r>
      <w:r w:rsidR="001D6707" w:rsidRPr="00F7051B">
        <w:rPr>
          <w:lang w:val="pl-PL"/>
        </w:rPr>
        <w:t xml:space="preserve"> uchodźców i cudzoziemców nie mogą być uznane za uzasadniające stawianie zmarłej minister w kontekście narodowosocjalistycznym i rasistowskim. Formułując</w:t>
      </w:r>
      <w:r w:rsidR="001D6707" w:rsidRPr="001D6707">
        <w:rPr>
          <w:rFonts w:ascii="Calibri" w:hAnsi="Calibri" w:cs="Calibri"/>
          <w:color w:val="000000"/>
          <w:lang w:val="pl-PL"/>
        </w:rPr>
        <w:t xml:space="preserve"> oskarżenia dzień po śmierci minister</w:t>
      </w:r>
      <w:r w:rsidR="00461E7B">
        <w:rPr>
          <w:rFonts w:ascii="Calibri" w:hAnsi="Calibri" w:cs="Calibri"/>
          <w:color w:val="000000"/>
          <w:lang w:val="pl-PL"/>
        </w:rPr>
        <w:t>,</w:t>
      </w:r>
      <w:r w:rsidR="001D6707" w:rsidRPr="001D6707">
        <w:rPr>
          <w:rFonts w:ascii="Calibri" w:hAnsi="Calibri" w:cs="Calibri"/>
          <w:color w:val="000000"/>
          <w:lang w:val="pl-PL"/>
        </w:rPr>
        <w:t xml:space="preserve"> skarżący przekroczył granice dopuszczalnej krytyki, nawet jeśli jej zakres jest szeroki w odniesieniu do stowarzyszenia działającego na rzecz uchodźców i krytykującego polityka</w:t>
      </w:r>
      <w:r w:rsidR="00461E7B">
        <w:rPr>
          <w:rFonts w:ascii="Calibri" w:hAnsi="Calibri" w:cs="Calibri"/>
          <w:color w:val="000000"/>
          <w:lang w:val="pl-PL"/>
        </w:rPr>
        <w:t>.</w:t>
      </w:r>
    </w:p>
    <w:p w:rsidR="003D0710" w:rsidRPr="003D0710" w:rsidRDefault="003D0710" w:rsidP="00005885">
      <w:pPr>
        <w:spacing w:after="120" w:line="240" w:lineRule="auto"/>
        <w:jc w:val="both"/>
        <w:rPr>
          <w:lang w:val="pl-PL"/>
        </w:rPr>
      </w:pPr>
      <w:r w:rsidRPr="003D0710">
        <w:rPr>
          <w:lang w:val="pl-PL"/>
        </w:rPr>
        <w:t>W skardze wniesionej do Trybunał</w:t>
      </w:r>
      <w:r w:rsidR="000B6E51">
        <w:rPr>
          <w:lang w:val="pl-PL"/>
        </w:rPr>
        <w:t>u</w:t>
      </w:r>
      <w:r w:rsidRPr="003D0710">
        <w:rPr>
          <w:lang w:val="pl-PL"/>
        </w:rPr>
        <w:t xml:space="preserve"> skarżący zarzucił naruszenie art. 10 Konwencji gwarantującego wolność wyrażania opinii</w:t>
      </w:r>
      <w:r w:rsidR="00E955B2">
        <w:rPr>
          <w:lang w:val="pl-PL"/>
        </w:rPr>
        <w:t xml:space="preserve"> z uwagi na skazujący wyrok sądów austriackich</w:t>
      </w:r>
      <w:r w:rsidRPr="003D0710">
        <w:rPr>
          <w:lang w:val="pl-PL"/>
        </w:rPr>
        <w:t>.</w:t>
      </w:r>
    </w:p>
    <w:p w:rsidR="003D0710" w:rsidRPr="003D0710" w:rsidRDefault="003D0710" w:rsidP="00005885">
      <w:pPr>
        <w:spacing w:after="120" w:line="240" w:lineRule="auto"/>
        <w:jc w:val="both"/>
        <w:rPr>
          <w:u w:val="single"/>
          <w:lang w:val="pl-PL"/>
        </w:rPr>
      </w:pPr>
      <w:r w:rsidRPr="003D0710">
        <w:rPr>
          <w:u w:val="single"/>
          <w:lang w:val="pl-PL"/>
        </w:rPr>
        <w:t>Rozstrzygnięcie Trybunału</w:t>
      </w:r>
    </w:p>
    <w:p w:rsidR="003D0710" w:rsidRPr="003D0710" w:rsidRDefault="003D0710" w:rsidP="00005885">
      <w:pPr>
        <w:spacing w:after="120" w:line="240" w:lineRule="auto"/>
        <w:jc w:val="both"/>
        <w:rPr>
          <w:lang w:val="pl-PL"/>
        </w:rPr>
      </w:pPr>
      <w:r w:rsidRPr="003D0710">
        <w:rPr>
          <w:lang w:val="pl-PL"/>
        </w:rPr>
        <w:t>Trybunał uznał, że sądy działały w oparciu o przepisy austriackiego kodeksu karnego, w związku z czym ingerencję w wolność wyrażania opinii należy uznać za przewidzianą prawem.</w:t>
      </w:r>
      <w:r w:rsidR="00C77146">
        <w:rPr>
          <w:lang w:val="pl-PL"/>
        </w:rPr>
        <w:t xml:space="preserve"> </w:t>
      </w:r>
      <w:r w:rsidRPr="003D0710">
        <w:rPr>
          <w:lang w:val="pl-PL"/>
        </w:rPr>
        <w:t xml:space="preserve">Trybunał zgodził się </w:t>
      </w:r>
      <w:r w:rsidR="00E955B2">
        <w:rPr>
          <w:lang w:val="pl-PL"/>
        </w:rPr>
        <w:t>z r</w:t>
      </w:r>
      <w:r w:rsidRPr="003D0710">
        <w:rPr>
          <w:lang w:val="pl-PL"/>
        </w:rPr>
        <w:t xml:space="preserve">ządem, że przedmiotowa ingerencja miała na celu ochronę dobrego imienia innych osób – zmarłej minister i jej bliskich. W związku powyższym uznał, że ingerencja spełniała przewidziany w art. 10 § 2 Konwencji wymóg </w:t>
      </w:r>
      <w:r w:rsidR="00E955B2">
        <w:rPr>
          <w:lang w:val="pl-PL"/>
        </w:rPr>
        <w:t>uprawnionego</w:t>
      </w:r>
      <w:r w:rsidRPr="003D0710">
        <w:rPr>
          <w:lang w:val="pl-PL"/>
        </w:rPr>
        <w:t xml:space="preserve"> celu.</w:t>
      </w:r>
      <w:r w:rsidR="0004158A">
        <w:rPr>
          <w:lang w:val="pl-PL"/>
        </w:rPr>
        <w:t xml:space="preserve"> Nie kwestionował też ustalenia sądów krajowych, iż wypowiedź </w:t>
      </w:r>
      <w:r w:rsidR="000B6E51">
        <w:rPr>
          <w:lang w:val="pl-PL"/>
        </w:rPr>
        <w:t xml:space="preserve">skarżącego </w:t>
      </w:r>
      <w:r w:rsidR="0004158A">
        <w:rPr>
          <w:lang w:val="pl-PL"/>
        </w:rPr>
        <w:t xml:space="preserve">miała charakter </w:t>
      </w:r>
      <w:proofErr w:type="spellStart"/>
      <w:r w:rsidR="0004158A">
        <w:rPr>
          <w:lang w:val="pl-PL"/>
        </w:rPr>
        <w:t>ocen</w:t>
      </w:r>
      <w:r w:rsidR="00F71A55">
        <w:rPr>
          <w:lang w:val="pl-PL"/>
        </w:rPr>
        <w:t>n</w:t>
      </w:r>
      <w:r w:rsidR="0004158A">
        <w:rPr>
          <w:lang w:val="pl-PL"/>
        </w:rPr>
        <w:t>y</w:t>
      </w:r>
      <w:proofErr w:type="spellEnd"/>
      <w:r w:rsidR="0004158A">
        <w:rPr>
          <w:lang w:val="pl-PL"/>
        </w:rPr>
        <w:t>.</w:t>
      </w:r>
    </w:p>
    <w:p w:rsidR="003D0710" w:rsidRPr="003D0710" w:rsidRDefault="003D0710" w:rsidP="00005885">
      <w:pPr>
        <w:spacing w:after="120" w:line="240" w:lineRule="auto"/>
        <w:jc w:val="both"/>
        <w:rPr>
          <w:rFonts w:cs="Times New Roman"/>
          <w:lang w:val="pl-PL"/>
        </w:rPr>
      </w:pPr>
      <w:r w:rsidRPr="003D0710">
        <w:rPr>
          <w:lang w:val="pl-PL"/>
        </w:rPr>
        <w:t xml:space="preserve">Trybunał przychylił się do stanowiska stron, </w:t>
      </w:r>
      <w:r w:rsidR="00C77146">
        <w:rPr>
          <w:lang w:val="pl-PL"/>
        </w:rPr>
        <w:t xml:space="preserve">że </w:t>
      </w:r>
      <w:r w:rsidRPr="003D0710">
        <w:rPr>
          <w:lang w:val="pl-PL"/>
        </w:rPr>
        <w:t xml:space="preserve">wypowiedź skarżącego powinna zostać </w:t>
      </w:r>
      <w:r w:rsidR="000B6E51">
        <w:rPr>
          <w:lang w:val="pl-PL"/>
        </w:rPr>
        <w:t>uznana za wypowiedź dotyczącą</w:t>
      </w:r>
      <w:r w:rsidR="005868A9">
        <w:rPr>
          <w:lang w:val="pl-PL"/>
        </w:rPr>
        <w:t xml:space="preserve"> „kwestii</w:t>
      </w:r>
      <w:r w:rsidRPr="003D0710">
        <w:rPr>
          <w:lang w:val="pl-PL"/>
        </w:rPr>
        <w:t xml:space="preserve"> interesu publicznego” i </w:t>
      </w:r>
      <w:r w:rsidR="000B6E51">
        <w:rPr>
          <w:lang w:val="pl-PL"/>
        </w:rPr>
        <w:t>stanowiącą</w:t>
      </w:r>
      <w:r w:rsidR="005868A9">
        <w:rPr>
          <w:lang w:val="pl-PL"/>
        </w:rPr>
        <w:t xml:space="preserve"> </w:t>
      </w:r>
      <w:r w:rsidRPr="003D0710">
        <w:rPr>
          <w:lang w:val="pl-PL"/>
        </w:rPr>
        <w:t xml:space="preserve">element debaty politycznej na temat sytuacji osób ubiegających się o azyl i cudzoziemców w związku z ustawami </w:t>
      </w:r>
      <w:r w:rsidR="00E955B2">
        <w:rPr>
          <w:lang w:val="pl-PL"/>
        </w:rPr>
        <w:t>dotyczącymi polityki imigracyjnej i ubiegania się o status uchodźcy</w:t>
      </w:r>
      <w:r w:rsidRPr="003D0710">
        <w:rPr>
          <w:rFonts w:cs="Times New Roman"/>
          <w:lang w:val="pl-PL"/>
        </w:rPr>
        <w:t xml:space="preserve">. </w:t>
      </w:r>
      <w:r w:rsidR="00E955B2">
        <w:rPr>
          <w:rFonts w:cs="Times New Roman"/>
          <w:lang w:val="pl-PL"/>
        </w:rPr>
        <w:t>Z</w:t>
      </w:r>
      <w:r w:rsidRPr="003D0710">
        <w:rPr>
          <w:rFonts w:cs="Times New Roman"/>
          <w:lang w:val="pl-PL"/>
        </w:rPr>
        <w:t xml:space="preserve">a taką kwalifikacją wypowiedzi skarżącego </w:t>
      </w:r>
      <w:r w:rsidR="00E955B2">
        <w:rPr>
          <w:rFonts w:cs="Times New Roman"/>
          <w:lang w:val="pl-PL"/>
        </w:rPr>
        <w:t>przemawia</w:t>
      </w:r>
      <w:r w:rsidR="00C77146">
        <w:rPr>
          <w:rFonts w:cs="Times New Roman"/>
          <w:lang w:val="pl-PL"/>
        </w:rPr>
        <w:t>,</w:t>
      </w:r>
      <w:r w:rsidR="00E955B2">
        <w:rPr>
          <w:rFonts w:cs="Times New Roman"/>
          <w:lang w:val="pl-PL"/>
        </w:rPr>
        <w:t xml:space="preserve"> </w:t>
      </w:r>
      <w:r w:rsidR="00C77146">
        <w:rPr>
          <w:rFonts w:cs="Times New Roman"/>
          <w:lang w:val="pl-PL"/>
        </w:rPr>
        <w:t xml:space="preserve">w opinii </w:t>
      </w:r>
      <w:r w:rsidR="00C77146" w:rsidRPr="003D0710">
        <w:rPr>
          <w:rFonts w:cs="Times New Roman"/>
          <w:lang w:val="pl-PL"/>
        </w:rPr>
        <w:t>Trybunał</w:t>
      </w:r>
      <w:r w:rsidR="00C77146">
        <w:rPr>
          <w:rFonts w:cs="Times New Roman"/>
          <w:lang w:val="pl-PL"/>
        </w:rPr>
        <w:t xml:space="preserve">u, </w:t>
      </w:r>
      <w:r w:rsidR="00E955B2">
        <w:rPr>
          <w:rFonts w:cs="Times New Roman"/>
          <w:lang w:val="pl-PL"/>
        </w:rPr>
        <w:t>fakt, że w przedmiotowym artykule znalazł</w:t>
      </w:r>
      <w:r w:rsidR="00784469">
        <w:rPr>
          <w:rFonts w:cs="Times New Roman"/>
          <w:lang w:val="pl-PL"/>
        </w:rPr>
        <w:t>y</w:t>
      </w:r>
      <w:r w:rsidR="00E955B2">
        <w:rPr>
          <w:rFonts w:cs="Times New Roman"/>
          <w:lang w:val="pl-PL"/>
        </w:rPr>
        <w:t xml:space="preserve"> się </w:t>
      </w:r>
      <w:r w:rsidR="00784469">
        <w:rPr>
          <w:rFonts w:cs="Times New Roman"/>
          <w:lang w:val="pl-PL"/>
        </w:rPr>
        <w:t>odwołania</w:t>
      </w:r>
      <w:r w:rsidRPr="003D0710">
        <w:rPr>
          <w:rFonts w:cs="Times New Roman"/>
          <w:lang w:val="pl-PL"/>
        </w:rPr>
        <w:t xml:space="preserve"> do historii </w:t>
      </w:r>
      <w:r w:rsidR="00784469">
        <w:rPr>
          <w:rFonts w:cs="Times New Roman"/>
          <w:lang w:val="pl-PL"/>
        </w:rPr>
        <w:t xml:space="preserve">poszczególnych </w:t>
      </w:r>
      <w:r w:rsidRPr="003D0710">
        <w:rPr>
          <w:rFonts w:cs="Times New Roman"/>
          <w:lang w:val="pl-PL"/>
        </w:rPr>
        <w:t>uchodźców.</w:t>
      </w:r>
    </w:p>
    <w:p w:rsidR="007D4372" w:rsidRDefault="003D0710" w:rsidP="00005885">
      <w:pPr>
        <w:spacing w:after="120" w:line="240" w:lineRule="auto"/>
        <w:jc w:val="both"/>
        <w:rPr>
          <w:rFonts w:cs="Times New Roman"/>
          <w:lang w:val="pl-PL"/>
        </w:rPr>
      </w:pPr>
      <w:r w:rsidRPr="003D0710">
        <w:rPr>
          <w:rFonts w:cs="Times New Roman"/>
          <w:lang w:val="pl-PL"/>
        </w:rPr>
        <w:t>Trybunał uznał, że ważąc prawa gwarantowane w art. 8 i 10 Konwencji</w:t>
      </w:r>
      <w:r w:rsidR="00461E7B">
        <w:rPr>
          <w:rFonts w:cs="Times New Roman"/>
          <w:lang w:val="pl-PL"/>
        </w:rPr>
        <w:t>,</w:t>
      </w:r>
      <w:r w:rsidRPr="003D0710">
        <w:rPr>
          <w:rFonts w:cs="Times New Roman"/>
          <w:lang w:val="pl-PL"/>
        </w:rPr>
        <w:t xml:space="preserve"> należy wziąć pod uwagę okoliczność niespodziewanej śmierci minister i fakt, że artykuł skarżącego ukazał się </w:t>
      </w:r>
      <w:r w:rsidR="00C95999">
        <w:rPr>
          <w:rFonts w:cs="Times New Roman"/>
          <w:lang w:val="pl-PL"/>
        </w:rPr>
        <w:t>dzień po jej śmierci</w:t>
      </w:r>
      <w:r w:rsidR="007D4372">
        <w:rPr>
          <w:rFonts w:cs="Times New Roman"/>
          <w:lang w:val="pl-PL"/>
        </w:rPr>
        <w:t>, a więc w chwili żałoby rodziny oraz w czasie, gdy wypowiedź mogła wywołać poważną szkodę dla reputacji zmarłej</w:t>
      </w:r>
      <w:r w:rsidRPr="003D0710">
        <w:rPr>
          <w:rFonts w:cs="Times New Roman"/>
          <w:lang w:val="pl-PL"/>
        </w:rPr>
        <w:t>.</w:t>
      </w:r>
      <w:r w:rsidR="007D4372">
        <w:rPr>
          <w:rFonts w:cs="Times New Roman"/>
          <w:lang w:val="pl-PL"/>
        </w:rPr>
        <w:t xml:space="preserve"> Kwestia czasu opublikowania tej wypowiedzi ma istotne znaczenie dla oceny tej sprawy. </w:t>
      </w:r>
      <w:r w:rsidR="00BA78E0">
        <w:rPr>
          <w:rFonts w:cs="Times New Roman"/>
          <w:lang w:val="pl-PL"/>
        </w:rPr>
        <w:t>W wypowiedzi w</w:t>
      </w:r>
      <w:r w:rsidR="007D4372">
        <w:rPr>
          <w:rFonts w:cs="Times New Roman"/>
          <w:lang w:val="pl-PL"/>
        </w:rPr>
        <w:t xml:space="preserve">yrażona została satysfakcja z powodu śmierci minister – dzień po jej śmierci. Znieważenie dzień po śmierci osoby znieważanej zaprzecza elementarnym wymogom przyzwoitości i szacunku dla ludzkiej godności. </w:t>
      </w:r>
    </w:p>
    <w:p w:rsidR="003D0710" w:rsidRDefault="003D0710" w:rsidP="00005885">
      <w:pPr>
        <w:spacing w:after="120" w:line="240" w:lineRule="auto"/>
        <w:jc w:val="both"/>
        <w:rPr>
          <w:rFonts w:cs="Times New Roman"/>
          <w:lang w:val="pl-PL"/>
        </w:rPr>
      </w:pPr>
      <w:r w:rsidRPr="003D0710">
        <w:rPr>
          <w:rFonts w:cs="Times New Roman"/>
          <w:lang w:val="pl-PL"/>
        </w:rPr>
        <w:t xml:space="preserve">Oceniając treść artykułu Trybunał uznał, że </w:t>
      </w:r>
      <w:r w:rsidR="007D4372">
        <w:rPr>
          <w:rFonts w:cs="Times New Roman"/>
          <w:lang w:val="pl-PL"/>
        </w:rPr>
        <w:t xml:space="preserve">nie miał on charakteru ogólnej i merytorycznej dyskusji nad tematem, ale stanowił </w:t>
      </w:r>
      <w:r w:rsidRPr="003D0710">
        <w:rPr>
          <w:rFonts w:cs="Times New Roman"/>
          <w:lang w:val="pl-PL"/>
        </w:rPr>
        <w:t xml:space="preserve">atak </w:t>
      </w:r>
      <w:r w:rsidR="00BA78E0" w:rsidRPr="003D0710">
        <w:rPr>
          <w:rFonts w:cs="Times New Roman"/>
          <w:lang w:val="pl-PL"/>
        </w:rPr>
        <w:t xml:space="preserve">personalny </w:t>
      </w:r>
      <w:r w:rsidRPr="003D0710">
        <w:rPr>
          <w:rFonts w:cs="Times New Roman"/>
          <w:lang w:val="pl-PL"/>
        </w:rPr>
        <w:t>wymierzony w zmarłą minister</w:t>
      </w:r>
      <w:r w:rsidR="007D4372">
        <w:rPr>
          <w:rFonts w:cs="Times New Roman"/>
          <w:lang w:val="pl-PL"/>
        </w:rPr>
        <w:t>.</w:t>
      </w:r>
      <w:r w:rsidRPr="003D0710">
        <w:rPr>
          <w:rFonts w:cs="Times New Roman"/>
          <w:lang w:val="pl-PL"/>
        </w:rPr>
        <w:t xml:space="preserve"> </w:t>
      </w:r>
      <w:r w:rsidR="007D4372">
        <w:rPr>
          <w:rFonts w:cs="Times New Roman"/>
          <w:lang w:val="pl-PL"/>
        </w:rPr>
        <w:t>S</w:t>
      </w:r>
      <w:r w:rsidRPr="003D0710">
        <w:rPr>
          <w:rFonts w:cs="Times New Roman"/>
          <w:lang w:val="pl-PL"/>
        </w:rPr>
        <w:t>karżący nie tylko wyraził satysfakcję z powodu jej śmierci, ale również porównał ją do zbrodniarzy nazistowskich.</w:t>
      </w:r>
      <w:r w:rsidR="007D4372">
        <w:rPr>
          <w:rFonts w:cs="Times New Roman"/>
          <w:lang w:val="pl-PL"/>
        </w:rPr>
        <w:t xml:space="preserve"> Nawet jeśli uznać, że wypowiedzi skarżącego miały charakter </w:t>
      </w:r>
      <w:proofErr w:type="spellStart"/>
      <w:r w:rsidR="007D4372">
        <w:rPr>
          <w:rFonts w:cs="Times New Roman"/>
          <w:lang w:val="pl-PL"/>
        </w:rPr>
        <w:t>ocen</w:t>
      </w:r>
      <w:r w:rsidR="00F71A55">
        <w:rPr>
          <w:rFonts w:cs="Times New Roman"/>
          <w:lang w:val="pl-PL"/>
        </w:rPr>
        <w:t>n</w:t>
      </w:r>
      <w:r w:rsidR="007D4372">
        <w:rPr>
          <w:rFonts w:cs="Times New Roman"/>
          <w:lang w:val="pl-PL"/>
        </w:rPr>
        <w:t>y</w:t>
      </w:r>
      <w:proofErr w:type="spellEnd"/>
      <w:r w:rsidR="007D4372">
        <w:rPr>
          <w:rFonts w:cs="Times New Roman"/>
          <w:lang w:val="pl-PL"/>
        </w:rPr>
        <w:t xml:space="preserve">, tak poważne i atakujące porównania wyrażone następnego dnia po śmierci minister wymagały wyjątkowo poważnego oparcia w faktach.  </w:t>
      </w:r>
      <w:r w:rsidRPr="003D0710">
        <w:rPr>
          <w:rFonts w:cs="Times New Roman"/>
          <w:lang w:val="pl-PL"/>
        </w:rPr>
        <w:t xml:space="preserve"> </w:t>
      </w:r>
      <w:r w:rsidR="00D715A3" w:rsidRPr="00D715A3">
        <w:rPr>
          <w:rFonts w:cs="Times New Roman"/>
          <w:lang w:val="pl-PL"/>
        </w:rPr>
        <w:t xml:space="preserve">Trybunał stwierdził też, że sądy krajowe przedstawiły właściwe i wystarczające uzasadnienie wyroku i odpowiednio zbadały argumenty skarżącego. </w:t>
      </w:r>
      <w:r w:rsidRPr="003D0710">
        <w:rPr>
          <w:rFonts w:cs="Times New Roman"/>
          <w:lang w:val="pl-PL"/>
        </w:rPr>
        <w:t>W świetle wskazanych powyżej okoliczności Trybunał uznał</w:t>
      </w:r>
      <w:r w:rsidR="00D715A3">
        <w:rPr>
          <w:rFonts w:cs="Times New Roman"/>
          <w:lang w:val="pl-PL"/>
        </w:rPr>
        <w:t xml:space="preserve"> też</w:t>
      </w:r>
      <w:r w:rsidRPr="003D0710">
        <w:rPr>
          <w:rFonts w:cs="Times New Roman"/>
          <w:lang w:val="pl-PL"/>
        </w:rPr>
        <w:t xml:space="preserve">, że </w:t>
      </w:r>
      <w:r w:rsidR="00F71A55">
        <w:rPr>
          <w:rFonts w:cs="Times New Roman"/>
          <w:lang w:val="pl-PL"/>
        </w:rPr>
        <w:t xml:space="preserve">wymierzona </w:t>
      </w:r>
      <w:r w:rsidRPr="003D0710">
        <w:rPr>
          <w:rFonts w:cs="Times New Roman"/>
          <w:lang w:val="pl-PL"/>
        </w:rPr>
        <w:t>kara (1 200 euro) była proporcjonalna</w:t>
      </w:r>
      <w:r w:rsidR="005868A9">
        <w:rPr>
          <w:rFonts w:cs="Times New Roman"/>
          <w:lang w:val="pl-PL"/>
        </w:rPr>
        <w:t xml:space="preserve"> i</w:t>
      </w:r>
      <w:r w:rsidR="00C95999">
        <w:rPr>
          <w:rFonts w:cs="Times New Roman"/>
          <w:lang w:val="pl-PL"/>
        </w:rPr>
        <w:t xml:space="preserve"> </w:t>
      </w:r>
      <w:r w:rsidRPr="00C95999">
        <w:rPr>
          <w:rFonts w:cs="Times New Roman"/>
          <w:lang w:val="pl-PL"/>
        </w:rPr>
        <w:t>stwierdził, że przedmiotowej sprawie nie doszło do naruszenia art. 10 Konwencji</w:t>
      </w:r>
      <w:r w:rsidR="0038610D">
        <w:rPr>
          <w:rFonts w:cs="Times New Roman"/>
          <w:lang w:val="pl-PL"/>
        </w:rPr>
        <w:t>.</w:t>
      </w:r>
    </w:p>
    <w:p w:rsidR="00124EB4" w:rsidRDefault="00C95999" w:rsidP="00005885">
      <w:pPr>
        <w:spacing w:after="120" w:line="240" w:lineRule="auto"/>
        <w:jc w:val="both"/>
        <w:rPr>
          <w:lang w:val="pl-PL"/>
        </w:rPr>
      </w:pPr>
      <w:r w:rsidRPr="00C95999">
        <w:rPr>
          <w:u w:val="single"/>
          <w:lang w:val="pl-PL"/>
        </w:rPr>
        <w:t>Znaczenie wyroku dla Polski</w:t>
      </w:r>
      <w:r>
        <w:rPr>
          <w:lang w:val="pl-PL"/>
        </w:rPr>
        <w:t>: wskazuje na granice wolności wypowiedzi i elementarne wymogi przyzwoitości i szacunku,</w:t>
      </w:r>
      <w:r w:rsidR="000A3120">
        <w:rPr>
          <w:lang w:val="pl-PL"/>
        </w:rPr>
        <w:t xml:space="preserve"> które mają zastosowanie</w:t>
      </w:r>
      <w:r w:rsidR="005578F9">
        <w:rPr>
          <w:lang w:val="pl-PL"/>
        </w:rPr>
        <w:t>,</w:t>
      </w:r>
      <w:r>
        <w:rPr>
          <w:lang w:val="pl-PL"/>
        </w:rPr>
        <w:t xml:space="preserve"> nawet jeśli wypowiedź jest dokonywana w ramach debaty publicznej i dotyczy kwestii interesu publicznego</w:t>
      </w:r>
      <w:r w:rsidR="00BA78E0">
        <w:rPr>
          <w:lang w:val="pl-PL"/>
        </w:rPr>
        <w:t xml:space="preserve"> oraz odnosi się do polityka</w:t>
      </w:r>
      <w:r>
        <w:rPr>
          <w:lang w:val="pl-PL"/>
        </w:rPr>
        <w:t xml:space="preserve">. </w:t>
      </w:r>
      <w:r w:rsidR="00C77146">
        <w:rPr>
          <w:lang w:val="pl-PL"/>
        </w:rPr>
        <w:t xml:space="preserve">Wyrok warto rozpowszechnić </w:t>
      </w:r>
      <w:r w:rsidR="00BA78E0">
        <w:rPr>
          <w:lang w:val="pl-PL"/>
        </w:rPr>
        <w:t xml:space="preserve">m.in. </w:t>
      </w:r>
      <w:r w:rsidR="00C77146">
        <w:rPr>
          <w:lang w:val="pl-PL"/>
        </w:rPr>
        <w:t xml:space="preserve">wśród sądów. </w:t>
      </w:r>
    </w:p>
    <w:p w:rsidR="00BA3E61" w:rsidRDefault="00BA3E61" w:rsidP="00BA3E61">
      <w:pPr>
        <w:pStyle w:val="Nagwek2"/>
        <w:numPr>
          <w:ilvl w:val="0"/>
          <w:numId w:val="29"/>
        </w:numPr>
        <w:spacing w:before="480"/>
      </w:pPr>
      <w:bookmarkStart w:id="15" w:name="_Toc439346291"/>
      <w:bookmarkStart w:id="16" w:name="_Toc449106392"/>
      <w:proofErr w:type="spellStart"/>
      <w:r>
        <w:t>Kalda</w:t>
      </w:r>
      <w:proofErr w:type="spellEnd"/>
      <w:r>
        <w:t xml:space="preserve"> p. Estonii</w:t>
      </w:r>
      <w:r w:rsidR="009472F6">
        <w:t>,</w:t>
      </w:r>
      <w:r>
        <w:t xml:space="preserve"> skarga nr </w:t>
      </w:r>
      <w:r w:rsidRPr="00300534">
        <w:t>17429/10</w:t>
      </w:r>
      <w:r>
        <w:t>, wyrok Izby z 19.01.2016 r., nieostateczny</w:t>
      </w:r>
      <w:bookmarkEnd w:id="15"/>
      <w:bookmarkEnd w:id="16"/>
    </w:p>
    <w:p w:rsidR="00BA3E61" w:rsidRDefault="00BA3E61" w:rsidP="00AA3F10">
      <w:pPr>
        <w:pStyle w:val="Akapitzlist"/>
        <w:keepNext/>
        <w:keepLines/>
        <w:numPr>
          <w:ilvl w:val="0"/>
          <w:numId w:val="38"/>
        </w:numPr>
        <w:spacing w:after="240" w:line="240" w:lineRule="auto"/>
        <w:ind w:left="357" w:hanging="357"/>
        <w:contextualSpacing w:val="0"/>
        <w:jc w:val="both"/>
        <w:outlineLvl w:val="2"/>
        <w:rPr>
          <w:b/>
          <w:color w:val="000000" w:themeColor="text1"/>
          <w:lang w:val="pl-PL"/>
        </w:rPr>
      </w:pPr>
      <w:bookmarkStart w:id="17" w:name="_Toc449106393"/>
      <w:bookmarkStart w:id="18" w:name="_Toc439346292"/>
      <w:r>
        <w:rPr>
          <w:b/>
          <w:color w:val="000000" w:themeColor="text1"/>
          <w:lang w:val="pl-PL"/>
        </w:rPr>
        <w:t>naruszenie art. 10 ust. 1 Konwencji (</w:t>
      </w:r>
      <w:r w:rsidR="001977D8">
        <w:rPr>
          <w:b/>
          <w:color w:val="000000" w:themeColor="text1"/>
          <w:lang w:val="pl-PL"/>
        </w:rPr>
        <w:t>wolność wyrażania opinii – aspekt prawa</w:t>
      </w:r>
      <w:r>
        <w:rPr>
          <w:b/>
          <w:color w:val="000000" w:themeColor="text1"/>
          <w:lang w:val="pl-PL"/>
        </w:rPr>
        <w:t xml:space="preserve"> do otrzymywania informacji bez ingerencji władz publicznych) w odniesieniu do sytuacji, w której więźniowi ogranicza się dostęp do niektórych </w:t>
      </w:r>
      <w:r w:rsidRPr="007F4AFC">
        <w:rPr>
          <w:b/>
          <w:color w:val="000000" w:themeColor="text1"/>
          <w:lang w:val="pl-PL"/>
        </w:rPr>
        <w:t>urzędowych</w:t>
      </w:r>
      <w:r>
        <w:rPr>
          <w:b/>
          <w:color w:val="000000" w:themeColor="text1"/>
          <w:lang w:val="pl-PL"/>
        </w:rPr>
        <w:t xml:space="preserve"> stron internetowych zawierających informacj</w:t>
      </w:r>
      <w:r w:rsidR="008239D3">
        <w:rPr>
          <w:b/>
          <w:color w:val="000000" w:themeColor="text1"/>
          <w:lang w:val="pl-PL"/>
        </w:rPr>
        <w:t>ę</w:t>
      </w:r>
      <w:r>
        <w:rPr>
          <w:b/>
          <w:color w:val="000000" w:themeColor="text1"/>
          <w:lang w:val="pl-PL"/>
        </w:rPr>
        <w:t xml:space="preserve"> prawną</w:t>
      </w:r>
      <w:bookmarkEnd w:id="17"/>
    </w:p>
    <w:bookmarkEnd w:id="18"/>
    <w:p w:rsidR="00BA3E61" w:rsidRDefault="00BA3E61" w:rsidP="00BA3E61">
      <w:pPr>
        <w:spacing w:after="120" w:line="240" w:lineRule="auto"/>
        <w:jc w:val="both"/>
        <w:rPr>
          <w:u w:val="single"/>
          <w:lang w:val="pl-PL"/>
        </w:rPr>
      </w:pPr>
      <w:r>
        <w:rPr>
          <w:u w:val="single"/>
          <w:lang w:val="pl-PL"/>
        </w:rPr>
        <w:t>Stan faktyczny i zarzuty skarżącego</w:t>
      </w:r>
    </w:p>
    <w:p w:rsidR="00BA3E61" w:rsidRPr="00FD03FA" w:rsidRDefault="00BA3E61" w:rsidP="00BA3E61">
      <w:pPr>
        <w:spacing w:after="120" w:line="240" w:lineRule="auto"/>
        <w:jc w:val="both"/>
        <w:rPr>
          <w:lang w:val="pl-PL"/>
        </w:rPr>
      </w:pPr>
      <w:r>
        <w:rPr>
          <w:lang w:val="pl-PL"/>
        </w:rPr>
        <w:lastRenderedPageBreak/>
        <w:t xml:space="preserve">Skarżący, Romeo </w:t>
      </w:r>
      <w:proofErr w:type="spellStart"/>
      <w:r>
        <w:rPr>
          <w:lang w:val="pl-PL"/>
        </w:rPr>
        <w:t>Kalda</w:t>
      </w:r>
      <w:proofErr w:type="spellEnd"/>
      <w:r>
        <w:rPr>
          <w:lang w:val="pl-PL"/>
        </w:rPr>
        <w:t xml:space="preserve">, jest obywatelem Estonii i odbywa karę dożywotniego pozbawienia wolności. Władze więzienia w </w:t>
      </w:r>
      <w:proofErr w:type="spellStart"/>
      <w:r>
        <w:rPr>
          <w:lang w:val="pl-PL"/>
        </w:rPr>
        <w:t>P</w:t>
      </w:r>
      <w:r w:rsidRPr="00300534">
        <w:rPr>
          <w:lang w:val="pl-PL"/>
        </w:rPr>
        <w:t>ä</w:t>
      </w:r>
      <w:r>
        <w:rPr>
          <w:lang w:val="pl-PL"/>
        </w:rPr>
        <w:t>rnu</w:t>
      </w:r>
      <w:proofErr w:type="spellEnd"/>
      <w:r>
        <w:rPr>
          <w:lang w:val="pl-PL"/>
        </w:rPr>
        <w:t xml:space="preserve"> nie udzieliły mu w 2005 r. dostępu internetowego do stron estońskiej Gazety Państwowej (oficjalnego publikatora), baz orzeczeń sądów powszechnych i administracyjnych oraz bazy orzeczeń ETPC (HUDOC). Sprawa </w:t>
      </w:r>
      <w:r w:rsidR="00F71A55">
        <w:rPr>
          <w:lang w:val="pl-PL"/>
        </w:rPr>
        <w:t xml:space="preserve">w wyniku odwołania skarżącego została rozpatrzona przez wszystkie instancje sądowe, </w:t>
      </w:r>
      <w:r>
        <w:rPr>
          <w:lang w:val="pl-PL"/>
        </w:rPr>
        <w:t>ostatecznie estoński Sąd Najwyższy uznał, że ograniczenia w dostępie do stron internetowych zawierających orzecznictwo sądów krajowych i ETPC naruszają konstytucyjne prawa skarżącego, ponieważ był to jedyny sposób na zapoznanie się z aktualnym orzecznictwem. W 2007 r. władze więzienia w Tartu, do którego skarżący został w międzyczasie przeniesiony, odmówiły skarżącemu dostępu do stron internetowych Biura Informacji Rady Europy w Tallinie, ombudsmana i parlamentu</w:t>
      </w:r>
      <w:r w:rsidR="002F1474">
        <w:rPr>
          <w:lang w:val="pl-PL"/>
        </w:rPr>
        <w:t>,</w:t>
      </w:r>
      <w:r>
        <w:rPr>
          <w:lang w:val="pl-PL"/>
        </w:rPr>
        <w:t xml:space="preserve"> zawierających informacje prawne. Strona Biura Informacji RE była wówczas jedynym miejscem, gdzie można było zapoznać się z tłumaczeniami wyroków ETPC na język estoński. Sprawa ponownie </w:t>
      </w:r>
      <w:r w:rsidR="00F71A55">
        <w:rPr>
          <w:lang w:val="pl-PL"/>
        </w:rPr>
        <w:t xml:space="preserve">została rozpatrzona przez wszystkie </w:t>
      </w:r>
      <w:r>
        <w:rPr>
          <w:lang w:val="pl-PL"/>
        </w:rPr>
        <w:t>instancje</w:t>
      </w:r>
      <w:r w:rsidR="00F71A55">
        <w:rPr>
          <w:lang w:val="pl-PL"/>
        </w:rPr>
        <w:t xml:space="preserve"> sądownictwa</w:t>
      </w:r>
      <w:r>
        <w:rPr>
          <w:lang w:val="pl-PL"/>
        </w:rPr>
        <w:t>, tym razem estoński Sąd Najwyższy uznał</w:t>
      </w:r>
      <w:r w:rsidRPr="004F399C">
        <w:rPr>
          <w:lang w:val="pl-PL"/>
        </w:rPr>
        <w:t xml:space="preserve"> </w:t>
      </w:r>
      <w:r>
        <w:rPr>
          <w:lang w:val="pl-PL"/>
        </w:rPr>
        <w:t xml:space="preserve">jednak, że odmowa dostępu do tych stron była uzasadniona względami bezpieczeństwa – rozszerzenie dostępu do dodatkowych stron internetowych zwiększyłoby bowiem ryzyko prowadzenia przez więźniów nielegalnej komunikacji i wymagałoby zwiększenia stopnia monitoringu komputerów. Dokonując oceny proporcjonalności, Sąd Najwyższy stwierdził w szczególności, że stopień niedogodności powyższych ograniczeń był stosunkowo nieduży, zważywszy na dostępność papierowych wersji żądanych dokumentów i realną możliwość otrzymania rzeczonej informacji od parlamentu, ombudsmana i Biura na podstawie odpowiedniego wniosku złożonego </w:t>
      </w:r>
      <w:r w:rsidR="002F1474">
        <w:rPr>
          <w:lang w:val="pl-PL"/>
        </w:rPr>
        <w:t xml:space="preserve">przez skarżącego </w:t>
      </w:r>
      <w:r w:rsidRPr="00FD03FA">
        <w:rPr>
          <w:lang w:val="pl-PL"/>
        </w:rPr>
        <w:t xml:space="preserve">drogą pocztową. </w:t>
      </w:r>
    </w:p>
    <w:p w:rsidR="00BA3E61" w:rsidRDefault="00BA3E61" w:rsidP="00BA3E61">
      <w:pPr>
        <w:spacing w:after="120" w:line="240" w:lineRule="auto"/>
        <w:jc w:val="both"/>
        <w:rPr>
          <w:lang w:val="pl-PL"/>
        </w:rPr>
      </w:pPr>
      <w:r w:rsidRPr="00FD03FA">
        <w:rPr>
          <w:lang w:val="pl-PL"/>
        </w:rPr>
        <w:t xml:space="preserve">Skarżący zarzucał przed Trybunałem naruszenie </w:t>
      </w:r>
      <w:r w:rsidR="005949E8">
        <w:rPr>
          <w:lang w:val="pl-PL"/>
        </w:rPr>
        <w:t>chronionego art. 10 ust. 1 Konwencji prawa</w:t>
      </w:r>
      <w:r w:rsidRPr="00FD03FA">
        <w:rPr>
          <w:lang w:val="pl-PL"/>
        </w:rPr>
        <w:t xml:space="preserve"> do otrzymywania informacji b</w:t>
      </w:r>
      <w:r w:rsidR="005949E8">
        <w:rPr>
          <w:lang w:val="pl-PL"/>
        </w:rPr>
        <w:t>ez ingerencji władz publicznych –</w:t>
      </w:r>
      <w:r w:rsidRPr="00FD03FA">
        <w:rPr>
          <w:lang w:val="pl-PL"/>
        </w:rPr>
        <w:t xml:space="preserve"> z uwagi</w:t>
      </w:r>
      <w:r>
        <w:rPr>
          <w:lang w:val="pl-PL"/>
        </w:rPr>
        <w:t xml:space="preserve"> na odmowę dostępu do stron internetowych Biura Informacji RE w Tallinie, Kanclerza Sprawiedliwości (pełniącego również funkcję ombudsmana) oraz Parlamentu. Twierdził, że we współczesnych realiach blokada dostępu do internetu jest w zasadzie równoważna z blokadą dostępu do informacji w ogóle</w:t>
      </w:r>
      <w:r w:rsidR="005949E8">
        <w:rPr>
          <w:lang w:val="pl-PL"/>
        </w:rPr>
        <w:t>.</w:t>
      </w:r>
      <w:r>
        <w:rPr>
          <w:lang w:val="pl-PL"/>
        </w:rPr>
        <w:t xml:space="preserve"> </w:t>
      </w:r>
      <w:r w:rsidR="005949E8">
        <w:rPr>
          <w:lang w:val="pl-PL"/>
        </w:rPr>
        <w:t>Wskazywał</w:t>
      </w:r>
      <w:r>
        <w:rPr>
          <w:lang w:val="pl-PL"/>
        </w:rPr>
        <w:t xml:space="preserve"> na nadmierną trudność zdobywania żądanych przez siebie informacji poprzez składanie wniosków do instytucji publicznych. Zwrócił przy tym uwagę na fakt, że wnioskowanie o udzielenie określonej informacji wymaga uprzedniej wiedzy, jakiej informacji się poszukuje</w:t>
      </w:r>
      <w:r w:rsidR="00461E7B">
        <w:rPr>
          <w:lang w:val="pl-PL"/>
        </w:rPr>
        <w:t>,</w:t>
      </w:r>
      <w:r>
        <w:rPr>
          <w:lang w:val="pl-PL"/>
        </w:rPr>
        <w:t xml:space="preserve"> oraz że więzienne przepisy porządkowe pozwalają na przechowywanie tylko ograniczonej ilości dokumentów w formie</w:t>
      </w:r>
      <w:r w:rsidRPr="00ED2D44">
        <w:rPr>
          <w:lang w:val="pl-PL"/>
        </w:rPr>
        <w:t xml:space="preserve"> </w:t>
      </w:r>
      <w:r>
        <w:rPr>
          <w:lang w:val="pl-PL"/>
        </w:rPr>
        <w:t>papierowej.</w:t>
      </w:r>
    </w:p>
    <w:p w:rsidR="00BA3E61" w:rsidRDefault="00BA3E61" w:rsidP="00BA3E61">
      <w:pPr>
        <w:spacing w:after="120" w:line="240" w:lineRule="auto"/>
        <w:jc w:val="both"/>
        <w:rPr>
          <w:u w:val="single"/>
          <w:lang w:val="pl-PL"/>
        </w:rPr>
      </w:pPr>
      <w:r w:rsidRPr="007F0829">
        <w:rPr>
          <w:lang w:val="pl-PL"/>
        </w:rPr>
        <w:t xml:space="preserve">Rząd estoński twierdził, że nie doszło do naruszenia art. 10 Konwencji, </w:t>
      </w:r>
      <w:r w:rsidR="00461E7B">
        <w:rPr>
          <w:lang w:val="pl-PL"/>
        </w:rPr>
        <w:t xml:space="preserve">gdyż </w:t>
      </w:r>
      <w:r w:rsidRPr="007F0829">
        <w:rPr>
          <w:lang w:val="pl-PL"/>
        </w:rPr>
        <w:t xml:space="preserve">skarżącemu nie ograniczono dostępu do informacji, mógł bowiem ubiegać się o </w:t>
      </w:r>
      <w:r w:rsidR="00461E7B" w:rsidRPr="007F0829">
        <w:rPr>
          <w:lang w:val="pl-PL"/>
        </w:rPr>
        <w:t xml:space="preserve">jej </w:t>
      </w:r>
      <w:r w:rsidRPr="007F0829">
        <w:rPr>
          <w:lang w:val="pl-PL"/>
        </w:rPr>
        <w:t>przekazanie, kierując stosowne wnioski do właściwych organów</w:t>
      </w:r>
      <w:r>
        <w:rPr>
          <w:lang w:val="pl-PL"/>
        </w:rPr>
        <w:t>.</w:t>
      </w:r>
      <w:r w:rsidRPr="007F0829">
        <w:rPr>
          <w:lang w:val="pl-PL"/>
        </w:rPr>
        <w:t xml:space="preserve"> </w:t>
      </w:r>
      <w:r>
        <w:rPr>
          <w:lang w:val="pl-PL"/>
        </w:rPr>
        <w:t xml:space="preserve">Ograniczono </w:t>
      </w:r>
      <w:r w:rsidRPr="007F0829">
        <w:rPr>
          <w:lang w:val="pl-PL"/>
        </w:rPr>
        <w:t xml:space="preserve">jedynie </w:t>
      </w:r>
      <w:r>
        <w:rPr>
          <w:lang w:val="pl-PL"/>
        </w:rPr>
        <w:t>wykorzystanie</w:t>
      </w:r>
      <w:r w:rsidRPr="007F0829">
        <w:rPr>
          <w:lang w:val="pl-PL"/>
        </w:rPr>
        <w:t xml:space="preserve"> jednego ze sposobów dostępu do tej informacji. Konwencja nie wymaga zapewnienia więźniom dostępu do internetu, a </w:t>
      </w:r>
      <w:r w:rsidR="005949E8">
        <w:rPr>
          <w:lang w:val="pl-PL"/>
        </w:rPr>
        <w:t xml:space="preserve">zapewnienie </w:t>
      </w:r>
      <w:r w:rsidRPr="007F0829">
        <w:rPr>
          <w:lang w:val="pl-PL"/>
        </w:rPr>
        <w:t xml:space="preserve">dostępu do jedynie kilku stron </w:t>
      </w:r>
      <w:r w:rsidR="00461E7B">
        <w:rPr>
          <w:lang w:val="pl-PL"/>
        </w:rPr>
        <w:t xml:space="preserve">internetowych </w:t>
      </w:r>
      <w:r w:rsidRPr="007F0829">
        <w:rPr>
          <w:lang w:val="pl-PL"/>
        </w:rPr>
        <w:t xml:space="preserve">zawierających </w:t>
      </w:r>
      <w:r>
        <w:rPr>
          <w:lang w:val="pl-PL"/>
        </w:rPr>
        <w:t xml:space="preserve">urzędowe </w:t>
      </w:r>
      <w:r w:rsidRPr="007F0829">
        <w:rPr>
          <w:lang w:val="pl-PL"/>
        </w:rPr>
        <w:t xml:space="preserve">bazy orzecznictwa sądów i ustawodawstwa było motywowane względami bezpieczeństwa. </w:t>
      </w:r>
    </w:p>
    <w:p w:rsidR="00BA3E61" w:rsidRDefault="00BA3E61" w:rsidP="00BA3E61">
      <w:pPr>
        <w:spacing w:after="120" w:line="240" w:lineRule="auto"/>
        <w:jc w:val="both"/>
        <w:rPr>
          <w:u w:val="single"/>
          <w:lang w:val="pl-PL"/>
        </w:rPr>
      </w:pPr>
      <w:r>
        <w:rPr>
          <w:u w:val="single"/>
          <w:lang w:val="pl-PL"/>
        </w:rPr>
        <w:t>Ocena Trybunału</w:t>
      </w:r>
    </w:p>
    <w:p w:rsidR="00BA3E61" w:rsidRDefault="00BA3E61" w:rsidP="00BA3E61">
      <w:pPr>
        <w:spacing w:after="120" w:line="240" w:lineRule="auto"/>
        <w:jc w:val="both"/>
        <w:rPr>
          <w:lang w:val="pl-PL"/>
        </w:rPr>
      </w:pPr>
      <w:r>
        <w:rPr>
          <w:lang w:val="pl-PL"/>
        </w:rPr>
        <w:t>Trybunał, odwołując się do swojego orzecznictwa, podkreślił szczególną rolę internetu w przekazywaniu informacji. Tym niemniej zgodził się z rządem, że kara pozbawienia wolności w sposób nieunikniony wiąże się z ograniczeniami nałożonymi na możliwość komunikowania się więźnia ze światem zewnętrznym, w tym otrzymywania informacji. Z art. 10 Konwencji nie wynika ogólny obowiązek zapewnienia więźniom dostępu do internetu lub do określonych stron internetowych, jednak jeśli prawo pozwala im na dostęp do pewnych stron internetowych zawierających informacje prawne, to uniemożliwienie dostępu do innych stron zawierających również informację prawną stanowi ingerencję w ich prawo do otrzymywania informacji.</w:t>
      </w:r>
    </w:p>
    <w:p w:rsidR="00BA3E61" w:rsidRDefault="00BA3E61" w:rsidP="00BA3E61">
      <w:pPr>
        <w:spacing w:after="120" w:line="240" w:lineRule="auto"/>
        <w:jc w:val="both"/>
        <w:rPr>
          <w:lang w:val="pl-PL"/>
        </w:rPr>
      </w:pPr>
      <w:r>
        <w:rPr>
          <w:lang w:val="pl-PL"/>
        </w:rPr>
        <w:t>Badając zgodność z Konwencją ograniczenia dostępu do internetu w niniejszej sprawie Trybunał doszedł do wniosku, że było ono wprawdzie przewidziane przez ustawę i służyło uprawnionemu celowi ochrony praw innych osób oraz zapobieganiu przestępstw, było jednak nieproporcjonalne.</w:t>
      </w:r>
    </w:p>
    <w:p w:rsidR="00BA3E61" w:rsidRDefault="00BA3E61" w:rsidP="00BA3E61">
      <w:pPr>
        <w:spacing w:after="120" w:line="240" w:lineRule="auto"/>
        <w:jc w:val="both"/>
        <w:rPr>
          <w:lang w:val="pl-PL"/>
        </w:rPr>
      </w:pPr>
      <w:r>
        <w:rPr>
          <w:lang w:val="pl-PL"/>
        </w:rPr>
        <w:t>Odnosząc się do kwestii, czy ograniczenie było „niezbędne” w społeczeństwie demokratycznym Trybunał</w:t>
      </w:r>
      <w:r w:rsidR="00461E7B">
        <w:rPr>
          <w:lang w:val="pl-PL"/>
        </w:rPr>
        <w:t xml:space="preserve"> uznał</w:t>
      </w:r>
      <w:r>
        <w:rPr>
          <w:lang w:val="pl-PL"/>
        </w:rPr>
        <w:t xml:space="preserve">, że ograniczenia zastosowane wobec skarżącego były zbyt daleko idące z kilku względów. </w:t>
      </w:r>
    </w:p>
    <w:p w:rsidR="00BA3E61" w:rsidRDefault="00BA3E61" w:rsidP="00BA3E61">
      <w:pPr>
        <w:spacing w:after="120" w:line="240" w:lineRule="auto"/>
        <w:jc w:val="both"/>
        <w:rPr>
          <w:lang w:val="pl-PL"/>
        </w:rPr>
      </w:pPr>
      <w:r>
        <w:rPr>
          <w:lang w:val="pl-PL"/>
        </w:rPr>
        <w:lastRenderedPageBreak/>
        <w:t xml:space="preserve">Trybunał wskazał na charakter informacji dostępnych na stronach wskazanych przez skarżącego – strony te zawierały głównie informacje prawne oraz dotyczące praw podstawowych, w tym praw więźniów. W opinii Trybunału dostęp do takich informacji promuje świadomość społeczną i poszanowanie praw człowieka. Dostęp do tych informacji miał wiązać się bezpośrednio z możliwością ochrony przysługujących skarżącemu praw podstawowych w postępowaniach sądowych. W odniesieniu do dostępu do tłumaczeń orzeczeń </w:t>
      </w:r>
      <w:r w:rsidR="00487350">
        <w:rPr>
          <w:lang w:val="pl-PL"/>
        </w:rPr>
        <w:t xml:space="preserve">Trybunału </w:t>
      </w:r>
      <w:r>
        <w:rPr>
          <w:lang w:val="pl-PL"/>
        </w:rPr>
        <w:t>(publikowanych na stronach internetowych Biura</w:t>
      </w:r>
      <w:r w:rsidR="005949E8">
        <w:rPr>
          <w:lang w:val="pl-PL"/>
        </w:rPr>
        <w:t xml:space="preserve"> Informacji RE</w:t>
      </w:r>
      <w:r>
        <w:rPr>
          <w:lang w:val="pl-PL"/>
        </w:rPr>
        <w:t xml:space="preserve">), Trybunał podkreślił dodatkowo, że publikowanie wyroków Trybunału w języku pozwanego państwa </w:t>
      </w:r>
      <w:r w:rsidR="005949E8">
        <w:rPr>
          <w:lang w:val="pl-PL"/>
        </w:rPr>
        <w:t xml:space="preserve">stanowi – </w:t>
      </w:r>
      <w:r>
        <w:rPr>
          <w:lang w:val="pl-PL"/>
        </w:rPr>
        <w:t>zgodnie z regulacjami Rady Europy (</w:t>
      </w:r>
      <w:r w:rsidRPr="00487350">
        <w:rPr>
          <w:i/>
          <w:lang w:val="pl-PL"/>
        </w:rPr>
        <w:t xml:space="preserve">Regulamin Komitetu Ministrów </w:t>
      </w:r>
      <w:proofErr w:type="spellStart"/>
      <w:r w:rsidRPr="00487350">
        <w:rPr>
          <w:i/>
          <w:lang w:val="pl-PL"/>
        </w:rPr>
        <w:t>ws</w:t>
      </w:r>
      <w:proofErr w:type="spellEnd"/>
      <w:r w:rsidRPr="00487350">
        <w:rPr>
          <w:i/>
          <w:lang w:val="pl-PL"/>
        </w:rPr>
        <w:t>. nadzoru nad wykonywaniem wyroków oraz warunków ugód</w:t>
      </w:r>
      <w:r>
        <w:rPr>
          <w:lang w:val="pl-PL"/>
        </w:rPr>
        <w:t xml:space="preserve">) </w:t>
      </w:r>
      <w:r w:rsidR="005949E8">
        <w:rPr>
          <w:lang w:val="pl-PL"/>
        </w:rPr>
        <w:t xml:space="preserve">– </w:t>
      </w:r>
      <w:r>
        <w:rPr>
          <w:lang w:val="pl-PL"/>
        </w:rPr>
        <w:t xml:space="preserve">jeden ze środków generalnych mających służyć wykonaniu </w:t>
      </w:r>
      <w:r w:rsidR="00487350">
        <w:rPr>
          <w:lang w:val="pl-PL"/>
        </w:rPr>
        <w:t xml:space="preserve">jego </w:t>
      </w:r>
      <w:r>
        <w:rPr>
          <w:lang w:val="pl-PL"/>
        </w:rPr>
        <w:t>wyroków.</w:t>
      </w:r>
    </w:p>
    <w:p w:rsidR="00BA3E61" w:rsidRDefault="00BA3E61" w:rsidP="00BA3E61">
      <w:pPr>
        <w:spacing w:after="120" w:line="240" w:lineRule="auto"/>
        <w:jc w:val="both"/>
        <w:rPr>
          <w:lang w:val="pl-PL"/>
        </w:rPr>
      </w:pPr>
      <w:r>
        <w:rPr>
          <w:lang w:val="pl-PL"/>
        </w:rPr>
        <w:t xml:space="preserve">Badając proporcjonalność ograniczeń w dostępie więźniów do internetu Trybunał zwrócił także uwagę na szczególną doniosłość dostępu </w:t>
      </w:r>
      <w:r w:rsidRPr="00F13332">
        <w:rPr>
          <w:lang w:val="pl-PL"/>
        </w:rPr>
        <w:t>do</w:t>
      </w:r>
      <w:r>
        <w:rPr>
          <w:lang w:val="pl-PL"/>
        </w:rPr>
        <w:t xml:space="preserve"> internetu. Szereg instrumentów międzynarodowych, przyjętych zarówno przez Radę Europy, jak i Radę Praw Człowieka ONZ, wskazuje bowiem na zasadnicze znaczenie dostępu do internetu dla możliwości korzystania z poszczególnych praw podstawowych, a w niektórych z nich wyróżnia się nawet </w:t>
      </w:r>
      <w:r w:rsidRPr="00F13332">
        <w:rPr>
          <w:lang w:val="pl-PL"/>
        </w:rPr>
        <w:t>dostęp do internetu jako osobne</w:t>
      </w:r>
      <w:r>
        <w:rPr>
          <w:lang w:val="pl-PL"/>
        </w:rPr>
        <w:t xml:space="preserve"> praw</w:t>
      </w:r>
      <w:r w:rsidR="00487350">
        <w:rPr>
          <w:lang w:val="pl-PL"/>
        </w:rPr>
        <w:t>o</w:t>
      </w:r>
      <w:r>
        <w:rPr>
          <w:lang w:val="pl-PL"/>
        </w:rPr>
        <w:t xml:space="preserve">. Stąd też blokada stron </w:t>
      </w:r>
      <w:r w:rsidR="005949E8">
        <w:rPr>
          <w:lang w:val="pl-PL"/>
        </w:rPr>
        <w:t xml:space="preserve">internetowych </w:t>
      </w:r>
      <w:r>
        <w:rPr>
          <w:lang w:val="pl-PL"/>
        </w:rPr>
        <w:t xml:space="preserve">powinna być stosowana z rozwagą. </w:t>
      </w:r>
    </w:p>
    <w:p w:rsidR="00BA3E61" w:rsidRDefault="00BA3E61" w:rsidP="00BA3E61">
      <w:pPr>
        <w:spacing w:after="120" w:line="240" w:lineRule="auto"/>
        <w:jc w:val="both"/>
        <w:rPr>
          <w:lang w:val="pl-PL"/>
        </w:rPr>
      </w:pPr>
      <w:r>
        <w:rPr>
          <w:lang w:val="pl-PL"/>
        </w:rPr>
        <w:t xml:space="preserve">Trybunał podkreślił, że wnioskowanie do instytucji o udzielenie danej informacji prawnej jest ze swojej istoty czymś odmiennym od </w:t>
      </w:r>
      <w:r w:rsidR="00C06816">
        <w:rPr>
          <w:lang w:val="pl-PL"/>
        </w:rPr>
        <w:t>przeglądania</w:t>
      </w:r>
      <w:r w:rsidR="00972787">
        <w:rPr>
          <w:lang w:val="pl-PL"/>
        </w:rPr>
        <w:t xml:space="preserve"> informacji na </w:t>
      </w:r>
      <w:r w:rsidR="00C06816">
        <w:rPr>
          <w:lang w:val="pl-PL"/>
        </w:rPr>
        <w:t>stron</w:t>
      </w:r>
      <w:r w:rsidR="00972787">
        <w:rPr>
          <w:lang w:val="pl-PL"/>
        </w:rPr>
        <w:t>ach</w:t>
      </w:r>
      <w:r>
        <w:rPr>
          <w:lang w:val="pl-PL"/>
        </w:rPr>
        <w:t xml:space="preserve"> internetowych</w:t>
      </w:r>
      <w:r w:rsidR="00C06816">
        <w:rPr>
          <w:lang w:val="pl-PL"/>
        </w:rPr>
        <w:t xml:space="preserve"> w celu wyszukania właściwej informacji</w:t>
      </w:r>
      <w:r>
        <w:rPr>
          <w:lang w:val="pl-PL"/>
        </w:rPr>
        <w:t xml:space="preserve">. Aby być w stanie skierować określony wniosek, trzeba być świadomym istnienia określonej informacji. Tym samym nie można uznać, że możliwość złożenia wniosku do instytucji związanych z ochroną praw podstawowych kompensuje zakaz korzystania z ich stron </w:t>
      </w:r>
      <w:r w:rsidR="00487350">
        <w:rPr>
          <w:lang w:val="pl-PL"/>
        </w:rPr>
        <w:t>internetowych</w:t>
      </w:r>
      <w:r>
        <w:rPr>
          <w:lang w:val="pl-PL"/>
        </w:rPr>
        <w:t>. Władze nie przedstawiły również porównania kosztów uzysk</w:t>
      </w:r>
      <w:r w:rsidR="00487350">
        <w:rPr>
          <w:lang w:val="pl-PL"/>
        </w:rPr>
        <w:t>iw</w:t>
      </w:r>
      <w:r>
        <w:rPr>
          <w:lang w:val="pl-PL"/>
        </w:rPr>
        <w:t xml:space="preserve">ania określonych danych. </w:t>
      </w:r>
    </w:p>
    <w:p w:rsidR="00BA3E61" w:rsidRDefault="00BA3E61" w:rsidP="00BA3E61">
      <w:pPr>
        <w:spacing w:after="120" w:line="240" w:lineRule="auto"/>
        <w:jc w:val="both"/>
        <w:rPr>
          <w:lang w:val="pl-PL"/>
        </w:rPr>
      </w:pPr>
      <w:r>
        <w:rPr>
          <w:lang w:val="pl-PL"/>
        </w:rPr>
        <w:t xml:space="preserve">Trybunał uznał, że ograniczenie dostępu do niektórych stron internetowych może służyć ochronie bezpieczeństwa, jednak powinno zostać wykazane, że </w:t>
      </w:r>
      <w:r w:rsidR="005949E8">
        <w:rPr>
          <w:lang w:val="pl-PL"/>
        </w:rPr>
        <w:t xml:space="preserve">zapewnienie </w:t>
      </w:r>
      <w:r>
        <w:rPr>
          <w:lang w:val="pl-PL"/>
        </w:rPr>
        <w:t xml:space="preserve">dostępu do blokowanych stron stanowiłoby realne zagrożenie. Tymczasem w niniejszej sprawie rząd w żaden sposób nie udowodnił, że zabezpieczenie dostępu do kilku stron wskazanych przez skarżącego w taki sam sposób, w jaki zabezpieczany był dostęp do </w:t>
      </w:r>
      <w:r w:rsidR="005949E8">
        <w:rPr>
          <w:lang w:val="pl-PL"/>
        </w:rPr>
        <w:t xml:space="preserve">innych </w:t>
      </w:r>
      <w:r>
        <w:rPr>
          <w:lang w:val="pl-PL"/>
        </w:rPr>
        <w:t>„dozwolonych” stron internetowych, miałoby być niemożliwe, czy chociażby wiązać się z nadmiernymi trudnościami lub kosztami.</w:t>
      </w:r>
    </w:p>
    <w:p w:rsidR="00BA3E61" w:rsidRDefault="00BA3E61" w:rsidP="00BA3E61">
      <w:pPr>
        <w:spacing w:after="120" w:line="240" w:lineRule="auto"/>
        <w:jc w:val="both"/>
        <w:rPr>
          <w:lang w:val="pl-PL"/>
        </w:rPr>
      </w:pPr>
      <w:r>
        <w:rPr>
          <w:lang w:val="pl-PL"/>
        </w:rPr>
        <w:t xml:space="preserve">Regulacje estońskie przewidywały ograniczony dostęp do internetu z wykorzystaniem komputerów specjalnie dostosowanych do tego celu i pod nadzorem władz więziennych. Środki w celu zapewnienia dostępu więźniów do internetu tak czy inaczej zostały już podjęte, a koszty zostały poniesione. Choć kwestie bezpieczeństwa lub względy ekonomiczne mogą mieć znaczenie, Trybunał wytknął, że sądy krajowe nie przeprowadziły dokładnej analizy zagrożenia bezpieczeństwa wynikającego z dostępu do trzech dodatkowych stron, o który ubiegał się skarżący. Oceniając też rzekome ryzyka należy też mieć na względzie, że wniosek dotyczył stron internetowych instytucji publicznych oraz organizacji międzynarodowej. Nie wskazano, że dostęp ten zwiększyłby ryzyko uzyskania przez więźniów możliwości prowadzenia nielegalnej komunikacji, ani też nie wykazano, by dostęp do trzech dodatkowych stron spowodował znaczące dodatkowe koszty. </w:t>
      </w:r>
    </w:p>
    <w:p w:rsidR="00BA3E61" w:rsidRDefault="00BA3E61" w:rsidP="00BA3E61">
      <w:pPr>
        <w:spacing w:after="120" w:line="240" w:lineRule="auto"/>
        <w:jc w:val="both"/>
        <w:rPr>
          <w:lang w:val="pl-PL"/>
        </w:rPr>
      </w:pPr>
      <w:r>
        <w:rPr>
          <w:lang w:val="pl-PL"/>
        </w:rPr>
        <w:t xml:space="preserve">Z powyższych względów Trybunał większością głosów (6 do 1) uznał, że ingerencja nie była </w:t>
      </w:r>
      <w:r w:rsidR="005A1C0A">
        <w:rPr>
          <w:lang w:val="pl-PL"/>
        </w:rPr>
        <w:t xml:space="preserve">niezbędna </w:t>
      </w:r>
      <w:r>
        <w:rPr>
          <w:lang w:val="pl-PL"/>
        </w:rPr>
        <w:t xml:space="preserve">w społeczeństwie demokratycznym. Doszło więc do naruszenia art. 10 ust. 1 Konwencji. Jednocześnie Trybunał uznał, że samo stwierdzenie naruszenia Konwencji stanowi wystarczające zadośćuczynienie dla skarżącego i oddalił jego roszczenie o odszkodowanie. </w:t>
      </w:r>
    </w:p>
    <w:p w:rsidR="00BA3E61" w:rsidRPr="009756ED" w:rsidRDefault="00BA3E61" w:rsidP="00BA3E61">
      <w:pPr>
        <w:spacing w:after="120" w:line="240" w:lineRule="auto"/>
        <w:jc w:val="both"/>
        <w:rPr>
          <w:lang w:val="pl-PL"/>
        </w:rPr>
      </w:pPr>
      <w:r>
        <w:rPr>
          <w:lang w:val="pl-PL"/>
        </w:rPr>
        <w:t xml:space="preserve">Do powyższego wyroku załączone jest zdanie odrębne sędziego </w:t>
      </w:r>
      <w:proofErr w:type="spellStart"/>
      <w:r w:rsidRPr="009756ED">
        <w:rPr>
          <w:lang w:val="pl-PL"/>
        </w:rPr>
        <w:t>Kjølbro</w:t>
      </w:r>
      <w:proofErr w:type="spellEnd"/>
      <w:r>
        <w:rPr>
          <w:lang w:val="pl-PL"/>
        </w:rPr>
        <w:t>. Choć zgodził się z większością, że odmowa przyznania dostępu do trzech stron in</w:t>
      </w:r>
      <w:r w:rsidR="005949E8">
        <w:rPr>
          <w:lang w:val="pl-PL"/>
        </w:rPr>
        <w:t>ternetowych stanowiła ingerencję</w:t>
      </w:r>
      <w:r>
        <w:rPr>
          <w:lang w:val="pl-PL"/>
        </w:rPr>
        <w:t xml:space="preserve"> w prawa skarżącego, skrytykował jednak argumentację Trybunału, że przyznanie więźniom dostępu do niektórych stron internetowych może być traktowane jako implikujące obowiązek przyznania im dostępu także do innych stron, i zwrócił uwagę na możliwe negatywne konsekwencje przyjęcia takiego rozumowania (m.in. mogłoby to zniechęcić państwa do zapewniania przynajmniej ograniczonego dostępu do internetu). Odwołanie do aktów prawa międzynarodowego podkreślających doniosłą rolę internetu w procesie komunikacji uznał za błędne, ponieważ żaden z </w:t>
      </w:r>
      <w:r>
        <w:rPr>
          <w:lang w:val="pl-PL"/>
        </w:rPr>
        <w:lastRenderedPageBreak/>
        <w:t xml:space="preserve">nich nie odnosił się do praw więźniów. W dalszej kolejności podkreślił, że faktyczne nałożenie na państwo pozytywnego obowiązku zapewnienia więźniom bezpiecznego dostępu do sieci wydaje się iść za daleko i naruszać przysługujący państwom szeroki margines oceny, tym bardziej że Trybunał nie poprzedził </w:t>
      </w:r>
      <w:r w:rsidR="00487350">
        <w:rPr>
          <w:lang w:val="pl-PL"/>
        </w:rPr>
        <w:t>te</w:t>
      </w:r>
      <w:r>
        <w:rPr>
          <w:lang w:val="pl-PL"/>
        </w:rPr>
        <w:t xml:space="preserve">go analizą porównawczą praktyki w innych państwach Konwencji. Wreszcie sędzia </w:t>
      </w:r>
      <w:proofErr w:type="spellStart"/>
      <w:r w:rsidRPr="009756ED">
        <w:rPr>
          <w:lang w:val="pl-PL"/>
        </w:rPr>
        <w:t>Kjølbro</w:t>
      </w:r>
      <w:proofErr w:type="spellEnd"/>
      <w:r>
        <w:rPr>
          <w:lang w:val="pl-PL"/>
        </w:rPr>
        <w:t xml:space="preserve"> wskazał, iż możliwość uzyskiwania od instytucji informacji na wniosek w istocie kompensowała ograniczenia w korzystaniu z materiałów na stronie internetowej. Sędzia podkreślił, iż z racji swojego precedensowego charakteru, niniejsza sprawa powinna była być przekazana do rozstrzygnięcia Wielkiej Izbie w trybie art. 30 Konwencji.</w:t>
      </w:r>
    </w:p>
    <w:p w:rsidR="00BA3E61" w:rsidRPr="00C941E0" w:rsidRDefault="00BA3E61" w:rsidP="00005885">
      <w:pPr>
        <w:spacing w:after="120" w:line="240" w:lineRule="auto"/>
        <w:jc w:val="both"/>
        <w:rPr>
          <w:lang w:val="pl-PL"/>
        </w:rPr>
      </w:pPr>
      <w:r>
        <w:rPr>
          <w:u w:val="single"/>
          <w:lang w:val="pl-PL"/>
        </w:rPr>
        <w:t>Znaczenie wyroku dla Polski</w:t>
      </w:r>
      <w:r>
        <w:rPr>
          <w:lang w:val="pl-PL"/>
        </w:rPr>
        <w:t xml:space="preserve"> – wyrok warto przeanalizować w odniesieniu do kwestii warunków dostępu więźniów do internetu</w:t>
      </w:r>
      <w:r w:rsidR="00730EF9" w:rsidRPr="00730EF9">
        <w:rPr>
          <w:lang w:val="pl-PL"/>
        </w:rPr>
        <w:t xml:space="preserve"> </w:t>
      </w:r>
      <w:r w:rsidR="00730EF9">
        <w:rPr>
          <w:lang w:val="pl-PL"/>
        </w:rPr>
        <w:t>w Polsce</w:t>
      </w:r>
      <w:r>
        <w:rPr>
          <w:lang w:val="pl-PL"/>
        </w:rPr>
        <w:t>, a w szczególności sposobu udostępniania im urzędowej informacji prawnej</w:t>
      </w:r>
      <w:r w:rsidR="00487350">
        <w:rPr>
          <w:lang w:val="pl-PL"/>
        </w:rPr>
        <w:t>, w tym na temat praw człowieka i orzecznictwa Trybunału</w:t>
      </w:r>
      <w:r>
        <w:rPr>
          <w:lang w:val="pl-PL"/>
        </w:rPr>
        <w:t>.</w:t>
      </w:r>
      <w:r w:rsidRPr="001B5415">
        <w:rPr>
          <w:lang w:val="pl-PL"/>
        </w:rPr>
        <w:t xml:space="preserve"> </w:t>
      </w:r>
    </w:p>
    <w:sectPr w:rsidR="00BA3E61" w:rsidRPr="00C941E0" w:rsidSect="00B827A2">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851" w:left="1417"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79D" w:rsidRDefault="004D279D" w:rsidP="003C7DF2">
      <w:pPr>
        <w:spacing w:after="0" w:line="240" w:lineRule="auto"/>
      </w:pPr>
      <w:r>
        <w:separator/>
      </w:r>
    </w:p>
  </w:endnote>
  <w:endnote w:type="continuationSeparator" w:id="0">
    <w:p w:rsidR="004D279D" w:rsidRDefault="004D279D" w:rsidP="003C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Helvetica,Italic">
    <w:panose1 w:val="00000000000000000000"/>
    <w:charset w:val="EE"/>
    <w:family w:val="auto"/>
    <w:notTrueType/>
    <w:pitch w:val="default"/>
    <w:sig w:usb0="00000005" w:usb1="00000000" w:usb2="00000000" w:usb3="00000000" w:csb0="00000002"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59" w:rsidRDefault="00487A5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060254"/>
      <w:docPartObj>
        <w:docPartGallery w:val="Page Numbers (Bottom of Page)"/>
        <w:docPartUnique/>
      </w:docPartObj>
    </w:sdtPr>
    <w:sdtEndPr/>
    <w:sdtContent>
      <w:p w:rsidR="00487A59" w:rsidRDefault="00487A59">
        <w:pPr>
          <w:pStyle w:val="Stopka"/>
          <w:jc w:val="right"/>
        </w:pPr>
        <w:r>
          <w:fldChar w:fldCharType="begin"/>
        </w:r>
        <w:r>
          <w:instrText>PAGE   \* MERGEFORMAT</w:instrText>
        </w:r>
        <w:r>
          <w:fldChar w:fldCharType="separate"/>
        </w:r>
        <w:r w:rsidR="00D47729" w:rsidRPr="00D47729">
          <w:rPr>
            <w:noProof/>
            <w:lang w:val="pl-PL"/>
          </w:rPr>
          <w:t>2</w:t>
        </w:r>
        <w:r>
          <w:fldChar w:fldCharType="end"/>
        </w:r>
      </w:p>
    </w:sdtContent>
  </w:sdt>
  <w:p w:rsidR="00487A59" w:rsidRDefault="00487A5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59" w:rsidRDefault="00487A5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79D" w:rsidRDefault="004D279D" w:rsidP="003C7DF2">
      <w:pPr>
        <w:spacing w:after="0" w:line="240" w:lineRule="auto"/>
      </w:pPr>
      <w:r>
        <w:separator/>
      </w:r>
    </w:p>
  </w:footnote>
  <w:footnote w:type="continuationSeparator" w:id="0">
    <w:p w:rsidR="004D279D" w:rsidRDefault="004D279D" w:rsidP="003C7DF2">
      <w:pPr>
        <w:spacing w:after="0" w:line="240" w:lineRule="auto"/>
      </w:pPr>
      <w:r>
        <w:continuationSeparator/>
      </w:r>
    </w:p>
  </w:footnote>
  <w:footnote w:id="1">
    <w:p w:rsidR="005B7C47" w:rsidRPr="005B7C47" w:rsidRDefault="005B7C47">
      <w:pPr>
        <w:pStyle w:val="Tekstprzypisudolnego"/>
        <w:rPr>
          <w:lang w:val="pl-PL"/>
        </w:rPr>
      </w:pPr>
      <w:r>
        <w:rPr>
          <w:rStyle w:val="Odwoanieprzypisudolnego"/>
        </w:rPr>
        <w:footnoteRef/>
      </w:r>
      <w:r w:rsidRPr="00B475F7">
        <w:rPr>
          <w:lang w:val="pl-PL"/>
        </w:rPr>
        <w:t xml:space="preserve"> </w:t>
      </w:r>
      <w:r>
        <w:rPr>
          <w:lang w:val="pl-PL"/>
        </w:rPr>
        <w:t>Konwencji o ochronie praw człowieka i podstawowych wolności</w:t>
      </w:r>
    </w:p>
  </w:footnote>
  <w:footnote w:id="2">
    <w:p w:rsidR="00487A59" w:rsidRPr="008D6264" w:rsidRDefault="00487A59">
      <w:pPr>
        <w:pStyle w:val="Tekstprzypisudolnego"/>
        <w:rPr>
          <w:lang w:val="pl-PL"/>
        </w:rPr>
      </w:pPr>
      <w:r>
        <w:rPr>
          <w:rStyle w:val="Odwoanieprzypisudolnego"/>
        </w:rPr>
        <w:footnoteRef/>
      </w:r>
      <w:r w:rsidRPr="008D6264">
        <w:rPr>
          <w:lang w:val="pl-PL"/>
        </w:rPr>
        <w:t xml:space="preserve"> Por. </w:t>
      </w:r>
      <w:proofErr w:type="spellStart"/>
      <w:r w:rsidRPr="008D6264">
        <w:rPr>
          <w:rFonts w:asciiTheme="minorHAnsi" w:hAnsiTheme="minorHAnsi"/>
          <w:i/>
          <w:sz w:val="22"/>
          <w:szCs w:val="22"/>
          <w:lang w:val="pl-PL"/>
        </w:rPr>
        <w:t>Winterwerp</w:t>
      </w:r>
      <w:proofErr w:type="spellEnd"/>
      <w:r w:rsidRPr="008D6264">
        <w:rPr>
          <w:rFonts w:asciiTheme="minorHAnsi" w:hAnsiTheme="minorHAnsi"/>
          <w:i/>
          <w:sz w:val="22"/>
          <w:szCs w:val="22"/>
          <w:lang w:val="pl-PL"/>
        </w:rPr>
        <w:t xml:space="preserve"> p. Holandii, </w:t>
      </w:r>
      <w:r w:rsidRPr="008D6264">
        <w:rPr>
          <w:rFonts w:asciiTheme="minorHAnsi" w:hAnsiTheme="minorHAnsi"/>
          <w:sz w:val="22"/>
          <w:szCs w:val="22"/>
          <w:lang w:val="pl-PL"/>
        </w:rPr>
        <w:t>skarga nr 6301/73, wyrok z 24 października 1979 r.</w:t>
      </w:r>
    </w:p>
  </w:footnote>
  <w:footnote w:id="3">
    <w:p w:rsidR="00487A59" w:rsidRPr="00307AFD" w:rsidRDefault="00487A59">
      <w:pPr>
        <w:pStyle w:val="Tekstprzypisudolnego"/>
        <w:rPr>
          <w:lang w:val="pl-PL"/>
        </w:rPr>
      </w:pPr>
      <w:r>
        <w:rPr>
          <w:rStyle w:val="Odwoanieprzypisudolnego"/>
        </w:rPr>
        <w:footnoteRef/>
      </w:r>
      <w:r w:rsidRPr="00307AFD">
        <w:rPr>
          <w:lang w:val="pl-PL"/>
        </w:rPr>
        <w:t xml:space="preserve"> </w:t>
      </w:r>
      <w:proofErr w:type="spellStart"/>
      <w:r w:rsidRPr="008D781B">
        <w:rPr>
          <w:i/>
          <w:lang w:val="pl-PL"/>
        </w:rPr>
        <w:t>Glien</w:t>
      </w:r>
      <w:proofErr w:type="spellEnd"/>
      <w:r w:rsidRPr="008D781B">
        <w:rPr>
          <w:i/>
          <w:lang w:val="pl-PL"/>
        </w:rPr>
        <w:t xml:space="preserve"> p. Niemcom</w:t>
      </w:r>
      <w:r>
        <w:rPr>
          <w:lang w:val="pl-PL"/>
        </w:rPr>
        <w:t>, sk</w:t>
      </w:r>
      <w:r w:rsidRPr="00307AFD">
        <w:rPr>
          <w:lang w:val="pl-PL"/>
        </w:rPr>
        <w:t xml:space="preserve">arga nr </w:t>
      </w:r>
      <w:r w:rsidRPr="00307AFD">
        <w:rPr>
          <w:rFonts w:asciiTheme="minorHAnsi" w:hAnsiTheme="minorHAnsi"/>
          <w:sz w:val="22"/>
          <w:szCs w:val="22"/>
          <w:lang w:val="pl-PL"/>
        </w:rPr>
        <w:t>7345/12, wyrok z 28 listopada 2013 r.</w:t>
      </w:r>
    </w:p>
  </w:footnote>
  <w:footnote w:id="4">
    <w:p w:rsidR="00487A59" w:rsidRPr="007D0A98" w:rsidRDefault="00487A59" w:rsidP="007D0A98">
      <w:pPr>
        <w:pStyle w:val="Nagwek1"/>
        <w:spacing w:before="0" w:after="120" w:line="240" w:lineRule="auto"/>
        <w:jc w:val="both"/>
        <w:rPr>
          <w:rFonts w:asciiTheme="minorHAnsi" w:hAnsiTheme="minorHAnsi"/>
          <w:b w:val="0"/>
          <w:color w:val="auto"/>
          <w:sz w:val="20"/>
          <w:szCs w:val="20"/>
          <w:lang w:val="pl-PL"/>
        </w:rPr>
      </w:pPr>
      <w:r w:rsidRPr="007D0A98">
        <w:rPr>
          <w:rStyle w:val="Odwoanieprzypisudolnego"/>
          <w:rFonts w:asciiTheme="minorHAnsi" w:hAnsiTheme="minorHAnsi"/>
          <w:b w:val="0"/>
          <w:color w:val="auto"/>
          <w:sz w:val="20"/>
          <w:szCs w:val="20"/>
        </w:rPr>
        <w:footnoteRef/>
      </w:r>
      <w:r w:rsidRPr="007D0A98">
        <w:rPr>
          <w:rFonts w:asciiTheme="minorHAnsi" w:hAnsiTheme="minorHAnsi"/>
          <w:b w:val="0"/>
          <w:color w:val="auto"/>
          <w:sz w:val="20"/>
          <w:szCs w:val="20"/>
          <w:lang w:val="pl-PL"/>
        </w:rPr>
        <w:t xml:space="preserve"> Por. informację nt. sprawy </w:t>
      </w:r>
      <w:proofErr w:type="spellStart"/>
      <w:r w:rsidRPr="00F21238">
        <w:rPr>
          <w:rFonts w:asciiTheme="minorHAnsi" w:hAnsiTheme="minorHAnsi"/>
          <w:b w:val="0"/>
          <w:i/>
          <w:color w:val="auto"/>
          <w:sz w:val="20"/>
          <w:szCs w:val="20"/>
          <w:lang w:val="pl-PL"/>
        </w:rPr>
        <w:t>Zakharov</w:t>
      </w:r>
      <w:proofErr w:type="spellEnd"/>
      <w:r w:rsidRPr="00F21238">
        <w:rPr>
          <w:rFonts w:asciiTheme="minorHAnsi" w:hAnsiTheme="minorHAnsi"/>
          <w:b w:val="0"/>
          <w:i/>
          <w:color w:val="auto"/>
          <w:sz w:val="20"/>
          <w:szCs w:val="20"/>
          <w:lang w:val="pl-PL"/>
        </w:rPr>
        <w:t xml:space="preserve"> p. Rosji</w:t>
      </w:r>
      <w:r w:rsidRPr="007D0A98">
        <w:rPr>
          <w:rFonts w:asciiTheme="minorHAnsi" w:hAnsiTheme="minorHAnsi"/>
          <w:b w:val="0"/>
          <w:color w:val="auto"/>
          <w:sz w:val="20"/>
          <w:szCs w:val="20"/>
          <w:lang w:val="pl-PL"/>
        </w:rPr>
        <w:t xml:space="preserve"> w przeglądzie orzecznictwa Europejskiego Trybunału Praw Człowieka</w:t>
      </w:r>
      <w:r>
        <w:rPr>
          <w:rFonts w:asciiTheme="minorHAnsi" w:hAnsiTheme="minorHAnsi"/>
          <w:b w:val="0"/>
          <w:color w:val="auto"/>
          <w:sz w:val="20"/>
          <w:szCs w:val="20"/>
          <w:lang w:val="pl-PL"/>
        </w:rPr>
        <w:t xml:space="preserve"> </w:t>
      </w:r>
      <w:r w:rsidRPr="007D0A98">
        <w:rPr>
          <w:rFonts w:asciiTheme="minorHAnsi" w:hAnsiTheme="minorHAnsi"/>
          <w:b w:val="0"/>
          <w:color w:val="auto"/>
          <w:sz w:val="20"/>
          <w:szCs w:val="20"/>
          <w:lang w:val="pl-PL"/>
        </w:rPr>
        <w:t>w sprawach dotyczących państw trzecich –</w:t>
      </w:r>
      <w:r>
        <w:rPr>
          <w:rFonts w:asciiTheme="minorHAnsi" w:hAnsiTheme="minorHAnsi"/>
          <w:b w:val="0"/>
          <w:color w:val="auto"/>
          <w:sz w:val="20"/>
          <w:szCs w:val="20"/>
          <w:lang w:val="pl-PL"/>
        </w:rPr>
        <w:t xml:space="preserve"> grudzień 2015</w:t>
      </w:r>
      <w:r w:rsidRPr="007D0A98">
        <w:rPr>
          <w:rFonts w:asciiTheme="minorHAnsi" w:hAnsiTheme="minorHAnsi"/>
          <w:b w:val="0"/>
          <w:color w:val="auto"/>
          <w:sz w:val="20"/>
          <w:szCs w:val="20"/>
          <w:lang w:val="pl-PL"/>
        </w:rPr>
        <w:t xml:space="preserve"> r.</w:t>
      </w:r>
      <w:r>
        <w:rPr>
          <w:rFonts w:asciiTheme="minorHAnsi" w:hAnsiTheme="minorHAnsi"/>
          <w:b w:val="0"/>
          <w:color w:val="auto"/>
          <w:sz w:val="20"/>
          <w:szCs w:val="20"/>
          <w:lang w:val="pl-PL"/>
        </w:rPr>
        <w:t xml:space="preserve"> (nr 8/2015)</w:t>
      </w:r>
    </w:p>
    <w:p w:rsidR="00487A59" w:rsidRPr="007D0A98" w:rsidRDefault="00487A59">
      <w:pPr>
        <w:pStyle w:val="Tekstprzypisudolnego"/>
        <w:rPr>
          <w:lang w:val="pl-P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59" w:rsidRDefault="00487A5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59" w:rsidRDefault="00487A5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59" w:rsidRDefault="00487A59">
    <w:pPr>
      <w:pStyle w:val="Nagwek"/>
    </w:pPr>
    <w:r>
      <w:rPr>
        <w:rFonts w:ascii="Times New Roman" w:hAnsi="Times New Roman" w:cs="Times New Roman"/>
        <w:noProof/>
        <w:sz w:val="24"/>
        <w:szCs w:val="24"/>
        <w:lang w:val="pl-PL" w:eastAsia="pl-PL"/>
      </w:rPr>
      <w:drawing>
        <wp:anchor distT="0" distB="0" distL="114300" distR="114300" simplePos="0" relativeHeight="251659264" behindDoc="1" locked="0" layoutInCell="1" allowOverlap="1" wp14:anchorId="21B642FA" wp14:editId="68342BC9">
          <wp:simplePos x="0" y="0"/>
          <wp:positionH relativeFrom="page">
            <wp:posOffset>466725</wp:posOffset>
          </wp:positionH>
          <wp:positionV relativeFrom="page">
            <wp:posOffset>-238125</wp:posOffset>
          </wp:positionV>
          <wp:extent cx="2527935" cy="2608580"/>
          <wp:effectExtent l="0" t="0" r="5715" b="127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2608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45230"/>
    <w:multiLevelType w:val="hybridMultilevel"/>
    <w:tmpl w:val="26E45808"/>
    <w:lvl w:ilvl="0" w:tplc="961AE25A">
      <w:numFmt w:val="bullet"/>
      <w:lvlText w:val="-"/>
      <w:lvlJc w:val="left"/>
      <w:pPr>
        <w:ind w:left="360" w:hanging="360"/>
      </w:pPr>
      <w:rPr>
        <w:rFonts w:ascii="Verdana" w:eastAsia="Times New Roman" w:hAnsi="Verdana" w:cs="Times New Roman" w:hint="default"/>
        <w: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5300580"/>
    <w:multiLevelType w:val="hybridMultilevel"/>
    <w:tmpl w:val="985ED9E6"/>
    <w:lvl w:ilvl="0" w:tplc="23549DAE">
      <w:start w:val="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9D77EF"/>
    <w:multiLevelType w:val="hybridMultilevel"/>
    <w:tmpl w:val="A3C2F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7DC57CC"/>
    <w:multiLevelType w:val="hybridMultilevel"/>
    <w:tmpl w:val="D78A5B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nsid w:val="2E3F65E1"/>
    <w:multiLevelType w:val="hybridMultilevel"/>
    <w:tmpl w:val="EA9014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5F82C81"/>
    <w:multiLevelType w:val="hybridMultilevel"/>
    <w:tmpl w:val="1A48AECA"/>
    <w:lvl w:ilvl="0" w:tplc="ACD29B6C">
      <w:start w:val="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5A545E"/>
    <w:multiLevelType w:val="hybridMultilevel"/>
    <w:tmpl w:val="C4F8F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73C3C6E"/>
    <w:multiLevelType w:val="hybridMultilevel"/>
    <w:tmpl w:val="5C3E223E"/>
    <w:lvl w:ilvl="0" w:tplc="5A82AFB6">
      <w:start w:val="26"/>
      <w:numFmt w:val="bullet"/>
      <w:lvlText w:val="-"/>
      <w:lvlJc w:val="left"/>
      <w:pPr>
        <w:ind w:left="720" w:hanging="360"/>
      </w:pPr>
      <w:rPr>
        <w:rFonts w:ascii="Verdana" w:eastAsia="Times New Roman" w:hAnsi="Verdan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8E434C"/>
    <w:multiLevelType w:val="hybridMultilevel"/>
    <w:tmpl w:val="91DE5916"/>
    <w:lvl w:ilvl="0" w:tplc="04150011">
      <w:start w:val="1"/>
      <w:numFmt w:val="decimal"/>
      <w:lvlText w:val="%1)"/>
      <w:lvlJc w:val="left"/>
      <w:pPr>
        <w:ind w:left="405" w:hanging="360"/>
      </w:pPr>
      <w:rPr>
        <w:rFonts w:hint="default"/>
        <w:i w:val="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nsid w:val="46352434"/>
    <w:multiLevelType w:val="hybridMultilevel"/>
    <w:tmpl w:val="4A24C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ED63AAA"/>
    <w:multiLevelType w:val="hybridMultilevel"/>
    <w:tmpl w:val="24DA2108"/>
    <w:lvl w:ilvl="0" w:tplc="B016A7C2">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5D8E5A03"/>
    <w:multiLevelType w:val="hybridMultilevel"/>
    <w:tmpl w:val="AF0C058A"/>
    <w:lvl w:ilvl="0" w:tplc="ED325C84">
      <w:start w:val="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A26B59"/>
    <w:multiLevelType w:val="hybridMultilevel"/>
    <w:tmpl w:val="EA0EBC82"/>
    <w:lvl w:ilvl="0" w:tplc="4220274A">
      <w:start w:val="1"/>
      <w:numFmt w:val="decimal"/>
      <w:pStyle w:val="Nagwek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1897EFC"/>
    <w:multiLevelType w:val="hybridMultilevel"/>
    <w:tmpl w:val="F76CB29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6BF44009"/>
    <w:multiLevelType w:val="hybridMultilevel"/>
    <w:tmpl w:val="B144036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72700EA8"/>
    <w:multiLevelType w:val="hybridMultilevel"/>
    <w:tmpl w:val="C70E1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12"/>
  </w:num>
  <w:num w:numId="3">
    <w:abstractNumId w:val="11"/>
  </w:num>
  <w:num w:numId="4">
    <w:abstractNumId w:val="12"/>
  </w:num>
  <w:num w:numId="5">
    <w:abstractNumId w:val="12"/>
  </w:num>
  <w:num w:numId="6">
    <w:abstractNumId w:val="12"/>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4"/>
  </w:num>
  <w:num w:numId="14">
    <w:abstractNumId w:val="12"/>
  </w:num>
  <w:num w:numId="15">
    <w:abstractNumId w:val="2"/>
  </w:num>
  <w:num w:numId="16">
    <w:abstractNumId w:val="6"/>
  </w:num>
  <w:num w:numId="17">
    <w:abstractNumId w:val="7"/>
  </w:num>
  <w:num w:numId="18">
    <w:abstractNumId w:val="12"/>
  </w:num>
  <w:num w:numId="19">
    <w:abstractNumId w:val="1"/>
  </w:num>
  <w:num w:numId="20">
    <w:abstractNumId w:val="12"/>
  </w:num>
  <w:num w:numId="21">
    <w:abstractNumId w:val="5"/>
  </w:num>
  <w:num w:numId="22">
    <w:abstractNumId w:val="12"/>
  </w:num>
  <w:num w:numId="23">
    <w:abstractNumId w:val="12"/>
  </w:num>
  <w:num w:numId="24">
    <w:abstractNumId w:val="0"/>
  </w:num>
  <w:num w:numId="25">
    <w:abstractNumId w:val="8"/>
  </w:num>
  <w:num w:numId="26">
    <w:abstractNumId w:val="10"/>
  </w:num>
  <w:num w:numId="27">
    <w:abstractNumId w:val="12"/>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2"/>
  </w:num>
  <w:num w:numId="34">
    <w:abstractNumId w:val="12"/>
  </w:num>
  <w:num w:numId="35">
    <w:abstractNumId w:val="3"/>
  </w:num>
  <w:num w:numId="36">
    <w:abstractNumId w:val="14"/>
  </w:num>
  <w:num w:numId="37">
    <w:abstractNumId w:val="9"/>
  </w:num>
  <w:num w:numId="38">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55"/>
    <w:rsid w:val="00000779"/>
    <w:rsid w:val="00000C2D"/>
    <w:rsid w:val="0000365E"/>
    <w:rsid w:val="00003FBB"/>
    <w:rsid w:val="000045AA"/>
    <w:rsid w:val="00005885"/>
    <w:rsid w:val="000101FE"/>
    <w:rsid w:val="0001044C"/>
    <w:rsid w:val="00011FCA"/>
    <w:rsid w:val="00012C55"/>
    <w:rsid w:val="00012E52"/>
    <w:rsid w:val="000145E5"/>
    <w:rsid w:val="0001654B"/>
    <w:rsid w:val="000166E2"/>
    <w:rsid w:val="000178F1"/>
    <w:rsid w:val="00020319"/>
    <w:rsid w:val="0002270F"/>
    <w:rsid w:val="00022B32"/>
    <w:rsid w:val="00024930"/>
    <w:rsid w:val="00026AC5"/>
    <w:rsid w:val="00027075"/>
    <w:rsid w:val="0003682F"/>
    <w:rsid w:val="00036DCF"/>
    <w:rsid w:val="00037BA5"/>
    <w:rsid w:val="0004158A"/>
    <w:rsid w:val="00041638"/>
    <w:rsid w:val="000417B7"/>
    <w:rsid w:val="00042237"/>
    <w:rsid w:val="000429C8"/>
    <w:rsid w:val="00046B8C"/>
    <w:rsid w:val="00047291"/>
    <w:rsid w:val="0004746F"/>
    <w:rsid w:val="0005030F"/>
    <w:rsid w:val="0005115F"/>
    <w:rsid w:val="00054168"/>
    <w:rsid w:val="00054F22"/>
    <w:rsid w:val="000569E0"/>
    <w:rsid w:val="00057A61"/>
    <w:rsid w:val="00057DAB"/>
    <w:rsid w:val="00060B88"/>
    <w:rsid w:val="00061066"/>
    <w:rsid w:val="00062824"/>
    <w:rsid w:val="000645B9"/>
    <w:rsid w:val="00064965"/>
    <w:rsid w:val="00065852"/>
    <w:rsid w:val="00066191"/>
    <w:rsid w:val="00067080"/>
    <w:rsid w:val="00067E51"/>
    <w:rsid w:val="0007098B"/>
    <w:rsid w:val="000712EE"/>
    <w:rsid w:val="000726F0"/>
    <w:rsid w:val="00073A8C"/>
    <w:rsid w:val="00073C40"/>
    <w:rsid w:val="000754C7"/>
    <w:rsid w:val="000767D1"/>
    <w:rsid w:val="000802E2"/>
    <w:rsid w:val="00081061"/>
    <w:rsid w:val="00081ED0"/>
    <w:rsid w:val="00082C3A"/>
    <w:rsid w:val="00083235"/>
    <w:rsid w:val="000851CD"/>
    <w:rsid w:val="00086563"/>
    <w:rsid w:val="0008673B"/>
    <w:rsid w:val="00086789"/>
    <w:rsid w:val="00086F92"/>
    <w:rsid w:val="00094397"/>
    <w:rsid w:val="000956DF"/>
    <w:rsid w:val="00095BC9"/>
    <w:rsid w:val="00095E87"/>
    <w:rsid w:val="0009668D"/>
    <w:rsid w:val="000A0792"/>
    <w:rsid w:val="000A082B"/>
    <w:rsid w:val="000A20D9"/>
    <w:rsid w:val="000A3120"/>
    <w:rsid w:val="000A5203"/>
    <w:rsid w:val="000A5895"/>
    <w:rsid w:val="000B1807"/>
    <w:rsid w:val="000B2587"/>
    <w:rsid w:val="000B3113"/>
    <w:rsid w:val="000B3BBB"/>
    <w:rsid w:val="000B468F"/>
    <w:rsid w:val="000B48D0"/>
    <w:rsid w:val="000B5865"/>
    <w:rsid w:val="000B5F56"/>
    <w:rsid w:val="000B64C2"/>
    <w:rsid w:val="000B6E51"/>
    <w:rsid w:val="000B7633"/>
    <w:rsid w:val="000C05C2"/>
    <w:rsid w:val="000C38D7"/>
    <w:rsid w:val="000C3CC2"/>
    <w:rsid w:val="000C3E8E"/>
    <w:rsid w:val="000C3FD2"/>
    <w:rsid w:val="000C5931"/>
    <w:rsid w:val="000C75AB"/>
    <w:rsid w:val="000C7997"/>
    <w:rsid w:val="000C7C4F"/>
    <w:rsid w:val="000D0491"/>
    <w:rsid w:val="000D1906"/>
    <w:rsid w:val="000D1B02"/>
    <w:rsid w:val="000D4377"/>
    <w:rsid w:val="000D6AAE"/>
    <w:rsid w:val="000D6B51"/>
    <w:rsid w:val="000D7BA6"/>
    <w:rsid w:val="000E03FD"/>
    <w:rsid w:val="000E146B"/>
    <w:rsid w:val="000E30C6"/>
    <w:rsid w:val="000E39C2"/>
    <w:rsid w:val="000E3D15"/>
    <w:rsid w:val="000E7670"/>
    <w:rsid w:val="000F22DE"/>
    <w:rsid w:val="000F395A"/>
    <w:rsid w:val="000F42C7"/>
    <w:rsid w:val="000F4432"/>
    <w:rsid w:val="000F6790"/>
    <w:rsid w:val="000F7D5A"/>
    <w:rsid w:val="00100660"/>
    <w:rsid w:val="001029AB"/>
    <w:rsid w:val="00102BE1"/>
    <w:rsid w:val="001055A1"/>
    <w:rsid w:val="00105661"/>
    <w:rsid w:val="00105DFE"/>
    <w:rsid w:val="00106DFF"/>
    <w:rsid w:val="00110518"/>
    <w:rsid w:val="001109E7"/>
    <w:rsid w:val="00111D56"/>
    <w:rsid w:val="00113395"/>
    <w:rsid w:val="00114790"/>
    <w:rsid w:val="00114B60"/>
    <w:rsid w:val="00114EB1"/>
    <w:rsid w:val="001170C9"/>
    <w:rsid w:val="00120C0E"/>
    <w:rsid w:val="001210C6"/>
    <w:rsid w:val="001216A8"/>
    <w:rsid w:val="00122A3C"/>
    <w:rsid w:val="00124435"/>
    <w:rsid w:val="0012487D"/>
    <w:rsid w:val="00124EB4"/>
    <w:rsid w:val="0012588A"/>
    <w:rsid w:val="00126019"/>
    <w:rsid w:val="001260FD"/>
    <w:rsid w:val="00127C20"/>
    <w:rsid w:val="0013265E"/>
    <w:rsid w:val="00132ECD"/>
    <w:rsid w:val="001350CC"/>
    <w:rsid w:val="0013708E"/>
    <w:rsid w:val="0013746B"/>
    <w:rsid w:val="001375F1"/>
    <w:rsid w:val="0013781F"/>
    <w:rsid w:val="00137C1A"/>
    <w:rsid w:val="00137D2F"/>
    <w:rsid w:val="00140583"/>
    <w:rsid w:val="00140600"/>
    <w:rsid w:val="00141F0B"/>
    <w:rsid w:val="00143927"/>
    <w:rsid w:val="00145AF8"/>
    <w:rsid w:val="00150022"/>
    <w:rsid w:val="00151CC7"/>
    <w:rsid w:val="001534C9"/>
    <w:rsid w:val="00154B43"/>
    <w:rsid w:val="0016025A"/>
    <w:rsid w:val="001624C7"/>
    <w:rsid w:val="001651AA"/>
    <w:rsid w:val="00165714"/>
    <w:rsid w:val="001660F7"/>
    <w:rsid w:val="00166526"/>
    <w:rsid w:val="0017194F"/>
    <w:rsid w:val="00172440"/>
    <w:rsid w:val="0017348C"/>
    <w:rsid w:val="001754D6"/>
    <w:rsid w:val="00176DB6"/>
    <w:rsid w:val="00177A8E"/>
    <w:rsid w:val="00180C2F"/>
    <w:rsid w:val="0018222F"/>
    <w:rsid w:val="00183D21"/>
    <w:rsid w:val="001841F7"/>
    <w:rsid w:val="001847DD"/>
    <w:rsid w:val="00185071"/>
    <w:rsid w:val="00186510"/>
    <w:rsid w:val="00186F5F"/>
    <w:rsid w:val="00191EF5"/>
    <w:rsid w:val="00192699"/>
    <w:rsid w:val="00192A44"/>
    <w:rsid w:val="001977D8"/>
    <w:rsid w:val="001A11CB"/>
    <w:rsid w:val="001A1311"/>
    <w:rsid w:val="001A1741"/>
    <w:rsid w:val="001A3B80"/>
    <w:rsid w:val="001A3BE2"/>
    <w:rsid w:val="001A3FB4"/>
    <w:rsid w:val="001A66F2"/>
    <w:rsid w:val="001A7630"/>
    <w:rsid w:val="001A7A86"/>
    <w:rsid w:val="001B1673"/>
    <w:rsid w:val="001B2CC7"/>
    <w:rsid w:val="001B49EB"/>
    <w:rsid w:val="001B5415"/>
    <w:rsid w:val="001B657E"/>
    <w:rsid w:val="001C0854"/>
    <w:rsid w:val="001C102A"/>
    <w:rsid w:val="001C167D"/>
    <w:rsid w:val="001C2B0E"/>
    <w:rsid w:val="001C3779"/>
    <w:rsid w:val="001C51FC"/>
    <w:rsid w:val="001C57E0"/>
    <w:rsid w:val="001C62BE"/>
    <w:rsid w:val="001D11BB"/>
    <w:rsid w:val="001D4D8E"/>
    <w:rsid w:val="001D6707"/>
    <w:rsid w:val="001D6925"/>
    <w:rsid w:val="001D7526"/>
    <w:rsid w:val="001E073A"/>
    <w:rsid w:val="001E0C94"/>
    <w:rsid w:val="001E0F37"/>
    <w:rsid w:val="001E1AD7"/>
    <w:rsid w:val="001E3214"/>
    <w:rsid w:val="001E488B"/>
    <w:rsid w:val="001E4FD4"/>
    <w:rsid w:val="001E5051"/>
    <w:rsid w:val="001E5AFA"/>
    <w:rsid w:val="001E683C"/>
    <w:rsid w:val="001E6BAC"/>
    <w:rsid w:val="001E76BD"/>
    <w:rsid w:val="001E7F05"/>
    <w:rsid w:val="001F021A"/>
    <w:rsid w:val="001F1037"/>
    <w:rsid w:val="001F16DF"/>
    <w:rsid w:val="001F2167"/>
    <w:rsid w:val="001F4A4D"/>
    <w:rsid w:val="001F54BA"/>
    <w:rsid w:val="002006E7"/>
    <w:rsid w:val="002032DF"/>
    <w:rsid w:val="0020365D"/>
    <w:rsid w:val="00203DD2"/>
    <w:rsid w:val="002040FA"/>
    <w:rsid w:val="00204E57"/>
    <w:rsid w:val="00207F5D"/>
    <w:rsid w:val="00210FDC"/>
    <w:rsid w:val="00211921"/>
    <w:rsid w:val="00211EB9"/>
    <w:rsid w:val="00211F8F"/>
    <w:rsid w:val="0021217F"/>
    <w:rsid w:val="00213102"/>
    <w:rsid w:val="00213180"/>
    <w:rsid w:val="00213555"/>
    <w:rsid w:val="00213877"/>
    <w:rsid w:val="00214274"/>
    <w:rsid w:val="00217069"/>
    <w:rsid w:val="00220626"/>
    <w:rsid w:val="00220FA4"/>
    <w:rsid w:val="00221881"/>
    <w:rsid w:val="00226174"/>
    <w:rsid w:val="00226695"/>
    <w:rsid w:val="00227478"/>
    <w:rsid w:val="002274D1"/>
    <w:rsid w:val="002300B4"/>
    <w:rsid w:val="002305C1"/>
    <w:rsid w:val="00230793"/>
    <w:rsid w:val="002313D7"/>
    <w:rsid w:val="0023203E"/>
    <w:rsid w:val="00234F6F"/>
    <w:rsid w:val="002356D3"/>
    <w:rsid w:val="00235BA2"/>
    <w:rsid w:val="00235F4A"/>
    <w:rsid w:val="002360D2"/>
    <w:rsid w:val="0023645C"/>
    <w:rsid w:val="0023724C"/>
    <w:rsid w:val="00237D99"/>
    <w:rsid w:val="002412B4"/>
    <w:rsid w:val="002415B9"/>
    <w:rsid w:val="0024194D"/>
    <w:rsid w:val="0024234E"/>
    <w:rsid w:val="00242746"/>
    <w:rsid w:val="0024315E"/>
    <w:rsid w:val="00243652"/>
    <w:rsid w:val="002441E6"/>
    <w:rsid w:val="00244B6C"/>
    <w:rsid w:val="00246D3F"/>
    <w:rsid w:val="00250635"/>
    <w:rsid w:val="00253BB7"/>
    <w:rsid w:val="00255843"/>
    <w:rsid w:val="00255C96"/>
    <w:rsid w:val="00256708"/>
    <w:rsid w:val="00257C2D"/>
    <w:rsid w:val="002615CC"/>
    <w:rsid w:val="00261874"/>
    <w:rsid w:val="002632B7"/>
    <w:rsid w:val="00263E73"/>
    <w:rsid w:val="00264095"/>
    <w:rsid w:val="00265688"/>
    <w:rsid w:val="002658D1"/>
    <w:rsid w:val="002674CA"/>
    <w:rsid w:val="002708A5"/>
    <w:rsid w:val="00271EAB"/>
    <w:rsid w:val="00272CB2"/>
    <w:rsid w:val="00275057"/>
    <w:rsid w:val="00275830"/>
    <w:rsid w:val="00281ADB"/>
    <w:rsid w:val="00286EE4"/>
    <w:rsid w:val="002907D9"/>
    <w:rsid w:val="0029096B"/>
    <w:rsid w:val="0029110B"/>
    <w:rsid w:val="002924D5"/>
    <w:rsid w:val="00292B87"/>
    <w:rsid w:val="00293C8C"/>
    <w:rsid w:val="0029417E"/>
    <w:rsid w:val="002941D8"/>
    <w:rsid w:val="0029447A"/>
    <w:rsid w:val="00294B1E"/>
    <w:rsid w:val="0029533F"/>
    <w:rsid w:val="002966C1"/>
    <w:rsid w:val="002A2CDC"/>
    <w:rsid w:val="002A3805"/>
    <w:rsid w:val="002A3CCC"/>
    <w:rsid w:val="002A3D11"/>
    <w:rsid w:val="002A5D2E"/>
    <w:rsid w:val="002B1513"/>
    <w:rsid w:val="002B25DD"/>
    <w:rsid w:val="002B2ECE"/>
    <w:rsid w:val="002B5A4C"/>
    <w:rsid w:val="002B6A75"/>
    <w:rsid w:val="002C3A38"/>
    <w:rsid w:val="002C6710"/>
    <w:rsid w:val="002D1A39"/>
    <w:rsid w:val="002D1B3B"/>
    <w:rsid w:val="002D1FC8"/>
    <w:rsid w:val="002D2471"/>
    <w:rsid w:val="002D2795"/>
    <w:rsid w:val="002D2C70"/>
    <w:rsid w:val="002D2CE5"/>
    <w:rsid w:val="002D2CF7"/>
    <w:rsid w:val="002D5968"/>
    <w:rsid w:val="002D6158"/>
    <w:rsid w:val="002D6A05"/>
    <w:rsid w:val="002D6CB3"/>
    <w:rsid w:val="002E276F"/>
    <w:rsid w:val="002E2A1C"/>
    <w:rsid w:val="002E5734"/>
    <w:rsid w:val="002E66FB"/>
    <w:rsid w:val="002E7E1C"/>
    <w:rsid w:val="002F0F9E"/>
    <w:rsid w:val="002F13D3"/>
    <w:rsid w:val="002F13F2"/>
    <w:rsid w:val="002F13FD"/>
    <w:rsid w:val="002F1474"/>
    <w:rsid w:val="002F297B"/>
    <w:rsid w:val="002F2A9A"/>
    <w:rsid w:val="002F538B"/>
    <w:rsid w:val="002F583E"/>
    <w:rsid w:val="002F70C7"/>
    <w:rsid w:val="0030039D"/>
    <w:rsid w:val="00301552"/>
    <w:rsid w:val="0030397A"/>
    <w:rsid w:val="00303BCF"/>
    <w:rsid w:val="003075A0"/>
    <w:rsid w:val="003077DF"/>
    <w:rsid w:val="00307AFD"/>
    <w:rsid w:val="003130E3"/>
    <w:rsid w:val="00314FB8"/>
    <w:rsid w:val="003152E7"/>
    <w:rsid w:val="003163E9"/>
    <w:rsid w:val="00320E70"/>
    <w:rsid w:val="00321ED5"/>
    <w:rsid w:val="003226C6"/>
    <w:rsid w:val="00323D74"/>
    <w:rsid w:val="00330A5F"/>
    <w:rsid w:val="00331C32"/>
    <w:rsid w:val="003347A4"/>
    <w:rsid w:val="00337197"/>
    <w:rsid w:val="0034057C"/>
    <w:rsid w:val="00341CC3"/>
    <w:rsid w:val="003424A1"/>
    <w:rsid w:val="00345F5F"/>
    <w:rsid w:val="00346ECE"/>
    <w:rsid w:val="00347AD6"/>
    <w:rsid w:val="00352C44"/>
    <w:rsid w:val="00353062"/>
    <w:rsid w:val="0035479E"/>
    <w:rsid w:val="00354ACC"/>
    <w:rsid w:val="00355EAE"/>
    <w:rsid w:val="0035701A"/>
    <w:rsid w:val="003617B9"/>
    <w:rsid w:val="00364855"/>
    <w:rsid w:val="00364A22"/>
    <w:rsid w:val="00364DFC"/>
    <w:rsid w:val="00365186"/>
    <w:rsid w:val="00365E50"/>
    <w:rsid w:val="00370722"/>
    <w:rsid w:val="00372730"/>
    <w:rsid w:val="00373568"/>
    <w:rsid w:val="00374E37"/>
    <w:rsid w:val="00374FE9"/>
    <w:rsid w:val="003762C5"/>
    <w:rsid w:val="00376FBE"/>
    <w:rsid w:val="0037779A"/>
    <w:rsid w:val="0038193A"/>
    <w:rsid w:val="00382EB8"/>
    <w:rsid w:val="0038371E"/>
    <w:rsid w:val="00383EF6"/>
    <w:rsid w:val="0038514A"/>
    <w:rsid w:val="0038592A"/>
    <w:rsid w:val="0038610D"/>
    <w:rsid w:val="00387518"/>
    <w:rsid w:val="003911CE"/>
    <w:rsid w:val="0039133F"/>
    <w:rsid w:val="00393069"/>
    <w:rsid w:val="0039478B"/>
    <w:rsid w:val="00396E3C"/>
    <w:rsid w:val="00397B54"/>
    <w:rsid w:val="00397BB2"/>
    <w:rsid w:val="003A0349"/>
    <w:rsid w:val="003A113C"/>
    <w:rsid w:val="003A1381"/>
    <w:rsid w:val="003A165C"/>
    <w:rsid w:val="003A19B3"/>
    <w:rsid w:val="003A1FB8"/>
    <w:rsid w:val="003A2E95"/>
    <w:rsid w:val="003A356C"/>
    <w:rsid w:val="003A379D"/>
    <w:rsid w:val="003A3C7F"/>
    <w:rsid w:val="003A49A5"/>
    <w:rsid w:val="003A55E1"/>
    <w:rsid w:val="003A5689"/>
    <w:rsid w:val="003A5837"/>
    <w:rsid w:val="003A5EA2"/>
    <w:rsid w:val="003A68A5"/>
    <w:rsid w:val="003A6950"/>
    <w:rsid w:val="003A6979"/>
    <w:rsid w:val="003A6C7E"/>
    <w:rsid w:val="003B1289"/>
    <w:rsid w:val="003B1B3A"/>
    <w:rsid w:val="003B2642"/>
    <w:rsid w:val="003B4435"/>
    <w:rsid w:val="003B49A2"/>
    <w:rsid w:val="003B4AF6"/>
    <w:rsid w:val="003B59F6"/>
    <w:rsid w:val="003B745A"/>
    <w:rsid w:val="003C00A8"/>
    <w:rsid w:val="003C0532"/>
    <w:rsid w:val="003C0BF1"/>
    <w:rsid w:val="003C1D59"/>
    <w:rsid w:val="003C2545"/>
    <w:rsid w:val="003C4744"/>
    <w:rsid w:val="003C4EBF"/>
    <w:rsid w:val="003C63D7"/>
    <w:rsid w:val="003C752A"/>
    <w:rsid w:val="003C7DF2"/>
    <w:rsid w:val="003D004C"/>
    <w:rsid w:val="003D04FE"/>
    <w:rsid w:val="003D0710"/>
    <w:rsid w:val="003D19A4"/>
    <w:rsid w:val="003D1A0B"/>
    <w:rsid w:val="003D3E73"/>
    <w:rsid w:val="003D4086"/>
    <w:rsid w:val="003D4F56"/>
    <w:rsid w:val="003D51F0"/>
    <w:rsid w:val="003E0AE3"/>
    <w:rsid w:val="003E0CEF"/>
    <w:rsid w:val="003E24E1"/>
    <w:rsid w:val="003E4181"/>
    <w:rsid w:val="003E56B1"/>
    <w:rsid w:val="003E62F4"/>
    <w:rsid w:val="003E63CA"/>
    <w:rsid w:val="003F2204"/>
    <w:rsid w:val="003F33BA"/>
    <w:rsid w:val="003F5C0C"/>
    <w:rsid w:val="003F5FC1"/>
    <w:rsid w:val="003F6478"/>
    <w:rsid w:val="003F7C66"/>
    <w:rsid w:val="00400711"/>
    <w:rsid w:val="0040080E"/>
    <w:rsid w:val="0040549F"/>
    <w:rsid w:val="00407BC0"/>
    <w:rsid w:val="0041026E"/>
    <w:rsid w:val="0041274C"/>
    <w:rsid w:val="0041293D"/>
    <w:rsid w:val="00412EE9"/>
    <w:rsid w:val="00413536"/>
    <w:rsid w:val="0041390C"/>
    <w:rsid w:val="004148F7"/>
    <w:rsid w:val="00414C20"/>
    <w:rsid w:val="00417353"/>
    <w:rsid w:val="00420678"/>
    <w:rsid w:val="0042151B"/>
    <w:rsid w:val="004218FB"/>
    <w:rsid w:val="00422996"/>
    <w:rsid w:val="00423687"/>
    <w:rsid w:val="0042521D"/>
    <w:rsid w:val="0042564C"/>
    <w:rsid w:val="00427079"/>
    <w:rsid w:val="00427D36"/>
    <w:rsid w:val="00427FA7"/>
    <w:rsid w:val="00431C51"/>
    <w:rsid w:val="004333EF"/>
    <w:rsid w:val="004334D7"/>
    <w:rsid w:val="00435E85"/>
    <w:rsid w:val="00435ED8"/>
    <w:rsid w:val="00437274"/>
    <w:rsid w:val="004379A9"/>
    <w:rsid w:val="00437DCC"/>
    <w:rsid w:val="00441756"/>
    <w:rsid w:val="00442874"/>
    <w:rsid w:val="0044467D"/>
    <w:rsid w:val="00444B39"/>
    <w:rsid w:val="00445D04"/>
    <w:rsid w:val="00450B70"/>
    <w:rsid w:val="00450F01"/>
    <w:rsid w:val="00454A30"/>
    <w:rsid w:val="00454BF2"/>
    <w:rsid w:val="00455334"/>
    <w:rsid w:val="00460166"/>
    <w:rsid w:val="00461E7B"/>
    <w:rsid w:val="0046248A"/>
    <w:rsid w:val="00463DEB"/>
    <w:rsid w:val="00465488"/>
    <w:rsid w:val="004655B4"/>
    <w:rsid w:val="00465A41"/>
    <w:rsid w:val="00466DA0"/>
    <w:rsid w:val="00467800"/>
    <w:rsid w:val="00467EE2"/>
    <w:rsid w:val="0047129D"/>
    <w:rsid w:val="004728E1"/>
    <w:rsid w:val="00474CC2"/>
    <w:rsid w:val="00474E79"/>
    <w:rsid w:val="00475561"/>
    <w:rsid w:val="00477BC7"/>
    <w:rsid w:val="00480526"/>
    <w:rsid w:val="004826EA"/>
    <w:rsid w:val="004832D7"/>
    <w:rsid w:val="00487350"/>
    <w:rsid w:val="00487A59"/>
    <w:rsid w:val="00491180"/>
    <w:rsid w:val="00491B76"/>
    <w:rsid w:val="00493120"/>
    <w:rsid w:val="004938E2"/>
    <w:rsid w:val="0049476B"/>
    <w:rsid w:val="00494936"/>
    <w:rsid w:val="00495023"/>
    <w:rsid w:val="00495400"/>
    <w:rsid w:val="004955AA"/>
    <w:rsid w:val="00495FC4"/>
    <w:rsid w:val="00495FE1"/>
    <w:rsid w:val="00496F2A"/>
    <w:rsid w:val="00496FB9"/>
    <w:rsid w:val="00497E93"/>
    <w:rsid w:val="004A0B2E"/>
    <w:rsid w:val="004A0BD4"/>
    <w:rsid w:val="004A133B"/>
    <w:rsid w:val="004A2D5E"/>
    <w:rsid w:val="004A401A"/>
    <w:rsid w:val="004A7112"/>
    <w:rsid w:val="004B1CDC"/>
    <w:rsid w:val="004B20B9"/>
    <w:rsid w:val="004B2475"/>
    <w:rsid w:val="004B2C39"/>
    <w:rsid w:val="004B3280"/>
    <w:rsid w:val="004B37E7"/>
    <w:rsid w:val="004B3B60"/>
    <w:rsid w:val="004B3BEE"/>
    <w:rsid w:val="004B55A9"/>
    <w:rsid w:val="004B6236"/>
    <w:rsid w:val="004B6BF1"/>
    <w:rsid w:val="004B6E72"/>
    <w:rsid w:val="004C01AF"/>
    <w:rsid w:val="004C033E"/>
    <w:rsid w:val="004C349F"/>
    <w:rsid w:val="004C392A"/>
    <w:rsid w:val="004C546A"/>
    <w:rsid w:val="004C743C"/>
    <w:rsid w:val="004C7AAE"/>
    <w:rsid w:val="004C7C76"/>
    <w:rsid w:val="004D19CC"/>
    <w:rsid w:val="004D1D64"/>
    <w:rsid w:val="004D2068"/>
    <w:rsid w:val="004D279D"/>
    <w:rsid w:val="004D3DBB"/>
    <w:rsid w:val="004D4D79"/>
    <w:rsid w:val="004D582D"/>
    <w:rsid w:val="004D6623"/>
    <w:rsid w:val="004D67A6"/>
    <w:rsid w:val="004D6FF9"/>
    <w:rsid w:val="004D7B6A"/>
    <w:rsid w:val="004E0C37"/>
    <w:rsid w:val="004E0FBE"/>
    <w:rsid w:val="004E215F"/>
    <w:rsid w:val="004E3648"/>
    <w:rsid w:val="004E3C04"/>
    <w:rsid w:val="004E4EBB"/>
    <w:rsid w:val="004E54D5"/>
    <w:rsid w:val="004E5516"/>
    <w:rsid w:val="004E7FF2"/>
    <w:rsid w:val="004F1DC6"/>
    <w:rsid w:val="004F2601"/>
    <w:rsid w:val="004F42AE"/>
    <w:rsid w:val="004F46D6"/>
    <w:rsid w:val="004F6109"/>
    <w:rsid w:val="004F6441"/>
    <w:rsid w:val="004F653E"/>
    <w:rsid w:val="004F74A7"/>
    <w:rsid w:val="00501FC5"/>
    <w:rsid w:val="005025EB"/>
    <w:rsid w:val="00510D43"/>
    <w:rsid w:val="00511203"/>
    <w:rsid w:val="0051194C"/>
    <w:rsid w:val="00513AAA"/>
    <w:rsid w:val="0051426D"/>
    <w:rsid w:val="0051472C"/>
    <w:rsid w:val="005147C6"/>
    <w:rsid w:val="00514B8B"/>
    <w:rsid w:val="005155DD"/>
    <w:rsid w:val="00515E8A"/>
    <w:rsid w:val="00516B53"/>
    <w:rsid w:val="005174E1"/>
    <w:rsid w:val="00517EFC"/>
    <w:rsid w:val="00520084"/>
    <w:rsid w:val="00520674"/>
    <w:rsid w:val="00520AE9"/>
    <w:rsid w:val="0052159B"/>
    <w:rsid w:val="0052165B"/>
    <w:rsid w:val="005219A8"/>
    <w:rsid w:val="00522F9B"/>
    <w:rsid w:val="0052370B"/>
    <w:rsid w:val="00523716"/>
    <w:rsid w:val="005237EF"/>
    <w:rsid w:val="00524AEF"/>
    <w:rsid w:val="00530764"/>
    <w:rsid w:val="0053148F"/>
    <w:rsid w:val="00531EE9"/>
    <w:rsid w:val="00532964"/>
    <w:rsid w:val="00533C20"/>
    <w:rsid w:val="00535C7E"/>
    <w:rsid w:val="0053798B"/>
    <w:rsid w:val="00537CAA"/>
    <w:rsid w:val="00541003"/>
    <w:rsid w:val="005429A7"/>
    <w:rsid w:val="00542D55"/>
    <w:rsid w:val="00542E5C"/>
    <w:rsid w:val="00543B48"/>
    <w:rsid w:val="0054476A"/>
    <w:rsid w:val="00546C92"/>
    <w:rsid w:val="0055009A"/>
    <w:rsid w:val="00550787"/>
    <w:rsid w:val="00552244"/>
    <w:rsid w:val="00552393"/>
    <w:rsid w:val="00553B22"/>
    <w:rsid w:val="00555021"/>
    <w:rsid w:val="00555EC2"/>
    <w:rsid w:val="00556412"/>
    <w:rsid w:val="00556E42"/>
    <w:rsid w:val="005578F9"/>
    <w:rsid w:val="00561193"/>
    <w:rsid w:val="00565018"/>
    <w:rsid w:val="00567799"/>
    <w:rsid w:val="00570DCF"/>
    <w:rsid w:val="0057236D"/>
    <w:rsid w:val="005729BF"/>
    <w:rsid w:val="00572DE6"/>
    <w:rsid w:val="005734CF"/>
    <w:rsid w:val="005759FF"/>
    <w:rsid w:val="0057782B"/>
    <w:rsid w:val="00580EAF"/>
    <w:rsid w:val="00584490"/>
    <w:rsid w:val="005868A9"/>
    <w:rsid w:val="00587DA9"/>
    <w:rsid w:val="00590AAD"/>
    <w:rsid w:val="00591444"/>
    <w:rsid w:val="00592DAA"/>
    <w:rsid w:val="00593154"/>
    <w:rsid w:val="005935BF"/>
    <w:rsid w:val="005945E7"/>
    <w:rsid w:val="005949E8"/>
    <w:rsid w:val="005952B5"/>
    <w:rsid w:val="00595EF8"/>
    <w:rsid w:val="005A12DE"/>
    <w:rsid w:val="005A1668"/>
    <w:rsid w:val="005A1C0A"/>
    <w:rsid w:val="005A34CD"/>
    <w:rsid w:val="005A3D5D"/>
    <w:rsid w:val="005A48E7"/>
    <w:rsid w:val="005A5120"/>
    <w:rsid w:val="005A61A2"/>
    <w:rsid w:val="005A6E16"/>
    <w:rsid w:val="005B3ED4"/>
    <w:rsid w:val="005B5AEA"/>
    <w:rsid w:val="005B6C70"/>
    <w:rsid w:val="005B6FAE"/>
    <w:rsid w:val="005B754F"/>
    <w:rsid w:val="005B7C47"/>
    <w:rsid w:val="005C02AC"/>
    <w:rsid w:val="005C2778"/>
    <w:rsid w:val="005C35F3"/>
    <w:rsid w:val="005C40CE"/>
    <w:rsid w:val="005C48C5"/>
    <w:rsid w:val="005C48EC"/>
    <w:rsid w:val="005C51E2"/>
    <w:rsid w:val="005C7193"/>
    <w:rsid w:val="005D056A"/>
    <w:rsid w:val="005D1007"/>
    <w:rsid w:val="005D2C60"/>
    <w:rsid w:val="005D4960"/>
    <w:rsid w:val="005D4A5B"/>
    <w:rsid w:val="005D4F21"/>
    <w:rsid w:val="005D557E"/>
    <w:rsid w:val="005D585C"/>
    <w:rsid w:val="005D6AFB"/>
    <w:rsid w:val="005D6FC8"/>
    <w:rsid w:val="005E13E7"/>
    <w:rsid w:val="005E1709"/>
    <w:rsid w:val="005E1FE7"/>
    <w:rsid w:val="005E39C2"/>
    <w:rsid w:val="005E5ABA"/>
    <w:rsid w:val="005E6318"/>
    <w:rsid w:val="005E69D2"/>
    <w:rsid w:val="005E7FF4"/>
    <w:rsid w:val="005F25A5"/>
    <w:rsid w:val="005F3528"/>
    <w:rsid w:val="005F4E75"/>
    <w:rsid w:val="005F53A4"/>
    <w:rsid w:val="005F60D3"/>
    <w:rsid w:val="005F67F0"/>
    <w:rsid w:val="006002BB"/>
    <w:rsid w:val="00600E3B"/>
    <w:rsid w:val="006016C0"/>
    <w:rsid w:val="0060284B"/>
    <w:rsid w:val="00603786"/>
    <w:rsid w:val="00603AD1"/>
    <w:rsid w:val="00611B7D"/>
    <w:rsid w:val="00613353"/>
    <w:rsid w:val="006137B4"/>
    <w:rsid w:val="0061382E"/>
    <w:rsid w:val="006157B1"/>
    <w:rsid w:val="006162AC"/>
    <w:rsid w:val="00616F02"/>
    <w:rsid w:val="00621504"/>
    <w:rsid w:val="0062269C"/>
    <w:rsid w:val="00622A77"/>
    <w:rsid w:val="006237B7"/>
    <w:rsid w:val="00624A6F"/>
    <w:rsid w:val="0062563A"/>
    <w:rsid w:val="00625723"/>
    <w:rsid w:val="00625DD6"/>
    <w:rsid w:val="0062651D"/>
    <w:rsid w:val="006267B4"/>
    <w:rsid w:val="006273EE"/>
    <w:rsid w:val="00631E02"/>
    <w:rsid w:val="00632C26"/>
    <w:rsid w:val="006342A9"/>
    <w:rsid w:val="00635E73"/>
    <w:rsid w:val="006360AE"/>
    <w:rsid w:val="00636A9F"/>
    <w:rsid w:val="00641F13"/>
    <w:rsid w:val="0064489B"/>
    <w:rsid w:val="00644E80"/>
    <w:rsid w:val="00645623"/>
    <w:rsid w:val="00646359"/>
    <w:rsid w:val="006466A3"/>
    <w:rsid w:val="006500D9"/>
    <w:rsid w:val="00652CCE"/>
    <w:rsid w:val="00652F29"/>
    <w:rsid w:val="00654BC3"/>
    <w:rsid w:val="00655FE5"/>
    <w:rsid w:val="0065695B"/>
    <w:rsid w:val="00660203"/>
    <w:rsid w:val="0066054E"/>
    <w:rsid w:val="00660766"/>
    <w:rsid w:val="006609DA"/>
    <w:rsid w:val="00660B4C"/>
    <w:rsid w:val="006623BB"/>
    <w:rsid w:val="00663340"/>
    <w:rsid w:val="00663F0D"/>
    <w:rsid w:val="006651E4"/>
    <w:rsid w:val="00665941"/>
    <w:rsid w:val="0066679B"/>
    <w:rsid w:val="00667766"/>
    <w:rsid w:val="00667D25"/>
    <w:rsid w:val="00670B4B"/>
    <w:rsid w:val="00671329"/>
    <w:rsid w:val="006745F0"/>
    <w:rsid w:val="00675868"/>
    <w:rsid w:val="00675B62"/>
    <w:rsid w:val="00676433"/>
    <w:rsid w:val="0067766A"/>
    <w:rsid w:val="0067773A"/>
    <w:rsid w:val="0068083D"/>
    <w:rsid w:val="006811AB"/>
    <w:rsid w:val="006827C6"/>
    <w:rsid w:val="00685188"/>
    <w:rsid w:val="00686AE5"/>
    <w:rsid w:val="006871BD"/>
    <w:rsid w:val="006928D4"/>
    <w:rsid w:val="00693313"/>
    <w:rsid w:val="0069436E"/>
    <w:rsid w:val="00694689"/>
    <w:rsid w:val="00694B18"/>
    <w:rsid w:val="00696800"/>
    <w:rsid w:val="006A0355"/>
    <w:rsid w:val="006A189A"/>
    <w:rsid w:val="006A4CE8"/>
    <w:rsid w:val="006A5445"/>
    <w:rsid w:val="006A5467"/>
    <w:rsid w:val="006A5FDC"/>
    <w:rsid w:val="006A61D6"/>
    <w:rsid w:val="006B0F8E"/>
    <w:rsid w:val="006B37D8"/>
    <w:rsid w:val="006B5066"/>
    <w:rsid w:val="006B7B94"/>
    <w:rsid w:val="006B7F92"/>
    <w:rsid w:val="006C01CE"/>
    <w:rsid w:val="006C08DC"/>
    <w:rsid w:val="006C6867"/>
    <w:rsid w:val="006D1832"/>
    <w:rsid w:val="006D1AFF"/>
    <w:rsid w:val="006D205A"/>
    <w:rsid w:val="006D3C08"/>
    <w:rsid w:val="006D6ABC"/>
    <w:rsid w:val="006D726F"/>
    <w:rsid w:val="006D7C85"/>
    <w:rsid w:val="006E102E"/>
    <w:rsid w:val="006E12AB"/>
    <w:rsid w:val="006E12E4"/>
    <w:rsid w:val="006E407B"/>
    <w:rsid w:val="006E4659"/>
    <w:rsid w:val="006E4878"/>
    <w:rsid w:val="006E5FA6"/>
    <w:rsid w:val="006E7C75"/>
    <w:rsid w:val="006F341C"/>
    <w:rsid w:val="006F460E"/>
    <w:rsid w:val="006F6061"/>
    <w:rsid w:val="006F7D60"/>
    <w:rsid w:val="00704591"/>
    <w:rsid w:val="00704CD0"/>
    <w:rsid w:val="00706E1D"/>
    <w:rsid w:val="007079B2"/>
    <w:rsid w:val="007100C3"/>
    <w:rsid w:val="00710B97"/>
    <w:rsid w:val="00712554"/>
    <w:rsid w:val="007127BE"/>
    <w:rsid w:val="00713DA1"/>
    <w:rsid w:val="00715241"/>
    <w:rsid w:val="007155EE"/>
    <w:rsid w:val="00722C38"/>
    <w:rsid w:val="007264EA"/>
    <w:rsid w:val="007266E0"/>
    <w:rsid w:val="00727342"/>
    <w:rsid w:val="00730EF9"/>
    <w:rsid w:val="00732417"/>
    <w:rsid w:val="007325EC"/>
    <w:rsid w:val="00732C33"/>
    <w:rsid w:val="00732DED"/>
    <w:rsid w:val="00733A1B"/>
    <w:rsid w:val="00733BB4"/>
    <w:rsid w:val="00733E94"/>
    <w:rsid w:val="0073434D"/>
    <w:rsid w:val="007363E5"/>
    <w:rsid w:val="007367A9"/>
    <w:rsid w:val="00737275"/>
    <w:rsid w:val="0074214A"/>
    <w:rsid w:val="00743330"/>
    <w:rsid w:val="007437BC"/>
    <w:rsid w:val="00743A56"/>
    <w:rsid w:val="00746FB4"/>
    <w:rsid w:val="00751135"/>
    <w:rsid w:val="007553AB"/>
    <w:rsid w:val="0075739C"/>
    <w:rsid w:val="007611E7"/>
    <w:rsid w:val="00763A73"/>
    <w:rsid w:val="00765AB3"/>
    <w:rsid w:val="007672DD"/>
    <w:rsid w:val="007700A4"/>
    <w:rsid w:val="00770A84"/>
    <w:rsid w:val="00770C7A"/>
    <w:rsid w:val="00772CD4"/>
    <w:rsid w:val="007734B7"/>
    <w:rsid w:val="00773559"/>
    <w:rsid w:val="00777E82"/>
    <w:rsid w:val="00780702"/>
    <w:rsid w:val="00781137"/>
    <w:rsid w:val="007823E4"/>
    <w:rsid w:val="00783229"/>
    <w:rsid w:val="0078437B"/>
    <w:rsid w:val="00784469"/>
    <w:rsid w:val="00790C21"/>
    <w:rsid w:val="007925E4"/>
    <w:rsid w:val="0079376A"/>
    <w:rsid w:val="00793985"/>
    <w:rsid w:val="00794202"/>
    <w:rsid w:val="007951AD"/>
    <w:rsid w:val="00796669"/>
    <w:rsid w:val="007974F0"/>
    <w:rsid w:val="007A029F"/>
    <w:rsid w:val="007A1EF1"/>
    <w:rsid w:val="007A4EE9"/>
    <w:rsid w:val="007A5089"/>
    <w:rsid w:val="007A5A1A"/>
    <w:rsid w:val="007A62C3"/>
    <w:rsid w:val="007A68EE"/>
    <w:rsid w:val="007A6E64"/>
    <w:rsid w:val="007B082A"/>
    <w:rsid w:val="007B4EA8"/>
    <w:rsid w:val="007B6C97"/>
    <w:rsid w:val="007B745A"/>
    <w:rsid w:val="007B7C97"/>
    <w:rsid w:val="007C1249"/>
    <w:rsid w:val="007C227E"/>
    <w:rsid w:val="007C236B"/>
    <w:rsid w:val="007C33C6"/>
    <w:rsid w:val="007C3409"/>
    <w:rsid w:val="007C413D"/>
    <w:rsid w:val="007C58B2"/>
    <w:rsid w:val="007C7BFF"/>
    <w:rsid w:val="007D0A98"/>
    <w:rsid w:val="007D1178"/>
    <w:rsid w:val="007D4372"/>
    <w:rsid w:val="007D4464"/>
    <w:rsid w:val="007D45C3"/>
    <w:rsid w:val="007D59D1"/>
    <w:rsid w:val="007D63F2"/>
    <w:rsid w:val="007E1F4D"/>
    <w:rsid w:val="007E26FA"/>
    <w:rsid w:val="007F0829"/>
    <w:rsid w:val="007F1786"/>
    <w:rsid w:val="007F4A32"/>
    <w:rsid w:val="007F6CE9"/>
    <w:rsid w:val="00800C31"/>
    <w:rsid w:val="00801401"/>
    <w:rsid w:val="0080155B"/>
    <w:rsid w:val="0080327C"/>
    <w:rsid w:val="00803BCE"/>
    <w:rsid w:val="00804909"/>
    <w:rsid w:val="008061D6"/>
    <w:rsid w:val="008074A1"/>
    <w:rsid w:val="00807A61"/>
    <w:rsid w:val="00807B35"/>
    <w:rsid w:val="0081062C"/>
    <w:rsid w:val="00810989"/>
    <w:rsid w:val="0081235F"/>
    <w:rsid w:val="00813632"/>
    <w:rsid w:val="0081415A"/>
    <w:rsid w:val="00814372"/>
    <w:rsid w:val="0081439B"/>
    <w:rsid w:val="008148A0"/>
    <w:rsid w:val="00814CBC"/>
    <w:rsid w:val="00815828"/>
    <w:rsid w:val="008159C2"/>
    <w:rsid w:val="00815B19"/>
    <w:rsid w:val="00815F4C"/>
    <w:rsid w:val="008212E1"/>
    <w:rsid w:val="00822277"/>
    <w:rsid w:val="008239D3"/>
    <w:rsid w:val="0082521E"/>
    <w:rsid w:val="0082678D"/>
    <w:rsid w:val="00830622"/>
    <w:rsid w:val="00830A46"/>
    <w:rsid w:val="008344DF"/>
    <w:rsid w:val="00834556"/>
    <w:rsid w:val="00835951"/>
    <w:rsid w:val="00837F6C"/>
    <w:rsid w:val="00840FD8"/>
    <w:rsid w:val="0084106C"/>
    <w:rsid w:val="00841F72"/>
    <w:rsid w:val="008420F1"/>
    <w:rsid w:val="00843C5C"/>
    <w:rsid w:val="00845A79"/>
    <w:rsid w:val="00846B89"/>
    <w:rsid w:val="0084780B"/>
    <w:rsid w:val="00851FB6"/>
    <w:rsid w:val="00855372"/>
    <w:rsid w:val="0085593C"/>
    <w:rsid w:val="008577E0"/>
    <w:rsid w:val="008618C6"/>
    <w:rsid w:val="00862754"/>
    <w:rsid w:val="00862AA6"/>
    <w:rsid w:val="00863524"/>
    <w:rsid w:val="00864F2F"/>
    <w:rsid w:val="00865A26"/>
    <w:rsid w:val="0086617B"/>
    <w:rsid w:val="00866ABB"/>
    <w:rsid w:val="008673CF"/>
    <w:rsid w:val="00867829"/>
    <w:rsid w:val="0087390C"/>
    <w:rsid w:val="00874034"/>
    <w:rsid w:val="008746BE"/>
    <w:rsid w:val="008749D3"/>
    <w:rsid w:val="00875099"/>
    <w:rsid w:val="00875527"/>
    <w:rsid w:val="00875B5C"/>
    <w:rsid w:val="008769A4"/>
    <w:rsid w:val="00876A85"/>
    <w:rsid w:val="00880353"/>
    <w:rsid w:val="00882221"/>
    <w:rsid w:val="008831FD"/>
    <w:rsid w:val="00883F97"/>
    <w:rsid w:val="008843CA"/>
    <w:rsid w:val="00884846"/>
    <w:rsid w:val="008876B6"/>
    <w:rsid w:val="00887A1D"/>
    <w:rsid w:val="008913F3"/>
    <w:rsid w:val="00891624"/>
    <w:rsid w:val="00894E4F"/>
    <w:rsid w:val="00896D71"/>
    <w:rsid w:val="008A1BCD"/>
    <w:rsid w:val="008A34AD"/>
    <w:rsid w:val="008B0445"/>
    <w:rsid w:val="008B0737"/>
    <w:rsid w:val="008B11A2"/>
    <w:rsid w:val="008B61C1"/>
    <w:rsid w:val="008B727F"/>
    <w:rsid w:val="008B757C"/>
    <w:rsid w:val="008C0115"/>
    <w:rsid w:val="008C01C4"/>
    <w:rsid w:val="008C10A8"/>
    <w:rsid w:val="008C1766"/>
    <w:rsid w:val="008C2FF0"/>
    <w:rsid w:val="008C6295"/>
    <w:rsid w:val="008C64EC"/>
    <w:rsid w:val="008C66DE"/>
    <w:rsid w:val="008C69E1"/>
    <w:rsid w:val="008D029D"/>
    <w:rsid w:val="008D0C6F"/>
    <w:rsid w:val="008D3934"/>
    <w:rsid w:val="008D61BF"/>
    <w:rsid w:val="008D6264"/>
    <w:rsid w:val="008D6538"/>
    <w:rsid w:val="008D7434"/>
    <w:rsid w:val="008D781B"/>
    <w:rsid w:val="008E098E"/>
    <w:rsid w:val="008E13A5"/>
    <w:rsid w:val="008E14D9"/>
    <w:rsid w:val="008E1DF1"/>
    <w:rsid w:val="008E2A2D"/>
    <w:rsid w:val="008E494D"/>
    <w:rsid w:val="008E4F3D"/>
    <w:rsid w:val="008E52F7"/>
    <w:rsid w:val="008E643A"/>
    <w:rsid w:val="008E64B5"/>
    <w:rsid w:val="008E71F9"/>
    <w:rsid w:val="008E785D"/>
    <w:rsid w:val="008F03A6"/>
    <w:rsid w:val="008F0929"/>
    <w:rsid w:val="008F3438"/>
    <w:rsid w:val="008F5FBD"/>
    <w:rsid w:val="008F5FEC"/>
    <w:rsid w:val="008F715D"/>
    <w:rsid w:val="008F7628"/>
    <w:rsid w:val="008F7D6A"/>
    <w:rsid w:val="009008DF"/>
    <w:rsid w:val="00900BFF"/>
    <w:rsid w:val="00900ED2"/>
    <w:rsid w:val="00901085"/>
    <w:rsid w:val="0090137E"/>
    <w:rsid w:val="00901B7D"/>
    <w:rsid w:val="00906E66"/>
    <w:rsid w:val="00914260"/>
    <w:rsid w:val="00914B84"/>
    <w:rsid w:val="00915062"/>
    <w:rsid w:val="0091552D"/>
    <w:rsid w:val="0091697B"/>
    <w:rsid w:val="009169E9"/>
    <w:rsid w:val="00917F75"/>
    <w:rsid w:val="00917F9D"/>
    <w:rsid w:val="009235FD"/>
    <w:rsid w:val="00923CD6"/>
    <w:rsid w:val="00923FFF"/>
    <w:rsid w:val="009250C5"/>
    <w:rsid w:val="0092552E"/>
    <w:rsid w:val="00925B88"/>
    <w:rsid w:val="00926A4E"/>
    <w:rsid w:val="009270D4"/>
    <w:rsid w:val="00931133"/>
    <w:rsid w:val="009324B4"/>
    <w:rsid w:val="00934C10"/>
    <w:rsid w:val="00935BDD"/>
    <w:rsid w:val="00937285"/>
    <w:rsid w:val="009376D6"/>
    <w:rsid w:val="0094003D"/>
    <w:rsid w:val="009404BE"/>
    <w:rsid w:val="00940F58"/>
    <w:rsid w:val="00943A28"/>
    <w:rsid w:val="00943D17"/>
    <w:rsid w:val="0094401A"/>
    <w:rsid w:val="00944367"/>
    <w:rsid w:val="00944997"/>
    <w:rsid w:val="009472F6"/>
    <w:rsid w:val="009473A4"/>
    <w:rsid w:val="00950554"/>
    <w:rsid w:val="00951FA5"/>
    <w:rsid w:val="009531B2"/>
    <w:rsid w:val="00953988"/>
    <w:rsid w:val="00954DD2"/>
    <w:rsid w:val="0095635F"/>
    <w:rsid w:val="009569F2"/>
    <w:rsid w:val="00957824"/>
    <w:rsid w:val="0096376D"/>
    <w:rsid w:val="0096397B"/>
    <w:rsid w:val="00965695"/>
    <w:rsid w:val="0096677D"/>
    <w:rsid w:val="009705C9"/>
    <w:rsid w:val="00970F39"/>
    <w:rsid w:val="00972787"/>
    <w:rsid w:val="009729EE"/>
    <w:rsid w:val="009732E5"/>
    <w:rsid w:val="009737C2"/>
    <w:rsid w:val="00977C81"/>
    <w:rsid w:val="00981CF1"/>
    <w:rsid w:val="009820E0"/>
    <w:rsid w:val="0098439F"/>
    <w:rsid w:val="00985C36"/>
    <w:rsid w:val="00986419"/>
    <w:rsid w:val="0099009E"/>
    <w:rsid w:val="009908E3"/>
    <w:rsid w:val="00990A3A"/>
    <w:rsid w:val="009910DF"/>
    <w:rsid w:val="00992836"/>
    <w:rsid w:val="0099316F"/>
    <w:rsid w:val="00993BB9"/>
    <w:rsid w:val="00995D5B"/>
    <w:rsid w:val="0099622C"/>
    <w:rsid w:val="00997615"/>
    <w:rsid w:val="009A1D2C"/>
    <w:rsid w:val="009A1FA9"/>
    <w:rsid w:val="009A24C1"/>
    <w:rsid w:val="009A2DF8"/>
    <w:rsid w:val="009A3298"/>
    <w:rsid w:val="009A534B"/>
    <w:rsid w:val="009A57EE"/>
    <w:rsid w:val="009A68A0"/>
    <w:rsid w:val="009A6D58"/>
    <w:rsid w:val="009B1597"/>
    <w:rsid w:val="009B195C"/>
    <w:rsid w:val="009B1AD5"/>
    <w:rsid w:val="009B29DA"/>
    <w:rsid w:val="009B2BEE"/>
    <w:rsid w:val="009B6562"/>
    <w:rsid w:val="009B713D"/>
    <w:rsid w:val="009C04B2"/>
    <w:rsid w:val="009D1E70"/>
    <w:rsid w:val="009D1EF8"/>
    <w:rsid w:val="009D2824"/>
    <w:rsid w:val="009D675A"/>
    <w:rsid w:val="009D6E00"/>
    <w:rsid w:val="009D6EC7"/>
    <w:rsid w:val="009E04F9"/>
    <w:rsid w:val="009E20B9"/>
    <w:rsid w:val="009E215A"/>
    <w:rsid w:val="009E2231"/>
    <w:rsid w:val="009E235A"/>
    <w:rsid w:val="009E286D"/>
    <w:rsid w:val="009E5633"/>
    <w:rsid w:val="009E61E6"/>
    <w:rsid w:val="009F0698"/>
    <w:rsid w:val="009F1E6B"/>
    <w:rsid w:val="009F358F"/>
    <w:rsid w:val="009F3660"/>
    <w:rsid w:val="009F4829"/>
    <w:rsid w:val="009F4FB5"/>
    <w:rsid w:val="009F6BCB"/>
    <w:rsid w:val="00A01B84"/>
    <w:rsid w:val="00A02099"/>
    <w:rsid w:val="00A023AC"/>
    <w:rsid w:val="00A02EF9"/>
    <w:rsid w:val="00A04D68"/>
    <w:rsid w:val="00A04DEA"/>
    <w:rsid w:val="00A04E7F"/>
    <w:rsid w:val="00A05CFD"/>
    <w:rsid w:val="00A06FAA"/>
    <w:rsid w:val="00A077FB"/>
    <w:rsid w:val="00A078C0"/>
    <w:rsid w:val="00A07A2A"/>
    <w:rsid w:val="00A116EA"/>
    <w:rsid w:val="00A13340"/>
    <w:rsid w:val="00A140FF"/>
    <w:rsid w:val="00A2206C"/>
    <w:rsid w:val="00A223AA"/>
    <w:rsid w:val="00A22506"/>
    <w:rsid w:val="00A234A0"/>
    <w:rsid w:val="00A23595"/>
    <w:rsid w:val="00A237B5"/>
    <w:rsid w:val="00A23BAB"/>
    <w:rsid w:val="00A23D89"/>
    <w:rsid w:val="00A24DBC"/>
    <w:rsid w:val="00A251D3"/>
    <w:rsid w:val="00A2605C"/>
    <w:rsid w:val="00A31EE5"/>
    <w:rsid w:val="00A321CF"/>
    <w:rsid w:val="00A342D4"/>
    <w:rsid w:val="00A351CB"/>
    <w:rsid w:val="00A36458"/>
    <w:rsid w:val="00A37A30"/>
    <w:rsid w:val="00A37F27"/>
    <w:rsid w:val="00A4129F"/>
    <w:rsid w:val="00A43494"/>
    <w:rsid w:val="00A4529D"/>
    <w:rsid w:val="00A46951"/>
    <w:rsid w:val="00A50FE4"/>
    <w:rsid w:val="00A525EC"/>
    <w:rsid w:val="00A53BE6"/>
    <w:rsid w:val="00A53C3D"/>
    <w:rsid w:val="00A54D4E"/>
    <w:rsid w:val="00A567DD"/>
    <w:rsid w:val="00A56B18"/>
    <w:rsid w:val="00A56BA1"/>
    <w:rsid w:val="00A57BFC"/>
    <w:rsid w:val="00A649BD"/>
    <w:rsid w:val="00A6521F"/>
    <w:rsid w:val="00A65A2C"/>
    <w:rsid w:val="00A66E81"/>
    <w:rsid w:val="00A66F2B"/>
    <w:rsid w:val="00A67337"/>
    <w:rsid w:val="00A90AB1"/>
    <w:rsid w:val="00A90E4F"/>
    <w:rsid w:val="00A91C6C"/>
    <w:rsid w:val="00A920B6"/>
    <w:rsid w:val="00A945E5"/>
    <w:rsid w:val="00A951AC"/>
    <w:rsid w:val="00A951FA"/>
    <w:rsid w:val="00A95486"/>
    <w:rsid w:val="00A95D53"/>
    <w:rsid w:val="00A960F1"/>
    <w:rsid w:val="00A96163"/>
    <w:rsid w:val="00A965A9"/>
    <w:rsid w:val="00AA019F"/>
    <w:rsid w:val="00AA23CD"/>
    <w:rsid w:val="00AA2C94"/>
    <w:rsid w:val="00AA3011"/>
    <w:rsid w:val="00AA3F10"/>
    <w:rsid w:val="00AA422F"/>
    <w:rsid w:val="00AA5A73"/>
    <w:rsid w:val="00AA7BC8"/>
    <w:rsid w:val="00AB02A4"/>
    <w:rsid w:val="00AB0AA6"/>
    <w:rsid w:val="00AB1559"/>
    <w:rsid w:val="00AB19F8"/>
    <w:rsid w:val="00AB4034"/>
    <w:rsid w:val="00AB4310"/>
    <w:rsid w:val="00AB603A"/>
    <w:rsid w:val="00AB6079"/>
    <w:rsid w:val="00AC09F0"/>
    <w:rsid w:val="00AC0A09"/>
    <w:rsid w:val="00AC1126"/>
    <w:rsid w:val="00AC29DE"/>
    <w:rsid w:val="00AC2EC2"/>
    <w:rsid w:val="00AC3061"/>
    <w:rsid w:val="00AC49FA"/>
    <w:rsid w:val="00AC4FF8"/>
    <w:rsid w:val="00AC541D"/>
    <w:rsid w:val="00AC5710"/>
    <w:rsid w:val="00AC5BA9"/>
    <w:rsid w:val="00AD026C"/>
    <w:rsid w:val="00AD3492"/>
    <w:rsid w:val="00AD7A1D"/>
    <w:rsid w:val="00AE1DDA"/>
    <w:rsid w:val="00AE1FD2"/>
    <w:rsid w:val="00AE2A76"/>
    <w:rsid w:val="00AE38D1"/>
    <w:rsid w:val="00AE4892"/>
    <w:rsid w:val="00AE5127"/>
    <w:rsid w:val="00AE6E97"/>
    <w:rsid w:val="00AE6F95"/>
    <w:rsid w:val="00AE78D2"/>
    <w:rsid w:val="00AF1023"/>
    <w:rsid w:val="00AF1C3C"/>
    <w:rsid w:val="00AF1D34"/>
    <w:rsid w:val="00AF3034"/>
    <w:rsid w:val="00AF3B55"/>
    <w:rsid w:val="00AF3EDA"/>
    <w:rsid w:val="00AF4283"/>
    <w:rsid w:val="00AF5789"/>
    <w:rsid w:val="00AF57AB"/>
    <w:rsid w:val="00AF6E89"/>
    <w:rsid w:val="00AF751D"/>
    <w:rsid w:val="00B008D9"/>
    <w:rsid w:val="00B01744"/>
    <w:rsid w:val="00B02CEB"/>
    <w:rsid w:val="00B02CFA"/>
    <w:rsid w:val="00B0462E"/>
    <w:rsid w:val="00B04B05"/>
    <w:rsid w:val="00B11865"/>
    <w:rsid w:val="00B11E3A"/>
    <w:rsid w:val="00B13022"/>
    <w:rsid w:val="00B130F4"/>
    <w:rsid w:val="00B1630D"/>
    <w:rsid w:val="00B1662B"/>
    <w:rsid w:val="00B17508"/>
    <w:rsid w:val="00B17A9A"/>
    <w:rsid w:val="00B20784"/>
    <w:rsid w:val="00B20F4F"/>
    <w:rsid w:val="00B21C6A"/>
    <w:rsid w:val="00B21F71"/>
    <w:rsid w:val="00B234F8"/>
    <w:rsid w:val="00B2422B"/>
    <w:rsid w:val="00B24FCB"/>
    <w:rsid w:val="00B25F76"/>
    <w:rsid w:val="00B320D4"/>
    <w:rsid w:val="00B3377F"/>
    <w:rsid w:val="00B33937"/>
    <w:rsid w:val="00B37E2B"/>
    <w:rsid w:val="00B40590"/>
    <w:rsid w:val="00B40984"/>
    <w:rsid w:val="00B409BC"/>
    <w:rsid w:val="00B41707"/>
    <w:rsid w:val="00B44124"/>
    <w:rsid w:val="00B475F7"/>
    <w:rsid w:val="00B47929"/>
    <w:rsid w:val="00B47DAC"/>
    <w:rsid w:val="00B506CF"/>
    <w:rsid w:val="00B50D30"/>
    <w:rsid w:val="00B523C5"/>
    <w:rsid w:val="00B533D2"/>
    <w:rsid w:val="00B53607"/>
    <w:rsid w:val="00B537C3"/>
    <w:rsid w:val="00B54642"/>
    <w:rsid w:val="00B563C3"/>
    <w:rsid w:val="00B56D2F"/>
    <w:rsid w:val="00B57B96"/>
    <w:rsid w:val="00B61470"/>
    <w:rsid w:val="00B61C5F"/>
    <w:rsid w:val="00B61FA0"/>
    <w:rsid w:val="00B641C2"/>
    <w:rsid w:val="00B65CF9"/>
    <w:rsid w:val="00B65F9C"/>
    <w:rsid w:val="00B6739E"/>
    <w:rsid w:val="00B67636"/>
    <w:rsid w:val="00B677A7"/>
    <w:rsid w:val="00B67E40"/>
    <w:rsid w:val="00B7348B"/>
    <w:rsid w:val="00B735F6"/>
    <w:rsid w:val="00B760BE"/>
    <w:rsid w:val="00B77EC0"/>
    <w:rsid w:val="00B82412"/>
    <w:rsid w:val="00B827A2"/>
    <w:rsid w:val="00B833B3"/>
    <w:rsid w:val="00B83C8E"/>
    <w:rsid w:val="00B8436B"/>
    <w:rsid w:val="00B85444"/>
    <w:rsid w:val="00B86A4C"/>
    <w:rsid w:val="00B86E1A"/>
    <w:rsid w:val="00B90070"/>
    <w:rsid w:val="00B90321"/>
    <w:rsid w:val="00B906C0"/>
    <w:rsid w:val="00B90B0F"/>
    <w:rsid w:val="00B90CBB"/>
    <w:rsid w:val="00B90E51"/>
    <w:rsid w:val="00B91264"/>
    <w:rsid w:val="00B91DB5"/>
    <w:rsid w:val="00B92402"/>
    <w:rsid w:val="00B931C5"/>
    <w:rsid w:val="00B945A0"/>
    <w:rsid w:val="00B948E7"/>
    <w:rsid w:val="00B957E0"/>
    <w:rsid w:val="00B95F4C"/>
    <w:rsid w:val="00B960A9"/>
    <w:rsid w:val="00B9643F"/>
    <w:rsid w:val="00B9691C"/>
    <w:rsid w:val="00B97097"/>
    <w:rsid w:val="00BA1D07"/>
    <w:rsid w:val="00BA252F"/>
    <w:rsid w:val="00BA3E61"/>
    <w:rsid w:val="00BA4625"/>
    <w:rsid w:val="00BA78E0"/>
    <w:rsid w:val="00BB08D4"/>
    <w:rsid w:val="00BB2765"/>
    <w:rsid w:val="00BB7656"/>
    <w:rsid w:val="00BB7F50"/>
    <w:rsid w:val="00BC052E"/>
    <w:rsid w:val="00BC2C9D"/>
    <w:rsid w:val="00BC2DA1"/>
    <w:rsid w:val="00BC3407"/>
    <w:rsid w:val="00BC45F2"/>
    <w:rsid w:val="00BC46E5"/>
    <w:rsid w:val="00BC4E06"/>
    <w:rsid w:val="00BC5353"/>
    <w:rsid w:val="00BC6C90"/>
    <w:rsid w:val="00BC7511"/>
    <w:rsid w:val="00BD23DA"/>
    <w:rsid w:val="00BD2BD9"/>
    <w:rsid w:val="00BD34D8"/>
    <w:rsid w:val="00BE0C4E"/>
    <w:rsid w:val="00BE1BE4"/>
    <w:rsid w:val="00BE1F70"/>
    <w:rsid w:val="00BE4FB6"/>
    <w:rsid w:val="00BE5B69"/>
    <w:rsid w:val="00BE640F"/>
    <w:rsid w:val="00BE6B7C"/>
    <w:rsid w:val="00BE7394"/>
    <w:rsid w:val="00BF0205"/>
    <w:rsid w:val="00BF0915"/>
    <w:rsid w:val="00BF3F92"/>
    <w:rsid w:val="00BF5E01"/>
    <w:rsid w:val="00BF7CEC"/>
    <w:rsid w:val="00BF7EF8"/>
    <w:rsid w:val="00C00572"/>
    <w:rsid w:val="00C02892"/>
    <w:rsid w:val="00C04EAC"/>
    <w:rsid w:val="00C06816"/>
    <w:rsid w:val="00C075EF"/>
    <w:rsid w:val="00C11B91"/>
    <w:rsid w:val="00C12034"/>
    <w:rsid w:val="00C1636C"/>
    <w:rsid w:val="00C164F1"/>
    <w:rsid w:val="00C16974"/>
    <w:rsid w:val="00C16A34"/>
    <w:rsid w:val="00C20ABF"/>
    <w:rsid w:val="00C21A42"/>
    <w:rsid w:val="00C21B3F"/>
    <w:rsid w:val="00C2258C"/>
    <w:rsid w:val="00C234E4"/>
    <w:rsid w:val="00C23A55"/>
    <w:rsid w:val="00C23E44"/>
    <w:rsid w:val="00C254C8"/>
    <w:rsid w:val="00C30D8F"/>
    <w:rsid w:val="00C31CB4"/>
    <w:rsid w:val="00C327C3"/>
    <w:rsid w:val="00C333FB"/>
    <w:rsid w:val="00C33F4E"/>
    <w:rsid w:val="00C36466"/>
    <w:rsid w:val="00C37D41"/>
    <w:rsid w:val="00C37E18"/>
    <w:rsid w:val="00C413B4"/>
    <w:rsid w:val="00C43FEC"/>
    <w:rsid w:val="00C4537B"/>
    <w:rsid w:val="00C45BB5"/>
    <w:rsid w:val="00C46191"/>
    <w:rsid w:val="00C463BA"/>
    <w:rsid w:val="00C4657E"/>
    <w:rsid w:val="00C478C4"/>
    <w:rsid w:val="00C5000B"/>
    <w:rsid w:val="00C52D0C"/>
    <w:rsid w:val="00C53FD6"/>
    <w:rsid w:val="00C54247"/>
    <w:rsid w:val="00C54899"/>
    <w:rsid w:val="00C54F5A"/>
    <w:rsid w:val="00C557D8"/>
    <w:rsid w:val="00C56043"/>
    <w:rsid w:val="00C57A13"/>
    <w:rsid w:val="00C60A61"/>
    <w:rsid w:val="00C624E8"/>
    <w:rsid w:val="00C62F08"/>
    <w:rsid w:val="00C63309"/>
    <w:rsid w:val="00C643C3"/>
    <w:rsid w:val="00C646F4"/>
    <w:rsid w:val="00C65F7B"/>
    <w:rsid w:val="00C67BE1"/>
    <w:rsid w:val="00C70DB2"/>
    <w:rsid w:val="00C72081"/>
    <w:rsid w:val="00C73F36"/>
    <w:rsid w:val="00C74BF1"/>
    <w:rsid w:val="00C756F1"/>
    <w:rsid w:val="00C757C8"/>
    <w:rsid w:val="00C761E7"/>
    <w:rsid w:val="00C76246"/>
    <w:rsid w:val="00C76764"/>
    <w:rsid w:val="00C77146"/>
    <w:rsid w:val="00C80B26"/>
    <w:rsid w:val="00C81EBA"/>
    <w:rsid w:val="00C82780"/>
    <w:rsid w:val="00C833F2"/>
    <w:rsid w:val="00C83701"/>
    <w:rsid w:val="00C8453F"/>
    <w:rsid w:val="00C8552E"/>
    <w:rsid w:val="00C85965"/>
    <w:rsid w:val="00C85C2D"/>
    <w:rsid w:val="00C86D30"/>
    <w:rsid w:val="00C90C95"/>
    <w:rsid w:val="00C91F58"/>
    <w:rsid w:val="00C92E82"/>
    <w:rsid w:val="00C941E0"/>
    <w:rsid w:val="00C94577"/>
    <w:rsid w:val="00C94A06"/>
    <w:rsid w:val="00C95999"/>
    <w:rsid w:val="00C959C2"/>
    <w:rsid w:val="00CA3DF0"/>
    <w:rsid w:val="00CA4692"/>
    <w:rsid w:val="00CA5A1D"/>
    <w:rsid w:val="00CA5FE9"/>
    <w:rsid w:val="00CA6B6B"/>
    <w:rsid w:val="00CA7AC6"/>
    <w:rsid w:val="00CB00B8"/>
    <w:rsid w:val="00CB1D06"/>
    <w:rsid w:val="00CB25C8"/>
    <w:rsid w:val="00CB343D"/>
    <w:rsid w:val="00CB4E5D"/>
    <w:rsid w:val="00CB544E"/>
    <w:rsid w:val="00CB56D3"/>
    <w:rsid w:val="00CB6357"/>
    <w:rsid w:val="00CB64AB"/>
    <w:rsid w:val="00CC0630"/>
    <w:rsid w:val="00CC0E16"/>
    <w:rsid w:val="00CC3676"/>
    <w:rsid w:val="00CC3A02"/>
    <w:rsid w:val="00CC4519"/>
    <w:rsid w:val="00CC6683"/>
    <w:rsid w:val="00CC6F18"/>
    <w:rsid w:val="00CC6F77"/>
    <w:rsid w:val="00CC7D89"/>
    <w:rsid w:val="00CD1BB7"/>
    <w:rsid w:val="00CD1FC4"/>
    <w:rsid w:val="00CD23AC"/>
    <w:rsid w:val="00CD2793"/>
    <w:rsid w:val="00CD2851"/>
    <w:rsid w:val="00CD77E3"/>
    <w:rsid w:val="00CE0DCD"/>
    <w:rsid w:val="00CE2F20"/>
    <w:rsid w:val="00CE4DF0"/>
    <w:rsid w:val="00CE54CA"/>
    <w:rsid w:val="00CE5B5C"/>
    <w:rsid w:val="00CE730E"/>
    <w:rsid w:val="00CE75D4"/>
    <w:rsid w:val="00CE7632"/>
    <w:rsid w:val="00CF2C27"/>
    <w:rsid w:val="00CF3587"/>
    <w:rsid w:val="00CF4031"/>
    <w:rsid w:val="00CF4432"/>
    <w:rsid w:val="00CF505F"/>
    <w:rsid w:val="00CF5395"/>
    <w:rsid w:val="00CF7131"/>
    <w:rsid w:val="00CF7736"/>
    <w:rsid w:val="00CF7DA6"/>
    <w:rsid w:val="00D00425"/>
    <w:rsid w:val="00D0387E"/>
    <w:rsid w:val="00D0538E"/>
    <w:rsid w:val="00D0768A"/>
    <w:rsid w:val="00D1041B"/>
    <w:rsid w:val="00D1078C"/>
    <w:rsid w:val="00D13447"/>
    <w:rsid w:val="00D14B59"/>
    <w:rsid w:val="00D156DE"/>
    <w:rsid w:val="00D179B3"/>
    <w:rsid w:val="00D2006E"/>
    <w:rsid w:val="00D2283C"/>
    <w:rsid w:val="00D2444A"/>
    <w:rsid w:val="00D24A73"/>
    <w:rsid w:val="00D24BE4"/>
    <w:rsid w:val="00D24F30"/>
    <w:rsid w:val="00D2592E"/>
    <w:rsid w:val="00D3162C"/>
    <w:rsid w:val="00D31E30"/>
    <w:rsid w:val="00D32EDF"/>
    <w:rsid w:val="00D34096"/>
    <w:rsid w:val="00D342BB"/>
    <w:rsid w:val="00D34E88"/>
    <w:rsid w:val="00D36329"/>
    <w:rsid w:val="00D36AAC"/>
    <w:rsid w:val="00D41694"/>
    <w:rsid w:val="00D41B3F"/>
    <w:rsid w:val="00D4299D"/>
    <w:rsid w:val="00D42EA1"/>
    <w:rsid w:val="00D4388E"/>
    <w:rsid w:val="00D4588C"/>
    <w:rsid w:val="00D45DC4"/>
    <w:rsid w:val="00D4670A"/>
    <w:rsid w:val="00D47270"/>
    <w:rsid w:val="00D476C9"/>
    <w:rsid w:val="00D47729"/>
    <w:rsid w:val="00D503CF"/>
    <w:rsid w:val="00D507BC"/>
    <w:rsid w:val="00D51102"/>
    <w:rsid w:val="00D511F8"/>
    <w:rsid w:val="00D5179D"/>
    <w:rsid w:val="00D52566"/>
    <w:rsid w:val="00D52790"/>
    <w:rsid w:val="00D5343B"/>
    <w:rsid w:val="00D557C1"/>
    <w:rsid w:val="00D563DE"/>
    <w:rsid w:val="00D577E3"/>
    <w:rsid w:val="00D609C5"/>
    <w:rsid w:val="00D613D5"/>
    <w:rsid w:val="00D629ED"/>
    <w:rsid w:val="00D64787"/>
    <w:rsid w:val="00D65795"/>
    <w:rsid w:val="00D65F66"/>
    <w:rsid w:val="00D66E65"/>
    <w:rsid w:val="00D67615"/>
    <w:rsid w:val="00D70B7E"/>
    <w:rsid w:val="00D715A3"/>
    <w:rsid w:val="00D7186F"/>
    <w:rsid w:val="00D7274E"/>
    <w:rsid w:val="00D73D5E"/>
    <w:rsid w:val="00D73E31"/>
    <w:rsid w:val="00D74CC1"/>
    <w:rsid w:val="00D7655C"/>
    <w:rsid w:val="00D76F5C"/>
    <w:rsid w:val="00D81706"/>
    <w:rsid w:val="00D83DCB"/>
    <w:rsid w:val="00D83F4B"/>
    <w:rsid w:val="00D84FE8"/>
    <w:rsid w:val="00D858A8"/>
    <w:rsid w:val="00D86418"/>
    <w:rsid w:val="00D86635"/>
    <w:rsid w:val="00D90C67"/>
    <w:rsid w:val="00D90F5B"/>
    <w:rsid w:val="00D922A1"/>
    <w:rsid w:val="00D932EB"/>
    <w:rsid w:val="00D96F7F"/>
    <w:rsid w:val="00D97B9B"/>
    <w:rsid w:val="00DA08C9"/>
    <w:rsid w:val="00DA0BD7"/>
    <w:rsid w:val="00DA2266"/>
    <w:rsid w:val="00DA2A22"/>
    <w:rsid w:val="00DA366F"/>
    <w:rsid w:val="00DA78D1"/>
    <w:rsid w:val="00DB4244"/>
    <w:rsid w:val="00DB4BBC"/>
    <w:rsid w:val="00DB549C"/>
    <w:rsid w:val="00DB70D7"/>
    <w:rsid w:val="00DC2C4F"/>
    <w:rsid w:val="00DC385D"/>
    <w:rsid w:val="00DC5154"/>
    <w:rsid w:val="00DC59E4"/>
    <w:rsid w:val="00DC5C06"/>
    <w:rsid w:val="00DD1477"/>
    <w:rsid w:val="00DD1C51"/>
    <w:rsid w:val="00DD2AF7"/>
    <w:rsid w:val="00DD3BB7"/>
    <w:rsid w:val="00DD3CAC"/>
    <w:rsid w:val="00DD3F60"/>
    <w:rsid w:val="00DD432B"/>
    <w:rsid w:val="00DD593A"/>
    <w:rsid w:val="00DD763E"/>
    <w:rsid w:val="00DD7759"/>
    <w:rsid w:val="00DD7CB7"/>
    <w:rsid w:val="00DE00EB"/>
    <w:rsid w:val="00DE01BA"/>
    <w:rsid w:val="00DE0D9B"/>
    <w:rsid w:val="00DE2845"/>
    <w:rsid w:val="00DE3346"/>
    <w:rsid w:val="00DE4DE8"/>
    <w:rsid w:val="00DF52EC"/>
    <w:rsid w:val="00DF5B53"/>
    <w:rsid w:val="00E01665"/>
    <w:rsid w:val="00E02905"/>
    <w:rsid w:val="00E03076"/>
    <w:rsid w:val="00E033DE"/>
    <w:rsid w:val="00E052BB"/>
    <w:rsid w:val="00E058C9"/>
    <w:rsid w:val="00E06391"/>
    <w:rsid w:val="00E11579"/>
    <w:rsid w:val="00E14313"/>
    <w:rsid w:val="00E15455"/>
    <w:rsid w:val="00E1661C"/>
    <w:rsid w:val="00E16E6F"/>
    <w:rsid w:val="00E170C7"/>
    <w:rsid w:val="00E1718C"/>
    <w:rsid w:val="00E17277"/>
    <w:rsid w:val="00E17330"/>
    <w:rsid w:val="00E17E29"/>
    <w:rsid w:val="00E17F15"/>
    <w:rsid w:val="00E23881"/>
    <w:rsid w:val="00E23DA9"/>
    <w:rsid w:val="00E266B9"/>
    <w:rsid w:val="00E27FF6"/>
    <w:rsid w:val="00E30FB7"/>
    <w:rsid w:val="00E329BA"/>
    <w:rsid w:val="00E358E0"/>
    <w:rsid w:val="00E40CF7"/>
    <w:rsid w:val="00E44CF3"/>
    <w:rsid w:val="00E458EB"/>
    <w:rsid w:val="00E46784"/>
    <w:rsid w:val="00E533F3"/>
    <w:rsid w:val="00E55956"/>
    <w:rsid w:val="00E601BC"/>
    <w:rsid w:val="00E60A4A"/>
    <w:rsid w:val="00E6149D"/>
    <w:rsid w:val="00E618CF"/>
    <w:rsid w:val="00E6253E"/>
    <w:rsid w:val="00E636C2"/>
    <w:rsid w:val="00E65593"/>
    <w:rsid w:val="00E65DB0"/>
    <w:rsid w:val="00E65FFA"/>
    <w:rsid w:val="00E66905"/>
    <w:rsid w:val="00E705B9"/>
    <w:rsid w:val="00E74A09"/>
    <w:rsid w:val="00E80D5B"/>
    <w:rsid w:val="00E810A9"/>
    <w:rsid w:val="00E83243"/>
    <w:rsid w:val="00E84747"/>
    <w:rsid w:val="00E911E2"/>
    <w:rsid w:val="00E94F72"/>
    <w:rsid w:val="00E950FC"/>
    <w:rsid w:val="00E955B2"/>
    <w:rsid w:val="00E95A40"/>
    <w:rsid w:val="00E95F69"/>
    <w:rsid w:val="00E965DC"/>
    <w:rsid w:val="00E96B01"/>
    <w:rsid w:val="00E96CE8"/>
    <w:rsid w:val="00EA1C07"/>
    <w:rsid w:val="00EA21C8"/>
    <w:rsid w:val="00EA4174"/>
    <w:rsid w:val="00EA461E"/>
    <w:rsid w:val="00EA605B"/>
    <w:rsid w:val="00EB0132"/>
    <w:rsid w:val="00EB1034"/>
    <w:rsid w:val="00EB21E2"/>
    <w:rsid w:val="00EB317B"/>
    <w:rsid w:val="00EB31FD"/>
    <w:rsid w:val="00EC043D"/>
    <w:rsid w:val="00EC088A"/>
    <w:rsid w:val="00EC3920"/>
    <w:rsid w:val="00EC51DF"/>
    <w:rsid w:val="00EC57F0"/>
    <w:rsid w:val="00EC6AFA"/>
    <w:rsid w:val="00ED0D1E"/>
    <w:rsid w:val="00ED2D44"/>
    <w:rsid w:val="00ED4BB5"/>
    <w:rsid w:val="00ED5EAD"/>
    <w:rsid w:val="00ED6A1B"/>
    <w:rsid w:val="00ED74F3"/>
    <w:rsid w:val="00EE0CAF"/>
    <w:rsid w:val="00EE162B"/>
    <w:rsid w:val="00EE41E1"/>
    <w:rsid w:val="00EE61EC"/>
    <w:rsid w:val="00EE680C"/>
    <w:rsid w:val="00EE7260"/>
    <w:rsid w:val="00EF030D"/>
    <w:rsid w:val="00EF0B90"/>
    <w:rsid w:val="00EF29DF"/>
    <w:rsid w:val="00EF4C5C"/>
    <w:rsid w:val="00EF62BE"/>
    <w:rsid w:val="00F015B6"/>
    <w:rsid w:val="00F024DF"/>
    <w:rsid w:val="00F02BDD"/>
    <w:rsid w:val="00F04249"/>
    <w:rsid w:val="00F05E8E"/>
    <w:rsid w:val="00F06566"/>
    <w:rsid w:val="00F06A10"/>
    <w:rsid w:val="00F06B99"/>
    <w:rsid w:val="00F076D5"/>
    <w:rsid w:val="00F0781A"/>
    <w:rsid w:val="00F07E5E"/>
    <w:rsid w:val="00F12497"/>
    <w:rsid w:val="00F13332"/>
    <w:rsid w:val="00F137AF"/>
    <w:rsid w:val="00F14D00"/>
    <w:rsid w:val="00F15C22"/>
    <w:rsid w:val="00F17B6D"/>
    <w:rsid w:val="00F21238"/>
    <w:rsid w:val="00F218B6"/>
    <w:rsid w:val="00F21986"/>
    <w:rsid w:val="00F21FBD"/>
    <w:rsid w:val="00F226BD"/>
    <w:rsid w:val="00F22C58"/>
    <w:rsid w:val="00F23C6D"/>
    <w:rsid w:val="00F271F6"/>
    <w:rsid w:val="00F30410"/>
    <w:rsid w:val="00F31FB5"/>
    <w:rsid w:val="00F33E98"/>
    <w:rsid w:val="00F342F5"/>
    <w:rsid w:val="00F3631F"/>
    <w:rsid w:val="00F418F6"/>
    <w:rsid w:val="00F42A61"/>
    <w:rsid w:val="00F4451A"/>
    <w:rsid w:val="00F4595B"/>
    <w:rsid w:val="00F45DC1"/>
    <w:rsid w:val="00F47299"/>
    <w:rsid w:val="00F47558"/>
    <w:rsid w:val="00F507A7"/>
    <w:rsid w:val="00F53C57"/>
    <w:rsid w:val="00F56871"/>
    <w:rsid w:val="00F60282"/>
    <w:rsid w:val="00F60FB3"/>
    <w:rsid w:val="00F61B17"/>
    <w:rsid w:val="00F6211D"/>
    <w:rsid w:val="00F6232D"/>
    <w:rsid w:val="00F6293B"/>
    <w:rsid w:val="00F630DC"/>
    <w:rsid w:val="00F6352F"/>
    <w:rsid w:val="00F6542F"/>
    <w:rsid w:val="00F655D4"/>
    <w:rsid w:val="00F67738"/>
    <w:rsid w:val="00F7051B"/>
    <w:rsid w:val="00F70D47"/>
    <w:rsid w:val="00F71A55"/>
    <w:rsid w:val="00F72EBC"/>
    <w:rsid w:val="00F743F5"/>
    <w:rsid w:val="00F748AD"/>
    <w:rsid w:val="00F76127"/>
    <w:rsid w:val="00F76462"/>
    <w:rsid w:val="00F7657A"/>
    <w:rsid w:val="00F7704E"/>
    <w:rsid w:val="00F8087C"/>
    <w:rsid w:val="00F81341"/>
    <w:rsid w:val="00F8387A"/>
    <w:rsid w:val="00F83BD2"/>
    <w:rsid w:val="00F8489D"/>
    <w:rsid w:val="00F860A6"/>
    <w:rsid w:val="00F86B07"/>
    <w:rsid w:val="00F90319"/>
    <w:rsid w:val="00F914CC"/>
    <w:rsid w:val="00F9608D"/>
    <w:rsid w:val="00F96355"/>
    <w:rsid w:val="00FA0A6F"/>
    <w:rsid w:val="00FA16CB"/>
    <w:rsid w:val="00FA471E"/>
    <w:rsid w:val="00FA5434"/>
    <w:rsid w:val="00FA657C"/>
    <w:rsid w:val="00FA6D6F"/>
    <w:rsid w:val="00FA6FD7"/>
    <w:rsid w:val="00FB08C1"/>
    <w:rsid w:val="00FB1678"/>
    <w:rsid w:val="00FB1CB7"/>
    <w:rsid w:val="00FB3243"/>
    <w:rsid w:val="00FB39E8"/>
    <w:rsid w:val="00FB49D9"/>
    <w:rsid w:val="00FB4CD2"/>
    <w:rsid w:val="00FB53EB"/>
    <w:rsid w:val="00FB670B"/>
    <w:rsid w:val="00FB6BB0"/>
    <w:rsid w:val="00FB7045"/>
    <w:rsid w:val="00FB767A"/>
    <w:rsid w:val="00FB76BE"/>
    <w:rsid w:val="00FB7C82"/>
    <w:rsid w:val="00FC1AFE"/>
    <w:rsid w:val="00FC236A"/>
    <w:rsid w:val="00FC3B73"/>
    <w:rsid w:val="00FC4712"/>
    <w:rsid w:val="00FC5554"/>
    <w:rsid w:val="00FC5CAA"/>
    <w:rsid w:val="00FC5F62"/>
    <w:rsid w:val="00FC6715"/>
    <w:rsid w:val="00FD03FA"/>
    <w:rsid w:val="00FD045F"/>
    <w:rsid w:val="00FD1FC7"/>
    <w:rsid w:val="00FD5A9E"/>
    <w:rsid w:val="00FD5F83"/>
    <w:rsid w:val="00FD6756"/>
    <w:rsid w:val="00FD6763"/>
    <w:rsid w:val="00FD6776"/>
    <w:rsid w:val="00FD68AD"/>
    <w:rsid w:val="00FD7F85"/>
    <w:rsid w:val="00FE338F"/>
    <w:rsid w:val="00FE33D8"/>
    <w:rsid w:val="00FE4102"/>
    <w:rsid w:val="00FE5FFD"/>
    <w:rsid w:val="00FE6D5F"/>
    <w:rsid w:val="00FF1D0E"/>
    <w:rsid w:val="00FF2C44"/>
    <w:rsid w:val="00FF425D"/>
    <w:rsid w:val="00FF4787"/>
    <w:rsid w:val="00FF4ACC"/>
    <w:rsid w:val="00FF4AF1"/>
    <w:rsid w:val="00FF558E"/>
    <w:rsid w:val="00FF7353"/>
    <w:rsid w:val="00FF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N_Para"/>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 w:type="character" w:customStyle="1" w:styleId="atn">
    <w:name w:val="atn"/>
    <w:basedOn w:val="Domylnaczcionkaakapitu"/>
    <w:rsid w:val="004218FB"/>
  </w:style>
  <w:style w:type="paragraph" w:customStyle="1" w:styleId="s440d9021">
    <w:name w:val="s440d9021"/>
    <w:basedOn w:val="Normalny"/>
    <w:rsid w:val="00516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8c10080">
    <w:name w:val="s38c10080"/>
    <w:basedOn w:val="Domylnaczcionkaakapitu"/>
    <w:rsid w:val="006A5467"/>
  </w:style>
  <w:style w:type="paragraph" w:customStyle="1" w:styleId="sae4e5704">
    <w:name w:val="sae4e5704"/>
    <w:basedOn w:val="Normalny"/>
    <w:rsid w:val="008F3438"/>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52b9fb1c">
    <w:name w:val="s52b9fb1c"/>
    <w:basedOn w:val="Normalny"/>
    <w:rsid w:val="008F3438"/>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styleId="Zwykytekst">
    <w:name w:val="Plain Text"/>
    <w:basedOn w:val="Normalny"/>
    <w:link w:val="ZwykytekstZnak"/>
    <w:uiPriority w:val="99"/>
    <w:semiHidden/>
    <w:unhideWhenUsed/>
    <w:rsid w:val="005C02AC"/>
    <w:pPr>
      <w:spacing w:after="0" w:line="240" w:lineRule="auto"/>
    </w:pPr>
    <w:rPr>
      <w:rFonts w:ascii="Calibri" w:hAnsi="Calibri"/>
      <w:szCs w:val="21"/>
      <w:lang w:val="pl-PL"/>
    </w:rPr>
  </w:style>
  <w:style w:type="character" w:customStyle="1" w:styleId="ZwykytekstZnak">
    <w:name w:val="Zwykły tekst Znak"/>
    <w:basedOn w:val="Domylnaczcionkaakapitu"/>
    <w:link w:val="Zwykytekst"/>
    <w:uiPriority w:val="99"/>
    <w:semiHidden/>
    <w:rsid w:val="005C02AC"/>
    <w:rPr>
      <w:rFonts w:ascii="Calibri" w:hAnsi="Calibri"/>
      <w:szCs w:val="21"/>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N_Para"/>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 w:type="character" w:customStyle="1" w:styleId="atn">
    <w:name w:val="atn"/>
    <w:basedOn w:val="Domylnaczcionkaakapitu"/>
    <w:rsid w:val="004218FB"/>
  </w:style>
  <w:style w:type="paragraph" w:customStyle="1" w:styleId="s440d9021">
    <w:name w:val="s440d9021"/>
    <w:basedOn w:val="Normalny"/>
    <w:rsid w:val="00516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8c10080">
    <w:name w:val="s38c10080"/>
    <w:basedOn w:val="Domylnaczcionkaakapitu"/>
    <w:rsid w:val="006A5467"/>
  </w:style>
  <w:style w:type="paragraph" w:customStyle="1" w:styleId="sae4e5704">
    <w:name w:val="sae4e5704"/>
    <w:basedOn w:val="Normalny"/>
    <w:rsid w:val="008F3438"/>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52b9fb1c">
    <w:name w:val="s52b9fb1c"/>
    <w:basedOn w:val="Normalny"/>
    <w:rsid w:val="008F3438"/>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styleId="Zwykytekst">
    <w:name w:val="Plain Text"/>
    <w:basedOn w:val="Normalny"/>
    <w:link w:val="ZwykytekstZnak"/>
    <w:uiPriority w:val="99"/>
    <w:semiHidden/>
    <w:unhideWhenUsed/>
    <w:rsid w:val="005C02AC"/>
    <w:pPr>
      <w:spacing w:after="0" w:line="240" w:lineRule="auto"/>
    </w:pPr>
    <w:rPr>
      <w:rFonts w:ascii="Calibri" w:hAnsi="Calibri"/>
      <w:szCs w:val="21"/>
      <w:lang w:val="pl-PL"/>
    </w:rPr>
  </w:style>
  <w:style w:type="character" w:customStyle="1" w:styleId="ZwykytekstZnak">
    <w:name w:val="Zwykły tekst Znak"/>
    <w:basedOn w:val="Domylnaczcionkaakapitu"/>
    <w:link w:val="Zwykytekst"/>
    <w:uiPriority w:val="99"/>
    <w:semiHidden/>
    <w:rsid w:val="005C02AC"/>
    <w:rPr>
      <w:rFonts w:ascii="Calibri" w:hAnsi="Calibri"/>
      <w:szCs w:val="21"/>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1770">
      <w:bodyDiv w:val="1"/>
      <w:marLeft w:val="0"/>
      <w:marRight w:val="0"/>
      <w:marTop w:val="0"/>
      <w:marBottom w:val="0"/>
      <w:divBdr>
        <w:top w:val="none" w:sz="0" w:space="0" w:color="auto"/>
        <w:left w:val="none" w:sz="0" w:space="0" w:color="auto"/>
        <w:bottom w:val="none" w:sz="0" w:space="0" w:color="auto"/>
        <w:right w:val="none" w:sz="0" w:space="0" w:color="auto"/>
      </w:divBdr>
    </w:div>
    <w:div w:id="216674690">
      <w:bodyDiv w:val="1"/>
      <w:marLeft w:val="0"/>
      <w:marRight w:val="0"/>
      <w:marTop w:val="0"/>
      <w:marBottom w:val="0"/>
      <w:divBdr>
        <w:top w:val="none" w:sz="0" w:space="0" w:color="auto"/>
        <w:left w:val="none" w:sz="0" w:space="0" w:color="auto"/>
        <w:bottom w:val="none" w:sz="0" w:space="0" w:color="auto"/>
        <w:right w:val="none" w:sz="0" w:space="0" w:color="auto"/>
      </w:divBdr>
      <w:divsChild>
        <w:div w:id="876502346">
          <w:marLeft w:val="0"/>
          <w:marRight w:val="0"/>
          <w:marTop w:val="0"/>
          <w:marBottom w:val="0"/>
          <w:divBdr>
            <w:top w:val="none" w:sz="0" w:space="0" w:color="auto"/>
            <w:left w:val="none" w:sz="0" w:space="0" w:color="auto"/>
            <w:bottom w:val="none" w:sz="0" w:space="0" w:color="auto"/>
            <w:right w:val="none" w:sz="0" w:space="0" w:color="auto"/>
          </w:divBdr>
          <w:divsChild>
            <w:div w:id="2110467497">
              <w:marLeft w:val="0"/>
              <w:marRight w:val="0"/>
              <w:marTop w:val="0"/>
              <w:marBottom w:val="0"/>
              <w:divBdr>
                <w:top w:val="none" w:sz="0" w:space="0" w:color="auto"/>
                <w:left w:val="none" w:sz="0" w:space="0" w:color="auto"/>
                <w:bottom w:val="none" w:sz="0" w:space="0" w:color="auto"/>
                <w:right w:val="none" w:sz="0" w:space="0" w:color="auto"/>
              </w:divBdr>
              <w:divsChild>
                <w:div w:id="210457152">
                  <w:marLeft w:val="0"/>
                  <w:marRight w:val="0"/>
                  <w:marTop w:val="0"/>
                  <w:marBottom w:val="0"/>
                  <w:divBdr>
                    <w:top w:val="none" w:sz="0" w:space="0" w:color="auto"/>
                    <w:left w:val="none" w:sz="0" w:space="0" w:color="auto"/>
                    <w:bottom w:val="none" w:sz="0" w:space="0" w:color="auto"/>
                    <w:right w:val="none" w:sz="0" w:space="0" w:color="auto"/>
                  </w:divBdr>
                  <w:divsChild>
                    <w:div w:id="1025714890">
                      <w:marLeft w:val="0"/>
                      <w:marRight w:val="0"/>
                      <w:marTop w:val="0"/>
                      <w:marBottom w:val="0"/>
                      <w:divBdr>
                        <w:top w:val="none" w:sz="0" w:space="0" w:color="auto"/>
                        <w:left w:val="none" w:sz="0" w:space="0" w:color="auto"/>
                        <w:bottom w:val="none" w:sz="0" w:space="0" w:color="auto"/>
                        <w:right w:val="none" w:sz="0" w:space="0" w:color="auto"/>
                      </w:divBdr>
                      <w:divsChild>
                        <w:div w:id="2084833542">
                          <w:marLeft w:val="0"/>
                          <w:marRight w:val="0"/>
                          <w:marTop w:val="0"/>
                          <w:marBottom w:val="0"/>
                          <w:divBdr>
                            <w:top w:val="none" w:sz="0" w:space="0" w:color="auto"/>
                            <w:left w:val="none" w:sz="0" w:space="0" w:color="auto"/>
                            <w:bottom w:val="none" w:sz="0" w:space="0" w:color="auto"/>
                            <w:right w:val="none" w:sz="0" w:space="0" w:color="auto"/>
                          </w:divBdr>
                          <w:divsChild>
                            <w:div w:id="7404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471162">
      <w:bodyDiv w:val="1"/>
      <w:marLeft w:val="0"/>
      <w:marRight w:val="0"/>
      <w:marTop w:val="0"/>
      <w:marBottom w:val="0"/>
      <w:divBdr>
        <w:top w:val="none" w:sz="0" w:space="0" w:color="auto"/>
        <w:left w:val="none" w:sz="0" w:space="0" w:color="auto"/>
        <w:bottom w:val="none" w:sz="0" w:space="0" w:color="auto"/>
        <w:right w:val="none" w:sz="0" w:space="0" w:color="auto"/>
      </w:divBdr>
      <w:divsChild>
        <w:div w:id="702830008">
          <w:marLeft w:val="0"/>
          <w:marRight w:val="0"/>
          <w:marTop w:val="0"/>
          <w:marBottom w:val="0"/>
          <w:divBdr>
            <w:top w:val="none" w:sz="0" w:space="0" w:color="auto"/>
            <w:left w:val="none" w:sz="0" w:space="0" w:color="auto"/>
            <w:bottom w:val="none" w:sz="0" w:space="0" w:color="auto"/>
            <w:right w:val="none" w:sz="0" w:space="0" w:color="auto"/>
          </w:divBdr>
          <w:divsChild>
            <w:div w:id="822936864">
              <w:marLeft w:val="0"/>
              <w:marRight w:val="0"/>
              <w:marTop w:val="0"/>
              <w:marBottom w:val="0"/>
              <w:divBdr>
                <w:top w:val="none" w:sz="0" w:space="0" w:color="auto"/>
                <w:left w:val="none" w:sz="0" w:space="0" w:color="auto"/>
                <w:bottom w:val="none" w:sz="0" w:space="0" w:color="auto"/>
                <w:right w:val="none" w:sz="0" w:space="0" w:color="auto"/>
              </w:divBdr>
              <w:divsChild>
                <w:div w:id="910844826">
                  <w:marLeft w:val="0"/>
                  <w:marRight w:val="0"/>
                  <w:marTop w:val="0"/>
                  <w:marBottom w:val="0"/>
                  <w:divBdr>
                    <w:top w:val="none" w:sz="0" w:space="0" w:color="auto"/>
                    <w:left w:val="none" w:sz="0" w:space="0" w:color="auto"/>
                    <w:bottom w:val="none" w:sz="0" w:space="0" w:color="auto"/>
                    <w:right w:val="none" w:sz="0" w:space="0" w:color="auto"/>
                  </w:divBdr>
                  <w:divsChild>
                    <w:div w:id="1307782422">
                      <w:marLeft w:val="0"/>
                      <w:marRight w:val="0"/>
                      <w:marTop w:val="0"/>
                      <w:marBottom w:val="0"/>
                      <w:divBdr>
                        <w:top w:val="none" w:sz="0" w:space="0" w:color="auto"/>
                        <w:left w:val="none" w:sz="0" w:space="0" w:color="auto"/>
                        <w:bottom w:val="none" w:sz="0" w:space="0" w:color="auto"/>
                        <w:right w:val="none" w:sz="0" w:space="0" w:color="auto"/>
                      </w:divBdr>
                      <w:divsChild>
                        <w:div w:id="1652563739">
                          <w:marLeft w:val="0"/>
                          <w:marRight w:val="0"/>
                          <w:marTop w:val="0"/>
                          <w:marBottom w:val="0"/>
                          <w:divBdr>
                            <w:top w:val="none" w:sz="0" w:space="0" w:color="auto"/>
                            <w:left w:val="none" w:sz="0" w:space="0" w:color="auto"/>
                            <w:bottom w:val="none" w:sz="0" w:space="0" w:color="auto"/>
                            <w:right w:val="none" w:sz="0" w:space="0" w:color="auto"/>
                          </w:divBdr>
                          <w:divsChild>
                            <w:div w:id="15336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418771">
      <w:bodyDiv w:val="1"/>
      <w:marLeft w:val="0"/>
      <w:marRight w:val="0"/>
      <w:marTop w:val="0"/>
      <w:marBottom w:val="0"/>
      <w:divBdr>
        <w:top w:val="none" w:sz="0" w:space="0" w:color="auto"/>
        <w:left w:val="none" w:sz="0" w:space="0" w:color="auto"/>
        <w:bottom w:val="none" w:sz="0" w:space="0" w:color="auto"/>
        <w:right w:val="none" w:sz="0" w:space="0" w:color="auto"/>
      </w:divBdr>
      <w:divsChild>
        <w:div w:id="591163604">
          <w:marLeft w:val="0"/>
          <w:marRight w:val="0"/>
          <w:marTop w:val="0"/>
          <w:marBottom w:val="0"/>
          <w:divBdr>
            <w:top w:val="none" w:sz="0" w:space="0" w:color="auto"/>
            <w:left w:val="none" w:sz="0" w:space="0" w:color="auto"/>
            <w:bottom w:val="none" w:sz="0" w:space="0" w:color="auto"/>
            <w:right w:val="none" w:sz="0" w:space="0" w:color="auto"/>
          </w:divBdr>
          <w:divsChild>
            <w:div w:id="778720983">
              <w:marLeft w:val="0"/>
              <w:marRight w:val="0"/>
              <w:marTop w:val="0"/>
              <w:marBottom w:val="0"/>
              <w:divBdr>
                <w:top w:val="none" w:sz="0" w:space="0" w:color="auto"/>
                <w:left w:val="none" w:sz="0" w:space="0" w:color="auto"/>
                <w:bottom w:val="none" w:sz="0" w:space="0" w:color="auto"/>
                <w:right w:val="none" w:sz="0" w:space="0" w:color="auto"/>
              </w:divBdr>
              <w:divsChild>
                <w:div w:id="1198927883">
                  <w:marLeft w:val="0"/>
                  <w:marRight w:val="0"/>
                  <w:marTop w:val="0"/>
                  <w:marBottom w:val="0"/>
                  <w:divBdr>
                    <w:top w:val="none" w:sz="0" w:space="0" w:color="auto"/>
                    <w:left w:val="none" w:sz="0" w:space="0" w:color="auto"/>
                    <w:bottom w:val="none" w:sz="0" w:space="0" w:color="auto"/>
                    <w:right w:val="none" w:sz="0" w:space="0" w:color="auto"/>
                  </w:divBdr>
                  <w:divsChild>
                    <w:div w:id="1009062204">
                      <w:marLeft w:val="0"/>
                      <w:marRight w:val="0"/>
                      <w:marTop w:val="0"/>
                      <w:marBottom w:val="0"/>
                      <w:divBdr>
                        <w:top w:val="none" w:sz="0" w:space="0" w:color="auto"/>
                        <w:left w:val="none" w:sz="0" w:space="0" w:color="auto"/>
                        <w:bottom w:val="none" w:sz="0" w:space="0" w:color="auto"/>
                        <w:right w:val="none" w:sz="0" w:space="0" w:color="auto"/>
                      </w:divBdr>
                      <w:divsChild>
                        <w:div w:id="1223518373">
                          <w:marLeft w:val="0"/>
                          <w:marRight w:val="0"/>
                          <w:marTop w:val="0"/>
                          <w:marBottom w:val="0"/>
                          <w:divBdr>
                            <w:top w:val="none" w:sz="0" w:space="0" w:color="auto"/>
                            <w:left w:val="none" w:sz="0" w:space="0" w:color="auto"/>
                            <w:bottom w:val="none" w:sz="0" w:space="0" w:color="auto"/>
                            <w:right w:val="none" w:sz="0" w:space="0" w:color="auto"/>
                          </w:divBdr>
                          <w:divsChild>
                            <w:div w:id="88047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62497">
      <w:bodyDiv w:val="1"/>
      <w:marLeft w:val="0"/>
      <w:marRight w:val="0"/>
      <w:marTop w:val="0"/>
      <w:marBottom w:val="0"/>
      <w:divBdr>
        <w:top w:val="none" w:sz="0" w:space="0" w:color="auto"/>
        <w:left w:val="none" w:sz="0" w:space="0" w:color="auto"/>
        <w:bottom w:val="none" w:sz="0" w:space="0" w:color="auto"/>
        <w:right w:val="none" w:sz="0" w:space="0" w:color="auto"/>
      </w:divBdr>
    </w:div>
    <w:div w:id="390156934">
      <w:bodyDiv w:val="1"/>
      <w:marLeft w:val="0"/>
      <w:marRight w:val="0"/>
      <w:marTop w:val="0"/>
      <w:marBottom w:val="0"/>
      <w:divBdr>
        <w:top w:val="none" w:sz="0" w:space="0" w:color="auto"/>
        <w:left w:val="none" w:sz="0" w:space="0" w:color="auto"/>
        <w:bottom w:val="none" w:sz="0" w:space="0" w:color="auto"/>
        <w:right w:val="none" w:sz="0" w:space="0" w:color="auto"/>
      </w:divBdr>
      <w:divsChild>
        <w:div w:id="166943811">
          <w:marLeft w:val="0"/>
          <w:marRight w:val="0"/>
          <w:marTop w:val="0"/>
          <w:marBottom w:val="0"/>
          <w:divBdr>
            <w:top w:val="none" w:sz="0" w:space="0" w:color="auto"/>
            <w:left w:val="none" w:sz="0" w:space="0" w:color="auto"/>
            <w:bottom w:val="none" w:sz="0" w:space="0" w:color="auto"/>
            <w:right w:val="none" w:sz="0" w:space="0" w:color="auto"/>
          </w:divBdr>
        </w:div>
      </w:divsChild>
    </w:div>
    <w:div w:id="513030993">
      <w:bodyDiv w:val="1"/>
      <w:marLeft w:val="0"/>
      <w:marRight w:val="0"/>
      <w:marTop w:val="0"/>
      <w:marBottom w:val="0"/>
      <w:divBdr>
        <w:top w:val="none" w:sz="0" w:space="0" w:color="auto"/>
        <w:left w:val="none" w:sz="0" w:space="0" w:color="auto"/>
        <w:bottom w:val="none" w:sz="0" w:space="0" w:color="auto"/>
        <w:right w:val="none" w:sz="0" w:space="0" w:color="auto"/>
      </w:divBdr>
      <w:divsChild>
        <w:div w:id="1232618338">
          <w:marLeft w:val="0"/>
          <w:marRight w:val="0"/>
          <w:marTop w:val="0"/>
          <w:marBottom w:val="0"/>
          <w:divBdr>
            <w:top w:val="none" w:sz="0" w:space="0" w:color="auto"/>
            <w:left w:val="none" w:sz="0" w:space="0" w:color="auto"/>
            <w:bottom w:val="none" w:sz="0" w:space="0" w:color="auto"/>
            <w:right w:val="none" w:sz="0" w:space="0" w:color="auto"/>
          </w:divBdr>
          <w:divsChild>
            <w:div w:id="1986004003">
              <w:marLeft w:val="0"/>
              <w:marRight w:val="0"/>
              <w:marTop w:val="0"/>
              <w:marBottom w:val="0"/>
              <w:divBdr>
                <w:top w:val="none" w:sz="0" w:space="0" w:color="auto"/>
                <w:left w:val="none" w:sz="0" w:space="0" w:color="auto"/>
                <w:bottom w:val="none" w:sz="0" w:space="0" w:color="auto"/>
                <w:right w:val="none" w:sz="0" w:space="0" w:color="auto"/>
              </w:divBdr>
              <w:divsChild>
                <w:div w:id="156770863">
                  <w:marLeft w:val="0"/>
                  <w:marRight w:val="0"/>
                  <w:marTop w:val="0"/>
                  <w:marBottom w:val="0"/>
                  <w:divBdr>
                    <w:top w:val="none" w:sz="0" w:space="0" w:color="auto"/>
                    <w:left w:val="none" w:sz="0" w:space="0" w:color="auto"/>
                    <w:bottom w:val="none" w:sz="0" w:space="0" w:color="auto"/>
                    <w:right w:val="none" w:sz="0" w:space="0" w:color="auto"/>
                  </w:divBdr>
                  <w:divsChild>
                    <w:div w:id="1632324600">
                      <w:marLeft w:val="0"/>
                      <w:marRight w:val="0"/>
                      <w:marTop w:val="0"/>
                      <w:marBottom w:val="0"/>
                      <w:divBdr>
                        <w:top w:val="none" w:sz="0" w:space="0" w:color="auto"/>
                        <w:left w:val="none" w:sz="0" w:space="0" w:color="auto"/>
                        <w:bottom w:val="none" w:sz="0" w:space="0" w:color="auto"/>
                        <w:right w:val="none" w:sz="0" w:space="0" w:color="auto"/>
                      </w:divBdr>
                      <w:divsChild>
                        <w:div w:id="2048526099">
                          <w:marLeft w:val="0"/>
                          <w:marRight w:val="0"/>
                          <w:marTop w:val="0"/>
                          <w:marBottom w:val="0"/>
                          <w:divBdr>
                            <w:top w:val="none" w:sz="0" w:space="0" w:color="auto"/>
                            <w:left w:val="none" w:sz="0" w:space="0" w:color="auto"/>
                            <w:bottom w:val="none" w:sz="0" w:space="0" w:color="auto"/>
                            <w:right w:val="none" w:sz="0" w:space="0" w:color="auto"/>
                          </w:divBdr>
                          <w:divsChild>
                            <w:div w:id="12528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443353">
      <w:bodyDiv w:val="1"/>
      <w:marLeft w:val="0"/>
      <w:marRight w:val="0"/>
      <w:marTop w:val="0"/>
      <w:marBottom w:val="0"/>
      <w:divBdr>
        <w:top w:val="none" w:sz="0" w:space="0" w:color="auto"/>
        <w:left w:val="none" w:sz="0" w:space="0" w:color="auto"/>
        <w:bottom w:val="none" w:sz="0" w:space="0" w:color="auto"/>
        <w:right w:val="none" w:sz="0" w:space="0" w:color="auto"/>
      </w:divBdr>
    </w:div>
    <w:div w:id="604195491">
      <w:bodyDiv w:val="1"/>
      <w:marLeft w:val="0"/>
      <w:marRight w:val="0"/>
      <w:marTop w:val="0"/>
      <w:marBottom w:val="0"/>
      <w:divBdr>
        <w:top w:val="none" w:sz="0" w:space="0" w:color="auto"/>
        <w:left w:val="none" w:sz="0" w:space="0" w:color="auto"/>
        <w:bottom w:val="none" w:sz="0" w:space="0" w:color="auto"/>
        <w:right w:val="none" w:sz="0" w:space="0" w:color="auto"/>
      </w:divBdr>
    </w:div>
    <w:div w:id="674962731">
      <w:bodyDiv w:val="1"/>
      <w:marLeft w:val="0"/>
      <w:marRight w:val="0"/>
      <w:marTop w:val="0"/>
      <w:marBottom w:val="0"/>
      <w:divBdr>
        <w:top w:val="none" w:sz="0" w:space="0" w:color="auto"/>
        <w:left w:val="none" w:sz="0" w:space="0" w:color="auto"/>
        <w:bottom w:val="none" w:sz="0" w:space="0" w:color="auto"/>
        <w:right w:val="none" w:sz="0" w:space="0" w:color="auto"/>
      </w:divBdr>
      <w:divsChild>
        <w:div w:id="1541747390">
          <w:marLeft w:val="0"/>
          <w:marRight w:val="0"/>
          <w:marTop w:val="0"/>
          <w:marBottom w:val="0"/>
          <w:divBdr>
            <w:top w:val="none" w:sz="0" w:space="0" w:color="auto"/>
            <w:left w:val="none" w:sz="0" w:space="0" w:color="auto"/>
            <w:bottom w:val="none" w:sz="0" w:space="0" w:color="auto"/>
            <w:right w:val="none" w:sz="0" w:space="0" w:color="auto"/>
          </w:divBdr>
          <w:divsChild>
            <w:div w:id="859660463">
              <w:marLeft w:val="720"/>
              <w:marRight w:val="0"/>
              <w:marTop w:val="0"/>
              <w:marBottom w:val="0"/>
              <w:divBdr>
                <w:top w:val="none" w:sz="0" w:space="0" w:color="auto"/>
                <w:left w:val="none" w:sz="0" w:space="0" w:color="auto"/>
                <w:bottom w:val="none" w:sz="0" w:space="0" w:color="auto"/>
                <w:right w:val="none" w:sz="0" w:space="0" w:color="auto"/>
              </w:divBdr>
            </w:div>
            <w:div w:id="38476667">
              <w:marLeft w:val="0"/>
              <w:marRight w:val="0"/>
              <w:marTop w:val="0"/>
              <w:marBottom w:val="0"/>
              <w:divBdr>
                <w:top w:val="none" w:sz="0" w:space="0" w:color="auto"/>
                <w:left w:val="none" w:sz="0" w:space="0" w:color="auto"/>
                <w:bottom w:val="none" w:sz="0" w:space="0" w:color="auto"/>
                <w:right w:val="none" w:sz="0" w:space="0" w:color="auto"/>
              </w:divBdr>
              <w:divsChild>
                <w:div w:id="1045063480">
                  <w:marLeft w:val="1080"/>
                  <w:marRight w:val="0"/>
                  <w:marTop w:val="0"/>
                  <w:marBottom w:val="0"/>
                  <w:divBdr>
                    <w:top w:val="none" w:sz="0" w:space="0" w:color="auto"/>
                    <w:left w:val="none" w:sz="0" w:space="0" w:color="auto"/>
                    <w:bottom w:val="none" w:sz="0" w:space="0" w:color="auto"/>
                    <w:right w:val="none" w:sz="0" w:space="0" w:color="auto"/>
                  </w:divBdr>
                </w:div>
              </w:divsChild>
            </w:div>
            <w:div w:id="698121230">
              <w:marLeft w:val="0"/>
              <w:marRight w:val="0"/>
              <w:marTop w:val="0"/>
              <w:marBottom w:val="0"/>
              <w:divBdr>
                <w:top w:val="none" w:sz="0" w:space="0" w:color="auto"/>
                <w:left w:val="none" w:sz="0" w:space="0" w:color="auto"/>
                <w:bottom w:val="none" w:sz="0" w:space="0" w:color="auto"/>
                <w:right w:val="none" w:sz="0" w:space="0" w:color="auto"/>
              </w:divBdr>
              <w:divsChild>
                <w:div w:id="1205753863">
                  <w:marLeft w:val="1080"/>
                  <w:marRight w:val="0"/>
                  <w:marTop w:val="0"/>
                  <w:marBottom w:val="0"/>
                  <w:divBdr>
                    <w:top w:val="none" w:sz="0" w:space="0" w:color="auto"/>
                    <w:left w:val="none" w:sz="0" w:space="0" w:color="auto"/>
                    <w:bottom w:val="none" w:sz="0" w:space="0" w:color="auto"/>
                    <w:right w:val="none" w:sz="0" w:space="0" w:color="auto"/>
                  </w:divBdr>
                </w:div>
              </w:divsChild>
            </w:div>
            <w:div w:id="1881239769">
              <w:marLeft w:val="0"/>
              <w:marRight w:val="0"/>
              <w:marTop w:val="0"/>
              <w:marBottom w:val="0"/>
              <w:divBdr>
                <w:top w:val="none" w:sz="0" w:space="0" w:color="auto"/>
                <w:left w:val="none" w:sz="0" w:space="0" w:color="auto"/>
                <w:bottom w:val="none" w:sz="0" w:space="0" w:color="auto"/>
                <w:right w:val="none" w:sz="0" w:space="0" w:color="auto"/>
              </w:divBdr>
              <w:divsChild>
                <w:div w:id="14338660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7702">
      <w:bodyDiv w:val="1"/>
      <w:marLeft w:val="0"/>
      <w:marRight w:val="0"/>
      <w:marTop w:val="0"/>
      <w:marBottom w:val="0"/>
      <w:divBdr>
        <w:top w:val="none" w:sz="0" w:space="0" w:color="auto"/>
        <w:left w:val="none" w:sz="0" w:space="0" w:color="auto"/>
        <w:bottom w:val="none" w:sz="0" w:space="0" w:color="auto"/>
        <w:right w:val="none" w:sz="0" w:space="0" w:color="auto"/>
      </w:divBdr>
    </w:div>
    <w:div w:id="711809587">
      <w:bodyDiv w:val="1"/>
      <w:marLeft w:val="0"/>
      <w:marRight w:val="0"/>
      <w:marTop w:val="0"/>
      <w:marBottom w:val="0"/>
      <w:divBdr>
        <w:top w:val="none" w:sz="0" w:space="0" w:color="auto"/>
        <w:left w:val="none" w:sz="0" w:space="0" w:color="auto"/>
        <w:bottom w:val="none" w:sz="0" w:space="0" w:color="auto"/>
        <w:right w:val="none" w:sz="0" w:space="0" w:color="auto"/>
      </w:divBdr>
    </w:div>
    <w:div w:id="716780008">
      <w:bodyDiv w:val="1"/>
      <w:marLeft w:val="0"/>
      <w:marRight w:val="0"/>
      <w:marTop w:val="0"/>
      <w:marBottom w:val="0"/>
      <w:divBdr>
        <w:top w:val="none" w:sz="0" w:space="0" w:color="auto"/>
        <w:left w:val="none" w:sz="0" w:space="0" w:color="auto"/>
        <w:bottom w:val="none" w:sz="0" w:space="0" w:color="auto"/>
        <w:right w:val="none" w:sz="0" w:space="0" w:color="auto"/>
      </w:divBdr>
      <w:divsChild>
        <w:div w:id="1047878150">
          <w:marLeft w:val="0"/>
          <w:marRight w:val="0"/>
          <w:marTop w:val="0"/>
          <w:marBottom w:val="0"/>
          <w:divBdr>
            <w:top w:val="none" w:sz="0" w:space="0" w:color="auto"/>
            <w:left w:val="none" w:sz="0" w:space="0" w:color="auto"/>
            <w:bottom w:val="none" w:sz="0" w:space="0" w:color="auto"/>
            <w:right w:val="none" w:sz="0" w:space="0" w:color="auto"/>
          </w:divBdr>
        </w:div>
      </w:divsChild>
    </w:div>
    <w:div w:id="734401520">
      <w:bodyDiv w:val="1"/>
      <w:marLeft w:val="0"/>
      <w:marRight w:val="0"/>
      <w:marTop w:val="0"/>
      <w:marBottom w:val="0"/>
      <w:divBdr>
        <w:top w:val="none" w:sz="0" w:space="0" w:color="auto"/>
        <w:left w:val="none" w:sz="0" w:space="0" w:color="auto"/>
        <w:bottom w:val="none" w:sz="0" w:space="0" w:color="auto"/>
        <w:right w:val="none" w:sz="0" w:space="0" w:color="auto"/>
      </w:divBdr>
    </w:div>
    <w:div w:id="736319198">
      <w:bodyDiv w:val="1"/>
      <w:marLeft w:val="0"/>
      <w:marRight w:val="0"/>
      <w:marTop w:val="0"/>
      <w:marBottom w:val="0"/>
      <w:divBdr>
        <w:top w:val="none" w:sz="0" w:space="0" w:color="auto"/>
        <w:left w:val="none" w:sz="0" w:space="0" w:color="auto"/>
        <w:bottom w:val="none" w:sz="0" w:space="0" w:color="auto"/>
        <w:right w:val="none" w:sz="0" w:space="0" w:color="auto"/>
      </w:divBdr>
    </w:div>
    <w:div w:id="961572944">
      <w:bodyDiv w:val="1"/>
      <w:marLeft w:val="0"/>
      <w:marRight w:val="0"/>
      <w:marTop w:val="0"/>
      <w:marBottom w:val="0"/>
      <w:divBdr>
        <w:top w:val="none" w:sz="0" w:space="0" w:color="auto"/>
        <w:left w:val="none" w:sz="0" w:space="0" w:color="auto"/>
        <w:bottom w:val="none" w:sz="0" w:space="0" w:color="auto"/>
        <w:right w:val="none" w:sz="0" w:space="0" w:color="auto"/>
      </w:divBdr>
    </w:div>
    <w:div w:id="1139762964">
      <w:bodyDiv w:val="1"/>
      <w:marLeft w:val="0"/>
      <w:marRight w:val="0"/>
      <w:marTop w:val="0"/>
      <w:marBottom w:val="0"/>
      <w:divBdr>
        <w:top w:val="none" w:sz="0" w:space="0" w:color="auto"/>
        <w:left w:val="none" w:sz="0" w:space="0" w:color="auto"/>
        <w:bottom w:val="none" w:sz="0" w:space="0" w:color="auto"/>
        <w:right w:val="none" w:sz="0" w:space="0" w:color="auto"/>
      </w:divBdr>
    </w:div>
    <w:div w:id="1161433436">
      <w:bodyDiv w:val="1"/>
      <w:marLeft w:val="0"/>
      <w:marRight w:val="0"/>
      <w:marTop w:val="0"/>
      <w:marBottom w:val="0"/>
      <w:divBdr>
        <w:top w:val="none" w:sz="0" w:space="0" w:color="auto"/>
        <w:left w:val="none" w:sz="0" w:space="0" w:color="auto"/>
        <w:bottom w:val="none" w:sz="0" w:space="0" w:color="auto"/>
        <w:right w:val="none" w:sz="0" w:space="0" w:color="auto"/>
      </w:divBdr>
    </w:div>
    <w:div w:id="1204752602">
      <w:bodyDiv w:val="1"/>
      <w:marLeft w:val="0"/>
      <w:marRight w:val="0"/>
      <w:marTop w:val="0"/>
      <w:marBottom w:val="0"/>
      <w:divBdr>
        <w:top w:val="none" w:sz="0" w:space="0" w:color="auto"/>
        <w:left w:val="none" w:sz="0" w:space="0" w:color="auto"/>
        <w:bottom w:val="none" w:sz="0" w:space="0" w:color="auto"/>
        <w:right w:val="none" w:sz="0" w:space="0" w:color="auto"/>
      </w:divBdr>
      <w:divsChild>
        <w:div w:id="174921218">
          <w:marLeft w:val="0"/>
          <w:marRight w:val="0"/>
          <w:marTop w:val="0"/>
          <w:marBottom w:val="0"/>
          <w:divBdr>
            <w:top w:val="none" w:sz="0" w:space="0" w:color="auto"/>
            <w:left w:val="none" w:sz="0" w:space="0" w:color="auto"/>
            <w:bottom w:val="none" w:sz="0" w:space="0" w:color="auto"/>
            <w:right w:val="none" w:sz="0" w:space="0" w:color="auto"/>
          </w:divBdr>
          <w:divsChild>
            <w:div w:id="1357655180">
              <w:marLeft w:val="0"/>
              <w:marRight w:val="0"/>
              <w:marTop w:val="0"/>
              <w:marBottom w:val="0"/>
              <w:divBdr>
                <w:top w:val="none" w:sz="0" w:space="0" w:color="auto"/>
                <w:left w:val="none" w:sz="0" w:space="0" w:color="auto"/>
                <w:bottom w:val="none" w:sz="0" w:space="0" w:color="auto"/>
                <w:right w:val="none" w:sz="0" w:space="0" w:color="auto"/>
              </w:divBdr>
              <w:divsChild>
                <w:div w:id="268440513">
                  <w:marLeft w:val="0"/>
                  <w:marRight w:val="0"/>
                  <w:marTop w:val="0"/>
                  <w:marBottom w:val="0"/>
                  <w:divBdr>
                    <w:top w:val="none" w:sz="0" w:space="0" w:color="auto"/>
                    <w:left w:val="none" w:sz="0" w:space="0" w:color="auto"/>
                    <w:bottom w:val="none" w:sz="0" w:space="0" w:color="auto"/>
                    <w:right w:val="none" w:sz="0" w:space="0" w:color="auto"/>
                  </w:divBdr>
                  <w:divsChild>
                    <w:div w:id="108160741">
                      <w:marLeft w:val="0"/>
                      <w:marRight w:val="0"/>
                      <w:marTop w:val="0"/>
                      <w:marBottom w:val="0"/>
                      <w:divBdr>
                        <w:top w:val="none" w:sz="0" w:space="0" w:color="auto"/>
                        <w:left w:val="none" w:sz="0" w:space="0" w:color="auto"/>
                        <w:bottom w:val="none" w:sz="0" w:space="0" w:color="auto"/>
                        <w:right w:val="none" w:sz="0" w:space="0" w:color="auto"/>
                      </w:divBdr>
                      <w:divsChild>
                        <w:div w:id="1947151170">
                          <w:marLeft w:val="0"/>
                          <w:marRight w:val="0"/>
                          <w:marTop w:val="0"/>
                          <w:marBottom w:val="0"/>
                          <w:divBdr>
                            <w:top w:val="none" w:sz="0" w:space="0" w:color="auto"/>
                            <w:left w:val="none" w:sz="0" w:space="0" w:color="auto"/>
                            <w:bottom w:val="none" w:sz="0" w:space="0" w:color="auto"/>
                            <w:right w:val="none" w:sz="0" w:space="0" w:color="auto"/>
                          </w:divBdr>
                          <w:divsChild>
                            <w:div w:id="12078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930308">
      <w:bodyDiv w:val="1"/>
      <w:marLeft w:val="0"/>
      <w:marRight w:val="0"/>
      <w:marTop w:val="0"/>
      <w:marBottom w:val="0"/>
      <w:divBdr>
        <w:top w:val="none" w:sz="0" w:space="0" w:color="auto"/>
        <w:left w:val="none" w:sz="0" w:space="0" w:color="auto"/>
        <w:bottom w:val="none" w:sz="0" w:space="0" w:color="auto"/>
        <w:right w:val="none" w:sz="0" w:space="0" w:color="auto"/>
      </w:divBdr>
    </w:div>
    <w:div w:id="1374039321">
      <w:bodyDiv w:val="1"/>
      <w:marLeft w:val="0"/>
      <w:marRight w:val="0"/>
      <w:marTop w:val="0"/>
      <w:marBottom w:val="0"/>
      <w:divBdr>
        <w:top w:val="none" w:sz="0" w:space="0" w:color="auto"/>
        <w:left w:val="none" w:sz="0" w:space="0" w:color="auto"/>
        <w:bottom w:val="none" w:sz="0" w:space="0" w:color="auto"/>
        <w:right w:val="none" w:sz="0" w:space="0" w:color="auto"/>
      </w:divBdr>
    </w:div>
    <w:div w:id="1395078443">
      <w:bodyDiv w:val="1"/>
      <w:marLeft w:val="0"/>
      <w:marRight w:val="0"/>
      <w:marTop w:val="0"/>
      <w:marBottom w:val="0"/>
      <w:divBdr>
        <w:top w:val="none" w:sz="0" w:space="0" w:color="auto"/>
        <w:left w:val="none" w:sz="0" w:space="0" w:color="auto"/>
        <w:bottom w:val="none" w:sz="0" w:space="0" w:color="auto"/>
        <w:right w:val="none" w:sz="0" w:space="0" w:color="auto"/>
      </w:divBdr>
      <w:divsChild>
        <w:div w:id="994190227">
          <w:marLeft w:val="0"/>
          <w:marRight w:val="0"/>
          <w:marTop w:val="0"/>
          <w:marBottom w:val="0"/>
          <w:divBdr>
            <w:top w:val="none" w:sz="0" w:space="0" w:color="auto"/>
            <w:left w:val="none" w:sz="0" w:space="0" w:color="auto"/>
            <w:bottom w:val="none" w:sz="0" w:space="0" w:color="auto"/>
            <w:right w:val="none" w:sz="0" w:space="0" w:color="auto"/>
          </w:divBdr>
          <w:divsChild>
            <w:div w:id="902255750">
              <w:marLeft w:val="0"/>
              <w:marRight w:val="0"/>
              <w:marTop w:val="0"/>
              <w:marBottom w:val="0"/>
              <w:divBdr>
                <w:top w:val="none" w:sz="0" w:space="0" w:color="auto"/>
                <w:left w:val="none" w:sz="0" w:space="0" w:color="auto"/>
                <w:bottom w:val="none" w:sz="0" w:space="0" w:color="auto"/>
                <w:right w:val="none" w:sz="0" w:space="0" w:color="auto"/>
              </w:divBdr>
              <w:divsChild>
                <w:div w:id="984512518">
                  <w:marLeft w:val="0"/>
                  <w:marRight w:val="0"/>
                  <w:marTop w:val="0"/>
                  <w:marBottom w:val="0"/>
                  <w:divBdr>
                    <w:top w:val="none" w:sz="0" w:space="0" w:color="auto"/>
                    <w:left w:val="none" w:sz="0" w:space="0" w:color="auto"/>
                    <w:bottom w:val="none" w:sz="0" w:space="0" w:color="auto"/>
                    <w:right w:val="none" w:sz="0" w:space="0" w:color="auto"/>
                  </w:divBdr>
                  <w:divsChild>
                    <w:div w:id="279336424">
                      <w:marLeft w:val="0"/>
                      <w:marRight w:val="0"/>
                      <w:marTop w:val="0"/>
                      <w:marBottom w:val="0"/>
                      <w:divBdr>
                        <w:top w:val="none" w:sz="0" w:space="0" w:color="auto"/>
                        <w:left w:val="none" w:sz="0" w:space="0" w:color="auto"/>
                        <w:bottom w:val="none" w:sz="0" w:space="0" w:color="auto"/>
                        <w:right w:val="none" w:sz="0" w:space="0" w:color="auto"/>
                      </w:divBdr>
                      <w:divsChild>
                        <w:div w:id="1193499301">
                          <w:marLeft w:val="0"/>
                          <w:marRight w:val="0"/>
                          <w:marTop w:val="0"/>
                          <w:marBottom w:val="0"/>
                          <w:divBdr>
                            <w:top w:val="none" w:sz="0" w:space="0" w:color="auto"/>
                            <w:left w:val="none" w:sz="0" w:space="0" w:color="auto"/>
                            <w:bottom w:val="none" w:sz="0" w:space="0" w:color="auto"/>
                            <w:right w:val="none" w:sz="0" w:space="0" w:color="auto"/>
                          </w:divBdr>
                          <w:divsChild>
                            <w:div w:id="8988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391989">
      <w:bodyDiv w:val="1"/>
      <w:marLeft w:val="0"/>
      <w:marRight w:val="0"/>
      <w:marTop w:val="0"/>
      <w:marBottom w:val="0"/>
      <w:divBdr>
        <w:top w:val="none" w:sz="0" w:space="0" w:color="auto"/>
        <w:left w:val="none" w:sz="0" w:space="0" w:color="auto"/>
        <w:bottom w:val="none" w:sz="0" w:space="0" w:color="auto"/>
        <w:right w:val="none" w:sz="0" w:space="0" w:color="auto"/>
      </w:divBdr>
    </w:div>
    <w:div w:id="1626544914">
      <w:bodyDiv w:val="1"/>
      <w:marLeft w:val="0"/>
      <w:marRight w:val="0"/>
      <w:marTop w:val="0"/>
      <w:marBottom w:val="0"/>
      <w:divBdr>
        <w:top w:val="none" w:sz="0" w:space="0" w:color="auto"/>
        <w:left w:val="none" w:sz="0" w:space="0" w:color="auto"/>
        <w:bottom w:val="none" w:sz="0" w:space="0" w:color="auto"/>
        <w:right w:val="none" w:sz="0" w:space="0" w:color="auto"/>
      </w:divBdr>
    </w:div>
    <w:div w:id="1630279216">
      <w:bodyDiv w:val="1"/>
      <w:marLeft w:val="0"/>
      <w:marRight w:val="0"/>
      <w:marTop w:val="0"/>
      <w:marBottom w:val="0"/>
      <w:divBdr>
        <w:top w:val="none" w:sz="0" w:space="0" w:color="auto"/>
        <w:left w:val="none" w:sz="0" w:space="0" w:color="auto"/>
        <w:bottom w:val="none" w:sz="0" w:space="0" w:color="auto"/>
        <w:right w:val="none" w:sz="0" w:space="0" w:color="auto"/>
      </w:divBdr>
    </w:div>
    <w:div w:id="1649096156">
      <w:bodyDiv w:val="1"/>
      <w:marLeft w:val="0"/>
      <w:marRight w:val="0"/>
      <w:marTop w:val="0"/>
      <w:marBottom w:val="0"/>
      <w:divBdr>
        <w:top w:val="none" w:sz="0" w:space="0" w:color="auto"/>
        <w:left w:val="none" w:sz="0" w:space="0" w:color="auto"/>
        <w:bottom w:val="none" w:sz="0" w:space="0" w:color="auto"/>
        <w:right w:val="none" w:sz="0" w:space="0" w:color="auto"/>
      </w:divBdr>
      <w:divsChild>
        <w:div w:id="271523668">
          <w:marLeft w:val="0"/>
          <w:marRight w:val="0"/>
          <w:marTop w:val="0"/>
          <w:marBottom w:val="0"/>
          <w:divBdr>
            <w:top w:val="none" w:sz="0" w:space="0" w:color="auto"/>
            <w:left w:val="none" w:sz="0" w:space="0" w:color="auto"/>
            <w:bottom w:val="none" w:sz="0" w:space="0" w:color="auto"/>
            <w:right w:val="none" w:sz="0" w:space="0" w:color="auto"/>
          </w:divBdr>
          <w:divsChild>
            <w:div w:id="240795913">
              <w:marLeft w:val="0"/>
              <w:marRight w:val="0"/>
              <w:marTop w:val="0"/>
              <w:marBottom w:val="0"/>
              <w:divBdr>
                <w:top w:val="none" w:sz="0" w:space="0" w:color="auto"/>
                <w:left w:val="none" w:sz="0" w:space="0" w:color="auto"/>
                <w:bottom w:val="none" w:sz="0" w:space="0" w:color="auto"/>
                <w:right w:val="none" w:sz="0" w:space="0" w:color="auto"/>
              </w:divBdr>
              <w:divsChild>
                <w:div w:id="1983122103">
                  <w:marLeft w:val="0"/>
                  <w:marRight w:val="0"/>
                  <w:marTop w:val="0"/>
                  <w:marBottom w:val="0"/>
                  <w:divBdr>
                    <w:top w:val="none" w:sz="0" w:space="0" w:color="auto"/>
                    <w:left w:val="none" w:sz="0" w:space="0" w:color="auto"/>
                    <w:bottom w:val="none" w:sz="0" w:space="0" w:color="auto"/>
                    <w:right w:val="none" w:sz="0" w:space="0" w:color="auto"/>
                  </w:divBdr>
                  <w:divsChild>
                    <w:div w:id="366024528">
                      <w:marLeft w:val="0"/>
                      <w:marRight w:val="0"/>
                      <w:marTop w:val="0"/>
                      <w:marBottom w:val="0"/>
                      <w:divBdr>
                        <w:top w:val="none" w:sz="0" w:space="0" w:color="auto"/>
                        <w:left w:val="none" w:sz="0" w:space="0" w:color="auto"/>
                        <w:bottom w:val="none" w:sz="0" w:space="0" w:color="auto"/>
                        <w:right w:val="none" w:sz="0" w:space="0" w:color="auto"/>
                      </w:divBdr>
                      <w:divsChild>
                        <w:div w:id="2033876428">
                          <w:marLeft w:val="0"/>
                          <w:marRight w:val="0"/>
                          <w:marTop w:val="0"/>
                          <w:marBottom w:val="0"/>
                          <w:divBdr>
                            <w:top w:val="none" w:sz="0" w:space="0" w:color="auto"/>
                            <w:left w:val="none" w:sz="0" w:space="0" w:color="auto"/>
                            <w:bottom w:val="none" w:sz="0" w:space="0" w:color="auto"/>
                            <w:right w:val="none" w:sz="0" w:space="0" w:color="auto"/>
                          </w:divBdr>
                          <w:divsChild>
                            <w:div w:id="15282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886431">
      <w:bodyDiv w:val="1"/>
      <w:marLeft w:val="0"/>
      <w:marRight w:val="0"/>
      <w:marTop w:val="0"/>
      <w:marBottom w:val="0"/>
      <w:divBdr>
        <w:top w:val="none" w:sz="0" w:space="0" w:color="auto"/>
        <w:left w:val="none" w:sz="0" w:space="0" w:color="auto"/>
        <w:bottom w:val="none" w:sz="0" w:space="0" w:color="auto"/>
        <w:right w:val="none" w:sz="0" w:space="0" w:color="auto"/>
      </w:divBdr>
    </w:div>
    <w:div w:id="1732194030">
      <w:bodyDiv w:val="1"/>
      <w:marLeft w:val="0"/>
      <w:marRight w:val="0"/>
      <w:marTop w:val="0"/>
      <w:marBottom w:val="0"/>
      <w:divBdr>
        <w:top w:val="none" w:sz="0" w:space="0" w:color="auto"/>
        <w:left w:val="none" w:sz="0" w:space="0" w:color="auto"/>
        <w:bottom w:val="none" w:sz="0" w:space="0" w:color="auto"/>
        <w:right w:val="none" w:sz="0" w:space="0" w:color="auto"/>
      </w:divBdr>
    </w:div>
    <w:div w:id="1842819752">
      <w:bodyDiv w:val="1"/>
      <w:marLeft w:val="0"/>
      <w:marRight w:val="0"/>
      <w:marTop w:val="0"/>
      <w:marBottom w:val="0"/>
      <w:divBdr>
        <w:top w:val="none" w:sz="0" w:space="0" w:color="auto"/>
        <w:left w:val="none" w:sz="0" w:space="0" w:color="auto"/>
        <w:bottom w:val="none" w:sz="0" w:space="0" w:color="auto"/>
        <w:right w:val="none" w:sz="0" w:space="0" w:color="auto"/>
      </w:divBdr>
      <w:divsChild>
        <w:div w:id="1978491163">
          <w:marLeft w:val="0"/>
          <w:marRight w:val="0"/>
          <w:marTop w:val="0"/>
          <w:marBottom w:val="0"/>
          <w:divBdr>
            <w:top w:val="none" w:sz="0" w:space="0" w:color="auto"/>
            <w:left w:val="none" w:sz="0" w:space="0" w:color="auto"/>
            <w:bottom w:val="none" w:sz="0" w:space="0" w:color="auto"/>
            <w:right w:val="none" w:sz="0" w:space="0" w:color="auto"/>
          </w:divBdr>
          <w:divsChild>
            <w:div w:id="146434382">
              <w:marLeft w:val="0"/>
              <w:marRight w:val="0"/>
              <w:marTop w:val="0"/>
              <w:marBottom w:val="0"/>
              <w:divBdr>
                <w:top w:val="none" w:sz="0" w:space="0" w:color="auto"/>
                <w:left w:val="none" w:sz="0" w:space="0" w:color="auto"/>
                <w:bottom w:val="none" w:sz="0" w:space="0" w:color="auto"/>
                <w:right w:val="none" w:sz="0" w:space="0" w:color="auto"/>
              </w:divBdr>
              <w:divsChild>
                <w:div w:id="11077102">
                  <w:marLeft w:val="0"/>
                  <w:marRight w:val="0"/>
                  <w:marTop w:val="0"/>
                  <w:marBottom w:val="0"/>
                  <w:divBdr>
                    <w:top w:val="none" w:sz="0" w:space="0" w:color="auto"/>
                    <w:left w:val="none" w:sz="0" w:space="0" w:color="auto"/>
                    <w:bottom w:val="none" w:sz="0" w:space="0" w:color="auto"/>
                    <w:right w:val="none" w:sz="0" w:space="0" w:color="auto"/>
                  </w:divBdr>
                  <w:divsChild>
                    <w:div w:id="470444233">
                      <w:marLeft w:val="0"/>
                      <w:marRight w:val="0"/>
                      <w:marTop w:val="0"/>
                      <w:marBottom w:val="0"/>
                      <w:divBdr>
                        <w:top w:val="none" w:sz="0" w:space="0" w:color="auto"/>
                        <w:left w:val="none" w:sz="0" w:space="0" w:color="auto"/>
                        <w:bottom w:val="none" w:sz="0" w:space="0" w:color="auto"/>
                        <w:right w:val="none" w:sz="0" w:space="0" w:color="auto"/>
                      </w:divBdr>
                      <w:divsChild>
                        <w:div w:id="1549419045">
                          <w:marLeft w:val="0"/>
                          <w:marRight w:val="0"/>
                          <w:marTop w:val="0"/>
                          <w:marBottom w:val="0"/>
                          <w:divBdr>
                            <w:top w:val="none" w:sz="0" w:space="0" w:color="auto"/>
                            <w:left w:val="none" w:sz="0" w:space="0" w:color="auto"/>
                            <w:bottom w:val="none" w:sz="0" w:space="0" w:color="auto"/>
                            <w:right w:val="none" w:sz="0" w:space="0" w:color="auto"/>
                          </w:divBdr>
                          <w:divsChild>
                            <w:div w:id="9472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838947">
      <w:bodyDiv w:val="1"/>
      <w:marLeft w:val="0"/>
      <w:marRight w:val="0"/>
      <w:marTop w:val="0"/>
      <w:marBottom w:val="0"/>
      <w:divBdr>
        <w:top w:val="none" w:sz="0" w:space="0" w:color="auto"/>
        <w:left w:val="none" w:sz="0" w:space="0" w:color="auto"/>
        <w:bottom w:val="none" w:sz="0" w:space="0" w:color="auto"/>
        <w:right w:val="none" w:sz="0" w:space="0" w:color="auto"/>
      </w:divBdr>
      <w:divsChild>
        <w:div w:id="1198353849">
          <w:marLeft w:val="0"/>
          <w:marRight w:val="0"/>
          <w:marTop w:val="0"/>
          <w:marBottom w:val="0"/>
          <w:divBdr>
            <w:top w:val="none" w:sz="0" w:space="0" w:color="auto"/>
            <w:left w:val="none" w:sz="0" w:space="0" w:color="auto"/>
            <w:bottom w:val="none" w:sz="0" w:space="0" w:color="auto"/>
            <w:right w:val="none" w:sz="0" w:space="0" w:color="auto"/>
          </w:divBdr>
        </w:div>
      </w:divsChild>
    </w:div>
    <w:div w:id="1881167633">
      <w:bodyDiv w:val="1"/>
      <w:marLeft w:val="0"/>
      <w:marRight w:val="0"/>
      <w:marTop w:val="0"/>
      <w:marBottom w:val="0"/>
      <w:divBdr>
        <w:top w:val="none" w:sz="0" w:space="0" w:color="auto"/>
        <w:left w:val="none" w:sz="0" w:space="0" w:color="auto"/>
        <w:bottom w:val="none" w:sz="0" w:space="0" w:color="auto"/>
        <w:right w:val="none" w:sz="0" w:space="0" w:color="auto"/>
      </w:divBdr>
    </w:div>
    <w:div w:id="1889107116">
      <w:bodyDiv w:val="1"/>
      <w:marLeft w:val="0"/>
      <w:marRight w:val="0"/>
      <w:marTop w:val="0"/>
      <w:marBottom w:val="0"/>
      <w:divBdr>
        <w:top w:val="none" w:sz="0" w:space="0" w:color="auto"/>
        <w:left w:val="none" w:sz="0" w:space="0" w:color="auto"/>
        <w:bottom w:val="none" w:sz="0" w:space="0" w:color="auto"/>
        <w:right w:val="none" w:sz="0" w:space="0" w:color="auto"/>
      </w:divBdr>
      <w:divsChild>
        <w:div w:id="147092117">
          <w:marLeft w:val="0"/>
          <w:marRight w:val="0"/>
          <w:marTop w:val="0"/>
          <w:marBottom w:val="0"/>
          <w:divBdr>
            <w:top w:val="none" w:sz="0" w:space="0" w:color="auto"/>
            <w:left w:val="none" w:sz="0" w:space="0" w:color="auto"/>
            <w:bottom w:val="none" w:sz="0" w:space="0" w:color="auto"/>
            <w:right w:val="none" w:sz="0" w:space="0" w:color="auto"/>
          </w:divBdr>
          <w:divsChild>
            <w:div w:id="1546212241">
              <w:marLeft w:val="0"/>
              <w:marRight w:val="0"/>
              <w:marTop w:val="0"/>
              <w:marBottom w:val="0"/>
              <w:divBdr>
                <w:top w:val="none" w:sz="0" w:space="0" w:color="auto"/>
                <w:left w:val="none" w:sz="0" w:space="0" w:color="auto"/>
                <w:bottom w:val="none" w:sz="0" w:space="0" w:color="auto"/>
                <w:right w:val="none" w:sz="0" w:space="0" w:color="auto"/>
              </w:divBdr>
              <w:divsChild>
                <w:div w:id="434327486">
                  <w:marLeft w:val="0"/>
                  <w:marRight w:val="0"/>
                  <w:marTop w:val="0"/>
                  <w:marBottom w:val="0"/>
                  <w:divBdr>
                    <w:top w:val="none" w:sz="0" w:space="0" w:color="auto"/>
                    <w:left w:val="none" w:sz="0" w:space="0" w:color="auto"/>
                    <w:bottom w:val="none" w:sz="0" w:space="0" w:color="auto"/>
                    <w:right w:val="none" w:sz="0" w:space="0" w:color="auto"/>
                  </w:divBdr>
                  <w:divsChild>
                    <w:div w:id="1404567589">
                      <w:marLeft w:val="0"/>
                      <w:marRight w:val="0"/>
                      <w:marTop w:val="0"/>
                      <w:marBottom w:val="0"/>
                      <w:divBdr>
                        <w:top w:val="none" w:sz="0" w:space="0" w:color="auto"/>
                        <w:left w:val="none" w:sz="0" w:space="0" w:color="auto"/>
                        <w:bottom w:val="none" w:sz="0" w:space="0" w:color="auto"/>
                        <w:right w:val="none" w:sz="0" w:space="0" w:color="auto"/>
                      </w:divBdr>
                      <w:divsChild>
                        <w:div w:id="1213427175">
                          <w:marLeft w:val="0"/>
                          <w:marRight w:val="0"/>
                          <w:marTop w:val="0"/>
                          <w:marBottom w:val="0"/>
                          <w:divBdr>
                            <w:top w:val="none" w:sz="0" w:space="0" w:color="auto"/>
                            <w:left w:val="none" w:sz="0" w:space="0" w:color="auto"/>
                            <w:bottom w:val="none" w:sz="0" w:space="0" w:color="auto"/>
                            <w:right w:val="none" w:sz="0" w:space="0" w:color="auto"/>
                          </w:divBdr>
                          <w:divsChild>
                            <w:div w:id="200612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239437">
      <w:bodyDiv w:val="1"/>
      <w:marLeft w:val="0"/>
      <w:marRight w:val="0"/>
      <w:marTop w:val="0"/>
      <w:marBottom w:val="0"/>
      <w:divBdr>
        <w:top w:val="none" w:sz="0" w:space="0" w:color="auto"/>
        <w:left w:val="none" w:sz="0" w:space="0" w:color="auto"/>
        <w:bottom w:val="none" w:sz="0" w:space="0" w:color="auto"/>
        <w:right w:val="none" w:sz="0" w:space="0" w:color="auto"/>
      </w:divBdr>
    </w:div>
    <w:div w:id="1940604597">
      <w:bodyDiv w:val="1"/>
      <w:marLeft w:val="0"/>
      <w:marRight w:val="0"/>
      <w:marTop w:val="0"/>
      <w:marBottom w:val="0"/>
      <w:divBdr>
        <w:top w:val="none" w:sz="0" w:space="0" w:color="auto"/>
        <w:left w:val="none" w:sz="0" w:space="0" w:color="auto"/>
        <w:bottom w:val="none" w:sz="0" w:space="0" w:color="auto"/>
        <w:right w:val="none" w:sz="0" w:space="0" w:color="auto"/>
      </w:divBdr>
      <w:divsChild>
        <w:div w:id="147133074">
          <w:marLeft w:val="0"/>
          <w:marRight w:val="0"/>
          <w:marTop w:val="0"/>
          <w:marBottom w:val="0"/>
          <w:divBdr>
            <w:top w:val="none" w:sz="0" w:space="0" w:color="auto"/>
            <w:left w:val="none" w:sz="0" w:space="0" w:color="auto"/>
            <w:bottom w:val="none" w:sz="0" w:space="0" w:color="auto"/>
            <w:right w:val="none" w:sz="0" w:space="0" w:color="auto"/>
          </w:divBdr>
          <w:divsChild>
            <w:div w:id="1575747631">
              <w:marLeft w:val="0"/>
              <w:marRight w:val="0"/>
              <w:marTop w:val="0"/>
              <w:marBottom w:val="0"/>
              <w:divBdr>
                <w:top w:val="none" w:sz="0" w:space="0" w:color="auto"/>
                <w:left w:val="none" w:sz="0" w:space="0" w:color="auto"/>
                <w:bottom w:val="none" w:sz="0" w:space="0" w:color="auto"/>
                <w:right w:val="none" w:sz="0" w:space="0" w:color="auto"/>
              </w:divBdr>
              <w:divsChild>
                <w:div w:id="1072705155">
                  <w:marLeft w:val="0"/>
                  <w:marRight w:val="0"/>
                  <w:marTop w:val="0"/>
                  <w:marBottom w:val="0"/>
                  <w:divBdr>
                    <w:top w:val="none" w:sz="0" w:space="0" w:color="auto"/>
                    <w:left w:val="none" w:sz="0" w:space="0" w:color="auto"/>
                    <w:bottom w:val="none" w:sz="0" w:space="0" w:color="auto"/>
                    <w:right w:val="none" w:sz="0" w:space="0" w:color="auto"/>
                  </w:divBdr>
                  <w:divsChild>
                    <w:div w:id="2042052541">
                      <w:marLeft w:val="0"/>
                      <w:marRight w:val="0"/>
                      <w:marTop w:val="0"/>
                      <w:marBottom w:val="0"/>
                      <w:divBdr>
                        <w:top w:val="none" w:sz="0" w:space="0" w:color="auto"/>
                        <w:left w:val="none" w:sz="0" w:space="0" w:color="auto"/>
                        <w:bottom w:val="none" w:sz="0" w:space="0" w:color="auto"/>
                        <w:right w:val="none" w:sz="0" w:space="0" w:color="auto"/>
                      </w:divBdr>
                      <w:divsChild>
                        <w:div w:id="1846550360">
                          <w:marLeft w:val="0"/>
                          <w:marRight w:val="0"/>
                          <w:marTop w:val="0"/>
                          <w:marBottom w:val="0"/>
                          <w:divBdr>
                            <w:top w:val="none" w:sz="0" w:space="0" w:color="auto"/>
                            <w:left w:val="none" w:sz="0" w:space="0" w:color="auto"/>
                            <w:bottom w:val="none" w:sz="0" w:space="0" w:color="auto"/>
                            <w:right w:val="none" w:sz="0" w:space="0" w:color="auto"/>
                          </w:divBdr>
                          <w:divsChild>
                            <w:div w:id="129610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96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7A7C2-C4B7-4C28-8009-458EF962A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9734</Words>
  <Characters>58404</Characters>
  <Application>Microsoft Office Word</Application>
  <DocSecurity>0</DocSecurity>
  <Lines>486</Lines>
  <Paragraphs>136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2016-04-25T09:17:00Z</dcterms:created>
  <dcterms:modified xsi:type="dcterms:W3CDTF">2016-04-25T09:17:00Z</dcterms:modified>
</cp:coreProperties>
</file>