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48F" w:rsidRPr="00555021" w:rsidRDefault="00CE75D4" w:rsidP="00E65593">
      <w:pPr>
        <w:pStyle w:val="Nagwek1"/>
        <w:spacing w:before="0" w:after="120" w:line="240" w:lineRule="auto"/>
        <w:jc w:val="right"/>
        <w:rPr>
          <w:rFonts w:asciiTheme="minorHAnsi" w:hAnsiTheme="minorHAnsi"/>
          <w:u w:val="single"/>
          <w:lang w:val="pl-PL"/>
        </w:rPr>
      </w:pPr>
      <w:bookmarkStart w:id="0" w:name="_Toc421029254"/>
      <w:bookmarkStart w:id="1" w:name="_GoBack"/>
      <w:bookmarkEnd w:id="1"/>
      <w:r>
        <w:rPr>
          <w:rFonts w:asciiTheme="minorHAnsi" w:hAnsiTheme="minorHAnsi"/>
          <w:u w:val="single"/>
          <w:lang w:val="pl-PL"/>
        </w:rPr>
        <w:t xml:space="preserve"> </w:t>
      </w:r>
    </w:p>
    <w:p w:rsidR="0053148F" w:rsidRPr="00D7274E" w:rsidRDefault="0053148F" w:rsidP="00E65593">
      <w:pPr>
        <w:pStyle w:val="Nagwek1"/>
        <w:spacing w:before="0" w:after="120" w:line="240" w:lineRule="auto"/>
        <w:jc w:val="center"/>
        <w:rPr>
          <w:rFonts w:asciiTheme="minorHAnsi" w:hAnsiTheme="minorHAnsi"/>
          <w:lang w:val="pl-PL"/>
        </w:rPr>
      </w:pPr>
    </w:p>
    <w:p w:rsidR="00E15455" w:rsidRPr="00D7274E" w:rsidRDefault="00FF1D0E" w:rsidP="00E65593">
      <w:pPr>
        <w:pStyle w:val="Nagwek1"/>
        <w:spacing w:before="0" w:after="120" w:line="240" w:lineRule="auto"/>
        <w:jc w:val="center"/>
        <w:rPr>
          <w:rFonts w:asciiTheme="minorHAnsi" w:hAnsiTheme="minorHAnsi"/>
          <w:sz w:val="32"/>
          <w:szCs w:val="32"/>
          <w:lang w:val="pl-PL"/>
        </w:rPr>
      </w:pPr>
      <w:r>
        <w:rPr>
          <w:rFonts w:asciiTheme="minorHAnsi" w:hAnsiTheme="minorHAnsi"/>
          <w:sz w:val="32"/>
          <w:szCs w:val="32"/>
          <w:lang w:val="pl-PL"/>
        </w:rPr>
        <w:t xml:space="preserve"> </w:t>
      </w:r>
    </w:p>
    <w:p w:rsidR="00862AA6" w:rsidRDefault="00862AA6" w:rsidP="00E65593">
      <w:pPr>
        <w:pStyle w:val="Nagwek1"/>
        <w:spacing w:before="0" w:after="120" w:line="240" w:lineRule="auto"/>
        <w:jc w:val="center"/>
        <w:rPr>
          <w:rFonts w:asciiTheme="minorHAnsi" w:hAnsiTheme="minorHAnsi"/>
          <w:sz w:val="32"/>
          <w:szCs w:val="32"/>
          <w:lang w:val="pl-PL"/>
        </w:rPr>
      </w:pPr>
    </w:p>
    <w:p w:rsidR="00862AA6" w:rsidRDefault="00862AA6" w:rsidP="00E65593">
      <w:pPr>
        <w:pStyle w:val="Nagwek1"/>
        <w:spacing w:before="0" w:after="120" w:line="240" w:lineRule="auto"/>
        <w:jc w:val="center"/>
        <w:rPr>
          <w:rFonts w:asciiTheme="minorHAnsi" w:hAnsiTheme="minorHAnsi"/>
          <w:sz w:val="32"/>
          <w:szCs w:val="32"/>
          <w:lang w:val="pl-PL"/>
        </w:rPr>
      </w:pPr>
    </w:p>
    <w:p w:rsidR="00862AA6" w:rsidRDefault="00862AA6" w:rsidP="00E65593">
      <w:pPr>
        <w:pStyle w:val="Nagwek1"/>
        <w:spacing w:before="0" w:after="120" w:line="240" w:lineRule="auto"/>
        <w:jc w:val="center"/>
        <w:rPr>
          <w:rFonts w:asciiTheme="minorHAnsi" w:hAnsiTheme="minorHAnsi"/>
          <w:sz w:val="32"/>
          <w:szCs w:val="32"/>
          <w:lang w:val="pl-PL"/>
        </w:rPr>
      </w:pPr>
    </w:p>
    <w:p w:rsidR="008D3934" w:rsidRPr="00D7274E" w:rsidRDefault="00E94F72" w:rsidP="00E65593">
      <w:pPr>
        <w:pStyle w:val="Nagwek1"/>
        <w:spacing w:before="0" w:after="120" w:line="240" w:lineRule="auto"/>
        <w:jc w:val="center"/>
        <w:rPr>
          <w:rFonts w:asciiTheme="minorHAnsi" w:hAnsiTheme="minorHAnsi"/>
          <w:sz w:val="32"/>
          <w:szCs w:val="32"/>
          <w:lang w:val="pl-PL"/>
        </w:rPr>
      </w:pPr>
      <w:r w:rsidRPr="00D7274E">
        <w:rPr>
          <w:rFonts w:asciiTheme="minorHAnsi" w:hAnsiTheme="minorHAnsi"/>
          <w:sz w:val="32"/>
          <w:szCs w:val="32"/>
          <w:lang w:val="pl-PL"/>
        </w:rPr>
        <w:t>Przegląd orzecznictwa Europej</w:t>
      </w:r>
      <w:r w:rsidR="00B90E51" w:rsidRPr="00D7274E">
        <w:rPr>
          <w:rFonts w:asciiTheme="minorHAnsi" w:hAnsiTheme="minorHAnsi"/>
          <w:sz w:val="32"/>
          <w:szCs w:val="32"/>
          <w:lang w:val="pl-PL"/>
        </w:rPr>
        <w:t>skiego Trybunału Praw Człowieka</w:t>
      </w:r>
      <w:r w:rsidR="004E7FF2" w:rsidRPr="00D7274E">
        <w:rPr>
          <w:rFonts w:asciiTheme="minorHAnsi" w:hAnsiTheme="minorHAnsi"/>
          <w:sz w:val="32"/>
          <w:szCs w:val="32"/>
          <w:lang w:val="pl-PL"/>
        </w:rPr>
        <w:br/>
      </w:r>
      <w:r w:rsidRPr="00D7274E">
        <w:rPr>
          <w:rFonts w:asciiTheme="minorHAnsi" w:hAnsiTheme="minorHAnsi"/>
          <w:sz w:val="32"/>
          <w:szCs w:val="32"/>
          <w:lang w:val="pl-PL"/>
        </w:rPr>
        <w:t>w sprawach dotyczących państw trzecich</w:t>
      </w:r>
      <w:r w:rsidR="004E7FF2" w:rsidRPr="00D7274E">
        <w:rPr>
          <w:rFonts w:asciiTheme="minorHAnsi" w:hAnsiTheme="minorHAnsi"/>
          <w:sz w:val="32"/>
          <w:szCs w:val="32"/>
          <w:lang w:val="pl-PL"/>
        </w:rPr>
        <w:t xml:space="preserve"> – </w:t>
      </w:r>
      <w:r w:rsidR="004B2C39">
        <w:rPr>
          <w:rFonts w:asciiTheme="minorHAnsi" w:hAnsiTheme="minorHAnsi"/>
          <w:sz w:val="32"/>
          <w:szCs w:val="32"/>
          <w:lang w:val="pl-PL"/>
        </w:rPr>
        <w:t>grudzień</w:t>
      </w:r>
      <w:r w:rsidR="004E7FF2" w:rsidRPr="00D7274E">
        <w:rPr>
          <w:rFonts w:asciiTheme="minorHAnsi" w:hAnsiTheme="minorHAnsi"/>
          <w:sz w:val="32"/>
          <w:szCs w:val="32"/>
          <w:lang w:val="pl-PL"/>
        </w:rPr>
        <w:t xml:space="preserve"> 2015 r.</w:t>
      </w:r>
      <w:bookmarkEnd w:id="0"/>
    </w:p>
    <w:p w:rsidR="00E15455" w:rsidRPr="00D7274E" w:rsidRDefault="00E15455" w:rsidP="00E65593">
      <w:pPr>
        <w:spacing w:after="120" w:line="240" w:lineRule="auto"/>
        <w:rPr>
          <w:lang w:val="pl-PL"/>
        </w:rPr>
      </w:pPr>
    </w:p>
    <w:p w:rsidR="00E15455" w:rsidRPr="00D7274E" w:rsidRDefault="00E15455" w:rsidP="00E65593">
      <w:pPr>
        <w:spacing w:after="120" w:line="240" w:lineRule="auto"/>
        <w:rPr>
          <w:lang w:val="pl-PL"/>
        </w:rPr>
      </w:pPr>
      <w:r w:rsidRPr="00D7274E">
        <w:rPr>
          <w:noProof/>
          <w:lang w:val="pl-PL" w:eastAsia="pl-PL"/>
        </w:rPr>
        <w:drawing>
          <wp:inline distT="0" distB="0" distL="0" distR="0" wp14:anchorId="40654EC6" wp14:editId="098BD388">
            <wp:extent cx="5760720" cy="38404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tpcz_lato0020.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15455" w:rsidRPr="00D7274E" w:rsidRDefault="00E15455" w:rsidP="00E65593">
      <w:pPr>
        <w:spacing w:after="120" w:line="240" w:lineRule="auto"/>
        <w:jc w:val="center"/>
        <w:rPr>
          <w:b/>
          <w:sz w:val="26"/>
          <w:lang w:val="pl-PL"/>
        </w:rPr>
      </w:pPr>
    </w:p>
    <w:p w:rsidR="00E94F72" w:rsidRPr="00D7274E" w:rsidRDefault="00E94F72" w:rsidP="00E65593">
      <w:pPr>
        <w:spacing w:after="120" w:line="240" w:lineRule="auto"/>
        <w:jc w:val="center"/>
        <w:rPr>
          <w:b/>
          <w:sz w:val="26"/>
          <w:lang w:val="pl-PL"/>
        </w:rPr>
      </w:pPr>
      <w:r w:rsidRPr="00D7274E">
        <w:rPr>
          <w:b/>
          <w:sz w:val="26"/>
          <w:lang w:val="pl-PL"/>
        </w:rPr>
        <w:t xml:space="preserve">Nr </w:t>
      </w:r>
      <w:r w:rsidR="004B2C39">
        <w:rPr>
          <w:b/>
          <w:sz w:val="26"/>
          <w:lang w:val="pl-PL"/>
        </w:rPr>
        <w:t>8</w:t>
      </w:r>
      <w:r w:rsidR="00D24F30">
        <w:rPr>
          <w:b/>
          <w:sz w:val="26"/>
          <w:lang w:val="pl-PL"/>
        </w:rPr>
        <w:t xml:space="preserve"> /</w:t>
      </w:r>
      <w:r w:rsidRPr="00D7274E">
        <w:rPr>
          <w:b/>
          <w:sz w:val="26"/>
          <w:lang w:val="pl-PL"/>
        </w:rPr>
        <w:t>2015</w:t>
      </w:r>
    </w:p>
    <w:p w:rsidR="00E15455" w:rsidRPr="00D7274E" w:rsidRDefault="00E15455" w:rsidP="00E65593">
      <w:pPr>
        <w:spacing w:after="120" w:line="240" w:lineRule="auto"/>
        <w:jc w:val="both"/>
        <w:rPr>
          <w:b/>
          <w:sz w:val="26"/>
          <w:lang w:val="pl-PL"/>
        </w:rPr>
      </w:pPr>
    </w:p>
    <w:p w:rsidR="00862AA6" w:rsidRDefault="00862AA6">
      <w:pPr>
        <w:rPr>
          <w:b/>
          <w:sz w:val="26"/>
          <w:lang w:val="pl-PL"/>
        </w:rPr>
      </w:pPr>
      <w:r>
        <w:rPr>
          <w:b/>
          <w:sz w:val="26"/>
          <w:lang w:val="pl-PL"/>
        </w:rPr>
        <w:br w:type="page"/>
      </w:r>
    </w:p>
    <w:p w:rsidR="002044EB" w:rsidRDefault="00F47558">
      <w:pPr>
        <w:pStyle w:val="Spistreci2"/>
        <w:rPr>
          <w:rFonts w:eastAsiaTheme="minorEastAsia"/>
          <w:smallCaps w:val="0"/>
          <w:color w:val="auto"/>
          <w:sz w:val="22"/>
          <w:szCs w:val="22"/>
          <w:lang w:val="pl-PL" w:eastAsia="pl-PL"/>
        </w:rPr>
      </w:pPr>
      <w:r w:rsidRPr="00D7274E">
        <w:rPr>
          <w:lang w:val="pl-PL"/>
        </w:rPr>
        <w:lastRenderedPageBreak/>
        <w:fldChar w:fldCharType="begin"/>
      </w:r>
      <w:r w:rsidRPr="00D7274E">
        <w:rPr>
          <w:lang w:val="pl-PL"/>
        </w:rPr>
        <w:instrText xml:space="preserve"> TOC \o "2-3" \h \z \u </w:instrText>
      </w:r>
      <w:r w:rsidRPr="00D7274E">
        <w:rPr>
          <w:lang w:val="pl-PL"/>
        </w:rPr>
        <w:fldChar w:fldCharType="separate"/>
      </w:r>
      <w:hyperlink w:anchor="_Toc444761944" w:history="1">
        <w:r w:rsidR="002044EB" w:rsidRPr="00F5635B">
          <w:rPr>
            <w:rStyle w:val="Hipercze"/>
          </w:rPr>
          <w:t>1.</w:t>
        </w:r>
        <w:r w:rsidR="002044EB">
          <w:rPr>
            <w:rFonts w:eastAsiaTheme="minorEastAsia"/>
            <w:smallCaps w:val="0"/>
            <w:color w:val="auto"/>
            <w:sz w:val="22"/>
            <w:szCs w:val="22"/>
            <w:lang w:val="pl-PL" w:eastAsia="pl-PL"/>
          </w:rPr>
          <w:tab/>
        </w:r>
        <w:r w:rsidR="002044EB" w:rsidRPr="00F5635B">
          <w:rPr>
            <w:rStyle w:val="Hipercze"/>
          </w:rPr>
          <w:t>Brito Ferrinho Bexiga Villa-Nova p. Portugalii (skarga nr 69436/10), wyrok Izby z 1.12.2015 r., nieostateczny</w:t>
        </w:r>
        <w:r w:rsidR="002044EB">
          <w:rPr>
            <w:webHidden/>
          </w:rPr>
          <w:tab/>
        </w:r>
        <w:r w:rsidR="002044EB">
          <w:rPr>
            <w:webHidden/>
          </w:rPr>
          <w:fldChar w:fldCharType="begin"/>
        </w:r>
        <w:r w:rsidR="002044EB">
          <w:rPr>
            <w:webHidden/>
          </w:rPr>
          <w:instrText xml:space="preserve"> PAGEREF _Toc444761944 \h </w:instrText>
        </w:r>
        <w:r w:rsidR="002044EB">
          <w:rPr>
            <w:webHidden/>
          </w:rPr>
        </w:r>
        <w:r w:rsidR="002044EB">
          <w:rPr>
            <w:webHidden/>
          </w:rPr>
          <w:fldChar w:fldCharType="separate"/>
        </w:r>
        <w:r w:rsidR="002044EB">
          <w:rPr>
            <w:webHidden/>
          </w:rPr>
          <w:t>3</w:t>
        </w:r>
        <w:r w:rsidR="002044EB">
          <w:rPr>
            <w:webHidden/>
          </w:rPr>
          <w:fldChar w:fldCharType="end"/>
        </w:r>
      </w:hyperlink>
    </w:p>
    <w:p w:rsidR="002044EB" w:rsidRDefault="007B664D">
      <w:pPr>
        <w:pStyle w:val="Spistreci3"/>
        <w:tabs>
          <w:tab w:val="right" w:leader="dot" w:pos="9062"/>
        </w:tabs>
        <w:rPr>
          <w:rFonts w:eastAsiaTheme="minorEastAsia"/>
          <w:i w:val="0"/>
          <w:iCs w:val="0"/>
          <w:noProof/>
          <w:sz w:val="22"/>
          <w:szCs w:val="22"/>
          <w:lang w:val="pl-PL" w:eastAsia="pl-PL"/>
        </w:rPr>
      </w:pPr>
      <w:hyperlink w:anchor="_Toc444761945" w:history="1">
        <w:r w:rsidR="002044EB" w:rsidRPr="00F5635B">
          <w:rPr>
            <w:rStyle w:val="Hipercze"/>
            <w:b/>
            <w:noProof/>
            <w:lang w:val="pl-PL"/>
          </w:rPr>
          <w:t>- naruszenie art. 8 Konwencji (prawo do poszanowania życia prywatnego) z uwagi na uzyskanie zgody sądu na zbadanie wyciągów z osobistego rachunku bankowego adwokata w trakcie postępowania karnego bez zastosowania odpowiednich gwarancji proceduralnych i skutecznej kontroli sądowej</w:t>
        </w:r>
        <w:r w:rsidR="002044EB">
          <w:rPr>
            <w:noProof/>
            <w:webHidden/>
          </w:rPr>
          <w:tab/>
        </w:r>
        <w:r w:rsidR="002044EB">
          <w:rPr>
            <w:noProof/>
            <w:webHidden/>
          </w:rPr>
          <w:fldChar w:fldCharType="begin"/>
        </w:r>
        <w:r w:rsidR="002044EB">
          <w:rPr>
            <w:noProof/>
            <w:webHidden/>
          </w:rPr>
          <w:instrText xml:space="preserve"> PAGEREF _Toc444761945 \h </w:instrText>
        </w:r>
        <w:r w:rsidR="002044EB">
          <w:rPr>
            <w:noProof/>
            <w:webHidden/>
          </w:rPr>
        </w:r>
        <w:r w:rsidR="002044EB">
          <w:rPr>
            <w:noProof/>
            <w:webHidden/>
          </w:rPr>
          <w:fldChar w:fldCharType="separate"/>
        </w:r>
        <w:r w:rsidR="002044EB">
          <w:rPr>
            <w:noProof/>
            <w:webHidden/>
          </w:rPr>
          <w:t>3</w:t>
        </w:r>
        <w:r w:rsidR="002044EB">
          <w:rPr>
            <w:noProof/>
            <w:webHidden/>
          </w:rPr>
          <w:fldChar w:fldCharType="end"/>
        </w:r>
      </w:hyperlink>
    </w:p>
    <w:p w:rsidR="002044EB" w:rsidRDefault="007B664D">
      <w:pPr>
        <w:pStyle w:val="Spistreci2"/>
        <w:rPr>
          <w:rFonts w:eastAsiaTheme="minorEastAsia"/>
          <w:smallCaps w:val="0"/>
          <w:color w:val="auto"/>
          <w:sz w:val="22"/>
          <w:szCs w:val="22"/>
          <w:lang w:val="pl-PL" w:eastAsia="pl-PL"/>
        </w:rPr>
      </w:pPr>
      <w:hyperlink w:anchor="_Toc444761946" w:history="1">
        <w:r w:rsidR="002044EB" w:rsidRPr="00F5635B">
          <w:rPr>
            <w:rStyle w:val="Hipercze"/>
          </w:rPr>
          <w:t>2.</w:t>
        </w:r>
        <w:r w:rsidR="002044EB">
          <w:rPr>
            <w:rFonts w:eastAsiaTheme="minorEastAsia"/>
            <w:smallCaps w:val="0"/>
            <w:color w:val="auto"/>
            <w:sz w:val="22"/>
            <w:szCs w:val="22"/>
            <w:lang w:val="pl-PL" w:eastAsia="pl-PL"/>
          </w:rPr>
          <w:tab/>
        </w:r>
        <w:r w:rsidR="002044EB" w:rsidRPr="00F5635B">
          <w:rPr>
            <w:rStyle w:val="Hipercze"/>
          </w:rPr>
          <w:t>Tadzhibayev p. Rosji (skarga nr 17724/14), wyrok Izby z 01.12.2015 r., nieostateczny</w:t>
        </w:r>
        <w:r w:rsidR="002044EB">
          <w:rPr>
            <w:webHidden/>
          </w:rPr>
          <w:tab/>
        </w:r>
        <w:r w:rsidR="002044EB">
          <w:rPr>
            <w:webHidden/>
          </w:rPr>
          <w:fldChar w:fldCharType="begin"/>
        </w:r>
        <w:r w:rsidR="002044EB">
          <w:rPr>
            <w:webHidden/>
          </w:rPr>
          <w:instrText xml:space="preserve"> PAGEREF _Toc444761946 \h </w:instrText>
        </w:r>
        <w:r w:rsidR="002044EB">
          <w:rPr>
            <w:webHidden/>
          </w:rPr>
        </w:r>
        <w:r w:rsidR="002044EB">
          <w:rPr>
            <w:webHidden/>
          </w:rPr>
          <w:fldChar w:fldCharType="separate"/>
        </w:r>
        <w:r w:rsidR="002044EB">
          <w:rPr>
            <w:webHidden/>
          </w:rPr>
          <w:t>4</w:t>
        </w:r>
        <w:r w:rsidR="002044EB">
          <w:rPr>
            <w:webHidden/>
          </w:rPr>
          <w:fldChar w:fldCharType="end"/>
        </w:r>
      </w:hyperlink>
    </w:p>
    <w:p w:rsidR="002044EB" w:rsidRDefault="007B664D">
      <w:pPr>
        <w:pStyle w:val="Spistreci3"/>
        <w:tabs>
          <w:tab w:val="right" w:leader="dot" w:pos="9062"/>
        </w:tabs>
        <w:rPr>
          <w:rFonts w:eastAsiaTheme="minorEastAsia"/>
          <w:i w:val="0"/>
          <w:iCs w:val="0"/>
          <w:noProof/>
          <w:sz w:val="22"/>
          <w:szCs w:val="22"/>
          <w:lang w:val="pl-PL" w:eastAsia="pl-PL"/>
        </w:rPr>
      </w:pPr>
      <w:hyperlink w:anchor="_Toc444761947" w:history="1">
        <w:r w:rsidR="002044EB" w:rsidRPr="00F5635B">
          <w:rPr>
            <w:rStyle w:val="Hipercze"/>
            <w:b/>
            <w:noProof/>
            <w:lang w:val="pl-PL"/>
          </w:rPr>
          <w:t>- naruszenie art. 3 Konwencji (zakaz tortur oraz nieludzkiego lub poniżającego traktowania albo karania) w razie ekstradycji do Kirgistanu z uwagi na ryzyko stosowania tortur wobec skarżącego</w:t>
        </w:r>
        <w:r w:rsidR="002044EB">
          <w:rPr>
            <w:noProof/>
            <w:webHidden/>
          </w:rPr>
          <w:tab/>
        </w:r>
        <w:r w:rsidR="002044EB">
          <w:rPr>
            <w:noProof/>
            <w:webHidden/>
          </w:rPr>
          <w:fldChar w:fldCharType="begin"/>
        </w:r>
        <w:r w:rsidR="002044EB">
          <w:rPr>
            <w:noProof/>
            <w:webHidden/>
          </w:rPr>
          <w:instrText xml:space="preserve"> PAGEREF _Toc444761947 \h </w:instrText>
        </w:r>
        <w:r w:rsidR="002044EB">
          <w:rPr>
            <w:noProof/>
            <w:webHidden/>
          </w:rPr>
        </w:r>
        <w:r w:rsidR="002044EB">
          <w:rPr>
            <w:noProof/>
            <w:webHidden/>
          </w:rPr>
          <w:fldChar w:fldCharType="separate"/>
        </w:r>
        <w:r w:rsidR="002044EB">
          <w:rPr>
            <w:noProof/>
            <w:webHidden/>
          </w:rPr>
          <w:t>4</w:t>
        </w:r>
        <w:r w:rsidR="002044EB">
          <w:rPr>
            <w:noProof/>
            <w:webHidden/>
          </w:rPr>
          <w:fldChar w:fldCharType="end"/>
        </w:r>
      </w:hyperlink>
    </w:p>
    <w:p w:rsidR="002044EB" w:rsidRDefault="007B664D">
      <w:pPr>
        <w:pStyle w:val="Spistreci3"/>
        <w:tabs>
          <w:tab w:val="right" w:leader="dot" w:pos="9062"/>
        </w:tabs>
        <w:rPr>
          <w:rFonts w:eastAsiaTheme="minorEastAsia"/>
          <w:i w:val="0"/>
          <w:iCs w:val="0"/>
          <w:noProof/>
          <w:sz w:val="22"/>
          <w:szCs w:val="22"/>
          <w:lang w:val="pl-PL" w:eastAsia="pl-PL"/>
        </w:rPr>
      </w:pPr>
      <w:hyperlink w:anchor="_Toc444761948" w:history="1">
        <w:r w:rsidR="002044EB" w:rsidRPr="00F5635B">
          <w:rPr>
            <w:rStyle w:val="Hipercze"/>
            <w:b/>
            <w:noProof/>
            <w:lang w:val="pl-PL"/>
          </w:rPr>
          <w:t>- utrzymanie przez Trybunał w mocy zobowiązania rządu na podstawie art. 39 Regulaminu Trybunału do wstrzymania ekstradycji skarżącego do czasu, w którym wyrok Trybunału stanie się ostateczny lub podjęta zostanie inna decyzja</w:t>
        </w:r>
        <w:r w:rsidR="002044EB">
          <w:rPr>
            <w:noProof/>
            <w:webHidden/>
          </w:rPr>
          <w:tab/>
        </w:r>
        <w:r w:rsidR="002044EB">
          <w:rPr>
            <w:noProof/>
            <w:webHidden/>
          </w:rPr>
          <w:fldChar w:fldCharType="begin"/>
        </w:r>
        <w:r w:rsidR="002044EB">
          <w:rPr>
            <w:noProof/>
            <w:webHidden/>
          </w:rPr>
          <w:instrText xml:space="preserve"> PAGEREF _Toc444761948 \h </w:instrText>
        </w:r>
        <w:r w:rsidR="002044EB">
          <w:rPr>
            <w:noProof/>
            <w:webHidden/>
          </w:rPr>
        </w:r>
        <w:r w:rsidR="002044EB">
          <w:rPr>
            <w:noProof/>
            <w:webHidden/>
          </w:rPr>
          <w:fldChar w:fldCharType="separate"/>
        </w:r>
        <w:r w:rsidR="002044EB">
          <w:rPr>
            <w:noProof/>
            <w:webHidden/>
          </w:rPr>
          <w:t>4</w:t>
        </w:r>
        <w:r w:rsidR="002044EB">
          <w:rPr>
            <w:noProof/>
            <w:webHidden/>
          </w:rPr>
          <w:fldChar w:fldCharType="end"/>
        </w:r>
      </w:hyperlink>
    </w:p>
    <w:p w:rsidR="002044EB" w:rsidRDefault="007B664D">
      <w:pPr>
        <w:pStyle w:val="Spistreci2"/>
        <w:rPr>
          <w:rFonts w:eastAsiaTheme="minorEastAsia"/>
          <w:smallCaps w:val="0"/>
          <w:color w:val="auto"/>
          <w:sz w:val="22"/>
          <w:szCs w:val="22"/>
          <w:lang w:val="pl-PL" w:eastAsia="pl-PL"/>
        </w:rPr>
      </w:pPr>
      <w:hyperlink w:anchor="_Toc444761949" w:history="1">
        <w:r w:rsidR="002044EB" w:rsidRPr="00F5635B">
          <w:rPr>
            <w:rStyle w:val="Hipercze"/>
          </w:rPr>
          <w:t>3.</w:t>
        </w:r>
        <w:r w:rsidR="002044EB">
          <w:rPr>
            <w:rFonts w:eastAsiaTheme="minorEastAsia"/>
            <w:smallCaps w:val="0"/>
            <w:color w:val="auto"/>
            <w:sz w:val="22"/>
            <w:szCs w:val="22"/>
            <w:lang w:val="pl-PL" w:eastAsia="pl-PL"/>
          </w:rPr>
          <w:tab/>
        </w:r>
        <w:r w:rsidR="002044EB" w:rsidRPr="00F5635B">
          <w:rPr>
            <w:rStyle w:val="Hipercze"/>
          </w:rPr>
          <w:t>Mironovas i inni przeciwko Litwie (skargi nr 40828/12, 29292/12, 69598/12, 40163/13, 66281/13, 70048/13, 70065/13), wyrok Izby z 8.12. 2015 r., nieostateczny</w:t>
        </w:r>
        <w:r w:rsidR="002044EB">
          <w:rPr>
            <w:webHidden/>
          </w:rPr>
          <w:tab/>
        </w:r>
        <w:r w:rsidR="002044EB">
          <w:rPr>
            <w:webHidden/>
          </w:rPr>
          <w:fldChar w:fldCharType="begin"/>
        </w:r>
        <w:r w:rsidR="002044EB">
          <w:rPr>
            <w:webHidden/>
          </w:rPr>
          <w:instrText xml:space="preserve"> PAGEREF _Toc444761949 \h </w:instrText>
        </w:r>
        <w:r w:rsidR="002044EB">
          <w:rPr>
            <w:webHidden/>
          </w:rPr>
        </w:r>
        <w:r w:rsidR="002044EB">
          <w:rPr>
            <w:webHidden/>
          </w:rPr>
          <w:fldChar w:fldCharType="separate"/>
        </w:r>
        <w:r w:rsidR="002044EB">
          <w:rPr>
            <w:webHidden/>
          </w:rPr>
          <w:t>6</w:t>
        </w:r>
        <w:r w:rsidR="002044EB">
          <w:rPr>
            <w:webHidden/>
          </w:rPr>
          <w:fldChar w:fldCharType="end"/>
        </w:r>
      </w:hyperlink>
    </w:p>
    <w:p w:rsidR="002044EB" w:rsidRDefault="007B664D">
      <w:pPr>
        <w:pStyle w:val="Spistreci3"/>
        <w:tabs>
          <w:tab w:val="right" w:leader="dot" w:pos="9062"/>
        </w:tabs>
        <w:rPr>
          <w:rFonts w:eastAsiaTheme="minorEastAsia"/>
          <w:i w:val="0"/>
          <w:iCs w:val="0"/>
          <w:noProof/>
          <w:sz w:val="22"/>
          <w:szCs w:val="22"/>
          <w:lang w:val="pl-PL" w:eastAsia="pl-PL"/>
        </w:rPr>
      </w:pPr>
      <w:hyperlink w:anchor="_Toc444761950" w:history="1">
        <w:r w:rsidR="002044EB" w:rsidRPr="00F5635B">
          <w:rPr>
            <w:rStyle w:val="Hipercze"/>
            <w:b/>
            <w:noProof/>
            <w:lang w:val="pl-PL"/>
          </w:rPr>
          <w:t>- utrzymanie statusu ofiary naruszenia art. 3 Konwencji (zakaz tortur oraz nieludzkiego lub poniżającego traktowania albo karania) sześciu skarżących, których powództwa o zadośćuczynienie za niewłaściwe warunki w więzieniach zostały nieodpowiednio rozpatrzone przez sądy krajowe, które przyznały zbyt niskie zadośćuczynienie lub nie przyznały zadośćuczynienia; brak statusu ofiary w odniesieniu do jednego  skarżącego, który otrzymał w kraju kwotę 2.300 euro.</w:t>
        </w:r>
        <w:r w:rsidR="002044EB">
          <w:rPr>
            <w:noProof/>
            <w:webHidden/>
          </w:rPr>
          <w:tab/>
        </w:r>
        <w:r w:rsidR="002044EB">
          <w:rPr>
            <w:noProof/>
            <w:webHidden/>
          </w:rPr>
          <w:fldChar w:fldCharType="begin"/>
        </w:r>
        <w:r w:rsidR="002044EB">
          <w:rPr>
            <w:noProof/>
            <w:webHidden/>
          </w:rPr>
          <w:instrText xml:space="preserve"> PAGEREF _Toc444761950 \h </w:instrText>
        </w:r>
        <w:r w:rsidR="002044EB">
          <w:rPr>
            <w:noProof/>
            <w:webHidden/>
          </w:rPr>
        </w:r>
        <w:r w:rsidR="002044EB">
          <w:rPr>
            <w:noProof/>
            <w:webHidden/>
          </w:rPr>
          <w:fldChar w:fldCharType="separate"/>
        </w:r>
        <w:r w:rsidR="002044EB">
          <w:rPr>
            <w:noProof/>
            <w:webHidden/>
          </w:rPr>
          <w:t>6</w:t>
        </w:r>
        <w:r w:rsidR="002044EB">
          <w:rPr>
            <w:noProof/>
            <w:webHidden/>
          </w:rPr>
          <w:fldChar w:fldCharType="end"/>
        </w:r>
      </w:hyperlink>
    </w:p>
    <w:p w:rsidR="002044EB" w:rsidRDefault="007B664D">
      <w:pPr>
        <w:pStyle w:val="Spistreci2"/>
        <w:rPr>
          <w:rFonts w:eastAsiaTheme="minorEastAsia"/>
          <w:smallCaps w:val="0"/>
          <w:color w:val="auto"/>
          <w:sz w:val="22"/>
          <w:szCs w:val="22"/>
          <w:lang w:val="pl-PL" w:eastAsia="pl-PL"/>
        </w:rPr>
      </w:pPr>
      <w:hyperlink w:anchor="_Toc444761951" w:history="1">
        <w:r w:rsidR="002044EB" w:rsidRPr="00F5635B">
          <w:rPr>
            <w:rStyle w:val="Hipercze"/>
          </w:rPr>
          <w:t>4.</w:t>
        </w:r>
        <w:r w:rsidR="002044EB">
          <w:rPr>
            <w:rFonts w:eastAsiaTheme="minorEastAsia"/>
            <w:smallCaps w:val="0"/>
            <w:color w:val="auto"/>
            <w:sz w:val="22"/>
            <w:szCs w:val="22"/>
            <w:lang w:val="pl-PL" w:eastAsia="pl-PL"/>
          </w:rPr>
          <w:tab/>
        </w:r>
        <w:r w:rsidR="002044EB" w:rsidRPr="00F5635B">
          <w:rPr>
            <w:rStyle w:val="Hipercze"/>
          </w:rPr>
          <w:t>Z.H. i R.H. p. Szwajcarii (skarga nr 60119/12), wyrok Izby z 8.12.2015 r., nieostateczny</w:t>
        </w:r>
        <w:r w:rsidR="002044EB">
          <w:rPr>
            <w:webHidden/>
          </w:rPr>
          <w:tab/>
        </w:r>
        <w:r w:rsidR="002044EB">
          <w:rPr>
            <w:webHidden/>
          </w:rPr>
          <w:fldChar w:fldCharType="begin"/>
        </w:r>
        <w:r w:rsidR="002044EB">
          <w:rPr>
            <w:webHidden/>
          </w:rPr>
          <w:instrText xml:space="preserve"> PAGEREF _Toc444761951 \h </w:instrText>
        </w:r>
        <w:r w:rsidR="002044EB">
          <w:rPr>
            <w:webHidden/>
          </w:rPr>
        </w:r>
        <w:r w:rsidR="002044EB">
          <w:rPr>
            <w:webHidden/>
          </w:rPr>
          <w:fldChar w:fldCharType="separate"/>
        </w:r>
        <w:r w:rsidR="002044EB">
          <w:rPr>
            <w:webHidden/>
          </w:rPr>
          <w:t>8</w:t>
        </w:r>
        <w:r w:rsidR="002044EB">
          <w:rPr>
            <w:webHidden/>
          </w:rPr>
          <w:fldChar w:fldCharType="end"/>
        </w:r>
      </w:hyperlink>
    </w:p>
    <w:p w:rsidR="002044EB" w:rsidRDefault="007B664D">
      <w:pPr>
        <w:pStyle w:val="Spistreci3"/>
        <w:tabs>
          <w:tab w:val="right" w:leader="dot" w:pos="9062"/>
        </w:tabs>
        <w:rPr>
          <w:rFonts w:eastAsiaTheme="minorEastAsia"/>
          <w:i w:val="0"/>
          <w:iCs w:val="0"/>
          <w:noProof/>
          <w:sz w:val="22"/>
          <w:szCs w:val="22"/>
          <w:lang w:val="pl-PL" w:eastAsia="pl-PL"/>
        </w:rPr>
      </w:pPr>
      <w:hyperlink w:anchor="_Toc444761952" w:history="1">
        <w:r w:rsidR="002044EB" w:rsidRPr="00F5635B">
          <w:rPr>
            <w:rStyle w:val="Hipercze"/>
            <w:b/>
            <w:noProof/>
            <w:lang w:val="pl-PL"/>
          </w:rPr>
          <w:t>- brak naruszenia art. 8 Konwencji (prawo do poszanowania życia rodzinnego) w sprawie, w której dokonano wydalenia do Włoch drugiego skarżącego po odmowie uznania skuteczności jego małżeństwa zawartego z pierwszą skarżącą, kiedy miała 14 lat</w:t>
        </w:r>
        <w:r w:rsidR="002044EB">
          <w:rPr>
            <w:noProof/>
            <w:webHidden/>
          </w:rPr>
          <w:tab/>
        </w:r>
        <w:r w:rsidR="002044EB">
          <w:rPr>
            <w:noProof/>
            <w:webHidden/>
          </w:rPr>
          <w:fldChar w:fldCharType="begin"/>
        </w:r>
        <w:r w:rsidR="002044EB">
          <w:rPr>
            <w:noProof/>
            <w:webHidden/>
          </w:rPr>
          <w:instrText xml:space="preserve"> PAGEREF _Toc444761952 \h </w:instrText>
        </w:r>
        <w:r w:rsidR="002044EB">
          <w:rPr>
            <w:noProof/>
            <w:webHidden/>
          </w:rPr>
        </w:r>
        <w:r w:rsidR="002044EB">
          <w:rPr>
            <w:noProof/>
            <w:webHidden/>
          </w:rPr>
          <w:fldChar w:fldCharType="separate"/>
        </w:r>
        <w:r w:rsidR="002044EB">
          <w:rPr>
            <w:noProof/>
            <w:webHidden/>
          </w:rPr>
          <w:t>8</w:t>
        </w:r>
        <w:r w:rsidR="002044EB">
          <w:rPr>
            <w:noProof/>
            <w:webHidden/>
          </w:rPr>
          <w:fldChar w:fldCharType="end"/>
        </w:r>
      </w:hyperlink>
    </w:p>
    <w:p w:rsidR="002044EB" w:rsidRDefault="007B664D">
      <w:pPr>
        <w:pStyle w:val="Spistreci2"/>
        <w:rPr>
          <w:rFonts w:eastAsiaTheme="minorEastAsia"/>
          <w:smallCaps w:val="0"/>
          <w:color w:val="auto"/>
          <w:sz w:val="22"/>
          <w:szCs w:val="22"/>
          <w:lang w:val="pl-PL" w:eastAsia="pl-PL"/>
        </w:rPr>
      </w:pPr>
      <w:hyperlink w:anchor="_Toc444761953" w:history="1">
        <w:r w:rsidR="002044EB" w:rsidRPr="00F5635B">
          <w:rPr>
            <w:rStyle w:val="Hipercze"/>
          </w:rPr>
          <w:t>5.</w:t>
        </w:r>
        <w:r w:rsidR="002044EB">
          <w:rPr>
            <w:rFonts w:eastAsiaTheme="minorEastAsia"/>
            <w:smallCaps w:val="0"/>
            <w:color w:val="auto"/>
            <w:sz w:val="22"/>
            <w:szCs w:val="22"/>
            <w:lang w:val="pl-PL" w:eastAsia="pl-PL"/>
          </w:rPr>
          <w:tab/>
        </w:r>
        <w:r w:rsidR="002044EB" w:rsidRPr="00F5635B">
          <w:rPr>
            <w:rStyle w:val="Hipercze"/>
          </w:rPr>
          <w:t>Fábián p. Węgrom (skarga nr 78117/13), wyrok Izby z 15.12.2015 r., nieostateczny</w:t>
        </w:r>
        <w:r w:rsidR="002044EB">
          <w:rPr>
            <w:webHidden/>
          </w:rPr>
          <w:tab/>
        </w:r>
        <w:r w:rsidR="002044EB">
          <w:rPr>
            <w:webHidden/>
          </w:rPr>
          <w:fldChar w:fldCharType="begin"/>
        </w:r>
        <w:r w:rsidR="002044EB">
          <w:rPr>
            <w:webHidden/>
          </w:rPr>
          <w:instrText xml:space="preserve"> PAGEREF _Toc444761953 \h </w:instrText>
        </w:r>
        <w:r w:rsidR="002044EB">
          <w:rPr>
            <w:webHidden/>
          </w:rPr>
        </w:r>
        <w:r w:rsidR="002044EB">
          <w:rPr>
            <w:webHidden/>
          </w:rPr>
          <w:fldChar w:fldCharType="separate"/>
        </w:r>
        <w:r w:rsidR="002044EB">
          <w:rPr>
            <w:webHidden/>
          </w:rPr>
          <w:t>9</w:t>
        </w:r>
        <w:r w:rsidR="002044EB">
          <w:rPr>
            <w:webHidden/>
          </w:rPr>
          <w:fldChar w:fldCharType="end"/>
        </w:r>
      </w:hyperlink>
    </w:p>
    <w:p w:rsidR="002044EB" w:rsidRDefault="007B664D">
      <w:pPr>
        <w:pStyle w:val="Spistreci3"/>
        <w:tabs>
          <w:tab w:val="right" w:leader="dot" w:pos="9062"/>
        </w:tabs>
        <w:rPr>
          <w:rFonts w:eastAsiaTheme="minorEastAsia"/>
          <w:i w:val="0"/>
          <w:iCs w:val="0"/>
          <w:noProof/>
          <w:sz w:val="22"/>
          <w:szCs w:val="22"/>
          <w:lang w:val="pl-PL" w:eastAsia="pl-PL"/>
        </w:rPr>
      </w:pPr>
      <w:hyperlink w:anchor="_Toc444761954" w:history="1">
        <w:r w:rsidR="002044EB" w:rsidRPr="00F5635B">
          <w:rPr>
            <w:rStyle w:val="Hipercze"/>
            <w:b/>
            <w:noProof/>
            <w:lang w:val="pl-PL"/>
          </w:rPr>
          <w:t>- naruszenie art. 14 Konwencji (zakaz dyskryminacji) w związku z art. 1 Protokołu nr 1 (ochrona własności) z uwagi na różne traktowanie w odniesieniu do zawieszenia wypłaty emerytur osób zatrudnionych w zależności od tego, czy podejmują zatrudnienie w sektorze prywatnym czy publicznym, oraz w zależności od stanowiska w sektorze publicznym</w:t>
        </w:r>
        <w:r w:rsidR="002044EB">
          <w:rPr>
            <w:noProof/>
            <w:webHidden/>
          </w:rPr>
          <w:tab/>
        </w:r>
        <w:r w:rsidR="002044EB">
          <w:rPr>
            <w:noProof/>
            <w:webHidden/>
          </w:rPr>
          <w:fldChar w:fldCharType="begin"/>
        </w:r>
        <w:r w:rsidR="002044EB">
          <w:rPr>
            <w:noProof/>
            <w:webHidden/>
          </w:rPr>
          <w:instrText xml:space="preserve"> PAGEREF _Toc444761954 \h </w:instrText>
        </w:r>
        <w:r w:rsidR="002044EB">
          <w:rPr>
            <w:noProof/>
            <w:webHidden/>
          </w:rPr>
        </w:r>
        <w:r w:rsidR="002044EB">
          <w:rPr>
            <w:noProof/>
            <w:webHidden/>
          </w:rPr>
          <w:fldChar w:fldCharType="separate"/>
        </w:r>
        <w:r w:rsidR="002044EB">
          <w:rPr>
            <w:noProof/>
            <w:webHidden/>
          </w:rPr>
          <w:t>9</w:t>
        </w:r>
        <w:r w:rsidR="002044EB">
          <w:rPr>
            <w:noProof/>
            <w:webHidden/>
          </w:rPr>
          <w:fldChar w:fldCharType="end"/>
        </w:r>
      </w:hyperlink>
    </w:p>
    <w:p w:rsidR="002044EB" w:rsidRDefault="007B664D">
      <w:pPr>
        <w:pStyle w:val="Spistreci2"/>
        <w:rPr>
          <w:rFonts w:eastAsiaTheme="minorEastAsia"/>
          <w:smallCaps w:val="0"/>
          <w:color w:val="auto"/>
          <w:sz w:val="22"/>
          <w:szCs w:val="22"/>
          <w:lang w:val="pl-PL" w:eastAsia="pl-PL"/>
        </w:rPr>
      </w:pPr>
      <w:hyperlink w:anchor="_Toc444761955" w:history="1">
        <w:r w:rsidR="002044EB" w:rsidRPr="00F5635B">
          <w:rPr>
            <w:rStyle w:val="Hipercze"/>
          </w:rPr>
          <w:t>6.</w:t>
        </w:r>
        <w:r w:rsidR="002044EB">
          <w:rPr>
            <w:rFonts w:eastAsiaTheme="minorEastAsia"/>
            <w:smallCaps w:val="0"/>
            <w:color w:val="auto"/>
            <w:sz w:val="22"/>
            <w:szCs w:val="22"/>
            <w:lang w:val="pl-PL" w:eastAsia="pl-PL"/>
          </w:rPr>
          <w:tab/>
        </w:r>
        <w:r w:rsidR="002044EB" w:rsidRPr="00F5635B">
          <w:rPr>
            <w:rStyle w:val="Hipercze"/>
          </w:rPr>
          <w:t>Schatschaschwili p. Niemcom (skarga nr 9154/10), wyrok Wielkiej Izby z 15.12. 2015 r., ostateczny</w:t>
        </w:r>
        <w:r w:rsidR="002044EB">
          <w:rPr>
            <w:webHidden/>
          </w:rPr>
          <w:tab/>
        </w:r>
        <w:r w:rsidR="002044EB">
          <w:rPr>
            <w:webHidden/>
          </w:rPr>
          <w:fldChar w:fldCharType="begin"/>
        </w:r>
        <w:r w:rsidR="002044EB">
          <w:rPr>
            <w:webHidden/>
          </w:rPr>
          <w:instrText xml:space="preserve"> PAGEREF _Toc444761955 \h </w:instrText>
        </w:r>
        <w:r w:rsidR="002044EB">
          <w:rPr>
            <w:webHidden/>
          </w:rPr>
        </w:r>
        <w:r w:rsidR="002044EB">
          <w:rPr>
            <w:webHidden/>
          </w:rPr>
          <w:fldChar w:fldCharType="separate"/>
        </w:r>
        <w:r w:rsidR="002044EB">
          <w:rPr>
            <w:webHidden/>
          </w:rPr>
          <w:t>10</w:t>
        </w:r>
        <w:r w:rsidR="002044EB">
          <w:rPr>
            <w:webHidden/>
          </w:rPr>
          <w:fldChar w:fldCharType="end"/>
        </w:r>
      </w:hyperlink>
    </w:p>
    <w:p w:rsidR="002044EB" w:rsidRDefault="007B664D">
      <w:pPr>
        <w:pStyle w:val="Spistreci3"/>
        <w:tabs>
          <w:tab w:val="right" w:leader="dot" w:pos="9062"/>
        </w:tabs>
        <w:rPr>
          <w:rFonts w:eastAsiaTheme="minorEastAsia"/>
          <w:i w:val="0"/>
          <w:iCs w:val="0"/>
          <w:noProof/>
          <w:sz w:val="22"/>
          <w:szCs w:val="22"/>
          <w:lang w:val="pl-PL" w:eastAsia="pl-PL"/>
        </w:rPr>
      </w:pPr>
      <w:hyperlink w:anchor="_Toc444761956" w:history="1">
        <w:r w:rsidR="002044EB" w:rsidRPr="00F5635B">
          <w:rPr>
            <w:rStyle w:val="Hipercze"/>
            <w:b/>
            <w:noProof/>
            <w:lang w:val="pl-PL"/>
          </w:rPr>
          <w:t>- naruszenie art. 6 ust. 1 (prawo do rzetelnego procesu sądowego) oraz art. 6 ust. 3 lit. d Konwencji (prawo do przesłuchania lub spowodowania przesłuchania świadków oskarżenia) z uwagi na brak możliwości przesłuchania przez oskarżonego lub jego obrońcę świadków oskarżenia, których zeznania miały znaczącą wagę dla skazania skarżącego, przy jednoczesnym braku odpowiednich gwarancji równoważących ograniczenie prawa do obrony, w szczególności niepodjęciu stosownych działań chroniących prawa skarżącego na etapie postępowania przygotowawczego, kiedy przesłuchiwano świadków</w:t>
        </w:r>
        <w:r w:rsidR="002044EB">
          <w:rPr>
            <w:noProof/>
            <w:webHidden/>
          </w:rPr>
          <w:tab/>
        </w:r>
        <w:r w:rsidR="002044EB">
          <w:rPr>
            <w:noProof/>
            <w:webHidden/>
          </w:rPr>
          <w:fldChar w:fldCharType="begin"/>
        </w:r>
        <w:r w:rsidR="002044EB">
          <w:rPr>
            <w:noProof/>
            <w:webHidden/>
          </w:rPr>
          <w:instrText xml:space="preserve"> PAGEREF _Toc444761956 \h </w:instrText>
        </w:r>
        <w:r w:rsidR="002044EB">
          <w:rPr>
            <w:noProof/>
            <w:webHidden/>
          </w:rPr>
        </w:r>
        <w:r w:rsidR="002044EB">
          <w:rPr>
            <w:noProof/>
            <w:webHidden/>
          </w:rPr>
          <w:fldChar w:fldCharType="separate"/>
        </w:r>
        <w:r w:rsidR="002044EB">
          <w:rPr>
            <w:noProof/>
            <w:webHidden/>
          </w:rPr>
          <w:t>10</w:t>
        </w:r>
        <w:r w:rsidR="002044EB">
          <w:rPr>
            <w:noProof/>
            <w:webHidden/>
          </w:rPr>
          <w:fldChar w:fldCharType="end"/>
        </w:r>
      </w:hyperlink>
    </w:p>
    <w:p w:rsidR="002044EB" w:rsidRDefault="007B664D">
      <w:pPr>
        <w:pStyle w:val="Spistreci2"/>
        <w:rPr>
          <w:rFonts w:eastAsiaTheme="minorEastAsia"/>
          <w:smallCaps w:val="0"/>
          <w:color w:val="auto"/>
          <w:sz w:val="22"/>
          <w:szCs w:val="22"/>
          <w:lang w:val="pl-PL" w:eastAsia="pl-PL"/>
        </w:rPr>
      </w:pPr>
      <w:hyperlink w:anchor="_Toc444761957" w:history="1">
        <w:r w:rsidR="002044EB" w:rsidRPr="00F5635B">
          <w:rPr>
            <w:rStyle w:val="Hipercze"/>
          </w:rPr>
          <w:t>7.</w:t>
        </w:r>
        <w:r w:rsidR="002044EB">
          <w:rPr>
            <w:rFonts w:eastAsiaTheme="minorEastAsia"/>
            <w:smallCaps w:val="0"/>
            <w:color w:val="auto"/>
            <w:sz w:val="22"/>
            <w:szCs w:val="22"/>
            <w:lang w:val="pl-PL" w:eastAsia="pl-PL"/>
          </w:rPr>
          <w:tab/>
        </w:r>
        <w:r w:rsidR="002044EB" w:rsidRPr="00F5635B">
          <w:rPr>
            <w:rStyle w:val="Hipercze"/>
          </w:rPr>
          <w:t>Ofensiva Tinerilor p. Rumunii (skarga nr 16732/05), wyrok z 15.12.2015 r., nieostateczny</w:t>
        </w:r>
        <w:r w:rsidR="002044EB">
          <w:rPr>
            <w:webHidden/>
          </w:rPr>
          <w:tab/>
        </w:r>
        <w:r w:rsidR="002044EB">
          <w:rPr>
            <w:webHidden/>
          </w:rPr>
          <w:fldChar w:fldCharType="begin"/>
        </w:r>
        <w:r w:rsidR="002044EB">
          <w:rPr>
            <w:webHidden/>
          </w:rPr>
          <w:instrText xml:space="preserve"> PAGEREF _Toc444761957 \h </w:instrText>
        </w:r>
        <w:r w:rsidR="002044EB">
          <w:rPr>
            <w:webHidden/>
          </w:rPr>
        </w:r>
        <w:r w:rsidR="002044EB">
          <w:rPr>
            <w:webHidden/>
          </w:rPr>
          <w:fldChar w:fldCharType="separate"/>
        </w:r>
        <w:r w:rsidR="002044EB">
          <w:rPr>
            <w:webHidden/>
          </w:rPr>
          <w:t>14</w:t>
        </w:r>
        <w:r w:rsidR="002044EB">
          <w:rPr>
            <w:webHidden/>
          </w:rPr>
          <w:fldChar w:fldCharType="end"/>
        </w:r>
      </w:hyperlink>
    </w:p>
    <w:p w:rsidR="002044EB" w:rsidRDefault="007B664D">
      <w:pPr>
        <w:pStyle w:val="Spistreci3"/>
        <w:tabs>
          <w:tab w:val="right" w:leader="dot" w:pos="9062"/>
        </w:tabs>
        <w:rPr>
          <w:rFonts w:eastAsiaTheme="minorEastAsia"/>
          <w:i w:val="0"/>
          <w:iCs w:val="0"/>
          <w:noProof/>
          <w:sz w:val="22"/>
          <w:szCs w:val="22"/>
          <w:lang w:val="pl-PL" w:eastAsia="pl-PL"/>
        </w:rPr>
      </w:pPr>
      <w:hyperlink w:anchor="_Toc444761958" w:history="1">
        <w:r w:rsidR="002044EB" w:rsidRPr="00F5635B">
          <w:rPr>
            <w:rStyle w:val="Hipercze"/>
            <w:b/>
            <w:noProof/>
            <w:lang w:val="pl-PL"/>
          </w:rPr>
          <w:t>- naruszenie art. 3 Protokołu nr 1 do Konwencji (prawo do wolnych wyborów) w sprawie dotyczącej wniosku, złożonego w szczególnym trybie przewidzianym dla mniejszości narodowych, o zarejestrowanie listy kandydatów w wyborach Stowarzyszenia „Inicjatywa Młodych” – wniosek odrzucono na tej podstawie, że logo i dokumenty stowarzyszenia nie potwierdzały jego identyfikacji z narodem polskim, przy braku jasnych regulacji prawnych i gwarancji bezstronności organu rozpatrującego wniosek</w:t>
        </w:r>
        <w:r w:rsidR="002044EB">
          <w:rPr>
            <w:noProof/>
            <w:webHidden/>
          </w:rPr>
          <w:tab/>
        </w:r>
        <w:r w:rsidR="002044EB">
          <w:rPr>
            <w:noProof/>
            <w:webHidden/>
          </w:rPr>
          <w:fldChar w:fldCharType="begin"/>
        </w:r>
        <w:r w:rsidR="002044EB">
          <w:rPr>
            <w:noProof/>
            <w:webHidden/>
          </w:rPr>
          <w:instrText xml:space="preserve"> PAGEREF _Toc444761958 \h </w:instrText>
        </w:r>
        <w:r w:rsidR="002044EB">
          <w:rPr>
            <w:noProof/>
            <w:webHidden/>
          </w:rPr>
        </w:r>
        <w:r w:rsidR="002044EB">
          <w:rPr>
            <w:noProof/>
            <w:webHidden/>
          </w:rPr>
          <w:fldChar w:fldCharType="separate"/>
        </w:r>
        <w:r w:rsidR="002044EB">
          <w:rPr>
            <w:noProof/>
            <w:webHidden/>
          </w:rPr>
          <w:t>14</w:t>
        </w:r>
        <w:r w:rsidR="002044EB">
          <w:rPr>
            <w:noProof/>
            <w:webHidden/>
          </w:rPr>
          <w:fldChar w:fldCharType="end"/>
        </w:r>
      </w:hyperlink>
    </w:p>
    <w:p w:rsidR="002044EB" w:rsidRDefault="007B664D">
      <w:pPr>
        <w:pStyle w:val="Spistreci2"/>
        <w:rPr>
          <w:rFonts w:eastAsiaTheme="minorEastAsia"/>
          <w:smallCaps w:val="0"/>
          <w:color w:val="auto"/>
          <w:sz w:val="22"/>
          <w:szCs w:val="22"/>
          <w:lang w:val="pl-PL" w:eastAsia="pl-PL"/>
        </w:rPr>
      </w:pPr>
      <w:hyperlink w:anchor="_Toc444761959" w:history="1">
        <w:r w:rsidR="002044EB" w:rsidRPr="00F5635B">
          <w:rPr>
            <w:rStyle w:val="Hipercze"/>
          </w:rPr>
          <w:t>8.</w:t>
        </w:r>
        <w:r w:rsidR="002044EB">
          <w:rPr>
            <w:rFonts w:eastAsiaTheme="minorEastAsia"/>
            <w:smallCaps w:val="0"/>
            <w:color w:val="auto"/>
            <w:sz w:val="22"/>
            <w:szCs w:val="22"/>
            <w:lang w:val="pl-PL" w:eastAsia="pl-PL"/>
          </w:rPr>
          <w:tab/>
        </w:r>
        <w:r w:rsidR="002044EB" w:rsidRPr="00F5635B">
          <w:rPr>
            <w:rStyle w:val="Hipercze"/>
          </w:rPr>
          <w:t>Roman Zakharov p. Rosji (skarga nr 47143/06), wyrok Wielkiej Izby z 4.12.2015, ostateczny</w:t>
        </w:r>
        <w:r w:rsidR="002044EB">
          <w:rPr>
            <w:webHidden/>
          </w:rPr>
          <w:tab/>
        </w:r>
        <w:r w:rsidR="002044EB">
          <w:rPr>
            <w:webHidden/>
          </w:rPr>
          <w:fldChar w:fldCharType="begin"/>
        </w:r>
        <w:r w:rsidR="002044EB">
          <w:rPr>
            <w:webHidden/>
          </w:rPr>
          <w:instrText xml:space="preserve"> PAGEREF _Toc444761959 \h </w:instrText>
        </w:r>
        <w:r w:rsidR="002044EB">
          <w:rPr>
            <w:webHidden/>
          </w:rPr>
        </w:r>
        <w:r w:rsidR="002044EB">
          <w:rPr>
            <w:webHidden/>
          </w:rPr>
          <w:fldChar w:fldCharType="separate"/>
        </w:r>
        <w:r w:rsidR="002044EB">
          <w:rPr>
            <w:webHidden/>
          </w:rPr>
          <w:t>15</w:t>
        </w:r>
        <w:r w:rsidR="002044EB">
          <w:rPr>
            <w:webHidden/>
          </w:rPr>
          <w:fldChar w:fldCharType="end"/>
        </w:r>
      </w:hyperlink>
    </w:p>
    <w:p w:rsidR="002044EB" w:rsidRDefault="007B664D">
      <w:pPr>
        <w:pStyle w:val="Spistreci3"/>
        <w:tabs>
          <w:tab w:val="right" w:leader="dot" w:pos="9062"/>
        </w:tabs>
        <w:rPr>
          <w:rFonts w:eastAsiaTheme="minorEastAsia"/>
          <w:i w:val="0"/>
          <w:iCs w:val="0"/>
          <w:noProof/>
          <w:sz w:val="22"/>
          <w:szCs w:val="22"/>
          <w:lang w:val="pl-PL" w:eastAsia="pl-PL"/>
        </w:rPr>
      </w:pPr>
      <w:hyperlink w:anchor="_Toc444761960" w:history="1">
        <w:r w:rsidR="002044EB" w:rsidRPr="00F5635B">
          <w:rPr>
            <w:rStyle w:val="Hipercze"/>
            <w:b/>
            <w:noProof/>
            <w:lang w:val="pl-PL"/>
          </w:rPr>
          <w:t>- z uwagi na brak wystarczających środków krajowych i ogólny zakres zastosowania ustawodawstwa dotyczącego tajnej kontroli połączeń telefonicznych – przyznanie statusu ofiary (art. 34 Konwencji) w odniesieniu do skarżącego, który skarżył się na system prawny dotyczący kontroli połączeń telefonicznych i ryzyko podlegania mu, a nie na konkretne środki kontroli zastosowane wobec niego</w:t>
        </w:r>
        <w:r w:rsidR="002044EB">
          <w:rPr>
            <w:noProof/>
            <w:webHidden/>
          </w:rPr>
          <w:tab/>
        </w:r>
        <w:r w:rsidR="002044EB">
          <w:rPr>
            <w:noProof/>
            <w:webHidden/>
          </w:rPr>
          <w:fldChar w:fldCharType="begin"/>
        </w:r>
        <w:r w:rsidR="002044EB">
          <w:rPr>
            <w:noProof/>
            <w:webHidden/>
          </w:rPr>
          <w:instrText xml:space="preserve"> PAGEREF _Toc444761960 \h </w:instrText>
        </w:r>
        <w:r w:rsidR="002044EB">
          <w:rPr>
            <w:noProof/>
            <w:webHidden/>
          </w:rPr>
        </w:r>
        <w:r w:rsidR="002044EB">
          <w:rPr>
            <w:noProof/>
            <w:webHidden/>
          </w:rPr>
          <w:fldChar w:fldCharType="separate"/>
        </w:r>
        <w:r w:rsidR="002044EB">
          <w:rPr>
            <w:noProof/>
            <w:webHidden/>
          </w:rPr>
          <w:t>15</w:t>
        </w:r>
        <w:r w:rsidR="002044EB">
          <w:rPr>
            <w:noProof/>
            <w:webHidden/>
          </w:rPr>
          <w:fldChar w:fldCharType="end"/>
        </w:r>
      </w:hyperlink>
    </w:p>
    <w:p w:rsidR="002044EB" w:rsidRDefault="007B664D">
      <w:pPr>
        <w:pStyle w:val="Spistreci3"/>
        <w:tabs>
          <w:tab w:val="right" w:leader="dot" w:pos="9062"/>
        </w:tabs>
        <w:rPr>
          <w:rFonts w:eastAsiaTheme="minorEastAsia"/>
          <w:i w:val="0"/>
          <w:iCs w:val="0"/>
          <w:noProof/>
          <w:sz w:val="22"/>
          <w:szCs w:val="22"/>
          <w:lang w:val="pl-PL" w:eastAsia="pl-PL"/>
        </w:rPr>
      </w:pPr>
      <w:hyperlink w:anchor="_Toc444761961" w:history="1">
        <w:r w:rsidR="002044EB" w:rsidRPr="00F5635B">
          <w:rPr>
            <w:rStyle w:val="Hipercze"/>
            <w:b/>
            <w:noProof/>
            <w:lang w:val="pl-PL"/>
          </w:rPr>
          <w:t>- zbadanie przez Trybunał  ustawodawstwa krajowego in abstracto i stwierdzenie naruszenia art. 8 Konwencji (prawo do poszanowania życia prywatnego i korespondencji) z uwagi na niewystarczające regulacje prawne i gwarancje przeciw nadużyciom systemu umożliwiającego tajną kontrolę połączeń telefonicznych</w:t>
        </w:r>
        <w:r w:rsidR="002044EB">
          <w:rPr>
            <w:noProof/>
            <w:webHidden/>
          </w:rPr>
          <w:tab/>
        </w:r>
        <w:r w:rsidR="002044EB">
          <w:rPr>
            <w:noProof/>
            <w:webHidden/>
          </w:rPr>
          <w:fldChar w:fldCharType="begin"/>
        </w:r>
        <w:r w:rsidR="002044EB">
          <w:rPr>
            <w:noProof/>
            <w:webHidden/>
          </w:rPr>
          <w:instrText xml:space="preserve"> PAGEREF _Toc444761961 \h </w:instrText>
        </w:r>
        <w:r w:rsidR="002044EB">
          <w:rPr>
            <w:noProof/>
            <w:webHidden/>
          </w:rPr>
        </w:r>
        <w:r w:rsidR="002044EB">
          <w:rPr>
            <w:noProof/>
            <w:webHidden/>
          </w:rPr>
          <w:fldChar w:fldCharType="separate"/>
        </w:r>
        <w:r w:rsidR="002044EB">
          <w:rPr>
            <w:noProof/>
            <w:webHidden/>
          </w:rPr>
          <w:t>15</w:t>
        </w:r>
        <w:r w:rsidR="002044EB">
          <w:rPr>
            <w:noProof/>
            <w:webHidden/>
          </w:rPr>
          <w:fldChar w:fldCharType="end"/>
        </w:r>
      </w:hyperlink>
    </w:p>
    <w:p w:rsidR="00F7704E" w:rsidRDefault="00F47558" w:rsidP="002D2CE5">
      <w:pPr>
        <w:spacing w:after="120" w:line="240" w:lineRule="auto"/>
        <w:jc w:val="both"/>
        <w:rPr>
          <w:rFonts w:eastAsiaTheme="majorEastAsia" w:cstheme="majorBidi"/>
          <w:b/>
          <w:bCs/>
          <w:color w:val="4F81BD" w:themeColor="accent1"/>
          <w:sz w:val="24"/>
          <w:szCs w:val="24"/>
          <w:lang w:val="pl-PL"/>
        </w:rPr>
      </w:pPr>
      <w:r w:rsidRPr="00D7274E">
        <w:rPr>
          <w:smallCaps/>
          <w:sz w:val="20"/>
          <w:szCs w:val="20"/>
          <w:lang w:val="pl-PL"/>
        </w:rPr>
        <w:lastRenderedPageBreak/>
        <w:fldChar w:fldCharType="end"/>
      </w:r>
    </w:p>
    <w:p w:rsidR="001D6925" w:rsidRPr="001D6925" w:rsidRDefault="001D6925" w:rsidP="001D6925">
      <w:pPr>
        <w:pStyle w:val="Nagwek2"/>
        <w:numPr>
          <w:ilvl w:val="0"/>
          <w:numId w:val="1"/>
        </w:numPr>
        <w:spacing w:before="0"/>
      </w:pPr>
      <w:bookmarkStart w:id="2" w:name="_Toc444761944"/>
      <w:proofErr w:type="spellStart"/>
      <w:r w:rsidRPr="001D6925">
        <w:t>Brito</w:t>
      </w:r>
      <w:proofErr w:type="spellEnd"/>
      <w:r w:rsidRPr="001D6925">
        <w:t xml:space="preserve"> </w:t>
      </w:r>
      <w:proofErr w:type="spellStart"/>
      <w:r w:rsidRPr="001D6925">
        <w:t>Ferrinho</w:t>
      </w:r>
      <w:proofErr w:type="spellEnd"/>
      <w:r w:rsidRPr="001D6925">
        <w:t xml:space="preserve"> </w:t>
      </w:r>
      <w:proofErr w:type="spellStart"/>
      <w:r w:rsidRPr="001D6925">
        <w:t>Bexiga</w:t>
      </w:r>
      <w:proofErr w:type="spellEnd"/>
      <w:r w:rsidRPr="001D6925">
        <w:t xml:space="preserve"> Villa-Nova p. Portugalii (skarga nr 69436/10), wyrok Izby z 1.12.2015 r., nieostateczny</w:t>
      </w:r>
      <w:bookmarkEnd w:id="2"/>
      <w:r w:rsidRPr="001D6925">
        <w:t xml:space="preserve">  </w:t>
      </w:r>
    </w:p>
    <w:p w:rsidR="001D6925" w:rsidRPr="001D6925" w:rsidRDefault="001D6925" w:rsidP="001D6925">
      <w:pPr>
        <w:keepNext/>
        <w:keepLines/>
        <w:spacing w:after="120" w:line="240" w:lineRule="auto"/>
        <w:jc w:val="both"/>
        <w:outlineLvl w:val="2"/>
        <w:rPr>
          <w:b/>
          <w:color w:val="000000" w:themeColor="text1"/>
          <w:lang w:val="pl-PL"/>
        </w:rPr>
      </w:pPr>
      <w:bookmarkStart w:id="3" w:name="_Toc444761945"/>
      <w:r>
        <w:rPr>
          <w:b/>
          <w:color w:val="000000" w:themeColor="text1"/>
          <w:lang w:val="pl-PL"/>
        </w:rPr>
        <w:t>- n</w:t>
      </w:r>
      <w:r w:rsidRPr="001D6925">
        <w:rPr>
          <w:b/>
          <w:color w:val="000000" w:themeColor="text1"/>
          <w:lang w:val="pl-PL"/>
        </w:rPr>
        <w:t>aruszenie art. 8 Konwencji</w:t>
      </w:r>
      <w:r w:rsidR="00E23DA9" w:rsidRPr="00751135">
        <w:rPr>
          <w:vertAlign w:val="superscript"/>
        </w:rPr>
        <w:footnoteReference w:id="1"/>
      </w:r>
      <w:r w:rsidRPr="001D6925">
        <w:rPr>
          <w:b/>
          <w:color w:val="000000" w:themeColor="text1"/>
          <w:lang w:val="pl-PL"/>
        </w:rPr>
        <w:t xml:space="preserve"> (prawo do poszanowania życia prywatnego) z uwagi na </w:t>
      </w:r>
      <w:r w:rsidR="00ED74F3">
        <w:rPr>
          <w:b/>
          <w:color w:val="000000" w:themeColor="text1"/>
          <w:lang w:val="pl-PL"/>
        </w:rPr>
        <w:t xml:space="preserve">uzyskanie zgody sądu na </w:t>
      </w:r>
      <w:r w:rsidRPr="001D6925">
        <w:rPr>
          <w:b/>
          <w:color w:val="000000" w:themeColor="text1"/>
          <w:lang w:val="pl-PL"/>
        </w:rPr>
        <w:t>zbadanie wyciągów z osobistego rachunku bankowego adwokata w trakcie postępowania karnego bez zastosowania</w:t>
      </w:r>
      <w:r w:rsidR="00BA1D07">
        <w:rPr>
          <w:b/>
          <w:color w:val="000000" w:themeColor="text1"/>
          <w:lang w:val="pl-PL"/>
        </w:rPr>
        <w:t xml:space="preserve"> odpowiednich</w:t>
      </w:r>
      <w:r w:rsidRPr="001D6925">
        <w:rPr>
          <w:b/>
          <w:color w:val="000000" w:themeColor="text1"/>
          <w:lang w:val="pl-PL"/>
        </w:rPr>
        <w:t xml:space="preserve"> gwarancji proceduralnych i skutecznej kontroli sądowej</w:t>
      </w:r>
      <w:bookmarkEnd w:id="3"/>
    </w:p>
    <w:p w:rsidR="001D6925" w:rsidRPr="00062824" w:rsidRDefault="001D6925" w:rsidP="001D6925">
      <w:pPr>
        <w:spacing w:after="120"/>
        <w:jc w:val="both"/>
        <w:rPr>
          <w:rFonts w:eastAsia="Times New Roman Bold" w:cs="Times New Roman"/>
          <w:color w:val="222222"/>
          <w:u w:val="single" w:color="222222"/>
          <w:lang w:val="pl-PL"/>
        </w:rPr>
      </w:pPr>
      <w:r w:rsidRPr="00062824">
        <w:rPr>
          <w:rFonts w:cs="Times New Roman"/>
          <w:color w:val="222222"/>
          <w:u w:val="single" w:color="222222"/>
          <w:lang w:val="pl-PL"/>
        </w:rPr>
        <w:t xml:space="preserve">Stan faktyczny </w:t>
      </w:r>
    </w:p>
    <w:p w:rsidR="001D6925" w:rsidRDefault="001D6925" w:rsidP="001D6925">
      <w:pPr>
        <w:spacing w:after="120" w:line="240" w:lineRule="auto"/>
        <w:jc w:val="both"/>
        <w:rPr>
          <w:lang w:val="pl-PL"/>
        </w:rPr>
      </w:pPr>
      <w:r w:rsidRPr="001D6925">
        <w:rPr>
          <w:lang w:val="pl-PL"/>
        </w:rPr>
        <w:t>Podczas kontroli rachunków spółki adwokackiej, w której uczestniczyła skarżąca, organy podatkowe odnotowały, że nie opłaciła podatku VAT z tytułu pobranych opłat, które zostały wpłacone na jej osobisty rachunek bankowy. Wezwano ją do prze</w:t>
      </w:r>
      <w:r>
        <w:rPr>
          <w:lang w:val="pl-PL"/>
        </w:rPr>
        <w:t>d</w:t>
      </w:r>
      <w:r w:rsidRPr="001D6925">
        <w:rPr>
          <w:lang w:val="pl-PL"/>
        </w:rPr>
        <w:t xml:space="preserve">stawienia wyciągów bankowych, jednak odmówiła z powołaniem się na ochronę tajemnicy adwokackiej i bankowej. W tej sytuacji skierowano sprawę do prokuratury i wszczęto postępowanie karne ws. oszustwa podatkowego. Sędzia śledczy zwrócił się z wnioskiem do sądu o wydanie zarządzenia uchylającego tajemnicę zawodową i bankową. Wniosek ten został uwzględniony przez sąd na tej podstawie, że choć skarżąca w sposób uprawniony powołała się na ochronę tajemnicy zawodowej, to jednak interes publiczny powinien przeważyć nad interesem prywatnym. Skarżąca złożyła odwołanie, zostało ono </w:t>
      </w:r>
      <w:r w:rsidR="00062824" w:rsidRPr="001D6925">
        <w:rPr>
          <w:lang w:val="pl-PL"/>
        </w:rPr>
        <w:t xml:space="preserve">jednak </w:t>
      </w:r>
      <w:r w:rsidRPr="001D6925">
        <w:rPr>
          <w:lang w:val="pl-PL"/>
        </w:rPr>
        <w:t xml:space="preserve">uznane za niedopuszczalne. Postępowanie karne zostało ostatecznie umorzone, jednak wobec skarżącej prowadzono postępowania podatkowe. </w:t>
      </w:r>
    </w:p>
    <w:p w:rsidR="001D6925" w:rsidRPr="001D6925" w:rsidRDefault="001D6925" w:rsidP="001D6925">
      <w:pPr>
        <w:spacing w:after="120" w:line="240" w:lineRule="auto"/>
        <w:jc w:val="both"/>
        <w:rPr>
          <w:u w:val="single"/>
          <w:lang w:val="pl-PL"/>
        </w:rPr>
      </w:pPr>
      <w:r w:rsidRPr="001D6925">
        <w:rPr>
          <w:u w:val="single"/>
          <w:lang w:val="pl-PL"/>
        </w:rPr>
        <w:t>Rozstrzygnięcie Trybunału</w:t>
      </w:r>
    </w:p>
    <w:p w:rsidR="001D6925" w:rsidRPr="001D6925" w:rsidRDefault="001D6925" w:rsidP="001D6925">
      <w:pPr>
        <w:spacing w:after="120" w:line="240" w:lineRule="auto"/>
        <w:jc w:val="both"/>
        <w:rPr>
          <w:lang w:val="pl-PL"/>
        </w:rPr>
      </w:pPr>
      <w:r w:rsidRPr="001D6925">
        <w:rPr>
          <w:lang w:val="pl-PL"/>
        </w:rPr>
        <w:t>Trybunał podkreślił szczególne znaczenie ochrony tajemnicy adwokackiej, która jest podstawą relacji zaufania między adwokatem a jego klientem i może mieć wpływ na prawidłow</w:t>
      </w:r>
      <w:r w:rsidR="00FD26DC">
        <w:rPr>
          <w:lang w:val="pl-PL"/>
        </w:rPr>
        <w:t xml:space="preserve">e funkcjonowanie </w:t>
      </w:r>
      <w:r w:rsidRPr="001D6925">
        <w:rPr>
          <w:lang w:val="pl-PL"/>
        </w:rPr>
        <w:t xml:space="preserve"> wymiar</w:t>
      </w:r>
      <w:r w:rsidR="00FD26DC">
        <w:rPr>
          <w:lang w:val="pl-PL"/>
        </w:rPr>
        <w:t>u</w:t>
      </w:r>
      <w:r w:rsidRPr="001D6925">
        <w:rPr>
          <w:lang w:val="pl-PL"/>
        </w:rPr>
        <w:t xml:space="preserve"> sprawiedliwości. Zbadanie wyciągów bankowych skarżącej stanowiło ingerencję w prawo do poszanowania tajemnicy zawodowej, które wchodzi w zakres pojęcia życia prywatnego chronionego art. 8 Konwencji. Ingerencja ta miała uprawniony cel, jakim jest zapobieganie przestępstwom, gdyż została dokonana w ramach śledztwa prowadzonego przeciw skarżącej przed sądem</w:t>
      </w:r>
      <w:r w:rsidR="00057DAB">
        <w:rPr>
          <w:lang w:val="pl-PL"/>
        </w:rPr>
        <w:t>. Została ona jednak dokona</w:t>
      </w:r>
      <w:r w:rsidR="00062824">
        <w:rPr>
          <w:lang w:val="pl-PL"/>
        </w:rPr>
        <w:t>n</w:t>
      </w:r>
      <w:r w:rsidR="00057DAB">
        <w:rPr>
          <w:lang w:val="pl-PL"/>
        </w:rPr>
        <w:t xml:space="preserve">a </w:t>
      </w:r>
      <w:r w:rsidRPr="001D6925">
        <w:rPr>
          <w:lang w:val="pl-PL"/>
        </w:rPr>
        <w:t>bez udziału skarżącej</w:t>
      </w:r>
      <w:r w:rsidR="00057DAB">
        <w:rPr>
          <w:lang w:val="pl-PL"/>
        </w:rPr>
        <w:t>, która</w:t>
      </w:r>
      <w:r w:rsidRPr="001D6925">
        <w:rPr>
          <w:lang w:val="pl-PL"/>
        </w:rPr>
        <w:t xml:space="preserve"> dowiedziała się o uchyleniu tajemnicy zawodowej i bankowej d</w:t>
      </w:r>
      <w:r w:rsidR="00062824">
        <w:rPr>
          <w:lang w:val="pl-PL"/>
        </w:rPr>
        <w:t xml:space="preserve">opiero w chwili otrzymania </w:t>
      </w:r>
      <w:r w:rsidR="005F4E75">
        <w:rPr>
          <w:lang w:val="pl-PL"/>
        </w:rPr>
        <w:t>posta</w:t>
      </w:r>
      <w:r w:rsidR="005F4E75" w:rsidRPr="001D6925">
        <w:rPr>
          <w:lang w:val="pl-PL"/>
        </w:rPr>
        <w:t>nowienia</w:t>
      </w:r>
      <w:r w:rsidRPr="001D6925">
        <w:rPr>
          <w:lang w:val="pl-PL"/>
        </w:rPr>
        <w:t xml:space="preserve"> sądu w tej sprawie. Nie miała więc możliwości przedstawienia swych argumentów. Ponadto, pomimo że ustawodawstwo przewidywało wymóg konsultacji z samorządem adwokackim w ramach procedury uchylenia tajemnicy zawodowej, nie zwrócono się o taką opinię. Nawet jeśli opinia ta i tak nie byłaby wiążąca, zdaniem Trybunału udział niezależnego organu był w tym przypadku konieczny, zważywszy że informacje, których dotyczyło postępowanie, były objęte tajemnicą zawodową. W sprawie tej zabrakło również skutecznej kontroli nad zastosowanym środkiem, gdyż za kontrolę taką nie można uznać odrzucenia przez Sąd Najwyższy zażalenia skarżącej</w:t>
      </w:r>
      <w:r w:rsidR="00057DAB" w:rsidRPr="00057DAB">
        <w:rPr>
          <w:lang w:val="pl-PL"/>
        </w:rPr>
        <w:t xml:space="preserve"> </w:t>
      </w:r>
      <w:r w:rsidR="00057DAB" w:rsidRPr="001D6925">
        <w:rPr>
          <w:lang w:val="pl-PL"/>
        </w:rPr>
        <w:t>jako niedopuszczalnego</w:t>
      </w:r>
      <w:r w:rsidRPr="001D6925">
        <w:rPr>
          <w:lang w:val="pl-PL"/>
        </w:rPr>
        <w:t xml:space="preserve">. </w:t>
      </w:r>
    </w:p>
    <w:p w:rsidR="001D6925" w:rsidRPr="001D6925" w:rsidRDefault="001D6925" w:rsidP="001D6925">
      <w:pPr>
        <w:spacing w:after="120" w:line="240" w:lineRule="auto"/>
        <w:jc w:val="both"/>
        <w:rPr>
          <w:lang w:val="pl-PL"/>
        </w:rPr>
      </w:pPr>
      <w:r w:rsidRPr="001D6925">
        <w:rPr>
          <w:lang w:val="pl-PL"/>
        </w:rPr>
        <w:t>Z</w:t>
      </w:r>
      <w:r w:rsidR="00E23DA9">
        <w:rPr>
          <w:lang w:val="pl-PL"/>
        </w:rPr>
        <w:t xml:space="preserve"> uwagi</w:t>
      </w:r>
      <w:r w:rsidRPr="001D6925">
        <w:rPr>
          <w:lang w:val="pl-PL"/>
        </w:rPr>
        <w:t xml:space="preserve"> na brak gwarancji proceduralnych i skutecznej kontroli sądowej nie zapewniono słusznej równowagi między wymogami interesu ogólnego a ochroną prawa do życia prywatnego skarżącej. Doszło więc do naruszenia art. 8 Konwencji. </w:t>
      </w:r>
    </w:p>
    <w:p w:rsidR="001D6925" w:rsidRPr="001D6925" w:rsidRDefault="001D6925" w:rsidP="001D6925">
      <w:pPr>
        <w:spacing w:after="120" w:line="240" w:lineRule="auto"/>
        <w:jc w:val="both"/>
        <w:rPr>
          <w:lang w:val="pl-PL"/>
        </w:rPr>
      </w:pPr>
      <w:r w:rsidRPr="001D6925">
        <w:rPr>
          <w:u w:val="single"/>
          <w:lang w:val="pl-PL"/>
        </w:rPr>
        <w:t>Znaczenie wyroku dla Polski</w:t>
      </w:r>
      <w:r w:rsidRPr="001D6925">
        <w:rPr>
          <w:lang w:val="pl-PL"/>
        </w:rPr>
        <w:t xml:space="preserve">: wskazuje na potrzebę zachowania odpowiednich gwarancji proceduralnych i skutecznej </w:t>
      </w:r>
      <w:r w:rsidR="005F4E75">
        <w:rPr>
          <w:lang w:val="pl-PL"/>
        </w:rPr>
        <w:t xml:space="preserve">instancyjnej </w:t>
      </w:r>
      <w:r w:rsidRPr="001D6925">
        <w:rPr>
          <w:lang w:val="pl-PL"/>
        </w:rPr>
        <w:t xml:space="preserve">kontroli sądowej w odniesieniu do spraw dotyczących ingerencji w prawo do ochrony życia prywatnego, w tym w prawo do poszanowania tajemnicy zawodowej. Wskazuje na znaczenie tajemnicy adwokackiej, a także </w:t>
      </w:r>
      <w:r w:rsidR="00E23DA9">
        <w:rPr>
          <w:lang w:val="pl-PL"/>
        </w:rPr>
        <w:t xml:space="preserve">podkreśla potrzebę </w:t>
      </w:r>
      <w:r w:rsidR="006B5066">
        <w:rPr>
          <w:lang w:val="pl-PL"/>
        </w:rPr>
        <w:t>zasięgnięcia opinii niezależnego podmiotu</w:t>
      </w:r>
      <w:r w:rsidR="00E74A09">
        <w:rPr>
          <w:lang w:val="pl-PL"/>
        </w:rPr>
        <w:t xml:space="preserve"> (</w:t>
      </w:r>
      <w:r w:rsidR="00140583">
        <w:rPr>
          <w:lang w:val="pl-PL"/>
        </w:rPr>
        <w:t>samorządu adwokackiego</w:t>
      </w:r>
      <w:r w:rsidR="00E74A09">
        <w:rPr>
          <w:lang w:val="pl-PL"/>
        </w:rPr>
        <w:t>)</w:t>
      </w:r>
      <w:r w:rsidRPr="001D6925">
        <w:rPr>
          <w:lang w:val="pl-PL"/>
        </w:rPr>
        <w:t xml:space="preserve"> w sprawach dotyczących uchylenia tej tajemnicy.</w:t>
      </w:r>
      <w:r w:rsidR="00E23DA9">
        <w:rPr>
          <w:lang w:val="pl-PL"/>
        </w:rPr>
        <w:t xml:space="preserve"> Wyrok warto upowszechnić wśród sądów i organów samorządu prawniczego.</w:t>
      </w:r>
    </w:p>
    <w:p w:rsidR="001216A8" w:rsidRPr="004C7C76" w:rsidRDefault="003C63D7" w:rsidP="00E65593">
      <w:pPr>
        <w:pStyle w:val="Nagwek2"/>
        <w:numPr>
          <w:ilvl w:val="0"/>
          <w:numId w:val="1"/>
        </w:numPr>
        <w:spacing w:before="0"/>
      </w:pPr>
      <w:bookmarkStart w:id="4" w:name="_Toc444761946"/>
      <w:proofErr w:type="spellStart"/>
      <w:r w:rsidRPr="001216A8">
        <w:lastRenderedPageBreak/>
        <w:t>Tadzhibayev</w:t>
      </w:r>
      <w:proofErr w:type="spellEnd"/>
      <w:r w:rsidRPr="001216A8">
        <w:t xml:space="preserve"> </w:t>
      </w:r>
      <w:r w:rsidR="001216A8" w:rsidRPr="001216A8">
        <w:t xml:space="preserve">p. Rosji (skarga </w:t>
      </w:r>
      <w:r w:rsidR="003E63CA">
        <w:t xml:space="preserve">nr </w:t>
      </w:r>
      <w:r w:rsidR="001216A8" w:rsidRPr="001216A8">
        <w:t>17724/14), wyrok Izby z 01.12.2015 r.</w:t>
      </w:r>
      <w:r w:rsidR="004C7C76">
        <w:t>,</w:t>
      </w:r>
      <w:r w:rsidR="001216A8" w:rsidRPr="001216A8">
        <w:t xml:space="preserve"> </w:t>
      </w:r>
      <w:r w:rsidR="001216A8" w:rsidRPr="004C7C76">
        <w:t>nieostateczny</w:t>
      </w:r>
      <w:bookmarkEnd w:id="4"/>
    </w:p>
    <w:p w:rsidR="003F6478" w:rsidRDefault="003F6478" w:rsidP="00E65593">
      <w:pPr>
        <w:keepNext/>
        <w:keepLines/>
        <w:spacing w:after="120" w:line="240" w:lineRule="auto"/>
        <w:jc w:val="both"/>
        <w:outlineLvl w:val="2"/>
        <w:rPr>
          <w:b/>
          <w:color w:val="000000" w:themeColor="text1"/>
          <w:lang w:val="pl-PL"/>
        </w:rPr>
      </w:pPr>
      <w:bookmarkStart w:id="5" w:name="_Toc444761947"/>
      <w:r>
        <w:rPr>
          <w:b/>
          <w:color w:val="000000" w:themeColor="text1"/>
          <w:lang w:val="pl-PL"/>
        </w:rPr>
        <w:t>- n</w:t>
      </w:r>
      <w:r w:rsidR="001216A8" w:rsidRPr="001216A8">
        <w:rPr>
          <w:b/>
          <w:color w:val="000000" w:themeColor="text1"/>
          <w:lang w:val="pl-PL"/>
        </w:rPr>
        <w:t xml:space="preserve">aruszenie art. 3 </w:t>
      </w:r>
      <w:r w:rsidR="001216A8" w:rsidRPr="00751135">
        <w:rPr>
          <w:b/>
          <w:color w:val="000000" w:themeColor="text1"/>
          <w:lang w:val="pl-PL"/>
        </w:rPr>
        <w:t>Konwencji</w:t>
      </w:r>
      <w:r>
        <w:rPr>
          <w:b/>
          <w:color w:val="000000" w:themeColor="text1"/>
          <w:lang w:val="pl-PL"/>
        </w:rPr>
        <w:t xml:space="preserve"> (zakaz tortur oraz nieludzkiego lub poniżającego traktowania albo karania)</w:t>
      </w:r>
      <w:r w:rsidR="001216A8" w:rsidRPr="001216A8">
        <w:rPr>
          <w:b/>
          <w:color w:val="000000" w:themeColor="text1"/>
          <w:lang w:val="pl-PL"/>
        </w:rPr>
        <w:t xml:space="preserve"> w </w:t>
      </w:r>
      <w:r>
        <w:rPr>
          <w:b/>
          <w:color w:val="000000" w:themeColor="text1"/>
          <w:lang w:val="pl-PL"/>
        </w:rPr>
        <w:t>razie</w:t>
      </w:r>
      <w:r w:rsidR="001216A8" w:rsidRPr="001216A8">
        <w:rPr>
          <w:b/>
          <w:color w:val="000000" w:themeColor="text1"/>
          <w:lang w:val="pl-PL"/>
        </w:rPr>
        <w:t xml:space="preserve"> ekstra</w:t>
      </w:r>
      <w:r>
        <w:rPr>
          <w:b/>
          <w:color w:val="000000" w:themeColor="text1"/>
          <w:lang w:val="pl-PL"/>
        </w:rPr>
        <w:t>dycji do Kirgistanu</w:t>
      </w:r>
      <w:r w:rsidR="006E5FA6">
        <w:rPr>
          <w:b/>
          <w:color w:val="000000" w:themeColor="text1"/>
          <w:lang w:val="pl-PL"/>
        </w:rPr>
        <w:t xml:space="preserve"> z uwagi na ryzyko stosowania tortur wobec skarżącego</w:t>
      </w:r>
      <w:bookmarkEnd w:id="5"/>
    </w:p>
    <w:p w:rsidR="001216A8" w:rsidRPr="001216A8" w:rsidRDefault="003F6478" w:rsidP="00E65593">
      <w:pPr>
        <w:keepNext/>
        <w:keepLines/>
        <w:spacing w:after="120" w:line="240" w:lineRule="auto"/>
        <w:jc w:val="both"/>
        <w:outlineLvl w:val="2"/>
        <w:rPr>
          <w:b/>
          <w:color w:val="000000" w:themeColor="text1"/>
          <w:lang w:val="pl-PL"/>
        </w:rPr>
      </w:pPr>
      <w:bookmarkStart w:id="6" w:name="_Toc444761948"/>
      <w:r>
        <w:rPr>
          <w:b/>
          <w:color w:val="000000" w:themeColor="text1"/>
          <w:lang w:val="pl-PL"/>
        </w:rPr>
        <w:t>- utrzymanie przez Trybunał w mocy zobowiązania</w:t>
      </w:r>
      <w:r w:rsidR="001216A8" w:rsidRPr="001216A8">
        <w:rPr>
          <w:b/>
          <w:color w:val="000000" w:themeColor="text1"/>
          <w:lang w:val="pl-PL"/>
        </w:rPr>
        <w:t xml:space="preserve"> rządu </w:t>
      </w:r>
      <w:r w:rsidR="00C1636C" w:rsidRPr="001216A8">
        <w:rPr>
          <w:b/>
          <w:color w:val="000000" w:themeColor="text1"/>
          <w:lang w:val="pl-PL"/>
        </w:rPr>
        <w:t xml:space="preserve">na podstawie </w:t>
      </w:r>
      <w:r w:rsidR="00C1636C">
        <w:rPr>
          <w:b/>
          <w:color w:val="000000" w:themeColor="text1"/>
          <w:lang w:val="pl-PL"/>
        </w:rPr>
        <w:t xml:space="preserve">art. </w:t>
      </w:r>
      <w:r w:rsidR="00C1636C" w:rsidRPr="001216A8">
        <w:rPr>
          <w:b/>
          <w:color w:val="000000" w:themeColor="text1"/>
          <w:lang w:val="pl-PL"/>
        </w:rPr>
        <w:t xml:space="preserve">39 Regulaminu Trybunału </w:t>
      </w:r>
      <w:r w:rsidR="001216A8" w:rsidRPr="001216A8">
        <w:rPr>
          <w:b/>
          <w:color w:val="000000" w:themeColor="text1"/>
          <w:lang w:val="pl-PL"/>
        </w:rPr>
        <w:t xml:space="preserve">do wstrzymania </w:t>
      </w:r>
      <w:r w:rsidR="00C1636C">
        <w:rPr>
          <w:b/>
          <w:color w:val="000000" w:themeColor="text1"/>
          <w:lang w:val="pl-PL"/>
        </w:rPr>
        <w:t>ekstradycji</w:t>
      </w:r>
      <w:r w:rsidR="001216A8" w:rsidRPr="001216A8">
        <w:rPr>
          <w:b/>
          <w:color w:val="000000" w:themeColor="text1"/>
          <w:lang w:val="pl-PL"/>
        </w:rPr>
        <w:t xml:space="preserve"> skarżącego do czasu</w:t>
      </w:r>
      <w:r>
        <w:rPr>
          <w:b/>
          <w:color w:val="000000" w:themeColor="text1"/>
          <w:lang w:val="pl-PL"/>
        </w:rPr>
        <w:t>, w którym</w:t>
      </w:r>
      <w:r w:rsidR="001216A8" w:rsidRPr="001216A8">
        <w:rPr>
          <w:b/>
          <w:color w:val="000000" w:themeColor="text1"/>
          <w:lang w:val="pl-PL"/>
        </w:rPr>
        <w:t xml:space="preserve"> </w:t>
      </w:r>
      <w:r>
        <w:rPr>
          <w:b/>
          <w:color w:val="000000" w:themeColor="text1"/>
          <w:lang w:val="pl-PL"/>
        </w:rPr>
        <w:t>wyrok Trybunału stanie się ostateczny lub podjęta zostanie inna</w:t>
      </w:r>
      <w:r w:rsidR="001216A8" w:rsidRPr="001216A8">
        <w:rPr>
          <w:b/>
          <w:color w:val="000000" w:themeColor="text1"/>
          <w:lang w:val="pl-PL"/>
        </w:rPr>
        <w:t xml:space="preserve"> </w:t>
      </w:r>
      <w:r>
        <w:rPr>
          <w:b/>
          <w:color w:val="000000" w:themeColor="text1"/>
          <w:lang w:val="pl-PL"/>
        </w:rPr>
        <w:t>decyzja</w:t>
      </w:r>
      <w:bookmarkEnd w:id="6"/>
      <w:r w:rsidR="001216A8" w:rsidRPr="001216A8">
        <w:rPr>
          <w:b/>
          <w:color w:val="000000" w:themeColor="text1"/>
          <w:lang w:val="pl-PL"/>
        </w:rPr>
        <w:t xml:space="preserve">  </w:t>
      </w:r>
    </w:p>
    <w:p w:rsidR="00E65593" w:rsidRPr="005F4E75" w:rsidRDefault="00E65593" w:rsidP="00E65593">
      <w:pPr>
        <w:spacing w:after="120"/>
        <w:jc w:val="both"/>
        <w:rPr>
          <w:rFonts w:eastAsia="Times New Roman Bold" w:cs="Times New Roman"/>
          <w:color w:val="222222"/>
          <w:u w:val="single" w:color="222222"/>
          <w:lang w:val="pl-PL"/>
        </w:rPr>
      </w:pPr>
      <w:r w:rsidRPr="005F4E75">
        <w:rPr>
          <w:rFonts w:cs="Times New Roman"/>
          <w:color w:val="222222"/>
          <w:u w:val="single" w:color="222222"/>
          <w:lang w:val="pl-PL"/>
        </w:rPr>
        <w:t>Stan faktyczny i zarzuty skarżącego</w:t>
      </w:r>
    </w:p>
    <w:p w:rsidR="00F47299" w:rsidRDefault="001216A8" w:rsidP="00C20ABF">
      <w:pPr>
        <w:spacing w:after="120" w:line="240" w:lineRule="auto"/>
        <w:jc w:val="both"/>
        <w:rPr>
          <w:lang w:val="pl-PL"/>
        </w:rPr>
      </w:pPr>
      <w:r w:rsidRPr="00C20ABF">
        <w:rPr>
          <w:lang w:val="pl-PL"/>
        </w:rPr>
        <w:t>Skarżący jest obywatelem Kirgistanu uzbeckiego pochodzenia. Po zamieszka</w:t>
      </w:r>
      <w:r w:rsidR="004B3B60">
        <w:rPr>
          <w:lang w:val="pl-PL"/>
        </w:rPr>
        <w:t>ch</w:t>
      </w:r>
      <w:r w:rsidRPr="00C20ABF">
        <w:rPr>
          <w:lang w:val="pl-PL"/>
        </w:rPr>
        <w:t xml:space="preserve"> etnicznych</w:t>
      </w:r>
      <w:r w:rsidR="004B3B60">
        <w:rPr>
          <w:lang w:val="pl-PL"/>
        </w:rPr>
        <w:t>,</w:t>
      </w:r>
      <w:r w:rsidRPr="00C20ABF">
        <w:rPr>
          <w:lang w:val="pl-PL"/>
        </w:rPr>
        <w:t xml:space="preserve"> jakie miały miejsce w Kirgistanie w czerwcu 2010 r.</w:t>
      </w:r>
      <w:r w:rsidR="004B3B60">
        <w:rPr>
          <w:lang w:val="pl-PL"/>
        </w:rPr>
        <w:t>,</w:t>
      </w:r>
      <w:r w:rsidRPr="00C20ABF">
        <w:rPr>
          <w:lang w:val="pl-PL"/>
        </w:rPr>
        <w:t xml:space="preserve"> uciekł do Rosji wraz z wieloma innymi przedstawicielami uzbeckiej grupy etnicznej. Otrzymał prawo czasowego pobytu w Rosji na okres od 3 grudnia 2010 r. do 3 grudnia 2013 r. Władze w Kirgistanie oskarżyły go o udział w zamieszkach, używanie broni, niszczenie mienia </w:t>
      </w:r>
      <w:r w:rsidR="004655B4">
        <w:rPr>
          <w:lang w:val="pl-PL"/>
        </w:rPr>
        <w:t>i</w:t>
      </w:r>
      <w:r w:rsidRPr="00C20ABF">
        <w:rPr>
          <w:lang w:val="pl-PL"/>
        </w:rPr>
        <w:t xml:space="preserve"> porwanie </w:t>
      </w:r>
      <w:r w:rsidR="004655B4">
        <w:rPr>
          <w:lang w:val="pl-PL"/>
        </w:rPr>
        <w:t>oraz</w:t>
      </w:r>
      <w:r w:rsidRPr="00C20ABF">
        <w:rPr>
          <w:lang w:val="pl-PL"/>
        </w:rPr>
        <w:t xml:space="preserve"> umieściły na liście osób ściganych. </w:t>
      </w:r>
      <w:r w:rsidR="00F47299">
        <w:rPr>
          <w:lang w:val="pl-PL"/>
        </w:rPr>
        <w:t xml:space="preserve">Dnia </w:t>
      </w:r>
      <w:r w:rsidRPr="00C20ABF">
        <w:rPr>
          <w:lang w:val="pl-PL"/>
        </w:rPr>
        <w:t xml:space="preserve">12 lutego 2011 r. skarżący został także umieszczony na liście osób ściganych w Rosji. W dniu 29 października 2012 r. skarżący został aresztowany przez policję. </w:t>
      </w:r>
      <w:r w:rsidR="00F47299">
        <w:rPr>
          <w:lang w:val="pl-PL"/>
        </w:rPr>
        <w:t xml:space="preserve">W dniu </w:t>
      </w:r>
      <w:r w:rsidRPr="00C20ABF">
        <w:rPr>
          <w:lang w:val="pl-PL"/>
        </w:rPr>
        <w:t xml:space="preserve">23 listopada 2012 r. władze Kirgistanu zwróciły się z wnioskiem do Prokuratora Generalnego </w:t>
      </w:r>
      <w:r w:rsidR="00F47299" w:rsidRPr="00C20ABF">
        <w:rPr>
          <w:lang w:val="pl-PL"/>
        </w:rPr>
        <w:t xml:space="preserve">Federacji </w:t>
      </w:r>
      <w:r w:rsidRPr="00C20ABF">
        <w:rPr>
          <w:lang w:val="pl-PL"/>
        </w:rPr>
        <w:t xml:space="preserve">Rosyjskiej o ekstradycje skarżącego. Prokurator Generalny wydał zgodę na ekstradycję </w:t>
      </w:r>
      <w:r w:rsidR="00F47299">
        <w:rPr>
          <w:lang w:val="pl-PL"/>
        </w:rPr>
        <w:t xml:space="preserve">w dniu </w:t>
      </w:r>
      <w:r w:rsidRPr="00C20ABF">
        <w:rPr>
          <w:lang w:val="pl-PL"/>
        </w:rPr>
        <w:t>13 sierpnia 2013 r. Skarżący oraz jego adwokat złożyli odwołanie od decyzji</w:t>
      </w:r>
      <w:r w:rsidR="004655B4">
        <w:rPr>
          <w:lang w:val="pl-PL"/>
        </w:rPr>
        <w:t>,</w:t>
      </w:r>
      <w:r w:rsidRPr="00C20ABF">
        <w:rPr>
          <w:lang w:val="pl-PL"/>
        </w:rPr>
        <w:t xml:space="preserve"> zaznaczając, że ekstradycja naraża skarżącego na tortury i </w:t>
      </w:r>
      <w:r w:rsidR="004655B4">
        <w:rPr>
          <w:lang w:val="pl-PL"/>
        </w:rPr>
        <w:t xml:space="preserve">nieludzkie </w:t>
      </w:r>
      <w:r w:rsidRPr="00C20ABF">
        <w:rPr>
          <w:lang w:val="pl-PL"/>
        </w:rPr>
        <w:t>traktowanie w związku z jego pochodzeniem</w:t>
      </w:r>
      <w:r w:rsidR="00F47299" w:rsidRPr="00F47299">
        <w:rPr>
          <w:lang w:val="pl-PL"/>
        </w:rPr>
        <w:t xml:space="preserve"> </w:t>
      </w:r>
      <w:r w:rsidR="00F47299" w:rsidRPr="00C20ABF">
        <w:rPr>
          <w:lang w:val="pl-PL"/>
        </w:rPr>
        <w:t>uzbeckim</w:t>
      </w:r>
      <w:r w:rsidRPr="00C20ABF">
        <w:rPr>
          <w:lang w:val="pl-PL"/>
        </w:rPr>
        <w:t xml:space="preserve">. </w:t>
      </w:r>
      <w:r w:rsidR="00F47299">
        <w:rPr>
          <w:lang w:val="pl-PL"/>
        </w:rPr>
        <w:t xml:space="preserve">W dniu </w:t>
      </w:r>
      <w:r w:rsidRPr="00C20ABF">
        <w:rPr>
          <w:lang w:val="pl-PL"/>
        </w:rPr>
        <w:t>26 listopada 2013 r Sąd Miejski w Petersburgu uchylił decyzj</w:t>
      </w:r>
      <w:r w:rsidR="00FD26DC">
        <w:rPr>
          <w:lang w:val="pl-PL"/>
        </w:rPr>
        <w:t>ę</w:t>
      </w:r>
      <w:r w:rsidRPr="00C20ABF">
        <w:rPr>
          <w:lang w:val="pl-PL"/>
        </w:rPr>
        <w:t xml:space="preserve"> o ekstradycji skarżącego i zwolnił go z aresztu. Skarżący jest obecnie na wolności. </w:t>
      </w:r>
    </w:p>
    <w:p w:rsidR="001216A8" w:rsidRPr="00C20ABF" w:rsidRDefault="00F47299" w:rsidP="00C20ABF">
      <w:pPr>
        <w:spacing w:after="120" w:line="240" w:lineRule="auto"/>
        <w:jc w:val="both"/>
        <w:rPr>
          <w:lang w:val="pl-PL"/>
        </w:rPr>
      </w:pPr>
      <w:r>
        <w:rPr>
          <w:lang w:val="pl-PL"/>
        </w:rPr>
        <w:t xml:space="preserve">W dniu </w:t>
      </w:r>
      <w:r w:rsidR="001216A8" w:rsidRPr="00C20ABF">
        <w:rPr>
          <w:lang w:val="pl-PL"/>
        </w:rPr>
        <w:t xml:space="preserve">25 lutego 2014 </w:t>
      </w:r>
      <w:r>
        <w:rPr>
          <w:lang w:val="pl-PL"/>
        </w:rPr>
        <w:t xml:space="preserve">r. </w:t>
      </w:r>
      <w:r w:rsidR="001216A8" w:rsidRPr="00C20ABF">
        <w:rPr>
          <w:lang w:val="pl-PL"/>
        </w:rPr>
        <w:t xml:space="preserve">Sąd Najwyższy Rosji uchylił orzeczenie Sadu Miejskiego w Petersburgu i utrzymał w mocy decyzję o ekstradycji skarżącego, uznając, że gwarancje dyplomatyczne przedstawione przez Kirgistan zapewnią skarżącemu ochronę przez torturami i </w:t>
      </w:r>
      <w:r w:rsidR="004655B4">
        <w:rPr>
          <w:lang w:val="pl-PL"/>
        </w:rPr>
        <w:t xml:space="preserve">nieludzkim </w:t>
      </w:r>
      <w:r w:rsidR="001216A8" w:rsidRPr="00C20ABF">
        <w:rPr>
          <w:lang w:val="pl-PL"/>
        </w:rPr>
        <w:t xml:space="preserve">traktowaniem, prawo do obrony, proces zgodny z prawem krajowym i międzynarodowymi zobowiązaniami Kirgistanu, oraz że rosyjscy przedstawiciele korpusu dyplomatycznego będą mieli prawo do odwiedzin skarżącego w areszcie. Ekstradycja skarżącego została wstrzymana z uwagi na </w:t>
      </w:r>
      <w:r>
        <w:rPr>
          <w:lang w:val="pl-PL"/>
        </w:rPr>
        <w:t xml:space="preserve">zarządzenie </w:t>
      </w:r>
      <w:r w:rsidR="001216A8" w:rsidRPr="00C20ABF">
        <w:rPr>
          <w:lang w:val="pl-PL"/>
        </w:rPr>
        <w:t>wydan</w:t>
      </w:r>
      <w:r w:rsidR="004655B4">
        <w:rPr>
          <w:lang w:val="pl-PL"/>
        </w:rPr>
        <w:t>e</w:t>
      </w:r>
      <w:r w:rsidR="001216A8" w:rsidRPr="00C20ABF">
        <w:rPr>
          <w:lang w:val="pl-PL"/>
        </w:rPr>
        <w:t xml:space="preserve"> </w:t>
      </w:r>
      <w:r w:rsidR="004655B4">
        <w:rPr>
          <w:lang w:val="pl-PL"/>
        </w:rPr>
        <w:t xml:space="preserve">przez Trybunał </w:t>
      </w:r>
      <w:r w:rsidR="001216A8" w:rsidRPr="00C20ABF">
        <w:rPr>
          <w:lang w:val="pl-PL"/>
        </w:rPr>
        <w:t xml:space="preserve">na podstawie </w:t>
      </w:r>
      <w:r>
        <w:rPr>
          <w:lang w:val="pl-PL"/>
        </w:rPr>
        <w:t xml:space="preserve">art. </w:t>
      </w:r>
      <w:r w:rsidR="001216A8" w:rsidRPr="00C20ABF">
        <w:rPr>
          <w:lang w:val="pl-PL"/>
        </w:rPr>
        <w:t xml:space="preserve">39 Regulaminu Trybunału o  zastosowaniu środka tymczasowego wobec Rosji na czas trwania postępowania przed Trybunałem. </w:t>
      </w:r>
    </w:p>
    <w:p w:rsidR="001216A8" w:rsidRPr="00C20ABF" w:rsidRDefault="001216A8" w:rsidP="00C20ABF">
      <w:pPr>
        <w:spacing w:after="120" w:line="240" w:lineRule="auto"/>
        <w:jc w:val="both"/>
        <w:rPr>
          <w:lang w:val="pl-PL"/>
        </w:rPr>
      </w:pPr>
      <w:r w:rsidRPr="00C20ABF">
        <w:rPr>
          <w:lang w:val="pl-PL"/>
        </w:rPr>
        <w:t xml:space="preserve">Podczas pobytu w areszcie skarżący wystąpił do władz Federalnego Urzędu Imigracyjnego </w:t>
      </w:r>
      <w:r w:rsidRPr="00C20ABF">
        <w:rPr>
          <w:lang w:val="pl-PL"/>
        </w:rPr>
        <w:br/>
        <w:t xml:space="preserve">o  nadanie mu statusu uchodźcy. </w:t>
      </w:r>
      <w:r w:rsidR="00F47299">
        <w:rPr>
          <w:lang w:val="pl-PL"/>
        </w:rPr>
        <w:t xml:space="preserve">Dnia </w:t>
      </w:r>
      <w:r w:rsidRPr="00C20ABF">
        <w:rPr>
          <w:lang w:val="pl-PL"/>
        </w:rPr>
        <w:t xml:space="preserve">19 marca 2013 r. Federalny Urząd Imigracyjny dla Petersburga i okręgu Leningradzkiego odmówił nadania statusu uchodźcy skarżącemu uznając, że brak jest dowodów, iż był on prześladowany ze względu na swoje pochodzenie. Decyzja została podtrzymana przez sądy krajowe. </w:t>
      </w:r>
    </w:p>
    <w:p w:rsidR="001216A8" w:rsidRPr="00C20ABF" w:rsidRDefault="001216A8" w:rsidP="00C20ABF">
      <w:pPr>
        <w:spacing w:after="120" w:line="240" w:lineRule="auto"/>
        <w:jc w:val="both"/>
        <w:rPr>
          <w:lang w:val="pl-PL"/>
        </w:rPr>
      </w:pPr>
      <w:r w:rsidRPr="00C20ABF">
        <w:rPr>
          <w:lang w:val="pl-PL"/>
        </w:rPr>
        <w:t>W skardze wniesionej do Trybunału skarżący</w:t>
      </w:r>
      <w:r w:rsidR="00F47299">
        <w:rPr>
          <w:lang w:val="pl-PL"/>
        </w:rPr>
        <w:t>,</w:t>
      </w:r>
      <w:r w:rsidRPr="00C20ABF">
        <w:rPr>
          <w:lang w:val="pl-PL"/>
        </w:rPr>
        <w:t xml:space="preserve"> powołując się na art. 3 i 13 Konwencji</w:t>
      </w:r>
      <w:r w:rsidR="00F47299">
        <w:rPr>
          <w:lang w:val="pl-PL"/>
        </w:rPr>
        <w:t xml:space="preserve">, zarzucił, </w:t>
      </w:r>
      <w:r w:rsidRPr="00C20ABF">
        <w:rPr>
          <w:lang w:val="pl-PL"/>
        </w:rPr>
        <w:t>ż</w:t>
      </w:r>
      <w:r w:rsidR="00F47299">
        <w:rPr>
          <w:lang w:val="pl-PL"/>
        </w:rPr>
        <w:t>e</w:t>
      </w:r>
      <w:r w:rsidRPr="00C20ABF">
        <w:rPr>
          <w:lang w:val="pl-PL"/>
        </w:rPr>
        <w:t xml:space="preserve"> ekstradycja do Kirgistanu narazi go na tortury i </w:t>
      </w:r>
      <w:r w:rsidR="004655B4">
        <w:rPr>
          <w:lang w:val="pl-PL"/>
        </w:rPr>
        <w:t xml:space="preserve">nieludzkie </w:t>
      </w:r>
      <w:r w:rsidRPr="00C20ABF">
        <w:rPr>
          <w:lang w:val="pl-PL"/>
        </w:rPr>
        <w:t xml:space="preserve">traktowanie z uwagi na pochodzenie uzbeckie oraz że przedstawione przez niego argumenty nie zostały </w:t>
      </w:r>
      <w:r w:rsidR="00F47299">
        <w:rPr>
          <w:lang w:val="pl-PL"/>
        </w:rPr>
        <w:t>w sposób właściwy i dokładny</w:t>
      </w:r>
      <w:r w:rsidRPr="00C20ABF">
        <w:rPr>
          <w:lang w:val="pl-PL"/>
        </w:rPr>
        <w:t xml:space="preserve"> rozpatrzone przez władze rosyjskie. </w:t>
      </w:r>
    </w:p>
    <w:p w:rsidR="00E65593" w:rsidRPr="00E65593" w:rsidRDefault="00E65593" w:rsidP="00E65593">
      <w:pPr>
        <w:spacing w:after="120" w:line="240" w:lineRule="auto"/>
        <w:jc w:val="both"/>
        <w:rPr>
          <w:u w:val="single"/>
          <w:lang w:val="pl-PL"/>
        </w:rPr>
      </w:pPr>
      <w:r w:rsidRPr="00E65593">
        <w:rPr>
          <w:u w:val="single"/>
          <w:lang w:val="pl-PL"/>
        </w:rPr>
        <w:t>Rozstrzygnięcie Trybunału</w:t>
      </w:r>
    </w:p>
    <w:p w:rsidR="00210FDC" w:rsidRDefault="001216A8" w:rsidP="00C20ABF">
      <w:pPr>
        <w:spacing w:after="120" w:line="240" w:lineRule="auto"/>
        <w:jc w:val="both"/>
        <w:rPr>
          <w:lang w:val="pl-PL"/>
        </w:rPr>
      </w:pPr>
      <w:r w:rsidRPr="00C20ABF">
        <w:rPr>
          <w:lang w:val="pl-PL"/>
        </w:rPr>
        <w:t xml:space="preserve">Trybunał uznał, że ekstradycja skarżącego do Kirgistanu będzie stanowiła naruszenie art. 3 Konwencji. </w:t>
      </w:r>
      <w:r w:rsidR="00DD7CB7">
        <w:rPr>
          <w:lang w:val="pl-PL"/>
        </w:rPr>
        <w:t>W</w:t>
      </w:r>
      <w:r w:rsidRPr="00C20ABF">
        <w:rPr>
          <w:lang w:val="pl-PL"/>
        </w:rPr>
        <w:t xml:space="preserve"> oparciu o dane wynikające z raportów </w:t>
      </w:r>
      <w:r w:rsidRPr="0081439B">
        <w:rPr>
          <w:lang w:val="pl-PL"/>
        </w:rPr>
        <w:t>Komitetu ds. Likwidacji Dyskryminacji Rasowej i Komitetu Przeciwko Torturom Narodów Zjednoczon</w:t>
      </w:r>
      <w:r w:rsidRPr="00C20ABF">
        <w:rPr>
          <w:lang w:val="pl-PL"/>
        </w:rPr>
        <w:t xml:space="preserve">ych oraz raportów </w:t>
      </w:r>
      <w:proofErr w:type="spellStart"/>
      <w:r w:rsidRPr="00C20ABF">
        <w:rPr>
          <w:lang w:val="pl-PL"/>
        </w:rPr>
        <w:t>Amnesty</w:t>
      </w:r>
      <w:proofErr w:type="spellEnd"/>
      <w:r w:rsidRPr="00C20ABF">
        <w:rPr>
          <w:lang w:val="pl-PL"/>
        </w:rPr>
        <w:t xml:space="preserve"> Inte</w:t>
      </w:r>
      <w:r w:rsidR="0081439B">
        <w:rPr>
          <w:lang w:val="pl-PL"/>
        </w:rPr>
        <w:t xml:space="preserve">rnational i Human </w:t>
      </w:r>
      <w:proofErr w:type="spellStart"/>
      <w:r w:rsidR="0081439B">
        <w:rPr>
          <w:lang w:val="pl-PL"/>
        </w:rPr>
        <w:t>Right</w:t>
      </w:r>
      <w:r w:rsidRPr="00C20ABF">
        <w:rPr>
          <w:lang w:val="pl-PL"/>
        </w:rPr>
        <w:t>s</w:t>
      </w:r>
      <w:proofErr w:type="spellEnd"/>
      <w:r w:rsidRPr="00C20ABF">
        <w:rPr>
          <w:lang w:val="pl-PL"/>
        </w:rPr>
        <w:t xml:space="preserve"> Watch</w:t>
      </w:r>
      <w:r w:rsidR="00DD7CB7">
        <w:rPr>
          <w:lang w:val="pl-PL"/>
        </w:rPr>
        <w:t xml:space="preserve"> Trybunał stwierdził</w:t>
      </w:r>
      <w:r w:rsidRPr="00C20ABF">
        <w:rPr>
          <w:lang w:val="pl-PL"/>
        </w:rPr>
        <w:t xml:space="preserve">, że sytuacja w Kirgistanie nie uległa poprawie i pozostaje wysoce problematyczna. Osoby pochodzenia uzbeckiego są dyskryminowane, torturowane i źle traktowane, a funkcjonariusze publiczni nie ponoszą odpowiedzialności za swoje działania. Trybunał zauważył, że skarżący jest oskarżony w Kirgistanie o szereg przestępstw związanych z wydarzeniami z 2010 r. </w:t>
      </w:r>
      <w:r w:rsidR="0081439B">
        <w:rPr>
          <w:lang w:val="pl-PL"/>
        </w:rPr>
        <w:t xml:space="preserve">i </w:t>
      </w:r>
      <w:r w:rsidRPr="00C20ABF">
        <w:rPr>
          <w:lang w:val="pl-PL"/>
        </w:rPr>
        <w:t xml:space="preserve">w związku z tym jest narażony na traktowanie sprzeczne z art. 3 Konwencji. </w:t>
      </w:r>
    </w:p>
    <w:p w:rsidR="00B37E2B" w:rsidRDefault="00210FDC" w:rsidP="00C20ABF">
      <w:pPr>
        <w:spacing w:after="120" w:line="240" w:lineRule="auto"/>
        <w:jc w:val="both"/>
        <w:rPr>
          <w:lang w:val="pl-PL"/>
        </w:rPr>
      </w:pPr>
      <w:r>
        <w:rPr>
          <w:lang w:val="pl-PL"/>
        </w:rPr>
        <w:t xml:space="preserve">Po pierwsze, </w:t>
      </w:r>
      <w:r w:rsidR="00990A3A">
        <w:rPr>
          <w:lang w:val="pl-PL"/>
        </w:rPr>
        <w:t xml:space="preserve">Trybunał przypomniał zasady sformułowane w swym orzecznictwie, w świetle których w odniesieniu do skarżącego, który twierdzi, że jest członkiem grupy systematycznie narażonej na praktykę złego traktowania, w grę wchodzi ochrona na mocy art. 3 Konwencji, jeśli skarżący </w:t>
      </w:r>
      <w:r w:rsidR="00990A3A">
        <w:rPr>
          <w:lang w:val="pl-PL"/>
        </w:rPr>
        <w:lastRenderedPageBreak/>
        <w:t>udowodni (w razie potrzeby na podstawie informacji zawartej w raportach niezależnych międzynarodowych organów ochrony praw człowieka lub organizacji pozarządowych), że istnieją poważne powody, by wierzyć w istnienie wspomnianej praktyki oraz przynależność do danej grupy. W takich okolicznościach Trybunał nie będzie nalegał na wykazanie przez skarżącego i</w:t>
      </w:r>
      <w:r w:rsidR="004655B4">
        <w:rPr>
          <w:lang w:val="pl-PL"/>
        </w:rPr>
        <w:t xml:space="preserve">stnienia dalszych szczególnych </w:t>
      </w:r>
      <w:r w:rsidR="00990A3A">
        <w:rPr>
          <w:lang w:val="pl-PL"/>
        </w:rPr>
        <w:t xml:space="preserve">wyróżniających cech. Ma to zastosowanie do skarżącego, osoby pochodzenia uzbeckiego, oskarżonej o poważne przestępstwa rzekomo popełnione w trakcie wydarzeń związanych z użyciem przemocy w 2010 r. Zważywszy na szerokie </w:t>
      </w:r>
      <w:r>
        <w:rPr>
          <w:lang w:val="pl-PL"/>
        </w:rPr>
        <w:t>wykorzystanie przez władze Kirgistanu tortur i</w:t>
      </w:r>
      <w:r w:rsidR="002B1513">
        <w:rPr>
          <w:lang w:val="pl-PL"/>
        </w:rPr>
        <w:t xml:space="preserve"> nieludzkiego traktowania</w:t>
      </w:r>
      <w:r w:rsidR="00F24404">
        <w:rPr>
          <w:lang w:val="pl-PL"/>
        </w:rPr>
        <w:t xml:space="preserve"> wobec</w:t>
      </w:r>
      <w:r>
        <w:rPr>
          <w:lang w:val="pl-PL"/>
        </w:rPr>
        <w:t xml:space="preserve"> </w:t>
      </w:r>
      <w:r w:rsidR="002B1513">
        <w:rPr>
          <w:lang w:val="pl-PL"/>
        </w:rPr>
        <w:t xml:space="preserve">osób pochodzenia uzbeckiego </w:t>
      </w:r>
      <w:r>
        <w:rPr>
          <w:lang w:val="pl-PL"/>
        </w:rPr>
        <w:t xml:space="preserve">w celu uzyskania zeznań </w:t>
      </w:r>
      <w:r w:rsidR="002B1513">
        <w:rPr>
          <w:lang w:val="pl-PL"/>
        </w:rPr>
        <w:t xml:space="preserve">osób </w:t>
      </w:r>
      <w:r>
        <w:rPr>
          <w:lang w:val="pl-PL"/>
        </w:rPr>
        <w:t xml:space="preserve">oskarżonych o udział w tych wydarzeniach </w:t>
      </w:r>
      <w:r w:rsidR="002B1513">
        <w:rPr>
          <w:lang w:val="pl-PL"/>
        </w:rPr>
        <w:t>(</w:t>
      </w:r>
      <w:r>
        <w:rPr>
          <w:lang w:val="pl-PL"/>
        </w:rPr>
        <w:t>o czym donoszą raporty organów ONZ oraz wiarygodnych NGO</w:t>
      </w:r>
      <w:r w:rsidR="002B1513">
        <w:rPr>
          <w:lang w:val="pl-PL"/>
        </w:rPr>
        <w:t>),</w:t>
      </w:r>
      <w:r>
        <w:rPr>
          <w:lang w:val="pl-PL"/>
        </w:rPr>
        <w:t xml:space="preserve"> Trybunał uznał, że skarżący należy do szczególnie wrażliwej grupy, której członkowie są rutynowo poddani traktowaniu zakazanemu przez art. 3 Konwencji w państwie domagającym się ekstradycji. </w:t>
      </w:r>
    </w:p>
    <w:p w:rsidR="00210FDC" w:rsidRDefault="00210FDC" w:rsidP="00C20ABF">
      <w:pPr>
        <w:spacing w:after="120" w:line="240" w:lineRule="auto"/>
        <w:jc w:val="both"/>
        <w:rPr>
          <w:lang w:val="pl-PL"/>
        </w:rPr>
      </w:pPr>
      <w:r>
        <w:rPr>
          <w:lang w:val="pl-PL"/>
        </w:rPr>
        <w:t xml:space="preserve">Po drugie, </w:t>
      </w:r>
      <w:r w:rsidR="0035479E">
        <w:rPr>
          <w:lang w:val="pl-PL"/>
        </w:rPr>
        <w:t>zdaniem Trybunału,</w:t>
      </w:r>
      <w:r w:rsidR="001216A8" w:rsidRPr="00C20ABF">
        <w:rPr>
          <w:lang w:val="pl-PL"/>
        </w:rPr>
        <w:t xml:space="preserve"> argumenty przedstawione przez skarżącego </w:t>
      </w:r>
      <w:r w:rsidR="00244B6C">
        <w:rPr>
          <w:lang w:val="pl-PL"/>
        </w:rPr>
        <w:t xml:space="preserve">wskazujące na ryzyko złego traktowania </w:t>
      </w:r>
      <w:r w:rsidR="001216A8" w:rsidRPr="00C20ABF">
        <w:rPr>
          <w:lang w:val="pl-PL"/>
        </w:rPr>
        <w:t>nie zostały należycie rozpatrzone</w:t>
      </w:r>
      <w:r>
        <w:rPr>
          <w:lang w:val="pl-PL"/>
        </w:rPr>
        <w:t xml:space="preserve"> na poziomie krajowym w postępowaniu o nadanie statusu uchodźcy oraz w postępowaniu ekstradycyjnym</w:t>
      </w:r>
      <w:r w:rsidR="001216A8" w:rsidRPr="00C20ABF">
        <w:rPr>
          <w:lang w:val="pl-PL"/>
        </w:rPr>
        <w:t xml:space="preserve">. </w:t>
      </w:r>
      <w:r>
        <w:rPr>
          <w:lang w:val="pl-PL"/>
        </w:rPr>
        <w:t>Trybunał skrytykował fakt, że r</w:t>
      </w:r>
      <w:r w:rsidRPr="0035479E">
        <w:rPr>
          <w:lang w:val="pl-PL"/>
        </w:rPr>
        <w:t>osyjskie władze imigracyjne nie przyznały statusu uchodźcy skarżącemu</w:t>
      </w:r>
      <w:r w:rsidRPr="00C20ABF">
        <w:rPr>
          <w:lang w:val="pl-PL"/>
        </w:rPr>
        <w:t xml:space="preserve"> </w:t>
      </w:r>
      <w:r>
        <w:rPr>
          <w:lang w:val="pl-PL"/>
        </w:rPr>
        <w:t xml:space="preserve">na tej podstawie, że brak jest dowodów na okoliczność </w:t>
      </w:r>
      <w:r w:rsidRPr="00C20ABF">
        <w:rPr>
          <w:lang w:val="pl-PL"/>
        </w:rPr>
        <w:t>jego prześladowania ze względu na pochodzenie</w:t>
      </w:r>
      <w:r>
        <w:rPr>
          <w:lang w:val="pl-PL"/>
        </w:rPr>
        <w:t xml:space="preserve">. Także Sąd Najwyższy w uzasadnieniu swojego orzeczenia nie wziął pod uwagę danych pochodzących z wiarygodnych źródeł, takich jak raporty międzynarodowych organizacji pozarządowych. </w:t>
      </w:r>
    </w:p>
    <w:p w:rsidR="0066054E" w:rsidRPr="00553B22" w:rsidRDefault="00244B6C" w:rsidP="00553B22">
      <w:pPr>
        <w:spacing w:after="120" w:line="240" w:lineRule="auto"/>
        <w:jc w:val="both"/>
        <w:rPr>
          <w:lang w:val="pl-PL"/>
        </w:rPr>
      </w:pPr>
      <w:r>
        <w:rPr>
          <w:lang w:val="pl-PL"/>
        </w:rPr>
        <w:t xml:space="preserve">Po trzecie, </w:t>
      </w:r>
      <w:r w:rsidR="001216A8" w:rsidRPr="00C20ABF">
        <w:rPr>
          <w:lang w:val="pl-PL"/>
        </w:rPr>
        <w:t xml:space="preserve">Trybunał uznał, że gwarancje dyplomatyczne przedstawione przez władze Kirgistanu nie wykluczają ryzyka narażenia skarżącego na złe traktowanie. </w:t>
      </w:r>
      <w:r w:rsidR="0066054E">
        <w:rPr>
          <w:lang w:val="pl-PL"/>
        </w:rPr>
        <w:t>Przypomniał, że Kirgistan nie jest stroną Konwencji o ochronie praw człowieka i podstawowych wolności, ani też władze kirgiskie nie wykazały istnienia skutecznego systemu ochrony prawnej przed torturami, który mógłby działać jako ekwiwalent systemu wymaganego od państw</w:t>
      </w:r>
      <w:r w:rsidR="002B1513">
        <w:rPr>
          <w:lang w:val="pl-PL"/>
        </w:rPr>
        <w:t>-</w:t>
      </w:r>
      <w:r w:rsidR="0066054E">
        <w:rPr>
          <w:lang w:val="pl-PL"/>
        </w:rPr>
        <w:t xml:space="preserve">stron Konwencji. Nie wykazano, by władze Kirgistanu zobowiązały się do zagwarantowania, by dostęp rosyjskich służb dyplomatycznych do skarżącego mógł </w:t>
      </w:r>
      <w:r w:rsidR="002B1513">
        <w:rPr>
          <w:lang w:val="pl-PL"/>
        </w:rPr>
        <w:t xml:space="preserve">w praktyce </w:t>
      </w:r>
      <w:r w:rsidR="0066054E">
        <w:rPr>
          <w:lang w:val="pl-PL"/>
        </w:rPr>
        <w:t xml:space="preserve">doprowadzić do skutecznej ochrony przed złym  traktowaniem. Nie wykazano, by służby dyplomatyczne posiadały kwalifikacje wymagane do skutecznej oceny zgodności działań władz Kirgistanu z tymi zobowiązaniami. Nie udzielono gwarancji, że służby dyplomatyczne będą mogły kontaktować się ze skarżącym bez udziału świadków. </w:t>
      </w:r>
      <w:r w:rsidR="00553B22">
        <w:rPr>
          <w:lang w:val="pl-PL"/>
        </w:rPr>
        <w:t xml:space="preserve">W dodatku, ich ewentualny udział nie został wsparty żadnym mechanizmem praktycznym, np. </w:t>
      </w:r>
      <w:r w:rsidR="002B1513">
        <w:rPr>
          <w:lang w:val="pl-PL"/>
        </w:rPr>
        <w:t>procedurą</w:t>
      </w:r>
      <w:r w:rsidR="00553B22">
        <w:rPr>
          <w:lang w:val="pl-PL"/>
        </w:rPr>
        <w:t>, za pomocą której skarżący mógł</w:t>
      </w:r>
      <w:r w:rsidR="00495FC4">
        <w:rPr>
          <w:lang w:val="pl-PL"/>
        </w:rPr>
        <w:t>by</w:t>
      </w:r>
      <w:r w:rsidR="00553B22">
        <w:rPr>
          <w:lang w:val="pl-PL"/>
        </w:rPr>
        <w:t xml:space="preserve"> złożyć do nich skargi lub który zapewniałby ich </w:t>
      </w:r>
      <w:r w:rsidR="00D45DC4">
        <w:rPr>
          <w:lang w:val="pl-PL"/>
        </w:rPr>
        <w:t>nieskrępowany</w:t>
      </w:r>
      <w:r w:rsidR="00553B22">
        <w:rPr>
          <w:lang w:val="pl-PL"/>
        </w:rPr>
        <w:t xml:space="preserve"> dostęp do ośrodków zatrzymania. </w:t>
      </w:r>
      <w:r w:rsidR="00553B22">
        <w:rPr>
          <w:rStyle w:val="sb8d990e2"/>
          <w:lang w:val="pl-PL"/>
        </w:rPr>
        <w:t xml:space="preserve"> </w:t>
      </w:r>
    </w:p>
    <w:p w:rsidR="001216A8" w:rsidRDefault="00495FC4" w:rsidP="00C20ABF">
      <w:pPr>
        <w:spacing w:after="120" w:line="240" w:lineRule="auto"/>
        <w:jc w:val="both"/>
        <w:rPr>
          <w:lang w:val="pl-PL"/>
        </w:rPr>
      </w:pPr>
      <w:r>
        <w:rPr>
          <w:lang w:val="pl-PL"/>
        </w:rPr>
        <w:t>Z</w:t>
      </w:r>
      <w:r w:rsidR="00C4537B">
        <w:rPr>
          <w:lang w:val="pl-PL"/>
        </w:rPr>
        <w:t xml:space="preserve">ważywszy </w:t>
      </w:r>
      <w:r w:rsidR="002B1513">
        <w:rPr>
          <w:lang w:val="pl-PL"/>
        </w:rPr>
        <w:t xml:space="preserve">na </w:t>
      </w:r>
      <w:r w:rsidR="00C4537B">
        <w:rPr>
          <w:lang w:val="pl-PL"/>
        </w:rPr>
        <w:t xml:space="preserve">istnienie potwierdzonej i rutynowej praktyki stosowania tortur i innych form złego traktowania przez organy stosowania prawa w południowej części Kirgistanu wobec członków społeczności uzbeckiej, do której należy skarżący, </w:t>
      </w:r>
      <w:r w:rsidR="002B1513">
        <w:rPr>
          <w:lang w:val="pl-PL"/>
        </w:rPr>
        <w:t xml:space="preserve">a także ze względu na </w:t>
      </w:r>
      <w:r w:rsidR="00C4537B">
        <w:rPr>
          <w:lang w:val="pl-PL"/>
        </w:rPr>
        <w:t xml:space="preserve">bezkarność funkcjonariuszy oraz brak wystarczających gwarancji dla skarżącego ze strony wnioskującego państwa, Trybunał uznał za uwiarygodnione, że skarżący narażony byłby na poważne ryzyko traktowania sprzecznego z art. 3 Konwencji w razie ekstradycji do </w:t>
      </w:r>
      <w:r w:rsidR="001216A8" w:rsidRPr="00C20ABF">
        <w:rPr>
          <w:lang w:val="pl-PL"/>
        </w:rPr>
        <w:t>Kirgistanu</w:t>
      </w:r>
      <w:r w:rsidR="00C4537B">
        <w:rPr>
          <w:lang w:val="pl-PL"/>
        </w:rPr>
        <w:t xml:space="preserve">, co stanowiłoby naruszenie tego </w:t>
      </w:r>
      <w:r w:rsidR="002B1513">
        <w:rPr>
          <w:lang w:val="pl-PL"/>
        </w:rPr>
        <w:t>postanowienia</w:t>
      </w:r>
      <w:r w:rsidR="001216A8" w:rsidRPr="00C20ABF">
        <w:rPr>
          <w:lang w:val="pl-PL"/>
        </w:rPr>
        <w:t>.</w:t>
      </w:r>
    </w:p>
    <w:p w:rsidR="001216A8" w:rsidRDefault="001216A8" w:rsidP="00C20ABF">
      <w:pPr>
        <w:spacing w:after="120" w:line="240" w:lineRule="auto"/>
        <w:jc w:val="both"/>
        <w:rPr>
          <w:lang w:val="pl-PL"/>
        </w:rPr>
      </w:pPr>
      <w:r w:rsidRPr="00C20ABF">
        <w:rPr>
          <w:lang w:val="pl-PL"/>
        </w:rPr>
        <w:t xml:space="preserve">Trybunał orzekł, że stwierdzenie naruszenia art. 3 Konwencji stanowi samo w sobie wystarczające zadośćuczynienie za jakąkolwiek szkodę niematerialną poniesioną przez skarżącego. Ponadto na podstawie </w:t>
      </w:r>
      <w:r w:rsidR="0035479E">
        <w:rPr>
          <w:lang w:val="pl-PL"/>
        </w:rPr>
        <w:t>art.</w:t>
      </w:r>
      <w:r w:rsidRPr="00C20ABF">
        <w:rPr>
          <w:lang w:val="pl-PL"/>
        </w:rPr>
        <w:t xml:space="preserve"> 39 Regulaminu </w:t>
      </w:r>
      <w:r w:rsidR="007367A9">
        <w:rPr>
          <w:lang w:val="pl-PL"/>
        </w:rPr>
        <w:t xml:space="preserve">Trybunał </w:t>
      </w:r>
      <w:r w:rsidRPr="00C20ABF">
        <w:rPr>
          <w:lang w:val="pl-PL"/>
        </w:rPr>
        <w:t xml:space="preserve">zdecydował o dalszym zastosowaniu środków tymczasowych wobec Rosji </w:t>
      </w:r>
      <w:r w:rsidR="0035479E">
        <w:rPr>
          <w:lang w:val="pl-PL"/>
        </w:rPr>
        <w:t>nakazujących</w:t>
      </w:r>
      <w:r w:rsidRPr="00C20ABF">
        <w:rPr>
          <w:lang w:val="pl-PL"/>
        </w:rPr>
        <w:t xml:space="preserve"> </w:t>
      </w:r>
      <w:r w:rsidR="0035479E">
        <w:rPr>
          <w:lang w:val="pl-PL"/>
        </w:rPr>
        <w:t>wstrzymanie</w:t>
      </w:r>
      <w:r w:rsidRPr="00C20ABF">
        <w:rPr>
          <w:lang w:val="pl-PL"/>
        </w:rPr>
        <w:t xml:space="preserve"> </w:t>
      </w:r>
      <w:r w:rsidR="00E84747">
        <w:rPr>
          <w:lang w:val="pl-PL"/>
        </w:rPr>
        <w:t>ekstradycji</w:t>
      </w:r>
      <w:r w:rsidRPr="00C20ABF">
        <w:rPr>
          <w:lang w:val="pl-PL"/>
        </w:rPr>
        <w:t xml:space="preserve"> skarżącego do czasu uprawomocnienia się wyroku </w:t>
      </w:r>
      <w:r w:rsidR="0035479E">
        <w:rPr>
          <w:lang w:val="pl-PL"/>
        </w:rPr>
        <w:t xml:space="preserve">Trybunału </w:t>
      </w:r>
      <w:r w:rsidRPr="00C20ABF">
        <w:rPr>
          <w:lang w:val="pl-PL"/>
        </w:rPr>
        <w:t xml:space="preserve">lub podjęcia innej decyzji. </w:t>
      </w:r>
    </w:p>
    <w:p w:rsidR="008D029D" w:rsidRPr="00C20ABF" w:rsidRDefault="008D029D" w:rsidP="00C20ABF">
      <w:pPr>
        <w:spacing w:after="120" w:line="240" w:lineRule="auto"/>
        <w:jc w:val="both"/>
        <w:rPr>
          <w:lang w:val="pl-PL"/>
        </w:rPr>
      </w:pPr>
      <w:r w:rsidRPr="00DD432B">
        <w:rPr>
          <w:u w:val="single"/>
          <w:lang w:val="pl-PL"/>
        </w:rPr>
        <w:t>Znaczenie wyroku dla Polski</w:t>
      </w:r>
      <w:r>
        <w:rPr>
          <w:lang w:val="pl-PL"/>
        </w:rPr>
        <w:t xml:space="preserve"> – potwierdza dotychczasowe orzecznictwo Trybunału w sprawach ekstradycyjnych</w:t>
      </w:r>
      <w:r w:rsidR="00DD432B">
        <w:rPr>
          <w:lang w:val="pl-PL"/>
        </w:rPr>
        <w:t xml:space="preserve"> i deportacyjnych</w:t>
      </w:r>
      <w:r>
        <w:rPr>
          <w:lang w:val="pl-PL"/>
        </w:rPr>
        <w:t xml:space="preserve">, wskazuje m.in. obowiązki władz krajowych w zakresie rzetelnego zbadania </w:t>
      </w:r>
      <w:r w:rsidR="00F24404">
        <w:rPr>
          <w:lang w:val="pl-PL"/>
        </w:rPr>
        <w:t xml:space="preserve">w postępowaniach azylowych i ekstradycyjnych ryzyka tortur </w:t>
      </w:r>
      <w:r w:rsidR="00DD432B">
        <w:rPr>
          <w:lang w:val="pl-PL"/>
        </w:rPr>
        <w:t>podnoszonego przez skarżącego</w:t>
      </w:r>
      <w:r w:rsidR="00495FC4">
        <w:rPr>
          <w:lang w:val="pl-PL"/>
        </w:rPr>
        <w:t>,</w:t>
      </w:r>
      <w:r w:rsidR="00DD432B">
        <w:rPr>
          <w:lang w:val="pl-PL"/>
        </w:rPr>
        <w:t xml:space="preserve"> </w:t>
      </w:r>
      <w:r>
        <w:rPr>
          <w:lang w:val="pl-PL"/>
        </w:rPr>
        <w:t xml:space="preserve">w tym </w:t>
      </w:r>
      <w:r w:rsidR="00F218B6">
        <w:rPr>
          <w:lang w:val="pl-PL"/>
        </w:rPr>
        <w:t xml:space="preserve">potrzebę </w:t>
      </w:r>
      <w:r w:rsidR="00DD432B">
        <w:rPr>
          <w:lang w:val="pl-PL"/>
        </w:rPr>
        <w:t xml:space="preserve">uwzględnienia </w:t>
      </w:r>
      <w:r>
        <w:rPr>
          <w:lang w:val="pl-PL"/>
        </w:rPr>
        <w:t>raportów organizacji międzynarodowych i wiarygodnych organizacji pozarządowych</w:t>
      </w:r>
      <w:r w:rsidR="00CF4432">
        <w:rPr>
          <w:lang w:val="pl-PL"/>
        </w:rPr>
        <w:t xml:space="preserve">. Wskazuje też na wymogi, które </w:t>
      </w:r>
      <w:r w:rsidR="00F218B6">
        <w:rPr>
          <w:lang w:val="pl-PL"/>
        </w:rPr>
        <w:t xml:space="preserve">na potrzeby art. 3 Konwencji </w:t>
      </w:r>
      <w:r w:rsidR="00CF4432">
        <w:rPr>
          <w:lang w:val="pl-PL"/>
        </w:rPr>
        <w:t xml:space="preserve">powinny spełniać gwarancje dyplomatyczne </w:t>
      </w:r>
      <w:r w:rsidR="00F218B6">
        <w:rPr>
          <w:lang w:val="pl-PL"/>
        </w:rPr>
        <w:t>udzielane przez państwo wnioskujące</w:t>
      </w:r>
      <w:r w:rsidR="00CF4432">
        <w:rPr>
          <w:lang w:val="pl-PL"/>
        </w:rPr>
        <w:t xml:space="preserve">. </w:t>
      </w:r>
    </w:p>
    <w:p w:rsidR="00516B53" w:rsidRPr="00DA7FE2" w:rsidRDefault="00516B53" w:rsidP="00516B53">
      <w:pPr>
        <w:pStyle w:val="Nagwek2"/>
        <w:numPr>
          <w:ilvl w:val="0"/>
          <w:numId w:val="1"/>
        </w:numPr>
        <w:spacing w:before="0"/>
      </w:pPr>
      <w:bookmarkStart w:id="7" w:name="_Toc444761949"/>
      <w:proofErr w:type="spellStart"/>
      <w:r w:rsidRPr="00DA7FE2">
        <w:lastRenderedPageBreak/>
        <w:t>Mironovas</w:t>
      </w:r>
      <w:proofErr w:type="spellEnd"/>
      <w:r w:rsidRPr="00DA7FE2">
        <w:t xml:space="preserve"> i inni przeciwko Litwie (skargi nr 40828/12, 29292/12, 69598/12, 40163/13, 66281/13, 70048/13, 70065/13), wyrok Izby z 8.12. 2015 r., nieostateczny</w:t>
      </w:r>
      <w:bookmarkEnd w:id="7"/>
    </w:p>
    <w:p w:rsidR="00516B53" w:rsidRPr="00516B53" w:rsidRDefault="00516B53" w:rsidP="00516B53">
      <w:pPr>
        <w:keepNext/>
        <w:keepLines/>
        <w:spacing w:after="120" w:line="240" w:lineRule="auto"/>
        <w:jc w:val="both"/>
        <w:outlineLvl w:val="2"/>
        <w:rPr>
          <w:b/>
          <w:color w:val="000000" w:themeColor="text1"/>
          <w:lang w:val="pl-PL"/>
        </w:rPr>
      </w:pPr>
      <w:bookmarkStart w:id="8" w:name="_Toc444761950"/>
      <w:r w:rsidRPr="00516B53">
        <w:rPr>
          <w:b/>
          <w:color w:val="000000" w:themeColor="text1"/>
          <w:lang w:val="pl-PL"/>
        </w:rPr>
        <w:t xml:space="preserve">- utrzymanie statusu ofiary naruszenia art. 3 Konwencji (zakaz tortur oraz nieludzkiego lub poniżającego traktowania albo karania) </w:t>
      </w:r>
      <w:r w:rsidR="0021217F">
        <w:rPr>
          <w:b/>
          <w:color w:val="000000" w:themeColor="text1"/>
          <w:lang w:val="pl-PL"/>
        </w:rPr>
        <w:t>sześciu</w:t>
      </w:r>
      <w:r w:rsidRPr="00516B53">
        <w:rPr>
          <w:b/>
          <w:color w:val="000000" w:themeColor="text1"/>
          <w:lang w:val="pl-PL"/>
        </w:rPr>
        <w:t xml:space="preserve"> skarżących, których powództwa o zadośćuczynienie </w:t>
      </w:r>
      <w:r w:rsidR="00EF29DF">
        <w:rPr>
          <w:b/>
          <w:color w:val="000000" w:themeColor="text1"/>
          <w:lang w:val="pl-PL"/>
        </w:rPr>
        <w:t xml:space="preserve">za niewłaściwe warunki w więzieniach </w:t>
      </w:r>
      <w:r w:rsidRPr="00516B53">
        <w:rPr>
          <w:b/>
          <w:color w:val="000000" w:themeColor="text1"/>
          <w:lang w:val="pl-PL"/>
        </w:rPr>
        <w:t>zostały nieodpowiednio rozpatrzone przez sądy krajowe, które przyznały zbyt niskie zadośćuczynienie lub nie przyznały zadośćuczynienia; brak statusu ofiary w odniesieniu do jednego  skarżącego, który otrzymał w kraju kwotę 2</w:t>
      </w:r>
      <w:r w:rsidR="00EF29DF">
        <w:rPr>
          <w:b/>
          <w:color w:val="000000" w:themeColor="text1"/>
          <w:lang w:val="pl-PL"/>
        </w:rPr>
        <w:t>.</w:t>
      </w:r>
      <w:r w:rsidRPr="00516B53">
        <w:rPr>
          <w:b/>
          <w:color w:val="000000" w:themeColor="text1"/>
          <w:lang w:val="pl-PL"/>
        </w:rPr>
        <w:t>300 euro.</w:t>
      </w:r>
      <w:bookmarkEnd w:id="8"/>
    </w:p>
    <w:p w:rsidR="00516B53" w:rsidRPr="00516B53" w:rsidRDefault="00516B53" w:rsidP="00516B53">
      <w:pPr>
        <w:spacing w:after="120"/>
        <w:jc w:val="both"/>
        <w:rPr>
          <w:rFonts w:cs="Times New Roman"/>
          <w:color w:val="222222"/>
          <w:szCs w:val="24"/>
          <w:u w:val="single" w:color="222222"/>
          <w:lang w:val="pl-PL"/>
        </w:rPr>
      </w:pPr>
      <w:r w:rsidRPr="00516B53">
        <w:rPr>
          <w:rFonts w:cs="Times New Roman"/>
          <w:color w:val="222222"/>
          <w:szCs w:val="24"/>
          <w:u w:val="single" w:color="222222"/>
          <w:lang w:val="pl-PL"/>
        </w:rPr>
        <w:t>Stan faktyczny i zarzuty skarżących</w:t>
      </w:r>
    </w:p>
    <w:p w:rsidR="00516B53" w:rsidRPr="00516B53" w:rsidRDefault="00516B53" w:rsidP="00516B53">
      <w:pPr>
        <w:pStyle w:val="s6c429373"/>
        <w:spacing w:before="0" w:beforeAutospacing="0" w:after="120" w:afterAutospacing="0"/>
        <w:jc w:val="both"/>
        <w:rPr>
          <w:rStyle w:val="s1a844bc0"/>
          <w:rFonts w:asciiTheme="minorHAnsi" w:hAnsiTheme="minorHAnsi"/>
          <w:sz w:val="22"/>
          <w:lang w:val="pl-PL"/>
        </w:rPr>
      </w:pPr>
      <w:r w:rsidRPr="00516B53">
        <w:rPr>
          <w:rStyle w:val="s1a844bc0"/>
          <w:rFonts w:asciiTheme="minorHAnsi" w:hAnsiTheme="minorHAnsi"/>
          <w:sz w:val="22"/>
          <w:lang w:val="pl-PL"/>
        </w:rPr>
        <w:t xml:space="preserve">Siedmiu skarżących odbywało wyroki w zakładach karnych. Złożyli skargi do sądów krajowych na niewłaściwe warunki zatrzymania. We wszystkich przypadkach sądy krajowe dopatrzyły się naruszenia norm krajowych. W pięciu sprawach sądy przyznały skarżącym kwoty od 60 do 2.300 euro jako zadośćuczynienie. W dwóch sprawach uznały, że dla zapewnienia ochrony praw skarżących nie jest konieczne przyznanie rekompensaty. </w:t>
      </w:r>
    </w:p>
    <w:p w:rsidR="00516B53" w:rsidRPr="00516B53" w:rsidRDefault="00516B53" w:rsidP="00516B53">
      <w:pPr>
        <w:pStyle w:val="s6c429373"/>
        <w:spacing w:before="0" w:beforeAutospacing="0" w:after="120" w:afterAutospacing="0"/>
        <w:jc w:val="both"/>
        <w:rPr>
          <w:rFonts w:asciiTheme="minorHAnsi" w:hAnsiTheme="minorHAnsi"/>
          <w:sz w:val="22"/>
          <w:lang w:val="pl-PL"/>
        </w:rPr>
      </w:pPr>
      <w:r w:rsidRPr="00516B53">
        <w:rPr>
          <w:rStyle w:val="sfbbfee58"/>
          <w:rFonts w:asciiTheme="minorHAnsi" w:eastAsiaTheme="majorEastAsia" w:hAnsiTheme="minorHAnsi"/>
          <w:sz w:val="22"/>
          <w:lang w:val="pl-PL"/>
        </w:rPr>
        <w:t>Skarżący zarzucali przed Trybunałem, że warunki ich zatrzymania nie spełniały wymogów wynikających z art. 3 Konwencji (</w:t>
      </w:r>
      <w:r w:rsidRPr="00516B53">
        <w:rPr>
          <w:rFonts w:asciiTheme="minorHAnsi" w:hAnsiTheme="minorHAnsi"/>
          <w:sz w:val="22"/>
          <w:lang w:val="pl-PL"/>
        </w:rPr>
        <w:t>przepełnione cele, złe warunku sanitarne, wilgoć, brak ogrzewania i wentylacji, dzielenie pomieszczeń przez więźniów palących z niepalącymi</w:t>
      </w:r>
      <w:r w:rsidR="0021217F">
        <w:rPr>
          <w:rFonts w:asciiTheme="minorHAnsi" w:hAnsiTheme="minorHAnsi"/>
          <w:sz w:val="22"/>
          <w:lang w:val="pl-PL"/>
        </w:rPr>
        <w:t xml:space="preserve"> itp.</w:t>
      </w:r>
      <w:r w:rsidRPr="00516B53">
        <w:rPr>
          <w:rFonts w:asciiTheme="minorHAnsi" w:hAnsiTheme="minorHAnsi"/>
          <w:sz w:val="22"/>
          <w:lang w:val="pl-PL"/>
        </w:rPr>
        <w:t xml:space="preserve">). Skarżyli się na pogorszony stan zdrowia, stres i bezsenność. </w:t>
      </w:r>
      <w:r w:rsidRPr="00516B53">
        <w:rPr>
          <w:rStyle w:val="sfbbfee58"/>
          <w:rFonts w:asciiTheme="minorHAnsi" w:eastAsiaTheme="majorEastAsia" w:hAnsiTheme="minorHAnsi"/>
          <w:sz w:val="22"/>
          <w:lang w:val="pl-PL"/>
        </w:rPr>
        <w:t xml:space="preserve">Rząd twierdził, że skarżący utracili status ofiary, gdyż sądy krajowe zbadały ich skargi i wydały orzeczenia na ich korzyść.  </w:t>
      </w:r>
    </w:p>
    <w:p w:rsidR="00516B53" w:rsidRPr="00516B53" w:rsidRDefault="00516B53" w:rsidP="00516B53">
      <w:pPr>
        <w:spacing w:after="120" w:line="240" w:lineRule="auto"/>
        <w:jc w:val="both"/>
        <w:rPr>
          <w:szCs w:val="24"/>
          <w:u w:val="single"/>
          <w:lang w:val="pl-PL"/>
        </w:rPr>
      </w:pPr>
      <w:r w:rsidRPr="00516B53">
        <w:rPr>
          <w:szCs w:val="24"/>
          <w:u w:val="single"/>
          <w:lang w:val="pl-PL"/>
        </w:rPr>
        <w:t>Rozstrzygnięcie Trybunału</w:t>
      </w:r>
    </w:p>
    <w:p w:rsidR="00516B53" w:rsidRPr="00516B53" w:rsidRDefault="00516B53" w:rsidP="00516B53">
      <w:pPr>
        <w:spacing w:after="120" w:line="240" w:lineRule="auto"/>
        <w:jc w:val="both"/>
        <w:rPr>
          <w:szCs w:val="24"/>
          <w:lang w:val="pl-PL"/>
        </w:rPr>
      </w:pPr>
      <w:r w:rsidRPr="00516B53">
        <w:rPr>
          <w:szCs w:val="24"/>
          <w:lang w:val="pl-PL"/>
        </w:rPr>
        <w:t xml:space="preserve">Trybunał odwołał się do wcześniejszego orzecznictwa, w szczególności ws. </w:t>
      </w:r>
      <w:proofErr w:type="spellStart"/>
      <w:r w:rsidRPr="00516B53">
        <w:rPr>
          <w:i/>
          <w:szCs w:val="24"/>
          <w:lang w:val="pl-PL"/>
        </w:rPr>
        <w:t>Scordino</w:t>
      </w:r>
      <w:proofErr w:type="spellEnd"/>
      <w:r w:rsidRPr="00516B53">
        <w:rPr>
          <w:i/>
          <w:szCs w:val="24"/>
          <w:lang w:val="pl-PL"/>
        </w:rPr>
        <w:t xml:space="preserve"> p. Włochom </w:t>
      </w:r>
      <w:r w:rsidRPr="00516B53">
        <w:rPr>
          <w:szCs w:val="24"/>
          <w:lang w:val="pl-PL"/>
        </w:rPr>
        <w:t>(</w:t>
      </w:r>
      <w:r w:rsidR="0021217F">
        <w:rPr>
          <w:szCs w:val="24"/>
          <w:lang w:val="pl-PL"/>
        </w:rPr>
        <w:t>n</w:t>
      </w:r>
      <w:r w:rsidRPr="00516B53">
        <w:rPr>
          <w:szCs w:val="24"/>
          <w:lang w:val="pl-PL"/>
        </w:rPr>
        <w:t xml:space="preserve">r 1, </w:t>
      </w:r>
      <w:r w:rsidR="0021217F">
        <w:rPr>
          <w:szCs w:val="24"/>
          <w:lang w:val="pl-PL"/>
        </w:rPr>
        <w:t xml:space="preserve">skarga </w:t>
      </w:r>
      <w:r w:rsidRPr="00516B53">
        <w:rPr>
          <w:szCs w:val="24"/>
          <w:lang w:val="pl-PL"/>
        </w:rPr>
        <w:t>nr 63813/97) i przypomniał następujące zasady, które mają zastosowanie przy ocenie statusu ofiary skarżących:</w:t>
      </w:r>
    </w:p>
    <w:p w:rsidR="00516B53" w:rsidRPr="00516B53" w:rsidRDefault="00516B53" w:rsidP="00516B53">
      <w:pPr>
        <w:spacing w:after="120" w:line="240" w:lineRule="auto"/>
        <w:jc w:val="both"/>
        <w:rPr>
          <w:szCs w:val="24"/>
          <w:lang w:val="pl-PL"/>
        </w:rPr>
      </w:pPr>
      <w:r w:rsidRPr="00516B53">
        <w:rPr>
          <w:szCs w:val="24"/>
          <w:lang w:val="pl-PL"/>
        </w:rPr>
        <w:t>- zgodnie z zasadą subsydiarności to w pierwszej kolejności do władz krajowych należy zaradzenie zarzucanym naruszeniom Konwencji;</w:t>
      </w:r>
    </w:p>
    <w:p w:rsidR="00516B53" w:rsidRPr="00516B53" w:rsidRDefault="00516B53" w:rsidP="00516B53">
      <w:pPr>
        <w:spacing w:after="120" w:line="240" w:lineRule="auto"/>
        <w:jc w:val="both"/>
        <w:rPr>
          <w:szCs w:val="24"/>
          <w:lang w:val="pl-PL"/>
        </w:rPr>
      </w:pPr>
      <w:r w:rsidRPr="00516B53">
        <w:rPr>
          <w:szCs w:val="24"/>
          <w:lang w:val="pl-PL"/>
        </w:rPr>
        <w:t>- fakt wydania korzystnego dla skarżącego orzeczenia krajowego sam w sobie nie pozbawia skarżącego statusu ofiary – konieczne jest, by władze krajowe (wyraźnie lub w sposób dorozumiany) uznały naruszenie Konwencji oraz przyznały zadośćuczynienie;</w:t>
      </w:r>
    </w:p>
    <w:p w:rsidR="00516B53" w:rsidRPr="00516B53" w:rsidRDefault="00516B53" w:rsidP="00516B53">
      <w:pPr>
        <w:spacing w:after="120" w:line="240" w:lineRule="auto"/>
        <w:jc w:val="both"/>
        <w:rPr>
          <w:szCs w:val="24"/>
          <w:lang w:val="pl-PL"/>
        </w:rPr>
      </w:pPr>
      <w:r w:rsidRPr="00516B53">
        <w:rPr>
          <w:szCs w:val="24"/>
          <w:lang w:val="pl-PL"/>
        </w:rPr>
        <w:t xml:space="preserve">- status ofiary zależy od rodzaju przyznanego zadośćuczynienia, a zasada subsydiarności nie oznacza, że Trybunał nie może nadzorować rezultatów </w:t>
      </w:r>
      <w:r w:rsidR="00E12FF2">
        <w:rPr>
          <w:szCs w:val="24"/>
          <w:lang w:val="pl-PL"/>
        </w:rPr>
        <w:t xml:space="preserve">stosowania </w:t>
      </w:r>
      <w:r w:rsidRPr="00516B53">
        <w:rPr>
          <w:szCs w:val="24"/>
          <w:lang w:val="pl-PL"/>
        </w:rPr>
        <w:t xml:space="preserve">środków krajowych. </w:t>
      </w:r>
    </w:p>
    <w:p w:rsidR="00516B53" w:rsidRPr="00516B53" w:rsidRDefault="00516B53" w:rsidP="00516B53">
      <w:pPr>
        <w:spacing w:after="120" w:line="240" w:lineRule="auto"/>
        <w:jc w:val="both"/>
        <w:rPr>
          <w:szCs w:val="24"/>
          <w:lang w:val="pl-PL"/>
        </w:rPr>
      </w:pPr>
      <w:r w:rsidRPr="00516B53">
        <w:rPr>
          <w:szCs w:val="24"/>
          <w:lang w:val="pl-PL"/>
        </w:rPr>
        <w:t>W odniesieniu do naruszenia art. 3 Konwencji z uwagi na niewłaściwe warunki zatrzymania Trybunał wymaga dwóch rodzajów środków zaradczych:</w:t>
      </w:r>
    </w:p>
    <w:p w:rsidR="00516B53" w:rsidRPr="00516B53" w:rsidRDefault="00516B53" w:rsidP="00516B53">
      <w:pPr>
        <w:spacing w:after="120" w:line="240" w:lineRule="auto"/>
        <w:jc w:val="both"/>
        <w:rPr>
          <w:szCs w:val="24"/>
          <w:lang w:val="pl-PL"/>
        </w:rPr>
      </w:pPr>
      <w:r w:rsidRPr="00516B53">
        <w:rPr>
          <w:szCs w:val="24"/>
          <w:lang w:val="pl-PL"/>
        </w:rPr>
        <w:t>- środek prewencyjny umożliwiający szybkie zakończenie trwającego stanu naruszenia – tego typu środek ma największą wartość i jest</w:t>
      </w:r>
      <w:r w:rsidR="0021217F">
        <w:rPr>
          <w:szCs w:val="24"/>
          <w:lang w:val="pl-PL"/>
        </w:rPr>
        <w:t xml:space="preserve"> niezbędny z uwagi na szczególną wagę</w:t>
      </w:r>
      <w:r w:rsidRPr="00516B53">
        <w:rPr>
          <w:szCs w:val="24"/>
          <w:lang w:val="pl-PL"/>
        </w:rPr>
        <w:t xml:space="preserve"> praw chronionych art. 3;  </w:t>
      </w:r>
    </w:p>
    <w:p w:rsidR="00516B53" w:rsidRPr="00516B53" w:rsidRDefault="00516B53" w:rsidP="00516B53">
      <w:pPr>
        <w:spacing w:after="120" w:line="240" w:lineRule="auto"/>
        <w:jc w:val="both"/>
        <w:rPr>
          <w:szCs w:val="24"/>
          <w:lang w:val="pl-PL"/>
        </w:rPr>
      </w:pPr>
      <w:r w:rsidRPr="00516B53">
        <w:rPr>
          <w:szCs w:val="24"/>
          <w:lang w:val="pl-PL"/>
        </w:rPr>
        <w:t>- środek kompensacyjny w postaci naprawienia już powstałej szkody – tego typu środek jest szczególnie istotny dla zasady subsydiarności – dzięki niemu skarżący nie są zmuszeni do kierowania do Trybunału skarg dotyczą</w:t>
      </w:r>
      <w:r w:rsidR="0021217F">
        <w:rPr>
          <w:szCs w:val="24"/>
          <w:lang w:val="pl-PL"/>
        </w:rPr>
        <w:t>cych</w:t>
      </w:r>
      <w:r w:rsidRPr="00516B53">
        <w:rPr>
          <w:szCs w:val="24"/>
          <w:lang w:val="pl-PL"/>
        </w:rPr>
        <w:t xml:space="preserve"> zbadania podstawowych faktów i ustalenia kwoty rekompensaty. </w:t>
      </w:r>
    </w:p>
    <w:p w:rsidR="00516B53" w:rsidRPr="00516B53" w:rsidRDefault="00516B53" w:rsidP="00516B53">
      <w:pPr>
        <w:spacing w:after="120" w:line="240" w:lineRule="auto"/>
        <w:jc w:val="both"/>
        <w:rPr>
          <w:szCs w:val="24"/>
          <w:lang w:val="pl-PL"/>
        </w:rPr>
      </w:pPr>
      <w:r w:rsidRPr="00516B53">
        <w:rPr>
          <w:szCs w:val="24"/>
          <w:lang w:val="pl-PL"/>
        </w:rPr>
        <w:t>Środki o charakterze prewencyjnym i kompensacyjnym powinny być komplementarne, by były uznane za skuteczne.</w:t>
      </w:r>
    </w:p>
    <w:p w:rsidR="00516B53" w:rsidRPr="005147C6" w:rsidRDefault="00516B53" w:rsidP="005147C6">
      <w:pPr>
        <w:spacing w:after="120" w:line="240" w:lineRule="auto"/>
        <w:ind w:firstLine="720"/>
        <w:jc w:val="both"/>
        <w:rPr>
          <w:i/>
          <w:sz w:val="20"/>
          <w:szCs w:val="24"/>
          <w:u w:val="single"/>
          <w:lang w:val="pl-PL"/>
        </w:rPr>
      </w:pPr>
      <w:r w:rsidRPr="005147C6">
        <w:rPr>
          <w:i/>
          <w:sz w:val="20"/>
          <w:szCs w:val="24"/>
          <w:u w:val="single"/>
          <w:lang w:val="pl-PL"/>
        </w:rPr>
        <w:t>Sposób rozpatrzenia powództw odszkodowawczych przez sądy krajowe</w:t>
      </w:r>
    </w:p>
    <w:p w:rsidR="00516B53" w:rsidRPr="00516B53" w:rsidRDefault="00516B53" w:rsidP="0021217F">
      <w:pPr>
        <w:spacing w:after="120" w:line="240" w:lineRule="auto"/>
        <w:jc w:val="both"/>
        <w:rPr>
          <w:rStyle w:val="sfbbfee58"/>
          <w:rFonts w:eastAsiaTheme="majorEastAsia"/>
          <w:lang w:val="pl-PL"/>
        </w:rPr>
      </w:pPr>
      <w:r w:rsidRPr="00516B53">
        <w:rPr>
          <w:szCs w:val="24"/>
          <w:lang w:val="pl-PL"/>
        </w:rPr>
        <w:t xml:space="preserve">Trybunał zbadał sposób rozpatrzenia powództw odszkodowawczych z tytułu warunków zatrzymania przez sądy litewskie. </w:t>
      </w:r>
      <w:r w:rsidRPr="00516B53">
        <w:rPr>
          <w:rStyle w:val="s7d2086b4"/>
          <w:lang w:val="pl-PL"/>
        </w:rPr>
        <w:t>W</w:t>
      </w:r>
      <w:r w:rsidRPr="00516B53">
        <w:rPr>
          <w:rStyle w:val="sfbbfee58"/>
          <w:rFonts w:eastAsiaTheme="majorEastAsia"/>
          <w:lang w:val="pl-PL"/>
        </w:rPr>
        <w:t xml:space="preserve">e wszystkich siedmiu sprawach sądy krajowe przyznały, że doszło do naruszenia krajowych norm prawnych mających zastosowanie do warunków zatrzymania. W większości przypadków sądy wzięły też pod uwagę zasady wypracowane w orzecznictwie Trybunału na podstawie art. 3. Najczęściej uznały też, że sam fakt niewłaściwych warunków zatrzymania przemawia za domniemaniem wystąpienia po stronie skarżących szkody niemajątkowej, bez konieczności jej udowodnienia przez skarżących. Trybunał był też usatysfakcjonowany faktem, że </w:t>
      </w:r>
      <w:r w:rsidRPr="00516B53">
        <w:rPr>
          <w:rStyle w:val="sfbbfee58"/>
          <w:rFonts w:eastAsiaTheme="majorEastAsia"/>
          <w:lang w:val="pl-PL"/>
        </w:rPr>
        <w:lastRenderedPageBreak/>
        <w:t xml:space="preserve">sądy uwzględniły całościową sytuację skarżących, koncentrując się na prawie osadzonego do niepodlegania nieludzkiemu lub poniżającemu traktowaniu. Pod tym więc względem Trybunał uznał, że generalnie sądy zbadały kwestie mające znaczenie z punktu widzenia art. 3 Konwencji. </w:t>
      </w:r>
      <w:r w:rsidRPr="00516B53">
        <w:rPr>
          <w:lang w:val="pl-PL"/>
        </w:rPr>
        <w:t xml:space="preserve"> </w:t>
      </w:r>
    </w:p>
    <w:p w:rsidR="00516B53" w:rsidRPr="00516B53" w:rsidRDefault="00516B53" w:rsidP="00516B53">
      <w:pPr>
        <w:pStyle w:val="s6c429373"/>
        <w:spacing w:before="0" w:beforeAutospacing="0" w:after="120" w:afterAutospacing="0"/>
        <w:jc w:val="both"/>
        <w:rPr>
          <w:rStyle w:val="sfbbfee58"/>
          <w:rFonts w:asciiTheme="minorHAnsi" w:eastAsiaTheme="majorEastAsia" w:hAnsiTheme="minorHAnsi"/>
          <w:sz w:val="22"/>
          <w:lang w:val="pl-PL"/>
        </w:rPr>
      </w:pPr>
      <w:r w:rsidRPr="00516B53">
        <w:rPr>
          <w:rStyle w:val="sfbbfee58"/>
          <w:rFonts w:asciiTheme="minorHAnsi" w:eastAsiaTheme="majorEastAsia" w:hAnsiTheme="minorHAnsi"/>
          <w:sz w:val="22"/>
          <w:lang w:val="pl-PL"/>
        </w:rPr>
        <w:t xml:space="preserve">Skrytykował natomiast, że w jednej ze spraw sąd krajowy zignorował istotę skargi skarżącego i zamiast przyjąć kumulatywne podejście, dokonał rozbicia roszczeń skarżącego na poszczególne aspekty zatrzymania, zbadał każdy z aspektów oddzielnie i na tej podstawie uznał, że żaden z zarzutów nie był na tyle poważny, by uzasadniało to przyznanie zadośćuczynienia, choć ogólny wpływ tych warunków na danego więźnia osiągał poziom dolegliwości zakazany przez art. 3 Konwencji. </w:t>
      </w:r>
    </w:p>
    <w:p w:rsidR="00516B53" w:rsidRPr="00516B53" w:rsidRDefault="00516B53" w:rsidP="00516B53">
      <w:pPr>
        <w:pStyle w:val="s6c429373"/>
        <w:spacing w:before="0" w:beforeAutospacing="0" w:after="120" w:afterAutospacing="0"/>
        <w:jc w:val="both"/>
        <w:rPr>
          <w:rStyle w:val="sfbbfee58"/>
          <w:rFonts w:asciiTheme="minorHAnsi" w:eastAsiaTheme="majorEastAsia" w:hAnsiTheme="minorHAnsi"/>
          <w:sz w:val="22"/>
          <w:lang w:val="pl-PL"/>
        </w:rPr>
      </w:pPr>
      <w:r w:rsidRPr="00516B53">
        <w:rPr>
          <w:rStyle w:val="sfbbfee58"/>
          <w:rFonts w:asciiTheme="minorHAnsi" w:eastAsiaTheme="majorEastAsia" w:hAnsiTheme="minorHAnsi"/>
          <w:sz w:val="22"/>
          <w:lang w:val="pl-PL"/>
        </w:rPr>
        <w:t xml:space="preserve">Trybunał odrzucił również argumentację jednego z sądów krajowych, który powołał się na fakt, że cierpienie skarżącego zmniejszało się z czasem. Nie podzielił również argumentu, że brak zamiaru poniżenia więźnia zmniejszał odpowiedzialność państwa za niewłaściwe warunki zatrzymania. </w:t>
      </w:r>
    </w:p>
    <w:p w:rsidR="00516B53" w:rsidRPr="00BE0C4E" w:rsidRDefault="00516B53" w:rsidP="005147C6">
      <w:pPr>
        <w:spacing w:after="120" w:line="240" w:lineRule="auto"/>
        <w:ind w:firstLine="720"/>
        <w:jc w:val="both"/>
        <w:rPr>
          <w:i/>
          <w:sz w:val="20"/>
          <w:szCs w:val="24"/>
          <w:u w:val="single"/>
          <w:lang w:val="pl-PL"/>
        </w:rPr>
      </w:pPr>
      <w:r w:rsidRPr="00BE0C4E">
        <w:rPr>
          <w:i/>
          <w:sz w:val="20"/>
          <w:szCs w:val="24"/>
          <w:u w:val="single"/>
          <w:lang w:val="pl-PL"/>
        </w:rPr>
        <w:t>Kwoty zadośćuczynień</w:t>
      </w:r>
    </w:p>
    <w:p w:rsidR="00516B53" w:rsidRPr="00516B53" w:rsidRDefault="00516B53" w:rsidP="00516B53">
      <w:pPr>
        <w:pStyle w:val="s6c429373"/>
        <w:spacing w:before="0" w:beforeAutospacing="0" w:after="120" w:afterAutospacing="0"/>
        <w:jc w:val="both"/>
        <w:rPr>
          <w:rStyle w:val="sfbbfee58"/>
          <w:rFonts w:asciiTheme="minorHAnsi" w:eastAsiaTheme="majorEastAsia" w:hAnsiTheme="minorHAnsi"/>
          <w:sz w:val="22"/>
          <w:lang w:val="pl-PL"/>
        </w:rPr>
      </w:pPr>
      <w:r w:rsidRPr="00516B53">
        <w:rPr>
          <w:rStyle w:val="sfbbfee58"/>
          <w:rFonts w:asciiTheme="minorHAnsi" w:eastAsiaTheme="majorEastAsia" w:hAnsiTheme="minorHAnsi"/>
          <w:sz w:val="22"/>
          <w:lang w:val="pl-PL"/>
        </w:rPr>
        <w:t>Trybunał podkreślił, że przyznawane przez sądy krajowe kwoty odszkodowań z tytułu szkody niemajątkowej nie mogą być nierozsądnie niskie w porównaniu do kwot przyznawanych w podobnych sprawach przez Trybunał. Ponieważ prawo do niepodlegania nieludzkiemu lub poniżającemu traktowaniu ma charakter</w:t>
      </w:r>
      <w:r w:rsidR="003C0BF1" w:rsidRPr="003C0BF1">
        <w:rPr>
          <w:rStyle w:val="sfbbfee58"/>
          <w:rFonts w:asciiTheme="minorHAnsi" w:eastAsiaTheme="majorEastAsia" w:hAnsiTheme="minorHAnsi"/>
          <w:sz w:val="22"/>
          <w:lang w:val="pl-PL"/>
        </w:rPr>
        <w:t xml:space="preserve"> </w:t>
      </w:r>
      <w:r w:rsidR="003C0BF1" w:rsidRPr="00516B53">
        <w:rPr>
          <w:rStyle w:val="sfbbfee58"/>
          <w:rFonts w:asciiTheme="minorHAnsi" w:eastAsiaTheme="majorEastAsia" w:hAnsiTheme="minorHAnsi"/>
          <w:sz w:val="22"/>
          <w:lang w:val="pl-PL"/>
        </w:rPr>
        <w:t>fundamentalny</w:t>
      </w:r>
      <w:r w:rsidRPr="00516B53">
        <w:rPr>
          <w:rStyle w:val="sfbbfee58"/>
          <w:rFonts w:asciiTheme="minorHAnsi" w:eastAsiaTheme="majorEastAsia" w:hAnsiTheme="minorHAnsi"/>
          <w:sz w:val="22"/>
          <w:lang w:val="pl-PL"/>
        </w:rPr>
        <w:t xml:space="preserve">, wymaga się od organu/sądu krajowego wskazania wyjątkowo przekonujących powodów uzasadniających brak przyznania lub przyznanie niższego zadośćuczynienia. Najważniejsze znaczenie dla oceny wysokości odszkodowania ma </w:t>
      </w:r>
      <w:r w:rsidR="00A83845">
        <w:rPr>
          <w:rStyle w:val="sfbbfee58"/>
          <w:rFonts w:asciiTheme="minorHAnsi" w:eastAsiaTheme="majorEastAsia" w:hAnsiTheme="minorHAnsi"/>
          <w:sz w:val="22"/>
          <w:lang w:val="pl-PL"/>
        </w:rPr>
        <w:t xml:space="preserve">długość okresu </w:t>
      </w:r>
      <w:r w:rsidRPr="00516B53">
        <w:rPr>
          <w:rStyle w:val="sfbbfee58"/>
          <w:rFonts w:asciiTheme="minorHAnsi" w:eastAsiaTheme="majorEastAsia" w:hAnsiTheme="minorHAnsi"/>
          <w:sz w:val="22"/>
          <w:lang w:val="pl-PL"/>
        </w:rPr>
        <w:t xml:space="preserve">czasu spędzonego w niewłaściwych warunkach. </w:t>
      </w:r>
    </w:p>
    <w:p w:rsidR="00516B53" w:rsidRPr="00516B53" w:rsidRDefault="00516B53" w:rsidP="00516B53">
      <w:pPr>
        <w:spacing w:after="120" w:line="240" w:lineRule="auto"/>
        <w:jc w:val="both"/>
        <w:rPr>
          <w:rStyle w:val="sfbbfee58"/>
          <w:rFonts w:eastAsiaTheme="majorEastAsia"/>
          <w:szCs w:val="24"/>
          <w:lang w:val="pl-PL"/>
        </w:rPr>
      </w:pPr>
      <w:r w:rsidRPr="00516B53">
        <w:rPr>
          <w:rStyle w:val="sfbbfee58"/>
          <w:rFonts w:eastAsiaTheme="majorEastAsia"/>
          <w:szCs w:val="24"/>
          <w:lang w:val="pl-PL"/>
        </w:rPr>
        <w:t>W jednej ze spraw sąd krajowy przyznał 2</w:t>
      </w:r>
      <w:r w:rsidR="007C3409">
        <w:rPr>
          <w:rStyle w:val="sfbbfee58"/>
          <w:rFonts w:eastAsiaTheme="majorEastAsia"/>
          <w:szCs w:val="24"/>
          <w:lang w:val="pl-PL"/>
        </w:rPr>
        <w:t>.</w:t>
      </w:r>
      <w:r w:rsidRPr="00516B53">
        <w:rPr>
          <w:rStyle w:val="sfbbfee58"/>
          <w:rFonts w:eastAsiaTheme="majorEastAsia"/>
          <w:szCs w:val="24"/>
          <w:lang w:val="pl-PL"/>
        </w:rPr>
        <w:t xml:space="preserve">300 euro tytułem niewłaściwych warunków zatrzymania (trwających </w:t>
      </w:r>
      <w:r w:rsidRPr="00516B53">
        <w:rPr>
          <w:szCs w:val="24"/>
          <w:lang w:val="pl-PL"/>
        </w:rPr>
        <w:t>564 dni)</w:t>
      </w:r>
      <w:r w:rsidRPr="00516B53">
        <w:rPr>
          <w:rStyle w:val="sfbbfee58"/>
          <w:rFonts w:eastAsiaTheme="majorEastAsia"/>
          <w:szCs w:val="24"/>
          <w:lang w:val="pl-PL"/>
        </w:rPr>
        <w:t xml:space="preserve">. Choć kwota ta w dalszym ciągu była niższa niż kwoty zasądzane przez Trybunał w podobnych sprawach, Trybunał odnotował jednak, że sprawa została przeanalizowana przez sąd krajowy konstruktywnie i zgodnie ze standardami wynikającymi z orzecznictwa Trybunału na gruncie art. 3. </w:t>
      </w:r>
      <w:r w:rsidRPr="00516B53">
        <w:rPr>
          <w:rFonts w:cs="Times New Roman"/>
          <w:szCs w:val="24"/>
          <w:lang w:val="pl-PL"/>
        </w:rPr>
        <w:t xml:space="preserve">Trybunał zaznaczył, iż szybkość postępowania krajowego oraz poziom życia w danym państwie mogą stanowić ważne kryteria przy ocenie, czy rekompensata jest wystarczająca. </w:t>
      </w:r>
      <w:r w:rsidRPr="00516B53">
        <w:rPr>
          <w:rStyle w:val="sfbbfee58"/>
          <w:rFonts w:eastAsiaTheme="majorEastAsia"/>
          <w:szCs w:val="24"/>
          <w:lang w:val="pl-PL"/>
        </w:rPr>
        <w:t xml:space="preserve">W odniesieniu do tego skarżącego Trybunał uznał, że nie może on dłużej uważać się za ofiarę naruszenia art. 3. </w:t>
      </w:r>
    </w:p>
    <w:p w:rsidR="00516B53" w:rsidRPr="00516B53" w:rsidRDefault="00516B53" w:rsidP="00516B53">
      <w:pPr>
        <w:pStyle w:val="s6c429373"/>
        <w:spacing w:before="0" w:beforeAutospacing="0" w:after="120" w:afterAutospacing="0"/>
        <w:jc w:val="both"/>
        <w:rPr>
          <w:rStyle w:val="sfbbfee58"/>
          <w:rFonts w:asciiTheme="minorHAnsi" w:eastAsiaTheme="majorEastAsia" w:hAnsiTheme="minorHAnsi"/>
          <w:sz w:val="22"/>
          <w:lang w:val="pl-PL"/>
        </w:rPr>
      </w:pPr>
      <w:r w:rsidRPr="00516B53">
        <w:rPr>
          <w:rStyle w:val="sfbbfee58"/>
          <w:rFonts w:asciiTheme="minorHAnsi" w:eastAsiaTheme="majorEastAsia" w:hAnsiTheme="minorHAnsi"/>
          <w:sz w:val="22"/>
          <w:lang w:val="pl-PL"/>
        </w:rPr>
        <w:t xml:space="preserve">W dwóch innych sprawach sądy nie przyznały żadnej rekompensaty finansowej skarżącym, a w czterech pozostałych sprawach kwoty przyznane przez sądy krajowe (580 euro za 92 dni w warunkach naruszających art. 3 Konwencji, 290 euro za ponad 4 lata, 725 euro za 608 dni i 60 euro za 38 dni) były niewspółmiernie niskie i nawet nie zbliżały się do kwot zwyczajowo zasądzanych przez Trybunał w podobnych sprawach. Trybunał uznał, że w odniesieniu do tych sześciu skarżących badanie dostępności środków zapobiegawczych jest zbędne, gdyż środki odszkodowawcze okazały się nieskuteczne. Skarżący w dalszym ciągu zachowali status ofiary naruszenia art. 3 Konwencji.  </w:t>
      </w:r>
    </w:p>
    <w:p w:rsidR="00516B53" w:rsidRPr="00BE0C4E" w:rsidRDefault="00516B53" w:rsidP="005147C6">
      <w:pPr>
        <w:spacing w:after="120" w:line="240" w:lineRule="auto"/>
        <w:ind w:firstLine="720"/>
        <w:jc w:val="both"/>
        <w:rPr>
          <w:i/>
          <w:sz w:val="20"/>
          <w:szCs w:val="24"/>
          <w:u w:val="single"/>
          <w:lang w:val="pl-PL"/>
        </w:rPr>
      </w:pPr>
      <w:r w:rsidRPr="00BE0C4E">
        <w:rPr>
          <w:i/>
          <w:sz w:val="20"/>
          <w:szCs w:val="24"/>
          <w:u w:val="single"/>
          <w:lang w:val="pl-PL"/>
        </w:rPr>
        <w:t>Środki zapobiegawcze</w:t>
      </w:r>
    </w:p>
    <w:p w:rsidR="00516B53" w:rsidRPr="00516B53" w:rsidRDefault="00516B53" w:rsidP="00516B53">
      <w:pPr>
        <w:pStyle w:val="s6c429373"/>
        <w:spacing w:before="0" w:beforeAutospacing="0" w:after="120" w:afterAutospacing="0"/>
        <w:jc w:val="both"/>
        <w:rPr>
          <w:rStyle w:val="sfbbfee58"/>
          <w:rFonts w:asciiTheme="minorHAnsi" w:eastAsiaTheme="majorEastAsia" w:hAnsiTheme="minorHAnsi"/>
          <w:sz w:val="22"/>
          <w:lang w:val="pl-PL"/>
        </w:rPr>
      </w:pPr>
      <w:r w:rsidRPr="00516B53">
        <w:rPr>
          <w:rStyle w:val="sfbbfee58"/>
          <w:rFonts w:asciiTheme="minorHAnsi" w:eastAsiaTheme="majorEastAsia" w:hAnsiTheme="minorHAnsi"/>
          <w:sz w:val="22"/>
          <w:lang w:val="pl-PL"/>
        </w:rPr>
        <w:t xml:space="preserve">Trybunał zbadał również wskazane przez rząd środki zapobiegawcze dostępne dla skarżących. Uznał, że możliwość przeniesienia skarżącego z więzienia, w którym warunki zatrzymania są nieadekwatne, do innego zakładu była uzależniona w dużej mierze od uznania władz i zależała w szczególności od stanu zdrowia skarżącego albo od innych wyjątkowych okoliczności. Mało prawdopodobne było, by mogła zostać zastosowana w oparciu o argument zbyt przeludnionych lub niezdrowych warunków zatrzymania. Osadzeni nie mieli uprawnienia do przeniesienia na swój wniosek. </w:t>
      </w:r>
    </w:p>
    <w:p w:rsidR="00516B53" w:rsidRPr="00516B53" w:rsidRDefault="00516B53" w:rsidP="00516B53">
      <w:pPr>
        <w:pStyle w:val="s6c429373"/>
        <w:spacing w:before="0" w:beforeAutospacing="0" w:after="120" w:afterAutospacing="0"/>
        <w:jc w:val="both"/>
        <w:rPr>
          <w:rStyle w:val="sfbbfee58"/>
          <w:rFonts w:asciiTheme="minorHAnsi" w:eastAsiaTheme="majorEastAsia" w:hAnsiTheme="minorHAnsi"/>
          <w:sz w:val="22"/>
          <w:lang w:val="pl-PL"/>
        </w:rPr>
      </w:pPr>
      <w:r w:rsidRPr="00516B53">
        <w:rPr>
          <w:rStyle w:val="sfbbfee58"/>
          <w:rFonts w:asciiTheme="minorHAnsi" w:eastAsiaTheme="majorEastAsia" w:hAnsiTheme="minorHAnsi"/>
          <w:sz w:val="22"/>
          <w:lang w:val="pl-PL"/>
        </w:rPr>
        <w:t xml:space="preserve">Zważywszy też na trudności finansowe zakładów karnych, próba zaradzenia naruszeniu praw jednego skarżącego, nawet </w:t>
      </w:r>
      <w:r w:rsidR="003C0BF1">
        <w:rPr>
          <w:rStyle w:val="sfbbfee58"/>
          <w:rFonts w:asciiTheme="minorHAnsi" w:eastAsiaTheme="majorEastAsia" w:hAnsiTheme="minorHAnsi"/>
          <w:sz w:val="22"/>
          <w:lang w:val="pl-PL"/>
        </w:rPr>
        <w:t>zarządzona decyzją</w:t>
      </w:r>
      <w:r w:rsidRPr="00516B53">
        <w:rPr>
          <w:rStyle w:val="sfbbfee58"/>
          <w:rFonts w:asciiTheme="minorHAnsi" w:eastAsiaTheme="majorEastAsia" w:hAnsiTheme="minorHAnsi"/>
          <w:sz w:val="22"/>
          <w:lang w:val="pl-PL"/>
        </w:rPr>
        <w:t xml:space="preserve"> sądu lub władz administracyjnych, mogłaby zostać dokonana jedynie na koszt i ze szkodą dla innych zatrzymanych. Z uwagi na strukturalny charakter problemu przeludnienia i brak reform w celu zaradzenia mu, władze więzienne nie byłyby w stanie odpowiedzieć na dużą liczbę wniosków składanych przez więźniów w tym samym czasie. Reformy wdrożone od 1 lipca 2012 r. nie dotyczyły skarżących, gdyż ich skargi odnosiły się do czasu sprzed wejścia w życie zmian ustawowych. </w:t>
      </w:r>
    </w:p>
    <w:p w:rsidR="00516B53" w:rsidRPr="00516B53" w:rsidRDefault="00516B53" w:rsidP="00516B53">
      <w:pPr>
        <w:pStyle w:val="s6c429373"/>
        <w:spacing w:before="0" w:beforeAutospacing="0" w:after="120" w:afterAutospacing="0"/>
        <w:jc w:val="both"/>
        <w:rPr>
          <w:rStyle w:val="sfbbfee58"/>
          <w:rFonts w:asciiTheme="minorHAnsi" w:eastAsiaTheme="majorEastAsia" w:hAnsiTheme="minorHAnsi"/>
          <w:sz w:val="22"/>
          <w:lang w:val="pl-PL"/>
        </w:rPr>
      </w:pPr>
      <w:r w:rsidRPr="00516B53">
        <w:rPr>
          <w:rStyle w:val="sfbbfee58"/>
          <w:rFonts w:asciiTheme="minorHAnsi" w:eastAsiaTheme="majorEastAsia" w:hAnsiTheme="minorHAnsi"/>
          <w:sz w:val="22"/>
          <w:lang w:val="pl-PL"/>
        </w:rPr>
        <w:t xml:space="preserve">Z powyższych względów Trybunał uznał skargi sześciu skarżących za dopuszczalne i stwierdził w odniesieniu do czterech z nich naruszenie art. 3 Konwencji z uwagi na niewłaściwe warunki </w:t>
      </w:r>
      <w:r w:rsidRPr="00516B53">
        <w:rPr>
          <w:rStyle w:val="sfbbfee58"/>
          <w:rFonts w:asciiTheme="minorHAnsi" w:eastAsiaTheme="majorEastAsia" w:hAnsiTheme="minorHAnsi"/>
          <w:sz w:val="22"/>
          <w:lang w:val="pl-PL"/>
        </w:rPr>
        <w:lastRenderedPageBreak/>
        <w:t xml:space="preserve">zatrzymania, przyznając im tytułem szkody niemajątkowej kwoty 6.500 euro (za mniej niż rok pobytu w warunkach naruszających art. 3), oraz kwoty 8.000 (za ok. 20 miesięcy) i 10.000 euro (za ok. 23 miesięcy). </w:t>
      </w:r>
    </w:p>
    <w:p w:rsidR="00E65593" w:rsidRDefault="00516B53" w:rsidP="005C7BED">
      <w:pPr>
        <w:pStyle w:val="s6c429373"/>
        <w:spacing w:before="0" w:beforeAutospacing="0" w:after="360" w:afterAutospacing="0"/>
        <w:jc w:val="both"/>
        <w:rPr>
          <w:sz w:val="22"/>
          <w:lang w:val="pl-PL" w:eastAsia="pl-PL"/>
        </w:rPr>
      </w:pPr>
      <w:r w:rsidRPr="00516B53">
        <w:rPr>
          <w:rStyle w:val="sfbbfee58"/>
          <w:rFonts w:asciiTheme="minorHAnsi" w:eastAsiaTheme="majorEastAsia" w:hAnsiTheme="minorHAnsi"/>
          <w:sz w:val="22"/>
          <w:u w:val="single"/>
          <w:lang w:val="pl-PL"/>
        </w:rPr>
        <w:t>Znaczenie wyroku dla Polski</w:t>
      </w:r>
      <w:r w:rsidRPr="00516B53">
        <w:rPr>
          <w:rStyle w:val="sfbbfee58"/>
          <w:rFonts w:asciiTheme="minorHAnsi" w:eastAsiaTheme="majorEastAsia" w:hAnsiTheme="minorHAnsi"/>
          <w:sz w:val="22"/>
          <w:lang w:val="pl-PL"/>
        </w:rPr>
        <w:t xml:space="preserve">: wyrok przypomina obowiązki nałożone na państwo zapewnienia na poziomie krajowym odpowiednich środków zapobiegawczych i odszkodowawczych w </w:t>
      </w:r>
      <w:r w:rsidR="003C0BF1">
        <w:rPr>
          <w:rStyle w:val="sfbbfee58"/>
          <w:rFonts w:asciiTheme="minorHAnsi" w:eastAsiaTheme="majorEastAsia" w:hAnsiTheme="minorHAnsi"/>
          <w:sz w:val="22"/>
          <w:lang w:val="pl-PL"/>
        </w:rPr>
        <w:t xml:space="preserve">odniesieniu do </w:t>
      </w:r>
      <w:r w:rsidRPr="00516B53">
        <w:rPr>
          <w:rStyle w:val="sfbbfee58"/>
          <w:rFonts w:asciiTheme="minorHAnsi" w:eastAsiaTheme="majorEastAsia" w:hAnsiTheme="minorHAnsi"/>
          <w:sz w:val="22"/>
          <w:lang w:val="pl-PL"/>
        </w:rPr>
        <w:t xml:space="preserve">naruszenia art. 3 Konwencji z uwagi na niewłaściwe warunki zatrzymania. Wskazuje, w jaki sposób sądy krajowe powinny badać powództwa o odszkodowanie z tego tytułu. Wynika z niego, że w przypadku niewłaściwego zbadania sprawy przez sądy krajowe i zasądzenia nieadekwatnej kwoty, obciążenia budżetowe po stronie państwa są </w:t>
      </w:r>
      <w:r w:rsidR="00370722">
        <w:rPr>
          <w:rStyle w:val="sfbbfee58"/>
          <w:rFonts w:asciiTheme="minorHAnsi" w:eastAsiaTheme="majorEastAsia" w:hAnsiTheme="minorHAnsi"/>
          <w:sz w:val="22"/>
          <w:lang w:val="pl-PL"/>
        </w:rPr>
        <w:t xml:space="preserve">relatywnie </w:t>
      </w:r>
      <w:r w:rsidRPr="00516B53">
        <w:rPr>
          <w:rStyle w:val="sfbbfee58"/>
          <w:rFonts w:asciiTheme="minorHAnsi" w:eastAsiaTheme="majorEastAsia" w:hAnsiTheme="minorHAnsi"/>
          <w:sz w:val="22"/>
          <w:lang w:val="pl-PL"/>
        </w:rPr>
        <w:t xml:space="preserve">wyższe </w:t>
      </w:r>
      <w:r w:rsidR="003C0BF1">
        <w:rPr>
          <w:rStyle w:val="sfbbfee58"/>
          <w:rFonts w:asciiTheme="minorHAnsi" w:eastAsiaTheme="majorEastAsia" w:hAnsiTheme="minorHAnsi"/>
          <w:sz w:val="22"/>
          <w:lang w:val="pl-PL"/>
        </w:rPr>
        <w:t xml:space="preserve">niż byłyby, gdyby sąd </w:t>
      </w:r>
      <w:r w:rsidR="000D0491">
        <w:rPr>
          <w:rStyle w:val="sfbbfee58"/>
          <w:rFonts w:asciiTheme="minorHAnsi" w:eastAsiaTheme="majorEastAsia" w:hAnsiTheme="minorHAnsi"/>
          <w:sz w:val="22"/>
          <w:lang w:val="pl-PL"/>
        </w:rPr>
        <w:t xml:space="preserve">krajowy </w:t>
      </w:r>
      <w:r w:rsidR="003C0BF1">
        <w:rPr>
          <w:rStyle w:val="sfbbfee58"/>
          <w:rFonts w:asciiTheme="minorHAnsi" w:eastAsiaTheme="majorEastAsia" w:hAnsiTheme="minorHAnsi"/>
          <w:sz w:val="22"/>
          <w:lang w:val="pl-PL"/>
        </w:rPr>
        <w:t>właściwie rozstrzygnął sprawę (</w:t>
      </w:r>
      <w:r w:rsidRPr="00516B53">
        <w:rPr>
          <w:rStyle w:val="sfbbfee58"/>
          <w:rFonts w:asciiTheme="minorHAnsi" w:eastAsiaTheme="majorEastAsia" w:hAnsiTheme="minorHAnsi"/>
          <w:sz w:val="22"/>
          <w:lang w:val="pl-PL"/>
        </w:rPr>
        <w:t xml:space="preserve">kwoty zadośćuczynień zasądzane przez Trybunał są wyższe </w:t>
      </w:r>
      <w:r w:rsidR="00370722">
        <w:rPr>
          <w:rStyle w:val="sfbbfee58"/>
          <w:rFonts w:asciiTheme="minorHAnsi" w:eastAsiaTheme="majorEastAsia" w:hAnsiTheme="minorHAnsi"/>
          <w:sz w:val="22"/>
          <w:lang w:val="pl-PL"/>
        </w:rPr>
        <w:t xml:space="preserve">w stosunku do tego, co </w:t>
      </w:r>
      <w:r w:rsidR="00114B60">
        <w:rPr>
          <w:rStyle w:val="sfbbfee58"/>
          <w:rFonts w:asciiTheme="minorHAnsi" w:eastAsiaTheme="majorEastAsia" w:hAnsiTheme="minorHAnsi"/>
          <w:sz w:val="22"/>
          <w:lang w:val="pl-PL"/>
        </w:rPr>
        <w:t xml:space="preserve">byłoby </w:t>
      </w:r>
      <w:r w:rsidR="00370722">
        <w:rPr>
          <w:rStyle w:val="sfbbfee58"/>
          <w:rFonts w:asciiTheme="minorHAnsi" w:eastAsiaTheme="majorEastAsia" w:hAnsiTheme="minorHAnsi"/>
          <w:sz w:val="22"/>
          <w:lang w:val="pl-PL"/>
        </w:rPr>
        <w:t xml:space="preserve">przez Trybunał </w:t>
      </w:r>
      <w:r w:rsidRPr="00516B53">
        <w:rPr>
          <w:rStyle w:val="sfbbfee58"/>
          <w:rFonts w:asciiTheme="minorHAnsi" w:eastAsiaTheme="majorEastAsia" w:hAnsiTheme="minorHAnsi"/>
          <w:sz w:val="22"/>
          <w:lang w:val="pl-PL"/>
        </w:rPr>
        <w:t>uzna</w:t>
      </w:r>
      <w:r w:rsidR="003C0BF1">
        <w:rPr>
          <w:rStyle w:val="sfbbfee58"/>
          <w:rFonts w:asciiTheme="minorHAnsi" w:eastAsiaTheme="majorEastAsia" w:hAnsiTheme="minorHAnsi"/>
          <w:sz w:val="22"/>
          <w:lang w:val="pl-PL"/>
        </w:rPr>
        <w:t>wa</w:t>
      </w:r>
      <w:r w:rsidRPr="00516B53">
        <w:rPr>
          <w:rStyle w:val="sfbbfee58"/>
          <w:rFonts w:asciiTheme="minorHAnsi" w:eastAsiaTheme="majorEastAsia" w:hAnsiTheme="minorHAnsi"/>
          <w:sz w:val="22"/>
          <w:lang w:val="pl-PL"/>
        </w:rPr>
        <w:t xml:space="preserve">ne za wystarczające, gdyby </w:t>
      </w:r>
      <w:r w:rsidR="004728E1">
        <w:rPr>
          <w:rStyle w:val="sfbbfee58"/>
          <w:rFonts w:asciiTheme="minorHAnsi" w:eastAsiaTheme="majorEastAsia" w:hAnsiTheme="minorHAnsi"/>
          <w:sz w:val="22"/>
          <w:lang w:val="pl-PL"/>
        </w:rPr>
        <w:t xml:space="preserve">kwotę </w:t>
      </w:r>
      <w:r w:rsidRPr="00516B53">
        <w:rPr>
          <w:rStyle w:val="sfbbfee58"/>
          <w:rFonts w:asciiTheme="minorHAnsi" w:eastAsiaTheme="majorEastAsia" w:hAnsiTheme="minorHAnsi"/>
          <w:sz w:val="22"/>
          <w:lang w:val="pl-PL"/>
        </w:rPr>
        <w:t xml:space="preserve">zasądził sąd krajowy). Zważywszy na dużą liczbę podobnych skarg przeciwko Polsce i </w:t>
      </w:r>
      <w:r w:rsidR="004728E1">
        <w:rPr>
          <w:rStyle w:val="sfbbfee58"/>
          <w:rFonts w:asciiTheme="minorHAnsi" w:eastAsiaTheme="majorEastAsia" w:hAnsiTheme="minorHAnsi"/>
          <w:sz w:val="22"/>
          <w:lang w:val="pl-PL"/>
        </w:rPr>
        <w:t xml:space="preserve">wyższe </w:t>
      </w:r>
      <w:r w:rsidRPr="00516B53">
        <w:rPr>
          <w:rStyle w:val="sfbbfee58"/>
          <w:rFonts w:asciiTheme="minorHAnsi" w:eastAsiaTheme="majorEastAsia" w:hAnsiTheme="minorHAnsi"/>
          <w:sz w:val="22"/>
          <w:lang w:val="pl-PL"/>
        </w:rPr>
        <w:t>obciążenia budżetowe wynikające z konieczności wypłaty zadośćuczynień określanych przez Trybunał, wyrok powinien zostać rozpowszechniony wśród sądów</w:t>
      </w:r>
      <w:r w:rsidR="004728E1">
        <w:rPr>
          <w:rStyle w:val="sfbbfee58"/>
          <w:rFonts w:asciiTheme="minorHAnsi" w:eastAsiaTheme="majorEastAsia" w:hAnsiTheme="minorHAnsi"/>
          <w:sz w:val="22"/>
          <w:lang w:val="pl-PL"/>
        </w:rPr>
        <w:t>.</w:t>
      </w:r>
      <w:r w:rsidRPr="00516B53">
        <w:rPr>
          <w:rStyle w:val="sfbbfee58"/>
          <w:rFonts w:asciiTheme="minorHAnsi" w:eastAsiaTheme="majorEastAsia" w:hAnsiTheme="minorHAnsi"/>
          <w:sz w:val="22"/>
          <w:lang w:val="pl-PL"/>
        </w:rPr>
        <w:t xml:space="preserve"> </w:t>
      </w:r>
      <w:r w:rsidR="004728E1">
        <w:rPr>
          <w:rStyle w:val="sfbbfee58"/>
          <w:rFonts w:asciiTheme="minorHAnsi" w:eastAsiaTheme="majorEastAsia" w:hAnsiTheme="minorHAnsi"/>
          <w:sz w:val="22"/>
          <w:lang w:val="pl-PL"/>
        </w:rPr>
        <w:t>W</w:t>
      </w:r>
      <w:r w:rsidRPr="00516B53">
        <w:rPr>
          <w:rStyle w:val="sfbbfee58"/>
          <w:rFonts w:asciiTheme="minorHAnsi" w:eastAsiaTheme="majorEastAsia" w:hAnsiTheme="minorHAnsi"/>
          <w:sz w:val="22"/>
          <w:lang w:val="pl-PL"/>
        </w:rPr>
        <w:t xml:space="preserve">ymaga także analizy przez organy służby więziennej i Prokuratorię Generalną Skarbu Państwa. </w:t>
      </w:r>
    </w:p>
    <w:p w:rsidR="005147C6" w:rsidRPr="005147C6" w:rsidRDefault="005147C6" w:rsidP="005147C6">
      <w:pPr>
        <w:pStyle w:val="Nagwek2"/>
        <w:numPr>
          <w:ilvl w:val="0"/>
          <w:numId w:val="1"/>
        </w:numPr>
        <w:spacing w:before="0"/>
      </w:pPr>
      <w:bookmarkStart w:id="9" w:name="_Toc444761951"/>
      <w:r w:rsidRPr="005147C6">
        <w:t>Z.H. i R.H. p. Szwajcarii (skarga nr 60119/12), wyrok Izby z 8.12.2015 r., nieostateczny</w:t>
      </w:r>
      <w:bookmarkEnd w:id="9"/>
    </w:p>
    <w:p w:rsidR="005147C6" w:rsidRPr="005147C6" w:rsidRDefault="005147C6" w:rsidP="005147C6">
      <w:pPr>
        <w:keepNext/>
        <w:keepLines/>
        <w:spacing w:after="120" w:line="240" w:lineRule="auto"/>
        <w:jc w:val="both"/>
        <w:outlineLvl w:val="2"/>
        <w:rPr>
          <w:b/>
          <w:color w:val="000000" w:themeColor="text1"/>
          <w:lang w:val="pl-PL"/>
        </w:rPr>
      </w:pPr>
      <w:bookmarkStart w:id="10" w:name="_Toc444761952"/>
      <w:r>
        <w:rPr>
          <w:b/>
          <w:color w:val="000000" w:themeColor="text1"/>
          <w:lang w:val="pl-PL"/>
        </w:rPr>
        <w:t xml:space="preserve">- </w:t>
      </w:r>
      <w:r w:rsidRPr="005147C6">
        <w:rPr>
          <w:b/>
          <w:color w:val="000000" w:themeColor="text1"/>
          <w:lang w:val="pl-PL"/>
        </w:rPr>
        <w:t>brak naruszenia art. 8 Konwencji (prawo do poszanowania życia rodzinnego) w sprawie, w której dokonano wydalenia do Włoch drugiego skarżącego po odmowie uznania skuteczności jego małżeństwa zawartego z pierwszą skarżącą, kiedy miała 14 lat</w:t>
      </w:r>
      <w:bookmarkEnd w:id="10"/>
      <w:r w:rsidRPr="005147C6">
        <w:rPr>
          <w:b/>
          <w:color w:val="000000" w:themeColor="text1"/>
          <w:lang w:val="pl-PL"/>
        </w:rPr>
        <w:t xml:space="preserve"> </w:t>
      </w:r>
    </w:p>
    <w:p w:rsidR="00AD3492" w:rsidRPr="00516B53" w:rsidRDefault="00AD3492" w:rsidP="00AD3492">
      <w:pPr>
        <w:spacing w:after="120"/>
        <w:jc w:val="both"/>
        <w:rPr>
          <w:rFonts w:cs="Times New Roman"/>
          <w:color w:val="222222"/>
          <w:szCs w:val="24"/>
          <w:u w:val="single" w:color="222222"/>
          <w:lang w:val="pl-PL"/>
        </w:rPr>
      </w:pPr>
      <w:r w:rsidRPr="00516B53">
        <w:rPr>
          <w:rFonts w:cs="Times New Roman"/>
          <w:color w:val="222222"/>
          <w:szCs w:val="24"/>
          <w:u w:val="single" w:color="222222"/>
          <w:lang w:val="pl-PL"/>
        </w:rPr>
        <w:t>Stan faktyczny i zarzuty skarżących</w:t>
      </w:r>
    </w:p>
    <w:p w:rsidR="005147C6" w:rsidRPr="005147C6" w:rsidRDefault="005147C6" w:rsidP="005147C6">
      <w:pPr>
        <w:pStyle w:val="s6c429373"/>
        <w:spacing w:before="0" w:beforeAutospacing="0" w:after="120" w:afterAutospacing="0"/>
        <w:jc w:val="both"/>
        <w:rPr>
          <w:rStyle w:val="sfbbfee58"/>
          <w:rFonts w:asciiTheme="minorHAnsi" w:eastAsiaTheme="majorEastAsia" w:hAnsiTheme="minorHAnsi"/>
          <w:sz w:val="22"/>
          <w:lang w:val="pl-PL"/>
        </w:rPr>
      </w:pPr>
      <w:r w:rsidRPr="005147C6">
        <w:rPr>
          <w:rStyle w:val="sfbbfee58"/>
          <w:rFonts w:asciiTheme="minorHAnsi" w:eastAsiaTheme="majorEastAsia" w:hAnsiTheme="minorHAnsi"/>
          <w:sz w:val="22"/>
          <w:lang w:val="pl-PL"/>
        </w:rPr>
        <w:t>Skarżący są obywatelami Afganistanu. Wystąpili o przyznanie status uchodźcy w Szwajcarii</w:t>
      </w:r>
      <w:r w:rsidR="000B5865">
        <w:rPr>
          <w:rStyle w:val="sfbbfee58"/>
          <w:rFonts w:asciiTheme="minorHAnsi" w:eastAsiaTheme="majorEastAsia" w:hAnsiTheme="minorHAnsi"/>
          <w:sz w:val="22"/>
          <w:lang w:val="pl-PL"/>
        </w:rPr>
        <w:t>.</w:t>
      </w:r>
      <w:r w:rsidRPr="005147C6">
        <w:rPr>
          <w:rStyle w:val="sfbbfee58"/>
          <w:rFonts w:asciiTheme="minorHAnsi" w:eastAsiaTheme="majorEastAsia" w:hAnsiTheme="minorHAnsi"/>
          <w:sz w:val="22"/>
          <w:lang w:val="pl-PL"/>
        </w:rPr>
        <w:t xml:space="preserve"> </w:t>
      </w:r>
      <w:r w:rsidR="000B5865">
        <w:rPr>
          <w:rStyle w:val="sfbbfee58"/>
          <w:rFonts w:asciiTheme="minorHAnsi" w:eastAsiaTheme="majorEastAsia" w:hAnsiTheme="minorHAnsi"/>
          <w:sz w:val="22"/>
          <w:lang w:val="pl-PL"/>
        </w:rPr>
        <w:t>W</w:t>
      </w:r>
      <w:r w:rsidRPr="005147C6">
        <w:rPr>
          <w:rStyle w:val="sfbbfee58"/>
          <w:rFonts w:asciiTheme="minorHAnsi" w:eastAsiaTheme="majorEastAsia" w:hAnsiTheme="minorHAnsi"/>
          <w:sz w:val="22"/>
          <w:lang w:val="pl-PL"/>
        </w:rPr>
        <w:t xml:space="preserve">cześniej zarejestrowali się jako </w:t>
      </w:r>
      <w:r w:rsidRPr="00BE0C4E">
        <w:rPr>
          <w:rStyle w:val="sfbbfee58"/>
          <w:rFonts w:asciiTheme="minorHAnsi" w:eastAsiaTheme="majorEastAsia" w:hAnsiTheme="minorHAnsi"/>
          <w:sz w:val="22"/>
          <w:lang w:val="pl-PL"/>
        </w:rPr>
        <w:t xml:space="preserve">osoby ubiegające się o ten status we Włoszech. Przed władzami Szwajcarii twierdzili, że zawarli małżeństwo w trakcie ceremonii religijnej w Iranie, </w:t>
      </w:r>
      <w:r w:rsidR="000B5865">
        <w:rPr>
          <w:rStyle w:val="sfbbfee58"/>
          <w:rFonts w:asciiTheme="minorHAnsi" w:eastAsiaTheme="majorEastAsia" w:hAnsiTheme="minorHAnsi"/>
          <w:sz w:val="22"/>
          <w:lang w:val="pl-PL"/>
        </w:rPr>
        <w:t xml:space="preserve">kiedy </w:t>
      </w:r>
      <w:r w:rsidRPr="00BE0C4E">
        <w:rPr>
          <w:rStyle w:val="sfbbfee58"/>
          <w:rFonts w:asciiTheme="minorHAnsi" w:eastAsiaTheme="majorEastAsia" w:hAnsiTheme="minorHAnsi"/>
          <w:sz w:val="22"/>
          <w:lang w:val="pl-PL"/>
        </w:rPr>
        <w:t xml:space="preserve">pierwsza skarżąca miała 14 lat, a drugi skarżący 18 lat. Nie przedstawili zaświadczeń. Ich wniosek o status uchodźcy został oddalony. Drugiego skarżącego wydalono do Włoch. W trakcie postępowania odwoławczego sądy uznały, że małżeństwo skarżących było niezgodne z porządkiem publicznym Szwajcarii, </w:t>
      </w:r>
      <w:r w:rsidR="000B5865">
        <w:rPr>
          <w:rStyle w:val="sfbbfee58"/>
          <w:rFonts w:asciiTheme="minorHAnsi" w:eastAsiaTheme="majorEastAsia" w:hAnsiTheme="minorHAnsi"/>
          <w:sz w:val="22"/>
          <w:lang w:val="pl-PL"/>
        </w:rPr>
        <w:t xml:space="preserve">gdyż </w:t>
      </w:r>
      <w:r w:rsidRPr="00BE0C4E">
        <w:rPr>
          <w:rStyle w:val="sfbbfee58"/>
          <w:rFonts w:asciiTheme="minorHAnsi" w:eastAsiaTheme="majorEastAsia" w:hAnsiTheme="minorHAnsi"/>
          <w:sz w:val="22"/>
          <w:lang w:val="pl-PL"/>
        </w:rPr>
        <w:t xml:space="preserve">prawo zakazuje w sposób bezwzględny zawarcia małżeństwa przez kobiety poniżej 15 roku życia, a relacje seksualne </w:t>
      </w:r>
      <w:r w:rsidR="002E5765">
        <w:rPr>
          <w:rStyle w:val="sfbbfee58"/>
          <w:rFonts w:asciiTheme="minorHAnsi" w:eastAsiaTheme="majorEastAsia" w:hAnsiTheme="minorHAnsi"/>
          <w:sz w:val="22"/>
          <w:lang w:val="pl-PL"/>
        </w:rPr>
        <w:t>z dzieckiem</w:t>
      </w:r>
      <w:r w:rsidRPr="00BE0C4E">
        <w:rPr>
          <w:rStyle w:val="sfbbfee58"/>
          <w:rFonts w:asciiTheme="minorHAnsi" w:eastAsiaTheme="majorEastAsia" w:hAnsiTheme="minorHAnsi"/>
          <w:sz w:val="22"/>
          <w:lang w:val="pl-PL"/>
        </w:rPr>
        <w:t xml:space="preserve"> poniżej 16 roku życia stanowią przestępstwo. Skarżący nie mogą więc powoływać się na prawo do życia rodzinnego na gruncie art. 8 Konwencji. Drugi skarżący powrócił jednak do Szwajcarii nielegalnie po trzech dniach i pozwolono mu pozostać. Gdy pierwsza skarżąca miała 16 lat i 11 miesięcy skarżący wystąpili o uznanie ich małżeństwa w Szwajcarii, a po uzyskaniu pozytywnej decyzji ostatecznie uzyskali status uchodźcy w Szwajcarii.</w:t>
      </w:r>
    </w:p>
    <w:p w:rsidR="005147C6" w:rsidRPr="005147C6" w:rsidRDefault="005147C6" w:rsidP="005147C6">
      <w:pPr>
        <w:pStyle w:val="s6c429373"/>
        <w:spacing w:before="0" w:beforeAutospacing="0" w:after="120" w:afterAutospacing="0"/>
        <w:jc w:val="both"/>
        <w:rPr>
          <w:rStyle w:val="sfbbfee58"/>
          <w:rFonts w:asciiTheme="minorHAnsi" w:eastAsiaTheme="majorEastAsia" w:hAnsiTheme="minorHAnsi"/>
          <w:sz w:val="22"/>
          <w:lang w:val="pl-PL"/>
        </w:rPr>
      </w:pPr>
      <w:r w:rsidRPr="005147C6">
        <w:rPr>
          <w:rStyle w:val="sfbbfee58"/>
          <w:rFonts w:asciiTheme="minorHAnsi" w:eastAsiaTheme="majorEastAsia" w:hAnsiTheme="minorHAnsi"/>
          <w:sz w:val="22"/>
          <w:lang w:val="pl-PL"/>
        </w:rPr>
        <w:t xml:space="preserve">Skarżący zarzucali, że wydalenie drugiego skarżącego do Włoch stanowiło naruszenie </w:t>
      </w:r>
      <w:r w:rsidRPr="00BE0C4E">
        <w:rPr>
          <w:rStyle w:val="sfbbfee58"/>
          <w:rFonts w:asciiTheme="minorHAnsi" w:eastAsiaTheme="majorEastAsia" w:hAnsiTheme="minorHAnsi"/>
          <w:sz w:val="22"/>
          <w:lang w:val="pl-PL"/>
        </w:rPr>
        <w:t>ich prawa do życia rodzinnego jako para małżeńska (</w:t>
      </w:r>
      <w:r w:rsidRPr="005147C6">
        <w:rPr>
          <w:rStyle w:val="sfbbfee58"/>
          <w:rFonts w:asciiTheme="minorHAnsi" w:eastAsiaTheme="majorEastAsia" w:hAnsiTheme="minorHAnsi"/>
          <w:sz w:val="22"/>
          <w:lang w:val="pl-PL"/>
        </w:rPr>
        <w:t xml:space="preserve">art. </w:t>
      </w:r>
      <w:r w:rsidRPr="00BE0C4E">
        <w:rPr>
          <w:rStyle w:val="sfbbfee58"/>
          <w:rFonts w:asciiTheme="minorHAnsi" w:eastAsiaTheme="majorEastAsia" w:hAnsiTheme="minorHAnsi"/>
          <w:sz w:val="22"/>
          <w:lang w:val="pl-PL"/>
        </w:rPr>
        <w:t xml:space="preserve">8 Konwencji). </w:t>
      </w:r>
    </w:p>
    <w:p w:rsidR="005147C6" w:rsidRPr="00AD3492" w:rsidRDefault="005147C6" w:rsidP="00AD3492">
      <w:pPr>
        <w:spacing w:after="120"/>
        <w:jc w:val="both"/>
        <w:rPr>
          <w:rFonts w:cs="Times New Roman"/>
          <w:color w:val="222222"/>
          <w:szCs w:val="24"/>
          <w:u w:val="single" w:color="222222"/>
          <w:lang w:val="pl-PL"/>
        </w:rPr>
      </w:pPr>
      <w:r w:rsidRPr="00AD3492">
        <w:rPr>
          <w:rFonts w:cs="Times New Roman"/>
          <w:color w:val="222222"/>
          <w:szCs w:val="24"/>
          <w:u w:val="single" w:color="222222"/>
          <w:lang w:val="pl-PL"/>
        </w:rPr>
        <w:t xml:space="preserve">Rozstrzygnięcie Trybunału </w:t>
      </w:r>
    </w:p>
    <w:p w:rsidR="005147C6" w:rsidRPr="00AD3492" w:rsidRDefault="005147C6" w:rsidP="005147C6">
      <w:pPr>
        <w:pStyle w:val="s6c429373"/>
        <w:spacing w:before="0" w:beforeAutospacing="0" w:after="120" w:afterAutospacing="0"/>
        <w:jc w:val="both"/>
        <w:rPr>
          <w:rStyle w:val="sfbbfee58"/>
          <w:rFonts w:asciiTheme="minorHAnsi" w:eastAsiaTheme="majorEastAsia" w:hAnsiTheme="minorHAnsi"/>
          <w:sz w:val="22"/>
          <w:lang w:val="pl-PL"/>
        </w:rPr>
      </w:pPr>
      <w:r w:rsidRPr="00AD3492">
        <w:rPr>
          <w:rStyle w:val="sfbbfee58"/>
          <w:rFonts w:asciiTheme="minorHAnsi" w:eastAsiaTheme="majorEastAsia" w:hAnsiTheme="minorHAnsi"/>
          <w:sz w:val="22"/>
          <w:lang w:val="pl-PL"/>
        </w:rPr>
        <w:t xml:space="preserve">Trybunał przypomniał, że pojęcie „życia rodzinnego” w świetle art. 8 </w:t>
      </w:r>
      <w:r w:rsidR="00AD3492" w:rsidRPr="00AD3492">
        <w:rPr>
          <w:rStyle w:val="sfbbfee58"/>
          <w:rFonts w:asciiTheme="minorHAnsi" w:eastAsiaTheme="majorEastAsia" w:hAnsiTheme="minorHAnsi"/>
          <w:sz w:val="22"/>
          <w:lang w:val="pl-PL"/>
        </w:rPr>
        <w:t xml:space="preserve">Konwencji </w:t>
      </w:r>
      <w:r w:rsidRPr="00AD3492">
        <w:rPr>
          <w:rStyle w:val="sfbbfee58"/>
          <w:rFonts w:asciiTheme="minorHAnsi" w:eastAsiaTheme="majorEastAsia" w:hAnsiTheme="minorHAnsi"/>
          <w:sz w:val="22"/>
          <w:lang w:val="pl-PL"/>
        </w:rPr>
        <w:t xml:space="preserve">nie ogranicza się jedynie do rodzin opartych na małżeństwie, ale obejmuje </w:t>
      </w:r>
      <w:r w:rsidR="00AD3492" w:rsidRPr="00AD3492">
        <w:rPr>
          <w:rStyle w:val="sfbbfee58"/>
          <w:rFonts w:asciiTheme="minorHAnsi" w:eastAsiaTheme="majorEastAsia" w:hAnsiTheme="minorHAnsi"/>
          <w:sz w:val="22"/>
          <w:lang w:val="pl-PL"/>
        </w:rPr>
        <w:t xml:space="preserve">także </w:t>
      </w:r>
      <w:r w:rsidRPr="00AD3492">
        <w:rPr>
          <w:rStyle w:val="sfbbfee58"/>
          <w:rFonts w:asciiTheme="minorHAnsi" w:eastAsiaTheme="majorEastAsia" w:hAnsiTheme="minorHAnsi"/>
          <w:sz w:val="22"/>
          <w:lang w:val="pl-PL"/>
        </w:rPr>
        <w:t xml:space="preserve">relacje faktyczne. </w:t>
      </w:r>
      <w:r w:rsidR="00114B60" w:rsidRPr="00AD3492">
        <w:rPr>
          <w:rStyle w:val="sfbbfee58"/>
          <w:rFonts w:asciiTheme="minorHAnsi" w:eastAsiaTheme="majorEastAsia" w:hAnsiTheme="minorHAnsi"/>
          <w:sz w:val="22"/>
          <w:lang w:val="pl-PL"/>
        </w:rPr>
        <w:t>Szereg czynników może mieć znaczenie</w:t>
      </w:r>
      <w:r w:rsidR="00114B60">
        <w:rPr>
          <w:rStyle w:val="sfbbfee58"/>
          <w:rFonts w:asciiTheme="minorHAnsi" w:eastAsiaTheme="majorEastAsia" w:hAnsiTheme="minorHAnsi"/>
          <w:sz w:val="22"/>
          <w:lang w:val="pl-PL"/>
        </w:rPr>
        <w:t>,</w:t>
      </w:r>
      <w:r w:rsidR="00114B60" w:rsidRPr="00AD3492">
        <w:rPr>
          <w:rStyle w:val="sfbbfee58"/>
          <w:rFonts w:asciiTheme="minorHAnsi" w:eastAsiaTheme="majorEastAsia" w:hAnsiTheme="minorHAnsi"/>
          <w:sz w:val="22"/>
          <w:lang w:val="pl-PL"/>
        </w:rPr>
        <w:t xml:space="preserve"> </w:t>
      </w:r>
      <w:r w:rsidR="00114B60">
        <w:rPr>
          <w:rStyle w:val="sfbbfee58"/>
          <w:rFonts w:asciiTheme="minorHAnsi" w:eastAsiaTheme="majorEastAsia" w:hAnsiTheme="minorHAnsi"/>
          <w:sz w:val="22"/>
          <w:lang w:val="pl-PL"/>
        </w:rPr>
        <w:t>a</w:t>
      </w:r>
      <w:r w:rsidRPr="00AD3492">
        <w:rPr>
          <w:rStyle w:val="sfbbfee58"/>
          <w:rFonts w:asciiTheme="minorHAnsi" w:eastAsiaTheme="majorEastAsia" w:hAnsiTheme="minorHAnsi"/>
          <w:sz w:val="22"/>
          <w:lang w:val="pl-PL"/>
        </w:rPr>
        <w:t>by ocenić, czy daną relację należy zakwalifikować jako „ży</w:t>
      </w:r>
      <w:r w:rsidR="00AD3492" w:rsidRPr="00AD3492">
        <w:rPr>
          <w:rStyle w:val="sfbbfee58"/>
          <w:rFonts w:asciiTheme="minorHAnsi" w:eastAsiaTheme="majorEastAsia" w:hAnsiTheme="minorHAnsi"/>
          <w:sz w:val="22"/>
          <w:lang w:val="pl-PL"/>
        </w:rPr>
        <w:t>c</w:t>
      </w:r>
      <w:r w:rsidRPr="00AD3492">
        <w:rPr>
          <w:rStyle w:val="sfbbfee58"/>
          <w:rFonts w:asciiTheme="minorHAnsi" w:eastAsiaTheme="majorEastAsia" w:hAnsiTheme="minorHAnsi"/>
          <w:sz w:val="22"/>
          <w:lang w:val="pl-PL"/>
        </w:rPr>
        <w:t>ie rodzinne”, takich jak to, czy para ży</w:t>
      </w:r>
      <w:r w:rsidR="000B5865">
        <w:rPr>
          <w:rStyle w:val="sfbbfee58"/>
          <w:rFonts w:asciiTheme="minorHAnsi" w:eastAsiaTheme="majorEastAsia" w:hAnsiTheme="minorHAnsi"/>
          <w:sz w:val="22"/>
          <w:lang w:val="pl-PL"/>
        </w:rPr>
        <w:t>je razem</w:t>
      </w:r>
      <w:r w:rsidRPr="00AD3492">
        <w:rPr>
          <w:rStyle w:val="sfbbfee58"/>
          <w:rFonts w:asciiTheme="minorHAnsi" w:eastAsiaTheme="majorEastAsia" w:hAnsiTheme="minorHAnsi"/>
          <w:sz w:val="22"/>
          <w:lang w:val="pl-PL"/>
        </w:rPr>
        <w:t xml:space="preserve">, długość trwania relacji, wykazanie istnienie wzajemnego zaangażowania </w:t>
      </w:r>
      <w:r w:rsidR="002E5765">
        <w:rPr>
          <w:rStyle w:val="sfbbfee58"/>
          <w:rFonts w:asciiTheme="minorHAnsi" w:eastAsiaTheme="majorEastAsia" w:hAnsiTheme="minorHAnsi"/>
          <w:sz w:val="22"/>
          <w:lang w:val="pl-PL"/>
        </w:rPr>
        <w:t>po</w:t>
      </w:r>
      <w:r w:rsidRPr="00AD3492">
        <w:rPr>
          <w:rStyle w:val="sfbbfee58"/>
          <w:rFonts w:asciiTheme="minorHAnsi" w:eastAsiaTheme="majorEastAsia" w:hAnsiTheme="minorHAnsi"/>
          <w:sz w:val="22"/>
          <w:lang w:val="pl-PL"/>
        </w:rPr>
        <w:t>przez posiadanie dzieci lub w inny sposób. W obecnej sprawie drug</w:t>
      </w:r>
      <w:r w:rsidR="00A83845">
        <w:rPr>
          <w:rStyle w:val="sfbbfee58"/>
          <w:rFonts w:asciiTheme="minorHAnsi" w:eastAsiaTheme="majorEastAsia" w:hAnsiTheme="minorHAnsi"/>
          <w:sz w:val="22"/>
          <w:lang w:val="pl-PL"/>
        </w:rPr>
        <w:t>i</w:t>
      </w:r>
      <w:r w:rsidRPr="00AD3492">
        <w:rPr>
          <w:rStyle w:val="sfbbfee58"/>
          <w:rFonts w:asciiTheme="minorHAnsi" w:eastAsiaTheme="majorEastAsia" w:hAnsiTheme="minorHAnsi"/>
          <w:sz w:val="22"/>
          <w:lang w:val="pl-PL"/>
        </w:rPr>
        <w:t xml:space="preserve"> skarżąc</w:t>
      </w:r>
      <w:r w:rsidR="00A83845">
        <w:rPr>
          <w:rStyle w:val="sfbbfee58"/>
          <w:rFonts w:asciiTheme="minorHAnsi" w:eastAsiaTheme="majorEastAsia" w:hAnsiTheme="minorHAnsi"/>
          <w:sz w:val="22"/>
          <w:lang w:val="pl-PL"/>
        </w:rPr>
        <w:t>y</w:t>
      </w:r>
      <w:r w:rsidRPr="00AD3492">
        <w:rPr>
          <w:rStyle w:val="sfbbfee58"/>
          <w:rFonts w:asciiTheme="minorHAnsi" w:eastAsiaTheme="majorEastAsia" w:hAnsiTheme="minorHAnsi"/>
          <w:sz w:val="22"/>
          <w:lang w:val="pl-PL"/>
        </w:rPr>
        <w:t xml:space="preserve"> twierdził, że nie należało</w:t>
      </w:r>
      <w:r w:rsidR="00A83845">
        <w:rPr>
          <w:rStyle w:val="sfbbfee58"/>
          <w:rFonts w:asciiTheme="minorHAnsi" w:eastAsiaTheme="majorEastAsia" w:hAnsiTheme="minorHAnsi"/>
          <w:sz w:val="22"/>
          <w:lang w:val="pl-PL"/>
        </w:rPr>
        <w:t xml:space="preserve"> go </w:t>
      </w:r>
      <w:r w:rsidR="00981257">
        <w:rPr>
          <w:rStyle w:val="sfbbfee58"/>
          <w:rFonts w:asciiTheme="minorHAnsi" w:eastAsiaTheme="majorEastAsia" w:hAnsiTheme="minorHAnsi"/>
          <w:sz w:val="22"/>
          <w:lang w:val="pl-PL"/>
        </w:rPr>
        <w:t>roz</w:t>
      </w:r>
      <w:r w:rsidR="00484A94">
        <w:rPr>
          <w:rStyle w:val="sfbbfee58"/>
          <w:rFonts w:asciiTheme="minorHAnsi" w:eastAsiaTheme="majorEastAsia" w:hAnsiTheme="minorHAnsi"/>
          <w:sz w:val="22"/>
          <w:lang w:val="pl-PL"/>
        </w:rPr>
        <w:t>łączać od</w:t>
      </w:r>
      <w:r w:rsidR="00981257">
        <w:rPr>
          <w:rStyle w:val="sfbbfee58"/>
          <w:rFonts w:asciiTheme="minorHAnsi" w:eastAsiaTheme="majorEastAsia" w:hAnsiTheme="minorHAnsi"/>
          <w:sz w:val="22"/>
          <w:lang w:val="pl-PL"/>
        </w:rPr>
        <w:t xml:space="preserve"> </w:t>
      </w:r>
      <w:r w:rsidRPr="00AD3492">
        <w:rPr>
          <w:rStyle w:val="sfbbfee58"/>
          <w:rFonts w:asciiTheme="minorHAnsi" w:eastAsiaTheme="majorEastAsia" w:hAnsiTheme="minorHAnsi"/>
          <w:sz w:val="22"/>
          <w:lang w:val="pl-PL"/>
        </w:rPr>
        <w:t>pierwsz</w:t>
      </w:r>
      <w:r w:rsidR="00484A94">
        <w:rPr>
          <w:rStyle w:val="sfbbfee58"/>
          <w:rFonts w:asciiTheme="minorHAnsi" w:eastAsiaTheme="majorEastAsia" w:hAnsiTheme="minorHAnsi"/>
          <w:sz w:val="22"/>
          <w:lang w:val="pl-PL"/>
        </w:rPr>
        <w:t>ej</w:t>
      </w:r>
      <w:r w:rsidR="00A83845">
        <w:rPr>
          <w:rStyle w:val="sfbbfee58"/>
          <w:rFonts w:asciiTheme="minorHAnsi" w:eastAsiaTheme="majorEastAsia" w:hAnsiTheme="minorHAnsi"/>
          <w:sz w:val="22"/>
          <w:lang w:val="pl-PL"/>
        </w:rPr>
        <w:t xml:space="preserve"> </w:t>
      </w:r>
      <w:r w:rsidRPr="00AD3492">
        <w:rPr>
          <w:rStyle w:val="sfbbfee58"/>
          <w:rFonts w:asciiTheme="minorHAnsi" w:eastAsiaTheme="majorEastAsia" w:hAnsiTheme="minorHAnsi"/>
          <w:sz w:val="22"/>
          <w:lang w:val="pl-PL"/>
        </w:rPr>
        <w:t>skarżąc</w:t>
      </w:r>
      <w:r w:rsidR="00484A94">
        <w:rPr>
          <w:rStyle w:val="sfbbfee58"/>
          <w:rFonts w:asciiTheme="minorHAnsi" w:eastAsiaTheme="majorEastAsia" w:hAnsiTheme="minorHAnsi"/>
          <w:sz w:val="22"/>
          <w:lang w:val="pl-PL"/>
        </w:rPr>
        <w:t>ej</w:t>
      </w:r>
      <w:r w:rsidRPr="00AD3492">
        <w:rPr>
          <w:rStyle w:val="sfbbfee58"/>
          <w:rFonts w:asciiTheme="minorHAnsi" w:eastAsiaTheme="majorEastAsia" w:hAnsiTheme="minorHAnsi"/>
          <w:sz w:val="22"/>
          <w:lang w:val="pl-PL"/>
        </w:rPr>
        <w:t xml:space="preserve">, </w:t>
      </w:r>
      <w:r w:rsidR="00AD3492" w:rsidRPr="00AD3492">
        <w:rPr>
          <w:rStyle w:val="sfbbfee58"/>
          <w:rFonts w:asciiTheme="minorHAnsi" w:eastAsiaTheme="majorEastAsia" w:hAnsiTheme="minorHAnsi"/>
          <w:sz w:val="22"/>
          <w:lang w:val="pl-PL"/>
        </w:rPr>
        <w:t>gdyż pozostawali</w:t>
      </w:r>
      <w:r w:rsidRPr="00AD3492">
        <w:rPr>
          <w:rStyle w:val="sfbbfee58"/>
          <w:rFonts w:asciiTheme="minorHAnsi" w:eastAsiaTheme="majorEastAsia" w:hAnsiTheme="minorHAnsi"/>
          <w:sz w:val="22"/>
          <w:lang w:val="pl-PL"/>
        </w:rPr>
        <w:t xml:space="preserve"> w związku małżeńskim. Władze uznały jednak, że </w:t>
      </w:r>
      <w:r w:rsidR="00AD3492" w:rsidRPr="00AD3492">
        <w:rPr>
          <w:rStyle w:val="sfbbfee58"/>
          <w:rFonts w:asciiTheme="minorHAnsi" w:eastAsiaTheme="majorEastAsia" w:hAnsiTheme="minorHAnsi"/>
          <w:sz w:val="22"/>
          <w:lang w:val="pl-PL"/>
        </w:rPr>
        <w:t xml:space="preserve">ich </w:t>
      </w:r>
      <w:r w:rsidRPr="00AD3492">
        <w:rPr>
          <w:rStyle w:val="sfbbfee58"/>
          <w:rFonts w:asciiTheme="minorHAnsi" w:eastAsiaTheme="majorEastAsia" w:hAnsiTheme="minorHAnsi"/>
          <w:sz w:val="22"/>
          <w:lang w:val="pl-PL"/>
        </w:rPr>
        <w:t xml:space="preserve">małżeństwo m.in. było niezgodne ze szwajcarskim porządkiem publicznym z uwagi na wiek drugiej skarżącej. </w:t>
      </w:r>
    </w:p>
    <w:p w:rsidR="00AD3492" w:rsidRDefault="005147C6" w:rsidP="005147C6">
      <w:pPr>
        <w:pStyle w:val="s6c429373"/>
        <w:spacing w:before="0" w:beforeAutospacing="0" w:after="120" w:afterAutospacing="0"/>
        <w:jc w:val="both"/>
        <w:rPr>
          <w:rStyle w:val="sfbbfee58"/>
          <w:rFonts w:asciiTheme="minorHAnsi" w:eastAsiaTheme="majorEastAsia" w:hAnsiTheme="minorHAnsi"/>
          <w:sz w:val="22"/>
          <w:lang w:val="pl-PL"/>
        </w:rPr>
      </w:pPr>
      <w:r w:rsidRPr="005147C6">
        <w:rPr>
          <w:rStyle w:val="sfbbfee58"/>
          <w:rFonts w:asciiTheme="minorHAnsi" w:eastAsiaTheme="majorEastAsia" w:hAnsiTheme="minorHAnsi"/>
          <w:sz w:val="22"/>
          <w:lang w:val="pl-PL"/>
        </w:rPr>
        <w:t xml:space="preserve">Trybunał nie znalazł podstaw do zakwestionowania </w:t>
      </w:r>
      <w:r w:rsidRPr="00AD3492">
        <w:rPr>
          <w:rStyle w:val="sfbbfee58"/>
          <w:rFonts w:asciiTheme="minorHAnsi" w:eastAsiaTheme="majorEastAsia" w:hAnsiTheme="minorHAnsi"/>
          <w:sz w:val="22"/>
          <w:lang w:val="pl-PL"/>
        </w:rPr>
        <w:t>ustaleń sądu</w:t>
      </w:r>
      <w:r w:rsidR="00AD3492" w:rsidRPr="00AD3492">
        <w:rPr>
          <w:rStyle w:val="sfbbfee58"/>
          <w:rFonts w:asciiTheme="minorHAnsi" w:eastAsiaTheme="majorEastAsia" w:hAnsiTheme="minorHAnsi"/>
          <w:sz w:val="22"/>
          <w:lang w:val="pl-PL"/>
        </w:rPr>
        <w:t xml:space="preserve"> krajowego</w:t>
      </w:r>
      <w:r w:rsidRPr="00AD3492">
        <w:rPr>
          <w:rStyle w:val="sfbbfee58"/>
          <w:rFonts w:asciiTheme="minorHAnsi" w:eastAsiaTheme="majorEastAsia" w:hAnsiTheme="minorHAnsi"/>
          <w:sz w:val="22"/>
          <w:lang w:val="pl-PL"/>
        </w:rPr>
        <w:t xml:space="preserve">. </w:t>
      </w:r>
      <w:r w:rsidRPr="00BE0C4E">
        <w:rPr>
          <w:rStyle w:val="sfbbfee58"/>
          <w:rFonts w:asciiTheme="minorHAnsi" w:eastAsiaTheme="majorEastAsia" w:hAnsiTheme="minorHAnsi"/>
          <w:sz w:val="22"/>
          <w:lang w:val="pl-PL"/>
        </w:rPr>
        <w:t xml:space="preserve">Art. 8 Konwencji nie może być interpretowany w sposób nakładający na państwa obowiązek uznania małżeństwa (wyznaniowego lub innego) zawartego przez 14-letnie dziecko. Obowiązku takiego nie można też wyinterpretować z art. 12 Konwencji, który w sposób wyraźny przewiduje, że kwestia regulacji małżeństwa należy do prawa krajowego. </w:t>
      </w:r>
      <w:r w:rsidRPr="00AD3492">
        <w:rPr>
          <w:rStyle w:val="sfbbfee58"/>
          <w:rFonts w:asciiTheme="minorHAnsi" w:eastAsiaTheme="majorEastAsia" w:hAnsiTheme="minorHAnsi"/>
          <w:sz w:val="22"/>
          <w:lang w:val="pl-PL"/>
        </w:rPr>
        <w:t xml:space="preserve">Zważywszy na delikatny charakter kwestii o charakterze </w:t>
      </w:r>
      <w:r w:rsidRPr="00AD3492">
        <w:rPr>
          <w:rStyle w:val="sfbbfee58"/>
          <w:rFonts w:asciiTheme="minorHAnsi" w:eastAsiaTheme="majorEastAsia" w:hAnsiTheme="minorHAnsi"/>
          <w:sz w:val="22"/>
          <w:lang w:val="pl-PL"/>
        </w:rPr>
        <w:lastRenderedPageBreak/>
        <w:t>moralnym, które się z tym wiążą, oraz znaczenie ochrony dzieci i promowani</w:t>
      </w:r>
      <w:r w:rsidR="002E5765">
        <w:rPr>
          <w:rStyle w:val="sfbbfee58"/>
          <w:rFonts w:asciiTheme="minorHAnsi" w:eastAsiaTheme="majorEastAsia" w:hAnsiTheme="minorHAnsi"/>
          <w:sz w:val="22"/>
          <w:lang w:val="pl-PL"/>
        </w:rPr>
        <w:t>e</w:t>
      </w:r>
      <w:r w:rsidRPr="00AD3492">
        <w:rPr>
          <w:rStyle w:val="sfbbfee58"/>
          <w:rFonts w:asciiTheme="minorHAnsi" w:eastAsiaTheme="majorEastAsia" w:hAnsiTheme="minorHAnsi"/>
          <w:sz w:val="22"/>
          <w:lang w:val="pl-PL"/>
        </w:rPr>
        <w:t xml:space="preserve"> bezpiecznego środowiska rodzinnego, Trybunał nie może pochopnie zastępować władz krajowych, które są </w:t>
      </w:r>
      <w:r w:rsidR="00AD3492" w:rsidRPr="00AD3492">
        <w:rPr>
          <w:rStyle w:val="sfbbfee58"/>
          <w:rFonts w:asciiTheme="minorHAnsi" w:eastAsiaTheme="majorEastAsia" w:hAnsiTheme="minorHAnsi"/>
          <w:sz w:val="22"/>
          <w:lang w:val="pl-PL"/>
        </w:rPr>
        <w:t xml:space="preserve">w stanie </w:t>
      </w:r>
      <w:r w:rsidRPr="00AD3492">
        <w:rPr>
          <w:rStyle w:val="sfbbfee58"/>
          <w:rFonts w:asciiTheme="minorHAnsi" w:eastAsiaTheme="majorEastAsia" w:hAnsiTheme="minorHAnsi"/>
          <w:sz w:val="22"/>
          <w:lang w:val="pl-PL"/>
        </w:rPr>
        <w:t xml:space="preserve">najlepiej ocenić potrzeby społeczeństwa. W czasie, gdy podejmowano decyzję o wydaleniu drugiego skarżącego, władze Szwajcarii miały uzasadnione powody, by uznać, że skarżący </w:t>
      </w:r>
      <w:r w:rsidR="00AD3492" w:rsidRPr="00AD3492">
        <w:rPr>
          <w:rStyle w:val="sfbbfee58"/>
          <w:rFonts w:asciiTheme="minorHAnsi" w:eastAsiaTheme="majorEastAsia" w:hAnsiTheme="minorHAnsi"/>
          <w:sz w:val="22"/>
          <w:lang w:val="pl-PL"/>
        </w:rPr>
        <w:t>(</w:t>
      </w:r>
      <w:r w:rsidRPr="00AD3492">
        <w:rPr>
          <w:rStyle w:val="sfbbfee58"/>
          <w:rFonts w:asciiTheme="minorHAnsi" w:eastAsiaTheme="majorEastAsia" w:hAnsiTheme="minorHAnsi"/>
          <w:sz w:val="22"/>
          <w:lang w:val="pl-PL"/>
        </w:rPr>
        <w:t>którzy jeszcze nie podjęli kroków w celu uznania w Szwajcarii ich małżeństwa wyznaniowego</w:t>
      </w:r>
      <w:r w:rsidR="00AD3492">
        <w:rPr>
          <w:rStyle w:val="sfbbfee58"/>
          <w:rFonts w:asciiTheme="minorHAnsi" w:eastAsiaTheme="majorEastAsia" w:hAnsiTheme="minorHAnsi"/>
          <w:sz w:val="22"/>
          <w:lang w:val="pl-PL"/>
        </w:rPr>
        <w:t>)</w:t>
      </w:r>
      <w:r w:rsidRPr="00AD3492">
        <w:rPr>
          <w:rStyle w:val="sfbbfee58"/>
          <w:rFonts w:asciiTheme="minorHAnsi" w:eastAsiaTheme="majorEastAsia" w:hAnsiTheme="minorHAnsi"/>
          <w:sz w:val="22"/>
          <w:lang w:val="pl-PL"/>
        </w:rPr>
        <w:t xml:space="preserve"> nie pozostawali małżeństwem. </w:t>
      </w:r>
    </w:p>
    <w:p w:rsidR="005147C6" w:rsidRPr="00BE0C4E" w:rsidRDefault="0029533F" w:rsidP="005147C6">
      <w:pPr>
        <w:pStyle w:val="s6c429373"/>
        <w:spacing w:before="0" w:beforeAutospacing="0" w:after="120" w:afterAutospacing="0"/>
        <w:jc w:val="both"/>
        <w:rPr>
          <w:rStyle w:val="sfbbfee58"/>
          <w:rFonts w:asciiTheme="minorHAnsi" w:eastAsiaTheme="majorEastAsia" w:hAnsiTheme="minorHAnsi"/>
          <w:sz w:val="22"/>
          <w:lang w:val="pl-PL"/>
        </w:rPr>
      </w:pPr>
      <w:r>
        <w:rPr>
          <w:rStyle w:val="sfbbfee58"/>
          <w:rFonts w:asciiTheme="minorHAnsi" w:eastAsiaTheme="majorEastAsia" w:hAnsiTheme="minorHAnsi"/>
          <w:sz w:val="22"/>
          <w:lang w:val="pl-PL"/>
        </w:rPr>
        <w:t xml:space="preserve">W każdym razie, </w:t>
      </w:r>
      <w:r w:rsidR="005147C6" w:rsidRPr="00AD3492">
        <w:rPr>
          <w:rStyle w:val="sfbbfee58"/>
          <w:rFonts w:asciiTheme="minorHAnsi" w:eastAsiaTheme="majorEastAsia" w:hAnsiTheme="minorHAnsi"/>
          <w:sz w:val="22"/>
          <w:lang w:val="pl-PL"/>
        </w:rPr>
        <w:t xml:space="preserve">nawet jeśli ich relację można było zakwalifikować jako „życie rodzinne”, drugi skarżący powrócił </w:t>
      </w:r>
      <w:r w:rsidR="00114B60">
        <w:rPr>
          <w:rStyle w:val="sfbbfee58"/>
          <w:rFonts w:asciiTheme="minorHAnsi" w:eastAsiaTheme="majorEastAsia" w:hAnsiTheme="minorHAnsi"/>
          <w:sz w:val="22"/>
          <w:lang w:val="pl-PL"/>
        </w:rPr>
        <w:t xml:space="preserve">do </w:t>
      </w:r>
      <w:r w:rsidR="005147C6" w:rsidRPr="00AD3492">
        <w:rPr>
          <w:rStyle w:val="sfbbfee58"/>
          <w:rFonts w:asciiTheme="minorHAnsi" w:eastAsiaTheme="majorEastAsia" w:hAnsiTheme="minorHAnsi"/>
          <w:sz w:val="22"/>
          <w:lang w:val="pl-PL"/>
        </w:rPr>
        <w:t xml:space="preserve">Szwajcarii zaledwie trzy dni później i pozwolono mu pozostać </w:t>
      </w:r>
      <w:r w:rsidR="00114B60">
        <w:rPr>
          <w:rStyle w:val="sfbbfee58"/>
          <w:rFonts w:asciiTheme="minorHAnsi" w:eastAsiaTheme="majorEastAsia" w:hAnsiTheme="minorHAnsi"/>
          <w:sz w:val="22"/>
          <w:lang w:val="pl-PL"/>
        </w:rPr>
        <w:t>oraz</w:t>
      </w:r>
      <w:r w:rsidR="005147C6" w:rsidRPr="00AD3492">
        <w:rPr>
          <w:rStyle w:val="sfbbfee58"/>
          <w:rFonts w:asciiTheme="minorHAnsi" w:eastAsiaTheme="majorEastAsia" w:hAnsiTheme="minorHAnsi"/>
          <w:sz w:val="22"/>
          <w:lang w:val="pl-PL"/>
        </w:rPr>
        <w:t xml:space="preserve"> ponowić wniosek o status uchodźcy, który ostatecznie przyznano. </w:t>
      </w:r>
      <w:r w:rsidR="005147C6" w:rsidRPr="00BE0C4E">
        <w:rPr>
          <w:rStyle w:val="sfbbfee58"/>
          <w:rFonts w:asciiTheme="minorHAnsi" w:eastAsiaTheme="majorEastAsia" w:hAnsiTheme="minorHAnsi"/>
          <w:sz w:val="22"/>
          <w:lang w:val="pl-PL"/>
        </w:rPr>
        <w:t>Pierwsza skarżąca</w:t>
      </w:r>
      <w:r w:rsidR="003077DF">
        <w:rPr>
          <w:rStyle w:val="sfbbfee58"/>
          <w:rFonts w:asciiTheme="minorHAnsi" w:eastAsiaTheme="majorEastAsia" w:hAnsiTheme="minorHAnsi"/>
          <w:sz w:val="22"/>
          <w:lang w:val="pl-PL"/>
        </w:rPr>
        <w:t xml:space="preserve"> </w:t>
      </w:r>
      <w:r w:rsidR="005147C6" w:rsidRPr="00BE0C4E">
        <w:rPr>
          <w:rStyle w:val="sfbbfee58"/>
          <w:rFonts w:asciiTheme="minorHAnsi" w:eastAsiaTheme="majorEastAsia" w:hAnsiTheme="minorHAnsi"/>
          <w:sz w:val="22"/>
          <w:lang w:val="pl-PL"/>
        </w:rPr>
        <w:t>mogła też dołączyć do drugiego skarżącego we Włoszech.</w:t>
      </w:r>
    </w:p>
    <w:p w:rsidR="005147C6" w:rsidRPr="00BE0C4E" w:rsidRDefault="005147C6" w:rsidP="005147C6">
      <w:pPr>
        <w:pStyle w:val="s6c429373"/>
        <w:spacing w:before="0" w:beforeAutospacing="0" w:after="120" w:afterAutospacing="0"/>
        <w:jc w:val="both"/>
        <w:rPr>
          <w:rStyle w:val="sfbbfee58"/>
          <w:rFonts w:asciiTheme="minorHAnsi" w:eastAsiaTheme="majorEastAsia" w:hAnsiTheme="minorHAnsi"/>
          <w:sz w:val="22"/>
          <w:lang w:val="pl-PL"/>
        </w:rPr>
      </w:pPr>
      <w:r w:rsidRPr="00AD3492">
        <w:rPr>
          <w:rStyle w:val="sfbbfee58"/>
          <w:rFonts w:asciiTheme="minorHAnsi" w:eastAsiaTheme="majorEastAsia" w:hAnsiTheme="minorHAnsi"/>
          <w:sz w:val="22"/>
          <w:lang w:val="pl-PL"/>
        </w:rPr>
        <w:t xml:space="preserve">Zważywszy na margines oceny przyznany państwom w sprawach imigracyjnych, </w:t>
      </w:r>
      <w:r w:rsidR="00AD3492" w:rsidRPr="00AD3492">
        <w:rPr>
          <w:rStyle w:val="sfbbfee58"/>
          <w:rFonts w:asciiTheme="minorHAnsi" w:eastAsiaTheme="majorEastAsia" w:hAnsiTheme="minorHAnsi"/>
          <w:sz w:val="22"/>
          <w:lang w:val="pl-PL"/>
        </w:rPr>
        <w:t xml:space="preserve">zdaniem Trybunału </w:t>
      </w:r>
      <w:r w:rsidRPr="00AD3492">
        <w:rPr>
          <w:rStyle w:val="sfbbfee58"/>
          <w:rFonts w:asciiTheme="minorHAnsi" w:eastAsiaTheme="majorEastAsia" w:hAnsiTheme="minorHAnsi"/>
          <w:sz w:val="22"/>
          <w:lang w:val="pl-PL"/>
        </w:rPr>
        <w:t>osiągnięty został stan słusznej równowagi między interesem osobistym skarżących w pozostaniu razem w Szwajcarii na czas oczekiwania na rozpatrzenie wniosku o</w:t>
      </w:r>
      <w:r w:rsidR="003077DF">
        <w:rPr>
          <w:rStyle w:val="sfbbfee58"/>
          <w:rFonts w:asciiTheme="minorHAnsi" w:eastAsiaTheme="majorEastAsia" w:hAnsiTheme="minorHAnsi"/>
          <w:sz w:val="22"/>
          <w:lang w:val="pl-PL"/>
        </w:rPr>
        <w:t xml:space="preserve"> status uchodźcy</w:t>
      </w:r>
      <w:r w:rsidRPr="00AD3492">
        <w:rPr>
          <w:rStyle w:val="sfbbfee58"/>
          <w:rFonts w:asciiTheme="minorHAnsi" w:eastAsiaTheme="majorEastAsia" w:hAnsiTheme="minorHAnsi"/>
          <w:sz w:val="22"/>
          <w:lang w:val="pl-PL"/>
        </w:rPr>
        <w:t xml:space="preserve">, a interesem władz Szwajcarii w kontrolowaniu imigracji. </w:t>
      </w:r>
      <w:r w:rsidRPr="00BE0C4E">
        <w:rPr>
          <w:rStyle w:val="sfbbfee58"/>
          <w:rFonts w:asciiTheme="minorHAnsi" w:eastAsiaTheme="majorEastAsia" w:hAnsiTheme="minorHAnsi"/>
          <w:sz w:val="22"/>
          <w:lang w:val="pl-PL"/>
        </w:rPr>
        <w:t xml:space="preserve">Nie doszło do naruszenia art. 8 Konwencji. </w:t>
      </w:r>
    </w:p>
    <w:p w:rsidR="005147C6" w:rsidRPr="006A5467" w:rsidRDefault="005147C6" w:rsidP="005C7BED">
      <w:pPr>
        <w:pStyle w:val="s6c429373"/>
        <w:spacing w:before="0" w:beforeAutospacing="0" w:after="360" w:afterAutospacing="0"/>
        <w:jc w:val="both"/>
        <w:rPr>
          <w:rStyle w:val="sfbbfee58"/>
          <w:rFonts w:asciiTheme="minorHAnsi" w:eastAsiaTheme="majorEastAsia" w:hAnsiTheme="minorHAnsi"/>
          <w:sz w:val="22"/>
          <w:lang w:val="pl-PL"/>
        </w:rPr>
      </w:pPr>
      <w:r w:rsidRPr="00BE0C4E">
        <w:rPr>
          <w:rStyle w:val="sfbbfee58"/>
          <w:rFonts w:asciiTheme="minorHAnsi" w:eastAsiaTheme="majorEastAsia" w:hAnsiTheme="minorHAnsi"/>
          <w:sz w:val="22"/>
          <w:u w:val="single"/>
          <w:lang w:val="pl-PL"/>
        </w:rPr>
        <w:t>Znaczenie wyroku dla Polski</w:t>
      </w:r>
      <w:r w:rsidRPr="00BE0C4E">
        <w:rPr>
          <w:rStyle w:val="sfbbfee58"/>
          <w:rFonts w:asciiTheme="minorHAnsi" w:eastAsiaTheme="majorEastAsia" w:hAnsiTheme="minorHAnsi"/>
          <w:sz w:val="22"/>
          <w:lang w:val="pl-PL"/>
        </w:rPr>
        <w:t xml:space="preserve">: wskazuje na znaczenie ochrony dzieci w kontekście problemu tzw. wczesnych małżeństw. Potwierdza margines oceny państwa w odniesieniu do regulowania prawa do małżeństwa, a także w sprawach imigracyjnych. Wyrok powinien zostać przeanalizowany przez Urząd ds. Cudzoziemców, Radę ds. </w:t>
      </w:r>
      <w:r w:rsidRPr="006A5467">
        <w:rPr>
          <w:rStyle w:val="sfbbfee58"/>
          <w:rFonts w:asciiTheme="minorHAnsi" w:eastAsiaTheme="majorEastAsia" w:hAnsiTheme="minorHAnsi"/>
          <w:sz w:val="22"/>
          <w:lang w:val="pl-PL"/>
        </w:rPr>
        <w:t>Uchodźców, Straż Graniczną, sądy administracyjne i rodzinne.</w:t>
      </w:r>
    </w:p>
    <w:p w:rsidR="006A5467" w:rsidRPr="009C2648" w:rsidRDefault="006A5467" w:rsidP="006A5467">
      <w:pPr>
        <w:pStyle w:val="Nagwek2"/>
        <w:numPr>
          <w:ilvl w:val="0"/>
          <w:numId w:val="1"/>
        </w:numPr>
        <w:spacing w:before="0"/>
      </w:pPr>
      <w:bookmarkStart w:id="11" w:name="_Toc444761953"/>
      <w:proofErr w:type="spellStart"/>
      <w:r w:rsidRPr="006A5467">
        <w:t>Fábián</w:t>
      </w:r>
      <w:proofErr w:type="spellEnd"/>
      <w:r w:rsidRPr="006A5467">
        <w:t xml:space="preserve"> p. Węgrom (skarga nr </w:t>
      </w:r>
      <w:hyperlink r:id="rId10" w:anchor="{&quot;appno&quot;:[&quot;78117/13&quot;]}" w:tgtFrame="_blank" w:history="1">
        <w:r w:rsidRPr="006A5467">
          <w:t>78117/13</w:t>
        </w:r>
      </w:hyperlink>
      <w:r w:rsidRPr="006A5467">
        <w:t>), wyrok Izby z 15.12.2015 r., nieostateczny</w:t>
      </w:r>
      <w:bookmarkEnd w:id="11"/>
      <w:r w:rsidRPr="006A5467">
        <w:t xml:space="preserve">  </w:t>
      </w:r>
    </w:p>
    <w:p w:rsidR="006A5467" w:rsidRPr="006A5467" w:rsidRDefault="006A5467" w:rsidP="006A5467">
      <w:pPr>
        <w:keepNext/>
        <w:keepLines/>
        <w:spacing w:after="120" w:line="240" w:lineRule="auto"/>
        <w:jc w:val="both"/>
        <w:outlineLvl w:val="2"/>
        <w:rPr>
          <w:b/>
          <w:color w:val="000000" w:themeColor="text1"/>
          <w:lang w:val="pl-PL"/>
        </w:rPr>
      </w:pPr>
      <w:bookmarkStart w:id="12" w:name="_Toc444761954"/>
      <w:r>
        <w:rPr>
          <w:b/>
          <w:color w:val="000000" w:themeColor="text1"/>
          <w:lang w:val="pl-PL"/>
        </w:rPr>
        <w:t>- n</w:t>
      </w:r>
      <w:r w:rsidRPr="006A5467">
        <w:rPr>
          <w:b/>
          <w:color w:val="000000" w:themeColor="text1"/>
          <w:lang w:val="pl-PL"/>
        </w:rPr>
        <w:t>ar</w:t>
      </w:r>
      <w:r>
        <w:rPr>
          <w:b/>
          <w:color w:val="000000" w:themeColor="text1"/>
          <w:lang w:val="pl-PL"/>
        </w:rPr>
        <w:t>u</w:t>
      </w:r>
      <w:r w:rsidRPr="006A5467">
        <w:rPr>
          <w:b/>
          <w:color w:val="000000" w:themeColor="text1"/>
          <w:lang w:val="pl-PL"/>
        </w:rPr>
        <w:t xml:space="preserve">szenie art. 14 Konwencji (zakaz dyskryminacji) w związku z art. 1 Protokołu nr 1 (ochrona własności) z uwagi na różne traktowanie w odniesieniu do </w:t>
      </w:r>
      <w:r w:rsidR="008E494D">
        <w:rPr>
          <w:b/>
          <w:color w:val="000000" w:themeColor="text1"/>
          <w:lang w:val="pl-PL"/>
        </w:rPr>
        <w:t xml:space="preserve">zawieszenia </w:t>
      </w:r>
      <w:r w:rsidRPr="006A5467">
        <w:rPr>
          <w:b/>
          <w:color w:val="000000" w:themeColor="text1"/>
          <w:lang w:val="pl-PL"/>
        </w:rPr>
        <w:t>wypła</w:t>
      </w:r>
      <w:r w:rsidR="008E494D">
        <w:rPr>
          <w:b/>
          <w:color w:val="000000" w:themeColor="text1"/>
          <w:lang w:val="pl-PL"/>
        </w:rPr>
        <w:t>ty</w:t>
      </w:r>
      <w:r w:rsidR="00DE3346">
        <w:rPr>
          <w:b/>
          <w:color w:val="000000" w:themeColor="text1"/>
          <w:lang w:val="pl-PL"/>
        </w:rPr>
        <w:t xml:space="preserve"> emerytur</w:t>
      </w:r>
      <w:r w:rsidRPr="006A5467">
        <w:rPr>
          <w:b/>
          <w:color w:val="000000" w:themeColor="text1"/>
          <w:lang w:val="pl-PL"/>
        </w:rPr>
        <w:t xml:space="preserve"> </w:t>
      </w:r>
      <w:r w:rsidR="008E494D">
        <w:rPr>
          <w:b/>
          <w:color w:val="000000" w:themeColor="text1"/>
          <w:lang w:val="pl-PL"/>
        </w:rPr>
        <w:t xml:space="preserve">osób zatrudnionych </w:t>
      </w:r>
      <w:r w:rsidRPr="006A5467">
        <w:rPr>
          <w:b/>
          <w:color w:val="000000" w:themeColor="text1"/>
          <w:lang w:val="pl-PL"/>
        </w:rPr>
        <w:t xml:space="preserve">w zależności od tego, czy </w:t>
      </w:r>
      <w:r w:rsidR="008E494D">
        <w:rPr>
          <w:b/>
          <w:color w:val="000000" w:themeColor="text1"/>
          <w:lang w:val="pl-PL"/>
        </w:rPr>
        <w:t>podejmują zatrudnienie</w:t>
      </w:r>
      <w:r w:rsidRPr="006A5467">
        <w:rPr>
          <w:b/>
          <w:color w:val="000000" w:themeColor="text1"/>
          <w:lang w:val="pl-PL"/>
        </w:rPr>
        <w:t xml:space="preserve"> w sektorze prywatnym czy publicznym</w:t>
      </w:r>
      <w:r w:rsidR="001F1037">
        <w:rPr>
          <w:b/>
          <w:color w:val="000000" w:themeColor="text1"/>
          <w:lang w:val="pl-PL"/>
        </w:rPr>
        <w:t>,</w:t>
      </w:r>
      <w:r w:rsidRPr="006A5467">
        <w:rPr>
          <w:b/>
          <w:color w:val="000000" w:themeColor="text1"/>
          <w:lang w:val="pl-PL"/>
        </w:rPr>
        <w:t xml:space="preserve"> oraz w zależności od s</w:t>
      </w:r>
      <w:r w:rsidR="00DE3346">
        <w:rPr>
          <w:b/>
          <w:color w:val="000000" w:themeColor="text1"/>
          <w:lang w:val="pl-PL"/>
        </w:rPr>
        <w:t>tanowiska</w:t>
      </w:r>
      <w:r w:rsidR="001F1037">
        <w:rPr>
          <w:b/>
          <w:color w:val="000000" w:themeColor="text1"/>
          <w:lang w:val="pl-PL"/>
        </w:rPr>
        <w:t xml:space="preserve"> w sektorze publicznym</w:t>
      </w:r>
      <w:bookmarkEnd w:id="12"/>
    </w:p>
    <w:p w:rsidR="006A5467" w:rsidRPr="006A5467" w:rsidRDefault="006A5467" w:rsidP="006A5467">
      <w:pPr>
        <w:spacing w:after="120"/>
        <w:jc w:val="both"/>
        <w:rPr>
          <w:rFonts w:cs="Times New Roman"/>
          <w:color w:val="222222"/>
          <w:szCs w:val="24"/>
          <w:u w:val="single" w:color="222222"/>
          <w:lang w:val="pl-PL"/>
        </w:rPr>
      </w:pPr>
      <w:r w:rsidRPr="006A5467">
        <w:rPr>
          <w:rFonts w:cs="Times New Roman"/>
          <w:color w:val="222222"/>
          <w:szCs w:val="24"/>
          <w:u w:val="single" w:color="222222"/>
          <w:lang w:val="pl-PL"/>
        </w:rPr>
        <w:t>Stan faktyczny i zarzuty skarżącego</w:t>
      </w:r>
    </w:p>
    <w:p w:rsidR="006A5467" w:rsidRDefault="006A5467" w:rsidP="006A5467">
      <w:pPr>
        <w:pStyle w:val="s6c429373"/>
        <w:spacing w:before="0" w:beforeAutospacing="0" w:after="120" w:afterAutospacing="0"/>
        <w:jc w:val="both"/>
        <w:rPr>
          <w:rStyle w:val="sfbbfee58"/>
          <w:rFonts w:asciiTheme="minorHAnsi" w:eastAsiaTheme="majorEastAsia" w:hAnsiTheme="minorHAnsi"/>
          <w:sz w:val="22"/>
          <w:lang w:val="pl-PL"/>
        </w:rPr>
      </w:pPr>
      <w:r w:rsidRPr="00BE0C4E">
        <w:rPr>
          <w:rStyle w:val="sfbbfee58"/>
          <w:rFonts w:asciiTheme="minorHAnsi" w:eastAsiaTheme="majorEastAsia" w:hAnsiTheme="minorHAnsi"/>
          <w:sz w:val="22"/>
          <w:lang w:val="pl-PL"/>
        </w:rPr>
        <w:t>W 2012 r., skarżący, który już otrzymywał emeryturę, podjął zatrudnienie jako urzędnik. W 2013 r. wprowadzono zmianę do ustawy o emeryturach, która zawiesiła wypłatę em</w:t>
      </w:r>
      <w:r w:rsidR="00DE3346">
        <w:rPr>
          <w:rStyle w:val="sfbbfee58"/>
          <w:rFonts w:asciiTheme="minorHAnsi" w:eastAsiaTheme="majorEastAsia" w:hAnsiTheme="minorHAnsi"/>
          <w:sz w:val="22"/>
          <w:lang w:val="pl-PL"/>
        </w:rPr>
        <w:t>er</w:t>
      </w:r>
      <w:r w:rsidRPr="00BE0C4E">
        <w:rPr>
          <w:rStyle w:val="sfbbfee58"/>
          <w:rFonts w:asciiTheme="minorHAnsi" w:eastAsiaTheme="majorEastAsia" w:hAnsiTheme="minorHAnsi"/>
          <w:sz w:val="22"/>
          <w:lang w:val="pl-PL"/>
        </w:rPr>
        <w:t xml:space="preserve">ytur dla osób, które jednocześnie były zatrudnione na pewnych kategoriach stanowisk w sektorze publicznym. W rezultacie wstrzymano wypłatę emerytury skarżącego. Jego odwołania okazały się bezskuteczne. Tego typu ograniczenie nie miało jednak zastosowania wobec emerytów pracujących w sektorze prywatnym, a także do niektórych kategorii urzędników. </w:t>
      </w:r>
      <w:r w:rsidRPr="00BF3F92">
        <w:rPr>
          <w:rStyle w:val="sfbbfee58"/>
          <w:rFonts w:asciiTheme="minorHAnsi" w:eastAsiaTheme="majorEastAsia" w:hAnsiTheme="minorHAnsi"/>
          <w:sz w:val="22"/>
          <w:lang w:val="pl-PL"/>
        </w:rPr>
        <w:t xml:space="preserve">Skarżący zarzucał, że doszło do nieuzasadnionej i dyskryminacyjnej ingerencji w jego prawa majątkowe, </w:t>
      </w:r>
      <w:r w:rsidR="00DE3346">
        <w:rPr>
          <w:rStyle w:val="sfbbfee58"/>
          <w:rFonts w:asciiTheme="minorHAnsi" w:eastAsiaTheme="majorEastAsia" w:hAnsiTheme="minorHAnsi"/>
          <w:sz w:val="22"/>
          <w:lang w:val="pl-PL"/>
        </w:rPr>
        <w:t>stanowiące</w:t>
      </w:r>
      <w:r w:rsidR="00320E70">
        <w:rPr>
          <w:rStyle w:val="sfbbfee58"/>
          <w:rFonts w:asciiTheme="minorHAnsi" w:eastAsiaTheme="majorEastAsia" w:hAnsiTheme="minorHAnsi"/>
          <w:sz w:val="22"/>
          <w:lang w:val="pl-PL"/>
        </w:rPr>
        <w:t>j</w:t>
      </w:r>
      <w:r w:rsidR="00DE3346">
        <w:rPr>
          <w:rStyle w:val="sfbbfee58"/>
          <w:rFonts w:asciiTheme="minorHAnsi" w:eastAsiaTheme="majorEastAsia" w:hAnsiTheme="minorHAnsi"/>
          <w:sz w:val="22"/>
          <w:lang w:val="pl-PL"/>
        </w:rPr>
        <w:t xml:space="preserve"> </w:t>
      </w:r>
      <w:r w:rsidRPr="00BF3F92">
        <w:rPr>
          <w:rStyle w:val="sfbbfee58"/>
          <w:rFonts w:asciiTheme="minorHAnsi" w:eastAsiaTheme="majorEastAsia" w:hAnsiTheme="minorHAnsi"/>
          <w:sz w:val="22"/>
          <w:lang w:val="pl-PL"/>
        </w:rPr>
        <w:t>naruszenie art. 14 Konwencji w związku z art. 1 Protokołu nr 1.</w:t>
      </w:r>
      <w:r w:rsidR="00BF3F92" w:rsidRPr="00BF3F92">
        <w:rPr>
          <w:rStyle w:val="sfbbfee58"/>
          <w:rFonts w:asciiTheme="minorHAnsi" w:eastAsiaTheme="majorEastAsia" w:hAnsiTheme="minorHAnsi"/>
          <w:sz w:val="22"/>
          <w:lang w:val="pl-PL"/>
        </w:rPr>
        <w:t xml:space="preserve"> </w:t>
      </w:r>
    </w:p>
    <w:p w:rsidR="006A5467" w:rsidRPr="00AD3492" w:rsidRDefault="006A5467" w:rsidP="006A5467">
      <w:pPr>
        <w:spacing w:after="120"/>
        <w:jc w:val="both"/>
        <w:rPr>
          <w:rFonts w:cs="Times New Roman"/>
          <w:color w:val="222222"/>
          <w:szCs w:val="24"/>
          <w:u w:val="single" w:color="222222"/>
          <w:lang w:val="pl-PL"/>
        </w:rPr>
      </w:pPr>
      <w:r w:rsidRPr="00AD3492">
        <w:rPr>
          <w:rFonts w:cs="Times New Roman"/>
          <w:color w:val="222222"/>
          <w:szCs w:val="24"/>
          <w:u w:val="single" w:color="222222"/>
          <w:lang w:val="pl-PL"/>
        </w:rPr>
        <w:t xml:space="preserve">Rozstrzygnięcie Trybunału </w:t>
      </w:r>
    </w:p>
    <w:p w:rsidR="006A5467" w:rsidRPr="00BE0C4E" w:rsidRDefault="006A5467" w:rsidP="006A5467">
      <w:pPr>
        <w:pStyle w:val="s6c429373"/>
        <w:spacing w:before="0" w:beforeAutospacing="0" w:after="120" w:afterAutospacing="0"/>
        <w:jc w:val="both"/>
        <w:rPr>
          <w:rStyle w:val="sfbbfee58"/>
          <w:rFonts w:asciiTheme="minorHAnsi" w:eastAsiaTheme="majorEastAsia" w:hAnsiTheme="minorHAnsi"/>
          <w:sz w:val="22"/>
          <w:lang w:val="pl-PL"/>
        </w:rPr>
      </w:pPr>
      <w:r w:rsidRPr="00BE0C4E">
        <w:rPr>
          <w:rStyle w:val="sfbbfee58"/>
          <w:rFonts w:asciiTheme="minorHAnsi" w:eastAsiaTheme="majorEastAsia" w:hAnsiTheme="minorHAnsi"/>
          <w:sz w:val="22"/>
          <w:lang w:val="pl-PL"/>
        </w:rPr>
        <w:t xml:space="preserve">Trybunał uznał, że prawa emerytalne skarżącego miały charakter prawa majątkowego objętego zakresem zastosowania art. 1 Protokołu nr 1. Jego status jako emeryta jednocześnie zatrudnionego w sektorze publicznym może być zaś uznany za „inną przyczynę” dyskryminacji na potrzeby art. 14. </w:t>
      </w:r>
    </w:p>
    <w:p w:rsidR="00FD6756" w:rsidRPr="00FD6756" w:rsidRDefault="00FD6756" w:rsidP="006A5467">
      <w:pPr>
        <w:pStyle w:val="s6c429373"/>
        <w:spacing w:before="0" w:beforeAutospacing="0" w:after="120" w:afterAutospacing="0"/>
        <w:jc w:val="both"/>
        <w:rPr>
          <w:rStyle w:val="sfbbfee58"/>
          <w:rFonts w:asciiTheme="minorHAnsi" w:eastAsiaTheme="majorEastAsia" w:hAnsiTheme="minorHAnsi"/>
          <w:sz w:val="22"/>
          <w:lang w:val="pl-PL"/>
        </w:rPr>
      </w:pPr>
      <w:r w:rsidRPr="00A078C0">
        <w:rPr>
          <w:rStyle w:val="sfbbfee58"/>
          <w:rFonts w:asciiTheme="minorHAnsi" w:eastAsiaTheme="majorEastAsia" w:hAnsiTheme="minorHAnsi"/>
          <w:sz w:val="22"/>
          <w:lang w:val="pl-PL"/>
        </w:rPr>
        <w:t xml:space="preserve">Trybunał przypomniał, że różnica w traktowaniu ma charakter dyskryminacyjny </w:t>
      </w:r>
      <w:r w:rsidR="00A078C0">
        <w:rPr>
          <w:rStyle w:val="sfbbfee58"/>
          <w:rFonts w:asciiTheme="minorHAnsi" w:eastAsiaTheme="majorEastAsia" w:hAnsiTheme="minorHAnsi"/>
          <w:sz w:val="22"/>
          <w:lang w:val="pl-PL"/>
        </w:rPr>
        <w:t xml:space="preserve">z punktu widzenia </w:t>
      </w:r>
      <w:r w:rsidRPr="00A078C0">
        <w:rPr>
          <w:rStyle w:val="sfbbfee58"/>
          <w:rFonts w:asciiTheme="minorHAnsi" w:eastAsiaTheme="majorEastAsia" w:hAnsiTheme="minorHAnsi"/>
          <w:sz w:val="22"/>
          <w:lang w:val="pl-PL"/>
        </w:rPr>
        <w:t xml:space="preserve">art. 14 Konwencji, jeśli nie ma obiektywnego i rozsądnego uzasadnienia, innymi słowy, jeśli nie ma uprawnionego celu lub jeśli nie zachodzi rozsądna relacja proporcjonalności </w:t>
      </w:r>
      <w:r w:rsidR="00F6293B" w:rsidRPr="00A078C0">
        <w:rPr>
          <w:rStyle w:val="sfbbfee58"/>
          <w:rFonts w:asciiTheme="minorHAnsi" w:eastAsiaTheme="majorEastAsia" w:hAnsiTheme="minorHAnsi"/>
          <w:sz w:val="22"/>
          <w:lang w:val="pl-PL"/>
        </w:rPr>
        <w:t xml:space="preserve">między zastosowanymi środkami a celem, który ma być osiągnięty. </w:t>
      </w:r>
      <w:r w:rsidR="00F6293B" w:rsidRPr="00BE0C4E">
        <w:rPr>
          <w:rStyle w:val="sfbbfee58"/>
          <w:rFonts w:asciiTheme="minorHAnsi" w:eastAsiaTheme="majorEastAsia" w:hAnsiTheme="minorHAnsi"/>
          <w:sz w:val="22"/>
          <w:lang w:val="pl-PL"/>
        </w:rPr>
        <w:t xml:space="preserve">Państwa mają pewien margines oceny, czy i do jakiego stopnia różnice w sytuacjach w pozostałym zakresie podobnych, uzasadniają różne traktowanie. </w:t>
      </w:r>
    </w:p>
    <w:p w:rsidR="00BF3F92" w:rsidRDefault="006A5467" w:rsidP="006A5467">
      <w:pPr>
        <w:pStyle w:val="s6c429373"/>
        <w:spacing w:before="0" w:beforeAutospacing="0" w:after="120" w:afterAutospacing="0"/>
        <w:jc w:val="both"/>
        <w:rPr>
          <w:rStyle w:val="sfbbfee58"/>
          <w:rFonts w:asciiTheme="minorHAnsi" w:eastAsiaTheme="majorEastAsia" w:hAnsiTheme="minorHAnsi"/>
          <w:sz w:val="22"/>
          <w:lang w:val="pl-PL"/>
        </w:rPr>
      </w:pPr>
      <w:r w:rsidRPr="00F6293B">
        <w:rPr>
          <w:rStyle w:val="sfbbfee58"/>
          <w:rFonts w:asciiTheme="minorHAnsi" w:eastAsiaTheme="majorEastAsia" w:hAnsiTheme="minorHAnsi"/>
          <w:sz w:val="22"/>
          <w:lang w:val="pl-PL"/>
        </w:rPr>
        <w:t>Trybunał zgodził się</w:t>
      </w:r>
      <w:r w:rsidR="00F6293B">
        <w:rPr>
          <w:rStyle w:val="sfbbfee58"/>
          <w:rFonts w:asciiTheme="minorHAnsi" w:eastAsiaTheme="majorEastAsia" w:hAnsiTheme="minorHAnsi"/>
          <w:sz w:val="22"/>
          <w:lang w:val="pl-PL"/>
        </w:rPr>
        <w:t xml:space="preserve"> z rządem węgierskim</w:t>
      </w:r>
      <w:r w:rsidRPr="00F6293B">
        <w:rPr>
          <w:rStyle w:val="sfbbfee58"/>
          <w:rFonts w:asciiTheme="minorHAnsi" w:eastAsiaTheme="majorEastAsia" w:hAnsiTheme="minorHAnsi"/>
          <w:sz w:val="22"/>
          <w:lang w:val="pl-PL"/>
        </w:rPr>
        <w:t xml:space="preserve">, że </w:t>
      </w:r>
      <w:r w:rsidR="00F6293B" w:rsidRPr="00F6293B">
        <w:rPr>
          <w:rStyle w:val="sfbbfee58"/>
          <w:rFonts w:asciiTheme="minorHAnsi" w:eastAsiaTheme="majorEastAsia" w:hAnsiTheme="minorHAnsi"/>
          <w:sz w:val="22"/>
          <w:lang w:val="pl-PL"/>
        </w:rPr>
        <w:t>różne</w:t>
      </w:r>
      <w:r w:rsidRPr="00F6293B">
        <w:rPr>
          <w:rStyle w:val="sfbbfee58"/>
          <w:rFonts w:asciiTheme="minorHAnsi" w:eastAsiaTheme="majorEastAsia" w:hAnsiTheme="minorHAnsi"/>
          <w:sz w:val="22"/>
          <w:lang w:val="pl-PL"/>
        </w:rPr>
        <w:t xml:space="preserve"> traktowanie w obecnej sprawie służyło uprawnionemu celowi</w:t>
      </w:r>
      <w:r w:rsidR="00F6293B">
        <w:rPr>
          <w:rStyle w:val="sfbbfee58"/>
          <w:rFonts w:asciiTheme="minorHAnsi" w:eastAsiaTheme="majorEastAsia" w:hAnsiTheme="minorHAnsi"/>
          <w:sz w:val="22"/>
          <w:lang w:val="pl-PL"/>
        </w:rPr>
        <w:t>,</w:t>
      </w:r>
      <w:r w:rsidRPr="00F6293B">
        <w:rPr>
          <w:rStyle w:val="sfbbfee58"/>
          <w:rFonts w:asciiTheme="minorHAnsi" w:eastAsiaTheme="majorEastAsia" w:hAnsiTheme="minorHAnsi"/>
          <w:sz w:val="22"/>
          <w:lang w:val="pl-PL"/>
        </w:rPr>
        <w:t xml:space="preserve"> jakim </w:t>
      </w:r>
      <w:r w:rsidR="005952B5">
        <w:rPr>
          <w:rStyle w:val="sfbbfee58"/>
          <w:rFonts w:asciiTheme="minorHAnsi" w:eastAsiaTheme="majorEastAsia" w:hAnsiTheme="minorHAnsi"/>
          <w:sz w:val="22"/>
          <w:lang w:val="pl-PL"/>
        </w:rPr>
        <w:t xml:space="preserve">było </w:t>
      </w:r>
      <w:r w:rsidRPr="00F6293B">
        <w:rPr>
          <w:rStyle w:val="sfbbfee58"/>
          <w:rFonts w:asciiTheme="minorHAnsi" w:eastAsiaTheme="majorEastAsia" w:hAnsiTheme="minorHAnsi"/>
          <w:sz w:val="22"/>
          <w:lang w:val="pl-PL"/>
        </w:rPr>
        <w:t xml:space="preserve">zmniejszanie wydatków publicznych. </w:t>
      </w:r>
      <w:r w:rsidRPr="00BF3F92">
        <w:rPr>
          <w:rStyle w:val="sfbbfee58"/>
          <w:rFonts w:asciiTheme="minorHAnsi" w:eastAsiaTheme="majorEastAsia" w:hAnsiTheme="minorHAnsi"/>
          <w:sz w:val="22"/>
          <w:lang w:val="pl-PL"/>
        </w:rPr>
        <w:t xml:space="preserve">Dopatrzył się, że doszło do </w:t>
      </w:r>
      <w:r w:rsidR="00BF3F92">
        <w:rPr>
          <w:rStyle w:val="sfbbfee58"/>
          <w:rFonts w:asciiTheme="minorHAnsi" w:eastAsiaTheme="majorEastAsia" w:hAnsiTheme="minorHAnsi"/>
          <w:sz w:val="22"/>
          <w:lang w:val="pl-PL"/>
        </w:rPr>
        <w:t>różnego</w:t>
      </w:r>
      <w:r w:rsidRPr="00BF3F92">
        <w:rPr>
          <w:rStyle w:val="sfbbfee58"/>
          <w:rFonts w:asciiTheme="minorHAnsi" w:eastAsiaTheme="majorEastAsia" w:hAnsiTheme="minorHAnsi"/>
          <w:sz w:val="22"/>
          <w:lang w:val="pl-PL"/>
        </w:rPr>
        <w:t xml:space="preserve"> traktowania</w:t>
      </w:r>
      <w:r w:rsidR="00BF3F92">
        <w:rPr>
          <w:rStyle w:val="sfbbfee58"/>
          <w:rFonts w:asciiTheme="minorHAnsi" w:eastAsiaTheme="majorEastAsia" w:hAnsiTheme="minorHAnsi"/>
          <w:sz w:val="22"/>
          <w:lang w:val="pl-PL"/>
        </w:rPr>
        <w:t xml:space="preserve"> w dwóch wymiarach</w:t>
      </w:r>
      <w:r w:rsidRPr="00BF3F92">
        <w:rPr>
          <w:rStyle w:val="sfbbfee58"/>
          <w:rFonts w:asciiTheme="minorHAnsi" w:eastAsiaTheme="majorEastAsia" w:hAnsiTheme="minorHAnsi"/>
          <w:sz w:val="22"/>
          <w:lang w:val="pl-PL"/>
        </w:rPr>
        <w:t xml:space="preserve">: po pierwsze między pracownikami sektora publicznego oraz </w:t>
      </w:r>
      <w:r w:rsidR="00BF3F92">
        <w:rPr>
          <w:rStyle w:val="sfbbfee58"/>
          <w:rFonts w:asciiTheme="minorHAnsi" w:eastAsiaTheme="majorEastAsia" w:hAnsiTheme="minorHAnsi"/>
          <w:sz w:val="22"/>
          <w:lang w:val="pl-PL"/>
        </w:rPr>
        <w:t>po drugie,</w:t>
      </w:r>
      <w:r w:rsidRPr="00BF3F92">
        <w:rPr>
          <w:rStyle w:val="sfbbfee58"/>
          <w:rFonts w:asciiTheme="minorHAnsi" w:eastAsiaTheme="majorEastAsia" w:hAnsiTheme="minorHAnsi"/>
          <w:sz w:val="22"/>
          <w:lang w:val="pl-PL"/>
        </w:rPr>
        <w:t xml:space="preserve"> między osobami zatrudnionymi w sektorze publicznym i prywatnym. </w:t>
      </w:r>
    </w:p>
    <w:p w:rsidR="001E76BD" w:rsidRDefault="006A5467" w:rsidP="006A5467">
      <w:pPr>
        <w:pStyle w:val="s6c429373"/>
        <w:spacing w:before="0" w:beforeAutospacing="0" w:after="120" w:afterAutospacing="0"/>
        <w:jc w:val="both"/>
        <w:rPr>
          <w:rStyle w:val="sfbbfee58"/>
          <w:rFonts w:asciiTheme="minorHAnsi" w:eastAsiaTheme="majorEastAsia" w:hAnsiTheme="minorHAnsi"/>
          <w:sz w:val="22"/>
          <w:lang w:val="pl-PL"/>
        </w:rPr>
      </w:pPr>
      <w:r w:rsidRPr="00BF3F92">
        <w:rPr>
          <w:rStyle w:val="sfbbfee58"/>
          <w:rFonts w:asciiTheme="minorHAnsi" w:eastAsiaTheme="majorEastAsia" w:hAnsiTheme="minorHAnsi"/>
          <w:sz w:val="22"/>
          <w:lang w:val="pl-PL"/>
        </w:rPr>
        <w:t xml:space="preserve">W odniesieniu do różnego traktowania osób zatrudnionych w sektorze publicznym Trybunał </w:t>
      </w:r>
      <w:r w:rsidR="006157B1">
        <w:rPr>
          <w:rStyle w:val="sfbbfee58"/>
          <w:rFonts w:asciiTheme="minorHAnsi" w:eastAsiaTheme="majorEastAsia" w:hAnsiTheme="minorHAnsi"/>
          <w:sz w:val="22"/>
          <w:lang w:val="pl-PL"/>
        </w:rPr>
        <w:t xml:space="preserve">uznał, że brak jest argumentów uzasadniających ograniczenie zakresu zastosowania zmian ustawowych </w:t>
      </w:r>
      <w:r w:rsidR="00CB544E">
        <w:rPr>
          <w:rStyle w:val="sfbbfee58"/>
          <w:rFonts w:asciiTheme="minorHAnsi" w:eastAsiaTheme="majorEastAsia" w:hAnsiTheme="minorHAnsi"/>
          <w:sz w:val="22"/>
          <w:lang w:val="pl-PL"/>
        </w:rPr>
        <w:t xml:space="preserve">do </w:t>
      </w:r>
      <w:r w:rsidR="006157B1">
        <w:rPr>
          <w:rStyle w:val="sfbbfee58"/>
          <w:rFonts w:asciiTheme="minorHAnsi" w:eastAsiaTheme="majorEastAsia" w:hAnsiTheme="minorHAnsi"/>
          <w:sz w:val="22"/>
          <w:lang w:val="pl-PL"/>
        </w:rPr>
        <w:lastRenderedPageBreak/>
        <w:t xml:space="preserve">niektórych </w:t>
      </w:r>
      <w:r w:rsidR="00320E70">
        <w:rPr>
          <w:rStyle w:val="sfbbfee58"/>
          <w:rFonts w:asciiTheme="minorHAnsi" w:eastAsiaTheme="majorEastAsia" w:hAnsiTheme="minorHAnsi"/>
          <w:sz w:val="22"/>
          <w:lang w:val="pl-PL"/>
        </w:rPr>
        <w:t xml:space="preserve">tylko, </w:t>
      </w:r>
      <w:r w:rsidR="006157B1">
        <w:rPr>
          <w:rStyle w:val="sfbbfee58"/>
          <w:rFonts w:asciiTheme="minorHAnsi" w:eastAsiaTheme="majorEastAsia" w:hAnsiTheme="minorHAnsi"/>
          <w:sz w:val="22"/>
          <w:lang w:val="pl-PL"/>
        </w:rPr>
        <w:t xml:space="preserve">wymienionych </w:t>
      </w:r>
      <w:r w:rsidR="005952B5">
        <w:rPr>
          <w:rStyle w:val="sfbbfee58"/>
          <w:rFonts w:asciiTheme="minorHAnsi" w:eastAsiaTheme="majorEastAsia" w:hAnsiTheme="minorHAnsi"/>
          <w:sz w:val="22"/>
          <w:lang w:val="pl-PL"/>
        </w:rPr>
        <w:t>w ustawie</w:t>
      </w:r>
      <w:r w:rsidR="002E5765">
        <w:rPr>
          <w:rStyle w:val="sfbbfee58"/>
          <w:rFonts w:asciiTheme="minorHAnsi" w:eastAsiaTheme="majorEastAsia" w:hAnsiTheme="minorHAnsi"/>
          <w:sz w:val="22"/>
          <w:lang w:val="pl-PL"/>
        </w:rPr>
        <w:t>,</w:t>
      </w:r>
      <w:r w:rsidR="005952B5">
        <w:rPr>
          <w:rStyle w:val="sfbbfee58"/>
          <w:rFonts w:asciiTheme="minorHAnsi" w:eastAsiaTheme="majorEastAsia" w:hAnsiTheme="minorHAnsi"/>
          <w:sz w:val="22"/>
          <w:lang w:val="pl-PL"/>
        </w:rPr>
        <w:t xml:space="preserve"> </w:t>
      </w:r>
      <w:r w:rsidR="006157B1">
        <w:rPr>
          <w:rStyle w:val="sfbbfee58"/>
          <w:rFonts w:asciiTheme="minorHAnsi" w:eastAsiaTheme="majorEastAsia" w:hAnsiTheme="minorHAnsi"/>
          <w:sz w:val="22"/>
          <w:lang w:val="pl-PL"/>
        </w:rPr>
        <w:t xml:space="preserve">kategorii pracowników publicznych zamiast objęcia </w:t>
      </w:r>
      <w:r w:rsidR="005952B5">
        <w:rPr>
          <w:rStyle w:val="sfbbfee58"/>
          <w:rFonts w:asciiTheme="minorHAnsi" w:eastAsiaTheme="majorEastAsia" w:hAnsiTheme="minorHAnsi"/>
          <w:sz w:val="22"/>
          <w:lang w:val="pl-PL"/>
        </w:rPr>
        <w:t xml:space="preserve">nim </w:t>
      </w:r>
      <w:r w:rsidR="006157B1">
        <w:rPr>
          <w:rStyle w:val="sfbbfee58"/>
          <w:rFonts w:asciiTheme="minorHAnsi" w:eastAsiaTheme="majorEastAsia" w:hAnsiTheme="minorHAnsi"/>
          <w:sz w:val="22"/>
          <w:lang w:val="pl-PL"/>
        </w:rPr>
        <w:t>wszystkich pracowników publicznych (</w:t>
      </w:r>
      <w:r w:rsidR="003A2E95">
        <w:rPr>
          <w:rStyle w:val="sfbbfee58"/>
          <w:rFonts w:asciiTheme="minorHAnsi" w:eastAsiaTheme="majorEastAsia" w:hAnsiTheme="minorHAnsi"/>
          <w:sz w:val="22"/>
          <w:lang w:val="pl-PL"/>
        </w:rPr>
        <w:t xml:space="preserve">w tym </w:t>
      </w:r>
      <w:r w:rsidR="00CB544E">
        <w:rPr>
          <w:rStyle w:val="sfbbfee58"/>
          <w:rFonts w:asciiTheme="minorHAnsi" w:eastAsiaTheme="majorEastAsia" w:hAnsiTheme="minorHAnsi"/>
          <w:sz w:val="22"/>
          <w:lang w:val="pl-PL"/>
        </w:rPr>
        <w:t>pobierających</w:t>
      </w:r>
      <w:r w:rsidR="005952B5">
        <w:rPr>
          <w:rStyle w:val="sfbbfee58"/>
          <w:rFonts w:asciiTheme="minorHAnsi" w:eastAsiaTheme="majorEastAsia" w:hAnsiTheme="minorHAnsi"/>
          <w:sz w:val="22"/>
          <w:lang w:val="pl-PL"/>
        </w:rPr>
        <w:t xml:space="preserve"> emeryturę a </w:t>
      </w:r>
      <w:r w:rsidR="00CB544E">
        <w:rPr>
          <w:rStyle w:val="sfbbfee58"/>
          <w:rFonts w:asciiTheme="minorHAnsi" w:eastAsiaTheme="majorEastAsia" w:hAnsiTheme="minorHAnsi"/>
          <w:sz w:val="22"/>
          <w:lang w:val="pl-PL"/>
        </w:rPr>
        <w:t>podejmujących</w:t>
      </w:r>
      <w:r w:rsidR="003A2E95">
        <w:rPr>
          <w:rStyle w:val="sfbbfee58"/>
          <w:rFonts w:asciiTheme="minorHAnsi" w:eastAsiaTheme="majorEastAsia" w:hAnsiTheme="minorHAnsi"/>
          <w:sz w:val="22"/>
          <w:lang w:val="pl-PL"/>
        </w:rPr>
        <w:t xml:space="preserve"> pracę jako burmistrz</w:t>
      </w:r>
      <w:r w:rsidR="006157B1">
        <w:rPr>
          <w:rStyle w:val="sfbbfee58"/>
          <w:rFonts w:asciiTheme="minorHAnsi" w:eastAsiaTheme="majorEastAsia" w:hAnsiTheme="minorHAnsi"/>
          <w:sz w:val="22"/>
          <w:lang w:val="pl-PL"/>
        </w:rPr>
        <w:t xml:space="preserve"> lub minist</w:t>
      </w:r>
      <w:r w:rsidR="003A2E95">
        <w:rPr>
          <w:rStyle w:val="sfbbfee58"/>
          <w:rFonts w:asciiTheme="minorHAnsi" w:eastAsiaTheme="majorEastAsia" w:hAnsiTheme="minorHAnsi"/>
          <w:sz w:val="22"/>
          <w:lang w:val="pl-PL"/>
        </w:rPr>
        <w:t>er</w:t>
      </w:r>
      <w:r w:rsidR="006157B1">
        <w:rPr>
          <w:rStyle w:val="sfbbfee58"/>
          <w:rFonts w:asciiTheme="minorHAnsi" w:eastAsiaTheme="majorEastAsia" w:hAnsiTheme="minorHAnsi"/>
          <w:sz w:val="22"/>
          <w:lang w:val="pl-PL"/>
        </w:rPr>
        <w:t xml:space="preserve">). Z </w:t>
      </w:r>
      <w:r w:rsidRPr="00BF3F92">
        <w:rPr>
          <w:rStyle w:val="sfbbfee58"/>
          <w:rFonts w:asciiTheme="minorHAnsi" w:eastAsiaTheme="majorEastAsia" w:hAnsiTheme="minorHAnsi"/>
          <w:sz w:val="22"/>
          <w:lang w:val="pl-PL"/>
        </w:rPr>
        <w:t xml:space="preserve">punktu widzenia celu, jakim miało być obniżenie wydatków </w:t>
      </w:r>
      <w:r w:rsidR="006157B1">
        <w:rPr>
          <w:rStyle w:val="sfbbfee58"/>
          <w:rFonts w:asciiTheme="minorHAnsi" w:eastAsiaTheme="majorEastAsia" w:hAnsiTheme="minorHAnsi"/>
          <w:sz w:val="22"/>
          <w:lang w:val="pl-PL"/>
        </w:rPr>
        <w:t>publicznych, Trybunał nie dostrzegł żadnego uzasadnienia dla różn</w:t>
      </w:r>
      <w:r w:rsidR="001E76BD">
        <w:rPr>
          <w:rStyle w:val="sfbbfee58"/>
          <w:rFonts w:asciiTheme="minorHAnsi" w:eastAsiaTheme="majorEastAsia" w:hAnsiTheme="minorHAnsi"/>
          <w:sz w:val="22"/>
          <w:lang w:val="pl-PL"/>
        </w:rPr>
        <w:t xml:space="preserve">ego traktowania w tym względzie. </w:t>
      </w:r>
      <w:r w:rsidRPr="006157B1">
        <w:rPr>
          <w:rStyle w:val="sfbbfee58"/>
          <w:rFonts w:asciiTheme="minorHAnsi" w:eastAsiaTheme="majorEastAsia" w:hAnsiTheme="minorHAnsi"/>
          <w:sz w:val="22"/>
          <w:lang w:val="pl-PL"/>
        </w:rPr>
        <w:t>Uznał, że osoby zatrudnione w sektorze publicznym, a zwolnione ze wspomnianego ograniczenia, znajdowały się w sytuacji an</w:t>
      </w:r>
      <w:r w:rsidR="003A2E95">
        <w:rPr>
          <w:rStyle w:val="sfbbfee58"/>
          <w:rFonts w:asciiTheme="minorHAnsi" w:eastAsiaTheme="majorEastAsia" w:hAnsiTheme="minorHAnsi"/>
          <w:sz w:val="22"/>
          <w:lang w:val="pl-PL"/>
        </w:rPr>
        <w:t>alogicznej do sytuacji skarżącego</w:t>
      </w:r>
      <w:r w:rsidRPr="006157B1">
        <w:rPr>
          <w:rStyle w:val="sfbbfee58"/>
          <w:rFonts w:asciiTheme="minorHAnsi" w:eastAsiaTheme="majorEastAsia" w:hAnsiTheme="minorHAnsi"/>
          <w:sz w:val="22"/>
          <w:lang w:val="pl-PL"/>
        </w:rPr>
        <w:t xml:space="preserve">. </w:t>
      </w:r>
    </w:p>
    <w:p w:rsidR="005952B5" w:rsidRDefault="006A5467" w:rsidP="006A5467">
      <w:pPr>
        <w:pStyle w:val="s6c429373"/>
        <w:spacing w:before="0" w:beforeAutospacing="0" w:after="120" w:afterAutospacing="0"/>
        <w:jc w:val="both"/>
        <w:rPr>
          <w:rStyle w:val="sfbbfee58"/>
          <w:rFonts w:asciiTheme="minorHAnsi" w:eastAsiaTheme="majorEastAsia" w:hAnsiTheme="minorHAnsi"/>
          <w:sz w:val="22"/>
          <w:lang w:val="pl-PL"/>
        </w:rPr>
      </w:pPr>
      <w:r w:rsidRPr="001E76BD">
        <w:rPr>
          <w:rStyle w:val="sfbbfee58"/>
          <w:rFonts w:asciiTheme="minorHAnsi" w:eastAsiaTheme="majorEastAsia" w:hAnsiTheme="minorHAnsi"/>
          <w:sz w:val="22"/>
          <w:lang w:val="pl-PL"/>
        </w:rPr>
        <w:t xml:space="preserve">W odniesieniu do różnego traktowania między sektorem prywatnym a publicznym, </w:t>
      </w:r>
      <w:r w:rsidR="003A2E95">
        <w:rPr>
          <w:rStyle w:val="sfbbfee58"/>
          <w:rFonts w:asciiTheme="minorHAnsi" w:eastAsiaTheme="majorEastAsia" w:hAnsiTheme="minorHAnsi"/>
          <w:sz w:val="22"/>
          <w:lang w:val="pl-PL"/>
        </w:rPr>
        <w:t>rząd twierdził, że celem zmian ustawowych było wyel</w:t>
      </w:r>
      <w:r w:rsidR="005952B5">
        <w:rPr>
          <w:rStyle w:val="sfbbfee58"/>
          <w:rFonts w:asciiTheme="minorHAnsi" w:eastAsiaTheme="majorEastAsia" w:hAnsiTheme="minorHAnsi"/>
          <w:sz w:val="22"/>
          <w:lang w:val="pl-PL"/>
        </w:rPr>
        <w:t xml:space="preserve">iminowanie </w:t>
      </w:r>
      <w:r w:rsidR="00CB544E">
        <w:rPr>
          <w:rStyle w:val="sfbbfee58"/>
          <w:rFonts w:asciiTheme="minorHAnsi" w:eastAsiaTheme="majorEastAsia" w:hAnsiTheme="minorHAnsi"/>
          <w:sz w:val="22"/>
          <w:lang w:val="pl-PL"/>
        </w:rPr>
        <w:t xml:space="preserve">nieprawidłowości </w:t>
      </w:r>
      <w:r w:rsidR="005952B5">
        <w:rPr>
          <w:rStyle w:val="sfbbfee58"/>
          <w:rFonts w:asciiTheme="minorHAnsi" w:eastAsiaTheme="majorEastAsia" w:hAnsiTheme="minorHAnsi"/>
          <w:sz w:val="22"/>
          <w:lang w:val="pl-PL"/>
        </w:rPr>
        <w:t>polegającej</w:t>
      </w:r>
      <w:r w:rsidR="003A2E95">
        <w:rPr>
          <w:rStyle w:val="sfbbfee58"/>
          <w:rFonts w:asciiTheme="minorHAnsi" w:eastAsiaTheme="majorEastAsia" w:hAnsiTheme="minorHAnsi"/>
          <w:sz w:val="22"/>
          <w:lang w:val="pl-PL"/>
        </w:rPr>
        <w:t xml:space="preserve"> na tym, że jedna osob</w:t>
      </w:r>
      <w:r w:rsidR="005952B5">
        <w:rPr>
          <w:rStyle w:val="sfbbfee58"/>
          <w:rFonts w:asciiTheme="minorHAnsi" w:eastAsiaTheme="majorEastAsia" w:hAnsiTheme="minorHAnsi"/>
          <w:sz w:val="22"/>
          <w:lang w:val="pl-PL"/>
        </w:rPr>
        <w:t>a mogła dysponować</w:t>
      </w:r>
      <w:r w:rsidR="003A2E95">
        <w:rPr>
          <w:rStyle w:val="sfbbfee58"/>
          <w:rFonts w:asciiTheme="minorHAnsi" w:eastAsiaTheme="majorEastAsia" w:hAnsiTheme="minorHAnsi"/>
          <w:sz w:val="22"/>
          <w:lang w:val="pl-PL"/>
        </w:rPr>
        <w:t xml:space="preserve"> prawem do dwóch źródeł dochodu wypłacanych ze środków publicznych</w:t>
      </w:r>
      <w:r w:rsidR="006F7D60">
        <w:rPr>
          <w:rStyle w:val="sfbbfee58"/>
          <w:rFonts w:asciiTheme="minorHAnsi" w:eastAsiaTheme="majorEastAsia" w:hAnsiTheme="minorHAnsi"/>
          <w:sz w:val="22"/>
          <w:lang w:val="pl-PL"/>
        </w:rPr>
        <w:t xml:space="preserve"> </w:t>
      </w:r>
      <w:r w:rsidR="003A2E95">
        <w:rPr>
          <w:rStyle w:val="sfbbfee58"/>
          <w:rFonts w:asciiTheme="minorHAnsi" w:eastAsiaTheme="majorEastAsia" w:hAnsiTheme="minorHAnsi"/>
          <w:sz w:val="22"/>
          <w:lang w:val="pl-PL"/>
        </w:rPr>
        <w:t>(emerytury i wynagrodzenia)</w:t>
      </w:r>
      <w:r w:rsidR="005952B5">
        <w:rPr>
          <w:rStyle w:val="sfbbfee58"/>
          <w:rFonts w:asciiTheme="minorHAnsi" w:eastAsiaTheme="majorEastAsia" w:hAnsiTheme="minorHAnsi"/>
          <w:sz w:val="22"/>
          <w:lang w:val="pl-PL"/>
        </w:rPr>
        <w:t>.</w:t>
      </w:r>
      <w:r w:rsidR="003A2E95">
        <w:rPr>
          <w:rStyle w:val="sfbbfee58"/>
          <w:rFonts w:asciiTheme="minorHAnsi" w:eastAsiaTheme="majorEastAsia" w:hAnsiTheme="minorHAnsi"/>
          <w:sz w:val="22"/>
          <w:lang w:val="pl-PL"/>
        </w:rPr>
        <w:t xml:space="preserve"> </w:t>
      </w:r>
      <w:r w:rsidR="006F7D60">
        <w:rPr>
          <w:rStyle w:val="sfbbfee58"/>
          <w:rFonts w:asciiTheme="minorHAnsi" w:eastAsiaTheme="majorEastAsia" w:hAnsiTheme="minorHAnsi"/>
          <w:sz w:val="22"/>
          <w:lang w:val="pl-PL"/>
        </w:rPr>
        <w:t>Trybunał odrzucił jednak główny argument rządu, że o</w:t>
      </w:r>
      <w:r w:rsidR="003A2E95">
        <w:rPr>
          <w:rStyle w:val="sfbbfee58"/>
          <w:rFonts w:asciiTheme="minorHAnsi" w:eastAsiaTheme="majorEastAsia" w:hAnsiTheme="minorHAnsi"/>
          <w:sz w:val="22"/>
          <w:lang w:val="pl-PL"/>
        </w:rPr>
        <w:t xml:space="preserve">soby, które mają prawo do wynagrodzenia nie potrzebują jego substytutu w postaci emerytury ze środków publicznych. Trybunał uznał, że tego typu argument może być podniesiony </w:t>
      </w:r>
      <w:r w:rsidR="005952B5">
        <w:rPr>
          <w:rStyle w:val="sfbbfee58"/>
          <w:rFonts w:asciiTheme="minorHAnsi" w:eastAsiaTheme="majorEastAsia" w:hAnsiTheme="minorHAnsi"/>
          <w:sz w:val="22"/>
          <w:lang w:val="pl-PL"/>
        </w:rPr>
        <w:t xml:space="preserve">również </w:t>
      </w:r>
      <w:r w:rsidR="003A2E95">
        <w:rPr>
          <w:rStyle w:val="sfbbfee58"/>
          <w:rFonts w:asciiTheme="minorHAnsi" w:eastAsiaTheme="majorEastAsia" w:hAnsiTheme="minorHAnsi"/>
          <w:sz w:val="22"/>
          <w:lang w:val="pl-PL"/>
        </w:rPr>
        <w:t>wobec osób zatrudnionych w sektorze prywatnym</w:t>
      </w:r>
      <w:r w:rsidR="00A078C0">
        <w:rPr>
          <w:rStyle w:val="sfbbfee58"/>
          <w:rFonts w:asciiTheme="minorHAnsi" w:eastAsiaTheme="majorEastAsia" w:hAnsiTheme="minorHAnsi"/>
          <w:sz w:val="22"/>
          <w:lang w:val="pl-PL"/>
        </w:rPr>
        <w:t xml:space="preserve">, gdyż osoby te również </w:t>
      </w:r>
      <w:r w:rsidRPr="001E76BD">
        <w:rPr>
          <w:rStyle w:val="sfbbfee58"/>
          <w:rFonts w:asciiTheme="minorHAnsi" w:eastAsiaTheme="majorEastAsia" w:hAnsiTheme="minorHAnsi"/>
          <w:sz w:val="22"/>
          <w:lang w:val="pl-PL"/>
        </w:rPr>
        <w:t>nie potrzebują substytutu wynagrodzenia</w:t>
      </w:r>
      <w:r w:rsidR="00A078C0">
        <w:rPr>
          <w:rStyle w:val="sfbbfee58"/>
          <w:rFonts w:asciiTheme="minorHAnsi" w:eastAsiaTheme="majorEastAsia" w:hAnsiTheme="minorHAnsi"/>
          <w:sz w:val="22"/>
          <w:lang w:val="pl-PL"/>
        </w:rPr>
        <w:t xml:space="preserve"> </w:t>
      </w:r>
      <w:r w:rsidRPr="001E76BD">
        <w:rPr>
          <w:rStyle w:val="sfbbfee58"/>
          <w:rFonts w:asciiTheme="minorHAnsi" w:eastAsiaTheme="majorEastAsia" w:hAnsiTheme="minorHAnsi"/>
          <w:sz w:val="22"/>
          <w:lang w:val="pl-PL"/>
        </w:rPr>
        <w:t>–</w:t>
      </w:r>
      <w:r w:rsidR="00CB544E">
        <w:rPr>
          <w:rStyle w:val="sfbbfee58"/>
          <w:rFonts w:asciiTheme="minorHAnsi" w:eastAsiaTheme="majorEastAsia" w:hAnsiTheme="minorHAnsi"/>
          <w:sz w:val="22"/>
          <w:lang w:val="pl-PL"/>
        </w:rPr>
        <w:t xml:space="preserve"> </w:t>
      </w:r>
      <w:r w:rsidR="005952B5">
        <w:rPr>
          <w:rStyle w:val="sfbbfee58"/>
          <w:rFonts w:asciiTheme="minorHAnsi" w:eastAsiaTheme="majorEastAsia" w:hAnsiTheme="minorHAnsi"/>
          <w:sz w:val="22"/>
          <w:lang w:val="pl-PL"/>
        </w:rPr>
        <w:t xml:space="preserve">wobec tych osób </w:t>
      </w:r>
      <w:r w:rsidRPr="001E76BD">
        <w:rPr>
          <w:rStyle w:val="sfbbfee58"/>
          <w:rFonts w:asciiTheme="minorHAnsi" w:eastAsiaTheme="majorEastAsia" w:hAnsiTheme="minorHAnsi"/>
          <w:sz w:val="22"/>
          <w:lang w:val="pl-PL"/>
        </w:rPr>
        <w:t xml:space="preserve">wypłata emerytur mogłaby </w:t>
      </w:r>
      <w:r w:rsidR="00CB544E">
        <w:rPr>
          <w:rStyle w:val="sfbbfee58"/>
          <w:rFonts w:asciiTheme="minorHAnsi" w:eastAsiaTheme="majorEastAsia" w:hAnsiTheme="minorHAnsi"/>
          <w:sz w:val="22"/>
          <w:lang w:val="pl-PL"/>
        </w:rPr>
        <w:t xml:space="preserve">również </w:t>
      </w:r>
      <w:r w:rsidRPr="001E76BD">
        <w:rPr>
          <w:rStyle w:val="sfbbfee58"/>
          <w:rFonts w:asciiTheme="minorHAnsi" w:eastAsiaTheme="majorEastAsia" w:hAnsiTheme="minorHAnsi"/>
          <w:sz w:val="22"/>
          <w:lang w:val="pl-PL"/>
        </w:rPr>
        <w:t>zostać uzna</w:t>
      </w:r>
      <w:r w:rsidR="00CB544E">
        <w:rPr>
          <w:rStyle w:val="sfbbfee58"/>
          <w:rFonts w:asciiTheme="minorHAnsi" w:eastAsiaTheme="majorEastAsia" w:hAnsiTheme="minorHAnsi"/>
          <w:sz w:val="22"/>
          <w:lang w:val="pl-PL"/>
        </w:rPr>
        <w:t>na za zbędny wydatek publiczny</w:t>
      </w:r>
      <w:r w:rsidRPr="001E76BD">
        <w:rPr>
          <w:rStyle w:val="sfbbfee58"/>
          <w:rFonts w:asciiTheme="minorHAnsi" w:eastAsiaTheme="majorEastAsia" w:hAnsiTheme="minorHAnsi"/>
          <w:sz w:val="22"/>
          <w:lang w:val="pl-PL"/>
        </w:rPr>
        <w:t xml:space="preserve">. </w:t>
      </w:r>
      <w:r w:rsidRPr="00A078C0">
        <w:rPr>
          <w:rStyle w:val="sfbbfee58"/>
          <w:rFonts w:asciiTheme="minorHAnsi" w:eastAsiaTheme="majorEastAsia" w:hAnsiTheme="minorHAnsi"/>
          <w:sz w:val="22"/>
          <w:lang w:val="pl-PL"/>
        </w:rPr>
        <w:t xml:space="preserve">Obie grupy znajdują się </w:t>
      </w:r>
      <w:r w:rsidR="00320E70">
        <w:rPr>
          <w:rStyle w:val="sfbbfee58"/>
          <w:rFonts w:asciiTheme="minorHAnsi" w:eastAsiaTheme="majorEastAsia" w:hAnsiTheme="minorHAnsi"/>
          <w:sz w:val="22"/>
          <w:lang w:val="pl-PL"/>
        </w:rPr>
        <w:t xml:space="preserve">więc </w:t>
      </w:r>
      <w:r w:rsidRPr="00A078C0">
        <w:rPr>
          <w:rStyle w:val="sfbbfee58"/>
          <w:rFonts w:asciiTheme="minorHAnsi" w:eastAsiaTheme="majorEastAsia" w:hAnsiTheme="minorHAnsi"/>
          <w:sz w:val="22"/>
          <w:lang w:val="pl-PL"/>
        </w:rPr>
        <w:t xml:space="preserve">w analogicznej sytuacji. </w:t>
      </w:r>
    </w:p>
    <w:p w:rsidR="006A5467" w:rsidRPr="00B6654A" w:rsidRDefault="006A5467" w:rsidP="006A5467">
      <w:pPr>
        <w:pStyle w:val="s6c429373"/>
        <w:spacing w:before="0" w:beforeAutospacing="0" w:after="120" w:afterAutospacing="0"/>
        <w:jc w:val="both"/>
        <w:rPr>
          <w:rStyle w:val="sfbbfee58"/>
          <w:rFonts w:asciiTheme="minorHAnsi" w:eastAsiaTheme="majorEastAsia" w:hAnsiTheme="minorHAnsi"/>
          <w:sz w:val="22"/>
          <w:szCs w:val="22"/>
          <w:lang w:val="pl-PL"/>
        </w:rPr>
      </w:pPr>
      <w:r w:rsidRPr="00A078C0">
        <w:rPr>
          <w:rStyle w:val="sfbbfee58"/>
          <w:rFonts w:asciiTheme="minorHAnsi" w:eastAsiaTheme="majorEastAsia" w:hAnsiTheme="minorHAnsi"/>
          <w:sz w:val="22"/>
          <w:lang w:val="pl-PL"/>
        </w:rPr>
        <w:t xml:space="preserve">Trybunał uznał, że </w:t>
      </w:r>
      <w:r w:rsidR="00A078C0" w:rsidRPr="00A078C0">
        <w:rPr>
          <w:rStyle w:val="sfbbfee58"/>
          <w:rFonts w:asciiTheme="minorHAnsi" w:eastAsiaTheme="majorEastAsia" w:hAnsiTheme="minorHAnsi"/>
          <w:sz w:val="22"/>
          <w:lang w:val="pl-PL"/>
        </w:rPr>
        <w:t xml:space="preserve">nawet uwzględniając margines oceny przyznany państwom w tym obszarze, </w:t>
      </w:r>
      <w:r w:rsidRPr="00A078C0">
        <w:rPr>
          <w:rStyle w:val="sfbbfee58"/>
          <w:rFonts w:asciiTheme="minorHAnsi" w:eastAsiaTheme="majorEastAsia" w:hAnsiTheme="minorHAnsi"/>
          <w:sz w:val="22"/>
          <w:lang w:val="pl-PL"/>
        </w:rPr>
        <w:t>różne traktowanie w obecnej sprawie nie miało obiektywnego i rozsądnego uzasadnienia, doszło więc do naruszenia zakazu dyskryminacji</w:t>
      </w:r>
      <w:r w:rsidR="00A078C0">
        <w:rPr>
          <w:rStyle w:val="sfbbfee58"/>
          <w:rFonts w:asciiTheme="minorHAnsi" w:eastAsiaTheme="majorEastAsia" w:hAnsiTheme="minorHAnsi"/>
          <w:sz w:val="22"/>
          <w:lang w:val="pl-PL"/>
        </w:rPr>
        <w:t xml:space="preserve"> (art. 14 Konwencji) w związku z prawem do ochrony własności (art. </w:t>
      </w:r>
      <w:r w:rsidR="00A078C0" w:rsidRPr="00A83845">
        <w:rPr>
          <w:rStyle w:val="sfbbfee58"/>
          <w:rFonts w:asciiTheme="minorHAnsi" w:eastAsiaTheme="majorEastAsia" w:hAnsiTheme="minorHAnsi"/>
          <w:sz w:val="22"/>
          <w:szCs w:val="22"/>
          <w:lang w:val="pl-PL"/>
        </w:rPr>
        <w:t>1 Protokołu nr 1).</w:t>
      </w:r>
      <w:r w:rsidRPr="00A83845">
        <w:rPr>
          <w:rStyle w:val="sfbbfee58"/>
          <w:rFonts w:asciiTheme="minorHAnsi" w:eastAsiaTheme="majorEastAsia" w:hAnsiTheme="minorHAnsi"/>
          <w:sz w:val="22"/>
          <w:szCs w:val="22"/>
          <w:lang w:val="pl-PL"/>
        </w:rPr>
        <w:t xml:space="preserve"> </w:t>
      </w:r>
    </w:p>
    <w:p w:rsidR="005147C6" w:rsidRPr="00A078C0" w:rsidRDefault="00A078C0" w:rsidP="005C7BED">
      <w:pPr>
        <w:pStyle w:val="s6c429373"/>
        <w:spacing w:before="0" w:beforeAutospacing="0" w:after="360" w:afterAutospacing="0"/>
        <w:jc w:val="both"/>
        <w:rPr>
          <w:sz w:val="22"/>
          <w:lang w:val="pl-PL" w:eastAsia="pl-PL"/>
        </w:rPr>
      </w:pPr>
      <w:r w:rsidRPr="00C05E20">
        <w:rPr>
          <w:rStyle w:val="sfbbfee58"/>
          <w:rFonts w:asciiTheme="minorHAnsi" w:eastAsiaTheme="majorEastAsia" w:hAnsiTheme="minorHAnsi"/>
          <w:sz w:val="22"/>
          <w:szCs w:val="22"/>
          <w:u w:val="single"/>
          <w:lang w:val="pl-PL"/>
        </w:rPr>
        <w:t xml:space="preserve">Znaczenie wyroku dla Polski </w:t>
      </w:r>
      <w:r w:rsidRPr="00C05E20">
        <w:rPr>
          <w:rStyle w:val="sfbbfee58"/>
          <w:rFonts w:asciiTheme="minorHAnsi" w:eastAsiaTheme="majorEastAsia" w:hAnsiTheme="minorHAnsi"/>
          <w:sz w:val="22"/>
          <w:szCs w:val="22"/>
          <w:lang w:val="pl-PL"/>
        </w:rPr>
        <w:t>– wyrok opiera się na dotychczasowym orzecznictwie Trybunału ws. zakazu dyskryminacji, wskazuje na kryteria mające zastosowanie do oceny naruszenia</w:t>
      </w:r>
      <w:r w:rsidRPr="00A83845">
        <w:rPr>
          <w:sz w:val="22"/>
          <w:szCs w:val="22"/>
          <w:lang w:val="pl-PL" w:eastAsia="pl-PL"/>
        </w:rPr>
        <w:t>.</w:t>
      </w:r>
    </w:p>
    <w:p w:rsidR="004218FB" w:rsidRPr="00800C31" w:rsidRDefault="004218FB" w:rsidP="00E65593">
      <w:pPr>
        <w:pStyle w:val="Nagwek2"/>
        <w:numPr>
          <w:ilvl w:val="0"/>
          <w:numId w:val="1"/>
        </w:numPr>
        <w:spacing w:before="0"/>
      </w:pPr>
      <w:bookmarkStart w:id="13" w:name="_Toc444761955"/>
      <w:proofErr w:type="spellStart"/>
      <w:r w:rsidRPr="00800C31">
        <w:t>Schatschaschwili</w:t>
      </w:r>
      <w:proofErr w:type="spellEnd"/>
      <w:r w:rsidRPr="00800C31">
        <w:t xml:space="preserve"> p</w:t>
      </w:r>
      <w:r w:rsidR="001446CA">
        <w:t>.</w:t>
      </w:r>
      <w:r w:rsidRPr="00800C31">
        <w:t xml:space="preserve"> Niemcom </w:t>
      </w:r>
      <w:r w:rsidR="002F2A9A" w:rsidRPr="00800C31">
        <w:t>(skarga nr 9154/10)</w:t>
      </w:r>
      <w:r w:rsidR="001446CA">
        <w:t>,</w:t>
      </w:r>
      <w:r w:rsidRPr="00800C31">
        <w:t xml:space="preserve"> wyrok Wielkiej Izby z 15</w:t>
      </w:r>
      <w:r w:rsidR="002F2A9A" w:rsidRPr="00800C31">
        <w:t>.12.</w:t>
      </w:r>
      <w:r w:rsidRPr="00800C31">
        <w:t xml:space="preserve"> 2015 r.,</w:t>
      </w:r>
      <w:r w:rsidR="002F2A9A" w:rsidRPr="00800C31">
        <w:t xml:space="preserve"> ostateczny</w:t>
      </w:r>
      <w:bookmarkEnd w:id="13"/>
    </w:p>
    <w:p w:rsidR="004218FB" w:rsidRPr="00800C31" w:rsidRDefault="001624C7" w:rsidP="00E65593">
      <w:pPr>
        <w:keepNext/>
        <w:keepLines/>
        <w:spacing w:after="120" w:line="240" w:lineRule="auto"/>
        <w:jc w:val="both"/>
        <w:outlineLvl w:val="2"/>
        <w:rPr>
          <w:b/>
          <w:color w:val="000000" w:themeColor="text1"/>
          <w:lang w:val="pl-PL"/>
        </w:rPr>
      </w:pPr>
      <w:bookmarkStart w:id="14" w:name="_Toc444761956"/>
      <w:r w:rsidRPr="0029417E">
        <w:rPr>
          <w:b/>
          <w:lang w:val="pl-PL"/>
        </w:rPr>
        <w:t xml:space="preserve">- naruszenie art. 6 ust. 1 </w:t>
      </w:r>
      <w:r w:rsidR="0029417E" w:rsidRPr="0029417E">
        <w:rPr>
          <w:b/>
          <w:lang w:val="pl-PL"/>
        </w:rPr>
        <w:t xml:space="preserve">(prawo do rzetelnego procesu sądowego) </w:t>
      </w:r>
      <w:r w:rsidR="00876A85">
        <w:rPr>
          <w:b/>
          <w:lang w:val="pl-PL"/>
        </w:rPr>
        <w:t>oraz</w:t>
      </w:r>
      <w:r w:rsidRPr="0029417E">
        <w:rPr>
          <w:b/>
          <w:lang w:val="pl-PL"/>
        </w:rPr>
        <w:t xml:space="preserve"> art. 6 ust. 3 </w:t>
      </w:r>
      <w:r w:rsidR="00FB7045" w:rsidRPr="0029417E">
        <w:rPr>
          <w:b/>
          <w:lang w:val="pl-PL"/>
        </w:rPr>
        <w:t xml:space="preserve">lit. </w:t>
      </w:r>
      <w:r w:rsidR="002E5765">
        <w:rPr>
          <w:b/>
          <w:lang w:val="pl-PL"/>
        </w:rPr>
        <w:t>d</w:t>
      </w:r>
      <w:r w:rsidRPr="0029417E">
        <w:rPr>
          <w:b/>
          <w:lang w:val="pl-PL"/>
        </w:rPr>
        <w:t xml:space="preserve"> Konwencji (</w:t>
      </w:r>
      <w:r w:rsidR="0029417E" w:rsidRPr="0029417E">
        <w:rPr>
          <w:b/>
          <w:lang w:val="pl-PL"/>
        </w:rPr>
        <w:t>prawo do przesłuchania</w:t>
      </w:r>
      <w:r w:rsidR="003C1D59">
        <w:rPr>
          <w:b/>
          <w:lang w:val="pl-PL"/>
        </w:rPr>
        <w:t xml:space="preserve"> lub spowodowania przesłuchania</w:t>
      </w:r>
      <w:r w:rsidR="0029417E" w:rsidRPr="0029417E">
        <w:rPr>
          <w:b/>
          <w:lang w:val="pl-PL"/>
        </w:rPr>
        <w:t xml:space="preserve"> świadków oskarżenia</w:t>
      </w:r>
      <w:r w:rsidRPr="0029417E">
        <w:rPr>
          <w:b/>
          <w:lang w:val="pl-PL"/>
        </w:rPr>
        <w:t xml:space="preserve">) </w:t>
      </w:r>
      <w:r>
        <w:rPr>
          <w:b/>
          <w:color w:val="000000" w:themeColor="text1"/>
          <w:lang w:val="pl-PL"/>
        </w:rPr>
        <w:t>z uwagi na b</w:t>
      </w:r>
      <w:r w:rsidR="004218FB" w:rsidRPr="00800C31">
        <w:rPr>
          <w:b/>
          <w:color w:val="000000" w:themeColor="text1"/>
          <w:lang w:val="pl-PL"/>
        </w:rPr>
        <w:t xml:space="preserve">rak możliwości przesłuchania </w:t>
      </w:r>
      <w:r w:rsidRPr="00800C31">
        <w:rPr>
          <w:b/>
          <w:color w:val="000000" w:themeColor="text1"/>
          <w:lang w:val="pl-PL"/>
        </w:rPr>
        <w:t xml:space="preserve">przez oskarżonego lub jego obrońcę </w:t>
      </w:r>
      <w:r w:rsidR="004218FB" w:rsidRPr="00800C31">
        <w:rPr>
          <w:b/>
          <w:color w:val="000000" w:themeColor="text1"/>
          <w:lang w:val="pl-PL"/>
        </w:rPr>
        <w:t>świadk</w:t>
      </w:r>
      <w:r w:rsidR="00A66E81">
        <w:rPr>
          <w:b/>
          <w:color w:val="000000" w:themeColor="text1"/>
          <w:lang w:val="pl-PL"/>
        </w:rPr>
        <w:t>ów oskarżenia, których</w:t>
      </w:r>
      <w:r w:rsidR="004218FB" w:rsidRPr="00800C31">
        <w:rPr>
          <w:b/>
          <w:color w:val="000000" w:themeColor="text1"/>
          <w:lang w:val="pl-PL"/>
        </w:rPr>
        <w:t xml:space="preserve"> zeznania miały znaczącą wagę dla skazania skarżącego, przy </w:t>
      </w:r>
      <w:r w:rsidR="00F137AF">
        <w:rPr>
          <w:b/>
          <w:color w:val="000000" w:themeColor="text1"/>
          <w:lang w:val="pl-PL"/>
        </w:rPr>
        <w:t xml:space="preserve">jednoczesnym </w:t>
      </w:r>
      <w:r w:rsidR="004218FB" w:rsidRPr="00800C31">
        <w:rPr>
          <w:b/>
          <w:color w:val="000000" w:themeColor="text1"/>
          <w:lang w:val="pl-PL"/>
        </w:rPr>
        <w:t xml:space="preserve">braku </w:t>
      </w:r>
      <w:r w:rsidR="00A66E81">
        <w:rPr>
          <w:b/>
          <w:color w:val="000000" w:themeColor="text1"/>
          <w:lang w:val="pl-PL"/>
        </w:rPr>
        <w:t xml:space="preserve">odpowiednich </w:t>
      </w:r>
      <w:r w:rsidR="004218FB" w:rsidRPr="00800C31">
        <w:rPr>
          <w:b/>
          <w:color w:val="000000" w:themeColor="text1"/>
          <w:lang w:val="pl-PL"/>
        </w:rPr>
        <w:t>gwarancji równoważących ograniczeni</w:t>
      </w:r>
      <w:r w:rsidR="00C37D41">
        <w:rPr>
          <w:b/>
          <w:color w:val="000000" w:themeColor="text1"/>
          <w:lang w:val="pl-PL"/>
        </w:rPr>
        <w:t>e</w:t>
      </w:r>
      <w:r w:rsidR="004218FB" w:rsidRPr="00800C31">
        <w:rPr>
          <w:b/>
          <w:color w:val="000000" w:themeColor="text1"/>
          <w:lang w:val="pl-PL"/>
        </w:rPr>
        <w:t xml:space="preserve"> prawa do obrony</w:t>
      </w:r>
      <w:r w:rsidR="006B7F92">
        <w:rPr>
          <w:b/>
          <w:color w:val="000000" w:themeColor="text1"/>
          <w:lang w:val="pl-PL"/>
        </w:rPr>
        <w:t xml:space="preserve">, w szczególności </w:t>
      </w:r>
      <w:r w:rsidR="00CB544E">
        <w:rPr>
          <w:b/>
          <w:color w:val="000000" w:themeColor="text1"/>
          <w:lang w:val="pl-PL"/>
        </w:rPr>
        <w:t>niepodjęciu</w:t>
      </w:r>
      <w:r w:rsidR="006B7F92">
        <w:rPr>
          <w:b/>
          <w:color w:val="000000" w:themeColor="text1"/>
          <w:lang w:val="pl-PL"/>
        </w:rPr>
        <w:t xml:space="preserve"> stosownych działań </w:t>
      </w:r>
      <w:r w:rsidR="00FC5554">
        <w:rPr>
          <w:b/>
          <w:color w:val="000000" w:themeColor="text1"/>
          <w:lang w:val="pl-PL"/>
        </w:rPr>
        <w:t>chroniących</w:t>
      </w:r>
      <w:r w:rsidR="006B7F92">
        <w:rPr>
          <w:b/>
          <w:color w:val="000000" w:themeColor="text1"/>
          <w:lang w:val="pl-PL"/>
        </w:rPr>
        <w:t xml:space="preserve"> prawa skarżącego na etapie postępowania przygotowawczego, kiedy przesłuchiwano świadków</w:t>
      </w:r>
      <w:bookmarkEnd w:id="14"/>
      <w:r w:rsidR="006B7F92">
        <w:rPr>
          <w:b/>
          <w:color w:val="000000" w:themeColor="text1"/>
          <w:lang w:val="pl-PL"/>
        </w:rPr>
        <w:t xml:space="preserve"> </w:t>
      </w:r>
    </w:p>
    <w:p w:rsidR="00E65593" w:rsidRPr="001A7A86" w:rsidRDefault="00E65593" w:rsidP="00E65593">
      <w:pPr>
        <w:spacing w:after="120"/>
        <w:jc w:val="both"/>
        <w:rPr>
          <w:rFonts w:eastAsia="Times New Roman Bold" w:cs="Times New Roman"/>
          <w:color w:val="222222"/>
          <w:szCs w:val="24"/>
          <w:u w:val="single" w:color="222222"/>
          <w:lang w:val="pl-PL"/>
        </w:rPr>
      </w:pPr>
      <w:r w:rsidRPr="001A7A86">
        <w:rPr>
          <w:rFonts w:cs="Times New Roman"/>
          <w:color w:val="222222"/>
          <w:szCs w:val="24"/>
          <w:u w:val="single" w:color="222222"/>
          <w:lang w:val="pl-PL"/>
        </w:rPr>
        <w:t>Stan faktyczny</w:t>
      </w:r>
      <w:r w:rsidR="00A66E81" w:rsidRPr="001A7A86">
        <w:rPr>
          <w:rFonts w:cs="Times New Roman"/>
          <w:color w:val="222222"/>
          <w:szCs w:val="24"/>
          <w:u w:val="single" w:color="222222"/>
          <w:lang w:val="pl-PL"/>
        </w:rPr>
        <w:t>,</w:t>
      </w:r>
      <w:r w:rsidRPr="001A7A86">
        <w:rPr>
          <w:rFonts w:cs="Times New Roman"/>
          <w:color w:val="222222"/>
          <w:szCs w:val="24"/>
          <w:u w:val="single" w:color="222222"/>
          <w:lang w:val="pl-PL"/>
        </w:rPr>
        <w:t xml:space="preserve"> zarzuty skarżącego</w:t>
      </w:r>
      <w:r w:rsidR="00A66E81" w:rsidRPr="001A7A86">
        <w:rPr>
          <w:rFonts w:cs="Times New Roman"/>
          <w:color w:val="222222"/>
          <w:szCs w:val="24"/>
          <w:u w:val="single" w:color="222222"/>
          <w:lang w:val="pl-PL"/>
        </w:rPr>
        <w:t>, postępowanie przed Trybunałem</w:t>
      </w:r>
    </w:p>
    <w:p w:rsidR="002D5968" w:rsidRDefault="004218FB" w:rsidP="00E65593">
      <w:pPr>
        <w:spacing w:after="120" w:line="240" w:lineRule="auto"/>
        <w:jc w:val="both"/>
        <w:rPr>
          <w:lang w:val="pl-PL"/>
        </w:rPr>
      </w:pPr>
      <w:r w:rsidRPr="004218FB">
        <w:rPr>
          <w:lang w:val="pl-PL"/>
        </w:rPr>
        <w:t xml:space="preserve">Niemiecki sąd okręgowy skazał skarżącego za przestępstwo kradzieży z włamaniem oraz wymuszenie na </w:t>
      </w:r>
      <w:r w:rsidR="002D5968">
        <w:rPr>
          <w:lang w:val="pl-PL"/>
        </w:rPr>
        <w:t xml:space="preserve">karę </w:t>
      </w:r>
      <w:r w:rsidRPr="004218FB">
        <w:rPr>
          <w:lang w:val="pl-PL"/>
        </w:rPr>
        <w:t>9 i 6 miesięcy pozbawienia wolności. Pokrzywdzonymi oraz jed</w:t>
      </w:r>
      <w:r w:rsidR="00A83845">
        <w:rPr>
          <w:lang w:val="pl-PL"/>
        </w:rPr>
        <w:t>y</w:t>
      </w:r>
      <w:r w:rsidRPr="004218FB">
        <w:rPr>
          <w:lang w:val="pl-PL"/>
        </w:rPr>
        <w:t xml:space="preserve">nymi bezpośrednimi świadkami zdarzenia były </w:t>
      </w:r>
      <w:r w:rsidR="00C37D41">
        <w:rPr>
          <w:lang w:val="pl-PL"/>
        </w:rPr>
        <w:t xml:space="preserve">dwie </w:t>
      </w:r>
      <w:r w:rsidRPr="004218FB">
        <w:rPr>
          <w:lang w:val="pl-PL"/>
        </w:rPr>
        <w:t>obywatelki Łotwy. Pokrzywdzone złożyły zeznania w postępowaniu przygotowawczym</w:t>
      </w:r>
      <w:r w:rsidR="00CB544E">
        <w:rPr>
          <w:lang w:val="pl-PL"/>
        </w:rPr>
        <w:t>.</w:t>
      </w:r>
      <w:r w:rsidRPr="004218FB">
        <w:rPr>
          <w:lang w:val="pl-PL"/>
        </w:rPr>
        <w:t xml:space="preserve"> </w:t>
      </w:r>
      <w:r w:rsidR="00CB544E">
        <w:rPr>
          <w:lang w:val="pl-PL"/>
        </w:rPr>
        <w:t>S</w:t>
      </w:r>
      <w:r w:rsidRPr="004218FB">
        <w:rPr>
          <w:lang w:val="pl-PL"/>
        </w:rPr>
        <w:t xml:space="preserve">karżący nie uczestniczył w </w:t>
      </w:r>
      <w:r w:rsidR="002D5968">
        <w:rPr>
          <w:lang w:val="pl-PL"/>
        </w:rPr>
        <w:t xml:space="preserve">ich </w:t>
      </w:r>
      <w:r w:rsidRPr="004218FB">
        <w:rPr>
          <w:lang w:val="pl-PL"/>
        </w:rPr>
        <w:t xml:space="preserve">przesłuchaniu, nie miał </w:t>
      </w:r>
      <w:r w:rsidR="00C37D41">
        <w:rPr>
          <w:lang w:val="pl-PL"/>
        </w:rPr>
        <w:t xml:space="preserve">wówczas </w:t>
      </w:r>
      <w:r w:rsidRPr="004218FB">
        <w:rPr>
          <w:lang w:val="pl-PL"/>
        </w:rPr>
        <w:t>również obrońcy, który mógłby być obecny w trakcie przesłuchania. Następnie dwie pokrzywdzone wróciły na Łotwę i odmówiły ponownego złożenia zeznań</w:t>
      </w:r>
      <w:r w:rsidR="00A66E81">
        <w:rPr>
          <w:lang w:val="pl-PL"/>
        </w:rPr>
        <w:t>,</w:t>
      </w:r>
      <w:r w:rsidRPr="004218FB">
        <w:rPr>
          <w:lang w:val="pl-PL"/>
        </w:rPr>
        <w:t xml:space="preserve"> uzasadniając to problemami zdrowotnymi z powodu traumy po przestępstwie. Pomimo wielu prób </w:t>
      </w:r>
      <w:r w:rsidR="00C37D41">
        <w:rPr>
          <w:lang w:val="pl-PL"/>
        </w:rPr>
        <w:t xml:space="preserve">podejmowanych przez </w:t>
      </w:r>
      <w:r w:rsidRPr="004218FB">
        <w:rPr>
          <w:lang w:val="pl-PL"/>
        </w:rPr>
        <w:t>sąd</w:t>
      </w:r>
      <w:r w:rsidR="00C37D41">
        <w:rPr>
          <w:lang w:val="pl-PL"/>
        </w:rPr>
        <w:t xml:space="preserve"> niemiecki</w:t>
      </w:r>
      <w:r w:rsidRPr="004218FB">
        <w:rPr>
          <w:lang w:val="pl-PL"/>
        </w:rPr>
        <w:t xml:space="preserve">, ponowne przesłuchanie pokrzywdzonych nie było możliwe. Zeznania dwóch pokrzywdzonych zostały </w:t>
      </w:r>
      <w:r w:rsidR="008876B6">
        <w:rPr>
          <w:lang w:val="pl-PL"/>
        </w:rPr>
        <w:t xml:space="preserve">odczytane na rozprawie i </w:t>
      </w:r>
      <w:r w:rsidRPr="004218FB">
        <w:rPr>
          <w:lang w:val="pl-PL"/>
        </w:rPr>
        <w:t xml:space="preserve">uznane za dowód w sprawie. </w:t>
      </w:r>
    </w:p>
    <w:p w:rsidR="002D5968" w:rsidRDefault="00C37D41" w:rsidP="00E65593">
      <w:pPr>
        <w:spacing w:after="120" w:line="240" w:lineRule="auto"/>
        <w:jc w:val="both"/>
        <w:rPr>
          <w:rFonts w:eastAsia="Times New Roman" w:cs="Times New Roman"/>
          <w:color w:val="222222"/>
          <w:lang w:val="pl-PL" w:eastAsia="pl-PL"/>
        </w:rPr>
      </w:pPr>
      <w:r>
        <w:rPr>
          <w:lang w:val="pl-PL"/>
        </w:rPr>
        <w:t>Skarżący zarzuci</w:t>
      </w:r>
      <w:r w:rsidR="004218FB" w:rsidRPr="004218FB">
        <w:rPr>
          <w:lang w:val="pl-PL"/>
        </w:rPr>
        <w:t xml:space="preserve">ł </w:t>
      </w:r>
      <w:r>
        <w:rPr>
          <w:lang w:val="pl-PL"/>
        </w:rPr>
        <w:t xml:space="preserve">przed Trybunałem </w:t>
      </w:r>
      <w:r w:rsidR="004218FB" w:rsidRPr="004218FB">
        <w:rPr>
          <w:lang w:val="pl-PL"/>
        </w:rPr>
        <w:t>narusze</w:t>
      </w:r>
      <w:r w:rsidR="002D5968">
        <w:rPr>
          <w:lang w:val="pl-PL"/>
        </w:rPr>
        <w:t>nie prawa do rzetelnego procesu</w:t>
      </w:r>
      <w:r w:rsidR="004218FB" w:rsidRPr="004218FB">
        <w:rPr>
          <w:lang w:val="pl-PL"/>
        </w:rPr>
        <w:t xml:space="preserve"> </w:t>
      </w:r>
      <w:r w:rsidR="002D5968">
        <w:rPr>
          <w:lang w:val="pl-PL"/>
        </w:rPr>
        <w:t xml:space="preserve">sądowego </w:t>
      </w:r>
      <w:r w:rsidR="004218FB" w:rsidRPr="004218FB">
        <w:rPr>
          <w:lang w:val="pl-PL"/>
        </w:rPr>
        <w:t xml:space="preserve">w związku z </w:t>
      </w:r>
      <w:r w:rsidR="002D5968">
        <w:rPr>
          <w:lang w:val="pl-PL"/>
        </w:rPr>
        <w:t xml:space="preserve">faktem, że sąd krajowy oparł się </w:t>
      </w:r>
      <w:r w:rsidR="004218FB" w:rsidRPr="004218FB">
        <w:rPr>
          <w:lang w:val="pl-PL"/>
        </w:rPr>
        <w:t xml:space="preserve">w szczególności na zeznaniach dwóch pokrzywdzonych, podczas gdy skarżący nie mógł im zadać pytań </w:t>
      </w:r>
      <w:r w:rsidR="002D5968">
        <w:rPr>
          <w:lang w:val="pl-PL"/>
        </w:rPr>
        <w:t xml:space="preserve">ani </w:t>
      </w:r>
      <w:r w:rsidR="004218FB" w:rsidRPr="004218FB">
        <w:rPr>
          <w:lang w:val="pl-PL"/>
        </w:rPr>
        <w:t>przed</w:t>
      </w:r>
      <w:r w:rsidR="002D5968">
        <w:rPr>
          <w:lang w:val="pl-PL"/>
        </w:rPr>
        <w:t>,</w:t>
      </w:r>
      <w:r w:rsidR="004218FB" w:rsidRPr="004218FB">
        <w:rPr>
          <w:lang w:val="pl-PL"/>
        </w:rPr>
        <w:t xml:space="preserve"> </w:t>
      </w:r>
      <w:r w:rsidR="002D5968">
        <w:rPr>
          <w:lang w:val="pl-PL"/>
        </w:rPr>
        <w:t xml:space="preserve">ani </w:t>
      </w:r>
      <w:r w:rsidR="004218FB" w:rsidRPr="004218FB">
        <w:rPr>
          <w:lang w:val="pl-PL"/>
        </w:rPr>
        <w:t xml:space="preserve">też w trakcie procesu. </w:t>
      </w:r>
      <w:r w:rsidR="004218FB" w:rsidRPr="004218FB">
        <w:rPr>
          <w:rFonts w:eastAsia="Times New Roman" w:cs="Times New Roman"/>
          <w:color w:val="222222"/>
          <w:lang w:val="pl-PL" w:eastAsia="pl-PL"/>
        </w:rPr>
        <w:t xml:space="preserve"> </w:t>
      </w:r>
    </w:p>
    <w:p w:rsidR="004218FB" w:rsidRPr="004218FB" w:rsidRDefault="004218FB" w:rsidP="005C7BED">
      <w:pPr>
        <w:spacing w:after="240" w:line="240" w:lineRule="auto"/>
        <w:jc w:val="both"/>
        <w:rPr>
          <w:rFonts w:eastAsia="Times New Roman" w:cs="Times New Roman"/>
          <w:color w:val="222222"/>
          <w:lang w:val="pl-PL" w:eastAsia="pl-PL"/>
        </w:rPr>
      </w:pPr>
      <w:r w:rsidRPr="004218FB">
        <w:rPr>
          <w:lang w:val="pl-PL"/>
        </w:rPr>
        <w:t xml:space="preserve">W wyroku z 17 kwietnia 2014 r. Izba Trybunału stwierdziła </w:t>
      </w:r>
      <w:r w:rsidR="00A66E81">
        <w:rPr>
          <w:lang w:val="pl-PL"/>
        </w:rPr>
        <w:t>(</w:t>
      </w:r>
      <w:r w:rsidRPr="004218FB">
        <w:rPr>
          <w:lang w:val="pl-PL"/>
        </w:rPr>
        <w:t>5 głosami do 2</w:t>
      </w:r>
      <w:r w:rsidR="00A66E81">
        <w:rPr>
          <w:lang w:val="pl-PL"/>
        </w:rPr>
        <w:t>)</w:t>
      </w:r>
      <w:r w:rsidR="002D5968">
        <w:rPr>
          <w:lang w:val="pl-PL"/>
        </w:rPr>
        <w:t xml:space="preserve"> </w:t>
      </w:r>
      <w:r w:rsidRPr="004218FB">
        <w:rPr>
          <w:lang w:val="pl-PL"/>
        </w:rPr>
        <w:t xml:space="preserve">brak naruszenia prawa skarżącego do rzetelnego procesu </w:t>
      </w:r>
      <w:r w:rsidR="002D5968">
        <w:rPr>
          <w:lang w:val="pl-PL"/>
        </w:rPr>
        <w:t xml:space="preserve">sądowego na gruncie </w:t>
      </w:r>
      <w:r w:rsidRPr="004218FB">
        <w:rPr>
          <w:lang w:val="pl-PL"/>
        </w:rPr>
        <w:t xml:space="preserve">art. </w:t>
      </w:r>
      <w:r w:rsidRPr="004218FB">
        <w:rPr>
          <w:rFonts w:cs="Arial"/>
          <w:color w:val="222222"/>
          <w:lang w:val="pl-PL"/>
        </w:rPr>
        <w:t xml:space="preserve">6 </w:t>
      </w:r>
      <w:r w:rsidR="002D5968">
        <w:rPr>
          <w:rFonts w:cs="Arial"/>
          <w:color w:val="222222"/>
          <w:lang w:val="pl-PL"/>
        </w:rPr>
        <w:t>ust.</w:t>
      </w:r>
      <w:r w:rsidRPr="004218FB">
        <w:rPr>
          <w:rFonts w:cs="Arial"/>
          <w:color w:val="222222"/>
          <w:lang w:val="pl-PL"/>
        </w:rPr>
        <w:t xml:space="preserve"> 1 </w:t>
      </w:r>
      <w:r w:rsidR="00876A85">
        <w:rPr>
          <w:lang w:val="pl-PL"/>
        </w:rPr>
        <w:t>oraz</w:t>
      </w:r>
      <w:r w:rsidRPr="004218FB">
        <w:rPr>
          <w:lang w:val="pl-PL"/>
        </w:rPr>
        <w:t xml:space="preserve"> art. </w:t>
      </w:r>
      <w:r w:rsidR="002D5968">
        <w:rPr>
          <w:rFonts w:cs="Arial"/>
          <w:color w:val="222222"/>
          <w:lang w:val="pl-PL"/>
        </w:rPr>
        <w:t>6 ust.</w:t>
      </w:r>
      <w:r w:rsidRPr="004218FB">
        <w:rPr>
          <w:rFonts w:cs="Arial"/>
          <w:color w:val="222222"/>
          <w:lang w:val="pl-PL"/>
        </w:rPr>
        <w:t xml:space="preserve"> 3</w:t>
      </w:r>
      <w:r w:rsidR="00FB7045">
        <w:rPr>
          <w:rFonts w:cs="Arial"/>
          <w:color w:val="222222"/>
          <w:lang w:val="pl-PL"/>
        </w:rPr>
        <w:t xml:space="preserve"> lit.</w:t>
      </w:r>
      <w:r w:rsidRPr="004218FB">
        <w:rPr>
          <w:rFonts w:cs="Arial"/>
          <w:color w:val="222222"/>
          <w:lang w:val="pl-PL"/>
        </w:rPr>
        <w:t xml:space="preserve"> </w:t>
      </w:r>
      <w:r w:rsidRPr="004218FB">
        <w:rPr>
          <w:lang w:val="pl-PL"/>
        </w:rPr>
        <w:t xml:space="preserve">d Konwencji. W dniu 8 września 2014 r. </w:t>
      </w:r>
      <w:r w:rsidR="00C37D41" w:rsidRPr="004218FB">
        <w:rPr>
          <w:lang w:val="pl-PL"/>
        </w:rPr>
        <w:t xml:space="preserve">na wniosek skarżącego </w:t>
      </w:r>
      <w:r w:rsidRPr="004218FB">
        <w:rPr>
          <w:lang w:val="pl-PL"/>
        </w:rPr>
        <w:t xml:space="preserve">sprawa została </w:t>
      </w:r>
      <w:r w:rsidR="002D5968">
        <w:rPr>
          <w:lang w:val="pl-PL"/>
        </w:rPr>
        <w:t xml:space="preserve">przekazana </w:t>
      </w:r>
      <w:r w:rsidRPr="004218FB">
        <w:rPr>
          <w:lang w:val="pl-PL"/>
        </w:rPr>
        <w:t xml:space="preserve">do rozpatrzenia </w:t>
      </w:r>
      <w:r w:rsidR="002D5968">
        <w:rPr>
          <w:lang w:val="pl-PL"/>
        </w:rPr>
        <w:t>przez Wielką Izbę</w:t>
      </w:r>
      <w:r w:rsidRPr="004218FB">
        <w:rPr>
          <w:lang w:val="pl-PL"/>
        </w:rPr>
        <w:t xml:space="preserve">. </w:t>
      </w:r>
      <w:r w:rsidRPr="004218FB">
        <w:rPr>
          <w:rFonts w:eastAsia="Times New Roman" w:cs="Times New Roman"/>
          <w:color w:val="222222"/>
          <w:lang w:val="pl-PL" w:eastAsia="pl-PL"/>
        </w:rPr>
        <w:t>Wielka Izba nie podzieliła stanowiska Izby i stwierdziła, że doszło do naruszenia.</w:t>
      </w:r>
    </w:p>
    <w:p w:rsidR="004218FB" w:rsidRPr="00E65593" w:rsidRDefault="004218FB" w:rsidP="00E65593">
      <w:pPr>
        <w:spacing w:after="120" w:line="240" w:lineRule="auto"/>
        <w:jc w:val="both"/>
        <w:rPr>
          <w:u w:val="single"/>
          <w:lang w:val="pl-PL"/>
        </w:rPr>
      </w:pPr>
      <w:r w:rsidRPr="00E65593">
        <w:rPr>
          <w:u w:val="single"/>
          <w:lang w:val="pl-PL"/>
        </w:rPr>
        <w:lastRenderedPageBreak/>
        <w:t xml:space="preserve">Rozstrzygnięcie </w:t>
      </w:r>
      <w:r w:rsidR="002D5968">
        <w:rPr>
          <w:u w:val="single"/>
          <w:lang w:val="pl-PL"/>
        </w:rPr>
        <w:t xml:space="preserve">Wielkiej Izby </w:t>
      </w:r>
      <w:r w:rsidRPr="00E65593">
        <w:rPr>
          <w:u w:val="single"/>
          <w:lang w:val="pl-PL"/>
        </w:rPr>
        <w:t>Trybunału</w:t>
      </w:r>
    </w:p>
    <w:p w:rsidR="00165714" w:rsidRDefault="00FB7045" w:rsidP="00E65593">
      <w:pPr>
        <w:spacing w:after="120" w:line="240" w:lineRule="auto"/>
        <w:jc w:val="both"/>
        <w:rPr>
          <w:rFonts w:eastAsia="Times New Roman" w:cs="Times New Roman"/>
          <w:color w:val="222222"/>
          <w:lang w:val="pl-PL" w:eastAsia="pl-PL"/>
        </w:rPr>
      </w:pPr>
      <w:r w:rsidRPr="004218FB">
        <w:rPr>
          <w:rFonts w:cs="Arial"/>
          <w:color w:val="222222"/>
          <w:lang w:val="pl-PL"/>
        </w:rPr>
        <w:t xml:space="preserve">Trybunał zastosował i doprecyzował </w:t>
      </w:r>
      <w:r w:rsidRPr="00012C55">
        <w:rPr>
          <w:rFonts w:cs="Arial"/>
          <w:color w:val="222222"/>
          <w:lang w:val="pl-PL"/>
        </w:rPr>
        <w:t xml:space="preserve">test </w:t>
      </w:r>
      <w:r w:rsidR="00A66E81">
        <w:rPr>
          <w:rFonts w:cs="Arial"/>
          <w:color w:val="222222"/>
          <w:lang w:val="pl-PL"/>
        </w:rPr>
        <w:t>wypracowany</w:t>
      </w:r>
      <w:r w:rsidRPr="00012C55">
        <w:rPr>
          <w:rFonts w:cs="Arial"/>
          <w:color w:val="222222"/>
          <w:lang w:val="pl-PL"/>
        </w:rPr>
        <w:t xml:space="preserve"> w wyroku Wielkiej Izby w sprawie</w:t>
      </w:r>
      <w:r w:rsidRPr="004218FB">
        <w:rPr>
          <w:rFonts w:cs="Arial"/>
          <w:color w:val="222222"/>
          <w:lang w:val="pl-PL"/>
        </w:rPr>
        <w:t xml:space="preserve"> </w:t>
      </w:r>
      <w:r w:rsidRPr="00113395">
        <w:rPr>
          <w:rFonts w:cs="Arial"/>
          <w:i/>
          <w:color w:val="222222"/>
          <w:lang w:val="pl-PL"/>
        </w:rPr>
        <w:t>Al-</w:t>
      </w:r>
      <w:proofErr w:type="spellStart"/>
      <w:r w:rsidRPr="00113395">
        <w:rPr>
          <w:rFonts w:cs="Arial"/>
          <w:i/>
          <w:color w:val="222222"/>
          <w:lang w:val="pl-PL"/>
        </w:rPr>
        <w:t>Khawaja</w:t>
      </w:r>
      <w:proofErr w:type="spellEnd"/>
      <w:r w:rsidRPr="00113395">
        <w:rPr>
          <w:rFonts w:cs="Arial"/>
          <w:i/>
          <w:color w:val="222222"/>
          <w:lang w:val="pl-PL"/>
        </w:rPr>
        <w:t xml:space="preserve"> i </w:t>
      </w:r>
      <w:proofErr w:type="spellStart"/>
      <w:r w:rsidRPr="00113395">
        <w:rPr>
          <w:rFonts w:cs="Arial"/>
          <w:i/>
          <w:color w:val="222222"/>
          <w:lang w:val="pl-PL"/>
        </w:rPr>
        <w:t>Tahery</w:t>
      </w:r>
      <w:proofErr w:type="spellEnd"/>
      <w:r w:rsidRPr="00113395">
        <w:rPr>
          <w:rFonts w:cs="Arial"/>
          <w:i/>
          <w:color w:val="222222"/>
          <w:lang w:val="pl-PL"/>
        </w:rPr>
        <w:t xml:space="preserve"> p. Wielkiej Brytanii</w:t>
      </w:r>
      <w:r w:rsidRPr="004218FB">
        <w:rPr>
          <w:rFonts w:cs="Arial"/>
          <w:color w:val="222222"/>
          <w:lang w:val="pl-PL"/>
        </w:rPr>
        <w:t xml:space="preserve"> (</w:t>
      </w:r>
      <w:r>
        <w:rPr>
          <w:rFonts w:cs="Arial"/>
          <w:color w:val="222222"/>
          <w:lang w:val="pl-PL"/>
        </w:rPr>
        <w:t xml:space="preserve">skargi nr </w:t>
      </w:r>
      <w:r w:rsidRPr="004218FB">
        <w:rPr>
          <w:rFonts w:cs="Arial"/>
          <w:color w:val="222222"/>
          <w:lang w:val="pl-PL"/>
        </w:rPr>
        <w:t xml:space="preserve">26766/05 i 22228/06, </w:t>
      </w:r>
      <w:r>
        <w:rPr>
          <w:rFonts w:cs="Arial"/>
          <w:color w:val="222222"/>
          <w:lang w:val="pl-PL"/>
        </w:rPr>
        <w:t xml:space="preserve">[WI], wyrok </w:t>
      </w:r>
      <w:r w:rsidRPr="004218FB">
        <w:rPr>
          <w:rFonts w:cs="Arial"/>
          <w:color w:val="222222"/>
          <w:lang w:val="pl-PL"/>
        </w:rPr>
        <w:t>z 15 grudnia 2011 r.</w:t>
      </w:r>
      <w:r>
        <w:rPr>
          <w:rFonts w:cs="Arial"/>
          <w:color w:val="222222"/>
          <w:lang w:val="pl-PL"/>
        </w:rPr>
        <w:t xml:space="preserve">) służący do </w:t>
      </w:r>
      <w:r w:rsidR="004218FB" w:rsidRPr="004218FB">
        <w:rPr>
          <w:rFonts w:cs="Arial"/>
          <w:color w:val="222222"/>
          <w:lang w:val="pl-PL"/>
        </w:rPr>
        <w:t xml:space="preserve">oceny, czy </w:t>
      </w:r>
      <w:r w:rsidR="00B960A9">
        <w:rPr>
          <w:rFonts w:cs="Arial"/>
          <w:color w:val="222222"/>
          <w:lang w:val="pl-PL"/>
        </w:rPr>
        <w:t xml:space="preserve">wykorzystanie zeznań </w:t>
      </w:r>
      <w:r>
        <w:rPr>
          <w:rFonts w:cs="Arial"/>
          <w:color w:val="222222"/>
          <w:lang w:val="pl-PL"/>
        </w:rPr>
        <w:t xml:space="preserve">nieobecnego na rozprawie </w:t>
      </w:r>
      <w:r w:rsidR="00B960A9" w:rsidRPr="004218FB">
        <w:rPr>
          <w:rFonts w:cs="Arial"/>
          <w:color w:val="222222"/>
          <w:lang w:val="pl-PL"/>
        </w:rPr>
        <w:t>świadka</w:t>
      </w:r>
      <w:r>
        <w:rPr>
          <w:rFonts w:cs="Arial"/>
          <w:color w:val="222222"/>
          <w:lang w:val="pl-PL"/>
        </w:rPr>
        <w:t>,</w:t>
      </w:r>
      <w:r w:rsidR="00B960A9" w:rsidRPr="004218FB">
        <w:rPr>
          <w:rFonts w:cs="Arial"/>
          <w:color w:val="222222"/>
          <w:lang w:val="pl-PL"/>
        </w:rPr>
        <w:t xml:space="preserve"> </w:t>
      </w:r>
      <w:r>
        <w:rPr>
          <w:rFonts w:cs="Arial"/>
          <w:color w:val="222222"/>
          <w:lang w:val="pl-PL"/>
        </w:rPr>
        <w:t xml:space="preserve">złożonych na wcześniejszym etapie, </w:t>
      </w:r>
      <w:r w:rsidR="00A66E81">
        <w:rPr>
          <w:rFonts w:cs="Arial"/>
          <w:color w:val="222222"/>
          <w:lang w:val="pl-PL"/>
        </w:rPr>
        <w:t>narusza</w:t>
      </w:r>
      <w:r w:rsidR="00B960A9">
        <w:rPr>
          <w:rFonts w:cs="Arial"/>
          <w:color w:val="222222"/>
          <w:lang w:val="pl-PL"/>
        </w:rPr>
        <w:t xml:space="preserve"> ogólną</w:t>
      </w:r>
      <w:r w:rsidR="004218FB" w:rsidRPr="004218FB">
        <w:rPr>
          <w:rFonts w:cs="Arial"/>
          <w:color w:val="222222"/>
          <w:lang w:val="pl-PL"/>
        </w:rPr>
        <w:t xml:space="preserve"> rzetelność procesu skarżącego</w:t>
      </w:r>
      <w:r w:rsidR="00B960A9">
        <w:rPr>
          <w:rFonts w:cs="Arial"/>
          <w:color w:val="222222"/>
          <w:lang w:val="pl-PL"/>
        </w:rPr>
        <w:t xml:space="preserve">. W świetle wymogów wynikających z tego orzeczenia, </w:t>
      </w:r>
      <w:r w:rsidR="00837F6C">
        <w:rPr>
          <w:rFonts w:cs="Arial"/>
          <w:color w:val="222222"/>
          <w:lang w:val="pl-PL"/>
        </w:rPr>
        <w:t xml:space="preserve">przy ocenie, czy </w:t>
      </w:r>
      <w:r w:rsidR="004218FB" w:rsidRPr="004218FB">
        <w:rPr>
          <w:rFonts w:eastAsia="Times New Roman" w:cs="Times New Roman"/>
          <w:color w:val="222222"/>
          <w:lang w:val="pl-PL" w:eastAsia="pl-PL"/>
        </w:rPr>
        <w:t xml:space="preserve">nie doszło do naruszenia </w:t>
      </w:r>
      <w:r w:rsidR="00165714">
        <w:rPr>
          <w:rFonts w:eastAsia="Times New Roman" w:cs="Times New Roman"/>
          <w:color w:val="222222"/>
          <w:lang w:val="pl-PL" w:eastAsia="pl-PL"/>
        </w:rPr>
        <w:t>Konwencji</w:t>
      </w:r>
      <w:r w:rsidR="00837F6C">
        <w:rPr>
          <w:rFonts w:eastAsia="Times New Roman" w:cs="Times New Roman"/>
          <w:color w:val="222222"/>
          <w:lang w:val="pl-PL" w:eastAsia="pl-PL"/>
        </w:rPr>
        <w:t xml:space="preserve">, zbadane muszą </w:t>
      </w:r>
      <w:r w:rsidR="004218FB" w:rsidRPr="004218FB">
        <w:rPr>
          <w:rFonts w:eastAsia="Times New Roman" w:cs="Times New Roman"/>
          <w:color w:val="222222"/>
          <w:lang w:val="pl-PL" w:eastAsia="pl-PL"/>
        </w:rPr>
        <w:t>zosta</w:t>
      </w:r>
      <w:r w:rsidR="00165714">
        <w:rPr>
          <w:rFonts w:eastAsia="Times New Roman" w:cs="Times New Roman"/>
          <w:color w:val="222222"/>
          <w:lang w:val="pl-PL" w:eastAsia="pl-PL"/>
        </w:rPr>
        <w:t xml:space="preserve">ć </w:t>
      </w:r>
      <w:r w:rsidR="00837F6C">
        <w:rPr>
          <w:rFonts w:eastAsia="Times New Roman" w:cs="Times New Roman"/>
          <w:color w:val="222222"/>
          <w:lang w:val="pl-PL" w:eastAsia="pl-PL"/>
        </w:rPr>
        <w:t>następujące kwestie</w:t>
      </w:r>
      <w:r w:rsidR="00165714">
        <w:rPr>
          <w:rFonts w:eastAsia="Times New Roman" w:cs="Times New Roman"/>
          <w:color w:val="222222"/>
          <w:lang w:val="pl-PL" w:eastAsia="pl-PL"/>
        </w:rPr>
        <w:t>:</w:t>
      </w:r>
    </w:p>
    <w:p w:rsidR="00165714" w:rsidRPr="005F3528" w:rsidRDefault="00165714" w:rsidP="00113395">
      <w:pPr>
        <w:pStyle w:val="Akapitzlist"/>
        <w:numPr>
          <w:ilvl w:val="0"/>
          <w:numId w:val="15"/>
        </w:numPr>
        <w:spacing w:after="120" w:line="240" w:lineRule="auto"/>
        <w:jc w:val="both"/>
        <w:rPr>
          <w:rFonts w:eastAsia="Times New Roman" w:cs="Times New Roman"/>
          <w:color w:val="222222"/>
          <w:lang w:val="pl-PL" w:eastAsia="pl-PL"/>
        </w:rPr>
      </w:pPr>
      <w:r w:rsidRPr="00113395">
        <w:rPr>
          <w:lang w:val="pl-PL"/>
        </w:rPr>
        <w:t>p</w:t>
      </w:r>
      <w:r w:rsidR="004218FB" w:rsidRPr="00113395">
        <w:rPr>
          <w:rFonts w:eastAsia="Times New Roman" w:cs="Times New Roman"/>
          <w:color w:val="222222"/>
          <w:lang w:val="pl-PL" w:eastAsia="pl-PL"/>
        </w:rPr>
        <w:t xml:space="preserve">o </w:t>
      </w:r>
      <w:r w:rsidR="004218FB" w:rsidRPr="005F3528">
        <w:rPr>
          <w:rFonts w:eastAsia="Times New Roman" w:cs="Times New Roman"/>
          <w:color w:val="222222"/>
          <w:lang w:val="pl-PL" w:eastAsia="pl-PL"/>
        </w:rPr>
        <w:t xml:space="preserve">pierwsze, </w:t>
      </w:r>
      <w:r w:rsidR="00837F6C">
        <w:rPr>
          <w:rFonts w:eastAsia="Times New Roman" w:cs="Times New Roman"/>
          <w:color w:val="222222"/>
          <w:lang w:val="pl-PL" w:eastAsia="pl-PL"/>
        </w:rPr>
        <w:t>czy istnieje</w:t>
      </w:r>
      <w:r w:rsidR="004218FB" w:rsidRPr="005F3528">
        <w:rPr>
          <w:rFonts w:eastAsia="Times New Roman" w:cs="Times New Roman"/>
          <w:color w:val="222222"/>
          <w:lang w:val="pl-PL" w:eastAsia="pl-PL"/>
        </w:rPr>
        <w:t xml:space="preserve"> uzasadniona przyczyna nieobec</w:t>
      </w:r>
      <w:r w:rsidR="00FB7045" w:rsidRPr="005F3528">
        <w:rPr>
          <w:rFonts w:eastAsia="Times New Roman" w:cs="Times New Roman"/>
          <w:color w:val="222222"/>
          <w:lang w:val="pl-PL" w:eastAsia="pl-PL"/>
        </w:rPr>
        <w:t>ności świadka</w:t>
      </w:r>
      <w:r w:rsidR="00DB4BBC" w:rsidRPr="005F3528">
        <w:rPr>
          <w:rFonts w:eastAsia="Times New Roman" w:cs="Times New Roman"/>
          <w:color w:val="222222"/>
          <w:lang w:val="pl-PL" w:eastAsia="pl-PL"/>
        </w:rPr>
        <w:t xml:space="preserve"> oskarżenia</w:t>
      </w:r>
      <w:r w:rsidR="00FB7045" w:rsidRPr="005F3528">
        <w:rPr>
          <w:rFonts w:eastAsia="Times New Roman" w:cs="Times New Roman"/>
          <w:color w:val="222222"/>
          <w:lang w:val="pl-PL" w:eastAsia="pl-PL"/>
        </w:rPr>
        <w:t>;</w:t>
      </w:r>
    </w:p>
    <w:p w:rsidR="00165714" w:rsidRPr="005F3528" w:rsidRDefault="00165714" w:rsidP="00113395">
      <w:pPr>
        <w:pStyle w:val="Akapitzlist"/>
        <w:numPr>
          <w:ilvl w:val="0"/>
          <w:numId w:val="15"/>
        </w:numPr>
        <w:spacing w:after="120" w:line="240" w:lineRule="auto"/>
        <w:jc w:val="both"/>
        <w:rPr>
          <w:rFonts w:eastAsia="Times New Roman" w:cs="Times New Roman"/>
          <w:color w:val="222222"/>
          <w:lang w:val="pl-PL" w:eastAsia="pl-PL"/>
        </w:rPr>
      </w:pPr>
      <w:r w:rsidRPr="005F3528">
        <w:rPr>
          <w:rFonts w:eastAsia="Times New Roman" w:cs="Times New Roman"/>
          <w:color w:val="222222"/>
          <w:lang w:val="pl-PL" w:eastAsia="pl-PL"/>
        </w:rPr>
        <w:t>p</w:t>
      </w:r>
      <w:r w:rsidR="004218FB" w:rsidRPr="005F3528">
        <w:rPr>
          <w:rFonts w:eastAsia="Times New Roman" w:cs="Times New Roman"/>
          <w:color w:val="222222"/>
          <w:lang w:val="pl-PL" w:eastAsia="pl-PL"/>
        </w:rPr>
        <w:t xml:space="preserve">o drugie, </w:t>
      </w:r>
      <w:r w:rsidR="00837F6C">
        <w:rPr>
          <w:rFonts w:eastAsia="Times New Roman" w:cs="Times New Roman"/>
          <w:color w:val="222222"/>
          <w:lang w:val="pl-PL" w:eastAsia="pl-PL"/>
        </w:rPr>
        <w:t xml:space="preserve">czy </w:t>
      </w:r>
      <w:r w:rsidR="004218FB" w:rsidRPr="005F3528">
        <w:rPr>
          <w:rFonts w:eastAsia="Times New Roman" w:cs="Times New Roman"/>
          <w:color w:val="222222"/>
          <w:lang w:val="pl-PL" w:eastAsia="pl-PL"/>
        </w:rPr>
        <w:t xml:space="preserve">dowód z zeznań nieobecnego świadka </w:t>
      </w:r>
      <w:r w:rsidR="00837F6C">
        <w:rPr>
          <w:rFonts w:eastAsia="Times New Roman" w:cs="Times New Roman"/>
          <w:color w:val="222222"/>
          <w:lang w:val="pl-PL" w:eastAsia="pl-PL"/>
        </w:rPr>
        <w:t xml:space="preserve">jest </w:t>
      </w:r>
      <w:r w:rsidR="004218FB" w:rsidRPr="005F3528">
        <w:rPr>
          <w:rFonts w:eastAsia="Times New Roman" w:cs="Times New Roman"/>
          <w:color w:val="222222"/>
          <w:lang w:val="pl-PL" w:eastAsia="pl-PL"/>
        </w:rPr>
        <w:t>jedyną albo decydując</w:t>
      </w:r>
      <w:r w:rsidR="00FB7045" w:rsidRPr="005F3528">
        <w:rPr>
          <w:rFonts w:eastAsia="Times New Roman" w:cs="Times New Roman"/>
          <w:color w:val="222222"/>
          <w:lang w:val="pl-PL" w:eastAsia="pl-PL"/>
        </w:rPr>
        <w:t>ą podstawą skazania skarżącego;</w:t>
      </w:r>
    </w:p>
    <w:p w:rsidR="008F5FEC" w:rsidRPr="005F3528" w:rsidRDefault="00165714" w:rsidP="008F5FEC">
      <w:pPr>
        <w:pStyle w:val="Akapitzlist"/>
        <w:numPr>
          <w:ilvl w:val="0"/>
          <w:numId w:val="15"/>
        </w:numPr>
        <w:spacing w:after="120" w:line="240" w:lineRule="auto"/>
        <w:jc w:val="both"/>
        <w:rPr>
          <w:rFonts w:eastAsia="Times New Roman" w:cs="Times New Roman"/>
          <w:color w:val="222222"/>
          <w:lang w:val="pl-PL" w:eastAsia="pl-PL"/>
        </w:rPr>
      </w:pPr>
      <w:r w:rsidRPr="005F3528">
        <w:rPr>
          <w:rFonts w:eastAsia="Times New Roman" w:cs="Times New Roman"/>
          <w:color w:val="222222"/>
          <w:lang w:val="pl-PL" w:eastAsia="pl-PL"/>
        </w:rPr>
        <w:t>p</w:t>
      </w:r>
      <w:r w:rsidR="004218FB" w:rsidRPr="005F3528">
        <w:rPr>
          <w:rFonts w:eastAsia="Times New Roman" w:cs="Times New Roman"/>
          <w:color w:val="222222"/>
          <w:lang w:val="pl-PL" w:eastAsia="pl-PL"/>
        </w:rPr>
        <w:t xml:space="preserve">o trzecie, </w:t>
      </w:r>
      <w:r w:rsidR="00837F6C">
        <w:rPr>
          <w:rFonts w:eastAsia="Times New Roman" w:cs="Times New Roman"/>
          <w:color w:val="222222"/>
          <w:lang w:val="pl-PL" w:eastAsia="pl-PL"/>
        </w:rPr>
        <w:t>czy zastosowano</w:t>
      </w:r>
      <w:r w:rsidR="008F5FEC" w:rsidRPr="005F3528">
        <w:rPr>
          <w:rFonts w:eastAsia="Times New Roman" w:cs="Times New Roman"/>
          <w:color w:val="222222"/>
          <w:lang w:val="pl-PL" w:eastAsia="pl-PL"/>
        </w:rPr>
        <w:t xml:space="preserve"> wystarczające czynniki równoważące, w tym mocne </w:t>
      </w:r>
      <w:r w:rsidR="004218FB" w:rsidRPr="005F3528">
        <w:rPr>
          <w:rFonts w:eastAsia="Times New Roman" w:cs="Times New Roman"/>
          <w:color w:val="222222"/>
          <w:lang w:val="pl-PL" w:eastAsia="pl-PL"/>
        </w:rPr>
        <w:t xml:space="preserve">zabezpieczenia proceduralne, aby zrekompensować </w:t>
      </w:r>
      <w:r w:rsidR="008F5FEC" w:rsidRPr="005F3528">
        <w:rPr>
          <w:rFonts w:eastAsia="Times New Roman" w:cs="Times New Roman"/>
          <w:color w:val="222222"/>
          <w:lang w:val="pl-PL" w:eastAsia="pl-PL"/>
        </w:rPr>
        <w:t>utrudnienia dla obrony spowodowane dopuszczeniem nie</w:t>
      </w:r>
      <w:r w:rsidR="00810989" w:rsidRPr="005F3528">
        <w:rPr>
          <w:rFonts w:eastAsia="Times New Roman" w:cs="Times New Roman"/>
          <w:color w:val="222222"/>
          <w:lang w:val="pl-PL" w:eastAsia="pl-PL"/>
        </w:rPr>
        <w:t>sprawdzonego</w:t>
      </w:r>
      <w:r w:rsidR="008F5FEC" w:rsidRPr="005F3528">
        <w:rPr>
          <w:rFonts w:eastAsia="Times New Roman" w:cs="Times New Roman"/>
          <w:color w:val="222222"/>
          <w:lang w:val="pl-PL" w:eastAsia="pl-PL"/>
        </w:rPr>
        <w:t xml:space="preserve"> dowod</w:t>
      </w:r>
      <w:r w:rsidR="00874034">
        <w:rPr>
          <w:rFonts w:eastAsia="Times New Roman" w:cs="Times New Roman"/>
          <w:color w:val="222222"/>
          <w:lang w:val="pl-PL" w:eastAsia="pl-PL"/>
        </w:rPr>
        <w:t>u i zapewnić,</w:t>
      </w:r>
      <w:r w:rsidR="008F5FEC" w:rsidRPr="005F3528">
        <w:rPr>
          <w:rFonts w:eastAsia="Times New Roman" w:cs="Times New Roman"/>
          <w:color w:val="222222"/>
          <w:lang w:val="pl-PL" w:eastAsia="pl-PL"/>
        </w:rPr>
        <w:t xml:space="preserve"> by proces jako całość był rzetelny.</w:t>
      </w:r>
    </w:p>
    <w:p w:rsidR="00874034" w:rsidRDefault="00FB7045" w:rsidP="00E65593">
      <w:pPr>
        <w:spacing w:after="120" w:line="240" w:lineRule="auto"/>
        <w:jc w:val="both"/>
        <w:rPr>
          <w:rFonts w:eastAsia="Times New Roman" w:cs="Times New Roman"/>
          <w:color w:val="222222"/>
          <w:lang w:val="pl-PL" w:eastAsia="pl-PL"/>
        </w:rPr>
      </w:pPr>
      <w:r w:rsidRPr="005F3528">
        <w:rPr>
          <w:rFonts w:eastAsia="Times New Roman" w:cs="Times New Roman"/>
          <w:color w:val="222222"/>
          <w:lang w:val="pl-PL" w:eastAsia="pl-PL"/>
        </w:rPr>
        <w:t xml:space="preserve">W obecnej sprawie </w:t>
      </w:r>
      <w:r w:rsidR="00B960A9" w:rsidRPr="005F3528">
        <w:rPr>
          <w:rFonts w:eastAsia="Times New Roman" w:cs="Times New Roman"/>
          <w:color w:val="222222"/>
          <w:lang w:val="pl-PL" w:eastAsia="pl-PL"/>
        </w:rPr>
        <w:t xml:space="preserve">Trybunał </w:t>
      </w:r>
      <w:r w:rsidR="00111D56" w:rsidRPr="005F3528">
        <w:rPr>
          <w:rFonts w:eastAsia="Times New Roman" w:cs="Times New Roman"/>
          <w:color w:val="222222"/>
          <w:lang w:val="pl-PL" w:eastAsia="pl-PL"/>
        </w:rPr>
        <w:t xml:space="preserve">doprecyzował i </w:t>
      </w:r>
      <w:r w:rsidR="00B960A9" w:rsidRPr="005F3528">
        <w:rPr>
          <w:rFonts w:eastAsia="Times New Roman" w:cs="Times New Roman"/>
          <w:color w:val="222222"/>
          <w:lang w:val="pl-PL" w:eastAsia="pl-PL"/>
        </w:rPr>
        <w:t>wyjaśnił</w:t>
      </w:r>
      <w:r w:rsidR="00E96CE8">
        <w:rPr>
          <w:rFonts w:eastAsia="Times New Roman" w:cs="Times New Roman"/>
          <w:color w:val="222222"/>
          <w:lang w:val="pl-PL" w:eastAsia="pl-PL"/>
        </w:rPr>
        <w:t xml:space="preserve">, jaka jest </w:t>
      </w:r>
      <w:r w:rsidR="00B960A9" w:rsidRPr="005F3528">
        <w:rPr>
          <w:rFonts w:eastAsia="Times New Roman" w:cs="Times New Roman"/>
          <w:color w:val="222222"/>
          <w:lang w:val="pl-PL" w:eastAsia="pl-PL"/>
        </w:rPr>
        <w:t xml:space="preserve"> </w:t>
      </w:r>
      <w:r w:rsidR="00E96CE8">
        <w:rPr>
          <w:rFonts w:eastAsia="Times New Roman" w:cs="Times New Roman"/>
          <w:color w:val="222222"/>
          <w:lang w:val="pl-PL" w:eastAsia="pl-PL"/>
        </w:rPr>
        <w:t>relacja</w:t>
      </w:r>
      <w:r w:rsidR="00BB2765" w:rsidRPr="005F3528">
        <w:rPr>
          <w:rFonts w:eastAsia="Times New Roman" w:cs="Times New Roman"/>
          <w:color w:val="222222"/>
          <w:lang w:val="pl-PL" w:eastAsia="pl-PL"/>
        </w:rPr>
        <w:t xml:space="preserve"> między </w:t>
      </w:r>
      <w:r w:rsidR="00862AA6" w:rsidRPr="005F3528">
        <w:rPr>
          <w:rFonts w:eastAsia="Times New Roman" w:cs="Times New Roman"/>
          <w:color w:val="222222"/>
          <w:lang w:val="pl-PL" w:eastAsia="pl-PL"/>
        </w:rPr>
        <w:t>powyższymi</w:t>
      </w:r>
      <w:r w:rsidR="007C227E">
        <w:rPr>
          <w:rFonts w:eastAsia="Times New Roman" w:cs="Times New Roman"/>
          <w:color w:val="222222"/>
          <w:lang w:val="pl-PL" w:eastAsia="pl-PL"/>
        </w:rPr>
        <w:t xml:space="preserve"> kwestiami</w:t>
      </w:r>
      <w:r w:rsidR="00862AA6" w:rsidRPr="005F3528">
        <w:rPr>
          <w:rFonts w:eastAsia="Times New Roman" w:cs="Times New Roman"/>
          <w:color w:val="222222"/>
          <w:lang w:val="pl-PL" w:eastAsia="pl-PL"/>
        </w:rPr>
        <w:t>, a także kolejnoś</w:t>
      </w:r>
      <w:r w:rsidR="00E96CE8">
        <w:rPr>
          <w:rFonts w:eastAsia="Times New Roman" w:cs="Times New Roman"/>
          <w:color w:val="222222"/>
          <w:lang w:val="pl-PL" w:eastAsia="pl-PL"/>
        </w:rPr>
        <w:t>ć</w:t>
      </w:r>
      <w:r w:rsidR="00BB2765" w:rsidRPr="005F3528">
        <w:rPr>
          <w:rFonts w:eastAsia="Times New Roman" w:cs="Times New Roman"/>
          <w:color w:val="222222"/>
          <w:lang w:val="pl-PL" w:eastAsia="pl-PL"/>
        </w:rPr>
        <w:t xml:space="preserve"> </w:t>
      </w:r>
      <w:r w:rsidR="007C227E">
        <w:rPr>
          <w:rFonts w:eastAsia="Times New Roman" w:cs="Times New Roman"/>
          <w:color w:val="222222"/>
          <w:lang w:val="pl-PL" w:eastAsia="pl-PL"/>
        </w:rPr>
        <w:t xml:space="preserve">ich </w:t>
      </w:r>
      <w:r w:rsidR="00BB2765" w:rsidRPr="005F3528">
        <w:rPr>
          <w:rFonts w:eastAsia="Times New Roman" w:cs="Times New Roman"/>
          <w:color w:val="222222"/>
          <w:lang w:val="pl-PL" w:eastAsia="pl-PL"/>
        </w:rPr>
        <w:t>badania.</w:t>
      </w:r>
      <w:r w:rsidR="00DB4BBC">
        <w:rPr>
          <w:rFonts w:eastAsia="Times New Roman" w:cs="Times New Roman"/>
          <w:color w:val="222222"/>
          <w:lang w:val="pl-PL" w:eastAsia="pl-PL"/>
        </w:rPr>
        <w:t xml:space="preserve"> </w:t>
      </w:r>
    </w:p>
    <w:p w:rsidR="004218FB" w:rsidRPr="00CC3676" w:rsidRDefault="00DB4BBC" w:rsidP="00E65593">
      <w:pPr>
        <w:spacing w:after="120" w:line="240" w:lineRule="auto"/>
        <w:jc w:val="both"/>
        <w:rPr>
          <w:rStyle w:val="hps"/>
          <w:lang w:val="pl-PL"/>
        </w:rPr>
      </w:pPr>
      <w:r>
        <w:rPr>
          <w:rFonts w:eastAsia="Times New Roman" w:cs="Times New Roman"/>
          <w:color w:val="222222"/>
          <w:lang w:val="pl-PL" w:eastAsia="pl-PL"/>
        </w:rPr>
        <w:t xml:space="preserve">Trybunał </w:t>
      </w:r>
      <w:r w:rsidR="007C227E">
        <w:rPr>
          <w:rFonts w:eastAsia="Times New Roman" w:cs="Times New Roman"/>
          <w:color w:val="222222"/>
          <w:lang w:val="pl-PL" w:eastAsia="pl-PL"/>
        </w:rPr>
        <w:t>przypomniał</w:t>
      </w:r>
      <w:r w:rsidR="00A525EC">
        <w:rPr>
          <w:rFonts w:eastAsia="Times New Roman" w:cs="Times New Roman"/>
          <w:color w:val="222222"/>
          <w:lang w:val="pl-PL" w:eastAsia="pl-PL"/>
        </w:rPr>
        <w:t xml:space="preserve">, że w niektórych sprawach sam brak uzasadnionej przyczyny nieobecności świadka oskarżenia wystarczał </w:t>
      </w:r>
      <w:r w:rsidR="00C643C3">
        <w:rPr>
          <w:rFonts w:eastAsia="Times New Roman" w:cs="Times New Roman"/>
          <w:color w:val="222222"/>
          <w:lang w:val="pl-PL" w:eastAsia="pl-PL"/>
        </w:rPr>
        <w:t xml:space="preserve">mu </w:t>
      </w:r>
      <w:r w:rsidR="00A525EC">
        <w:rPr>
          <w:rFonts w:eastAsia="Times New Roman" w:cs="Times New Roman"/>
          <w:color w:val="222222"/>
          <w:lang w:val="pl-PL" w:eastAsia="pl-PL"/>
        </w:rPr>
        <w:t>do stwierdzenia naruszenia art. 6 Konwencji, w innych dokonywał oceny rzetelności postępowania jako całości, w innych wreszcie</w:t>
      </w:r>
      <w:r w:rsidR="00C643C3">
        <w:rPr>
          <w:rFonts w:eastAsia="Times New Roman" w:cs="Times New Roman"/>
          <w:color w:val="222222"/>
          <w:lang w:val="pl-PL" w:eastAsia="pl-PL"/>
        </w:rPr>
        <w:t xml:space="preserve"> sprawach uznawał, że brak uzasadnionej przyczyny nieobecności świadka </w:t>
      </w:r>
      <w:r w:rsidR="00A525EC">
        <w:rPr>
          <w:rFonts w:eastAsia="Times New Roman" w:cs="Times New Roman"/>
          <w:color w:val="222222"/>
          <w:lang w:val="pl-PL" w:eastAsia="pl-PL"/>
        </w:rPr>
        <w:t xml:space="preserve">mógł stanowić podstawę do uznania postępowania za nierzetelne, chyba że zeznania </w:t>
      </w:r>
      <w:r w:rsidR="00C643C3">
        <w:rPr>
          <w:rFonts w:eastAsia="Times New Roman" w:cs="Times New Roman"/>
          <w:color w:val="222222"/>
          <w:lang w:val="pl-PL" w:eastAsia="pl-PL"/>
        </w:rPr>
        <w:t>tego</w:t>
      </w:r>
      <w:r w:rsidR="00A525EC">
        <w:rPr>
          <w:rFonts w:eastAsia="Times New Roman" w:cs="Times New Roman"/>
          <w:color w:val="222222"/>
          <w:lang w:val="pl-PL" w:eastAsia="pl-PL"/>
        </w:rPr>
        <w:t xml:space="preserve">  świadka w sposób oczywisty nie miały znaczenia dla wyniku postępowania.</w:t>
      </w:r>
      <w:r w:rsidR="007C227E">
        <w:rPr>
          <w:rFonts w:eastAsia="Times New Roman" w:cs="Times New Roman"/>
          <w:color w:val="222222"/>
          <w:lang w:val="pl-PL" w:eastAsia="pl-PL"/>
        </w:rPr>
        <w:t xml:space="preserve"> </w:t>
      </w:r>
      <w:r w:rsidR="00A525EC">
        <w:rPr>
          <w:rStyle w:val="hps"/>
          <w:lang w:val="pl-PL"/>
        </w:rPr>
        <w:t xml:space="preserve">W obecnej sprawie </w:t>
      </w:r>
      <w:r w:rsidR="004218FB" w:rsidRPr="00CC3676">
        <w:rPr>
          <w:rStyle w:val="hps"/>
          <w:lang w:val="pl-PL"/>
        </w:rPr>
        <w:t>Trybunał</w:t>
      </w:r>
      <w:r w:rsidR="001A7A86">
        <w:rPr>
          <w:rStyle w:val="hps"/>
          <w:lang w:val="pl-PL"/>
        </w:rPr>
        <w:t xml:space="preserve"> doprecyzował</w:t>
      </w:r>
      <w:r w:rsidR="004218FB" w:rsidRPr="00CC3676">
        <w:rPr>
          <w:rStyle w:val="hps"/>
          <w:lang w:val="pl-PL"/>
        </w:rPr>
        <w:t>, że:</w:t>
      </w:r>
    </w:p>
    <w:p w:rsidR="004218FB" w:rsidRDefault="00BB2765" w:rsidP="00113395">
      <w:pPr>
        <w:pStyle w:val="Akapitzlist"/>
        <w:numPr>
          <w:ilvl w:val="0"/>
          <w:numId w:val="16"/>
        </w:numPr>
        <w:spacing w:after="120" w:line="240" w:lineRule="auto"/>
        <w:jc w:val="both"/>
        <w:rPr>
          <w:lang w:val="pl-PL"/>
        </w:rPr>
      </w:pPr>
      <w:r w:rsidRPr="00113395">
        <w:rPr>
          <w:rStyle w:val="hps"/>
          <w:rFonts w:cs="Arial"/>
          <w:color w:val="222222"/>
          <w:lang w:val="pl-PL"/>
        </w:rPr>
        <w:t>b</w:t>
      </w:r>
      <w:r w:rsidR="004218FB" w:rsidRPr="00113395">
        <w:rPr>
          <w:rStyle w:val="hps"/>
          <w:rFonts w:cs="Arial"/>
          <w:color w:val="222222"/>
          <w:lang w:val="pl-PL"/>
        </w:rPr>
        <w:t>rak</w:t>
      </w:r>
      <w:r w:rsidR="004218FB" w:rsidRPr="00113395">
        <w:rPr>
          <w:rFonts w:cs="Arial"/>
          <w:color w:val="222222"/>
          <w:lang w:val="pl-PL"/>
        </w:rPr>
        <w:t xml:space="preserve"> </w:t>
      </w:r>
      <w:r w:rsidR="004218FB" w:rsidRPr="00113395">
        <w:rPr>
          <w:rStyle w:val="hps"/>
          <w:rFonts w:cs="Arial"/>
          <w:color w:val="222222"/>
          <w:lang w:val="pl-PL"/>
        </w:rPr>
        <w:t>uzasadnionej</w:t>
      </w:r>
      <w:r w:rsidR="004218FB" w:rsidRPr="00113395">
        <w:rPr>
          <w:rFonts w:cs="Arial"/>
          <w:color w:val="222222"/>
          <w:lang w:val="pl-PL"/>
        </w:rPr>
        <w:t xml:space="preserve"> </w:t>
      </w:r>
      <w:r w:rsidR="004218FB" w:rsidRPr="00113395">
        <w:rPr>
          <w:rStyle w:val="hps"/>
          <w:rFonts w:cs="Arial"/>
          <w:color w:val="222222"/>
          <w:lang w:val="pl-PL"/>
        </w:rPr>
        <w:t>przyczyny</w:t>
      </w:r>
      <w:r w:rsidR="004218FB" w:rsidRPr="00113395">
        <w:rPr>
          <w:rFonts w:cs="Arial"/>
          <w:color w:val="222222"/>
          <w:lang w:val="pl-PL"/>
        </w:rPr>
        <w:t xml:space="preserve"> </w:t>
      </w:r>
      <w:r w:rsidR="004218FB" w:rsidRPr="00113395">
        <w:rPr>
          <w:rStyle w:val="hps"/>
          <w:rFonts w:cs="Arial"/>
          <w:color w:val="222222"/>
          <w:lang w:val="pl-PL"/>
        </w:rPr>
        <w:t>nieobecności</w:t>
      </w:r>
      <w:r w:rsidR="004218FB" w:rsidRPr="00113395">
        <w:rPr>
          <w:rFonts w:cs="Arial"/>
          <w:color w:val="222222"/>
          <w:lang w:val="pl-PL"/>
        </w:rPr>
        <w:t xml:space="preserve"> </w:t>
      </w:r>
      <w:r w:rsidR="004218FB" w:rsidRPr="00113395">
        <w:rPr>
          <w:rStyle w:val="hps"/>
          <w:rFonts w:cs="Arial"/>
          <w:color w:val="222222"/>
          <w:lang w:val="pl-PL"/>
        </w:rPr>
        <w:t>świadka</w:t>
      </w:r>
      <w:r w:rsidRPr="00113395">
        <w:rPr>
          <w:rFonts w:cs="Arial"/>
          <w:color w:val="222222"/>
          <w:lang w:val="pl-PL"/>
        </w:rPr>
        <w:t xml:space="preserve"> </w:t>
      </w:r>
      <w:r w:rsidR="004218FB" w:rsidRPr="00113395">
        <w:rPr>
          <w:rStyle w:val="hps"/>
          <w:rFonts w:cs="Arial"/>
          <w:color w:val="222222"/>
          <w:lang w:val="pl-PL"/>
        </w:rPr>
        <w:t xml:space="preserve">sam w sobie </w:t>
      </w:r>
      <w:r w:rsidR="00111D56" w:rsidRPr="00113395">
        <w:rPr>
          <w:rFonts w:cs="Arial"/>
          <w:color w:val="222222"/>
          <w:lang w:val="pl-PL"/>
        </w:rPr>
        <w:t xml:space="preserve">nie </w:t>
      </w:r>
      <w:r w:rsidR="00111D56" w:rsidRPr="00113395">
        <w:rPr>
          <w:rStyle w:val="hps"/>
          <w:rFonts w:cs="Arial"/>
          <w:color w:val="222222"/>
          <w:lang w:val="pl-PL"/>
        </w:rPr>
        <w:t xml:space="preserve">może </w:t>
      </w:r>
      <w:r w:rsidRPr="00113395">
        <w:rPr>
          <w:rStyle w:val="hps"/>
          <w:rFonts w:cs="Arial"/>
          <w:color w:val="222222"/>
          <w:lang w:val="pl-PL"/>
        </w:rPr>
        <w:t xml:space="preserve">stanowić </w:t>
      </w:r>
      <w:r w:rsidR="004218FB" w:rsidRPr="00113395">
        <w:rPr>
          <w:rStyle w:val="hps"/>
          <w:rFonts w:cs="Arial"/>
          <w:color w:val="222222"/>
          <w:lang w:val="pl-PL"/>
        </w:rPr>
        <w:t>podstawy do stwierdzenia</w:t>
      </w:r>
      <w:r w:rsidR="004218FB" w:rsidRPr="00A525EC">
        <w:rPr>
          <w:rFonts w:cs="Arial"/>
          <w:color w:val="222222"/>
          <w:lang w:val="pl-PL"/>
        </w:rPr>
        <w:t xml:space="preserve"> </w:t>
      </w:r>
      <w:r w:rsidR="004218FB" w:rsidRPr="00A525EC">
        <w:rPr>
          <w:rStyle w:val="hps"/>
          <w:rFonts w:cs="Arial"/>
          <w:color w:val="222222"/>
          <w:lang w:val="pl-PL"/>
        </w:rPr>
        <w:t>nierzetelności</w:t>
      </w:r>
      <w:r w:rsidR="004218FB" w:rsidRPr="00A525EC">
        <w:rPr>
          <w:rFonts w:cs="Arial"/>
          <w:color w:val="222222"/>
          <w:lang w:val="pl-PL"/>
        </w:rPr>
        <w:t xml:space="preserve"> </w:t>
      </w:r>
      <w:r w:rsidR="004218FB" w:rsidRPr="00A525EC">
        <w:rPr>
          <w:rStyle w:val="hps"/>
          <w:rFonts w:cs="Arial"/>
          <w:color w:val="222222"/>
          <w:lang w:val="pl-PL"/>
        </w:rPr>
        <w:t>procesu</w:t>
      </w:r>
      <w:r w:rsidR="004218FB" w:rsidRPr="00113395">
        <w:rPr>
          <w:rStyle w:val="hps"/>
          <w:rFonts w:cs="Arial"/>
          <w:color w:val="222222"/>
          <w:lang w:val="pl-PL"/>
        </w:rPr>
        <w:t>,</w:t>
      </w:r>
      <w:r w:rsidR="004218FB" w:rsidRPr="00113395">
        <w:rPr>
          <w:rFonts w:cs="Arial"/>
          <w:color w:val="222222"/>
          <w:lang w:val="pl-PL"/>
        </w:rPr>
        <w:t xml:space="preserve"> </w:t>
      </w:r>
      <w:r w:rsidR="00FB7045" w:rsidRPr="00113395">
        <w:rPr>
          <w:rFonts w:cs="Arial"/>
          <w:color w:val="222222"/>
          <w:lang w:val="pl-PL"/>
        </w:rPr>
        <w:t xml:space="preserve">stanowi </w:t>
      </w:r>
      <w:r w:rsidRPr="00113395">
        <w:rPr>
          <w:rStyle w:val="hps"/>
          <w:rFonts w:cs="Arial"/>
          <w:color w:val="222222"/>
          <w:lang w:val="pl-PL"/>
        </w:rPr>
        <w:t xml:space="preserve">jednak </w:t>
      </w:r>
      <w:r w:rsidR="004218FB" w:rsidRPr="00113395">
        <w:rPr>
          <w:rStyle w:val="hps"/>
          <w:rFonts w:cs="Arial"/>
          <w:color w:val="222222"/>
          <w:lang w:val="pl-PL"/>
        </w:rPr>
        <w:t xml:space="preserve">bardzo </w:t>
      </w:r>
      <w:r w:rsidR="00FB7045" w:rsidRPr="00113395">
        <w:rPr>
          <w:rStyle w:val="hps"/>
          <w:rFonts w:cs="Arial"/>
          <w:color w:val="222222"/>
          <w:lang w:val="pl-PL"/>
        </w:rPr>
        <w:t>istotny</w:t>
      </w:r>
      <w:r w:rsidR="004218FB" w:rsidRPr="00113395">
        <w:rPr>
          <w:rFonts w:cs="Arial"/>
          <w:color w:val="222222"/>
          <w:lang w:val="pl-PL"/>
        </w:rPr>
        <w:t xml:space="preserve"> </w:t>
      </w:r>
      <w:r w:rsidR="00FB7045" w:rsidRPr="00113395">
        <w:rPr>
          <w:rStyle w:val="hps"/>
          <w:rFonts w:cs="Arial"/>
          <w:color w:val="222222"/>
          <w:lang w:val="pl-PL"/>
        </w:rPr>
        <w:t>czynnik</w:t>
      </w:r>
      <w:r w:rsidR="004218FB" w:rsidRPr="00113395">
        <w:rPr>
          <w:rFonts w:eastAsia="Times New Roman" w:cs="Times New Roman"/>
          <w:color w:val="222222"/>
          <w:lang w:val="pl-PL" w:eastAsia="pl-PL"/>
        </w:rPr>
        <w:t xml:space="preserve">, który powinien być wzięty pod uwagę przy ocenie rzetelności całości postępowania, </w:t>
      </w:r>
      <w:r w:rsidR="00FB7045" w:rsidRPr="00113395">
        <w:rPr>
          <w:rFonts w:eastAsia="Times New Roman" w:cs="Times New Roman"/>
          <w:color w:val="222222"/>
          <w:lang w:val="pl-PL" w:eastAsia="pl-PL"/>
        </w:rPr>
        <w:t xml:space="preserve">który </w:t>
      </w:r>
      <w:r w:rsidR="00111D56" w:rsidRPr="00113395">
        <w:rPr>
          <w:rFonts w:eastAsia="Times New Roman" w:cs="Times New Roman"/>
          <w:color w:val="222222"/>
          <w:lang w:val="pl-PL" w:eastAsia="pl-PL"/>
        </w:rPr>
        <w:t xml:space="preserve">może </w:t>
      </w:r>
      <w:r w:rsidR="004218FB" w:rsidRPr="00113395">
        <w:rPr>
          <w:rFonts w:eastAsia="Times New Roman" w:cs="Times New Roman"/>
          <w:color w:val="222222"/>
          <w:lang w:val="pl-PL" w:eastAsia="pl-PL"/>
        </w:rPr>
        <w:t>przeważyć na stronę naruszenia</w:t>
      </w:r>
      <w:r w:rsidRPr="00113395">
        <w:rPr>
          <w:rFonts w:eastAsia="Times New Roman" w:cs="Times New Roman"/>
          <w:color w:val="222222"/>
          <w:lang w:val="pl-PL" w:eastAsia="pl-PL"/>
        </w:rPr>
        <w:t xml:space="preserve"> art. 6 ust. 1 oraz </w:t>
      </w:r>
      <w:r w:rsidR="00FB7045" w:rsidRPr="00113395">
        <w:rPr>
          <w:rFonts w:eastAsia="Times New Roman" w:cs="Times New Roman"/>
          <w:color w:val="222222"/>
          <w:lang w:val="pl-PL" w:eastAsia="pl-PL"/>
        </w:rPr>
        <w:t xml:space="preserve">ust. </w:t>
      </w:r>
      <w:r w:rsidRPr="00113395">
        <w:rPr>
          <w:rFonts w:eastAsia="Times New Roman" w:cs="Times New Roman"/>
          <w:color w:val="222222"/>
          <w:lang w:val="pl-PL" w:eastAsia="pl-PL"/>
        </w:rPr>
        <w:t xml:space="preserve">3 </w:t>
      </w:r>
      <w:r w:rsidR="00FB7045" w:rsidRPr="00113395">
        <w:rPr>
          <w:rFonts w:eastAsia="Times New Roman" w:cs="Times New Roman"/>
          <w:color w:val="222222"/>
          <w:lang w:val="pl-PL" w:eastAsia="pl-PL"/>
        </w:rPr>
        <w:t xml:space="preserve">lit. </w:t>
      </w:r>
      <w:r w:rsidRPr="00113395">
        <w:rPr>
          <w:rFonts w:eastAsia="Times New Roman" w:cs="Times New Roman"/>
          <w:color w:val="222222"/>
          <w:lang w:val="pl-PL" w:eastAsia="pl-PL"/>
        </w:rPr>
        <w:t>d</w:t>
      </w:r>
      <w:r w:rsidR="00FB7045" w:rsidRPr="00113395">
        <w:rPr>
          <w:rFonts w:eastAsia="Times New Roman" w:cs="Times New Roman"/>
          <w:color w:val="222222"/>
          <w:lang w:val="pl-PL" w:eastAsia="pl-PL"/>
        </w:rPr>
        <w:t xml:space="preserve"> Konwencji</w:t>
      </w:r>
      <w:r w:rsidR="004218FB" w:rsidRPr="00113395">
        <w:rPr>
          <w:rFonts w:eastAsia="Times New Roman" w:cs="Times New Roman"/>
          <w:color w:val="222222"/>
          <w:lang w:val="pl-PL" w:eastAsia="pl-PL"/>
        </w:rPr>
        <w:t>.</w:t>
      </w:r>
      <w:r w:rsidR="00FB7045" w:rsidRPr="00113395">
        <w:rPr>
          <w:rFonts w:eastAsia="Times New Roman" w:cs="Times New Roman"/>
          <w:color w:val="222222"/>
          <w:lang w:val="pl-PL" w:eastAsia="pl-PL"/>
        </w:rPr>
        <w:t xml:space="preserve"> </w:t>
      </w:r>
      <w:r w:rsidR="004218FB" w:rsidRPr="00113395">
        <w:rPr>
          <w:lang w:val="pl-PL"/>
        </w:rPr>
        <w:t xml:space="preserve">   </w:t>
      </w:r>
    </w:p>
    <w:p w:rsidR="00625723" w:rsidRPr="00625723" w:rsidRDefault="00625723" w:rsidP="00625723">
      <w:pPr>
        <w:spacing w:after="120" w:line="240" w:lineRule="auto"/>
        <w:jc w:val="both"/>
        <w:rPr>
          <w:lang w:val="pl-PL"/>
        </w:rPr>
      </w:pPr>
      <w:r>
        <w:rPr>
          <w:lang w:val="pl-PL"/>
        </w:rPr>
        <w:t xml:space="preserve">Trybunał wyjaśnił również wątpliwości, czy </w:t>
      </w:r>
      <w:r w:rsidR="001A7A86">
        <w:rPr>
          <w:lang w:val="pl-PL"/>
        </w:rPr>
        <w:t xml:space="preserve">zachodzi potrzeba badania dostępności odpowiednich czynników równoważących </w:t>
      </w:r>
      <w:r>
        <w:rPr>
          <w:lang w:val="pl-PL"/>
        </w:rPr>
        <w:t>w przypadku, gdy dowód z zeznań nieobecnego świadka nie stanowi jedynej albo decydujące podstawy skazania skarżącego. Trybunał uznał obecnie, że:</w:t>
      </w:r>
    </w:p>
    <w:p w:rsidR="004218FB" w:rsidRPr="00625723" w:rsidRDefault="00111D56" w:rsidP="00113395">
      <w:pPr>
        <w:pStyle w:val="Akapitzlist"/>
        <w:numPr>
          <w:ilvl w:val="0"/>
          <w:numId w:val="16"/>
        </w:numPr>
        <w:spacing w:after="120" w:line="240" w:lineRule="auto"/>
        <w:jc w:val="both"/>
        <w:rPr>
          <w:u w:val="single"/>
          <w:lang w:val="pl-PL"/>
        </w:rPr>
      </w:pPr>
      <w:r w:rsidRPr="00113395">
        <w:rPr>
          <w:lang w:val="pl-PL"/>
        </w:rPr>
        <w:t>i</w:t>
      </w:r>
      <w:r w:rsidR="004218FB" w:rsidRPr="00113395">
        <w:rPr>
          <w:lang w:val="pl-PL"/>
        </w:rPr>
        <w:t xml:space="preserve">stnienie odpowiednich czynników </w:t>
      </w:r>
      <w:r w:rsidR="006A5FDC" w:rsidRPr="00113395">
        <w:rPr>
          <w:lang w:val="pl-PL"/>
        </w:rPr>
        <w:t xml:space="preserve">równoważących </w:t>
      </w:r>
      <w:r w:rsidR="004218FB" w:rsidRPr="00113395">
        <w:rPr>
          <w:lang w:val="pl-PL"/>
        </w:rPr>
        <w:t xml:space="preserve">powinno być </w:t>
      </w:r>
      <w:r w:rsidRPr="00113395">
        <w:rPr>
          <w:lang w:val="pl-PL"/>
        </w:rPr>
        <w:t xml:space="preserve">zbadane </w:t>
      </w:r>
      <w:r w:rsidR="004218FB" w:rsidRPr="00113395">
        <w:rPr>
          <w:lang w:val="pl-PL"/>
        </w:rPr>
        <w:t xml:space="preserve">nie tylko w sprawach, </w:t>
      </w:r>
      <w:r w:rsidR="006A5FDC" w:rsidRPr="00113395">
        <w:rPr>
          <w:lang w:val="pl-PL"/>
        </w:rPr>
        <w:t xml:space="preserve">w których </w:t>
      </w:r>
      <w:r w:rsidR="004218FB" w:rsidRPr="00113395">
        <w:rPr>
          <w:lang w:val="pl-PL"/>
        </w:rPr>
        <w:t xml:space="preserve">zeznania nieobecnych świadków są jedyną albo decydującą podstawą skazania, ale także w tych sprawach, </w:t>
      </w:r>
      <w:r w:rsidR="006A5FDC" w:rsidRPr="00113395">
        <w:rPr>
          <w:lang w:val="pl-PL"/>
        </w:rPr>
        <w:t xml:space="preserve">w których </w:t>
      </w:r>
      <w:r w:rsidR="00625723">
        <w:rPr>
          <w:lang w:val="pl-PL"/>
        </w:rPr>
        <w:t xml:space="preserve">nie jest to jasne, dowody </w:t>
      </w:r>
      <w:r w:rsidR="006A5FDC" w:rsidRPr="00113395">
        <w:rPr>
          <w:lang w:val="pl-PL"/>
        </w:rPr>
        <w:t>maj</w:t>
      </w:r>
      <w:r w:rsidRPr="00113395">
        <w:rPr>
          <w:lang w:val="pl-PL"/>
        </w:rPr>
        <w:t>ą</w:t>
      </w:r>
      <w:r w:rsidR="003163E9">
        <w:rPr>
          <w:lang w:val="pl-PL"/>
        </w:rPr>
        <w:t xml:space="preserve"> </w:t>
      </w:r>
      <w:r w:rsidR="002D2471" w:rsidRPr="00113395">
        <w:rPr>
          <w:lang w:val="pl-PL"/>
        </w:rPr>
        <w:t xml:space="preserve">dużą wagę a ich dopuszczenie mogło </w:t>
      </w:r>
      <w:r w:rsidRPr="00113395">
        <w:rPr>
          <w:lang w:val="pl-PL"/>
        </w:rPr>
        <w:t>utrudnić</w:t>
      </w:r>
      <w:r w:rsidR="004218FB" w:rsidRPr="00113395">
        <w:rPr>
          <w:lang w:val="pl-PL"/>
        </w:rPr>
        <w:t xml:space="preserve"> </w:t>
      </w:r>
      <w:r w:rsidRPr="00113395">
        <w:rPr>
          <w:lang w:val="pl-PL"/>
        </w:rPr>
        <w:t>obronę</w:t>
      </w:r>
      <w:r w:rsidR="004218FB" w:rsidRPr="00113395">
        <w:rPr>
          <w:lang w:val="pl-PL"/>
        </w:rPr>
        <w:t xml:space="preserve">. Zakres czynników </w:t>
      </w:r>
      <w:r w:rsidR="002D2471" w:rsidRPr="00113395">
        <w:rPr>
          <w:lang w:val="pl-PL"/>
        </w:rPr>
        <w:t>równoważących</w:t>
      </w:r>
      <w:r w:rsidR="002412B4">
        <w:rPr>
          <w:lang w:val="pl-PL"/>
        </w:rPr>
        <w:t xml:space="preserve"> niezbędnych</w:t>
      </w:r>
      <w:r w:rsidR="004218FB" w:rsidRPr="00113395">
        <w:rPr>
          <w:lang w:val="pl-PL"/>
        </w:rPr>
        <w:t xml:space="preserve"> dla zapew</w:t>
      </w:r>
      <w:r w:rsidR="001A7A86">
        <w:rPr>
          <w:lang w:val="pl-PL"/>
        </w:rPr>
        <w:t>nienia rzetelności postępowania</w:t>
      </w:r>
      <w:r w:rsidR="004218FB" w:rsidRPr="00113395">
        <w:rPr>
          <w:lang w:val="pl-PL"/>
        </w:rPr>
        <w:t xml:space="preserve"> </w:t>
      </w:r>
      <w:r w:rsidR="002D2471" w:rsidRPr="00113395">
        <w:rPr>
          <w:lang w:val="pl-PL"/>
        </w:rPr>
        <w:t>zależy</w:t>
      </w:r>
      <w:r w:rsidR="004218FB" w:rsidRPr="00113395">
        <w:rPr>
          <w:lang w:val="pl-PL"/>
        </w:rPr>
        <w:t xml:space="preserve"> od wagi dowodów z </w:t>
      </w:r>
      <w:r w:rsidR="00165714" w:rsidRPr="00113395">
        <w:rPr>
          <w:lang w:val="pl-PL"/>
        </w:rPr>
        <w:t xml:space="preserve">zeznań </w:t>
      </w:r>
      <w:r w:rsidR="00625723">
        <w:rPr>
          <w:lang w:val="pl-PL"/>
        </w:rPr>
        <w:t xml:space="preserve">nieobecnych świadków: im bardziej </w:t>
      </w:r>
      <w:r w:rsidR="001A7A86">
        <w:rPr>
          <w:lang w:val="pl-PL"/>
        </w:rPr>
        <w:t xml:space="preserve">dany </w:t>
      </w:r>
      <w:r w:rsidR="00625723">
        <w:rPr>
          <w:lang w:val="pl-PL"/>
        </w:rPr>
        <w:t>dowód jest istotny, tym większe znaczenie będzie miała kwestia czynników równoważących dla uznania postępowania za rzetelne</w:t>
      </w:r>
      <w:r w:rsidR="004218FB" w:rsidRPr="00113395">
        <w:rPr>
          <w:lang w:val="pl-PL"/>
        </w:rPr>
        <w:t>.</w:t>
      </w:r>
    </w:p>
    <w:p w:rsidR="004218FB" w:rsidRDefault="00073A8C" w:rsidP="00E65593">
      <w:pPr>
        <w:spacing w:after="120" w:line="240" w:lineRule="auto"/>
        <w:jc w:val="both"/>
        <w:rPr>
          <w:color w:val="222222"/>
          <w:lang w:val="pl-PL" w:eastAsia="pl-PL"/>
        </w:rPr>
      </w:pPr>
      <w:r>
        <w:rPr>
          <w:lang w:val="pl-PL"/>
        </w:rPr>
        <w:t>W odniesieniu zaś do kolejności badania powyższych kwestii, c</w:t>
      </w:r>
      <w:r w:rsidR="004218FB" w:rsidRPr="003A3C7F">
        <w:rPr>
          <w:lang w:val="pl-PL"/>
        </w:rPr>
        <w:t>o do zasady</w:t>
      </w:r>
      <w:r w:rsidR="00113395">
        <w:rPr>
          <w:lang w:val="pl-PL"/>
        </w:rPr>
        <w:t xml:space="preserve"> trójstopniowy test</w:t>
      </w:r>
      <w:r w:rsidR="004218FB" w:rsidRPr="003A3C7F">
        <w:rPr>
          <w:lang w:val="pl-PL"/>
        </w:rPr>
        <w:t xml:space="preserve"> </w:t>
      </w:r>
      <w:r w:rsidR="00113395">
        <w:rPr>
          <w:lang w:val="pl-PL"/>
        </w:rPr>
        <w:t>powinien zostać przeprowadzony</w:t>
      </w:r>
      <w:r w:rsidR="004218FB" w:rsidRPr="003A3C7F">
        <w:rPr>
          <w:lang w:val="pl-PL"/>
        </w:rPr>
        <w:t xml:space="preserve"> w kolejności </w:t>
      </w:r>
      <w:r w:rsidR="00111D56" w:rsidRPr="003A3C7F">
        <w:rPr>
          <w:lang w:val="pl-PL"/>
        </w:rPr>
        <w:t xml:space="preserve">określonej </w:t>
      </w:r>
      <w:r w:rsidR="00874034">
        <w:rPr>
          <w:lang w:val="pl-PL"/>
        </w:rPr>
        <w:t xml:space="preserve">w </w:t>
      </w:r>
      <w:r w:rsidR="004218FB" w:rsidRPr="003A3C7F">
        <w:rPr>
          <w:lang w:val="pl-PL"/>
        </w:rPr>
        <w:t>wyroku</w:t>
      </w:r>
      <w:r w:rsidR="00874034">
        <w:rPr>
          <w:lang w:val="pl-PL"/>
        </w:rPr>
        <w:t xml:space="preserve"> </w:t>
      </w:r>
      <w:r w:rsidR="00874034" w:rsidRPr="00113395">
        <w:rPr>
          <w:rFonts w:cs="Arial"/>
          <w:i/>
          <w:color w:val="222222"/>
          <w:lang w:val="pl-PL"/>
        </w:rPr>
        <w:t>Al-</w:t>
      </w:r>
      <w:proofErr w:type="spellStart"/>
      <w:r w:rsidR="00874034" w:rsidRPr="00113395">
        <w:rPr>
          <w:rFonts w:cs="Arial"/>
          <w:i/>
          <w:color w:val="222222"/>
          <w:lang w:val="pl-PL"/>
        </w:rPr>
        <w:t>Khawaja</w:t>
      </w:r>
      <w:proofErr w:type="spellEnd"/>
      <w:r w:rsidR="004218FB" w:rsidRPr="003A3C7F">
        <w:rPr>
          <w:lang w:val="pl-PL"/>
        </w:rPr>
        <w:t>.</w:t>
      </w:r>
      <w:r w:rsidR="00CA5A1D">
        <w:rPr>
          <w:lang w:val="pl-PL"/>
        </w:rPr>
        <w:t xml:space="preserve"> Sąd krajowy powinien najpierw ustalić, czy występują uzasadnione powody nieobecności świadka i czy w rezultacie dowód z zeznań nieobecnego świadka może zostać dopuszczony. Na zakończenie zaś procesu i uwzględniając całość materiału dowodowego sąd </w:t>
      </w:r>
      <w:r w:rsidR="00874034">
        <w:rPr>
          <w:lang w:val="pl-PL"/>
        </w:rPr>
        <w:t>ocenia</w:t>
      </w:r>
      <w:r w:rsidR="00CA5A1D">
        <w:rPr>
          <w:lang w:val="pl-PL"/>
        </w:rPr>
        <w:t xml:space="preserve"> znaczenie dowodu z nieobecnego świadk</w:t>
      </w:r>
      <w:r w:rsidR="00874034">
        <w:rPr>
          <w:lang w:val="pl-PL"/>
        </w:rPr>
        <w:t>a, w tym zwłaszcza, czy jest on</w:t>
      </w:r>
      <w:r w:rsidR="00CA5A1D">
        <w:rPr>
          <w:lang w:val="pl-PL"/>
        </w:rPr>
        <w:t xml:space="preserve"> jedyną lub decydującą p</w:t>
      </w:r>
      <w:r w:rsidR="00262DF4">
        <w:rPr>
          <w:lang w:val="pl-PL"/>
        </w:rPr>
        <w:t xml:space="preserve">odstawą do skazania. Wówczas, </w:t>
      </w:r>
      <w:r w:rsidR="00CA5A1D">
        <w:rPr>
          <w:lang w:val="pl-PL"/>
        </w:rPr>
        <w:t>od wagi tego d</w:t>
      </w:r>
      <w:r w:rsidR="00FE33D8">
        <w:rPr>
          <w:lang w:val="pl-PL"/>
        </w:rPr>
        <w:t>owodu</w:t>
      </w:r>
      <w:r w:rsidR="00CA5A1D">
        <w:rPr>
          <w:lang w:val="pl-PL"/>
        </w:rPr>
        <w:t xml:space="preserve"> zależeć będzie, jakie znaczenie będą miały czynniki równoważące dla oceny ogólnej rzetelności procesu. </w:t>
      </w:r>
      <w:r w:rsidR="004218FB" w:rsidRPr="003A3C7F">
        <w:rPr>
          <w:color w:val="222222"/>
          <w:lang w:val="pl-PL" w:eastAsia="pl-PL"/>
        </w:rPr>
        <w:t>Jednak</w:t>
      </w:r>
      <w:r w:rsidR="00111D56" w:rsidRPr="003A3C7F">
        <w:rPr>
          <w:color w:val="222222"/>
          <w:lang w:val="pl-PL" w:eastAsia="pl-PL"/>
        </w:rPr>
        <w:t xml:space="preserve">że wszystkie trzy </w:t>
      </w:r>
      <w:r w:rsidR="004218FB" w:rsidRPr="003A3C7F">
        <w:rPr>
          <w:color w:val="222222"/>
          <w:lang w:val="pl-PL" w:eastAsia="pl-PL"/>
        </w:rPr>
        <w:t>etapy testu są wzajemnie powiązane i wzięte pod uwagę łącznie mog</w:t>
      </w:r>
      <w:r w:rsidR="00111D56" w:rsidRPr="003A3C7F">
        <w:rPr>
          <w:color w:val="222222"/>
          <w:lang w:val="pl-PL" w:eastAsia="pl-PL"/>
        </w:rPr>
        <w:t xml:space="preserve">ą służyć do ustalenia, </w:t>
      </w:r>
      <w:r w:rsidR="004218FB" w:rsidRPr="003A3C7F">
        <w:rPr>
          <w:color w:val="222222"/>
          <w:lang w:val="pl-PL" w:eastAsia="pl-PL"/>
        </w:rPr>
        <w:t xml:space="preserve">czy całe postępowanie było rzetelne. </w:t>
      </w:r>
      <w:r w:rsidR="003A55E1">
        <w:rPr>
          <w:color w:val="222222"/>
          <w:lang w:val="pl-PL" w:eastAsia="pl-PL"/>
        </w:rPr>
        <w:t xml:space="preserve">W </w:t>
      </w:r>
      <w:r w:rsidR="00262DF4">
        <w:rPr>
          <w:color w:val="222222"/>
          <w:lang w:val="pl-PL" w:eastAsia="pl-PL"/>
        </w:rPr>
        <w:t>konkretnej</w:t>
      </w:r>
      <w:r w:rsidR="003A3C7F" w:rsidRPr="003A3C7F">
        <w:rPr>
          <w:color w:val="222222"/>
          <w:lang w:val="pl-PL" w:eastAsia="pl-PL"/>
        </w:rPr>
        <w:t xml:space="preserve"> sprawie </w:t>
      </w:r>
      <w:r w:rsidR="003A55E1">
        <w:rPr>
          <w:color w:val="222222"/>
          <w:lang w:val="pl-PL" w:eastAsia="pl-PL"/>
        </w:rPr>
        <w:t xml:space="preserve">może być stosowne </w:t>
      </w:r>
      <w:r w:rsidR="004218FB" w:rsidRPr="002412B4">
        <w:rPr>
          <w:color w:val="222222"/>
          <w:lang w:val="pl-PL" w:eastAsia="pl-PL"/>
        </w:rPr>
        <w:t xml:space="preserve">przeprowadzenie testu </w:t>
      </w:r>
      <w:r w:rsidR="003A3C7F" w:rsidRPr="002412B4">
        <w:rPr>
          <w:color w:val="222222"/>
          <w:lang w:val="pl-PL" w:eastAsia="pl-PL"/>
        </w:rPr>
        <w:t>w innej kolejności</w:t>
      </w:r>
      <w:r w:rsidR="004218FB" w:rsidRPr="002412B4">
        <w:rPr>
          <w:color w:val="222222"/>
          <w:lang w:val="pl-PL" w:eastAsia="pl-PL"/>
        </w:rPr>
        <w:t xml:space="preserve">, w </w:t>
      </w:r>
      <w:r w:rsidR="004218FB" w:rsidRPr="003A3C7F">
        <w:rPr>
          <w:color w:val="222222"/>
          <w:lang w:val="pl-PL" w:eastAsia="pl-PL"/>
        </w:rPr>
        <w:t xml:space="preserve">szczególności, jeśli jeden z </w:t>
      </w:r>
      <w:r w:rsidR="003A55E1">
        <w:rPr>
          <w:color w:val="222222"/>
          <w:lang w:val="pl-PL" w:eastAsia="pl-PL"/>
        </w:rPr>
        <w:t xml:space="preserve">jego </w:t>
      </w:r>
      <w:r w:rsidR="003A3C7F" w:rsidRPr="003A3C7F">
        <w:rPr>
          <w:color w:val="222222"/>
          <w:lang w:val="pl-PL" w:eastAsia="pl-PL"/>
        </w:rPr>
        <w:t>elementów</w:t>
      </w:r>
      <w:r w:rsidR="004218FB" w:rsidRPr="003A3C7F">
        <w:rPr>
          <w:color w:val="222222"/>
          <w:lang w:val="pl-PL" w:eastAsia="pl-PL"/>
        </w:rPr>
        <w:t xml:space="preserve"> mógłby być decydujący dla oceny rzetelności postępowania.</w:t>
      </w:r>
    </w:p>
    <w:p w:rsidR="00F4451A" w:rsidRDefault="00F4451A" w:rsidP="00E65593">
      <w:pPr>
        <w:spacing w:after="120" w:line="240" w:lineRule="auto"/>
        <w:jc w:val="both"/>
        <w:rPr>
          <w:color w:val="222222"/>
          <w:lang w:val="pl-PL" w:eastAsia="pl-PL"/>
        </w:rPr>
      </w:pPr>
      <w:r>
        <w:rPr>
          <w:color w:val="222222"/>
          <w:lang w:val="pl-PL" w:eastAsia="pl-PL"/>
        </w:rPr>
        <w:t>Trybunał podsumował również swe dotychczasowe orzecznictwo, wskazując na okoliczności, które mają znaczenie dla oceny poszczególnych etapów testu</w:t>
      </w:r>
      <w:r w:rsidR="00F96355">
        <w:rPr>
          <w:color w:val="222222"/>
          <w:lang w:val="pl-PL" w:eastAsia="pl-PL"/>
        </w:rPr>
        <w:t>:</w:t>
      </w:r>
    </w:p>
    <w:p w:rsidR="00F4451A" w:rsidRDefault="00F4451A" w:rsidP="00243652">
      <w:pPr>
        <w:pStyle w:val="Akapitzlist"/>
        <w:numPr>
          <w:ilvl w:val="0"/>
          <w:numId w:val="16"/>
        </w:numPr>
        <w:spacing w:after="120" w:line="240" w:lineRule="auto"/>
        <w:ind w:left="357" w:hanging="357"/>
        <w:contextualSpacing w:val="0"/>
        <w:jc w:val="both"/>
        <w:rPr>
          <w:color w:val="222222"/>
          <w:lang w:val="pl-PL" w:eastAsia="pl-PL"/>
        </w:rPr>
      </w:pPr>
      <w:r>
        <w:rPr>
          <w:color w:val="222222"/>
          <w:lang w:val="pl-PL" w:eastAsia="pl-PL"/>
        </w:rPr>
        <w:lastRenderedPageBreak/>
        <w:t xml:space="preserve">uzasadniony powód nieobecności świadka musi istnieć z punktu widzenia sądu, tj. sąd musi mieć podstawy prawne i faktyczne dla niezapewnienia stawienia się świadka na rozprawie. </w:t>
      </w:r>
      <w:r w:rsidR="000F7D5A">
        <w:rPr>
          <w:color w:val="222222"/>
          <w:lang w:val="pl-PL" w:eastAsia="pl-PL"/>
        </w:rPr>
        <w:t xml:space="preserve">W przypadku, gdy </w:t>
      </w:r>
      <w:r w:rsidR="004F74A7">
        <w:rPr>
          <w:color w:val="222222"/>
          <w:lang w:val="pl-PL" w:eastAsia="pl-PL"/>
        </w:rPr>
        <w:t>świadek jest poza zasięgiem sądu</w:t>
      </w:r>
      <w:r w:rsidR="000F7D5A">
        <w:rPr>
          <w:color w:val="222222"/>
          <w:lang w:val="pl-PL" w:eastAsia="pl-PL"/>
        </w:rPr>
        <w:t xml:space="preserve">, konieczne jest, by sąd podjął wszystkie rozsądnie możliwe wysiłki w celu zapewnienia jego udziału. Fakt, że świadka nie można odnaleźć bądź opuścił kraj nie jest sam w sobie wystarczający  z punktu widzenia wymogów art. 6 </w:t>
      </w:r>
      <w:r w:rsidR="00262DF4">
        <w:rPr>
          <w:color w:val="222222"/>
          <w:lang w:val="pl-PL" w:eastAsia="pl-PL"/>
        </w:rPr>
        <w:t xml:space="preserve"> </w:t>
      </w:r>
      <w:r w:rsidR="000F7D5A">
        <w:rPr>
          <w:color w:val="222222"/>
          <w:lang w:val="pl-PL" w:eastAsia="pl-PL"/>
        </w:rPr>
        <w:t xml:space="preserve">ust. 3 </w:t>
      </w:r>
      <w:r w:rsidR="00262DF4">
        <w:rPr>
          <w:color w:val="222222"/>
          <w:lang w:val="pl-PL" w:eastAsia="pl-PL"/>
        </w:rPr>
        <w:t xml:space="preserve"> </w:t>
      </w:r>
      <w:r w:rsidR="000F7D5A">
        <w:rPr>
          <w:color w:val="222222"/>
          <w:lang w:val="pl-PL" w:eastAsia="pl-PL"/>
        </w:rPr>
        <w:t>lit. d</w:t>
      </w:r>
      <w:r w:rsidR="004F74A7">
        <w:rPr>
          <w:color w:val="222222"/>
          <w:lang w:val="pl-PL" w:eastAsia="pl-PL"/>
        </w:rPr>
        <w:t>.</w:t>
      </w:r>
      <w:r w:rsidR="000F7D5A">
        <w:rPr>
          <w:color w:val="222222"/>
          <w:lang w:val="pl-PL" w:eastAsia="pl-PL"/>
        </w:rPr>
        <w:t xml:space="preserve"> </w:t>
      </w:r>
      <w:r w:rsidR="004F74A7">
        <w:rPr>
          <w:color w:val="222222"/>
          <w:lang w:val="pl-PL" w:eastAsia="pl-PL"/>
        </w:rPr>
        <w:t>K</w:t>
      </w:r>
      <w:r w:rsidR="000F7D5A">
        <w:rPr>
          <w:color w:val="222222"/>
          <w:lang w:val="pl-PL" w:eastAsia="pl-PL"/>
        </w:rPr>
        <w:t>onieczne jest bowiem podejmowanie przez państwo działań pozytywnych w celu umożliwienia oskarżonemu przesłuchania lub spowodowania przesłuchania świadka oskarżenia. Oznacza to również obowiąze</w:t>
      </w:r>
      <w:r w:rsidR="00262DF4">
        <w:rPr>
          <w:color w:val="222222"/>
          <w:lang w:val="pl-PL" w:eastAsia="pl-PL"/>
        </w:rPr>
        <w:t>k dokładnego zbadania przez sąd</w:t>
      </w:r>
      <w:r w:rsidR="000F7D5A">
        <w:rPr>
          <w:color w:val="222222"/>
          <w:lang w:val="pl-PL" w:eastAsia="pl-PL"/>
        </w:rPr>
        <w:t xml:space="preserve"> powodów niemożliwości stawiennictwa świadka na rozprawie z uwzględnieniem szczególnej sytuacji każdego świadka. </w:t>
      </w:r>
    </w:p>
    <w:p w:rsidR="00556412" w:rsidRDefault="00F96355" w:rsidP="00243652">
      <w:pPr>
        <w:pStyle w:val="Akapitzlist"/>
        <w:numPr>
          <w:ilvl w:val="0"/>
          <w:numId w:val="16"/>
        </w:numPr>
        <w:spacing w:after="120" w:line="240" w:lineRule="auto"/>
        <w:ind w:left="357" w:hanging="357"/>
        <w:contextualSpacing w:val="0"/>
        <w:jc w:val="both"/>
        <w:rPr>
          <w:color w:val="222222"/>
          <w:lang w:val="pl-PL" w:eastAsia="pl-PL"/>
        </w:rPr>
      </w:pPr>
      <w:r w:rsidRPr="00556412">
        <w:rPr>
          <w:color w:val="222222"/>
          <w:lang w:val="pl-PL" w:eastAsia="pl-PL"/>
        </w:rPr>
        <w:t xml:space="preserve">to, </w:t>
      </w:r>
      <w:r w:rsidR="00F8387A" w:rsidRPr="00556412">
        <w:rPr>
          <w:color w:val="222222"/>
          <w:lang w:val="pl-PL" w:eastAsia="pl-PL"/>
        </w:rPr>
        <w:t xml:space="preserve">czy dany dowód jest jedyny lub decydujący zależy w pierwszej kolejności od uznania go za taki w wyroku sądów krajowych, choć podlega to </w:t>
      </w:r>
      <w:r w:rsidR="004F74A7">
        <w:rPr>
          <w:color w:val="222222"/>
          <w:lang w:val="pl-PL" w:eastAsia="pl-PL"/>
        </w:rPr>
        <w:t xml:space="preserve">ocenie </w:t>
      </w:r>
      <w:r w:rsidR="00556412" w:rsidRPr="00556412">
        <w:rPr>
          <w:color w:val="222222"/>
          <w:lang w:val="pl-PL" w:eastAsia="pl-PL"/>
        </w:rPr>
        <w:t xml:space="preserve">również </w:t>
      </w:r>
      <w:r w:rsidR="00F8387A" w:rsidRPr="00556412">
        <w:rPr>
          <w:color w:val="222222"/>
          <w:lang w:val="pl-PL" w:eastAsia="pl-PL"/>
        </w:rPr>
        <w:t xml:space="preserve">przez Trybunał. W przypadku, gdy sądy krajowe nie dokonały takiej oceny lub ich stanowisko jest niejasne, oceny takiej dokonać musi Trybunał. </w:t>
      </w:r>
    </w:p>
    <w:p w:rsidR="00AF1023" w:rsidRPr="00556412" w:rsidRDefault="00915062" w:rsidP="005C7BED">
      <w:pPr>
        <w:pStyle w:val="Akapitzlist"/>
        <w:numPr>
          <w:ilvl w:val="0"/>
          <w:numId w:val="16"/>
        </w:numPr>
        <w:spacing w:after="240" w:line="240" w:lineRule="auto"/>
        <w:ind w:left="357" w:hanging="357"/>
        <w:contextualSpacing w:val="0"/>
        <w:jc w:val="both"/>
        <w:rPr>
          <w:color w:val="222222"/>
          <w:lang w:val="pl-PL" w:eastAsia="pl-PL"/>
        </w:rPr>
      </w:pPr>
      <w:r w:rsidRPr="00556412">
        <w:rPr>
          <w:color w:val="222222"/>
          <w:lang w:val="pl-PL" w:eastAsia="pl-PL"/>
        </w:rPr>
        <w:t>czynniki równoważące</w:t>
      </w:r>
      <w:r w:rsidR="00556412">
        <w:rPr>
          <w:color w:val="222222"/>
          <w:lang w:val="pl-PL" w:eastAsia="pl-PL"/>
        </w:rPr>
        <w:t xml:space="preserve"> to takie, które</w:t>
      </w:r>
      <w:r w:rsidRPr="00556412">
        <w:rPr>
          <w:color w:val="222222"/>
          <w:lang w:val="pl-PL" w:eastAsia="pl-PL"/>
        </w:rPr>
        <w:t xml:space="preserve"> </w:t>
      </w:r>
      <w:r w:rsidR="00556412">
        <w:rPr>
          <w:color w:val="222222"/>
          <w:lang w:val="pl-PL" w:eastAsia="pl-PL"/>
        </w:rPr>
        <w:t>pozwolą</w:t>
      </w:r>
      <w:r w:rsidRPr="00556412">
        <w:rPr>
          <w:color w:val="222222"/>
          <w:lang w:val="pl-PL" w:eastAsia="pl-PL"/>
        </w:rPr>
        <w:t xml:space="preserve"> na dokonanie rzetelnej i odpowiedniej oceny wiarygodności dowodów z nieobecnego świadka. Trybunał podał przykłady takich czynników: sąd z ostrożnością podszedł do </w:t>
      </w:r>
      <w:r w:rsidR="00AE38D1" w:rsidRPr="00556412">
        <w:rPr>
          <w:color w:val="222222"/>
          <w:lang w:val="pl-PL" w:eastAsia="pl-PL"/>
        </w:rPr>
        <w:t xml:space="preserve">niesprawdzonego dowodu; </w:t>
      </w:r>
      <w:r w:rsidR="00556412">
        <w:rPr>
          <w:color w:val="222222"/>
          <w:lang w:val="pl-PL" w:eastAsia="pl-PL"/>
        </w:rPr>
        <w:t xml:space="preserve">sąd </w:t>
      </w:r>
      <w:r w:rsidR="00AE38D1" w:rsidRPr="00556412">
        <w:rPr>
          <w:color w:val="222222"/>
          <w:lang w:val="pl-PL" w:eastAsia="pl-PL"/>
        </w:rPr>
        <w:t xml:space="preserve">wykazał, że jest świadom obniżonej wartości dowodowej takich zeznań; </w:t>
      </w:r>
      <w:r w:rsidR="00556412">
        <w:rPr>
          <w:color w:val="222222"/>
          <w:lang w:val="pl-PL" w:eastAsia="pl-PL"/>
        </w:rPr>
        <w:t>sąd wskazał</w:t>
      </w:r>
      <w:r w:rsidR="00AE38D1" w:rsidRPr="00556412">
        <w:rPr>
          <w:color w:val="222222"/>
          <w:lang w:val="pl-PL" w:eastAsia="pl-PL"/>
        </w:rPr>
        <w:t xml:space="preserve"> szczegółowe powody, dlaczego </w:t>
      </w:r>
      <w:r w:rsidR="00556412">
        <w:rPr>
          <w:color w:val="222222"/>
          <w:lang w:val="pl-PL" w:eastAsia="pl-PL"/>
        </w:rPr>
        <w:t>uznał</w:t>
      </w:r>
      <w:r w:rsidR="00AE38D1" w:rsidRPr="00556412">
        <w:rPr>
          <w:color w:val="222222"/>
          <w:lang w:val="pl-PL" w:eastAsia="pl-PL"/>
        </w:rPr>
        <w:t xml:space="preserve"> dany dowód za wiarygodny, mając na względzie również inne dowody; </w:t>
      </w:r>
      <w:r w:rsidR="00F45DC1">
        <w:rPr>
          <w:color w:val="222222"/>
          <w:lang w:val="pl-PL" w:eastAsia="pl-PL"/>
        </w:rPr>
        <w:t>dostępne jest nagranie</w:t>
      </w:r>
      <w:r w:rsidR="00AE38D1" w:rsidRPr="00556412">
        <w:rPr>
          <w:color w:val="222222"/>
          <w:lang w:val="pl-PL" w:eastAsia="pl-PL"/>
        </w:rPr>
        <w:t xml:space="preserve"> video z przesłuchania nieobecnego świadka; dostępn</w:t>
      </w:r>
      <w:r w:rsidR="00F45DC1">
        <w:rPr>
          <w:color w:val="222222"/>
          <w:lang w:val="pl-PL" w:eastAsia="pl-PL"/>
        </w:rPr>
        <w:t>e są inne dowody potwierdzające</w:t>
      </w:r>
      <w:r w:rsidR="00AE38D1" w:rsidRPr="00556412">
        <w:rPr>
          <w:color w:val="222222"/>
          <w:lang w:val="pl-PL" w:eastAsia="pl-PL"/>
        </w:rPr>
        <w:t xml:space="preserve"> zeznania nieobecnego świadka, </w:t>
      </w:r>
      <w:r w:rsidR="00F45DC1">
        <w:rPr>
          <w:color w:val="222222"/>
          <w:lang w:val="pl-PL" w:eastAsia="pl-PL"/>
        </w:rPr>
        <w:t>dowody</w:t>
      </w:r>
      <w:r w:rsidR="00AE38D1" w:rsidRPr="00556412">
        <w:rPr>
          <w:color w:val="222222"/>
          <w:lang w:val="pl-PL" w:eastAsia="pl-PL"/>
        </w:rPr>
        <w:t xml:space="preserve"> z opinii biegłych, itp.; </w:t>
      </w:r>
      <w:r w:rsidR="00F45DC1">
        <w:rPr>
          <w:color w:val="222222"/>
          <w:lang w:val="pl-PL" w:eastAsia="pl-PL"/>
        </w:rPr>
        <w:t xml:space="preserve">występują </w:t>
      </w:r>
      <w:r w:rsidR="00556412">
        <w:rPr>
          <w:color w:val="222222"/>
          <w:lang w:val="pl-PL" w:eastAsia="pl-PL"/>
        </w:rPr>
        <w:t xml:space="preserve">duże </w:t>
      </w:r>
      <w:r w:rsidR="00AE38D1" w:rsidRPr="00556412">
        <w:rPr>
          <w:color w:val="222222"/>
          <w:lang w:val="pl-PL" w:eastAsia="pl-PL"/>
        </w:rPr>
        <w:t xml:space="preserve">podobieństwa w opisie sytuacji podane przez nieobecnego świadka i innych </w:t>
      </w:r>
      <w:r w:rsidR="00556412">
        <w:rPr>
          <w:color w:val="222222"/>
          <w:lang w:val="pl-PL" w:eastAsia="pl-PL"/>
        </w:rPr>
        <w:t xml:space="preserve">obecnych </w:t>
      </w:r>
      <w:r w:rsidR="00AE38D1" w:rsidRPr="00556412">
        <w:rPr>
          <w:color w:val="222222"/>
          <w:lang w:val="pl-PL" w:eastAsia="pl-PL"/>
        </w:rPr>
        <w:t>świadków</w:t>
      </w:r>
      <w:r w:rsidR="00F96355" w:rsidRPr="00556412">
        <w:rPr>
          <w:color w:val="222222"/>
          <w:lang w:val="pl-PL" w:eastAsia="pl-PL"/>
        </w:rPr>
        <w:t xml:space="preserve"> (w sytuacji, gdy brak jest ryzyka zmowy), zwłaszcza, jeśli świadków </w:t>
      </w:r>
      <w:r w:rsidR="004F74A7" w:rsidRPr="00556412">
        <w:rPr>
          <w:color w:val="222222"/>
          <w:lang w:val="pl-PL" w:eastAsia="pl-PL"/>
        </w:rPr>
        <w:t xml:space="preserve">tych </w:t>
      </w:r>
      <w:r w:rsidR="00F96355" w:rsidRPr="00556412">
        <w:rPr>
          <w:color w:val="222222"/>
          <w:lang w:val="pl-PL" w:eastAsia="pl-PL"/>
        </w:rPr>
        <w:t>można było poddać dokładnemu przesłuchaniu na rozprawie</w:t>
      </w:r>
      <w:r w:rsidR="00AE38D1" w:rsidRPr="00556412">
        <w:rPr>
          <w:color w:val="222222"/>
          <w:lang w:val="pl-PL" w:eastAsia="pl-PL"/>
        </w:rPr>
        <w:t xml:space="preserve">; </w:t>
      </w:r>
      <w:r w:rsidR="00F45DC1">
        <w:rPr>
          <w:color w:val="222222"/>
          <w:lang w:val="pl-PL" w:eastAsia="pl-PL"/>
        </w:rPr>
        <w:t xml:space="preserve">jest </w:t>
      </w:r>
      <w:r w:rsidR="00AE38D1" w:rsidRPr="00556412">
        <w:rPr>
          <w:color w:val="222222"/>
          <w:lang w:val="pl-PL" w:eastAsia="pl-PL"/>
        </w:rPr>
        <w:t xml:space="preserve">możliwość zadania pytań nieobecnemu świadkowi w sposób pośredni, np. drogą pisemną; </w:t>
      </w:r>
      <w:r w:rsidR="00F45DC1">
        <w:rPr>
          <w:color w:val="222222"/>
          <w:lang w:val="pl-PL" w:eastAsia="pl-PL"/>
        </w:rPr>
        <w:t xml:space="preserve">jest </w:t>
      </w:r>
      <w:r w:rsidR="00AE38D1" w:rsidRPr="00556412">
        <w:rPr>
          <w:color w:val="222222"/>
          <w:lang w:val="pl-PL" w:eastAsia="pl-PL"/>
        </w:rPr>
        <w:t xml:space="preserve">możliwość przesłuchania świadka przez obronę na etapie postępowania przygotowawczego. </w:t>
      </w:r>
      <w:r w:rsidR="00F96355" w:rsidRPr="00556412">
        <w:rPr>
          <w:color w:val="222222"/>
          <w:lang w:val="pl-PL" w:eastAsia="pl-PL"/>
        </w:rPr>
        <w:t xml:space="preserve">Oskarżony musi mieć też możliwość podania własnej wersji wydarzeń i podważania wiarygodności zeznań nieobecnego świadka, wskazywania niespójności zeznań itp. </w:t>
      </w:r>
    </w:p>
    <w:p w:rsidR="004218FB" w:rsidRPr="004218FB" w:rsidRDefault="004218FB" w:rsidP="005C7BED">
      <w:pPr>
        <w:spacing w:after="240" w:line="240" w:lineRule="auto"/>
        <w:jc w:val="both"/>
        <w:rPr>
          <w:rFonts w:cs="Arial"/>
          <w:color w:val="222222"/>
          <w:lang w:val="pl-PL"/>
        </w:rPr>
      </w:pPr>
      <w:r w:rsidRPr="004218FB">
        <w:rPr>
          <w:rStyle w:val="hps"/>
          <w:rFonts w:cs="Arial"/>
          <w:color w:val="222222"/>
          <w:lang w:val="pl-PL"/>
        </w:rPr>
        <w:t>Trybunał</w:t>
      </w:r>
      <w:r w:rsidRPr="004218FB">
        <w:rPr>
          <w:rFonts w:cs="Arial"/>
          <w:color w:val="222222"/>
          <w:lang w:val="pl-PL"/>
        </w:rPr>
        <w:t xml:space="preserve"> </w:t>
      </w:r>
      <w:r w:rsidRPr="004218FB">
        <w:rPr>
          <w:rStyle w:val="hps"/>
          <w:rFonts w:cs="Arial"/>
          <w:color w:val="222222"/>
          <w:lang w:val="pl-PL"/>
        </w:rPr>
        <w:t>zastosował</w:t>
      </w:r>
      <w:r w:rsidRPr="004218FB">
        <w:rPr>
          <w:rFonts w:cs="Arial"/>
          <w:color w:val="222222"/>
          <w:lang w:val="pl-PL"/>
        </w:rPr>
        <w:t xml:space="preserve"> </w:t>
      </w:r>
      <w:r w:rsidRPr="004218FB">
        <w:rPr>
          <w:rStyle w:val="hps"/>
          <w:rFonts w:cs="Arial"/>
          <w:color w:val="222222"/>
          <w:lang w:val="pl-PL"/>
        </w:rPr>
        <w:t>test</w:t>
      </w:r>
      <w:r w:rsidRPr="004218FB">
        <w:rPr>
          <w:rFonts w:cs="Arial"/>
          <w:color w:val="222222"/>
          <w:lang w:val="pl-PL"/>
        </w:rPr>
        <w:t xml:space="preserve"> </w:t>
      </w:r>
      <w:r w:rsidRPr="004F74A7">
        <w:rPr>
          <w:rStyle w:val="hps"/>
          <w:rFonts w:cs="Arial"/>
          <w:i/>
          <w:color w:val="222222"/>
          <w:lang w:val="pl-PL"/>
        </w:rPr>
        <w:t>Al</w:t>
      </w:r>
      <w:r w:rsidRPr="004F74A7">
        <w:rPr>
          <w:rStyle w:val="atn"/>
          <w:rFonts w:cs="Arial"/>
          <w:i/>
          <w:color w:val="222222"/>
          <w:lang w:val="pl-PL"/>
        </w:rPr>
        <w:t>-</w:t>
      </w:r>
      <w:proofErr w:type="spellStart"/>
      <w:r w:rsidRPr="004F74A7">
        <w:rPr>
          <w:rFonts w:cs="Arial"/>
          <w:i/>
          <w:color w:val="222222"/>
          <w:lang w:val="pl-PL"/>
        </w:rPr>
        <w:t>Khawaja</w:t>
      </w:r>
      <w:proofErr w:type="spellEnd"/>
      <w:r w:rsidRPr="004218FB">
        <w:rPr>
          <w:rFonts w:cs="Arial"/>
          <w:color w:val="222222"/>
          <w:lang w:val="pl-PL"/>
        </w:rPr>
        <w:t xml:space="preserve"> </w:t>
      </w:r>
      <w:r w:rsidR="002412B4">
        <w:rPr>
          <w:rFonts w:cs="Arial"/>
          <w:color w:val="222222"/>
          <w:lang w:val="pl-PL"/>
        </w:rPr>
        <w:t xml:space="preserve">do faktów </w:t>
      </w:r>
      <w:r w:rsidRPr="004218FB">
        <w:rPr>
          <w:rStyle w:val="hps"/>
          <w:rFonts w:cs="Arial"/>
          <w:color w:val="222222"/>
          <w:lang w:val="pl-PL"/>
        </w:rPr>
        <w:t>sprawy skarżącego</w:t>
      </w:r>
      <w:r w:rsidR="002412B4">
        <w:rPr>
          <w:rStyle w:val="hps"/>
          <w:rFonts w:cs="Arial"/>
          <w:color w:val="222222"/>
          <w:lang w:val="pl-PL"/>
        </w:rPr>
        <w:t xml:space="preserve"> w następujący sposób</w:t>
      </w:r>
      <w:r w:rsidRPr="004218FB">
        <w:rPr>
          <w:rFonts w:cs="Arial"/>
          <w:color w:val="222222"/>
          <w:lang w:val="pl-PL"/>
        </w:rPr>
        <w:t>:</w:t>
      </w:r>
    </w:p>
    <w:p w:rsidR="004218FB" w:rsidRPr="00243652" w:rsidRDefault="004218FB" w:rsidP="00E65593">
      <w:pPr>
        <w:spacing w:after="120" w:line="240" w:lineRule="auto"/>
        <w:jc w:val="both"/>
        <w:rPr>
          <w:rFonts w:cs="Arial"/>
          <w:i/>
          <w:color w:val="222222"/>
          <w:lang w:val="pl-PL"/>
        </w:rPr>
      </w:pPr>
      <w:r w:rsidRPr="00243652">
        <w:rPr>
          <w:rFonts w:cs="Arial"/>
          <w:i/>
          <w:color w:val="222222"/>
          <w:lang w:val="pl-PL"/>
        </w:rPr>
        <w:t>1</w:t>
      </w:r>
      <w:r w:rsidR="00944367" w:rsidRPr="00243652">
        <w:rPr>
          <w:rFonts w:cs="Arial"/>
          <w:i/>
          <w:color w:val="222222"/>
          <w:lang w:val="pl-PL"/>
        </w:rPr>
        <w:t>)</w:t>
      </w:r>
      <w:r w:rsidRPr="00243652">
        <w:rPr>
          <w:rFonts w:cs="Arial"/>
          <w:i/>
          <w:color w:val="222222"/>
          <w:lang w:val="pl-PL"/>
        </w:rPr>
        <w:t xml:space="preserve"> czy </w:t>
      </w:r>
      <w:r w:rsidRPr="00243652">
        <w:rPr>
          <w:rFonts w:eastAsia="Times New Roman" w:cs="Times New Roman"/>
          <w:i/>
          <w:color w:val="222222"/>
          <w:lang w:val="pl-PL" w:eastAsia="pl-PL"/>
        </w:rPr>
        <w:t>istniała uzasadniona</w:t>
      </w:r>
      <w:r w:rsidR="00165714" w:rsidRPr="00243652">
        <w:rPr>
          <w:rFonts w:eastAsia="Times New Roman" w:cs="Times New Roman"/>
          <w:i/>
          <w:color w:val="222222"/>
          <w:lang w:val="pl-PL" w:eastAsia="pl-PL"/>
        </w:rPr>
        <w:t xml:space="preserve"> przyczyna nieobecności świadka?</w:t>
      </w:r>
    </w:p>
    <w:p w:rsidR="004218FB" w:rsidRDefault="004218FB" w:rsidP="005C7BED">
      <w:pPr>
        <w:spacing w:after="240" w:line="240" w:lineRule="auto"/>
        <w:jc w:val="both"/>
        <w:rPr>
          <w:rFonts w:cs="Arial"/>
          <w:color w:val="222222"/>
          <w:lang w:val="pl-PL"/>
        </w:rPr>
      </w:pPr>
      <w:r w:rsidRPr="004218FB">
        <w:rPr>
          <w:lang w:val="pl-PL"/>
        </w:rPr>
        <w:t>Trybunał</w:t>
      </w:r>
      <w:r w:rsidRPr="004218FB">
        <w:rPr>
          <w:rStyle w:val="hps"/>
          <w:rFonts w:cs="Arial"/>
          <w:color w:val="222222"/>
          <w:lang w:val="pl-PL"/>
        </w:rPr>
        <w:t xml:space="preserve"> zauważył</w:t>
      </w:r>
      <w:r w:rsidRPr="004218FB">
        <w:rPr>
          <w:rFonts w:cs="Arial"/>
          <w:color w:val="222222"/>
          <w:lang w:val="pl-PL"/>
        </w:rPr>
        <w:t xml:space="preserve">, </w:t>
      </w:r>
      <w:r w:rsidRPr="004218FB">
        <w:rPr>
          <w:rStyle w:val="hps"/>
          <w:rFonts w:cs="Arial"/>
          <w:color w:val="222222"/>
          <w:lang w:val="pl-PL"/>
        </w:rPr>
        <w:t>że</w:t>
      </w:r>
      <w:r w:rsidRPr="004218FB">
        <w:rPr>
          <w:rFonts w:cs="Arial"/>
          <w:color w:val="222222"/>
          <w:lang w:val="pl-PL"/>
        </w:rPr>
        <w:t xml:space="preserve"> </w:t>
      </w:r>
      <w:r w:rsidRPr="004218FB">
        <w:rPr>
          <w:rStyle w:val="hps"/>
          <w:rFonts w:cs="Arial"/>
          <w:color w:val="222222"/>
          <w:lang w:val="pl-PL"/>
        </w:rPr>
        <w:t>sąd krajowy</w:t>
      </w:r>
      <w:r w:rsidRPr="004218FB">
        <w:rPr>
          <w:rFonts w:cs="Arial"/>
          <w:color w:val="222222"/>
          <w:lang w:val="pl-PL"/>
        </w:rPr>
        <w:t xml:space="preserve"> </w:t>
      </w:r>
      <w:r w:rsidRPr="004218FB">
        <w:rPr>
          <w:lang w:val="pl-PL"/>
        </w:rPr>
        <w:t>uczynił wszystko, co było w jego mocy, aby zapewnić stawiennictwo pokrzywdzonych</w:t>
      </w:r>
      <w:r w:rsidR="002412B4">
        <w:rPr>
          <w:lang w:val="pl-PL"/>
        </w:rPr>
        <w:t>. W tym celu</w:t>
      </w:r>
      <w:r w:rsidR="00CE0DCD">
        <w:rPr>
          <w:lang w:val="pl-PL"/>
        </w:rPr>
        <w:t xml:space="preserve"> m.in. kontaktował się indywidualnie ze świadkami i proponował różne rozwiązania, a także kilkakrotnie zwracał się do sądów łotewskich o </w:t>
      </w:r>
      <w:r w:rsidR="00D932EB">
        <w:rPr>
          <w:lang w:val="pl-PL"/>
        </w:rPr>
        <w:t xml:space="preserve">zbadanie stanu zdrowia i zdolności </w:t>
      </w:r>
      <w:r w:rsidR="00000779">
        <w:rPr>
          <w:lang w:val="pl-PL"/>
        </w:rPr>
        <w:t xml:space="preserve">świadków </w:t>
      </w:r>
      <w:r w:rsidR="00D932EB">
        <w:rPr>
          <w:lang w:val="pl-PL"/>
        </w:rPr>
        <w:t>do składania zeznań lub o zobowiązanie ich do stawi</w:t>
      </w:r>
      <w:r w:rsidR="00000779">
        <w:rPr>
          <w:lang w:val="pl-PL"/>
        </w:rPr>
        <w:t>enia się na rozprawie na Łotwie</w:t>
      </w:r>
      <w:r w:rsidRPr="004218FB">
        <w:rPr>
          <w:lang w:val="pl-PL"/>
        </w:rPr>
        <w:t>.</w:t>
      </w:r>
      <w:r w:rsidRPr="004218FB">
        <w:rPr>
          <w:rStyle w:val="hps"/>
          <w:rFonts w:cs="Arial"/>
          <w:color w:val="222222"/>
          <w:lang w:val="pl-PL"/>
        </w:rPr>
        <w:t xml:space="preserve"> </w:t>
      </w:r>
      <w:r w:rsidR="00000779">
        <w:rPr>
          <w:rStyle w:val="hps"/>
          <w:rFonts w:cs="Arial"/>
          <w:color w:val="222222"/>
          <w:lang w:val="pl-PL"/>
        </w:rPr>
        <w:t>Ostatecznie, z</w:t>
      </w:r>
      <w:r w:rsidRPr="004218FB">
        <w:rPr>
          <w:rStyle w:val="hps"/>
          <w:rFonts w:cs="Arial"/>
          <w:color w:val="222222"/>
          <w:lang w:val="pl-PL"/>
        </w:rPr>
        <w:t xml:space="preserve"> powodu</w:t>
      </w:r>
      <w:r w:rsidR="00000779">
        <w:rPr>
          <w:rStyle w:val="hps"/>
          <w:rFonts w:cs="Arial"/>
          <w:color w:val="222222"/>
          <w:lang w:val="pl-PL"/>
        </w:rPr>
        <w:t xml:space="preserve"> niepowodzenia tych</w:t>
      </w:r>
      <w:r w:rsidRPr="004218FB">
        <w:rPr>
          <w:rStyle w:val="hps"/>
          <w:rFonts w:cs="Arial"/>
          <w:color w:val="222222"/>
          <w:lang w:val="pl-PL"/>
        </w:rPr>
        <w:t xml:space="preserve"> wysiłków</w:t>
      </w:r>
      <w:r w:rsidRPr="004218FB">
        <w:rPr>
          <w:rFonts w:cs="Arial"/>
          <w:color w:val="222222"/>
          <w:lang w:val="pl-PL"/>
        </w:rPr>
        <w:t xml:space="preserve"> </w:t>
      </w:r>
      <w:r w:rsidRPr="004218FB">
        <w:rPr>
          <w:rStyle w:val="hps"/>
          <w:rFonts w:cs="Arial"/>
          <w:color w:val="222222"/>
          <w:lang w:val="pl-PL"/>
        </w:rPr>
        <w:t>sąd</w:t>
      </w:r>
      <w:r w:rsidRPr="004218FB">
        <w:rPr>
          <w:rFonts w:cs="Arial"/>
          <w:color w:val="222222"/>
          <w:lang w:val="pl-PL"/>
        </w:rPr>
        <w:t xml:space="preserve"> </w:t>
      </w:r>
      <w:r w:rsidR="00D932EB">
        <w:rPr>
          <w:rFonts w:cs="Arial"/>
          <w:color w:val="222222"/>
          <w:lang w:val="pl-PL"/>
        </w:rPr>
        <w:t xml:space="preserve">dopuścił </w:t>
      </w:r>
      <w:r w:rsidRPr="004218FB">
        <w:rPr>
          <w:rStyle w:val="hps"/>
          <w:rFonts w:cs="Arial"/>
          <w:color w:val="222222"/>
          <w:lang w:val="pl-PL"/>
        </w:rPr>
        <w:t>zeznania</w:t>
      </w:r>
      <w:r w:rsidRPr="004218FB">
        <w:rPr>
          <w:rFonts w:cs="Arial"/>
          <w:color w:val="222222"/>
          <w:lang w:val="pl-PL"/>
        </w:rPr>
        <w:t xml:space="preserve"> </w:t>
      </w:r>
      <w:r w:rsidRPr="004218FB">
        <w:rPr>
          <w:rStyle w:val="hps"/>
          <w:rFonts w:cs="Arial"/>
          <w:color w:val="222222"/>
          <w:lang w:val="pl-PL"/>
        </w:rPr>
        <w:t>świadków</w:t>
      </w:r>
      <w:r w:rsidRPr="004218FB">
        <w:rPr>
          <w:rFonts w:cs="Arial"/>
          <w:color w:val="222222"/>
          <w:lang w:val="pl-PL"/>
        </w:rPr>
        <w:t xml:space="preserve"> </w:t>
      </w:r>
      <w:r w:rsidR="00165714">
        <w:rPr>
          <w:rFonts w:cs="Arial"/>
          <w:color w:val="222222"/>
          <w:lang w:val="pl-PL"/>
        </w:rPr>
        <w:t xml:space="preserve">złożone </w:t>
      </w:r>
      <w:r w:rsidRPr="004218FB">
        <w:rPr>
          <w:rStyle w:val="hps"/>
          <w:rFonts w:cs="Arial"/>
          <w:color w:val="222222"/>
          <w:lang w:val="pl-PL"/>
        </w:rPr>
        <w:t>na etapie postępowania przygotowawczego</w:t>
      </w:r>
      <w:r w:rsidRPr="004218FB">
        <w:rPr>
          <w:rFonts w:cs="Arial"/>
          <w:color w:val="222222"/>
          <w:lang w:val="pl-PL"/>
        </w:rPr>
        <w:t xml:space="preserve"> </w:t>
      </w:r>
      <w:r w:rsidR="00D932EB">
        <w:rPr>
          <w:rFonts w:cs="Arial"/>
          <w:color w:val="222222"/>
          <w:lang w:val="pl-PL"/>
        </w:rPr>
        <w:t xml:space="preserve">jako </w:t>
      </w:r>
      <w:r w:rsidRPr="004218FB">
        <w:rPr>
          <w:rStyle w:val="hps"/>
          <w:rFonts w:cs="Arial"/>
          <w:color w:val="222222"/>
          <w:lang w:val="pl-PL"/>
        </w:rPr>
        <w:t>dowód w</w:t>
      </w:r>
      <w:r w:rsidR="00165714">
        <w:rPr>
          <w:rStyle w:val="hps"/>
          <w:rFonts w:cs="Arial"/>
          <w:color w:val="222222"/>
          <w:lang w:val="pl-PL"/>
        </w:rPr>
        <w:t xml:space="preserve"> sprawie</w:t>
      </w:r>
      <w:r w:rsidRPr="004218FB">
        <w:rPr>
          <w:rFonts w:cs="Arial"/>
          <w:color w:val="222222"/>
          <w:lang w:val="pl-PL"/>
        </w:rPr>
        <w:t xml:space="preserve">. </w:t>
      </w:r>
      <w:r w:rsidRPr="004218FB">
        <w:rPr>
          <w:rStyle w:val="hps"/>
          <w:rFonts w:cs="Arial"/>
          <w:color w:val="222222"/>
          <w:lang w:val="pl-PL"/>
        </w:rPr>
        <w:t>Nieobecności świadków</w:t>
      </w:r>
      <w:r w:rsidRPr="004218FB">
        <w:rPr>
          <w:rFonts w:cs="Arial"/>
          <w:color w:val="222222"/>
          <w:lang w:val="pl-PL"/>
        </w:rPr>
        <w:t xml:space="preserve"> </w:t>
      </w:r>
      <w:r w:rsidRPr="004218FB">
        <w:rPr>
          <w:rStyle w:val="hps"/>
          <w:rFonts w:cs="Arial"/>
          <w:color w:val="222222"/>
          <w:lang w:val="pl-PL"/>
        </w:rPr>
        <w:t>nie można było</w:t>
      </w:r>
      <w:r w:rsidRPr="004218FB">
        <w:rPr>
          <w:rFonts w:cs="Arial"/>
          <w:color w:val="222222"/>
          <w:lang w:val="pl-PL"/>
        </w:rPr>
        <w:t xml:space="preserve"> </w:t>
      </w:r>
      <w:r w:rsidR="00D932EB">
        <w:rPr>
          <w:rFonts w:cs="Arial"/>
          <w:color w:val="222222"/>
          <w:lang w:val="pl-PL"/>
        </w:rPr>
        <w:t xml:space="preserve">zatem </w:t>
      </w:r>
      <w:r w:rsidRPr="004218FB">
        <w:rPr>
          <w:rStyle w:val="hps"/>
          <w:rFonts w:cs="Arial"/>
          <w:color w:val="222222"/>
          <w:lang w:val="pl-PL"/>
        </w:rPr>
        <w:t>przypisać</w:t>
      </w:r>
      <w:r w:rsidRPr="004218FB">
        <w:rPr>
          <w:rFonts w:cs="Arial"/>
          <w:color w:val="222222"/>
          <w:lang w:val="pl-PL"/>
        </w:rPr>
        <w:t xml:space="preserve">  działaniom </w:t>
      </w:r>
      <w:r w:rsidRPr="004218FB">
        <w:rPr>
          <w:rStyle w:val="hps"/>
          <w:rFonts w:cs="Arial"/>
          <w:color w:val="222222"/>
          <w:lang w:val="pl-PL"/>
        </w:rPr>
        <w:t>sądu krajowego</w:t>
      </w:r>
      <w:r w:rsidRPr="004218FB">
        <w:rPr>
          <w:rFonts w:cs="Arial"/>
          <w:color w:val="222222"/>
          <w:lang w:val="pl-PL"/>
        </w:rPr>
        <w:t xml:space="preserve">. </w:t>
      </w:r>
      <w:r w:rsidRPr="004218FB">
        <w:rPr>
          <w:rStyle w:val="hps"/>
          <w:rFonts w:cs="Arial"/>
          <w:color w:val="222222"/>
          <w:lang w:val="pl-PL"/>
        </w:rPr>
        <w:t>W związku z</w:t>
      </w:r>
      <w:r w:rsidR="00000779">
        <w:rPr>
          <w:rStyle w:val="hps"/>
          <w:rFonts w:cs="Arial"/>
          <w:color w:val="222222"/>
          <w:lang w:val="pl-PL"/>
        </w:rPr>
        <w:t xml:space="preserve"> powyższym,</w:t>
      </w:r>
      <w:r w:rsidRPr="004218FB">
        <w:rPr>
          <w:rFonts w:cs="Arial"/>
          <w:color w:val="222222"/>
          <w:lang w:val="pl-PL"/>
        </w:rPr>
        <w:t xml:space="preserve"> </w:t>
      </w:r>
      <w:r w:rsidRPr="004218FB">
        <w:rPr>
          <w:rStyle w:val="hps"/>
          <w:rFonts w:cs="Arial"/>
          <w:color w:val="222222"/>
          <w:lang w:val="pl-PL"/>
        </w:rPr>
        <w:t>z punktu widzenia</w:t>
      </w:r>
      <w:r w:rsidRPr="00165714">
        <w:rPr>
          <w:rFonts w:cs="Arial"/>
          <w:color w:val="222222"/>
          <w:lang w:val="pl-PL"/>
        </w:rPr>
        <w:t xml:space="preserve"> </w:t>
      </w:r>
      <w:r w:rsidRPr="004218FB">
        <w:rPr>
          <w:rStyle w:val="hps"/>
          <w:rFonts w:cs="Arial"/>
          <w:color w:val="222222"/>
          <w:lang w:val="pl-PL"/>
        </w:rPr>
        <w:t>sądu</w:t>
      </w:r>
      <w:r w:rsidR="00000779">
        <w:rPr>
          <w:rStyle w:val="hps"/>
          <w:rFonts w:cs="Arial"/>
          <w:color w:val="222222"/>
          <w:lang w:val="pl-PL"/>
        </w:rPr>
        <w:t>,</w:t>
      </w:r>
      <w:r w:rsidRPr="004218FB">
        <w:rPr>
          <w:rStyle w:val="hps"/>
          <w:rFonts w:cs="Arial"/>
          <w:color w:val="222222"/>
          <w:lang w:val="pl-PL"/>
        </w:rPr>
        <w:t xml:space="preserve"> istniała uzasadniona przyczyna nieobecności świadków na rozprawie</w:t>
      </w:r>
      <w:r w:rsidR="00D932EB">
        <w:rPr>
          <w:rStyle w:val="hps"/>
          <w:rFonts w:cs="Arial"/>
          <w:color w:val="222222"/>
          <w:lang w:val="pl-PL"/>
        </w:rPr>
        <w:t xml:space="preserve"> i dopuszczenia ich zeznań złożonych na etapie postępowania przygotowawczego</w:t>
      </w:r>
      <w:r w:rsidRPr="00165714">
        <w:rPr>
          <w:rFonts w:cs="Arial"/>
          <w:color w:val="222222"/>
          <w:lang w:val="pl-PL"/>
        </w:rPr>
        <w:t>.</w:t>
      </w:r>
    </w:p>
    <w:p w:rsidR="004218FB" w:rsidRPr="00243652" w:rsidRDefault="00944367" w:rsidP="00E65593">
      <w:pPr>
        <w:spacing w:after="120" w:line="240" w:lineRule="auto"/>
        <w:jc w:val="both"/>
        <w:rPr>
          <w:rFonts w:cs="Arial"/>
          <w:i/>
          <w:color w:val="222222"/>
          <w:lang w:val="pl-PL"/>
        </w:rPr>
      </w:pPr>
      <w:r w:rsidRPr="00243652">
        <w:rPr>
          <w:rFonts w:cs="Arial"/>
          <w:i/>
          <w:color w:val="222222"/>
          <w:lang w:val="pl-PL"/>
        </w:rPr>
        <w:t xml:space="preserve">2) </w:t>
      </w:r>
      <w:r w:rsidR="004218FB" w:rsidRPr="00243652">
        <w:rPr>
          <w:rFonts w:eastAsia="Times New Roman" w:cs="Times New Roman"/>
          <w:i/>
          <w:color w:val="222222"/>
          <w:lang w:val="pl-PL" w:eastAsia="pl-PL"/>
        </w:rPr>
        <w:t xml:space="preserve">czy dowód z zeznań nieobecnego świadka był jedyną </w:t>
      </w:r>
      <w:r w:rsidR="007100C3" w:rsidRPr="00243652">
        <w:rPr>
          <w:rFonts w:eastAsia="Times New Roman" w:cs="Times New Roman"/>
          <w:i/>
          <w:color w:val="222222"/>
          <w:lang w:val="pl-PL" w:eastAsia="pl-PL"/>
        </w:rPr>
        <w:t>lub</w:t>
      </w:r>
      <w:r w:rsidR="004218FB" w:rsidRPr="00243652">
        <w:rPr>
          <w:rFonts w:eastAsia="Times New Roman" w:cs="Times New Roman"/>
          <w:i/>
          <w:color w:val="222222"/>
          <w:lang w:val="pl-PL" w:eastAsia="pl-PL"/>
        </w:rPr>
        <w:t xml:space="preserve"> decydującą podstawą skazania skarżącego</w:t>
      </w:r>
      <w:r w:rsidR="00165714" w:rsidRPr="00243652">
        <w:rPr>
          <w:rFonts w:eastAsia="Times New Roman" w:cs="Times New Roman"/>
          <w:i/>
          <w:color w:val="222222"/>
          <w:lang w:val="pl-PL" w:eastAsia="pl-PL"/>
        </w:rPr>
        <w:t>?</w:t>
      </w:r>
    </w:p>
    <w:p w:rsidR="004218FB" w:rsidRDefault="004218FB" w:rsidP="005C7BED">
      <w:pPr>
        <w:spacing w:after="360" w:line="240" w:lineRule="auto"/>
        <w:jc w:val="both"/>
        <w:rPr>
          <w:rFonts w:cs="Arial"/>
          <w:color w:val="222222"/>
          <w:lang w:val="pl-PL"/>
        </w:rPr>
      </w:pPr>
      <w:r w:rsidRPr="004218FB">
        <w:rPr>
          <w:rStyle w:val="hps"/>
          <w:rFonts w:cs="Arial"/>
          <w:color w:val="222222"/>
          <w:lang w:val="pl-PL"/>
        </w:rPr>
        <w:t>Sądy krajowe</w:t>
      </w:r>
      <w:r w:rsidRPr="004218FB">
        <w:rPr>
          <w:rFonts w:cs="Arial"/>
          <w:color w:val="222222"/>
          <w:lang w:val="pl-PL"/>
        </w:rPr>
        <w:t xml:space="preserve"> </w:t>
      </w:r>
      <w:r w:rsidRPr="004218FB">
        <w:rPr>
          <w:rStyle w:val="hps"/>
          <w:rFonts w:cs="Arial"/>
          <w:color w:val="222222"/>
          <w:lang w:val="pl-PL"/>
        </w:rPr>
        <w:t>nie</w:t>
      </w:r>
      <w:r w:rsidRPr="004218FB">
        <w:rPr>
          <w:rFonts w:cs="Arial"/>
          <w:color w:val="222222"/>
          <w:lang w:val="pl-PL"/>
        </w:rPr>
        <w:t xml:space="preserve"> </w:t>
      </w:r>
      <w:r w:rsidRPr="004218FB">
        <w:rPr>
          <w:rStyle w:val="hps"/>
          <w:rFonts w:cs="Arial"/>
          <w:color w:val="222222"/>
          <w:lang w:val="pl-PL"/>
        </w:rPr>
        <w:t>wskazały wyraźnie, czy</w:t>
      </w:r>
      <w:r w:rsidRPr="004218FB">
        <w:rPr>
          <w:rFonts w:cs="Arial"/>
          <w:color w:val="222222"/>
          <w:lang w:val="pl-PL"/>
        </w:rPr>
        <w:t xml:space="preserve"> </w:t>
      </w:r>
      <w:r w:rsidRPr="004218FB">
        <w:rPr>
          <w:rStyle w:val="hps"/>
          <w:rFonts w:cs="Arial"/>
          <w:color w:val="222222"/>
          <w:lang w:val="pl-PL"/>
        </w:rPr>
        <w:t>uznały</w:t>
      </w:r>
      <w:r w:rsidRPr="004218FB">
        <w:rPr>
          <w:rFonts w:cs="Arial"/>
          <w:color w:val="222222"/>
          <w:lang w:val="pl-PL"/>
        </w:rPr>
        <w:t xml:space="preserve"> </w:t>
      </w:r>
      <w:r w:rsidRPr="004218FB">
        <w:rPr>
          <w:rStyle w:val="hps"/>
          <w:rFonts w:cs="Arial"/>
          <w:color w:val="222222"/>
          <w:lang w:val="pl-PL"/>
        </w:rPr>
        <w:t>zeznania świadków</w:t>
      </w:r>
      <w:r w:rsidRPr="004218FB">
        <w:rPr>
          <w:rFonts w:cs="Arial"/>
          <w:color w:val="222222"/>
          <w:lang w:val="pl-PL"/>
        </w:rPr>
        <w:t xml:space="preserve"> </w:t>
      </w:r>
      <w:r w:rsidR="00165714">
        <w:rPr>
          <w:rFonts w:cs="Arial"/>
          <w:color w:val="222222"/>
          <w:lang w:val="pl-PL"/>
        </w:rPr>
        <w:t>za</w:t>
      </w:r>
      <w:r w:rsidRPr="004218FB">
        <w:rPr>
          <w:rFonts w:cs="Arial"/>
          <w:color w:val="222222"/>
          <w:lang w:val="pl-PL"/>
        </w:rPr>
        <w:t xml:space="preserve"> dowody</w:t>
      </w:r>
      <w:r w:rsidR="007100C3">
        <w:rPr>
          <w:rFonts w:cs="Arial"/>
          <w:color w:val="222222"/>
          <w:lang w:val="pl-PL"/>
        </w:rPr>
        <w:t xml:space="preserve"> </w:t>
      </w:r>
      <w:r w:rsidR="007100C3" w:rsidRPr="004218FB">
        <w:rPr>
          <w:rStyle w:val="hps"/>
          <w:rFonts w:cs="Arial"/>
          <w:color w:val="222222"/>
          <w:lang w:val="pl-PL"/>
        </w:rPr>
        <w:t>"</w:t>
      </w:r>
      <w:r w:rsidR="007100C3" w:rsidRPr="004218FB">
        <w:rPr>
          <w:rFonts w:cs="Arial"/>
          <w:color w:val="222222"/>
          <w:lang w:val="pl-PL"/>
        </w:rPr>
        <w:t>decydujące"</w:t>
      </w:r>
      <w:r w:rsidRPr="004218FB">
        <w:rPr>
          <w:rFonts w:cs="Arial"/>
          <w:color w:val="222222"/>
          <w:lang w:val="pl-PL"/>
        </w:rPr>
        <w:t xml:space="preserve">. </w:t>
      </w:r>
      <w:r w:rsidRPr="004218FB">
        <w:rPr>
          <w:rStyle w:val="hps"/>
          <w:rFonts w:cs="Arial"/>
          <w:color w:val="222222"/>
          <w:lang w:val="pl-PL"/>
        </w:rPr>
        <w:t>Po dokonaniu oceny</w:t>
      </w:r>
      <w:r w:rsidRPr="004218FB">
        <w:rPr>
          <w:rFonts w:cs="Arial"/>
          <w:color w:val="222222"/>
          <w:lang w:val="pl-PL"/>
        </w:rPr>
        <w:t xml:space="preserve"> </w:t>
      </w:r>
      <w:r w:rsidRPr="004218FB">
        <w:rPr>
          <w:rStyle w:val="hps"/>
          <w:rFonts w:cs="Arial"/>
          <w:color w:val="222222"/>
          <w:lang w:val="pl-PL"/>
        </w:rPr>
        <w:t>wszystkich</w:t>
      </w:r>
      <w:r w:rsidRPr="004218FB">
        <w:rPr>
          <w:rFonts w:cs="Arial"/>
          <w:color w:val="222222"/>
          <w:lang w:val="pl-PL"/>
        </w:rPr>
        <w:t xml:space="preserve"> </w:t>
      </w:r>
      <w:r w:rsidRPr="004218FB">
        <w:rPr>
          <w:rStyle w:val="hps"/>
          <w:rFonts w:cs="Arial"/>
          <w:color w:val="222222"/>
          <w:lang w:val="pl-PL"/>
        </w:rPr>
        <w:t>dowodów</w:t>
      </w:r>
      <w:r w:rsidR="00000779">
        <w:rPr>
          <w:rFonts w:cs="Arial"/>
          <w:color w:val="222222"/>
          <w:lang w:val="pl-PL"/>
        </w:rPr>
        <w:t xml:space="preserve"> dopuszczonych przez sądy krajowe</w:t>
      </w:r>
      <w:r w:rsidRPr="004218FB">
        <w:rPr>
          <w:rFonts w:cs="Arial"/>
          <w:color w:val="222222"/>
          <w:lang w:val="pl-PL"/>
        </w:rPr>
        <w:t xml:space="preserve"> </w:t>
      </w:r>
      <w:r w:rsidRPr="004218FB">
        <w:rPr>
          <w:rStyle w:val="hps"/>
          <w:rFonts w:cs="Arial"/>
          <w:color w:val="222222"/>
          <w:lang w:val="pl-PL"/>
        </w:rPr>
        <w:t>Trybunał</w:t>
      </w:r>
      <w:r w:rsidR="00000779">
        <w:rPr>
          <w:rStyle w:val="hps"/>
          <w:rFonts w:cs="Arial"/>
          <w:color w:val="222222"/>
          <w:lang w:val="pl-PL"/>
        </w:rPr>
        <w:t xml:space="preserve"> podkreślił</w:t>
      </w:r>
      <w:r w:rsidRPr="004218FB">
        <w:rPr>
          <w:rFonts w:cs="Arial"/>
          <w:color w:val="222222"/>
          <w:lang w:val="pl-PL"/>
        </w:rPr>
        <w:t xml:space="preserve">, </w:t>
      </w:r>
      <w:r w:rsidRPr="004218FB">
        <w:rPr>
          <w:rStyle w:val="hps"/>
          <w:rFonts w:cs="Arial"/>
          <w:color w:val="222222"/>
          <w:lang w:val="pl-PL"/>
        </w:rPr>
        <w:t xml:space="preserve">że dwie </w:t>
      </w:r>
      <w:r w:rsidRPr="004218FB">
        <w:rPr>
          <w:rFonts w:cs="Arial"/>
          <w:color w:val="222222"/>
          <w:lang w:val="pl-PL"/>
        </w:rPr>
        <w:t xml:space="preserve">pokrzywdzone </w:t>
      </w:r>
      <w:r w:rsidRPr="004218FB">
        <w:rPr>
          <w:rStyle w:val="hps"/>
          <w:rFonts w:cs="Arial"/>
          <w:color w:val="222222"/>
          <w:lang w:val="pl-PL"/>
        </w:rPr>
        <w:t>były jedynymi</w:t>
      </w:r>
      <w:r w:rsidRPr="004218FB">
        <w:rPr>
          <w:rFonts w:cs="Arial"/>
          <w:color w:val="222222"/>
          <w:lang w:val="pl-PL"/>
        </w:rPr>
        <w:t xml:space="preserve"> </w:t>
      </w:r>
      <w:r w:rsidRPr="004218FB">
        <w:rPr>
          <w:rStyle w:val="hps"/>
          <w:rFonts w:cs="Arial"/>
          <w:color w:val="222222"/>
          <w:lang w:val="pl-PL"/>
        </w:rPr>
        <w:t>naocznymi świadkami</w:t>
      </w:r>
      <w:r w:rsidRPr="004218FB">
        <w:rPr>
          <w:rFonts w:cs="Arial"/>
          <w:color w:val="222222"/>
          <w:lang w:val="pl-PL"/>
        </w:rPr>
        <w:t xml:space="preserve"> </w:t>
      </w:r>
      <w:r w:rsidRPr="004218FB">
        <w:rPr>
          <w:rStyle w:val="hps"/>
          <w:rFonts w:cs="Arial"/>
          <w:color w:val="222222"/>
          <w:lang w:val="pl-PL"/>
        </w:rPr>
        <w:t>przestępstwa.</w:t>
      </w:r>
      <w:r w:rsidRPr="004218FB">
        <w:rPr>
          <w:rFonts w:cs="Arial"/>
          <w:color w:val="222222"/>
          <w:lang w:val="pl-PL"/>
        </w:rPr>
        <w:t xml:space="preserve"> </w:t>
      </w:r>
      <w:r w:rsidRPr="004218FB">
        <w:rPr>
          <w:rStyle w:val="hps"/>
          <w:rFonts w:cs="Arial"/>
          <w:color w:val="222222"/>
          <w:lang w:val="pl-PL"/>
        </w:rPr>
        <w:t>Natomiast inne</w:t>
      </w:r>
      <w:r w:rsidRPr="004218FB">
        <w:rPr>
          <w:rFonts w:cs="Arial"/>
          <w:color w:val="222222"/>
          <w:lang w:val="pl-PL"/>
        </w:rPr>
        <w:t xml:space="preserve"> </w:t>
      </w:r>
      <w:r w:rsidRPr="004218FB">
        <w:rPr>
          <w:rStyle w:val="hps"/>
          <w:rFonts w:cs="Arial"/>
          <w:color w:val="222222"/>
          <w:lang w:val="pl-PL"/>
        </w:rPr>
        <w:t>dopuszczone</w:t>
      </w:r>
      <w:r w:rsidRPr="004218FB">
        <w:rPr>
          <w:rFonts w:cs="Arial"/>
          <w:color w:val="222222"/>
          <w:lang w:val="pl-PL"/>
        </w:rPr>
        <w:t xml:space="preserve"> </w:t>
      </w:r>
      <w:r w:rsidRPr="004218FB">
        <w:rPr>
          <w:rStyle w:val="hps"/>
          <w:rFonts w:cs="Arial"/>
          <w:color w:val="222222"/>
          <w:lang w:val="pl-PL"/>
        </w:rPr>
        <w:t>dowody</w:t>
      </w:r>
      <w:r w:rsidRPr="004218FB">
        <w:rPr>
          <w:rFonts w:cs="Arial"/>
          <w:color w:val="222222"/>
          <w:lang w:val="pl-PL"/>
        </w:rPr>
        <w:t xml:space="preserve"> </w:t>
      </w:r>
      <w:r w:rsidRPr="004218FB">
        <w:rPr>
          <w:rStyle w:val="hps"/>
          <w:rFonts w:cs="Arial"/>
          <w:color w:val="222222"/>
          <w:lang w:val="pl-PL"/>
        </w:rPr>
        <w:t xml:space="preserve">były oparte </w:t>
      </w:r>
      <w:r w:rsidRPr="007100C3">
        <w:rPr>
          <w:rStyle w:val="hps"/>
          <w:rFonts w:cs="Arial"/>
          <w:color w:val="222222"/>
          <w:lang w:val="pl-PL"/>
        </w:rPr>
        <w:t>na pogłosce lub</w:t>
      </w:r>
      <w:r w:rsidRPr="004218FB">
        <w:rPr>
          <w:rStyle w:val="hps"/>
          <w:rFonts w:cs="Arial"/>
          <w:color w:val="222222"/>
          <w:lang w:val="pl-PL"/>
        </w:rPr>
        <w:t xml:space="preserve"> </w:t>
      </w:r>
      <w:r w:rsidR="00000779">
        <w:rPr>
          <w:rStyle w:val="hps"/>
          <w:rFonts w:cs="Arial"/>
          <w:color w:val="222222"/>
          <w:lang w:val="pl-PL"/>
        </w:rPr>
        <w:t>stanowiły poszlak</w:t>
      </w:r>
      <w:r w:rsidRPr="004218FB">
        <w:rPr>
          <w:rStyle w:val="hps"/>
          <w:rFonts w:cs="Arial"/>
          <w:color w:val="222222"/>
          <w:lang w:val="pl-PL"/>
        </w:rPr>
        <w:t>i</w:t>
      </w:r>
      <w:r w:rsidR="00EB1034">
        <w:rPr>
          <w:rStyle w:val="hps"/>
          <w:rFonts w:cs="Arial"/>
          <w:color w:val="222222"/>
          <w:lang w:val="pl-PL"/>
        </w:rPr>
        <w:t xml:space="preserve"> lub</w:t>
      </w:r>
      <w:r w:rsidR="00000779">
        <w:rPr>
          <w:rStyle w:val="hps"/>
          <w:rFonts w:cs="Arial"/>
          <w:color w:val="222222"/>
          <w:lang w:val="pl-PL"/>
        </w:rPr>
        <w:t xml:space="preserve"> dowody</w:t>
      </w:r>
      <w:r w:rsidRPr="004218FB">
        <w:rPr>
          <w:rFonts w:cs="Arial"/>
          <w:color w:val="222222"/>
          <w:lang w:val="pl-PL"/>
        </w:rPr>
        <w:t xml:space="preserve"> </w:t>
      </w:r>
      <w:r w:rsidR="00000779">
        <w:rPr>
          <w:rStyle w:val="hps"/>
          <w:rFonts w:cs="Arial"/>
          <w:color w:val="222222"/>
          <w:lang w:val="pl-PL"/>
        </w:rPr>
        <w:t>techniczne</w:t>
      </w:r>
      <w:r w:rsidR="00EB1034">
        <w:rPr>
          <w:rStyle w:val="hps"/>
          <w:rFonts w:cs="Arial"/>
          <w:color w:val="222222"/>
          <w:lang w:val="pl-PL"/>
        </w:rPr>
        <w:t>,</w:t>
      </w:r>
      <w:r w:rsidRPr="004218FB">
        <w:rPr>
          <w:rStyle w:val="hps"/>
          <w:rFonts w:cs="Arial"/>
          <w:color w:val="222222"/>
          <w:lang w:val="pl-PL"/>
        </w:rPr>
        <w:t xml:space="preserve"> lub nie były jednoznaczne</w:t>
      </w:r>
      <w:r w:rsidRPr="004218FB">
        <w:rPr>
          <w:rFonts w:cs="Arial"/>
          <w:color w:val="222222"/>
          <w:lang w:val="pl-PL"/>
        </w:rPr>
        <w:t xml:space="preserve">. Trybunał uznał, że </w:t>
      </w:r>
      <w:r w:rsidRPr="004218FB">
        <w:rPr>
          <w:rStyle w:val="hps"/>
          <w:rFonts w:cs="Arial"/>
          <w:color w:val="222222"/>
          <w:lang w:val="pl-PL"/>
        </w:rPr>
        <w:t>w tych</w:t>
      </w:r>
      <w:r w:rsidRPr="004218FB">
        <w:rPr>
          <w:rFonts w:cs="Arial"/>
          <w:color w:val="222222"/>
          <w:lang w:val="pl-PL"/>
        </w:rPr>
        <w:t xml:space="preserve"> </w:t>
      </w:r>
      <w:r w:rsidRPr="004218FB">
        <w:rPr>
          <w:rStyle w:val="hps"/>
          <w:rFonts w:cs="Arial"/>
          <w:color w:val="222222"/>
          <w:lang w:val="pl-PL"/>
        </w:rPr>
        <w:t>okolicznościach</w:t>
      </w:r>
      <w:r w:rsidRPr="004218FB">
        <w:rPr>
          <w:rFonts w:cs="Arial"/>
          <w:color w:val="222222"/>
          <w:lang w:val="pl-PL"/>
        </w:rPr>
        <w:t xml:space="preserve"> </w:t>
      </w:r>
      <w:r w:rsidRPr="00165714">
        <w:rPr>
          <w:rFonts w:cs="Arial"/>
          <w:color w:val="222222"/>
          <w:lang w:val="pl-PL"/>
        </w:rPr>
        <w:t xml:space="preserve">dowód z zeznań </w:t>
      </w:r>
      <w:r w:rsidRPr="00165714">
        <w:rPr>
          <w:rStyle w:val="hps"/>
          <w:rFonts w:cs="Arial"/>
          <w:color w:val="222222"/>
          <w:lang w:val="pl-PL"/>
        </w:rPr>
        <w:t>nieobecnych</w:t>
      </w:r>
      <w:r w:rsidRPr="00165714">
        <w:rPr>
          <w:rFonts w:cs="Arial"/>
          <w:color w:val="222222"/>
          <w:lang w:val="pl-PL"/>
        </w:rPr>
        <w:t xml:space="preserve"> </w:t>
      </w:r>
      <w:r w:rsidRPr="00165714">
        <w:rPr>
          <w:rStyle w:val="hps"/>
          <w:rFonts w:cs="Arial"/>
          <w:color w:val="222222"/>
          <w:lang w:val="pl-PL"/>
        </w:rPr>
        <w:t>świadków</w:t>
      </w:r>
      <w:r w:rsidRPr="00165714">
        <w:rPr>
          <w:rFonts w:cs="Arial"/>
          <w:color w:val="222222"/>
          <w:lang w:val="pl-PL"/>
        </w:rPr>
        <w:t xml:space="preserve"> </w:t>
      </w:r>
      <w:r w:rsidRPr="00165714">
        <w:rPr>
          <w:rStyle w:val="hps"/>
          <w:rFonts w:cs="Arial"/>
          <w:color w:val="222222"/>
          <w:lang w:val="pl-PL"/>
        </w:rPr>
        <w:t>był "</w:t>
      </w:r>
      <w:r w:rsidRPr="00165714">
        <w:rPr>
          <w:rFonts w:cs="Arial"/>
          <w:color w:val="222222"/>
          <w:lang w:val="pl-PL"/>
        </w:rPr>
        <w:t xml:space="preserve">decydujący", czyli </w:t>
      </w:r>
      <w:r w:rsidRPr="00165714">
        <w:rPr>
          <w:rStyle w:val="hps"/>
          <w:rFonts w:cs="Arial"/>
          <w:color w:val="222222"/>
          <w:lang w:val="pl-PL"/>
        </w:rPr>
        <w:t>rozstrzygający o</w:t>
      </w:r>
      <w:r w:rsidRPr="00165714">
        <w:rPr>
          <w:rFonts w:cs="Arial"/>
          <w:color w:val="222222"/>
          <w:lang w:val="pl-PL"/>
        </w:rPr>
        <w:t xml:space="preserve"> </w:t>
      </w:r>
      <w:r w:rsidRPr="00165714">
        <w:rPr>
          <w:rStyle w:val="hps"/>
          <w:rFonts w:cs="Arial"/>
          <w:color w:val="222222"/>
          <w:lang w:val="pl-PL"/>
        </w:rPr>
        <w:t>skazaniu skarżącego</w:t>
      </w:r>
      <w:r w:rsidRPr="00165714">
        <w:rPr>
          <w:rFonts w:cs="Arial"/>
          <w:color w:val="222222"/>
          <w:lang w:val="pl-PL"/>
        </w:rPr>
        <w:t>.</w:t>
      </w:r>
    </w:p>
    <w:p w:rsidR="004218FB" w:rsidRPr="00243652" w:rsidRDefault="004218FB" w:rsidP="00E65593">
      <w:pPr>
        <w:spacing w:after="120" w:line="240" w:lineRule="auto"/>
        <w:jc w:val="both"/>
        <w:rPr>
          <w:i/>
          <w:lang w:val="pl-PL"/>
        </w:rPr>
      </w:pPr>
      <w:r w:rsidRPr="00243652">
        <w:rPr>
          <w:i/>
          <w:lang w:val="pl-PL"/>
        </w:rPr>
        <w:lastRenderedPageBreak/>
        <w:t>3</w:t>
      </w:r>
      <w:r w:rsidR="00944367" w:rsidRPr="00243652">
        <w:rPr>
          <w:i/>
          <w:lang w:val="pl-PL"/>
        </w:rPr>
        <w:t>)</w:t>
      </w:r>
      <w:r w:rsidRPr="00243652">
        <w:rPr>
          <w:i/>
          <w:lang w:val="pl-PL"/>
        </w:rPr>
        <w:t xml:space="preserve"> czy </w:t>
      </w:r>
      <w:r w:rsidR="00B13022" w:rsidRPr="00243652">
        <w:rPr>
          <w:i/>
          <w:lang w:val="pl-PL"/>
        </w:rPr>
        <w:t xml:space="preserve">istniały inne wystarczające czynniki równoważące, rekompensujące utrudnienia </w:t>
      </w:r>
      <w:r w:rsidR="00000779" w:rsidRPr="00243652">
        <w:rPr>
          <w:i/>
          <w:lang w:val="pl-PL"/>
        </w:rPr>
        <w:t xml:space="preserve">prawa do </w:t>
      </w:r>
      <w:r w:rsidR="00B13022" w:rsidRPr="00243652">
        <w:rPr>
          <w:i/>
          <w:lang w:val="pl-PL"/>
        </w:rPr>
        <w:t xml:space="preserve">obrony wynikające z </w:t>
      </w:r>
      <w:r w:rsidRPr="00243652">
        <w:rPr>
          <w:i/>
          <w:lang w:val="pl-PL"/>
        </w:rPr>
        <w:t>brak</w:t>
      </w:r>
      <w:r w:rsidR="00B13022" w:rsidRPr="00243652">
        <w:rPr>
          <w:i/>
          <w:lang w:val="pl-PL"/>
        </w:rPr>
        <w:t>u</w:t>
      </w:r>
      <w:r w:rsidRPr="00243652">
        <w:rPr>
          <w:i/>
          <w:lang w:val="pl-PL"/>
        </w:rPr>
        <w:t xml:space="preserve"> przesłuchania świadka w imieniu skarżącego na rozprawie</w:t>
      </w:r>
      <w:r w:rsidR="00A02EF9" w:rsidRPr="00243652">
        <w:rPr>
          <w:i/>
          <w:lang w:val="pl-PL"/>
        </w:rPr>
        <w:t>?</w:t>
      </w:r>
    </w:p>
    <w:p w:rsidR="00F90319" w:rsidRPr="004A0B2E" w:rsidRDefault="00EB1034" w:rsidP="00686AE5">
      <w:pPr>
        <w:spacing w:after="120" w:line="240" w:lineRule="auto"/>
        <w:jc w:val="both"/>
        <w:rPr>
          <w:rStyle w:val="hps"/>
          <w:lang w:val="pl-PL"/>
        </w:rPr>
      </w:pPr>
      <w:r w:rsidRPr="005F3528">
        <w:rPr>
          <w:rStyle w:val="hps"/>
          <w:rFonts w:cs="Arial"/>
          <w:color w:val="222222"/>
          <w:lang w:val="pl-PL"/>
        </w:rPr>
        <w:t>Trybunał odnotował, że w</w:t>
      </w:r>
      <w:r w:rsidR="004218FB" w:rsidRPr="005F3528">
        <w:rPr>
          <w:rStyle w:val="hps"/>
          <w:lang w:val="pl-PL"/>
        </w:rPr>
        <w:t xml:space="preserve"> </w:t>
      </w:r>
      <w:r w:rsidR="004218FB" w:rsidRPr="005F3528">
        <w:rPr>
          <w:rStyle w:val="hps"/>
          <w:rFonts w:cs="Arial"/>
          <w:color w:val="222222"/>
          <w:lang w:val="pl-PL"/>
        </w:rPr>
        <w:t>uzasadnieniu</w:t>
      </w:r>
      <w:r w:rsidR="004218FB" w:rsidRPr="005F3528">
        <w:rPr>
          <w:rStyle w:val="hps"/>
          <w:lang w:val="pl-PL"/>
        </w:rPr>
        <w:t xml:space="preserve"> </w:t>
      </w:r>
      <w:r w:rsidR="00686AE5" w:rsidRPr="005F3528">
        <w:rPr>
          <w:rStyle w:val="hps"/>
          <w:lang w:val="pl-PL"/>
        </w:rPr>
        <w:t xml:space="preserve">wyroku </w:t>
      </w:r>
      <w:r w:rsidR="004218FB" w:rsidRPr="005F3528">
        <w:rPr>
          <w:rStyle w:val="hps"/>
          <w:rFonts w:cs="Arial"/>
          <w:color w:val="222222"/>
          <w:lang w:val="pl-PL"/>
        </w:rPr>
        <w:t>sąd krajowy</w:t>
      </w:r>
      <w:r w:rsidR="004218FB" w:rsidRPr="005F3528">
        <w:rPr>
          <w:rStyle w:val="hps"/>
          <w:lang w:val="pl-PL"/>
        </w:rPr>
        <w:t xml:space="preserve"> </w:t>
      </w:r>
      <w:r w:rsidR="004218FB" w:rsidRPr="005F3528">
        <w:rPr>
          <w:rStyle w:val="hps"/>
          <w:rFonts w:cs="Arial"/>
          <w:color w:val="222222"/>
          <w:lang w:val="pl-PL"/>
        </w:rPr>
        <w:t>wyjaśnił, że</w:t>
      </w:r>
      <w:r w:rsidR="004218FB" w:rsidRPr="005F3528">
        <w:rPr>
          <w:rStyle w:val="hps"/>
          <w:lang w:val="pl-PL"/>
        </w:rPr>
        <w:t xml:space="preserve"> </w:t>
      </w:r>
      <w:r w:rsidR="004218FB" w:rsidRPr="005F3528">
        <w:rPr>
          <w:rStyle w:val="hps"/>
          <w:rFonts w:cs="Arial"/>
          <w:color w:val="222222"/>
          <w:lang w:val="pl-PL"/>
        </w:rPr>
        <w:t>był</w:t>
      </w:r>
      <w:r w:rsidR="004218FB" w:rsidRPr="005F3528">
        <w:rPr>
          <w:rStyle w:val="hps"/>
          <w:lang w:val="pl-PL"/>
        </w:rPr>
        <w:t xml:space="preserve"> </w:t>
      </w:r>
      <w:r w:rsidR="00DD3F60">
        <w:rPr>
          <w:rStyle w:val="hps"/>
          <w:rFonts w:cs="Arial"/>
          <w:color w:val="222222"/>
          <w:lang w:val="pl-PL"/>
        </w:rPr>
        <w:t>świadom</w:t>
      </w:r>
      <w:r w:rsidR="004218FB" w:rsidRPr="005F3528">
        <w:rPr>
          <w:rStyle w:val="hps"/>
          <w:lang w:val="pl-PL"/>
        </w:rPr>
        <w:t xml:space="preserve"> </w:t>
      </w:r>
      <w:r w:rsidR="004218FB" w:rsidRPr="005F3528">
        <w:rPr>
          <w:rStyle w:val="hps"/>
          <w:rFonts w:cs="Arial"/>
          <w:color w:val="222222"/>
          <w:lang w:val="pl-PL"/>
        </w:rPr>
        <w:t>obniżonej</w:t>
      </w:r>
      <w:r w:rsidR="004218FB" w:rsidRPr="004218FB">
        <w:rPr>
          <w:rStyle w:val="hps"/>
          <w:lang w:val="pl-PL"/>
        </w:rPr>
        <w:t xml:space="preserve"> </w:t>
      </w:r>
      <w:r w:rsidR="004218FB" w:rsidRPr="004218FB">
        <w:rPr>
          <w:rStyle w:val="hps"/>
          <w:rFonts w:cs="Arial"/>
          <w:color w:val="222222"/>
          <w:lang w:val="pl-PL"/>
        </w:rPr>
        <w:t>wartości</w:t>
      </w:r>
      <w:r w:rsidR="004218FB" w:rsidRPr="004218FB">
        <w:rPr>
          <w:rStyle w:val="hps"/>
          <w:lang w:val="pl-PL"/>
        </w:rPr>
        <w:t xml:space="preserve"> </w:t>
      </w:r>
      <w:r w:rsidR="004218FB" w:rsidRPr="004218FB">
        <w:rPr>
          <w:rStyle w:val="hps"/>
          <w:rFonts w:cs="Arial"/>
          <w:color w:val="222222"/>
          <w:lang w:val="pl-PL"/>
        </w:rPr>
        <w:t>dowodowej</w:t>
      </w:r>
      <w:r w:rsidR="004218FB" w:rsidRPr="004218FB">
        <w:rPr>
          <w:rStyle w:val="hps"/>
          <w:lang w:val="pl-PL"/>
        </w:rPr>
        <w:t xml:space="preserve"> </w:t>
      </w:r>
      <w:r w:rsidR="004218FB" w:rsidRPr="004218FB">
        <w:rPr>
          <w:rStyle w:val="hps"/>
          <w:rFonts w:cs="Arial"/>
          <w:color w:val="222222"/>
          <w:lang w:val="pl-PL"/>
        </w:rPr>
        <w:t>zeznań świadków</w:t>
      </w:r>
      <w:r w:rsidR="004218FB" w:rsidRPr="004218FB">
        <w:rPr>
          <w:rStyle w:val="hps"/>
          <w:lang w:val="pl-PL"/>
        </w:rPr>
        <w:t xml:space="preserve">. </w:t>
      </w:r>
      <w:r w:rsidR="00B13022">
        <w:rPr>
          <w:rStyle w:val="hps"/>
          <w:lang w:val="pl-PL"/>
        </w:rPr>
        <w:t>Porównał treść</w:t>
      </w:r>
      <w:r w:rsidR="004218FB" w:rsidRPr="004218FB">
        <w:rPr>
          <w:rStyle w:val="hps"/>
          <w:lang w:val="pl-PL"/>
        </w:rPr>
        <w:t xml:space="preserve"> </w:t>
      </w:r>
      <w:r w:rsidR="004218FB" w:rsidRPr="004218FB">
        <w:rPr>
          <w:rStyle w:val="hps"/>
          <w:rFonts w:cs="Arial"/>
          <w:color w:val="222222"/>
          <w:lang w:val="pl-PL"/>
        </w:rPr>
        <w:t>zeznań złożonych przez pokrzywdzone</w:t>
      </w:r>
      <w:r w:rsidR="004218FB" w:rsidRPr="004218FB">
        <w:rPr>
          <w:rStyle w:val="hps"/>
          <w:lang w:val="pl-PL"/>
        </w:rPr>
        <w:t xml:space="preserve"> </w:t>
      </w:r>
      <w:r w:rsidR="00B13022">
        <w:rPr>
          <w:rStyle w:val="hps"/>
          <w:lang w:val="pl-PL"/>
        </w:rPr>
        <w:t xml:space="preserve">i uznał, że w sposób szczegółowy i spójny opisywały one okoliczności przestępstwa. Uznał też, że niezdolność świadków do zidentyfikowania skarżącego wskazywała, że nie składały </w:t>
      </w:r>
      <w:r w:rsidR="00F90319">
        <w:rPr>
          <w:rStyle w:val="hps"/>
          <w:lang w:val="pl-PL"/>
        </w:rPr>
        <w:t xml:space="preserve">one </w:t>
      </w:r>
      <w:r w:rsidR="00B13022">
        <w:rPr>
          <w:rStyle w:val="hps"/>
          <w:lang w:val="pl-PL"/>
        </w:rPr>
        <w:t>zeznań w celu obciążenia</w:t>
      </w:r>
      <w:r w:rsidR="00DD3F60">
        <w:rPr>
          <w:rStyle w:val="hps"/>
          <w:lang w:val="pl-PL"/>
        </w:rPr>
        <w:t xml:space="preserve"> skarżącego</w:t>
      </w:r>
      <w:r w:rsidR="00B13022">
        <w:rPr>
          <w:rStyle w:val="hps"/>
          <w:lang w:val="pl-PL"/>
        </w:rPr>
        <w:t xml:space="preserve">. Sąd ocenił </w:t>
      </w:r>
      <w:r w:rsidR="00F90319">
        <w:rPr>
          <w:rStyle w:val="hps"/>
          <w:lang w:val="pl-PL"/>
        </w:rPr>
        <w:t xml:space="preserve">również </w:t>
      </w:r>
      <w:r w:rsidR="00B13022">
        <w:rPr>
          <w:rStyle w:val="hps"/>
          <w:lang w:val="pl-PL"/>
        </w:rPr>
        <w:t>różne aspekty zachowania świadków w odniesieniu do ich zeznań. Trybunał uznał zatem, że sąd krajowy zbadał wiarygodność świadków i ich zeznań</w:t>
      </w:r>
      <w:r w:rsidR="004938E2">
        <w:rPr>
          <w:rStyle w:val="hps"/>
          <w:lang w:val="pl-PL"/>
        </w:rPr>
        <w:t xml:space="preserve">. </w:t>
      </w:r>
      <w:r w:rsidR="00686AE5">
        <w:rPr>
          <w:rStyle w:val="hps"/>
          <w:lang w:val="pl-PL"/>
        </w:rPr>
        <w:t xml:space="preserve">Sąd dysponował również dodatkowymi dowodami, w tym o charakterze poszlakowym potwierdzającymi zeznania świadków. Skarżący miał zaś </w:t>
      </w:r>
      <w:r w:rsidR="00686AE5" w:rsidRPr="004A0B2E">
        <w:rPr>
          <w:rStyle w:val="hps"/>
          <w:lang w:val="pl-PL"/>
        </w:rPr>
        <w:t xml:space="preserve">możliwość prezentowania na rozprawie własnej wersji wydarzeń i podważania wiarygodności zeznań świadków, również poprzez konfrontację ze świadkiem, który złożył zeznania </w:t>
      </w:r>
      <w:r w:rsidR="004A0B2E">
        <w:rPr>
          <w:rStyle w:val="hps"/>
          <w:lang w:val="pl-PL"/>
        </w:rPr>
        <w:t>w oparciu o zasłyszane informacje</w:t>
      </w:r>
      <w:r w:rsidR="00686AE5" w:rsidRPr="004A0B2E">
        <w:rPr>
          <w:rStyle w:val="hps"/>
          <w:lang w:val="pl-PL"/>
        </w:rPr>
        <w:t>.</w:t>
      </w:r>
    </w:p>
    <w:p w:rsidR="004218FB" w:rsidRPr="004A0B2E" w:rsidRDefault="00686AE5" w:rsidP="00E65593">
      <w:pPr>
        <w:spacing w:after="120" w:line="240" w:lineRule="auto"/>
        <w:jc w:val="both"/>
        <w:rPr>
          <w:rFonts w:cs="Arial"/>
          <w:color w:val="222222"/>
          <w:lang w:val="pl-PL"/>
        </w:rPr>
      </w:pPr>
      <w:r w:rsidRPr="004A0B2E">
        <w:rPr>
          <w:rStyle w:val="hps"/>
          <w:rFonts w:cs="Arial"/>
          <w:color w:val="222222"/>
          <w:lang w:val="pl-PL"/>
        </w:rPr>
        <w:t>Jednak</w:t>
      </w:r>
      <w:r w:rsidRPr="004A0B2E">
        <w:rPr>
          <w:rFonts w:cs="Arial"/>
          <w:color w:val="222222"/>
          <w:lang w:val="pl-PL"/>
        </w:rPr>
        <w:t xml:space="preserve"> skarżący ani jego obrońca </w:t>
      </w:r>
      <w:r w:rsidRPr="004A0B2E">
        <w:rPr>
          <w:rStyle w:val="hps"/>
          <w:rFonts w:cs="Arial"/>
          <w:color w:val="222222"/>
          <w:lang w:val="pl-PL"/>
        </w:rPr>
        <w:t>nie mieli możliwości</w:t>
      </w:r>
      <w:r w:rsidRPr="004A0B2E">
        <w:rPr>
          <w:rFonts w:cs="Arial"/>
          <w:color w:val="222222"/>
          <w:lang w:val="pl-PL"/>
        </w:rPr>
        <w:t xml:space="preserve"> </w:t>
      </w:r>
      <w:r w:rsidRPr="004A0B2E">
        <w:rPr>
          <w:rStyle w:val="hps"/>
          <w:rFonts w:cs="Arial"/>
          <w:color w:val="222222"/>
          <w:lang w:val="pl-PL"/>
        </w:rPr>
        <w:t>zadawania pytań</w:t>
      </w:r>
      <w:r w:rsidRPr="004A0B2E">
        <w:rPr>
          <w:rFonts w:cs="Arial"/>
          <w:color w:val="222222"/>
          <w:lang w:val="pl-PL"/>
        </w:rPr>
        <w:t xml:space="preserve"> </w:t>
      </w:r>
      <w:r w:rsidRPr="004A0B2E">
        <w:rPr>
          <w:rStyle w:val="hps"/>
          <w:rFonts w:cs="Arial"/>
          <w:color w:val="222222"/>
          <w:lang w:val="pl-PL"/>
        </w:rPr>
        <w:t>dwóm pokrzywdzonym  pośrednio lub podczas postępowania przygotowawczego, a w czasie postępowania sądowego nie umożliwiono im w żaden sposób zadawania im pytań (na przykład na piśmie).</w:t>
      </w:r>
      <w:r w:rsidR="00F90319" w:rsidRPr="004A0B2E">
        <w:rPr>
          <w:rStyle w:val="hps"/>
          <w:rFonts w:cs="Arial"/>
          <w:color w:val="222222"/>
          <w:lang w:val="pl-PL"/>
        </w:rPr>
        <w:t xml:space="preserve"> </w:t>
      </w:r>
      <w:r w:rsidRPr="004A0B2E">
        <w:rPr>
          <w:rStyle w:val="hps"/>
          <w:rFonts w:cs="Arial"/>
          <w:color w:val="222222"/>
          <w:lang w:val="pl-PL"/>
        </w:rPr>
        <w:t>M</w:t>
      </w:r>
      <w:r w:rsidR="004218FB" w:rsidRPr="004A0B2E">
        <w:rPr>
          <w:rStyle w:val="hps"/>
          <w:rFonts w:cs="Arial"/>
          <w:color w:val="222222"/>
          <w:lang w:val="pl-PL"/>
        </w:rPr>
        <w:t>imo że</w:t>
      </w:r>
      <w:r w:rsidR="004218FB" w:rsidRPr="004A0B2E">
        <w:rPr>
          <w:rFonts w:cs="Arial"/>
          <w:color w:val="222222"/>
          <w:lang w:val="pl-PL"/>
        </w:rPr>
        <w:t xml:space="preserve"> </w:t>
      </w:r>
      <w:r w:rsidR="004218FB" w:rsidRPr="004A0B2E">
        <w:rPr>
          <w:rStyle w:val="hps"/>
          <w:rFonts w:cs="Arial"/>
          <w:color w:val="222222"/>
          <w:lang w:val="pl-PL"/>
        </w:rPr>
        <w:t>organy prowadzące postępowanie przygotowawcze</w:t>
      </w:r>
      <w:r w:rsidR="004218FB" w:rsidRPr="004A0B2E">
        <w:rPr>
          <w:rFonts w:cs="Arial"/>
          <w:color w:val="222222"/>
          <w:lang w:val="pl-PL"/>
        </w:rPr>
        <w:t xml:space="preserve"> </w:t>
      </w:r>
      <w:r w:rsidR="004218FB" w:rsidRPr="004A0B2E">
        <w:rPr>
          <w:rStyle w:val="hps"/>
          <w:rFonts w:cs="Arial"/>
          <w:color w:val="222222"/>
          <w:lang w:val="pl-PL"/>
        </w:rPr>
        <w:t>mogły</w:t>
      </w:r>
      <w:r w:rsidR="004218FB" w:rsidRPr="004A0B2E">
        <w:rPr>
          <w:rFonts w:cs="Arial"/>
          <w:color w:val="222222"/>
          <w:lang w:val="pl-PL"/>
        </w:rPr>
        <w:t xml:space="preserve"> </w:t>
      </w:r>
      <w:r w:rsidRPr="004A0B2E">
        <w:rPr>
          <w:rFonts w:cs="Arial"/>
          <w:color w:val="222222"/>
          <w:lang w:val="pl-PL"/>
        </w:rPr>
        <w:t xml:space="preserve">były </w:t>
      </w:r>
      <w:r w:rsidR="004218FB" w:rsidRPr="004A0B2E">
        <w:rPr>
          <w:rStyle w:val="hps"/>
          <w:rFonts w:cs="Arial"/>
          <w:color w:val="222222"/>
          <w:lang w:val="pl-PL"/>
        </w:rPr>
        <w:t>wyznaczyć skarżącemu obrońcę,</w:t>
      </w:r>
      <w:r w:rsidR="004218FB" w:rsidRPr="004A0B2E">
        <w:rPr>
          <w:rFonts w:cs="Arial"/>
          <w:color w:val="222222"/>
          <w:lang w:val="pl-PL"/>
        </w:rPr>
        <w:t xml:space="preserve"> </w:t>
      </w:r>
      <w:r w:rsidR="004218FB" w:rsidRPr="004A0B2E">
        <w:rPr>
          <w:rStyle w:val="hps"/>
          <w:rFonts w:cs="Arial"/>
          <w:color w:val="222222"/>
          <w:lang w:val="pl-PL"/>
        </w:rPr>
        <w:t>aby mógł on brać udział w przesłuchaniu pokrzywdzonych</w:t>
      </w:r>
      <w:r w:rsidR="00F90319" w:rsidRPr="004A0B2E">
        <w:rPr>
          <w:rStyle w:val="hps"/>
          <w:rFonts w:cs="Arial"/>
          <w:color w:val="222222"/>
          <w:lang w:val="pl-PL"/>
        </w:rPr>
        <w:t xml:space="preserve"> na tym etapie postępowania</w:t>
      </w:r>
      <w:r w:rsidR="004218FB" w:rsidRPr="004A0B2E">
        <w:rPr>
          <w:rFonts w:cs="Arial"/>
          <w:color w:val="222222"/>
          <w:lang w:val="pl-PL"/>
        </w:rPr>
        <w:t xml:space="preserve">, </w:t>
      </w:r>
      <w:r w:rsidR="00F90319" w:rsidRPr="004A0B2E">
        <w:rPr>
          <w:rFonts w:cs="Arial"/>
          <w:color w:val="222222"/>
          <w:lang w:val="pl-PL"/>
        </w:rPr>
        <w:t xml:space="preserve">te </w:t>
      </w:r>
      <w:r w:rsidR="004218FB" w:rsidRPr="004A0B2E">
        <w:rPr>
          <w:rStyle w:val="hps"/>
          <w:rFonts w:cs="Arial"/>
          <w:color w:val="222222"/>
          <w:lang w:val="pl-PL"/>
        </w:rPr>
        <w:t>gwarancje</w:t>
      </w:r>
      <w:r w:rsidR="00F90319" w:rsidRPr="004A0B2E">
        <w:rPr>
          <w:rStyle w:val="hps"/>
          <w:rFonts w:cs="Arial"/>
          <w:color w:val="222222"/>
          <w:lang w:val="pl-PL"/>
        </w:rPr>
        <w:t xml:space="preserve"> </w:t>
      </w:r>
      <w:r w:rsidR="004218FB" w:rsidRPr="004A0B2E">
        <w:rPr>
          <w:rStyle w:val="hps"/>
          <w:rFonts w:cs="Arial"/>
          <w:color w:val="222222"/>
          <w:lang w:val="pl-PL"/>
        </w:rPr>
        <w:t>proceduralne</w:t>
      </w:r>
      <w:r w:rsidR="004218FB" w:rsidRPr="004A0B2E">
        <w:rPr>
          <w:rFonts w:cs="Arial"/>
          <w:color w:val="222222"/>
          <w:lang w:val="pl-PL"/>
        </w:rPr>
        <w:t xml:space="preserve"> </w:t>
      </w:r>
      <w:r w:rsidR="004218FB" w:rsidRPr="004A0B2E">
        <w:rPr>
          <w:rStyle w:val="hps"/>
          <w:rFonts w:cs="Arial"/>
          <w:color w:val="222222"/>
          <w:lang w:val="pl-PL"/>
        </w:rPr>
        <w:t>nie zostały zastosowane</w:t>
      </w:r>
      <w:r w:rsidR="004218FB" w:rsidRPr="004A0B2E">
        <w:rPr>
          <w:rFonts w:cs="Arial"/>
          <w:color w:val="222222"/>
          <w:lang w:val="pl-PL"/>
        </w:rPr>
        <w:t xml:space="preserve">. Trybunał </w:t>
      </w:r>
      <w:r w:rsidR="004218FB" w:rsidRPr="004A0B2E">
        <w:rPr>
          <w:rStyle w:val="hps"/>
          <w:rFonts w:cs="Arial"/>
          <w:color w:val="222222"/>
          <w:lang w:val="pl-PL"/>
        </w:rPr>
        <w:t>zgodził się</w:t>
      </w:r>
      <w:r w:rsidR="004218FB" w:rsidRPr="004A0B2E">
        <w:rPr>
          <w:rFonts w:cs="Arial"/>
          <w:color w:val="222222"/>
          <w:lang w:val="pl-PL"/>
        </w:rPr>
        <w:t xml:space="preserve"> </w:t>
      </w:r>
      <w:r w:rsidR="004218FB" w:rsidRPr="004A0B2E">
        <w:rPr>
          <w:rStyle w:val="hps"/>
          <w:rFonts w:cs="Arial"/>
          <w:color w:val="222222"/>
          <w:lang w:val="pl-PL"/>
        </w:rPr>
        <w:t>ze skarżącym</w:t>
      </w:r>
      <w:r w:rsidR="004218FB" w:rsidRPr="004A0B2E">
        <w:rPr>
          <w:rFonts w:cs="Arial"/>
          <w:color w:val="222222"/>
          <w:lang w:val="pl-PL"/>
        </w:rPr>
        <w:t xml:space="preserve">, że świadkowie </w:t>
      </w:r>
      <w:r w:rsidR="004218FB" w:rsidRPr="004A0B2E">
        <w:rPr>
          <w:rStyle w:val="hps"/>
          <w:rFonts w:cs="Arial"/>
          <w:color w:val="222222"/>
          <w:lang w:val="pl-PL"/>
        </w:rPr>
        <w:t>zostali przesłuchani</w:t>
      </w:r>
      <w:r w:rsidR="004218FB" w:rsidRPr="004A0B2E">
        <w:rPr>
          <w:rFonts w:cs="Arial"/>
          <w:color w:val="222222"/>
          <w:lang w:val="pl-PL"/>
        </w:rPr>
        <w:t xml:space="preserve">, </w:t>
      </w:r>
      <w:r w:rsidR="00F90319" w:rsidRPr="004A0B2E">
        <w:rPr>
          <w:rFonts w:cs="Arial"/>
          <w:color w:val="222222"/>
          <w:lang w:val="pl-PL"/>
        </w:rPr>
        <w:t xml:space="preserve">gdyż z uwagi na </w:t>
      </w:r>
      <w:r w:rsidR="004218FB" w:rsidRPr="004A0B2E">
        <w:rPr>
          <w:rStyle w:val="hps"/>
          <w:rFonts w:cs="Arial"/>
          <w:color w:val="222222"/>
          <w:lang w:val="pl-PL"/>
        </w:rPr>
        <w:t xml:space="preserve">ich </w:t>
      </w:r>
      <w:r w:rsidR="004218FB" w:rsidRPr="004A0B2E">
        <w:rPr>
          <w:rFonts w:cs="Arial"/>
          <w:color w:val="222222"/>
          <w:lang w:val="pl-PL"/>
        </w:rPr>
        <w:t>niezwłoczny</w:t>
      </w:r>
      <w:r w:rsidR="004218FB" w:rsidRPr="004A0B2E">
        <w:rPr>
          <w:rStyle w:val="hps"/>
          <w:rFonts w:cs="Arial"/>
          <w:color w:val="222222"/>
          <w:lang w:val="pl-PL"/>
        </w:rPr>
        <w:t xml:space="preserve"> powrót</w:t>
      </w:r>
      <w:r w:rsidR="004218FB" w:rsidRPr="004A0B2E">
        <w:rPr>
          <w:rFonts w:cs="Arial"/>
          <w:color w:val="222222"/>
          <w:lang w:val="pl-PL"/>
        </w:rPr>
        <w:t xml:space="preserve"> </w:t>
      </w:r>
      <w:r w:rsidR="004218FB" w:rsidRPr="004A0B2E">
        <w:rPr>
          <w:rStyle w:val="hps"/>
          <w:rFonts w:cs="Arial"/>
          <w:color w:val="222222"/>
          <w:lang w:val="pl-PL"/>
        </w:rPr>
        <w:t>na</w:t>
      </w:r>
      <w:r w:rsidR="004218FB" w:rsidRPr="004A0B2E">
        <w:rPr>
          <w:rFonts w:cs="Arial"/>
          <w:color w:val="222222"/>
          <w:lang w:val="pl-PL"/>
        </w:rPr>
        <w:t xml:space="preserve"> </w:t>
      </w:r>
      <w:r w:rsidR="004218FB" w:rsidRPr="004A0B2E">
        <w:rPr>
          <w:rStyle w:val="hps"/>
          <w:rFonts w:cs="Arial"/>
          <w:color w:val="222222"/>
          <w:lang w:val="pl-PL"/>
        </w:rPr>
        <w:t>Łotwę</w:t>
      </w:r>
      <w:r w:rsidR="004218FB" w:rsidRPr="004A0B2E">
        <w:rPr>
          <w:rFonts w:cs="Arial"/>
          <w:color w:val="222222"/>
          <w:lang w:val="pl-PL"/>
        </w:rPr>
        <w:t xml:space="preserve"> </w:t>
      </w:r>
      <w:r w:rsidR="004218FB" w:rsidRPr="004A0B2E">
        <w:rPr>
          <w:rStyle w:val="hps"/>
          <w:rFonts w:cs="Arial"/>
          <w:color w:val="222222"/>
          <w:lang w:val="pl-PL"/>
        </w:rPr>
        <w:t>prokuratura</w:t>
      </w:r>
      <w:r w:rsidR="004218FB" w:rsidRPr="004A0B2E">
        <w:rPr>
          <w:rFonts w:cs="Arial"/>
          <w:color w:val="222222"/>
          <w:lang w:val="pl-PL"/>
        </w:rPr>
        <w:t xml:space="preserve"> </w:t>
      </w:r>
      <w:r w:rsidR="004218FB" w:rsidRPr="004A0B2E">
        <w:rPr>
          <w:rStyle w:val="hps"/>
          <w:rFonts w:cs="Arial"/>
          <w:color w:val="222222"/>
          <w:lang w:val="pl-PL"/>
        </w:rPr>
        <w:t>uznała, że</w:t>
      </w:r>
      <w:r w:rsidR="004218FB" w:rsidRPr="004A0B2E">
        <w:rPr>
          <w:rFonts w:cs="Arial"/>
          <w:color w:val="222222"/>
          <w:lang w:val="pl-PL"/>
        </w:rPr>
        <w:t xml:space="preserve"> istnieje niebezpieczeństwo utraty </w:t>
      </w:r>
      <w:r w:rsidR="004218FB" w:rsidRPr="004A0B2E">
        <w:rPr>
          <w:rStyle w:val="hps"/>
          <w:rFonts w:cs="Arial"/>
          <w:color w:val="222222"/>
          <w:lang w:val="pl-PL"/>
        </w:rPr>
        <w:t>dowodów</w:t>
      </w:r>
      <w:r w:rsidR="004218FB" w:rsidRPr="004A0B2E">
        <w:rPr>
          <w:rFonts w:cs="Arial"/>
          <w:color w:val="222222"/>
          <w:lang w:val="pl-PL"/>
        </w:rPr>
        <w:t>.</w:t>
      </w:r>
      <w:r w:rsidR="004218FB" w:rsidRPr="004A0B2E">
        <w:rPr>
          <w:lang w:val="pl-PL"/>
        </w:rPr>
        <w:t xml:space="preserve"> Dlatego też, wiedząc o planowanym opuszczeniu Niemiec przez świadków, </w:t>
      </w:r>
      <w:r w:rsidR="00F90319" w:rsidRPr="004A0B2E">
        <w:rPr>
          <w:lang w:val="pl-PL"/>
        </w:rPr>
        <w:t xml:space="preserve">władze niemieckie </w:t>
      </w:r>
      <w:r w:rsidR="004218FB" w:rsidRPr="004A0B2E">
        <w:rPr>
          <w:lang w:val="pl-PL"/>
        </w:rPr>
        <w:t xml:space="preserve">powinny były zapewnić obrońcę oskarżonemu, aby </w:t>
      </w:r>
      <w:r w:rsidR="00DD3F60">
        <w:rPr>
          <w:lang w:val="pl-PL"/>
        </w:rPr>
        <w:t xml:space="preserve">mógł być </w:t>
      </w:r>
      <w:r w:rsidR="00F90319" w:rsidRPr="004A0B2E">
        <w:rPr>
          <w:lang w:val="pl-PL"/>
        </w:rPr>
        <w:t xml:space="preserve">on </w:t>
      </w:r>
      <w:r w:rsidR="004218FB" w:rsidRPr="004A0B2E">
        <w:rPr>
          <w:lang w:val="pl-PL"/>
        </w:rPr>
        <w:t xml:space="preserve">obecny w czasie tego przesłuchania. Nie wyznaczając </w:t>
      </w:r>
      <w:r w:rsidR="00F90319" w:rsidRPr="004A0B2E">
        <w:rPr>
          <w:lang w:val="pl-PL"/>
        </w:rPr>
        <w:t xml:space="preserve">odpowiednio wcześnie </w:t>
      </w:r>
      <w:r w:rsidR="004218FB" w:rsidRPr="004A0B2E">
        <w:rPr>
          <w:lang w:val="pl-PL"/>
        </w:rPr>
        <w:t xml:space="preserve">obrońcy władze niemieckie podjęły </w:t>
      </w:r>
      <w:r w:rsidR="00081061" w:rsidRPr="004A0B2E">
        <w:rPr>
          <w:lang w:val="pl-PL"/>
        </w:rPr>
        <w:t xml:space="preserve">więc możliwe do przewidzenia </w:t>
      </w:r>
      <w:r w:rsidR="004218FB" w:rsidRPr="004A0B2E">
        <w:rPr>
          <w:lang w:val="pl-PL"/>
        </w:rPr>
        <w:t>ryzyko</w:t>
      </w:r>
      <w:r w:rsidR="004218FB" w:rsidRPr="004A0B2E">
        <w:rPr>
          <w:rFonts w:cs="Arial"/>
          <w:color w:val="222222"/>
          <w:lang w:val="pl-PL"/>
        </w:rPr>
        <w:t xml:space="preserve">, że na </w:t>
      </w:r>
      <w:r w:rsidR="00081061" w:rsidRPr="004A0B2E">
        <w:rPr>
          <w:rFonts w:cs="Arial"/>
          <w:color w:val="222222"/>
          <w:lang w:val="pl-PL"/>
        </w:rPr>
        <w:t xml:space="preserve">żadnym </w:t>
      </w:r>
      <w:r w:rsidR="004218FB" w:rsidRPr="004A0B2E">
        <w:rPr>
          <w:rFonts w:cs="Arial"/>
          <w:color w:val="222222"/>
          <w:lang w:val="pl-PL"/>
        </w:rPr>
        <w:t xml:space="preserve">etapie postępowania </w:t>
      </w:r>
      <w:r w:rsidR="00081061" w:rsidRPr="004A0B2E">
        <w:rPr>
          <w:rFonts w:cs="Arial"/>
          <w:color w:val="222222"/>
          <w:lang w:val="pl-PL"/>
        </w:rPr>
        <w:t xml:space="preserve">nie będzie możliwe </w:t>
      </w:r>
      <w:r w:rsidR="004218FB" w:rsidRPr="004A0B2E">
        <w:rPr>
          <w:rFonts w:cs="Arial"/>
          <w:color w:val="222222"/>
          <w:lang w:val="pl-PL"/>
        </w:rPr>
        <w:t xml:space="preserve">przesłuchanie </w:t>
      </w:r>
      <w:r w:rsidR="00081061" w:rsidRPr="004A0B2E">
        <w:rPr>
          <w:rFonts w:cs="Arial"/>
          <w:color w:val="222222"/>
          <w:lang w:val="pl-PL"/>
        </w:rPr>
        <w:t>świadków z udziałem</w:t>
      </w:r>
      <w:r w:rsidR="004218FB" w:rsidRPr="004A0B2E">
        <w:rPr>
          <w:rFonts w:cs="Arial"/>
          <w:color w:val="222222"/>
          <w:lang w:val="pl-PL"/>
        </w:rPr>
        <w:t xml:space="preserve"> obrońcy lub skarżącego. Ryzyko to następnie zmaterializowało się, prowadząc do naruszenia art. 6 ust. 1 i art. 6 ust. 3 lit. d Konwencji.</w:t>
      </w:r>
    </w:p>
    <w:p w:rsidR="004218FB" w:rsidRPr="00137C1A" w:rsidRDefault="004218FB" w:rsidP="00E65593">
      <w:pPr>
        <w:spacing w:after="120" w:line="240" w:lineRule="auto"/>
        <w:jc w:val="both"/>
        <w:rPr>
          <w:rFonts w:cs="Arial"/>
          <w:color w:val="222222"/>
          <w:lang w:val="pl-PL"/>
        </w:rPr>
      </w:pPr>
      <w:r w:rsidRPr="004A0B2E">
        <w:rPr>
          <w:rStyle w:val="hps"/>
          <w:rFonts w:cs="Arial"/>
          <w:color w:val="222222"/>
          <w:lang w:val="pl-PL"/>
        </w:rPr>
        <w:t>Trybunał uznał, że z</w:t>
      </w:r>
      <w:r w:rsidR="007127BE">
        <w:rPr>
          <w:rStyle w:val="hps"/>
          <w:rFonts w:cs="Arial"/>
          <w:color w:val="222222"/>
          <w:lang w:val="pl-PL"/>
        </w:rPr>
        <w:t>e</w:t>
      </w:r>
      <w:r w:rsidRPr="004A0B2E">
        <w:rPr>
          <w:rStyle w:val="hps"/>
          <w:rFonts w:cs="Arial"/>
          <w:color w:val="222222"/>
          <w:lang w:val="pl-PL"/>
        </w:rPr>
        <w:t xml:space="preserve"> </w:t>
      </w:r>
      <w:r w:rsidR="007127BE">
        <w:rPr>
          <w:rStyle w:val="hps"/>
          <w:rFonts w:cs="Arial"/>
          <w:color w:val="222222"/>
          <w:lang w:val="pl-PL"/>
        </w:rPr>
        <w:t>względu</w:t>
      </w:r>
      <w:r w:rsidRPr="004A0B2E">
        <w:rPr>
          <w:rFonts w:cs="Arial"/>
          <w:color w:val="222222"/>
          <w:lang w:val="pl-PL"/>
        </w:rPr>
        <w:t xml:space="preserve"> </w:t>
      </w:r>
      <w:r w:rsidRPr="004A0B2E">
        <w:rPr>
          <w:rStyle w:val="hps"/>
          <w:rFonts w:cs="Arial"/>
          <w:color w:val="222222"/>
          <w:lang w:val="pl-PL"/>
        </w:rPr>
        <w:t>na wagę zeznań jedynych naocznych</w:t>
      </w:r>
      <w:r w:rsidRPr="00A02EF9">
        <w:rPr>
          <w:rStyle w:val="hps"/>
          <w:rFonts w:cs="Arial"/>
          <w:color w:val="222222"/>
          <w:lang w:val="pl-PL"/>
        </w:rPr>
        <w:t xml:space="preserve"> świadków</w:t>
      </w:r>
      <w:r w:rsidRPr="00A02EF9">
        <w:rPr>
          <w:rFonts w:cs="Arial"/>
          <w:color w:val="222222"/>
          <w:lang w:val="pl-PL"/>
        </w:rPr>
        <w:t xml:space="preserve"> </w:t>
      </w:r>
      <w:r w:rsidRPr="00A02EF9">
        <w:rPr>
          <w:rStyle w:val="hps"/>
          <w:rFonts w:cs="Arial"/>
          <w:color w:val="222222"/>
          <w:lang w:val="pl-PL"/>
        </w:rPr>
        <w:t>przestępstwa</w:t>
      </w:r>
      <w:r w:rsidRPr="00A02EF9">
        <w:rPr>
          <w:rFonts w:cs="Arial"/>
          <w:color w:val="222222"/>
          <w:lang w:val="pl-PL"/>
        </w:rPr>
        <w:t xml:space="preserve"> </w:t>
      </w:r>
      <w:r w:rsidR="00081061">
        <w:rPr>
          <w:rFonts w:cs="Arial"/>
          <w:color w:val="222222"/>
          <w:lang w:val="pl-PL"/>
        </w:rPr>
        <w:t xml:space="preserve">środki równoważące, podjęte przez sąd krajowy, były niewystarczający, by zapewnić </w:t>
      </w:r>
      <w:r w:rsidR="00081061" w:rsidRPr="00137C1A">
        <w:rPr>
          <w:rFonts w:cs="Arial"/>
          <w:color w:val="222222"/>
          <w:lang w:val="pl-PL"/>
        </w:rPr>
        <w:t>sprawiedliwe i odpowiednie zbadanie wiarygodności</w:t>
      </w:r>
      <w:r w:rsidR="00F90319">
        <w:rPr>
          <w:rFonts w:cs="Arial"/>
          <w:color w:val="222222"/>
          <w:lang w:val="pl-PL"/>
        </w:rPr>
        <w:t xml:space="preserve"> przedmiotowych</w:t>
      </w:r>
      <w:r w:rsidR="00081061" w:rsidRPr="00137C1A">
        <w:rPr>
          <w:rFonts w:cs="Arial"/>
          <w:color w:val="222222"/>
          <w:lang w:val="pl-PL"/>
        </w:rPr>
        <w:t xml:space="preserve"> dowodów. </w:t>
      </w:r>
      <w:r w:rsidRPr="00137C1A">
        <w:rPr>
          <w:rStyle w:val="hps"/>
          <w:rFonts w:cs="Arial"/>
          <w:color w:val="222222"/>
          <w:lang w:val="pl-PL"/>
        </w:rPr>
        <w:t>W związku z tym</w:t>
      </w:r>
      <w:r w:rsidRPr="00137C1A">
        <w:rPr>
          <w:rFonts w:cs="Arial"/>
          <w:color w:val="222222"/>
          <w:lang w:val="pl-PL"/>
        </w:rPr>
        <w:t xml:space="preserve">, brak </w:t>
      </w:r>
      <w:r w:rsidRPr="00137C1A">
        <w:rPr>
          <w:rStyle w:val="hps"/>
          <w:rFonts w:cs="Arial"/>
          <w:color w:val="222222"/>
          <w:lang w:val="pl-PL"/>
        </w:rPr>
        <w:t>możliwości</w:t>
      </w:r>
      <w:r w:rsidRPr="00137C1A">
        <w:rPr>
          <w:rFonts w:cs="Arial"/>
          <w:color w:val="222222"/>
          <w:lang w:val="pl-PL"/>
        </w:rPr>
        <w:t xml:space="preserve"> </w:t>
      </w:r>
      <w:r w:rsidRPr="00137C1A">
        <w:rPr>
          <w:rStyle w:val="hps"/>
          <w:rFonts w:cs="Arial"/>
          <w:color w:val="222222"/>
          <w:lang w:val="pl-PL"/>
        </w:rPr>
        <w:t>przesłuchania</w:t>
      </w:r>
      <w:r w:rsidR="000D1B02">
        <w:rPr>
          <w:rStyle w:val="hps"/>
          <w:rFonts w:cs="Arial"/>
          <w:color w:val="222222"/>
          <w:lang w:val="pl-PL"/>
        </w:rPr>
        <w:t xml:space="preserve"> lub spowodowania przesłuchania</w:t>
      </w:r>
      <w:r w:rsidRPr="00137C1A">
        <w:rPr>
          <w:rFonts w:cs="Arial"/>
          <w:color w:val="222222"/>
          <w:lang w:val="pl-PL"/>
        </w:rPr>
        <w:t xml:space="preserve"> </w:t>
      </w:r>
      <w:r w:rsidRPr="00137C1A">
        <w:rPr>
          <w:rStyle w:val="hps"/>
          <w:rFonts w:cs="Arial"/>
          <w:color w:val="222222"/>
          <w:lang w:val="pl-PL"/>
        </w:rPr>
        <w:t>świadków przez skarżącego</w:t>
      </w:r>
      <w:r w:rsidRPr="00137C1A">
        <w:rPr>
          <w:rFonts w:cs="Arial"/>
          <w:color w:val="222222"/>
          <w:lang w:val="pl-PL"/>
        </w:rPr>
        <w:t xml:space="preserve"> </w:t>
      </w:r>
      <w:r w:rsidR="00F015B6" w:rsidRPr="00137C1A">
        <w:rPr>
          <w:rFonts w:cs="Arial"/>
          <w:color w:val="222222"/>
          <w:lang w:val="pl-PL"/>
        </w:rPr>
        <w:t xml:space="preserve">na jakimkolwiek etapie postępowania </w:t>
      </w:r>
      <w:r w:rsidR="00A02EF9" w:rsidRPr="00137C1A">
        <w:rPr>
          <w:rStyle w:val="hps"/>
          <w:rFonts w:cs="Arial"/>
          <w:color w:val="222222"/>
          <w:lang w:val="pl-PL"/>
        </w:rPr>
        <w:t>spowodował</w:t>
      </w:r>
      <w:r w:rsidRPr="00137C1A">
        <w:rPr>
          <w:rStyle w:val="hps"/>
          <w:rFonts w:cs="Arial"/>
          <w:color w:val="222222"/>
          <w:lang w:val="pl-PL"/>
        </w:rPr>
        <w:t xml:space="preserve">, że </w:t>
      </w:r>
      <w:r w:rsidR="00F015B6" w:rsidRPr="00137C1A">
        <w:rPr>
          <w:rStyle w:val="hps"/>
          <w:rFonts w:cs="Arial"/>
          <w:color w:val="222222"/>
          <w:lang w:val="pl-PL"/>
        </w:rPr>
        <w:t>postępowanie jako całość należy uznać za nierzetelne</w:t>
      </w:r>
      <w:r w:rsidRPr="00137C1A">
        <w:rPr>
          <w:rFonts w:cs="Arial"/>
          <w:color w:val="222222"/>
          <w:lang w:val="pl-PL"/>
        </w:rPr>
        <w:t>.</w:t>
      </w:r>
      <w:r w:rsidR="004D3DBB" w:rsidRPr="00137C1A">
        <w:rPr>
          <w:rFonts w:cs="Arial"/>
          <w:color w:val="222222"/>
          <w:lang w:val="pl-PL"/>
        </w:rPr>
        <w:t xml:space="preserve"> W konsekwencji większością głosów 9 do 8 Trybunał uznał, że doszło do naruszenia art. 6 ust 1 oraz art. 6 ust. 3 lit</w:t>
      </w:r>
      <w:r w:rsidR="00F90319">
        <w:rPr>
          <w:rFonts w:cs="Arial"/>
          <w:color w:val="222222"/>
          <w:lang w:val="pl-PL"/>
        </w:rPr>
        <w:t>.</w:t>
      </w:r>
      <w:r w:rsidR="004D3DBB" w:rsidRPr="00137C1A">
        <w:rPr>
          <w:rFonts w:cs="Arial"/>
          <w:color w:val="222222"/>
          <w:lang w:val="pl-PL"/>
        </w:rPr>
        <w:t xml:space="preserve"> d Konwencji. </w:t>
      </w:r>
      <w:r w:rsidR="00137C1A">
        <w:rPr>
          <w:rFonts w:cs="Arial"/>
          <w:color w:val="222222"/>
          <w:lang w:val="pl-PL"/>
        </w:rPr>
        <w:t xml:space="preserve"> </w:t>
      </w:r>
    </w:p>
    <w:p w:rsidR="004D3DBB" w:rsidRPr="00137C1A" w:rsidRDefault="004D3DBB" w:rsidP="00E65593">
      <w:pPr>
        <w:spacing w:after="120" w:line="240" w:lineRule="auto"/>
        <w:jc w:val="both"/>
        <w:rPr>
          <w:rFonts w:cs="Arial"/>
          <w:color w:val="222222"/>
          <w:lang w:val="pl-PL"/>
        </w:rPr>
      </w:pPr>
      <w:r w:rsidRPr="00137C1A">
        <w:rPr>
          <w:rFonts w:cs="Arial"/>
          <w:color w:val="222222"/>
          <w:lang w:val="pl-PL"/>
        </w:rPr>
        <w:t xml:space="preserve">Do wyroku zostały dołączone </w:t>
      </w:r>
      <w:r w:rsidR="00FC41CC">
        <w:rPr>
          <w:rFonts w:cs="Arial"/>
          <w:color w:val="222222"/>
          <w:lang w:val="pl-PL"/>
        </w:rPr>
        <w:t xml:space="preserve">zdania odrębne siedmiu sędziów oraz </w:t>
      </w:r>
      <w:r w:rsidRPr="00137C1A">
        <w:rPr>
          <w:rFonts w:cs="Arial"/>
          <w:color w:val="222222"/>
          <w:lang w:val="pl-PL"/>
        </w:rPr>
        <w:t xml:space="preserve">zdanie zbieżne jednego sędziego. </w:t>
      </w:r>
    </w:p>
    <w:p w:rsidR="00660766" w:rsidRDefault="008B727F" w:rsidP="00E65593">
      <w:pPr>
        <w:spacing w:after="120" w:line="240" w:lineRule="auto"/>
        <w:jc w:val="both"/>
        <w:rPr>
          <w:rFonts w:cs="Arial"/>
          <w:color w:val="222222"/>
          <w:lang w:val="pl-PL"/>
        </w:rPr>
      </w:pPr>
      <w:r w:rsidRPr="007E1F4D">
        <w:rPr>
          <w:rFonts w:cs="Arial"/>
          <w:color w:val="222222"/>
          <w:u w:val="single"/>
          <w:lang w:val="pl-PL"/>
        </w:rPr>
        <w:t>Znaczenie wyroku dla Polski</w:t>
      </w:r>
      <w:r>
        <w:rPr>
          <w:rFonts w:cs="Arial"/>
          <w:b/>
          <w:color w:val="222222"/>
          <w:lang w:val="pl-PL"/>
        </w:rPr>
        <w:t xml:space="preserve"> </w:t>
      </w:r>
      <w:r w:rsidRPr="00F90319">
        <w:rPr>
          <w:rFonts w:cs="Arial"/>
          <w:color w:val="222222"/>
          <w:lang w:val="pl-PL"/>
        </w:rPr>
        <w:t>– systematyzuje i doprecyzowuje wymogi określone we wcześniejszym orzecznictwie Trybunału</w:t>
      </w:r>
      <w:r w:rsidR="00F90319">
        <w:rPr>
          <w:rFonts w:cs="Arial"/>
          <w:color w:val="222222"/>
          <w:lang w:val="pl-PL"/>
        </w:rPr>
        <w:t xml:space="preserve"> dotycząc</w:t>
      </w:r>
      <w:r w:rsidR="00FD1FC7">
        <w:rPr>
          <w:rFonts w:cs="Arial"/>
          <w:color w:val="222222"/>
          <w:lang w:val="pl-PL"/>
        </w:rPr>
        <w:t>ym</w:t>
      </w:r>
      <w:r w:rsidR="00F90319">
        <w:rPr>
          <w:rFonts w:cs="Arial"/>
          <w:color w:val="222222"/>
          <w:lang w:val="pl-PL"/>
        </w:rPr>
        <w:t xml:space="preserve"> </w:t>
      </w:r>
      <w:r w:rsidR="00F90319" w:rsidRPr="005F3528">
        <w:rPr>
          <w:rFonts w:cs="Arial"/>
          <w:color w:val="222222"/>
          <w:lang w:val="pl-PL"/>
        </w:rPr>
        <w:t>problematyki</w:t>
      </w:r>
      <w:r w:rsidR="000D1B02" w:rsidRPr="005F3528">
        <w:rPr>
          <w:rFonts w:cs="Arial"/>
          <w:color w:val="222222"/>
          <w:lang w:val="pl-PL"/>
        </w:rPr>
        <w:t xml:space="preserve"> dopuszczenia dowodu z</w:t>
      </w:r>
      <w:r w:rsidR="00F90319" w:rsidRPr="005F3528">
        <w:rPr>
          <w:rFonts w:cs="Arial"/>
          <w:color w:val="222222"/>
          <w:lang w:val="pl-PL"/>
        </w:rPr>
        <w:t xml:space="preserve"> zeznań nieobecnego świadka</w:t>
      </w:r>
      <w:r w:rsidRPr="005F3528">
        <w:rPr>
          <w:rFonts w:cs="Arial"/>
          <w:color w:val="222222"/>
          <w:lang w:val="pl-PL"/>
        </w:rPr>
        <w:t xml:space="preserve">, w szczególności </w:t>
      </w:r>
      <w:r w:rsidR="000D1B02" w:rsidRPr="005F3528">
        <w:rPr>
          <w:rFonts w:cs="Arial"/>
          <w:color w:val="222222"/>
          <w:lang w:val="pl-PL"/>
        </w:rPr>
        <w:t xml:space="preserve">wskazane </w:t>
      </w:r>
      <w:r w:rsidRPr="005F3528">
        <w:rPr>
          <w:rFonts w:cs="Arial"/>
          <w:color w:val="222222"/>
          <w:lang w:val="pl-PL"/>
        </w:rPr>
        <w:t>w sprawie</w:t>
      </w:r>
      <w:r w:rsidRPr="005F3528">
        <w:rPr>
          <w:rFonts w:cs="Arial"/>
          <w:b/>
          <w:color w:val="222222"/>
          <w:lang w:val="pl-PL"/>
        </w:rPr>
        <w:t xml:space="preserve"> </w:t>
      </w:r>
      <w:r w:rsidR="00EA4174" w:rsidRPr="005F3528">
        <w:rPr>
          <w:rFonts w:cs="Arial"/>
          <w:i/>
          <w:color w:val="222222"/>
          <w:lang w:val="pl-PL"/>
        </w:rPr>
        <w:t>Al-</w:t>
      </w:r>
      <w:proofErr w:type="spellStart"/>
      <w:r w:rsidR="00EA4174" w:rsidRPr="005F3528">
        <w:rPr>
          <w:rFonts w:cs="Arial"/>
          <w:i/>
          <w:color w:val="222222"/>
          <w:lang w:val="pl-PL"/>
        </w:rPr>
        <w:t>Khawaja</w:t>
      </w:r>
      <w:proofErr w:type="spellEnd"/>
      <w:r w:rsidR="00EA4174" w:rsidRPr="005F3528">
        <w:rPr>
          <w:rFonts w:cs="Arial"/>
          <w:i/>
          <w:color w:val="222222"/>
          <w:lang w:val="pl-PL"/>
        </w:rPr>
        <w:t xml:space="preserve"> i </w:t>
      </w:r>
      <w:proofErr w:type="spellStart"/>
      <w:r w:rsidR="00EA4174" w:rsidRPr="005F3528">
        <w:rPr>
          <w:rFonts w:cs="Arial"/>
          <w:i/>
          <w:color w:val="222222"/>
          <w:lang w:val="pl-PL"/>
        </w:rPr>
        <w:t>Tahery</w:t>
      </w:r>
      <w:proofErr w:type="spellEnd"/>
      <w:r w:rsidR="00EA4174" w:rsidRPr="005F3528">
        <w:rPr>
          <w:rFonts w:cs="Arial"/>
          <w:i/>
          <w:color w:val="222222"/>
          <w:lang w:val="pl-PL"/>
        </w:rPr>
        <w:t xml:space="preserve"> p. Wielkiej</w:t>
      </w:r>
      <w:r w:rsidR="00EA4174" w:rsidRPr="00F90319">
        <w:rPr>
          <w:rFonts w:cs="Arial"/>
          <w:i/>
          <w:color w:val="222222"/>
          <w:lang w:val="pl-PL"/>
        </w:rPr>
        <w:t xml:space="preserve"> Brytanii</w:t>
      </w:r>
      <w:r w:rsidR="00FD5A9E">
        <w:rPr>
          <w:rStyle w:val="Odwoanieprzypisudolnego"/>
          <w:rFonts w:cs="Arial"/>
          <w:color w:val="222222"/>
          <w:lang w:val="pl-PL"/>
        </w:rPr>
        <w:footnoteReference w:id="2"/>
      </w:r>
      <w:r w:rsidR="00EA4174" w:rsidRPr="004218FB">
        <w:rPr>
          <w:rFonts w:cs="Arial"/>
          <w:color w:val="222222"/>
          <w:lang w:val="pl-PL"/>
        </w:rPr>
        <w:t xml:space="preserve"> (</w:t>
      </w:r>
      <w:r w:rsidR="00EA4174">
        <w:rPr>
          <w:rFonts w:cs="Arial"/>
          <w:color w:val="222222"/>
          <w:lang w:val="pl-PL"/>
        </w:rPr>
        <w:t xml:space="preserve">skargi nr </w:t>
      </w:r>
      <w:r w:rsidR="00EA4174" w:rsidRPr="004218FB">
        <w:rPr>
          <w:rFonts w:cs="Arial"/>
          <w:color w:val="222222"/>
          <w:lang w:val="pl-PL"/>
        </w:rPr>
        <w:t xml:space="preserve">26766/05 i 22228/06, </w:t>
      </w:r>
      <w:r w:rsidR="00EA4174">
        <w:rPr>
          <w:rFonts w:cs="Arial"/>
          <w:color w:val="222222"/>
          <w:lang w:val="pl-PL"/>
        </w:rPr>
        <w:t xml:space="preserve">[WI], wyrok </w:t>
      </w:r>
      <w:r w:rsidR="00EA4174" w:rsidRPr="004218FB">
        <w:rPr>
          <w:rFonts w:cs="Arial"/>
          <w:color w:val="222222"/>
          <w:lang w:val="pl-PL"/>
        </w:rPr>
        <w:t>z 15 grudnia 2011 r.</w:t>
      </w:r>
      <w:r w:rsidR="00EA4174">
        <w:rPr>
          <w:rFonts w:cs="Arial"/>
          <w:color w:val="222222"/>
          <w:lang w:val="pl-PL"/>
        </w:rPr>
        <w:t>)</w:t>
      </w:r>
      <w:r w:rsidR="000D1B02">
        <w:rPr>
          <w:rFonts w:cs="Arial"/>
          <w:color w:val="222222"/>
          <w:lang w:val="pl-PL"/>
        </w:rPr>
        <w:t>.</w:t>
      </w:r>
      <w:r w:rsidR="00EA4174">
        <w:rPr>
          <w:rFonts w:cs="Arial"/>
          <w:color w:val="222222"/>
          <w:lang w:val="pl-PL"/>
        </w:rPr>
        <w:t xml:space="preserve"> </w:t>
      </w:r>
      <w:r w:rsidR="000D1B02">
        <w:rPr>
          <w:rFonts w:cs="Arial"/>
          <w:color w:val="222222"/>
          <w:lang w:val="pl-PL"/>
        </w:rPr>
        <w:t xml:space="preserve">Wyrok szczegółowo </w:t>
      </w:r>
      <w:r w:rsidR="00B91DB5">
        <w:rPr>
          <w:rFonts w:cs="Arial"/>
          <w:color w:val="222222"/>
          <w:lang w:val="pl-PL"/>
        </w:rPr>
        <w:t xml:space="preserve">wyjaśnia </w:t>
      </w:r>
      <w:r w:rsidR="00EA4174">
        <w:rPr>
          <w:rFonts w:cs="Arial"/>
          <w:color w:val="222222"/>
          <w:lang w:val="pl-PL"/>
        </w:rPr>
        <w:t>trzy k</w:t>
      </w:r>
      <w:r w:rsidR="00DD3F60">
        <w:rPr>
          <w:rFonts w:cs="Arial"/>
          <w:color w:val="222222"/>
          <w:lang w:val="pl-PL"/>
        </w:rPr>
        <w:t>westie</w:t>
      </w:r>
      <w:r w:rsidR="00EA4174">
        <w:rPr>
          <w:rFonts w:cs="Arial"/>
          <w:color w:val="222222"/>
          <w:lang w:val="pl-PL"/>
        </w:rPr>
        <w:t xml:space="preserve">, które powinny być zbadane przez sąd krajowy, a także </w:t>
      </w:r>
      <w:r w:rsidR="00C76764">
        <w:rPr>
          <w:rFonts w:cs="Arial"/>
          <w:color w:val="222222"/>
          <w:lang w:val="pl-PL"/>
        </w:rPr>
        <w:t xml:space="preserve">podkreśla </w:t>
      </w:r>
      <w:r w:rsidR="00EA4174">
        <w:rPr>
          <w:rFonts w:cs="Arial"/>
          <w:color w:val="222222"/>
          <w:lang w:val="pl-PL"/>
        </w:rPr>
        <w:t xml:space="preserve">potrzebę staranności organów prowadzących postępowanie przygotowawcze w sytuacji, gdy istnieje ryzyko, iż na późniejszym </w:t>
      </w:r>
      <w:r w:rsidR="000D1B02">
        <w:rPr>
          <w:rFonts w:cs="Arial"/>
          <w:color w:val="222222"/>
          <w:lang w:val="pl-PL"/>
        </w:rPr>
        <w:t xml:space="preserve">etapie </w:t>
      </w:r>
      <w:r w:rsidR="00EA4174">
        <w:rPr>
          <w:rFonts w:cs="Arial"/>
          <w:color w:val="222222"/>
          <w:lang w:val="pl-PL"/>
        </w:rPr>
        <w:t xml:space="preserve">nie będzie możliwości przesłuchania świadka z udziałem obrony. Wyrok </w:t>
      </w:r>
      <w:r w:rsidR="00DD3F60">
        <w:rPr>
          <w:rFonts w:cs="Arial"/>
          <w:color w:val="222222"/>
          <w:lang w:val="pl-PL"/>
        </w:rPr>
        <w:t>warto rozpowszechnić</w:t>
      </w:r>
      <w:r w:rsidR="00EA4174">
        <w:rPr>
          <w:rFonts w:cs="Arial"/>
          <w:color w:val="222222"/>
          <w:lang w:val="pl-PL"/>
        </w:rPr>
        <w:t xml:space="preserve"> wśród sądów</w:t>
      </w:r>
      <w:r w:rsidR="009D2824">
        <w:rPr>
          <w:rFonts w:cs="Arial"/>
          <w:color w:val="222222"/>
          <w:lang w:val="pl-PL"/>
        </w:rPr>
        <w:t>,</w:t>
      </w:r>
      <w:r w:rsidR="00EA4174">
        <w:rPr>
          <w:rFonts w:cs="Arial"/>
          <w:color w:val="222222"/>
          <w:lang w:val="pl-PL"/>
        </w:rPr>
        <w:t xml:space="preserve"> prokuratury</w:t>
      </w:r>
      <w:r w:rsidR="00FD1FC7">
        <w:rPr>
          <w:rFonts w:cs="Arial"/>
          <w:color w:val="222222"/>
          <w:lang w:val="pl-PL"/>
        </w:rPr>
        <w:t>,</w:t>
      </w:r>
      <w:r w:rsidR="009D2824">
        <w:rPr>
          <w:rFonts w:cs="Arial"/>
          <w:color w:val="222222"/>
          <w:lang w:val="pl-PL"/>
        </w:rPr>
        <w:t xml:space="preserve"> policji</w:t>
      </w:r>
      <w:r w:rsidR="00B57B96">
        <w:rPr>
          <w:rFonts w:cs="Arial"/>
          <w:color w:val="222222"/>
          <w:lang w:val="pl-PL"/>
        </w:rPr>
        <w:t xml:space="preserve"> oraz samorządu prawniczego</w:t>
      </w:r>
      <w:r w:rsidR="00EA4174">
        <w:rPr>
          <w:rFonts w:cs="Arial"/>
          <w:color w:val="222222"/>
          <w:lang w:val="pl-PL"/>
        </w:rPr>
        <w:t xml:space="preserve">. </w:t>
      </w:r>
    </w:p>
    <w:p w:rsidR="00660766" w:rsidRPr="00660766" w:rsidRDefault="00660766" w:rsidP="00660766">
      <w:pPr>
        <w:pStyle w:val="Nagwek2"/>
        <w:numPr>
          <w:ilvl w:val="0"/>
          <w:numId w:val="1"/>
        </w:numPr>
        <w:spacing w:before="0"/>
      </w:pPr>
      <w:bookmarkStart w:id="15" w:name="_Toc444761957"/>
      <w:proofErr w:type="spellStart"/>
      <w:r w:rsidRPr="00660766">
        <w:lastRenderedPageBreak/>
        <w:t>Ofensiva</w:t>
      </w:r>
      <w:proofErr w:type="spellEnd"/>
      <w:r w:rsidRPr="00660766">
        <w:t xml:space="preserve"> </w:t>
      </w:r>
      <w:proofErr w:type="spellStart"/>
      <w:r w:rsidRPr="00660766">
        <w:t>Tinerilor</w:t>
      </w:r>
      <w:proofErr w:type="spellEnd"/>
      <w:r w:rsidRPr="00660766">
        <w:t xml:space="preserve"> p. Rumunii (skarga nr 16732/05), wyrok z 15.12.2015 r., nieostateczny</w:t>
      </w:r>
      <w:bookmarkEnd w:id="15"/>
    </w:p>
    <w:p w:rsidR="00660766" w:rsidRPr="00660766" w:rsidRDefault="00660766" w:rsidP="00660766">
      <w:pPr>
        <w:keepNext/>
        <w:keepLines/>
        <w:spacing w:after="120" w:line="240" w:lineRule="auto"/>
        <w:jc w:val="both"/>
        <w:outlineLvl w:val="2"/>
        <w:rPr>
          <w:b/>
          <w:color w:val="000000" w:themeColor="text1"/>
          <w:lang w:val="pl-PL"/>
        </w:rPr>
      </w:pPr>
      <w:bookmarkStart w:id="16" w:name="_Toc444761958"/>
      <w:r w:rsidRPr="00660766">
        <w:rPr>
          <w:b/>
          <w:color w:val="000000" w:themeColor="text1"/>
          <w:lang w:val="pl-PL"/>
        </w:rPr>
        <w:t>- naruszenie art. 3 Protokołu nr 1</w:t>
      </w:r>
      <w:r w:rsidR="00FB1678">
        <w:rPr>
          <w:b/>
          <w:color w:val="000000" w:themeColor="text1"/>
          <w:lang w:val="pl-PL"/>
        </w:rPr>
        <w:t xml:space="preserve"> do Konwencji</w:t>
      </w:r>
      <w:r w:rsidRPr="00660766">
        <w:rPr>
          <w:b/>
          <w:color w:val="000000" w:themeColor="text1"/>
          <w:lang w:val="pl-PL"/>
        </w:rPr>
        <w:t xml:space="preserve"> (prawo do wolnych wyborów) w sprawie dotyczącej wniosku</w:t>
      </w:r>
      <w:r w:rsidR="005A6DF5">
        <w:rPr>
          <w:b/>
          <w:color w:val="000000" w:themeColor="text1"/>
          <w:lang w:val="pl-PL"/>
        </w:rPr>
        <w:t>,</w:t>
      </w:r>
      <w:r w:rsidRPr="00660766">
        <w:rPr>
          <w:b/>
          <w:color w:val="000000" w:themeColor="text1"/>
          <w:lang w:val="pl-PL"/>
        </w:rPr>
        <w:t xml:space="preserve"> </w:t>
      </w:r>
      <w:r w:rsidR="005A6DF5">
        <w:rPr>
          <w:b/>
          <w:color w:val="000000" w:themeColor="text1"/>
          <w:lang w:val="pl-PL"/>
        </w:rPr>
        <w:t xml:space="preserve">złożonego </w:t>
      </w:r>
      <w:r w:rsidR="005A6DF5" w:rsidRPr="00660766">
        <w:rPr>
          <w:b/>
          <w:color w:val="000000" w:themeColor="text1"/>
          <w:lang w:val="pl-PL"/>
        </w:rPr>
        <w:t xml:space="preserve">w </w:t>
      </w:r>
      <w:r w:rsidR="005A6DF5">
        <w:rPr>
          <w:b/>
          <w:color w:val="000000" w:themeColor="text1"/>
          <w:lang w:val="pl-PL"/>
        </w:rPr>
        <w:t xml:space="preserve">szczególnym </w:t>
      </w:r>
      <w:r w:rsidR="005A6DF5" w:rsidRPr="00660766">
        <w:rPr>
          <w:b/>
          <w:color w:val="000000" w:themeColor="text1"/>
          <w:lang w:val="pl-PL"/>
        </w:rPr>
        <w:t>trybie przewidzianym dla mniejszości narodowych</w:t>
      </w:r>
      <w:r w:rsidR="005A6DF5">
        <w:rPr>
          <w:b/>
          <w:color w:val="000000" w:themeColor="text1"/>
          <w:lang w:val="pl-PL"/>
        </w:rPr>
        <w:t>,</w:t>
      </w:r>
      <w:r w:rsidR="005A6DF5" w:rsidRPr="00660766">
        <w:rPr>
          <w:b/>
          <w:color w:val="000000" w:themeColor="text1"/>
          <w:lang w:val="pl-PL"/>
        </w:rPr>
        <w:t xml:space="preserve"> </w:t>
      </w:r>
      <w:r w:rsidRPr="00660766">
        <w:rPr>
          <w:b/>
          <w:color w:val="000000" w:themeColor="text1"/>
          <w:lang w:val="pl-PL"/>
        </w:rPr>
        <w:t>o zarejestrowanie listy kandydatów w wyborach Stowarzyszenia „Inicjatywa Młodych”</w:t>
      </w:r>
      <w:r w:rsidR="005A6DF5">
        <w:rPr>
          <w:b/>
          <w:color w:val="000000" w:themeColor="text1"/>
          <w:lang w:val="pl-PL"/>
        </w:rPr>
        <w:t xml:space="preserve"> – wniosek odrzucono</w:t>
      </w:r>
      <w:r w:rsidR="00FB1678">
        <w:rPr>
          <w:b/>
          <w:color w:val="000000" w:themeColor="text1"/>
          <w:lang w:val="pl-PL"/>
        </w:rPr>
        <w:t xml:space="preserve"> </w:t>
      </w:r>
      <w:r w:rsidRPr="00660766">
        <w:rPr>
          <w:b/>
          <w:color w:val="000000" w:themeColor="text1"/>
          <w:lang w:val="pl-PL"/>
        </w:rPr>
        <w:t xml:space="preserve">na tej podstawie, że logo i dokumenty </w:t>
      </w:r>
      <w:r w:rsidR="005A6DF5">
        <w:rPr>
          <w:b/>
          <w:color w:val="000000" w:themeColor="text1"/>
          <w:lang w:val="pl-PL"/>
        </w:rPr>
        <w:t xml:space="preserve">stowarzyszenia </w:t>
      </w:r>
      <w:r w:rsidRPr="00660766">
        <w:rPr>
          <w:b/>
          <w:color w:val="000000" w:themeColor="text1"/>
          <w:lang w:val="pl-PL"/>
        </w:rPr>
        <w:t xml:space="preserve">nie </w:t>
      </w:r>
      <w:r w:rsidR="00EB31FD">
        <w:rPr>
          <w:b/>
          <w:color w:val="000000" w:themeColor="text1"/>
          <w:lang w:val="pl-PL"/>
        </w:rPr>
        <w:t>potwierdzały</w:t>
      </w:r>
      <w:r w:rsidRPr="00660766">
        <w:rPr>
          <w:b/>
          <w:color w:val="000000" w:themeColor="text1"/>
          <w:lang w:val="pl-PL"/>
        </w:rPr>
        <w:t xml:space="preserve"> </w:t>
      </w:r>
      <w:r w:rsidR="005A6DF5">
        <w:rPr>
          <w:b/>
          <w:color w:val="000000" w:themeColor="text1"/>
          <w:lang w:val="pl-PL"/>
        </w:rPr>
        <w:t xml:space="preserve">jego </w:t>
      </w:r>
      <w:r w:rsidRPr="00660766">
        <w:rPr>
          <w:b/>
          <w:color w:val="000000" w:themeColor="text1"/>
          <w:lang w:val="pl-PL"/>
        </w:rPr>
        <w:t>identyfikacji z narodem polskim, przy braku jasnych regulacji prawnych i gwarancji bezstronności organu rozpatrującego wniosek</w:t>
      </w:r>
      <w:bookmarkEnd w:id="16"/>
    </w:p>
    <w:p w:rsidR="00660766" w:rsidRPr="003109CF" w:rsidRDefault="00660766" w:rsidP="003109CF">
      <w:pPr>
        <w:pStyle w:val="s6c429373"/>
        <w:spacing w:before="0" w:beforeAutospacing="0" w:after="120" w:afterAutospacing="0"/>
        <w:jc w:val="both"/>
        <w:rPr>
          <w:rStyle w:val="sfbbfee58"/>
          <w:rFonts w:asciiTheme="minorHAnsi" w:eastAsiaTheme="majorEastAsia" w:hAnsiTheme="minorHAnsi"/>
          <w:sz w:val="22"/>
          <w:u w:val="single"/>
        </w:rPr>
      </w:pPr>
      <w:r w:rsidRPr="003109CF">
        <w:rPr>
          <w:rStyle w:val="sfbbfee58"/>
          <w:rFonts w:asciiTheme="minorHAnsi" w:eastAsiaTheme="majorEastAsia" w:hAnsiTheme="minorHAnsi"/>
          <w:sz w:val="22"/>
          <w:u w:val="single"/>
        </w:rPr>
        <w:t>Stan faktyczny i zarzuty skarżącego</w:t>
      </w:r>
    </w:p>
    <w:p w:rsidR="00660766" w:rsidRPr="00BE0C4E" w:rsidRDefault="00660766" w:rsidP="00660766">
      <w:pPr>
        <w:pStyle w:val="s6c429373"/>
        <w:spacing w:before="0" w:beforeAutospacing="0" w:after="120" w:afterAutospacing="0"/>
        <w:jc w:val="both"/>
        <w:rPr>
          <w:rStyle w:val="sfbbfee58"/>
          <w:rFonts w:asciiTheme="minorHAnsi" w:eastAsiaTheme="majorEastAsia" w:hAnsiTheme="minorHAnsi"/>
          <w:sz w:val="22"/>
          <w:lang w:val="pl-PL"/>
        </w:rPr>
      </w:pPr>
      <w:r w:rsidRPr="00660766">
        <w:rPr>
          <w:rStyle w:val="sfbbfee58"/>
          <w:rFonts w:asciiTheme="minorHAnsi" w:eastAsiaTheme="majorEastAsia" w:hAnsiTheme="minorHAnsi"/>
          <w:sz w:val="22"/>
          <w:lang w:val="pl-PL"/>
        </w:rPr>
        <w:t>Stowarzyszenie “Inicjatywa Młodych” (</w:t>
      </w:r>
      <w:proofErr w:type="spellStart"/>
      <w:r w:rsidRPr="00B945A0">
        <w:rPr>
          <w:rStyle w:val="sfbbfee58"/>
          <w:rFonts w:asciiTheme="minorHAnsi" w:eastAsiaTheme="majorEastAsia" w:hAnsiTheme="minorHAnsi"/>
          <w:i/>
          <w:sz w:val="22"/>
          <w:lang w:val="pl-PL"/>
        </w:rPr>
        <w:t>Ofensiva</w:t>
      </w:r>
      <w:proofErr w:type="spellEnd"/>
      <w:r w:rsidRPr="00B945A0">
        <w:rPr>
          <w:rStyle w:val="sfbbfee58"/>
          <w:rFonts w:asciiTheme="minorHAnsi" w:eastAsiaTheme="majorEastAsia" w:hAnsiTheme="minorHAnsi"/>
          <w:i/>
          <w:sz w:val="22"/>
          <w:lang w:val="pl-PL"/>
        </w:rPr>
        <w:t xml:space="preserve"> </w:t>
      </w:r>
      <w:proofErr w:type="spellStart"/>
      <w:r w:rsidRPr="00B945A0">
        <w:rPr>
          <w:rStyle w:val="sfbbfee58"/>
          <w:rFonts w:asciiTheme="minorHAnsi" w:eastAsiaTheme="majorEastAsia" w:hAnsiTheme="minorHAnsi"/>
          <w:i/>
          <w:sz w:val="22"/>
          <w:lang w:val="pl-PL"/>
        </w:rPr>
        <w:t>Tinerilor</w:t>
      </w:r>
      <w:proofErr w:type="spellEnd"/>
      <w:r w:rsidRPr="00364DFC">
        <w:rPr>
          <w:rStyle w:val="sfbbfee58"/>
          <w:rFonts w:asciiTheme="minorHAnsi" w:eastAsiaTheme="majorEastAsia" w:hAnsiTheme="minorHAnsi"/>
          <w:sz w:val="22"/>
          <w:lang w:val="pl-PL"/>
        </w:rPr>
        <w:t xml:space="preserve">), zarejestrowane w 2004 r., przed wyborami parlamentarnymi wystąpiło do Centralnego Biura Wyborczego (CBW) </w:t>
      </w:r>
      <w:r w:rsidR="00364DFC" w:rsidRPr="00364DFC">
        <w:rPr>
          <w:rStyle w:val="sfbbfee58"/>
          <w:rFonts w:asciiTheme="minorHAnsi" w:eastAsiaTheme="majorEastAsia" w:hAnsiTheme="minorHAnsi"/>
          <w:sz w:val="22"/>
          <w:lang w:val="pl-PL"/>
        </w:rPr>
        <w:t xml:space="preserve">w trybie przewidzianym dla mniejszości narodowych </w:t>
      </w:r>
      <w:r w:rsidRPr="00364DFC">
        <w:rPr>
          <w:rStyle w:val="sfbbfee58"/>
          <w:rFonts w:asciiTheme="minorHAnsi" w:eastAsiaTheme="majorEastAsia" w:hAnsiTheme="minorHAnsi"/>
          <w:sz w:val="22"/>
          <w:lang w:val="pl-PL"/>
        </w:rPr>
        <w:t xml:space="preserve">o zarejestrowanie </w:t>
      </w:r>
      <w:r w:rsidR="00364DFC" w:rsidRPr="00364DFC">
        <w:rPr>
          <w:rStyle w:val="sfbbfee58"/>
          <w:rFonts w:asciiTheme="minorHAnsi" w:eastAsiaTheme="majorEastAsia" w:hAnsiTheme="minorHAnsi"/>
          <w:sz w:val="22"/>
          <w:lang w:val="pl-PL"/>
        </w:rPr>
        <w:t xml:space="preserve">listy </w:t>
      </w:r>
      <w:r w:rsidRPr="00364DFC">
        <w:rPr>
          <w:rStyle w:val="sfbbfee58"/>
          <w:rFonts w:asciiTheme="minorHAnsi" w:eastAsiaTheme="majorEastAsia" w:hAnsiTheme="minorHAnsi"/>
          <w:sz w:val="22"/>
          <w:lang w:val="pl-PL"/>
        </w:rPr>
        <w:t>kandydatów. Przekazało swoje logo wyborcze (przedst</w:t>
      </w:r>
      <w:r w:rsidR="00364DFC" w:rsidRPr="00364DFC">
        <w:rPr>
          <w:rStyle w:val="sfbbfee58"/>
          <w:rFonts w:asciiTheme="minorHAnsi" w:eastAsiaTheme="majorEastAsia" w:hAnsiTheme="minorHAnsi"/>
          <w:sz w:val="22"/>
          <w:lang w:val="pl-PL"/>
        </w:rPr>
        <w:t>a</w:t>
      </w:r>
      <w:r w:rsidRPr="00364DFC">
        <w:rPr>
          <w:rStyle w:val="sfbbfee58"/>
          <w:rFonts w:asciiTheme="minorHAnsi" w:eastAsiaTheme="majorEastAsia" w:hAnsiTheme="minorHAnsi"/>
          <w:sz w:val="22"/>
          <w:lang w:val="pl-PL"/>
        </w:rPr>
        <w:t>wiające młodego człowieka wskazującego na hasło „Teraz, MŁODZI!” i nazwę stowarzyszenia</w:t>
      </w:r>
      <w:r w:rsidR="00364DFC">
        <w:rPr>
          <w:rStyle w:val="sfbbfee58"/>
          <w:rFonts w:asciiTheme="minorHAnsi" w:eastAsiaTheme="majorEastAsia" w:hAnsiTheme="minorHAnsi"/>
          <w:sz w:val="22"/>
          <w:lang w:val="pl-PL"/>
        </w:rPr>
        <w:t>)</w:t>
      </w:r>
      <w:r w:rsidRPr="00364DFC">
        <w:rPr>
          <w:rStyle w:val="sfbbfee58"/>
          <w:rFonts w:asciiTheme="minorHAnsi" w:eastAsiaTheme="majorEastAsia" w:hAnsiTheme="minorHAnsi"/>
          <w:sz w:val="22"/>
          <w:lang w:val="pl-PL"/>
        </w:rPr>
        <w:t xml:space="preserve">. Stowarzyszenie twierdziło, że hasło było skierowane </w:t>
      </w:r>
      <w:r w:rsidR="00364DFC" w:rsidRPr="00364DFC">
        <w:rPr>
          <w:rStyle w:val="sfbbfee58"/>
          <w:rFonts w:asciiTheme="minorHAnsi" w:eastAsiaTheme="majorEastAsia" w:hAnsiTheme="minorHAnsi"/>
          <w:sz w:val="22"/>
          <w:lang w:val="pl-PL"/>
        </w:rPr>
        <w:t xml:space="preserve">szczególnie </w:t>
      </w:r>
      <w:r w:rsidRPr="00364DFC">
        <w:rPr>
          <w:rStyle w:val="sfbbfee58"/>
          <w:rFonts w:asciiTheme="minorHAnsi" w:eastAsiaTheme="majorEastAsia" w:hAnsiTheme="minorHAnsi"/>
          <w:sz w:val="22"/>
          <w:lang w:val="pl-PL"/>
        </w:rPr>
        <w:t xml:space="preserve">do młodych osób pochodzenia polskiego i miało na celu zachęcenie ich do aktywnego udziału w życiu społecznym i godnym </w:t>
      </w:r>
      <w:r w:rsidR="00C62F08">
        <w:rPr>
          <w:rStyle w:val="sfbbfee58"/>
          <w:rFonts w:asciiTheme="minorHAnsi" w:eastAsiaTheme="majorEastAsia" w:hAnsiTheme="minorHAnsi"/>
          <w:sz w:val="22"/>
          <w:lang w:val="pl-PL"/>
        </w:rPr>
        <w:t>przyjmowania</w:t>
      </w:r>
      <w:r w:rsidRPr="00364DFC">
        <w:rPr>
          <w:rStyle w:val="sfbbfee58"/>
          <w:rFonts w:asciiTheme="minorHAnsi" w:eastAsiaTheme="majorEastAsia" w:hAnsiTheme="minorHAnsi"/>
          <w:sz w:val="22"/>
          <w:lang w:val="pl-PL"/>
        </w:rPr>
        <w:t xml:space="preserve"> kultury i cywilizacji polskiej. </w:t>
      </w:r>
      <w:r w:rsidRPr="00C62F08">
        <w:rPr>
          <w:rStyle w:val="sfbbfee58"/>
          <w:rFonts w:asciiTheme="minorHAnsi" w:eastAsiaTheme="majorEastAsia" w:hAnsiTheme="minorHAnsi"/>
          <w:sz w:val="22"/>
          <w:lang w:val="pl-PL"/>
        </w:rPr>
        <w:t xml:space="preserve">Związek Polaków </w:t>
      </w:r>
      <w:r w:rsidR="00C62F08">
        <w:rPr>
          <w:rStyle w:val="sfbbfee58"/>
          <w:rFonts w:asciiTheme="minorHAnsi" w:eastAsiaTheme="majorEastAsia" w:hAnsiTheme="minorHAnsi"/>
          <w:sz w:val="22"/>
          <w:lang w:val="pl-PL"/>
        </w:rPr>
        <w:t xml:space="preserve">w </w:t>
      </w:r>
      <w:r w:rsidRPr="00C62F08">
        <w:rPr>
          <w:rStyle w:val="sfbbfee58"/>
          <w:rFonts w:asciiTheme="minorHAnsi" w:eastAsiaTheme="majorEastAsia" w:hAnsiTheme="minorHAnsi"/>
          <w:sz w:val="22"/>
          <w:lang w:val="pl-PL"/>
        </w:rPr>
        <w:t>Rumuni</w:t>
      </w:r>
      <w:r w:rsidR="00C62F08" w:rsidRPr="00C62F08">
        <w:rPr>
          <w:rStyle w:val="sfbbfee58"/>
          <w:rFonts w:asciiTheme="minorHAnsi" w:eastAsiaTheme="majorEastAsia" w:hAnsiTheme="minorHAnsi"/>
          <w:sz w:val="22"/>
          <w:lang w:val="pl-PL"/>
        </w:rPr>
        <w:t>i</w:t>
      </w:r>
      <w:r w:rsidRPr="00C62F08">
        <w:rPr>
          <w:rStyle w:val="sfbbfee58"/>
          <w:rFonts w:asciiTheme="minorHAnsi" w:eastAsiaTheme="majorEastAsia" w:hAnsiTheme="minorHAnsi"/>
          <w:sz w:val="22"/>
          <w:lang w:val="pl-PL"/>
        </w:rPr>
        <w:t xml:space="preserve"> „Dom Polski”, organizacja powstała w 1990 r. w celu reprezentowania interesów mniejszości polskiej i korzystająca z miejsca w Izbie Deputowanych </w:t>
      </w:r>
      <w:r w:rsidR="00A234A0">
        <w:rPr>
          <w:rStyle w:val="sfbbfee58"/>
          <w:rFonts w:asciiTheme="minorHAnsi" w:eastAsiaTheme="majorEastAsia" w:hAnsiTheme="minorHAnsi"/>
          <w:sz w:val="22"/>
          <w:lang w:val="pl-PL"/>
        </w:rPr>
        <w:t>oraz</w:t>
      </w:r>
      <w:r w:rsidRPr="00C62F08">
        <w:rPr>
          <w:rStyle w:val="sfbbfee58"/>
          <w:rFonts w:asciiTheme="minorHAnsi" w:eastAsiaTheme="majorEastAsia" w:hAnsiTheme="minorHAnsi"/>
          <w:sz w:val="22"/>
          <w:lang w:val="pl-PL"/>
        </w:rPr>
        <w:t xml:space="preserve"> wchodząca w skład Rady Mniejszości Narodowych, </w:t>
      </w:r>
      <w:r w:rsidR="00A234A0">
        <w:rPr>
          <w:rStyle w:val="sfbbfee58"/>
          <w:rFonts w:asciiTheme="minorHAnsi" w:eastAsiaTheme="majorEastAsia" w:hAnsiTheme="minorHAnsi"/>
          <w:sz w:val="22"/>
          <w:lang w:val="pl-PL"/>
        </w:rPr>
        <w:t>zgłosiła</w:t>
      </w:r>
      <w:r w:rsidRPr="00C62F08">
        <w:rPr>
          <w:rStyle w:val="sfbbfee58"/>
          <w:rFonts w:asciiTheme="minorHAnsi" w:eastAsiaTheme="majorEastAsia" w:hAnsiTheme="minorHAnsi"/>
          <w:sz w:val="22"/>
          <w:lang w:val="pl-PL"/>
        </w:rPr>
        <w:t xml:space="preserve"> do CBW sprzeciw wobec kandydatury skarżącego stowarzyszenia. </w:t>
      </w:r>
      <w:r w:rsidRPr="00BE0C4E">
        <w:rPr>
          <w:rStyle w:val="sfbbfee58"/>
          <w:rFonts w:asciiTheme="minorHAnsi" w:eastAsiaTheme="majorEastAsia" w:hAnsiTheme="minorHAnsi"/>
          <w:sz w:val="22"/>
          <w:lang w:val="pl-PL"/>
        </w:rPr>
        <w:t xml:space="preserve">Argumentowała, że jest jedyną organizacją reprezentującą interesy mniejszości polskiej w Rumunii. </w:t>
      </w:r>
      <w:r w:rsidRPr="00A234A0">
        <w:rPr>
          <w:rStyle w:val="sfbbfee58"/>
          <w:rFonts w:asciiTheme="minorHAnsi" w:eastAsiaTheme="majorEastAsia" w:hAnsiTheme="minorHAnsi"/>
          <w:sz w:val="22"/>
          <w:lang w:val="pl-PL"/>
        </w:rPr>
        <w:t>Twierdziła, że skarżące stowarzyszenie ma związki z partiami politycznymi</w:t>
      </w:r>
      <w:r w:rsidR="00A234A0" w:rsidRPr="00A234A0">
        <w:rPr>
          <w:rStyle w:val="sfbbfee58"/>
          <w:rFonts w:asciiTheme="minorHAnsi" w:eastAsiaTheme="majorEastAsia" w:hAnsiTheme="minorHAnsi"/>
          <w:sz w:val="22"/>
          <w:lang w:val="pl-PL"/>
        </w:rPr>
        <w:t xml:space="preserve">, a z jego nazwy </w:t>
      </w:r>
      <w:r w:rsidRPr="00A234A0">
        <w:rPr>
          <w:rStyle w:val="sfbbfee58"/>
          <w:rFonts w:asciiTheme="minorHAnsi" w:eastAsiaTheme="majorEastAsia" w:hAnsiTheme="minorHAnsi"/>
          <w:sz w:val="22"/>
          <w:lang w:val="pl-PL"/>
        </w:rPr>
        <w:t>nie wynika, by reprezentowało mniejszość polską. Celem stowarzyszenia było uzyskanie miejsca w Parla</w:t>
      </w:r>
      <w:r w:rsidR="00A234A0">
        <w:rPr>
          <w:rStyle w:val="sfbbfee58"/>
          <w:rFonts w:asciiTheme="minorHAnsi" w:eastAsiaTheme="majorEastAsia" w:hAnsiTheme="minorHAnsi"/>
          <w:sz w:val="22"/>
          <w:lang w:val="pl-PL"/>
        </w:rPr>
        <w:t>mencie i w tym celu wykorzystywało</w:t>
      </w:r>
      <w:r w:rsidRPr="00A234A0">
        <w:rPr>
          <w:rStyle w:val="sfbbfee58"/>
          <w:rFonts w:asciiTheme="minorHAnsi" w:eastAsiaTheme="majorEastAsia" w:hAnsiTheme="minorHAnsi"/>
          <w:sz w:val="22"/>
          <w:lang w:val="pl-PL"/>
        </w:rPr>
        <w:t xml:space="preserve"> najprostszą drogę, tj. przyznaną przedstawicielom mniejszości narodowych. CBW odrzuciło wniosek skarżącego stowarzyszenia, uznając w oparciu o analizę przedłożonych dokumentów (statut stowarzyszenia, akt założycielski, lista podpisów), </w:t>
      </w:r>
      <w:r w:rsidR="00A234A0">
        <w:rPr>
          <w:rStyle w:val="sfbbfee58"/>
          <w:rFonts w:asciiTheme="minorHAnsi" w:eastAsiaTheme="majorEastAsia" w:hAnsiTheme="minorHAnsi"/>
          <w:sz w:val="22"/>
          <w:lang w:val="pl-PL"/>
        </w:rPr>
        <w:t xml:space="preserve">że </w:t>
      </w:r>
      <w:r w:rsidRPr="00A234A0">
        <w:rPr>
          <w:rStyle w:val="sfbbfee58"/>
          <w:rFonts w:asciiTheme="minorHAnsi" w:eastAsiaTheme="majorEastAsia" w:hAnsiTheme="minorHAnsi"/>
          <w:sz w:val="22"/>
          <w:lang w:val="pl-PL"/>
        </w:rPr>
        <w:t xml:space="preserve">logo i treść </w:t>
      </w:r>
      <w:r w:rsidR="00A234A0">
        <w:rPr>
          <w:rStyle w:val="sfbbfee58"/>
          <w:rFonts w:asciiTheme="minorHAnsi" w:eastAsiaTheme="majorEastAsia" w:hAnsiTheme="minorHAnsi"/>
          <w:sz w:val="22"/>
          <w:lang w:val="pl-PL"/>
        </w:rPr>
        <w:t xml:space="preserve">tych </w:t>
      </w:r>
      <w:r w:rsidRPr="00A234A0">
        <w:rPr>
          <w:rStyle w:val="sfbbfee58"/>
          <w:rFonts w:asciiTheme="minorHAnsi" w:eastAsiaTheme="majorEastAsia" w:hAnsiTheme="minorHAnsi"/>
          <w:sz w:val="22"/>
          <w:lang w:val="pl-PL"/>
        </w:rPr>
        <w:t xml:space="preserve">dokumentów nie dowodzą identyfikowania się z narodem polskim, czego wymagają </w:t>
      </w:r>
      <w:r w:rsidR="00A234A0">
        <w:rPr>
          <w:rStyle w:val="sfbbfee58"/>
          <w:rFonts w:asciiTheme="minorHAnsi" w:eastAsiaTheme="majorEastAsia" w:hAnsiTheme="minorHAnsi"/>
          <w:sz w:val="22"/>
          <w:lang w:val="pl-PL"/>
        </w:rPr>
        <w:t>stosowne regulacje</w:t>
      </w:r>
      <w:r w:rsidRPr="00A234A0">
        <w:rPr>
          <w:rStyle w:val="sfbbfee58"/>
          <w:rFonts w:asciiTheme="minorHAnsi" w:eastAsiaTheme="majorEastAsia" w:hAnsiTheme="minorHAnsi"/>
          <w:sz w:val="22"/>
          <w:lang w:val="pl-PL"/>
        </w:rPr>
        <w:t xml:space="preserve">.  </w:t>
      </w:r>
      <w:r w:rsidRPr="00BE0C4E">
        <w:rPr>
          <w:rStyle w:val="sfbbfee58"/>
          <w:rFonts w:asciiTheme="minorHAnsi" w:eastAsiaTheme="majorEastAsia" w:hAnsiTheme="minorHAnsi"/>
          <w:sz w:val="22"/>
          <w:lang w:val="pl-PL"/>
        </w:rPr>
        <w:t xml:space="preserve">Wniosek został odrzucony, a decyzja miała charakter ostateczny i nieodwołalny. Wszystkie odwołania do sądów zostały uznane za niedopuszczalne. </w:t>
      </w:r>
    </w:p>
    <w:p w:rsidR="00660766" w:rsidRPr="00B945A0" w:rsidRDefault="00660766" w:rsidP="00660766">
      <w:pPr>
        <w:pStyle w:val="s6c429373"/>
        <w:spacing w:before="0" w:beforeAutospacing="0" w:after="120" w:afterAutospacing="0"/>
        <w:jc w:val="both"/>
        <w:rPr>
          <w:rStyle w:val="sfbbfee58"/>
          <w:rFonts w:asciiTheme="minorHAnsi" w:eastAsiaTheme="majorEastAsia" w:hAnsiTheme="minorHAnsi"/>
          <w:sz w:val="22"/>
          <w:lang w:val="pl-PL"/>
        </w:rPr>
      </w:pPr>
      <w:r w:rsidRPr="00B945A0">
        <w:rPr>
          <w:rStyle w:val="sfbbfee58"/>
          <w:rFonts w:asciiTheme="minorHAnsi" w:eastAsiaTheme="majorEastAsia" w:hAnsiTheme="minorHAnsi"/>
          <w:sz w:val="22"/>
          <w:lang w:val="pl-PL"/>
        </w:rPr>
        <w:t>Skarżące stowarzyszenie zarzuciło naruszenie art. 3 Protokołu nr 1 (prawo do wolnych wyborów) z uwagi na odmowę zarejestrowania listy kandydatów w wyborach i brak możliwości kwestionowania tej decyzji przed sądami krajowymi.</w:t>
      </w:r>
    </w:p>
    <w:p w:rsidR="00660766" w:rsidRPr="00660766" w:rsidRDefault="00660766" w:rsidP="00660766">
      <w:pPr>
        <w:pStyle w:val="s6c429373"/>
        <w:spacing w:before="0" w:beforeAutospacing="0" w:after="120" w:afterAutospacing="0"/>
        <w:jc w:val="both"/>
        <w:rPr>
          <w:rStyle w:val="sfbbfee58"/>
          <w:rFonts w:asciiTheme="minorHAnsi" w:eastAsiaTheme="majorEastAsia" w:hAnsiTheme="minorHAnsi"/>
          <w:sz w:val="22"/>
          <w:u w:val="single"/>
          <w:lang w:val="pl-PL"/>
        </w:rPr>
      </w:pPr>
      <w:r w:rsidRPr="00660766">
        <w:rPr>
          <w:rStyle w:val="sfbbfee58"/>
          <w:rFonts w:asciiTheme="minorHAnsi" w:eastAsiaTheme="majorEastAsia" w:hAnsiTheme="minorHAnsi"/>
          <w:sz w:val="22"/>
          <w:u w:val="single"/>
          <w:lang w:val="pl-PL"/>
        </w:rPr>
        <w:t>Rozstrzygnięcie Trybunału</w:t>
      </w:r>
    </w:p>
    <w:p w:rsidR="00660766" w:rsidRPr="00C74BF1" w:rsidRDefault="00660766" w:rsidP="00660766">
      <w:pPr>
        <w:pStyle w:val="s6c429373"/>
        <w:spacing w:before="0" w:beforeAutospacing="0" w:after="120" w:afterAutospacing="0"/>
        <w:jc w:val="both"/>
        <w:rPr>
          <w:rStyle w:val="sfbbfee58"/>
          <w:rFonts w:asciiTheme="minorHAnsi" w:eastAsiaTheme="majorEastAsia" w:hAnsiTheme="minorHAnsi"/>
          <w:sz w:val="22"/>
          <w:lang w:val="pl-PL"/>
        </w:rPr>
      </w:pPr>
      <w:r w:rsidRPr="00660766">
        <w:rPr>
          <w:rStyle w:val="sfbbfee58"/>
          <w:rFonts w:asciiTheme="minorHAnsi" w:eastAsiaTheme="majorEastAsia" w:hAnsiTheme="minorHAnsi"/>
          <w:sz w:val="22"/>
          <w:lang w:val="pl-PL"/>
        </w:rPr>
        <w:t xml:space="preserve">Trybunał odnotował, że Rumunia przyjęła szczególne regulacje prawne na korzyść mniejszości narodowych umożliwiające udział w wyborach i należy do państw z największą liczbą partii i organizacji mniejszości narodowych uczestniczących w wyborach i mających reprezentację w parlamencie. </w:t>
      </w:r>
      <w:r w:rsidRPr="00522F9B">
        <w:rPr>
          <w:rStyle w:val="sfbbfee58"/>
          <w:rFonts w:asciiTheme="minorHAnsi" w:eastAsiaTheme="majorEastAsia" w:hAnsiTheme="minorHAnsi"/>
          <w:sz w:val="22"/>
          <w:lang w:val="pl-PL"/>
        </w:rPr>
        <w:t xml:space="preserve">Przypomniał też, że art. 3 Protokołu nr 1 nie wymaga od państw wprowadzania szczególnych </w:t>
      </w:r>
      <w:r w:rsidR="00522F9B">
        <w:rPr>
          <w:rStyle w:val="sfbbfee58"/>
          <w:rFonts w:asciiTheme="minorHAnsi" w:eastAsiaTheme="majorEastAsia" w:hAnsiTheme="minorHAnsi"/>
          <w:sz w:val="22"/>
          <w:lang w:val="pl-PL"/>
        </w:rPr>
        <w:t xml:space="preserve">regulacji </w:t>
      </w:r>
      <w:r w:rsidRPr="00522F9B">
        <w:rPr>
          <w:rStyle w:val="sfbbfee58"/>
          <w:rFonts w:asciiTheme="minorHAnsi" w:eastAsiaTheme="majorEastAsia" w:hAnsiTheme="minorHAnsi"/>
          <w:sz w:val="22"/>
          <w:lang w:val="pl-PL"/>
        </w:rPr>
        <w:t xml:space="preserve">na korzyść mniejszości </w:t>
      </w:r>
      <w:r w:rsidR="00522F9B">
        <w:rPr>
          <w:rStyle w:val="sfbbfee58"/>
          <w:rFonts w:asciiTheme="minorHAnsi" w:eastAsiaTheme="majorEastAsia" w:hAnsiTheme="minorHAnsi"/>
          <w:sz w:val="22"/>
          <w:lang w:val="pl-PL"/>
        </w:rPr>
        <w:t>zapewniających</w:t>
      </w:r>
      <w:r w:rsidRPr="00522F9B">
        <w:rPr>
          <w:rStyle w:val="sfbbfee58"/>
          <w:rFonts w:asciiTheme="minorHAnsi" w:eastAsiaTheme="majorEastAsia" w:hAnsiTheme="minorHAnsi"/>
          <w:sz w:val="22"/>
          <w:lang w:val="pl-PL"/>
        </w:rPr>
        <w:t xml:space="preserve"> </w:t>
      </w:r>
      <w:r w:rsidR="004E54D5">
        <w:rPr>
          <w:rStyle w:val="sfbbfee58"/>
          <w:rFonts w:asciiTheme="minorHAnsi" w:eastAsiaTheme="majorEastAsia" w:hAnsiTheme="minorHAnsi"/>
          <w:sz w:val="22"/>
          <w:lang w:val="pl-PL"/>
        </w:rPr>
        <w:t xml:space="preserve">im </w:t>
      </w:r>
      <w:r w:rsidR="00522F9B">
        <w:rPr>
          <w:rStyle w:val="sfbbfee58"/>
          <w:rFonts w:asciiTheme="minorHAnsi" w:eastAsiaTheme="majorEastAsia" w:hAnsiTheme="minorHAnsi"/>
          <w:sz w:val="22"/>
          <w:lang w:val="pl-PL"/>
        </w:rPr>
        <w:t>uczestnictwo</w:t>
      </w:r>
      <w:r w:rsidRPr="00522F9B">
        <w:rPr>
          <w:rStyle w:val="sfbbfee58"/>
          <w:rFonts w:asciiTheme="minorHAnsi" w:eastAsiaTheme="majorEastAsia" w:hAnsiTheme="minorHAnsi"/>
          <w:sz w:val="22"/>
          <w:lang w:val="pl-PL"/>
        </w:rPr>
        <w:t xml:space="preserve"> w wyborach. Jednakże, jeśli państwo tworzy taki system, powinno co do zasady upewnić się, </w:t>
      </w:r>
      <w:r w:rsidR="004E54D5">
        <w:rPr>
          <w:rStyle w:val="sfbbfee58"/>
          <w:rFonts w:asciiTheme="minorHAnsi" w:eastAsiaTheme="majorEastAsia" w:hAnsiTheme="minorHAnsi"/>
          <w:sz w:val="22"/>
          <w:lang w:val="pl-PL"/>
        </w:rPr>
        <w:t xml:space="preserve">by </w:t>
      </w:r>
      <w:r w:rsidRPr="00522F9B">
        <w:rPr>
          <w:rStyle w:val="sfbbfee58"/>
          <w:rFonts w:asciiTheme="minorHAnsi" w:eastAsiaTheme="majorEastAsia" w:hAnsiTheme="minorHAnsi"/>
          <w:sz w:val="22"/>
          <w:lang w:val="pl-PL"/>
        </w:rPr>
        <w:t xml:space="preserve">regulacje </w:t>
      </w:r>
      <w:r w:rsidR="00522F9B" w:rsidRPr="00522F9B">
        <w:rPr>
          <w:rStyle w:val="sfbbfee58"/>
          <w:rFonts w:asciiTheme="minorHAnsi" w:eastAsiaTheme="majorEastAsia" w:hAnsiTheme="minorHAnsi"/>
          <w:sz w:val="22"/>
          <w:lang w:val="pl-PL"/>
        </w:rPr>
        <w:t xml:space="preserve">te </w:t>
      </w:r>
      <w:r w:rsidR="004E54D5">
        <w:rPr>
          <w:rStyle w:val="sfbbfee58"/>
          <w:rFonts w:asciiTheme="minorHAnsi" w:eastAsiaTheme="majorEastAsia" w:hAnsiTheme="minorHAnsi"/>
          <w:sz w:val="22"/>
          <w:lang w:val="pl-PL"/>
        </w:rPr>
        <w:t xml:space="preserve">były </w:t>
      </w:r>
      <w:r w:rsidRPr="00522F9B">
        <w:rPr>
          <w:rStyle w:val="sfbbfee58"/>
          <w:rFonts w:asciiTheme="minorHAnsi" w:eastAsiaTheme="majorEastAsia" w:hAnsiTheme="minorHAnsi"/>
          <w:sz w:val="22"/>
          <w:lang w:val="pl-PL"/>
        </w:rPr>
        <w:t xml:space="preserve">jasne, tak by uniknąć możliwości ich arbitralnego stosowania. Prawo do kandydowania w wyborach </w:t>
      </w:r>
      <w:r w:rsidR="00522F9B">
        <w:rPr>
          <w:rStyle w:val="sfbbfee58"/>
          <w:rFonts w:asciiTheme="minorHAnsi" w:eastAsiaTheme="majorEastAsia" w:hAnsiTheme="minorHAnsi"/>
          <w:sz w:val="22"/>
          <w:lang w:val="pl-PL"/>
        </w:rPr>
        <w:t xml:space="preserve">byłoby </w:t>
      </w:r>
      <w:r w:rsidR="00522F9B" w:rsidRPr="00522F9B">
        <w:rPr>
          <w:rStyle w:val="sfbbfee58"/>
          <w:rFonts w:asciiTheme="minorHAnsi" w:eastAsiaTheme="majorEastAsia" w:hAnsiTheme="minorHAnsi"/>
          <w:sz w:val="22"/>
          <w:lang w:val="pl-PL"/>
        </w:rPr>
        <w:t xml:space="preserve">bowiem </w:t>
      </w:r>
      <w:r w:rsidRPr="00522F9B">
        <w:rPr>
          <w:rStyle w:val="sfbbfee58"/>
          <w:rFonts w:asciiTheme="minorHAnsi" w:eastAsiaTheme="majorEastAsia" w:hAnsiTheme="minorHAnsi"/>
          <w:sz w:val="22"/>
          <w:lang w:val="pl-PL"/>
        </w:rPr>
        <w:t>iluzoryczne, jeśli</w:t>
      </w:r>
      <w:r w:rsidR="00522F9B">
        <w:rPr>
          <w:rStyle w:val="sfbbfee58"/>
          <w:rFonts w:asciiTheme="minorHAnsi" w:eastAsiaTheme="majorEastAsia" w:hAnsiTheme="minorHAnsi"/>
          <w:sz w:val="22"/>
          <w:lang w:val="pl-PL"/>
        </w:rPr>
        <w:t>by</w:t>
      </w:r>
      <w:r w:rsidRPr="00522F9B">
        <w:rPr>
          <w:rStyle w:val="sfbbfee58"/>
          <w:rFonts w:asciiTheme="minorHAnsi" w:eastAsiaTheme="majorEastAsia" w:hAnsiTheme="minorHAnsi"/>
          <w:sz w:val="22"/>
          <w:lang w:val="pl-PL"/>
        </w:rPr>
        <w:t xml:space="preserve"> </w:t>
      </w:r>
      <w:r w:rsidR="00522F9B">
        <w:rPr>
          <w:rStyle w:val="sfbbfee58"/>
          <w:rFonts w:asciiTheme="minorHAnsi" w:eastAsiaTheme="majorEastAsia" w:hAnsiTheme="minorHAnsi"/>
          <w:sz w:val="22"/>
          <w:lang w:val="pl-PL"/>
        </w:rPr>
        <w:t>dana osoba mogła</w:t>
      </w:r>
      <w:r w:rsidRPr="00522F9B">
        <w:rPr>
          <w:rStyle w:val="sfbbfee58"/>
          <w:rFonts w:asciiTheme="minorHAnsi" w:eastAsiaTheme="majorEastAsia" w:hAnsiTheme="minorHAnsi"/>
          <w:sz w:val="22"/>
          <w:lang w:val="pl-PL"/>
        </w:rPr>
        <w:t xml:space="preserve"> być w każdej chwili </w:t>
      </w:r>
      <w:r w:rsidR="00522F9B">
        <w:rPr>
          <w:rStyle w:val="sfbbfee58"/>
          <w:rFonts w:asciiTheme="minorHAnsi" w:eastAsiaTheme="majorEastAsia" w:hAnsiTheme="minorHAnsi"/>
          <w:sz w:val="22"/>
          <w:lang w:val="pl-PL"/>
        </w:rPr>
        <w:t>w sposób arbitralny</w:t>
      </w:r>
      <w:r w:rsidRPr="00522F9B">
        <w:rPr>
          <w:rStyle w:val="sfbbfee58"/>
          <w:rFonts w:asciiTheme="minorHAnsi" w:eastAsiaTheme="majorEastAsia" w:hAnsiTheme="minorHAnsi"/>
          <w:sz w:val="22"/>
          <w:lang w:val="pl-PL"/>
        </w:rPr>
        <w:t xml:space="preserve"> pozbawiona takiej możliwości. Pomimo więc marginesu oceny przyznanego państwom w regulowaniu </w:t>
      </w:r>
      <w:r w:rsidRPr="00522F9B">
        <w:rPr>
          <w:rStyle w:val="sfbbfee58"/>
          <w:rFonts w:asciiTheme="minorHAnsi" w:eastAsiaTheme="majorEastAsia" w:hAnsiTheme="minorHAnsi"/>
          <w:i/>
          <w:sz w:val="22"/>
          <w:lang w:val="pl-PL"/>
        </w:rPr>
        <w:t>in abst</w:t>
      </w:r>
      <w:r w:rsidR="00522F9B" w:rsidRPr="00522F9B">
        <w:rPr>
          <w:rStyle w:val="sfbbfee58"/>
          <w:rFonts w:asciiTheme="minorHAnsi" w:eastAsiaTheme="majorEastAsia" w:hAnsiTheme="minorHAnsi"/>
          <w:i/>
          <w:sz w:val="22"/>
          <w:lang w:val="pl-PL"/>
        </w:rPr>
        <w:t>r</w:t>
      </w:r>
      <w:r w:rsidRPr="00522F9B">
        <w:rPr>
          <w:rStyle w:val="sfbbfee58"/>
          <w:rFonts w:asciiTheme="minorHAnsi" w:eastAsiaTheme="majorEastAsia" w:hAnsiTheme="minorHAnsi"/>
          <w:i/>
          <w:sz w:val="22"/>
          <w:lang w:val="pl-PL"/>
        </w:rPr>
        <w:t>acto</w:t>
      </w:r>
      <w:r w:rsidRPr="00522F9B">
        <w:rPr>
          <w:rStyle w:val="sfbbfee58"/>
          <w:rFonts w:asciiTheme="minorHAnsi" w:eastAsiaTheme="majorEastAsia" w:hAnsiTheme="minorHAnsi"/>
          <w:sz w:val="22"/>
          <w:lang w:val="pl-PL"/>
        </w:rPr>
        <w:t xml:space="preserve"> warunków kandydowania, decyzje stwierdzające brak spełniania tych warunków muszą być zgodne z pewnymi kryteriami, a organy </w:t>
      </w:r>
      <w:r w:rsidR="00C74BF1">
        <w:rPr>
          <w:rStyle w:val="sfbbfee58"/>
          <w:rFonts w:asciiTheme="minorHAnsi" w:eastAsiaTheme="majorEastAsia" w:hAnsiTheme="minorHAnsi"/>
          <w:sz w:val="22"/>
          <w:lang w:val="pl-PL"/>
        </w:rPr>
        <w:t xml:space="preserve">je </w:t>
      </w:r>
      <w:r w:rsidRPr="00522F9B">
        <w:rPr>
          <w:rStyle w:val="sfbbfee58"/>
          <w:rFonts w:asciiTheme="minorHAnsi" w:eastAsiaTheme="majorEastAsia" w:hAnsiTheme="minorHAnsi"/>
          <w:sz w:val="22"/>
          <w:lang w:val="pl-PL"/>
        </w:rPr>
        <w:t xml:space="preserve">podejmujące powinny spełniać minimalne gwarancje bezstronności. </w:t>
      </w:r>
      <w:r w:rsidRPr="00C74BF1">
        <w:rPr>
          <w:rStyle w:val="sfbbfee58"/>
          <w:rFonts w:asciiTheme="minorHAnsi" w:eastAsiaTheme="majorEastAsia" w:hAnsiTheme="minorHAnsi"/>
          <w:sz w:val="22"/>
          <w:lang w:val="pl-PL"/>
        </w:rPr>
        <w:t xml:space="preserve">Zakres uznania nie może być nadmierny i </w:t>
      </w:r>
      <w:r w:rsidR="004E54D5">
        <w:rPr>
          <w:rStyle w:val="sfbbfee58"/>
          <w:rFonts w:asciiTheme="minorHAnsi" w:eastAsiaTheme="majorEastAsia" w:hAnsiTheme="minorHAnsi"/>
          <w:sz w:val="22"/>
          <w:lang w:val="pl-PL"/>
        </w:rPr>
        <w:t xml:space="preserve">musi </w:t>
      </w:r>
      <w:r w:rsidRPr="00C74BF1">
        <w:rPr>
          <w:rStyle w:val="sfbbfee58"/>
          <w:rFonts w:asciiTheme="minorHAnsi" w:eastAsiaTheme="majorEastAsia" w:hAnsiTheme="minorHAnsi"/>
          <w:sz w:val="22"/>
          <w:lang w:val="pl-PL"/>
        </w:rPr>
        <w:t xml:space="preserve">mieć oparcie w regulacjach prawa wewnętrznego.  </w:t>
      </w:r>
    </w:p>
    <w:p w:rsidR="00660766" w:rsidRPr="00660766" w:rsidRDefault="00660766" w:rsidP="00660766">
      <w:pPr>
        <w:pStyle w:val="s6c429373"/>
        <w:spacing w:before="0" w:beforeAutospacing="0" w:after="120" w:afterAutospacing="0"/>
        <w:jc w:val="both"/>
        <w:rPr>
          <w:rStyle w:val="sfbbfee58"/>
          <w:rFonts w:asciiTheme="minorHAnsi" w:eastAsiaTheme="majorEastAsia" w:hAnsiTheme="minorHAnsi"/>
          <w:sz w:val="22"/>
          <w:lang w:val="pl-PL"/>
        </w:rPr>
      </w:pPr>
      <w:r w:rsidRPr="00C74BF1">
        <w:rPr>
          <w:rStyle w:val="sfbbfee58"/>
          <w:rFonts w:asciiTheme="minorHAnsi" w:eastAsiaTheme="majorEastAsia" w:hAnsiTheme="minorHAnsi"/>
          <w:sz w:val="22"/>
          <w:lang w:val="pl-PL"/>
        </w:rPr>
        <w:t xml:space="preserve">W przedmiotowej sprawie decyzja o odmowie zarejestrowania listy kandydatów skarżącego stowarzyszenia została oparta na stwierdzeniu, że logo i dokumenty przedłożone przez stowarzyszenie nie dowodziły </w:t>
      </w:r>
      <w:r w:rsidR="00C74BF1" w:rsidRPr="00C74BF1">
        <w:rPr>
          <w:rStyle w:val="sfbbfee58"/>
          <w:rFonts w:asciiTheme="minorHAnsi" w:eastAsiaTheme="majorEastAsia" w:hAnsiTheme="minorHAnsi"/>
          <w:sz w:val="22"/>
          <w:lang w:val="pl-PL"/>
        </w:rPr>
        <w:t xml:space="preserve">jego </w:t>
      </w:r>
      <w:r w:rsidRPr="00C74BF1">
        <w:rPr>
          <w:rStyle w:val="sfbbfee58"/>
          <w:rFonts w:asciiTheme="minorHAnsi" w:eastAsiaTheme="majorEastAsia" w:hAnsiTheme="minorHAnsi"/>
          <w:sz w:val="22"/>
          <w:lang w:val="pl-PL"/>
        </w:rPr>
        <w:t xml:space="preserve">identyfikacji z narodem polskim. Jednakże przepisy nie nakładały </w:t>
      </w:r>
      <w:r w:rsidR="00C74BF1" w:rsidRPr="00C74BF1">
        <w:rPr>
          <w:rStyle w:val="sfbbfee58"/>
          <w:rFonts w:asciiTheme="minorHAnsi" w:eastAsiaTheme="majorEastAsia" w:hAnsiTheme="minorHAnsi"/>
          <w:sz w:val="22"/>
          <w:lang w:val="pl-PL"/>
        </w:rPr>
        <w:t xml:space="preserve"> obowiązków </w:t>
      </w:r>
      <w:r w:rsidR="00BF7EF8">
        <w:rPr>
          <w:rStyle w:val="sfbbfee58"/>
          <w:rFonts w:asciiTheme="minorHAnsi" w:eastAsiaTheme="majorEastAsia" w:hAnsiTheme="minorHAnsi"/>
          <w:sz w:val="22"/>
          <w:lang w:val="pl-PL"/>
        </w:rPr>
        <w:t>odnośnie wybranego logo. Nie określał</w:t>
      </w:r>
      <w:r w:rsidR="00B6654A">
        <w:rPr>
          <w:rStyle w:val="sfbbfee58"/>
          <w:rFonts w:asciiTheme="minorHAnsi" w:eastAsiaTheme="majorEastAsia" w:hAnsiTheme="minorHAnsi"/>
          <w:sz w:val="22"/>
          <w:lang w:val="pl-PL"/>
        </w:rPr>
        <w:t>y</w:t>
      </w:r>
      <w:r w:rsidR="00BF7EF8">
        <w:rPr>
          <w:rStyle w:val="sfbbfee58"/>
          <w:rFonts w:asciiTheme="minorHAnsi" w:eastAsiaTheme="majorEastAsia" w:hAnsiTheme="minorHAnsi"/>
          <w:sz w:val="22"/>
          <w:lang w:val="pl-PL"/>
        </w:rPr>
        <w:t xml:space="preserve"> jasno </w:t>
      </w:r>
      <w:r w:rsidRPr="00C74BF1">
        <w:rPr>
          <w:rStyle w:val="sfbbfee58"/>
          <w:rFonts w:asciiTheme="minorHAnsi" w:eastAsiaTheme="majorEastAsia" w:hAnsiTheme="minorHAnsi"/>
          <w:sz w:val="22"/>
          <w:lang w:val="pl-PL"/>
        </w:rPr>
        <w:t>warunków, które powinni spełnić kandydaci chcący reprezentować interesy mniejszości narodowych</w:t>
      </w:r>
      <w:r w:rsidR="00BF7EF8">
        <w:rPr>
          <w:rStyle w:val="sfbbfee58"/>
          <w:rFonts w:asciiTheme="minorHAnsi" w:eastAsiaTheme="majorEastAsia" w:hAnsiTheme="minorHAnsi"/>
          <w:sz w:val="22"/>
          <w:lang w:val="pl-PL"/>
        </w:rPr>
        <w:t xml:space="preserve"> ani zakresu uprawnień </w:t>
      </w:r>
      <w:r w:rsidR="00BF7EF8">
        <w:rPr>
          <w:rStyle w:val="sfbbfee58"/>
          <w:rFonts w:asciiTheme="minorHAnsi" w:eastAsiaTheme="majorEastAsia" w:hAnsiTheme="minorHAnsi"/>
          <w:sz w:val="22"/>
          <w:lang w:val="pl-PL"/>
        </w:rPr>
        <w:lastRenderedPageBreak/>
        <w:t>decyzyjnych organu w tym względzie</w:t>
      </w:r>
      <w:r w:rsidRPr="00C74BF1">
        <w:rPr>
          <w:rStyle w:val="sfbbfee58"/>
          <w:rFonts w:asciiTheme="minorHAnsi" w:eastAsiaTheme="majorEastAsia" w:hAnsiTheme="minorHAnsi"/>
          <w:sz w:val="22"/>
          <w:lang w:val="pl-PL"/>
        </w:rPr>
        <w:t xml:space="preserve">. </w:t>
      </w:r>
      <w:r w:rsidRPr="00BE0C4E">
        <w:rPr>
          <w:rStyle w:val="sfbbfee58"/>
          <w:rFonts w:asciiTheme="minorHAnsi" w:eastAsiaTheme="majorEastAsia" w:hAnsiTheme="minorHAnsi"/>
          <w:sz w:val="22"/>
          <w:lang w:val="pl-PL"/>
        </w:rPr>
        <w:t xml:space="preserve">Ponieważ prawo nie przewidywało możliwości odwołania od decyzji CBW, Trybunał zbadał, czy organ ten spełniał minimalne gwarancje bezstronności. Odnotował, że interesy mniejszości narodowych były w CBW reprezentowane przez jednego przedstawiciela desygnowanego przez organizacje mniejszości narodowych już reprezentowane w parlamencie. </w:t>
      </w:r>
      <w:r w:rsidRPr="00660766">
        <w:rPr>
          <w:rStyle w:val="sfbbfee58"/>
          <w:rFonts w:asciiTheme="minorHAnsi" w:eastAsiaTheme="majorEastAsia" w:hAnsiTheme="minorHAnsi"/>
          <w:sz w:val="22"/>
          <w:lang w:val="pl-PL"/>
        </w:rPr>
        <w:t xml:space="preserve">Większość członków stanowili </w:t>
      </w:r>
      <w:r w:rsidR="00C74BF1">
        <w:rPr>
          <w:rStyle w:val="sfbbfee58"/>
          <w:rFonts w:asciiTheme="minorHAnsi" w:eastAsiaTheme="majorEastAsia" w:hAnsiTheme="minorHAnsi"/>
          <w:sz w:val="22"/>
          <w:lang w:val="pl-PL"/>
        </w:rPr>
        <w:t xml:space="preserve">natomiast </w:t>
      </w:r>
      <w:r w:rsidRPr="00660766">
        <w:rPr>
          <w:rStyle w:val="sfbbfee58"/>
          <w:rFonts w:asciiTheme="minorHAnsi" w:eastAsiaTheme="majorEastAsia" w:hAnsiTheme="minorHAnsi"/>
          <w:sz w:val="22"/>
          <w:lang w:val="pl-PL"/>
        </w:rPr>
        <w:t xml:space="preserve">przedstawiciele partii politycznych uczestniczących w wyborach. W opinii Trybunału, </w:t>
      </w:r>
      <w:r w:rsidRPr="00BE0C4E">
        <w:rPr>
          <w:rStyle w:val="sfbbfee58"/>
          <w:rFonts w:asciiTheme="minorHAnsi" w:eastAsiaTheme="majorEastAsia" w:hAnsiTheme="minorHAnsi"/>
          <w:sz w:val="22"/>
          <w:lang w:val="pl-PL"/>
        </w:rPr>
        <w:t xml:space="preserve">skarżące </w:t>
      </w:r>
      <w:r w:rsidRPr="00660766">
        <w:rPr>
          <w:rStyle w:val="sfbbfee58"/>
          <w:rFonts w:asciiTheme="minorHAnsi" w:eastAsiaTheme="majorEastAsia" w:hAnsiTheme="minorHAnsi"/>
          <w:sz w:val="22"/>
          <w:lang w:val="pl-PL"/>
        </w:rPr>
        <w:t>stow</w:t>
      </w:r>
      <w:r w:rsidRPr="00BE0C4E">
        <w:rPr>
          <w:rStyle w:val="sfbbfee58"/>
          <w:rFonts w:asciiTheme="minorHAnsi" w:eastAsiaTheme="majorEastAsia" w:hAnsiTheme="minorHAnsi"/>
          <w:sz w:val="22"/>
          <w:lang w:val="pl-PL"/>
        </w:rPr>
        <w:t>a</w:t>
      </w:r>
      <w:r w:rsidRPr="00660766">
        <w:rPr>
          <w:rStyle w:val="sfbbfee58"/>
          <w:rFonts w:asciiTheme="minorHAnsi" w:eastAsiaTheme="majorEastAsia" w:hAnsiTheme="minorHAnsi"/>
          <w:sz w:val="22"/>
          <w:lang w:val="pl-PL"/>
        </w:rPr>
        <w:t xml:space="preserve">rzyszenie miało uprawnione powody, by obawiać się, że większość </w:t>
      </w:r>
      <w:r w:rsidRPr="00BE0C4E">
        <w:rPr>
          <w:rStyle w:val="sfbbfee58"/>
          <w:rFonts w:asciiTheme="minorHAnsi" w:eastAsiaTheme="majorEastAsia" w:hAnsiTheme="minorHAnsi"/>
          <w:sz w:val="22"/>
          <w:lang w:val="pl-PL"/>
        </w:rPr>
        <w:t xml:space="preserve">osób badających </w:t>
      </w:r>
      <w:r w:rsidRPr="00660766">
        <w:rPr>
          <w:rStyle w:val="sfbbfee58"/>
          <w:rFonts w:asciiTheme="minorHAnsi" w:eastAsiaTheme="majorEastAsia" w:hAnsiTheme="minorHAnsi"/>
          <w:sz w:val="22"/>
          <w:lang w:val="pl-PL"/>
        </w:rPr>
        <w:t xml:space="preserve">jego kandydaturę, </w:t>
      </w:r>
      <w:r w:rsidRPr="00BE0C4E">
        <w:rPr>
          <w:rStyle w:val="sfbbfee58"/>
          <w:rFonts w:asciiTheme="minorHAnsi" w:eastAsiaTheme="majorEastAsia" w:hAnsiTheme="minorHAnsi"/>
          <w:sz w:val="22"/>
          <w:lang w:val="pl-PL"/>
        </w:rPr>
        <w:t>stanowili członkowie</w:t>
      </w:r>
      <w:r w:rsidRPr="00660766">
        <w:rPr>
          <w:rStyle w:val="sfbbfee58"/>
          <w:rFonts w:asciiTheme="minorHAnsi" w:eastAsiaTheme="majorEastAsia" w:hAnsiTheme="minorHAnsi"/>
          <w:sz w:val="22"/>
          <w:lang w:val="pl-PL"/>
        </w:rPr>
        <w:t xml:space="preserve"> innych partii politycznych, </w:t>
      </w:r>
      <w:r w:rsidRPr="00BE0C4E">
        <w:rPr>
          <w:rStyle w:val="sfbbfee58"/>
          <w:rFonts w:asciiTheme="minorHAnsi" w:eastAsiaTheme="majorEastAsia" w:hAnsiTheme="minorHAnsi"/>
          <w:sz w:val="22"/>
          <w:lang w:val="pl-PL"/>
        </w:rPr>
        <w:t xml:space="preserve">którzy mogli mieć </w:t>
      </w:r>
      <w:r w:rsidRPr="00660766">
        <w:rPr>
          <w:rStyle w:val="sfbbfee58"/>
          <w:rFonts w:asciiTheme="minorHAnsi" w:eastAsiaTheme="majorEastAsia" w:hAnsiTheme="minorHAnsi"/>
          <w:sz w:val="22"/>
          <w:lang w:val="pl-PL"/>
        </w:rPr>
        <w:t>interes</w:t>
      </w:r>
      <w:r w:rsidRPr="00BE0C4E">
        <w:rPr>
          <w:rStyle w:val="sfbbfee58"/>
          <w:rFonts w:asciiTheme="minorHAnsi" w:eastAsiaTheme="majorEastAsia" w:hAnsiTheme="minorHAnsi"/>
          <w:sz w:val="22"/>
          <w:lang w:val="pl-PL"/>
        </w:rPr>
        <w:t>y sprzeczne</w:t>
      </w:r>
      <w:r w:rsidRPr="00660766">
        <w:rPr>
          <w:rStyle w:val="sfbbfee58"/>
          <w:rFonts w:asciiTheme="minorHAnsi" w:eastAsiaTheme="majorEastAsia" w:hAnsiTheme="minorHAnsi"/>
          <w:sz w:val="22"/>
          <w:lang w:val="pl-PL"/>
        </w:rPr>
        <w:t xml:space="preserve"> z jego</w:t>
      </w:r>
      <w:r w:rsidR="004E54D5">
        <w:rPr>
          <w:rStyle w:val="sfbbfee58"/>
          <w:rFonts w:asciiTheme="minorHAnsi" w:eastAsiaTheme="majorEastAsia" w:hAnsiTheme="minorHAnsi"/>
          <w:sz w:val="22"/>
          <w:lang w:val="pl-PL"/>
        </w:rPr>
        <w:t xml:space="preserve"> interesami</w:t>
      </w:r>
      <w:r w:rsidRPr="00660766">
        <w:rPr>
          <w:rStyle w:val="sfbbfee58"/>
          <w:rFonts w:asciiTheme="minorHAnsi" w:eastAsiaTheme="majorEastAsia" w:hAnsiTheme="minorHAnsi"/>
          <w:sz w:val="22"/>
          <w:lang w:val="pl-PL"/>
        </w:rPr>
        <w:t>.</w:t>
      </w:r>
      <w:r w:rsidRPr="00BE0C4E">
        <w:rPr>
          <w:rStyle w:val="sfbbfee58"/>
          <w:rFonts w:asciiTheme="minorHAnsi" w:eastAsiaTheme="majorEastAsia" w:hAnsiTheme="minorHAnsi"/>
          <w:sz w:val="22"/>
          <w:lang w:val="pl-PL"/>
        </w:rPr>
        <w:t xml:space="preserve"> Reguły tworzenia tego organu, złożonego głównie z członków partii, nie zapewniały minimalnych gwarancji bezstronności. Nie były też dostępne środki rekompensujące ten fakt. </w:t>
      </w:r>
      <w:r w:rsidRPr="00C74BF1">
        <w:rPr>
          <w:rStyle w:val="sfbbfee58"/>
          <w:rFonts w:asciiTheme="minorHAnsi" w:eastAsiaTheme="majorEastAsia" w:hAnsiTheme="minorHAnsi"/>
          <w:sz w:val="22"/>
          <w:lang w:val="pl-PL"/>
        </w:rPr>
        <w:t xml:space="preserve">Wszystkie odwołania do sądu zostały odrzucone </w:t>
      </w:r>
      <w:r w:rsidR="00C74BF1" w:rsidRPr="00C74BF1">
        <w:rPr>
          <w:rStyle w:val="sfbbfee58"/>
          <w:rFonts w:asciiTheme="minorHAnsi" w:eastAsiaTheme="majorEastAsia" w:hAnsiTheme="minorHAnsi"/>
          <w:sz w:val="22"/>
          <w:lang w:val="pl-PL"/>
        </w:rPr>
        <w:t>jako niedopuszczalne</w:t>
      </w:r>
      <w:r w:rsidR="00BF7EF8">
        <w:rPr>
          <w:rStyle w:val="sfbbfee58"/>
          <w:rFonts w:asciiTheme="minorHAnsi" w:eastAsiaTheme="majorEastAsia" w:hAnsiTheme="minorHAnsi"/>
          <w:sz w:val="22"/>
          <w:lang w:val="pl-PL"/>
        </w:rPr>
        <w:t xml:space="preserve"> z uwagi na ostateczny charakter rozstrzygnięć CBW</w:t>
      </w:r>
      <w:r w:rsidRPr="00C74BF1">
        <w:rPr>
          <w:rStyle w:val="sfbbfee58"/>
          <w:rFonts w:asciiTheme="minorHAnsi" w:eastAsiaTheme="majorEastAsia" w:hAnsiTheme="minorHAnsi"/>
          <w:sz w:val="22"/>
          <w:lang w:val="pl-PL"/>
        </w:rPr>
        <w:t xml:space="preserve">, a sądy nie wypowiedziały się w sprawie </w:t>
      </w:r>
      <w:r w:rsidR="00C05E20" w:rsidRPr="00C74BF1">
        <w:rPr>
          <w:rStyle w:val="sfbbfee58"/>
          <w:rFonts w:asciiTheme="minorHAnsi" w:eastAsiaTheme="majorEastAsia" w:hAnsiTheme="minorHAnsi"/>
          <w:sz w:val="22"/>
          <w:lang w:val="pl-PL"/>
        </w:rPr>
        <w:t xml:space="preserve">wykładni </w:t>
      </w:r>
      <w:r w:rsidR="00BF7EF8" w:rsidRPr="00C74BF1">
        <w:rPr>
          <w:rStyle w:val="sfbbfee58"/>
          <w:rFonts w:asciiTheme="minorHAnsi" w:eastAsiaTheme="majorEastAsia" w:hAnsiTheme="minorHAnsi"/>
          <w:sz w:val="22"/>
          <w:lang w:val="pl-PL"/>
        </w:rPr>
        <w:t xml:space="preserve">zastosowanej przez </w:t>
      </w:r>
      <w:r w:rsidR="00B6654A">
        <w:rPr>
          <w:rStyle w:val="sfbbfee58"/>
          <w:rFonts w:asciiTheme="minorHAnsi" w:eastAsiaTheme="majorEastAsia" w:hAnsiTheme="minorHAnsi"/>
          <w:sz w:val="22"/>
          <w:lang w:val="pl-PL"/>
        </w:rPr>
        <w:t xml:space="preserve">biuro wyborcze </w:t>
      </w:r>
      <w:r w:rsidRPr="00C74BF1">
        <w:rPr>
          <w:rStyle w:val="sfbbfee58"/>
          <w:rFonts w:asciiTheme="minorHAnsi" w:eastAsiaTheme="majorEastAsia" w:hAnsiTheme="minorHAnsi"/>
          <w:sz w:val="22"/>
          <w:lang w:val="pl-PL"/>
        </w:rPr>
        <w:t>.</w:t>
      </w:r>
    </w:p>
    <w:p w:rsidR="00660766" w:rsidRPr="00660766" w:rsidRDefault="00660766" w:rsidP="00660766">
      <w:pPr>
        <w:pStyle w:val="s6c429373"/>
        <w:spacing w:before="0" w:beforeAutospacing="0" w:after="120" w:afterAutospacing="0"/>
        <w:jc w:val="both"/>
        <w:rPr>
          <w:rStyle w:val="sfbbfee58"/>
          <w:rFonts w:asciiTheme="minorHAnsi" w:eastAsiaTheme="majorEastAsia" w:hAnsiTheme="minorHAnsi"/>
          <w:sz w:val="22"/>
          <w:lang w:val="pl-PL"/>
        </w:rPr>
      </w:pPr>
      <w:r w:rsidRPr="00660766">
        <w:rPr>
          <w:rStyle w:val="sfbbfee58"/>
          <w:rFonts w:asciiTheme="minorHAnsi" w:eastAsiaTheme="majorEastAsia" w:hAnsiTheme="minorHAnsi"/>
          <w:sz w:val="22"/>
          <w:lang w:val="pl-PL"/>
        </w:rPr>
        <w:t xml:space="preserve">Trybunał uznał, że </w:t>
      </w:r>
      <w:r w:rsidRPr="00C74BF1">
        <w:rPr>
          <w:rStyle w:val="sfbbfee58"/>
          <w:rFonts w:asciiTheme="minorHAnsi" w:eastAsiaTheme="majorEastAsia" w:hAnsiTheme="minorHAnsi"/>
          <w:sz w:val="22"/>
          <w:lang w:val="pl-PL"/>
        </w:rPr>
        <w:t>z uwagi na brak jasności prawa wyborczego dotyczącego mniejszości narodowych oraz brak niezbędnych</w:t>
      </w:r>
      <w:r w:rsidR="00C74BF1" w:rsidRPr="00C74BF1">
        <w:rPr>
          <w:rStyle w:val="sfbbfee58"/>
          <w:rFonts w:asciiTheme="minorHAnsi" w:eastAsiaTheme="majorEastAsia" w:hAnsiTheme="minorHAnsi"/>
          <w:sz w:val="22"/>
          <w:lang w:val="pl-PL"/>
        </w:rPr>
        <w:t xml:space="preserve"> gwarancji bezstronności organu</w:t>
      </w:r>
      <w:r w:rsidR="00C74BF1">
        <w:rPr>
          <w:rStyle w:val="sfbbfee58"/>
          <w:rFonts w:asciiTheme="minorHAnsi" w:eastAsiaTheme="majorEastAsia" w:hAnsiTheme="minorHAnsi"/>
          <w:sz w:val="22"/>
          <w:lang w:val="pl-PL"/>
        </w:rPr>
        <w:t xml:space="preserve"> badającego</w:t>
      </w:r>
      <w:r w:rsidRPr="00C74BF1">
        <w:rPr>
          <w:rStyle w:val="sfbbfee58"/>
          <w:rFonts w:asciiTheme="minorHAnsi" w:eastAsiaTheme="majorEastAsia" w:hAnsiTheme="minorHAnsi"/>
          <w:sz w:val="22"/>
          <w:lang w:val="pl-PL"/>
        </w:rPr>
        <w:t xml:space="preserve"> wnioski o zarejestrowanie kandydatów, doszło do naruszenia praw gwarantowanych art. 3 Protokołu nr 1.</w:t>
      </w:r>
    </w:p>
    <w:p w:rsidR="00660766" w:rsidRDefault="00660766" w:rsidP="00660766">
      <w:pPr>
        <w:pStyle w:val="s6c429373"/>
        <w:spacing w:before="0" w:beforeAutospacing="0" w:after="120" w:afterAutospacing="0"/>
        <w:jc w:val="both"/>
        <w:rPr>
          <w:rStyle w:val="sfbbfee58"/>
          <w:rFonts w:asciiTheme="minorHAnsi" w:eastAsiaTheme="majorEastAsia" w:hAnsiTheme="minorHAnsi"/>
          <w:sz w:val="22"/>
          <w:lang w:val="pl-PL"/>
        </w:rPr>
      </w:pPr>
      <w:r w:rsidRPr="00660766">
        <w:rPr>
          <w:rStyle w:val="sfbbfee58"/>
          <w:rFonts w:asciiTheme="minorHAnsi" w:eastAsiaTheme="majorEastAsia" w:hAnsiTheme="minorHAnsi"/>
          <w:sz w:val="22"/>
          <w:lang w:val="pl-PL"/>
        </w:rPr>
        <w:t xml:space="preserve">Do wyroku dołączone zostało zdanie zbieżne sędziego K. </w:t>
      </w:r>
      <w:r w:rsidRPr="006D3C08">
        <w:rPr>
          <w:rStyle w:val="sfbbfee58"/>
          <w:rFonts w:asciiTheme="minorHAnsi" w:eastAsiaTheme="majorEastAsia" w:hAnsiTheme="minorHAnsi"/>
          <w:sz w:val="22"/>
          <w:lang w:val="pl-PL"/>
        </w:rPr>
        <w:t>Wojtyczka, który zwrócił uwagę, że istotą sprawy nie była kwestia uprawnienia do kandydowania w wyborach, a prawa do zgłaszania kandydatów, a także na fakt, że w przedmiotowej sprawie dla organizacji</w:t>
      </w:r>
      <w:r w:rsidR="006D3C08" w:rsidRPr="006D3C08">
        <w:rPr>
          <w:rStyle w:val="sfbbfee58"/>
          <w:rFonts w:asciiTheme="minorHAnsi" w:eastAsiaTheme="majorEastAsia" w:hAnsiTheme="minorHAnsi"/>
          <w:sz w:val="22"/>
          <w:lang w:val="pl-PL"/>
        </w:rPr>
        <w:t xml:space="preserve"> obywateli</w:t>
      </w:r>
      <w:r w:rsidR="0029447A">
        <w:rPr>
          <w:rStyle w:val="sfbbfee58"/>
          <w:rFonts w:asciiTheme="minorHAnsi" w:eastAsiaTheme="majorEastAsia" w:hAnsiTheme="minorHAnsi"/>
          <w:sz w:val="22"/>
          <w:lang w:val="pl-PL"/>
        </w:rPr>
        <w:t xml:space="preserve"> innych niż partie polityczne (</w:t>
      </w:r>
      <w:r w:rsidRPr="006D3C08">
        <w:rPr>
          <w:rStyle w:val="sfbbfee58"/>
          <w:rFonts w:asciiTheme="minorHAnsi" w:eastAsiaTheme="majorEastAsia" w:hAnsiTheme="minorHAnsi"/>
          <w:sz w:val="22"/>
          <w:lang w:val="pl-PL"/>
        </w:rPr>
        <w:t>koalicj</w:t>
      </w:r>
      <w:r w:rsidR="00A67337">
        <w:rPr>
          <w:rStyle w:val="sfbbfee58"/>
          <w:rFonts w:asciiTheme="minorHAnsi" w:eastAsiaTheme="majorEastAsia" w:hAnsiTheme="minorHAnsi"/>
          <w:sz w:val="22"/>
          <w:lang w:val="pl-PL"/>
        </w:rPr>
        <w:t>e</w:t>
      </w:r>
      <w:r w:rsidRPr="006D3C08">
        <w:rPr>
          <w:rStyle w:val="sfbbfee58"/>
          <w:rFonts w:asciiTheme="minorHAnsi" w:eastAsiaTheme="majorEastAsia" w:hAnsiTheme="minorHAnsi"/>
          <w:sz w:val="22"/>
          <w:lang w:val="pl-PL"/>
        </w:rPr>
        <w:t xml:space="preserve"> partii</w:t>
      </w:r>
      <w:r w:rsidR="0029447A">
        <w:rPr>
          <w:rStyle w:val="sfbbfee58"/>
          <w:rFonts w:asciiTheme="minorHAnsi" w:eastAsiaTheme="majorEastAsia" w:hAnsiTheme="minorHAnsi"/>
          <w:sz w:val="22"/>
          <w:lang w:val="pl-PL"/>
        </w:rPr>
        <w:t>)</w:t>
      </w:r>
      <w:r w:rsidRPr="006D3C08">
        <w:rPr>
          <w:rStyle w:val="sfbbfee58"/>
          <w:rFonts w:asciiTheme="minorHAnsi" w:eastAsiaTheme="majorEastAsia" w:hAnsiTheme="minorHAnsi"/>
          <w:sz w:val="22"/>
          <w:lang w:val="pl-PL"/>
        </w:rPr>
        <w:t xml:space="preserve">, jedyną możliwością zgłaszania kandydatów w wyborach był </w:t>
      </w:r>
      <w:r w:rsidR="0029447A">
        <w:rPr>
          <w:rStyle w:val="sfbbfee58"/>
          <w:rFonts w:asciiTheme="minorHAnsi" w:eastAsiaTheme="majorEastAsia" w:hAnsiTheme="minorHAnsi"/>
          <w:sz w:val="22"/>
          <w:lang w:val="pl-PL"/>
        </w:rPr>
        <w:t>tryb przewidziany</w:t>
      </w:r>
      <w:r w:rsidRPr="006D3C08">
        <w:rPr>
          <w:rStyle w:val="sfbbfee58"/>
          <w:rFonts w:asciiTheme="minorHAnsi" w:eastAsiaTheme="majorEastAsia" w:hAnsiTheme="minorHAnsi"/>
          <w:sz w:val="22"/>
          <w:lang w:val="pl-PL"/>
        </w:rPr>
        <w:t xml:space="preserve"> dla mniejszości narodowych. </w:t>
      </w:r>
      <w:r w:rsidRPr="00DB70D7">
        <w:rPr>
          <w:rStyle w:val="sfbbfee58"/>
          <w:rFonts w:asciiTheme="minorHAnsi" w:eastAsiaTheme="majorEastAsia" w:hAnsiTheme="minorHAnsi"/>
          <w:sz w:val="22"/>
          <w:lang w:val="pl-PL"/>
        </w:rPr>
        <w:t xml:space="preserve">Gdyby możliwość </w:t>
      </w:r>
      <w:r w:rsidR="006D3C08" w:rsidRPr="00DB70D7">
        <w:rPr>
          <w:rStyle w:val="sfbbfee58"/>
          <w:rFonts w:asciiTheme="minorHAnsi" w:eastAsiaTheme="majorEastAsia" w:hAnsiTheme="minorHAnsi"/>
          <w:sz w:val="22"/>
          <w:lang w:val="pl-PL"/>
        </w:rPr>
        <w:t xml:space="preserve">zgłaszania kandydatów </w:t>
      </w:r>
      <w:r w:rsidRPr="00DB70D7">
        <w:rPr>
          <w:rStyle w:val="sfbbfee58"/>
          <w:rFonts w:asciiTheme="minorHAnsi" w:eastAsiaTheme="majorEastAsia" w:hAnsiTheme="minorHAnsi"/>
          <w:sz w:val="22"/>
          <w:lang w:val="pl-PL"/>
        </w:rPr>
        <w:t xml:space="preserve">istniała na zasadach ogólnych, </w:t>
      </w:r>
      <w:r w:rsidR="0029447A">
        <w:rPr>
          <w:rStyle w:val="sfbbfee58"/>
          <w:rFonts w:asciiTheme="minorHAnsi" w:eastAsiaTheme="majorEastAsia" w:hAnsiTheme="minorHAnsi"/>
          <w:sz w:val="22"/>
          <w:lang w:val="pl-PL"/>
        </w:rPr>
        <w:t>w grę wchodziłoby pytanie</w:t>
      </w:r>
      <w:r w:rsidR="00DD1C51">
        <w:rPr>
          <w:rStyle w:val="sfbbfee58"/>
          <w:rFonts w:asciiTheme="minorHAnsi" w:eastAsiaTheme="majorEastAsia" w:hAnsiTheme="minorHAnsi"/>
          <w:sz w:val="22"/>
          <w:lang w:val="pl-PL"/>
        </w:rPr>
        <w:t xml:space="preserve"> o status ofiary skarżącego</w:t>
      </w:r>
      <w:r w:rsidR="0029447A">
        <w:rPr>
          <w:rStyle w:val="sfbbfee58"/>
          <w:rFonts w:asciiTheme="minorHAnsi" w:eastAsiaTheme="majorEastAsia" w:hAnsiTheme="minorHAnsi"/>
          <w:sz w:val="22"/>
          <w:lang w:val="pl-PL"/>
        </w:rPr>
        <w:t xml:space="preserve"> </w:t>
      </w:r>
      <w:r w:rsidR="00DD1C51">
        <w:rPr>
          <w:rStyle w:val="sfbbfee58"/>
          <w:rFonts w:asciiTheme="minorHAnsi" w:eastAsiaTheme="majorEastAsia" w:hAnsiTheme="minorHAnsi"/>
          <w:sz w:val="22"/>
          <w:lang w:val="pl-PL"/>
        </w:rPr>
        <w:t>stowarzyszenia</w:t>
      </w:r>
      <w:r w:rsidRPr="00DB70D7">
        <w:rPr>
          <w:rStyle w:val="sfbbfee58"/>
          <w:rFonts w:asciiTheme="minorHAnsi" w:eastAsiaTheme="majorEastAsia" w:hAnsiTheme="minorHAnsi"/>
          <w:sz w:val="22"/>
          <w:lang w:val="pl-PL"/>
        </w:rPr>
        <w:t xml:space="preserve">. </w:t>
      </w:r>
    </w:p>
    <w:p w:rsidR="00515E8A" w:rsidRPr="00660766" w:rsidRDefault="00515E8A" w:rsidP="005C7BED">
      <w:pPr>
        <w:pStyle w:val="s6c429373"/>
        <w:spacing w:before="0" w:beforeAutospacing="0" w:after="360" w:afterAutospacing="0"/>
        <w:jc w:val="both"/>
        <w:rPr>
          <w:rStyle w:val="sfbbfee58"/>
          <w:rFonts w:asciiTheme="minorHAnsi" w:eastAsiaTheme="majorEastAsia" w:hAnsiTheme="minorHAnsi"/>
          <w:sz w:val="22"/>
          <w:lang w:val="pl-PL"/>
        </w:rPr>
      </w:pPr>
      <w:r w:rsidRPr="00515E8A">
        <w:rPr>
          <w:rStyle w:val="sfbbfee58"/>
          <w:rFonts w:asciiTheme="minorHAnsi" w:eastAsiaTheme="majorEastAsia" w:hAnsiTheme="minorHAnsi"/>
          <w:sz w:val="22"/>
          <w:u w:val="single"/>
          <w:lang w:val="pl-PL"/>
        </w:rPr>
        <w:t>Znaczenie wyroku dla Polski</w:t>
      </w:r>
      <w:r w:rsidRPr="00A67337">
        <w:rPr>
          <w:rStyle w:val="sfbbfee58"/>
          <w:rFonts w:asciiTheme="minorHAnsi" w:eastAsiaTheme="majorEastAsia" w:hAnsiTheme="minorHAnsi"/>
          <w:sz w:val="22"/>
          <w:lang w:val="pl-PL"/>
        </w:rPr>
        <w:t xml:space="preserve"> </w:t>
      </w:r>
      <w:r>
        <w:rPr>
          <w:rStyle w:val="sfbbfee58"/>
          <w:rFonts w:asciiTheme="minorHAnsi" w:eastAsiaTheme="majorEastAsia" w:hAnsiTheme="minorHAnsi"/>
          <w:sz w:val="22"/>
          <w:lang w:val="pl-PL"/>
        </w:rPr>
        <w:t xml:space="preserve">– z uwagi na kontekst dotyczący polskiej mniejszości narodowej w Rumunii, a także z uwagi na podsumowanie zasad dotyczących problematyki </w:t>
      </w:r>
      <w:r w:rsidR="00A67337">
        <w:rPr>
          <w:rStyle w:val="sfbbfee58"/>
          <w:rFonts w:asciiTheme="minorHAnsi" w:eastAsiaTheme="majorEastAsia" w:hAnsiTheme="minorHAnsi"/>
          <w:sz w:val="22"/>
          <w:lang w:val="pl-PL"/>
        </w:rPr>
        <w:t>regulowania</w:t>
      </w:r>
      <w:r w:rsidR="00906E66">
        <w:rPr>
          <w:rStyle w:val="sfbbfee58"/>
          <w:rFonts w:asciiTheme="minorHAnsi" w:eastAsiaTheme="majorEastAsia" w:hAnsiTheme="minorHAnsi"/>
          <w:sz w:val="22"/>
          <w:lang w:val="pl-PL"/>
        </w:rPr>
        <w:t xml:space="preserve"> </w:t>
      </w:r>
      <w:r>
        <w:rPr>
          <w:rStyle w:val="sfbbfee58"/>
          <w:rFonts w:asciiTheme="minorHAnsi" w:eastAsiaTheme="majorEastAsia" w:hAnsiTheme="minorHAnsi"/>
          <w:sz w:val="22"/>
          <w:lang w:val="pl-PL"/>
        </w:rPr>
        <w:t>uprawnień wybo</w:t>
      </w:r>
      <w:r w:rsidR="00906E66">
        <w:rPr>
          <w:rStyle w:val="sfbbfee58"/>
          <w:rFonts w:asciiTheme="minorHAnsi" w:eastAsiaTheme="majorEastAsia" w:hAnsiTheme="minorHAnsi"/>
          <w:sz w:val="22"/>
          <w:lang w:val="pl-PL"/>
        </w:rPr>
        <w:t>rczych</w:t>
      </w:r>
      <w:r w:rsidR="004E54D5">
        <w:rPr>
          <w:rStyle w:val="sfbbfee58"/>
          <w:rFonts w:asciiTheme="minorHAnsi" w:eastAsiaTheme="majorEastAsia" w:hAnsiTheme="minorHAnsi"/>
          <w:sz w:val="22"/>
          <w:lang w:val="pl-PL"/>
        </w:rPr>
        <w:t xml:space="preserve"> mniejszości narodowych</w:t>
      </w:r>
      <w:r w:rsidR="00906E66">
        <w:rPr>
          <w:rStyle w:val="sfbbfee58"/>
          <w:rFonts w:asciiTheme="minorHAnsi" w:eastAsiaTheme="majorEastAsia" w:hAnsiTheme="minorHAnsi"/>
          <w:sz w:val="22"/>
          <w:lang w:val="pl-PL"/>
        </w:rPr>
        <w:t xml:space="preserve"> na gruncie art. 3 Protokołu nr 1</w:t>
      </w:r>
      <w:r w:rsidR="004E54D5">
        <w:rPr>
          <w:rStyle w:val="sfbbfee58"/>
          <w:rFonts w:asciiTheme="minorHAnsi" w:eastAsiaTheme="majorEastAsia" w:hAnsiTheme="minorHAnsi"/>
          <w:sz w:val="22"/>
          <w:lang w:val="pl-PL"/>
        </w:rPr>
        <w:t xml:space="preserve">. </w:t>
      </w:r>
      <w:r w:rsidR="005469EE">
        <w:rPr>
          <w:rStyle w:val="sfbbfee58"/>
          <w:rFonts w:asciiTheme="minorHAnsi" w:eastAsiaTheme="majorEastAsia" w:hAnsiTheme="minorHAnsi"/>
          <w:sz w:val="22"/>
          <w:lang w:val="pl-PL"/>
        </w:rPr>
        <w:t>W</w:t>
      </w:r>
      <w:r w:rsidR="00A67337">
        <w:rPr>
          <w:rStyle w:val="sfbbfee58"/>
          <w:rFonts w:asciiTheme="minorHAnsi" w:eastAsiaTheme="majorEastAsia" w:hAnsiTheme="minorHAnsi"/>
          <w:sz w:val="22"/>
          <w:lang w:val="pl-PL"/>
        </w:rPr>
        <w:t xml:space="preserve">yrok </w:t>
      </w:r>
      <w:r w:rsidR="004E54D5">
        <w:rPr>
          <w:rStyle w:val="sfbbfee58"/>
          <w:rFonts w:asciiTheme="minorHAnsi" w:eastAsiaTheme="majorEastAsia" w:hAnsiTheme="minorHAnsi"/>
          <w:sz w:val="22"/>
          <w:lang w:val="pl-PL"/>
        </w:rPr>
        <w:t xml:space="preserve">wskazuje na potrzebę </w:t>
      </w:r>
      <w:r w:rsidR="005469EE">
        <w:rPr>
          <w:rStyle w:val="sfbbfee58"/>
          <w:rFonts w:asciiTheme="minorHAnsi" w:eastAsiaTheme="majorEastAsia" w:hAnsiTheme="minorHAnsi"/>
          <w:sz w:val="22"/>
          <w:lang w:val="pl-PL"/>
        </w:rPr>
        <w:t>precyzji regulacji</w:t>
      </w:r>
      <w:r w:rsidR="00906E66">
        <w:rPr>
          <w:rStyle w:val="sfbbfee58"/>
          <w:rFonts w:asciiTheme="minorHAnsi" w:eastAsiaTheme="majorEastAsia" w:hAnsiTheme="minorHAnsi"/>
          <w:sz w:val="22"/>
          <w:lang w:val="pl-PL"/>
        </w:rPr>
        <w:t xml:space="preserve"> dotyczących odmowy zarejestrowania listy kandydatów w wyborach oraz </w:t>
      </w:r>
      <w:r w:rsidR="004E54D5">
        <w:rPr>
          <w:rStyle w:val="sfbbfee58"/>
          <w:rFonts w:asciiTheme="minorHAnsi" w:eastAsiaTheme="majorEastAsia" w:hAnsiTheme="minorHAnsi"/>
          <w:sz w:val="22"/>
          <w:lang w:val="pl-PL"/>
        </w:rPr>
        <w:t xml:space="preserve">zapewnienia gwarancji bezstronności </w:t>
      </w:r>
      <w:r w:rsidR="0029447A">
        <w:rPr>
          <w:rStyle w:val="sfbbfee58"/>
          <w:rFonts w:asciiTheme="minorHAnsi" w:eastAsiaTheme="majorEastAsia" w:hAnsiTheme="minorHAnsi"/>
          <w:sz w:val="22"/>
          <w:lang w:val="pl-PL"/>
        </w:rPr>
        <w:t>organu wydającego ostateczne decyzje</w:t>
      </w:r>
      <w:r w:rsidR="00E65FFA">
        <w:rPr>
          <w:rStyle w:val="sfbbfee58"/>
          <w:rFonts w:asciiTheme="minorHAnsi" w:eastAsiaTheme="majorEastAsia" w:hAnsiTheme="minorHAnsi"/>
          <w:sz w:val="22"/>
          <w:lang w:val="pl-PL"/>
        </w:rPr>
        <w:t xml:space="preserve"> w tej sprawie</w:t>
      </w:r>
      <w:r w:rsidR="004E54D5">
        <w:rPr>
          <w:rStyle w:val="sfbbfee58"/>
          <w:rFonts w:asciiTheme="minorHAnsi" w:eastAsiaTheme="majorEastAsia" w:hAnsiTheme="minorHAnsi"/>
          <w:sz w:val="22"/>
          <w:lang w:val="pl-PL"/>
        </w:rPr>
        <w:t xml:space="preserve">. </w:t>
      </w:r>
    </w:p>
    <w:p w:rsidR="00BE0C4E" w:rsidRPr="00BE0C4E" w:rsidRDefault="00BE0C4E" w:rsidP="00273886">
      <w:pPr>
        <w:pStyle w:val="Nagwek2"/>
        <w:numPr>
          <w:ilvl w:val="0"/>
          <w:numId w:val="1"/>
        </w:numPr>
        <w:spacing w:before="0"/>
      </w:pPr>
      <w:bookmarkStart w:id="17" w:name="_Toc444761959"/>
      <w:r w:rsidRPr="00BE0C4E">
        <w:t xml:space="preserve">Roman </w:t>
      </w:r>
      <w:proofErr w:type="spellStart"/>
      <w:r w:rsidRPr="00BE0C4E">
        <w:t>Zakharov</w:t>
      </w:r>
      <w:proofErr w:type="spellEnd"/>
      <w:r w:rsidRPr="00BE0C4E">
        <w:t xml:space="preserve"> p. Rosji (skarga nr 47143/06), wyrok Wielkiej Izby z 4.12.2015, ostateczny</w:t>
      </w:r>
      <w:bookmarkEnd w:id="17"/>
      <w:r w:rsidRPr="00BE0C4E">
        <w:t xml:space="preserve"> </w:t>
      </w:r>
    </w:p>
    <w:p w:rsidR="00BE0C4E" w:rsidRPr="00BE0C4E" w:rsidRDefault="00BE0C4E" w:rsidP="00BE0C4E">
      <w:pPr>
        <w:keepNext/>
        <w:keepLines/>
        <w:spacing w:after="120" w:line="240" w:lineRule="auto"/>
        <w:jc w:val="both"/>
        <w:outlineLvl w:val="2"/>
        <w:rPr>
          <w:b/>
          <w:color w:val="000000" w:themeColor="text1"/>
          <w:lang w:val="pl-PL"/>
        </w:rPr>
      </w:pPr>
      <w:bookmarkStart w:id="18" w:name="_Toc444761960"/>
      <w:r>
        <w:rPr>
          <w:b/>
          <w:color w:val="000000" w:themeColor="text1"/>
          <w:lang w:val="pl-PL"/>
        </w:rPr>
        <w:t xml:space="preserve">- </w:t>
      </w:r>
      <w:r w:rsidRPr="00BE0C4E">
        <w:rPr>
          <w:b/>
          <w:color w:val="000000" w:themeColor="text1"/>
          <w:lang w:val="pl-PL"/>
        </w:rPr>
        <w:t>z uwagi na brak wystarczających środków krajowych i ogólny zakres zastosowania ustawodawstwa</w:t>
      </w:r>
      <w:r w:rsidR="004B37E7">
        <w:rPr>
          <w:b/>
          <w:color w:val="000000" w:themeColor="text1"/>
          <w:lang w:val="pl-PL"/>
        </w:rPr>
        <w:t xml:space="preserve"> dotyczącego tajnej kontroli</w:t>
      </w:r>
      <w:r w:rsidRPr="00BE0C4E">
        <w:rPr>
          <w:b/>
          <w:color w:val="000000" w:themeColor="text1"/>
          <w:lang w:val="pl-PL"/>
        </w:rPr>
        <w:t xml:space="preserve"> połączeń</w:t>
      </w:r>
      <w:r w:rsidR="00F507A7">
        <w:rPr>
          <w:b/>
          <w:color w:val="000000" w:themeColor="text1"/>
          <w:lang w:val="pl-PL"/>
        </w:rPr>
        <w:t xml:space="preserve"> telefonicznych</w:t>
      </w:r>
      <w:r w:rsidRPr="00BE0C4E">
        <w:rPr>
          <w:b/>
          <w:color w:val="000000" w:themeColor="text1"/>
          <w:lang w:val="pl-PL"/>
        </w:rPr>
        <w:t xml:space="preserve"> – przyznanie statusu ofiary (art. 34 Konwencji) w odniesieniu do skarżącego, który skarżył się na system </w:t>
      </w:r>
      <w:r w:rsidR="00F507A7">
        <w:rPr>
          <w:b/>
          <w:color w:val="000000" w:themeColor="text1"/>
          <w:lang w:val="pl-PL"/>
        </w:rPr>
        <w:t xml:space="preserve">prawny dotyczący </w:t>
      </w:r>
      <w:r w:rsidRPr="00BE0C4E">
        <w:rPr>
          <w:b/>
          <w:color w:val="000000" w:themeColor="text1"/>
          <w:lang w:val="pl-PL"/>
        </w:rPr>
        <w:t>kontroli połączeń telefonicznych i ryzyko podlegania mu, a nie na konkretne środki kontroli zastosowane wobec niego</w:t>
      </w:r>
      <w:bookmarkEnd w:id="18"/>
    </w:p>
    <w:p w:rsidR="00BE0C4E" w:rsidRPr="00BE0C4E" w:rsidRDefault="00BE0C4E" w:rsidP="00BE0C4E">
      <w:pPr>
        <w:keepNext/>
        <w:keepLines/>
        <w:spacing w:after="120" w:line="240" w:lineRule="auto"/>
        <w:jc w:val="both"/>
        <w:outlineLvl w:val="2"/>
        <w:rPr>
          <w:b/>
          <w:color w:val="000000" w:themeColor="text1"/>
          <w:lang w:val="pl-PL"/>
        </w:rPr>
      </w:pPr>
      <w:bookmarkStart w:id="19" w:name="_Toc444761961"/>
      <w:r>
        <w:rPr>
          <w:b/>
          <w:color w:val="000000" w:themeColor="text1"/>
          <w:lang w:val="pl-PL"/>
        </w:rPr>
        <w:t xml:space="preserve">- </w:t>
      </w:r>
      <w:r w:rsidRPr="00BE0C4E">
        <w:rPr>
          <w:b/>
          <w:color w:val="000000" w:themeColor="text1"/>
          <w:lang w:val="pl-PL"/>
        </w:rPr>
        <w:t xml:space="preserve">zbadanie przez Trybunał  ustawodawstwa krajowego </w:t>
      </w:r>
      <w:r w:rsidRPr="00BE0C4E">
        <w:rPr>
          <w:b/>
          <w:i/>
          <w:color w:val="000000" w:themeColor="text1"/>
          <w:lang w:val="pl-PL"/>
        </w:rPr>
        <w:t>in abstracto</w:t>
      </w:r>
      <w:r w:rsidRPr="00BE0C4E">
        <w:rPr>
          <w:b/>
          <w:color w:val="000000" w:themeColor="text1"/>
          <w:lang w:val="pl-PL"/>
        </w:rPr>
        <w:t xml:space="preserve"> i stwierdzenie naruszenia art. 8 Konwencji (prawo do poszanowania życia prywatnego i korespondencji) z uwagi na niewystarczające regulacje prawne i gwarancje przeciw nadużyciom </w:t>
      </w:r>
      <w:r w:rsidR="004B37E7">
        <w:rPr>
          <w:b/>
          <w:color w:val="000000" w:themeColor="text1"/>
          <w:lang w:val="pl-PL"/>
        </w:rPr>
        <w:t>systemu</w:t>
      </w:r>
      <w:r w:rsidRPr="00BE0C4E">
        <w:rPr>
          <w:b/>
          <w:color w:val="000000" w:themeColor="text1"/>
          <w:lang w:val="pl-PL"/>
        </w:rPr>
        <w:t xml:space="preserve"> umożliwiającego tajną kontrolę połączeń telefonicznych</w:t>
      </w:r>
      <w:bookmarkEnd w:id="19"/>
    </w:p>
    <w:p w:rsidR="00BE0C4E" w:rsidRPr="00CE2120" w:rsidRDefault="00BE0C4E" w:rsidP="00BE0C4E">
      <w:pPr>
        <w:spacing w:after="120"/>
        <w:jc w:val="both"/>
        <w:rPr>
          <w:u w:val="single"/>
          <w:lang w:val="pl-PL"/>
        </w:rPr>
      </w:pPr>
      <w:r w:rsidRPr="00CE2120">
        <w:rPr>
          <w:u w:val="single"/>
          <w:lang w:val="pl-PL"/>
        </w:rPr>
        <w:t>Stan faktyczny</w:t>
      </w:r>
      <w:r w:rsidR="00226695">
        <w:rPr>
          <w:u w:val="single"/>
          <w:lang w:val="pl-PL"/>
        </w:rPr>
        <w:t xml:space="preserve"> </w:t>
      </w:r>
      <w:r w:rsidR="00226695" w:rsidRPr="00660766">
        <w:rPr>
          <w:color w:val="000000" w:themeColor="text1"/>
          <w:u w:val="single"/>
          <w:lang w:val="pl-PL"/>
        </w:rPr>
        <w:t>i zarzuty skarżącego</w:t>
      </w:r>
    </w:p>
    <w:p w:rsidR="00BE0C4E" w:rsidRPr="00CE2120"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 xml:space="preserve">Skarżący, redaktor naczelny spółki wydawniczej, wszczął postępowanie sądowe przeciwko trzem operatorom telefonii komórkowej, zarzucając ingerencję w prawo do prywatności połączeń telefonicznych. Skarżył się, że na podstawie prawa krajowego operatorzy telefonii komórkowej zainstalowali urządzenie, które umożliwiało Federalnej Służbie Bezpieczeństwa przechwytywanie wszystkich połączeń telefonicznych bez uprzedniego upoważnienia sądowego. Domagał się wydania nakazu sądowego ws. usunięcia tego urządzenia i zapewnienia, by dostęp do połączeń telefonicznych był możliwy jedynie dla upoważnionych osób. Sądy krajowe oddaliły jego wniosek, uznając, że nie udowodnił, by jego rozmowy telefoniczne były przechwycone bądź by operator przekazywał informacje chronione osobom nieupoważnionym. Zainstalowanie urządzenia samo w sobie nie naruszało prywatności jego połączeń. </w:t>
      </w:r>
    </w:p>
    <w:p w:rsidR="00BE0C4E" w:rsidRPr="00CE2120"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lastRenderedPageBreak/>
        <w:t xml:space="preserve">Skarżący zarzucił przed Trybunałem, że system tajnego przechwytywania połączeń telefonii komórkowej w Rosji nie spełnia wymogów art. 8 Konwencji. W dniu 11 marca 2014 r. Izba Trybunału zrzekła się jurysdykcji na rzecz Wielkiej Izby. </w:t>
      </w:r>
    </w:p>
    <w:p w:rsidR="00BE0C4E" w:rsidRPr="00CE2120" w:rsidRDefault="00BE0C4E" w:rsidP="00BE0C4E">
      <w:pPr>
        <w:pStyle w:val="ClinContent"/>
        <w:spacing w:before="0" w:after="120"/>
        <w:rPr>
          <w:rFonts w:asciiTheme="minorHAnsi" w:hAnsiTheme="minorHAnsi"/>
          <w:sz w:val="22"/>
          <w:szCs w:val="22"/>
          <w:u w:val="single"/>
        </w:rPr>
      </w:pPr>
      <w:r w:rsidRPr="00886494">
        <w:rPr>
          <w:rFonts w:asciiTheme="minorHAnsi" w:hAnsiTheme="minorHAnsi"/>
          <w:sz w:val="22"/>
          <w:szCs w:val="22"/>
          <w:u w:val="single"/>
          <w:lang w:val="pl-PL"/>
        </w:rPr>
        <w:t>Rozstrzygnięcie</w:t>
      </w:r>
      <w:r w:rsidRPr="00CE2120">
        <w:rPr>
          <w:rFonts w:asciiTheme="minorHAnsi" w:hAnsiTheme="minorHAnsi"/>
          <w:sz w:val="22"/>
          <w:szCs w:val="22"/>
          <w:u w:val="single"/>
        </w:rPr>
        <w:t xml:space="preserve"> </w:t>
      </w:r>
      <w:r w:rsidRPr="00886494">
        <w:rPr>
          <w:rFonts w:asciiTheme="minorHAnsi" w:hAnsiTheme="minorHAnsi"/>
          <w:sz w:val="22"/>
          <w:szCs w:val="22"/>
          <w:u w:val="single"/>
          <w:lang w:val="pl-PL"/>
        </w:rPr>
        <w:t>Trybunału</w:t>
      </w:r>
    </w:p>
    <w:p w:rsidR="00BE0C4E" w:rsidRPr="00CE2120" w:rsidRDefault="00BE0C4E" w:rsidP="00BE0C4E">
      <w:pPr>
        <w:pStyle w:val="ClinContent"/>
        <w:numPr>
          <w:ilvl w:val="0"/>
          <w:numId w:val="25"/>
        </w:numPr>
        <w:spacing w:before="0" w:after="120"/>
        <w:rPr>
          <w:rFonts w:asciiTheme="minorHAnsi" w:hAnsiTheme="minorHAnsi"/>
          <w:i/>
          <w:sz w:val="22"/>
          <w:szCs w:val="22"/>
          <w:lang w:val="pl-PL"/>
        </w:rPr>
      </w:pPr>
      <w:r w:rsidRPr="00CE2120">
        <w:rPr>
          <w:rFonts w:asciiTheme="minorHAnsi" w:hAnsiTheme="minorHAnsi"/>
          <w:sz w:val="22"/>
          <w:szCs w:val="22"/>
          <w:lang w:val="pl-PL"/>
        </w:rPr>
        <w:t>Status ofiary</w:t>
      </w:r>
      <w:r w:rsidRPr="00CE2120">
        <w:rPr>
          <w:rFonts w:asciiTheme="minorHAnsi" w:hAnsiTheme="minorHAnsi"/>
          <w:i/>
          <w:sz w:val="22"/>
          <w:szCs w:val="22"/>
          <w:lang w:val="pl-PL"/>
        </w:rPr>
        <w:t xml:space="preserve"> </w:t>
      </w:r>
    </w:p>
    <w:p w:rsidR="00BE0C4E" w:rsidRPr="00CE2120"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 xml:space="preserve">Rząd </w:t>
      </w:r>
      <w:r>
        <w:rPr>
          <w:rFonts w:asciiTheme="minorHAnsi" w:hAnsiTheme="minorHAnsi"/>
          <w:sz w:val="22"/>
          <w:szCs w:val="22"/>
          <w:lang w:val="pl-PL"/>
        </w:rPr>
        <w:t>podniósł zarzut wstępny</w:t>
      </w:r>
      <w:r w:rsidRPr="00CE2120">
        <w:rPr>
          <w:rFonts w:asciiTheme="minorHAnsi" w:hAnsiTheme="minorHAnsi"/>
          <w:sz w:val="22"/>
          <w:szCs w:val="22"/>
          <w:lang w:val="pl-PL"/>
        </w:rPr>
        <w:t xml:space="preserve">, że skarżący nie jest uprawniony do twierdzenia, iż jest ofiarą naruszenia, gdyż nie doszło do ingerencji w jego prawa. Nie skarżył się </w:t>
      </w:r>
      <w:r>
        <w:rPr>
          <w:rFonts w:asciiTheme="minorHAnsi" w:hAnsiTheme="minorHAnsi"/>
          <w:sz w:val="22"/>
          <w:szCs w:val="22"/>
          <w:lang w:val="pl-PL"/>
        </w:rPr>
        <w:t xml:space="preserve">bowiem </w:t>
      </w:r>
      <w:r w:rsidRPr="00CE2120">
        <w:rPr>
          <w:rFonts w:asciiTheme="minorHAnsi" w:hAnsiTheme="minorHAnsi"/>
          <w:sz w:val="22"/>
          <w:szCs w:val="22"/>
          <w:lang w:val="pl-PL"/>
        </w:rPr>
        <w:t xml:space="preserve">na przechwycenie jego połączeń, a istotą jego skargi było to, że zainstalowano urządzenie umożliwiające podejmowanie przez władze czynności operacyjno-rozpoznawczych. Nie można interpretować Konwencji tak szeroko, że każda osoba w pozwanym państwie, która obawia się, że służby mogły zebrać dane na jej temat, może twierdzić, że jest ofiarą naruszenia. Skarżący powinien wykazać rozsądne prawdopodobieństwo, że takie dane dotyczące jego życia prywatnego zostały pozyskane. </w:t>
      </w:r>
    </w:p>
    <w:p w:rsidR="00BE0C4E" w:rsidRDefault="00BE0C4E" w:rsidP="00BE0C4E">
      <w:pPr>
        <w:pStyle w:val="ClinContent"/>
        <w:spacing w:before="0" w:after="120"/>
        <w:rPr>
          <w:rFonts w:asciiTheme="minorHAnsi" w:hAnsiTheme="minorHAnsi"/>
          <w:sz w:val="22"/>
          <w:szCs w:val="22"/>
          <w:lang w:val="pl-PL"/>
        </w:rPr>
      </w:pPr>
      <w:r w:rsidRPr="00886494">
        <w:rPr>
          <w:rFonts w:asciiTheme="minorHAnsi" w:hAnsiTheme="minorHAnsi"/>
          <w:sz w:val="22"/>
          <w:szCs w:val="22"/>
          <w:lang w:val="pl-PL"/>
        </w:rPr>
        <w:t xml:space="preserve">Trybunał </w:t>
      </w:r>
      <w:r>
        <w:rPr>
          <w:rFonts w:asciiTheme="minorHAnsi" w:hAnsiTheme="minorHAnsi"/>
          <w:sz w:val="22"/>
          <w:szCs w:val="22"/>
          <w:lang w:val="pl-PL"/>
        </w:rPr>
        <w:t>potwierdził</w:t>
      </w:r>
      <w:r w:rsidRPr="00886494">
        <w:rPr>
          <w:rFonts w:asciiTheme="minorHAnsi" w:hAnsiTheme="minorHAnsi"/>
          <w:sz w:val="22"/>
          <w:szCs w:val="22"/>
          <w:lang w:val="pl-PL"/>
        </w:rPr>
        <w:t xml:space="preserve">, że Konwencja nie przewiduje możliwości tzw. </w:t>
      </w:r>
      <w:proofErr w:type="spellStart"/>
      <w:r w:rsidRPr="00886494">
        <w:rPr>
          <w:rFonts w:asciiTheme="minorHAnsi" w:hAnsiTheme="minorHAnsi"/>
          <w:i/>
          <w:sz w:val="22"/>
          <w:szCs w:val="22"/>
          <w:lang w:val="pl-PL"/>
        </w:rPr>
        <w:t>actio</w:t>
      </w:r>
      <w:proofErr w:type="spellEnd"/>
      <w:r w:rsidRPr="00886494">
        <w:rPr>
          <w:rFonts w:asciiTheme="minorHAnsi" w:hAnsiTheme="minorHAnsi"/>
          <w:i/>
          <w:sz w:val="22"/>
          <w:szCs w:val="22"/>
          <w:lang w:val="pl-PL"/>
        </w:rPr>
        <w:t xml:space="preserve"> </w:t>
      </w:r>
      <w:proofErr w:type="spellStart"/>
      <w:r w:rsidRPr="00886494">
        <w:rPr>
          <w:rFonts w:asciiTheme="minorHAnsi" w:hAnsiTheme="minorHAnsi"/>
          <w:i/>
          <w:sz w:val="22"/>
          <w:szCs w:val="22"/>
          <w:lang w:val="pl-PL"/>
        </w:rPr>
        <w:t>popularis</w:t>
      </w:r>
      <w:proofErr w:type="spellEnd"/>
      <w:r>
        <w:rPr>
          <w:rFonts w:asciiTheme="minorHAnsi" w:hAnsiTheme="minorHAnsi"/>
          <w:i/>
          <w:sz w:val="22"/>
          <w:szCs w:val="22"/>
          <w:lang w:val="pl-PL"/>
        </w:rPr>
        <w:t>,</w:t>
      </w:r>
      <w:r w:rsidRPr="00886494">
        <w:rPr>
          <w:rFonts w:asciiTheme="minorHAnsi" w:hAnsiTheme="minorHAnsi"/>
          <w:sz w:val="22"/>
          <w:szCs w:val="22"/>
          <w:lang w:val="pl-PL"/>
        </w:rPr>
        <w:t xml:space="preserve"> a jego zadaniem </w:t>
      </w:r>
      <w:r w:rsidR="005E5ABA" w:rsidRPr="00886494">
        <w:rPr>
          <w:rFonts w:asciiTheme="minorHAnsi" w:hAnsiTheme="minorHAnsi"/>
          <w:sz w:val="22"/>
          <w:szCs w:val="22"/>
          <w:lang w:val="pl-PL"/>
        </w:rPr>
        <w:t xml:space="preserve">co do zasady </w:t>
      </w:r>
      <w:r w:rsidRPr="00886494">
        <w:rPr>
          <w:rFonts w:asciiTheme="minorHAnsi" w:hAnsiTheme="minorHAnsi"/>
          <w:sz w:val="22"/>
          <w:szCs w:val="22"/>
          <w:lang w:val="pl-PL"/>
        </w:rPr>
        <w:t xml:space="preserve">nie jest dokonywanie kontroli prawa i praktyki krajowej </w:t>
      </w:r>
      <w:r w:rsidRPr="00886494">
        <w:rPr>
          <w:rFonts w:asciiTheme="minorHAnsi" w:hAnsiTheme="minorHAnsi"/>
          <w:i/>
          <w:sz w:val="22"/>
          <w:szCs w:val="22"/>
          <w:lang w:val="pl-PL"/>
        </w:rPr>
        <w:t>in abstracto</w:t>
      </w:r>
      <w:r w:rsidRPr="00886494">
        <w:rPr>
          <w:rFonts w:asciiTheme="minorHAnsi" w:hAnsiTheme="minorHAnsi"/>
          <w:sz w:val="22"/>
          <w:szCs w:val="22"/>
          <w:lang w:val="pl-PL"/>
        </w:rPr>
        <w:t>, a jedynie ustal</w:t>
      </w:r>
      <w:r w:rsidR="005E5ABA">
        <w:rPr>
          <w:rFonts w:asciiTheme="minorHAnsi" w:hAnsiTheme="minorHAnsi"/>
          <w:sz w:val="22"/>
          <w:szCs w:val="22"/>
          <w:lang w:val="pl-PL"/>
        </w:rPr>
        <w:t>a</w:t>
      </w:r>
      <w:r w:rsidRPr="00886494">
        <w:rPr>
          <w:rFonts w:asciiTheme="minorHAnsi" w:hAnsiTheme="minorHAnsi"/>
          <w:sz w:val="22"/>
          <w:szCs w:val="22"/>
          <w:lang w:val="pl-PL"/>
        </w:rPr>
        <w:t xml:space="preserve">nie, czy sposób, w jaki były one </w:t>
      </w:r>
      <w:r w:rsidR="005E5ABA">
        <w:rPr>
          <w:rFonts w:asciiTheme="minorHAnsi" w:hAnsiTheme="minorHAnsi"/>
          <w:sz w:val="22"/>
          <w:szCs w:val="22"/>
          <w:lang w:val="pl-PL"/>
        </w:rPr>
        <w:t>za</w:t>
      </w:r>
      <w:r w:rsidRPr="00886494">
        <w:rPr>
          <w:rFonts w:asciiTheme="minorHAnsi" w:hAnsiTheme="minorHAnsi"/>
          <w:sz w:val="22"/>
          <w:szCs w:val="22"/>
          <w:lang w:val="pl-PL"/>
        </w:rPr>
        <w:t xml:space="preserve">stosowane wobec skarżącego stanowił naruszenie Konwencji. </w:t>
      </w:r>
      <w:r>
        <w:rPr>
          <w:rFonts w:asciiTheme="minorHAnsi" w:hAnsiTheme="minorHAnsi"/>
          <w:sz w:val="22"/>
          <w:szCs w:val="22"/>
          <w:lang w:val="pl-PL"/>
        </w:rPr>
        <w:t xml:space="preserve">Tym niemniej </w:t>
      </w:r>
      <w:r w:rsidRPr="00CE2120">
        <w:rPr>
          <w:rFonts w:asciiTheme="minorHAnsi" w:hAnsiTheme="minorHAnsi"/>
          <w:sz w:val="22"/>
          <w:szCs w:val="22"/>
          <w:lang w:val="pl-PL"/>
        </w:rPr>
        <w:t xml:space="preserve">Trybunał przypomniał swoje </w:t>
      </w:r>
      <w:r w:rsidR="00F226BD">
        <w:rPr>
          <w:rFonts w:asciiTheme="minorHAnsi" w:hAnsiTheme="minorHAnsi"/>
          <w:sz w:val="22"/>
          <w:szCs w:val="22"/>
          <w:lang w:val="pl-PL"/>
        </w:rPr>
        <w:t>wcześniejsze</w:t>
      </w:r>
      <w:r w:rsidRPr="00CE2120">
        <w:rPr>
          <w:rFonts w:asciiTheme="minorHAnsi" w:hAnsiTheme="minorHAnsi"/>
          <w:sz w:val="22"/>
          <w:szCs w:val="22"/>
          <w:lang w:val="pl-PL"/>
        </w:rPr>
        <w:t xml:space="preserve"> orzecznictwo (</w:t>
      </w:r>
      <w:r w:rsidR="00F226BD">
        <w:rPr>
          <w:rFonts w:asciiTheme="minorHAnsi" w:hAnsiTheme="minorHAnsi"/>
          <w:sz w:val="22"/>
          <w:szCs w:val="22"/>
          <w:lang w:val="pl-PL"/>
        </w:rPr>
        <w:t xml:space="preserve">m.in. </w:t>
      </w:r>
      <w:r w:rsidRPr="00CE2120">
        <w:rPr>
          <w:rFonts w:asciiTheme="minorHAnsi" w:hAnsiTheme="minorHAnsi"/>
          <w:sz w:val="22"/>
          <w:szCs w:val="22"/>
          <w:lang w:val="pl-PL"/>
        </w:rPr>
        <w:t xml:space="preserve">w sprawie </w:t>
      </w:r>
      <w:r w:rsidRPr="00CE2120">
        <w:rPr>
          <w:rFonts w:asciiTheme="minorHAnsi" w:hAnsiTheme="minorHAnsi"/>
          <w:i/>
          <w:sz w:val="22"/>
          <w:szCs w:val="22"/>
          <w:lang w:val="pl-PL"/>
        </w:rPr>
        <w:t xml:space="preserve">Kennedy p. Wielkiej Brytanii, </w:t>
      </w:r>
      <w:r w:rsidRPr="00CE2120">
        <w:rPr>
          <w:rFonts w:asciiTheme="minorHAnsi" w:hAnsiTheme="minorHAnsi"/>
          <w:sz w:val="22"/>
          <w:szCs w:val="22"/>
          <w:lang w:val="pl-PL"/>
        </w:rPr>
        <w:t xml:space="preserve">skarga nr 26839/05, </w:t>
      </w:r>
      <w:r w:rsidR="005B3ED4">
        <w:rPr>
          <w:rFonts w:asciiTheme="minorHAnsi" w:hAnsiTheme="minorHAnsi"/>
          <w:sz w:val="22"/>
          <w:szCs w:val="22"/>
          <w:lang w:val="pl-PL"/>
        </w:rPr>
        <w:t xml:space="preserve">wyrok z </w:t>
      </w:r>
      <w:r w:rsidRPr="00CE2120">
        <w:rPr>
          <w:rFonts w:asciiTheme="minorHAnsi" w:hAnsiTheme="minorHAnsi"/>
          <w:sz w:val="22"/>
          <w:szCs w:val="22"/>
          <w:lang w:val="pl-PL"/>
        </w:rPr>
        <w:t xml:space="preserve">18 maja 2010 r.), w którym stwierdził, że w sprawach dotyczących stosowania tajnych środków zachodzą szczególne powody uzasadniające odstępstwo od tego podejścia, </w:t>
      </w:r>
      <w:r>
        <w:rPr>
          <w:rFonts w:asciiTheme="minorHAnsi" w:hAnsiTheme="minorHAnsi"/>
          <w:sz w:val="22"/>
          <w:szCs w:val="22"/>
          <w:lang w:val="pl-PL"/>
        </w:rPr>
        <w:t xml:space="preserve">zważywszy na </w:t>
      </w:r>
      <w:r w:rsidRPr="00CE2120">
        <w:rPr>
          <w:rFonts w:asciiTheme="minorHAnsi" w:hAnsiTheme="minorHAnsi"/>
          <w:sz w:val="22"/>
          <w:szCs w:val="22"/>
          <w:lang w:val="pl-PL"/>
        </w:rPr>
        <w:t xml:space="preserve">konieczność zapewnienia, by tajny charakter środków nie skutkował wyłączeniem ich spod jakiejkolwiek kontroli sądów i Trybunału. </w:t>
      </w:r>
      <w:r>
        <w:rPr>
          <w:rFonts w:asciiTheme="minorHAnsi" w:hAnsiTheme="minorHAnsi"/>
          <w:sz w:val="22"/>
          <w:szCs w:val="22"/>
          <w:lang w:val="pl-PL"/>
        </w:rPr>
        <w:t xml:space="preserve">Zakres uprawnień Trybunału zależy od zakresu zastosowania przedmiotowego ustawodawstwa i dostępnych środków krajowych. </w:t>
      </w:r>
    </w:p>
    <w:p w:rsidR="00BE0C4E" w:rsidRPr="00CE2120" w:rsidRDefault="00BE0C4E" w:rsidP="00BE0C4E">
      <w:pPr>
        <w:pStyle w:val="ClinContent"/>
        <w:spacing w:before="0" w:after="120"/>
        <w:rPr>
          <w:rFonts w:asciiTheme="minorHAnsi" w:hAnsiTheme="minorHAnsi"/>
          <w:sz w:val="22"/>
          <w:szCs w:val="22"/>
          <w:lang w:val="pl-PL"/>
        </w:rPr>
      </w:pPr>
      <w:r w:rsidRPr="00EC1719">
        <w:rPr>
          <w:rFonts w:asciiTheme="minorHAnsi" w:hAnsiTheme="minorHAnsi"/>
          <w:sz w:val="22"/>
          <w:szCs w:val="22"/>
          <w:lang w:val="pl-PL"/>
        </w:rPr>
        <w:t xml:space="preserve">Zaskarżone prawo rosyjskie dotyczyło bezpośrednio wszystkich użytkowników usług telefonii komórkowej, tworzyło bowiem system tajnego kontrolowania, na podstawie którego połączenia telefoniczne każdej osoby używającej usług telefonicznych operatorów krajowych mogły być przechwycone, bez powiadomienia o kontroli. Prawo krajowe nie przewidywało też skutecznych środków dla osób podejrzewających, że podlegają tajnej kontroli. Uzasadnione jest więc zbadanie przez Trybunał ustawodawstwa </w:t>
      </w:r>
      <w:r w:rsidRPr="00EC1719">
        <w:rPr>
          <w:rFonts w:asciiTheme="minorHAnsi" w:hAnsiTheme="minorHAnsi"/>
          <w:i/>
          <w:sz w:val="22"/>
          <w:szCs w:val="22"/>
          <w:lang w:val="pl-PL"/>
        </w:rPr>
        <w:t>in abstracto</w:t>
      </w:r>
      <w:r w:rsidRPr="00EC1719">
        <w:rPr>
          <w:rFonts w:asciiTheme="minorHAnsi" w:hAnsiTheme="minorHAnsi"/>
          <w:sz w:val="22"/>
          <w:szCs w:val="22"/>
          <w:lang w:val="pl-PL"/>
        </w:rPr>
        <w:t>, a skarżący nie musi wykazywać, że z uwagi na swą sytuację osobistą narażony był na podleganie tajnej kontroli. Samo istnienie ustawodawstwa stanowiło ingerencję w korzystanie z niego z praw chronionych art. 8 Konwencji. Trybunał uznał więc, że skarżący może korzystać ze statusu ofiary zarzucanego naruszenia Konwencji i jednomyślnie od</w:t>
      </w:r>
      <w:r>
        <w:rPr>
          <w:rFonts w:asciiTheme="minorHAnsi" w:hAnsiTheme="minorHAnsi"/>
          <w:sz w:val="22"/>
          <w:szCs w:val="22"/>
          <w:lang w:val="pl-PL"/>
        </w:rPr>
        <w:t>dalił</w:t>
      </w:r>
      <w:r w:rsidRPr="00EC1719">
        <w:rPr>
          <w:rFonts w:asciiTheme="minorHAnsi" w:hAnsiTheme="minorHAnsi"/>
          <w:sz w:val="22"/>
          <w:szCs w:val="22"/>
          <w:lang w:val="pl-PL"/>
        </w:rPr>
        <w:t xml:space="preserve"> zarzut wstępny Rządu.</w:t>
      </w:r>
      <w:r w:rsidRPr="00CE2120">
        <w:rPr>
          <w:rFonts w:asciiTheme="minorHAnsi" w:hAnsiTheme="minorHAnsi"/>
          <w:sz w:val="22"/>
          <w:szCs w:val="22"/>
          <w:lang w:val="pl-PL"/>
        </w:rPr>
        <w:t xml:space="preserve"> </w:t>
      </w:r>
    </w:p>
    <w:p w:rsidR="00BE0C4E" w:rsidRPr="00117A2A" w:rsidRDefault="00BE0C4E" w:rsidP="00BE0C4E">
      <w:pPr>
        <w:pStyle w:val="ClinContent"/>
        <w:numPr>
          <w:ilvl w:val="0"/>
          <w:numId w:val="25"/>
        </w:numPr>
        <w:spacing w:before="0" w:after="120"/>
        <w:rPr>
          <w:rFonts w:asciiTheme="minorHAnsi" w:hAnsiTheme="minorHAnsi"/>
          <w:sz w:val="22"/>
          <w:szCs w:val="22"/>
          <w:lang w:val="pl-PL"/>
        </w:rPr>
      </w:pPr>
      <w:r w:rsidRPr="00117A2A">
        <w:rPr>
          <w:rFonts w:asciiTheme="minorHAnsi" w:hAnsiTheme="minorHAnsi"/>
          <w:sz w:val="22"/>
          <w:szCs w:val="22"/>
          <w:lang w:val="pl-PL"/>
        </w:rPr>
        <w:t xml:space="preserve">Meritum </w:t>
      </w:r>
    </w:p>
    <w:p w:rsidR="00BE0C4E"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Samo istnienie przedmiotowego ustawodawstwa stanowiło ingerencj</w:t>
      </w:r>
      <w:r>
        <w:rPr>
          <w:rFonts w:asciiTheme="minorHAnsi" w:hAnsiTheme="minorHAnsi"/>
          <w:sz w:val="22"/>
          <w:szCs w:val="22"/>
          <w:lang w:val="pl-PL"/>
        </w:rPr>
        <w:t>ę</w:t>
      </w:r>
      <w:r w:rsidRPr="00CE2120">
        <w:rPr>
          <w:rFonts w:asciiTheme="minorHAnsi" w:hAnsiTheme="minorHAnsi"/>
          <w:sz w:val="22"/>
          <w:szCs w:val="22"/>
          <w:lang w:val="pl-PL"/>
        </w:rPr>
        <w:t xml:space="preserve"> w prawa skarżącego chronione art. 8 Konwencji. Ingerencja ta była przewidziana na podstawie ustawy i w uprawnionym celu ochrony bezpieczeństwa narodowego i bezpieczeństwa publicznego, zapobiegania przestępstwom oraz ochrony dobrobytu gospodarczego państwa. </w:t>
      </w:r>
    </w:p>
    <w:p w:rsidR="00BE0C4E"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Trybunał zbadał, czy prawo k</w:t>
      </w:r>
      <w:r>
        <w:rPr>
          <w:rFonts w:asciiTheme="minorHAnsi" w:hAnsiTheme="minorHAnsi"/>
          <w:sz w:val="22"/>
          <w:szCs w:val="22"/>
          <w:lang w:val="pl-PL"/>
        </w:rPr>
        <w:t>rajowe wypełniało wymogi dostępno</w:t>
      </w:r>
      <w:r w:rsidR="00F226BD">
        <w:rPr>
          <w:rFonts w:asciiTheme="minorHAnsi" w:hAnsiTheme="minorHAnsi"/>
          <w:sz w:val="22"/>
          <w:szCs w:val="22"/>
          <w:lang w:val="pl-PL"/>
        </w:rPr>
        <w:t>ści, jakości i przewidywalności</w:t>
      </w:r>
      <w:r>
        <w:rPr>
          <w:rFonts w:asciiTheme="minorHAnsi" w:hAnsiTheme="minorHAnsi"/>
          <w:sz w:val="22"/>
          <w:szCs w:val="22"/>
          <w:lang w:val="pl-PL"/>
        </w:rPr>
        <w:t xml:space="preserve"> oraz</w:t>
      </w:r>
      <w:r w:rsidRPr="00CE2120">
        <w:rPr>
          <w:rFonts w:asciiTheme="minorHAnsi" w:hAnsiTheme="minorHAnsi"/>
          <w:sz w:val="22"/>
          <w:szCs w:val="22"/>
          <w:lang w:val="pl-PL"/>
        </w:rPr>
        <w:t xml:space="preserve"> </w:t>
      </w:r>
      <w:r>
        <w:rPr>
          <w:rFonts w:asciiTheme="minorHAnsi" w:hAnsiTheme="minorHAnsi"/>
          <w:sz w:val="22"/>
          <w:szCs w:val="22"/>
          <w:lang w:val="pl-PL"/>
        </w:rPr>
        <w:t>czy gwarantowało</w:t>
      </w:r>
      <w:r w:rsidRPr="00CE2120">
        <w:rPr>
          <w:rFonts w:asciiTheme="minorHAnsi" w:hAnsiTheme="minorHAnsi"/>
          <w:sz w:val="22"/>
          <w:szCs w:val="22"/>
          <w:lang w:val="pl-PL"/>
        </w:rPr>
        <w:t xml:space="preserve">, by przedmiotowe środki </w:t>
      </w:r>
      <w:r>
        <w:rPr>
          <w:rFonts w:asciiTheme="minorHAnsi" w:hAnsiTheme="minorHAnsi"/>
          <w:sz w:val="22"/>
          <w:szCs w:val="22"/>
          <w:lang w:val="pl-PL"/>
        </w:rPr>
        <w:t xml:space="preserve">kontroli </w:t>
      </w:r>
      <w:r w:rsidRPr="00CE2120">
        <w:rPr>
          <w:rFonts w:asciiTheme="minorHAnsi" w:hAnsiTheme="minorHAnsi"/>
          <w:sz w:val="22"/>
          <w:szCs w:val="22"/>
          <w:lang w:val="pl-PL"/>
        </w:rPr>
        <w:t>stosowane były tylko w zakresie</w:t>
      </w:r>
      <w:r>
        <w:rPr>
          <w:rFonts w:asciiTheme="minorHAnsi" w:hAnsiTheme="minorHAnsi"/>
          <w:sz w:val="22"/>
          <w:szCs w:val="22"/>
          <w:lang w:val="pl-PL"/>
        </w:rPr>
        <w:t>, jaki jest</w:t>
      </w:r>
      <w:r w:rsidRPr="00CE2120">
        <w:rPr>
          <w:rFonts w:asciiTheme="minorHAnsi" w:hAnsiTheme="minorHAnsi"/>
          <w:sz w:val="22"/>
          <w:szCs w:val="22"/>
          <w:lang w:val="pl-PL"/>
        </w:rPr>
        <w:t xml:space="preserve"> “ko</w:t>
      </w:r>
      <w:r>
        <w:rPr>
          <w:rFonts w:asciiTheme="minorHAnsi" w:hAnsiTheme="minorHAnsi"/>
          <w:sz w:val="22"/>
          <w:szCs w:val="22"/>
          <w:lang w:val="pl-PL"/>
        </w:rPr>
        <w:t>nieczny</w:t>
      </w:r>
      <w:r w:rsidRPr="00CE2120">
        <w:rPr>
          <w:rFonts w:asciiTheme="minorHAnsi" w:hAnsiTheme="minorHAnsi"/>
          <w:sz w:val="22"/>
          <w:szCs w:val="22"/>
          <w:lang w:val="pl-PL"/>
        </w:rPr>
        <w:t xml:space="preserve"> w społeczeństwie demokratycznym”. </w:t>
      </w:r>
      <w:r>
        <w:rPr>
          <w:rFonts w:asciiTheme="minorHAnsi" w:hAnsiTheme="minorHAnsi"/>
          <w:sz w:val="22"/>
          <w:szCs w:val="22"/>
          <w:lang w:val="pl-PL"/>
        </w:rPr>
        <w:t xml:space="preserve">Uznał, że </w:t>
      </w:r>
      <w:r w:rsidRPr="00CE2120">
        <w:rPr>
          <w:rFonts w:asciiTheme="minorHAnsi" w:hAnsiTheme="minorHAnsi"/>
          <w:sz w:val="22"/>
          <w:szCs w:val="22"/>
          <w:lang w:val="pl-PL"/>
        </w:rPr>
        <w:t xml:space="preserve">prawo </w:t>
      </w:r>
      <w:r>
        <w:rPr>
          <w:rFonts w:asciiTheme="minorHAnsi" w:hAnsiTheme="minorHAnsi"/>
          <w:sz w:val="22"/>
          <w:szCs w:val="22"/>
          <w:lang w:val="pl-PL"/>
        </w:rPr>
        <w:t xml:space="preserve">rosyjskie </w:t>
      </w:r>
      <w:r w:rsidRPr="00CE2120">
        <w:rPr>
          <w:rFonts w:asciiTheme="minorHAnsi" w:hAnsiTheme="minorHAnsi"/>
          <w:sz w:val="22"/>
          <w:szCs w:val="22"/>
          <w:lang w:val="pl-PL"/>
        </w:rPr>
        <w:t xml:space="preserve">nie przewidywało odpowiednich i skutecznych gwarancji przeciwko </w:t>
      </w:r>
      <w:r>
        <w:rPr>
          <w:rFonts w:asciiTheme="minorHAnsi" w:hAnsiTheme="minorHAnsi"/>
          <w:sz w:val="22"/>
          <w:szCs w:val="22"/>
          <w:lang w:val="pl-PL"/>
        </w:rPr>
        <w:t>arbitralności i ryzyku nadużyć, w szczególności:</w:t>
      </w:r>
    </w:p>
    <w:p w:rsidR="00BE0C4E" w:rsidRPr="00687FA6" w:rsidRDefault="00BE0C4E" w:rsidP="00BE0C4E">
      <w:pPr>
        <w:pStyle w:val="ClinContent"/>
        <w:numPr>
          <w:ilvl w:val="0"/>
          <w:numId w:val="26"/>
        </w:numPr>
        <w:spacing w:before="0" w:after="120"/>
        <w:rPr>
          <w:rFonts w:asciiTheme="minorHAnsi" w:hAnsiTheme="minorHAnsi"/>
          <w:b/>
          <w:sz w:val="22"/>
          <w:szCs w:val="22"/>
          <w:lang w:val="pl-PL"/>
        </w:rPr>
      </w:pPr>
      <w:r w:rsidRPr="00687FA6">
        <w:rPr>
          <w:rFonts w:asciiTheme="minorHAnsi" w:hAnsiTheme="minorHAnsi"/>
          <w:b/>
          <w:sz w:val="22"/>
          <w:szCs w:val="22"/>
          <w:lang w:val="pl-PL"/>
        </w:rPr>
        <w:t>Okoliczności, w których władze były upoważnione do zastosowania środków tajnej kontroli nie zostały zdefiniowane wystarczająco jasno</w:t>
      </w:r>
      <w:r>
        <w:rPr>
          <w:rFonts w:asciiTheme="minorHAnsi" w:hAnsiTheme="minorHAnsi"/>
          <w:b/>
          <w:sz w:val="22"/>
          <w:szCs w:val="22"/>
          <w:lang w:val="pl-PL"/>
        </w:rPr>
        <w:t xml:space="preserve"> przez prawo</w:t>
      </w:r>
      <w:r w:rsidRPr="00687FA6">
        <w:rPr>
          <w:rFonts w:asciiTheme="minorHAnsi" w:hAnsiTheme="minorHAnsi"/>
          <w:b/>
          <w:sz w:val="22"/>
          <w:szCs w:val="22"/>
          <w:lang w:val="pl-PL"/>
        </w:rPr>
        <w:t xml:space="preserve">. </w:t>
      </w:r>
    </w:p>
    <w:p w:rsidR="00BE0C4E" w:rsidRPr="00CE2120" w:rsidRDefault="00BE0C4E" w:rsidP="00BE0C4E">
      <w:pPr>
        <w:pStyle w:val="ClinContent"/>
        <w:spacing w:before="0" w:after="120"/>
        <w:rPr>
          <w:rFonts w:asciiTheme="minorHAnsi" w:hAnsiTheme="minorHAnsi"/>
          <w:sz w:val="22"/>
          <w:szCs w:val="22"/>
          <w:lang w:val="pl-PL"/>
        </w:rPr>
      </w:pPr>
      <w:r w:rsidRPr="00687FA6">
        <w:rPr>
          <w:rFonts w:asciiTheme="minorHAnsi" w:hAnsiTheme="minorHAnsi"/>
          <w:sz w:val="22"/>
          <w:szCs w:val="22"/>
          <w:lang w:val="pl-PL"/>
        </w:rPr>
        <w:t>Trybunał przypomniał</w:t>
      </w:r>
      <w:r>
        <w:rPr>
          <w:rFonts w:asciiTheme="minorHAnsi" w:hAnsiTheme="minorHAnsi"/>
          <w:sz w:val="22"/>
          <w:szCs w:val="22"/>
          <w:lang w:val="pl-PL"/>
        </w:rPr>
        <w:t>, że p</w:t>
      </w:r>
      <w:r w:rsidRPr="00CE2120">
        <w:rPr>
          <w:rFonts w:asciiTheme="minorHAnsi" w:hAnsiTheme="minorHAnsi"/>
          <w:sz w:val="22"/>
          <w:szCs w:val="22"/>
          <w:lang w:val="pl-PL"/>
        </w:rPr>
        <w:t xml:space="preserve">rawo krajowe musi </w:t>
      </w:r>
      <w:r>
        <w:rPr>
          <w:rFonts w:asciiTheme="minorHAnsi" w:hAnsiTheme="minorHAnsi"/>
          <w:sz w:val="22"/>
          <w:szCs w:val="22"/>
          <w:lang w:val="pl-PL"/>
        </w:rPr>
        <w:t xml:space="preserve">wystarczająco jasno </w:t>
      </w:r>
      <w:r w:rsidRPr="00CE2120">
        <w:rPr>
          <w:rFonts w:asciiTheme="minorHAnsi" w:hAnsiTheme="minorHAnsi"/>
          <w:sz w:val="22"/>
          <w:szCs w:val="22"/>
          <w:lang w:val="pl-PL"/>
        </w:rPr>
        <w:t>definiować zakres zastosowania środków tajnej kontroli</w:t>
      </w:r>
      <w:r>
        <w:rPr>
          <w:rFonts w:asciiTheme="minorHAnsi" w:hAnsiTheme="minorHAnsi"/>
          <w:sz w:val="22"/>
          <w:szCs w:val="22"/>
          <w:lang w:val="pl-PL"/>
        </w:rPr>
        <w:t>,</w:t>
      </w:r>
      <w:r w:rsidRPr="00CE2120">
        <w:rPr>
          <w:rFonts w:asciiTheme="minorHAnsi" w:hAnsiTheme="minorHAnsi"/>
          <w:sz w:val="22"/>
          <w:szCs w:val="22"/>
          <w:lang w:val="pl-PL"/>
        </w:rPr>
        <w:t xml:space="preserve"> w odpowiedni sposób wskazując obywatelom okoliczności, w których władze mogą zastosować takie środki, w szczególności określając </w:t>
      </w:r>
      <w:r>
        <w:rPr>
          <w:rFonts w:asciiTheme="minorHAnsi" w:hAnsiTheme="minorHAnsi"/>
          <w:sz w:val="22"/>
          <w:szCs w:val="22"/>
          <w:lang w:val="pl-PL"/>
        </w:rPr>
        <w:t xml:space="preserve">w sposób jasny </w:t>
      </w:r>
      <w:r w:rsidRPr="00CE2120">
        <w:rPr>
          <w:rFonts w:asciiTheme="minorHAnsi" w:hAnsiTheme="minorHAnsi"/>
          <w:sz w:val="22"/>
          <w:szCs w:val="22"/>
          <w:lang w:val="pl-PL"/>
        </w:rPr>
        <w:t>charakter przestępstw, które mogą stanowić podstawę nakazu kontroli</w:t>
      </w:r>
      <w:r>
        <w:rPr>
          <w:rFonts w:asciiTheme="minorHAnsi" w:hAnsiTheme="minorHAnsi"/>
          <w:sz w:val="22"/>
          <w:szCs w:val="22"/>
          <w:lang w:val="pl-PL"/>
        </w:rPr>
        <w:t>,</w:t>
      </w:r>
      <w:r w:rsidRPr="00CE2120">
        <w:rPr>
          <w:rFonts w:asciiTheme="minorHAnsi" w:hAnsiTheme="minorHAnsi"/>
          <w:sz w:val="22"/>
          <w:szCs w:val="22"/>
          <w:lang w:val="pl-PL"/>
        </w:rPr>
        <w:t xml:space="preserve"> oraz definiując kategorie osób, których rozmowy mogą być podsłuchiwane. Nie oznacza to, że państwa muszą w sposób wyczerpujący i z nazwy wymienić poszczególne przestępstwa, konieczna </w:t>
      </w:r>
      <w:r>
        <w:rPr>
          <w:rFonts w:asciiTheme="minorHAnsi" w:hAnsiTheme="minorHAnsi"/>
          <w:sz w:val="22"/>
          <w:szCs w:val="22"/>
          <w:lang w:val="pl-PL"/>
        </w:rPr>
        <w:t xml:space="preserve">jednak </w:t>
      </w:r>
      <w:r w:rsidRPr="00CE2120">
        <w:rPr>
          <w:rFonts w:asciiTheme="minorHAnsi" w:hAnsiTheme="minorHAnsi"/>
          <w:sz w:val="22"/>
          <w:szCs w:val="22"/>
          <w:lang w:val="pl-PL"/>
        </w:rPr>
        <w:t xml:space="preserve">jest odpowiednia szczegółowość dotycząca natury przestępstw. </w:t>
      </w:r>
    </w:p>
    <w:p w:rsidR="00BE0C4E" w:rsidRPr="00145A54"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lastRenderedPageBreak/>
        <w:t xml:space="preserve">W obecnej sprawie </w:t>
      </w:r>
      <w:r>
        <w:rPr>
          <w:rFonts w:asciiTheme="minorHAnsi" w:hAnsiTheme="minorHAnsi"/>
          <w:sz w:val="22"/>
          <w:szCs w:val="22"/>
          <w:lang w:val="pl-PL"/>
        </w:rPr>
        <w:t xml:space="preserve">Trybunał skrytykował </w:t>
      </w:r>
      <w:r w:rsidRPr="00CE2120">
        <w:rPr>
          <w:rFonts w:asciiTheme="minorHAnsi" w:hAnsiTheme="minorHAnsi"/>
          <w:sz w:val="22"/>
          <w:szCs w:val="22"/>
          <w:lang w:val="pl-PL"/>
        </w:rPr>
        <w:t>fakt, że prawo zezwalało na przechwytywanie połączeń w odniesieniu do bardzo szerokiego zakresu przestępstw (w tym np. kradzieży kieszonkowych)</w:t>
      </w:r>
      <w:r>
        <w:rPr>
          <w:rFonts w:asciiTheme="minorHAnsi" w:hAnsiTheme="minorHAnsi"/>
          <w:sz w:val="22"/>
          <w:szCs w:val="22"/>
          <w:lang w:val="pl-PL"/>
        </w:rPr>
        <w:t>, choć ich natura została zdefiniowana wystarczająco precyzyjnie (przez powołanie się na wagę przestępstw)</w:t>
      </w:r>
      <w:r w:rsidRPr="00CE2120">
        <w:rPr>
          <w:rFonts w:asciiTheme="minorHAnsi" w:hAnsiTheme="minorHAnsi"/>
          <w:sz w:val="22"/>
          <w:szCs w:val="22"/>
          <w:lang w:val="pl-PL"/>
        </w:rPr>
        <w:t xml:space="preserve">. Ponadto, przechwytywanie </w:t>
      </w:r>
      <w:r>
        <w:rPr>
          <w:rFonts w:asciiTheme="minorHAnsi" w:hAnsiTheme="minorHAnsi"/>
          <w:sz w:val="22"/>
          <w:szCs w:val="22"/>
          <w:lang w:val="pl-PL"/>
        </w:rPr>
        <w:t xml:space="preserve">połączeń </w:t>
      </w:r>
      <w:r w:rsidRPr="00CE2120">
        <w:rPr>
          <w:rFonts w:asciiTheme="minorHAnsi" w:hAnsiTheme="minorHAnsi"/>
          <w:sz w:val="22"/>
          <w:szCs w:val="22"/>
          <w:lang w:val="pl-PL"/>
        </w:rPr>
        <w:t xml:space="preserve">mogło być zarządzone nie tylko wobec podejrzanego lub oskarżonego, ale także wobec osób, które mogłyby mieć wiedzę na temat przestępstwa. Choć </w:t>
      </w:r>
      <w:r>
        <w:rPr>
          <w:rFonts w:asciiTheme="minorHAnsi" w:hAnsiTheme="minorHAnsi"/>
          <w:sz w:val="22"/>
          <w:szCs w:val="22"/>
          <w:lang w:val="pl-PL"/>
        </w:rPr>
        <w:t xml:space="preserve">samo w sobie nie jest to niezgodne z art. 8 Konwencji, to </w:t>
      </w:r>
      <w:r w:rsidRPr="00CE2120">
        <w:rPr>
          <w:rFonts w:asciiTheme="minorHAnsi" w:hAnsiTheme="minorHAnsi"/>
          <w:sz w:val="22"/>
          <w:szCs w:val="22"/>
          <w:lang w:val="pl-PL"/>
        </w:rPr>
        <w:t xml:space="preserve">jednak prawo </w:t>
      </w:r>
      <w:r>
        <w:rPr>
          <w:rFonts w:asciiTheme="minorHAnsi" w:hAnsiTheme="minorHAnsi"/>
          <w:sz w:val="22"/>
          <w:szCs w:val="22"/>
          <w:lang w:val="pl-PL"/>
        </w:rPr>
        <w:t xml:space="preserve">rosyjskie </w:t>
      </w:r>
      <w:r w:rsidRPr="00CE2120">
        <w:rPr>
          <w:rFonts w:asciiTheme="minorHAnsi" w:hAnsiTheme="minorHAnsi"/>
          <w:sz w:val="22"/>
          <w:szCs w:val="22"/>
          <w:lang w:val="pl-PL"/>
        </w:rPr>
        <w:t xml:space="preserve">nie precyzowało, jak należy stosować pojęcie „osoba, która ma wiedzę nt. przestępstwa” lub „osoba, która ma informacje mające znaczenie dla sprawy karnej”. </w:t>
      </w:r>
      <w:r>
        <w:rPr>
          <w:rFonts w:asciiTheme="minorHAnsi" w:hAnsiTheme="minorHAnsi"/>
          <w:sz w:val="22"/>
          <w:szCs w:val="22"/>
          <w:lang w:val="pl-PL"/>
        </w:rPr>
        <w:t>D</w:t>
      </w:r>
      <w:r w:rsidRPr="00CE2120">
        <w:rPr>
          <w:rFonts w:asciiTheme="minorHAnsi" w:hAnsiTheme="minorHAnsi"/>
          <w:sz w:val="22"/>
          <w:szCs w:val="22"/>
          <w:lang w:val="pl-PL"/>
        </w:rPr>
        <w:t xml:space="preserve">o prawie nieograniczonego uznania władz pozostawiono </w:t>
      </w:r>
      <w:r>
        <w:rPr>
          <w:rFonts w:asciiTheme="minorHAnsi" w:hAnsiTheme="minorHAnsi"/>
          <w:sz w:val="22"/>
          <w:szCs w:val="22"/>
          <w:lang w:val="pl-PL"/>
        </w:rPr>
        <w:t xml:space="preserve">też </w:t>
      </w:r>
      <w:r w:rsidRPr="00CE2120">
        <w:rPr>
          <w:rFonts w:asciiTheme="minorHAnsi" w:hAnsiTheme="minorHAnsi"/>
          <w:sz w:val="22"/>
          <w:szCs w:val="22"/>
          <w:lang w:val="pl-PL"/>
        </w:rPr>
        <w:t>ustalanie, jakie wydarzenia lub działania stanowią zagrożenie</w:t>
      </w:r>
      <w:r>
        <w:rPr>
          <w:rFonts w:asciiTheme="minorHAnsi" w:hAnsiTheme="minorHAnsi"/>
          <w:sz w:val="22"/>
          <w:szCs w:val="22"/>
          <w:lang w:val="pl-PL"/>
        </w:rPr>
        <w:t xml:space="preserve"> bezpieczeństwa narodowego, wojskowego, gospodarczego lub ekologicznego,</w:t>
      </w:r>
      <w:r w:rsidRPr="00CE2120">
        <w:rPr>
          <w:rFonts w:asciiTheme="minorHAnsi" w:hAnsiTheme="minorHAnsi"/>
          <w:sz w:val="22"/>
          <w:szCs w:val="22"/>
          <w:lang w:val="pl-PL"/>
        </w:rPr>
        <w:t xml:space="preserve"> oraz</w:t>
      </w:r>
      <w:r>
        <w:rPr>
          <w:rFonts w:asciiTheme="minorHAnsi" w:hAnsiTheme="minorHAnsi"/>
          <w:sz w:val="22"/>
          <w:szCs w:val="22"/>
          <w:lang w:val="pl-PL"/>
        </w:rPr>
        <w:t xml:space="preserve">, w jakich okolicznościach </w:t>
      </w:r>
      <w:r w:rsidRPr="00CE2120">
        <w:rPr>
          <w:rFonts w:asciiTheme="minorHAnsi" w:hAnsiTheme="minorHAnsi"/>
          <w:sz w:val="22"/>
          <w:szCs w:val="22"/>
          <w:lang w:val="pl-PL"/>
        </w:rPr>
        <w:t>zagrożenie to jest wystarcza</w:t>
      </w:r>
      <w:r>
        <w:rPr>
          <w:rFonts w:asciiTheme="minorHAnsi" w:hAnsiTheme="minorHAnsi"/>
          <w:sz w:val="22"/>
          <w:szCs w:val="22"/>
          <w:lang w:val="pl-PL"/>
        </w:rPr>
        <w:t>jąco poważne, by uzasadnić tajną kontrolę</w:t>
      </w:r>
      <w:r w:rsidRPr="00CE2120">
        <w:rPr>
          <w:rFonts w:asciiTheme="minorHAnsi" w:hAnsiTheme="minorHAnsi"/>
          <w:sz w:val="22"/>
          <w:szCs w:val="22"/>
          <w:lang w:val="pl-PL"/>
        </w:rPr>
        <w:t xml:space="preserve">. </w:t>
      </w:r>
      <w:r w:rsidRPr="00145A54">
        <w:rPr>
          <w:rFonts w:asciiTheme="minorHAnsi" w:hAnsiTheme="minorHAnsi"/>
          <w:sz w:val="22"/>
          <w:szCs w:val="22"/>
          <w:lang w:val="pl-PL"/>
        </w:rPr>
        <w:t xml:space="preserve">To </w:t>
      </w:r>
      <w:r w:rsidRPr="00CE2120">
        <w:rPr>
          <w:rFonts w:asciiTheme="minorHAnsi" w:hAnsiTheme="minorHAnsi"/>
          <w:sz w:val="22"/>
          <w:szCs w:val="22"/>
          <w:lang w:val="pl-PL"/>
        </w:rPr>
        <w:t>dawało</w:t>
      </w:r>
      <w:r w:rsidRPr="00145A54">
        <w:rPr>
          <w:rFonts w:asciiTheme="minorHAnsi" w:hAnsiTheme="minorHAnsi"/>
          <w:sz w:val="22"/>
          <w:szCs w:val="22"/>
          <w:lang w:val="pl-PL"/>
        </w:rPr>
        <w:t xml:space="preserve"> możliwości nadużyć.  </w:t>
      </w:r>
    </w:p>
    <w:p w:rsidR="00BE0C4E" w:rsidRDefault="00BE0C4E" w:rsidP="00BE0C4E">
      <w:pPr>
        <w:pStyle w:val="ClinContent"/>
        <w:numPr>
          <w:ilvl w:val="0"/>
          <w:numId w:val="26"/>
        </w:numPr>
        <w:spacing w:before="0" w:after="120"/>
        <w:rPr>
          <w:rFonts w:asciiTheme="minorHAnsi" w:hAnsiTheme="minorHAnsi"/>
          <w:sz w:val="22"/>
          <w:szCs w:val="22"/>
          <w:lang w:val="pl-PL"/>
        </w:rPr>
      </w:pPr>
      <w:r w:rsidRPr="00714743">
        <w:rPr>
          <w:rFonts w:asciiTheme="minorHAnsi" w:hAnsiTheme="minorHAnsi"/>
          <w:b/>
          <w:sz w:val="22"/>
          <w:szCs w:val="22"/>
          <w:lang w:val="pl-PL"/>
        </w:rPr>
        <w:t xml:space="preserve">Postanowienia dotyczące zaprzestania </w:t>
      </w:r>
      <w:r w:rsidR="00F226BD">
        <w:rPr>
          <w:rFonts w:asciiTheme="minorHAnsi" w:hAnsiTheme="minorHAnsi"/>
          <w:b/>
          <w:sz w:val="22"/>
          <w:szCs w:val="22"/>
          <w:lang w:val="pl-PL"/>
        </w:rPr>
        <w:t xml:space="preserve">tajnej </w:t>
      </w:r>
      <w:r w:rsidRPr="00714743">
        <w:rPr>
          <w:rFonts w:asciiTheme="minorHAnsi" w:hAnsiTheme="minorHAnsi"/>
          <w:b/>
          <w:sz w:val="22"/>
          <w:szCs w:val="22"/>
          <w:lang w:val="pl-PL"/>
        </w:rPr>
        <w:t>kontroli nie zapewniały gwarancji przeciwko arbitralności.</w:t>
      </w:r>
      <w:r w:rsidRPr="00714743">
        <w:rPr>
          <w:rFonts w:asciiTheme="minorHAnsi" w:hAnsiTheme="minorHAnsi"/>
          <w:sz w:val="22"/>
          <w:szCs w:val="22"/>
          <w:lang w:val="pl-PL"/>
        </w:rPr>
        <w:t xml:space="preserve"> </w:t>
      </w:r>
    </w:p>
    <w:p w:rsidR="00BE0C4E" w:rsidRPr="00CE2120" w:rsidRDefault="00BE0C4E" w:rsidP="00BE0C4E">
      <w:pPr>
        <w:pStyle w:val="ClinContent"/>
        <w:spacing w:before="0" w:after="120"/>
        <w:rPr>
          <w:rFonts w:asciiTheme="minorHAnsi" w:hAnsiTheme="minorHAnsi"/>
          <w:sz w:val="22"/>
          <w:szCs w:val="22"/>
          <w:lang w:val="pl-PL"/>
        </w:rPr>
      </w:pPr>
      <w:r>
        <w:rPr>
          <w:rFonts w:asciiTheme="minorHAnsi" w:hAnsiTheme="minorHAnsi"/>
          <w:sz w:val="22"/>
          <w:szCs w:val="22"/>
          <w:lang w:val="pl-PL"/>
        </w:rPr>
        <w:t>Trybunał podkreślił, że m</w:t>
      </w:r>
      <w:r w:rsidRPr="00CE2120">
        <w:rPr>
          <w:rFonts w:asciiTheme="minorHAnsi" w:hAnsiTheme="minorHAnsi"/>
          <w:sz w:val="22"/>
          <w:szCs w:val="22"/>
          <w:lang w:val="pl-PL"/>
        </w:rPr>
        <w:t xml:space="preserve">uszą istnieć odpowiednie zabezpieczenia, takie jak jasne wskazanie w prawie krajowym </w:t>
      </w:r>
      <w:r>
        <w:rPr>
          <w:rFonts w:asciiTheme="minorHAnsi" w:hAnsiTheme="minorHAnsi"/>
          <w:sz w:val="22"/>
          <w:szCs w:val="22"/>
          <w:lang w:val="pl-PL"/>
        </w:rPr>
        <w:t>terminu</w:t>
      </w:r>
      <w:r w:rsidRPr="00CE2120">
        <w:rPr>
          <w:rFonts w:asciiTheme="minorHAnsi" w:hAnsiTheme="minorHAnsi"/>
          <w:sz w:val="22"/>
          <w:szCs w:val="22"/>
          <w:lang w:val="pl-PL"/>
        </w:rPr>
        <w:t xml:space="preserve">, po którym nakaz </w:t>
      </w:r>
      <w:r>
        <w:rPr>
          <w:rFonts w:asciiTheme="minorHAnsi" w:hAnsiTheme="minorHAnsi"/>
          <w:sz w:val="22"/>
          <w:szCs w:val="22"/>
          <w:lang w:val="pl-PL"/>
        </w:rPr>
        <w:t xml:space="preserve">kontroli połączeń </w:t>
      </w:r>
      <w:r w:rsidRPr="00CE2120">
        <w:rPr>
          <w:rFonts w:asciiTheme="minorHAnsi" w:hAnsiTheme="minorHAnsi"/>
          <w:sz w:val="22"/>
          <w:szCs w:val="22"/>
          <w:lang w:val="pl-PL"/>
        </w:rPr>
        <w:t xml:space="preserve">wygasa, warunki </w:t>
      </w:r>
      <w:r>
        <w:rPr>
          <w:rFonts w:asciiTheme="minorHAnsi" w:hAnsiTheme="minorHAnsi"/>
          <w:sz w:val="22"/>
          <w:szCs w:val="22"/>
          <w:lang w:val="pl-PL"/>
        </w:rPr>
        <w:t xml:space="preserve">jego </w:t>
      </w:r>
      <w:r w:rsidRPr="00CE2120">
        <w:rPr>
          <w:rFonts w:asciiTheme="minorHAnsi" w:hAnsiTheme="minorHAnsi"/>
          <w:sz w:val="22"/>
          <w:szCs w:val="22"/>
          <w:lang w:val="pl-PL"/>
        </w:rPr>
        <w:t xml:space="preserve">przedłużenia oraz okoliczności, w których musi zostać uchylony. </w:t>
      </w:r>
      <w:r w:rsidRPr="00CE2120">
        <w:rPr>
          <w:rFonts w:asciiTheme="minorHAnsi" w:hAnsiTheme="minorHAnsi"/>
          <w:lang w:val="pl-PL" w:eastAsia="fr-FR" w:bidi="en-US"/>
        </w:rPr>
        <w:t xml:space="preserve"> </w:t>
      </w:r>
    </w:p>
    <w:p w:rsidR="00BE0C4E" w:rsidRPr="00CE2120"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 xml:space="preserve">W </w:t>
      </w:r>
      <w:r>
        <w:rPr>
          <w:rFonts w:asciiTheme="minorHAnsi" w:hAnsiTheme="minorHAnsi"/>
          <w:sz w:val="22"/>
          <w:szCs w:val="22"/>
          <w:lang w:val="pl-PL"/>
        </w:rPr>
        <w:t>prawie rosyjskim w</w:t>
      </w:r>
      <w:r w:rsidRPr="00CE2120">
        <w:rPr>
          <w:rFonts w:asciiTheme="minorHAnsi" w:hAnsiTheme="minorHAnsi"/>
          <w:sz w:val="22"/>
          <w:szCs w:val="22"/>
          <w:lang w:val="pl-PL"/>
        </w:rPr>
        <w:t>ymóg zakończenia stosowania środków w sytuacji, gdy nie są już konieczne, był zawarty tylko w odniesieniu do środków stosowanych w związku z postępowaniami karnymi, co nie zapewniało wystarczających gwarancji przeciwko arbitralnej ingerencji</w:t>
      </w:r>
      <w:r>
        <w:rPr>
          <w:rFonts w:asciiTheme="minorHAnsi" w:hAnsiTheme="minorHAnsi"/>
          <w:sz w:val="22"/>
          <w:szCs w:val="22"/>
          <w:lang w:val="pl-PL"/>
        </w:rPr>
        <w:t>, w szczególności w sprawach</w:t>
      </w:r>
      <w:r w:rsidR="00F226BD">
        <w:rPr>
          <w:rFonts w:asciiTheme="minorHAnsi" w:hAnsiTheme="minorHAnsi"/>
          <w:sz w:val="22"/>
          <w:szCs w:val="22"/>
          <w:lang w:val="pl-PL"/>
        </w:rPr>
        <w:t>, w których przesłanką kontroli był</w:t>
      </w:r>
      <w:r w:rsidR="00674A93">
        <w:rPr>
          <w:rFonts w:asciiTheme="minorHAnsi" w:hAnsiTheme="minorHAnsi"/>
          <w:sz w:val="22"/>
          <w:szCs w:val="22"/>
          <w:lang w:val="pl-PL"/>
        </w:rPr>
        <w:t>o</w:t>
      </w:r>
      <w:r>
        <w:rPr>
          <w:rFonts w:asciiTheme="minorHAnsi" w:hAnsiTheme="minorHAnsi"/>
          <w:sz w:val="22"/>
          <w:szCs w:val="22"/>
          <w:lang w:val="pl-PL"/>
        </w:rPr>
        <w:t xml:space="preserve"> zagrożeni</w:t>
      </w:r>
      <w:r w:rsidR="003479DE">
        <w:rPr>
          <w:rFonts w:asciiTheme="minorHAnsi" w:hAnsiTheme="minorHAnsi"/>
          <w:sz w:val="22"/>
          <w:szCs w:val="22"/>
          <w:lang w:val="pl-PL"/>
        </w:rPr>
        <w:t>e</w:t>
      </w:r>
      <w:r>
        <w:rPr>
          <w:rFonts w:asciiTheme="minorHAnsi" w:hAnsiTheme="minorHAnsi"/>
          <w:sz w:val="22"/>
          <w:szCs w:val="22"/>
          <w:lang w:val="pl-PL"/>
        </w:rPr>
        <w:t xml:space="preserve"> bezpieczeństwa</w:t>
      </w:r>
      <w:r w:rsidRPr="00CE2120">
        <w:rPr>
          <w:rFonts w:asciiTheme="minorHAnsi" w:hAnsiTheme="minorHAnsi"/>
          <w:sz w:val="22"/>
          <w:szCs w:val="22"/>
          <w:lang w:val="pl-PL"/>
        </w:rPr>
        <w:t xml:space="preserve">.  </w:t>
      </w:r>
    </w:p>
    <w:p w:rsidR="00BE0C4E" w:rsidRPr="003B709A" w:rsidRDefault="00BE0C4E" w:rsidP="00BE0C4E">
      <w:pPr>
        <w:pStyle w:val="ClinContent"/>
        <w:numPr>
          <w:ilvl w:val="0"/>
          <w:numId w:val="26"/>
        </w:numPr>
        <w:spacing w:before="0" w:after="120"/>
        <w:rPr>
          <w:rFonts w:asciiTheme="minorHAnsi" w:hAnsiTheme="minorHAnsi"/>
          <w:b/>
          <w:sz w:val="22"/>
          <w:szCs w:val="22"/>
          <w:lang w:val="pl-PL"/>
        </w:rPr>
      </w:pPr>
      <w:r w:rsidRPr="00714743">
        <w:rPr>
          <w:rFonts w:asciiTheme="minorHAnsi" w:hAnsiTheme="minorHAnsi"/>
          <w:b/>
          <w:sz w:val="22"/>
          <w:szCs w:val="22"/>
          <w:lang w:val="pl-PL"/>
        </w:rPr>
        <w:t>Uregulowania dotyczące niszczenia danych nie mających znaczenia lub po zakończeniu procesu były niewystarczające.</w:t>
      </w:r>
      <w:r w:rsidRPr="003B709A">
        <w:rPr>
          <w:rFonts w:asciiTheme="minorHAnsi" w:hAnsiTheme="minorHAnsi"/>
          <w:b/>
          <w:sz w:val="22"/>
          <w:szCs w:val="22"/>
          <w:lang w:val="pl-PL"/>
        </w:rPr>
        <w:t xml:space="preserve"> </w:t>
      </w:r>
    </w:p>
    <w:p w:rsidR="00BE0C4E" w:rsidRPr="00CE2120"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 xml:space="preserve">Trybunał uznał za rozsądny 6-miesięczny termin zniszczenia przechwyconych danych, jeśli osobie </w:t>
      </w:r>
      <w:r>
        <w:rPr>
          <w:rFonts w:asciiTheme="minorHAnsi" w:hAnsiTheme="minorHAnsi"/>
          <w:sz w:val="22"/>
          <w:szCs w:val="22"/>
          <w:lang w:val="pl-PL"/>
        </w:rPr>
        <w:t>nie postawiono zarzutów karnych,</w:t>
      </w:r>
      <w:r w:rsidRPr="00CE2120">
        <w:rPr>
          <w:rFonts w:asciiTheme="minorHAnsi" w:hAnsiTheme="minorHAnsi"/>
          <w:sz w:val="22"/>
          <w:szCs w:val="22"/>
          <w:lang w:val="pl-PL"/>
        </w:rPr>
        <w:t xml:space="preserve"> </w:t>
      </w:r>
      <w:r>
        <w:rPr>
          <w:rFonts w:asciiTheme="minorHAnsi" w:hAnsiTheme="minorHAnsi"/>
          <w:sz w:val="22"/>
          <w:szCs w:val="22"/>
          <w:lang w:val="pl-PL"/>
        </w:rPr>
        <w:t>s</w:t>
      </w:r>
      <w:r w:rsidRPr="00CE2120">
        <w:rPr>
          <w:rFonts w:asciiTheme="minorHAnsi" w:hAnsiTheme="minorHAnsi"/>
          <w:sz w:val="22"/>
          <w:szCs w:val="22"/>
          <w:lang w:val="pl-PL"/>
        </w:rPr>
        <w:t>krytykował jednak brak wymogu natychmiastowego zniszczenia danych, które nie mają znaczenia dla celu, dla którego je uzyskano. Automatyczne przechowywanie przez 6 miesięcy danych w sposób oczywisty bez znaczenia nie może być, zdaniem Trybunału, uznane za uzasadnione na gruncie art. 8 Konwencji. Ponadto, w sprawach, w których osobie podlegającej kontroli zostały postawione zarzuty karne, do nieograniczonego uznania sędziego prowadzącego postępowanie należało decydowanie, czy po zakończeniu procesu nakazać dalsze przechowywanie lub zniszczenie przechwyconych danych uży</w:t>
      </w:r>
      <w:r w:rsidR="007D129A">
        <w:rPr>
          <w:rFonts w:asciiTheme="minorHAnsi" w:hAnsiTheme="minorHAnsi"/>
          <w:sz w:val="22"/>
          <w:szCs w:val="22"/>
          <w:lang w:val="pl-PL"/>
        </w:rPr>
        <w:t>t</w:t>
      </w:r>
      <w:r w:rsidRPr="00CE2120">
        <w:rPr>
          <w:rFonts w:asciiTheme="minorHAnsi" w:hAnsiTheme="minorHAnsi"/>
          <w:sz w:val="22"/>
          <w:szCs w:val="22"/>
          <w:lang w:val="pl-PL"/>
        </w:rPr>
        <w:t>ych jako dowód</w:t>
      </w:r>
      <w:r>
        <w:rPr>
          <w:rFonts w:asciiTheme="minorHAnsi" w:hAnsiTheme="minorHAnsi"/>
          <w:sz w:val="22"/>
          <w:szCs w:val="22"/>
          <w:lang w:val="pl-PL"/>
        </w:rPr>
        <w:t xml:space="preserve"> – prawo nie było w tym zakresie wystarczająco precyzyjne</w:t>
      </w:r>
      <w:r w:rsidRPr="00CE2120">
        <w:rPr>
          <w:rFonts w:asciiTheme="minorHAnsi" w:hAnsiTheme="minorHAnsi"/>
          <w:sz w:val="22"/>
          <w:szCs w:val="22"/>
          <w:lang w:val="pl-PL"/>
        </w:rPr>
        <w:t xml:space="preserve">. </w:t>
      </w:r>
      <w:r>
        <w:rPr>
          <w:rFonts w:asciiTheme="minorHAnsi" w:hAnsiTheme="minorHAnsi"/>
          <w:sz w:val="22"/>
          <w:szCs w:val="22"/>
          <w:lang w:val="pl-PL"/>
        </w:rPr>
        <w:t xml:space="preserve"> </w:t>
      </w:r>
    </w:p>
    <w:p w:rsidR="00BE0C4E" w:rsidRPr="00714743" w:rsidRDefault="00BE0C4E" w:rsidP="00BE0C4E">
      <w:pPr>
        <w:pStyle w:val="ClinContent"/>
        <w:numPr>
          <w:ilvl w:val="0"/>
          <w:numId w:val="26"/>
        </w:numPr>
        <w:spacing w:before="0" w:after="120"/>
        <w:rPr>
          <w:rFonts w:asciiTheme="minorHAnsi" w:hAnsiTheme="minorHAnsi"/>
          <w:b/>
          <w:sz w:val="22"/>
          <w:szCs w:val="22"/>
          <w:lang w:val="pl-PL"/>
        </w:rPr>
      </w:pPr>
      <w:r w:rsidRPr="00714743">
        <w:rPr>
          <w:rFonts w:asciiTheme="minorHAnsi" w:hAnsiTheme="minorHAnsi"/>
          <w:b/>
          <w:sz w:val="22"/>
          <w:szCs w:val="22"/>
          <w:lang w:val="pl-PL"/>
        </w:rPr>
        <w:t xml:space="preserve">Procedura </w:t>
      </w:r>
      <w:r>
        <w:rPr>
          <w:rFonts w:asciiTheme="minorHAnsi" w:hAnsiTheme="minorHAnsi"/>
          <w:b/>
          <w:sz w:val="22"/>
          <w:szCs w:val="22"/>
          <w:lang w:val="pl-PL"/>
        </w:rPr>
        <w:t>wydawania zgody przez sąd</w:t>
      </w:r>
      <w:r w:rsidRPr="00714743">
        <w:rPr>
          <w:rFonts w:asciiTheme="minorHAnsi" w:hAnsiTheme="minorHAnsi"/>
          <w:b/>
          <w:sz w:val="22"/>
          <w:szCs w:val="22"/>
          <w:lang w:val="pl-PL"/>
        </w:rPr>
        <w:t xml:space="preserve"> nie była w</w:t>
      </w:r>
      <w:r>
        <w:rPr>
          <w:rFonts w:asciiTheme="minorHAnsi" w:hAnsiTheme="minorHAnsi"/>
          <w:b/>
          <w:sz w:val="22"/>
          <w:szCs w:val="22"/>
          <w:lang w:val="pl-PL"/>
        </w:rPr>
        <w:t xml:space="preserve"> </w:t>
      </w:r>
      <w:r w:rsidRPr="00714743">
        <w:rPr>
          <w:rFonts w:asciiTheme="minorHAnsi" w:hAnsiTheme="minorHAnsi"/>
          <w:b/>
          <w:sz w:val="22"/>
          <w:szCs w:val="22"/>
          <w:lang w:val="pl-PL"/>
        </w:rPr>
        <w:t xml:space="preserve">stanie zapewnić, by środki </w:t>
      </w:r>
      <w:r>
        <w:rPr>
          <w:rFonts w:asciiTheme="minorHAnsi" w:hAnsiTheme="minorHAnsi"/>
          <w:b/>
          <w:sz w:val="22"/>
          <w:szCs w:val="22"/>
          <w:lang w:val="pl-PL"/>
        </w:rPr>
        <w:t xml:space="preserve">tajnej </w:t>
      </w:r>
      <w:r w:rsidRPr="00714743">
        <w:rPr>
          <w:rFonts w:asciiTheme="minorHAnsi" w:hAnsiTheme="minorHAnsi"/>
          <w:b/>
          <w:sz w:val="22"/>
          <w:szCs w:val="22"/>
          <w:lang w:val="pl-PL"/>
        </w:rPr>
        <w:t xml:space="preserve">kontroli </w:t>
      </w:r>
      <w:r>
        <w:rPr>
          <w:rFonts w:asciiTheme="minorHAnsi" w:hAnsiTheme="minorHAnsi"/>
          <w:b/>
          <w:sz w:val="22"/>
          <w:szCs w:val="22"/>
          <w:lang w:val="pl-PL"/>
        </w:rPr>
        <w:t xml:space="preserve">połączeń </w:t>
      </w:r>
      <w:r w:rsidRPr="00714743">
        <w:rPr>
          <w:rFonts w:asciiTheme="minorHAnsi" w:hAnsiTheme="minorHAnsi"/>
          <w:b/>
          <w:sz w:val="22"/>
          <w:szCs w:val="22"/>
          <w:lang w:val="pl-PL"/>
        </w:rPr>
        <w:t xml:space="preserve">były stosowane jedynie, gdy jest to „konieczne w społeczeństwie demokratycznym”. </w:t>
      </w:r>
    </w:p>
    <w:p w:rsidR="00BE0C4E" w:rsidRPr="00CE2120" w:rsidRDefault="00BE0C4E" w:rsidP="00BE0C4E">
      <w:pPr>
        <w:pStyle w:val="ClinContent"/>
        <w:spacing w:before="0" w:after="120"/>
        <w:rPr>
          <w:rFonts w:asciiTheme="minorHAnsi" w:hAnsiTheme="minorHAnsi"/>
          <w:sz w:val="22"/>
          <w:szCs w:val="22"/>
          <w:lang w:val="pl-PL"/>
        </w:rPr>
      </w:pPr>
      <w:r>
        <w:rPr>
          <w:rFonts w:asciiTheme="minorHAnsi" w:hAnsiTheme="minorHAnsi"/>
          <w:sz w:val="22"/>
          <w:szCs w:val="22"/>
          <w:lang w:val="pl-PL"/>
        </w:rPr>
        <w:t xml:space="preserve">Trybunał przypomniał, że </w:t>
      </w:r>
      <w:r w:rsidRPr="00CE2120">
        <w:rPr>
          <w:rFonts w:asciiTheme="minorHAnsi" w:hAnsiTheme="minorHAnsi"/>
          <w:sz w:val="22"/>
          <w:szCs w:val="22"/>
          <w:lang w:val="pl-PL"/>
        </w:rPr>
        <w:t xml:space="preserve">organ badający wniosek </w:t>
      </w:r>
      <w:r>
        <w:rPr>
          <w:rFonts w:asciiTheme="minorHAnsi" w:hAnsiTheme="minorHAnsi"/>
          <w:sz w:val="22"/>
          <w:szCs w:val="22"/>
          <w:lang w:val="pl-PL"/>
        </w:rPr>
        <w:t xml:space="preserve">o zastosowanie tajnej kontroli </w:t>
      </w:r>
      <w:r w:rsidRPr="00CE2120">
        <w:rPr>
          <w:rFonts w:asciiTheme="minorHAnsi" w:hAnsiTheme="minorHAnsi"/>
          <w:sz w:val="22"/>
          <w:szCs w:val="22"/>
          <w:lang w:val="pl-PL"/>
        </w:rPr>
        <w:t xml:space="preserve">powinien być wystarczająco niezależny od władzy wykonawczej, a zakres </w:t>
      </w:r>
      <w:r>
        <w:rPr>
          <w:rFonts w:asciiTheme="minorHAnsi" w:hAnsiTheme="minorHAnsi"/>
          <w:sz w:val="22"/>
          <w:szCs w:val="22"/>
          <w:lang w:val="pl-PL"/>
        </w:rPr>
        <w:t xml:space="preserve">jego </w:t>
      </w:r>
      <w:r w:rsidRPr="00CE2120">
        <w:rPr>
          <w:rFonts w:asciiTheme="minorHAnsi" w:hAnsiTheme="minorHAnsi"/>
          <w:sz w:val="22"/>
          <w:szCs w:val="22"/>
          <w:lang w:val="pl-PL"/>
        </w:rPr>
        <w:t xml:space="preserve">uprawnień musi umożliwiać weryfikację istnienia rozsądnego podejrzenia wobec danej osoby, </w:t>
      </w:r>
      <w:r w:rsidR="00204396">
        <w:rPr>
          <w:rFonts w:asciiTheme="minorHAnsi" w:hAnsiTheme="minorHAnsi"/>
          <w:sz w:val="22"/>
          <w:szCs w:val="22"/>
          <w:lang w:val="pl-PL"/>
        </w:rPr>
        <w:t>oraz</w:t>
      </w:r>
      <w:r w:rsidRPr="00CE2120">
        <w:rPr>
          <w:rFonts w:asciiTheme="minorHAnsi" w:hAnsiTheme="minorHAnsi"/>
          <w:sz w:val="22"/>
          <w:szCs w:val="22"/>
          <w:lang w:val="pl-PL"/>
        </w:rPr>
        <w:t xml:space="preserve"> ustaleni</w:t>
      </w:r>
      <w:r>
        <w:rPr>
          <w:rFonts w:asciiTheme="minorHAnsi" w:hAnsiTheme="minorHAnsi"/>
          <w:sz w:val="22"/>
          <w:szCs w:val="22"/>
          <w:lang w:val="pl-PL"/>
        </w:rPr>
        <w:t>e</w:t>
      </w:r>
      <w:r w:rsidRPr="00CE2120">
        <w:rPr>
          <w:rFonts w:asciiTheme="minorHAnsi" w:hAnsiTheme="minorHAnsi"/>
          <w:sz w:val="22"/>
          <w:szCs w:val="22"/>
          <w:lang w:val="pl-PL"/>
        </w:rPr>
        <w:t xml:space="preserve">, czy zastosowanie kontroli będzie zgodne z wymogiem konieczności </w:t>
      </w:r>
      <w:r>
        <w:rPr>
          <w:rFonts w:asciiTheme="minorHAnsi" w:hAnsiTheme="minorHAnsi"/>
          <w:sz w:val="22"/>
          <w:szCs w:val="22"/>
          <w:lang w:val="pl-PL"/>
        </w:rPr>
        <w:t>w społeczeństwie demokratycznym</w:t>
      </w:r>
      <w:r w:rsidRPr="00CE2120">
        <w:rPr>
          <w:rFonts w:asciiTheme="minorHAnsi" w:hAnsiTheme="minorHAnsi"/>
          <w:sz w:val="22"/>
          <w:szCs w:val="22"/>
          <w:lang w:val="pl-PL"/>
        </w:rPr>
        <w:t xml:space="preserve"> </w:t>
      </w:r>
      <w:r>
        <w:rPr>
          <w:rFonts w:asciiTheme="minorHAnsi" w:hAnsiTheme="minorHAnsi"/>
          <w:sz w:val="22"/>
          <w:szCs w:val="22"/>
          <w:lang w:val="pl-PL"/>
        </w:rPr>
        <w:t>(</w:t>
      </w:r>
      <w:r w:rsidRPr="00CE2120">
        <w:rPr>
          <w:rFonts w:asciiTheme="minorHAnsi" w:hAnsiTheme="minorHAnsi"/>
          <w:sz w:val="22"/>
          <w:szCs w:val="22"/>
          <w:lang w:val="pl-PL"/>
        </w:rPr>
        <w:t>w tym</w:t>
      </w:r>
      <w:r>
        <w:rPr>
          <w:rFonts w:asciiTheme="minorHAnsi" w:hAnsiTheme="minorHAnsi"/>
          <w:sz w:val="22"/>
          <w:szCs w:val="22"/>
          <w:lang w:val="pl-PL"/>
        </w:rPr>
        <w:t>:</w:t>
      </w:r>
      <w:r w:rsidRPr="00CE2120">
        <w:rPr>
          <w:rFonts w:asciiTheme="minorHAnsi" w:hAnsiTheme="minorHAnsi"/>
          <w:sz w:val="22"/>
          <w:szCs w:val="22"/>
          <w:lang w:val="pl-PL"/>
        </w:rPr>
        <w:t xml:space="preserve"> czy będzie proporcjonalne w stosunku do uprawnionego celu</w:t>
      </w:r>
      <w:r>
        <w:rPr>
          <w:rFonts w:asciiTheme="minorHAnsi" w:hAnsiTheme="minorHAnsi"/>
          <w:sz w:val="22"/>
          <w:szCs w:val="22"/>
          <w:lang w:val="pl-PL"/>
        </w:rPr>
        <w:t xml:space="preserve"> oraz czy </w:t>
      </w:r>
      <w:r w:rsidRPr="00CE2120">
        <w:rPr>
          <w:rFonts w:asciiTheme="minorHAnsi" w:hAnsiTheme="minorHAnsi"/>
          <w:sz w:val="22"/>
          <w:szCs w:val="22"/>
          <w:lang w:val="pl-PL"/>
        </w:rPr>
        <w:t xml:space="preserve">jest możliwe osiągnięcie tego celu </w:t>
      </w:r>
      <w:r>
        <w:rPr>
          <w:rFonts w:asciiTheme="minorHAnsi" w:hAnsiTheme="minorHAnsi"/>
          <w:sz w:val="22"/>
          <w:szCs w:val="22"/>
          <w:lang w:val="pl-PL"/>
        </w:rPr>
        <w:t>z wykorzystaniem innych, mniej dolegliwych środków)</w:t>
      </w:r>
      <w:r w:rsidRPr="00CE2120">
        <w:rPr>
          <w:rFonts w:asciiTheme="minorHAnsi" w:hAnsiTheme="minorHAnsi"/>
          <w:sz w:val="22"/>
          <w:szCs w:val="22"/>
          <w:lang w:val="pl-PL"/>
        </w:rPr>
        <w:t>. Upoważnienie do przechwytywania połączeń musi jasno wskazywać osobę podlega</w:t>
      </w:r>
      <w:r>
        <w:rPr>
          <w:rFonts w:asciiTheme="minorHAnsi" w:hAnsiTheme="minorHAnsi"/>
          <w:sz w:val="22"/>
          <w:szCs w:val="22"/>
          <w:lang w:val="pl-PL"/>
        </w:rPr>
        <w:t>jącą</w:t>
      </w:r>
      <w:r w:rsidRPr="00CE2120">
        <w:rPr>
          <w:rFonts w:asciiTheme="minorHAnsi" w:hAnsiTheme="minorHAnsi"/>
          <w:sz w:val="22"/>
          <w:szCs w:val="22"/>
          <w:lang w:val="pl-PL"/>
        </w:rPr>
        <w:t xml:space="preserve"> temu środkowi lub </w:t>
      </w:r>
      <w:r>
        <w:rPr>
          <w:rFonts w:asciiTheme="minorHAnsi" w:hAnsiTheme="minorHAnsi"/>
          <w:sz w:val="22"/>
          <w:szCs w:val="22"/>
          <w:lang w:val="pl-PL"/>
        </w:rPr>
        <w:t xml:space="preserve">określone </w:t>
      </w:r>
      <w:r w:rsidRPr="00CE2120">
        <w:rPr>
          <w:rFonts w:asciiTheme="minorHAnsi" w:hAnsiTheme="minorHAnsi"/>
          <w:sz w:val="22"/>
          <w:szCs w:val="22"/>
          <w:lang w:val="pl-PL"/>
        </w:rPr>
        <w:t xml:space="preserve">pomieszczenia. Powinno wskazywać nazwiska, adresy, numery telefonów i inne właściwe dane. Istotne jest też, by upoważnienie sądu było przekazane operatorowi przed </w:t>
      </w:r>
      <w:r w:rsidRPr="001B74A5">
        <w:rPr>
          <w:rFonts w:asciiTheme="minorHAnsi" w:hAnsiTheme="minorHAnsi"/>
          <w:sz w:val="22"/>
          <w:szCs w:val="22"/>
          <w:lang w:val="pl-PL"/>
        </w:rPr>
        <w:t>uzyskaniem dostępu do połączeń.</w:t>
      </w:r>
    </w:p>
    <w:p w:rsidR="00BE0C4E" w:rsidRDefault="00BE0C4E" w:rsidP="00BE0C4E">
      <w:pPr>
        <w:pStyle w:val="ClinContent"/>
        <w:spacing w:before="0" w:after="120"/>
        <w:rPr>
          <w:rFonts w:asciiTheme="minorHAnsi" w:hAnsiTheme="minorHAnsi"/>
          <w:sz w:val="22"/>
          <w:szCs w:val="22"/>
          <w:lang w:val="pl-PL"/>
        </w:rPr>
      </w:pPr>
      <w:r>
        <w:rPr>
          <w:rFonts w:asciiTheme="minorHAnsi" w:hAnsiTheme="minorHAnsi"/>
          <w:sz w:val="22"/>
          <w:szCs w:val="22"/>
          <w:lang w:val="pl-PL"/>
        </w:rPr>
        <w:t>W</w:t>
      </w:r>
      <w:r w:rsidRPr="00CE2120">
        <w:rPr>
          <w:rFonts w:asciiTheme="minorHAnsi" w:hAnsiTheme="minorHAnsi"/>
          <w:sz w:val="22"/>
          <w:szCs w:val="22"/>
          <w:lang w:val="pl-PL"/>
        </w:rPr>
        <w:t xml:space="preserve"> prawie rosyjskim</w:t>
      </w:r>
      <w:r>
        <w:rPr>
          <w:rFonts w:asciiTheme="minorHAnsi" w:hAnsiTheme="minorHAnsi"/>
          <w:sz w:val="22"/>
          <w:szCs w:val="22"/>
          <w:lang w:val="pl-PL"/>
        </w:rPr>
        <w:t>,</w:t>
      </w:r>
      <w:r w:rsidRPr="00CE2120">
        <w:rPr>
          <w:rFonts w:asciiTheme="minorHAnsi" w:hAnsiTheme="minorHAnsi"/>
          <w:sz w:val="22"/>
          <w:szCs w:val="22"/>
          <w:lang w:val="pl-PL"/>
        </w:rPr>
        <w:t xml:space="preserve"> </w:t>
      </w:r>
      <w:r>
        <w:rPr>
          <w:rFonts w:asciiTheme="minorHAnsi" w:hAnsiTheme="minorHAnsi"/>
          <w:sz w:val="22"/>
          <w:szCs w:val="22"/>
          <w:lang w:val="pl-PL"/>
        </w:rPr>
        <w:t>choć wymagana była zgoda</w:t>
      </w:r>
      <w:r w:rsidRPr="00CE2120">
        <w:rPr>
          <w:rFonts w:asciiTheme="minorHAnsi" w:hAnsiTheme="minorHAnsi"/>
          <w:sz w:val="22"/>
          <w:szCs w:val="22"/>
          <w:lang w:val="pl-PL"/>
        </w:rPr>
        <w:t xml:space="preserve"> sądu, zakres badania sądowego był ograniczony. </w:t>
      </w:r>
      <w:r>
        <w:rPr>
          <w:rFonts w:asciiTheme="minorHAnsi" w:hAnsiTheme="minorHAnsi"/>
          <w:sz w:val="22"/>
          <w:szCs w:val="22"/>
          <w:lang w:val="pl-PL"/>
        </w:rPr>
        <w:t>N</w:t>
      </w:r>
      <w:r w:rsidRPr="00CE2120">
        <w:rPr>
          <w:rFonts w:asciiTheme="minorHAnsi" w:hAnsiTheme="minorHAnsi"/>
          <w:sz w:val="22"/>
          <w:szCs w:val="22"/>
          <w:lang w:val="pl-PL"/>
        </w:rPr>
        <w:t xml:space="preserve">ie mogły być przedłożone sędziemu materiały zawierające informację nt. tajnych agentów lub informatorów policji lub nt. organizacji i taktyki środków rozpoznania operacyjnego. </w:t>
      </w:r>
      <w:r>
        <w:rPr>
          <w:rFonts w:asciiTheme="minorHAnsi" w:hAnsiTheme="minorHAnsi"/>
          <w:sz w:val="22"/>
          <w:szCs w:val="22"/>
          <w:lang w:val="pl-PL"/>
        </w:rPr>
        <w:t>N</w:t>
      </w:r>
      <w:r w:rsidRPr="00CE2120">
        <w:rPr>
          <w:rFonts w:asciiTheme="minorHAnsi" w:hAnsiTheme="minorHAnsi"/>
          <w:sz w:val="22"/>
          <w:szCs w:val="22"/>
          <w:lang w:val="pl-PL"/>
        </w:rPr>
        <w:t xml:space="preserve">ie nakazano weryfikowania istnienia „rozsądnego podejrzenia przeciwko danej osobie” bądź do stosowania testów “konieczności i proporcjonalności”. </w:t>
      </w:r>
    </w:p>
    <w:p w:rsidR="00BE0C4E" w:rsidRPr="00CE2120" w:rsidRDefault="00BE0C4E" w:rsidP="00BE0C4E">
      <w:pPr>
        <w:pStyle w:val="ClinContent"/>
        <w:spacing w:before="0" w:after="120"/>
        <w:rPr>
          <w:rFonts w:asciiTheme="minorHAnsi" w:hAnsiTheme="minorHAnsi"/>
          <w:sz w:val="22"/>
          <w:szCs w:val="22"/>
          <w:lang w:val="pl-PL"/>
        </w:rPr>
      </w:pPr>
      <w:r>
        <w:rPr>
          <w:rFonts w:asciiTheme="minorHAnsi" w:hAnsiTheme="minorHAnsi"/>
          <w:sz w:val="22"/>
          <w:szCs w:val="22"/>
          <w:lang w:val="pl-PL"/>
        </w:rPr>
        <w:t>Trybunał skrytykował również praktykę działania sądów. D</w:t>
      </w:r>
      <w:r w:rsidRPr="00CE2120">
        <w:rPr>
          <w:rFonts w:asciiTheme="minorHAnsi" w:hAnsiTheme="minorHAnsi"/>
          <w:sz w:val="22"/>
          <w:szCs w:val="22"/>
          <w:lang w:val="pl-PL"/>
        </w:rPr>
        <w:t>o wniosków często nie były dołączane dokumenty</w:t>
      </w:r>
      <w:r>
        <w:rPr>
          <w:rFonts w:asciiTheme="minorHAnsi" w:hAnsiTheme="minorHAnsi"/>
          <w:sz w:val="22"/>
          <w:szCs w:val="22"/>
          <w:lang w:val="pl-PL"/>
        </w:rPr>
        <w:t xml:space="preserve"> wspierające wniosek</w:t>
      </w:r>
      <w:r w:rsidRPr="00CE2120">
        <w:rPr>
          <w:rFonts w:asciiTheme="minorHAnsi" w:hAnsiTheme="minorHAnsi"/>
          <w:sz w:val="22"/>
          <w:szCs w:val="22"/>
          <w:lang w:val="pl-PL"/>
        </w:rPr>
        <w:t xml:space="preserve">, </w:t>
      </w:r>
      <w:r>
        <w:rPr>
          <w:rFonts w:asciiTheme="minorHAnsi" w:hAnsiTheme="minorHAnsi"/>
          <w:sz w:val="22"/>
          <w:szCs w:val="22"/>
          <w:lang w:val="pl-PL"/>
        </w:rPr>
        <w:t xml:space="preserve">a </w:t>
      </w:r>
      <w:r w:rsidRPr="00CE2120">
        <w:rPr>
          <w:rFonts w:asciiTheme="minorHAnsi" w:hAnsiTheme="minorHAnsi"/>
          <w:sz w:val="22"/>
          <w:szCs w:val="22"/>
          <w:lang w:val="pl-PL"/>
        </w:rPr>
        <w:t xml:space="preserve">sędziowie nigdy </w:t>
      </w:r>
      <w:r>
        <w:rPr>
          <w:rFonts w:asciiTheme="minorHAnsi" w:hAnsiTheme="minorHAnsi"/>
          <w:sz w:val="22"/>
          <w:szCs w:val="22"/>
          <w:lang w:val="pl-PL"/>
        </w:rPr>
        <w:t xml:space="preserve">się ich </w:t>
      </w:r>
      <w:r w:rsidRPr="00CE2120">
        <w:rPr>
          <w:rFonts w:asciiTheme="minorHAnsi" w:hAnsiTheme="minorHAnsi"/>
          <w:sz w:val="22"/>
          <w:szCs w:val="22"/>
          <w:lang w:val="pl-PL"/>
        </w:rPr>
        <w:t>nie domagali</w:t>
      </w:r>
      <w:r w:rsidR="00D66F1F">
        <w:rPr>
          <w:rFonts w:asciiTheme="minorHAnsi" w:hAnsiTheme="minorHAnsi"/>
          <w:sz w:val="22"/>
          <w:szCs w:val="22"/>
          <w:lang w:val="pl-PL"/>
        </w:rPr>
        <w:t>.</w:t>
      </w:r>
      <w:r w:rsidRPr="00CE2120">
        <w:rPr>
          <w:rFonts w:asciiTheme="minorHAnsi" w:hAnsiTheme="minorHAnsi"/>
          <w:sz w:val="22"/>
          <w:szCs w:val="22"/>
          <w:lang w:val="pl-PL"/>
        </w:rPr>
        <w:t xml:space="preserve"> </w:t>
      </w:r>
      <w:r w:rsidR="00D66F1F">
        <w:rPr>
          <w:rFonts w:asciiTheme="minorHAnsi" w:hAnsiTheme="minorHAnsi"/>
          <w:sz w:val="22"/>
          <w:szCs w:val="22"/>
          <w:lang w:val="pl-PL"/>
        </w:rPr>
        <w:t>S</w:t>
      </w:r>
      <w:r w:rsidRPr="00CE2120">
        <w:rPr>
          <w:rFonts w:asciiTheme="minorHAnsi" w:hAnsiTheme="minorHAnsi"/>
          <w:sz w:val="22"/>
          <w:szCs w:val="22"/>
          <w:lang w:val="pl-PL"/>
        </w:rPr>
        <w:t xml:space="preserve">am fakt powołania się na </w:t>
      </w:r>
      <w:r w:rsidRPr="00CE2120">
        <w:rPr>
          <w:rFonts w:asciiTheme="minorHAnsi" w:hAnsiTheme="minorHAnsi"/>
          <w:sz w:val="22"/>
          <w:szCs w:val="22"/>
          <w:lang w:val="pl-PL"/>
        </w:rPr>
        <w:lastRenderedPageBreak/>
        <w:t xml:space="preserve">istnienie informacji nt. przestępstwa lub działań zagrażających bezpieczeństwu państwa </w:t>
      </w:r>
      <w:r>
        <w:rPr>
          <w:rFonts w:asciiTheme="minorHAnsi" w:hAnsiTheme="minorHAnsi"/>
          <w:sz w:val="22"/>
          <w:szCs w:val="22"/>
          <w:lang w:val="pl-PL"/>
        </w:rPr>
        <w:t xml:space="preserve">był </w:t>
      </w:r>
      <w:r w:rsidRPr="00CE2120">
        <w:rPr>
          <w:rFonts w:asciiTheme="minorHAnsi" w:hAnsiTheme="minorHAnsi"/>
          <w:sz w:val="22"/>
          <w:szCs w:val="22"/>
          <w:lang w:val="pl-PL"/>
        </w:rPr>
        <w:t xml:space="preserve">przez sądy uznawany za wystarczający. W opinii Trybunału </w:t>
      </w:r>
      <w:r>
        <w:rPr>
          <w:rFonts w:asciiTheme="minorHAnsi" w:hAnsiTheme="minorHAnsi"/>
          <w:sz w:val="22"/>
          <w:szCs w:val="22"/>
          <w:lang w:val="pl-PL"/>
        </w:rPr>
        <w:t>w swej codziennej praktyce sądy nie weryfikują</w:t>
      </w:r>
      <w:r w:rsidRPr="00CE2120">
        <w:rPr>
          <w:rFonts w:asciiTheme="minorHAnsi" w:hAnsiTheme="minorHAnsi"/>
          <w:sz w:val="22"/>
          <w:szCs w:val="22"/>
          <w:lang w:val="pl-PL"/>
        </w:rPr>
        <w:t>, czy istnieje rozsądne podejrzenie wobec osoby ani nie stosuj</w:t>
      </w:r>
      <w:r>
        <w:rPr>
          <w:rFonts w:asciiTheme="minorHAnsi" w:hAnsiTheme="minorHAnsi"/>
          <w:sz w:val="22"/>
          <w:szCs w:val="22"/>
          <w:lang w:val="pl-PL"/>
        </w:rPr>
        <w:t>ą</w:t>
      </w:r>
      <w:r w:rsidRPr="00CE2120">
        <w:rPr>
          <w:rFonts w:asciiTheme="minorHAnsi" w:hAnsiTheme="minorHAnsi"/>
          <w:sz w:val="22"/>
          <w:szCs w:val="22"/>
          <w:lang w:val="pl-PL"/>
        </w:rPr>
        <w:t xml:space="preserve"> testu konieczności i proporcjonalności.</w:t>
      </w:r>
      <w:r w:rsidRPr="00B908BF">
        <w:rPr>
          <w:rFonts w:asciiTheme="minorHAnsi" w:hAnsiTheme="minorHAnsi"/>
          <w:sz w:val="22"/>
          <w:szCs w:val="22"/>
          <w:lang w:val="pl-PL"/>
        </w:rPr>
        <w:t xml:space="preserve"> </w:t>
      </w:r>
      <w:r>
        <w:rPr>
          <w:rFonts w:asciiTheme="minorHAnsi" w:hAnsiTheme="minorHAnsi"/>
          <w:sz w:val="22"/>
          <w:szCs w:val="22"/>
          <w:lang w:val="pl-PL"/>
        </w:rPr>
        <w:t>Ponadto z uwagi na brak precyzji prawa s</w:t>
      </w:r>
      <w:r w:rsidRPr="00CE2120">
        <w:rPr>
          <w:rFonts w:asciiTheme="minorHAnsi" w:hAnsiTheme="minorHAnsi"/>
          <w:sz w:val="22"/>
          <w:szCs w:val="22"/>
          <w:lang w:val="pl-PL"/>
        </w:rPr>
        <w:t>ądy niekiedy upoważniały do przechwytywania wszystkich połączeń telefonicznych na terenie, gdzie popełniono przestępstwo bez wymienienia określonej osoby lub numeru telefonu</w:t>
      </w:r>
      <w:r>
        <w:rPr>
          <w:rFonts w:asciiTheme="minorHAnsi" w:hAnsiTheme="minorHAnsi"/>
          <w:sz w:val="22"/>
          <w:szCs w:val="22"/>
          <w:lang w:val="pl-PL"/>
        </w:rPr>
        <w:t xml:space="preserve">, lub wydawały zgodę bez precyzowania, </w:t>
      </w:r>
      <w:r w:rsidRPr="00CE2120">
        <w:rPr>
          <w:rFonts w:asciiTheme="minorHAnsi" w:hAnsiTheme="minorHAnsi"/>
          <w:sz w:val="22"/>
          <w:szCs w:val="22"/>
          <w:lang w:val="pl-PL"/>
        </w:rPr>
        <w:t xml:space="preserve">na jak długi czas </w:t>
      </w:r>
      <w:r>
        <w:rPr>
          <w:rFonts w:asciiTheme="minorHAnsi" w:hAnsiTheme="minorHAnsi"/>
          <w:sz w:val="22"/>
          <w:szCs w:val="22"/>
          <w:lang w:val="pl-PL"/>
        </w:rPr>
        <w:t>była wydana</w:t>
      </w:r>
      <w:r w:rsidRPr="00CE2120">
        <w:rPr>
          <w:rFonts w:asciiTheme="minorHAnsi" w:hAnsiTheme="minorHAnsi"/>
          <w:sz w:val="22"/>
          <w:szCs w:val="22"/>
          <w:lang w:val="pl-PL"/>
        </w:rPr>
        <w:t xml:space="preserve">. </w:t>
      </w:r>
    </w:p>
    <w:p w:rsidR="00BE0C4E" w:rsidRPr="00CE2120"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Ponadto</w:t>
      </w:r>
      <w:r>
        <w:rPr>
          <w:rFonts w:asciiTheme="minorHAnsi" w:hAnsiTheme="minorHAnsi"/>
          <w:sz w:val="22"/>
          <w:szCs w:val="22"/>
          <w:lang w:val="pl-PL"/>
        </w:rPr>
        <w:t>, poza procedurą karną,</w:t>
      </w:r>
      <w:r w:rsidRPr="00CE2120">
        <w:rPr>
          <w:rFonts w:asciiTheme="minorHAnsi" w:hAnsiTheme="minorHAnsi"/>
          <w:sz w:val="22"/>
          <w:szCs w:val="22"/>
          <w:lang w:val="pl-PL"/>
        </w:rPr>
        <w:t xml:space="preserve"> </w:t>
      </w:r>
      <w:r>
        <w:rPr>
          <w:rFonts w:asciiTheme="minorHAnsi" w:hAnsiTheme="minorHAnsi"/>
          <w:sz w:val="22"/>
          <w:szCs w:val="22"/>
          <w:lang w:val="pl-PL"/>
        </w:rPr>
        <w:t>p</w:t>
      </w:r>
      <w:r w:rsidRPr="00CE2120">
        <w:rPr>
          <w:rFonts w:asciiTheme="minorHAnsi" w:hAnsiTheme="minorHAnsi"/>
          <w:sz w:val="22"/>
          <w:szCs w:val="22"/>
          <w:lang w:val="pl-PL"/>
        </w:rPr>
        <w:t xml:space="preserve">rawo nie ograniczało zastosowania </w:t>
      </w:r>
      <w:r>
        <w:rPr>
          <w:rFonts w:asciiTheme="minorHAnsi" w:hAnsiTheme="minorHAnsi"/>
          <w:sz w:val="22"/>
          <w:szCs w:val="22"/>
          <w:lang w:val="pl-PL"/>
        </w:rPr>
        <w:t xml:space="preserve">procedury pilnej (kontrola rozmów do 48 godzin przed uzyskaniem zgody sądu) </w:t>
      </w:r>
      <w:r w:rsidRPr="00CE2120">
        <w:rPr>
          <w:rFonts w:asciiTheme="minorHAnsi" w:hAnsiTheme="minorHAnsi"/>
          <w:sz w:val="22"/>
          <w:szCs w:val="22"/>
          <w:lang w:val="pl-PL"/>
        </w:rPr>
        <w:t xml:space="preserve">do spraw obejmujących bezpośrednie i poważne zagrożenie, dając w ten sposób władzom nieograniczoną uznaniowość w określeniu, do jakich sytuacji mogła być stosowana. Ponadto, choć prawo krajowe wymagało niezwłocznego powiadomienia sędziego o każdym przypadku zastosowania </w:t>
      </w:r>
      <w:r>
        <w:rPr>
          <w:rFonts w:asciiTheme="minorHAnsi" w:hAnsiTheme="minorHAnsi"/>
          <w:sz w:val="22"/>
          <w:szCs w:val="22"/>
          <w:lang w:val="pl-PL"/>
        </w:rPr>
        <w:t>środków w trybie pilnym</w:t>
      </w:r>
      <w:r w:rsidRPr="00CE2120">
        <w:rPr>
          <w:rFonts w:asciiTheme="minorHAnsi" w:hAnsiTheme="minorHAnsi"/>
          <w:sz w:val="22"/>
          <w:szCs w:val="22"/>
          <w:lang w:val="pl-PL"/>
        </w:rPr>
        <w:t xml:space="preserve">, uprawnienia sędziego były ograniczone jedynie do przedłużenia </w:t>
      </w:r>
      <w:r>
        <w:rPr>
          <w:rFonts w:asciiTheme="minorHAnsi" w:hAnsiTheme="minorHAnsi"/>
          <w:sz w:val="22"/>
          <w:szCs w:val="22"/>
          <w:lang w:val="pl-PL"/>
        </w:rPr>
        <w:t xml:space="preserve">ich </w:t>
      </w:r>
      <w:r w:rsidRPr="00CE2120">
        <w:rPr>
          <w:rFonts w:asciiTheme="minorHAnsi" w:hAnsiTheme="minorHAnsi"/>
          <w:sz w:val="22"/>
          <w:szCs w:val="22"/>
          <w:lang w:val="pl-PL"/>
        </w:rPr>
        <w:t xml:space="preserve">stosowania poza 48 godzin, a nie do oceny zasadności już zastosowanych środków oraz podjęcia decyzji ws. ewentualnego zniszczenia uzyskanych danych. </w:t>
      </w:r>
      <w:r>
        <w:rPr>
          <w:rFonts w:asciiTheme="minorHAnsi" w:hAnsiTheme="minorHAnsi"/>
          <w:sz w:val="22"/>
          <w:szCs w:val="22"/>
          <w:lang w:val="pl-PL"/>
        </w:rPr>
        <w:t xml:space="preserve"> </w:t>
      </w:r>
    </w:p>
    <w:p w:rsidR="00BE0C4E" w:rsidRPr="00CE2120" w:rsidRDefault="00BE0C4E" w:rsidP="00BE0C4E">
      <w:pPr>
        <w:pStyle w:val="ClinContent"/>
        <w:spacing w:before="0" w:after="120"/>
        <w:rPr>
          <w:rFonts w:asciiTheme="minorHAnsi" w:hAnsiTheme="minorHAnsi"/>
          <w:sz w:val="22"/>
          <w:szCs w:val="22"/>
          <w:lang w:val="pl-PL"/>
        </w:rPr>
      </w:pPr>
      <w:r>
        <w:rPr>
          <w:rFonts w:asciiTheme="minorHAnsi" w:hAnsiTheme="minorHAnsi"/>
          <w:sz w:val="22"/>
          <w:szCs w:val="22"/>
          <w:lang w:val="pl-PL"/>
        </w:rPr>
        <w:t>O</w:t>
      </w:r>
      <w:r w:rsidRPr="00CE2120">
        <w:rPr>
          <w:rFonts w:asciiTheme="minorHAnsi" w:hAnsiTheme="minorHAnsi"/>
          <w:sz w:val="22"/>
          <w:szCs w:val="22"/>
          <w:lang w:val="pl-PL"/>
        </w:rPr>
        <w:t xml:space="preserve">rgany nie były zobowiązane </w:t>
      </w:r>
      <w:r>
        <w:rPr>
          <w:rFonts w:asciiTheme="minorHAnsi" w:hAnsiTheme="minorHAnsi"/>
          <w:sz w:val="22"/>
          <w:szCs w:val="22"/>
          <w:lang w:val="pl-PL"/>
        </w:rPr>
        <w:t xml:space="preserve">przez prawo </w:t>
      </w:r>
      <w:r w:rsidRPr="00CE2120">
        <w:rPr>
          <w:rFonts w:asciiTheme="minorHAnsi" w:hAnsiTheme="minorHAnsi"/>
          <w:sz w:val="22"/>
          <w:szCs w:val="22"/>
          <w:lang w:val="pl-PL"/>
        </w:rPr>
        <w:t xml:space="preserve">do przedstawienia </w:t>
      </w:r>
      <w:r w:rsidR="003A379D" w:rsidRPr="00CE2120">
        <w:rPr>
          <w:rFonts w:asciiTheme="minorHAnsi" w:hAnsiTheme="minorHAnsi"/>
          <w:sz w:val="22"/>
          <w:szCs w:val="22"/>
          <w:lang w:val="pl-PL"/>
        </w:rPr>
        <w:t xml:space="preserve">upoważnienia sądowego </w:t>
      </w:r>
      <w:r w:rsidRPr="00CE2120">
        <w:rPr>
          <w:rFonts w:asciiTheme="minorHAnsi" w:hAnsiTheme="minorHAnsi"/>
          <w:sz w:val="22"/>
          <w:szCs w:val="22"/>
          <w:lang w:val="pl-PL"/>
        </w:rPr>
        <w:t xml:space="preserve">(przed uzyskaniem dostępu do połączeń) podmiotowi świadczącemu usługi komunikacyjne, natomiast podmioty te były zobowiązane do zainstalowania urządzenia dającego dostęp władzom do wszystkich połączeń telefonii komórkowej użytkownika. System był więc szczególnie podatny na nadużycia. </w:t>
      </w:r>
    </w:p>
    <w:p w:rsidR="00BE0C4E" w:rsidRDefault="00BE0C4E" w:rsidP="00BE0C4E">
      <w:pPr>
        <w:pStyle w:val="ClinContent"/>
        <w:numPr>
          <w:ilvl w:val="0"/>
          <w:numId w:val="26"/>
        </w:numPr>
        <w:spacing w:before="0" w:after="120"/>
        <w:rPr>
          <w:rFonts w:asciiTheme="minorHAnsi" w:hAnsiTheme="minorHAnsi"/>
          <w:b/>
          <w:sz w:val="22"/>
          <w:szCs w:val="22"/>
          <w:lang w:val="pl-PL"/>
        </w:rPr>
      </w:pPr>
      <w:r w:rsidRPr="00F02BA1">
        <w:rPr>
          <w:rFonts w:asciiTheme="minorHAnsi" w:hAnsiTheme="minorHAnsi"/>
          <w:b/>
          <w:sz w:val="22"/>
          <w:szCs w:val="22"/>
          <w:lang w:val="pl-PL"/>
        </w:rPr>
        <w:t xml:space="preserve">Nadzór nad </w:t>
      </w:r>
      <w:r>
        <w:rPr>
          <w:rFonts w:asciiTheme="minorHAnsi" w:hAnsiTheme="minorHAnsi"/>
          <w:b/>
          <w:sz w:val="22"/>
          <w:szCs w:val="22"/>
          <w:lang w:val="pl-PL"/>
        </w:rPr>
        <w:t xml:space="preserve">stosowaniem </w:t>
      </w:r>
      <w:r w:rsidRPr="00F02BA1">
        <w:rPr>
          <w:rFonts w:asciiTheme="minorHAnsi" w:hAnsiTheme="minorHAnsi"/>
          <w:b/>
          <w:sz w:val="22"/>
          <w:szCs w:val="22"/>
          <w:lang w:val="pl-PL"/>
        </w:rPr>
        <w:t xml:space="preserve">środków </w:t>
      </w:r>
      <w:r>
        <w:rPr>
          <w:rFonts w:asciiTheme="minorHAnsi" w:hAnsiTheme="minorHAnsi"/>
          <w:b/>
          <w:sz w:val="22"/>
          <w:szCs w:val="22"/>
          <w:lang w:val="pl-PL"/>
        </w:rPr>
        <w:t>tajnej kontroli</w:t>
      </w:r>
      <w:r w:rsidRPr="00F02BA1">
        <w:rPr>
          <w:rFonts w:asciiTheme="minorHAnsi" w:hAnsiTheme="minorHAnsi"/>
          <w:b/>
          <w:sz w:val="22"/>
          <w:szCs w:val="22"/>
          <w:lang w:val="pl-PL"/>
        </w:rPr>
        <w:t xml:space="preserve"> nie zapewniał gwarancji niezależności organów </w:t>
      </w:r>
      <w:r>
        <w:rPr>
          <w:rFonts w:asciiTheme="minorHAnsi" w:hAnsiTheme="minorHAnsi"/>
          <w:b/>
          <w:sz w:val="22"/>
          <w:szCs w:val="22"/>
          <w:lang w:val="pl-PL"/>
        </w:rPr>
        <w:t xml:space="preserve">nadzorczych </w:t>
      </w:r>
      <w:r w:rsidRPr="00F02BA1">
        <w:rPr>
          <w:rFonts w:asciiTheme="minorHAnsi" w:hAnsiTheme="minorHAnsi"/>
          <w:b/>
          <w:sz w:val="22"/>
          <w:szCs w:val="22"/>
          <w:lang w:val="pl-PL"/>
        </w:rPr>
        <w:t>ani ich wystarczających kompetencji i uprawnień</w:t>
      </w:r>
      <w:r>
        <w:rPr>
          <w:rFonts w:asciiTheme="minorHAnsi" w:hAnsiTheme="minorHAnsi"/>
          <w:b/>
          <w:sz w:val="22"/>
          <w:szCs w:val="22"/>
          <w:lang w:val="pl-PL"/>
        </w:rPr>
        <w:t xml:space="preserve"> umożliwiających </w:t>
      </w:r>
      <w:r w:rsidRPr="00F02BA1">
        <w:rPr>
          <w:rFonts w:asciiTheme="minorHAnsi" w:hAnsiTheme="minorHAnsi"/>
          <w:b/>
          <w:sz w:val="22"/>
          <w:szCs w:val="22"/>
          <w:lang w:val="pl-PL"/>
        </w:rPr>
        <w:t>skuteczn</w:t>
      </w:r>
      <w:r>
        <w:rPr>
          <w:rFonts w:asciiTheme="minorHAnsi" w:hAnsiTheme="minorHAnsi"/>
          <w:b/>
          <w:sz w:val="22"/>
          <w:szCs w:val="22"/>
          <w:lang w:val="pl-PL"/>
        </w:rPr>
        <w:t>y i ciągły</w:t>
      </w:r>
      <w:r w:rsidRPr="00F02BA1">
        <w:rPr>
          <w:rFonts w:asciiTheme="minorHAnsi" w:hAnsiTheme="minorHAnsi"/>
          <w:b/>
          <w:sz w:val="22"/>
          <w:szCs w:val="22"/>
          <w:lang w:val="pl-PL"/>
        </w:rPr>
        <w:t xml:space="preserve"> </w:t>
      </w:r>
      <w:r>
        <w:rPr>
          <w:rFonts w:asciiTheme="minorHAnsi" w:hAnsiTheme="minorHAnsi"/>
          <w:b/>
          <w:sz w:val="22"/>
          <w:szCs w:val="22"/>
          <w:lang w:val="pl-PL"/>
        </w:rPr>
        <w:t>nadzór</w:t>
      </w:r>
      <w:r w:rsidRPr="00F02BA1">
        <w:rPr>
          <w:rFonts w:asciiTheme="minorHAnsi" w:hAnsiTheme="minorHAnsi"/>
          <w:b/>
          <w:sz w:val="22"/>
          <w:szCs w:val="22"/>
          <w:lang w:val="pl-PL"/>
        </w:rPr>
        <w:t xml:space="preserve"> nad tymi środkami, ani też stosownej jawności</w:t>
      </w:r>
      <w:r w:rsidR="00F33E98">
        <w:rPr>
          <w:rFonts w:asciiTheme="minorHAnsi" w:hAnsiTheme="minorHAnsi"/>
          <w:b/>
          <w:sz w:val="22"/>
          <w:szCs w:val="22"/>
          <w:lang w:val="pl-PL"/>
        </w:rPr>
        <w:t xml:space="preserve"> nadzoru</w:t>
      </w:r>
      <w:r w:rsidRPr="00F02BA1">
        <w:rPr>
          <w:rFonts w:asciiTheme="minorHAnsi" w:hAnsiTheme="minorHAnsi"/>
          <w:b/>
          <w:sz w:val="22"/>
          <w:szCs w:val="22"/>
          <w:lang w:val="pl-PL"/>
        </w:rPr>
        <w:t>.</w:t>
      </w:r>
      <w:r w:rsidRPr="003B709A">
        <w:rPr>
          <w:rFonts w:asciiTheme="minorHAnsi" w:hAnsiTheme="minorHAnsi"/>
          <w:b/>
          <w:sz w:val="22"/>
          <w:szCs w:val="22"/>
          <w:lang w:val="pl-PL"/>
        </w:rPr>
        <w:t xml:space="preserve"> </w:t>
      </w:r>
    </w:p>
    <w:p w:rsidR="00BE0C4E" w:rsidRPr="00CE2120" w:rsidRDefault="00BE0C4E" w:rsidP="00BE0C4E">
      <w:pPr>
        <w:pStyle w:val="ClinContent"/>
        <w:spacing w:before="0" w:after="120"/>
        <w:rPr>
          <w:rFonts w:asciiTheme="minorHAnsi" w:hAnsiTheme="minorHAnsi"/>
          <w:sz w:val="22"/>
          <w:szCs w:val="22"/>
          <w:lang w:val="pl-PL"/>
        </w:rPr>
      </w:pPr>
      <w:r>
        <w:rPr>
          <w:rFonts w:asciiTheme="minorHAnsi" w:hAnsiTheme="minorHAnsi"/>
          <w:sz w:val="22"/>
          <w:szCs w:val="22"/>
          <w:lang w:val="pl-PL"/>
        </w:rPr>
        <w:t>Trybunał podkreślił, że c</w:t>
      </w:r>
      <w:r w:rsidRPr="00CE2120">
        <w:rPr>
          <w:rFonts w:asciiTheme="minorHAnsi" w:hAnsiTheme="minorHAnsi"/>
          <w:sz w:val="22"/>
          <w:szCs w:val="22"/>
          <w:lang w:val="pl-PL"/>
        </w:rPr>
        <w:t xml:space="preserve">o do zasady pożądane jest przyznanie uprawnień nadzorczych sądom, jednakże w grę wchodzić mogą też inne organy pod warunkiem posiadania niezależnego </w:t>
      </w:r>
      <w:r>
        <w:rPr>
          <w:rFonts w:asciiTheme="minorHAnsi" w:hAnsiTheme="minorHAnsi"/>
          <w:sz w:val="22"/>
          <w:szCs w:val="22"/>
          <w:lang w:val="pl-PL"/>
        </w:rPr>
        <w:t xml:space="preserve">statusu </w:t>
      </w:r>
      <w:r w:rsidRPr="00CE2120">
        <w:rPr>
          <w:rFonts w:asciiTheme="minorHAnsi" w:hAnsiTheme="minorHAnsi"/>
          <w:sz w:val="22"/>
          <w:szCs w:val="22"/>
          <w:lang w:val="pl-PL"/>
        </w:rPr>
        <w:t xml:space="preserve">oraz odpowiednich uprawnień i kompetencji umożliwiających wykonywanie skutecznego i ciągłego nadzoru. Kluczowe jest, by organ nadzorczy miał dostęp do wszystkich istotnych dokumentów, w tym materiałów tajnych, a także, by wszystkie podmioty zaangażowane w proces przechwytywania połączeń miały obowiązek ujawnić wszelkie konieczne dokumenty. </w:t>
      </w:r>
      <w:r w:rsidRPr="003647B9">
        <w:rPr>
          <w:rFonts w:asciiTheme="minorHAnsi" w:hAnsiTheme="minorHAnsi"/>
          <w:sz w:val="22"/>
          <w:szCs w:val="22"/>
          <w:lang w:val="pl-PL"/>
        </w:rPr>
        <w:t xml:space="preserve">Trybunał podkreślił </w:t>
      </w:r>
      <w:r>
        <w:rPr>
          <w:rFonts w:asciiTheme="minorHAnsi" w:hAnsiTheme="minorHAnsi"/>
          <w:sz w:val="22"/>
          <w:szCs w:val="22"/>
          <w:lang w:val="pl-PL"/>
        </w:rPr>
        <w:t>też</w:t>
      </w:r>
      <w:r w:rsidR="00D66F1F">
        <w:rPr>
          <w:rFonts w:asciiTheme="minorHAnsi" w:hAnsiTheme="minorHAnsi"/>
          <w:sz w:val="22"/>
          <w:szCs w:val="22"/>
          <w:lang w:val="pl-PL"/>
        </w:rPr>
        <w:t>, że</w:t>
      </w:r>
      <w:r>
        <w:rPr>
          <w:rFonts w:asciiTheme="minorHAnsi" w:hAnsiTheme="minorHAnsi"/>
          <w:sz w:val="22"/>
          <w:szCs w:val="22"/>
          <w:lang w:val="pl-PL"/>
        </w:rPr>
        <w:t xml:space="preserve"> dla skuteczności nadzoru </w:t>
      </w:r>
      <w:r w:rsidR="00D66F1F">
        <w:rPr>
          <w:rFonts w:asciiTheme="minorHAnsi" w:hAnsiTheme="minorHAnsi"/>
          <w:sz w:val="22"/>
          <w:szCs w:val="22"/>
          <w:lang w:val="pl-PL"/>
        </w:rPr>
        <w:t>znaczenie ma też rejestrowanie</w:t>
      </w:r>
      <w:r>
        <w:rPr>
          <w:rFonts w:asciiTheme="minorHAnsi" w:hAnsiTheme="minorHAnsi"/>
          <w:sz w:val="22"/>
          <w:szCs w:val="22"/>
          <w:lang w:val="pl-PL"/>
        </w:rPr>
        <w:t xml:space="preserve"> </w:t>
      </w:r>
      <w:r w:rsidRPr="00CE2120">
        <w:rPr>
          <w:rFonts w:asciiTheme="minorHAnsi" w:hAnsiTheme="minorHAnsi"/>
          <w:sz w:val="22"/>
          <w:szCs w:val="22"/>
          <w:lang w:val="pl-PL"/>
        </w:rPr>
        <w:t xml:space="preserve">przypadków </w:t>
      </w:r>
      <w:r>
        <w:rPr>
          <w:rFonts w:asciiTheme="minorHAnsi" w:hAnsiTheme="minorHAnsi"/>
          <w:sz w:val="22"/>
          <w:szCs w:val="22"/>
          <w:lang w:val="pl-PL"/>
        </w:rPr>
        <w:t>stosowania środków kontroli połączeń.</w:t>
      </w:r>
      <w:r w:rsidRPr="00CE2120">
        <w:rPr>
          <w:rFonts w:asciiTheme="minorHAnsi" w:hAnsiTheme="minorHAnsi"/>
          <w:sz w:val="22"/>
          <w:szCs w:val="22"/>
          <w:lang w:val="pl-PL"/>
        </w:rPr>
        <w:t xml:space="preserve"> Istot</w:t>
      </w:r>
      <w:r>
        <w:rPr>
          <w:rFonts w:asciiTheme="minorHAnsi" w:hAnsiTheme="minorHAnsi"/>
          <w:sz w:val="22"/>
          <w:szCs w:val="22"/>
          <w:lang w:val="pl-PL"/>
        </w:rPr>
        <w:t>ny jest także zakres uprawnień</w:t>
      </w:r>
      <w:r w:rsidRPr="00CE2120">
        <w:rPr>
          <w:rFonts w:asciiTheme="minorHAnsi" w:hAnsiTheme="minorHAnsi"/>
          <w:sz w:val="22"/>
          <w:szCs w:val="22"/>
          <w:lang w:val="pl-PL"/>
        </w:rPr>
        <w:t xml:space="preserve"> organu nadzorczego w </w:t>
      </w:r>
      <w:r>
        <w:rPr>
          <w:rFonts w:asciiTheme="minorHAnsi" w:hAnsiTheme="minorHAnsi"/>
          <w:sz w:val="22"/>
          <w:szCs w:val="22"/>
          <w:lang w:val="pl-PL"/>
        </w:rPr>
        <w:t xml:space="preserve">przypadku stwierdzenia naruszeń prawa. Ważne jest także, by </w:t>
      </w:r>
      <w:r w:rsidRPr="00CE2120">
        <w:rPr>
          <w:rFonts w:asciiTheme="minorHAnsi" w:hAnsiTheme="minorHAnsi"/>
          <w:sz w:val="22"/>
          <w:szCs w:val="22"/>
          <w:lang w:val="pl-PL"/>
        </w:rPr>
        <w:t xml:space="preserve">działania organów nadzorczych </w:t>
      </w:r>
      <w:r>
        <w:rPr>
          <w:rFonts w:asciiTheme="minorHAnsi" w:hAnsiTheme="minorHAnsi"/>
          <w:sz w:val="22"/>
          <w:szCs w:val="22"/>
          <w:lang w:val="pl-PL"/>
        </w:rPr>
        <w:t xml:space="preserve">były </w:t>
      </w:r>
      <w:r w:rsidRPr="00CE2120">
        <w:rPr>
          <w:rFonts w:asciiTheme="minorHAnsi" w:hAnsiTheme="minorHAnsi"/>
          <w:sz w:val="22"/>
          <w:szCs w:val="22"/>
          <w:lang w:val="pl-PL"/>
        </w:rPr>
        <w:t>jawne dla społeczeństwa</w:t>
      </w:r>
      <w:r>
        <w:rPr>
          <w:rFonts w:asciiTheme="minorHAnsi" w:hAnsiTheme="minorHAnsi"/>
          <w:sz w:val="22"/>
          <w:szCs w:val="22"/>
          <w:lang w:val="pl-PL"/>
        </w:rPr>
        <w:t xml:space="preserve"> (np.</w:t>
      </w:r>
      <w:r w:rsidR="00D66F1F">
        <w:rPr>
          <w:rFonts w:asciiTheme="minorHAnsi" w:hAnsiTheme="minorHAnsi"/>
          <w:sz w:val="22"/>
          <w:szCs w:val="22"/>
          <w:lang w:val="pl-PL"/>
        </w:rPr>
        <w:t xml:space="preserve"> by</w:t>
      </w:r>
      <w:r>
        <w:rPr>
          <w:rFonts w:asciiTheme="minorHAnsi" w:hAnsiTheme="minorHAnsi"/>
          <w:sz w:val="22"/>
          <w:szCs w:val="22"/>
          <w:lang w:val="pl-PL"/>
        </w:rPr>
        <w:t xml:space="preserve"> </w:t>
      </w:r>
      <w:r w:rsidRPr="00CE2120">
        <w:rPr>
          <w:rFonts w:asciiTheme="minorHAnsi" w:hAnsiTheme="minorHAnsi"/>
          <w:sz w:val="22"/>
          <w:szCs w:val="22"/>
          <w:lang w:val="pl-PL"/>
        </w:rPr>
        <w:t xml:space="preserve">raporty z ich działalności </w:t>
      </w:r>
      <w:r w:rsidR="00D66F1F">
        <w:rPr>
          <w:rFonts w:asciiTheme="minorHAnsi" w:hAnsiTheme="minorHAnsi"/>
          <w:sz w:val="22"/>
          <w:szCs w:val="22"/>
          <w:lang w:val="pl-PL"/>
        </w:rPr>
        <w:t>przedkładano</w:t>
      </w:r>
      <w:r w:rsidRPr="00CE2120">
        <w:rPr>
          <w:rFonts w:asciiTheme="minorHAnsi" w:hAnsiTheme="minorHAnsi"/>
          <w:sz w:val="22"/>
          <w:szCs w:val="22"/>
          <w:lang w:val="pl-PL"/>
        </w:rPr>
        <w:t xml:space="preserve"> niez</w:t>
      </w:r>
      <w:r w:rsidR="00D66F1F">
        <w:rPr>
          <w:rFonts w:asciiTheme="minorHAnsi" w:hAnsiTheme="minorHAnsi"/>
          <w:sz w:val="22"/>
          <w:szCs w:val="22"/>
          <w:lang w:val="pl-PL"/>
        </w:rPr>
        <w:t>ależnym organom lub udostępniano</w:t>
      </w:r>
      <w:r w:rsidRPr="00CE2120">
        <w:rPr>
          <w:rFonts w:asciiTheme="minorHAnsi" w:hAnsiTheme="minorHAnsi"/>
          <w:sz w:val="22"/>
          <w:szCs w:val="22"/>
          <w:lang w:val="pl-PL"/>
        </w:rPr>
        <w:t xml:space="preserve"> publicznie</w:t>
      </w:r>
      <w:r>
        <w:rPr>
          <w:rFonts w:asciiTheme="minorHAnsi" w:hAnsiTheme="minorHAnsi"/>
          <w:sz w:val="22"/>
          <w:szCs w:val="22"/>
          <w:lang w:val="pl-PL"/>
        </w:rPr>
        <w:t>)</w:t>
      </w:r>
      <w:r w:rsidRPr="00CE2120">
        <w:rPr>
          <w:rFonts w:asciiTheme="minorHAnsi" w:hAnsiTheme="minorHAnsi"/>
          <w:sz w:val="22"/>
          <w:szCs w:val="22"/>
          <w:lang w:val="pl-PL"/>
        </w:rPr>
        <w:t xml:space="preserve">.  </w:t>
      </w:r>
    </w:p>
    <w:p w:rsidR="00BE0C4E" w:rsidRPr="00CE2120" w:rsidRDefault="00BE0C4E" w:rsidP="00BE0C4E">
      <w:pPr>
        <w:pStyle w:val="ClinContent"/>
        <w:spacing w:before="0" w:after="120"/>
        <w:rPr>
          <w:rFonts w:asciiTheme="minorHAnsi" w:hAnsiTheme="minorHAnsi"/>
          <w:sz w:val="22"/>
          <w:szCs w:val="22"/>
          <w:lang w:val="pl-PL"/>
        </w:rPr>
      </w:pPr>
      <w:r>
        <w:rPr>
          <w:rFonts w:asciiTheme="minorHAnsi" w:hAnsiTheme="minorHAnsi"/>
          <w:sz w:val="22"/>
          <w:szCs w:val="22"/>
          <w:lang w:val="pl-PL"/>
        </w:rPr>
        <w:t>W obecnej sprawie miał zastosowanie z</w:t>
      </w:r>
      <w:r w:rsidRPr="00EE01F1">
        <w:rPr>
          <w:rFonts w:asciiTheme="minorHAnsi" w:hAnsiTheme="minorHAnsi"/>
          <w:sz w:val="22"/>
          <w:szCs w:val="22"/>
          <w:lang w:val="pl-PL"/>
        </w:rPr>
        <w:t xml:space="preserve">akaz </w:t>
      </w:r>
      <w:r w:rsidRPr="00CE2120">
        <w:rPr>
          <w:rFonts w:asciiTheme="minorHAnsi" w:hAnsiTheme="minorHAnsi"/>
          <w:sz w:val="22"/>
          <w:szCs w:val="22"/>
          <w:lang w:val="pl-PL"/>
        </w:rPr>
        <w:t xml:space="preserve">zapisywania lub rejestrowania przechwyceń </w:t>
      </w:r>
      <w:r>
        <w:rPr>
          <w:rFonts w:asciiTheme="minorHAnsi" w:hAnsiTheme="minorHAnsi"/>
          <w:sz w:val="22"/>
          <w:szCs w:val="22"/>
          <w:lang w:val="pl-PL"/>
        </w:rPr>
        <w:t xml:space="preserve">połączeń </w:t>
      </w:r>
      <w:r w:rsidRPr="00CE2120">
        <w:rPr>
          <w:rFonts w:asciiTheme="minorHAnsi" w:hAnsiTheme="minorHAnsi"/>
          <w:sz w:val="22"/>
          <w:szCs w:val="22"/>
          <w:lang w:val="pl-PL"/>
        </w:rPr>
        <w:t xml:space="preserve">przez instalowane urządzenia, </w:t>
      </w:r>
      <w:r>
        <w:rPr>
          <w:rFonts w:asciiTheme="minorHAnsi" w:hAnsiTheme="minorHAnsi"/>
          <w:sz w:val="22"/>
          <w:szCs w:val="22"/>
          <w:lang w:val="pl-PL"/>
        </w:rPr>
        <w:t xml:space="preserve">co </w:t>
      </w:r>
      <w:r w:rsidRPr="00CE2120">
        <w:rPr>
          <w:rFonts w:asciiTheme="minorHAnsi" w:hAnsiTheme="minorHAnsi"/>
          <w:sz w:val="22"/>
          <w:szCs w:val="22"/>
          <w:lang w:val="pl-PL"/>
        </w:rPr>
        <w:t>uniemożliwiał</w:t>
      </w:r>
      <w:r>
        <w:rPr>
          <w:rFonts w:asciiTheme="minorHAnsi" w:hAnsiTheme="minorHAnsi"/>
          <w:sz w:val="22"/>
          <w:szCs w:val="22"/>
          <w:lang w:val="pl-PL"/>
        </w:rPr>
        <w:t>o</w:t>
      </w:r>
      <w:r w:rsidRPr="00CE2120">
        <w:rPr>
          <w:rFonts w:asciiTheme="minorHAnsi" w:hAnsiTheme="minorHAnsi"/>
          <w:sz w:val="22"/>
          <w:szCs w:val="22"/>
          <w:lang w:val="pl-PL"/>
        </w:rPr>
        <w:t xml:space="preserve"> organowi nadzorczemu wykrycie </w:t>
      </w:r>
      <w:r>
        <w:rPr>
          <w:rFonts w:asciiTheme="minorHAnsi" w:hAnsiTheme="minorHAnsi"/>
          <w:sz w:val="22"/>
          <w:szCs w:val="22"/>
          <w:lang w:val="pl-PL"/>
        </w:rPr>
        <w:t xml:space="preserve">przypadków prowadzenia </w:t>
      </w:r>
      <w:r w:rsidR="00FA657C">
        <w:rPr>
          <w:rFonts w:asciiTheme="minorHAnsi" w:hAnsiTheme="minorHAnsi"/>
          <w:sz w:val="22"/>
          <w:szCs w:val="22"/>
          <w:lang w:val="pl-PL"/>
        </w:rPr>
        <w:t xml:space="preserve">kontroli połączeń </w:t>
      </w:r>
      <w:r>
        <w:rPr>
          <w:rFonts w:asciiTheme="minorHAnsi" w:hAnsiTheme="minorHAnsi"/>
          <w:sz w:val="22"/>
          <w:szCs w:val="22"/>
          <w:lang w:val="pl-PL"/>
        </w:rPr>
        <w:t xml:space="preserve">bez zgody </w:t>
      </w:r>
      <w:r w:rsidRPr="00CE2120">
        <w:rPr>
          <w:rFonts w:asciiTheme="minorHAnsi" w:hAnsiTheme="minorHAnsi"/>
          <w:sz w:val="22"/>
          <w:szCs w:val="22"/>
          <w:lang w:val="pl-PL"/>
        </w:rPr>
        <w:t xml:space="preserve">sądu. W połączeniu z techniczną zdolnością władz bezpośredniego przechwytywania połączeń, postanowienie to powodowało, że uregulowania dotyczące nadzoru nie były zdolne do zapewnienia wykrycia bezprawnych </w:t>
      </w:r>
      <w:r>
        <w:rPr>
          <w:rFonts w:asciiTheme="minorHAnsi" w:hAnsiTheme="minorHAnsi"/>
          <w:sz w:val="22"/>
          <w:szCs w:val="22"/>
          <w:lang w:val="pl-PL"/>
        </w:rPr>
        <w:t xml:space="preserve">działań.  </w:t>
      </w:r>
    </w:p>
    <w:p w:rsidR="00BE0C4E"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 xml:space="preserve">Gdy przechwytywanie połączeń prowadzono na podstawie </w:t>
      </w:r>
      <w:r>
        <w:rPr>
          <w:rFonts w:asciiTheme="minorHAnsi" w:hAnsiTheme="minorHAnsi"/>
          <w:sz w:val="22"/>
          <w:szCs w:val="22"/>
          <w:lang w:val="pl-PL"/>
        </w:rPr>
        <w:t>zgody sądu</w:t>
      </w:r>
      <w:r w:rsidRPr="00CE2120">
        <w:rPr>
          <w:rFonts w:asciiTheme="minorHAnsi" w:hAnsiTheme="minorHAnsi"/>
          <w:sz w:val="22"/>
          <w:szCs w:val="22"/>
          <w:lang w:val="pl-PL"/>
        </w:rPr>
        <w:t>, nadzór sądowy był ograniczony jedynie do początkowej fazy udzielania</w:t>
      </w:r>
      <w:r>
        <w:rPr>
          <w:rFonts w:asciiTheme="minorHAnsi" w:hAnsiTheme="minorHAnsi"/>
          <w:sz w:val="22"/>
          <w:szCs w:val="22"/>
          <w:lang w:val="pl-PL"/>
        </w:rPr>
        <w:t xml:space="preserve"> zgody</w:t>
      </w:r>
      <w:r w:rsidRPr="00CE2120">
        <w:rPr>
          <w:rFonts w:asciiTheme="minorHAnsi" w:hAnsiTheme="minorHAnsi"/>
          <w:sz w:val="22"/>
          <w:szCs w:val="22"/>
          <w:lang w:val="pl-PL"/>
        </w:rPr>
        <w:t>, ale wyłączony w odniesieniu do</w:t>
      </w:r>
      <w:r>
        <w:rPr>
          <w:rFonts w:asciiTheme="minorHAnsi" w:hAnsiTheme="minorHAnsi"/>
          <w:sz w:val="22"/>
          <w:szCs w:val="22"/>
          <w:lang w:val="pl-PL"/>
        </w:rPr>
        <w:t xml:space="preserve"> fazy stosowania tych środków</w:t>
      </w:r>
      <w:r w:rsidRPr="00CE2120">
        <w:rPr>
          <w:rFonts w:asciiTheme="minorHAnsi" w:hAnsiTheme="minorHAnsi"/>
          <w:sz w:val="22"/>
          <w:szCs w:val="22"/>
          <w:lang w:val="pl-PL"/>
        </w:rPr>
        <w:t>. Dalszy nadzór powierzony został Prez</w:t>
      </w:r>
      <w:r w:rsidR="003A379D">
        <w:rPr>
          <w:rFonts w:asciiTheme="minorHAnsi" w:hAnsiTheme="minorHAnsi"/>
          <w:sz w:val="22"/>
          <w:szCs w:val="22"/>
          <w:lang w:val="pl-PL"/>
        </w:rPr>
        <w:t>ydentowi, Parlamentowi, Rządowi i</w:t>
      </w:r>
      <w:r w:rsidRPr="00CE2120">
        <w:rPr>
          <w:rFonts w:asciiTheme="minorHAnsi" w:hAnsiTheme="minorHAnsi"/>
          <w:sz w:val="22"/>
          <w:szCs w:val="22"/>
          <w:lang w:val="pl-PL"/>
        </w:rPr>
        <w:t xml:space="preserve"> Prokuratorowi Generalnemu</w:t>
      </w:r>
      <w:r>
        <w:rPr>
          <w:rFonts w:asciiTheme="minorHAnsi" w:hAnsiTheme="minorHAnsi"/>
          <w:sz w:val="22"/>
          <w:szCs w:val="22"/>
          <w:lang w:val="pl-PL"/>
        </w:rPr>
        <w:t>,</w:t>
      </w:r>
      <w:r w:rsidRPr="00CE2120">
        <w:rPr>
          <w:rFonts w:asciiTheme="minorHAnsi" w:hAnsiTheme="minorHAnsi"/>
          <w:sz w:val="22"/>
          <w:szCs w:val="22"/>
          <w:lang w:val="pl-PL"/>
        </w:rPr>
        <w:t xml:space="preserve"> </w:t>
      </w:r>
      <w:r>
        <w:rPr>
          <w:rFonts w:asciiTheme="minorHAnsi" w:hAnsiTheme="minorHAnsi"/>
          <w:sz w:val="22"/>
          <w:szCs w:val="22"/>
          <w:lang w:val="pl-PL"/>
        </w:rPr>
        <w:t>jednakże bez uregulowania jego z</w:t>
      </w:r>
      <w:r w:rsidRPr="00CE2120">
        <w:rPr>
          <w:rFonts w:asciiTheme="minorHAnsi" w:hAnsiTheme="minorHAnsi"/>
          <w:sz w:val="22"/>
          <w:szCs w:val="22"/>
          <w:lang w:val="pl-PL"/>
        </w:rPr>
        <w:t>akres</w:t>
      </w:r>
      <w:r>
        <w:rPr>
          <w:rFonts w:asciiTheme="minorHAnsi" w:hAnsiTheme="minorHAnsi"/>
          <w:sz w:val="22"/>
          <w:szCs w:val="22"/>
          <w:lang w:val="pl-PL"/>
        </w:rPr>
        <w:t>u</w:t>
      </w:r>
      <w:r w:rsidRPr="00CE2120">
        <w:rPr>
          <w:rFonts w:asciiTheme="minorHAnsi" w:hAnsiTheme="minorHAnsi"/>
          <w:sz w:val="22"/>
          <w:szCs w:val="22"/>
          <w:lang w:val="pl-PL"/>
        </w:rPr>
        <w:t xml:space="preserve"> </w:t>
      </w:r>
      <w:r>
        <w:rPr>
          <w:rFonts w:asciiTheme="minorHAnsi" w:hAnsiTheme="minorHAnsi"/>
          <w:sz w:val="22"/>
          <w:szCs w:val="22"/>
          <w:lang w:val="pl-PL"/>
        </w:rPr>
        <w:t xml:space="preserve">i warunków. </w:t>
      </w:r>
    </w:p>
    <w:p w:rsidR="00BE0C4E" w:rsidRPr="00CE2120"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Choć prawo przewidywało</w:t>
      </w:r>
      <w:r>
        <w:rPr>
          <w:rFonts w:asciiTheme="minorHAnsi" w:hAnsiTheme="minorHAnsi"/>
          <w:sz w:val="22"/>
          <w:szCs w:val="22"/>
          <w:lang w:val="pl-PL"/>
        </w:rPr>
        <w:t xml:space="preserve"> </w:t>
      </w:r>
      <w:r w:rsidRPr="00CE2120">
        <w:rPr>
          <w:rFonts w:asciiTheme="minorHAnsi" w:hAnsiTheme="minorHAnsi"/>
          <w:sz w:val="22"/>
          <w:szCs w:val="22"/>
          <w:lang w:val="pl-PL"/>
        </w:rPr>
        <w:t>pewien nadzór ze strony prokuratorów, w praktyce nie zostały zapewnione odpowiednie i skuteczne gwarancje przeciwko nadużyciom</w:t>
      </w:r>
      <w:r>
        <w:rPr>
          <w:rFonts w:asciiTheme="minorHAnsi" w:hAnsiTheme="minorHAnsi"/>
          <w:sz w:val="22"/>
          <w:szCs w:val="22"/>
          <w:lang w:val="pl-PL"/>
        </w:rPr>
        <w:t xml:space="preserve"> z uwagi na: brak niezależnego statusu prokuratorów, połączenie uprawnienia do aprobowania</w:t>
      </w:r>
      <w:r w:rsidRPr="00CE2120">
        <w:rPr>
          <w:rFonts w:asciiTheme="minorHAnsi" w:hAnsiTheme="minorHAnsi"/>
          <w:sz w:val="22"/>
          <w:szCs w:val="22"/>
          <w:lang w:val="pl-PL"/>
        </w:rPr>
        <w:t xml:space="preserve"> wniosków organów dochodzeniowych o </w:t>
      </w:r>
      <w:r>
        <w:rPr>
          <w:rFonts w:asciiTheme="minorHAnsi" w:hAnsiTheme="minorHAnsi"/>
          <w:sz w:val="22"/>
          <w:szCs w:val="22"/>
          <w:lang w:val="pl-PL"/>
        </w:rPr>
        <w:t>za</w:t>
      </w:r>
      <w:r w:rsidRPr="00CE2120">
        <w:rPr>
          <w:rFonts w:asciiTheme="minorHAnsi" w:hAnsiTheme="minorHAnsi"/>
          <w:sz w:val="22"/>
          <w:szCs w:val="22"/>
          <w:lang w:val="pl-PL"/>
        </w:rPr>
        <w:t>stosowanie środków</w:t>
      </w:r>
      <w:r>
        <w:rPr>
          <w:rFonts w:asciiTheme="minorHAnsi" w:hAnsiTheme="minorHAnsi"/>
          <w:sz w:val="22"/>
          <w:szCs w:val="22"/>
          <w:lang w:val="pl-PL"/>
        </w:rPr>
        <w:t xml:space="preserve"> kontroli z nadzorowaniem</w:t>
      </w:r>
      <w:r w:rsidRPr="00CE2120">
        <w:rPr>
          <w:rFonts w:asciiTheme="minorHAnsi" w:hAnsiTheme="minorHAnsi"/>
          <w:sz w:val="22"/>
          <w:szCs w:val="22"/>
          <w:lang w:val="pl-PL"/>
        </w:rPr>
        <w:t xml:space="preserve"> ich </w:t>
      </w:r>
      <w:r w:rsidR="00D66F1F">
        <w:rPr>
          <w:rFonts w:asciiTheme="minorHAnsi" w:hAnsiTheme="minorHAnsi"/>
          <w:sz w:val="22"/>
          <w:szCs w:val="22"/>
          <w:lang w:val="pl-PL"/>
        </w:rPr>
        <w:t>wdrażania</w:t>
      </w:r>
      <w:r>
        <w:rPr>
          <w:rFonts w:asciiTheme="minorHAnsi" w:hAnsiTheme="minorHAnsi"/>
          <w:sz w:val="22"/>
          <w:szCs w:val="22"/>
          <w:lang w:val="pl-PL"/>
        </w:rPr>
        <w:t xml:space="preserve">, ograniczony zakres nadzoru (wyłączenie </w:t>
      </w:r>
      <w:r w:rsidRPr="00CE2120">
        <w:rPr>
          <w:rFonts w:asciiTheme="minorHAnsi" w:hAnsiTheme="minorHAnsi"/>
          <w:sz w:val="22"/>
          <w:szCs w:val="22"/>
          <w:lang w:val="pl-PL"/>
        </w:rPr>
        <w:t xml:space="preserve">informacji </w:t>
      </w:r>
      <w:r>
        <w:rPr>
          <w:rFonts w:asciiTheme="minorHAnsi" w:hAnsiTheme="minorHAnsi"/>
          <w:sz w:val="22"/>
          <w:szCs w:val="22"/>
          <w:lang w:val="pl-PL"/>
        </w:rPr>
        <w:t xml:space="preserve">dot. </w:t>
      </w:r>
      <w:r w:rsidRPr="00CE2120">
        <w:rPr>
          <w:rFonts w:asciiTheme="minorHAnsi" w:hAnsiTheme="minorHAnsi"/>
          <w:sz w:val="22"/>
          <w:szCs w:val="22"/>
          <w:lang w:val="pl-PL"/>
        </w:rPr>
        <w:t>pracy tajnych agentów i kontrwywiadu</w:t>
      </w:r>
      <w:r>
        <w:rPr>
          <w:rFonts w:asciiTheme="minorHAnsi" w:hAnsiTheme="minorHAnsi"/>
          <w:sz w:val="22"/>
          <w:szCs w:val="22"/>
          <w:lang w:val="pl-PL"/>
        </w:rPr>
        <w:t xml:space="preserve">), brak uprawnienia do nakazania </w:t>
      </w:r>
      <w:r w:rsidRPr="00CE2120">
        <w:rPr>
          <w:rFonts w:asciiTheme="minorHAnsi" w:hAnsiTheme="minorHAnsi"/>
          <w:sz w:val="22"/>
          <w:szCs w:val="22"/>
          <w:lang w:val="pl-PL"/>
        </w:rPr>
        <w:t xml:space="preserve">zniszczenia nielegalnie </w:t>
      </w:r>
      <w:r>
        <w:rPr>
          <w:rFonts w:asciiTheme="minorHAnsi" w:hAnsiTheme="minorHAnsi"/>
          <w:sz w:val="22"/>
          <w:szCs w:val="22"/>
          <w:lang w:val="pl-PL"/>
        </w:rPr>
        <w:t xml:space="preserve">uzyskanego </w:t>
      </w:r>
      <w:r w:rsidRPr="00CE2120">
        <w:rPr>
          <w:rFonts w:asciiTheme="minorHAnsi" w:hAnsiTheme="minorHAnsi"/>
          <w:sz w:val="22"/>
          <w:szCs w:val="22"/>
          <w:lang w:val="pl-PL"/>
        </w:rPr>
        <w:t>materiału</w:t>
      </w:r>
      <w:r>
        <w:rPr>
          <w:rFonts w:asciiTheme="minorHAnsi" w:hAnsiTheme="minorHAnsi"/>
          <w:sz w:val="22"/>
          <w:szCs w:val="22"/>
          <w:lang w:val="pl-PL"/>
        </w:rPr>
        <w:t xml:space="preserve">, brak nadzoru społecznego nad realizacją uprawnień nadzorczych – raporty </w:t>
      </w:r>
      <w:r w:rsidRPr="00CE2120">
        <w:rPr>
          <w:rFonts w:asciiTheme="minorHAnsi" w:hAnsiTheme="minorHAnsi"/>
          <w:sz w:val="22"/>
          <w:szCs w:val="22"/>
          <w:lang w:val="pl-PL"/>
        </w:rPr>
        <w:t xml:space="preserve">były </w:t>
      </w:r>
      <w:r>
        <w:rPr>
          <w:rFonts w:asciiTheme="minorHAnsi" w:hAnsiTheme="minorHAnsi"/>
          <w:sz w:val="22"/>
          <w:szCs w:val="22"/>
          <w:lang w:val="pl-PL"/>
        </w:rPr>
        <w:t xml:space="preserve">poufne i </w:t>
      </w:r>
      <w:r w:rsidRPr="00CE2120">
        <w:rPr>
          <w:rFonts w:asciiTheme="minorHAnsi" w:hAnsiTheme="minorHAnsi"/>
          <w:sz w:val="22"/>
          <w:szCs w:val="22"/>
          <w:lang w:val="pl-PL"/>
        </w:rPr>
        <w:t xml:space="preserve">przedkładane </w:t>
      </w:r>
      <w:r>
        <w:rPr>
          <w:rFonts w:asciiTheme="minorHAnsi" w:hAnsiTheme="minorHAnsi"/>
          <w:sz w:val="22"/>
          <w:szCs w:val="22"/>
          <w:lang w:val="pl-PL"/>
        </w:rPr>
        <w:t xml:space="preserve">w ramach ogólnych raportów jedynie Prokuratorowi Generalnemu, bez wyodrębnienia </w:t>
      </w:r>
      <w:r w:rsidRPr="00CE2120">
        <w:rPr>
          <w:rFonts w:asciiTheme="minorHAnsi" w:hAnsiTheme="minorHAnsi"/>
          <w:sz w:val="22"/>
          <w:szCs w:val="22"/>
          <w:lang w:val="pl-PL"/>
        </w:rPr>
        <w:t xml:space="preserve">informacji nt. środków </w:t>
      </w:r>
      <w:r>
        <w:rPr>
          <w:rFonts w:asciiTheme="minorHAnsi" w:hAnsiTheme="minorHAnsi"/>
          <w:sz w:val="22"/>
          <w:szCs w:val="22"/>
          <w:lang w:val="pl-PL"/>
        </w:rPr>
        <w:t>kontroli</w:t>
      </w:r>
      <w:r w:rsidRPr="00CE2120">
        <w:rPr>
          <w:rFonts w:asciiTheme="minorHAnsi" w:hAnsiTheme="minorHAnsi"/>
          <w:sz w:val="22"/>
          <w:szCs w:val="22"/>
          <w:lang w:val="pl-PL"/>
        </w:rPr>
        <w:t xml:space="preserve"> połączeń</w:t>
      </w:r>
      <w:r>
        <w:rPr>
          <w:rFonts w:asciiTheme="minorHAnsi" w:hAnsiTheme="minorHAnsi"/>
          <w:sz w:val="22"/>
          <w:szCs w:val="22"/>
          <w:lang w:val="pl-PL"/>
        </w:rPr>
        <w:t xml:space="preserve"> i z podaniem jedynie danych </w:t>
      </w:r>
      <w:r w:rsidRPr="00CE2120">
        <w:rPr>
          <w:rFonts w:asciiTheme="minorHAnsi" w:hAnsiTheme="minorHAnsi"/>
          <w:sz w:val="22"/>
          <w:szCs w:val="22"/>
          <w:lang w:val="pl-PL"/>
        </w:rPr>
        <w:t>statys</w:t>
      </w:r>
      <w:r>
        <w:rPr>
          <w:rFonts w:asciiTheme="minorHAnsi" w:hAnsiTheme="minorHAnsi"/>
          <w:sz w:val="22"/>
          <w:szCs w:val="22"/>
          <w:lang w:val="pl-PL"/>
        </w:rPr>
        <w:t>tycznych</w:t>
      </w:r>
      <w:r w:rsidRPr="00CE2120">
        <w:rPr>
          <w:rFonts w:asciiTheme="minorHAnsi" w:hAnsiTheme="minorHAnsi"/>
          <w:sz w:val="22"/>
          <w:szCs w:val="22"/>
          <w:lang w:val="pl-PL"/>
        </w:rPr>
        <w:t xml:space="preserve"> nt. liczby przeprowadzonych kontroli i liczby naruszeń. </w:t>
      </w:r>
    </w:p>
    <w:p w:rsidR="00BE0C4E" w:rsidRPr="003B709A" w:rsidRDefault="00BE0C4E" w:rsidP="00BE0C4E">
      <w:pPr>
        <w:pStyle w:val="ClinContent"/>
        <w:numPr>
          <w:ilvl w:val="0"/>
          <w:numId w:val="26"/>
        </w:numPr>
        <w:spacing w:before="0" w:after="120"/>
        <w:rPr>
          <w:rFonts w:asciiTheme="minorHAnsi" w:hAnsiTheme="minorHAnsi"/>
          <w:b/>
          <w:sz w:val="22"/>
          <w:szCs w:val="22"/>
          <w:lang w:val="pl-PL"/>
        </w:rPr>
      </w:pPr>
      <w:r w:rsidRPr="00200D12">
        <w:rPr>
          <w:rFonts w:asciiTheme="minorHAnsi" w:hAnsiTheme="minorHAnsi"/>
          <w:b/>
          <w:sz w:val="22"/>
          <w:szCs w:val="22"/>
          <w:lang w:val="pl-PL"/>
        </w:rPr>
        <w:lastRenderedPageBreak/>
        <w:t xml:space="preserve">Skuteczność środków dostępnych </w:t>
      </w:r>
      <w:r w:rsidR="00FA657C">
        <w:rPr>
          <w:rFonts w:asciiTheme="minorHAnsi" w:hAnsiTheme="minorHAnsi"/>
          <w:b/>
          <w:sz w:val="22"/>
          <w:szCs w:val="22"/>
          <w:lang w:val="pl-PL"/>
        </w:rPr>
        <w:t>dla jednostek</w:t>
      </w:r>
      <w:r w:rsidRPr="00200D12">
        <w:rPr>
          <w:rFonts w:asciiTheme="minorHAnsi" w:hAnsiTheme="minorHAnsi"/>
          <w:b/>
          <w:sz w:val="22"/>
          <w:szCs w:val="22"/>
          <w:lang w:val="pl-PL"/>
        </w:rPr>
        <w:t xml:space="preserve"> była podważona brakiem wymogu powiadomienia w jakimkolwiek terminie o doko</w:t>
      </w:r>
      <w:r w:rsidR="00FA657C">
        <w:rPr>
          <w:rFonts w:asciiTheme="minorHAnsi" w:hAnsiTheme="minorHAnsi"/>
          <w:b/>
          <w:sz w:val="22"/>
          <w:szCs w:val="22"/>
          <w:lang w:val="pl-PL"/>
        </w:rPr>
        <w:t>nanych przechwyceniach połączeń</w:t>
      </w:r>
      <w:r w:rsidRPr="00200D12">
        <w:rPr>
          <w:rFonts w:asciiTheme="minorHAnsi" w:hAnsiTheme="minorHAnsi"/>
          <w:b/>
          <w:sz w:val="22"/>
          <w:szCs w:val="22"/>
          <w:lang w:val="pl-PL"/>
        </w:rPr>
        <w:t xml:space="preserve"> </w:t>
      </w:r>
      <w:r>
        <w:rPr>
          <w:rFonts w:asciiTheme="minorHAnsi" w:hAnsiTheme="minorHAnsi"/>
          <w:b/>
          <w:sz w:val="22"/>
          <w:szCs w:val="22"/>
          <w:lang w:val="pl-PL"/>
        </w:rPr>
        <w:t>oraz</w:t>
      </w:r>
      <w:r w:rsidRPr="00200D12">
        <w:rPr>
          <w:rFonts w:asciiTheme="minorHAnsi" w:hAnsiTheme="minorHAnsi"/>
          <w:b/>
          <w:sz w:val="22"/>
          <w:szCs w:val="22"/>
          <w:lang w:val="pl-PL"/>
        </w:rPr>
        <w:t xml:space="preserve"> brakiem odpowiedniego dostępu do dokumentów dotyczących przechwyceń</w:t>
      </w:r>
      <w:r w:rsidRPr="003B709A">
        <w:rPr>
          <w:rFonts w:asciiTheme="minorHAnsi" w:hAnsiTheme="minorHAnsi"/>
          <w:b/>
          <w:sz w:val="22"/>
          <w:szCs w:val="22"/>
          <w:lang w:val="pl-PL"/>
        </w:rPr>
        <w:t xml:space="preserve">. </w:t>
      </w:r>
    </w:p>
    <w:p w:rsidR="00BE0C4E" w:rsidRPr="00CE2120" w:rsidRDefault="00BE0C4E" w:rsidP="00BE0C4E">
      <w:pPr>
        <w:pStyle w:val="ECHRPara"/>
        <w:spacing w:after="120"/>
        <w:ind w:firstLine="0"/>
        <w:rPr>
          <w:rFonts w:eastAsia="Times New Roman" w:cs="Times New Roman"/>
          <w:sz w:val="22"/>
          <w:lang w:val="pl-PL" w:eastAsia="en-GB"/>
        </w:rPr>
      </w:pPr>
      <w:r>
        <w:rPr>
          <w:sz w:val="22"/>
          <w:lang w:val="pl-PL"/>
        </w:rPr>
        <w:t>Trybunał podkreślił, że f</w:t>
      </w:r>
      <w:r w:rsidRPr="00CE2120">
        <w:rPr>
          <w:rFonts w:eastAsia="Times New Roman" w:cs="Times New Roman"/>
          <w:sz w:val="22"/>
          <w:lang w:val="pl-PL" w:eastAsia="en-GB"/>
        </w:rPr>
        <w:t>akt, że osoby zainteresowane nie otrzymują informacji nt. prowadzonej kontroli sam w sobie nie wystarcza do stwierdzenia, że kontrola „nie była konieczna w społeczeństwie demokratycznym</w:t>
      </w:r>
      <w:r>
        <w:rPr>
          <w:rFonts w:eastAsia="Times New Roman" w:cs="Times New Roman"/>
          <w:sz w:val="22"/>
          <w:lang w:val="pl-PL" w:eastAsia="en-GB"/>
        </w:rPr>
        <w:t>”, jako że</w:t>
      </w:r>
      <w:r w:rsidRPr="00CE2120">
        <w:rPr>
          <w:rFonts w:eastAsia="Times New Roman" w:cs="Times New Roman"/>
          <w:sz w:val="22"/>
          <w:lang w:val="pl-PL" w:eastAsia="en-GB"/>
        </w:rPr>
        <w:t xml:space="preserve"> to brak wiedzy nt. </w:t>
      </w:r>
      <w:r w:rsidR="00DA6A15">
        <w:rPr>
          <w:rFonts w:eastAsia="Times New Roman" w:cs="Times New Roman"/>
          <w:sz w:val="22"/>
          <w:lang w:val="pl-PL" w:eastAsia="en-GB"/>
        </w:rPr>
        <w:t xml:space="preserve">trwającej </w:t>
      </w:r>
      <w:r w:rsidRPr="00CE2120">
        <w:rPr>
          <w:rFonts w:eastAsia="Times New Roman" w:cs="Times New Roman"/>
          <w:sz w:val="22"/>
          <w:lang w:val="pl-PL" w:eastAsia="en-GB"/>
        </w:rPr>
        <w:t xml:space="preserve">kontroli zapewnia skuteczność tego typu ingerencji. Tym niemniej, gdy tylko ujawnienie informacji nt. kontroli może zostać dokonane bez szkody dla celu stosowania takiego środka po jego zakończeniu, informacja powinna być przekazana zainteresowanemu. Brak wymogu powiadomienia </w:t>
      </w:r>
      <w:r>
        <w:rPr>
          <w:rFonts w:eastAsia="Times New Roman" w:cs="Times New Roman"/>
          <w:sz w:val="22"/>
          <w:lang w:val="pl-PL" w:eastAsia="en-GB"/>
        </w:rPr>
        <w:t xml:space="preserve">jednostki </w:t>
      </w:r>
      <w:r w:rsidRPr="00CE2120">
        <w:rPr>
          <w:rFonts w:eastAsia="Times New Roman" w:cs="Times New Roman"/>
          <w:sz w:val="22"/>
          <w:lang w:val="pl-PL" w:eastAsia="en-GB"/>
        </w:rPr>
        <w:t xml:space="preserve">w jakimikolwiek czasie </w:t>
      </w:r>
      <w:r>
        <w:rPr>
          <w:rFonts w:eastAsia="Times New Roman" w:cs="Times New Roman"/>
          <w:sz w:val="22"/>
          <w:lang w:val="pl-PL" w:eastAsia="en-GB"/>
        </w:rPr>
        <w:t xml:space="preserve">po zakończeniu tajnej kontroli </w:t>
      </w:r>
      <w:r w:rsidR="003A379D">
        <w:rPr>
          <w:rFonts w:eastAsia="Times New Roman" w:cs="Times New Roman"/>
          <w:sz w:val="22"/>
          <w:lang w:val="pl-PL" w:eastAsia="en-GB"/>
        </w:rPr>
        <w:t xml:space="preserve">był uznany za </w:t>
      </w:r>
      <w:r w:rsidRPr="00CE2120">
        <w:rPr>
          <w:rFonts w:eastAsia="Times New Roman" w:cs="Times New Roman"/>
          <w:sz w:val="22"/>
          <w:lang w:val="pl-PL" w:eastAsia="en-GB"/>
        </w:rPr>
        <w:t>niezgodny z Konwencją</w:t>
      </w:r>
      <w:r w:rsidR="003A379D">
        <w:rPr>
          <w:rFonts w:eastAsia="Times New Roman" w:cs="Times New Roman"/>
          <w:sz w:val="22"/>
          <w:lang w:val="pl-PL" w:eastAsia="en-GB"/>
        </w:rPr>
        <w:t xml:space="preserve"> w orzecznictwie Trybunału</w:t>
      </w:r>
      <w:r w:rsidRPr="00CE2120">
        <w:rPr>
          <w:rFonts w:eastAsia="Times New Roman" w:cs="Times New Roman"/>
          <w:sz w:val="22"/>
          <w:lang w:val="pl-PL" w:eastAsia="en-GB"/>
        </w:rPr>
        <w:t xml:space="preserve">, </w:t>
      </w:r>
      <w:r>
        <w:rPr>
          <w:rFonts w:eastAsia="Times New Roman" w:cs="Times New Roman"/>
          <w:sz w:val="22"/>
          <w:lang w:val="pl-PL" w:eastAsia="en-GB"/>
        </w:rPr>
        <w:t xml:space="preserve">jednakże w </w:t>
      </w:r>
      <w:r w:rsidR="003A379D">
        <w:rPr>
          <w:rFonts w:eastAsia="Times New Roman" w:cs="Times New Roman"/>
          <w:sz w:val="22"/>
          <w:lang w:val="pl-PL" w:eastAsia="en-GB"/>
        </w:rPr>
        <w:t xml:space="preserve">jednej ze spraw </w:t>
      </w:r>
      <w:r>
        <w:rPr>
          <w:rFonts w:eastAsia="Times New Roman" w:cs="Times New Roman"/>
          <w:sz w:val="22"/>
          <w:lang w:val="pl-PL" w:eastAsia="en-GB"/>
        </w:rPr>
        <w:t xml:space="preserve">Trybunał uznał za wystarczającą gwarancję istnienie </w:t>
      </w:r>
      <w:r w:rsidR="00FA657C">
        <w:rPr>
          <w:rFonts w:eastAsia="Times New Roman" w:cs="Times New Roman"/>
          <w:sz w:val="22"/>
          <w:lang w:val="pl-PL" w:eastAsia="en-GB"/>
        </w:rPr>
        <w:t>w takich przypadkach uprawnienia</w:t>
      </w:r>
      <w:r>
        <w:rPr>
          <w:rFonts w:eastAsia="Times New Roman" w:cs="Times New Roman"/>
          <w:sz w:val="22"/>
          <w:lang w:val="pl-PL" w:eastAsia="en-GB"/>
        </w:rPr>
        <w:t xml:space="preserve"> osoby do zwrócenia </w:t>
      </w:r>
      <w:r w:rsidRPr="00CE2120">
        <w:rPr>
          <w:rFonts w:eastAsia="Times New Roman" w:cs="Times New Roman"/>
          <w:sz w:val="22"/>
          <w:lang w:val="pl-PL" w:eastAsia="en-GB"/>
        </w:rPr>
        <w:t>się do sądu</w:t>
      </w:r>
      <w:r w:rsidR="00352C44">
        <w:rPr>
          <w:rFonts w:eastAsia="Times New Roman" w:cs="Times New Roman"/>
          <w:sz w:val="22"/>
          <w:lang w:val="pl-PL" w:eastAsia="en-GB"/>
        </w:rPr>
        <w:t xml:space="preserve"> posiadającego </w:t>
      </w:r>
      <w:r w:rsidRPr="00CE2120">
        <w:rPr>
          <w:rFonts w:eastAsia="Times New Roman" w:cs="Times New Roman"/>
          <w:sz w:val="22"/>
          <w:lang w:val="pl-PL" w:eastAsia="en-GB"/>
        </w:rPr>
        <w:t xml:space="preserve">jurysdykcję do zbadania jej wniosku niezależnie od faktu powiadomienia jej o przechwytywaniu połączeń. </w:t>
      </w:r>
      <w:r>
        <w:rPr>
          <w:rFonts w:eastAsia="Times New Roman" w:cs="Times New Roman"/>
          <w:sz w:val="22"/>
          <w:lang w:val="pl-PL" w:eastAsia="en-GB"/>
        </w:rPr>
        <w:t xml:space="preserve">W innej sprawie Trybunał uznał za wystarczającą gwarancję </w:t>
      </w:r>
      <w:r w:rsidRPr="00CE2120">
        <w:rPr>
          <w:rFonts w:eastAsia="Times New Roman" w:cs="Times New Roman"/>
          <w:sz w:val="22"/>
          <w:lang w:val="pl-PL" w:eastAsia="en-GB"/>
        </w:rPr>
        <w:t xml:space="preserve">istnienie niezależnego organu uprawnionego do decydowania </w:t>
      </w:r>
      <w:r>
        <w:rPr>
          <w:rFonts w:eastAsia="Times New Roman" w:cs="Times New Roman"/>
          <w:sz w:val="22"/>
          <w:lang w:val="pl-PL" w:eastAsia="en-GB"/>
        </w:rPr>
        <w:t>o powiadomieniu</w:t>
      </w:r>
      <w:r w:rsidRPr="00CE2120">
        <w:rPr>
          <w:rFonts w:eastAsia="Times New Roman" w:cs="Times New Roman"/>
          <w:sz w:val="22"/>
          <w:lang w:val="pl-PL" w:eastAsia="en-GB"/>
        </w:rPr>
        <w:t xml:space="preserve"> </w:t>
      </w:r>
      <w:r>
        <w:rPr>
          <w:rFonts w:eastAsia="Times New Roman" w:cs="Times New Roman"/>
          <w:sz w:val="22"/>
          <w:lang w:val="pl-PL" w:eastAsia="en-GB"/>
        </w:rPr>
        <w:t xml:space="preserve">poszczególnych osób </w:t>
      </w:r>
      <w:r w:rsidRPr="00CE2120">
        <w:rPr>
          <w:rFonts w:eastAsia="Times New Roman" w:cs="Times New Roman"/>
          <w:sz w:val="22"/>
          <w:lang w:val="pl-PL" w:eastAsia="en-GB"/>
        </w:rPr>
        <w:t>nt. podlegania środkom kontroli.</w:t>
      </w:r>
    </w:p>
    <w:p w:rsidR="00BE0C4E" w:rsidRPr="00CE2120"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W Rosji osoby, których połączenia były przechwycone, nie otrzymywały powiadomienia o tym fakcie na żadnym etapie i w żadnych okolicznościach. Jeśli nie wszczęto wobec nich postępowania karnego, a przechwycone dane nie zostały wykorzystane jako dowód, nieprawdopodobne</w:t>
      </w:r>
      <w:r w:rsidRPr="006D2D0E">
        <w:rPr>
          <w:rFonts w:asciiTheme="minorHAnsi" w:hAnsiTheme="minorHAnsi"/>
          <w:sz w:val="22"/>
          <w:szCs w:val="22"/>
          <w:lang w:val="pl-PL"/>
        </w:rPr>
        <w:t xml:space="preserve"> </w:t>
      </w:r>
      <w:r w:rsidRPr="00CE2120">
        <w:rPr>
          <w:rFonts w:asciiTheme="minorHAnsi" w:hAnsiTheme="minorHAnsi"/>
          <w:sz w:val="22"/>
          <w:szCs w:val="22"/>
          <w:lang w:val="pl-PL"/>
        </w:rPr>
        <w:t>było, by kiedykolwiek mogły się dowiedzieć, że ich połączenia zostały przechwycone. Osoby, które w jakiś sposób się dowiedziały, mogły wnioskować o informację nt. przedmiotowych danych</w:t>
      </w:r>
      <w:r>
        <w:rPr>
          <w:rFonts w:asciiTheme="minorHAnsi" w:hAnsiTheme="minorHAnsi"/>
          <w:sz w:val="22"/>
          <w:szCs w:val="22"/>
          <w:lang w:val="pl-PL"/>
        </w:rPr>
        <w:t>, j</w:t>
      </w:r>
      <w:r w:rsidRPr="00CE2120">
        <w:rPr>
          <w:rFonts w:asciiTheme="minorHAnsi" w:hAnsiTheme="minorHAnsi"/>
          <w:sz w:val="22"/>
          <w:szCs w:val="22"/>
          <w:lang w:val="pl-PL"/>
        </w:rPr>
        <w:t>ednakże</w:t>
      </w:r>
      <w:r>
        <w:rPr>
          <w:rFonts w:asciiTheme="minorHAnsi" w:hAnsiTheme="minorHAnsi"/>
          <w:sz w:val="22"/>
          <w:szCs w:val="22"/>
          <w:lang w:val="pl-PL"/>
        </w:rPr>
        <w:t xml:space="preserve"> było to uzależnione</w:t>
      </w:r>
      <w:r w:rsidRPr="00CE2120">
        <w:rPr>
          <w:rFonts w:asciiTheme="minorHAnsi" w:hAnsiTheme="minorHAnsi"/>
          <w:sz w:val="22"/>
          <w:szCs w:val="22"/>
          <w:lang w:val="pl-PL"/>
        </w:rPr>
        <w:t xml:space="preserve"> od zdolności udowodnienia</w:t>
      </w:r>
      <w:r w:rsidR="00AB4034">
        <w:rPr>
          <w:rFonts w:asciiTheme="minorHAnsi" w:hAnsiTheme="minorHAnsi"/>
          <w:sz w:val="22"/>
          <w:szCs w:val="22"/>
          <w:lang w:val="pl-PL"/>
        </w:rPr>
        <w:t xml:space="preserve"> przez nie</w:t>
      </w:r>
      <w:r w:rsidRPr="00CE2120">
        <w:rPr>
          <w:rFonts w:asciiTheme="minorHAnsi" w:hAnsiTheme="minorHAnsi"/>
          <w:sz w:val="22"/>
          <w:szCs w:val="22"/>
          <w:lang w:val="pl-PL"/>
        </w:rPr>
        <w:t xml:space="preserve">, że ich połączenia zostały przechwycone. Ponadto, </w:t>
      </w:r>
      <w:r>
        <w:rPr>
          <w:rFonts w:asciiTheme="minorHAnsi" w:hAnsiTheme="minorHAnsi"/>
          <w:sz w:val="22"/>
          <w:szCs w:val="22"/>
          <w:lang w:val="pl-PL"/>
        </w:rPr>
        <w:t xml:space="preserve">były upoważnione </w:t>
      </w:r>
      <w:r w:rsidRPr="00CE2120">
        <w:rPr>
          <w:rFonts w:asciiTheme="minorHAnsi" w:hAnsiTheme="minorHAnsi"/>
          <w:sz w:val="22"/>
          <w:szCs w:val="22"/>
          <w:lang w:val="pl-PL"/>
        </w:rPr>
        <w:t>do otrzymania co najwyżej informacji</w:t>
      </w:r>
      <w:r>
        <w:rPr>
          <w:rFonts w:asciiTheme="minorHAnsi" w:hAnsiTheme="minorHAnsi"/>
          <w:sz w:val="22"/>
          <w:szCs w:val="22"/>
          <w:lang w:val="pl-PL"/>
        </w:rPr>
        <w:t xml:space="preserve"> nt. </w:t>
      </w:r>
      <w:r w:rsidRPr="00CE2120">
        <w:rPr>
          <w:rFonts w:asciiTheme="minorHAnsi" w:hAnsiTheme="minorHAnsi"/>
          <w:sz w:val="22"/>
          <w:szCs w:val="22"/>
          <w:lang w:val="pl-PL"/>
        </w:rPr>
        <w:t>zebranych danych</w:t>
      </w:r>
      <w:r>
        <w:rPr>
          <w:rFonts w:asciiTheme="minorHAnsi" w:hAnsiTheme="minorHAnsi"/>
          <w:sz w:val="22"/>
          <w:szCs w:val="22"/>
          <w:lang w:val="pl-PL"/>
        </w:rPr>
        <w:t xml:space="preserve"> (a nie dokumentów), w </w:t>
      </w:r>
      <w:r w:rsidRPr="00CE2120">
        <w:rPr>
          <w:rFonts w:asciiTheme="minorHAnsi" w:hAnsiTheme="minorHAnsi"/>
          <w:sz w:val="22"/>
          <w:szCs w:val="22"/>
          <w:lang w:val="pl-PL"/>
        </w:rPr>
        <w:t xml:space="preserve">ograniczonych okolicznościach </w:t>
      </w:r>
      <w:r>
        <w:rPr>
          <w:rFonts w:asciiTheme="minorHAnsi" w:hAnsiTheme="minorHAnsi"/>
          <w:sz w:val="22"/>
          <w:szCs w:val="22"/>
          <w:lang w:val="pl-PL"/>
        </w:rPr>
        <w:t>(</w:t>
      </w:r>
      <w:r w:rsidRPr="00CE2120">
        <w:rPr>
          <w:rFonts w:asciiTheme="minorHAnsi" w:hAnsiTheme="minorHAnsi"/>
          <w:sz w:val="22"/>
          <w:szCs w:val="22"/>
          <w:lang w:val="pl-PL"/>
        </w:rPr>
        <w:t>jeśli wina osoby nie została udowodniona zgodnie z prawem</w:t>
      </w:r>
      <w:r>
        <w:rPr>
          <w:rFonts w:asciiTheme="minorHAnsi" w:hAnsiTheme="minorHAnsi"/>
          <w:sz w:val="22"/>
          <w:szCs w:val="22"/>
          <w:lang w:val="pl-PL"/>
        </w:rPr>
        <w:t>) i w ograniczonym zakresie (z wyłączeniem danych stanowiących tajemnicę</w:t>
      </w:r>
      <w:r w:rsidRPr="00CE2120">
        <w:rPr>
          <w:rFonts w:asciiTheme="minorHAnsi" w:hAnsiTheme="minorHAnsi"/>
          <w:sz w:val="22"/>
          <w:szCs w:val="22"/>
          <w:lang w:val="pl-PL"/>
        </w:rPr>
        <w:t xml:space="preserve"> państw</w:t>
      </w:r>
      <w:r>
        <w:rPr>
          <w:rFonts w:asciiTheme="minorHAnsi" w:hAnsiTheme="minorHAnsi"/>
          <w:sz w:val="22"/>
          <w:szCs w:val="22"/>
          <w:lang w:val="pl-PL"/>
        </w:rPr>
        <w:t>ową, która w tym przypadku miała szerokie zastosowanie)</w:t>
      </w:r>
      <w:r w:rsidRPr="00CE2120">
        <w:rPr>
          <w:rFonts w:asciiTheme="minorHAnsi" w:hAnsiTheme="minorHAnsi"/>
          <w:sz w:val="22"/>
          <w:szCs w:val="22"/>
          <w:lang w:val="pl-PL"/>
        </w:rPr>
        <w:t xml:space="preserve">. </w:t>
      </w:r>
    </w:p>
    <w:p w:rsidR="00BE0C4E" w:rsidRPr="00CE2120"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 xml:space="preserve">Możliwość skargi do prokuratora nadzorującego Trybunał uznał za niewystarczającą, zważywszy na brak gwarancji niezależności prokuratury i ograniczony zakres </w:t>
      </w:r>
      <w:r>
        <w:rPr>
          <w:rFonts w:asciiTheme="minorHAnsi" w:hAnsiTheme="minorHAnsi"/>
          <w:sz w:val="22"/>
          <w:szCs w:val="22"/>
          <w:lang w:val="pl-PL"/>
        </w:rPr>
        <w:t xml:space="preserve">jego </w:t>
      </w:r>
      <w:r w:rsidRPr="00CE2120">
        <w:rPr>
          <w:rFonts w:asciiTheme="minorHAnsi" w:hAnsiTheme="minorHAnsi"/>
          <w:sz w:val="22"/>
          <w:szCs w:val="22"/>
          <w:lang w:val="pl-PL"/>
        </w:rPr>
        <w:t>uprawnień nadzorczych. Środki sądowe, na które powołał się rząd, były</w:t>
      </w:r>
      <w:r>
        <w:rPr>
          <w:rFonts w:asciiTheme="minorHAnsi" w:hAnsiTheme="minorHAnsi"/>
          <w:sz w:val="22"/>
          <w:szCs w:val="22"/>
          <w:lang w:val="pl-PL"/>
        </w:rPr>
        <w:t xml:space="preserve"> zaś</w:t>
      </w:r>
      <w:r w:rsidRPr="00CE2120">
        <w:rPr>
          <w:rFonts w:asciiTheme="minorHAnsi" w:hAnsiTheme="minorHAnsi"/>
          <w:sz w:val="22"/>
          <w:szCs w:val="22"/>
          <w:lang w:val="pl-PL"/>
        </w:rPr>
        <w:t xml:space="preserve"> dostępne jedynie dla osób posiadających informację nt. przechwytywania ich połączeń</w:t>
      </w:r>
      <w:r>
        <w:rPr>
          <w:rFonts w:asciiTheme="minorHAnsi" w:hAnsiTheme="minorHAnsi"/>
          <w:sz w:val="22"/>
          <w:szCs w:val="22"/>
          <w:lang w:val="pl-PL"/>
        </w:rPr>
        <w:t>, a więc i</w:t>
      </w:r>
      <w:r w:rsidRPr="00CE2120">
        <w:rPr>
          <w:rFonts w:asciiTheme="minorHAnsi" w:hAnsiTheme="minorHAnsi"/>
          <w:sz w:val="22"/>
          <w:szCs w:val="22"/>
          <w:lang w:val="pl-PL"/>
        </w:rPr>
        <w:t xml:space="preserve">ch skuteczność była podważona </w:t>
      </w:r>
      <w:r>
        <w:rPr>
          <w:rFonts w:asciiTheme="minorHAnsi" w:hAnsiTheme="minorHAnsi"/>
          <w:sz w:val="22"/>
          <w:szCs w:val="22"/>
          <w:lang w:val="pl-PL"/>
        </w:rPr>
        <w:t xml:space="preserve">brakiem wymogu </w:t>
      </w:r>
      <w:r w:rsidRPr="00CE2120">
        <w:rPr>
          <w:rFonts w:asciiTheme="minorHAnsi" w:hAnsiTheme="minorHAnsi"/>
          <w:sz w:val="22"/>
          <w:szCs w:val="22"/>
          <w:lang w:val="pl-PL"/>
        </w:rPr>
        <w:t>powiadomienia w jakimkolwiek czasie osoby podlegającej tym środkom</w:t>
      </w:r>
      <w:r>
        <w:rPr>
          <w:rFonts w:asciiTheme="minorHAnsi" w:hAnsiTheme="minorHAnsi"/>
          <w:sz w:val="22"/>
          <w:szCs w:val="22"/>
          <w:lang w:val="pl-PL"/>
        </w:rPr>
        <w:t xml:space="preserve"> oraz brakiem </w:t>
      </w:r>
      <w:r w:rsidRPr="00CE2120">
        <w:rPr>
          <w:rFonts w:asciiTheme="minorHAnsi" w:hAnsiTheme="minorHAnsi"/>
          <w:sz w:val="22"/>
          <w:szCs w:val="22"/>
          <w:lang w:val="pl-PL"/>
        </w:rPr>
        <w:t xml:space="preserve">adekwatnej możliwości wnioskowania i uzyskania informacji na ten temat od władz. W rezultacie, prawo nie przewidywało skutecznego środka sądowego przeciwko środkom tajnej kontroli w sprawach, w których nie wszczęto postępowań karnych przeciwko osobie podlegającej stosowaniu przedmiotowych środków. </w:t>
      </w:r>
    </w:p>
    <w:p w:rsidR="00BE0C4E" w:rsidRDefault="00BE0C4E" w:rsidP="00BE0C4E">
      <w:pPr>
        <w:pStyle w:val="ClinContent"/>
        <w:spacing w:before="0" w:after="120"/>
        <w:rPr>
          <w:rFonts w:asciiTheme="minorHAnsi" w:hAnsiTheme="minorHAnsi"/>
          <w:sz w:val="22"/>
          <w:szCs w:val="22"/>
          <w:lang w:val="pl-PL"/>
        </w:rPr>
      </w:pPr>
      <w:r>
        <w:rPr>
          <w:rFonts w:asciiTheme="minorHAnsi" w:hAnsiTheme="minorHAnsi"/>
          <w:sz w:val="22"/>
          <w:szCs w:val="22"/>
          <w:lang w:val="pl-PL"/>
        </w:rPr>
        <w:t>**</w:t>
      </w:r>
    </w:p>
    <w:p w:rsidR="00BE0C4E" w:rsidRPr="00CE2120" w:rsidRDefault="00BE0C4E" w:rsidP="00BE0C4E">
      <w:pPr>
        <w:pStyle w:val="ClinContent"/>
        <w:spacing w:before="0" w:after="120"/>
        <w:rPr>
          <w:rFonts w:asciiTheme="minorHAnsi" w:hAnsiTheme="minorHAnsi"/>
          <w:sz w:val="22"/>
          <w:szCs w:val="22"/>
          <w:lang w:val="pl-PL"/>
        </w:rPr>
      </w:pPr>
      <w:r>
        <w:rPr>
          <w:rFonts w:asciiTheme="minorHAnsi" w:hAnsiTheme="minorHAnsi"/>
          <w:sz w:val="22"/>
          <w:szCs w:val="22"/>
          <w:lang w:val="pl-PL"/>
        </w:rPr>
        <w:t>W powyższych okolicznościach Trybunał uznał, że p</w:t>
      </w:r>
      <w:r w:rsidRPr="00CE2120">
        <w:rPr>
          <w:rFonts w:asciiTheme="minorHAnsi" w:hAnsiTheme="minorHAnsi"/>
          <w:sz w:val="22"/>
          <w:szCs w:val="22"/>
          <w:lang w:val="pl-PL"/>
        </w:rPr>
        <w:t>rawo rosyjskie nie spełniło wymogu „jakości prawa” i było niezdolne, by zapewnić, że ingerencja była „konieczna w społeczeństwie demokratycznym”.</w:t>
      </w:r>
      <w:r>
        <w:rPr>
          <w:rFonts w:asciiTheme="minorHAnsi" w:hAnsiTheme="minorHAnsi"/>
          <w:sz w:val="22"/>
          <w:szCs w:val="22"/>
          <w:lang w:val="pl-PL"/>
        </w:rPr>
        <w:t xml:space="preserve"> </w:t>
      </w:r>
      <w:r w:rsidRPr="00CE2120">
        <w:rPr>
          <w:rFonts w:asciiTheme="minorHAnsi" w:hAnsiTheme="minorHAnsi"/>
          <w:sz w:val="22"/>
          <w:szCs w:val="22"/>
          <w:lang w:val="pl-PL"/>
        </w:rPr>
        <w:t xml:space="preserve">Trybunał jednomyślnie stwierdził, że doszło do naruszenia art. 8 Konwencji. Uznał też (większością głosów), że samo stwierdzenie naruszenia stanowiło wystarczające słuszne zadośćuczynienie dla skarżącego. </w:t>
      </w:r>
    </w:p>
    <w:p w:rsidR="00BE0C4E" w:rsidRPr="00CE2120" w:rsidRDefault="00BE0C4E" w:rsidP="00BE0C4E">
      <w:pPr>
        <w:pStyle w:val="ClinContent"/>
        <w:spacing w:before="0" w:after="120"/>
        <w:rPr>
          <w:rFonts w:asciiTheme="minorHAnsi" w:hAnsiTheme="minorHAnsi"/>
          <w:sz w:val="22"/>
          <w:szCs w:val="22"/>
          <w:lang w:val="pl-PL"/>
        </w:rPr>
      </w:pPr>
      <w:r w:rsidRPr="00CE2120">
        <w:rPr>
          <w:rFonts w:asciiTheme="minorHAnsi" w:hAnsiTheme="minorHAnsi"/>
          <w:sz w:val="22"/>
          <w:szCs w:val="22"/>
          <w:lang w:val="pl-PL"/>
        </w:rPr>
        <w:t xml:space="preserve">Do wyroku zostało załączone zdanie odrębne zbieżne sędziego </w:t>
      </w:r>
      <w:proofErr w:type="spellStart"/>
      <w:r w:rsidRPr="00CE2120">
        <w:rPr>
          <w:rFonts w:asciiTheme="minorHAnsi" w:hAnsiTheme="minorHAnsi"/>
          <w:sz w:val="22"/>
          <w:szCs w:val="22"/>
          <w:lang w:val="pl-PL"/>
        </w:rPr>
        <w:t>Dedova</w:t>
      </w:r>
      <w:proofErr w:type="spellEnd"/>
      <w:r w:rsidRPr="00CE2120">
        <w:rPr>
          <w:rFonts w:asciiTheme="minorHAnsi" w:hAnsiTheme="minorHAnsi"/>
          <w:sz w:val="22"/>
          <w:szCs w:val="22"/>
          <w:lang w:val="pl-PL"/>
        </w:rPr>
        <w:t xml:space="preserve"> i częściowo odrębne (w odniesieniu do </w:t>
      </w:r>
      <w:r>
        <w:rPr>
          <w:rFonts w:asciiTheme="minorHAnsi" w:hAnsiTheme="minorHAnsi"/>
          <w:sz w:val="22"/>
          <w:szCs w:val="22"/>
          <w:lang w:val="pl-PL"/>
        </w:rPr>
        <w:t xml:space="preserve">braku </w:t>
      </w:r>
      <w:r w:rsidRPr="00CE2120">
        <w:rPr>
          <w:rFonts w:asciiTheme="minorHAnsi" w:hAnsiTheme="minorHAnsi"/>
          <w:sz w:val="22"/>
          <w:szCs w:val="22"/>
          <w:lang w:val="pl-PL"/>
        </w:rPr>
        <w:t xml:space="preserve">zasądzenia słusznego zadośćuczynienia) sędzi </w:t>
      </w:r>
      <w:proofErr w:type="spellStart"/>
      <w:r w:rsidRPr="00CE2120">
        <w:rPr>
          <w:rFonts w:asciiTheme="minorHAnsi" w:hAnsiTheme="minorHAnsi"/>
          <w:sz w:val="22"/>
          <w:szCs w:val="22"/>
          <w:lang w:val="pl-PL"/>
        </w:rPr>
        <w:t>Ziemele</w:t>
      </w:r>
      <w:proofErr w:type="spellEnd"/>
      <w:r w:rsidRPr="00CE2120">
        <w:rPr>
          <w:rFonts w:asciiTheme="minorHAnsi" w:hAnsiTheme="minorHAnsi"/>
          <w:sz w:val="22"/>
          <w:szCs w:val="22"/>
          <w:lang w:val="pl-PL"/>
        </w:rPr>
        <w:t>.</w:t>
      </w:r>
    </w:p>
    <w:p w:rsidR="00660766" w:rsidRPr="00511203" w:rsidRDefault="00511203" w:rsidP="00660766">
      <w:pPr>
        <w:pStyle w:val="s6c429373"/>
        <w:spacing w:before="0" w:beforeAutospacing="0" w:after="120" w:afterAutospacing="0"/>
        <w:jc w:val="both"/>
        <w:rPr>
          <w:rStyle w:val="sfbbfee58"/>
          <w:rFonts w:asciiTheme="minorHAnsi" w:eastAsiaTheme="majorEastAsia" w:hAnsiTheme="minorHAnsi"/>
          <w:sz w:val="22"/>
          <w:lang w:val="pl-PL"/>
        </w:rPr>
      </w:pPr>
      <w:r w:rsidRPr="00515E8A">
        <w:rPr>
          <w:rStyle w:val="sfbbfee58"/>
          <w:rFonts w:asciiTheme="minorHAnsi" w:eastAsiaTheme="majorEastAsia" w:hAnsiTheme="minorHAnsi"/>
          <w:sz w:val="22"/>
          <w:u w:val="single"/>
          <w:lang w:val="pl-PL"/>
        </w:rPr>
        <w:t>Znaczenie wyroku dla Polski</w:t>
      </w:r>
      <w:r w:rsidRPr="00511203">
        <w:rPr>
          <w:rStyle w:val="sfbbfee58"/>
          <w:rFonts w:asciiTheme="minorHAnsi" w:eastAsiaTheme="majorEastAsia" w:hAnsiTheme="minorHAnsi"/>
          <w:sz w:val="22"/>
          <w:lang w:val="pl-PL"/>
        </w:rPr>
        <w:t xml:space="preserve"> </w:t>
      </w:r>
      <w:r>
        <w:rPr>
          <w:rStyle w:val="sfbbfee58"/>
          <w:rFonts w:asciiTheme="minorHAnsi" w:eastAsiaTheme="majorEastAsia" w:hAnsiTheme="minorHAnsi"/>
          <w:sz w:val="22"/>
          <w:lang w:val="pl-PL"/>
        </w:rPr>
        <w:t>–</w:t>
      </w:r>
      <w:r w:rsidRPr="00511203">
        <w:rPr>
          <w:rStyle w:val="sfbbfee58"/>
          <w:rFonts w:asciiTheme="minorHAnsi" w:eastAsiaTheme="majorEastAsia" w:hAnsiTheme="minorHAnsi"/>
          <w:sz w:val="22"/>
          <w:lang w:val="pl-PL"/>
        </w:rPr>
        <w:t xml:space="preserve"> </w:t>
      </w:r>
      <w:r>
        <w:rPr>
          <w:rStyle w:val="sfbbfee58"/>
          <w:rFonts w:asciiTheme="minorHAnsi" w:eastAsiaTheme="majorEastAsia" w:hAnsiTheme="minorHAnsi"/>
          <w:sz w:val="22"/>
          <w:lang w:val="pl-PL"/>
        </w:rPr>
        <w:t>wyrok Wielkiej Izby Trybunału w sposób obszerny i usystematyzowany prezentuj</w:t>
      </w:r>
      <w:r w:rsidR="00E8328E">
        <w:rPr>
          <w:rStyle w:val="sfbbfee58"/>
          <w:rFonts w:asciiTheme="minorHAnsi" w:eastAsiaTheme="majorEastAsia" w:hAnsiTheme="minorHAnsi"/>
          <w:sz w:val="22"/>
          <w:lang w:val="pl-PL"/>
        </w:rPr>
        <w:t xml:space="preserve">e </w:t>
      </w:r>
      <w:r>
        <w:rPr>
          <w:rStyle w:val="sfbbfee58"/>
          <w:rFonts w:asciiTheme="minorHAnsi" w:eastAsiaTheme="majorEastAsia" w:hAnsiTheme="minorHAnsi"/>
          <w:sz w:val="22"/>
          <w:lang w:val="pl-PL"/>
        </w:rPr>
        <w:t xml:space="preserve">niezbędne gwarancje, jakie powinny mieć zastosowanie w odniesieniu do ustawodawstwa (i praktyki jego stosowania) w obszarze dotyczącym tajnej kontroli połączeń telefonicznych stosowanej dla celów bezpieczeństwa oraz walki z przestępczością. Wyrok jest też interesujący </w:t>
      </w:r>
      <w:r w:rsidR="000D6AAE">
        <w:rPr>
          <w:rStyle w:val="sfbbfee58"/>
          <w:rFonts w:asciiTheme="minorHAnsi" w:eastAsiaTheme="majorEastAsia" w:hAnsiTheme="minorHAnsi"/>
          <w:sz w:val="22"/>
          <w:lang w:val="pl-PL"/>
        </w:rPr>
        <w:t xml:space="preserve">jako </w:t>
      </w:r>
      <w:r>
        <w:rPr>
          <w:rStyle w:val="sfbbfee58"/>
          <w:rFonts w:asciiTheme="minorHAnsi" w:eastAsiaTheme="majorEastAsia" w:hAnsiTheme="minorHAnsi"/>
          <w:sz w:val="22"/>
          <w:lang w:val="pl-PL"/>
        </w:rPr>
        <w:t>przykład zbadania</w:t>
      </w:r>
      <w:r w:rsidR="00DC2C4F">
        <w:rPr>
          <w:rStyle w:val="sfbbfee58"/>
          <w:rFonts w:asciiTheme="minorHAnsi" w:eastAsiaTheme="majorEastAsia" w:hAnsiTheme="minorHAnsi"/>
          <w:sz w:val="22"/>
          <w:lang w:val="pl-PL"/>
        </w:rPr>
        <w:t xml:space="preserve"> przez Trybunał</w:t>
      </w:r>
      <w:r>
        <w:rPr>
          <w:rStyle w:val="sfbbfee58"/>
          <w:rFonts w:asciiTheme="minorHAnsi" w:eastAsiaTheme="majorEastAsia" w:hAnsiTheme="minorHAnsi"/>
          <w:sz w:val="22"/>
          <w:lang w:val="pl-PL"/>
        </w:rPr>
        <w:t xml:space="preserve"> </w:t>
      </w:r>
      <w:r w:rsidR="00AB4034">
        <w:rPr>
          <w:rStyle w:val="sfbbfee58"/>
          <w:rFonts w:asciiTheme="minorHAnsi" w:eastAsiaTheme="majorEastAsia" w:hAnsiTheme="minorHAnsi"/>
          <w:sz w:val="22"/>
          <w:lang w:val="pl-PL"/>
        </w:rPr>
        <w:t>prawa</w:t>
      </w:r>
      <w:r>
        <w:rPr>
          <w:rStyle w:val="sfbbfee58"/>
          <w:rFonts w:asciiTheme="minorHAnsi" w:eastAsiaTheme="majorEastAsia" w:hAnsiTheme="minorHAnsi"/>
          <w:sz w:val="22"/>
          <w:lang w:val="pl-PL"/>
        </w:rPr>
        <w:t xml:space="preserve"> krajowego </w:t>
      </w:r>
      <w:r>
        <w:rPr>
          <w:rStyle w:val="sfbbfee58"/>
          <w:rFonts w:asciiTheme="minorHAnsi" w:eastAsiaTheme="majorEastAsia" w:hAnsiTheme="minorHAnsi"/>
          <w:i/>
          <w:sz w:val="22"/>
          <w:lang w:val="pl-PL"/>
        </w:rPr>
        <w:t>in abstracto</w:t>
      </w:r>
      <w:r w:rsidR="00DC2C4F">
        <w:rPr>
          <w:rStyle w:val="sfbbfee58"/>
          <w:rFonts w:asciiTheme="minorHAnsi" w:eastAsiaTheme="majorEastAsia" w:hAnsiTheme="minorHAnsi"/>
          <w:i/>
          <w:sz w:val="22"/>
          <w:lang w:val="pl-PL"/>
        </w:rPr>
        <w:t xml:space="preserve"> </w:t>
      </w:r>
      <w:r w:rsidR="00DC2C4F">
        <w:rPr>
          <w:rStyle w:val="sfbbfee58"/>
          <w:rFonts w:asciiTheme="minorHAnsi" w:eastAsiaTheme="majorEastAsia" w:hAnsiTheme="minorHAnsi"/>
          <w:sz w:val="22"/>
          <w:lang w:val="pl-PL"/>
        </w:rPr>
        <w:t xml:space="preserve">w sytuacji, gdy </w:t>
      </w:r>
      <w:r w:rsidR="00DC2C4F" w:rsidRPr="00DC2C4F">
        <w:rPr>
          <w:rStyle w:val="sfbbfee58"/>
          <w:rFonts w:asciiTheme="minorHAnsi" w:eastAsiaTheme="majorEastAsia" w:hAnsiTheme="minorHAnsi"/>
          <w:sz w:val="22"/>
          <w:lang w:val="pl-PL"/>
        </w:rPr>
        <w:t>ustawodawstwo to miało</w:t>
      </w:r>
      <w:r w:rsidR="00DC2C4F">
        <w:rPr>
          <w:rStyle w:val="sfbbfee58"/>
          <w:rFonts w:asciiTheme="minorHAnsi" w:eastAsiaTheme="majorEastAsia" w:hAnsiTheme="minorHAnsi"/>
          <w:i/>
          <w:sz w:val="22"/>
          <w:lang w:val="pl-PL"/>
        </w:rPr>
        <w:t xml:space="preserve"> </w:t>
      </w:r>
      <w:r w:rsidR="000D6AAE">
        <w:rPr>
          <w:rStyle w:val="sfbbfee58"/>
          <w:rFonts w:asciiTheme="minorHAnsi" w:eastAsiaTheme="majorEastAsia" w:hAnsiTheme="minorHAnsi"/>
          <w:sz w:val="22"/>
          <w:lang w:val="pl-PL"/>
        </w:rPr>
        <w:t xml:space="preserve">ogólne zastosowanie wobec wszystkich osób </w:t>
      </w:r>
      <w:r w:rsidR="00DC2C4F">
        <w:rPr>
          <w:rStyle w:val="sfbbfee58"/>
          <w:rFonts w:asciiTheme="minorHAnsi" w:eastAsiaTheme="majorEastAsia" w:hAnsiTheme="minorHAnsi"/>
          <w:sz w:val="22"/>
          <w:lang w:val="pl-PL"/>
        </w:rPr>
        <w:t xml:space="preserve">przy </w:t>
      </w:r>
      <w:r w:rsidR="000D6AAE">
        <w:rPr>
          <w:rStyle w:val="sfbbfee58"/>
          <w:rFonts w:asciiTheme="minorHAnsi" w:eastAsiaTheme="majorEastAsia" w:hAnsiTheme="minorHAnsi"/>
          <w:sz w:val="22"/>
          <w:lang w:val="pl-PL"/>
        </w:rPr>
        <w:t>brak</w:t>
      </w:r>
      <w:r w:rsidR="00DC2C4F">
        <w:rPr>
          <w:rStyle w:val="sfbbfee58"/>
          <w:rFonts w:asciiTheme="minorHAnsi" w:eastAsiaTheme="majorEastAsia" w:hAnsiTheme="minorHAnsi"/>
          <w:sz w:val="22"/>
          <w:lang w:val="pl-PL"/>
        </w:rPr>
        <w:t>u</w:t>
      </w:r>
      <w:r w:rsidR="000D6AAE">
        <w:rPr>
          <w:rStyle w:val="sfbbfee58"/>
          <w:rFonts w:asciiTheme="minorHAnsi" w:eastAsiaTheme="majorEastAsia" w:hAnsiTheme="minorHAnsi"/>
          <w:sz w:val="22"/>
          <w:lang w:val="pl-PL"/>
        </w:rPr>
        <w:t xml:space="preserve"> adekwatnych środków krajowych</w:t>
      </w:r>
      <w:r w:rsidR="00AB4034">
        <w:rPr>
          <w:rStyle w:val="sfbbfee58"/>
          <w:rFonts w:asciiTheme="minorHAnsi" w:eastAsiaTheme="majorEastAsia" w:hAnsiTheme="minorHAnsi"/>
          <w:sz w:val="22"/>
          <w:lang w:val="pl-PL"/>
        </w:rPr>
        <w:t xml:space="preserve"> </w:t>
      </w:r>
      <w:r w:rsidR="00DA6A15">
        <w:rPr>
          <w:rStyle w:val="sfbbfee58"/>
          <w:rFonts w:asciiTheme="minorHAnsi" w:eastAsiaTheme="majorEastAsia" w:hAnsiTheme="minorHAnsi"/>
          <w:sz w:val="22"/>
          <w:lang w:val="pl-PL"/>
        </w:rPr>
        <w:t>dochodzenia ich praw</w:t>
      </w:r>
      <w:r w:rsidRPr="00511203">
        <w:rPr>
          <w:rStyle w:val="sfbbfee58"/>
          <w:rFonts w:asciiTheme="minorHAnsi" w:eastAsiaTheme="majorEastAsia" w:hAnsiTheme="minorHAnsi"/>
          <w:sz w:val="22"/>
          <w:lang w:val="pl-PL"/>
        </w:rPr>
        <w:t>.</w:t>
      </w:r>
      <w:r>
        <w:rPr>
          <w:rStyle w:val="sfbbfee58"/>
          <w:rFonts w:asciiTheme="minorHAnsi" w:eastAsiaTheme="majorEastAsia" w:hAnsiTheme="minorHAnsi"/>
          <w:sz w:val="22"/>
          <w:lang w:val="pl-PL"/>
        </w:rPr>
        <w:t xml:space="preserve"> </w:t>
      </w:r>
      <w:r w:rsidR="000D6AAE">
        <w:rPr>
          <w:rStyle w:val="sfbbfee58"/>
          <w:rFonts w:asciiTheme="minorHAnsi" w:eastAsiaTheme="majorEastAsia" w:hAnsiTheme="minorHAnsi"/>
          <w:sz w:val="22"/>
          <w:lang w:val="pl-PL"/>
        </w:rPr>
        <w:t xml:space="preserve">Wyrok warto </w:t>
      </w:r>
      <w:r w:rsidR="0018222F">
        <w:rPr>
          <w:rStyle w:val="sfbbfee58"/>
          <w:rFonts w:asciiTheme="minorHAnsi" w:eastAsiaTheme="majorEastAsia" w:hAnsiTheme="minorHAnsi"/>
          <w:sz w:val="22"/>
          <w:lang w:val="pl-PL"/>
        </w:rPr>
        <w:t xml:space="preserve">dokładnie </w:t>
      </w:r>
      <w:r w:rsidR="000D6AAE">
        <w:rPr>
          <w:rStyle w:val="sfbbfee58"/>
          <w:rFonts w:asciiTheme="minorHAnsi" w:eastAsiaTheme="majorEastAsia" w:hAnsiTheme="minorHAnsi"/>
          <w:sz w:val="22"/>
          <w:lang w:val="pl-PL"/>
        </w:rPr>
        <w:t>przeanalizować (po</w:t>
      </w:r>
      <w:r w:rsidR="00352C44">
        <w:rPr>
          <w:rStyle w:val="sfbbfee58"/>
          <w:rFonts w:asciiTheme="minorHAnsi" w:eastAsiaTheme="majorEastAsia" w:hAnsiTheme="minorHAnsi"/>
          <w:sz w:val="22"/>
          <w:lang w:val="pl-PL"/>
        </w:rPr>
        <w:t>dane tu</w:t>
      </w:r>
      <w:r w:rsidR="000D6AAE">
        <w:rPr>
          <w:rStyle w:val="sfbbfee58"/>
          <w:rFonts w:asciiTheme="minorHAnsi" w:eastAsiaTheme="majorEastAsia" w:hAnsiTheme="minorHAnsi"/>
          <w:sz w:val="22"/>
          <w:lang w:val="pl-PL"/>
        </w:rPr>
        <w:t xml:space="preserve"> informacje stanowią jedynie skrót obszernych wyjaśnień Trybunału)</w:t>
      </w:r>
      <w:r w:rsidR="00F7657A">
        <w:rPr>
          <w:rStyle w:val="sfbbfee58"/>
          <w:rFonts w:asciiTheme="minorHAnsi" w:eastAsiaTheme="majorEastAsia" w:hAnsiTheme="minorHAnsi"/>
          <w:sz w:val="22"/>
          <w:lang w:val="pl-PL"/>
        </w:rPr>
        <w:t xml:space="preserve"> i upowszechnić</w:t>
      </w:r>
      <w:r w:rsidR="000D6AAE">
        <w:rPr>
          <w:rStyle w:val="sfbbfee58"/>
          <w:rFonts w:asciiTheme="minorHAnsi" w:eastAsiaTheme="majorEastAsia" w:hAnsiTheme="minorHAnsi"/>
          <w:sz w:val="22"/>
          <w:lang w:val="pl-PL"/>
        </w:rPr>
        <w:t>.</w:t>
      </w:r>
    </w:p>
    <w:sectPr w:rsidR="00660766" w:rsidRPr="00511203" w:rsidSect="00B827A2">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851" w:left="1417"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64D" w:rsidRDefault="007B664D" w:rsidP="003C7DF2">
      <w:pPr>
        <w:spacing w:after="0" w:line="240" w:lineRule="auto"/>
      </w:pPr>
      <w:r>
        <w:separator/>
      </w:r>
    </w:p>
  </w:endnote>
  <w:endnote w:type="continuationSeparator" w:id="0">
    <w:p w:rsidR="007B664D" w:rsidRDefault="007B664D" w:rsidP="003C7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charset w:val="00"/>
    <w:family w:val="roman"/>
    <w:pitch w:val="default"/>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B4" w:rsidRDefault="004655B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060254"/>
      <w:docPartObj>
        <w:docPartGallery w:val="Page Numbers (Bottom of Page)"/>
        <w:docPartUnique/>
      </w:docPartObj>
    </w:sdtPr>
    <w:sdtEndPr/>
    <w:sdtContent>
      <w:p w:rsidR="004655B4" w:rsidRDefault="004655B4">
        <w:pPr>
          <w:pStyle w:val="Stopka"/>
          <w:jc w:val="right"/>
        </w:pPr>
        <w:r>
          <w:fldChar w:fldCharType="begin"/>
        </w:r>
        <w:r>
          <w:instrText>PAGE   \* MERGEFORMAT</w:instrText>
        </w:r>
        <w:r>
          <w:fldChar w:fldCharType="separate"/>
        </w:r>
        <w:r w:rsidR="007936FD" w:rsidRPr="007936FD">
          <w:rPr>
            <w:noProof/>
            <w:lang w:val="pl-PL"/>
          </w:rPr>
          <w:t>19</w:t>
        </w:r>
        <w:r>
          <w:fldChar w:fldCharType="end"/>
        </w:r>
      </w:p>
    </w:sdtContent>
  </w:sdt>
  <w:p w:rsidR="004655B4" w:rsidRDefault="004655B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B4" w:rsidRDefault="004655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64D" w:rsidRDefault="007B664D" w:rsidP="003C7DF2">
      <w:pPr>
        <w:spacing w:after="0" w:line="240" w:lineRule="auto"/>
      </w:pPr>
      <w:r>
        <w:separator/>
      </w:r>
    </w:p>
  </w:footnote>
  <w:footnote w:type="continuationSeparator" w:id="0">
    <w:p w:rsidR="007B664D" w:rsidRDefault="007B664D" w:rsidP="003C7DF2">
      <w:pPr>
        <w:spacing w:after="0" w:line="240" w:lineRule="auto"/>
      </w:pPr>
      <w:r>
        <w:continuationSeparator/>
      </w:r>
    </w:p>
  </w:footnote>
  <w:footnote w:id="1">
    <w:p w:rsidR="004655B4" w:rsidRPr="00694B18" w:rsidRDefault="004655B4" w:rsidP="00E23DA9">
      <w:pPr>
        <w:pStyle w:val="Tekstprzypisudolnego"/>
        <w:rPr>
          <w:lang w:val="pl-PL"/>
        </w:rPr>
      </w:pPr>
      <w:r>
        <w:rPr>
          <w:rStyle w:val="Odwoanieprzypisudolnego"/>
        </w:rPr>
        <w:footnoteRef/>
      </w:r>
      <w:r w:rsidRPr="00694B18">
        <w:rPr>
          <w:lang w:val="pl-PL"/>
        </w:rPr>
        <w:t xml:space="preserve"> </w:t>
      </w:r>
      <w:r>
        <w:rPr>
          <w:lang w:val="pl-PL"/>
        </w:rPr>
        <w:t xml:space="preserve">Konwencja o ochronie praw człowieka i podstawowych wolności. </w:t>
      </w:r>
    </w:p>
  </w:footnote>
  <w:footnote w:id="2">
    <w:p w:rsidR="004655B4" w:rsidRPr="00FD5A9E" w:rsidRDefault="004655B4">
      <w:pPr>
        <w:pStyle w:val="Tekstprzypisudolnego"/>
        <w:rPr>
          <w:lang w:val="pl-PL"/>
        </w:rPr>
      </w:pPr>
      <w:r>
        <w:rPr>
          <w:rStyle w:val="Odwoanieprzypisudolnego"/>
        </w:rPr>
        <w:footnoteRef/>
      </w:r>
      <w:r w:rsidRPr="00FD5A9E">
        <w:rPr>
          <w:lang w:val="pl-PL"/>
        </w:rPr>
        <w:t xml:space="preserve"> </w:t>
      </w:r>
      <w:r>
        <w:rPr>
          <w:lang w:val="pl-PL"/>
        </w:rPr>
        <w:t xml:space="preserve">Streszczenie </w:t>
      </w:r>
      <w:r w:rsidRPr="00FD5A9E">
        <w:rPr>
          <w:lang w:val="pl-PL"/>
        </w:rPr>
        <w:t xml:space="preserve">orzeczenia w sprawie </w:t>
      </w:r>
      <w:r w:rsidRPr="00FD5A9E">
        <w:rPr>
          <w:i/>
          <w:lang w:val="pl-PL"/>
        </w:rPr>
        <w:t>Al-</w:t>
      </w:r>
      <w:proofErr w:type="spellStart"/>
      <w:r w:rsidRPr="00FD5A9E">
        <w:rPr>
          <w:i/>
          <w:lang w:val="pl-PL"/>
        </w:rPr>
        <w:t>Khawaja</w:t>
      </w:r>
      <w:proofErr w:type="spellEnd"/>
      <w:r w:rsidRPr="00FD5A9E">
        <w:rPr>
          <w:i/>
          <w:lang w:val="pl-PL"/>
        </w:rPr>
        <w:t xml:space="preserve"> i </w:t>
      </w:r>
      <w:proofErr w:type="spellStart"/>
      <w:r w:rsidRPr="00FD5A9E">
        <w:rPr>
          <w:i/>
          <w:lang w:val="pl-PL"/>
        </w:rPr>
        <w:t>Tahery</w:t>
      </w:r>
      <w:proofErr w:type="spellEnd"/>
      <w:r w:rsidRPr="00FD5A9E">
        <w:rPr>
          <w:i/>
          <w:lang w:val="pl-PL"/>
        </w:rPr>
        <w:t xml:space="preserve"> p. Wielkiej Brytanii</w:t>
      </w:r>
      <w:r w:rsidRPr="00FD5A9E">
        <w:rPr>
          <w:lang w:val="pl-PL"/>
        </w:rPr>
        <w:t xml:space="preserve"> </w:t>
      </w:r>
      <w:r>
        <w:rPr>
          <w:lang w:val="pl-PL"/>
        </w:rPr>
        <w:t xml:space="preserve">w języku polskim, udostępnione przez Ministerstwo Sprawiedliwości – patrz: </w:t>
      </w:r>
      <w:hyperlink r:id="rId1" w:history="1">
        <w:r w:rsidRPr="00EB7705">
          <w:rPr>
            <w:rStyle w:val="Hipercze"/>
            <w:lang w:val="pl-PL"/>
          </w:rPr>
          <w:t>http://bip.ms.gov.pl/pl/prawa-czlowieka/europejski-trybunal-praw-czlowieka/orzecznictwo-europejskiego-trybunalu-praw-czlowieka/download,565,0.html</w:t>
        </w:r>
      </w:hyperlink>
      <w:r>
        <w:rPr>
          <w:lang w:val="pl-P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B4" w:rsidRDefault="004655B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B4" w:rsidRDefault="004655B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B4" w:rsidRDefault="004655B4">
    <w:pPr>
      <w:pStyle w:val="Nagwek"/>
    </w:pPr>
    <w:r>
      <w:rPr>
        <w:rFonts w:ascii="Times New Roman" w:hAnsi="Times New Roman" w:cs="Times New Roman"/>
        <w:noProof/>
        <w:sz w:val="24"/>
        <w:szCs w:val="24"/>
        <w:lang w:val="pl-PL" w:eastAsia="pl-PL"/>
      </w:rPr>
      <w:drawing>
        <wp:anchor distT="0" distB="0" distL="114300" distR="114300" simplePos="0" relativeHeight="251659264" behindDoc="1" locked="0" layoutInCell="1" allowOverlap="1" wp14:anchorId="00A230CA" wp14:editId="6936572C">
          <wp:simplePos x="0" y="0"/>
          <wp:positionH relativeFrom="page">
            <wp:posOffset>466725</wp:posOffset>
          </wp:positionH>
          <wp:positionV relativeFrom="page">
            <wp:posOffset>-238125</wp:posOffset>
          </wp:positionV>
          <wp:extent cx="2527935" cy="2608580"/>
          <wp:effectExtent l="0" t="0" r="5715"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935" cy="26085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5230"/>
    <w:multiLevelType w:val="hybridMultilevel"/>
    <w:tmpl w:val="26E45808"/>
    <w:lvl w:ilvl="0" w:tplc="961AE25A">
      <w:numFmt w:val="bullet"/>
      <w:lvlText w:val="-"/>
      <w:lvlJc w:val="left"/>
      <w:pPr>
        <w:ind w:left="360" w:hanging="360"/>
      </w:pPr>
      <w:rPr>
        <w:rFonts w:ascii="Verdana" w:eastAsia="Times New Roman" w:hAnsi="Verdana" w:cs="Times New Roman" w:hint="default"/>
        <w: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5300580"/>
    <w:multiLevelType w:val="hybridMultilevel"/>
    <w:tmpl w:val="985ED9E6"/>
    <w:lvl w:ilvl="0" w:tplc="23549DAE">
      <w:start w:val="2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9D77EF"/>
    <w:multiLevelType w:val="hybridMultilevel"/>
    <w:tmpl w:val="A3C2F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E3F65E1"/>
    <w:multiLevelType w:val="hybridMultilevel"/>
    <w:tmpl w:val="EA901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5F82C81"/>
    <w:multiLevelType w:val="hybridMultilevel"/>
    <w:tmpl w:val="1A48AECA"/>
    <w:lvl w:ilvl="0" w:tplc="ACD29B6C">
      <w:start w:val="2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5A545E"/>
    <w:multiLevelType w:val="hybridMultilevel"/>
    <w:tmpl w:val="C4F8F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73C3C6E"/>
    <w:multiLevelType w:val="hybridMultilevel"/>
    <w:tmpl w:val="5C3E223E"/>
    <w:lvl w:ilvl="0" w:tplc="5A82AFB6">
      <w:start w:val="26"/>
      <w:numFmt w:val="bullet"/>
      <w:lvlText w:val="-"/>
      <w:lvlJc w:val="left"/>
      <w:pPr>
        <w:ind w:left="720" w:hanging="360"/>
      </w:pPr>
      <w:rPr>
        <w:rFonts w:ascii="Verdana" w:eastAsia="Times New Roman" w:hAnsi="Verdana"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8E434C"/>
    <w:multiLevelType w:val="hybridMultilevel"/>
    <w:tmpl w:val="91DE5916"/>
    <w:lvl w:ilvl="0" w:tplc="04150011">
      <w:start w:val="1"/>
      <w:numFmt w:val="decimal"/>
      <w:lvlText w:val="%1)"/>
      <w:lvlJc w:val="left"/>
      <w:pPr>
        <w:ind w:left="405" w:hanging="360"/>
      </w:pPr>
      <w:rPr>
        <w:rFonts w:hint="default"/>
        <w:i w:val="0"/>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8">
    <w:nsid w:val="4ED63AAA"/>
    <w:multiLevelType w:val="hybridMultilevel"/>
    <w:tmpl w:val="24DA2108"/>
    <w:lvl w:ilvl="0" w:tplc="B016A7C2">
      <w:start w:val="1"/>
      <w:numFmt w:val="lowerLetter"/>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5D8E5A03"/>
    <w:multiLevelType w:val="hybridMultilevel"/>
    <w:tmpl w:val="AF0C058A"/>
    <w:lvl w:ilvl="0" w:tplc="ED325C84">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A26B59"/>
    <w:multiLevelType w:val="hybridMultilevel"/>
    <w:tmpl w:val="EA0EBC82"/>
    <w:lvl w:ilvl="0" w:tplc="4220274A">
      <w:start w:val="1"/>
      <w:numFmt w:val="decimal"/>
      <w:pStyle w:val="Nagwek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2700EA8"/>
    <w:multiLevelType w:val="hybridMultilevel"/>
    <w:tmpl w:val="C70E11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10"/>
  </w:num>
  <w:num w:numId="3">
    <w:abstractNumId w:val="9"/>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3"/>
  </w:num>
  <w:num w:numId="14">
    <w:abstractNumId w:val="10"/>
  </w:num>
  <w:num w:numId="15">
    <w:abstractNumId w:val="2"/>
  </w:num>
  <w:num w:numId="16">
    <w:abstractNumId w:val="5"/>
  </w:num>
  <w:num w:numId="17">
    <w:abstractNumId w:val="6"/>
  </w:num>
  <w:num w:numId="18">
    <w:abstractNumId w:val="10"/>
  </w:num>
  <w:num w:numId="19">
    <w:abstractNumId w:val="1"/>
  </w:num>
  <w:num w:numId="20">
    <w:abstractNumId w:val="10"/>
  </w:num>
  <w:num w:numId="21">
    <w:abstractNumId w:val="4"/>
  </w:num>
  <w:num w:numId="22">
    <w:abstractNumId w:val="10"/>
  </w:num>
  <w:num w:numId="23">
    <w:abstractNumId w:val="10"/>
  </w:num>
  <w:num w:numId="24">
    <w:abstractNumId w:val="0"/>
  </w:num>
  <w:num w:numId="25">
    <w:abstractNumId w:val="7"/>
  </w:num>
  <w:num w:numId="26">
    <w:abstractNumId w:val="8"/>
  </w:num>
  <w:num w:numId="27">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355"/>
    <w:rsid w:val="00000779"/>
    <w:rsid w:val="00000C2D"/>
    <w:rsid w:val="0000365E"/>
    <w:rsid w:val="00003FBB"/>
    <w:rsid w:val="000045AA"/>
    <w:rsid w:val="000101FE"/>
    <w:rsid w:val="0001044C"/>
    <w:rsid w:val="00011FCA"/>
    <w:rsid w:val="00012C55"/>
    <w:rsid w:val="00012E52"/>
    <w:rsid w:val="000145E5"/>
    <w:rsid w:val="0001654B"/>
    <w:rsid w:val="000166E2"/>
    <w:rsid w:val="000178F1"/>
    <w:rsid w:val="00020319"/>
    <w:rsid w:val="0002270F"/>
    <w:rsid w:val="00024930"/>
    <w:rsid w:val="00026AC5"/>
    <w:rsid w:val="00027075"/>
    <w:rsid w:val="0003682F"/>
    <w:rsid w:val="00041638"/>
    <w:rsid w:val="000417B7"/>
    <w:rsid w:val="00042237"/>
    <w:rsid w:val="000429C8"/>
    <w:rsid w:val="00047291"/>
    <w:rsid w:val="0004746F"/>
    <w:rsid w:val="0005115F"/>
    <w:rsid w:val="00054168"/>
    <w:rsid w:val="00054F22"/>
    <w:rsid w:val="000569E0"/>
    <w:rsid w:val="00057A61"/>
    <w:rsid w:val="00057DAB"/>
    <w:rsid w:val="00060B88"/>
    <w:rsid w:val="00061066"/>
    <w:rsid w:val="00062824"/>
    <w:rsid w:val="000645B9"/>
    <w:rsid w:val="00065852"/>
    <w:rsid w:val="00066191"/>
    <w:rsid w:val="00067080"/>
    <w:rsid w:val="00067E51"/>
    <w:rsid w:val="0007098B"/>
    <w:rsid w:val="000712EE"/>
    <w:rsid w:val="00073A8C"/>
    <w:rsid w:val="00073C40"/>
    <w:rsid w:val="000754C7"/>
    <w:rsid w:val="000767D1"/>
    <w:rsid w:val="000802E2"/>
    <w:rsid w:val="00081061"/>
    <w:rsid w:val="00083235"/>
    <w:rsid w:val="000851CD"/>
    <w:rsid w:val="00086789"/>
    <w:rsid w:val="00086F92"/>
    <w:rsid w:val="00094397"/>
    <w:rsid w:val="00095BC9"/>
    <w:rsid w:val="00095E87"/>
    <w:rsid w:val="0009668D"/>
    <w:rsid w:val="000A0792"/>
    <w:rsid w:val="000A082B"/>
    <w:rsid w:val="000A20D9"/>
    <w:rsid w:val="000A5203"/>
    <w:rsid w:val="000A5895"/>
    <w:rsid w:val="000B1807"/>
    <w:rsid w:val="000B2587"/>
    <w:rsid w:val="000B468F"/>
    <w:rsid w:val="000B5865"/>
    <w:rsid w:val="000B5F56"/>
    <w:rsid w:val="000C05C2"/>
    <w:rsid w:val="000C38D7"/>
    <w:rsid w:val="000C3CC2"/>
    <w:rsid w:val="000C3E8E"/>
    <w:rsid w:val="000C3FD2"/>
    <w:rsid w:val="000C5931"/>
    <w:rsid w:val="000C75AB"/>
    <w:rsid w:val="000C7C4F"/>
    <w:rsid w:val="000D0491"/>
    <w:rsid w:val="000D1906"/>
    <w:rsid w:val="000D1B02"/>
    <w:rsid w:val="000D4377"/>
    <w:rsid w:val="000D6AAE"/>
    <w:rsid w:val="000D6B51"/>
    <w:rsid w:val="000D7BA6"/>
    <w:rsid w:val="000E03FD"/>
    <w:rsid w:val="000E146B"/>
    <w:rsid w:val="000E30C6"/>
    <w:rsid w:val="000E39C2"/>
    <w:rsid w:val="000E3D15"/>
    <w:rsid w:val="000E7670"/>
    <w:rsid w:val="000F22DE"/>
    <w:rsid w:val="000F395A"/>
    <w:rsid w:val="000F42C7"/>
    <w:rsid w:val="000F6790"/>
    <w:rsid w:val="000F7D5A"/>
    <w:rsid w:val="00100660"/>
    <w:rsid w:val="001029AB"/>
    <w:rsid w:val="00102BE1"/>
    <w:rsid w:val="00105661"/>
    <w:rsid w:val="00105DFE"/>
    <w:rsid w:val="00110518"/>
    <w:rsid w:val="001109E7"/>
    <w:rsid w:val="00111D56"/>
    <w:rsid w:val="00113395"/>
    <w:rsid w:val="00114790"/>
    <w:rsid w:val="00114B60"/>
    <w:rsid w:val="00114EB1"/>
    <w:rsid w:val="001170C9"/>
    <w:rsid w:val="001210C6"/>
    <w:rsid w:val="001216A8"/>
    <w:rsid w:val="00122A3C"/>
    <w:rsid w:val="00124435"/>
    <w:rsid w:val="0012487D"/>
    <w:rsid w:val="0012588A"/>
    <w:rsid w:val="00126019"/>
    <w:rsid w:val="001260FD"/>
    <w:rsid w:val="00127C20"/>
    <w:rsid w:val="0013265E"/>
    <w:rsid w:val="00132ECD"/>
    <w:rsid w:val="001350CC"/>
    <w:rsid w:val="0013708E"/>
    <w:rsid w:val="0013746B"/>
    <w:rsid w:val="001375F1"/>
    <w:rsid w:val="0013781F"/>
    <w:rsid w:val="00137C1A"/>
    <w:rsid w:val="00137D2F"/>
    <w:rsid w:val="00140583"/>
    <w:rsid w:val="00140600"/>
    <w:rsid w:val="00141F0B"/>
    <w:rsid w:val="00143927"/>
    <w:rsid w:val="001446CA"/>
    <w:rsid w:val="00145AF8"/>
    <w:rsid w:val="00150022"/>
    <w:rsid w:val="00151CC7"/>
    <w:rsid w:val="001534C9"/>
    <w:rsid w:val="00154B43"/>
    <w:rsid w:val="0016025A"/>
    <w:rsid w:val="001624C7"/>
    <w:rsid w:val="001651AA"/>
    <w:rsid w:val="00165714"/>
    <w:rsid w:val="001660F7"/>
    <w:rsid w:val="00166526"/>
    <w:rsid w:val="0017194F"/>
    <w:rsid w:val="00172440"/>
    <w:rsid w:val="0017348C"/>
    <w:rsid w:val="001754D6"/>
    <w:rsid w:val="00176DB6"/>
    <w:rsid w:val="00177A8E"/>
    <w:rsid w:val="00180C2F"/>
    <w:rsid w:val="0018222F"/>
    <w:rsid w:val="00183D21"/>
    <w:rsid w:val="001841F7"/>
    <w:rsid w:val="001847DD"/>
    <w:rsid w:val="00185071"/>
    <w:rsid w:val="00186510"/>
    <w:rsid w:val="00186F5F"/>
    <w:rsid w:val="00191EF5"/>
    <w:rsid w:val="00192699"/>
    <w:rsid w:val="00192A44"/>
    <w:rsid w:val="001A1311"/>
    <w:rsid w:val="001A3B80"/>
    <w:rsid w:val="001A3BE2"/>
    <w:rsid w:val="001A3FB4"/>
    <w:rsid w:val="001A7630"/>
    <w:rsid w:val="001A7A86"/>
    <w:rsid w:val="001B1673"/>
    <w:rsid w:val="001B2CC7"/>
    <w:rsid w:val="001B49EB"/>
    <w:rsid w:val="001B657E"/>
    <w:rsid w:val="001C0854"/>
    <w:rsid w:val="001C102A"/>
    <w:rsid w:val="001C167D"/>
    <w:rsid w:val="001C3779"/>
    <w:rsid w:val="001C51FC"/>
    <w:rsid w:val="001C57E0"/>
    <w:rsid w:val="001C62BE"/>
    <w:rsid w:val="001D11BB"/>
    <w:rsid w:val="001D4D8E"/>
    <w:rsid w:val="001D6925"/>
    <w:rsid w:val="001D7526"/>
    <w:rsid w:val="001E0C94"/>
    <w:rsid w:val="001E3214"/>
    <w:rsid w:val="001E488B"/>
    <w:rsid w:val="001E4FD4"/>
    <w:rsid w:val="001E5051"/>
    <w:rsid w:val="001E5AFA"/>
    <w:rsid w:val="001E76BD"/>
    <w:rsid w:val="001E7F05"/>
    <w:rsid w:val="001F021A"/>
    <w:rsid w:val="001F1037"/>
    <w:rsid w:val="001F2167"/>
    <w:rsid w:val="001F54BA"/>
    <w:rsid w:val="002006E7"/>
    <w:rsid w:val="002032DF"/>
    <w:rsid w:val="0020365D"/>
    <w:rsid w:val="00203DD2"/>
    <w:rsid w:val="002040FA"/>
    <w:rsid w:val="00204396"/>
    <w:rsid w:val="002044EB"/>
    <w:rsid w:val="00204E57"/>
    <w:rsid w:val="00207F5D"/>
    <w:rsid w:val="00210FDC"/>
    <w:rsid w:val="00211921"/>
    <w:rsid w:val="00211EB9"/>
    <w:rsid w:val="00211F8F"/>
    <w:rsid w:val="0021217F"/>
    <w:rsid w:val="00213102"/>
    <w:rsid w:val="00213180"/>
    <w:rsid w:val="00213555"/>
    <w:rsid w:val="00213877"/>
    <w:rsid w:val="00214274"/>
    <w:rsid w:val="00217069"/>
    <w:rsid w:val="00220626"/>
    <w:rsid w:val="00220FA4"/>
    <w:rsid w:val="00221881"/>
    <w:rsid w:val="00226174"/>
    <w:rsid w:val="00226695"/>
    <w:rsid w:val="00227478"/>
    <w:rsid w:val="002274D1"/>
    <w:rsid w:val="002300B4"/>
    <w:rsid w:val="002305C1"/>
    <w:rsid w:val="00230793"/>
    <w:rsid w:val="0023203E"/>
    <w:rsid w:val="00234F6F"/>
    <w:rsid w:val="002356D3"/>
    <w:rsid w:val="00235BA2"/>
    <w:rsid w:val="00235F4A"/>
    <w:rsid w:val="002360D2"/>
    <w:rsid w:val="0023645C"/>
    <w:rsid w:val="0023724C"/>
    <w:rsid w:val="00237D99"/>
    <w:rsid w:val="002412B4"/>
    <w:rsid w:val="0024194D"/>
    <w:rsid w:val="0024234E"/>
    <w:rsid w:val="00242746"/>
    <w:rsid w:val="0024315E"/>
    <w:rsid w:val="00243652"/>
    <w:rsid w:val="002441E6"/>
    <w:rsid w:val="00244B6C"/>
    <w:rsid w:val="00246D3F"/>
    <w:rsid w:val="00250635"/>
    <w:rsid w:val="00253BB7"/>
    <w:rsid w:val="00255843"/>
    <w:rsid w:val="00255C96"/>
    <w:rsid w:val="00256708"/>
    <w:rsid w:val="00257C2D"/>
    <w:rsid w:val="002615CC"/>
    <w:rsid w:val="00261874"/>
    <w:rsid w:val="00262DF4"/>
    <w:rsid w:val="002632B7"/>
    <w:rsid w:val="00264095"/>
    <w:rsid w:val="00265688"/>
    <w:rsid w:val="002658D1"/>
    <w:rsid w:val="002674CA"/>
    <w:rsid w:val="002708A5"/>
    <w:rsid w:val="00271EAB"/>
    <w:rsid w:val="00272CB2"/>
    <w:rsid w:val="00273886"/>
    <w:rsid w:val="00281ADB"/>
    <w:rsid w:val="00286EE4"/>
    <w:rsid w:val="002907D9"/>
    <w:rsid w:val="0029096B"/>
    <w:rsid w:val="0029110B"/>
    <w:rsid w:val="002924D5"/>
    <w:rsid w:val="00292B87"/>
    <w:rsid w:val="00293C8C"/>
    <w:rsid w:val="0029417E"/>
    <w:rsid w:val="002941D8"/>
    <w:rsid w:val="0029447A"/>
    <w:rsid w:val="00294B1E"/>
    <w:rsid w:val="0029533F"/>
    <w:rsid w:val="002966C1"/>
    <w:rsid w:val="002A2CDC"/>
    <w:rsid w:val="002A3805"/>
    <w:rsid w:val="002A3CCC"/>
    <w:rsid w:val="002A3D11"/>
    <w:rsid w:val="002A5D2E"/>
    <w:rsid w:val="002B1513"/>
    <w:rsid w:val="002B25DD"/>
    <w:rsid w:val="002B2ECE"/>
    <w:rsid w:val="002B5A4C"/>
    <w:rsid w:val="002B6A75"/>
    <w:rsid w:val="002C3A38"/>
    <w:rsid w:val="002C6710"/>
    <w:rsid w:val="002D1A39"/>
    <w:rsid w:val="002D1B3B"/>
    <w:rsid w:val="002D1FC8"/>
    <w:rsid w:val="002D2471"/>
    <w:rsid w:val="002D2795"/>
    <w:rsid w:val="002D2C70"/>
    <w:rsid w:val="002D2CE5"/>
    <w:rsid w:val="002D2CF7"/>
    <w:rsid w:val="002D5968"/>
    <w:rsid w:val="002D6158"/>
    <w:rsid w:val="002D6CB3"/>
    <w:rsid w:val="002D793C"/>
    <w:rsid w:val="002E276F"/>
    <w:rsid w:val="002E2A1C"/>
    <w:rsid w:val="002E364E"/>
    <w:rsid w:val="002E5734"/>
    <w:rsid w:val="002E5765"/>
    <w:rsid w:val="002E66FB"/>
    <w:rsid w:val="002E7E1C"/>
    <w:rsid w:val="002F0F9E"/>
    <w:rsid w:val="002F13F2"/>
    <w:rsid w:val="002F13FD"/>
    <w:rsid w:val="002F297B"/>
    <w:rsid w:val="002F2A9A"/>
    <w:rsid w:val="002F538B"/>
    <w:rsid w:val="002F583E"/>
    <w:rsid w:val="002F70C7"/>
    <w:rsid w:val="0030039D"/>
    <w:rsid w:val="00301552"/>
    <w:rsid w:val="0030397A"/>
    <w:rsid w:val="00303BCF"/>
    <w:rsid w:val="003077DF"/>
    <w:rsid w:val="003109CF"/>
    <w:rsid w:val="00314FB8"/>
    <w:rsid w:val="003152E7"/>
    <w:rsid w:val="003163E9"/>
    <w:rsid w:val="00320E70"/>
    <w:rsid w:val="003226C6"/>
    <w:rsid w:val="00323D74"/>
    <w:rsid w:val="00330A5F"/>
    <w:rsid w:val="003347A4"/>
    <w:rsid w:val="00337197"/>
    <w:rsid w:val="0034057C"/>
    <w:rsid w:val="00341CC3"/>
    <w:rsid w:val="003424A1"/>
    <w:rsid w:val="00346ECE"/>
    <w:rsid w:val="003479DE"/>
    <w:rsid w:val="00347AD6"/>
    <w:rsid w:val="00352C44"/>
    <w:rsid w:val="00353062"/>
    <w:rsid w:val="0035479E"/>
    <w:rsid w:val="00354ACC"/>
    <w:rsid w:val="00355EAE"/>
    <w:rsid w:val="0035701A"/>
    <w:rsid w:val="003617B9"/>
    <w:rsid w:val="00364DFC"/>
    <w:rsid w:val="0036611A"/>
    <w:rsid w:val="00370722"/>
    <w:rsid w:val="00372730"/>
    <w:rsid w:val="00373568"/>
    <w:rsid w:val="00374E37"/>
    <w:rsid w:val="00374FE9"/>
    <w:rsid w:val="00376FBE"/>
    <w:rsid w:val="0037779A"/>
    <w:rsid w:val="00383EF6"/>
    <w:rsid w:val="0038514A"/>
    <w:rsid w:val="00387518"/>
    <w:rsid w:val="003911CE"/>
    <w:rsid w:val="0039133F"/>
    <w:rsid w:val="00393069"/>
    <w:rsid w:val="0039478B"/>
    <w:rsid w:val="00396E3C"/>
    <w:rsid w:val="00397B54"/>
    <w:rsid w:val="00397BB2"/>
    <w:rsid w:val="003A0349"/>
    <w:rsid w:val="003A113C"/>
    <w:rsid w:val="003A1381"/>
    <w:rsid w:val="003A165C"/>
    <w:rsid w:val="003A19B3"/>
    <w:rsid w:val="003A1FB8"/>
    <w:rsid w:val="003A2E95"/>
    <w:rsid w:val="003A356C"/>
    <w:rsid w:val="003A379D"/>
    <w:rsid w:val="003A3C7F"/>
    <w:rsid w:val="003A49A5"/>
    <w:rsid w:val="003A55E1"/>
    <w:rsid w:val="003A5689"/>
    <w:rsid w:val="003A5837"/>
    <w:rsid w:val="003A5EA2"/>
    <w:rsid w:val="003A68A5"/>
    <w:rsid w:val="003A6950"/>
    <w:rsid w:val="003A6979"/>
    <w:rsid w:val="003B1289"/>
    <w:rsid w:val="003B2642"/>
    <w:rsid w:val="003B4435"/>
    <w:rsid w:val="003B49A2"/>
    <w:rsid w:val="003B59F6"/>
    <w:rsid w:val="003B745A"/>
    <w:rsid w:val="003C00A8"/>
    <w:rsid w:val="003C0BF1"/>
    <w:rsid w:val="003C1D59"/>
    <w:rsid w:val="003C2545"/>
    <w:rsid w:val="003C4744"/>
    <w:rsid w:val="003C63D7"/>
    <w:rsid w:val="003C752A"/>
    <w:rsid w:val="003C7DF2"/>
    <w:rsid w:val="003D004C"/>
    <w:rsid w:val="003D04FE"/>
    <w:rsid w:val="003D19A4"/>
    <w:rsid w:val="003D1A0B"/>
    <w:rsid w:val="003D3E73"/>
    <w:rsid w:val="003D4086"/>
    <w:rsid w:val="003D4F56"/>
    <w:rsid w:val="003D51F0"/>
    <w:rsid w:val="003E0CEF"/>
    <w:rsid w:val="003E4181"/>
    <w:rsid w:val="003E56B1"/>
    <w:rsid w:val="003E62F4"/>
    <w:rsid w:val="003E63CA"/>
    <w:rsid w:val="003F2204"/>
    <w:rsid w:val="003F33BA"/>
    <w:rsid w:val="003F5C0C"/>
    <w:rsid w:val="003F6478"/>
    <w:rsid w:val="003F7C66"/>
    <w:rsid w:val="00400711"/>
    <w:rsid w:val="0040080E"/>
    <w:rsid w:val="0040549F"/>
    <w:rsid w:val="00407BC0"/>
    <w:rsid w:val="0041026E"/>
    <w:rsid w:val="0041274C"/>
    <w:rsid w:val="0041293D"/>
    <w:rsid w:val="00412EE9"/>
    <w:rsid w:val="00413536"/>
    <w:rsid w:val="00414C20"/>
    <w:rsid w:val="00417353"/>
    <w:rsid w:val="0042151B"/>
    <w:rsid w:val="004218FB"/>
    <w:rsid w:val="00422996"/>
    <w:rsid w:val="00423687"/>
    <w:rsid w:val="0042521D"/>
    <w:rsid w:val="0042564C"/>
    <w:rsid w:val="00427079"/>
    <w:rsid w:val="00427D36"/>
    <w:rsid w:val="00427FA7"/>
    <w:rsid w:val="00431C51"/>
    <w:rsid w:val="004333EF"/>
    <w:rsid w:val="004334D7"/>
    <w:rsid w:val="00435E85"/>
    <w:rsid w:val="00435ED8"/>
    <w:rsid w:val="00437274"/>
    <w:rsid w:val="004379A9"/>
    <w:rsid w:val="00437DCC"/>
    <w:rsid w:val="00441756"/>
    <w:rsid w:val="00442874"/>
    <w:rsid w:val="00444B39"/>
    <w:rsid w:val="00445D04"/>
    <w:rsid w:val="00450B70"/>
    <w:rsid w:val="00454A30"/>
    <w:rsid w:val="00454BF2"/>
    <w:rsid w:val="00455334"/>
    <w:rsid w:val="00460166"/>
    <w:rsid w:val="0046248A"/>
    <w:rsid w:val="00463DEB"/>
    <w:rsid w:val="00465488"/>
    <w:rsid w:val="004655B4"/>
    <w:rsid w:val="00465A41"/>
    <w:rsid w:val="00466DA0"/>
    <w:rsid w:val="00467800"/>
    <w:rsid w:val="00467EE2"/>
    <w:rsid w:val="00467F7F"/>
    <w:rsid w:val="00470E12"/>
    <w:rsid w:val="0047129D"/>
    <w:rsid w:val="004728E1"/>
    <w:rsid w:val="00474CC2"/>
    <w:rsid w:val="00474E79"/>
    <w:rsid w:val="00475561"/>
    <w:rsid w:val="00477BC7"/>
    <w:rsid w:val="00480526"/>
    <w:rsid w:val="004826EA"/>
    <w:rsid w:val="004832D7"/>
    <w:rsid w:val="00484A94"/>
    <w:rsid w:val="00491180"/>
    <w:rsid w:val="00491B76"/>
    <w:rsid w:val="00493120"/>
    <w:rsid w:val="004938E2"/>
    <w:rsid w:val="00494936"/>
    <w:rsid w:val="00495400"/>
    <w:rsid w:val="004955AA"/>
    <w:rsid w:val="00495FC4"/>
    <w:rsid w:val="00495FE1"/>
    <w:rsid w:val="00496F2A"/>
    <w:rsid w:val="00496FB9"/>
    <w:rsid w:val="00497E93"/>
    <w:rsid w:val="004A0B2E"/>
    <w:rsid w:val="004A0BD4"/>
    <w:rsid w:val="004A133B"/>
    <w:rsid w:val="004A2D5E"/>
    <w:rsid w:val="004A401A"/>
    <w:rsid w:val="004A7112"/>
    <w:rsid w:val="004B1CDC"/>
    <w:rsid w:val="004B20B9"/>
    <w:rsid w:val="004B2475"/>
    <w:rsid w:val="004B2C39"/>
    <w:rsid w:val="004B3280"/>
    <w:rsid w:val="004B37E7"/>
    <w:rsid w:val="004B3B60"/>
    <w:rsid w:val="004B3BEE"/>
    <w:rsid w:val="004B55A9"/>
    <w:rsid w:val="004B6236"/>
    <w:rsid w:val="004B6BF1"/>
    <w:rsid w:val="004B6E72"/>
    <w:rsid w:val="004C01AF"/>
    <w:rsid w:val="004C392A"/>
    <w:rsid w:val="004C546A"/>
    <w:rsid w:val="004C743C"/>
    <w:rsid w:val="004C7AAE"/>
    <w:rsid w:val="004C7C76"/>
    <w:rsid w:val="004D19CC"/>
    <w:rsid w:val="004D1D64"/>
    <w:rsid w:val="004D3DBB"/>
    <w:rsid w:val="004D4D79"/>
    <w:rsid w:val="004D582D"/>
    <w:rsid w:val="004D67A6"/>
    <w:rsid w:val="004D6FF9"/>
    <w:rsid w:val="004D7B6A"/>
    <w:rsid w:val="004E0C37"/>
    <w:rsid w:val="004E0FBE"/>
    <w:rsid w:val="004E215F"/>
    <w:rsid w:val="004E3C04"/>
    <w:rsid w:val="004E4EBB"/>
    <w:rsid w:val="004E54D5"/>
    <w:rsid w:val="004E5516"/>
    <w:rsid w:val="004E7FF2"/>
    <w:rsid w:val="004F1DC6"/>
    <w:rsid w:val="004F2601"/>
    <w:rsid w:val="004F42AE"/>
    <w:rsid w:val="004F46D6"/>
    <w:rsid w:val="004F6109"/>
    <w:rsid w:val="004F6441"/>
    <w:rsid w:val="004F653E"/>
    <w:rsid w:val="004F74A7"/>
    <w:rsid w:val="00501FC5"/>
    <w:rsid w:val="005025EB"/>
    <w:rsid w:val="00511203"/>
    <w:rsid w:val="00513AAA"/>
    <w:rsid w:val="0051426D"/>
    <w:rsid w:val="0051472C"/>
    <w:rsid w:val="005147C6"/>
    <w:rsid w:val="00514B8B"/>
    <w:rsid w:val="005155DD"/>
    <w:rsid w:val="00515E8A"/>
    <w:rsid w:val="00516B53"/>
    <w:rsid w:val="00517EFC"/>
    <w:rsid w:val="00520084"/>
    <w:rsid w:val="00520674"/>
    <w:rsid w:val="00520AE9"/>
    <w:rsid w:val="0052159B"/>
    <w:rsid w:val="005219A8"/>
    <w:rsid w:val="00522F9B"/>
    <w:rsid w:val="0052370B"/>
    <w:rsid w:val="00523716"/>
    <w:rsid w:val="005237EF"/>
    <w:rsid w:val="00524AEF"/>
    <w:rsid w:val="0053148F"/>
    <w:rsid w:val="00531EE9"/>
    <w:rsid w:val="00532964"/>
    <w:rsid w:val="00533C20"/>
    <w:rsid w:val="0053798B"/>
    <w:rsid w:val="00537CAA"/>
    <w:rsid w:val="00541003"/>
    <w:rsid w:val="005429A7"/>
    <w:rsid w:val="00542D55"/>
    <w:rsid w:val="00542E5C"/>
    <w:rsid w:val="00543B48"/>
    <w:rsid w:val="0054476A"/>
    <w:rsid w:val="005469EE"/>
    <w:rsid w:val="00546C92"/>
    <w:rsid w:val="0055009A"/>
    <w:rsid w:val="00550787"/>
    <w:rsid w:val="00552244"/>
    <w:rsid w:val="00552393"/>
    <w:rsid w:val="00553B22"/>
    <w:rsid w:val="00555021"/>
    <w:rsid w:val="00555EC2"/>
    <w:rsid w:val="00556412"/>
    <w:rsid w:val="00556E42"/>
    <w:rsid w:val="00561193"/>
    <w:rsid w:val="00565018"/>
    <w:rsid w:val="00567799"/>
    <w:rsid w:val="00570DCF"/>
    <w:rsid w:val="0057236D"/>
    <w:rsid w:val="00572DE6"/>
    <w:rsid w:val="005734CF"/>
    <w:rsid w:val="005759FF"/>
    <w:rsid w:val="0057782B"/>
    <w:rsid w:val="00580EAF"/>
    <w:rsid w:val="00584490"/>
    <w:rsid w:val="00587DA9"/>
    <w:rsid w:val="00590AAD"/>
    <w:rsid w:val="00591444"/>
    <w:rsid w:val="00592DAA"/>
    <w:rsid w:val="005935BF"/>
    <w:rsid w:val="005952B5"/>
    <w:rsid w:val="00595EF8"/>
    <w:rsid w:val="005A12DE"/>
    <w:rsid w:val="005A34CD"/>
    <w:rsid w:val="005A3D5D"/>
    <w:rsid w:val="005A48E7"/>
    <w:rsid w:val="005A5120"/>
    <w:rsid w:val="005A61A2"/>
    <w:rsid w:val="005A6DF5"/>
    <w:rsid w:val="005A6E16"/>
    <w:rsid w:val="005B3ED4"/>
    <w:rsid w:val="005B5AEA"/>
    <w:rsid w:val="005B6C70"/>
    <w:rsid w:val="005B6FAE"/>
    <w:rsid w:val="005C2778"/>
    <w:rsid w:val="005C40CE"/>
    <w:rsid w:val="005C48C5"/>
    <w:rsid w:val="005C51E2"/>
    <w:rsid w:val="005C7193"/>
    <w:rsid w:val="005C7BED"/>
    <w:rsid w:val="005D056A"/>
    <w:rsid w:val="005D2C60"/>
    <w:rsid w:val="005D4F21"/>
    <w:rsid w:val="005D557E"/>
    <w:rsid w:val="005D585C"/>
    <w:rsid w:val="005D6AFB"/>
    <w:rsid w:val="005D6FC8"/>
    <w:rsid w:val="005E13E7"/>
    <w:rsid w:val="005E1709"/>
    <w:rsid w:val="005E1FE7"/>
    <w:rsid w:val="005E39C2"/>
    <w:rsid w:val="005E5ABA"/>
    <w:rsid w:val="005E6318"/>
    <w:rsid w:val="005E69D2"/>
    <w:rsid w:val="005E7FF4"/>
    <w:rsid w:val="005F25A5"/>
    <w:rsid w:val="005F3528"/>
    <w:rsid w:val="005F4E75"/>
    <w:rsid w:val="005F53A4"/>
    <w:rsid w:val="005F60D3"/>
    <w:rsid w:val="005F67F0"/>
    <w:rsid w:val="006002BB"/>
    <w:rsid w:val="00600E3B"/>
    <w:rsid w:val="006016C0"/>
    <w:rsid w:val="0060284B"/>
    <w:rsid w:val="00603786"/>
    <w:rsid w:val="00603AD1"/>
    <w:rsid w:val="00611B7D"/>
    <w:rsid w:val="00613353"/>
    <w:rsid w:val="006137B4"/>
    <w:rsid w:val="0061382E"/>
    <w:rsid w:val="006157B1"/>
    <w:rsid w:val="006162AC"/>
    <w:rsid w:val="00616F02"/>
    <w:rsid w:val="00621504"/>
    <w:rsid w:val="0062269C"/>
    <w:rsid w:val="00624A6F"/>
    <w:rsid w:val="0062563A"/>
    <w:rsid w:val="00625723"/>
    <w:rsid w:val="00625DD6"/>
    <w:rsid w:val="0062651D"/>
    <w:rsid w:val="006267B4"/>
    <w:rsid w:val="006273EE"/>
    <w:rsid w:val="00631E02"/>
    <w:rsid w:val="00635E73"/>
    <w:rsid w:val="006360AE"/>
    <w:rsid w:val="00641F13"/>
    <w:rsid w:val="0064489B"/>
    <w:rsid w:val="00646359"/>
    <w:rsid w:val="006466A3"/>
    <w:rsid w:val="006500D9"/>
    <w:rsid w:val="00652CCE"/>
    <w:rsid w:val="00652F29"/>
    <w:rsid w:val="0065695B"/>
    <w:rsid w:val="00660203"/>
    <w:rsid w:val="0066054E"/>
    <w:rsid w:val="00660766"/>
    <w:rsid w:val="006609DA"/>
    <w:rsid w:val="00660B4C"/>
    <w:rsid w:val="006623BB"/>
    <w:rsid w:val="00663F0D"/>
    <w:rsid w:val="006651E4"/>
    <w:rsid w:val="00665941"/>
    <w:rsid w:val="0066679B"/>
    <w:rsid w:val="00667766"/>
    <w:rsid w:val="00670B4B"/>
    <w:rsid w:val="00671329"/>
    <w:rsid w:val="006745F0"/>
    <w:rsid w:val="00674A93"/>
    <w:rsid w:val="00675868"/>
    <w:rsid w:val="00675B62"/>
    <w:rsid w:val="0067773A"/>
    <w:rsid w:val="0068083D"/>
    <w:rsid w:val="006811AB"/>
    <w:rsid w:val="006827C6"/>
    <w:rsid w:val="00685188"/>
    <w:rsid w:val="00686AE5"/>
    <w:rsid w:val="006871BD"/>
    <w:rsid w:val="006928D4"/>
    <w:rsid w:val="00693313"/>
    <w:rsid w:val="0069436E"/>
    <w:rsid w:val="00694689"/>
    <w:rsid w:val="00694B18"/>
    <w:rsid w:val="00696800"/>
    <w:rsid w:val="006A0355"/>
    <w:rsid w:val="006A189A"/>
    <w:rsid w:val="006A4CE8"/>
    <w:rsid w:val="006A5445"/>
    <w:rsid w:val="006A5467"/>
    <w:rsid w:val="006A5FDC"/>
    <w:rsid w:val="006A61D6"/>
    <w:rsid w:val="006B37D8"/>
    <w:rsid w:val="006B5066"/>
    <w:rsid w:val="006B7B94"/>
    <w:rsid w:val="006B7F92"/>
    <w:rsid w:val="006C01CE"/>
    <w:rsid w:val="006C08DC"/>
    <w:rsid w:val="006D1832"/>
    <w:rsid w:val="006D1AFF"/>
    <w:rsid w:val="006D205A"/>
    <w:rsid w:val="006D3C08"/>
    <w:rsid w:val="006D6ABC"/>
    <w:rsid w:val="006D726F"/>
    <w:rsid w:val="006D7C85"/>
    <w:rsid w:val="006E12AB"/>
    <w:rsid w:val="006E12E4"/>
    <w:rsid w:val="006E407B"/>
    <w:rsid w:val="006E4659"/>
    <w:rsid w:val="006E4878"/>
    <w:rsid w:val="006E5FA6"/>
    <w:rsid w:val="006F460E"/>
    <w:rsid w:val="006F6061"/>
    <w:rsid w:val="006F7D60"/>
    <w:rsid w:val="00704591"/>
    <w:rsid w:val="00704CD0"/>
    <w:rsid w:val="00706E1D"/>
    <w:rsid w:val="007079B2"/>
    <w:rsid w:val="007100C3"/>
    <w:rsid w:val="00710B97"/>
    <w:rsid w:val="00712554"/>
    <w:rsid w:val="007127BE"/>
    <w:rsid w:val="00713DA1"/>
    <w:rsid w:val="00715241"/>
    <w:rsid w:val="007155EE"/>
    <w:rsid w:val="007264EA"/>
    <w:rsid w:val="00727342"/>
    <w:rsid w:val="00732417"/>
    <w:rsid w:val="007325EC"/>
    <w:rsid w:val="00732C33"/>
    <w:rsid w:val="00732DED"/>
    <w:rsid w:val="00733A1B"/>
    <w:rsid w:val="00733BB4"/>
    <w:rsid w:val="00733E94"/>
    <w:rsid w:val="0073434D"/>
    <w:rsid w:val="007363E5"/>
    <w:rsid w:val="007367A9"/>
    <w:rsid w:val="00737275"/>
    <w:rsid w:val="0074214A"/>
    <w:rsid w:val="00743330"/>
    <w:rsid w:val="007437BC"/>
    <w:rsid w:val="00743A56"/>
    <w:rsid w:val="00746FB4"/>
    <w:rsid w:val="00751135"/>
    <w:rsid w:val="007553AB"/>
    <w:rsid w:val="0075739C"/>
    <w:rsid w:val="007611E7"/>
    <w:rsid w:val="00763A73"/>
    <w:rsid w:val="007672DD"/>
    <w:rsid w:val="007700A4"/>
    <w:rsid w:val="00770A84"/>
    <w:rsid w:val="00770C7A"/>
    <w:rsid w:val="00772CD4"/>
    <w:rsid w:val="007734B7"/>
    <w:rsid w:val="00773559"/>
    <w:rsid w:val="00780702"/>
    <w:rsid w:val="00781137"/>
    <w:rsid w:val="007823E4"/>
    <w:rsid w:val="0078437B"/>
    <w:rsid w:val="00790C21"/>
    <w:rsid w:val="007925E4"/>
    <w:rsid w:val="00792EB7"/>
    <w:rsid w:val="007936FD"/>
    <w:rsid w:val="0079376A"/>
    <w:rsid w:val="00793985"/>
    <w:rsid w:val="007974F0"/>
    <w:rsid w:val="007A029F"/>
    <w:rsid w:val="007A1610"/>
    <w:rsid w:val="007A1EF1"/>
    <w:rsid w:val="007A5089"/>
    <w:rsid w:val="007A5A1A"/>
    <w:rsid w:val="007A62C3"/>
    <w:rsid w:val="007A68EE"/>
    <w:rsid w:val="007B082A"/>
    <w:rsid w:val="007B4EA8"/>
    <w:rsid w:val="007B664D"/>
    <w:rsid w:val="007B6C97"/>
    <w:rsid w:val="007B745A"/>
    <w:rsid w:val="007B7C97"/>
    <w:rsid w:val="007C1249"/>
    <w:rsid w:val="007C227E"/>
    <w:rsid w:val="007C236B"/>
    <w:rsid w:val="007C33C6"/>
    <w:rsid w:val="007C3409"/>
    <w:rsid w:val="007C413D"/>
    <w:rsid w:val="007C58B2"/>
    <w:rsid w:val="007C7BFF"/>
    <w:rsid w:val="007D1178"/>
    <w:rsid w:val="007D129A"/>
    <w:rsid w:val="007D4464"/>
    <w:rsid w:val="007D45C3"/>
    <w:rsid w:val="007D59D1"/>
    <w:rsid w:val="007D63F2"/>
    <w:rsid w:val="007E1F4D"/>
    <w:rsid w:val="007E26FA"/>
    <w:rsid w:val="007F1786"/>
    <w:rsid w:val="007F4A32"/>
    <w:rsid w:val="007F6CE9"/>
    <w:rsid w:val="00800C31"/>
    <w:rsid w:val="00801401"/>
    <w:rsid w:val="0080155B"/>
    <w:rsid w:val="0080327C"/>
    <w:rsid w:val="00803BCE"/>
    <w:rsid w:val="00804909"/>
    <w:rsid w:val="008061D6"/>
    <w:rsid w:val="00807A61"/>
    <w:rsid w:val="00807B35"/>
    <w:rsid w:val="00810989"/>
    <w:rsid w:val="0081235F"/>
    <w:rsid w:val="00813632"/>
    <w:rsid w:val="0081415A"/>
    <w:rsid w:val="0081439B"/>
    <w:rsid w:val="008148A0"/>
    <w:rsid w:val="00815828"/>
    <w:rsid w:val="008159C2"/>
    <w:rsid w:val="00815B19"/>
    <w:rsid w:val="00815F4C"/>
    <w:rsid w:val="008212E1"/>
    <w:rsid w:val="00822277"/>
    <w:rsid w:val="0082521E"/>
    <w:rsid w:val="0082678D"/>
    <w:rsid w:val="00830622"/>
    <w:rsid w:val="00830A46"/>
    <w:rsid w:val="008344DF"/>
    <w:rsid w:val="00834556"/>
    <w:rsid w:val="00835951"/>
    <w:rsid w:val="00837F6C"/>
    <w:rsid w:val="00840FD8"/>
    <w:rsid w:val="0084106C"/>
    <w:rsid w:val="00841F72"/>
    <w:rsid w:val="00843C5C"/>
    <w:rsid w:val="00845A79"/>
    <w:rsid w:val="00846B89"/>
    <w:rsid w:val="0084780B"/>
    <w:rsid w:val="00851FB6"/>
    <w:rsid w:val="00855372"/>
    <w:rsid w:val="0085593C"/>
    <w:rsid w:val="008577E0"/>
    <w:rsid w:val="008618C6"/>
    <w:rsid w:val="00862AA6"/>
    <w:rsid w:val="00863524"/>
    <w:rsid w:val="00864F2F"/>
    <w:rsid w:val="00865A26"/>
    <w:rsid w:val="0086617B"/>
    <w:rsid w:val="00866ABB"/>
    <w:rsid w:val="008673CF"/>
    <w:rsid w:val="00867829"/>
    <w:rsid w:val="0087390C"/>
    <w:rsid w:val="00874034"/>
    <w:rsid w:val="008746BE"/>
    <w:rsid w:val="008749D3"/>
    <w:rsid w:val="00875527"/>
    <w:rsid w:val="00875B5C"/>
    <w:rsid w:val="008769A4"/>
    <w:rsid w:val="00876A85"/>
    <w:rsid w:val="00882221"/>
    <w:rsid w:val="008831FD"/>
    <w:rsid w:val="008843CA"/>
    <w:rsid w:val="00884846"/>
    <w:rsid w:val="008876B6"/>
    <w:rsid w:val="00887A1D"/>
    <w:rsid w:val="008913F3"/>
    <w:rsid w:val="00891624"/>
    <w:rsid w:val="00894E4F"/>
    <w:rsid w:val="00896D71"/>
    <w:rsid w:val="008A1BCD"/>
    <w:rsid w:val="008A34AD"/>
    <w:rsid w:val="008B0445"/>
    <w:rsid w:val="008B0737"/>
    <w:rsid w:val="008B11A2"/>
    <w:rsid w:val="008B727F"/>
    <w:rsid w:val="008B757C"/>
    <w:rsid w:val="008C0115"/>
    <w:rsid w:val="008C01C4"/>
    <w:rsid w:val="008C10A8"/>
    <w:rsid w:val="008C1766"/>
    <w:rsid w:val="008C1A43"/>
    <w:rsid w:val="008C2FF0"/>
    <w:rsid w:val="008C6295"/>
    <w:rsid w:val="008C64EC"/>
    <w:rsid w:val="008C66DE"/>
    <w:rsid w:val="008C69E1"/>
    <w:rsid w:val="008D029D"/>
    <w:rsid w:val="008D3934"/>
    <w:rsid w:val="008D61BF"/>
    <w:rsid w:val="008D6538"/>
    <w:rsid w:val="008D7434"/>
    <w:rsid w:val="008E098E"/>
    <w:rsid w:val="008E13A5"/>
    <w:rsid w:val="008E1DF1"/>
    <w:rsid w:val="008E494D"/>
    <w:rsid w:val="008E4F3D"/>
    <w:rsid w:val="008E52F7"/>
    <w:rsid w:val="008E643A"/>
    <w:rsid w:val="008E71F9"/>
    <w:rsid w:val="008E785D"/>
    <w:rsid w:val="008F03A6"/>
    <w:rsid w:val="008F0929"/>
    <w:rsid w:val="008F5FBD"/>
    <w:rsid w:val="008F5FEC"/>
    <w:rsid w:val="008F7628"/>
    <w:rsid w:val="009008DF"/>
    <w:rsid w:val="00900BFF"/>
    <w:rsid w:val="00901085"/>
    <w:rsid w:val="0090137E"/>
    <w:rsid w:val="00906E66"/>
    <w:rsid w:val="00914260"/>
    <w:rsid w:val="00914B84"/>
    <w:rsid w:val="00915062"/>
    <w:rsid w:val="0091552D"/>
    <w:rsid w:val="0091697B"/>
    <w:rsid w:val="009169E9"/>
    <w:rsid w:val="00917F75"/>
    <w:rsid w:val="00917F9D"/>
    <w:rsid w:val="009235FD"/>
    <w:rsid w:val="00923FFF"/>
    <w:rsid w:val="009250C5"/>
    <w:rsid w:val="0092552E"/>
    <w:rsid w:val="00925B88"/>
    <w:rsid w:val="00926A4E"/>
    <w:rsid w:val="009270D4"/>
    <w:rsid w:val="009324B4"/>
    <w:rsid w:val="00934C10"/>
    <w:rsid w:val="00935BDD"/>
    <w:rsid w:val="009376D6"/>
    <w:rsid w:val="0094003D"/>
    <w:rsid w:val="009404BE"/>
    <w:rsid w:val="00940F58"/>
    <w:rsid w:val="00943A28"/>
    <w:rsid w:val="00943D17"/>
    <w:rsid w:val="00944367"/>
    <w:rsid w:val="00944997"/>
    <w:rsid w:val="009473A4"/>
    <w:rsid w:val="00950554"/>
    <w:rsid w:val="00951FA5"/>
    <w:rsid w:val="009531B2"/>
    <w:rsid w:val="00953988"/>
    <w:rsid w:val="00954DD2"/>
    <w:rsid w:val="0095635F"/>
    <w:rsid w:val="009569F2"/>
    <w:rsid w:val="00957824"/>
    <w:rsid w:val="0096376D"/>
    <w:rsid w:val="0096397B"/>
    <w:rsid w:val="00965695"/>
    <w:rsid w:val="0096677D"/>
    <w:rsid w:val="009705C9"/>
    <w:rsid w:val="00970F39"/>
    <w:rsid w:val="009729EE"/>
    <w:rsid w:val="009732E5"/>
    <w:rsid w:val="009737C2"/>
    <w:rsid w:val="00977C81"/>
    <w:rsid w:val="00981257"/>
    <w:rsid w:val="00981CF1"/>
    <w:rsid w:val="0098439F"/>
    <w:rsid w:val="00986419"/>
    <w:rsid w:val="0099009E"/>
    <w:rsid w:val="009908E3"/>
    <w:rsid w:val="00990A3A"/>
    <w:rsid w:val="009910DF"/>
    <w:rsid w:val="00992836"/>
    <w:rsid w:val="0099316F"/>
    <w:rsid w:val="00993BB9"/>
    <w:rsid w:val="00995D5B"/>
    <w:rsid w:val="0099622C"/>
    <w:rsid w:val="00997615"/>
    <w:rsid w:val="009A1D2C"/>
    <w:rsid w:val="009A1FA9"/>
    <w:rsid w:val="009A24C1"/>
    <w:rsid w:val="009A3298"/>
    <w:rsid w:val="009A57EE"/>
    <w:rsid w:val="009A68A0"/>
    <w:rsid w:val="009A6D58"/>
    <w:rsid w:val="009B1597"/>
    <w:rsid w:val="009B195C"/>
    <w:rsid w:val="009B1AD5"/>
    <w:rsid w:val="009B29DA"/>
    <w:rsid w:val="009B2BEE"/>
    <w:rsid w:val="009B6562"/>
    <w:rsid w:val="009C04B2"/>
    <w:rsid w:val="009D1E70"/>
    <w:rsid w:val="009D1EF8"/>
    <w:rsid w:val="009D2824"/>
    <w:rsid w:val="009D5775"/>
    <w:rsid w:val="009D675A"/>
    <w:rsid w:val="009D6E00"/>
    <w:rsid w:val="009D6EC7"/>
    <w:rsid w:val="009E04F9"/>
    <w:rsid w:val="009E215A"/>
    <w:rsid w:val="009E235A"/>
    <w:rsid w:val="009E286D"/>
    <w:rsid w:val="009E5633"/>
    <w:rsid w:val="009E61E6"/>
    <w:rsid w:val="009F0698"/>
    <w:rsid w:val="009F1E6B"/>
    <w:rsid w:val="009F358F"/>
    <w:rsid w:val="009F3660"/>
    <w:rsid w:val="009F4829"/>
    <w:rsid w:val="009F4FB5"/>
    <w:rsid w:val="00A01B84"/>
    <w:rsid w:val="00A02099"/>
    <w:rsid w:val="00A023AC"/>
    <w:rsid w:val="00A02EF9"/>
    <w:rsid w:val="00A04D68"/>
    <w:rsid w:val="00A05CFD"/>
    <w:rsid w:val="00A077FB"/>
    <w:rsid w:val="00A078C0"/>
    <w:rsid w:val="00A07A2A"/>
    <w:rsid w:val="00A116EA"/>
    <w:rsid w:val="00A13340"/>
    <w:rsid w:val="00A140FF"/>
    <w:rsid w:val="00A2206C"/>
    <w:rsid w:val="00A223AA"/>
    <w:rsid w:val="00A22506"/>
    <w:rsid w:val="00A234A0"/>
    <w:rsid w:val="00A237B5"/>
    <w:rsid w:val="00A23D89"/>
    <w:rsid w:val="00A24DBC"/>
    <w:rsid w:val="00A2605C"/>
    <w:rsid w:val="00A321CF"/>
    <w:rsid w:val="00A342D4"/>
    <w:rsid w:val="00A351CB"/>
    <w:rsid w:val="00A36458"/>
    <w:rsid w:val="00A37A30"/>
    <w:rsid w:val="00A37F27"/>
    <w:rsid w:val="00A4129F"/>
    <w:rsid w:val="00A43494"/>
    <w:rsid w:val="00A4529D"/>
    <w:rsid w:val="00A50FE4"/>
    <w:rsid w:val="00A525EC"/>
    <w:rsid w:val="00A53BE6"/>
    <w:rsid w:val="00A53C3D"/>
    <w:rsid w:val="00A54D4E"/>
    <w:rsid w:val="00A567DD"/>
    <w:rsid w:val="00A56B18"/>
    <w:rsid w:val="00A56BA1"/>
    <w:rsid w:val="00A649BD"/>
    <w:rsid w:val="00A6521F"/>
    <w:rsid w:val="00A65A2C"/>
    <w:rsid w:val="00A66E81"/>
    <w:rsid w:val="00A66F2B"/>
    <w:rsid w:val="00A67337"/>
    <w:rsid w:val="00A83845"/>
    <w:rsid w:val="00A90AB1"/>
    <w:rsid w:val="00A90E4F"/>
    <w:rsid w:val="00A945E5"/>
    <w:rsid w:val="00A951AC"/>
    <w:rsid w:val="00A951FA"/>
    <w:rsid w:val="00A95486"/>
    <w:rsid w:val="00A95D53"/>
    <w:rsid w:val="00A960F1"/>
    <w:rsid w:val="00A96163"/>
    <w:rsid w:val="00A965A9"/>
    <w:rsid w:val="00AA019F"/>
    <w:rsid w:val="00AA23CD"/>
    <w:rsid w:val="00AA2C94"/>
    <w:rsid w:val="00AA3011"/>
    <w:rsid w:val="00AA422F"/>
    <w:rsid w:val="00AA5A73"/>
    <w:rsid w:val="00AB02A4"/>
    <w:rsid w:val="00AB1559"/>
    <w:rsid w:val="00AB19F8"/>
    <w:rsid w:val="00AB4034"/>
    <w:rsid w:val="00AB4310"/>
    <w:rsid w:val="00AB603A"/>
    <w:rsid w:val="00AB6079"/>
    <w:rsid w:val="00AC09F0"/>
    <w:rsid w:val="00AC0A09"/>
    <w:rsid w:val="00AC29DE"/>
    <w:rsid w:val="00AC2EC2"/>
    <w:rsid w:val="00AC3061"/>
    <w:rsid w:val="00AC49FA"/>
    <w:rsid w:val="00AC4FF8"/>
    <w:rsid w:val="00AC541D"/>
    <w:rsid w:val="00AC5710"/>
    <w:rsid w:val="00AD026C"/>
    <w:rsid w:val="00AD3492"/>
    <w:rsid w:val="00AD7A1D"/>
    <w:rsid w:val="00AE1DDA"/>
    <w:rsid w:val="00AE1FD2"/>
    <w:rsid w:val="00AE2A76"/>
    <w:rsid w:val="00AE38D1"/>
    <w:rsid w:val="00AE4892"/>
    <w:rsid w:val="00AE5127"/>
    <w:rsid w:val="00AE6F95"/>
    <w:rsid w:val="00AE78D2"/>
    <w:rsid w:val="00AF1023"/>
    <w:rsid w:val="00AF1C3C"/>
    <w:rsid w:val="00AF1D34"/>
    <w:rsid w:val="00AF3034"/>
    <w:rsid w:val="00AF3B55"/>
    <w:rsid w:val="00AF4283"/>
    <w:rsid w:val="00AF5789"/>
    <w:rsid w:val="00AF57AB"/>
    <w:rsid w:val="00AF6E89"/>
    <w:rsid w:val="00AF751D"/>
    <w:rsid w:val="00B01744"/>
    <w:rsid w:val="00B02CEB"/>
    <w:rsid w:val="00B02CFA"/>
    <w:rsid w:val="00B0462E"/>
    <w:rsid w:val="00B04B05"/>
    <w:rsid w:val="00B11865"/>
    <w:rsid w:val="00B11E3A"/>
    <w:rsid w:val="00B13022"/>
    <w:rsid w:val="00B130F4"/>
    <w:rsid w:val="00B1630D"/>
    <w:rsid w:val="00B17508"/>
    <w:rsid w:val="00B17A9A"/>
    <w:rsid w:val="00B20784"/>
    <w:rsid w:val="00B20F4F"/>
    <w:rsid w:val="00B21C6A"/>
    <w:rsid w:val="00B21F71"/>
    <w:rsid w:val="00B234F8"/>
    <w:rsid w:val="00B2422B"/>
    <w:rsid w:val="00B24FCB"/>
    <w:rsid w:val="00B25F76"/>
    <w:rsid w:val="00B320D4"/>
    <w:rsid w:val="00B3377F"/>
    <w:rsid w:val="00B33937"/>
    <w:rsid w:val="00B37E2B"/>
    <w:rsid w:val="00B40590"/>
    <w:rsid w:val="00B40984"/>
    <w:rsid w:val="00B409BC"/>
    <w:rsid w:val="00B41707"/>
    <w:rsid w:val="00B44124"/>
    <w:rsid w:val="00B47929"/>
    <w:rsid w:val="00B47DAC"/>
    <w:rsid w:val="00B506CF"/>
    <w:rsid w:val="00B50D30"/>
    <w:rsid w:val="00B523C5"/>
    <w:rsid w:val="00B533D2"/>
    <w:rsid w:val="00B53607"/>
    <w:rsid w:val="00B537C3"/>
    <w:rsid w:val="00B54642"/>
    <w:rsid w:val="00B563C3"/>
    <w:rsid w:val="00B56D2F"/>
    <w:rsid w:val="00B57B96"/>
    <w:rsid w:val="00B61C5F"/>
    <w:rsid w:val="00B61FA0"/>
    <w:rsid w:val="00B65F9C"/>
    <w:rsid w:val="00B6654A"/>
    <w:rsid w:val="00B6739E"/>
    <w:rsid w:val="00B67636"/>
    <w:rsid w:val="00B677A7"/>
    <w:rsid w:val="00B67E40"/>
    <w:rsid w:val="00B7348B"/>
    <w:rsid w:val="00B760BE"/>
    <w:rsid w:val="00B77EC0"/>
    <w:rsid w:val="00B82412"/>
    <w:rsid w:val="00B827A2"/>
    <w:rsid w:val="00B833B3"/>
    <w:rsid w:val="00B83C8E"/>
    <w:rsid w:val="00B8436B"/>
    <w:rsid w:val="00B85444"/>
    <w:rsid w:val="00B86A4C"/>
    <w:rsid w:val="00B86E1A"/>
    <w:rsid w:val="00B90070"/>
    <w:rsid w:val="00B90321"/>
    <w:rsid w:val="00B906C0"/>
    <w:rsid w:val="00B90B0F"/>
    <w:rsid w:val="00B90CBB"/>
    <w:rsid w:val="00B90E51"/>
    <w:rsid w:val="00B91DB5"/>
    <w:rsid w:val="00B92402"/>
    <w:rsid w:val="00B931C5"/>
    <w:rsid w:val="00B945A0"/>
    <w:rsid w:val="00B948E7"/>
    <w:rsid w:val="00B957E0"/>
    <w:rsid w:val="00B95F4C"/>
    <w:rsid w:val="00B960A9"/>
    <w:rsid w:val="00B9643F"/>
    <w:rsid w:val="00B9691C"/>
    <w:rsid w:val="00B97097"/>
    <w:rsid w:val="00BA1D07"/>
    <w:rsid w:val="00BA252F"/>
    <w:rsid w:val="00BA4625"/>
    <w:rsid w:val="00BB08D4"/>
    <w:rsid w:val="00BB2765"/>
    <w:rsid w:val="00BB7656"/>
    <w:rsid w:val="00BC052E"/>
    <w:rsid w:val="00BC17F2"/>
    <w:rsid w:val="00BC2C9D"/>
    <w:rsid w:val="00BC45F2"/>
    <w:rsid w:val="00BC46E5"/>
    <w:rsid w:val="00BC4E06"/>
    <w:rsid w:val="00BC5353"/>
    <w:rsid w:val="00BC6C90"/>
    <w:rsid w:val="00BC7511"/>
    <w:rsid w:val="00BD23DA"/>
    <w:rsid w:val="00BD2BD9"/>
    <w:rsid w:val="00BD34D8"/>
    <w:rsid w:val="00BE0C4E"/>
    <w:rsid w:val="00BE1F70"/>
    <w:rsid w:val="00BE4FB6"/>
    <w:rsid w:val="00BE5B69"/>
    <w:rsid w:val="00BE640F"/>
    <w:rsid w:val="00BE6B7C"/>
    <w:rsid w:val="00BE7394"/>
    <w:rsid w:val="00BF0915"/>
    <w:rsid w:val="00BF3F92"/>
    <w:rsid w:val="00BF5E01"/>
    <w:rsid w:val="00BF7CEC"/>
    <w:rsid w:val="00BF7EF8"/>
    <w:rsid w:val="00C00572"/>
    <w:rsid w:val="00C02892"/>
    <w:rsid w:val="00C05E20"/>
    <w:rsid w:val="00C075EF"/>
    <w:rsid w:val="00C11B91"/>
    <w:rsid w:val="00C12034"/>
    <w:rsid w:val="00C1636C"/>
    <w:rsid w:val="00C164F1"/>
    <w:rsid w:val="00C16974"/>
    <w:rsid w:val="00C16A34"/>
    <w:rsid w:val="00C20ABF"/>
    <w:rsid w:val="00C21A42"/>
    <w:rsid w:val="00C21B3F"/>
    <w:rsid w:val="00C2258C"/>
    <w:rsid w:val="00C23A55"/>
    <w:rsid w:val="00C23E44"/>
    <w:rsid w:val="00C254C8"/>
    <w:rsid w:val="00C30D8F"/>
    <w:rsid w:val="00C31CB4"/>
    <w:rsid w:val="00C327C3"/>
    <w:rsid w:val="00C333FB"/>
    <w:rsid w:val="00C33F4E"/>
    <w:rsid w:val="00C36466"/>
    <w:rsid w:val="00C37D41"/>
    <w:rsid w:val="00C37E18"/>
    <w:rsid w:val="00C413B4"/>
    <w:rsid w:val="00C43FEC"/>
    <w:rsid w:val="00C4537B"/>
    <w:rsid w:val="00C45BB5"/>
    <w:rsid w:val="00C46191"/>
    <w:rsid w:val="00C4657E"/>
    <w:rsid w:val="00C478C4"/>
    <w:rsid w:val="00C52D0C"/>
    <w:rsid w:val="00C53FD6"/>
    <w:rsid w:val="00C54247"/>
    <w:rsid w:val="00C54F5A"/>
    <w:rsid w:val="00C56043"/>
    <w:rsid w:val="00C57A13"/>
    <w:rsid w:val="00C60A61"/>
    <w:rsid w:val="00C624E8"/>
    <w:rsid w:val="00C62F08"/>
    <w:rsid w:val="00C63309"/>
    <w:rsid w:val="00C643C3"/>
    <w:rsid w:val="00C646F4"/>
    <w:rsid w:val="00C65F7B"/>
    <w:rsid w:val="00C67BE1"/>
    <w:rsid w:val="00C70DB2"/>
    <w:rsid w:val="00C73F36"/>
    <w:rsid w:val="00C74BF1"/>
    <w:rsid w:val="00C757C8"/>
    <w:rsid w:val="00C761E7"/>
    <w:rsid w:val="00C76246"/>
    <w:rsid w:val="00C76764"/>
    <w:rsid w:val="00C80B26"/>
    <w:rsid w:val="00C82780"/>
    <w:rsid w:val="00C833F2"/>
    <w:rsid w:val="00C83701"/>
    <w:rsid w:val="00C8450B"/>
    <w:rsid w:val="00C8453F"/>
    <w:rsid w:val="00C85C2D"/>
    <w:rsid w:val="00C86D30"/>
    <w:rsid w:val="00C90C95"/>
    <w:rsid w:val="00C91F58"/>
    <w:rsid w:val="00C92E82"/>
    <w:rsid w:val="00C94A06"/>
    <w:rsid w:val="00CA3DF0"/>
    <w:rsid w:val="00CA4692"/>
    <w:rsid w:val="00CA5A1D"/>
    <w:rsid w:val="00CA5FE9"/>
    <w:rsid w:val="00CB00B8"/>
    <w:rsid w:val="00CB1D06"/>
    <w:rsid w:val="00CB343D"/>
    <w:rsid w:val="00CB4E5D"/>
    <w:rsid w:val="00CB544E"/>
    <w:rsid w:val="00CB56D3"/>
    <w:rsid w:val="00CB6357"/>
    <w:rsid w:val="00CB64AB"/>
    <w:rsid w:val="00CC0630"/>
    <w:rsid w:val="00CC0E16"/>
    <w:rsid w:val="00CC3676"/>
    <w:rsid w:val="00CC3A02"/>
    <w:rsid w:val="00CC4519"/>
    <w:rsid w:val="00CC6683"/>
    <w:rsid w:val="00CC6F77"/>
    <w:rsid w:val="00CC7D89"/>
    <w:rsid w:val="00CD1BB7"/>
    <w:rsid w:val="00CD1FC4"/>
    <w:rsid w:val="00CD23AC"/>
    <w:rsid w:val="00CD2793"/>
    <w:rsid w:val="00CD2851"/>
    <w:rsid w:val="00CD77E3"/>
    <w:rsid w:val="00CE0DCD"/>
    <w:rsid w:val="00CE2F20"/>
    <w:rsid w:val="00CE54CA"/>
    <w:rsid w:val="00CE730E"/>
    <w:rsid w:val="00CE75D4"/>
    <w:rsid w:val="00CE7632"/>
    <w:rsid w:val="00CF3587"/>
    <w:rsid w:val="00CF4432"/>
    <w:rsid w:val="00CF505F"/>
    <w:rsid w:val="00CF5395"/>
    <w:rsid w:val="00CF7131"/>
    <w:rsid w:val="00CF7736"/>
    <w:rsid w:val="00CF7DA6"/>
    <w:rsid w:val="00D00425"/>
    <w:rsid w:val="00D0538E"/>
    <w:rsid w:val="00D0768A"/>
    <w:rsid w:val="00D1041B"/>
    <w:rsid w:val="00D1078C"/>
    <w:rsid w:val="00D13447"/>
    <w:rsid w:val="00D14B59"/>
    <w:rsid w:val="00D179B3"/>
    <w:rsid w:val="00D2006E"/>
    <w:rsid w:val="00D2283C"/>
    <w:rsid w:val="00D2444A"/>
    <w:rsid w:val="00D24A73"/>
    <w:rsid w:val="00D24BE4"/>
    <w:rsid w:val="00D24F30"/>
    <w:rsid w:val="00D2592E"/>
    <w:rsid w:val="00D3162C"/>
    <w:rsid w:val="00D32EDF"/>
    <w:rsid w:val="00D34096"/>
    <w:rsid w:val="00D342BB"/>
    <w:rsid w:val="00D34E88"/>
    <w:rsid w:val="00D36329"/>
    <w:rsid w:val="00D36AAC"/>
    <w:rsid w:val="00D41694"/>
    <w:rsid w:val="00D41B3F"/>
    <w:rsid w:val="00D4299D"/>
    <w:rsid w:val="00D42EA1"/>
    <w:rsid w:val="00D4388E"/>
    <w:rsid w:val="00D45DC4"/>
    <w:rsid w:val="00D4670A"/>
    <w:rsid w:val="00D47270"/>
    <w:rsid w:val="00D476C9"/>
    <w:rsid w:val="00D503CF"/>
    <w:rsid w:val="00D507BC"/>
    <w:rsid w:val="00D51102"/>
    <w:rsid w:val="00D511F8"/>
    <w:rsid w:val="00D5179D"/>
    <w:rsid w:val="00D52566"/>
    <w:rsid w:val="00D52790"/>
    <w:rsid w:val="00D5343B"/>
    <w:rsid w:val="00D557C1"/>
    <w:rsid w:val="00D609C5"/>
    <w:rsid w:val="00D613D5"/>
    <w:rsid w:val="00D629ED"/>
    <w:rsid w:val="00D65F66"/>
    <w:rsid w:val="00D66E65"/>
    <w:rsid w:val="00D66F1F"/>
    <w:rsid w:val="00D67615"/>
    <w:rsid w:val="00D70B7E"/>
    <w:rsid w:val="00D7186F"/>
    <w:rsid w:val="00D7274E"/>
    <w:rsid w:val="00D73D5E"/>
    <w:rsid w:val="00D73E31"/>
    <w:rsid w:val="00D74CC1"/>
    <w:rsid w:val="00D7655C"/>
    <w:rsid w:val="00D76F5C"/>
    <w:rsid w:val="00D81706"/>
    <w:rsid w:val="00D83DCB"/>
    <w:rsid w:val="00D83F4B"/>
    <w:rsid w:val="00D84FE8"/>
    <w:rsid w:val="00D86418"/>
    <w:rsid w:val="00D86635"/>
    <w:rsid w:val="00D90C67"/>
    <w:rsid w:val="00D90F5B"/>
    <w:rsid w:val="00D922A1"/>
    <w:rsid w:val="00D932EB"/>
    <w:rsid w:val="00D97B9B"/>
    <w:rsid w:val="00DA08C9"/>
    <w:rsid w:val="00DA0BD7"/>
    <w:rsid w:val="00DA2266"/>
    <w:rsid w:val="00DA2A22"/>
    <w:rsid w:val="00DA366F"/>
    <w:rsid w:val="00DA6A15"/>
    <w:rsid w:val="00DA78D1"/>
    <w:rsid w:val="00DB4244"/>
    <w:rsid w:val="00DB4BBC"/>
    <w:rsid w:val="00DB70D7"/>
    <w:rsid w:val="00DC2C4F"/>
    <w:rsid w:val="00DC385D"/>
    <w:rsid w:val="00DC5154"/>
    <w:rsid w:val="00DC59E4"/>
    <w:rsid w:val="00DC5C06"/>
    <w:rsid w:val="00DD1477"/>
    <w:rsid w:val="00DD1C51"/>
    <w:rsid w:val="00DD2AF7"/>
    <w:rsid w:val="00DD3BB7"/>
    <w:rsid w:val="00DD3CAC"/>
    <w:rsid w:val="00DD3F60"/>
    <w:rsid w:val="00DD432B"/>
    <w:rsid w:val="00DD593A"/>
    <w:rsid w:val="00DD763E"/>
    <w:rsid w:val="00DD7CB7"/>
    <w:rsid w:val="00DE00EB"/>
    <w:rsid w:val="00DE01BA"/>
    <w:rsid w:val="00DE0D9B"/>
    <w:rsid w:val="00DE2845"/>
    <w:rsid w:val="00DE3346"/>
    <w:rsid w:val="00DE4DE8"/>
    <w:rsid w:val="00DF52EC"/>
    <w:rsid w:val="00DF5B53"/>
    <w:rsid w:val="00E02905"/>
    <w:rsid w:val="00E03076"/>
    <w:rsid w:val="00E033DE"/>
    <w:rsid w:val="00E052BB"/>
    <w:rsid w:val="00E058C9"/>
    <w:rsid w:val="00E06391"/>
    <w:rsid w:val="00E11579"/>
    <w:rsid w:val="00E12FF2"/>
    <w:rsid w:val="00E14313"/>
    <w:rsid w:val="00E15455"/>
    <w:rsid w:val="00E1661C"/>
    <w:rsid w:val="00E16E6F"/>
    <w:rsid w:val="00E170C7"/>
    <w:rsid w:val="00E17277"/>
    <w:rsid w:val="00E17330"/>
    <w:rsid w:val="00E17E29"/>
    <w:rsid w:val="00E17F15"/>
    <w:rsid w:val="00E23881"/>
    <w:rsid w:val="00E23DA9"/>
    <w:rsid w:val="00E27FF6"/>
    <w:rsid w:val="00E30FB7"/>
    <w:rsid w:val="00E329BA"/>
    <w:rsid w:val="00E358E0"/>
    <w:rsid w:val="00E40CF7"/>
    <w:rsid w:val="00E458EB"/>
    <w:rsid w:val="00E46784"/>
    <w:rsid w:val="00E533F3"/>
    <w:rsid w:val="00E601BC"/>
    <w:rsid w:val="00E60A4A"/>
    <w:rsid w:val="00E6149D"/>
    <w:rsid w:val="00E618CF"/>
    <w:rsid w:val="00E6253E"/>
    <w:rsid w:val="00E636C2"/>
    <w:rsid w:val="00E65593"/>
    <w:rsid w:val="00E65DB0"/>
    <w:rsid w:val="00E65FFA"/>
    <w:rsid w:val="00E66905"/>
    <w:rsid w:val="00E705B9"/>
    <w:rsid w:val="00E74A09"/>
    <w:rsid w:val="00E810A9"/>
    <w:rsid w:val="00E83243"/>
    <w:rsid w:val="00E8328E"/>
    <w:rsid w:val="00E84747"/>
    <w:rsid w:val="00E94F72"/>
    <w:rsid w:val="00E950FC"/>
    <w:rsid w:val="00E95A40"/>
    <w:rsid w:val="00E95F69"/>
    <w:rsid w:val="00E965DC"/>
    <w:rsid w:val="00E96B01"/>
    <w:rsid w:val="00E96CE8"/>
    <w:rsid w:val="00EA1C07"/>
    <w:rsid w:val="00EA21C8"/>
    <w:rsid w:val="00EA4174"/>
    <w:rsid w:val="00EA461E"/>
    <w:rsid w:val="00EA605B"/>
    <w:rsid w:val="00EB0132"/>
    <w:rsid w:val="00EB1034"/>
    <w:rsid w:val="00EB317B"/>
    <w:rsid w:val="00EB31FD"/>
    <w:rsid w:val="00EC3920"/>
    <w:rsid w:val="00EC51DF"/>
    <w:rsid w:val="00EC57F0"/>
    <w:rsid w:val="00EC6AFA"/>
    <w:rsid w:val="00ED0D1E"/>
    <w:rsid w:val="00ED4BB5"/>
    <w:rsid w:val="00ED5EAD"/>
    <w:rsid w:val="00ED6A1B"/>
    <w:rsid w:val="00ED74F3"/>
    <w:rsid w:val="00EE0CAF"/>
    <w:rsid w:val="00EE162B"/>
    <w:rsid w:val="00EE41E1"/>
    <w:rsid w:val="00EE61EC"/>
    <w:rsid w:val="00EE680C"/>
    <w:rsid w:val="00EE7260"/>
    <w:rsid w:val="00EF030D"/>
    <w:rsid w:val="00EF0B90"/>
    <w:rsid w:val="00EF29DF"/>
    <w:rsid w:val="00EF4C5C"/>
    <w:rsid w:val="00EF62BE"/>
    <w:rsid w:val="00F015B6"/>
    <w:rsid w:val="00F04249"/>
    <w:rsid w:val="00F05E8E"/>
    <w:rsid w:val="00F06566"/>
    <w:rsid w:val="00F06A10"/>
    <w:rsid w:val="00F06B99"/>
    <w:rsid w:val="00F0781A"/>
    <w:rsid w:val="00F07E5E"/>
    <w:rsid w:val="00F12497"/>
    <w:rsid w:val="00F137AF"/>
    <w:rsid w:val="00F14D00"/>
    <w:rsid w:val="00F15C22"/>
    <w:rsid w:val="00F17B6D"/>
    <w:rsid w:val="00F218B6"/>
    <w:rsid w:val="00F21986"/>
    <w:rsid w:val="00F21FBD"/>
    <w:rsid w:val="00F226BD"/>
    <w:rsid w:val="00F23C6D"/>
    <w:rsid w:val="00F24404"/>
    <w:rsid w:val="00F271F6"/>
    <w:rsid w:val="00F30410"/>
    <w:rsid w:val="00F31FB5"/>
    <w:rsid w:val="00F33E98"/>
    <w:rsid w:val="00F342F5"/>
    <w:rsid w:val="00F3631F"/>
    <w:rsid w:val="00F4451A"/>
    <w:rsid w:val="00F4595B"/>
    <w:rsid w:val="00F45DC1"/>
    <w:rsid w:val="00F47299"/>
    <w:rsid w:val="00F47558"/>
    <w:rsid w:val="00F507A7"/>
    <w:rsid w:val="00F56871"/>
    <w:rsid w:val="00F60282"/>
    <w:rsid w:val="00F60FB3"/>
    <w:rsid w:val="00F61B17"/>
    <w:rsid w:val="00F6211D"/>
    <w:rsid w:val="00F6232D"/>
    <w:rsid w:val="00F6293B"/>
    <w:rsid w:val="00F630DC"/>
    <w:rsid w:val="00F6352F"/>
    <w:rsid w:val="00F6542F"/>
    <w:rsid w:val="00F655D4"/>
    <w:rsid w:val="00F67738"/>
    <w:rsid w:val="00F70D47"/>
    <w:rsid w:val="00F72EBC"/>
    <w:rsid w:val="00F743F5"/>
    <w:rsid w:val="00F748AD"/>
    <w:rsid w:val="00F76127"/>
    <w:rsid w:val="00F7657A"/>
    <w:rsid w:val="00F7704E"/>
    <w:rsid w:val="00F8087C"/>
    <w:rsid w:val="00F81341"/>
    <w:rsid w:val="00F8387A"/>
    <w:rsid w:val="00F83BD2"/>
    <w:rsid w:val="00F8489D"/>
    <w:rsid w:val="00F860A6"/>
    <w:rsid w:val="00F90319"/>
    <w:rsid w:val="00F914CC"/>
    <w:rsid w:val="00F96355"/>
    <w:rsid w:val="00FA16CB"/>
    <w:rsid w:val="00FA471E"/>
    <w:rsid w:val="00FA5434"/>
    <w:rsid w:val="00FA657C"/>
    <w:rsid w:val="00FA6D6F"/>
    <w:rsid w:val="00FA6FD7"/>
    <w:rsid w:val="00FB08C1"/>
    <w:rsid w:val="00FB1678"/>
    <w:rsid w:val="00FB1CB7"/>
    <w:rsid w:val="00FB3243"/>
    <w:rsid w:val="00FB39E8"/>
    <w:rsid w:val="00FB49D9"/>
    <w:rsid w:val="00FB4CD2"/>
    <w:rsid w:val="00FB53EB"/>
    <w:rsid w:val="00FB670B"/>
    <w:rsid w:val="00FB6BB0"/>
    <w:rsid w:val="00FB7045"/>
    <w:rsid w:val="00FB767A"/>
    <w:rsid w:val="00FB76BE"/>
    <w:rsid w:val="00FC1AFE"/>
    <w:rsid w:val="00FC236A"/>
    <w:rsid w:val="00FC3B73"/>
    <w:rsid w:val="00FC41CC"/>
    <w:rsid w:val="00FC4712"/>
    <w:rsid w:val="00FC5554"/>
    <w:rsid w:val="00FC5CAA"/>
    <w:rsid w:val="00FC5F62"/>
    <w:rsid w:val="00FD045F"/>
    <w:rsid w:val="00FD1FC7"/>
    <w:rsid w:val="00FD26DC"/>
    <w:rsid w:val="00FD5A9E"/>
    <w:rsid w:val="00FD5F83"/>
    <w:rsid w:val="00FD6756"/>
    <w:rsid w:val="00FD6763"/>
    <w:rsid w:val="00FD6776"/>
    <w:rsid w:val="00FD7F85"/>
    <w:rsid w:val="00FE338F"/>
    <w:rsid w:val="00FE33D8"/>
    <w:rsid w:val="00FE4102"/>
    <w:rsid w:val="00FE5FFD"/>
    <w:rsid w:val="00FE6D5F"/>
    <w:rsid w:val="00FF1D0E"/>
    <w:rsid w:val="00FF2C44"/>
    <w:rsid w:val="00FF425D"/>
    <w:rsid w:val="00FF4787"/>
    <w:rsid w:val="00FF4ACC"/>
    <w:rsid w:val="00FF4AF1"/>
    <w:rsid w:val="00FF7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E7F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A1BCD"/>
    <w:pPr>
      <w:keepNext/>
      <w:keepLines/>
      <w:numPr>
        <w:numId w:val="2"/>
      </w:numPr>
      <w:spacing w:before="360" w:after="120" w:line="240" w:lineRule="auto"/>
      <w:jc w:val="both"/>
      <w:outlineLvl w:val="1"/>
    </w:pPr>
    <w:rPr>
      <w:rFonts w:eastAsiaTheme="majorEastAsia" w:cstheme="majorBidi"/>
      <w:b/>
      <w:bCs/>
      <w:color w:val="4F81BD" w:themeColor="accent1"/>
      <w:sz w:val="24"/>
      <w:szCs w:val="24"/>
      <w:lang w:val="pl-PL"/>
    </w:rPr>
  </w:style>
  <w:style w:type="paragraph" w:styleId="Nagwek3">
    <w:name w:val="heading 3"/>
    <w:basedOn w:val="Normalny"/>
    <w:next w:val="Normalny"/>
    <w:link w:val="Nagwek3Znak"/>
    <w:uiPriority w:val="9"/>
    <w:unhideWhenUsed/>
    <w:qFormat/>
    <w:rsid w:val="00834556"/>
    <w:pPr>
      <w:keepNext/>
      <w:keepLines/>
      <w:spacing w:before="200" w:after="240" w:line="240" w:lineRule="auto"/>
      <w:jc w:val="both"/>
      <w:outlineLvl w:val="2"/>
    </w:pPr>
    <w:rPr>
      <w:rFonts w:eastAsiaTheme="majorEastAsia" w:cstheme="majorBidi"/>
      <w:b/>
      <w:b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414C20"/>
    <w:rPr>
      <w:sz w:val="16"/>
      <w:szCs w:val="16"/>
    </w:rPr>
  </w:style>
  <w:style w:type="character" w:customStyle="1" w:styleId="sb8d990e2">
    <w:name w:val="sb8d990e2"/>
    <w:basedOn w:val="Domylnaczcionkaakapitu"/>
    <w:rsid w:val="00414C20"/>
  </w:style>
  <w:style w:type="character" w:styleId="Hipercze">
    <w:name w:val="Hyperlink"/>
    <w:basedOn w:val="Domylnaczcionkaakapitu"/>
    <w:uiPriority w:val="99"/>
    <w:unhideWhenUsed/>
    <w:rsid w:val="00414C20"/>
    <w:rPr>
      <w:color w:val="0000FF"/>
      <w:u w:val="single"/>
    </w:rPr>
  </w:style>
  <w:style w:type="character" w:customStyle="1" w:styleId="Nagwek2Znak">
    <w:name w:val="Nagłówek 2 Znak"/>
    <w:basedOn w:val="Domylnaczcionkaakapitu"/>
    <w:link w:val="Nagwek2"/>
    <w:uiPriority w:val="9"/>
    <w:rsid w:val="008A1BCD"/>
    <w:rPr>
      <w:rFonts w:eastAsiaTheme="majorEastAsia" w:cstheme="majorBidi"/>
      <w:b/>
      <w:bCs/>
      <w:color w:val="4F81BD" w:themeColor="accent1"/>
      <w:sz w:val="24"/>
      <w:szCs w:val="24"/>
      <w:lang w:val="pl-PL"/>
    </w:rPr>
  </w:style>
  <w:style w:type="character" w:customStyle="1" w:styleId="Nagwek1Znak">
    <w:name w:val="Nagłówek 1 Znak"/>
    <w:basedOn w:val="Domylnaczcionkaakapitu"/>
    <w:link w:val="Nagwek1"/>
    <w:uiPriority w:val="9"/>
    <w:rsid w:val="004E7FF2"/>
    <w:rPr>
      <w:rFonts w:asciiTheme="majorHAnsi" w:eastAsiaTheme="majorEastAsia" w:hAnsiTheme="majorHAnsi" w:cstheme="majorBidi"/>
      <w:b/>
      <w:bCs/>
      <w:color w:val="365F91" w:themeColor="accent1" w:themeShade="BF"/>
      <w:sz w:val="28"/>
      <w:szCs w:val="28"/>
    </w:rPr>
  </w:style>
  <w:style w:type="paragraph" w:styleId="Nagwek">
    <w:name w:val="header"/>
    <w:basedOn w:val="Normalny"/>
    <w:link w:val="NagwekZnak"/>
    <w:uiPriority w:val="99"/>
    <w:unhideWhenUsed/>
    <w:rsid w:val="003C7DF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7DF2"/>
  </w:style>
  <w:style w:type="paragraph" w:styleId="Stopka">
    <w:name w:val="footer"/>
    <w:basedOn w:val="Normalny"/>
    <w:link w:val="StopkaZnak"/>
    <w:uiPriority w:val="99"/>
    <w:unhideWhenUsed/>
    <w:rsid w:val="003C7DF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7DF2"/>
  </w:style>
  <w:style w:type="paragraph" w:styleId="Akapitzlist">
    <w:name w:val="List Paragraph"/>
    <w:basedOn w:val="Normalny"/>
    <w:link w:val="AkapitzlistZnak"/>
    <w:uiPriority w:val="34"/>
    <w:qFormat/>
    <w:rsid w:val="00884846"/>
    <w:pPr>
      <w:ind w:left="720"/>
      <w:contextualSpacing/>
    </w:pPr>
  </w:style>
  <w:style w:type="character" w:styleId="UyteHipercze">
    <w:name w:val="FollowedHyperlink"/>
    <w:basedOn w:val="Domylnaczcionkaakapitu"/>
    <w:uiPriority w:val="99"/>
    <w:semiHidden/>
    <w:unhideWhenUsed/>
    <w:rsid w:val="002B6A75"/>
    <w:rPr>
      <w:color w:val="800080" w:themeColor="followedHyperlink"/>
      <w:u w:val="single"/>
    </w:rPr>
  </w:style>
  <w:style w:type="paragraph" w:styleId="Nagwekspisutreci">
    <w:name w:val="TOC Heading"/>
    <w:basedOn w:val="Nagwek1"/>
    <w:next w:val="Normalny"/>
    <w:uiPriority w:val="39"/>
    <w:semiHidden/>
    <w:unhideWhenUsed/>
    <w:qFormat/>
    <w:rsid w:val="008C1766"/>
    <w:pPr>
      <w:outlineLvl w:val="9"/>
    </w:pPr>
    <w:rPr>
      <w:lang w:eastAsia="en-GB"/>
    </w:rPr>
  </w:style>
  <w:style w:type="paragraph" w:styleId="Spistreci1">
    <w:name w:val="toc 1"/>
    <w:basedOn w:val="Normalny"/>
    <w:next w:val="Normalny"/>
    <w:autoRedefine/>
    <w:uiPriority w:val="39"/>
    <w:unhideWhenUsed/>
    <w:rsid w:val="008C1766"/>
    <w:pPr>
      <w:spacing w:before="120" w:after="120"/>
    </w:pPr>
    <w:rPr>
      <w:b/>
      <w:bCs/>
      <w:caps/>
      <w:sz w:val="20"/>
      <w:szCs w:val="20"/>
    </w:rPr>
  </w:style>
  <w:style w:type="paragraph" w:styleId="Spistreci2">
    <w:name w:val="toc 2"/>
    <w:basedOn w:val="Normalny"/>
    <w:next w:val="Normalny"/>
    <w:autoRedefine/>
    <w:uiPriority w:val="39"/>
    <w:unhideWhenUsed/>
    <w:rsid w:val="00F47558"/>
    <w:pPr>
      <w:tabs>
        <w:tab w:val="left" w:pos="660"/>
        <w:tab w:val="right" w:leader="dot" w:pos="9062"/>
      </w:tabs>
      <w:spacing w:after="0"/>
      <w:ind w:left="220"/>
    </w:pPr>
    <w:rPr>
      <w:smallCaps/>
      <w:noProof/>
      <w:color w:val="4F81BD" w:themeColor="accent1"/>
      <w:sz w:val="20"/>
      <w:szCs w:val="20"/>
    </w:rPr>
  </w:style>
  <w:style w:type="paragraph" w:styleId="Tekstdymka">
    <w:name w:val="Balloon Text"/>
    <w:basedOn w:val="Normalny"/>
    <w:link w:val="TekstdymkaZnak"/>
    <w:uiPriority w:val="99"/>
    <w:semiHidden/>
    <w:unhideWhenUsed/>
    <w:rsid w:val="008C176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1766"/>
    <w:rPr>
      <w:rFonts w:ascii="Tahoma" w:hAnsi="Tahoma" w:cs="Tahoma"/>
      <w:sz w:val="16"/>
      <w:szCs w:val="16"/>
    </w:rPr>
  </w:style>
  <w:style w:type="character" w:customStyle="1" w:styleId="Nagwek3Znak">
    <w:name w:val="Nagłówek 3 Znak"/>
    <w:basedOn w:val="Domylnaczcionkaakapitu"/>
    <w:link w:val="Nagwek3"/>
    <w:uiPriority w:val="9"/>
    <w:rsid w:val="00834556"/>
    <w:rPr>
      <w:rFonts w:eastAsiaTheme="majorEastAsia" w:cstheme="majorBidi"/>
      <w:b/>
      <w:bCs/>
      <w:color w:val="000000" w:themeColor="text1"/>
    </w:rPr>
  </w:style>
  <w:style w:type="paragraph" w:styleId="Spistreci3">
    <w:name w:val="toc 3"/>
    <w:basedOn w:val="Normalny"/>
    <w:next w:val="Normalny"/>
    <w:autoRedefine/>
    <w:uiPriority w:val="39"/>
    <w:unhideWhenUsed/>
    <w:rsid w:val="004B3BEE"/>
    <w:pPr>
      <w:spacing w:after="0"/>
      <w:ind w:left="440"/>
    </w:pPr>
    <w:rPr>
      <w:i/>
      <w:iCs/>
      <w:sz w:val="20"/>
      <w:szCs w:val="20"/>
    </w:rPr>
  </w:style>
  <w:style w:type="paragraph" w:styleId="Spistreci4">
    <w:name w:val="toc 4"/>
    <w:basedOn w:val="Normalny"/>
    <w:next w:val="Normalny"/>
    <w:autoRedefine/>
    <w:uiPriority w:val="39"/>
    <w:unhideWhenUsed/>
    <w:rsid w:val="00397BB2"/>
    <w:pPr>
      <w:spacing w:after="0"/>
      <w:ind w:left="660"/>
    </w:pPr>
    <w:rPr>
      <w:sz w:val="18"/>
      <w:szCs w:val="18"/>
    </w:rPr>
  </w:style>
  <w:style w:type="paragraph" w:styleId="Spistreci5">
    <w:name w:val="toc 5"/>
    <w:basedOn w:val="Normalny"/>
    <w:next w:val="Normalny"/>
    <w:autoRedefine/>
    <w:uiPriority w:val="39"/>
    <w:unhideWhenUsed/>
    <w:rsid w:val="00397BB2"/>
    <w:pPr>
      <w:spacing w:after="0"/>
      <w:ind w:left="880"/>
    </w:pPr>
    <w:rPr>
      <w:sz w:val="18"/>
      <w:szCs w:val="18"/>
    </w:rPr>
  </w:style>
  <w:style w:type="paragraph" w:styleId="Spistreci6">
    <w:name w:val="toc 6"/>
    <w:basedOn w:val="Normalny"/>
    <w:next w:val="Normalny"/>
    <w:autoRedefine/>
    <w:uiPriority w:val="39"/>
    <w:unhideWhenUsed/>
    <w:rsid w:val="00397BB2"/>
    <w:pPr>
      <w:spacing w:after="0"/>
      <w:ind w:left="1100"/>
    </w:pPr>
    <w:rPr>
      <w:sz w:val="18"/>
      <w:szCs w:val="18"/>
    </w:rPr>
  </w:style>
  <w:style w:type="paragraph" w:styleId="Spistreci7">
    <w:name w:val="toc 7"/>
    <w:basedOn w:val="Normalny"/>
    <w:next w:val="Normalny"/>
    <w:autoRedefine/>
    <w:uiPriority w:val="39"/>
    <w:unhideWhenUsed/>
    <w:rsid w:val="00397BB2"/>
    <w:pPr>
      <w:spacing w:after="0"/>
      <w:ind w:left="1320"/>
    </w:pPr>
    <w:rPr>
      <w:sz w:val="18"/>
      <w:szCs w:val="18"/>
    </w:rPr>
  </w:style>
  <w:style w:type="paragraph" w:styleId="Spistreci8">
    <w:name w:val="toc 8"/>
    <w:basedOn w:val="Normalny"/>
    <w:next w:val="Normalny"/>
    <w:autoRedefine/>
    <w:uiPriority w:val="39"/>
    <w:unhideWhenUsed/>
    <w:rsid w:val="00397BB2"/>
    <w:pPr>
      <w:spacing w:after="0"/>
      <w:ind w:left="1540"/>
    </w:pPr>
    <w:rPr>
      <w:sz w:val="18"/>
      <w:szCs w:val="18"/>
    </w:rPr>
  </w:style>
  <w:style w:type="paragraph" w:styleId="Spistreci9">
    <w:name w:val="toc 9"/>
    <w:basedOn w:val="Normalny"/>
    <w:next w:val="Normalny"/>
    <w:autoRedefine/>
    <w:uiPriority w:val="39"/>
    <w:unhideWhenUsed/>
    <w:rsid w:val="00397BB2"/>
    <w:pPr>
      <w:spacing w:after="0"/>
      <w:ind w:left="1760"/>
    </w:pPr>
    <w:rPr>
      <w:sz w:val="18"/>
      <w:szCs w:val="18"/>
    </w:rPr>
  </w:style>
  <w:style w:type="paragraph" w:customStyle="1" w:styleId="s30eec3f8">
    <w:name w:val="s30eec3f8"/>
    <w:basedOn w:val="Normalny"/>
    <w:rsid w:val="000767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6b621b36">
    <w:name w:val="s6b621b36"/>
    <w:basedOn w:val="Domylnaczcionkaakapitu"/>
    <w:rsid w:val="000767D1"/>
  </w:style>
  <w:style w:type="paragraph" w:styleId="Tekstkomentarza">
    <w:name w:val="annotation text"/>
    <w:basedOn w:val="Normalny"/>
    <w:link w:val="TekstkomentarzaZnak"/>
    <w:uiPriority w:val="99"/>
    <w:semiHidden/>
    <w:unhideWhenUsed/>
    <w:rsid w:val="00B175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17508"/>
    <w:rPr>
      <w:sz w:val="20"/>
      <w:szCs w:val="20"/>
    </w:rPr>
  </w:style>
  <w:style w:type="paragraph" w:styleId="Tematkomentarza">
    <w:name w:val="annotation subject"/>
    <w:basedOn w:val="Tekstkomentarza"/>
    <w:next w:val="Tekstkomentarza"/>
    <w:link w:val="TematkomentarzaZnak"/>
    <w:uiPriority w:val="99"/>
    <w:semiHidden/>
    <w:unhideWhenUsed/>
    <w:rsid w:val="00B17508"/>
    <w:rPr>
      <w:b/>
      <w:bCs/>
    </w:rPr>
  </w:style>
  <w:style w:type="character" w:customStyle="1" w:styleId="TematkomentarzaZnak">
    <w:name w:val="Temat komentarza Znak"/>
    <w:basedOn w:val="TekstkomentarzaZnak"/>
    <w:link w:val="Tematkomentarza"/>
    <w:uiPriority w:val="99"/>
    <w:semiHidden/>
    <w:rsid w:val="00B17508"/>
    <w:rPr>
      <w:b/>
      <w:bCs/>
      <w:sz w:val="20"/>
      <w:szCs w:val="20"/>
    </w:rPr>
  </w:style>
  <w:style w:type="paragraph" w:styleId="Tekstprzypisudolnego">
    <w:name w:val="footnote text"/>
    <w:basedOn w:val="Normalny"/>
    <w:link w:val="TekstprzypisudolnegoZnak"/>
    <w:unhideWhenUsed/>
    <w:rsid w:val="006162AC"/>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kstprzypisudolnegoZnak">
    <w:name w:val="Tekst przypisu dolnego Znak"/>
    <w:basedOn w:val="Domylnaczcionkaakapitu"/>
    <w:link w:val="Tekstprzypisudolnego"/>
    <w:rsid w:val="006162AC"/>
    <w:rPr>
      <w:rFonts w:ascii="Calibri" w:eastAsia="Calibri" w:hAnsi="Calibri" w:cs="Calibri"/>
      <w:color w:val="000000"/>
      <w:sz w:val="20"/>
      <w:szCs w:val="20"/>
      <w:u w:color="000000"/>
      <w:bdr w:val="nil"/>
      <w:lang w:val="en-US"/>
    </w:rPr>
  </w:style>
  <w:style w:type="character" w:styleId="Odwoanieprzypisudolnego">
    <w:name w:val="footnote reference"/>
    <w:basedOn w:val="Domylnaczcionkaakapitu"/>
    <w:uiPriority w:val="99"/>
    <w:semiHidden/>
    <w:unhideWhenUsed/>
    <w:rsid w:val="006162AC"/>
    <w:rPr>
      <w:vertAlign w:val="superscript"/>
    </w:rPr>
  </w:style>
  <w:style w:type="character" w:customStyle="1" w:styleId="hps">
    <w:name w:val="hps"/>
    <w:basedOn w:val="Domylnaczcionkaakapitu"/>
    <w:rsid w:val="00FB3243"/>
  </w:style>
  <w:style w:type="paragraph" w:styleId="Tekstprzypisukocowego">
    <w:name w:val="endnote text"/>
    <w:basedOn w:val="Normalny"/>
    <w:link w:val="TekstprzypisukocowegoZnak"/>
    <w:uiPriority w:val="99"/>
    <w:semiHidden/>
    <w:unhideWhenUsed/>
    <w:rsid w:val="007C23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236B"/>
    <w:rPr>
      <w:sz w:val="20"/>
      <w:szCs w:val="20"/>
    </w:rPr>
  </w:style>
  <w:style w:type="character" w:styleId="Odwoanieprzypisukocowego">
    <w:name w:val="endnote reference"/>
    <w:basedOn w:val="Domylnaczcionkaakapitu"/>
    <w:uiPriority w:val="99"/>
    <w:semiHidden/>
    <w:unhideWhenUsed/>
    <w:rsid w:val="007C236B"/>
    <w:rPr>
      <w:vertAlign w:val="superscript"/>
    </w:rPr>
  </w:style>
  <w:style w:type="paragraph" w:customStyle="1" w:styleId="s1bd70772">
    <w:name w:val="s1bd70772"/>
    <w:basedOn w:val="Normalny"/>
    <w:rsid w:val="001F54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7d2086b4">
    <w:name w:val="s7d2086b4"/>
    <w:basedOn w:val="Domylnaczcionkaakapitu"/>
    <w:rsid w:val="001F54BA"/>
  </w:style>
  <w:style w:type="paragraph" w:customStyle="1" w:styleId="s9e9b0cd7">
    <w:name w:val="s9e9b0cd7"/>
    <w:basedOn w:val="Normalny"/>
    <w:rsid w:val="001F54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bbfee58">
    <w:name w:val="sfbbfee58"/>
    <w:basedOn w:val="Domylnaczcionkaakapitu"/>
    <w:rsid w:val="001F54BA"/>
  </w:style>
  <w:style w:type="character" w:customStyle="1" w:styleId="sf8bfa2bc">
    <w:name w:val="sf8bfa2bc"/>
    <w:basedOn w:val="Domylnaczcionkaakapitu"/>
    <w:rsid w:val="001F54BA"/>
  </w:style>
  <w:style w:type="paragraph" w:customStyle="1" w:styleId="s6c429373">
    <w:name w:val="s6c429373"/>
    <w:basedOn w:val="Normalny"/>
    <w:rsid w:val="007D59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a844bc0">
    <w:name w:val="s1a844bc0"/>
    <w:basedOn w:val="Domylnaczcionkaakapitu"/>
    <w:rsid w:val="007D59D1"/>
  </w:style>
  <w:style w:type="character" w:customStyle="1" w:styleId="s2a6cf492">
    <w:name w:val="s2a6cf492"/>
    <w:basedOn w:val="Domylnaczcionkaakapitu"/>
    <w:rsid w:val="007D59D1"/>
  </w:style>
  <w:style w:type="paragraph" w:customStyle="1" w:styleId="DecHTitle">
    <w:name w:val="Dec_H_Title"/>
    <w:basedOn w:val="Normalny"/>
    <w:uiPriority w:val="7"/>
    <w:qFormat/>
    <w:rsid w:val="000F42C7"/>
    <w:pPr>
      <w:keepNext/>
      <w:keepLines/>
      <w:spacing w:after="240" w:line="240" w:lineRule="auto"/>
      <w:jc w:val="center"/>
      <w:outlineLvl w:val="0"/>
    </w:pPr>
    <w:rPr>
      <w:rFonts w:asciiTheme="majorHAnsi" w:eastAsiaTheme="minorEastAsia" w:hAnsiTheme="majorHAnsi"/>
      <w:sz w:val="28"/>
      <w:lang w:val="en-US"/>
    </w:rPr>
  </w:style>
  <w:style w:type="character" w:customStyle="1" w:styleId="AkapitzlistZnak">
    <w:name w:val="Akapit z listą Znak"/>
    <w:link w:val="Akapitzlist"/>
    <w:uiPriority w:val="34"/>
    <w:locked/>
    <w:rsid w:val="000F42C7"/>
  </w:style>
  <w:style w:type="character" w:styleId="Wyrnieniedelikatne">
    <w:name w:val="Subtle Emphasis"/>
    <w:basedOn w:val="Domylnaczcionkaakapitu"/>
    <w:uiPriority w:val="19"/>
    <w:qFormat/>
    <w:rsid w:val="000F42C7"/>
    <w:rPr>
      <w:i/>
      <w:iCs/>
      <w:color w:val="808080" w:themeColor="text1" w:themeTint="7F"/>
    </w:rPr>
  </w:style>
  <w:style w:type="paragraph" w:customStyle="1" w:styleId="ECHRPara">
    <w:name w:val="ECHR_Para"/>
    <w:aliases w:val="Ju_Para,Para,Left,First line:  0 cm"/>
    <w:basedOn w:val="Normalny"/>
    <w:link w:val="JuParaCar"/>
    <w:uiPriority w:val="12"/>
    <w:qFormat/>
    <w:rsid w:val="00EE41E1"/>
    <w:pPr>
      <w:spacing w:after="0" w:line="240" w:lineRule="auto"/>
      <w:ind w:firstLine="284"/>
      <w:jc w:val="both"/>
    </w:pPr>
    <w:rPr>
      <w:rFonts w:eastAsiaTheme="minorEastAsia"/>
      <w:sz w:val="24"/>
      <w:lang w:val="en-US"/>
    </w:rPr>
  </w:style>
  <w:style w:type="character" w:customStyle="1" w:styleId="JuParaCar">
    <w:name w:val="Ju_Para Car"/>
    <w:basedOn w:val="Domylnaczcionkaakapitu"/>
    <w:link w:val="ECHRPara"/>
    <w:uiPriority w:val="12"/>
    <w:locked/>
    <w:rsid w:val="00EE41E1"/>
    <w:rPr>
      <w:rFonts w:eastAsiaTheme="minorEastAsia"/>
      <w:sz w:val="24"/>
      <w:lang w:val="en-US"/>
    </w:rPr>
  </w:style>
  <w:style w:type="paragraph" w:styleId="HTML-wstpniesformatowany">
    <w:name w:val="HTML Preformatted"/>
    <w:basedOn w:val="Normalny"/>
    <w:link w:val="HTML-wstpniesformatowanyZnak"/>
    <w:uiPriority w:val="99"/>
    <w:unhideWhenUsed/>
    <w:rsid w:val="00065852"/>
    <w:pPr>
      <w:spacing w:after="0" w:line="240" w:lineRule="auto"/>
    </w:pPr>
    <w:rPr>
      <w:rFonts w:ascii="Consolas" w:hAnsi="Consolas"/>
      <w:sz w:val="20"/>
      <w:szCs w:val="20"/>
      <w:lang w:val="pl-PL"/>
    </w:rPr>
  </w:style>
  <w:style w:type="character" w:customStyle="1" w:styleId="HTML-wstpniesformatowanyZnak">
    <w:name w:val="HTML - wstępnie sformatowany Znak"/>
    <w:basedOn w:val="Domylnaczcionkaakapitu"/>
    <w:link w:val="HTML-wstpniesformatowany"/>
    <w:uiPriority w:val="99"/>
    <w:rsid w:val="00065852"/>
    <w:rPr>
      <w:rFonts w:ascii="Consolas" w:hAnsi="Consolas"/>
      <w:sz w:val="20"/>
      <w:szCs w:val="20"/>
      <w:lang w:val="pl-PL"/>
    </w:rPr>
  </w:style>
  <w:style w:type="character" w:customStyle="1" w:styleId="wordhighlighted">
    <w:name w:val="wordhighlighted"/>
    <w:basedOn w:val="Domylnaczcionkaakapitu"/>
    <w:rsid w:val="00D24A73"/>
  </w:style>
  <w:style w:type="paragraph" w:customStyle="1" w:styleId="ClinContent">
    <w:name w:val="ClinContent"/>
    <w:basedOn w:val="Normalny"/>
    <w:qFormat/>
    <w:rsid w:val="0087390C"/>
    <w:pPr>
      <w:spacing w:before="240" w:after="0" w:line="240" w:lineRule="auto"/>
      <w:jc w:val="both"/>
    </w:pPr>
    <w:rPr>
      <w:rFonts w:ascii="Verdana" w:eastAsia="Times New Roman" w:hAnsi="Verdana" w:cs="Times New Roman"/>
      <w:sz w:val="20"/>
      <w:szCs w:val="24"/>
      <w:lang w:eastAsia="en-GB"/>
    </w:rPr>
  </w:style>
  <w:style w:type="character" w:customStyle="1" w:styleId="ClinHeadNote">
    <w:name w:val="ClinHeadNote"/>
    <w:basedOn w:val="Domylnaczcionkaakapitu"/>
    <w:qFormat/>
    <w:rsid w:val="009E215A"/>
    <w:rPr>
      <w:rFonts w:ascii="Times New Roman" w:hAnsi="Times New Roman" w:cs="Times New Roman" w:hint="default"/>
    </w:rPr>
  </w:style>
  <w:style w:type="character" w:customStyle="1" w:styleId="tabulatory">
    <w:name w:val="tabulatory"/>
    <w:basedOn w:val="Domylnaczcionkaakapitu"/>
    <w:rsid w:val="001E7F05"/>
  </w:style>
  <w:style w:type="character" w:customStyle="1" w:styleId="JuParaChar">
    <w:name w:val="Ju_Para Char"/>
    <w:aliases w:val="ECHR_Para Char"/>
    <w:uiPriority w:val="12"/>
    <w:locked/>
    <w:rsid w:val="00E358E0"/>
    <w:rPr>
      <w:rFonts w:ascii="MS Mincho" w:eastAsiaTheme="minorEastAsia" w:hAnsi="MS Mincho"/>
      <w:sz w:val="24"/>
    </w:rPr>
  </w:style>
  <w:style w:type="paragraph" w:customStyle="1" w:styleId="ECHRParaQuote">
    <w:name w:val="ECHR_Para_Quote"/>
    <w:aliases w:val="Ju_Quot"/>
    <w:basedOn w:val="Normalny"/>
    <w:uiPriority w:val="14"/>
    <w:qFormat/>
    <w:rsid w:val="00AB1559"/>
    <w:pPr>
      <w:spacing w:before="120" w:after="120" w:line="240" w:lineRule="auto"/>
      <w:ind w:left="425" w:firstLine="142"/>
      <w:jc w:val="both"/>
    </w:pPr>
    <w:rPr>
      <w:rFonts w:eastAsiaTheme="minorEastAsia"/>
      <w:sz w:val="20"/>
    </w:rPr>
  </w:style>
  <w:style w:type="paragraph" w:customStyle="1" w:styleId="s6e50bd9a">
    <w:name w:val="s6e50bd9a"/>
    <w:basedOn w:val="Normalny"/>
    <w:rsid w:val="00E614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linCaseTitle">
    <w:name w:val="ClinCaseTitle"/>
    <w:basedOn w:val="Domylnaczcionkaakapitu"/>
    <w:qFormat/>
    <w:rsid w:val="00230793"/>
    <w:rPr>
      <w:rFonts w:ascii="Verdana" w:hAnsi="Verdana" w:cs="Times New Roman"/>
      <w:b/>
      <w:i/>
      <w:sz w:val="24"/>
    </w:rPr>
  </w:style>
  <w:style w:type="character" w:customStyle="1" w:styleId="ClinHudocDocumentTitle">
    <w:name w:val="ClinHudocDocumentTitle"/>
    <w:basedOn w:val="Domylnaczcionkaakapitu"/>
    <w:qFormat/>
    <w:rsid w:val="00230793"/>
    <w:rPr>
      <w:rFonts w:ascii="Verdana" w:hAnsi="Verdana" w:cs="Times New Roman"/>
      <w:color w:val="auto"/>
    </w:rPr>
  </w:style>
  <w:style w:type="character" w:customStyle="1" w:styleId="ClinApplicationNumber">
    <w:name w:val="ClinApplicationNumber"/>
    <w:basedOn w:val="Domylnaczcionkaakapitu"/>
    <w:qFormat/>
    <w:rsid w:val="00230793"/>
    <w:rPr>
      <w:rFonts w:ascii="Verdana" w:hAnsi="Verdana" w:cs="Times New Roman"/>
      <w:b/>
      <w:sz w:val="24"/>
    </w:rPr>
  </w:style>
  <w:style w:type="character" w:customStyle="1" w:styleId="s32a37344">
    <w:name w:val="s32a37344"/>
    <w:basedOn w:val="Domylnaczcionkaakapitu"/>
    <w:rsid w:val="003C00A8"/>
  </w:style>
  <w:style w:type="character" w:customStyle="1" w:styleId="atn">
    <w:name w:val="atn"/>
    <w:basedOn w:val="Domylnaczcionkaakapitu"/>
    <w:rsid w:val="004218FB"/>
  </w:style>
  <w:style w:type="paragraph" w:customStyle="1" w:styleId="s440d9021">
    <w:name w:val="s440d9021"/>
    <w:basedOn w:val="Normalny"/>
    <w:rsid w:val="00516B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38c10080">
    <w:name w:val="s38c10080"/>
    <w:basedOn w:val="Domylnaczcionkaakapitu"/>
    <w:rsid w:val="006A54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E7F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A1BCD"/>
    <w:pPr>
      <w:keepNext/>
      <w:keepLines/>
      <w:numPr>
        <w:numId w:val="2"/>
      </w:numPr>
      <w:spacing w:before="360" w:after="120" w:line="240" w:lineRule="auto"/>
      <w:jc w:val="both"/>
      <w:outlineLvl w:val="1"/>
    </w:pPr>
    <w:rPr>
      <w:rFonts w:eastAsiaTheme="majorEastAsia" w:cstheme="majorBidi"/>
      <w:b/>
      <w:bCs/>
      <w:color w:val="4F81BD" w:themeColor="accent1"/>
      <w:sz w:val="24"/>
      <w:szCs w:val="24"/>
      <w:lang w:val="pl-PL"/>
    </w:rPr>
  </w:style>
  <w:style w:type="paragraph" w:styleId="Nagwek3">
    <w:name w:val="heading 3"/>
    <w:basedOn w:val="Normalny"/>
    <w:next w:val="Normalny"/>
    <w:link w:val="Nagwek3Znak"/>
    <w:uiPriority w:val="9"/>
    <w:unhideWhenUsed/>
    <w:qFormat/>
    <w:rsid w:val="00834556"/>
    <w:pPr>
      <w:keepNext/>
      <w:keepLines/>
      <w:spacing w:before="200" w:after="240" w:line="240" w:lineRule="auto"/>
      <w:jc w:val="both"/>
      <w:outlineLvl w:val="2"/>
    </w:pPr>
    <w:rPr>
      <w:rFonts w:eastAsiaTheme="majorEastAsia" w:cstheme="majorBidi"/>
      <w:b/>
      <w:b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414C20"/>
    <w:rPr>
      <w:sz w:val="16"/>
      <w:szCs w:val="16"/>
    </w:rPr>
  </w:style>
  <w:style w:type="character" w:customStyle="1" w:styleId="sb8d990e2">
    <w:name w:val="sb8d990e2"/>
    <w:basedOn w:val="Domylnaczcionkaakapitu"/>
    <w:rsid w:val="00414C20"/>
  </w:style>
  <w:style w:type="character" w:styleId="Hipercze">
    <w:name w:val="Hyperlink"/>
    <w:basedOn w:val="Domylnaczcionkaakapitu"/>
    <w:uiPriority w:val="99"/>
    <w:unhideWhenUsed/>
    <w:rsid w:val="00414C20"/>
    <w:rPr>
      <w:color w:val="0000FF"/>
      <w:u w:val="single"/>
    </w:rPr>
  </w:style>
  <w:style w:type="character" w:customStyle="1" w:styleId="Nagwek2Znak">
    <w:name w:val="Nagłówek 2 Znak"/>
    <w:basedOn w:val="Domylnaczcionkaakapitu"/>
    <w:link w:val="Nagwek2"/>
    <w:uiPriority w:val="9"/>
    <w:rsid w:val="008A1BCD"/>
    <w:rPr>
      <w:rFonts w:eastAsiaTheme="majorEastAsia" w:cstheme="majorBidi"/>
      <w:b/>
      <w:bCs/>
      <w:color w:val="4F81BD" w:themeColor="accent1"/>
      <w:sz w:val="24"/>
      <w:szCs w:val="24"/>
      <w:lang w:val="pl-PL"/>
    </w:rPr>
  </w:style>
  <w:style w:type="character" w:customStyle="1" w:styleId="Nagwek1Znak">
    <w:name w:val="Nagłówek 1 Znak"/>
    <w:basedOn w:val="Domylnaczcionkaakapitu"/>
    <w:link w:val="Nagwek1"/>
    <w:uiPriority w:val="9"/>
    <w:rsid w:val="004E7FF2"/>
    <w:rPr>
      <w:rFonts w:asciiTheme="majorHAnsi" w:eastAsiaTheme="majorEastAsia" w:hAnsiTheme="majorHAnsi" w:cstheme="majorBidi"/>
      <w:b/>
      <w:bCs/>
      <w:color w:val="365F91" w:themeColor="accent1" w:themeShade="BF"/>
      <w:sz w:val="28"/>
      <w:szCs w:val="28"/>
    </w:rPr>
  </w:style>
  <w:style w:type="paragraph" w:styleId="Nagwek">
    <w:name w:val="header"/>
    <w:basedOn w:val="Normalny"/>
    <w:link w:val="NagwekZnak"/>
    <w:uiPriority w:val="99"/>
    <w:unhideWhenUsed/>
    <w:rsid w:val="003C7DF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7DF2"/>
  </w:style>
  <w:style w:type="paragraph" w:styleId="Stopka">
    <w:name w:val="footer"/>
    <w:basedOn w:val="Normalny"/>
    <w:link w:val="StopkaZnak"/>
    <w:uiPriority w:val="99"/>
    <w:unhideWhenUsed/>
    <w:rsid w:val="003C7DF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7DF2"/>
  </w:style>
  <w:style w:type="paragraph" w:styleId="Akapitzlist">
    <w:name w:val="List Paragraph"/>
    <w:basedOn w:val="Normalny"/>
    <w:link w:val="AkapitzlistZnak"/>
    <w:uiPriority w:val="34"/>
    <w:qFormat/>
    <w:rsid w:val="00884846"/>
    <w:pPr>
      <w:ind w:left="720"/>
      <w:contextualSpacing/>
    </w:pPr>
  </w:style>
  <w:style w:type="character" w:styleId="UyteHipercze">
    <w:name w:val="FollowedHyperlink"/>
    <w:basedOn w:val="Domylnaczcionkaakapitu"/>
    <w:uiPriority w:val="99"/>
    <w:semiHidden/>
    <w:unhideWhenUsed/>
    <w:rsid w:val="002B6A75"/>
    <w:rPr>
      <w:color w:val="800080" w:themeColor="followedHyperlink"/>
      <w:u w:val="single"/>
    </w:rPr>
  </w:style>
  <w:style w:type="paragraph" w:styleId="Nagwekspisutreci">
    <w:name w:val="TOC Heading"/>
    <w:basedOn w:val="Nagwek1"/>
    <w:next w:val="Normalny"/>
    <w:uiPriority w:val="39"/>
    <w:semiHidden/>
    <w:unhideWhenUsed/>
    <w:qFormat/>
    <w:rsid w:val="008C1766"/>
    <w:pPr>
      <w:outlineLvl w:val="9"/>
    </w:pPr>
    <w:rPr>
      <w:lang w:eastAsia="en-GB"/>
    </w:rPr>
  </w:style>
  <w:style w:type="paragraph" w:styleId="Spistreci1">
    <w:name w:val="toc 1"/>
    <w:basedOn w:val="Normalny"/>
    <w:next w:val="Normalny"/>
    <w:autoRedefine/>
    <w:uiPriority w:val="39"/>
    <w:unhideWhenUsed/>
    <w:rsid w:val="008C1766"/>
    <w:pPr>
      <w:spacing w:before="120" w:after="120"/>
    </w:pPr>
    <w:rPr>
      <w:b/>
      <w:bCs/>
      <w:caps/>
      <w:sz w:val="20"/>
      <w:szCs w:val="20"/>
    </w:rPr>
  </w:style>
  <w:style w:type="paragraph" w:styleId="Spistreci2">
    <w:name w:val="toc 2"/>
    <w:basedOn w:val="Normalny"/>
    <w:next w:val="Normalny"/>
    <w:autoRedefine/>
    <w:uiPriority w:val="39"/>
    <w:unhideWhenUsed/>
    <w:rsid w:val="00F47558"/>
    <w:pPr>
      <w:tabs>
        <w:tab w:val="left" w:pos="660"/>
        <w:tab w:val="right" w:leader="dot" w:pos="9062"/>
      </w:tabs>
      <w:spacing w:after="0"/>
      <w:ind w:left="220"/>
    </w:pPr>
    <w:rPr>
      <w:smallCaps/>
      <w:noProof/>
      <w:color w:val="4F81BD" w:themeColor="accent1"/>
      <w:sz w:val="20"/>
      <w:szCs w:val="20"/>
    </w:rPr>
  </w:style>
  <w:style w:type="paragraph" w:styleId="Tekstdymka">
    <w:name w:val="Balloon Text"/>
    <w:basedOn w:val="Normalny"/>
    <w:link w:val="TekstdymkaZnak"/>
    <w:uiPriority w:val="99"/>
    <w:semiHidden/>
    <w:unhideWhenUsed/>
    <w:rsid w:val="008C176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1766"/>
    <w:rPr>
      <w:rFonts w:ascii="Tahoma" w:hAnsi="Tahoma" w:cs="Tahoma"/>
      <w:sz w:val="16"/>
      <w:szCs w:val="16"/>
    </w:rPr>
  </w:style>
  <w:style w:type="character" w:customStyle="1" w:styleId="Nagwek3Znak">
    <w:name w:val="Nagłówek 3 Znak"/>
    <w:basedOn w:val="Domylnaczcionkaakapitu"/>
    <w:link w:val="Nagwek3"/>
    <w:uiPriority w:val="9"/>
    <w:rsid w:val="00834556"/>
    <w:rPr>
      <w:rFonts w:eastAsiaTheme="majorEastAsia" w:cstheme="majorBidi"/>
      <w:b/>
      <w:bCs/>
      <w:color w:val="000000" w:themeColor="text1"/>
    </w:rPr>
  </w:style>
  <w:style w:type="paragraph" w:styleId="Spistreci3">
    <w:name w:val="toc 3"/>
    <w:basedOn w:val="Normalny"/>
    <w:next w:val="Normalny"/>
    <w:autoRedefine/>
    <w:uiPriority w:val="39"/>
    <w:unhideWhenUsed/>
    <w:rsid w:val="004B3BEE"/>
    <w:pPr>
      <w:spacing w:after="0"/>
      <w:ind w:left="440"/>
    </w:pPr>
    <w:rPr>
      <w:i/>
      <w:iCs/>
      <w:sz w:val="20"/>
      <w:szCs w:val="20"/>
    </w:rPr>
  </w:style>
  <w:style w:type="paragraph" w:styleId="Spistreci4">
    <w:name w:val="toc 4"/>
    <w:basedOn w:val="Normalny"/>
    <w:next w:val="Normalny"/>
    <w:autoRedefine/>
    <w:uiPriority w:val="39"/>
    <w:unhideWhenUsed/>
    <w:rsid w:val="00397BB2"/>
    <w:pPr>
      <w:spacing w:after="0"/>
      <w:ind w:left="660"/>
    </w:pPr>
    <w:rPr>
      <w:sz w:val="18"/>
      <w:szCs w:val="18"/>
    </w:rPr>
  </w:style>
  <w:style w:type="paragraph" w:styleId="Spistreci5">
    <w:name w:val="toc 5"/>
    <w:basedOn w:val="Normalny"/>
    <w:next w:val="Normalny"/>
    <w:autoRedefine/>
    <w:uiPriority w:val="39"/>
    <w:unhideWhenUsed/>
    <w:rsid w:val="00397BB2"/>
    <w:pPr>
      <w:spacing w:after="0"/>
      <w:ind w:left="880"/>
    </w:pPr>
    <w:rPr>
      <w:sz w:val="18"/>
      <w:szCs w:val="18"/>
    </w:rPr>
  </w:style>
  <w:style w:type="paragraph" w:styleId="Spistreci6">
    <w:name w:val="toc 6"/>
    <w:basedOn w:val="Normalny"/>
    <w:next w:val="Normalny"/>
    <w:autoRedefine/>
    <w:uiPriority w:val="39"/>
    <w:unhideWhenUsed/>
    <w:rsid w:val="00397BB2"/>
    <w:pPr>
      <w:spacing w:after="0"/>
      <w:ind w:left="1100"/>
    </w:pPr>
    <w:rPr>
      <w:sz w:val="18"/>
      <w:szCs w:val="18"/>
    </w:rPr>
  </w:style>
  <w:style w:type="paragraph" w:styleId="Spistreci7">
    <w:name w:val="toc 7"/>
    <w:basedOn w:val="Normalny"/>
    <w:next w:val="Normalny"/>
    <w:autoRedefine/>
    <w:uiPriority w:val="39"/>
    <w:unhideWhenUsed/>
    <w:rsid w:val="00397BB2"/>
    <w:pPr>
      <w:spacing w:after="0"/>
      <w:ind w:left="1320"/>
    </w:pPr>
    <w:rPr>
      <w:sz w:val="18"/>
      <w:szCs w:val="18"/>
    </w:rPr>
  </w:style>
  <w:style w:type="paragraph" w:styleId="Spistreci8">
    <w:name w:val="toc 8"/>
    <w:basedOn w:val="Normalny"/>
    <w:next w:val="Normalny"/>
    <w:autoRedefine/>
    <w:uiPriority w:val="39"/>
    <w:unhideWhenUsed/>
    <w:rsid w:val="00397BB2"/>
    <w:pPr>
      <w:spacing w:after="0"/>
      <w:ind w:left="1540"/>
    </w:pPr>
    <w:rPr>
      <w:sz w:val="18"/>
      <w:szCs w:val="18"/>
    </w:rPr>
  </w:style>
  <w:style w:type="paragraph" w:styleId="Spistreci9">
    <w:name w:val="toc 9"/>
    <w:basedOn w:val="Normalny"/>
    <w:next w:val="Normalny"/>
    <w:autoRedefine/>
    <w:uiPriority w:val="39"/>
    <w:unhideWhenUsed/>
    <w:rsid w:val="00397BB2"/>
    <w:pPr>
      <w:spacing w:after="0"/>
      <w:ind w:left="1760"/>
    </w:pPr>
    <w:rPr>
      <w:sz w:val="18"/>
      <w:szCs w:val="18"/>
    </w:rPr>
  </w:style>
  <w:style w:type="paragraph" w:customStyle="1" w:styleId="s30eec3f8">
    <w:name w:val="s30eec3f8"/>
    <w:basedOn w:val="Normalny"/>
    <w:rsid w:val="000767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6b621b36">
    <w:name w:val="s6b621b36"/>
    <w:basedOn w:val="Domylnaczcionkaakapitu"/>
    <w:rsid w:val="000767D1"/>
  </w:style>
  <w:style w:type="paragraph" w:styleId="Tekstkomentarza">
    <w:name w:val="annotation text"/>
    <w:basedOn w:val="Normalny"/>
    <w:link w:val="TekstkomentarzaZnak"/>
    <w:uiPriority w:val="99"/>
    <w:semiHidden/>
    <w:unhideWhenUsed/>
    <w:rsid w:val="00B175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17508"/>
    <w:rPr>
      <w:sz w:val="20"/>
      <w:szCs w:val="20"/>
    </w:rPr>
  </w:style>
  <w:style w:type="paragraph" w:styleId="Tematkomentarza">
    <w:name w:val="annotation subject"/>
    <w:basedOn w:val="Tekstkomentarza"/>
    <w:next w:val="Tekstkomentarza"/>
    <w:link w:val="TematkomentarzaZnak"/>
    <w:uiPriority w:val="99"/>
    <w:semiHidden/>
    <w:unhideWhenUsed/>
    <w:rsid w:val="00B17508"/>
    <w:rPr>
      <w:b/>
      <w:bCs/>
    </w:rPr>
  </w:style>
  <w:style w:type="character" w:customStyle="1" w:styleId="TematkomentarzaZnak">
    <w:name w:val="Temat komentarza Znak"/>
    <w:basedOn w:val="TekstkomentarzaZnak"/>
    <w:link w:val="Tematkomentarza"/>
    <w:uiPriority w:val="99"/>
    <w:semiHidden/>
    <w:rsid w:val="00B17508"/>
    <w:rPr>
      <w:b/>
      <w:bCs/>
      <w:sz w:val="20"/>
      <w:szCs w:val="20"/>
    </w:rPr>
  </w:style>
  <w:style w:type="paragraph" w:styleId="Tekstprzypisudolnego">
    <w:name w:val="footnote text"/>
    <w:basedOn w:val="Normalny"/>
    <w:link w:val="TekstprzypisudolnegoZnak"/>
    <w:unhideWhenUsed/>
    <w:rsid w:val="006162AC"/>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kstprzypisudolnegoZnak">
    <w:name w:val="Tekst przypisu dolnego Znak"/>
    <w:basedOn w:val="Domylnaczcionkaakapitu"/>
    <w:link w:val="Tekstprzypisudolnego"/>
    <w:rsid w:val="006162AC"/>
    <w:rPr>
      <w:rFonts w:ascii="Calibri" w:eastAsia="Calibri" w:hAnsi="Calibri" w:cs="Calibri"/>
      <w:color w:val="000000"/>
      <w:sz w:val="20"/>
      <w:szCs w:val="20"/>
      <w:u w:color="000000"/>
      <w:bdr w:val="nil"/>
      <w:lang w:val="en-US"/>
    </w:rPr>
  </w:style>
  <w:style w:type="character" w:styleId="Odwoanieprzypisudolnego">
    <w:name w:val="footnote reference"/>
    <w:basedOn w:val="Domylnaczcionkaakapitu"/>
    <w:uiPriority w:val="99"/>
    <w:semiHidden/>
    <w:unhideWhenUsed/>
    <w:rsid w:val="006162AC"/>
    <w:rPr>
      <w:vertAlign w:val="superscript"/>
    </w:rPr>
  </w:style>
  <w:style w:type="character" w:customStyle="1" w:styleId="hps">
    <w:name w:val="hps"/>
    <w:basedOn w:val="Domylnaczcionkaakapitu"/>
    <w:rsid w:val="00FB3243"/>
  </w:style>
  <w:style w:type="paragraph" w:styleId="Tekstprzypisukocowego">
    <w:name w:val="endnote text"/>
    <w:basedOn w:val="Normalny"/>
    <w:link w:val="TekstprzypisukocowegoZnak"/>
    <w:uiPriority w:val="99"/>
    <w:semiHidden/>
    <w:unhideWhenUsed/>
    <w:rsid w:val="007C23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236B"/>
    <w:rPr>
      <w:sz w:val="20"/>
      <w:szCs w:val="20"/>
    </w:rPr>
  </w:style>
  <w:style w:type="character" w:styleId="Odwoanieprzypisukocowego">
    <w:name w:val="endnote reference"/>
    <w:basedOn w:val="Domylnaczcionkaakapitu"/>
    <w:uiPriority w:val="99"/>
    <w:semiHidden/>
    <w:unhideWhenUsed/>
    <w:rsid w:val="007C236B"/>
    <w:rPr>
      <w:vertAlign w:val="superscript"/>
    </w:rPr>
  </w:style>
  <w:style w:type="paragraph" w:customStyle="1" w:styleId="s1bd70772">
    <w:name w:val="s1bd70772"/>
    <w:basedOn w:val="Normalny"/>
    <w:rsid w:val="001F54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7d2086b4">
    <w:name w:val="s7d2086b4"/>
    <w:basedOn w:val="Domylnaczcionkaakapitu"/>
    <w:rsid w:val="001F54BA"/>
  </w:style>
  <w:style w:type="paragraph" w:customStyle="1" w:styleId="s9e9b0cd7">
    <w:name w:val="s9e9b0cd7"/>
    <w:basedOn w:val="Normalny"/>
    <w:rsid w:val="001F54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bbfee58">
    <w:name w:val="sfbbfee58"/>
    <w:basedOn w:val="Domylnaczcionkaakapitu"/>
    <w:rsid w:val="001F54BA"/>
  </w:style>
  <w:style w:type="character" w:customStyle="1" w:styleId="sf8bfa2bc">
    <w:name w:val="sf8bfa2bc"/>
    <w:basedOn w:val="Domylnaczcionkaakapitu"/>
    <w:rsid w:val="001F54BA"/>
  </w:style>
  <w:style w:type="paragraph" w:customStyle="1" w:styleId="s6c429373">
    <w:name w:val="s6c429373"/>
    <w:basedOn w:val="Normalny"/>
    <w:rsid w:val="007D59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a844bc0">
    <w:name w:val="s1a844bc0"/>
    <w:basedOn w:val="Domylnaczcionkaakapitu"/>
    <w:rsid w:val="007D59D1"/>
  </w:style>
  <w:style w:type="character" w:customStyle="1" w:styleId="s2a6cf492">
    <w:name w:val="s2a6cf492"/>
    <w:basedOn w:val="Domylnaczcionkaakapitu"/>
    <w:rsid w:val="007D59D1"/>
  </w:style>
  <w:style w:type="paragraph" w:customStyle="1" w:styleId="DecHTitle">
    <w:name w:val="Dec_H_Title"/>
    <w:basedOn w:val="Normalny"/>
    <w:uiPriority w:val="7"/>
    <w:qFormat/>
    <w:rsid w:val="000F42C7"/>
    <w:pPr>
      <w:keepNext/>
      <w:keepLines/>
      <w:spacing w:after="240" w:line="240" w:lineRule="auto"/>
      <w:jc w:val="center"/>
      <w:outlineLvl w:val="0"/>
    </w:pPr>
    <w:rPr>
      <w:rFonts w:asciiTheme="majorHAnsi" w:eastAsiaTheme="minorEastAsia" w:hAnsiTheme="majorHAnsi"/>
      <w:sz w:val="28"/>
      <w:lang w:val="en-US"/>
    </w:rPr>
  </w:style>
  <w:style w:type="character" w:customStyle="1" w:styleId="AkapitzlistZnak">
    <w:name w:val="Akapit z listą Znak"/>
    <w:link w:val="Akapitzlist"/>
    <w:uiPriority w:val="34"/>
    <w:locked/>
    <w:rsid w:val="000F42C7"/>
  </w:style>
  <w:style w:type="character" w:styleId="Wyrnieniedelikatne">
    <w:name w:val="Subtle Emphasis"/>
    <w:basedOn w:val="Domylnaczcionkaakapitu"/>
    <w:uiPriority w:val="19"/>
    <w:qFormat/>
    <w:rsid w:val="000F42C7"/>
    <w:rPr>
      <w:i/>
      <w:iCs/>
      <w:color w:val="808080" w:themeColor="text1" w:themeTint="7F"/>
    </w:rPr>
  </w:style>
  <w:style w:type="paragraph" w:customStyle="1" w:styleId="ECHRPara">
    <w:name w:val="ECHR_Para"/>
    <w:aliases w:val="Ju_Para,Para,Left,First line:  0 cm"/>
    <w:basedOn w:val="Normalny"/>
    <w:link w:val="JuParaCar"/>
    <w:uiPriority w:val="12"/>
    <w:qFormat/>
    <w:rsid w:val="00EE41E1"/>
    <w:pPr>
      <w:spacing w:after="0" w:line="240" w:lineRule="auto"/>
      <w:ind w:firstLine="284"/>
      <w:jc w:val="both"/>
    </w:pPr>
    <w:rPr>
      <w:rFonts w:eastAsiaTheme="minorEastAsia"/>
      <w:sz w:val="24"/>
      <w:lang w:val="en-US"/>
    </w:rPr>
  </w:style>
  <w:style w:type="character" w:customStyle="1" w:styleId="JuParaCar">
    <w:name w:val="Ju_Para Car"/>
    <w:basedOn w:val="Domylnaczcionkaakapitu"/>
    <w:link w:val="ECHRPara"/>
    <w:uiPriority w:val="12"/>
    <w:locked/>
    <w:rsid w:val="00EE41E1"/>
    <w:rPr>
      <w:rFonts w:eastAsiaTheme="minorEastAsia"/>
      <w:sz w:val="24"/>
      <w:lang w:val="en-US"/>
    </w:rPr>
  </w:style>
  <w:style w:type="paragraph" w:styleId="HTML-wstpniesformatowany">
    <w:name w:val="HTML Preformatted"/>
    <w:basedOn w:val="Normalny"/>
    <w:link w:val="HTML-wstpniesformatowanyZnak"/>
    <w:uiPriority w:val="99"/>
    <w:unhideWhenUsed/>
    <w:rsid w:val="00065852"/>
    <w:pPr>
      <w:spacing w:after="0" w:line="240" w:lineRule="auto"/>
    </w:pPr>
    <w:rPr>
      <w:rFonts w:ascii="Consolas" w:hAnsi="Consolas"/>
      <w:sz w:val="20"/>
      <w:szCs w:val="20"/>
      <w:lang w:val="pl-PL"/>
    </w:rPr>
  </w:style>
  <w:style w:type="character" w:customStyle="1" w:styleId="HTML-wstpniesformatowanyZnak">
    <w:name w:val="HTML - wstępnie sformatowany Znak"/>
    <w:basedOn w:val="Domylnaczcionkaakapitu"/>
    <w:link w:val="HTML-wstpniesformatowany"/>
    <w:uiPriority w:val="99"/>
    <w:rsid w:val="00065852"/>
    <w:rPr>
      <w:rFonts w:ascii="Consolas" w:hAnsi="Consolas"/>
      <w:sz w:val="20"/>
      <w:szCs w:val="20"/>
      <w:lang w:val="pl-PL"/>
    </w:rPr>
  </w:style>
  <w:style w:type="character" w:customStyle="1" w:styleId="wordhighlighted">
    <w:name w:val="wordhighlighted"/>
    <w:basedOn w:val="Domylnaczcionkaakapitu"/>
    <w:rsid w:val="00D24A73"/>
  </w:style>
  <w:style w:type="paragraph" w:customStyle="1" w:styleId="ClinContent">
    <w:name w:val="ClinContent"/>
    <w:basedOn w:val="Normalny"/>
    <w:qFormat/>
    <w:rsid w:val="0087390C"/>
    <w:pPr>
      <w:spacing w:before="240" w:after="0" w:line="240" w:lineRule="auto"/>
      <w:jc w:val="both"/>
    </w:pPr>
    <w:rPr>
      <w:rFonts w:ascii="Verdana" w:eastAsia="Times New Roman" w:hAnsi="Verdana" w:cs="Times New Roman"/>
      <w:sz w:val="20"/>
      <w:szCs w:val="24"/>
      <w:lang w:eastAsia="en-GB"/>
    </w:rPr>
  </w:style>
  <w:style w:type="character" w:customStyle="1" w:styleId="ClinHeadNote">
    <w:name w:val="ClinHeadNote"/>
    <w:basedOn w:val="Domylnaczcionkaakapitu"/>
    <w:qFormat/>
    <w:rsid w:val="009E215A"/>
    <w:rPr>
      <w:rFonts w:ascii="Times New Roman" w:hAnsi="Times New Roman" w:cs="Times New Roman" w:hint="default"/>
    </w:rPr>
  </w:style>
  <w:style w:type="character" w:customStyle="1" w:styleId="tabulatory">
    <w:name w:val="tabulatory"/>
    <w:basedOn w:val="Domylnaczcionkaakapitu"/>
    <w:rsid w:val="001E7F05"/>
  </w:style>
  <w:style w:type="character" w:customStyle="1" w:styleId="JuParaChar">
    <w:name w:val="Ju_Para Char"/>
    <w:aliases w:val="ECHR_Para Char"/>
    <w:uiPriority w:val="12"/>
    <w:locked/>
    <w:rsid w:val="00E358E0"/>
    <w:rPr>
      <w:rFonts w:ascii="MS Mincho" w:eastAsiaTheme="minorEastAsia" w:hAnsi="MS Mincho"/>
      <w:sz w:val="24"/>
    </w:rPr>
  </w:style>
  <w:style w:type="paragraph" w:customStyle="1" w:styleId="ECHRParaQuote">
    <w:name w:val="ECHR_Para_Quote"/>
    <w:aliases w:val="Ju_Quot"/>
    <w:basedOn w:val="Normalny"/>
    <w:uiPriority w:val="14"/>
    <w:qFormat/>
    <w:rsid w:val="00AB1559"/>
    <w:pPr>
      <w:spacing w:before="120" w:after="120" w:line="240" w:lineRule="auto"/>
      <w:ind w:left="425" w:firstLine="142"/>
      <w:jc w:val="both"/>
    </w:pPr>
    <w:rPr>
      <w:rFonts w:eastAsiaTheme="minorEastAsia"/>
      <w:sz w:val="20"/>
    </w:rPr>
  </w:style>
  <w:style w:type="paragraph" w:customStyle="1" w:styleId="s6e50bd9a">
    <w:name w:val="s6e50bd9a"/>
    <w:basedOn w:val="Normalny"/>
    <w:rsid w:val="00E614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linCaseTitle">
    <w:name w:val="ClinCaseTitle"/>
    <w:basedOn w:val="Domylnaczcionkaakapitu"/>
    <w:qFormat/>
    <w:rsid w:val="00230793"/>
    <w:rPr>
      <w:rFonts w:ascii="Verdana" w:hAnsi="Verdana" w:cs="Times New Roman"/>
      <w:b/>
      <w:i/>
      <w:sz w:val="24"/>
    </w:rPr>
  </w:style>
  <w:style w:type="character" w:customStyle="1" w:styleId="ClinHudocDocumentTitle">
    <w:name w:val="ClinHudocDocumentTitle"/>
    <w:basedOn w:val="Domylnaczcionkaakapitu"/>
    <w:qFormat/>
    <w:rsid w:val="00230793"/>
    <w:rPr>
      <w:rFonts w:ascii="Verdana" w:hAnsi="Verdana" w:cs="Times New Roman"/>
      <w:color w:val="auto"/>
    </w:rPr>
  </w:style>
  <w:style w:type="character" w:customStyle="1" w:styleId="ClinApplicationNumber">
    <w:name w:val="ClinApplicationNumber"/>
    <w:basedOn w:val="Domylnaczcionkaakapitu"/>
    <w:qFormat/>
    <w:rsid w:val="00230793"/>
    <w:rPr>
      <w:rFonts w:ascii="Verdana" w:hAnsi="Verdana" w:cs="Times New Roman"/>
      <w:b/>
      <w:sz w:val="24"/>
    </w:rPr>
  </w:style>
  <w:style w:type="character" w:customStyle="1" w:styleId="s32a37344">
    <w:name w:val="s32a37344"/>
    <w:basedOn w:val="Domylnaczcionkaakapitu"/>
    <w:rsid w:val="003C00A8"/>
  </w:style>
  <w:style w:type="character" w:customStyle="1" w:styleId="atn">
    <w:name w:val="atn"/>
    <w:basedOn w:val="Domylnaczcionkaakapitu"/>
    <w:rsid w:val="004218FB"/>
  </w:style>
  <w:style w:type="paragraph" w:customStyle="1" w:styleId="s440d9021">
    <w:name w:val="s440d9021"/>
    <w:basedOn w:val="Normalny"/>
    <w:rsid w:val="00516B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38c10080">
    <w:name w:val="s38c10080"/>
    <w:basedOn w:val="Domylnaczcionkaakapitu"/>
    <w:rsid w:val="006A5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770">
      <w:bodyDiv w:val="1"/>
      <w:marLeft w:val="0"/>
      <w:marRight w:val="0"/>
      <w:marTop w:val="0"/>
      <w:marBottom w:val="0"/>
      <w:divBdr>
        <w:top w:val="none" w:sz="0" w:space="0" w:color="auto"/>
        <w:left w:val="none" w:sz="0" w:space="0" w:color="auto"/>
        <w:bottom w:val="none" w:sz="0" w:space="0" w:color="auto"/>
        <w:right w:val="none" w:sz="0" w:space="0" w:color="auto"/>
      </w:divBdr>
    </w:div>
    <w:div w:id="216674690">
      <w:bodyDiv w:val="1"/>
      <w:marLeft w:val="0"/>
      <w:marRight w:val="0"/>
      <w:marTop w:val="0"/>
      <w:marBottom w:val="0"/>
      <w:divBdr>
        <w:top w:val="none" w:sz="0" w:space="0" w:color="auto"/>
        <w:left w:val="none" w:sz="0" w:space="0" w:color="auto"/>
        <w:bottom w:val="none" w:sz="0" w:space="0" w:color="auto"/>
        <w:right w:val="none" w:sz="0" w:space="0" w:color="auto"/>
      </w:divBdr>
      <w:divsChild>
        <w:div w:id="876502346">
          <w:marLeft w:val="0"/>
          <w:marRight w:val="0"/>
          <w:marTop w:val="0"/>
          <w:marBottom w:val="0"/>
          <w:divBdr>
            <w:top w:val="none" w:sz="0" w:space="0" w:color="auto"/>
            <w:left w:val="none" w:sz="0" w:space="0" w:color="auto"/>
            <w:bottom w:val="none" w:sz="0" w:space="0" w:color="auto"/>
            <w:right w:val="none" w:sz="0" w:space="0" w:color="auto"/>
          </w:divBdr>
          <w:divsChild>
            <w:div w:id="2110467497">
              <w:marLeft w:val="0"/>
              <w:marRight w:val="0"/>
              <w:marTop w:val="0"/>
              <w:marBottom w:val="0"/>
              <w:divBdr>
                <w:top w:val="none" w:sz="0" w:space="0" w:color="auto"/>
                <w:left w:val="none" w:sz="0" w:space="0" w:color="auto"/>
                <w:bottom w:val="none" w:sz="0" w:space="0" w:color="auto"/>
                <w:right w:val="none" w:sz="0" w:space="0" w:color="auto"/>
              </w:divBdr>
              <w:divsChild>
                <w:div w:id="210457152">
                  <w:marLeft w:val="0"/>
                  <w:marRight w:val="0"/>
                  <w:marTop w:val="0"/>
                  <w:marBottom w:val="0"/>
                  <w:divBdr>
                    <w:top w:val="none" w:sz="0" w:space="0" w:color="auto"/>
                    <w:left w:val="none" w:sz="0" w:space="0" w:color="auto"/>
                    <w:bottom w:val="none" w:sz="0" w:space="0" w:color="auto"/>
                    <w:right w:val="none" w:sz="0" w:space="0" w:color="auto"/>
                  </w:divBdr>
                  <w:divsChild>
                    <w:div w:id="1025714890">
                      <w:marLeft w:val="0"/>
                      <w:marRight w:val="0"/>
                      <w:marTop w:val="0"/>
                      <w:marBottom w:val="0"/>
                      <w:divBdr>
                        <w:top w:val="none" w:sz="0" w:space="0" w:color="auto"/>
                        <w:left w:val="none" w:sz="0" w:space="0" w:color="auto"/>
                        <w:bottom w:val="none" w:sz="0" w:space="0" w:color="auto"/>
                        <w:right w:val="none" w:sz="0" w:space="0" w:color="auto"/>
                      </w:divBdr>
                      <w:divsChild>
                        <w:div w:id="2084833542">
                          <w:marLeft w:val="0"/>
                          <w:marRight w:val="0"/>
                          <w:marTop w:val="0"/>
                          <w:marBottom w:val="0"/>
                          <w:divBdr>
                            <w:top w:val="none" w:sz="0" w:space="0" w:color="auto"/>
                            <w:left w:val="none" w:sz="0" w:space="0" w:color="auto"/>
                            <w:bottom w:val="none" w:sz="0" w:space="0" w:color="auto"/>
                            <w:right w:val="none" w:sz="0" w:space="0" w:color="auto"/>
                          </w:divBdr>
                          <w:divsChild>
                            <w:div w:id="7404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471162">
      <w:bodyDiv w:val="1"/>
      <w:marLeft w:val="0"/>
      <w:marRight w:val="0"/>
      <w:marTop w:val="0"/>
      <w:marBottom w:val="0"/>
      <w:divBdr>
        <w:top w:val="none" w:sz="0" w:space="0" w:color="auto"/>
        <w:left w:val="none" w:sz="0" w:space="0" w:color="auto"/>
        <w:bottom w:val="none" w:sz="0" w:space="0" w:color="auto"/>
        <w:right w:val="none" w:sz="0" w:space="0" w:color="auto"/>
      </w:divBdr>
      <w:divsChild>
        <w:div w:id="702830008">
          <w:marLeft w:val="0"/>
          <w:marRight w:val="0"/>
          <w:marTop w:val="0"/>
          <w:marBottom w:val="0"/>
          <w:divBdr>
            <w:top w:val="none" w:sz="0" w:space="0" w:color="auto"/>
            <w:left w:val="none" w:sz="0" w:space="0" w:color="auto"/>
            <w:bottom w:val="none" w:sz="0" w:space="0" w:color="auto"/>
            <w:right w:val="none" w:sz="0" w:space="0" w:color="auto"/>
          </w:divBdr>
          <w:divsChild>
            <w:div w:id="822936864">
              <w:marLeft w:val="0"/>
              <w:marRight w:val="0"/>
              <w:marTop w:val="0"/>
              <w:marBottom w:val="0"/>
              <w:divBdr>
                <w:top w:val="none" w:sz="0" w:space="0" w:color="auto"/>
                <w:left w:val="none" w:sz="0" w:space="0" w:color="auto"/>
                <w:bottom w:val="none" w:sz="0" w:space="0" w:color="auto"/>
                <w:right w:val="none" w:sz="0" w:space="0" w:color="auto"/>
              </w:divBdr>
              <w:divsChild>
                <w:div w:id="910844826">
                  <w:marLeft w:val="0"/>
                  <w:marRight w:val="0"/>
                  <w:marTop w:val="0"/>
                  <w:marBottom w:val="0"/>
                  <w:divBdr>
                    <w:top w:val="none" w:sz="0" w:space="0" w:color="auto"/>
                    <w:left w:val="none" w:sz="0" w:space="0" w:color="auto"/>
                    <w:bottom w:val="none" w:sz="0" w:space="0" w:color="auto"/>
                    <w:right w:val="none" w:sz="0" w:space="0" w:color="auto"/>
                  </w:divBdr>
                  <w:divsChild>
                    <w:div w:id="1307782422">
                      <w:marLeft w:val="0"/>
                      <w:marRight w:val="0"/>
                      <w:marTop w:val="0"/>
                      <w:marBottom w:val="0"/>
                      <w:divBdr>
                        <w:top w:val="none" w:sz="0" w:space="0" w:color="auto"/>
                        <w:left w:val="none" w:sz="0" w:space="0" w:color="auto"/>
                        <w:bottom w:val="none" w:sz="0" w:space="0" w:color="auto"/>
                        <w:right w:val="none" w:sz="0" w:space="0" w:color="auto"/>
                      </w:divBdr>
                      <w:divsChild>
                        <w:div w:id="1652563739">
                          <w:marLeft w:val="0"/>
                          <w:marRight w:val="0"/>
                          <w:marTop w:val="0"/>
                          <w:marBottom w:val="0"/>
                          <w:divBdr>
                            <w:top w:val="none" w:sz="0" w:space="0" w:color="auto"/>
                            <w:left w:val="none" w:sz="0" w:space="0" w:color="auto"/>
                            <w:bottom w:val="none" w:sz="0" w:space="0" w:color="auto"/>
                            <w:right w:val="none" w:sz="0" w:space="0" w:color="auto"/>
                          </w:divBdr>
                          <w:divsChild>
                            <w:div w:id="15336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662497">
      <w:bodyDiv w:val="1"/>
      <w:marLeft w:val="0"/>
      <w:marRight w:val="0"/>
      <w:marTop w:val="0"/>
      <w:marBottom w:val="0"/>
      <w:divBdr>
        <w:top w:val="none" w:sz="0" w:space="0" w:color="auto"/>
        <w:left w:val="none" w:sz="0" w:space="0" w:color="auto"/>
        <w:bottom w:val="none" w:sz="0" w:space="0" w:color="auto"/>
        <w:right w:val="none" w:sz="0" w:space="0" w:color="auto"/>
      </w:divBdr>
    </w:div>
    <w:div w:id="513030993">
      <w:bodyDiv w:val="1"/>
      <w:marLeft w:val="0"/>
      <w:marRight w:val="0"/>
      <w:marTop w:val="0"/>
      <w:marBottom w:val="0"/>
      <w:divBdr>
        <w:top w:val="none" w:sz="0" w:space="0" w:color="auto"/>
        <w:left w:val="none" w:sz="0" w:space="0" w:color="auto"/>
        <w:bottom w:val="none" w:sz="0" w:space="0" w:color="auto"/>
        <w:right w:val="none" w:sz="0" w:space="0" w:color="auto"/>
      </w:divBdr>
      <w:divsChild>
        <w:div w:id="1232618338">
          <w:marLeft w:val="0"/>
          <w:marRight w:val="0"/>
          <w:marTop w:val="0"/>
          <w:marBottom w:val="0"/>
          <w:divBdr>
            <w:top w:val="none" w:sz="0" w:space="0" w:color="auto"/>
            <w:left w:val="none" w:sz="0" w:space="0" w:color="auto"/>
            <w:bottom w:val="none" w:sz="0" w:space="0" w:color="auto"/>
            <w:right w:val="none" w:sz="0" w:space="0" w:color="auto"/>
          </w:divBdr>
          <w:divsChild>
            <w:div w:id="1986004003">
              <w:marLeft w:val="0"/>
              <w:marRight w:val="0"/>
              <w:marTop w:val="0"/>
              <w:marBottom w:val="0"/>
              <w:divBdr>
                <w:top w:val="none" w:sz="0" w:space="0" w:color="auto"/>
                <w:left w:val="none" w:sz="0" w:space="0" w:color="auto"/>
                <w:bottom w:val="none" w:sz="0" w:space="0" w:color="auto"/>
                <w:right w:val="none" w:sz="0" w:space="0" w:color="auto"/>
              </w:divBdr>
              <w:divsChild>
                <w:div w:id="156770863">
                  <w:marLeft w:val="0"/>
                  <w:marRight w:val="0"/>
                  <w:marTop w:val="0"/>
                  <w:marBottom w:val="0"/>
                  <w:divBdr>
                    <w:top w:val="none" w:sz="0" w:space="0" w:color="auto"/>
                    <w:left w:val="none" w:sz="0" w:space="0" w:color="auto"/>
                    <w:bottom w:val="none" w:sz="0" w:space="0" w:color="auto"/>
                    <w:right w:val="none" w:sz="0" w:space="0" w:color="auto"/>
                  </w:divBdr>
                  <w:divsChild>
                    <w:div w:id="1632324600">
                      <w:marLeft w:val="0"/>
                      <w:marRight w:val="0"/>
                      <w:marTop w:val="0"/>
                      <w:marBottom w:val="0"/>
                      <w:divBdr>
                        <w:top w:val="none" w:sz="0" w:space="0" w:color="auto"/>
                        <w:left w:val="none" w:sz="0" w:space="0" w:color="auto"/>
                        <w:bottom w:val="none" w:sz="0" w:space="0" w:color="auto"/>
                        <w:right w:val="none" w:sz="0" w:space="0" w:color="auto"/>
                      </w:divBdr>
                      <w:divsChild>
                        <w:div w:id="2048526099">
                          <w:marLeft w:val="0"/>
                          <w:marRight w:val="0"/>
                          <w:marTop w:val="0"/>
                          <w:marBottom w:val="0"/>
                          <w:divBdr>
                            <w:top w:val="none" w:sz="0" w:space="0" w:color="auto"/>
                            <w:left w:val="none" w:sz="0" w:space="0" w:color="auto"/>
                            <w:bottom w:val="none" w:sz="0" w:space="0" w:color="auto"/>
                            <w:right w:val="none" w:sz="0" w:space="0" w:color="auto"/>
                          </w:divBdr>
                          <w:divsChild>
                            <w:div w:id="125280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43353">
      <w:bodyDiv w:val="1"/>
      <w:marLeft w:val="0"/>
      <w:marRight w:val="0"/>
      <w:marTop w:val="0"/>
      <w:marBottom w:val="0"/>
      <w:divBdr>
        <w:top w:val="none" w:sz="0" w:space="0" w:color="auto"/>
        <w:left w:val="none" w:sz="0" w:space="0" w:color="auto"/>
        <w:bottom w:val="none" w:sz="0" w:space="0" w:color="auto"/>
        <w:right w:val="none" w:sz="0" w:space="0" w:color="auto"/>
      </w:divBdr>
    </w:div>
    <w:div w:id="674962731">
      <w:bodyDiv w:val="1"/>
      <w:marLeft w:val="0"/>
      <w:marRight w:val="0"/>
      <w:marTop w:val="0"/>
      <w:marBottom w:val="0"/>
      <w:divBdr>
        <w:top w:val="none" w:sz="0" w:space="0" w:color="auto"/>
        <w:left w:val="none" w:sz="0" w:space="0" w:color="auto"/>
        <w:bottom w:val="none" w:sz="0" w:space="0" w:color="auto"/>
        <w:right w:val="none" w:sz="0" w:space="0" w:color="auto"/>
      </w:divBdr>
      <w:divsChild>
        <w:div w:id="1541747390">
          <w:marLeft w:val="0"/>
          <w:marRight w:val="0"/>
          <w:marTop w:val="0"/>
          <w:marBottom w:val="0"/>
          <w:divBdr>
            <w:top w:val="none" w:sz="0" w:space="0" w:color="auto"/>
            <w:left w:val="none" w:sz="0" w:space="0" w:color="auto"/>
            <w:bottom w:val="none" w:sz="0" w:space="0" w:color="auto"/>
            <w:right w:val="none" w:sz="0" w:space="0" w:color="auto"/>
          </w:divBdr>
          <w:divsChild>
            <w:div w:id="859660463">
              <w:marLeft w:val="720"/>
              <w:marRight w:val="0"/>
              <w:marTop w:val="0"/>
              <w:marBottom w:val="0"/>
              <w:divBdr>
                <w:top w:val="none" w:sz="0" w:space="0" w:color="auto"/>
                <w:left w:val="none" w:sz="0" w:space="0" w:color="auto"/>
                <w:bottom w:val="none" w:sz="0" w:space="0" w:color="auto"/>
                <w:right w:val="none" w:sz="0" w:space="0" w:color="auto"/>
              </w:divBdr>
            </w:div>
            <w:div w:id="38476667">
              <w:marLeft w:val="0"/>
              <w:marRight w:val="0"/>
              <w:marTop w:val="0"/>
              <w:marBottom w:val="0"/>
              <w:divBdr>
                <w:top w:val="none" w:sz="0" w:space="0" w:color="auto"/>
                <w:left w:val="none" w:sz="0" w:space="0" w:color="auto"/>
                <w:bottom w:val="none" w:sz="0" w:space="0" w:color="auto"/>
                <w:right w:val="none" w:sz="0" w:space="0" w:color="auto"/>
              </w:divBdr>
              <w:divsChild>
                <w:div w:id="1045063480">
                  <w:marLeft w:val="1080"/>
                  <w:marRight w:val="0"/>
                  <w:marTop w:val="0"/>
                  <w:marBottom w:val="0"/>
                  <w:divBdr>
                    <w:top w:val="none" w:sz="0" w:space="0" w:color="auto"/>
                    <w:left w:val="none" w:sz="0" w:space="0" w:color="auto"/>
                    <w:bottom w:val="none" w:sz="0" w:space="0" w:color="auto"/>
                    <w:right w:val="none" w:sz="0" w:space="0" w:color="auto"/>
                  </w:divBdr>
                </w:div>
              </w:divsChild>
            </w:div>
            <w:div w:id="698121230">
              <w:marLeft w:val="0"/>
              <w:marRight w:val="0"/>
              <w:marTop w:val="0"/>
              <w:marBottom w:val="0"/>
              <w:divBdr>
                <w:top w:val="none" w:sz="0" w:space="0" w:color="auto"/>
                <w:left w:val="none" w:sz="0" w:space="0" w:color="auto"/>
                <w:bottom w:val="none" w:sz="0" w:space="0" w:color="auto"/>
                <w:right w:val="none" w:sz="0" w:space="0" w:color="auto"/>
              </w:divBdr>
              <w:divsChild>
                <w:div w:id="1205753863">
                  <w:marLeft w:val="1080"/>
                  <w:marRight w:val="0"/>
                  <w:marTop w:val="0"/>
                  <w:marBottom w:val="0"/>
                  <w:divBdr>
                    <w:top w:val="none" w:sz="0" w:space="0" w:color="auto"/>
                    <w:left w:val="none" w:sz="0" w:space="0" w:color="auto"/>
                    <w:bottom w:val="none" w:sz="0" w:space="0" w:color="auto"/>
                    <w:right w:val="none" w:sz="0" w:space="0" w:color="auto"/>
                  </w:divBdr>
                </w:div>
              </w:divsChild>
            </w:div>
            <w:div w:id="1881239769">
              <w:marLeft w:val="0"/>
              <w:marRight w:val="0"/>
              <w:marTop w:val="0"/>
              <w:marBottom w:val="0"/>
              <w:divBdr>
                <w:top w:val="none" w:sz="0" w:space="0" w:color="auto"/>
                <w:left w:val="none" w:sz="0" w:space="0" w:color="auto"/>
                <w:bottom w:val="none" w:sz="0" w:space="0" w:color="auto"/>
                <w:right w:val="none" w:sz="0" w:space="0" w:color="auto"/>
              </w:divBdr>
              <w:divsChild>
                <w:div w:id="143386603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7702">
      <w:bodyDiv w:val="1"/>
      <w:marLeft w:val="0"/>
      <w:marRight w:val="0"/>
      <w:marTop w:val="0"/>
      <w:marBottom w:val="0"/>
      <w:divBdr>
        <w:top w:val="none" w:sz="0" w:space="0" w:color="auto"/>
        <w:left w:val="none" w:sz="0" w:space="0" w:color="auto"/>
        <w:bottom w:val="none" w:sz="0" w:space="0" w:color="auto"/>
        <w:right w:val="none" w:sz="0" w:space="0" w:color="auto"/>
      </w:divBdr>
    </w:div>
    <w:div w:id="716780008">
      <w:bodyDiv w:val="1"/>
      <w:marLeft w:val="0"/>
      <w:marRight w:val="0"/>
      <w:marTop w:val="0"/>
      <w:marBottom w:val="0"/>
      <w:divBdr>
        <w:top w:val="none" w:sz="0" w:space="0" w:color="auto"/>
        <w:left w:val="none" w:sz="0" w:space="0" w:color="auto"/>
        <w:bottom w:val="none" w:sz="0" w:space="0" w:color="auto"/>
        <w:right w:val="none" w:sz="0" w:space="0" w:color="auto"/>
      </w:divBdr>
      <w:divsChild>
        <w:div w:id="1047878150">
          <w:marLeft w:val="0"/>
          <w:marRight w:val="0"/>
          <w:marTop w:val="0"/>
          <w:marBottom w:val="0"/>
          <w:divBdr>
            <w:top w:val="none" w:sz="0" w:space="0" w:color="auto"/>
            <w:left w:val="none" w:sz="0" w:space="0" w:color="auto"/>
            <w:bottom w:val="none" w:sz="0" w:space="0" w:color="auto"/>
            <w:right w:val="none" w:sz="0" w:space="0" w:color="auto"/>
          </w:divBdr>
        </w:div>
      </w:divsChild>
    </w:div>
    <w:div w:id="734401520">
      <w:bodyDiv w:val="1"/>
      <w:marLeft w:val="0"/>
      <w:marRight w:val="0"/>
      <w:marTop w:val="0"/>
      <w:marBottom w:val="0"/>
      <w:divBdr>
        <w:top w:val="none" w:sz="0" w:space="0" w:color="auto"/>
        <w:left w:val="none" w:sz="0" w:space="0" w:color="auto"/>
        <w:bottom w:val="none" w:sz="0" w:space="0" w:color="auto"/>
        <w:right w:val="none" w:sz="0" w:space="0" w:color="auto"/>
      </w:divBdr>
    </w:div>
    <w:div w:id="736319198">
      <w:bodyDiv w:val="1"/>
      <w:marLeft w:val="0"/>
      <w:marRight w:val="0"/>
      <w:marTop w:val="0"/>
      <w:marBottom w:val="0"/>
      <w:divBdr>
        <w:top w:val="none" w:sz="0" w:space="0" w:color="auto"/>
        <w:left w:val="none" w:sz="0" w:space="0" w:color="auto"/>
        <w:bottom w:val="none" w:sz="0" w:space="0" w:color="auto"/>
        <w:right w:val="none" w:sz="0" w:space="0" w:color="auto"/>
      </w:divBdr>
    </w:div>
    <w:div w:id="961572944">
      <w:bodyDiv w:val="1"/>
      <w:marLeft w:val="0"/>
      <w:marRight w:val="0"/>
      <w:marTop w:val="0"/>
      <w:marBottom w:val="0"/>
      <w:divBdr>
        <w:top w:val="none" w:sz="0" w:space="0" w:color="auto"/>
        <w:left w:val="none" w:sz="0" w:space="0" w:color="auto"/>
        <w:bottom w:val="none" w:sz="0" w:space="0" w:color="auto"/>
        <w:right w:val="none" w:sz="0" w:space="0" w:color="auto"/>
      </w:divBdr>
    </w:div>
    <w:div w:id="1139762964">
      <w:bodyDiv w:val="1"/>
      <w:marLeft w:val="0"/>
      <w:marRight w:val="0"/>
      <w:marTop w:val="0"/>
      <w:marBottom w:val="0"/>
      <w:divBdr>
        <w:top w:val="none" w:sz="0" w:space="0" w:color="auto"/>
        <w:left w:val="none" w:sz="0" w:space="0" w:color="auto"/>
        <w:bottom w:val="none" w:sz="0" w:space="0" w:color="auto"/>
        <w:right w:val="none" w:sz="0" w:space="0" w:color="auto"/>
      </w:divBdr>
    </w:div>
    <w:div w:id="1204752602">
      <w:bodyDiv w:val="1"/>
      <w:marLeft w:val="0"/>
      <w:marRight w:val="0"/>
      <w:marTop w:val="0"/>
      <w:marBottom w:val="0"/>
      <w:divBdr>
        <w:top w:val="none" w:sz="0" w:space="0" w:color="auto"/>
        <w:left w:val="none" w:sz="0" w:space="0" w:color="auto"/>
        <w:bottom w:val="none" w:sz="0" w:space="0" w:color="auto"/>
        <w:right w:val="none" w:sz="0" w:space="0" w:color="auto"/>
      </w:divBdr>
      <w:divsChild>
        <w:div w:id="174921218">
          <w:marLeft w:val="0"/>
          <w:marRight w:val="0"/>
          <w:marTop w:val="0"/>
          <w:marBottom w:val="0"/>
          <w:divBdr>
            <w:top w:val="none" w:sz="0" w:space="0" w:color="auto"/>
            <w:left w:val="none" w:sz="0" w:space="0" w:color="auto"/>
            <w:bottom w:val="none" w:sz="0" w:space="0" w:color="auto"/>
            <w:right w:val="none" w:sz="0" w:space="0" w:color="auto"/>
          </w:divBdr>
          <w:divsChild>
            <w:div w:id="1357655180">
              <w:marLeft w:val="0"/>
              <w:marRight w:val="0"/>
              <w:marTop w:val="0"/>
              <w:marBottom w:val="0"/>
              <w:divBdr>
                <w:top w:val="none" w:sz="0" w:space="0" w:color="auto"/>
                <w:left w:val="none" w:sz="0" w:space="0" w:color="auto"/>
                <w:bottom w:val="none" w:sz="0" w:space="0" w:color="auto"/>
                <w:right w:val="none" w:sz="0" w:space="0" w:color="auto"/>
              </w:divBdr>
              <w:divsChild>
                <w:div w:id="268440513">
                  <w:marLeft w:val="0"/>
                  <w:marRight w:val="0"/>
                  <w:marTop w:val="0"/>
                  <w:marBottom w:val="0"/>
                  <w:divBdr>
                    <w:top w:val="none" w:sz="0" w:space="0" w:color="auto"/>
                    <w:left w:val="none" w:sz="0" w:space="0" w:color="auto"/>
                    <w:bottom w:val="none" w:sz="0" w:space="0" w:color="auto"/>
                    <w:right w:val="none" w:sz="0" w:space="0" w:color="auto"/>
                  </w:divBdr>
                  <w:divsChild>
                    <w:div w:id="108160741">
                      <w:marLeft w:val="0"/>
                      <w:marRight w:val="0"/>
                      <w:marTop w:val="0"/>
                      <w:marBottom w:val="0"/>
                      <w:divBdr>
                        <w:top w:val="none" w:sz="0" w:space="0" w:color="auto"/>
                        <w:left w:val="none" w:sz="0" w:space="0" w:color="auto"/>
                        <w:bottom w:val="none" w:sz="0" w:space="0" w:color="auto"/>
                        <w:right w:val="none" w:sz="0" w:space="0" w:color="auto"/>
                      </w:divBdr>
                      <w:divsChild>
                        <w:div w:id="1947151170">
                          <w:marLeft w:val="0"/>
                          <w:marRight w:val="0"/>
                          <w:marTop w:val="0"/>
                          <w:marBottom w:val="0"/>
                          <w:divBdr>
                            <w:top w:val="none" w:sz="0" w:space="0" w:color="auto"/>
                            <w:left w:val="none" w:sz="0" w:space="0" w:color="auto"/>
                            <w:bottom w:val="none" w:sz="0" w:space="0" w:color="auto"/>
                            <w:right w:val="none" w:sz="0" w:space="0" w:color="auto"/>
                          </w:divBdr>
                          <w:divsChild>
                            <w:div w:id="12078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039321">
      <w:bodyDiv w:val="1"/>
      <w:marLeft w:val="0"/>
      <w:marRight w:val="0"/>
      <w:marTop w:val="0"/>
      <w:marBottom w:val="0"/>
      <w:divBdr>
        <w:top w:val="none" w:sz="0" w:space="0" w:color="auto"/>
        <w:left w:val="none" w:sz="0" w:space="0" w:color="auto"/>
        <w:bottom w:val="none" w:sz="0" w:space="0" w:color="auto"/>
        <w:right w:val="none" w:sz="0" w:space="0" w:color="auto"/>
      </w:divBdr>
    </w:div>
    <w:div w:id="1395078443">
      <w:bodyDiv w:val="1"/>
      <w:marLeft w:val="0"/>
      <w:marRight w:val="0"/>
      <w:marTop w:val="0"/>
      <w:marBottom w:val="0"/>
      <w:divBdr>
        <w:top w:val="none" w:sz="0" w:space="0" w:color="auto"/>
        <w:left w:val="none" w:sz="0" w:space="0" w:color="auto"/>
        <w:bottom w:val="none" w:sz="0" w:space="0" w:color="auto"/>
        <w:right w:val="none" w:sz="0" w:space="0" w:color="auto"/>
      </w:divBdr>
      <w:divsChild>
        <w:div w:id="994190227">
          <w:marLeft w:val="0"/>
          <w:marRight w:val="0"/>
          <w:marTop w:val="0"/>
          <w:marBottom w:val="0"/>
          <w:divBdr>
            <w:top w:val="none" w:sz="0" w:space="0" w:color="auto"/>
            <w:left w:val="none" w:sz="0" w:space="0" w:color="auto"/>
            <w:bottom w:val="none" w:sz="0" w:space="0" w:color="auto"/>
            <w:right w:val="none" w:sz="0" w:space="0" w:color="auto"/>
          </w:divBdr>
          <w:divsChild>
            <w:div w:id="902255750">
              <w:marLeft w:val="0"/>
              <w:marRight w:val="0"/>
              <w:marTop w:val="0"/>
              <w:marBottom w:val="0"/>
              <w:divBdr>
                <w:top w:val="none" w:sz="0" w:space="0" w:color="auto"/>
                <w:left w:val="none" w:sz="0" w:space="0" w:color="auto"/>
                <w:bottom w:val="none" w:sz="0" w:space="0" w:color="auto"/>
                <w:right w:val="none" w:sz="0" w:space="0" w:color="auto"/>
              </w:divBdr>
              <w:divsChild>
                <w:div w:id="984512518">
                  <w:marLeft w:val="0"/>
                  <w:marRight w:val="0"/>
                  <w:marTop w:val="0"/>
                  <w:marBottom w:val="0"/>
                  <w:divBdr>
                    <w:top w:val="none" w:sz="0" w:space="0" w:color="auto"/>
                    <w:left w:val="none" w:sz="0" w:space="0" w:color="auto"/>
                    <w:bottom w:val="none" w:sz="0" w:space="0" w:color="auto"/>
                    <w:right w:val="none" w:sz="0" w:space="0" w:color="auto"/>
                  </w:divBdr>
                  <w:divsChild>
                    <w:div w:id="279336424">
                      <w:marLeft w:val="0"/>
                      <w:marRight w:val="0"/>
                      <w:marTop w:val="0"/>
                      <w:marBottom w:val="0"/>
                      <w:divBdr>
                        <w:top w:val="none" w:sz="0" w:space="0" w:color="auto"/>
                        <w:left w:val="none" w:sz="0" w:space="0" w:color="auto"/>
                        <w:bottom w:val="none" w:sz="0" w:space="0" w:color="auto"/>
                        <w:right w:val="none" w:sz="0" w:space="0" w:color="auto"/>
                      </w:divBdr>
                      <w:divsChild>
                        <w:div w:id="1193499301">
                          <w:marLeft w:val="0"/>
                          <w:marRight w:val="0"/>
                          <w:marTop w:val="0"/>
                          <w:marBottom w:val="0"/>
                          <w:divBdr>
                            <w:top w:val="none" w:sz="0" w:space="0" w:color="auto"/>
                            <w:left w:val="none" w:sz="0" w:space="0" w:color="auto"/>
                            <w:bottom w:val="none" w:sz="0" w:space="0" w:color="auto"/>
                            <w:right w:val="none" w:sz="0" w:space="0" w:color="auto"/>
                          </w:divBdr>
                          <w:divsChild>
                            <w:div w:id="8988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391989">
      <w:bodyDiv w:val="1"/>
      <w:marLeft w:val="0"/>
      <w:marRight w:val="0"/>
      <w:marTop w:val="0"/>
      <w:marBottom w:val="0"/>
      <w:divBdr>
        <w:top w:val="none" w:sz="0" w:space="0" w:color="auto"/>
        <w:left w:val="none" w:sz="0" w:space="0" w:color="auto"/>
        <w:bottom w:val="none" w:sz="0" w:space="0" w:color="auto"/>
        <w:right w:val="none" w:sz="0" w:space="0" w:color="auto"/>
      </w:divBdr>
    </w:div>
    <w:div w:id="1626544914">
      <w:bodyDiv w:val="1"/>
      <w:marLeft w:val="0"/>
      <w:marRight w:val="0"/>
      <w:marTop w:val="0"/>
      <w:marBottom w:val="0"/>
      <w:divBdr>
        <w:top w:val="none" w:sz="0" w:space="0" w:color="auto"/>
        <w:left w:val="none" w:sz="0" w:space="0" w:color="auto"/>
        <w:bottom w:val="none" w:sz="0" w:space="0" w:color="auto"/>
        <w:right w:val="none" w:sz="0" w:space="0" w:color="auto"/>
      </w:divBdr>
    </w:div>
    <w:div w:id="1630279216">
      <w:bodyDiv w:val="1"/>
      <w:marLeft w:val="0"/>
      <w:marRight w:val="0"/>
      <w:marTop w:val="0"/>
      <w:marBottom w:val="0"/>
      <w:divBdr>
        <w:top w:val="none" w:sz="0" w:space="0" w:color="auto"/>
        <w:left w:val="none" w:sz="0" w:space="0" w:color="auto"/>
        <w:bottom w:val="none" w:sz="0" w:space="0" w:color="auto"/>
        <w:right w:val="none" w:sz="0" w:space="0" w:color="auto"/>
      </w:divBdr>
    </w:div>
    <w:div w:id="1649096156">
      <w:bodyDiv w:val="1"/>
      <w:marLeft w:val="0"/>
      <w:marRight w:val="0"/>
      <w:marTop w:val="0"/>
      <w:marBottom w:val="0"/>
      <w:divBdr>
        <w:top w:val="none" w:sz="0" w:space="0" w:color="auto"/>
        <w:left w:val="none" w:sz="0" w:space="0" w:color="auto"/>
        <w:bottom w:val="none" w:sz="0" w:space="0" w:color="auto"/>
        <w:right w:val="none" w:sz="0" w:space="0" w:color="auto"/>
      </w:divBdr>
      <w:divsChild>
        <w:div w:id="271523668">
          <w:marLeft w:val="0"/>
          <w:marRight w:val="0"/>
          <w:marTop w:val="0"/>
          <w:marBottom w:val="0"/>
          <w:divBdr>
            <w:top w:val="none" w:sz="0" w:space="0" w:color="auto"/>
            <w:left w:val="none" w:sz="0" w:space="0" w:color="auto"/>
            <w:bottom w:val="none" w:sz="0" w:space="0" w:color="auto"/>
            <w:right w:val="none" w:sz="0" w:space="0" w:color="auto"/>
          </w:divBdr>
          <w:divsChild>
            <w:div w:id="240795913">
              <w:marLeft w:val="0"/>
              <w:marRight w:val="0"/>
              <w:marTop w:val="0"/>
              <w:marBottom w:val="0"/>
              <w:divBdr>
                <w:top w:val="none" w:sz="0" w:space="0" w:color="auto"/>
                <w:left w:val="none" w:sz="0" w:space="0" w:color="auto"/>
                <w:bottom w:val="none" w:sz="0" w:space="0" w:color="auto"/>
                <w:right w:val="none" w:sz="0" w:space="0" w:color="auto"/>
              </w:divBdr>
              <w:divsChild>
                <w:div w:id="1983122103">
                  <w:marLeft w:val="0"/>
                  <w:marRight w:val="0"/>
                  <w:marTop w:val="0"/>
                  <w:marBottom w:val="0"/>
                  <w:divBdr>
                    <w:top w:val="none" w:sz="0" w:space="0" w:color="auto"/>
                    <w:left w:val="none" w:sz="0" w:space="0" w:color="auto"/>
                    <w:bottom w:val="none" w:sz="0" w:space="0" w:color="auto"/>
                    <w:right w:val="none" w:sz="0" w:space="0" w:color="auto"/>
                  </w:divBdr>
                  <w:divsChild>
                    <w:div w:id="366024528">
                      <w:marLeft w:val="0"/>
                      <w:marRight w:val="0"/>
                      <w:marTop w:val="0"/>
                      <w:marBottom w:val="0"/>
                      <w:divBdr>
                        <w:top w:val="none" w:sz="0" w:space="0" w:color="auto"/>
                        <w:left w:val="none" w:sz="0" w:space="0" w:color="auto"/>
                        <w:bottom w:val="none" w:sz="0" w:space="0" w:color="auto"/>
                        <w:right w:val="none" w:sz="0" w:space="0" w:color="auto"/>
                      </w:divBdr>
                      <w:divsChild>
                        <w:div w:id="2033876428">
                          <w:marLeft w:val="0"/>
                          <w:marRight w:val="0"/>
                          <w:marTop w:val="0"/>
                          <w:marBottom w:val="0"/>
                          <w:divBdr>
                            <w:top w:val="none" w:sz="0" w:space="0" w:color="auto"/>
                            <w:left w:val="none" w:sz="0" w:space="0" w:color="auto"/>
                            <w:bottom w:val="none" w:sz="0" w:space="0" w:color="auto"/>
                            <w:right w:val="none" w:sz="0" w:space="0" w:color="auto"/>
                          </w:divBdr>
                          <w:divsChild>
                            <w:div w:id="15282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19752">
      <w:bodyDiv w:val="1"/>
      <w:marLeft w:val="0"/>
      <w:marRight w:val="0"/>
      <w:marTop w:val="0"/>
      <w:marBottom w:val="0"/>
      <w:divBdr>
        <w:top w:val="none" w:sz="0" w:space="0" w:color="auto"/>
        <w:left w:val="none" w:sz="0" w:space="0" w:color="auto"/>
        <w:bottom w:val="none" w:sz="0" w:space="0" w:color="auto"/>
        <w:right w:val="none" w:sz="0" w:space="0" w:color="auto"/>
      </w:divBdr>
      <w:divsChild>
        <w:div w:id="1978491163">
          <w:marLeft w:val="0"/>
          <w:marRight w:val="0"/>
          <w:marTop w:val="0"/>
          <w:marBottom w:val="0"/>
          <w:divBdr>
            <w:top w:val="none" w:sz="0" w:space="0" w:color="auto"/>
            <w:left w:val="none" w:sz="0" w:space="0" w:color="auto"/>
            <w:bottom w:val="none" w:sz="0" w:space="0" w:color="auto"/>
            <w:right w:val="none" w:sz="0" w:space="0" w:color="auto"/>
          </w:divBdr>
          <w:divsChild>
            <w:div w:id="146434382">
              <w:marLeft w:val="0"/>
              <w:marRight w:val="0"/>
              <w:marTop w:val="0"/>
              <w:marBottom w:val="0"/>
              <w:divBdr>
                <w:top w:val="none" w:sz="0" w:space="0" w:color="auto"/>
                <w:left w:val="none" w:sz="0" w:space="0" w:color="auto"/>
                <w:bottom w:val="none" w:sz="0" w:space="0" w:color="auto"/>
                <w:right w:val="none" w:sz="0" w:space="0" w:color="auto"/>
              </w:divBdr>
              <w:divsChild>
                <w:div w:id="11077102">
                  <w:marLeft w:val="0"/>
                  <w:marRight w:val="0"/>
                  <w:marTop w:val="0"/>
                  <w:marBottom w:val="0"/>
                  <w:divBdr>
                    <w:top w:val="none" w:sz="0" w:space="0" w:color="auto"/>
                    <w:left w:val="none" w:sz="0" w:space="0" w:color="auto"/>
                    <w:bottom w:val="none" w:sz="0" w:space="0" w:color="auto"/>
                    <w:right w:val="none" w:sz="0" w:space="0" w:color="auto"/>
                  </w:divBdr>
                  <w:divsChild>
                    <w:div w:id="470444233">
                      <w:marLeft w:val="0"/>
                      <w:marRight w:val="0"/>
                      <w:marTop w:val="0"/>
                      <w:marBottom w:val="0"/>
                      <w:divBdr>
                        <w:top w:val="none" w:sz="0" w:space="0" w:color="auto"/>
                        <w:left w:val="none" w:sz="0" w:space="0" w:color="auto"/>
                        <w:bottom w:val="none" w:sz="0" w:space="0" w:color="auto"/>
                        <w:right w:val="none" w:sz="0" w:space="0" w:color="auto"/>
                      </w:divBdr>
                      <w:divsChild>
                        <w:div w:id="1549419045">
                          <w:marLeft w:val="0"/>
                          <w:marRight w:val="0"/>
                          <w:marTop w:val="0"/>
                          <w:marBottom w:val="0"/>
                          <w:divBdr>
                            <w:top w:val="none" w:sz="0" w:space="0" w:color="auto"/>
                            <w:left w:val="none" w:sz="0" w:space="0" w:color="auto"/>
                            <w:bottom w:val="none" w:sz="0" w:space="0" w:color="auto"/>
                            <w:right w:val="none" w:sz="0" w:space="0" w:color="auto"/>
                          </w:divBdr>
                          <w:divsChild>
                            <w:div w:id="9472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838947">
      <w:bodyDiv w:val="1"/>
      <w:marLeft w:val="0"/>
      <w:marRight w:val="0"/>
      <w:marTop w:val="0"/>
      <w:marBottom w:val="0"/>
      <w:divBdr>
        <w:top w:val="none" w:sz="0" w:space="0" w:color="auto"/>
        <w:left w:val="none" w:sz="0" w:space="0" w:color="auto"/>
        <w:bottom w:val="none" w:sz="0" w:space="0" w:color="auto"/>
        <w:right w:val="none" w:sz="0" w:space="0" w:color="auto"/>
      </w:divBdr>
      <w:divsChild>
        <w:div w:id="1198353849">
          <w:marLeft w:val="0"/>
          <w:marRight w:val="0"/>
          <w:marTop w:val="0"/>
          <w:marBottom w:val="0"/>
          <w:divBdr>
            <w:top w:val="none" w:sz="0" w:space="0" w:color="auto"/>
            <w:left w:val="none" w:sz="0" w:space="0" w:color="auto"/>
            <w:bottom w:val="none" w:sz="0" w:space="0" w:color="auto"/>
            <w:right w:val="none" w:sz="0" w:space="0" w:color="auto"/>
          </w:divBdr>
        </w:div>
      </w:divsChild>
    </w:div>
    <w:div w:id="1881167633">
      <w:bodyDiv w:val="1"/>
      <w:marLeft w:val="0"/>
      <w:marRight w:val="0"/>
      <w:marTop w:val="0"/>
      <w:marBottom w:val="0"/>
      <w:divBdr>
        <w:top w:val="none" w:sz="0" w:space="0" w:color="auto"/>
        <w:left w:val="none" w:sz="0" w:space="0" w:color="auto"/>
        <w:bottom w:val="none" w:sz="0" w:space="0" w:color="auto"/>
        <w:right w:val="none" w:sz="0" w:space="0" w:color="auto"/>
      </w:divBdr>
    </w:div>
    <w:div w:id="1889107116">
      <w:bodyDiv w:val="1"/>
      <w:marLeft w:val="0"/>
      <w:marRight w:val="0"/>
      <w:marTop w:val="0"/>
      <w:marBottom w:val="0"/>
      <w:divBdr>
        <w:top w:val="none" w:sz="0" w:space="0" w:color="auto"/>
        <w:left w:val="none" w:sz="0" w:space="0" w:color="auto"/>
        <w:bottom w:val="none" w:sz="0" w:space="0" w:color="auto"/>
        <w:right w:val="none" w:sz="0" w:space="0" w:color="auto"/>
      </w:divBdr>
      <w:divsChild>
        <w:div w:id="147092117">
          <w:marLeft w:val="0"/>
          <w:marRight w:val="0"/>
          <w:marTop w:val="0"/>
          <w:marBottom w:val="0"/>
          <w:divBdr>
            <w:top w:val="none" w:sz="0" w:space="0" w:color="auto"/>
            <w:left w:val="none" w:sz="0" w:space="0" w:color="auto"/>
            <w:bottom w:val="none" w:sz="0" w:space="0" w:color="auto"/>
            <w:right w:val="none" w:sz="0" w:space="0" w:color="auto"/>
          </w:divBdr>
          <w:divsChild>
            <w:div w:id="1546212241">
              <w:marLeft w:val="0"/>
              <w:marRight w:val="0"/>
              <w:marTop w:val="0"/>
              <w:marBottom w:val="0"/>
              <w:divBdr>
                <w:top w:val="none" w:sz="0" w:space="0" w:color="auto"/>
                <w:left w:val="none" w:sz="0" w:space="0" w:color="auto"/>
                <w:bottom w:val="none" w:sz="0" w:space="0" w:color="auto"/>
                <w:right w:val="none" w:sz="0" w:space="0" w:color="auto"/>
              </w:divBdr>
              <w:divsChild>
                <w:div w:id="434327486">
                  <w:marLeft w:val="0"/>
                  <w:marRight w:val="0"/>
                  <w:marTop w:val="0"/>
                  <w:marBottom w:val="0"/>
                  <w:divBdr>
                    <w:top w:val="none" w:sz="0" w:space="0" w:color="auto"/>
                    <w:left w:val="none" w:sz="0" w:space="0" w:color="auto"/>
                    <w:bottom w:val="none" w:sz="0" w:space="0" w:color="auto"/>
                    <w:right w:val="none" w:sz="0" w:space="0" w:color="auto"/>
                  </w:divBdr>
                  <w:divsChild>
                    <w:div w:id="1404567589">
                      <w:marLeft w:val="0"/>
                      <w:marRight w:val="0"/>
                      <w:marTop w:val="0"/>
                      <w:marBottom w:val="0"/>
                      <w:divBdr>
                        <w:top w:val="none" w:sz="0" w:space="0" w:color="auto"/>
                        <w:left w:val="none" w:sz="0" w:space="0" w:color="auto"/>
                        <w:bottom w:val="none" w:sz="0" w:space="0" w:color="auto"/>
                        <w:right w:val="none" w:sz="0" w:space="0" w:color="auto"/>
                      </w:divBdr>
                      <w:divsChild>
                        <w:div w:id="1213427175">
                          <w:marLeft w:val="0"/>
                          <w:marRight w:val="0"/>
                          <w:marTop w:val="0"/>
                          <w:marBottom w:val="0"/>
                          <w:divBdr>
                            <w:top w:val="none" w:sz="0" w:space="0" w:color="auto"/>
                            <w:left w:val="none" w:sz="0" w:space="0" w:color="auto"/>
                            <w:bottom w:val="none" w:sz="0" w:space="0" w:color="auto"/>
                            <w:right w:val="none" w:sz="0" w:space="0" w:color="auto"/>
                          </w:divBdr>
                          <w:divsChild>
                            <w:div w:id="20061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3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hudoc.echr.coe.int/en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bip.ms.gov.pl/pl/prawa-czlowieka/europejski-trybunal-praw-czlowieka/orzecznictwo-europejskiego-trybunalu-praw-czlowieka/download,565,0.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BFCD0-6BA7-486A-945D-1CD4945D2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10657</Words>
  <Characters>63942</Characters>
  <Application>Microsoft Office Word</Application>
  <DocSecurity>0</DocSecurity>
  <Lines>532</Lines>
  <Paragraphs>148</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74451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2016-03-03T10:14:00Z</dcterms:created>
  <dcterms:modified xsi:type="dcterms:W3CDTF">2016-03-03T10:14:00Z</dcterms:modified>
</cp:coreProperties>
</file>