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48F" w:rsidRPr="00555021" w:rsidRDefault="00CE75D4" w:rsidP="00555021">
      <w:pPr>
        <w:pStyle w:val="Nagwek1"/>
        <w:spacing w:line="240" w:lineRule="auto"/>
        <w:jc w:val="right"/>
        <w:rPr>
          <w:rFonts w:asciiTheme="minorHAnsi" w:hAnsiTheme="minorHAnsi"/>
          <w:u w:val="single"/>
          <w:lang w:val="pl-PL"/>
        </w:rPr>
      </w:pPr>
      <w:bookmarkStart w:id="0" w:name="_Toc421029254"/>
      <w:bookmarkStart w:id="1" w:name="_GoBack"/>
      <w:bookmarkEnd w:id="1"/>
      <w:r>
        <w:rPr>
          <w:rFonts w:asciiTheme="minorHAnsi" w:hAnsiTheme="minorHAnsi"/>
          <w:u w:val="single"/>
          <w:lang w:val="pl-PL"/>
        </w:rPr>
        <w:t xml:space="preserve"> </w:t>
      </w:r>
    </w:p>
    <w:p w:rsidR="0053148F" w:rsidRPr="00D7274E" w:rsidRDefault="0053148F" w:rsidP="00D7274E">
      <w:pPr>
        <w:pStyle w:val="Nagwek1"/>
        <w:spacing w:line="240" w:lineRule="auto"/>
        <w:jc w:val="center"/>
        <w:rPr>
          <w:rFonts w:asciiTheme="minorHAnsi" w:hAnsiTheme="minorHAnsi"/>
          <w:lang w:val="pl-PL"/>
        </w:rPr>
      </w:pPr>
    </w:p>
    <w:p w:rsidR="00E15455" w:rsidRPr="00D7274E" w:rsidRDefault="00FF1D0E" w:rsidP="00D7274E">
      <w:pPr>
        <w:pStyle w:val="Nagwek1"/>
        <w:spacing w:before="720" w:line="240" w:lineRule="auto"/>
        <w:jc w:val="center"/>
        <w:rPr>
          <w:rFonts w:asciiTheme="minorHAnsi" w:hAnsiTheme="minorHAnsi"/>
          <w:sz w:val="32"/>
          <w:szCs w:val="32"/>
          <w:lang w:val="pl-PL"/>
        </w:rPr>
      </w:pPr>
      <w:r>
        <w:rPr>
          <w:rFonts w:asciiTheme="minorHAnsi" w:hAnsiTheme="minorHAnsi"/>
          <w:sz w:val="32"/>
          <w:szCs w:val="32"/>
          <w:lang w:val="pl-PL"/>
        </w:rPr>
        <w:t xml:space="preserve"> </w:t>
      </w:r>
    </w:p>
    <w:p w:rsidR="008D3934" w:rsidRPr="00D7274E" w:rsidRDefault="00E94F72" w:rsidP="00D7274E">
      <w:pPr>
        <w:pStyle w:val="Nagwek1"/>
        <w:spacing w:before="720" w:line="240" w:lineRule="auto"/>
        <w:jc w:val="center"/>
        <w:rPr>
          <w:rFonts w:asciiTheme="minorHAnsi" w:hAnsiTheme="minorHAnsi"/>
          <w:sz w:val="32"/>
          <w:szCs w:val="32"/>
          <w:lang w:val="pl-PL"/>
        </w:rPr>
      </w:pPr>
      <w:r w:rsidRPr="00D7274E">
        <w:rPr>
          <w:rFonts w:asciiTheme="minorHAnsi" w:hAnsiTheme="minorHAnsi"/>
          <w:sz w:val="32"/>
          <w:szCs w:val="32"/>
          <w:lang w:val="pl-PL"/>
        </w:rPr>
        <w:t>Przegląd orzecznictwa Europej</w:t>
      </w:r>
      <w:r w:rsidR="00B90E51" w:rsidRPr="00D7274E">
        <w:rPr>
          <w:rFonts w:asciiTheme="minorHAnsi" w:hAnsiTheme="minorHAnsi"/>
          <w:sz w:val="32"/>
          <w:szCs w:val="32"/>
          <w:lang w:val="pl-PL"/>
        </w:rPr>
        <w:t>skiego Trybunału Praw Człowieka</w:t>
      </w:r>
      <w:r w:rsidR="004E7FF2" w:rsidRPr="00D7274E">
        <w:rPr>
          <w:rFonts w:asciiTheme="minorHAnsi" w:hAnsiTheme="minorHAnsi"/>
          <w:sz w:val="32"/>
          <w:szCs w:val="32"/>
          <w:lang w:val="pl-PL"/>
        </w:rPr>
        <w:br/>
      </w:r>
      <w:r w:rsidRPr="00D7274E">
        <w:rPr>
          <w:rFonts w:asciiTheme="minorHAnsi" w:hAnsiTheme="minorHAnsi"/>
          <w:sz w:val="32"/>
          <w:szCs w:val="32"/>
          <w:lang w:val="pl-PL"/>
        </w:rPr>
        <w:t>w sprawach dotyczących państw trzecich</w:t>
      </w:r>
      <w:r w:rsidR="004E7FF2" w:rsidRPr="00D7274E">
        <w:rPr>
          <w:rFonts w:asciiTheme="minorHAnsi" w:hAnsiTheme="minorHAnsi"/>
          <w:sz w:val="32"/>
          <w:szCs w:val="32"/>
          <w:lang w:val="pl-PL"/>
        </w:rPr>
        <w:t xml:space="preserve"> – </w:t>
      </w:r>
      <w:r w:rsidR="00901085">
        <w:rPr>
          <w:rFonts w:asciiTheme="minorHAnsi" w:hAnsiTheme="minorHAnsi"/>
          <w:sz w:val="32"/>
          <w:szCs w:val="32"/>
          <w:lang w:val="pl-PL"/>
        </w:rPr>
        <w:t>listopad</w:t>
      </w:r>
      <w:r w:rsidR="004E7FF2" w:rsidRPr="00D7274E">
        <w:rPr>
          <w:rFonts w:asciiTheme="minorHAnsi" w:hAnsiTheme="minorHAnsi"/>
          <w:sz w:val="32"/>
          <w:szCs w:val="32"/>
          <w:lang w:val="pl-PL"/>
        </w:rPr>
        <w:t xml:space="preserve"> 2015 r.</w:t>
      </w:r>
      <w:bookmarkEnd w:id="0"/>
    </w:p>
    <w:p w:rsidR="00E15455" w:rsidRPr="00D7274E" w:rsidRDefault="00E15455" w:rsidP="00D7274E">
      <w:pPr>
        <w:spacing w:line="240" w:lineRule="auto"/>
        <w:rPr>
          <w:lang w:val="pl-PL"/>
        </w:rPr>
      </w:pPr>
    </w:p>
    <w:p w:rsidR="00E15455" w:rsidRPr="00D7274E" w:rsidRDefault="00E15455" w:rsidP="00D7274E">
      <w:pPr>
        <w:spacing w:before="600" w:line="240" w:lineRule="auto"/>
        <w:rPr>
          <w:lang w:val="pl-PL"/>
        </w:rPr>
      </w:pPr>
      <w:r w:rsidRPr="00D7274E">
        <w:rPr>
          <w:noProof/>
          <w:lang w:val="pl-PL" w:eastAsia="pl-PL"/>
        </w:rPr>
        <w:drawing>
          <wp:inline distT="0" distB="0" distL="0" distR="0" wp14:anchorId="114DC8A2" wp14:editId="7016A971">
            <wp:extent cx="5760720" cy="384048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etpcz_lato0020.jpg"/>
                    <pic:cNvPicPr/>
                  </pic:nvPicPr>
                  <pic:blipFill>
                    <a:blip r:embed="rId9">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rsidR="00E15455" w:rsidRPr="00D7274E" w:rsidRDefault="00E15455" w:rsidP="00D7274E">
      <w:pPr>
        <w:spacing w:before="120" w:after="360" w:line="240" w:lineRule="auto"/>
        <w:jc w:val="center"/>
        <w:rPr>
          <w:b/>
          <w:sz w:val="26"/>
          <w:lang w:val="pl-PL"/>
        </w:rPr>
      </w:pPr>
    </w:p>
    <w:p w:rsidR="00E94F72" w:rsidRPr="00D7274E" w:rsidRDefault="00E94F72" w:rsidP="00D7274E">
      <w:pPr>
        <w:spacing w:before="120" w:after="360" w:line="240" w:lineRule="auto"/>
        <w:jc w:val="center"/>
        <w:rPr>
          <w:b/>
          <w:sz w:val="26"/>
          <w:lang w:val="pl-PL"/>
        </w:rPr>
      </w:pPr>
      <w:r w:rsidRPr="00D7274E">
        <w:rPr>
          <w:b/>
          <w:sz w:val="26"/>
          <w:lang w:val="pl-PL"/>
        </w:rPr>
        <w:t xml:space="preserve">Nr </w:t>
      </w:r>
      <w:r w:rsidR="00901085">
        <w:rPr>
          <w:b/>
          <w:sz w:val="26"/>
          <w:lang w:val="pl-PL"/>
        </w:rPr>
        <w:t>7</w:t>
      </w:r>
      <w:r w:rsidR="00D24F30">
        <w:rPr>
          <w:b/>
          <w:sz w:val="26"/>
          <w:lang w:val="pl-PL"/>
        </w:rPr>
        <w:t xml:space="preserve"> /</w:t>
      </w:r>
      <w:r w:rsidRPr="00D7274E">
        <w:rPr>
          <w:b/>
          <w:sz w:val="26"/>
          <w:lang w:val="pl-PL"/>
        </w:rPr>
        <w:t>2015</w:t>
      </w:r>
    </w:p>
    <w:p w:rsidR="00E15455" w:rsidRPr="00D7274E" w:rsidRDefault="00E15455" w:rsidP="00D7274E">
      <w:pPr>
        <w:spacing w:before="120" w:after="360" w:line="240" w:lineRule="auto"/>
        <w:jc w:val="both"/>
        <w:rPr>
          <w:b/>
          <w:sz w:val="26"/>
          <w:lang w:val="pl-PL"/>
        </w:rPr>
      </w:pPr>
    </w:p>
    <w:p w:rsidR="00E15455" w:rsidRPr="00D7274E" w:rsidRDefault="00E15455" w:rsidP="00D7274E">
      <w:pPr>
        <w:spacing w:before="120" w:after="360" w:line="240" w:lineRule="auto"/>
        <w:jc w:val="both"/>
        <w:rPr>
          <w:b/>
          <w:sz w:val="26"/>
          <w:lang w:val="pl-PL"/>
        </w:rPr>
      </w:pPr>
    </w:p>
    <w:p w:rsidR="00AC0A09" w:rsidRDefault="00F47558">
      <w:pPr>
        <w:pStyle w:val="Spistreci2"/>
        <w:rPr>
          <w:rFonts w:eastAsiaTheme="minorEastAsia"/>
          <w:smallCaps w:val="0"/>
          <w:color w:val="auto"/>
          <w:sz w:val="22"/>
          <w:szCs w:val="22"/>
          <w:lang w:eastAsia="en-GB"/>
        </w:rPr>
      </w:pPr>
      <w:r w:rsidRPr="00D7274E">
        <w:rPr>
          <w:lang w:val="pl-PL"/>
        </w:rPr>
        <w:lastRenderedPageBreak/>
        <w:fldChar w:fldCharType="begin"/>
      </w:r>
      <w:r w:rsidRPr="00D7274E">
        <w:rPr>
          <w:lang w:val="pl-PL"/>
        </w:rPr>
        <w:instrText xml:space="preserve"> TOC \o "2-3" \h \z \u </w:instrText>
      </w:r>
      <w:r w:rsidRPr="00D7274E">
        <w:rPr>
          <w:lang w:val="pl-PL"/>
        </w:rPr>
        <w:fldChar w:fldCharType="separate"/>
      </w:r>
      <w:hyperlink w:anchor="_Toc439346283" w:history="1">
        <w:r w:rsidR="00AC0A09" w:rsidRPr="00093301">
          <w:rPr>
            <w:rStyle w:val="Hipercze"/>
          </w:rPr>
          <w:t>1.</w:t>
        </w:r>
        <w:r w:rsidR="00AC0A09">
          <w:rPr>
            <w:rFonts w:eastAsiaTheme="minorEastAsia"/>
            <w:smallCaps w:val="0"/>
            <w:color w:val="auto"/>
            <w:sz w:val="22"/>
            <w:szCs w:val="22"/>
            <w:lang w:eastAsia="en-GB"/>
          </w:rPr>
          <w:tab/>
        </w:r>
        <w:r w:rsidR="00AC0A09" w:rsidRPr="00093301">
          <w:rPr>
            <w:rStyle w:val="Hipercze"/>
          </w:rPr>
          <w:t>Hadžimejlić i Inni przeciwko Bośni and Hercegowinie (skargi nr 3427/13, 74569/13 i 7157/14), wyrok Izby z 3.11.2015 r., nieostateczny</w:t>
        </w:r>
        <w:r w:rsidR="00AC0A09">
          <w:rPr>
            <w:webHidden/>
          </w:rPr>
          <w:tab/>
        </w:r>
        <w:r w:rsidR="00AC0A09">
          <w:rPr>
            <w:webHidden/>
          </w:rPr>
          <w:fldChar w:fldCharType="begin"/>
        </w:r>
        <w:r w:rsidR="00AC0A09">
          <w:rPr>
            <w:webHidden/>
          </w:rPr>
          <w:instrText xml:space="preserve"> PAGEREF _Toc439346283 \h </w:instrText>
        </w:r>
        <w:r w:rsidR="00AC0A09">
          <w:rPr>
            <w:webHidden/>
          </w:rPr>
        </w:r>
        <w:r w:rsidR="00AC0A09">
          <w:rPr>
            <w:webHidden/>
          </w:rPr>
          <w:fldChar w:fldCharType="separate"/>
        </w:r>
        <w:r w:rsidR="00AC0A09">
          <w:rPr>
            <w:webHidden/>
          </w:rPr>
          <w:t>3</w:t>
        </w:r>
        <w:r w:rsidR="00AC0A09">
          <w:rPr>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84" w:history="1">
        <w:r w:rsidR="00AC0A09" w:rsidRPr="00093301">
          <w:rPr>
            <w:rStyle w:val="Hipercze"/>
            <w:b/>
            <w:noProof/>
            <w:lang w:val="pl-PL"/>
          </w:rPr>
          <w:t>- naruszenie art. 5 ust. 1</w:t>
        </w:r>
        <w:r w:rsidR="00AC0A09" w:rsidRPr="00093301">
          <w:rPr>
            <w:rStyle w:val="Hipercze"/>
            <w:rFonts w:ascii="Calibri" w:eastAsia="Calibri" w:hAnsi="Calibri" w:cs="Arial"/>
            <w:b/>
            <w:noProof/>
            <w:u w:color="000000"/>
            <w:bdr w:val="nil"/>
            <w:lang w:val="pl-PL"/>
          </w:rPr>
          <w:t xml:space="preserve"> </w:t>
        </w:r>
        <w:r w:rsidR="00AC0A09" w:rsidRPr="00093301">
          <w:rPr>
            <w:rStyle w:val="Hipercze"/>
            <w:b/>
            <w:noProof/>
            <w:lang w:val="pl-PL"/>
          </w:rPr>
          <w:t>Konwencji (prawo do wolności i bezpieczeństwa osobistego) z uwagi na bezprawne pozbawienie wolności skarżących poprzez umieszczenie ich w domu opieki społecznej bez lub wbrew decyzji sądu cywilnego</w:t>
        </w:r>
        <w:r w:rsidR="00AC0A09">
          <w:rPr>
            <w:noProof/>
            <w:webHidden/>
          </w:rPr>
          <w:tab/>
        </w:r>
        <w:r w:rsidR="00AC0A09">
          <w:rPr>
            <w:noProof/>
            <w:webHidden/>
          </w:rPr>
          <w:fldChar w:fldCharType="begin"/>
        </w:r>
        <w:r w:rsidR="00AC0A09">
          <w:rPr>
            <w:noProof/>
            <w:webHidden/>
          </w:rPr>
          <w:instrText xml:space="preserve"> PAGEREF _Toc439346284 \h </w:instrText>
        </w:r>
        <w:r w:rsidR="00AC0A09">
          <w:rPr>
            <w:noProof/>
            <w:webHidden/>
          </w:rPr>
        </w:r>
        <w:r w:rsidR="00AC0A09">
          <w:rPr>
            <w:noProof/>
            <w:webHidden/>
          </w:rPr>
          <w:fldChar w:fldCharType="separate"/>
        </w:r>
        <w:r w:rsidR="00AC0A09">
          <w:rPr>
            <w:noProof/>
            <w:webHidden/>
          </w:rPr>
          <w:t>3</w:t>
        </w:r>
        <w:r w:rsidR="00AC0A09">
          <w:rPr>
            <w:noProof/>
            <w:webHidden/>
          </w:rPr>
          <w:fldChar w:fldCharType="end"/>
        </w:r>
      </w:hyperlink>
    </w:p>
    <w:p w:rsidR="00AC0A09" w:rsidRDefault="00B233EB">
      <w:pPr>
        <w:pStyle w:val="Spistreci2"/>
        <w:rPr>
          <w:rFonts w:eastAsiaTheme="minorEastAsia"/>
          <w:smallCaps w:val="0"/>
          <w:color w:val="auto"/>
          <w:sz w:val="22"/>
          <w:szCs w:val="22"/>
          <w:lang w:eastAsia="en-GB"/>
        </w:rPr>
      </w:pPr>
      <w:hyperlink w:anchor="_Toc439346285" w:history="1">
        <w:r w:rsidR="00AC0A09" w:rsidRPr="00093301">
          <w:rPr>
            <w:rStyle w:val="Hipercze"/>
          </w:rPr>
          <w:t>2.</w:t>
        </w:r>
        <w:r w:rsidR="00AC0A09">
          <w:rPr>
            <w:rFonts w:eastAsiaTheme="minorEastAsia"/>
            <w:smallCaps w:val="0"/>
            <w:color w:val="auto"/>
            <w:sz w:val="22"/>
            <w:szCs w:val="22"/>
            <w:lang w:eastAsia="en-GB"/>
          </w:rPr>
          <w:tab/>
        </w:r>
        <w:r w:rsidR="00AC0A09" w:rsidRPr="00093301">
          <w:rPr>
            <w:rStyle w:val="Hipercze"/>
          </w:rPr>
          <w:t>M’Bala M’Bala p. Francji (skarga nr 25239/13), decyzja Izby z 20 października 2015 r., opublikowana 10 listopada 2015 r., ostateczna</w:t>
        </w:r>
        <w:r w:rsidR="00AC0A09">
          <w:rPr>
            <w:webHidden/>
          </w:rPr>
          <w:tab/>
        </w:r>
        <w:r w:rsidR="00AC0A09">
          <w:rPr>
            <w:webHidden/>
          </w:rPr>
          <w:fldChar w:fldCharType="begin"/>
        </w:r>
        <w:r w:rsidR="00AC0A09">
          <w:rPr>
            <w:webHidden/>
          </w:rPr>
          <w:instrText xml:space="preserve"> PAGEREF _Toc439346285 \h </w:instrText>
        </w:r>
        <w:r w:rsidR="00AC0A09">
          <w:rPr>
            <w:webHidden/>
          </w:rPr>
        </w:r>
        <w:r w:rsidR="00AC0A09">
          <w:rPr>
            <w:webHidden/>
          </w:rPr>
          <w:fldChar w:fldCharType="separate"/>
        </w:r>
        <w:r w:rsidR="00AC0A09">
          <w:rPr>
            <w:webHidden/>
          </w:rPr>
          <w:t>4</w:t>
        </w:r>
        <w:r w:rsidR="00AC0A09">
          <w:rPr>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86" w:history="1">
        <w:r w:rsidR="00AC0A09" w:rsidRPr="00093301">
          <w:rPr>
            <w:rStyle w:val="Hipercze"/>
            <w:b/>
            <w:noProof/>
            <w:lang w:val="pl-PL"/>
          </w:rPr>
          <w:t>- niedopuszczalność skargi na podstawie art. 10 Konwencji (wolność wyrażania opinii) i zastosowanie art. 17 Konwencji (zakaz nadużycia praw) w odniesieniu do zarzutu dotyczącego skazania skarżącego przez sądy krajowe za przestępstwo z nienawiści polegające na znieważeniu osób z uwagi na przynależność lub wyznanie w trakcie występu rozrywkowego</w:t>
        </w:r>
        <w:r w:rsidR="00AC0A09">
          <w:rPr>
            <w:noProof/>
            <w:webHidden/>
          </w:rPr>
          <w:tab/>
        </w:r>
        <w:r w:rsidR="00AC0A09">
          <w:rPr>
            <w:noProof/>
            <w:webHidden/>
          </w:rPr>
          <w:fldChar w:fldCharType="begin"/>
        </w:r>
        <w:r w:rsidR="00AC0A09">
          <w:rPr>
            <w:noProof/>
            <w:webHidden/>
          </w:rPr>
          <w:instrText xml:space="preserve"> PAGEREF _Toc439346286 \h </w:instrText>
        </w:r>
        <w:r w:rsidR="00AC0A09">
          <w:rPr>
            <w:noProof/>
            <w:webHidden/>
          </w:rPr>
        </w:r>
        <w:r w:rsidR="00AC0A09">
          <w:rPr>
            <w:noProof/>
            <w:webHidden/>
          </w:rPr>
          <w:fldChar w:fldCharType="separate"/>
        </w:r>
        <w:r w:rsidR="00AC0A09">
          <w:rPr>
            <w:noProof/>
            <w:webHidden/>
          </w:rPr>
          <w:t>4</w:t>
        </w:r>
        <w:r w:rsidR="00AC0A09">
          <w:rPr>
            <w:noProof/>
            <w:webHidden/>
          </w:rPr>
          <w:fldChar w:fldCharType="end"/>
        </w:r>
      </w:hyperlink>
    </w:p>
    <w:p w:rsidR="00AC0A09" w:rsidRDefault="00B233EB">
      <w:pPr>
        <w:pStyle w:val="Spistreci2"/>
        <w:rPr>
          <w:rFonts w:eastAsiaTheme="minorEastAsia"/>
          <w:smallCaps w:val="0"/>
          <w:color w:val="auto"/>
          <w:sz w:val="22"/>
          <w:szCs w:val="22"/>
          <w:lang w:eastAsia="en-GB"/>
        </w:rPr>
      </w:pPr>
      <w:hyperlink w:anchor="_Toc439346287" w:history="1">
        <w:r w:rsidR="00AC0A09" w:rsidRPr="00093301">
          <w:rPr>
            <w:rStyle w:val="Hipercze"/>
          </w:rPr>
          <w:t>3.</w:t>
        </w:r>
        <w:r w:rsidR="00AC0A09">
          <w:rPr>
            <w:rFonts w:eastAsiaTheme="minorEastAsia"/>
            <w:smallCaps w:val="0"/>
            <w:color w:val="auto"/>
            <w:sz w:val="22"/>
            <w:szCs w:val="22"/>
            <w:lang w:eastAsia="en-GB"/>
          </w:rPr>
          <w:tab/>
        </w:r>
        <w:r w:rsidR="00AC0A09" w:rsidRPr="00093301">
          <w:rPr>
            <w:rStyle w:val="Hipercze"/>
          </w:rPr>
          <w:t>Bamouhammad p. Belgii (skarga nr 47687/13), wyrok Izby z 17.11.2015 r., nieostateczny</w:t>
        </w:r>
        <w:r w:rsidR="00AC0A09">
          <w:rPr>
            <w:webHidden/>
          </w:rPr>
          <w:tab/>
        </w:r>
        <w:r w:rsidR="00AC0A09">
          <w:rPr>
            <w:webHidden/>
          </w:rPr>
          <w:fldChar w:fldCharType="begin"/>
        </w:r>
        <w:r w:rsidR="00AC0A09">
          <w:rPr>
            <w:webHidden/>
          </w:rPr>
          <w:instrText xml:space="preserve"> PAGEREF _Toc439346287 \h </w:instrText>
        </w:r>
        <w:r w:rsidR="00AC0A09">
          <w:rPr>
            <w:webHidden/>
          </w:rPr>
        </w:r>
        <w:r w:rsidR="00AC0A09">
          <w:rPr>
            <w:webHidden/>
          </w:rPr>
          <w:fldChar w:fldCharType="separate"/>
        </w:r>
        <w:r w:rsidR="00AC0A09">
          <w:rPr>
            <w:webHidden/>
          </w:rPr>
          <w:t>5</w:t>
        </w:r>
        <w:r w:rsidR="00AC0A09">
          <w:rPr>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88" w:history="1">
        <w:r w:rsidR="00AC0A09" w:rsidRPr="00093301">
          <w:rPr>
            <w:rStyle w:val="Hipercze"/>
            <w:b/>
            <w:noProof/>
            <w:lang w:val="pl-PL"/>
          </w:rPr>
          <w:t>- naruszenie art. 3 Konwencji (zakaz tortur oraz nieludzkiego lub poniżającego traktowania albo karania) ze względu na sposób wykonania kary pozbawienia wolności skarżącego przekraczający poziom cierpienia nieunikniony w warunkach pozbawienia wolności, w tym w szczególności z uwagi na ciągłe transfery pomiędzy jednostkami penitencjarnymi, nieustanne stosowanie nadzwyczajnych środków nadzoru, opóźnienie we wprowadzeniu terapii psychologicznej, a także odmowę rozważenia alternatywnych sposobów nadzoru, pomimo pogorszającego się stanu zdrowia skarżącego</w:t>
        </w:r>
        <w:r w:rsidR="00AC0A09">
          <w:rPr>
            <w:noProof/>
            <w:webHidden/>
          </w:rPr>
          <w:tab/>
        </w:r>
        <w:r w:rsidR="00AC0A09">
          <w:rPr>
            <w:noProof/>
            <w:webHidden/>
          </w:rPr>
          <w:fldChar w:fldCharType="begin"/>
        </w:r>
        <w:r w:rsidR="00AC0A09">
          <w:rPr>
            <w:noProof/>
            <w:webHidden/>
          </w:rPr>
          <w:instrText xml:space="preserve"> PAGEREF _Toc439346288 \h </w:instrText>
        </w:r>
        <w:r w:rsidR="00AC0A09">
          <w:rPr>
            <w:noProof/>
            <w:webHidden/>
          </w:rPr>
        </w:r>
        <w:r w:rsidR="00AC0A09">
          <w:rPr>
            <w:noProof/>
            <w:webHidden/>
          </w:rPr>
          <w:fldChar w:fldCharType="separate"/>
        </w:r>
        <w:r w:rsidR="00AC0A09">
          <w:rPr>
            <w:noProof/>
            <w:webHidden/>
          </w:rPr>
          <w:t>5</w:t>
        </w:r>
        <w:r w:rsidR="00AC0A09">
          <w:rPr>
            <w:noProof/>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89" w:history="1">
        <w:r w:rsidR="00AC0A09" w:rsidRPr="00093301">
          <w:rPr>
            <w:rStyle w:val="Hipercze"/>
            <w:b/>
            <w:noProof/>
            <w:lang w:val="pl-PL"/>
          </w:rPr>
          <w:t>- naruszenie art. 13 (prawo do skutecznego środka odwoławczego) w związku z art. 3 Konwencji z uwagi na fakt, że ciągłe transfery między jednostkami penitencjarnymi powodowały nieskuteczność środków odwoławczych przewidzianych dla osadzonego w celu zaskarżenia traktowania niezgodnego z art. 3 Konwencji</w:t>
        </w:r>
        <w:r w:rsidR="00AC0A09">
          <w:rPr>
            <w:noProof/>
            <w:webHidden/>
          </w:rPr>
          <w:tab/>
        </w:r>
        <w:r w:rsidR="00AC0A09">
          <w:rPr>
            <w:noProof/>
            <w:webHidden/>
          </w:rPr>
          <w:fldChar w:fldCharType="begin"/>
        </w:r>
        <w:r w:rsidR="00AC0A09">
          <w:rPr>
            <w:noProof/>
            <w:webHidden/>
          </w:rPr>
          <w:instrText xml:space="preserve"> PAGEREF _Toc439346289 \h </w:instrText>
        </w:r>
        <w:r w:rsidR="00AC0A09">
          <w:rPr>
            <w:noProof/>
            <w:webHidden/>
          </w:rPr>
        </w:r>
        <w:r w:rsidR="00AC0A09">
          <w:rPr>
            <w:noProof/>
            <w:webHidden/>
          </w:rPr>
          <w:fldChar w:fldCharType="separate"/>
        </w:r>
        <w:r w:rsidR="00AC0A09">
          <w:rPr>
            <w:noProof/>
            <w:webHidden/>
          </w:rPr>
          <w:t>5</w:t>
        </w:r>
        <w:r w:rsidR="00AC0A09">
          <w:rPr>
            <w:noProof/>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90" w:history="1">
        <w:r w:rsidR="00AC0A09" w:rsidRPr="00093301">
          <w:rPr>
            <w:rStyle w:val="Hipercze"/>
            <w:b/>
            <w:noProof/>
            <w:lang w:val="pl-PL"/>
          </w:rPr>
          <w:t>- nakazanie na podstawie art. 46 Konwencji (moc obowiązująca oraz wykonanie wyroków) wprowadzenia środków odwoławczych dostosowanych do sytuacji osadzonych podlegających transferom miedzy jednostkami penitencjarnymi oraz środkom specjalnym podobnym do nałożonych na skarżącego</w:t>
        </w:r>
        <w:r w:rsidR="00AC0A09">
          <w:rPr>
            <w:noProof/>
            <w:webHidden/>
          </w:rPr>
          <w:tab/>
        </w:r>
        <w:r w:rsidR="00AC0A09">
          <w:rPr>
            <w:noProof/>
            <w:webHidden/>
          </w:rPr>
          <w:fldChar w:fldCharType="begin"/>
        </w:r>
        <w:r w:rsidR="00AC0A09">
          <w:rPr>
            <w:noProof/>
            <w:webHidden/>
          </w:rPr>
          <w:instrText xml:space="preserve"> PAGEREF _Toc439346290 \h </w:instrText>
        </w:r>
        <w:r w:rsidR="00AC0A09">
          <w:rPr>
            <w:noProof/>
            <w:webHidden/>
          </w:rPr>
        </w:r>
        <w:r w:rsidR="00AC0A09">
          <w:rPr>
            <w:noProof/>
            <w:webHidden/>
          </w:rPr>
          <w:fldChar w:fldCharType="separate"/>
        </w:r>
        <w:r w:rsidR="00AC0A09">
          <w:rPr>
            <w:noProof/>
            <w:webHidden/>
          </w:rPr>
          <w:t>5</w:t>
        </w:r>
        <w:r w:rsidR="00AC0A09">
          <w:rPr>
            <w:noProof/>
            <w:webHidden/>
          </w:rPr>
          <w:fldChar w:fldCharType="end"/>
        </w:r>
      </w:hyperlink>
    </w:p>
    <w:p w:rsidR="00AC0A09" w:rsidRDefault="00B233EB">
      <w:pPr>
        <w:pStyle w:val="Spistreci2"/>
        <w:rPr>
          <w:rFonts w:eastAsiaTheme="minorEastAsia"/>
          <w:smallCaps w:val="0"/>
          <w:color w:val="auto"/>
          <w:sz w:val="22"/>
          <w:szCs w:val="22"/>
          <w:lang w:eastAsia="en-GB"/>
        </w:rPr>
      </w:pPr>
      <w:hyperlink w:anchor="_Toc439346291" w:history="1">
        <w:r w:rsidR="00AC0A09" w:rsidRPr="00093301">
          <w:rPr>
            <w:rStyle w:val="Hipercze"/>
          </w:rPr>
          <w:t>4.</w:t>
        </w:r>
        <w:r w:rsidR="00AC0A09">
          <w:rPr>
            <w:rFonts w:eastAsiaTheme="minorEastAsia"/>
            <w:smallCaps w:val="0"/>
            <w:color w:val="auto"/>
            <w:sz w:val="22"/>
            <w:szCs w:val="22"/>
            <w:lang w:eastAsia="en-GB"/>
          </w:rPr>
          <w:tab/>
        </w:r>
        <w:r w:rsidR="00AC0A09" w:rsidRPr="00093301">
          <w:rPr>
            <w:rStyle w:val="Hipercze"/>
          </w:rPr>
          <w:t>Regner p. Czechom (skarga nr 35289/11), wyrok Izby z 26.11.2015 r., nieostateczny</w:t>
        </w:r>
        <w:r w:rsidR="00AC0A09">
          <w:rPr>
            <w:webHidden/>
          </w:rPr>
          <w:tab/>
        </w:r>
        <w:r w:rsidR="00AC0A09">
          <w:rPr>
            <w:webHidden/>
          </w:rPr>
          <w:fldChar w:fldCharType="begin"/>
        </w:r>
        <w:r w:rsidR="00AC0A09">
          <w:rPr>
            <w:webHidden/>
          </w:rPr>
          <w:instrText xml:space="preserve"> PAGEREF _Toc439346291 \h </w:instrText>
        </w:r>
        <w:r w:rsidR="00AC0A09">
          <w:rPr>
            <w:webHidden/>
          </w:rPr>
        </w:r>
        <w:r w:rsidR="00AC0A09">
          <w:rPr>
            <w:webHidden/>
          </w:rPr>
          <w:fldChar w:fldCharType="separate"/>
        </w:r>
        <w:r w:rsidR="00AC0A09">
          <w:rPr>
            <w:webHidden/>
          </w:rPr>
          <w:t>8</w:t>
        </w:r>
        <w:r w:rsidR="00AC0A09">
          <w:rPr>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92" w:history="1">
        <w:r w:rsidR="00AC0A09" w:rsidRPr="00093301">
          <w:rPr>
            <w:rStyle w:val="Hipercze"/>
            <w:b/>
            <w:noProof/>
            <w:lang w:val="pl-PL"/>
          </w:rPr>
          <w:t>- zastosowalność art. 6 ust. 1 Konwencji (prawo do rzetelnego procesu sądowego) i brak naruszenia tego artykułu w odniesieniu do procedur sądowych, w których skarżącemu odmówiono dostępu do poufnego dokumentu zawierającego informacje będące podstawą unieważnienia poświadczenia bezpieczeństwa skarżącego, niezbędnego do pełnienia przez niego funkcji zastępcy wiceministra obrony</w:t>
        </w:r>
        <w:r w:rsidR="00AC0A09">
          <w:rPr>
            <w:noProof/>
            <w:webHidden/>
          </w:rPr>
          <w:tab/>
        </w:r>
        <w:r w:rsidR="00AC0A09">
          <w:rPr>
            <w:noProof/>
            <w:webHidden/>
          </w:rPr>
          <w:fldChar w:fldCharType="begin"/>
        </w:r>
        <w:r w:rsidR="00AC0A09">
          <w:rPr>
            <w:noProof/>
            <w:webHidden/>
          </w:rPr>
          <w:instrText xml:space="preserve"> PAGEREF _Toc439346292 \h </w:instrText>
        </w:r>
        <w:r w:rsidR="00AC0A09">
          <w:rPr>
            <w:noProof/>
            <w:webHidden/>
          </w:rPr>
        </w:r>
        <w:r w:rsidR="00AC0A09">
          <w:rPr>
            <w:noProof/>
            <w:webHidden/>
          </w:rPr>
          <w:fldChar w:fldCharType="separate"/>
        </w:r>
        <w:r w:rsidR="00AC0A09">
          <w:rPr>
            <w:noProof/>
            <w:webHidden/>
          </w:rPr>
          <w:t>8</w:t>
        </w:r>
        <w:r w:rsidR="00AC0A09">
          <w:rPr>
            <w:noProof/>
            <w:webHidden/>
          </w:rPr>
          <w:fldChar w:fldCharType="end"/>
        </w:r>
      </w:hyperlink>
    </w:p>
    <w:p w:rsidR="00AC0A09" w:rsidRDefault="00B233EB">
      <w:pPr>
        <w:pStyle w:val="Spistreci2"/>
        <w:rPr>
          <w:rFonts w:eastAsiaTheme="minorEastAsia"/>
          <w:smallCaps w:val="0"/>
          <w:color w:val="auto"/>
          <w:sz w:val="22"/>
          <w:szCs w:val="22"/>
          <w:lang w:eastAsia="en-GB"/>
        </w:rPr>
      </w:pPr>
      <w:hyperlink w:anchor="_Toc439346293" w:history="1">
        <w:r w:rsidR="00AC0A09" w:rsidRPr="00093301">
          <w:rPr>
            <w:rStyle w:val="Hipercze"/>
          </w:rPr>
          <w:t>5.</w:t>
        </w:r>
        <w:r w:rsidR="00AC0A09">
          <w:rPr>
            <w:rFonts w:eastAsiaTheme="minorEastAsia"/>
            <w:smallCaps w:val="0"/>
            <w:color w:val="auto"/>
            <w:sz w:val="22"/>
            <w:szCs w:val="22"/>
            <w:lang w:eastAsia="en-GB"/>
          </w:rPr>
          <w:tab/>
        </w:r>
        <w:r w:rsidR="00AC0A09" w:rsidRPr="00093301">
          <w:rPr>
            <w:rStyle w:val="Hipercze"/>
          </w:rPr>
          <w:t>Ebrahimian p. Francji, nr 64846/11, wyrok Izby z 26.11.2015 r., nieostateczny</w:t>
        </w:r>
        <w:r w:rsidR="00AC0A09">
          <w:rPr>
            <w:webHidden/>
          </w:rPr>
          <w:tab/>
        </w:r>
        <w:r w:rsidR="00AC0A09">
          <w:rPr>
            <w:webHidden/>
          </w:rPr>
          <w:fldChar w:fldCharType="begin"/>
        </w:r>
        <w:r w:rsidR="00AC0A09">
          <w:rPr>
            <w:webHidden/>
          </w:rPr>
          <w:instrText xml:space="preserve"> PAGEREF _Toc439346293 \h </w:instrText>
        </w:r>
        <w:r w:rsidR="00AC0A09">
          <w:rPr>
            <w:webHidden/>
          </w:rPr>
        </w:r>
        <w:r w:rsidR="00AC0A09">
          <w:rPr>
            <w:webHidden/>
          </w:rPr>
          <w:fldChar w:fldCharType="separate"/>
        </w:r>
        <w:r w:rsidR="00AC0A09">
          <w:rPr>
            <w:webHidden/>
          </w:rPr>
          <w:t>10</w:t>
        </w:r>
        <w:r w:rsidR="00AC0A09">
          <w:rPr>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94" w:history="1">
        <w:r w:rsidR="00AC0A09" w:rsidRPr="00093301">
          <w:rPr>
            <w:rStyle w:val="Hipercze"/>
            <w:b/>
            <w:noProof/>
            <w:lang w:val="pl-PL"/>
          </w:rPr>
          <w:t>- brak naruszenia art. 9 Konwencji (wolność myśli, sumienia i wyznania) w sprawie dotyczącej nieprzedłużenia umowy o pracę z pracownicą socjalną, która posiadała jednocześnie status francuskiego urzędnika państwowego, z powodu noszenia chusty w trakcie wykonywania obowiązków służbowych</w:t>
        </w:r>
        <w:r w:rsidR="00AC0A09">
          <w:rPr>
            <w:noProof/>
            <w:webHidden/>
          </w:rPr>
          <w:tab/>
        </w:r>
        <w:r w:rsidR="00AC0A09">
          <w:rPr>
            <w:noProof/>
            <w:webHidden/>
          </w:rPr>
          <w:fldChar w:fldCharType="begin"/>
        </w:r>
        <w:r w:rsidR="00AC0A09">
          <w:rPr>
            <w:noProof/>
            <w:webHidden/>
          </w:rPr>
          <w:instrText xml:space="preserve"> PAGEREF _Toc439346294 \h </w:instrText>
        </w:r>
        <w:r w:rsidR="00AC0A09">
          <w:rPr>
            <w:noProof/>
            <w:webHidden/>
          </w:rPr>
        </w:r>
        <w:r w:rsidR="00AC0A09">
          <w:rPr>
            <w:noProof/>
            <w:webHidden/>
          </w:rPr>
          <w:fldChar w:fldCharType="separate"/>
        </w:r>
        <w:r w:rsidR="00AC0A09">
          <w:rPr>
            <w:noProof/>
            <w:webHidden/>
          </w:rPr>
          <w:t>10</w:t>
        </w:r>
        <w:r w:rsidR="00AC0A09">
          <w:rPr>
            <w:noProof/>
            <w:webHidden/>
          </w:rPr>
          <w:fldChar w:fldCharType="end"/>
        </w:r>
      </w:hyperlink>
    </w:p>
    <w:p w:rsidR="00AC0A09" w:rsidRDefault="00B233EB">
      <w:pPr>
        <w:pStyle w:val="Spistreci2"/>
        <w:rPr>
          <w:rFonts w:eastAsiaTheme="minorEastAsia"/>
          <w:smallCaps w:val="0"/>
          <w:color w:val="auto"/>
          <w:sz w:val="22"/>
          <w:szCs w:val="22"/>
          <w:lang w:eastAsia="en-GB"/>
        </w:rPr>
      </w:pPr>
      <w:hyperlink w:anchor="_Toc439346295" w:history="1">
        <w:r w:rsidR="00AC0A09" w:rsidRPr="00093301">
          <w:rPr>
            <w:rStyle w:val="Hipercze"/>
          </w:rPr>
          <w:t>6.</w:t>
        </w:r>
        <w:r w:rsidR="00AC0A09">
          <w:rPr>
            <w:rFonts w:eastAsiaTheme="minorEastAsia"/>
            <w:smallCaps w:val="0"/>
            <w:color w:val="auto"/>
            <w:sz w:val="22"/>
            <w:szCs w:val="22"/>
            <w:lang w:eastAsia="en-GB"/>
          </w:rPr>
          <w:tab/>
        </w:r>
        <w:r w:rsidR="00AC0A09" w:rsidRPr="00093301">
          <w:rPr>
            <w:rStyle w:val="Hipercze"/>
          </w:rPr>
          <w:t>Annen p. Niemcom, skarga nr 3690/10, wyrok Izby z 26.11.2015 r., nieostateczny</w:t>
        </w:r>
        <w:r w:rsidR="00AC0A09">
          <w:rPr>
            <w:webHidden/>
          </w:rPr>
          <w:tab/>
        </w:r>
        <w:r w:rsidR="00AC0A09">
          <w:rPr>
            <w:webHidden/>
          </w:rPr>
          <w:fldChar w:fldCharType="begin"/>
        </w:r>
        <w:r w:rsidR="00AC0A09">
          <w:rPr>
            <w:webHidden/>
          </w:rPr>
          <w:instrText xml:space="preserve"> PAGEREF _Toc439346295 \h </w:instrText>
        </w:r>
        <w:r w:rsidR="00AC0A09">
          <w:rPr>
            <w:webHidden/>
          </w:rPr>
        </w:r>
        <w:r w:rsidR="00AC0A09">
          <w:rPr>
            <w:webHidden/>
          </w:rPr>
          <w:fldChar w:fldCharType="separate"/>
        </w:r>
        <w:r w:rsidR="00AC0A09">
          <w:rPr>
            <w:webHidden/>
          </w:rPr>
          <w:t>12</w:t>
        </w:r>
        <w:r w:rsidR="00AC0A09">
          <w:rPr>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96" w:history="1">
        <w:r w:rsidR="00AC0A09" w:rsidRPr="00093301">
          <w:rPr>
            <w:rStyle w:val="Hipercze"/>
            <w:b/>
            <w:noProof/>
            <w:lang w:val="pl-PL"/>
          </w:rPr>
          <w:t>- naruszenie art. 10 Konwencji (wolność wyrażania opinii) z uwagi na sądowy nakaz wstrzymania przez skarżącego dystrybucji ulotek porównujących uregulowania dotyczące aborcji do Holokaustu w pobliżu kliniki, w której wykonywano aborcje</w:t>
        </w:r>
        <w:r w:rsidR="00AC0A09">
          <w:rPr>
            <w:noProof/>
            <w:webHidden/>
          </w:rPr>
          <w:tab/>
        </w:r>
        <w:r w:rsidR="00AC0A09">
          <w:rPr>
            <w:noProof/>
            <w:webHidden/>
          </w:rPr>
          <w:fldChar w:fldCharType="begin"/>
        </w:r>
        <w:r w:rsidR="00AC0A09">
          <w:rPr>
            <w:noProof/>
            <w:webHidden/>
          </w:rPr>
          <w:instrText xml:space="preserve"> PAGEREF _Toc439346296 \h </w:instrText>
        </w:r>
        <w:r w:rsidR="00AC0A09">
          <w:rPr>
            <w:noProof/>
            <w:webHidden/>
          </w:rPr>
        </w:r>
        <w:r w:rsidR="00AC0A09">
          <w:rPr>
            <w:noProof/>
            <w:webHidden/>
          </w:rPr>
          <w:fldChar w:fldCharType="separate"/>
        </w:r>
        <w:r w:rsidR="00AC0A09">
          <w:rPr>
            <w:noProof/>
            <w:webHidden/>
          </w:rPr>
          <w:t>12</w:t>
        </w:r>
        <w:r w:rsidR="00AC0A09">
          <w:rPr>
            <w:noProof/>
            <w:webHidden/>
          </w:rPr>
          <w:fldChar w:fldCharType="end"/>
        </w:r>
      </w:hyperlink>
    </w:p>
    <w:p w:rsidR="00AC0A09" w:rsidRDefault="00B233EB">
      <w:pPr>
        <w:pStyle w:val="Spistreci3"/>
        <w:tabs>
          <w:tab w:val="right" w:leader="dot" w:pos="9062"/>
        </w:tabs>
        <w:rPr>
          <w:rFonts w:eastAsiaTheme="minorEastAsia"/>
          <w:i w:val="0"/>
          <w:iCs w:val="0"/>
          <w:noProof/>
          <w:sz w:val="22"/>
          <w:szCs w:val="22"/>
          <w:lang w:eastAsia="en-GB"/>
        </w:rPr>
      </w:pPr>
      <w:hyperlink w:anchor="_Toc439346297" w:history="1">
        <w:r w:rsidR="00AC0A09" w:rsidRPr="00093301">
          <w:rPr>
            <w:rStyle w:val="Hipercze"/>
            <w:b/>
            <w:noProof/>
            <w:lang w:val="pl-PL"/>
          </w:rPr>
          <w:t>- naruszenie ze względów proceduralnych art. 10 Konwencji (wolność wyrażania opinii) w odniesieniu do sądowego nakazu wstrzymania publikowania na stronie internetowej skarżącego danych kontaktowych lekarzy dokonujących aborcji – naruszenie z uwagi na fakt, że sądy nie zbadały wszystkich istotnych okoliczności sprawy</w:t>
        </w:r>
        <w:r w:rsidR="00AC0A09">
          <w:rPr>
            <w:noProof/>
            <w:webHidden/>
          </w:rPr>
          <w:tab/>
        </w:r>
        <w:r w:rsidR="00AC0A09">
          <w:rPr>
            <w:noProof/>
            <w:webHidden/>
          </w:rPr>
          <w:fldChar w:fldCharType="begin"/>
        </w:r>
        <w:r w:rsidR="00AC0A09">
          <w:rPr>
            <w:noProof/>
            <w:webHidden/>
          </w:rPr>
          <w:instrText xml:space="preserve"> PAGEREF _Toc439346297 \h </w:instrText>
        </w:r>
        <w:r w:rsidR="00AC0A09">
          <w:rPr>
            <w:noProof/>
            <w:webHidden/>
          </w:rPr>
        </w:r>
        <w:r w:rsidR="00AC0A09">
          <w:rPr>
            <w:noProof/>
            <w:webHidden/>
          </w:rPr>
          <w:fldChar w:fldCharType="separate"/>
        </w:r>
        <w:r w:rsidR="00AC0A09">
          <w:rPr>
            <w:noProof/>
            <w:webHidden/>
          </w:rPr>
          <w:t>12</w:t>
        </w:r>
        <w:r w:rsidR="00AC0A09">
          <w:rPr>
            <w:noProof/>
            <w:webHidden/>
          </w:rPr>
          <w:fldChar w:fldCharType="end"/>
        </w:r>
      </w:hyperlink>
    </w:p>
    <w:p w:rsidR="008C1766" w:rsidRDefault="00F47558" w:rsidP="00D7274E">
      <w:pPr>
        <w:spacing w:after="120" w:line="240" w:lineRule="auto"/>
        <w:jc w:val="both"/>
        <w:rPr>
          <w:smallCaps/>
          <w:sz w:val="20"/>
          <w:szCs w:val="20"/>
          <w:lang w:val="pl-PL"/>
        </w:rPr>
      </w:pPr>
      <w:r w:rsidRPr="00D7274E">
        <w:rPr>
          <w:smallCaps/>
          <w:sz w:val="20"/>
          <w:szCs w:val="20"/>
          <w:lang w:val="pl-PL"/>
        </w:rPr>
        <w:fldChar w:fldCharType="end"/>
      </w:r>
    </w:p>
    <w:p w:rsidR="001C62BE" w:rsidRPr="00D7274E" w:rsidRDefault="001C62BE" w:rsidP="00D7274E">
      <w:pPr>
        <w:spacing w:after="120" w:line="240" w:lineRule="auto"/>
        <w:jc w:val="both"/>
        <w:rPr>
          <w:smallCaps/>
          <w:sz w:val="20"/>
          <w:szCs w:val="20"/>
          <w:lang w:val="pl-PL"/>
        </w:rPr>
      </w:pPr>
    </w:p>
    <w:p w:rsidR="00F7704E" w:rsidRDefault="00F7704E">
      <w:pPr>
        <w:rPr>
          <w:rFonts w:eastAsiaTheme="majorEastAsia" w:cstheme="majorBidi"/>
          <w:b/>
          <w:bCs/>
          <w:color w:val="4F81BD" w:themeColor="accent1"/>
          <w:sz w:val="24"/>
          <w:szCs w:val="24"/>
          <w:lang w:val="pl-PL"/>
        </w:rPr>
      </w:pPr>
      <w:r>
        <w:br w:type="page"/>
      </w:r>
    </w:p>
    <w:p w:rsidR="00567799" w:rsidRDefault="00567799" w:rsidP="00567799">
      <w:pPr>
        <w:pStyle w:val="Nagwek2"/>
        <w:numPr>
          <w:ilvl w:val="0"/>
          <w:numId w:val="1"/>
        </w:numPr>
      </w:pPr>
      <w:bookmarkStart w:id="2" w:name="_Toc439346283"/>
      <w:proofErr w:type="spellStart"/>
      <w:r w:rsidRPr="00567799">
        <w:lastRenderedPageBreak/>
        <w:t>Hadžimejlić</w:t>
      </w:r>
      <w:proofErr w:type="spellEnd"/>
      <w:r w:rsidRPr="00567799">
        <w:t xml:space="preserve"> i </w:t>
      </w:r>
      <w:r w:rsidR="00FA5434" w:rsidRPr="00567799">
        <w:t xml:space="preserve">Inni </w:t>
      </w:r>
      <w:r w:rsidRPr="00567799">
        <w:t>przeciwko Bośni and Hercegowinie (skargi nr 3427/13, 74569/13</w:t>
      </w:r>
      <w:r>
        <w:t xml:space="preserve"> i</w:t>
      </w:r>
      <w:r w:rsidR="00B90321">
        <w:t xml:space="preserve"> </w:t>
      </w:r>
      <w:r w:rsidRPr="00567799">
        <w:t>7157/14)</w:t>
      </w:r>
      <w:r>
        <w:t>, w</w:t>
      </w:r>
      <w:r w:rsidRPr="00567799">
        <w:t>yrok Izby z 3</w:t>
      </w:r>
      <w:r w:rsidR="003D004C">
        <w:t>.11.</w:t>
      </w:r>
      <w:r w:rsidRPr="00567799">
        <w:t xml:space="preserve">2015 r., </w:t>
      </w:r>
      <w:r>
        <w:t>nieostateczny</w:t>
      </w:r>
      <w:bookmarkEnd w:id="2"/>
    </w:p>
    <w:p w:rsidR="00567799" w:rsidRPr="00F3631F" w:rsidRDefault="00F3631F" w:rsidP="00F3631F">
      <w:pPr>
        <w:keepNext/>
        <w:keepLines/>
        <w:spacing w:after="360" w:line="240" w:lineRule="auto"/>
        <w:jc w:val="both"/>
        <w:outlineLvl w:val="2"/>
        <w:rPr>
          <w:b/>
          <w:color w:val="000000" w:themeColor="text1"/>
          <w:lang w:val="pl-PL"/>
        </w:rPr>
      </w:pPr>
      <w:bookmarkStart w:id="3" w:name="_Toc439346284"/>
      <w:r>
        <w:rPr>
          <w:b/>
          <w:color w:val="000000" w:themeColor="text1"/>
          <w:lang w:val="pl-PL"/>
        </w:rPr>
        <w:t>- n</w:t>
      </w:r>
      <w:r w:rsidR="00567799" w:rsidRPr="00F3631F">
        <w:rPr>
          <w:b/>
          <w:color w:val="000000" w:themeColor="text1"/>
          <w:lang w:val="pl-PL"/>
        </w:rPr>
        <w:t>aruszenie art. 5 ust. 1</w:t>
      </w:r>
      <w:r w:rsidR="00567799" w:rsidRPr="00567799">
        <w:rPr>
          <w:rFonts w:ascii="Calibri" w:eastAsia="Calibri" w:hAnsi="Calibri" w:cs="Arial"/>
          <w:b/>
          <w:color w:val="365F91" w:themeColor="accent1" w:themeShade="BF"/>
          <w:u w:color="000000"/>
          <w:bdr w:val="nil"/>
          <w:lang w:val="pl-PL"/>
        </w:rPr>
        <w:t xml:space="preserve"> </w:t>
      </w:r>
      <w:r w:rsidRPr="0064489B">
        <w:rPr>
          <w:b/>
          <w:color w:val="000000" w:themeColor="text1"/>
          <w:lang w:val="pl-PL"/>
        </w:rPr>
        <w:t>Konwencji</w:t>
      </w:r>
      <w:r w:rsidRPr="00567799">
        <w:rPr>
          <w:vertAlign w:val="superscript"/>
        </w:rPr>
        <w:footnoteReference w:id="1"/>
      </w:r>
      <w:r>
        <w:rPr>
          <w:b/>
          <w:color w:val="000000" w:themeColor="text1"/>
          <w:lang w:val="pl-PL"/>
        </w:rPr>
        <w:t xml:space="preserve"> </w:t>
      </w:r>
      <w:r w:rsidR="000D6B51">
        <w:rPr>
          <w:b/>
          <w:color w:val="000000" w:themeColor="text1"/>
          <w:lang w:val="pl-PL"/>
        </w:rPr>
        <w:t>(</w:t>
      </w:r>
      <w:r w:rsidR="004F6109">
        <w:rPr>
          <w:b/>
          <w:color w:val="000000" w:themeColor="text1"/>
          <w:lang w:val="pl-PL"/>
        </w:rPr>
        <w:t xml:space="preserve">prawo do wolności i bezpieczeństwa osobistego) </w:t>
      </w:r>
      <w:r>
        <w:rPr>
          <w:b/>
          <w:color w:val="000000" w:themeColor="text1"/>
          <w:lang w:val="pl-PL"/>
        </w:rPr>
        <w:t xml:space="preserve">z uwagi na </w:t>
      </w:r>
      <w:r w:rsidR="00567799" w:rsidRPr="00F3631F">
        <w:rPr>
          <w:b/>
          <w:color w:val="000000" w:themeColor="text1"/>
          <w:lang w:val="pl-PL"/>
        </w:rPr>
        <w:t>bezprawne pozbawienie</w:t>
      </w:r>
      <w:r w:rsidR="0062269C">
        <w:rPr>
          <w:b/>
          <w:color w:val="000000" w:themeColor="text1"/>
          <w:lang w:val="pl-PL"/>
        </w:rPr>
        <w:t xml:space="preserve"> </w:t>
      </w:r>
      <w:r w:rsidR="00567799" w:rsidRPr="00F3631F">
        <w:rPr>
          <w:b/>
          <w:color w:val="000000" w:themeColor="text1"/>
          <w:lang w:val="pl-PL"/>
        </w:rPr>
        <w:t xml:space="preserve">wolności </w:t>
      </w:r>
      <w:r w:rsidR="0062269C">
        <w:rPr>
          <w:b/>
          <w:color w:val="000000" w:themeColor="text1"/>
          <w:lang w:val="pl-PL"/>
        </w:rPr>
        <w:t>skarżących</w:t>
      </w:r>
      <w:r w:rsidR="0062269C" w:rsidRPr="00F3631F">
        <w:rPr>
          <w:b/>
          <w:color w:val="000000" w:themeColor="text1"/>
          <w:lang w:val="pl-PL"/>
        </w:rPr>
        <w:t xml:space="preserve"> </w:t>
      </w:r>
      <w:r w:rsidR="00567799" w:rsidRPr="00F3631F">
        <w:rPr>
          <w:b/>
          <w:color w:val="000000" w:themeColor="text1"/>
          <w:lang w:val="pl-PL"/>
        </w:rPr>
        <w:t xml:space="preserve">poprzez umieszczenie </w:t>
      </w:r>
      <w:r w:rsidR="0062269C">
        <w:rPr>
          <w:b/>
          <w:color w:val="000000" w:themeColor="text1"/>
          <w:lang w:val="pl-PL"/>
        </w:rPr>
        <w:t xml:space="preserve">ich </w:t>
      </w:r>
      <w:r w:rsidR="00567799" w:rsidRPr="00F3631F">
        <w:rPr>
          <w:b/>
          <w:color w:val="000000" w:themeColor="text1"/>
          <w:lang w:val="pl-PL"/>
        </w:rPr>
        <w:t>w domu opieki społecznej bez</w:t>
      </w:r>
      <w:r w:rsidR="00A05CFD">
        <w:rPr>
          <w:b/>
          <w:color w:val="000000" w:themeColor="text1"/>
          <w:lang w:val="pl-PL"/>
        </w:rPr>
        <w:t xml:space="preserve"> lub wbrew</w:t>
      </w:r>
      <w:r w:rsidR="00567799" w:rsidRPr="00F3631F">
        <w:rPr>
          <w:b/>
          <w:color w:val="000000" w:themeColor="text1"/>
          <w:lang w:val="pl-PL"/>
        </w:rPr>
        <w:t xml:space="preserve"> decyzji sądu cywilnego</w:t>
      </w:r>
      <w:bookmarkEnd w:id="3"/>
    </w:p>
    <w:p w:rsidR="00567799" w:rsidRPr="004D4D79" w:rsidRDefault="00567799" w:rsidP="00567799">
      <w:pPr>
        <w:spacing w:after="120" w:line="240" w:lineRule="auto"/>
        <w:jc w:val="both"/>
        <w:rPr>
          <w:u w:val="single"/>
          <w:lang w:val="pl-PL"/>
        </w:rPr>
      </w:pPr>
      <w:r w:rsidRPr="004D4D79">
        <w:rPr>
          <w:u w:val="single"/>
          <w:lang w:val="pl-PL"/>
        </w:rPr>
        <w:t>Stan faktyczny i zarzuty skarżących</w:t>
      </w:r>
    </w:p>
    <w:p w:rsidR="00567799" w:rsidRPr="004D4D79" w:rsidRDefault="00567799" w:rsidP="004D4D79">
      <w:pPr>
        <w:spacing w:after="120" w:line="240" w:lineRule="auto"/>
        <w:jc w:val="both"/>
        <w:rPr>
          <w:lang w:val="pl-PL"/>
        </w:rPr>
      </w:pPr>
      <w:r w:rsidRPr="004D4D79">
        <w:rPr>
          <w:lang w:val="pl-PL"/>
        </w:rPr>
        <w:t xml:space="preserve">Skarżący </w:t>
      </w:r>
      <w:proofErr w:type="spellStart"/>
      <w:r w:rsidRPr="004D4D79">
        <w:rPr>
          <w:lang w:val="pl-PL"/>
        </w:rPr>
        <w:t>Zuhra</w:t>
      </w:r>
      <w:proofErr w:type="spellEnd"/>
      <w:r w:rsidRPr="004D4D79">
        <w:rPr>
          <w:lang w:val="pl-PL"/>
        </w:rPr>
        <w:t xml:space="preserve"> </w:t>
      </w:r>
      <w:proofErr w:type="spellStart"/>
      <w:r w:rsidRPr="004D4D79">
        <w:rPr>
          <w:lang w:val="pl-PL"/>
        </w:rPr>
        <w:t>Hadžimejlić</w:t>
      </w:r>
      <w:proofErr w:type="spellEnd"/>
      <w:r w:rsidRPr="004D4D79">
        <w:rPr>
          <w:lang w:val="pl-PL"/>
        </w:rPr>
        <w:t xml:space="preserve">, Marcel </w:t>
      </w:r>
      <w:proofErr w:type="spellStart"/>
      <w:r w:rsidRPr="004D4D79">
        <w:rPr>
          <w:lang w:val="pl-PL"/>
        </w:rPr>
        <w:t>Crepulja</w:t>
      </w:r>
      <w:proofErr w:type="spellEnd"/>
      <w:r w:rsidRPr="004D4D79">
        <w:rPr>
          <w:lang w:val="pl-PL"/>
        </w:rPr>
        <w:t xml:space="preserve"> i </w:t>
      </w:r>
      <w:proofErr w:type="spellStart"/>
      <w:r w:rsidRPr="004D4D79">
        <w:rPr>
          <w:lang w:val="pl-PL"/>
        </w:rPr>
        <w:t>Esad</w:t>
      </w:r>
      <w:proofErr w:type="spellEnd"/>
      <w:r w:rsidRPr="004D4D79">
        <w:rPr>
          <w:lang w:val="pl-PL"/>
        </w:rPr>
        <w:t xml:space="preserve"> </w:t>
      </w:r>
      <w:proofErr w:type="spellStart"/>
      <w:r w:rsidRPr="004D4D79">
        <w:rPr>
          <w:lang w:val="pl-PL"/>
        </w:rPr>
        <w:t>Busovača</w:t>
      </w:r>
      <w:proofErr w:type="spellEnd"/>
      <w:r w:rsidRPr="004D4D79">
        <w:rPr>
          <w:lang w:val="pl-PL"/>
        </w:rPr>
        <w:t xml:space="preserve"> są obywatelami Bośni i Hercegowiny. Wszyscy trzej skarżący leczyli się na schizofrenię. Zostali ubezwłasnowolnieni całkowicie i ustanowiono dla nich </w:t>
      </w:r>
      <w:r w:rsidR="000417B7">
        <w:rPr>
          <w:lang w:val="pl-PL"/>
        </w:rPr>
        <w:t>opiekunów</w:t>
      </w:r>
      <w:r w:rsidRPr="004D4D79">
        <w:rPr>
          <w:lang w:val="pl-PL"/>
        </w:rPr>
        <w:t xml:space="preserve"> </w:t>
      </w:r>
      <w:r w:rsidR="000417B7">
        <w:rPr>
          <w:lang w:val="pl-PL"/>
        </w:rPr>
        <w:t xml:space="preserve">(spośród </w:t>
      </w:r>
      <w:r w:rsidRPr="004D4D79">
        <w:rPr>
          <w:lang w:val="pl-PL"/>
        </w:rPr>
        <w:t>człon</w:t>
      </w:r>
      <w:r w:rsidR="000417B7">
        <w:rPr>
          <w:lang w:val="pl-PL"/>
        </w:rPr>
        <w:t>ków</w:t>
      </w:r>
      <w:r w:rsidRPr="004D4D79">
        <w:rPr>
          <w:lang w:val="pl-PL"/>
        </w:rPr>
        <w:t xml:space="preserve"> rodziny albo przedstawiciel</w:t>
      </w:r>
      <w:r w:rsidR="000417B7">
        <w:rPr>
          <w:lang w:val="pl-PL"/>
        </w:rPr>
        <w:t>i</w:t>
      </w:r>
      <w:r w:rsidRPr="004D4D79">
        <w:rPr>
          <w:lang w:val="pl-PL"/>
        </w:rPr>
        <w:t xml:space="preserve"> centrum prac</w:t>
      </w:r>
      <w:r w:rsidR="00631E02">
        <w:rPr>
          <w:lang w:val="pl-PL"/>
        </w:rPr>
        <w:t>y</w:t>
      </w:r>
      <w:r w:rsidRPr="004D4D79">
        <w:rPr>
          <w:lang w:val="pl-PL"/>
        </w:rPr>
        <w:t xml:space="preserve"> społeczn</w:t>
      </w:r>
      <w:r w:rsidR="00631E02">
        <w:rPr>
          <w:lang w:val="pl-PL"/>
        </w:rPr>
        <w:t>ej</w:t>
      </w:r>
      <w:r w:rsidR="000417B7">
        <w:rPr>
          <w:lang w:val="pl-PL"/>
        </w:rPr>
        <w:t>)</w:t>
      </w:r>
      <w:r w:rsidRPr="004D4D79">
        <w:rPr>
          <w:lang w:val="pl-PL"/>
        </w:rPr>
        <w:t xml:space="preserve">. </w:t>
      </w:r>
    </w:p>
    <w:p w:rsidR="00567799" w:rsidRPr="004D4D79" w:rsidRDefault="0062269C" w:rsidP="004D4D79">
      <w:pPr>
        <w:spacing w:after="120" w:line="240" w:lineRule="auto"/>
        <w:jc w:val="both"/>
        <w:rPr>
          <w:lang w:val="pl-PL"/>
        </w:rPr>
      </w:pPr>
      <w:r>
        <w:rPr>
          <w:lang w:val="pl-PL"/>
        </w:rPr>
        <w:t>Dwoje skarżących,</w:t>
      </w:r>
      <w:r w:rsidR="00567799" w:rsidRPr="004D4D79">
        <w:rPr>
          <w:lang w:val="pl-PL"/>
        </w:rPr>
        <w:t xml:space="preserve"> Z. </w:t>
      </w:r>
      <w:proofErr w:type="spellStart"/>
      <w:r w:rsidR="00567799" w:rsidRPr="004D4D79">
        <w:rPr>
          <w:lang w:val="pl-PL"/>
        </w:rPr>
        <w:t>Hadžimejlić</w:t>
      </w:r>
      <w:proofErr w:type="spellEnd"/>
      <w:r w:rsidR="00567799" w:rsidRPr="004D4D79">
        <w:rPr>
          <w:lang w:val="pl-PL"/>
        </w:rPr>
        <w:t xml:space="preserve"> </w:t>
      </w:r>
      <w:r w:rsidR="000417B7">
        <w:rPr>
          <w:lang w:val="pl-PL"/>
        </w:rPr>
        <w:t xml:space="preserve">i </w:t>
      </w:r>
      <w:r w:rsidR="00567799" w:rsidRPr="004D4D79">
        <w:rPr>
          <w:lang w:val="pl-PL"/>
        </w:rPr>
        <w:t xml:space="preserve">M. </w:t>
      </w:r>
      <w:proofErr w:type="spellStart"/>
      <w:r w:rsidR="00567799" w:rsidRPr="004D4D79">
        <w:rPr>
          <w:lang w:val="pl-PL"/>
        </w:rPr>
        <w:t>Crepulja</w:t>
      </w:r>
      <w:proofErr w:type="spellEnd"/>
      <w:r w:rsidR="00567799" w:rsidRPr="004D4D79">
        <w:rPr>
          <w:lang w:val="pl-PL"/>
        </w:rPr>
        <w:t>, w odrębnych postępowaniach</w:t>
      </w:r>
      <w:r w:rsidR="00A342D4">
        <w:rPr>
          <w:lang w:val="pl-PL"/>
        </w:rPr>
        <w:t>,</w:t>
      </w:r>
      <w:r w:rsidR="00567799" w:rsidRPr="004D4D79">
        <w:rPr>
          <w:lang w:val="pl-PL"/>
        </w:rPr>
        <w:t xml:space="preserve"> wniosło skargi konstytucyjne kwestionujące legalność umieszczenia </w:t>
      </w:r>
      <w:r w:rsidR="000417B7">
        <w:rPr>
          <w:lang w:val="pl-PL"/>
        </w:rPr>
        <w:t xml:space="preserve">ich </w:t>
      </w:r>
      <w:r w:rsidR="00567799" w:rsidRPr="004D4D79">
        <w:rPr>
          <w:lang w:val="pl-PL"/>
        </w:rPr>
        <w:t xml:space="preserve">w domu opieki społecznej. W obu przypadkach Trybunał Konstytucyjny </w:t>
      </w:r>
      <w:r w:rsidR="000417B7">
        <w:rPr>
          <w:lang w:val="pl-PL"/>
        </w:rPr>
        <w:t>(</w:t>
      </w:r>
      <w:r w:rsidR="00567799" w:rsidRPr="004D4D79">
        <w:rPr>
          <w:lang w:val="pl-PL"/>
        </w:rPr>
        <w:t>odpowiednio w kwietniu i czerwcu 2013 r.</w:t>
      </w:r>
      <w:r w:rsidR="000417B7">
        <w:rPr>
          <w:lang w:val="pl-PL"/>
        </w:rPr>
        <w:t>)</w:t>
      </w:r>
      <w:r w:rsidR="00567799" w:rsidRPr="004D4D79">
        <w:rPr>
          <w:lang w:val="pl-PL"/>
        </w:rPr>
        <w:t xml:space="preserve"> uznał pozbawienie wolności skarżących za bezprawne w światle art. 5 ust. 1 Konwencji z uwagi na</w:t>
      </w:r>
      <w:r w:rsidR="000417B7">
        <w:rPr>
          <w:lang w:val="pl-PL"/>
        </w:rPr>
        <w:t xml:space="preserve"> fakt</w:t>
      </w:r>
      <w:r w:rsidR="00567799" w:rsidRPr="004D4D79">
        <w:rPr>
          <w:lang w:val="pl-PL"/>
        </w:rPr>
        <w:t xml:space="preserve">, że byli oni umieszczeni w odosobnieniu bez decyzji właściwego sądu cywilnego. Trybunał Konstytucyjny uznał również, że został naruszony art. 5 ust. 4 Konwencji poprzez brak sądowej kontroli legalności ich </w:t>
      </w:r>
      <w:r w:rsidR="000417B7">
        <w:rPr>
          <w:lang w:val="pl-PL"/>
        </w:rPr>
        <w:t>za</w:t>
      </w:r>
      <w:r w:rsidR="00567799" w:rsidRPr="004D4D79">
        <w:rPr>
          <w:lang w:val="pl-PL"/>
        </w:rPr>
        <w:t>trzymania.</w:t>
      </w:r>
      <w:r w:rsidR="00660203">
        <w:rPr>
          <w:lang w:val="pl-PL"/>
        </w:rPr>
        <w:t xml:space="preserve"> </w:t>
      </w:r>
      <w:r w:rsidR="00567799" w:rsidRPr="004D4D79">
        <w:rPr>
          <w:lang w:val="pl-PL"/>
        </w:rPr>
        <w:t xml:space="preserve">Trybunał </w:t>
      </w:r>
      <w:r w:rsidR="00A342D4">
        <w:rPr>
          <w:lang w:val="pl-PL"/>
        </w:rPr>
        <w:t xml:space="preserve">Konstytucyjny </w:t>
      </w:r>
      <w:r w:rsidR="00567799" w:rsidRPr="004D4D79">
        <w:rPr>
          <w:lang w:val="pl-PL"/>
        </w:rPr>
        <w:t xml:space="preserve">zobowiązał lokalne </w:t>
      </w:r>
      <w:r w:rsidR="00C02892" w:rsidRPr="004D4D79">
        <w:rPr>
          <w:lang w:val="pl-PL"/>
        </w:rPr>
        <w:t>centra prac</w:t>
      </w:r>
      <w:r w:rsidR="00C02892">
        <w:rPr>
          <w:lang w:val="pl-PL"/>
        </w:rPr>
        <w:t>y</w:t>
      </w:r>
      <w:r w:rsidR="00C02892" w:rsidRPr="004D4D79">
        <w:rPr>
          <w:lang w:val="pl-PL"/>
        </w:rPr>
        <w:t xml:space="preserve"> społeczn</w:t>
      </w:r>
      <w:r w:rsidR="00C02892">
        <w:rPr>
          <w:lang w:val="pl-PL"/>
        </w:rPr>
        <w:t>ej</w:t>
      </w:r>
      <w:r w:rsidR="00C02892" w:rsidRPr="004D4D79">
        <w:rPr>
          <w:lang w:val="pl-PL"/>
        </w:rPr>
        <w:t xml:space="preserve"> </w:t>
      </w:r>
      <w:r w:rsidR="00567799" w:rsidRPr="004D4D79">
        <w:rPr>
          <w:lang w:val="pl-PL"/>
        </w:rPr>
        <w:t>do podjęcia działań mających na celu zapewnienie przestrzegania praw skarżących wynikających z art. 5 ust. 4</w:t>
      </w:r>
      <w:r w:rsidR="00660203">
        <w:rPr>
          <w:lang w:val="pl-PL"/>
        </w:rPr>
        <w:t xml:space="preserve"> </w:t>
      </w:r>
      <w:r w:rsidR="00567799" w:rsidRPr="004D4D79">
        <w:rPr>
          <w:lang w:val="pl-PL"/>
        </w:rPr>
        <w:t xml:space="preserve">Konwencji. W przypadku </w:t>
      </w:r>
      <w:r w:rsidR="000417B7">
        <w:rPr>
          <w:lang w:val="pl-PL"/>
        </w:rPr>
        <w:t xml:space="preserve">skarżącego </w:t>
      </w:r>
      <w:r w:rsidR="00567799" w:rsidRPr="004D4D79">
        <w:rPr>
          <w:lang w:val="pl-PL"/>
        </w:rPr>
        <w:t xml:space="preserve">M. </w:t>
      </w:r>
      <w:proofErr w:type="spellStart"/>
      <w:r w:rsidR="00567799" w:rsidRPr="004D4D79">
        <w:rPr>
          <w:lang w:val="pl-PL"/>
        </w:rPr>
        <w:t>Crepulja</w:t>
      </w:r>
      <w:proofErr w:type="spellEnd"/>
      <w:r w:rsidR="00567799" w:rsidRPr="004D4D79">
        <w:rPr>
          <w:lang w:val="pl-PL"/>
        </w:rPr>
        <w:t xml:space="preserve"> Trybunał przyznał dodatkowo 3000 BAM. </w:t>
      </w:r>
    </w:p>
    <w:p w:rsidR="00567799" w:rsidRPr="004D4D79" w:rsidRDefault="00A342D4" w:rsidP="004D4D79">
      <w:pPr>
        <w:spacing w:after="120" w:line="240" w:lineRule="auto"/>
        <w:jc w:val="both"/>
        <w:rPr>
          <w:lang w:val="pl-PL"/>
        </w:rPr>
      </w:pPr>
      <w:r>
        <w:rPr>
          <w:lang w:val="pl-PL"/>
        </w:rPr>
        <w:t>S</w:t>
      </w:r>
      <w:r w:rsidR="00567799" w:rsidRPr="000417B7">
        <w:rPr>
          <w:lang w:val="pl-PL"/>
        </w:rPr>
        <w:t>ąd</w:t>
      </w:r>
      <w:r w:rsidR="00567799" w:rsidRPr="004D4D79">
        <w:rPr>
          <w:lang w:val="pl-PL"/>
        </w:rPr>
        <w:t xml:space="preserve"> </w:t>
      </w:r>
      <w:r w:rsidR="002D6158">
        <w:rPr>
          <w:lang w:val="pl-PL"/>
        </w:rPr>
        <w:t>rejonowy</w:t>
      </w:r>
      <w:r w:rsidR="000417B7">
        <w:rPr>
          <w:lang w:val="pl-PL"/>
        </w:rPr>
        <w:t xml:space="preserve"> </w:t>
      </w:r>
      <w:r w:rsidR="00567799" w:rsidRPr="004D4D79">
        <w:rPr>
          <w:lang w:val="pl-PL"/>
        </w:rPr>
        <w:t xml:space="preserve">zbadał następnie konieczność umieszczenia </w:t>
      </w:r>
      <w:r>
        <w:rPr>
          <w:lang w:val="pl-PL"/>
        </w:rPr>
        <w:t xml:space="preserve">obu </w:t>
      </w:r>
      <w:r w:rsidR="00567799" w:rsidRPr="004D4D79">
        <w:rPr>
          <w:lang w:val="pl-PL"/>
        </w:rPr>
        <w:t xml:space="preserve">skarżących w domu opieki społecznej i uznał </w:t>
      </w:r>
      <w:r w:rsidR="000417B7">
        <w:rPr>
          <w:lang w:val="pl-PL"/>
        </w:rPr>
        <w:t>(</w:t>
      </w:r>
      <w:r w:rsidR="00567799" w:rsidRPr="004D4D79">
        <w:rPr>
          <w:lang w:val="pl-PL"/>
        </w:rPr>
        <w:t>odpowiednio we wrześniu 2014 i listopadzie 2013 r.</w:t>
      </w:r>
      <w:r w:rsidR="000417B7">
        <w:rPr>
          <w:lang w:val="pl-PL"/>
        </w:rPr>
        <w:t>),</w:t>
      </w:r>
      <w:r w:rsidR="00567799" w:rsidRPr="004D4D79">
        <w:rPr>
          <w:lang w:val="pl-PL"/>
        </w:rPr>
        <w:t xml:space="preserve"> że i obecny stan zdrowia skarżących nie uzasadnia ich dalszego </w:t>
      </w:r>
      <w:r w:rsidR="000417B7">
        <w:rPr>
          <w:lang w:val="pl-PL"/>
        </w:rPr>
        <w:t>za</w:t>
      </w:r>
      <w:r w:rsidR="00567799" w:rsidRPr="004D4D79">
        <w:rPr>
          <w:lang w:val="pl-PL"/>
        </w:rPr>
        <w:t>trzymania w domu opieki społecznej. Pomimo prawomocności w</w:t>
      </w:r>
      <w:r w:rsidR="000417B7">
        <w:rPr>
          <w:lang w:val="pl-PL"/>
        </w:rPr>
        <w:t xml:space="preserve">yżej </w:t>
      </w:r>
      <w:r w:rsidR="00567799" w:rsidRPr="004D4D79">
        <w:rPr>
          <w:lang w:val="pl-PL"/>
        </w:rPr>
        <w:t>w</w:t>
      </w:r>
      <w:r w:rsidR="000417B7">
        <w:rPr>
          <w:lang w:val="pl-PL"/>
        </w:rPr>
        <w:t>ymienionych</w:t>
      </w:r>
      <w:r w:rsidR="00567799" w:rsidRPr="004D4D79">
        <w:rPr>
          <w:lang w:val="pl-PL"/>
        </w:rPr>
        <w:t xml:space="preserve"> orzeczeń </w:t>
      </w:r>
      <w:r w:rsidR="00567799" w:rsidRPr="0061382E">
        <w:rPr>
          <w:lang w:val="pl-PL"/>
        </w:rPr>
        <w:t xml:space="preserve">sądu </w:t>
      </w:r>
      <w:r w:rsidR="002D6158" w:rsidRPr="0061382E">
        <w:rPr>
          <w:lang w:val="pl-PL"/>
        </w:rPr>
        <w:t>rejonowego</w:t>
      </w:r>
      <w:r w:rsidR="00567799" w:rsidRPr="0061382E">
        <w:rPr>
          <w:lang w:val="pl-PL"/>
        </w:rPr>
        <w:t xml:space="preserve">, </w:t>
      </w:r>
      <w:r w:rsidR="00567799" w:rsidRPr="004D4D79">
        <w:rPr>
          <w:lang w:val="pl-PL"/>
        </w:rPr>
        <w:t>skarżący nie zostali wypuszczeni z domu opieki społecznej.</w:t>
      </w:r>
    </w:p>
    <w:p w:rsidR="00567799" w:rsidRPr="004D4D79" w:rsidRDefault="00567799" w:rsidP="004D4D79">
      <w:pPr>
        <w:spacing w:after="120" w:line="240" w:lineRule="auto"/>
        <w:jc w:val="both"/>
        <w:rPr>
          <w:lang w:val="pl-PL"/>
        </w:rPr>
      </w:pPr>
      <w:r w:rsidRPr="004D4D79">
        <w:rPr>
          <w:lang w:val="pl-PL"/>
        </w:rPr>
        <w:t xml:space="preserve">Opierając się na art. 5 ust. 1 </w:t>
      </w:r>
      <w:r w:rsidR="000417B7" w:rsidRPr="004D4D79">
        <w:rPr>
          <w:lang w:val="pl-PL"/>
        </w:rPr>
        <w:t xml:space="preserve">Konwencji </w:t>
      </w:r>
      <w:r w:rsidRPr="004D4D79">
        <w:rPr>
          <w:lang w:val="pl-PL"/>
        </w:rPr>
        <w:t>(prawo do wolności i bezpieczeństwa</w:t>
      </w:r>
      <w:r w:rsidR="000417B7">
        <w:rPr>
          <w:lang w:val="pl-PL"/>
        </w:rPr>
        <w:t xml:space="preserve"> osobistego</w:t>
      </w:r>
      <w:r w:rsidRPr="004D4D79">
        <w:rPr>
          <w:lang w:val="pl-PL"/>
        </w:rPr>
        <w:t xml:space="preserve">) wszyscy skarżący zarzucali, że umieszczenie </w:t>
      </w:r>
      <w:r w:rsidR="006C01CE" w:rsidRPr="004D4D79">
        <w:rPr>
          <w:lang w:val="pl-PL"/>
        </w:rPr>
        <w:t xml:space="preserve">ich </w:t>
      </w:r>
      <w:r w:rsidRPr="004D4D79">
        <w:rPr>
          <w:lang w:val="pl-PL"/>
        </w:rPr>
        <w:t xml:space="preserve">w domu opieki społecznej było pozbawione podstaw prawnych, zostali umieszczeni w nim wbrew ich woli i nie mogli uzyskać zwolnienia z tej instytucji. Na podstawie art. 5 ust. 4 Konwencji zarzucali również brak sądowej kontroli umieszczenia </w:t>
      </w:r>
      <w:r w:rsidR="006C01CE" w:rsidRPr="004D4D79">
        <w:rPr>
          <w:lang w:val="pl-PL"/>
        </w:rPr>
        <w:t xml:space="preserve">ich </w:t>
      </w:r>
      <w:r w:rsidRPr="004D4D79">
        <w:rPr>
          <w:lang w:val="pl-PL"/>
        </w:rPr>
        <w:t>w</w:t>
      </w:r>
      <w:r w:rsidR="006C01CE">
        <w:rPr>
          <w:lang w:val="pl-PL"/>
        </w:rPr>
        <w:t xml:space="preserve"> ośrodku</w:t>
      </w:r>
      <w:r w:rsidRPr="004D4D79">
        <w:rPr>
          <w:lang w:val="pl-PL"/>
        </w:rPr>
        <w:t>. Skarżący zarzucali również naruszenie art. 5 ust. 5 Konwencji.</w:t>
      </w:r>
    </w:p>
    <w:p w:rsidR="00567799" w:rsidRPr="004D4D79" w:rsidRDefault="00567799" w:rsidP="00567799">
      <w:pPr>
        <w:spacing w:after="120" w:line="240" w:lineRule="auto"/>
        <w:jc w:val="both"/>
        <w:rPr>
          <w:u w:val="single"/>
          <w:lang w:val="pl-PL"/>
        </w:rPr>
      </w:pPr>
      <w:r w:rsidRPr="004D4D79">
        <w:rPr>
          <w:u w:val="single"/>
          <w:lang w:val="pl-PL"/>
        </w:rPr>
        <w:t>Ocena Trybunału</w:t>
      </w:r>
    </w:p>
    <w:p w:rsidR="00567799" w:rsidRPr="004D4D79" w:rsidRDefault="00567799" w:rsidP="004D4D79">
      <w:pPr>
        <w:spacing w:after="120" w:line="240" w:lineRule="auto"/>
        <w:jc w:val="both"/>
        <w:rPr>
          <w:lang w:val="pl-PL"/>
        </w:rPr>
      </w:pPr>
      <w:r w:rsidRPr="004D4D79">
        <w:rPr>
          <w:lang w:val="pl-PL"/>
        </w:rPr>
        <w:t xml:space="preserve">Trybunał przypomniał, że </w:t>
      </w:r>
      <w:r w:rsidR="00C02892">
        <w:rPr>
          <w:lang w:val="pl-PL"/>
        </w:rPr>
        <w:t>a</w:t>
      </w:r>
      <w:r w:rsidRPr="004D4D79">
        <w:rPr>
          <w:lang w:val="pl-PL"/>
        </w:rPr>
        <w:t>by pozbawienie wolności było zgodne z art. 5 ust. 1 Konwencji</w:t>
      </w:r>
      <w:r w:rsidR="0061382E">
        <w:rPr>
          <w:lang w:val="pl-PL"/>
        </w:rPr>
        <w:t>,</w:t>
      </w:r>
      <w:r w:rsidRPr="004D4D79">
        <w:rPr>
          <w:lang w:val="pl-PL"/>
        </w:rPr>
        <w:t xml:space="preserve"> musi być legalne, włączając w to aspekty proceduralne. </w:t>
      </w:r>
      <w:r w:rsidR="00660203">
        <w:rPr>
          <w:lang w:val="pl-PL"/>
        </w:rPr>
        <w:t>Ponadto, k</w:t>
      </w:r>
      <w:r w:rsidRPr="004D4D79">
        <w:rPr>
          <w:lang w:val="pl-PL"/>
        </w:rPr>
        <w:t xml:space="preserve">ażde pozbawienie wolności musi </w:t>
      </w:r>
      <w:r w:rsidR="00660203">
        <w:rPr>
          <w:lang w:val="pl-PL"/>
        </w:rPr>
        <w:t>być zgodne z celem art. 5 ust. 1 Konwencji, jakim jest ochrona</w:t>
      </w:r>
      <w:r w:rsidRPr="004D4D79">
        <w:rPr>
          <w:lang w:val="pl-PL"/>
        </w:rPr>
        <w:t xml:space="preserve"> jednostki przed arbitralnością.</w:t>
      </w:r>
      <w:r w:rsidR="00660203">
        <w:rPr>
          <w:lang w:val="pl-PL"/>
        </w:rPr>
        <w:t xml:space="preserve"> </w:t>
      </w:r>
    </w:p>
    <w:p w:rsidR="00567799" w:rsidRPr="004D4D79" w:rsidRDefault="00567799" w:rsidP="004D4D79">
      <w:pPr>
        <w:spacing w:after="120" w:line="240" w:lineRule="auto"/>
        <w:jc w:val="both"/>
        <w:rPr>
          <w:lang w:val="pl-PL"/>
        </w:rPr>
      </w:pPr>
      <w:r w:rsidRPr="004D4D79">
        <w:rPr>
          <w:lang w:val="pl-PL"/>
        </w:rPr>
        <w:t>Ponadto</w:t>
      </w:r>
      <w:r w:rsidR="00D83DCB">
        <w:rPr>
          <w:lang w:val="pl-PL"/>
        </w:rPr>
        <w:t>,</w:t>
      </w:r>
      <w:r w:rsidRPr="004D4D79">
        <w:rPr>
          <w:lang w:val="pl-PL"/>
        </w:rPr>
        <w:t xml:space="preserve"> pozbawienie wolności jest </w:t>
      </w:r>
      <w:r w:rsidR="006C01CE" w:rsidRPr="004D4D79">
        <w:rPr>
          <w:lang w:val="pl-PL"/>
        </w:rPr>
        <w:t>środkiem</w:t>
      </w:r>
      <w:r w:rsidR="00D83DCB">
        <w:rPr>
          <w:lang w:val="pl-PL"/>
        </w:rPr>
        <w:t xml:space="preserve"> tak</w:t>
      </w:r>
      <w:r w:rsidRPr="004D4D79">
        <w:rPr>
          <w:lang w:val="pl-PL"/>
        </w:rPr>
        <w:t xml:space="preserve"> dolegliwym, że jest </w:t>
      </w:r>
      <w:r w:rsidR="006C01CE">
        <w:rPr>
          <w:lang w:val="pl-PL"/>
        </w:rPr>
        <w:t xml:space="preserve">ono </w:t>
      </w:r>
      <w:r w:rsidRPr="004D4D79">
        <w:rPr>
          <w:lang w:val="pl-PL"/>
        </w:rPr>
        <w:t xml:space="preserve">uzasadnione </w:t>
      </w:r>
      <w:r w:rsidR="006C01CE">
        <w:rPr>
          <w:lang w:val="pl-PL"/>
        </w:rPr>
        <w:t xml:space="preserve">jedynie </w:t>
      </w:r>
      <w:r w:rsidRPr="004D4D79">
        <w:rPr>
          <w:lang w:val="pl-PL"/>
        </w:rPr>
        <w:t>w</w:t>
      </w:r>
      <w:r w:rsidR="00A342D4">
        <w:rPr>
          <w:lang w:val="pl-PL"/>
        </w:rPr>
        <w:t>ówczas</w:t>
      </w:r>
      <w:r w:rsidR="006C01CE">
        <w:rPr>
          <w:lang w:val="pl-PL"/>
        </w:rPr>
        <w:t>,</w:t>
      </w:r>
      <w:r w:rsidRPr="004D4D79">
        <w:rPr>
          <w:lang w:val="pl-PL"/>
        </w:rPr>
        <w:t xml:space="preserve"> </w:t>
      </w:r>
      <w:r w:rsidR="006C01CE">
        <w:rPr>
          <w:lang w:val="pl-PL"/>
        </w:rPr>
        <w:t>gdy</w:t>
      </w:r>
      <w:r w:rsidRPr="004D4D79">
        <w:rPr>
          <w:lang w:val="pl-PL"/>
        </w:rPr>
        <w:t xml:space="preserve"> </w:t>
      </w:r>
      <w:r w:rsidR="00C94A06">
        <w:rPr>
          <w:lang w:val="pl-PL"/>
        </w:rPr>
        <w:t xml:space="preserve">rozważono i uznano, że </w:t>
      </w:r>
      <w:r w:rsidRPr="004D4D79">
        <w:rPr>
          <w:lang w:val="pl-PL"/>
        </w:rPr>
        <w:t xml:space="preserve">inne mniej dolegliwe środki są niewystraczające, aby zabezpieczyć </w:t>
      </w:r>
      <w:r w:rsidR="006C01CE">
        <w:rPr>
          <w:lang w:val="pl-PL"/>
        </w:rPr>
        <w:t xml:space="preserve">interes </w:t>
      </w:r>
      <w:r w:rsidR="00C94A06">
        <w:rPr>
          <w:lang w:val="pl-PL"/>
        </w:rPr>
        <w:t>indywidualny lub publiczny</w:t>
      </w:r>
      <w:r w:rsidRPr="004D4D79">
        <w:rPr>
          <w:lang w:val="pl-PL"/>
        </w:rPr>
        <w:t xml:space="preserve"> mogą</w:t>
      </w:r>
      <w:r w:rsidR="00C94A06">
        <w:rPr>
          <w:lang w:val="pl-PL"/>
        </w:rPr>
        <w:t>cy</w:t>
      </w:r>
      <w:r w:rsidRPr="004D4D79">
        <w:rPr>
          <w:lang w:val="pl-PL"/>
        </w:rPr>
        <w:t xml:space="preserve"> wymagać</w:t>
      </w:r>
      <w:r w:rsidR="00A342D4">
        <w:rPr>
          <w:lang w:val="pl-PL"/>
        </w:rPr>
        <w:t xml:space="preserve"> zatrzymania danej osoby</w:t>
      </w:r>
      <w:r w:rsidRPr="004D4D79">
        <w:rPr>
          <w:lang w:val="pl-PL"/>
        </w:rPr>
        <w:t>. Oznacza to, że nie wystarczy uznanie, że pozbawienie wolności jest zgodne z prawem krajowym</w:t>
      </w:r>
      <w:r w:rsidR="00C94A06">
        <w:rPr>
          <w:lang w:val="pl-PL"/>
        </w:rPr>
        <w:t>, musi być ono również konieczne w danych okolicznościach</w:t>
      </w:r>
      <w:r w:rsidRPr="004D4D79">
        <w:rPr>
          <w:lang w:val="pl-PL"/>
        </w:rPr>
        <w:t>.</w:t>
      </w:r>
      <w:r w:rsidR="00660203">
        <w:rPr>
          <w:lang w:val="pl-PL"/>
        </w:rPr>
        <w:t xml:space="preserve"> </w:t>
      </w:r>
    </w:p>
    <w:p w:rsidR="00567799" w:rsidRDefault="00567799" w:rsidP="004D4D79">
      <w:pPr>
        <w:spacing w:after="120" w:line="240" w:lineRule="auto"/>
        <w:jc w:val="both"/>
        <w:rPr>
          <w:lang w:val="pl-PL"/>
        </w:rPr>
      </w:pPr>
      <w:r w:rsidRPr="004D4D79">
        <w:rPr>
          <w:lang w:val="pl-PL"/>
        </w:rPr>
        <w:t xml:space="preserve">Rząd w niniejszej sprawie stał na stanowisku, że </w:t>
      </w:r>
      <w:r w:rsidR="006C01CE">
        <w:rPr>
          <w:lang w:val="pl-PL"/>
        </w:rPr>
        <w:t>kontynuowanie</w:t>
      </w:r>
      <w:r w:rsidRPr="004D4D79">
        <w:rPr>
          <w:lang w:val="pl-PL"/>
        </w:rPr>
        <w:t xml:space="preserve"> umieszczenia skarżących w domu opieki społecznej miało na celu ochronę ich najlepszych interesów w </w:t>
      </w:r>
      <w:r w:rsidR="00706E1D">
        <w:rPr>
          <w:lang w:val="pl-PL"/>
        </w:rPr>
        <w:t>zakresie uzyskiwania</w:t>
      </w:r>
      <w:r w:rsidRPr="004D4D79">
        <w:rPr>
          <w:lang w:val="pl-PL"/>
        </w:rPr>
        <w:t xml:space="preserve"> opieki społecznej</w:t>
      </w:r>
      <w:r w:rsidR="00706E1D">
        <w:rPr>
          <w:lang w:val="pl-PL"/>
        </w:rPr>
        <w:t xml:space="preserve">, jako że ich sytuacja rodzinna uniemożliwiała otrzymanie odpowiedniej opieki poza </w:t>
      </w:r>
      <w:r w:rsidR="00631E02">
        <w:rPr>
          <w:lang w:val="pl-PL"/>
        </w:rPr>
        <w:t>ośrodkiem</w:t>
      </w:r>
      <w:r w:rsidRPr="004D4D79">
        <w:rPr>
          <w:lang w:val="pl-PL"/>
        </w:rPr>
        <w:t>. Trybunał zauważył</w:t>
      </w:r>
      <w:r w:rsidR="0062269C" w:rsidRPr="0062269C">
        <w:rPr>
          <w:lang w:val="pl-PL"/>
        </w:rPr>
        <w:t xml:space="preserve"> </w:t>
      </w:r>
      <w:r w:rsidR="0062269C">
        <w:rPr>
          <w:lang w:val="pl-PL"/>
        </w:rPr>
        <w:t>jednak</w:t>
      </w:r>
      <w:r w:rsidRPr="004D4D79">
        <w:rPr>
          <w:lang w:val="pl-PL"/>
        </w:rPr>
        <w:t xml:space="preserve">, że Trybunał Konstytucyjny </w:t>
      </w:r>
      <w:proofErr w:type="spellStart"/>
      <w:r w:rsidRPr="004D4D79">
        <w:rPr>
          <w:lang w:val="pl-PL"/>
        </w:rPr>
        <w:t>BiH</w:t>
      </w:r>
      <w:proofErr w:type="spellEnd"/>
      <w:r w:rsidRPr="004D4D79">
        <w:rPr>
          <w:lang w:val="pl-PL"/>
        </w:rPr>
        <w:t xml:space="preserve"> już badał te okoliczności i uznał, że władze krajowe nie działały zgodnie z przepisami prawa krajowego w zakresie obowiązkowego skierowania do takiej instytucji: umieszczenie w domu opieki społecznej musi zostać orzeczone przez właściwy sąd. Trybunał nie znalazł powodów, dla których miałby się nie zgodzić z ustaleniami Trybunał</w:t>
      </w:r>
      <w:r w:rsidR="006C01CE">
        <w:rPr>
          <w:lang w:val="pl-PL"/>
        </w:rPr>
        <w:t>u</w:t>
      </w:r>
      <w:r w:rsidRPr="004D4D79">
        <w:rPr>
          <w:lang w:val="pl-PL"/>
        </w:rPr>
        <w:t xml:space="preserve"> Konstytucyjnego. </w:t>
      </w:r>
      <w:r w:rsidR="00706E1D">
        <w:rPr>
          <w:lang w:val="pl-PL"/>
        </w:rPr>
        <w:t>Posiłkowo Trybunał odnotował, że</w:t>
      </w:r>
      <w:r w:rsidR="00A23D89">
        <w:rPr>
          <w:lang w:val="pl-PL"/>
        </w:rPr>
        <w:t xml:space="preserve"> </w:t>
      </w:r>
      <w:r w:rsidR="009008DF">
        <w:rPr>
          <w:lang w:val="pl-PL"/>
        </w:rPr>
        <w:t xml:space="preserve">choć </w:t>
      </w:r>
      <w:r w:rsidR="00A23D89">
        <w:rPr>
          <w:lang w:val="pl-PL"/>
        </w:rPr>
        <w:t xml:space="preserve">skarżący pozostawali pod </w:t>
      </w:r>
      <w:r w:rsidR="008E643A">
        <w:rPr>
          <w:lang w:val="pl-PL"/>
        </w:rPr>
        <w:t xml:space="preserve">stałym </w:t>
      </w:r>
      <w:r w:rsidR="008E643A">
        <w:rPr>
          <w:lang w:val="pl-PL"/>
        </w:rPr>
        <w:lastRenderedPageBreak/>
        <w:t>nadzorem</w:t>
      </w:r>
      <w:r w:rsidR="00A23D89">
        <w:rPr>
          <w:lang w:val="pl-PL"/>
        </w:rPr>
        <w:t xml:space="preserve"> </w:t>
      </w:r>
      <w:r w:rsidR="00706E1D">
        <w:rPr>
          <w:lang w:val="pl-PL"/>
        </w:rPr>
        <w:t xml:space="preserve">psychiatry, </w:t>
      </w:r>
      <w:r w:rsidR="009008DF">
        <w:rPr>
          <w:lang w:val="pl-PL"/>
        </w:rPr>
        <w:t>celem tego nadzoru nie było badanie</w:t>
      </w:r>
      <w:r w:rsidR="00706E1D">
        <w:rPr>
          <w:lang w:val="pl-PL"/>
        </w:rPr>
        <w:t xml:space="preserve"> w regularnych odstępach czasu, czy sytuacja skarżących nadal uzasadnia pozostawanie w </w:t>
      </w:r>
      <w:r w:rsidR="00631E02">
        <w:rPr>
          <w:lang w:val="pl-PL"/>
        </w:rPr>
        <w:t>ośrodku</w:t>
      </w:r>
      <w:r w:rsidR="00706E1D">
        <w:rPr>
          <w:lang w:val="pl-PL"/>
        </w:rPr>
        <w:t xml:space="preserve">. </w:t>
      </w:r>
      <w:r w:rsidR="00213555">
        <w:rPr>
          <w:lang w:val="pl-PL"/>
        </w:rPr>
        <w:t>Trybunał odnotował</w:t>
      </w:r>
      <w:r w:rsidR="004B20B9">
        <w:rPr>
          <w:lang w:val="pl-PL"/>
        </w:rPr>
        <w:t xml:space="preserve"> też</w:t>
      </w:r>
      <w:r w:rsidR="00213555">
        <w:rPr>
          <w:lang w:val="pl-PL"/>
        </w:rPr>
        <w:t xml:space="preserve">, że trzecia skarżąca przebywa w </w:t>
      </w:r>
      <w:r w:rsidR="00F6211D">
        <w:rPr>
          <w:lang w:val="pl-PL"/>
        </w:rPr>
        <w:t>domu</w:t>
      </w:r>
      <w:r w:rsidR="00213555">
        <w:rPr>
          <w:lang w:val="pl-PL"/>
        </w:rPr>
        <w:t xml:space="preserve"> opieki społecznej na podstawie decyzji administracyjne</w:t>
      </w:r>
      <w:r w:rsidR="00A05CFD">
        <w:rPr>
          <w:lang w:val="pl-PL"/>
        </w:rPr>
        <w:t>j</w:t>
      </w:r>
      <w:r w:rsidR="00213555">
        <w:rPr>
          <w:lang w:val="pl-PL"/>
        </w:rPr>
        <w:t xml:space="preserve">, a konieczność przymusowego umieszczenia w tym ośrodku, trwającego już ponad 15 lat, nigdy nie została zbadana przez właściwy sąd. </w:t>
      </w:r>
    </w:p>
    <w:p w:rsidR="00567799" w:rsidRDefault="00845A79" w:rsidP="004D4D79">
      <w:pPr>
        <w:spacing w:after="120" w:line="240" w:lineRule="auto"/>
        <w:jc w:val="both"/>
        <w:rPr>
          <w:lang w:val="pl-PL"/>
        </w:rPr>
      </w:pPr>
      <w:r>
        <w:rPr>
          <w:lang w:val="pl-PL"/>
        </w:rPr>
        <w:t xml:space="preserve">W oparciu o powyższe </w:t>
      </w:r>
      <w:r w:rsidR="00567799" w:rsidRPr="00567799">
        <w:rPr>
          <w:lang w:val="pl-PL"/>
        </w:rPr>
        <w:t>Trybunał</w:t>
      </w:r>
      <w:r w:rsidR="004B20B9">
        <w:rPr>
          <w:lang w:val="pl-PL"/>
        </w:rPr>
        <w:t xml:space="preserve"> stwierdził</w:t>
      </w:r>
      <w:r w:rsidR="00567799" w:rsidRPr="00567799">
        <w:rPr>
          <w:lang w:val="pl-PL"/>
        </w:rPr>
        <w:t xml:space="preserve">, że w </w:t>
      </w:r>
      <w:r>
        <w:rPr>
          <w:lang w:val="pl-PL"/>
        </w:rPr>
        <w:t xml:space="preserve">sprawie skarżących </w:t>
      </w:r>
      <w:r w:rsidR="00567799" w:rsidRPr="00567799">
        <w:rPr>
          <w:lang w:val="pl-PL"/>
        </w:rPr>
        <w:t>naruszono art.</w:t>
      </w:r>
      <w:r w:rsidR="00660203">
        <w:rPr>
          <w:lang w:val="pl-PL"/>
        </w:rPr>
        <w:t xml:space="preserve"> </w:t>
      </w:r>
      <w:r w:rsidR="00567799" w:rsidRPr="00567799">
        <w:rPr>
          <w:lang w:val="pl-PL"/>
        </w:rPr>
        <w:t xml:space="preserve">5 ust. 1 Konwencji. Trybunał uznał </w:t>
      </w:r>
      <w:r w:rsidR="00567799" w:rsidRPr="004D4D79">
        <w:rPr>
          <w:lang w:val="pl-PL"/>
        </w:rPr>
        <w:t>również, że nie jest konieczne odrębne rozpatrywanie naruszenia art. 5 ust. 4 i art. 5 ust. 5 Konwencji.</w:t>
      </w:r>
      <w:r w:rsidR="00660203">
        <w:rPr>
          <w:lang w:val="pl-PL"/>
        </w:rPr>
        <w:t xml:space="preserve"> </w:t>
      </w:r>
    </w:p>
    <w:p w:rsidR="004D4D79" w:rsidRDefault="009008DF" w:rsidP="004D4D79">
      <w:pPr>
        <w:spacing w:after="120" w:line="240" w:lineRule="auto"/>
        <w:jc w:val="both"/>
        <w:rPr>
          <w:lang w:val="pl-PL"/>
        </w:rPr>
      </w:pPr>
      <w:r>
        <w:rPr>
          <w:lang w:val="pl-PL"/>
        </w:rPr>
        <w:t xml:space="preserve">Na podstawie art. 46 Konwencji Trybunał uznał, że </w:t>
      </w:r>
      <w:r w:rsidR="00DE4DE8">
        <w:rPr>
          <w:lang w:val="pl-PL"/>
        </w:rPr>
        <w:t>właściwym środkiem indywidualny</w:t>
      </w:r>
      <w:r>
        <w:rPr>
          <w:lang w:val="pl-PL"/>
        </w:rPr>
        <w:t>m w</w:t>
      </w:r>
      <w:r w:rsidR="008746BE">
        <w:rPr>
          <w:lang w:val="pl-PL"/>
        </w:rPr>
        <w:t xml:space="preserve"> celu</w:t>
      </w:r>
      <w:r>
        <w:rPr>
          <w:lang w:val="pl-PL"/>
        </w:rPr>
        <w:t xml:space="preserve"> wykonania przedmiotowego wyroku będzie bezzwłoczne zwolnienie dwóch pierwszych skarżących, a w odniesieniu do trzeciego skarżącego państwo pozwane powinno zapewnić</w:t>
      </w:r>
      <w:r w:rsidR="00DE4DE8">
        <w:rPr>
          <w:lang w:val="pl-PL"/>
        </w:rPr>
        <w:t xml:space="preserve"> bezzwłoczne</w:t>
      </w:r>
      <w:r>
        <w:rPr>
          <w:lang w:val="pl-PL"/>
        </w:rPr>
        <w:t xml:space="preserve"> zbadanie przez sąd cywilny konieczności jego dalszego zatrzymania w ośrodku.</w:t>
      </w:r>
      <w:r w:rsidR="00567799" w:rsidRPr="004D4D79">
        <w:rPr>
          <w:lang w:val="pl-PL"/>
        </w:rPr>
        <w:t xml:space="preserve"> </w:t>
      </w:r>
    </w:p>
    <w:p w:rsidR="00AA23CD" w:rsidRPr="006D7C85" w:rsidRDefault="00AA23CD" w:rsidP="00AA23CD">
      <w:pPr>
        <w:pStyle w:val="Nagwek2"/>
        <w:numPr>
          <w:ilvl w:val="0"/>
          <w:numId w:val="1"/>
        </w:numPr>
        <w:spacing w:before="480"/>
      </w:pPr>
      <w:bookmarkStart w:id="4" w:name="_Toc439346285"/>
      <w:proofErr w:type="spellStart"/>
      <w:r w:rsidRPr="006D7C85">
        <w:t>M’Bala</w:t>
      </w:r>
      <w:proofErr w:type="spellEnd"/>
      <w:r w:rsidRPr="006D7C85">
        <w:t xml:space="preserve"> </w:t>
      </w:r>
      <w:proofErr w:type="spellStart"/>
      <w:r w:rsidRPr="006D7C85">
        <w:t>M’Bala</w:t>
      </w:r>
      <w:proofErr w:type="spellEnd"/>
      <w:r w:rsidRPr="006D7C85">
        <w:t xml:space="preserve"> p. Francji (skarga nr 25239/13), decyzja Izby z </w:t>
      </w:r>
      <w:r w:rsidR="00255843" w:rsidRPr="006D7C85">
        <w:t xml:space="preserve">20 października 2015 r., opublikowana </w:t>
      </w:r>
      <w:r w:rsidRPr="006D7C85">
        <w:t>10 listopada 2015 r., ostateczna</w:t>
      </w:r>
      <w:bookmarkEnd w:id="4"/>
    </w:p>
    <w:p w:rsidR="009F4829" w:rsidRPr="009F4829" w:rsidRDefault="009F4829" w:rsidP="009F4829">
      <w:pPr>
        <w:keepNext/>
        <w:keepLines/>
        <w:spacing w:after="360" w:line="240" w:lineRule="auto"/>
        <w:jc w:val="both"/>
        <w:outlineLvl w:val="2"/>
        <w:rPr>
          <w:b/>
          <w:color w:val="000000" w:themeColor="text1"/>
          <w:lang w:val="pl-PL"/>
        </w:rPr>
      </w:pPr>
      <w:bookmarkStart w:id="5" w:name="_Toc439346286"/>
      <w:r w:rsidRPr="009F4829">
        <w:rPr>
          <w:b/>
          <w:color w:val="000000" w:themeColor="text1"/>
          <w:lang w:val="pl-PL"/>
        </w:rPr>
        <w:t xml:space="preserve">- niedopuszczalność skargi na podstawie art. 10 Konwencji (wolność wyrażania opinii) i zastosowanie art. 17 Konwencji (zakaz nadużycia praw) w odniesieniu do </w:t>
      </w:r>
      <w:r w:rsidR="00C02892">
        <w:rPr>
          <w:b/>
          <w:color w:val="000000" w:themeColor="text1"/>
          <w:lang w:val="pl-PL"/>
        </w:rPr>
        <w:t xml:space="preserve">zarzutu dotyczącego </w:t>
      </w:r>
      <w:r w:rsidRPr="009F4829">
        <w:rPr>
          <w:b/>
          <w:color w:val="000000" w:themeColor="text1"/>
          <w:lang w:val="pl-PL"/>
        </w:rPr>
        <w:t xml:space="preserve">skazania </w:t>
      </w:r>
      <w:r w:rsidR="00C70DB2">
        <w:rPr>
          <w:b/>
          <w:color w:val="000000" w:themeColor="text1"/>
          <w:lang w:val="pl-PL"/>
        </w:rPr>
        <w:t xml:space="preserve">skarżącego </w:t>
      </w:r>
      <w:r w:rsidRPr="009F4829">
        <w:rPr>
          <w:b/>
          <w:color w:val="000000" w:themeColor="text1"/>
          <w:lang w:val="pl-PL"/>
        </w:rPr>
        <w:t>przez sądy krajowe za przestępstwo z nienawiści polegające na znieważeniu osób z uwagi na przynależność lub wyznanie</w:t>
      </w:r>
      <w:r w:rsidR="00DE2845" w:rsidRPr="009F4829">
        <w:rPr>
          <w:b/>
          <w:color w:val="000000" w:themeColor="text1"/>
          <w:lang w:val="pl-PL"/>
        </w:rPr>
        <w:t xml:space="preserve"> </w:t>
      </w:r>
      <w:r w:rsidRPr="009F4829">
        <w:rPr>
          <w:b/>
          <w:color w:val="000000" w:themeColor="text1"/>
          <w:lang w:val="pl-PL"/>
        </w:rPr>
        <w:t>w trakcie występu rozrywkowego</w:t>
      </w:r>
      <w:bookmarkEnd w:id="5"/>
    </w:p>
    <w:p w:rsidR="00DE2845" w:rsidRPr="00DE2845" w:rsidRDefault="00DE2845" w:rsidP="00DE2845">
      <w:pPr>
        <w:spacing w:after="120" w:line="240" w:lineRule="auto"/>
        <w:jc w:val="both"/>
        <w:rPr>
          <w:u w:val="single"/>
          <w:lang w:val="pl-PL"/>
        </w:rPr>
      </w:pPr>
      <w:r w:rsidRPr="00DE2845">
        <w:rPr>
          <w:u w:val="single"/>
          <w:lang w:val="pl-PL"/>
        </w:rPr>
        <w:t>Stan faktyczny i zarzuty skarżącego</w:t>
      </w:r>
    </w:p>
    <w:p w:rsidR="00DE2845" w:rsidRPr="00AA23CD" w:rsidRDefault="00DE2845" w:rsidP="00DE2845">
      <w:pPr>
        <w:spacing w:after="120" w:line="240" w:lineRule="auto"/>
        <w:jc w:val="both"/>
        <w:rPr>
          <w:lang w:val="pl-PL"/>
        </w:rPr>
      </w:pPr>
      <w:r w:rsidRPr="00AA23CD">
        <w:rPr>
          <w:lang w:val="pl-PL"/>
        </w:rPr>
        <w:t>Skarżący, znany komik francuski, w czasie wyst</w:t>
      </w:r>
      <w:r w:rsidR="004F46D6">
        <w:rPr>
          <w:lang w:val="pl-PL"/>
        </w:rPr>
        <w:t>ępu</w:t>
      </w:r>
      <w:r w:rsidRPr="00AA23CD">
        <w:rPr>
          <w:lang w:val="pl-PL"/>
        </w:rPr>
        <w:t xml:space="preserve"> publicznego </w:t>
      </w:r>
      <w:r>
        <w:rPr>
          <w:lang w:val="pl-PL"/>
        </w:rPr>
        <w:t>z</w:t>
      </w:r>
      <w:r w:rsidRPr="00AA23CD">
        <w:rPr>
          <w:lang w:val="pl-PL"/>
        </w:rPr>
        <w:t xml:space="preserve">aprosił na scenę </w:t>
      </w:r>
      <w:r>
        <w:rPr>
          <w:lang w:val="pl-PL"/>
        </w:rPr>
        <w:t>osobę wielokrotnie skazywaną</w:t>
      </w:r>
      <w:r w:rsidRPr="00AA23CD">
        <w:rPr>
          <w:lang w:val="pl-PL"/>
        </w:rPr>
        <w:t xml:space="preserve"> za </w:t>
      </w:r>
      <w:r>
        <w:rPr>
          <w:lang w:val="pl-PL"/>
        </w:rPr>
        <w:t>przestępstwa z nienawiści</w:t>
      </w:r>
      <w:r w:rsidRPr="00AA23CD">
        <w:rPr>
          <w:lang w:val="pl-PL"/>
        </w:rPr>
        <w:t xml:space="preserve"> </w:t>
      </w:r>
      <w:r>
        <w:rPr>
          <w:lang w:val="pl-PL"/>
        </w:rPr>
        <w:t xml:space="preserve">jako </w:t>
      </w:r>
      <w:r w:rsidRPr="00AA23CD">
        <w:rPr>
          <w:lang w:val="pl-PL"/>
        </w:rPr>
        <w:t>„kłamcę oświęcimskiego”</w:t>
      </w:r>
      <w:r w:rsidR="004F46D6">
        <w:rPr>
          <w:lang w:val="pl-PL"/>
        </w:rPr>
        <w:t>. Dokonano wręczenia tej osobie nagrody (trójramiennego</w:t>
      </w:r>
      <w:r>
        <w:rPr>
          <w:lang w:val="pl-PL"/>
        </w:rPr>
        <w:t xml:space="preserve"> świecznika z jabłkami) </w:t>
      </w:r>
      <w:r w:rsidR="00C70DB2">
        <w:rPr>
          <w:lang w:val="pl-PL"/>
        </w:rPr>
        <w:t>przez</w:t>
      </w:r>
      <w:r w:rsidRPr="00AA23CD">
        <w:rPr>
          <w:lang w:val="pl-PL"/>
        </w:rPr>
        <w:t xml:space="preserve"> </w:t>
      </w:r>
      <w:r>
        <w:rPr>
          <w:lang w:val="pl-PL"/>
        </w:rPr>
        <w:t>aktora</w:t>
      </w:r>
      <w:r w:rsidRPr="00AA23CD">
        <w:rPr>
          <w:lang w:val="pl-PL"/>
        </w:rPr>
        <w:t xml:space="preserve"> przebranego w strój więźnia obozu koncentracyjnego z charakterystyczną naszywką gwiazdy Dawida i słowem „Żyd”.</w:t>
      </w:r>
      <w:r w:rsidR="000712EE">
        <w:rPr>
          <w:lang w:val="pl-PL"/>
        </w:rPr>
        <w:t xml:space="preserve"> Wydarzenie zostało odnotowane przez policję, wszczęto dochodzenie. </w:t>
      </w:r>
    </w:p>
    <w:p w:rsidR="00DE2845" w:rsidRDefault="00DE2845" w:rsidP="00DE2845">
      <w:pPr>
        <w:spacing w:after="120" w:line="240" w:lineRule="auto"/>
        <w:jc w:val="both"/>
        <w:rPr>
          <w:lang w:val="pl-PL"/>
        </w:rPr>
      </w:pPr>
      <w:r>
        <w:rPr>
          <w:lang w:val="pl-PL"/>
        </w:rPr>
        <w:t>S</w:t>
      </w:r>
      <w:r w:rsidRPr="00AA23CD">
        <w:rPr>
          <w:lang w:val="pl-PL"/>
        </w:rPr>
        <w:t xml:space="preserve">karżący został </w:t>
      </w:r>
      <w:r w:rsidR="004F46D6">
        <w:rPr>
          <w:lang w:val="pl-PL"/>
        </w:rPr>
        <w:t xml:space="preserve">następnie </w:t>
      </w:r>
      <w:r w:rsidRPr="00AA23CD">
        <w:rPr>
          <w:lang w:val="pl-PL"/>
        </w:rPr>
        <w:t xml:space="preserve">skazany </w:t>
      </w:r>
      <w:r w:rsidR="00C70DB2" w:rsidRPr="00AA23CD">
        <w:rPr>
          <w:lang w:val="pl-PL"/>
        </w:rPr>
        <w:t xml:space="preserve">przez sądy krajowe </w:t>
      </w:r>
      <w:r>
        <w:rPr>
          <w:lang w:val="pl-PL"/>
        </w:rPr>
        <w:t xml:space="preserve">za przestępstwo publicznego znieważenia osoby lub grupy osób z uwagi na ich przynależność lub wyznanie, </w:t>
      </w:r>
      <w:r w:rsidRPr="00AA23CD">
        <w:rPr>
          <w:lang w:val="pl-PL"/>
        </w:rPr>
        <w:t xml:space="preserve">i ukarany grzywną (10 000 euro). Sądy wskazały, że spektakl </w:t>
      </w:r>
      <w:r w:rsidR="00C70DB2">
        <w:rPr>
          <w:lang w:val="pl-PL"/>
        </w:rPr>
        <w:t xml:space="preserve">w zaskarżonym zakresie </w:t>
      </w:r>
      <w:r w:rsidRPr="00AA23CD">
        <w:rPr>
          <w:lang w:val="pl-PL"/>
        </w:rPr>
        <w:t>nie mógł</w:t>
      </w:r>
      <w:r w:rsidR="00C70DB2">
        <w:rPr>
          <w:lang w:val="pl-PL"/>
        </w:rPr>
        <w:t xml:space="preserve"> być traktowany</w:t>
      </w:r>
      <w:r>
        <w:rPr>
          <w:lang w:val="pl-PL"/>
        </w:rPr>
        <w:t xml:space="preserve"> jako rozrywkowy,</w:t>
      </w:r>
      <w:r w:rsidRPr="00AA23CD">
        <w:rPr>
          <w:lang w:val="pl-PL"/>
        </w:rPr>
        <w:t xml:space="preserve"> a raczej jako </w:t>
      </w:r>
      <w:r>
        <w:rPr>
          <w:lang w:val="pl-PL"/>
        </w:rPr>
        <w:t>manifestacja polityczna</w:t>
      </w:r>
      <w:r w:rsidRPr="00AA23CD">
        <w:rPr>
          <w:lang w:val="pl-PL"/>
        </w:rPr>
        <w:t xml:space="preserve">. </w:t>
      </w:r>
    </w:p>
    <w:p w:rsidR="00DE2845" w:rsidRDefault="00DE2845" w:rsidP="00DE2845">
      <w:pPr>
        <w:spacing w:after="120" w:line="240" w:lineRule="auto"/>
        <w:jc w:val="both"/>
        <w:rPr>
          <w:lang w:val="pl-PL"/>
        </w:rPr>
      </w:pPr>
      <w:r w:rsidRPr="00AA23CD">
        <w:rPr>
          <w:lang w:val="pl-PL"/>
        </w:rPr>
        <w:t xml:space="preserve">Skarżący wniósł skargę </w:t>
      </w:r>
      <w:r>
        <w:rPr>
          <w:lang w:val="pl-PL"/>
        </w:rPr>
        <w:t xml:space="preserve">do Trybunału, </w:t>
      </w:r>
      <w:r w:rsidRPr="00AA23CD">
        <w:rPr>
          <w:lang w:val="pl-PL"/>
        </w:rPr>
        <w:t>zarzucając naruszeni</w:t>
      </w:r>
      <w:r w:rsidR="004F46D6">
        <w:rPr>
          <w:lang w:val="pl-PL"/>
        </w:rPr>
        <w:t>e</w:t>
      </w:r>
      <w:r w:rsidRPr="00AA23CD">
        <w:rPr>
          <w:lang w:val="pl-PL"/>
        </w:rPr>
        <w:t xml:space="preserve"> </w:t>
      </w:r>
      <w:r>
        <w:rPr>
          <w:lang w:val="pl-PL"/>
        </w:rPr>
        <w:t xml:space="preserve">wolności wyrażania opinii chronionej </w:t>
      </w:r>
      <w:r w:rsidR="003E0CEF">
        <w:rPr>
          <w:lang w:val="pl-PL"/>
        </w:rPr>
        <w:t>(</w:t>
      </w:r>
      <w:r>
        <w:rPr>
          <w:lang w:val="pl-PL"/>
        </w:rPr>
        <w:t>na podstawie art.</w:t>
      </w:r>
      <w:r w:rsidRPr="00AA23CD">
        <w:rPr>
          <w:lang w:val="pl-PL"/>
        </w:rPr>
        <w:t xml:space="preserve"> 10</w:t>
      </w:r>
      <w:r>
        <w:rPr>
          <w:lang w:val="pl-PL"/>
        </w:rPr>
        <w:t xml:space="preserve"> Konwencji</w:t>
      </w:r>
      <w:r w:rsidR="003E0CEF">
        <w:rPr>
          <w:lang w:val="pl-PL"/>
        </w:rPr>
        <w:t>)</w:t>
      </w:r>
      <w:r w:rsidR="000712EE">
        <w:rPr>
          <w:lang w:val="pl-PL"/>
        </w:rPr>
        <w:t xml:space="preserve"> oraz zakaz</w:t>
      </w:r>
      <w:r w:rsidR="003E0CEF">
        <w:rPr>
          <w:lang w:val="pl-PL"/>
        </w:rPr>
        <w:t>u</w:t>
      </w:r>
      <w:r w:rsidR="000712EE">
        <w:rPr>
          <w:lang w:val="pl-PL"/>
        </w:rPr>
        <w:t xml:space="preserve"> karania bez podstawy prawnej (art. 7 Konwencji)</w:t>
      </w:r>
      <w:r w:rsidRPr="00AA23CD">
        <w:rPr>
          <w:lang w:val="pl-PL"/>
        </w:rPr>
        <w:t xml:space="preserve">. </w:t>
      </w:r>
      <w:r w:rsidR="00F05E8E">
        <w:rPr>
          <w:lang w:val="pl-PL"/>
        </w:rPr>
        <w:t>Twierdził</w:t>
      </w:r>
      <w:r w:rsidR="003E0CEF">
        <w:rPr>
          <w:lang w:val="pl-PL"/>
        </w:rPr>
        <w:t xml:space="preserve"> m.in.</w:t>
      </w:r>
      <w:r w:rsidR="00F05E8E">
        <w:rPr>
          <w:lang w:val="pl-PL"/>
        </w:rPr>
        <w:t>, że został skazany za znieważenie, mimo że w trakcie zaskarżonego spektaklu nikt nie wypowiedział słów mających charakter znieważenia lub zniesławienia.</w:t>
      </w:r>
      <w:r w:rsidR="00772CD4">
        <w:rPr>
          <w:lang w:val="pl-PL"/>
        </w:rPr>
        <w:t xml:space="preserve"> </w:t>
      </w:r>
      <w:r w:rsidR="00F05E8E">
        <w:rPr>
          <w:lang w:val="pl-PL"/>
        </w:rPr>
        <w:t xml:space="preserve"> </w:t>
      </w:r>
    </w:p>
    <w:p w:rsidR="00DE2845" w:rsidRPr="00DE2845" w:rsidRDefault="00DE2845" w:rsidP="00DE2845">
      <w:pPr>
        <w:spacing w:after="120" w:line="240" w:lineRule="auto"/>
        <w:jc w:val="both"/>
        <w:rPr>
          <w:u w:val="single"/>
          <w:lang w:val="pl-PL"/>
        </w:rPr>
      </w:pPr>
      <w:r w:rsidRPr="00DE2845">
        <w:rPr>
          <w:u w:val="single"/>
          <w:lang w:val="pl-PL"/>
        </w:rPr>
        <w:t>Ocena Trybunału</w:t>
      </w:r>
    </w:p>
    <w:p w:rsidR="004F46D6" w:rsidRDefault="00F05E8E" w:rsidP="00DE2845">
      <w:pPr>
        <w:spacing w:after="120" w:line="240" w:lineRule="auto"/>
        <w:jc w:val="both"/>
        <w:rPr>
          <w:lang w:val="pl-PL"/>
        </w:rPr>
      </w:pPr>
      <w:r>
        <w:rPr>
          <w:lang w:val="pl-PL"/>
        </w:rPr>
        <w:t>Trybunał postanowił zbadać sprawę jedynie w odniesieniu do art. 10 Konwencji. P</w:t>
      </w:r>
      <w:r w:rsidR="00DE2845" w:rsidRPr="00AA23CD">
        <w:rPr>
          <w:lang w:val="pl-PL"/>
        </w:rPr>
        <w:t xml:space="preserve">odzielił stanowisko sądów francuskich i </w:t>
      </w:r>
      <w:r w:rsidR="00DE2845">
        <w:rPr>
          <w:lang w:val="pl-PL"/>
        </w:rPr>
        <w:t xml:space="preserve">zgodził się, że treść spektaklu miała charakter antysemicki. Uhonorowano znaną osobę skazywaną we Francji z powodu twierdzeń negacjonistycznych, wzywając publiczność, by ją gorąco oklaskiwała i wręczając nagrodę m.in. </w:t>
      </w:r>
      <w:r w:rsidR="004F46D6">
        <w:rPr>
          <w:lang w:val="pl-PL"/>
        </w:rPr>
        <w:t xml:space="preserve">za </w:t>
      </w:r>
      <w:r w:rsidR="00DE2845">
        <w:rPr>
          <w:lang w:val="pl-PL"/>
        </w:rPr>
        <w:t xml:space="preserve">„bezczelność”. </w:t>
      </w:r>
      <w:r w:rsidR="00DE2845" w:rsidRPr="00DE2845">
        <w:rPr>
          <w:lang w:val="pl-PL"/>
        </w:rPr>
        <w:t xml:space="preserve">Trybunał odnotował też, że skarżący już kilka razy startował w wyborach oraz był skazany za znieważenie o charakterze rasistowskim. </w:t>
      </w:r>
    </w:p>
    <w:p w:rsidR="004F46D6" w:rsidRDefault="00DE2845" w:rsidP="00DE2845">
      <w:pPr>
        <w:spacing w:after="120" w:line="240" w:lineRule="auto"/>
        <w:jc w:val="both"/>
        <w:rPr>
          <w:lang w:val="pl-PL"/>
        </w:rPr>
      </w:pPr>
      <w:r w:rsidRPr="00DE2845">
        <w:rPr>
          <w:lang w:val="pl-PL"/>
        </w:rPr>
        <w:t>Skarżący twierdził, że w trakcie przedstawienia nie padły</w:t>
      </w:r>
      <w:r w:rsidR="007F1786">
        <w:rPr>
          <w:lang w:val="pl-PL"/>
        </w:rPr>
        <w:t xml:space="preserve"> ze strony zaproszonego gościa</w:t>
      </w:r>
      <w:r w:rsidRPr="00DE2845">
        <w:rPr>
          <w:lang w:val="pl-PL"/>
        </w:rPr>
        <w:t xml:space="preserve"> żadne sformułowania o charakterze rewizjonistycznym. </w:t>
      </w:r>
      <w:r w:rsidR="002941D8" w:rsidRPr="0098439F">
        <w:rPr>
          <w:lang w:val="pl-PL"/>
        </w:rPr>
        <w:t xml:space="preserve">Trybunał nie zgodził się z tym argumentem, zwracając uwagę, że zaproszony </w:t>
      </w:r>
      <w:r w:rsidR="0098439F">
        <w:rPr>
          <w:lang w:val="pl-PL"/>
        </w:rPr>
        <w:t xml:space="preserve">gość </w:t>
      </w:r>
      <w:r w:rsidR="002941D8" w:rsidRPr="0098439F">
        <w:rPr>
          <w:lang w:val="pl-PL"/>
        </w:rPr>
        <w:t>określił jako „</w:t>
      </w:r>
      <w:proofErr w:type="spellStart"/>
      <w:r w:rsidR="002941D8" w:rsidRPr="0098439F">
        <w:rPr>
          <w:lang w:val="pl-PL"/>
        </w:rPr>
        <w:t>afirmacjonistów</w:t>
      </w:r>
      <w:proofErr w:type="spellEnd"/>
      <w:r w:rsidR="002941D8" w:rsidRPr="0098439F">
        <w:rPr>
          <w:lang w:val="pl-PL"/>
        </w:rPr>
        <w:t xml:space="preserve">” tych, którzy </w:t>
      </w:r>
      <w:r w:rsidR="00E170C7">
        <w:rPr>
          <w:lang w:val="pl-PL"/>
        </w:rPr>
        <w:t xml:space="preserve">oskarżali go o bycie </w:t>
      </w:r>
      <w:r w:rsidR="0098439F">
        <w:rPr>
          <w:lang w:val="pl-PL"/>
        </w:rPr>
        <w:t>„negacjonist</w:t>
      </w:r>
      <w:r w:rsidR="00E170C7">
        <w:rPr>
          <w:lang w:val="pl-PL"/>
        </w:rPr>
        <w:t>ą</w:t>
      </w:r>
      <w:r w:rsidR="0098439F">
        <w:rPr>
          <w:lang w:val="pl-PL"/>
        </w:rPr>
        <w:t>”</w:t>
      </w:r>
      <w:r w:rsidR="002941D8" w:rsidRPr="0098439F">
        <w:rPr>
          <w:lang w:val="pl-PL"/>
        </w:rPr>
        <w:t xml:space="preserve">. </w:t>
      </w:r>
    </w:p>
    <w:p w:rsidR="00DE2845" w:rsidRPr="00DE2845" w:rsidRDefault="00DE2845" w:rsidP="00DE2845">
      <w:pPr>
        <w:spacing w:after="120" w:line="240" w:lineRule="auto"/>
        <w:jc w:val="both"/>
        <w:rPr>
          <w:lang w:val="pl-PL"/>
        </w:rPr>
      </w:pPr>
      <w:r w:rsidRPr="00DE2845">
        <w:rPr>
          <w:lang w:val="pl-PL"/>
        </w:rPr>
        <w:t xml:space="preserve">Trybunał zwrócił </w:t>
      </w:r>
      <w:r w:rsidR="00B130F4">
        <w:rPr>
          <w:lang w:val="pl-PL"/>
        </w:rPr>
        <w:t xml:space="preserve">też </w:t>
      </w:r>
      <w:r w:rsidRPr="00DE2845">
        <w:rPr>
          <w:lang w:val="pl-PL"/>
        </w:rPr>
        <w:t xml:space="preserve">uwagę na fakt, że skarżący wprowadził na sceną aktora przebranego za więźnia obozu koncentracyjnego w celu wręczenia nagrody najbardziej znanemu francuskiemu rewizjoniście. </w:t>
      </w:r>
      <w:r w:rsidR="00C2258C">
        <w:rPr>
          <w:lang w:val="pl-PL"/>
        </w:rPr>
        <w:lastRenderedPageBreak/>
        <w:t xml:space="preserve">Trybunał skrytykował jako obraźliwy dla ofiar </w:t>
      </w:r>
      <w:r w:rsidR="006016C0">
        <w:rPr>
          <w:lang w:val="pl-PL"/>
        </w:rPr>
        <w:t xml:space="preserve">Holokaustu </w:t>
      </w:r>
      <w:r w:rsidR="00C2258C">
        <w:rPr>
          <w:lang w:val="pl-PL"/>
        </w:rPr>
        <w:t xml:space="preserve">fakt określania tego stroju jako „strój światła”. </w:t>
      </w:r>
      <w:r w:rsidRPr="00DE2845">
        <w:rPr>
          <w:lang w:val="pl-PL"/>
        </w:rPr>
        <w:t xml:space="preserve">W opinii Trybunału, reakcja publiczności dowodzi, że </w:t>
      </w:r>
      <w:r w:rsidR="00CC4519">
        <w:rPr>
          <w:lang w:val="pl-PL"/>
        </w:rPr>
        <w:t>dostrzegała</w:t>
      </w:r>
      <w:r w:rsidRPr="00DE2845">
        <w:rPr>
          <w:lang w:val="pl-PL"/>
        </w:rPr>
        <w:t xml:space="preserve"> ona antysemicki charakter sceny</w:t>
      </w:r>
      <w:r w:rsidR="00950554">
        <w:rPr>
          <w:lang w:val="pl-PL"/>
        </w:rPr>
        <w:t xml:space="preserve"> w ten sam sposób co sędziowie krajowi</w:t>
      </w:r>
      <w:r w:rsidR="006016C0">
        <w:rPr>
          <w:lang w:val="pl-PL"/>
        </w:rPr>
        <w:t>;</w:t>
      </w:r>
      <w:r w:rsidR="00950554">
        <w:rPr>
          <w:lang w:val="pl-PL"/>
        </w:rPr>
        <w:t xml:space="preserve"> padały okrzyki, iż zaproszony gość ma rację</w:t>
      </w:r>
      <w:r w:rsidRPr="00DE2845">
        <w:rPr>
          <w:lang w:val="pl-PL"/>
        </w:rPr>
        <w:t>.</w:t>
      </w:r>
      <w:r w:rsidR="00AD026C">
        <w:rPr>
          <w:lang w:val="pl-PL"/>
        </w:rPr>
        <w:t xml:space="preserve"> W</w:t>
      </w:r>
      <w:r w:rsidRPr="00DE2845">
        <w:rPr>
          <w:lang w:val="pl-PL"/>
        </w:rPr>
        <w:t xml:space="preserve"> tej promocji negacjonizmu, z jednoczesnym poniżającym przedstawieniem ofiar Holokaustu w obliczu osoby, która zaprzeczała ich eksterminacji, Trybunał dostrzegł demonstrację nienawiści i antysemityzmu oraz popieranie zaprzeczania Holokaustu. Trybunał uznał, że w czasie obraźliwej sceny spektakl nie mógł być już dłużej traktowany jako rozrywka, a nabrał charakteru spotkania politycznego. Nie było to już przedstawienie, nawet satyryczne i prowokacyjne, objęte ochroną art. 10 Konwencji. W okolicznościach sprawy było to wyrażanie ideologii sprzecznej z wartościami Konwencji </w:t>
      </w:r>
      <w:r w:rsidR="004F46D6">
        <w:rPr>
          <w:lang w:val="pl-PL"/>
        </w:rPr>
        <w:t>(sprawiedliwości i pokoju)</w:t>
      </w:r>
      <w:r w:rsidRPr="00DE2845">
        <w:rPr>
          <w:lang w:val="pl-PL"/>
        </w:rPr>
        <w:t xml:space="preserve">. </w:t>
      </w:r>
    </w:p>
    <w:p w:rsidR="00DE2845" w:rsidRPr="00DE2845" w:rsidRDefault="00DE2845" w:rsidP="00DE2845">
      <w:pPr>
        <w:spacing w:after="120" w:line="240" w:lineRule="auto"/>
        <w:jc w:val="both"/>
        <w:rPr>
          <w:lang w:val="pl-PL"/>
        </w:rPr>
      </w:pPr>
      <w:r w:rsidRPr="00DE2845">
        <w:rPr>
          <w:lang w:val="pl-PL"/>
        </w:rPr>
        <w:t xml:space="preserve">Trybunał odnotował, że choć art. 17 Konwencji </w:t>
      </w:r>
      <w:r w:rsidR="000712EE" w:rsidRPr="00DE2845">
        <w:rPr>
          <w:lang w:val="pl-PL"/>
        </w:rPr>
        <w:t xml:space="preserve">w poprzednich sprawach </w:t>
      </w:r>
      <w:r w:rsidRPr="00DE2845">
        <w:rPr>
          <w:lang w:val="pl-PL"/>
        </w:rPr>
        <w:t xml:space="preserve">co do zasady był stosowany do </w:t>
      </w:r>
      <w:r w:rsidR="00086789" w:rsidRPr="00DE2845">
        <w:rPr>
          <w:lang w:val="pl-PL"/>
        </w:rPr>
        <w:t xml:space="preserve">wypowiedzi </w:t>
      </w:r>
      <w:r w:rsidRPr="00DE2845">
        <w:rPr>
          <w:lang w:val="pl-PL"/>
        </w:rPr>
        <w:t xml:space="preserve">wyraźnych i bezpośrednich, które nie wymagały żadnej interpretacji, to jednak był przekonany, że </w:t>
      </w:r>
      <w:r w:rsidR="000712EE">
        <w:rPr>
          <w:lang w:val="pl-PL"/>
        </w:rPr>
        <w:t xml:space="preserve">w przedmiotowej sprawie </w:t>
      </w:r>
      <w:r w:rsidR="006016C0">
        <w:rPr>
          <w:lang w:val="pl-PL"/>
        </w:rPr>
        <w:t xml:space="preserve">jawne </w:t>
      </w:r>
      <w:r w:rsidR="000712EE">
        <w:rPr>
          <w:lang w:val="pl-PL"/>
        </w:rPr>
        <w:t>zaprezentowanie</w:t>
      </w:r>
      <w:r w:rsidRPr="00DE2845">
        <w:rPr>
          <w:lang w:val="pl-PL"/>
        </w:rPr>
        <w:t xml:space="preserve"> nienawiści i antysemityzmu w przebraniu produkcji artystycznej było równie niebezpieczne jak bezpośredni i nagły atak. Z tego względu </w:t>
      </w:r>
      <w:r w:rsidR="00086789">
        <w:rPr>
          <w:lang w:val="pl-PL"/>
        </w:rPr>
        <w:t xml:space="preserve">uznał, że </w:t>
      </w:r>
      <w:r w:rsidRPr="00DE2845">
        <w:rPr>
          <w:lang w:val="pl-PL"/>
        </w:rPr>
        <w:t>nie zasługuje ono na ochronę na podstawie art. 10 Konwencji.</w:t>
      </w:r>
      <w:r w:rsidR="00086789">
        <w:rPr>
          <w:lang w:val="pl-PL"/>
        </w:rPr>
        <w:t xml:space="preserve"> </w:t>
      </w:r>
      <w:r w:rsidRPr="00DE2845">
        <w:rPr>
          <w:lang w:val="pl-PL"/>
        </w:rPr>
        <w:t xml:space="preserve">Ponieważ przedmiotowe działania miały charakter negacjonistyczny i antysemicki, Trybunał uznał, że skarżący zmierzał do wypaczenia rzeczywistego celu art. 10 Konwencji poprzez wykorzystanie wolności wyrażania opinii dla celów, które są niezgodne z literą i duchem Konwencji i które, jeśli byłyby dopuszczone, przyczyniłyby się do destrukcji praw i wolności konwencyjnych. Na podstawie art. 17 Konwencji Trybunał uznał, że skarżący nie był uprawniony do ochrony na mocy art. 10 Konwencji, a jego skarga musi zostać odrzucona jako niezgodna z postanowieniami Konwencji i niedopuszczana (art. 35 ust. 3 (a) i ust 4). </w:t>
      </w:r>
    </w:p>
    <w:p w:rsidR="000E39C2" w:rsidRDefault="00E17E29" w:rsidP="006A61D6">
      <w:pPr>
        <w:spacing w:after="360" w:line="240" w:lineRule="auto"/>
        <w:jc w:val="both"/>
        <w:rPr>
          <w:lang w:val="pl-PL"/>
        </w:rPr>
      </w:pPr>
      <w:r w:rsidRPr="00E17E29">
        <w:rPr>
          <w:u w:val="single"/>
          <w:lang w:val="pl-PL"/>
        </w:rPr>
        <w:t>Znaczenie wyroku dla Polski</w:t>
      </w:r>
      <w:r>
        <w:rPr>
          <w:lang w:val="pl-PL"/>
        </w:rPr>
        <w:t xml:space="preserve"> –</w:t>
      </w:r>
      <w:r w:rsidR="00086789">
        <w:rPr>
          <w:lang w:val="pl-PL"/>
        </w:rPr>
        <w:t xml:space="preserve"> argumentacja zawarta w wyroku jest warta przeanalizowania w kontekście </w:t>
      </w:r>
      <w:r>
        <w:rPr>
          <w:lang w:val="pl-PL"/>
        </w:rPr>
        <w:t xml:space="preserve">skutecznego ścigania przestępstw </w:t>
      </w:r>
      <w:r w:rsidR="00086789">
        <w:rPr>
          <w:lang w:val="pl-PL"/>
        </w:rPr>
        <w:t xml:space="preserve">znieważenia </w:t>
      </w:r>
      <w:r>
        <w:rPr>
          <w:lang w:val="pl-PL"/>
        </w:rPr>
        <w:t xml:space="preserve">z nienawiści w przypadkach, gdy znieważenie przybiera postać występu artystycznego </w:t>
      </w:r>
      <w:r w:rsidR="00D2283C">
        <w:rPr>
          <w:lang w:val="pl-PL"/>
        </w:rPr>
        <w:t>bądź</w:t>
      </w:r>
      <w:r>
        <w:rPr>
          <w:lang w:val="pl-PL"/>
        </w:rPr>
        <w:t xml:space="preserve"> nie stanowi bezpośredniej wypowiedzi</w:t>
      </w:r>
      <w:r w:rsidR="00B85444">
        <w:rPr>
          <w:lang w:val="pl-PL"/>
        </w:rPr>
        <w:t xml:space="preserve">, </w:t>
      </w:r>
      <w:r w:rsidR="00D2283C">
        <w:rPr>
          <w:lang w:val="pl-PL"/>
        </w:rPr>
        <w:t xml:space="preserve">a </w:t>
      </w:r>
      <w:r w:rsidR="00B85444">
        <w:rPr>
          <w:lang w:val="pl-PL"/>
        </w:rPr>
        <w:t xml:space="preserve">znieważający charakter wynika z </w:t>
      </w:r>
      <w:r w:rsidR="00141F0B">
        <w:rPr>
          <w:lang w:val="pl-PL"/>
        </w:rPr>
        <w:t>użytej symboliki</w:t>
      </w:r>
      <w:r w:rsidR="00D41B3F">
        <w:rPr>
          <w:lang w:val="pl-PL"/>
        </w:rPr>
        <w:t xml:space="preserve"> lub</w:t>
      </w:r>
      <w:r w:rsidR="00141F0B">
        <w:rPr>
          <w:lang w:val="pl-PL"/>
        </w:rPr>
        <w:t xml:space="preserve"> </w:t>
      </w:r>
      <w:r w:rsidR="00B85444">
        <w:rPr>
          <w:lang w:val="pl-PL"/>
        </w:rPr>
        <w:t>kontekstu</w:t>
      </w:r>
      <w:r w:rsidR="00086789">
        <w:rPr>
          <w:lang w:val="pl-PL"/>
        </w:rPr>
        <w:t xml:space="preserve"> sprawy</w:t>
      </w:r>
      <w:r w:rsidR="00B85444">
        <w:rPr>
          <w:lang w:val="pl-PL"/>
        </w:rPr>
        <w:t>.</w:t>
      </w:r>
      <w:r w:rsidR="009473A4">
        <w:rPr>
          <w:lang w:val="pl-PL"/>
        </w:rPr>
        <w:t xml:space="preserve"> </w:t>
      </w:r>
    </w:p>
    <w:p w:rsidR="004D4D79" w:rsidRDefault="004D4D79" w:rsidP="000E39C2">
      <w:pPr>
        <w:pStyle w:val="Nagwek2"/>
        <w:numPr>
          <w:ilvl w:val="0"/>
          <w:numId w:val="1"/>
        </w:numPr>
      </w:pPr>
      <w:bookmarkStart w:id="6" w:name="_Toc439346287"/>
      <w:proofErr w:type="spellStart"/>
      <w:r w:rsidRPr="000E39C2">
        <w:t>Bamouhammad</w:t>
      </w:r>
      <w:proofErr w:type="spellEnd"/>
      <w:r w:rsidRPr="000E39C2">
        <w:t xml:space="preserve"> p. Belgii </w:t>
      </w:r>
      <w:r w:rsidR="008E098E" w:rsidRPr="000E39C2">
        <w:t>(</w:t>
      </w:r>
      <w:r w:rsidR="00FA5434" w:rsidRPr="000E39C2">
        <w:t>skarga n</w:t>
      </w:r>
      <w:r w:rsidRPr="000E39C2">
        <w:t>r 47687/13</w:t>
      </w:r>
      <w:r w:rsidR="008E098E" w:rsidRPr="000E39C2">
        <w:t>)</w:t>
      </w:r>
      <w:r w:rsidRPr="000E39C2">
        <w:t>, wyrok Izby z 17</w:t>
      </w:r>
      <w:r w:rsidR="000C75AB" w:rsidRPr="000E39C2">
        <w:t>.11.</w:t>
      </w:r>
      <w:r w:rsidRPr="000E39C2">
        <w:t>2015 r.</w:t>
      </w:r>
      <w:r w:rsidR="00FA5434" w:rsidRPr="000E39C2">
        <w:t>, nieostateczny</w:t>
      </w:r>
      <w:bookmarkEnd w:id="6"/>
    </w:p>
    <w:p w:rsidR="0039478B" w:rsidRDefault="000429C8" w:rsidP="002305C1">
      <w:pPr>
        <w:keepNext/>
        <w:keepLines/>
        <w:spacing w:after="120" w:line="240" w:lineRule="auto"/>
        <w:jc w:val="both"/>
        <w:outlineLvl w:val="2"/>
        <w:rPr>
          <w:b/>
          <w:color w:val="000000" w:themeColor="text1"/>
          <w:lang w:val="pl-PL"/>
        </w:rPr>
      </w:pPr>
      <w:bookmarkStart w:id="7" w:name="_Toc439346288"/>
      <w:r w:rsidRPr="002305C1">
        <w:rPr>
          <w:b/>
          <w:color w:val="000000" w:themeColor="text1"/>
          <w:lang w:val="pl-PL"/>
        </w:rPr>
        <w:t>- naruszenie art. 3</w:t>
      </w:r>
      <w:r w:rsidR="00710B97">
        <w:rPr>
          <w:b/>
          <w:color w:val="000000" w:themeColor="text1"/>
          <w:lang w:val="pl-PL"/>
        </w:rPr>
        <w:t xml:space="preserve"> Konwencji</w:t>
      </w:r>
      <w:r w:rsidRPr="002305C1">
        <w:rPr>
          <w:b/>
          <w:color w:val="000000" w:themeColor="text1"/>
          <w:lang w:val="pl-PL"/>
        </w:rPr>
        <w:t xml:space="preserve"> (zakaz tortur</w:t>
      </w:r>
      <w:r w:rsidR="00732417">
        <w:rPr>
          <w:b/>
          <w:color w:val="000000" w:themeColor="text1"/>
          <w:lang w:val="pl-PL"/>
        </w:rPr>
        <w:t xml:space="preserve"> oraz </w:t>
      </w:r>
      <w:r w:rsidR="00732417" w:rsidRPr="00732417">
        <w:rPr>
          <w:b/>
          <w:lang w:val="pl-PL"/>
        </w:rPr>
        <w:t>nieludzkiego lub poniżającego traktowania albo karania</w:t>
      </w:r>
      <w:r w:rsidRPr="002305C1">
        <w:rPr>
          <w:b/>
          <w:color w:val="000000" w:themeColor="text1"/>
          <w:lang w:val="pl-PL"/>
        </w:rPr>
        <w:t xml:space="preserve">) ze względu na </w:t>
      </w:r>
      <w:r w:rsidR="00176DB6">
        <w:rPr>
          <w:b/>
          <w:color w:val="000000" w:themeColor="text1"/>
          <w:lang w:val="pl-PL"/>
        </w:rPr>
        <w:t>sposób wykonania kary pozbawienia wolności skarżącego przekraczający</w:t>
      </w:r>
      <w:r w:rsidRPr="002305C1">
        <w:rPr>
          <w:b/>
          <w:color w:val="000000" w:themeColor="text1"/>
          <w:lang w:val="pl-PL"/>
        </w:rPr>
        <w:t xml:space="preserve"> poziom </w:t>
      </w:r>
      <w:r w:rsidR="007D1178" w:rsidRPr="002305C1">
        <w:rPr>
          <w:b/>
          <w:color w:val="000000" w:themeColor="text1"/>
          <w:lang w:val="pl-PL"/>
        </w:rPr>
        <w:t xml:space="preserve">cierpienia </w:t>
      </w:r>
      <w:r w:rsidR="00176DB6">
        <w:rPr>
          <w:b/>
          <w:color w:val="000000" w:themeColor="text1"/>
          <w:lang w:val="pl-PL"/>
        </w:rPr>
        <w:t>nieunikniony</w:t>
      </w:r>
      <w:r w:rsidRPr="002305C1">
        <w:rPr>
          <w:b/>
          <w:color w:val="000000" w:themeColor="text1"/>
          <w:lang w:val="pl-PL"/>
        </w:rPr>
        <w:t xml:space="preserve"> w warunkach </w:t>
      </w:r>
      <w:r w:rsidR="007D1178">
        <w:rPr>
          <w:b/>
          <w:color w:val="000000" w:themeColor="text1"/>
          <w:lang w:val="pl-PL"/>
        </w:rPr>
        <w:t>pozbawienia wolności</w:t>
      </w:r>
      <w:r w:rsidRPr="002305C1">
        <w:rPr>
          <w:b/>
          <w:color w:val="000000" w:themeColor="text1"/>
          <w:lang w:val="pl-PL"/>
        </w:rPr>
        <w:t xml:space="preserve">, w tym </w:t>
      </w:r>
      <w:r w:rsidR="004D4D79" w:rsidRPr="002305C1">
        <w:rPr>
          <w:b/>
          <w:color w:val="000000" w:themeColor="text1"/>
          <w:lang w:val="pl-PL"/>
        </w:rPr>
        <w:t xml:space="preserve">w szczególności </w:t>
      </w:r>
      <w:r w:rsidR="00710B97">
        <w:rPr>
          <w:b/>
          <w:color w:val="000000" w:themeColor="text1"/>
          <w:lang w:val="pl-PL"/>
        </w:rPr>
        <w:t>z</w:t>
      </w:r>
      <w:r w:rsidR="00176DB6">
        <w:rPr>
          <w:b/>
          <w:color w:val="000000" w:themeColor="text1"/>
          <w:lang w:val="pl-PL"/>
        </w:rPr>
        <w:t xml:space="preserve"> uwagi na </w:t>
      </w:r>
      <w:r w:rsidR="004D4D79" w:rsidRPr="002305C1">
        <w:rPr>
          <w:b/>
          <w:color w:val="000000" w:themeColor="text1"/>
          <w:lang w:val="pl-PL"/>
        </w:rPr>
        <w:t xml:space="preserve">ciągłe </w:t>
      </w:r>
      <w:r w:rsidR="00176DB6">
        <w:rPr>
          <w:b/>
          <w:color w:val="000000" w:themeColor="text1"/>
          <w:lang w:val="pl-PL"/>
        </w:rPr>
        <w:t xml:space="preserve">transfery </w:t>
      </w:r>
      <w:r w:rsidRPr="002305C1">
        <w:rPr>
          <w:b/>
          <w:color w:val="000000" w:themeColor="text1"/>
          <w:lang w:val="pl-PL"/>
        </w:rPr>
        <w:t>p</w:t>
      </w:r>
      <w:r w:rsidR="004D4D79" w:rsidRPr="002305C1">
        <w:rPr>
          <w:b/>
          <w:color w:val="000000" w:themeColor="text1"/>
          <w:lang w:val="pl-PL"/>
        </w:rPr>
        <w:t>omiędzy jednostkami penitencjarnymi, nieustanne stosowanie nadzwyczajnych środków nadzoru, opóźnienie we wprowadzeniu terapii psychologicznej, a także odmow</w:t>
      </w:r>
      <w:r w:rsidRPr="002305C1">
        <w:rPr>
          <w:b/>
          <w:color w:val="000000" w:themeColor="text1"/>
          <w:lang w:val="pl-PL"/>
        </w:rPr>
        <w:t>ę</w:t>
      </w:r>
      <w:r w:rsidR="004D4D79" w:rsidRPr="002305C1">
        <w:rPr>
          <w:b/>
          <w:color w:val="000000" w:themeColor="text1"/>
          <w:lang w:val="pl-PL"/>
        </w:rPr>
        <w:t xml:space="preserve"> rozważenia alternatywnych sposobów nadzoru, pomimo pogorszającego się stanu zdrowia skarżącego</w:t>
      </w:r>
      <w:bookmarkEnd w:id="7"/>
      <w:r w:rsidRPr="002305C1">
        <w:rPr>
          <w:b/>
          <w:color w:val="000000" w:themeColor="text1"/>
          <w:lang w:val="pl-PL"/>
        </w:rPr>
        <w:t xml:space="preserve"> </w:t>
      </w:r>
    </w:p>
    <w:p w:rsidR="004D4D79" w:rsidRPr="002305C1" w:rsidRDefault="0039478B" w:rsidP="002305C1">
      <w:pPr>
        <w:keepNext/>
        <w:keepLines/>
        <w:spacing w:after="120" w:line="240" w:lineRule="auto"/>
        <w:jc w:val="both"/>
        <w:outlineLvl w:val="2"/>
        <w:rPr>
          <w:b/>
          <w:color w:val="000000" w:themeColor="text1"/>
          <w:lang w:val="pl-PL"/>
        </w:rPr>
      </w:pPr>
      <w:bookmarkStart w:id="8" w:name="_Toc439346289"/>
      <w:r w:rsidRPr="003911CE">
        <w:rPr>
          <w:b/>
          <w:color w:val="000000" w:themeColor="text1"/>
          <w:lang w:val="pl-PL"/>
        </w:rPr>
        <w:t>- naruszenie art. 13 (prawo do skutecznego środka odwoławczego)</w:t>
      </w:r>
      <w:r w:rsidR="00A24DBC">
        <w:rPr>
          <w:b/>
          <w:color w:val="000000" w:themeColor="text1"/>
          <w:lang w:val="pl-PL"/>
        </w:rPr>
        <w:t xml:space="preserve"> w związku z art. 3 Konwencji </w:t>
      </w:r>
      <w:r w:rsidR="00B506CF">
        <w:rPr>
          <w:b/>
          <w:color w:val="000000" w:themeColor="text1"/>
          <w:lang w:val="pl-PL"/>
        </w:rPr>
        <w:t xml:space="preserve">z uwagi na fakt, że ciągłe transfery między jednostkami penitencjarnymi powodowały nieskuteczność środków odwoławczych </w:t>
      </w:r>
      <w:r w:rsidR="003911CE">
        <w:rPr>
          <w:b/>
          <w:color w:val="000000" w:themeColor="text1"/>
          <w:lang w:val="pl-PL"/>
        </w:rPr>
        <w:t xml:space="preserve">przewidzianych </w:t>
      </w:r>
      <w:r w:rsidR="005B5AEA">
        <w:rPr>
          <w:b/>
          <w:color w:val="000000" w:themeColor="text1"/>
          <w:lang w:val="pl-PL"/>
        </w:rPr>
        <w:t xml:space="preserve">dla osadzonego </w:t>
      </w:r>
      <w:r w:rsidR="003911CE">
        <w:rPr>
          <w:b/>
          <w:color w:val="000000" w:themeColor="text1"/>
          <w:lang w:val="pl-PL"/>
        </w:rPr>
        <w:t xml:space="preserve">w celu </w:t>
      </w:r>
      <w:r w:rsidR="00B506CF">
        <w:rPr>
          <w:b/>
          <w:color w:val="000000" w:themeColor="text1"/>
          <w:lang w:val="pl-PL"/>
        </w:rPr>
        <w:t>zaskarżeni</w:t>
      </w:r>
      <w:r w:rsidR="003911CE">
        <w:rPr>
          <w:b/>
          <w:color w:val="000000" w:themeColor="text1"/>
          <w:lang w:val="pl-PL"/>
        </w:rPr>
        <w:t>a</w:t>
      </w:r>
      <w:r w:rsidR="00B506CF">
        <w:rPr>
          <w:b/>
          <w:color w:val="000000" w:themeColor="text1"/>
          <w:lang w:val="pl-PL"/>
        </w:rPr>
        <w:t xml:space="preserve"> traktowania niezgodnego z art. 3 Konwencji</w:t>
      </w:r>
      <w:bookmarkEnd w:id="8"/>
    </w:p>
    <w:p w:rsidR="004D4D79" w:rsidRPr="002305C1" w:rsidRDefault="000429C8" w:rsidP="002305C1">
      <w:pPr>
        <w:keepNext/>
        <w:keepLines/>
        <w:spacing w:after="360" w:line="240" w:lineRule="auto"/>
        <w:jc w:val="both"/>
        <w:outlineLvl w:val="2"/>
        <w:rPr>
          <w:b/>
          <w:color w:val="000000" w:themeColor="text1"/>
          <w:lang w:val="pl-PL"/>
        </w:rPr>
      </w:pPr>
      <w:bookmarkStart w:id="9" w:name="_Toc439346290"/>
      <w:r w:rsidRPr="002305C1">
        <w:rPr>
          <w:b/>
          <w:color w:val="000000" w:themeColor="text1"/>
          <w:lang w:val="pl-PL"/>
        </w:rPr>
        <w:t xml:space="preserve">- nakazanie </w:t>
      </w:r>
      <w:r w:rsidR="004D4D79" w:rsidRPr="002305C1">
        <w:rPr>
          <w:b/>
          <w:color w:val="000000" w:themeColor="text1"/>
          <w:lang w:val="pl-PL"/>
        </w:rPr>
        <w:t xml:space="preserve">na podstawie art. 46 Konwencji </w:t>
      </w:r>
      <w:r w:rsidRPr="002305C1">
        <w:rPr>
          <w:b/>
          <w:color w:val="000000" w:themeColor="text1"/>
          <w:lang w:val="pl-PL"/>
        </w:rPr>
        <w:t xml:space="preserve">(moc obowiązująca </w:t>
      </w:r>
      <w:r w:rsidR="003F7C66">
        <w:rPr>
          <w:b/>
          <w:color w:val="000000" w:themeColor="text1"/>
          <w:lang w:val="pl-PL"/>
        </w:rPr>
        <w:t xml:space="preserve">oraz wykonanie </w:t>
      </w:r>
      <w:r w:rsidRPr="002305C1">
        <w:rPr>
          <w:b/>
          <w:color w:val="000000" w:themeColor="text1"/>
          <w:lang w:val="pl-PL"/>
        </w:rPr>
        <w:t>wyroków) wprowadzenia</w:t>
      </w:r>
      <w:r w:rsidR="004D4D79" w:rsidRPr="002305C1">
        <w:rPr>
          <w:b/>
          <w:color w:val="000000" w:themeColor="text1"/>
          <w:lang w:val="pl-PL"/>
        </w:rPr>
        <w:t xml:space="preserve"> środków </w:t>
      </w:r>
      <w:r w:rsidR="00B506CF">
        <w:rPr>
          <w:b/>
          <w:color w:val="000000" w:themeColor="text1"/>
          <w:lang w:val="pl-PL"/>
        </w:rPr>
        <w:t xml:space="preserve">odwoławczych dostosowanych do sytuacji </w:t>
      </w:r>
      <w:r w:rsidR="005B5AEA">
        <w:rPr>
          <w:b/>
          <w:color w:val="000000" w:themeColor="text1"/>
          <w:lang w:val="pl-PL"/>
        </w:rPr>
        <w:t xml:space="preserve">osadzonych </w:t>
      </w:r>
      <w:r w:rsidR="00B506CF">
        <w:rPr>
          <w:b/>
          <w:color w:val="000000" w:themeColor="text1"/>
          <w:lang w:val="pl-PL"/>
        </w:rPr>
        <w:t>podlegających transferom</w:t>
      </w:r>
      <w:r w:rsidR="004D4D79" w:rsidRPr="002305C1">
        <w:rPr>
          <w:b/>
          <w:color w:val="000000" w:themeColor="text1"/>
          <w:lang w:val="pl-PL"/>
        </w:rPr>
        <w:t xml:space="preserve"> miedzy jednostkami penitencjarnymi </w:t>
      </w:r>
      <w:r w:rsidRPr="002305C1">
        <w:rPr>
          <w:b/>
          <w:color w:val="000000" w:themeColor="text1"/>
          <w:lang w:val="pl-PL"/>
        </w:rPr>
        <w:t>oraz</w:t>
      </w:r>
      <w:r w:rsidR="004D4D79" w:rsidRPr="002305C1">
        <w:rPr>
          <w:b/>
          <w:color w:val="000000" w:themeColor="text1"/>
          <w:lang w:val="pl-PL"/>
        </w:rPr>
        <w:t xml:space="preserve"> </w:t>
      </w:r>
      <w:r w:rsidR="00B506CF">
        <w:rPr>
          <w:b/>
          <w:color w:val="000000" w:themeColor="text1"/>
          <w:lang w:val="pl-PL"/>
        </w:rPr>
        <w:t xml:space="preserve">środkom specjalnym </w:t>
      </w:r>
      <w:r w:rsidR="003226C6">
        <w:rPr>
          <w:b/>
          <w:color w:val="000000" w:themeColor="text1"/>
          <w:lang w:val="pl-PL"/>
        </w:rPr>
        <w:t>podobnym do nałożonych</w:t>
      </w:r>
      <w:r w:rsidR="004D4D79" w:rsidRPr="002305C1">
        <w:rPr>
          <w:b/>
          <w:color w:val="000000" w:themeColor="text1"/>
          <w:lang w:val="pl-PL"/>
        </w:rPr>
        <w:t xml:space="preserve"> na </w:t>
      </w:r>
      <w:r w:rsidRPr="002305C1">
        <w:rPr>
          <w:b/>
          <w:color w:val="000000" w:themeColor="text1"/>
          <w:lang w:val="pl-PL"/>
        </w:rPr>
        <w:t>s</w:t>
      </w:r>
      <w:r w:rsidR="00B01744">
        <w:rPr>
          <w:b/>
          <w:color w:val="000000" w:themeColor="text1"/>
          <w:lang w:val="pl-PL"/>
        </w:rPr>
        <w:t>karżącego</w:t>
      </w:r>
      <w:bookmarkEnd w:id="9"/>
    </w:p>
    <w:p w:rsidR="00B90321" w:rsidRPr="00B90321" w:rsidRDefault="00B90321" w:rsidP="00B90321">
      <w:pPr>
        <w:spacing w:after="120" w:line="240" w:lineRule="auto"/>
        <w:jc w:val="both"/>
        <w:rPr>
          <w:u w:val="single"/>
          <w:lang w:val="pl-PL"/>
        </w:rPr>
      </w:pPr>
      <w:r w:rsidRPr="00B90321">
        <w:rPr>
          <w:u w:val="single"/>
          <w:lang w:val="pl-PL"/>
        </w:rPr>
        <w:t>Stan faktyczny i zarzuty skarżąc</w:t>
      </w:r>
      <w:r w:rsidR="008212E1">
        <w:rPr>
          <w:u w:val="single"/>
          <w:lang w:val="pl-PL"/>
        </w:rPr>
        <w:t>ego</w:t>
      </w:r>
    </w:p>
    <w:p w:rsidR="004D4D79" w:rsidRPr="00B90321" w:rsidRDefault="004D4D79" w:rsidP="00B90321">
      <w:pPr>
        <w:spacing w:after="120" w:line="240" w:lineRule="auto"/>
        <w:jc w:val="both"/>
        <w:rPr>
          <w:lang w:val="pl-PL"/>
        </w:rPr>
      </w:pPr>
      <w:r w:rsidRPr="00B90321">
        <w:rPr>
          <w:lang w:val="pl-PL"/>
        </w:rPr>
        <w:t xml:space="preserve">Skarżącym w niniejszej sprawie był </w:t>
      </w:r>
      <w:proofErr w:type="spellStart"/>
      <w:r w:rsidRPr="00B90321">
        <w:rPr>
          <w:lang w:val="pl-PL"/>
        </w:rPr>
        <w:t>Farid</w:t>
      </w:r>
      <w:proofErr w:type="spellEnd"/>
      <w:r w:rsidRPr="00B90321">
        <w:rPr>
          <w:lang w:val="pl-PL"/>
        </w:rPr>
        <w:t xml:space="preserve"> </w:t>
      </w:r>
      <w:proofErr w:type="spellStart"/>
      <w:r w:rsidRPr="00B90321">
        <w:rPr>
          <w:lang w:val="pl-PL"/>
        </w:rPr>
        <w:t>Bamouhammad</w:t>
      </w:r>
      <w:proofErr w:type="spellEnd"/>
      <w:r w:rsidRPr="00B90321">
        <w:rPr>
          <w:lang w:val="pl-PL"/>
        </w:rPr>
        <w:t xml:space="preserve">, obywatel Francji zamieszkały w Belgii. </w:t>
      </w:r>
      <w:r w:rsidR="00B20784">
        <w:rPr>
          <w:lang w:val="pl-PL"/>
        </w:rPr>
        <w:t>Z</w:t>
      </w:r>
      <w:r w:rsidRPr="00B90321">
        <w:rPr>
          <w:lang w:val="pl-PL"/>
        </w:rPr>
        <w:t xml:space="preserve">ostał skazany w Belgii między innymi </w:t>
      </w:r>
      <w:r w:rsidR="00B02CEB">
        <w:rPr>
          <w:lang w:val="pl-PL"/>
        </w:rPr>
        <w:t xml:space="preserve">za </w:t>
      </w:r>
      <w:r w:rsidRPr="00B90321">
        <w:rPr>
          <w:lang w:val="pl-PL"/>
        </w:rPr>
        <w:t xml:space="preserve">zabójstwo, rabunek i wzięcie zakładnika. W trakcie pobytów poza zakładem karnym, związanych z zawieszeniem wykonania kary lub czasowym opuszczeniem </w:t>
      </w:r>
      <w:r w:rsidRPr="00B90321">
        <w:rPr>
          <w:lang w:val="pl-PL"/>
        </w:rPr>
        <w:lastRenderedPageBreak/>
        <w:t>zakładu karnego, popełniał kolejne przestępstwa takie jak wzięcie zakładników lub spowodowanie uszczerbku na zdrowiu funkcjonariusza policji.</w:t>
      </w:r>
    </w:p>
    <w:p w:rsidR="004D4D79" w:rsidRPr="00B90321" w:rsidRDefault="004D4D79" w:rsidP="00B90321">
      <w:pPr>
        <w:spacing w:after="120" w:line="240" w:lineRule="auto"/>
        <w:jc w:val="both"/>
        <w:rPr>
          <w:lang w:val="pl-PL"/>
        </w:rPr>
      </w:pPr>
      <w:r w:rsidRPr="00B90321">
        <w:rPr>
          <w:lang w:val="pl-PL"/>
        </w:rPr>
        <w:t xml:space="preserve">W 2007 r. w wyniku przeprowadzonego badania psychiatra stwierdził, że skarżący cierpi na zespół </w:t>
      </w:r>
      <w:proofErr w:type="spellStart"/>
      <w:r w:rsidRPr="00B90321">
        <w:rPr>
          <w:lang w:val="pl-PL"/>
        </w:rPr>
        <w:t>Gansera</w:t>
      </w:r>
      <w:proofErr w:type="spellEnd"/>
      <w:r w:rsidR="001A3BE2">
        <w:rPr>
          <w:lang w:val="pl-PL"/>
        </w:rPr>
        <w:t>,</w:t>
      </w:r>
      <w:r w:rsidRPr="00B90321">
        <w:rPr>
          <w:lang w:val="pl-PL"/>
        </w:rPr>
        <w:t xml:space="preserve"> tzw. psychozę więzienną (otępienie rzekome, zespół przybliżonych odpowiedzi – zaburzenie reaktywne, zaliczane do grupy zespołów sytuacyjnych na pograniczu psychozy i symulacji; często występujące u osób pozbawionych wolności). Diagnoza ta nigdy nie była kwestionowana ani zmieniona przez innych psychiatrów ani specjalistów, którzy również badali skarżącego. Ze względu na stosowanie wobec </w:t>
      </w:r>
      <w:r w:rsidR="00B02CEB">
        <w:rPr>
          <w:lang w:val="pl-PL"/>
        </w:rPr>
        <w:t>s</w:t>
      </w:r>
      <w:r w:rsidRPr="00B90321">
        <w:rPr>
          <w:lang w:val="pl-PL"/>
        </w:rPr>
        <w:t>karżącego specjalnych środków nadzoru, jego stan zdrowia ulegał ciągłemu pogorszeniu, co potwierdził raport specjalistyczny sporządzony w 2010 r.</w:t>
      </w:r>
    </w:p>
    <w:p w:rsidR="004D4D79" w:rsidRPr="00B90321" w:rsidRDefault="004D4D79" w:rsidP="00B90321">
      <w:pPr>
        <w:spacing w:after="120" w:line="240" w:lineRule="auto"/>
        <w:jc w:val="both"/>
        <w:rPr>
          <w:lang w:val="pl-PL"/>
        </w:rPr>
      </w:pPr>
      <w:r w:rsidRPr="00B90321">
        <w:rPr>
          <w:lang w:val="pl-PL"/>
        </w:rPr>
        <w:t xml:space="preserve">Od stycznia 2006 r. do listopada 2014 r. </w:t>
      </w:r>
      <w:r w:rsidR="00B02CEB">
        <w:rPr>
          <w:lang w:val="pl-PL"/>
        </w:rPr>
        <w:t xml:space="preserve">skarżący </w:t>
      </w:r>
      <w:r w:rsidRPr="00B90321">
        <w:rPr>
          <w:lang w:val="pl-PL"/>
        </w:rPr>
        <w:t>był przenoszony około 40 razy z jednej jednostki penitencjarnej do drugiej. Transfery więźnia przedzielone były okresami nie dłuższymi niż 2 miesiące.</w:t>
      </w:r>
    </w:p>
    <w:p w:rsidR="004D4D79" w:rsidRPr="00B90321" w:rsidRDefault="004D4D79" w:rsidP="00B90321">
      <w:pPr>
        <w:spacing w:after="120" w:line="240" w:lineRule="auto"/>
        <w:jc w:val="both"/>
        <w:rPr>
          <w:lang w:val="pl-PL"/>
        </w:rPr>
      </w:pPr>
      <w:r w:rsidRPr="00B90321">
        <w:rPr>
          <w:lang w:val="pl-PL"/>
        </w:rPr>
        <w:t xml:space="preserve">Podczas pobytu w więzieniu w </w:t>
      </w:r>
      <w:proofErr w:type="spellStart"/>
      <w:r w:rsidRPr="00B90321">
        <w:rPr>
          <w:lang w:val="pl-PL"/>
        </w:rPr>
        <w:t>Ittre</w:t>
      </w:r>
      <w:proofErr w:type="spellEnd"/>
      <w:r w:rsidRPr="00B90321">
        <w:rPr>
          <w:lang w:val="pl-PL"/>
        </w:rPr>
        <w:t xml:space="preserve"> pomiędzy 6 a 16 grudnia 2007 r., w związku z agresywnym zachowaniem skarżącego </w:t>
      </w:r>
      <w:r w:rsidR="001A3BE2">
        <w:rPr>
          <w:lang w:val="pl-PL"/>
        </w:rPr>
        <w:t>wobec odmowy</w:t>
      </w:r>
      <w:r w:rsidRPr="00B90321">
        <w:rPr>
          <w:lang w:val="pl-PL"/>
        </w:rPr>
        <w:t xml:space="preserve"> dostarczenia </w:t>
      </w:r>
      <w:r w:rsidR="001A3BE2">
        <w:rPr>
          <w:lang w:val="pl-PL"/>
        </w:rPr>
        <w:t xml:space="preserve">mu </w:t>
      </w:r>
      <w:r w:rsidRPr="00B90321">
        <w:rPr>
          <w:lang w:val="pl-PL"/>
        </w:rPr>
        <w:t>tytoniu przez służby więzienne, zastosowano wobec niego środek polegający na przywiązaniu za nadgarstki i kostki. 16 grudnia</w:t>
      </w:r>
      <w:r w:rsidRPr="00B90321">
        <w:rPr>
          <w:lang w:val="pl-PL"/>
        </w:rPr>
        <w:br/>
        <w:t xml:space="preserve">2007 r. skarżący został przeniesiony do więzienia </w:t>
      </w:r>
      <w:proofErr w:type="spellStart"/>
      <w:r w:rsidRPr="00B90321">
        <w:rPr>
          <w:lang w:val="pl-PL"/>
        </w:rPr>
        <w:t>Lantin</w:t>
      </w:r>
      <w:proofErr w:type="spellEnd"/>
      <w:r w:rsidR="001A3BE2">
        <w:rPr>
          <w:lang w:val="pl-PL"/>
        </w:rPr>
        <w:t>,</w:t>
      </w:r>
      <w:r w:rsidRPr="00B90321">
        <w:rPr>
          <w:lang w:val="pl-PL"/>
        </w:rPr>
        <w:t xml:space="preserve"> gdzie został umieszczony w bloku o najwyższym rygorze (blok U). W trakcie pobytu w </w:t>
      </w:r>
      <w:proofErr w:type="spellStart"/>
      <w:r w:rsidRPr="00B90321">
        <w:rPr>
          <w:lang w:val="pl-PL"/>
        </w:rPr>
        <w:t>Lantin</w:t>
      </w:r>
      <w:proofErr w:type="spellEnd"/>
      <w:r w:rsidRPr="00B90321">
        <w:rPr>
          <w:lang w:val="pl-PL"/>
        </w:rPr>
        <w:t xml:space="preserve"> stosowano wobec niego takie środki jak umieszczanie na określony czas w izolatce, zakładanie kajdanek każdorazowo przy opuszczaniu celi i rewizje osobiste. Skarżący był jedynym więźniem umieszczonym w bloku U.</w:t>
      </w:r>
      <w:r w:rsidR="003B59F6">
        <w:rPr>
          <w:lang w:val="pl-PL"/>
        </w:rPr>
        <w:t xml:space="preserve"> </w:t>
      </w:r>
      <w:r w:rsidRPr="00B90321">
        <w:rPr>
          <w:lang w:val="pl-PL"/>
        </w:rPr>
        <w:t xml:space="preserve">Po opuszczeniu więzienia </w:t>
      </w:r>
      <w:proofErr w:type="spellStart"/>
      <w:r w:rsidRPr="00B90321">
        <w:rPr>
          <w:lang w:val="pl-PL"/>
        </w:rPr>
        <w:t>Lantin</w:t>
      </w:r>
      <w:proofErr w:type="spellEnd"/>
      <w:r w:rsidRPr="00B90321">
        <w:rPr>
          <w:lang w:val="pl-PL"/>
        </w:rPr>
        <w:t xml:space="preserve"> w czerwcu 2008 r. aż do zwolnienia w 2014 r. skarżący w każdym kolejnym więzieniu poddawany był specjalnemu indywidualnemu reżimow</w:t>
      </w:r>
      <w:r w:rsidR="003B59F6">
        <w:rPr>
          <w:lang w:val="pl-PL"/>
        </w:rPr>
        <w:t>i</w:t>
      </w:r>
      <w:r w:rsidRPr="00B90321">
        <w:rPr>
          <w:lang w:val="pl-PL"/>
        </w:rPr>
        <w:t xml:space="preserve"> bezpieczeństwa ze względu na swoje agresywne zachowanie. Reżim ten obejmował pobyt w odosobnieniu i/lub systematyczne rewizje.</w:t>
      </w:r>
    </w:p>
    <w:p w:rsidR="00732417" w:rsidRDefault="004D4D79" w:rsidP="00B90321">
      <w:pPr>
        <w:spacing w:after="120" w:line="240" w:lineRule="auto"/>
        <w:jc w:val="both"/>
        <w:rPr>
          <w:lang w:val="pl-PL"/>
        </w:rPr>
      </w:pPr>
      <w:r w:rsidRPr="00B90321">
        <w:rPr>
          <w:lang w:val="pl-PL"/>
        </w:rPr>
        <w:t xml:space="preserve">Pomiędzy grudniem 2007 r. a styczniem 2009 r. </w:t>
      </w:r>
      <w:r w:rsidR="00B02CEB">
        <w:rPr>
          <w:lang w:val="pl-PL"/>
        </w:rPr>
        <w:t>skarżący</w:t>
      </w:r>
      <w:r w:rsidRPr="00B90321">
        <w:rPr>
          <w:lang w:val="pl-PL"/>
        </w:rPr>
        <w:t xml:space="preserve"> wielokrotnie skarżył się </w:t>
      </w:r>
      <w:r w:rsidRPr="00B90321">
        <w:rPr>
          <w:lang w:val="pl-PL"/>
        </w:rPr>
        <w:br/>
        <w:t xml:space="preserve">na warunki </w:t>
      </w:r>
      <w:r w:rsidR="00B02CEB">
        <w:rPr>
          <w:lang w:val="pl-PL"/>
        </w:rPr>
        <w:t xml:space="preserve">zatrzymania </w:t>
      </w:r>
      <w:r w:rsidRPr="00B90321">
        <w:rPr>
          <w:lang w:val="pl-PL"/>
        </w:rPr>
        <w:t xml:space="preserve">i wnosił o umożliwienie spotkania z psychoterapeutą. </w:t>
      </w:r>
      <w:r w:rsidR="00CC6F77">
        <w:rPr>
          <w:lang w:val="pl-PL"/>
        </w:rPr>
        <w:t>S</w:t>
      </w:r>
      <w:r w:rsidR="00B02CEB">
        <w:rPr>
          <w:lang w:val="pl-PL"/>
        </w:rPr>
        <w:t xml:space="preserve">ądy </w:t>
      </w:r>
      <w:r w:rsidR="00CC6F77">
        <w:rPr>
          <w:lang w:val="pl-PL"/>
        </w:rPr>
        <w:t xml:space="preserve">krajowe </w:t>
      </w:r>
      <w:r w:rsidR="00B02CEB">
        <w:rPr>
          <w:lang w:val="pl-PL"/>
        </w:rPr>
        <w:t xml:space="preserve">odmówiły, </w:t>
      </w:r>
      <w:r w:rsidRPr="00B90321">
        <w:rPr>
          <w:lang w:val="pl-PL"/>
        </w:rPr>
        <w:t xml:space="preserve">wskazując, że podjęte wobec niego środki były środkami bezpieczeństwa usprawiedliwionymi jego agresywnym zachowaniem. </w:t>
      </w:r>
    </w:p>
    <w:p w:rsidR="004D4D79" w:rsidRPr="00B90321" w:rsidRDefault="004D4D79" w:rsidP="00B90321">
      <w:pPr>
        <w:spacing w:after="120" w:line="240" w:lineRule="auto"/>
        <w:jc w:val="both"/>
        <w:rPr>
          <w:lang w:val="pl-PL"/>
        </w:rPr>
      </w:pPr>
      <w:r w:rsidRPr="00B90321">
        <w:rPr>
          <w:lang w:val="pl-PL"/>
        </w:rPr>
        <w:t xml:space="preserve">Po rozpoczęciu </w:t>
      </w:r>
      <w:r w:rsidR="003B59F6">
        <w:rPr>
          <w:lang w:val="pl-PL"/>
        </w:rPr>
        <w:t>siódmego</w:t>
      </w:r>
      <w:r w:rsidRPr="00B90321">
        <w:rPr>
          <w:lang w:val="pl-PL"/>
        </w:rPr>
        <w:t xml:space="preserve"> tygodnia strajku głodowego </w:t>
      </w:r>
      <w:r w:rsidR="00732417">
        <w:rPr>
          <w:lang w:val="pl-PL"/>
        </w:rPr>
        <w:t>s</w:t>
      </w:r>
      <w:r w:rsidR="00B02CEB">
        <w:rPr>
          <w:lang w:val="pl-PL"/>
        </w:rPr>
        <w:t>karżący</w:t>
      </w:r>
      <w:r w:rsidRPr="00B90321">
        <w:rPr>
          <w:lang w:val="pl-PL"/>
        </w:rPr>
        <w:t xml:space="preserve"> wniósł skargę do Trybunału, który zobowiązał rząd Belgii do podjęcia wszelkich niezbędnych środków, aby zapewnić </w:t>
      </w:r>
      <w:r w:rsidR="00B02CEB">
        <w:rPr>
          <w:lang w:val="pl-PL"/>
        </w:rPr>
        <w:t>s</w:t>
      </w:r>
      <w:r w:rsidRPr="00B90321">
        <w:rPr>
          <w:lang w:val="pl-PL"/>
        </w:rPr>
        <w:t xml:space="preserve">karżącemu warunki zgodne z Konwencją. W dniu 29 listopada 2014 r. </w:t>
      </w:r>
      <w:r w:rsidR="00B02CEB">
        <w:rPr>
          <w:lang w:val="pl-PL"/>
        </w:rPr>
        <w:t>s</w:t>
      </w:r>
      <w:r w:rsidRPr="00B90321">
        <w:rPr>
          <w:lang w:val="pl-PL"/>
        </w:rPr>
        <w:t xml:space="preserve">karżący został przeniesiony do szpitala cywilnego w </w:t>
      </w:r>
      <w:proofErr w:type="spellStart"/>
      <w:r w:rsidRPr="00B90321">
        <w:rPr>
          <w:lang w:val="pl-PL"/>
        </w:rPr>
        <w:t>Liège</w:t>
      </w:r>
      <w:proofErr w:type="spellEnd"/>
      <w:r w:rsidRPr="00B90321">
        <w:rPr>
          <w:lang w:val="pl-PL"/>
        </w:rPr>
        <w:t>.</w:t>
      </w:r>
      <w:r w:rsidR="003B59F6">
        <w:rPr>
          <w:lang w:val="pl-PL"/>
        </w:rPr>
        <w:t xml:space="preserve"> </w:t>
      </w:r>
      <w:r w:rsidRPr="00B90321">
        <w:rPr>
          <w:lang w:val="pl-PL"/>
        </w:rPr>
        <w:t>W październiku 2014 r. skarżący złożył wniosek o eutanazję.</w:t>
      </w:r>
      <w:r w:rsidR="003B59F6">
        <w:rPr>
          <w:lang w:val="pl-PL"/>
        </w:rPr>
        <w:t xml:space="preserve"> </w:t>
      </w:r>
      <w:r w:rsidRPr="00B90321">
        <w:rPr>
          <w:lang w:val="pl-PL"/>
        </w:rPr>
        <w:t xml:space="preserve">W dniu 10 kwietnia 2015 r. </w:t>
      </w:r>
      <w:r w:rsidR="00CC6F77">
        <w:rPr>
          <w:lang w:val="pl-PL"/>
        </w:rPr>
        <w:t xml:space="preserve">decyzją sądu </w:t>
      </w:r>
      <w:r w:rsidRPr="00B90321">
        <w:rPr>
          <w:lang w:val="pl-PL"/>
        </w:rPr>
        <w:t>skarżący został zwolniony na czasową przepustkę.</w:t>
      </w:r>
    </w:p>
    <w:p w:rsidR="00B90321" w:rsidRPr="004D4D79" w:rsidRDefault="00B90321" w:rsidP="00B90321">
      <w:pPr>
        <w:spacing w:after="120" w:line="240" w:lineRule="auto"/>
        <w:jc w:val="both"/>
        <w:rPr>
          <w:u w:val="single"/>
          <w:lang w:val="pl-PL"/>
        </w:rPr>
      </w:pPr>
      <w:r w:rsidRPr="004D4D79">
        <w:rPr>
          <w:u w:val="single"/>
          <w:lang w:val="pl-PL"/>
        </w:rPr>
        <w:t>Ocena Trybunału</w:t>
      </w:r>
    </w:p>
    <w:p w:rsidR="004D4D79" w:rsidRPr="00B90321" w:rsidRDefault="004D4D79" w:rsidP="00B90321">
      <w:pPr>
        <w:spacing w:after="120" w:line="240" w:lineRule="auto"/>
        <w:jc w:val="both"/>
        <w:rPr>
          <w:lang w:val="pl-PL"/>
        </w:rPr>
      </w:pPr>
      <w:r w:rsidRPr="00B90321">
        <w:rPr>
          <w:lang w:val="pl-PL"/>
        </w:rPr>
        <w:t xml:space="preserve">Trybunał przypomniał, że art. 3 Konwencji </w:t>
      </w:r>
      <w:r w:rsidR="005E1FE7">
        <w:rPr>
          <w:lang w:val="pl-PL"/>
        </w:rPr>
        <w:t>dotyczy</w:t>
      </w:r>
      <w:r w:rsidR="00C21A42">
        <w:rPr>
          <w:lang w:val="pl-PL"/>
        </w:rPr>
        <w:t xml:space="preserve"> jednej</w:t>
      </w:r>
      <w:r w:rsidRPr="00B90321">
        <w:rPr>
          <w:lang w:val="pl-PL"/>
        </w:rPr>
        <w:t xml:space="preserve"> z podstawowych wartości państwa demokratycznego - zabrania w sposób absolutny nieludzkiego lub poniżającego traktowania albo karania, niezależnie od okoliczności lub zachowania danej osoby.</w:t>
      </w:r>
    </w:p>
    <w:p w:rsidR="004D4D79" w:rsidRDefault="00715241" w:rsidP="00B90321">
      <w:pPr>
        <w:spacing w:after="120" w:line="240" w:lineRule="auto"/>
        <w:jc w:val="both"/>
        <w:rPr>
          <w:lang w:val="pl-PL"/>
        </w:rPr>
      </w:pPr>
      <w:r>
        <w:rPr>
          <w:lang w:val="pl-PL"/>
        </w:rPr>
        <w:t xml:space="preserve">Choć </w:t>
      </w:r>
      <w:r w:rsidR="00C21A42">
        <w:rPr>
          <w:lang w:val="pl-PL"/>
        </w:rPr>
        <w:t>transfer</w:t>
      </w:r>
      <w:r>
        <w:rPr>
          <w:lang w:val="pl-PL"/>
        </w:rPr>
        <w:t xml:space="preserve"> osadzonego do innego zakładu karnego może być </w:t>
      </w:r>
      <w:r w:rsidR="00F04249">
        <w:rPr>
          <w:lang w:val="pl-PL"/>
        </w:rPr>
        <w:t>konieczn</w:t>
      </w:r>
      <w:r w:rsidR="00C21A42">
        <w:rPr>
          <w:lang w:val="pl-PL"/>
        </w:rPr>
        <w:t>y</w:t>
      </w:r>
      <w:r w:rsidR="00F04249">
        <w:rPr>
          <w:lang w:val="pl-PL"/>
        </w:rPr>
        <w:t xml:space="preserve"> ze względów bezpieczeństwa lub </w:t>
      </w:r>
      <w:r w:rsidR="008344DF">
        <w:rPr>
          <w:lang w:val="pl-PL"/>
        </w:rPr>
        <w:t xml:space="preserve">dla </w:t>
      </w:r>
      <w:r w:rsidR="00CC6F77">
        <w:rPr>
          <w:lang w:val="pl-PL"/>
        </w:rPr>
        <w:t xml:space="preserve">przeciwdziałania </w:t>
      </w:r>
      <w:r w:rsidR="00F04249" w:rsidRPr="008344DF">
        <w:rPr>
          <w:lang w:val="pl-PL"/>
        </w:rPr>
        <w:t xml:space="preserve">ryzyku </w:t>
      </w:r>
      <w:r w:rsidR="00F15C22" w:rsidRPr="008344DF">
        <w:rPr>
          <w:lang w:val="pl-PL"/>
        </w:rPr>
        <w:t>ucieczki</w:t>
      </w:r>
      <w:r w:rsidR="00F04249" w:rsidRPr="008344DF">
        <w:rPr>
          <w:lang w:val="pl-PL"/>
        </w:rPr>
        <w:t>,</w:t>
      </w:r>
      <w:r w:rsidR="00F04249">
        <w:rPr>
          <w:lang w:val="pl-PL"/>
        </w:rPr>
        <w:t xml:space="preserve"> to jednak w </w:t>
      </w:r>
      <w:r w:rsidR="000D1906">
        <w:rPr>
          <w:lang w:val="pl-PL"/>
        </w:rPr>
        <w:t xml:space="preserve">obecnej </w:t>
      </w:r>
      <w:r w:rsidR="00F04249">
        <w:rPr>
          <w:lang w:val="pl-PL"/>
        </w:rPr>
        <w:t>sprawie konkretne</w:t>
      </w:r>
      <w:r w:rsidR="00C21A42">
        <w:rPr>
          <w:lang w:val="pl-PL"/>
        </w:rPr>
        <w:t xml:space="preserve"> względy</w:t>
      </w:r>
      <w:r w:rsidR="00F04249">
        <w:rPr>
          <w:lang w:val="pl-PL"/>
        </w:rPr>
        <w:t xml:space="preserve"> bezpieczeństwa </w:t>
      </w:r>
      <w:r w:rsidR="000D1906">
        <w:rPr>
          <w:lang w:val="pl-PL"/>
        </w:rPr>
        <w:t xml:space="preserve">związane z niebezpiecznym zachowaniem skarżącego </w:t>
      </w:r>
      <w:r w:rsidR="00F04249">
        <w:rPr>
          <w:lang w:val="pl-PL"/>
        </w:rPr>
        <w:t xml:space="preserve">zachodziły w odniesieniu do </w:t>
      </w:r>
      <w:r w:rsidR="008344DF">
        <w:rPr>
          <w:lang w:val="pl-PL"/>
        </w:rPr>
        <w:t xml:space="preserve">co najwyżej </w:t>
      </w:r>
      <w:r w:rsidR="00F04249">
        <w:rPr>
          <w:lang w:val="pl-PL"/>
        </w:rPr>
        <w:t>kilku transferów</w:t>
      </w:r>
      <w:r w:rsidR="00CC6F77">
        <w:rPr>
          <w:lang w:val="pl-PL"/>
        </w:rPr>
        <w:t>.</w:t>
      </w:r>
      <w:r w:rsidR="00F04249">
        <w:rPr>
          <w:lang w:val="pl-PL"/>
        </w:rPr>
        <w:t xml:space="preserve"> </w:t>
      </w:r>
      <w:r w:rsidR="00CC6F77">
        <w:rPr>
          <w:lang w:val="pl-PL"/>
        </w:rPr>
        <w:t>W</w:t>
      </w:r>
      <w:r w:rsidR="00F04249">
        <w:rPr>
          <w:lang w:val="pl-PL"/>
        </w:rPr>
        <w:t xml:space="preserve">  </w:t>
      </w:r>
      <w:r w:rsidR="00F04249" w:rsidRPr="000D1906">
        <w:rPr>
          <w:lang w:val="pl-PL"/>
        </w:rPr>
        <w:t xml:space="preserve">większości </w:t>
      </w:r>
      <w:r w:rsidR="00F15C22" w:rsidRPr="000D1906">
        <w:rPr>
          <w:lang w:val="pl-PL"/>
        </w:rPr>
        <w:t xml:space="preserve">przypadków </w:t>
      </w:r>
      <w:r w:rsidR="00F04249" w:rsidRPr="000D1906">
        <w:rPr>
          <w:lang w:val="pl-PL"/>
        </w:rPr>
        <w:t xml:space="preserve">można było mówić </w:t>
      </w:r>
      <w:r w:rsidR="00F15C22" w:rsidRPr="000D1906">
        <w:rPr>
          <w:lang w:val="pl-PL"/>
        </w:rPr>
        <w:t xml:space="preserve">raczej </w:t>
      </w:r>
      <w:r w:rsidR="00F04249" w:rsidRPr="000D1906">
        <w:rPr>
          <w:lang w:val="pl-PL"/>
        </w:rPr>
        <w:t xml:space="preserve">o przyjęciu </w:t>
      </w:r>
      <w:r w:rsidR="000D1906" w:rsidRPr="000D1906">
        <w:rPr>
          <w:lang w:val="pl-PL"/>
        </w:rPr>
        <w:t xml:space="preserve">z góry </w:t>
      </w:r>
      <w:r w:rsidR="008344DF" w:rsidRPr="000D1906">
        <w:rPr>
          <w:lang w:val="pl-PL"/>
        </w:rPr>
        <w:t>negatywne</w:t>
      </w:r>
      <w:r w:rsidR="003911CE">
        <w:rPr>
          <w:lang w:val="pl-PL"/>
        </w:rPr>
        <w:t xml:space="preserve">go założenia wobec </w:t>
      </w:r>
      <w:r w:rsidR="00F15C22" w:rsidRPr="000D1906">
        <w:rPr>
          <w:lang w:val="pl-PL"/>
        </w:rPr>
        <w:t>skarżącego.</w:t>
      </w:r>
      <w:r w:rsidR="00F15C22">
        <w:rPr>
          <w:lang w:val="pl-PL"/>
        </w:rPr>
        <w:t xml:space="preserve"> </w:t>
      </w:r>
      <w:r w:rsidR="004D4D79" w:rsidRPr="00B90321">
        <w:rPr>
          <w:lang w:val="pl-PL"/>
        </w:rPr>
        <w:t>W ocenie</w:t>
      </w:r>
      <w:r w:rsidR="00660203">
        <w:rPr>
          <w:lang w:val="pl-PL"/>
        </w:rPr>
        <w:t xml:space="preserve"> </w:t>
      </w:r>
      <w:r w:rsidR="004D4D79" w:rsidRPr="00B90321">
        <w:rPr>
          <w:lang w:val="pl-PL"/>
        </w:rPr>
        <w:t xml:space="preserve">Trybunału </w:t>
      </w:r>
      <w:r w:rsidR="00F15C22">
        <w:rPr>
          <w:lang w:val="pl-PL"/>
        </w:rPr>
        <w:t xml:space="preserve">nie wykazano, by względy </w:t>
      </w:r>
      <w:r w:rsidR="004D4D79" w:rsidRPr="00B90321">
        <w:rPr>
          <w:lang w:val="pl-PL"/>
        </w:rPr>
        <w:t>bezpieczeństwa były powod</w:t>
      </w:r>
      <w:r w:rsidR="003911CE">
        <w:rPr>
          <w:lang w:val="pl-PL"/>
        </w:rPr>
        <w:t>em uzasadniającym</w:t>
      </w:r>
      <w:r w:rsidR="004D4D79" w:rsidRPr="00B90321">
        <w:rPr>
          <w:lang w:val="pl-PL"/>
        </w:rPr>
        <w:t xml:space="preserve"> </w:t>
      </w:r>
      <w:r w:rsidR="000D1906">
        <w:rPr>
          <w:lang w:val="pl-PL"/>
        </w:rPr>
        <w:t xml:space="preserve">aż </w:t>
      </w:r>
      <w:r w:rsidR="004D4D79" w:rsidRPr="00B90321">
        <w:rPr>
          <w:lang w:val="pl-PL"/>
        </w:rPr>
        <w:t xml:space="preserve">43 transfery </w:t>
      </w:r>
      <w:r w:rsidR="00BC6C90">
        <w:rPr>
          <w:lang w:val="pl-PL"/>
        </w:rPr>
        <w:t>s</w:t>
      </w:r>
      <w:r w:rsidR="004D4D79" w:rsidRPr="00B90321">
        <w:rPr>
          <w:lang w:val="pl-PL"/>
        </w:rPr>
        <w:t xml:space="preserve">karżącego pomiędzy zakładami karnymi w okresie 6 lat. </w:t>
      </w:r>
      <w:r w:rsidR="000D1906">
        <w:rPr>
          <w:lang w:val="pl-PL"/>
        </w:rPr>
        <w:t>Pon</w:t>
      </w:r>
      <w:r w:rsidR="004D4D79" w:rsidRPr="00B90321">
        <w:rPr>
          <w:lang w:val="pl-PL"/>
        </w:rPr>
        <w:t xml:space="preserve">adto, wyniki badań psychologicznych potwierdzały, że przeniesienia te miały negatywny wpływ na stan psychiczny </w:t>
      </w:r>
      <w:r w:rsidR="00BC6C90">
        <w:rPr>
          <w:lang w:val="pl-PL"/>
        </w:rPr>
        <w:t>s</w:t>
      </w:r>
      <w:r w:rsidR="004D4D79" w:rsidRPr="00B90321">
        <w:rPr>
          <w:lang w:val="pl-PL"/>
        </w:rPr>
        <w:t>karżącego</w:t>
      </w:r>
      <w:r w:rsidR="00F15C22">
        <w:rPr>
          <w:lang w:val="pl-PL"/>
        </w:rPr>
        <w:t>. W efekcie</w:t>
      </w:r>
      <w:r w:rsidR="004D4D79" w:rsidRPr="00B90321">
        <w:rPr>
          <w:lang w:val="pl-PL"/>
        </w:rPr>
        <w:t xml:space="preserve"> Trybunał uznał, że nie została zachowana właściwa równowaga między niezbędnymi środkami bezpieczeństwa a obowiązkiem zapewnienia</w:t>
      </w:r>
      <w:r w:rsidR="00F15C22">
        <w:rPr>
          <w:lang w:val="pl-PL"/>
        </w:rPr>
        <w:t xml:space="preserve"> osadzonemu</w:t>
      </w:r>
      <w:r w:rsidR="004D4D79" w:rsidRPr="00B90321">
        <w:rPr>
          <w:lang w:val="pl-PL"/>
        </w:rPr>
        <w:t xml:space="preserve"> </w:t>
      </w:r>
      <w:r w:rsidR="00F15C22">
        <w:rPr>
          <w:lang w:val="pl-PL"/>
        </w:rPr>
        <w:t>humanitarnych warunków zatrzymania</w:t>
      </w:r>
      <w:r w:rsidR="004D4D79" w:rsidRPr="00B90321">
        <w:rPr>
          <w:lang w:val="pl-PL"/>
        </w:rPr>
        <w:t xml:space="preserve">. </w:t>
      </w:r>
    </w:p>
    <w:p w:rsidR="004A401A" w:rsidRPr="00B90321" w:rsidRDefault="004A401A" w:rsidP="00B90321">
      <w:pPr>
        <w:spacing w:after="120" w:line="240" w:lineRule="auto"/>
        <w:jc w:val="both"/>
        <w:rPr>
          <w:lang w:val="pl-PL"/>
        </w:rPr>
      </w:pPr>
      <w:r>
        <w:rPr>
          <w:lang w:val="pl-PL"/>
        </w:rPr>
        <w:t xml:space="preserve">Trybunał odnotował również długotrwałe stosowanie izolacji skarżącego, a także innych szczególnych środków bezpieczeństwa, </w:t>
      </w:r>
      <w:r w:rsidR="000D1906">
        <w:rPr>
          <w:lang w:val="pl-PL"/>
        </w:rPr>
        <w:t>a także</w:t>
      </w:r>
      <w:r>
        <w:rPr>
          <w:lang w:val="pl-PL"/>
        </w:rPr>
        <w:t xml:space="preserve">, że postanowienia sądów w sprawie przedłużenia zastosowania reżimu </w:t>
      </w:r>
      <w:r w:rsidR="00CC6F77">
        <w:rPr>
          <w:lang w:val="pl-PL"/>
        </w:rPr>
        <w:t xml:space="preserve">specjalnego </w:t>
      </w:r>
      <w:r>
        <w:rPr>
          <w:lang w:val="pl-PL"/>
        </w:rPr>
        <w:t xml:space="preserve">formułowane były w sposób ogólnikowy i powtarzalny </w:t>
      </w:r>
      <w:r w:rsidR="000D1906">
        <w:rPr>
          <w:lang w:val="pl-PL"/>
        </w:rPr>
        <w:t>(</w:t>
      </w:r>
      <w:r>
        <w:rPr>
          <w:lang w:val="pl-PL"/>
        </w:rPr>
        <w:t>wbrew wymogowi, by im dłużej utrzymywany był reżim specjalny, tym uzasadnieni</w:t>
      </w:r>
      <w:r w:rsidR="00D4670A">
        <w:rPr>
          <w:lang w:val="pl-PL"/>
        </w:rPr>
        <w:t>e</w:t>
      </w:r>
      <w:r>
        <w:rPr>
          <w:lang w:val="pl-PL"/>
        </w:rPr>
        <w:t xml:space="preserve"> jego przedłużenia było bardziej wnikliwe i </w:t>
      </w:r>
      <w:r w:rsidR="00D4670A">
        <w:rPr>
          <w:lang w:val="pl-PL"/>
        </w:rPr>
        <w:lastRenderedPageBreak/>
        <w:t>oparte</w:t>
      </w:r>
      <w:r>
        <w:rPr>
          <w:lang w:val="pl-PL"/>
        </w:rPr>
        <w:t xml:space="preserve"> o indywidualne okoliczności sprawy w</w:t>
      </w:r>
      <w:r w:rsidR="00CC6F77">
        <w:rPr>
          <w:lang w:val="pl-PL"/>
        </w:rPr>
        <w:t>s</w:t>
      </w:r>
      <w:r>
        <w:rPr>
          <w:lang w:val="pl-PL"/>
        </w:rPr>
        <w:t xml:space="preserve">kazujące </w:t>
      </w:r>
      <w:r w:rsidR="00CC6F77">
        <w:rPr>
          <w:lang w:val="pl-PL"/>
        </w:rPr>
        <w:t xml:space="preserve">na </w:t>
      </w:r>
      <w:r>
        <w:rPr>
          <w:lang w:val="pl-PL"/>
        </w:rPr>
        <w:t>stan zagrożenia ze strony skarżącego</w:t>
      </w:r>
      <w:r w:rsidR="000D1906">
        <w:rPr>
          <w:lang w:val="pl-PL"/>
        </w:rPr>
        <w:t>)</w:t>
      </w:r>
      <w:r>
        <w:rPr>
          <w:lang w:val="pl-PL"/>
        </w:rPr>
        <w:t xml:space="preserve">. </w:t>
      </w:r>
      <w:r w:rsidR="00235F4A">
        <w:rPr>
          <w:lang w:val="pl-PL"/>
        </w:rPr>
        <w:t xml:space="preserve">Raporty lekarskie wskazywały negatywny wpływ na stan zdrowia skarżącego stosowanych środków. </w:t>
      </w:r>
    </w:p>
    <w:p w:rsidR="00AF6E89" w:rsidRPr="00ED784A" w:rsidRDefault="004D4D79" w:rsidP="00AF6E89">
      <w:pPr>
        <w:spacing w:after="120" w:line="240" w:lineRule="auto"/>
        <w:jc w:val="both"/>
        <w:rPr>
          <w:lang w:val="pl-PL"/>
        </w:rPr>
      </w:pPr>
      <w:r w:rsidRPr="00B90321">
        <w:rPr>
          <w:lang w:val="pl-PL"/>
        </w:rPr>
        <w:t xml:space="preserve">Potrzeba zapewnienia skarżącemu stałego </w:t>
      </w:r>
      <w:r w:rsidR="00BC6C90" w:rsidRPr="00B90321">
        <w:rPr>
          <w:lang w:val="pl-PL"/>
        </w:rPr>
        <w:t xml:space="preserve">nadzoru </w:t>
      </w:r>
      <w:r w:rsidRPr="00B90321">
        <w:rPr>
          <w:lang w:val="pl-PL"/>
        </w:rPr>
        <w:t xml:space="preserve">psychologicznego była podkreślana </w:t>
      </w:r>
      <w:r w:rsidRPr="00B90321">
        <w:rPr>
          <w:lang w:val="pl-PL"/>
        </w:rPr>
        <w:br/>
        <w:t>we wszystkich raportach</w:t>
      </w:r>
      <w:r w:rsidR="00BC6C90" w:rsidRPr="00BC6C90">
        <w:rPr>
          <w:lang w:val="pl-PL"/>
        </w:rPr>
        <w:t xml:space="preserve"> </w:t>
      </w:r>
      <w:r w:rsidR="00BC6C90" w:rsidRPr="00B90321">
        <w:rPr>
          <w:lang w:val="pl-PL"/>
        </w:rPr>
        <w:t>medycznych</w:t>
      </w:r>
      <w:r w:rsidR="00AF6E89">
        <w:rPr>
          <w:lang w:val="pl-PL"/>
        </w:rPr>
        <w:t xml:space="preserve"> od 2007 r.</w:t>
      </w:r>
      <w:r w:rsidR="000D1906">
        <w:rPr>
          <w:lang w:val="pl-PL"/>
        </w:rPr>
        <w:t>,</w:t>
      </w:r>
      <w:r w:rsidR="00AF6E89">
        <w:rPr>
          <w:lang w:val="pl-PL"/>
        </w:rPr>
        <w:t xml:space="preserve"> </w:t>
      </w:r>
      <w:r w:rsidR="000D1906">
        <w:rPr>
          <w:lang w:val="pl-PL"/>
        </w:rPr>
        <w:t>j</w:t>
      </w:r>
      <w:r w:rsidRPr="00B90321">
        <w:rPr>
          <w:lang w:val="pl-PL"/>
        </w:rPr>
        <w:t>ednakże, jego liczne transfery uniemożliwiły taki nadzór</w:t>
      </w:r>
      <w:r w:rsidR="00AF6E89">
        <w:rPr>
          <w:lang w:val="pl-PL"/>
        </w:rPr>
        <w:t xml:space="preserve"> i dopiero w 2012 r. wprowadzono system zapewniający ciągłość nadzoru lekarskiego między jednym a drugim zakładem</w:t>
      </w:r>
      <w:r w:rsidRPr="00B90321">
        <w:rPr>
          <w:lang w:val="pl-PL"/>
        </w:rPr>
        <w:t xml:space="preserve">. </w:t>
      </w:r>
      <w:r w:rsidR="000D1906">
        <w:rPr>
          <w:lang w:val="pl-PL"/>
        </w:rPr>
        <w:t xml:space="preserve">Z </w:t>
      </w:r>
      <w:r w:rsidR="00AF6E89" w:rsidRPr="00AF6E89">
        <w:rPr>
          <w:lang w:val="pl-PL"/>
        </w:rPr>
        <w:t>opóźnienia w zapewnieniu odpowiedniego leczenia Trybunał wyciągnął wniosek, że władze więzienne nie wzięły wys</w:t>
      </w:r>
      <w:r w:rsidR="000D1906">
        <w:rPr>
          <w:lang w:val="pl-PL"/>
        </w:rPr>
        <w:t>tarczająco pod uwagę wrażliwej sytuacji</w:t>
      </w:r>
      <w:r w:rsidR="00AF6E89" w:rsidRPr="00AF6E89">
        <w:rPr>
          <w:lang w:val="pl-PL"/>
        </w:rPr>
        <w:t xml:space="preserve"> ska</w:t>
      </w:r>
      <w:r w:rsidR="000D1906">
        <w:rPr>
          <w:lang w:val="pl-PL"/>
        </w:rPr>
        <w:t>rżącego ani też nie zbadały jej</w:t>
      </w:r>
      <w:r w:rsidR="00AF6E89" w:rsidRPr="00AF6E89">
        <w:rPr>
          <w:lang w:val="pl-PL"/>
        </w:rPr>
        <w:t xml:space="preserve"> pod względem humanitarnym.</w:t>
      </w:r>
    </w:p>
    <w:p w:rsidR="004D4D79" w:rsidRPr="00B90321" w:rsidRDefault="004D4D79" w:rsidP="00B90321">
      <w:pPr>
        <w:spacing w:after="120" w:line="240" w:lineRule="auto"/>
        <w:jc w:val="both"/>
        <w:rPr>
          <w:lang w:val="pl-PL"/>
        </w:rPr>
      </w:pPr>
      <w:r w:rsidRPr="00B90321">
        <w:rPr>
          <w:lang w:val="pl-PL"/>
        </w:rPr>
        <w:t>Nadto, z raportów specjalistów wynikało, że pozbawienie wolności skarżącego</w:t>
      </w:r>
      <w:r w:rsidR="00F30410">
        <w:rPr>
          <w:lang w:val="pl-PL"/>
        </w:rPr>
        <w:t>, trwające od 1984 r.,</w:t>
      </w:r>
      <w:r w:rsidRPr="00B90321">
        <w:rPr>
          <w:lang w:val="pl-PL"/>
        </w:rPr>
        <w:t xml:space="preserve"> </w:t>
      </w:r>
      <w:r w:rsidR="003911CE">
        <w:rPr>
          <w:lang w:val="pl-PL"/>
        </w:rPr>
        <w:t xml:space="preserve">przestało </w:t>
      </w:r>
      <w:r w:rsidRPr="00B90321">
        <w:rPr>
          <w:lang w:val="pl-PL"/>
        </w:rPr>
        <w:t xml:space="preserve">już </w:t>
      </w:r>
      <w:r w:rsidR="003911CE">
        <w:rPr>
          <w:lang w:val="pl-PL"/>
        </w:rPr>
        <w:t>spełniać słuszne cele</w:t>
      </w:r>
      <w:r w:rsidRPr="00B90321">
        <w:rPr>
          <w:lang w:val="pl-PL"/>
        </w:rPr>
        <w:t xml:space="preserve"> i można rozważyć alternatywne sposoby nadzoru. Pomimo </w:t>
      </w:r>
      <w:r w:rsidR="00BC6C90">
        <w:rPr>
          <w:lang w:val="pl-PL"/>
        </w:rPr>
        <w:t>tych</w:t>
      </w:r>
      <w:r w:rsidRPr="00B90321">
        <w:rPr>
          <w:lang w:val="pl-PL"/>
        </w:rPr>
        <w:t xml:space="preserve"> raportów oraz pogarszającego się stanu zdrowia skarżącego, władze więzienne nieustannie odmawiały zwolnienia więźnia lub udzielenia mu przepustki.</w:t>
      </w:r>
    </w:p>
    <w:p w:rsidR="00D3162C" w:rsidRPr="00865A26" w:rsidRDefault="00D3162C" w:rsidP="00D3162C">
      <w:pPr>
        <w:spacing w:after="120" w:line="240" w:lineRule="auto"/>
        <w:jc w:val="both"/>
        <w:rPr>
          <w:lang w:val="pl-PL"/>
        </w:rPr>
      </w:pPr>
      <w:r>
        <w:rPr>
          <w:lang w:val="pl-PL"/>
        </w:rPr>
        <w:t xml:space="preserve">Trybunał uznał, że </w:t>
      </w:r>
      <w:r w:rsidRPr="00865A26">
        <w:rPr>
          <w:lang w:val="pl-PL"/>
        </w:rPr>
        <w:t xml:space="preserve">sposób wykonania kary pozbawienia wolności skarżącego, który został poddany </w:t>
      </w:r>
      <w:r>
        <w:rPr>
          <w:lang w:val="pl-PL"/>
        </w:rPr>
        <w:t xml:space="preserve">powtarzającym się transferom między zakładami karnymi oraz środkom </w:t>
      </w:r>
      <w:r w:rsidR="00C624E8">
        <w:rPr>
          <w:lang w:val="pl-PL"/>
        </w:rPr>
        <w:t xml:space="preserve">nadzwyczajnym </w:t>
      </w:r>
      <w:r>
        <w:rPr>
          <w:lang w:val="pl-PL"/>
        </w:rPr>
        <w:t xml:space="preserve">w połączeniu z opóźnieniem </w:t>
      </w:r>
      <w:r w:rsidR="003911CE">
        <w:rPr>
          <w:lang w:val="pl-PL"/>
        </w:rPr>
        <w:t>we wdrożeniu</w:t>
      </w:r>
      <w:r>
        <w:rPr>
          <w:lang w:val="pl-PL"/>
        </w:rPr>
        <w:t xml:space="preserve"> terapii medycznej i odmową rozważenia najmniejszej zmiany sposobu wykonania kary pomimo pogarszającego się stanu zdrowia skarżącego, przekroczył poziom nieuniknionego cierpienia związanego z pozbawieniem wolności</w:t>
      </w:r>
      <w:r w:rsidR="00C624E8">
        <w:rPr>
          <w:lang w:val="pl-PL"/>
        </w:rPr>
        <w:t>,</w:t>
      </w:r>
      <w:r>
        <w:rPr>
          <w:lang w:val="pl-PL"/>
        </w:rPr>
        <w:t xml:space="preserve"> doszło </w:t>
      </w:r>
      <w:r w:rsidR="00C624E8">
        <w:rPr>
          <w:lang w:val="pl-PL"/>
        </w:rPr>
        <w:t xml:space="preserve">zatem </w:t>
      </w:r>
      <w:r>
        <w:rPr>
          <w:lang w:val="pl-PL"/>
        </w:rPr>
        <w:t>do poni</w:t>
      </w:r>
      <w:r w:rsidR="00C624E8">
        <w:rPr>
          <w:lang w:val="pl-PL"/>
        </w:rPr>
        <w:t>żającego traktowania skarżącego z naruszeniem</w:t>
      </w:r>
      <w:r>
        <w:rPr>
          <w:lang w:val="pl-PL"/>
        </w:rPr>
        <w:t xml:space="preserve"> art. 3 Konwencji. </w:t>
      </w:r>
    </w:p>
    <w:p w:rsidR="004D4D79" w:rsidRDefault="00C624E8" w:rsidP="00B90321">
      <w:pPr>
        <w:spacing w:after="120" w:line="240" w:lineRule="auto"/>
        <w:jc w:val="both"/>
        <w:rPr>
          <w:lang w:val="pl-PL"/>
        </w:rPr>
      </w:pPr>
      <w:r>
        <w:rPr>
          <w:lang w:val="pl-PL"/>
        </w:rPr>
        <w:t>Ponadto, z</w:t>
      </w:r>
      <w:r w:rsidR="004D4D79" w:rsidRPr="00B90321">
        <w:rPr>
          <w:lang w:val="pl-PL"/>
        </w:rPr>
        <w:t xml:space="preserve">e względu na nieustanne transfery miedzy jednostkami penitencjarnymi </w:t>
      </w:r>
      <w:r w:rsidR="00A37A30">
        <w:rPr>
          <w:lang w:val="pl-PL"/>
        </w:rPr>
        <w:t xml:space="preserve">(okoliczności stworzone przez władze) </w:t>
      </w:r>
      <w:r>
        <w:rPr>
          <w:lang w:val="pl-PL"/>
        </w:rPr>
        <w:t xml:space="preserve">skarżący </w:t>
      </w:r>
      <w:r w:rsidR="004D4D79" w:rsidRPr="00B90321">
        <w:rPr>
          <w:lang w:val="pl-PL"/>
        </w:rPr>
        <w:t xml:space="preserve">nie miał </w:t>
      </w:r>
      <w:r w:rsidR="00A37A30">
        <w:rPr>
          <w:lang w:val="pl-PL"/>
        </w:rPr>
        <w:t xml:space="preserve">realistycznych </w:t>
      </w:r>
      <w:r w:rsidR="004D4D79" w:rsidRPr="00B90321">
        <w:rPr>
          <w:lang w:val="pl-PL"/>
        </w:rPr>
        <w:t xml:space="preserve">możliwości </w:t>
      </w:r>
      <w:r w:rsidR="00A37A30">
        <w:rPr>
          <w:lang w:val="pl-PL"/>
        </w:rPr>
        <w:t>wykorzystania</w:t>
      </w:r>
      <w:r w:rsidR="004D4D79" w:rsidRPr="00B90321">
        <w:rPr>
          <w:lang w:val="pl-PL"/>
        </w:rPr>
        <w:t xml:space="preserve"> przysługujących mu </w:t>
      </w:r>
      <w:r w:rsidR="00CE54CA">
        <w:rPr>
          <w:lang w:val="pl-PL"/>
        </w:rPr>
        <w:t>środków ochrony</w:t>
      </w:r>
      <w:r w:rsidR="00A37A30">
        <w:rPr>
          <w:lang w:val="pl-PL"/>
        </w:rPr>
        <w:t xml:space="preserve"> praw</w:t>
      </w:r>
      <w:r w:rsidR="004D4D79" w:rsidRPr="00B90321">
        <w:rPr>
          <w:lang w:val="pl-PL"/>
        </w:rPr>
        <w:t xml:space="preserve">. Składane przez </w:t>
      </w:r>
      <w:r>
        <w:rPr>
          <w:lang w:val="pl-PL"/>
        </w:rPr>
        <w:t xml:space="preserve">niego </w:t>
      </w:r>
      <w:r w:rsidR="00192699">
        <w:rPr>
          <w:lang w:val="pl-PL"/>
        </w:rPr>
        <w:t>wnioski w sprawie zaprzestania stosowania środków</w:t>
      </w:r>
      <w:r w:rsidR="004D4D79" w:rsidRPr="00B90321">
        <w:rPr>
          <w:lang w:val="pl-PL"/>
        </w:rPr>
        <w:t xml:space="preserve"> </w:t>
      </w:r>
      <w:r w:rsidR="003911CE">
        <w:rPr>
          <w:lang w:val="pl-PL"/>
        </w:rPr>
        <w:t xml:space="preserve">nadzwyczajnych w poprzednim więzieniu </w:t>
      </w:r>
      <w:r w:rsidR="00CE54CA">
        <w:rPr>
          <w:lang w:val="pl-PL"/>
        </w:rPr>
        <w:t xml:space="preserve">stawały się </w:t>
      </w:r>
      <w:r w:rsidR="004D4D79" w:rsidRPr="00B90321">
        <w:rPr>
          <w:lang w:val="pl-PL"/>
        </w:rPr>
        <w:t xml:space="preserve">bezprzedmiotowe, </w:t>
      </w:r>
      <w:r w:rsidR="00B01744">
        <w:rPr>
          <w:lang w:val="pl-PL"/>
        </w:rPr>
        <w:t xml:space="preserve">bądź niemożliwe </w:t>
      </w:r>
      <w:r w:rsidR="00CE54CA">
        <w:rPr>
          <w:lang w:val="pl-PL"/>
        </w:rPr>
        <w:t>było</w:t>
      </w:r>
      <w:r w:rsidR="003911CE">
        <w:rPr>
          <w:lang w:val="pl-PL"/>
        </w:rPr>
        <w:t xml:space="preserve"> </w:t>
      </w:r>
      <w:r w:rsidR="00B01744">
        <w:rPr>
          <w:lang w:val="pl-PL"/>
        </w:rPr>
        <w:t xml:space="preserve">powołanie </w:t>
      </w:r>
      <w:r w:rsidR="00CE54CA">
        <w:rPr>
          <w:lang w:val="pl-PL"/>
        </w:rPr>
        <w:t xml:space="preserve">się </w:t>
      </w:r>
      <w:r w:rsidR="003911CE">
        <w:rPr>
          <w:lang w:val="pl-PL"/>
        </w:rPr>
        <w:t>na pilność sprawy uzasadniającą</w:t>
      </w:r>
      <w:r w:rsidR="00B01744">
        <w:rPr>
          <w:lang w:val="pl-PL"/>
        </w:rPr>
        <w:t xml:space="preserve"> jurysdykcję sędziego rozpatrującego pilne wnioski</w:t>
      </w:r>
      <w:r w:rsidR="004D4D79" w:rsidRPr="00B90321">
        <w:rPr>
          <w:lang w:val="pl-PL"/>
        </w:rPr>
        <w:t xml:space="preserve">. Trybunał uznał, że </w:t>
      </w:r>
      <w:r w:rsidR="00192699">
        <w:rPr>
          <w:lang w:val="pl-PL"/>
        </w:rPr>
        <w:t xml:space="preserve">doszło do naruszenia prawa </w:t>
      </w:r>
      <w:r w:rsidR="004D4D79" w:rsidRPr="00B90321">
        <w:rPr>
          <w:lang w:val="pl-PL"/>
        </w:rPr>
        <w:t xml:space="preserve">do skutecznego środka odwoławczego </w:t>
      </w:r>
      <w:r w:rsidR="00B01744">
        <w:rPr>
          <w:lang w:val="pl-PL"/>
        </w:rPr>
        <w:t xml:space="preserve">w rozumieniu </w:t>
      </w:r>
      <w:r w:rsidR="00192699">
        <w:rPr>
          <w:lang w:val="pl-PL"/>
        </w:rPr>
        <w:t xml:space="preserve">art. </w:t>
      </w:r>
      <w:r w:rsidR="004D4D79" w:rsidRPr="00B90321">
        <w:rPr>
          <w:lang w:val="pl-PL"/>
        </w:rPr>
        <w:t>13 Konwencji</w:t>
      </w:r>
      <w:r w:rsidR="004F1DC6">
        <w:rPr>
          <w:lang w:val="pl-PL"/>
        </w:rPr>
        <w:t xml:space="preserve"> w </w:t>
      </w:r>
      <w:r w:rsidR="00B01744">
        <w:rPr>
          <w:lang w:val="pl-PL"/>
        </w:rPr>
        <w:t xml:space="preserve">celu </w:t>
      </w:r>
      <w:r w:rsidR="007925E4">
        <w:rPr>
          <w:lang w:val="pl-PL"/>
        </w:rPr>
        <w:t>dochodzenia</w:t>
      </w:r>
      <w:r w:rsidR="00B01744">
        <w:rPr>
          <w:lang w:val="pl-PL"/>
        </w:rPr>
        <w:t xml:space="preserve"> </w:t>
      </w:r>
      <w:r w:rsidR="007925E4">
        <w:rPr>
          <w:lang w:val="pl-PL"/>
        </w:rPr>
        <w:t>zarzutów</w:t>
      </w:r>
      <w:r w:rsidR="00B01744">
        <w:rPr>
          <w:lang w:val="pl-PL"/>
        </w:rPr>
        <w:t xml:space="preserve"> </w:t>
      </w:r>
      <w:r w:rsidR="00A37A30">
        <w:rPr>
          <w:lang w:val="pl-PL"/>
        </w:rPr>
        <w:t>naruszeni</w:t>
      </w:r>
      <w:r w:rsidR="007925E4">
        <w:rPr>
          <w:lang w:val="pl-PL"/>
        </w:rPr>
        <w:t>a</w:t>
      </w:r>
      <w:r w:rsidR="00B01744">
        <w:rPr>
          <w:lang w:val="pl-PL"/>
        </w:rPr>
        <w:t xml:space="preserve"> </w:t>
      </w:r>
      <w:r w:rsidR="004F1DC6">
        <w:rPr>
          <w:lang w:val="pl-PL"/>
        </w:rPr>
        <w:t>art. 3</w:t>
      </w:r>
      <w:r w:rsidR="004D4D79" w:rsidRPr="00B90321">
        <w:rPr>
          <w:lang w:val="pl-PL"/>
        </w:rPr>
        <w:t xml:space="preserve">. </w:t>
      </w:r>
    </w:p>
    <w:p w:rsidR="004D4D79" w:rsidRDefault="004D4D79" w:rsidP="000417B7">
      <w:pPr>
        <w:spacing w:after="120" w:line="240" w:lineRule="auto"/>
        <w:jc w:val="both"/>
        <w:rPr>
          <w:lang w:val="pl-PL"/>
        </w:rPr>
      </w:pPr>
      <w:r w:rsidRPr="00B90321">
        <w:rPr>
          <w:lang w:val="pl-PL"/>
        </w:rPr>
        <w:t xml:space="preserve">Trybunał </w:t>
      </w:r>
      <w:r w:rsidR="00E95F69">
        <w:rPr>
          <w:lang w:val="pl-PL"/>
        </w:rPr>
        <w:t xml:space="preserve">zdecydował </w:t>
      </w:r>
      <w:r w:rsidR="00C624E8">
        <w:rPr>
          <w:lang w:val="pl-PL"/>
        </w:rPr>
        <w:t xml:space="preserve">również </w:t>
      </w:r>
      <w:r w:rsidR="00E95F69">
        <w:rPr>
          <w:lang w:val="pl-PL"/>
        </w:rPr>
        <w:t>wskazać środki generalne wymagane na podstawie art. 46 Konwencji. P</w:t>
      </w:r>
      <w:r w:rsidR="00DD3BB7">
        <w:rPr>
          <w:lang w:val="pl-PL"/>
        </w:rPr>
        <w:t>rzypomniał</w:t>
      </w:r>
      <w:r w:rsidR="00E95F69">
        <w:rPr>
          <w:lang w:val="pl-PL"/>
        </w:rPr>
        <w:t xml:space="preserve">, że stwierdził naruszenie art. 13 Konwencji z uwagi na </w:t>
      </w:r>
      <w:r w:rsidR="00790C21">
        <w:rPr>
          <w:lang w:val="pl-PL"/>
        </w:rPr>
        <w:t xml:space="preserve">brak środka dostępnego </w:t>
      </w:r>
      <w:r w:rsidR="00C624E8">
        <w:rPr>
          <w:lang w:val="pl-PL"/>
        </w:rPr>
        <w:t>dla osadzonych</w:t>
      </w:r>
      <w:r w:rsidR="00790C21">
        <w:rPr>
          <w:lang w:val="pl-PL"/>
        </w:rPr>
        <w:t xml:space="preserve"> w celu szybkiego </w:t>
      </w:r>
      <w:r w:rsidR="00DD3BB7">
        <w:rPr>
          <w:lang w:val="pl-PL"/>
        </w:rPr>
        <w:t>zapobieżenia ciągłym transferom</w:t>
      </w:r>
      <w:r w:rsidR="00790C21">
        <w:rPr>
          <w:lang w:val="pl-PL"/>
        </w:rPr>
        <w:t xml:space="preserve"> między zakładami karnymi i stosowani</w:t>
      </w:r>
      <w:r w:rsidR="00DD3BB7">
        <w:rPr>
          <w:lang w:val="pl-PL"/>
        </w:rPr>
        <w:t>u</w:t>
      </w:r>
      <w:r w:rsidR="00790C21">
        <w:rPr>
          <w:lang w:val="pl-PL"/>
        </w:rPr>
        <w:t xml:space="preserve"> środków naruszających art. 3 Konwencji. </w:t>
      </w:r>
      <w:r w:rsidR="005A6E16">
        <w:rPr>
          <w:lang w:val="pl-PL"/>
        </w:rPr>
        <w:t>N</w:t>
      </w:r>
      <w:r w:rsidR="00790C21">
        <w:rPr>
          <w:lang w:val="pl-PL"/>
        </w:rPr>
        <w:t xml:space="preserve">akazał </w:t>
      </w:r>
      <w:r w:rsidR="005A6E16">
        <w:rPr>
          <w:lang w:val="pl-PL"/>
        </w:rPr>
        <w:t xml:space="preserve">pozwanemu państwu </w:t>
      </w:r>
      <w:r w:rsidRPr="00B90321">
        <w:rPr>
          <w:lang w:val="pl-PL"/>
        </w:rPr>
        <w:t>wprowadzenie środków</w:t>
      </w:r>
      <w:r w:rsidR="00D73D5E">
        <w:rPr>
          <w:lang w:val="pl-PL"/>
        </w:rPr>
        <w:t xml:space="preserve"> </w:t>
      </w:r>
      <w:r w:rsidR="00B506CF">
        <w:rPr>
          <w:lang w:val="pl-PL"/>
        </w:rPr>
        <w:t>odwoławczych d</w:t>
      </w:r>
      <w:r w:rsidR="00D73D5E">
        <w:rPr>
          <w:lang w:val="pl-PL"/>
        </w:rPr>
        <w:t xml:space="preserve">ostosowanych do sytuacji skarżących </w:t>
      </w:r>
      <w:r w:rsidR="00B01744">
        <w:rPr>
          <w:lang w:val="pl-PL"/>
        </w:rPr>
        <w:t>podlegających</w:t>
      </w:r>
      <w:r w:rsidR="00D73D5E">
        <w:rPr>
          <w:lang w:val="pl-PL"/>
        </w:rPr>
        <w:t xml:space="preserve"> trans</w:t>
      </w:r>
      <w:r w:rsidR="00B01744">
        <w:rPr>
          <w:lang w:val="pl-PL"/>
        </w:rPr>
        <w:t>ferom</w:t>
      </w:r>
      <w:r w:rsidR="00D73D5E">
        <w:rPr>
          <w:lang w:val="pl-PL"/>
        </w:rPr>
        <w:t xml:space="preserve"> między jednostkami penitencjarnymi i </w:t>
      </w:r>
      <w:r w:rsidR="00B01744">
        <w:rPr>
          <w:lang w:val="pl-PL"/>
        </w:rPr>
        <w:t>środkom specjalnym</w:t>
      </w:r>
      <w:r w:rsidRPr="00B90321">
        <w:rPr>
          <w:lang w:val="pl-PL"/>
        </w:rPr>
        <w:t xml:space="preserve"> </w:t>
      </w:r>
      <w:r w:rsidR="00B01744">
        <w:rPr>
          <w:lang w:val="pl-PL"/>
        </w:rPr>
        <w:t>podobnym</w:t>
      </w:r>
      <w:r w:rsidR="00474E79">
        <w:rPr>
          <w:lang w:val="pl-PL"/>
        </w:rPr>
        <w:t xml:space="preserve"> do nałożonych</w:t>
      </w:r>
      <w:r w:rsidRPr="00B90321">
        <w:rPr>
          <w:lang w:val="pl-PL"/>
        </w:rPr>
        <w:t xml:space="preserve"> na </w:t>
      </w:r>
      <w:r w:rsidR="00474E79">
        <w:rPr>
          <w:lang w:val="pl-PL"/>
        </w:rPr>
        <w:t>s</w:t>
      </w:r>
      <w:r w:rsidRPr="00B90321">
        <w:rPr>
          <w:lang w:val="pl-PL"/>
        </w:rPr>
        <w:t>karżącego.</w:t>
      </w:r>
    </w:p>
    <w:p w:rsidR="000C75AB" w:rsidRPr="00B90321" w:rsidRDefault="000C75AB" w:rsidP="000C75AB">
      <w:pPr>
        <w:spacing w:after="120" w:line="240" w:lineRule="auto"/>
        <w:jc w:val="both"/>
        <w:rPr>
          <w:lang w:val="pl-PL"/>
        </w:rPr>
      </w:pPr>
      <w:r w:rsidRPr="00B90321">
        <w:rPr>
          <w:lang w:val="pl-PL"/>
        </w:rPr>
        <w:t xml:space="preserve">Trybunał zobowiązał Belgię do zapłaty </w:t>
      </w:r>
      <w:r>
        <w:rPr>
          <w:lang w:val="pl-PL"/>
        </w:rPr>
        <w:t>s</w:t>
      </w:r>
      <w:r w:rsidRPr="00B90321">
        <w:rPr>
          <w:lang w:val="pl-PL"/>
        </w:rPr>
        <w:t>karżącemu kwoty 12</w:t>
      </w:r>
      <w:r>
        <w:rPr>
          <w:lang w:val="pl-PL"/>
        </w:rPr>
        <w:t>.</w:t>
      </w:r>
      <w:r w:rsidRPr="00B90321">
        <w:rPr>
          <w:lang w:val="pl-PL"/>
        </w:rPr>
        <w:t>000 euro tytułem szkody niemajątkowej i 30</w:t>
      </w:r>
      <w:r>
        <w:rPr>
          <w:lang w:val="pl-PL"/>
        </w:rPr>
        <w:t>.</w:t>
      </w:r>
      <w:r w:rsidRPr="00B90321">
        <w:rPr>
          <w:lang w:val="pl-PL"/>
        </w:rPr>
        <w:t>000 euro tytułem poniesionych kosztów i wydatków.</w:t>
      </w:r>
    </w:p>
    <w:p w:rsidR="00EE0CAF" w:rsidRDefault="000C3E8E" w:rsidP="000417B7">
      <w:pPr>
        <w:spacing w:after="120" w:line="240" w:lineRule="auto"/>
        <w:jc w:val="both"/>
        <w:rPr>
          <w:lang w:val="pl-PL"/>
        </w:rPr>
      </w:pPr>
      <w:r w:rsidRPr="000C3E8E">
        <w:rPr>
          <w:u w:val="single"/>
          <w:lang w:val="pl-PL"/>
        </w:rPr>
        <w:t>Znaczenie wyroku dla Polski</w:t>
      </w:r>
      <w:r>
        <w:rPr>
          <w:lang w:val="pl-PL"/>
        </w:rPr>
        <w:t xml:space="preserve">: </w:t>
      </w:r>
      <w:r w:rsidR="00C624E8">
        <w:rPr>
          <w:lang w:val="pl-PL"/>
        </w:rPr>
        <w:t>W</w:t>
      </w:r>
      <w:r w:rsidR="00C327C3">
        <w:rPr>
          <w:lang w:val="pl-PL"/>
        </w:rPr>
        <w:t xml:space="preserve">yrok należy przeanalizować w związku z problematyką traktowania tzw. więźniów niebezpiecznych (por. sprawy </w:t>
      </w:r>
      <w:proofErr w:type="spellStart"/>
      <w:r w:rsidR="00C327C3">
        <w:rPr>
          <w:lang w:val="pl-PL"/>
        </w:rPr>
        <w:t>Horych</w:t>
      </w:r>
      <w:proofErr w:type="spellEnd"/>
      <w:r w:rsidR="00C327C3">
        <w:rPr>
          <w:lang w:val="pl-PL"/>
        </w:rPr>
        <w:t xml:space="preserve"> p. Polsce i Piechowicz p. Polsce), a także więźniów wymagających nadzoru psychologicznego. Warto zwrócić uwagę na </w:t>
      </w:r>
      <w:r w:rsidR="00C624E8">
        <w:rPr>
          <w:lang w:val="pl-PL"/>
        </w:rPr>
        <w:t xml:space="preserve">obszernie </w:t>
      </w:r>
      <w:r w:rsidR="00C327C3">
        <w:rPr>
          <w:lang w:val="pl-PL"/>
        </w:rPr>
        <w:t>przytoczone w wyroku zasady ogólne dotyczące traktowania osadzonych z problemami zdrowotnymi (por. sprawy z grupy Kaprykowski</w:t>
      </w:r>
      <w:r w:rsidR="005A6E16">
        <w:rPr>
          <w:lang w:val="pl-PL"/>
        </w:rPr>
        <w:t xml:space="preserve"> p. Polsce</w:t>
      </w:r>
      <w:r w:rsidR="00C327C3">
        <w:rPr>
          <w:lang w:val="pl-PL"/>
        </w:rPr>
        <w:t xml:space="preserve">). </w:t>
      </w:r>
      <w:r w:rsidR="005A6E16">
        <w:rPr>
          <w:lang w:val="pl-PL"/>
        </w:rPr>
        <w:t>W</w:t>
      </w:r>
      <w:r w:rsidR="00B20784">
        <w:rPr>
          <w:lang w:val="pl-PL"/>
        </w:rPr>
        <w:t xml:space="preserve">yrok warto </w:t>
      </w:r>
      <w:r w:rsidR="005A6E16">
        <w:rPr>
          <w:lang w:val="pl-PL"/>
        </w:rPr>
        <w:t xml:space="preserve">też </w:t>
      </w:r>
      <w:r w:rsidR="00B20784">
        <w:rPr>
          <w:lang w:val="pl-PL"/>
        </w:rPr>
        <w:t>przeanalizować w odniesieniu do problematyki transferów osadzonych między zakładami penitencjarnymi</w:t>
      </w:r>
      <w:r w:rsidR="00C624E8">
        <w:rPr>
          <w:lang w:val="pl-PL"/>
        </w:rPr>
        <w:t xml:space="preserve"> </w:t>
      </w:r>
      <w:r w:rsidR="00172440">
        <w:rPr>
          <w:lang w:val="pl-PL"/>
        </w:rPr>
        <w:t>(wpływ częstych</w:t>
      </w:r>
      <w:r w:rsidR="00B20784">
        <w:rPr>
          <w:lang w:val="pl-PL"/>
        </w:rPr>
        <w:t xml:space="preserve"> transferów </w:t>
      </w:r>
      <w:r w:rsidR="00172440">
        <w:rPr>
          <w:lang w:val="pl-PL"/>
        </w:rPr>
        <w:t xml:space="preserve">zarówno </w:t>
      </w:r>
      <w:r w:rsidR="005A6E16">
        <w:rPr>
          <w:lang w:val="pl-PL"/>
        </w:rPr>
        <w:t xml:space="preserve">na </w:t>
      </w:r>
      <w:r w:rsidR="005B5AEA">
        <w:rPr>
          <w:lang w:val="pl-PL"/>
        </w:rPr>
        <w:t xml:space="preserve">zgodność zatrzymania z </w:t>
      </w:r>
      <w:r w:rsidR="00E458EB">
        <w:rPr>
          <w:lang w:val="pl-PL"/>
        </w:rPr>
        <w:t xml:space="preserve">wymogami </w:t>
      </w:r>
      <w:r w:rsidR="00C624E8">
        <w:rPr>
          <w:lang w:val="pl-PL"/>
        </w:rPr>
        <w:t>art. 3 Konwencji</w:t>
      </w:r>
      <w:r w:rsidR="0000365E">
        <w:rPr>
          <w:lang w:val="pl-PL"/>
        </w:rPr>
        <w:t xml:space="preserve"> (ewentualnie także art. 8)</w:t>
      </w:r>
      <w:r w:rsidR="00C624E8">
        <w:rPr>
          <w:lang w:val="pl-PL"/>
        </w:rPr>
        <w:t xml:space="preserve">, jak też </w:t>
      </w:r>
      <w:r w:rsidR="00B20784">
        <w:rPr>
          <w:lang w:val="pl-PL"/>
        </w:rPr>
        <w:t>na skuteczn</w:t>
      </w:r>
      <w:r w:rsidR="00671329">
        <w:rPr>
          <w:lang w:val="pl-PL"/>
        </w:rPr>
        <w:t>ość</w:t>
      </w:r>
      <w:r w:rsidR="00DE0D9B">
        <w:rPr>
          <w:lang w:val="pl-PL"/>
        </w:rPr>
        <w:t xml:space="preserve"> </w:t>
      </w:r>
      <w:r w:rsidR="00B20784">
        <w:rPr>
          <w:lang w:val="pl-PL"/>
        </w:rPr>
        <w:t>funkcjonowani</w:t>
      </w:r>
      <w:r w:rsidR="00D52566">
        <w:rPr>
          <w:lang w:val="pl-PL"/>
        </w:rPr>
        <w:t>a</w:t>
      </w:r>
      <w:r w:rsidR="00DD3BB7">
        <w:rPr>
          <w:lang w:val="pl-PL"/>
        </w:rPr>
        <w:t xml:space="preserve"> </w:t>
      </w:r>
      <w:r w:rsidR="00C327C3">
        <w:rPr>
          <w:lang w:val="pl-PL"/>
        </w:rPr>
        <w:t xml:space="preserve">środków </w:t>
      </w:r>
      <w:r w:rsidR="005B5AEA">
        <w:rPr>
          <w:lang w:val="pl-PL"/>
        </w:rPr>
        <w:t xml:space="preserve">odwoławczych </w:t>
      </w:r>
      <w:r w:rsidR="00C327C3">
        <w:rPr>
          <w:lang w:val="pl-PL"/>
        </w:rPr>
        <w:t>przewidzianych dla osadzonych</w:t>
      </w:r>
      <w:r w:rsidR="00172440">
        <w:rPr>
          <w:lang w:val="pl-PL"/>
        </w:rPr>
        <w:t>)</w:t>
      </w:r>
      <w:r w:rsidR="00B20784">
        <w:rPr>
          <w:lang w:val="pl-PL"/>
        </w:rPr>
        <w:t>.</w:t>
      </w:r>
    </w:p>
    <w:p w:rsidR="00953988" w:rsidRPr="00953988" w:rsidRDefault="00953988" w:rsidP="00953988">
      <w:pPr>
        <w:pStyle w:val="Nagwek2"/>
        <w:numPr>
          <w:ilvl w:val="0"/>
          <w:numId w:val="1"/>
        </w:numPr>
        <w:spacing w:before="480"/>
      </w:pPr>
      <w:bookmarkStart w:id="10" w:name="_Toc439346291"/>
      <w:proofErr w:type="spellStart"/>
      <w:r w:rsidRPr="00953988">
        <w:lastRenderedPageBreak/>
        <w:t>Regner</w:t>
      </w:r>
      <w:proofErr w:type="spellEnd"/>
      <w:r w:rsidRPr="00953988">
        <w:t xml:space="preserve"> p. Czechom (skarga nr 35289/11), wyrok Izby z 26.11.2015 r., nieostateczny</w:t>
      </w:r>
      <w:bookmarkEnd w:id="10"/>
    </w:p>
    <w:p w:rsidR="006F6061" w:rsidRPr="00495FE1" w:rsidRDefault="006F6061" w:rsidP="00495FE1">
      <w:pPr>
        <w:keepNext/>
        <w:keepLines/>
        <w:spacing w:after="360" w:line="240" w:lineRule="auto"/>
        <w:jc w:val="both"/>
        <w:outlineLvl w:val="2"/>
        <w:rPr>
          <w:b/>
          <w:color w:val="000000" w:themeColor="text1"/>
          <w:lang w:val="pl-PL"/>
        </w:rPr>
      </w:pPr>
      <w:bookmarkStart w:id="11" w:name="_Toc439346292"/>
      <w:r w:rsidRPr="00495FE1">
        <w:rPr>
          <w:b/>
          <w:color w:val="000000" w:themeColor="text1"/>
          <w:lang w:val="pl-PL"/>
        </w:rPr>
        <w:t xml:space="preserve">- </w:t>
      </w:r>
      <w:r w:rsidR="00256708" w:rsidRPr="00495FE1">
        <w:rPr>
          <w:b/>
          <w:color w:val="000000" w:themeColor="text1"/>
          <w:lang w:val="pl-PL"/>
        </w:rPr>
        <w:t xml:space="preserve">zastosowalność </w:t>
      </w:r>
      <w:r w:rsidRPr="00495FE1">
        <w:rPr>
          <w:b/>
          <w:color w:val="000000" w:themeColor="text1"/>
          <w:lang w:val="pl-PL"/>
        </w:rPr>
        <w:t xml:space="preserve">art. 6 ust. 1 Konwencji (prawo do rzetelnego procesu sądowego) </w:t>
      </w:r>
      <w:r w:rsidR="00256708" w:rsidRPr="00495FE1">
        <w:rPr>
          <w:b/>
          <w:color w:val="000000" w:themeColor="text1"/>
          <w:lang w:val="pl-PL"/>
        </w:rPr>
        <w:t xml:space="preserve">i brak naruszenia tego artykułu </w:t>
      </w:r>
      <w:r w:rsidRPr="00495FE1">
        <w:rPr>
          <w:b/>
          <w:color w:val="000000" w:themeColor="text1"/>
          <w:lang w:val="pl-PL"/>
        </w:rPr>
        <w:t xml:space="preserve">w odniesieniu do procedur sądowych, w których skarżącemu odmówiono dostępu do </w:t>
      </w:r>
      <w:r w:rsidRPr="004D582D">
        <w:rPr>
          <w:b/>
          <w:color w:val="000000" w:themeColor="text1"/>
          <w:lang w:val="pl-PL"/>
        </w:rPr>
        <w:t xml:space="preserve">poufnego </w:t>
      </w:r>
      <w:r w:rsidR="00D84FE8" w:rsidRPr="004D582D">
        <w:rPr>
          <w:b/>
          <w:color w:val="000000" w:themeColor="text1"/>
          <w:lang w:val="pl-PL"/>
        </w:rPr>
        <w:t>dokumentu</w:t>
      </w:r>
      <w:r w:rsidRPr="004D582D">
        <w:rPr>
          <w:b/>
          <w:color w:val="000000" w:themeColor="text1"/>
          <w:lang w:val="pl-PL"/>
        </w:rPr>
        <w:t xml:space="preserve"> </w:t>
      </w:r>
      <w:r w:rsidR="00D84FE8" w:rsidRPr="004D582D">
        <w:rPr>
          <w:b/>
          <w:color w:val="000000" w:themeColor="text1"/>
          <w:lang w:val="pl-PL"/>
        </w:rPr>
        <w:t xml:space="preserve">zawierającego informacje </w:t>
      </w:r>
      <w:r w:rsidR="00D84FE8">
        <w:rPr>
          <w:b/>
          <w:color w:val="000000" w:themeColor="text1"/>
          <w:lang w:val="pl-PL"/>
        </w:rPr>
        <w:t>będące</w:t>
      </w:r>
      <w:r w:rsidR="008E1DF1">
        <w:rPr>
          <w:b/>
          <w:color w:val="000000" w:themeColor="text1"/>
          <w:lang w:val="pl-PL"/>
        </w:rPr>
        <w:t xml:space="preserve"> podstawą</w:t>
      </w:r>
      <w:r w:rsidRPr="00495FE1">
        <w:rPr>
          <w:b/>
          <w:color w:val="000000" w:themeColor="text1"/>
          <w:lang w:val="pl-PL"/>
        </w:rPr>
        <w:t xml:space="preserve"> </w:t>
      </w:r>
      <w:r w:rsidR="008E1DF1">
        <w:rPr>
          <w:b/>
          <w:color w:val="000000" w:themeColor="text1"/>
          <w:lang w:val="pl-PL"/>
        </w:rPr>
        <w:t>unieważnienia</w:t>
      </w:r>
      <w:r w:rsidR="00256708" w:rsidRPr="00495FE1">
        <w:rPr>
          <w:b/>
          <w:color w:val="000000" w:themeColor="text1"/>
          <w:lang w:val="pl-PL"/>
        </w:rPr>
        <w:t xml:space="preserve"> poświadczenia bezpieczeństwa </w:t>
      </w:r>
      <w:r w:rsidR="00495FE1" w:rsidRPr="00495FE1">
        <w:rPr>
          <w:b/>
          <w:color w:val="000000" w:themeColor="text1"/>
          <w:lang w:val="pl-PL"/>
        </w:rPr>
        <w:t xml:space="preserve">skarżącego, </w:t>
      </w:r>
      <w:r w:rsidR="00256708" w:rsidRPr="00495FE1">
        <w:rPr>
          <w:b/>
          <w:color w:val="000000" w:themeColor="text1"/>
          <w:lang w:val="pl-PL"/>
        </w:rPr>
        <w:t>niezbędnego do pełnienia przez niego funkcji zastępcy wiceministra obrony</w:t>
      </w:r>
      <w:bookmarkEnd w:id="11"/>
    </w:p>
    <w:p w:rsidR="00D34E88" w:rsidRPr="00D34E88" w:rsidRDefault="00D34E88" w:rsidP="00953988">
      <w:pPr>
        <w:spacing w:after="120" w:line="240" w:lineRule="auto"/>
        <w:jc w:val="both"/>
        <w:rPr>
          <w:u w:val="single"/>
          <w:lang w:val="pl-PL"/>
        </w:rPr>
      </w:pPr>
      <w:r w:rsidRPr="00D34E88">
        <w:rPr>
          <w:u w:val="single"/>
          <w:lang w:val="pl-PL"/>
        </w:rPr>
        <w:t>Stan faktyczny i zarzuty skarżącego</w:t>
      </w:r>
    </w:p>
    <w:p w:rsidR="00953988" w:rsidRPr="00953988" w:rsidRDefault="00953988" w:rsidP="00953988">
      <w:pPr>
        <w:spacing w:after="120" w:line="240" w:lineRule="auto"/>
        <w:jc w:val="both"/>
        <w:rPr>
          <w:lang w:val="pl-PL"/>
        </w:rPr>
      </w:pPr>
      <w:r w:rsidRPr="00953988">
        <w:rPr>
          <w:lang w:val="pl-PL"/>
        </w:rPr>
        <w:t xml:space="preserve">Skarżący, Václav </w:t>
      </w:r>
      <w:proofErr w:type="spellStart"/>
      <w:r w:rsidRPr="00953988">
        <w:rPr>
          <w:lang w:val="pl-PL"/>
        </w:rPr>
        <w:t>Regner</w:t>
      </w:r>
      <w:proofErr w:type="spellEnd"/>
      <w:r w:rsidRPr="00953988">
        <w:rPr>
          <w:lang w:val="pl-PL"/>
        </w:rPr>
        <w:t xml:space="preserve">, jest obywatelem Czech.  Narodowa Agencja Bezpieczeństwa postanowiła </w:t>
      </w:r>
      <w:r w:rsidR="00400711">
        <w:rPr>
          <w:lang w:val="pl-PL"/>
        </w:rPr>
        <w:t>unieważnić</w:t>
      </w:r>
      <w:r w:rsidRPr="00953988">
        <w:rPr>
          <w:lang w:val="pl-PL"/>
        </w:rPr>
        <w:t xml:space="preserve"> </w:t>
      </w:r>
      <w:r w:rsidR="008E1DF1">
        <w:rPr>
          <w:lang w:val="pl-PL"/>
        </w:rPr>
        <w:t xml:space="preserve">– </w:t>
      </w:r>
      <w:r w:rsidRPr="00953988">
        <w:rPr>
          <w:lang w:val="pl-PL"/>
        </w:rPr>
        <w:t>z</w:t>
      </w:r>
      <w:r w:rsidR="008E1DF1">
        <w:rPr>
          <w:lang w:val="pl-PL"/>
        </w:rPr>
        <w:t>e względu na zagrożenie</w:t>
      </w:r>
      <w:r w:rsidRPr="00953988">
        <w:rPr>
          <w:lang w:val="pl-PL"/>
        </w:rPr>
        <w:t xml:space="preserve"> dla bezpieczeństwa narodowego </w:t>
      </w:r>
      <w:r w:rsidR="008E1DF1">
        <w:rPr>
          <w:lang w:val="pl-PL"/>
        </w:rPr>
        <w:t>– po</w:t>
      </w:r>
      <w:r w:rsidRPr="00953988">
        <w:rPr>
          <w:lang w:val="pl-PL"/>
        </w:rPr>
        <w:t>świadczenie bezpieczeństwa, które otrzymał skarżący w celu wykonywania obowiązków zastępc</w:t>
      </w:r>
      <w:r w:rsidR="00400711">
        <w:rPr>
          <w:lang w:val="pl-PL"/>
        </w:rPr>
        <w:t>y</w:t>
      </w:r>
      <w:r w:rsidRPr="00953988">
        <w:rPr>
          <w:lang w:val="pl-PL"/>
        </w:rPr>
        <w:t xml:space="preserve"> wiceministra obrony narodowej. W decyzji nie powołano jednak poufnych informacji, na podstawie których decyzja został podjęta. Informacja taka była klasyfikowana i nie mogła zostać ujawniona skarżącemu zgodnie z obowiązującym prawem. Po złożeniu odwołania przez skarżącego, Prezes Agencji potwierdził istnienie zagrożenia. Wniosek skarżącego o przeprowadzenie kontroli sądowej </w:t>
      </w:r>
      <w:r w:rsidRPr="00F06A10">
        <w:rPr>
          <w:lang w:val="pl-PL"/>
        </w:rPr>
        <w:t>został odrzucony przez sąd miasta Pragi, do którego Agencja przekazała przedmiotowe dokument</w:t>
      </w:r>
      <w:r w:rsidR="008E1DF1" w:rsidRPr="00F06A10">
        <w:rPr>
          <w:lang w:val="pl-PL"/>
        </w:rPr>
        <w:t>y</w:t>
      </w:r>
      <w:r w:rsidRPr="00F06A10">
        <w:rPr>
          <w:lang w:val="pl-PL"/>
        </w:rPr>
        <w:t>. Naczelny Sąd Administracyjny odrzucił apelację</w:t>
      </w:r>
      <w:r w:rsidRPr="00953988">
        <w:rPr>
          <w:lang w:val="pl-PL"/>
        </w:rPr>
        <w:t>, uznając, że ujawnienie informacji mogłoby skutkować ujawnieniem metod pracy służb wywiadowczych, ujawnieniem źródeł informacji lub podjęciem przez skarżącego próby wpłynięcia na potencjalnych świadków. Skarżący złożył skargę do Trybunału Konstytucyjnego, zarzucając, że postępowanie nie było sprawiedliwe. Trybunał Konstytucyjny oddalił skargę uznając, że nie zawsze jest możliwe zapewnienie wszystkich gwarancji proceduralnych sprawiedliwego procesu, jeśli wchodzi w grę poufna informacja dotycząca bezpieczeństwa narodowego.</w:t>
      </w:r>
    </w:p>
    <w:p w:rsidR="00953988" w:rsidRPr="00953988" w:rsidRDefault="00953988" w:rsidP="00953988">
      <w:pPr>
        <w:spacing w:after="120" w:line="240" w:lineRule="auto"/>
        <w:jc w:val="both"/>
        <w:rPr>
          <w:lang w:val="pl-PL"/>
        </w:rPr>
      </w:pPr>
      <w:r w:rsidRPr="00953988">
        <w:rPr>
          <w:lang w:val="pl-PL"/>
        </w:rPr>
        <w:t xml:space="preserve">Skarżący zarzucał przed Trybunałem naruszenie art. 6 ust. 1 Konwencji (prawo do rzetelnego procesu sądowego), twierdząc, że postępowanie </w:t>
      </w:r>
      <w:r w:rsidR="00F06A10">
        <w:rPr>
          <w:lang w:val="pl-PL"/>
        </w:rPr>
        <w:t xml:space="preserve">krajowe </w:t>
      </w:r>
      <w:r w:rsidRPr="00953988">
        <w:rPr>
          <w:lang w:val="pl-PL"/>
        </w:rPr>
        <w:t>było niesprawiedliwe, jako że nie miał dostępu do kluczowego</w:t>
      </w:r>
      <w:r w:rsidR="00F06A10">
        <w:rPr>
          <w:lang w:val="pl-PL"/>
        </w:rPr>
        <w:t>, utajnionego</w:t>
      </w:r>
      <w:r w:rsidRPr="00953988">
        <w:rPr>
          <w:lang w:val="pl-PL"/>
        </w:rPr>
        <w:t xml:space="preserve"> do</w:t>
      </w:r>
      <w:r w:rsidR="00D84FE8">
        <w:rPr>
          <w:lang w:val="pl-PL"/>
        </w:rPr>
        <w:t>kumentu</w:t>
      </w:r>
      <w:r w:rsidR="00F06A10">
        <w:rPr>
          <w:lang w:val="pl-PL"/>
        </w:rPr>
        <w:t>, który był</w:t>
      </w:r>
      <w:r w:rsidRPr="00953988">
        <w:rPr>
          <w:lang w:val="pl-PL"/>
        </w:rPr>
        <w:t xml:space="preserve"> </w:t>
      </w:r>
      <w:r w:rsidR="00F06A10">
        <w:rPr>
          <w:lang w:val="pl-PL"/>
        </w:rPr>
        <w:t>przedłożony</w:t>
      </w:r>
      <w:r w:rsidRPr="00953988">
        <w:rPr>
          <w:lang w:val="pl-PL"/>
        </w:rPr>
        <w:t xml:space="preserve"> sądom przez pozwanego. </w:t>
      </w:r>
    </w:p>
    <w:p w:rsidR="00953988" w:rsidRPr="00FB53EB" w:rsidRDefault="00953988" w:rsidP="00953988">
      <w:pPr>
        <w:spacing w:after="120" w:line="240" w:lineRule="auto"/>
        <w:jc w:val="both"/>
        <w:rPr>
          <w:u w:val="single"/>
          <w:lang w:val="pl-PL"/>
        </w:rPr>
      </w:pPr>
      <w:r w:rsidRPr="00FB53EB">
        <w:rPr>
          <w:u w:val="single"/>
          <w:lang w:val="pl-PL"/>
        </w:rPr>
        <w:t>Ocena Trybunału</w:t>
      </w:r>
    </w:p>
    <w:p w:rsidR="00953988" w:rsidRPr="00953988" w:rsidRDefault="00953988" w:rsidP="00953988">
      <w:pPr>
        <w:spacing w:after="120" w:line="240" w:lineRule="auto"/>
        <w:jc w:val="both"/>
        <w:rPr>
          <w:lang w:val="pl-PL"/>
        </w:rPr>
      </w:pPr>
      <w:r w:rsidRPr="00953988">
        <w:rPr>
          <w:lang w:val="pl-PL"/>
        </w:rPr>
        <w:t xml:space="preserve">Trybunał w pierwszej kolejności zbadał zarzut rządu </w:t>
      </w:r>
      <w:r w:rsidR="00150022">
        <w:rPr>
          <w:lang w:val="pl-PL"/>
        </w:rPr>
        <w:t>dotyczący</w:t>
      </w:r>
      <w:r w:rsidRPr="00953988">
        <w:rPr>
          <w:lang w:val="pl-PL"/>
        </w:rPr>
        <w:t xml:space="preserve"> braku zastosowania art. 6 ust. 1 Konwencji w obecnej sprawie. Rząd podnosił, że skarga nie dotyczy rozstrzygania o prawach lub obowiązkach skarżącego o charakterze cywilnym w rozumieniu art. 6 ust. 1.</w:t>
      </w:r>
    </w:p>
    <w:p w:rsidR="00953988" w:rsidRPr="00953988" w:rsidRDefault="00953988" w:rsidP="00953988">
      <w:pPr>
        <w:spacing w:after="120" w:line="240" w:lineRule="auto"/>
        <w:jc w:val="both"/>
        <w:rPr>
          <w:lang w:val="pl-PL"/>
        </w:rPr>
      </w:pPr>
      <w:r w:rsidRPr="00953988">
        <w:rPr>
          <w:lang w:val="pl-PL"/>
        </w:rPr>
        <w:t xml:space="preserve">Trybunał zauważył, że prawo czeskie </w:t>
      </w:r>
      <w:r w:rsidR="00DC59E4">
        <w:rPr>
          <w:lang w:val="pl-PL"/>
        </w:rPr>
        <w:t xml:space="preserve">przewidywało wobec </w:t>
      </w:r>
      <w:r w:rsidRPr="00953988">
        <w:rPr>
          <w:lang w:val="pl-PL"/>
        </w:rPr>
        <w:t xml:space="preserve">każdej osoby, której wydano </w:t>
      </w:r>
      <w:r w:rsidR="00A07A2A">
        <w:rPr>
          <w:lang w:val="pl-PL"/>
        </w:rPr>
        <w:t>po</w:t>
      </w:r>
      <w:r w:rsidRPr="00953988">
        <w:rPr>
          <w:lang w:val="pl-PL"/>
        </w:rPr>
        <w:t>świadczenie bezpieczeństwa</w:t>
      </w:r>
      <w:r w:rsidR="00A07A2A">
        <w:rPr>
          <w:lang w:val="pl-PL"/>
        </w:rPr>
        <w:t>,</w:t>
      </w:r>
      <w:r w:rsidRPr="00953988">
        <w:rPr>
          <w:lang w:val="pl-PL"/>
        </w:rPr>
        <w:t xml:space="preserve"> szczególne prawo, na mocy którego mo</w:t>
      </w:r>
      <w:r w:rsidR="00A90E4F">
        <w:rPr>
          <w:lang w:val="pl-PL"/>
        </w:rPr>
        <w:t>gła</w:t>
      </w:r>
      <w:r w:rsidRPr="00953988">
        <w:rPr>
          <w:lang w:val="pl-PL"/>
        </w:rPr>
        <w:t xml:space="preserve"> ona doprowadzić do kontroli, czy </w:t>
      </w:r>
      <w:r w:rsidR="00A90E4F">
        <w:rPr>
          <w:lang w:val="pl-PL"/>
        </w:rPr>
        <w:t xml:space="preserve">unieważnienie </w:t>
      </w:r>
      <w:r w:rsidRPr="00953988">
        <w:rPr>
          <w:lang w:val="pl-PL"/>
        </w:rPr>
        <w:t xml:space="preserve">tego </w:t>
      </w:r>
      <w:r w:rsidR="00A90E4F">
        <w:rPr>
          <w:lang w:val="pl-PL"/>
        </w:rPr>
        <w:t>po</w:t>
      </w:r>
      <w:r w:rsidRPr="00953988">
        <w:rPr>
          <w:lang w:val="pl-PL"/>
        </w:rPr>
        <w:t xml:space="preserve">świadczenia </w:t>
      </w:r>
      <w:r w:rsidR="00400711">
        <w:rPr>
          <w:lang w:val="pl-PL"/>
        </w:rPr>
        <w:t>było</w:t>
      </w:r>
      <w:r w:rsidRPr="00953988">
        <w:rPr>
          <w:lang w:val="pl-PL"/>
        </w:rPr>
        <w:t xml:space="preserve"> usprawiedliwione w świetle </w:t>
      </w:r>
      <w:r w:rsidR="00A90E4F">
        <w:rPr>
          <w:lang w:val="pl-PL"/>
        </w:rPr>
        <w:t xml:space="preserve">przewidzianych prawem </w:t>
      </w:r>
      <w:r w:rsidRPr="00953988">
        <w:rPr>
          <w:lang w:val="pl-PL"/>
        </w:rPr>
        <w:t xml:space="preserve">kryteriów wydania takiego </w:t>
      </w:r>
      <w:r w:rsidR="00372730">
        <w:rPr>
          <w:lang w:val="pl-PL"/>
        </w:rPr>
        <w:t>po</w:t>
      </w:r>
      <w:r w:rsidRPr="00953988">
        <w:rPr>
          <w:lang w:val="pl-PL"/>
        </w:rPr>
        <w:t xml:space="preserve">świadczenia. </w:t>
      </w:r>
    </w:p>
    <w:p w:rsidR="00953988" w:rsidRDefault="00603786" w:rsidP="00953988">
      <w:pPr>
        <w:spacing w:after="120" w:line="240" w:lineRule="auto"/>
        <w:jc w:val="both"/>
        <w:rPr>
          <w:lang w:val="pl-PL"/>
        </w:rPr>
      </w:pPr>
      <w:r>
        <w:rPr>
          <w:lang w:val="pl-PL"/>
        </w:rPr>
        <w:t>Po</w:t>
      </w:r>
      <w:r w:rsidR="006A189A">
        <w:rPr>
          <w:lang w:val="pl-PL"/>
        </w:rPr>
        <w:t xml:space="preserve">świadczenie bezpieczeństwa było niezbędne, by skarżący mógł wykonywać funkcję publiczną zastępcy wiceministra. Choć skarżący zrezygnował z tej funkcji na swój własny wniosek, złożony przed </w:t>
      </w:r>
      <w:r w:rsidR="006A189A" w:rsidRPr="00150022">
        <w:rPr>
          <w:lang w:val="pl-PL"/>
        </w:rPr>
        <w:t>rozstrzygnięciem</w:t>
      </w:r>
      <w:r w:rsidR="006A189A">
        <w:rPr>
          <w:lang w:val="pl-PL"/>
        </w:rPr>
        <w:t xml:space="preserve"> jego skargi na decyzję</w:t>
      </w:r>
      <w:r w:rsidR="00150022">
        <w:rPr>
          <w:lang w:val="pl-PL"/>
        </w:rPr>
        <w:t xml:space="preserve"> Agencji</w:t>
      </w:r>
      <w:r w:rsidR="006A189A">
        <w:rPr>
          <w:lang w:val="pl-PL"/>
        </w:rPr>
        <w:t xml:space="preserve">, jest oczywiste, że nie mógł tego stanowiska zajmować bez poświadczenia bezpieczeństwa, a jedynym środkiem obrony było kwestionowanie decyzji.  </w:t>
      </w:r>
      <w:r w:rsidR="00953988" w:rsidRPr="00953988">
        <w:rPr>
          <w:lang w:val="pl-PL"/>
        </w:rPr>
        <w:t xml:space="preserve">Choć cofnięcie </w:t>
      </w:r>
      <w:r w:rsidR="006A189A">
        <w:rPr>
          <w:lang w:val="pl-PL"/>
        </w:rPr>
        <w:t>po</w:t>
      </w:r>
      <w:r w:rsidR="00953988" w:rsidRPr="00953988">
        <w:rPr>
          <w:lang w:val="pl-PL"/>
        </w:rPr>
        <w:t xml:space="preserve">świadczenia nie skutkowało automatycznym zerwaniem umowy o </w:t>
      </w:r>
      <w:r w:rsidR="006A189A" w:rsidRPr="00953988">
        <w:rPr>
          <w:lang w:val="pl-PL"/>
        </w:rPr>
        <w:t>pracy</w:t>
      </w:r>
      <w:r w:rsidR="00953988" w:rsidRPr="00953988">
        <w:rPr>
          <w:lang w:val="pl-PL"/>
        </w:rPr>
        <w:t xml:space="preserve"> skarżącego z ministerstwem obrony, było ono kluczowe dla wyboru </w:t>
      </w:r>
      <w:r w:rsidR="00A13340">
        <w:rPr>
          <w:lang w:val="pl-PL"/>
        </w:rPr>
        <w:t>stanowisk</w:t>
      </w:r>
      <w:r w:rsidR="00953988" w:rsidRPr="00953988">
        <w:rPr>
          <w:lang w:val="pl-PL"/>
        </w:rPr>
        <w:t xml:space="preserve">, które mu oferowano. Skutkiem bezpośrednim decyzji było więc ograniczenie możliwości wykonywania przez </w:t>
      </w:r>
      <w:r w:rsidR="006F6061">
        <w:rPr>
          <w:lang w:val="pl-PL"/>
        </w:rPr>
        <w:t xml:space="preserve">skarżącego niektórych funkcji, mianowicie funkcji </w:t>
      </w:r>
      <w:r w:rsidR="00953988" w:rsidRPr="00953988">
        <w:rPr>
          <w:lang w:val="pl-PL"/>
        </w:rPr>
        <w:t xml:space="preserve"> </w:t>
      </w:r>
      <w:r w:rsidR="006F6061">
        <w:rPr>
          <w:lang w:val="pl-PL"/>
        </w:rPr>
        <w:t>publicznych, co zdaniem czeskiego Trybunału Konstytucyjnego uzasadniało</w:t>
      </w:r>
      <w:r w:rsidR="00A13340">
        <w:rPr>
          <w:lang w:val="pl-PL"/>
        </w:rPr>
        <w:t xml:space="preserve"> by decyzja</w:t>
      </w:r>
      <w:r w:rsidR="006F6061">
        <w:rPr>
          <w:lang w:val="pl-PL"/>
        </w:rPr>
        <w:t xml:space="preserve"> nie była wyłączona z zakresu zastosowania art. 6 ust. 1 Konwencji. </w:t>
      </w:r>
      <w:r w:rsidR="00A13340">
        <w:rPr>
          <w:lang w:val="pl-PL"/>
        </w:rPr>
        <w:t>ETPCz zwrócił też uwagę na fakt, że s</w:t>
      </w:r>
      <w:r w:rsidR="00953988" w:rsidRPr="00953988">
        <w:rPr>
          <w:lang w:val="pl-PL"/>
        </w:rPr>
        <w:t xml:space="preserve">karżący dostosował swe życie prywatne do </w:t>
      </w:r>
      <w:r w:rsidR="00953988">
        <w:rPr>
          <w:lang w:val="pl-PL"/>
        </w:rPr>
        <w:t xml:space="preserve">pełnienia </w:t>
      </w:r>
      <w:r w:rsidR="00953988" w:rsidRPr="00953988">
        <w:rPr>
          <w:lang w:val="pl-PL"/>
        </w:rPr>
        <w:t>funkcji zastępcy wiceministra, a poufna informacja służby wywiadu musiała zawierać dane dotyczące</w:t>
      </w:r>
      <w:r w:rsidR="00A13340">
        <w:rPr>
          <w:lang w:val="pl-PL"/>
        </w:rPr>
        <w:t xml:space="preserve"> jego</w:t>
      </w:r>
      <w:r w:rsidR="00953988" w:rsidRPr="00953988">
        <w:rPr>
          <w:lang w:val="pl-PL"/>
        </w:rPr>
        <w:t xml:space="preserve"> życia prywatnego. Ponadto, unieważnienie </w:t>
      </w:r>
      <w:r>
        <w:rPr>
          <w:lang w:val="pl-PL"/>
        </w:rPr>
        <w:t>po</w:t>
      </w:r>
      <w:r w:rsidR="00953988" w:rsidRPr="00953988">
        <w:rPr>
          <w:lang w:val="pl-PL"/>
        </w:rPr>
        <w:t xml:space="preserve">świadczenia bezpieczeństwa bez wątpienia </w:t>
      </w:r>
      <w:r w:rsidR="003617B9">
        <w:rPr>
          <w:lang w:val="pl-PL"/>
        </w:rPr>
        <w:t xml:space="preserve">miało wpływ na </w:t>
      </w:r>
      <w:r w:rsidR="00953988" w:rsidRPr="00953988">
        <w:rPr>
          <w:lang w:val="pl-PL"/>
        </w:rPr>
        <w:t>reputacj</w:t>
      </w:r>
      <w:r w:rsidR="003617B9">
        <w:rPr>
          <w:lang w:val="pl-PL"/>
        </w:rPr>
        <w:t>ę</w:t>
      </w:r>
      <w:r w:rsidR="00953988" w:rsidRPr="00953988">
        <w:rPr>
          <w:lang w:val="pl-PL"/>
        </w:rPr>
        <w:t xml:space="preserve"> skarżącego, przynajmniej w jego środowisku zawodowym</w:t>
      </w:r>
      <w:r w:rsidR="00A13340">
        <w:rPr>
          <w:lang w:val="pl-PL"/>
        </w:rPr>
        <w:t>,</w:t>
      </w:r>
      <w:r w:rsidR="00953988" w:rsidRPr="00953988">
        <w:rPr>
          <w:lang w:val="pl-PL"/>
        </w:rPr>
        <w:t xml:space="preserve"> i mogło </w:t>
      </w:r>
      <w:r w:rsidR="003617B9">
        <w:rPr>
          <w:lang w:val="pl-PL"/>
        </w:rPr>
        <w:t>wywoływać</w:t>
      </w:r>
      <w:r w:rsidR="00953988" w:rsidRPr="00953988">
        <w:rPr>
          <w:lang w:val="pl-PL"/>
        </w:rPr>
        <w:t xml:space="preserve"> szkodliwe skutki dla jego interesów majątkowych. Z tych względów Trybunał uznał, </w:t>
      </w:r>
      <w:r>
        <w:rPr>
          <w:lang w:val="pl-PL"/>
        </w:rPr>
        <w:t xml:space="preserve">że unieważnienie </w:t>
      </w:r>
      <w:r>
        <w:rPr>
          <w:lang w:val="pl-PL"/>
        </w:rPr>
        <w:lastRenderedPageBreak/>
        <w:t>po</w:t>
      </w:r>
      <w:r w:rsidR="00953988" w:rsidRPr="00953988">
        <w:rPr>
          <w:lang w:val="pl-PL"/>
        </w:rPr>
        <w:t>świadczenia bezpieczeństwa i postępowanie prowadzone w tej sprawie wywoływało skutki</w:t>
      </w:r>
      <w:r w:rsidR="003617B9">
        <w:rPr>
          <w:lang w:val="pl-PL"/>
        </w:rPr>
        <w:t xml:space="preserve"> w odniesieniu do</w:t>
      </w:r>
      <w:r w:rsidR="00953988" w:rsidRPr="00953988">
        <w:rPr>
          <w:lang w:val="pl-PL"/>
        </w:rPr>
        <w:t xml:space="preserve"> praw </w:t>
      </w:r>
      <w:r w:rsidR="00A13340">
        <w:rPr>
          <w:lang w:val="pl-PL"/>
        </w:rPr>
        <w:t>cywilny</w:t>
      </w:r>
      <w:r w:rsidR="00953988" w:rsidRPr="00953988">
        <w:rPr>
          <w:lang w:val="pl-PL"/>
        </w:rPr>
        <w:t xml:space="preserve">ch skarżącego, art. 6 ust. 1 Konwencji znajduje więc zastosowanie. </w:t>
      </w:r>
    </w:p>
    <w:p w:rsidR="009235FD" w:rsidRDefault="00953988" w:rsidP="00953988">
      <w:pPr>
        <w:spacing w:after="120" w:line="240" w:lineRule="auto"/>
        <w:jc w:val="both"/>
        <w:rPr>
          <w:lang w:val="pl-PL"/>
        </w:rPr>
      </w:pPr>
      <w:r w:rsidRPr="00953988">
        <w:rPr>
          <w:lang w:val="pl-PL"/>
        </w:rPr>
        <w:t xml:space="preserve">Badając przedmiot skargi Trybunał przypomniał podstawowe zasady dotyczące </w:t>
      </w:r>
      <w:r w:rsidR="00445D04">
        <w:rPr>
          <w:lang w:val="pl-PL"/>
        </w:rPr>
        <w:t xml:space="preserve">prawa do rzetelnego procesu sądowego w świetle </w:t>
      </w:r>
      <w:r w:rsidRPr="00953988">
        <w:rPr>
          <w:lang w:val="pl-PL"/>
        </w:rPr>
        <w:t xml:space="preserve">art. 6 ust. 1 </w:t>
      </w:r>
      <w:r w:rsidR="00A13340" w:rsidRPr="00953988">
        <w:rPr>
          <w:lang w:val="pl-PL"/>
        </w:rPr>
        <w:t>Konwencji</w:t>
      </w:r>
      <w:r w:rsidRPr="00953988">
        <w:rPr>
          <w:lang w:val="pl-PL"/>
        </w:rPr>
        <w:t xml:space="preserve">, w tym </w:t>
      </w:r>
      <w:r w:rsidR="00A13340">
        <w:rPr>
          <w:lang w:val="pl-PL"/>
        </w:rPr>
        <w:t>wymogi</w:t>
      </w:r>
      <w:r w:rsidRPr="00953988">
        <w:rPr>
          <w:lang w:val="pl-PL"/>
        </w:rPr>
        <w:t xml:space="preserve"> </w:t>
      </w:r>
      <w:r w:rsidR="00A13340">
        <w:rPr>
          <w:lang w:val="pl-PL"/>
        </w:rPr>
        <w:t>dotyczące</w:t>
      </w:r>
      <w:r w:rsidRPr="00953988">
        <w:rPr>
          <w:lang w:val="pl-PL"/>
        </w:rPr>
        <w:t xml:space="preserve"> kontradyktoryjności i równości broni stron. W obecnej sprawie Trybunał musiał zbadać, czy skarżący, który nie mógł zapoznać się z poufnym do</w:t>
      </w:r>
      <w:r w:rsidR="000A5203">
        <w:rPr>
          <w:lang w:val="pl-PL"/>
        </w:rPr>
        <w:t>kumentem</w:t>
      </w:r>
      <w:r w:rsidRPr="00953988">
        <w:rPr>
          <w:lang w:val="pl-PL"/>
        </w:rPr>
        <w:t xml:space="preserve">, na którym oparły się sądy, korzystał z gwarancji, które były w stanie chronić jego interesy w taki sposób, by wymogi kontradyktoryjności i równości broni były zapewnione. </w:t>
      </w:r>
    </w:p>
    <w:p w:rsidR="00A13340" w:rsidRDefault="009235FD" w:rsidP="00953988">
      <w:pPr>
        <w:spacing w:after="120" w:line="240" w:lineRule="auto"/>
        <w:jc w:val="both"/>
        <w:rPr>
          <w:lang w:val="pl-PL"/>
        </w:rPr>
      </w:pPr>
      <w:r>
        <w:rPr>
          <w:lang w:val="pl-PL"/>
        </w:rPr>
        <w:t>Trybunał zauważył, że b</w:t>
      </w:r>
      <w:r w:rsidR="00953988" w:rsidRPr="00953988">
        <w:rPr>
          <w:lang w:val="pl-PL"/>
        </w:rPr>
        <w:t>rak ujawnienia skarżącemu do</w:t>
      </w:r>
      <w:r w:rsidR="000A5203">
        <w:rPr>
          <w:lang w:val="pl-PL"/>
        </w:rPr>
        <w:t>kumentu</w:t>
      </w:r>
      <w:r w:rsidR="00953988" w:rsidRPr="00953988">
        <w:rPr>
          <w:lang w:val="pl-PL"/>
        </w:rPr>
        <w:t xml:space="preserve"> był motywowany interesem bezpieczeństwa narodowego, w tym sensie, że jego przekazanie mogło, w opinii władz, mieć skutki w postaci ujawnienia metod pracy służb wywiadowczych, ujawnienia źródeł </w:t>
      </w:r>
      <w:r w:rsidR="00A13340" w:rsidRPr="00953988">
        <w:rPr>
          <w:lang w:val="pl-PL"/>
        </w:rPr>
        <w:t xml:space="preserve">ich </w:t>
      </w:r>
      <w:r w:rsidR="00953988" w:rsidRPr="00953988">
        <w:rPr>
          <w:lang w:val="pl-PL"/>
        </w:rPr>
        <w:t xml:space="preserve">informacji lub </w:t>
      </w:r>
      <w:r w:rsidR="00445D04">
        <w:rPr>
          <w:lang w:val="pl-PL"/>
        </w:rPr>
        <w:t>podjęciem przez skarżącego próby</w:t>
      </w:r>
      <w:r w:rsidR="00953988" w:rsidRPr="00953988">
        <w:rPr>
          <w:lang w:val="pl-PL"/>
        </w:rPr>
        <w:t xml:space="preserve"> wpłynięcia na ewentualnych świadków. Nic nie pozwala więc sądzić, że utajnienie </w:t>
      </w:r>
      <w:r w:rsidR="000A5203">
        <w:rPr>
          <w:lang w:val="pl-PL"/>
        </w:rPr>
        <w:t>dokumentu</w:t>
      </w:r>
      <w:r w:rsidR="00953988" w:rsidRPr="00953988">
        <w:rPr>
          <w:lang w:val="pl-PL"/>
        </w:rPr>
        <w:t xml:space="preserve"> było arbitralne, stanowiło nadużycie lub zostało dokonane w </w:t>
      </w:r>
      <w:r w:rsidR="00A13340" w:rsidRPr="00953988">
        <w:rPr>
          <w:lang w:val="pl-PL"/>
        </w:rPr>
        <w:t xml:space="preserve">celu </w:t>
      </w:r>
      <w:r w:rsidR="00953988" w:rsidRPr="00953988">
        <w:rPr>
          <w:lang w:val="pl-PL"/>
        </w:rPr>
        <w:t xml:space="preserve">innym niż uprawniony. W swych obserwacjach przed Trybunałem rząd zdawał się twierdzić, że przedmiotowy dokument zawierał informacje nt. dochodzenia karnego dotyczącego skarżącego, które wówczas trwało i które doprowadziło do zarzutów karnych wobec skarżącego oskarżonego o nielegalne wpływanie na przetargi publiczne w ramach ministerstwa obrony. </w:t>
      </w:r>
    </w:p>
    <w:p w:rsidR="00953988" w:rsidRPr="00C6280A" w:rsidRDefault="00953988" w:rsidP="00953988">
      <w:pPr>
        <w:spacing w:after="120" w:line="240" w:lineRule="auto"/>
        <w:jc w:val="both"/>
        <w:rPr>
          <w:lang w:val="pl-PL"/>
        </w:rPr>
      </w:pPr>
      <w:r w:rsidRPr="00953988">
        <w:rPr>
          <w:lang w:val="pl-PL"/>
        </w:rPr>
        <w:t>Kluczową kwestią w obecnej sprawie było rozstrzygnięcie przez Trybunał, czy brak możliwości zapoznania się</w:t>
      </w:r>
      <w:r w:rsidR="00445D04">
        <w:rPr>
          <w:lang w:val="pl-PL"/>
        </w:rPr>
        <w:t xml:space="preserve"> przez skarżącego</w:t>
      </w:r>
      <w:r w:rsidRPr="00953988">
        <w:rPr>
          <w:lang w:val="pl-PL"/>
        </w:rPr>
        <w:t xml:space="preserve"> </w:t>
      </w:r>
      <w:r w:rsidR="00A13340">
        <w:rPr>
          <w:lang w:val="pl-PL"/>
        </w:rPr>
        <w:t>(</w:t>
      </w:r>
      <w:r w:rsidRPr="00953988">
        <w:rPr>
          <w:lang w:val="pl-PL"/>
        </w:rPr>
        <w:t>i komentowania</w:t>
      </w:r>
      <w:r w:rsidR="00A13340">
        <w:rPr>
          <w:lang w:val="pl-PL"/>
        </w:rPr>
        <w:t>)</w:t>
      </w:r>
      <w:r w:rsidRPr="00953988">
        <w:rPr>
          <w:lang w:val="pl-PL"/>
        </w:rPr>
        <w:t xml:space="preserve"> tego dokumentu został wystarczająco zrównoważon</w:t>
      </w:r>
      <w:r w:rsidR="000A5203">
        <w:rPr>
          <w:lang w:val="pl-PL"/>
        </w:rPr>
        <w:t>y</w:t>
      </w:r>
      <w:r w:rsidRPr="00953988">
        <w:rPr>
          <w:lang w:val="pl-PL"/>
        </w:rPr>
        <w:t xml:space="preserve"> przez fakt, że dokument ten był dostępny dla wszystkich instancji sądowych, które działały w sprawie i które mogły ocenić w oparciu o jego treść </w:t>
      </w:r>
      <w:r w:rsidR="00C33F4E">
        <w:rPr>
          <w:lang w:val="pl-PL"/>
        </w:rPr>
        <w:t xml:space="preserve">ustalenia </w:t>
      </w:r>
      <w:r w:rsidRPr="00953988">
        <w:rPr>
          <w:lang w:val="pl-PL"/>
        </w:rPr>
        <w:t xml:space="preserve">władz administracyjnych </w:t>
      </w:r>
      <w:r w:rsidR="00A13340">
        <w:rPr>
          <w:lang w:val="pl-PL"/>
        </w:rPr>
        <w:t>dotyczące wypełniania przez skarżącego</w:t>
      </w:r>
      <w:r w:rsidRPr="00953988">
        <w:rPr>
          <w:lang w:val="pl-PL"/>
        </w:rPr>
        <w:t xml:space="preserve"> </w:t>
      </w:r>
      <w:r w:rsidR="00A13340">
        <w:rPr>
          <w:lang w:val="pl-PL"/>
        </w:rPr>
        <w:t>warunków</w:t>
      </w:r>
      <w:r w:rsidRPr="00953988">
        <w:rPr>
          <w:lang w:val="pl-PL"/>
        </w:rPr>
        <w:t xml:space="preserve"> </w:t>
      </w:r>
      <w:r w:rsidR="00F56871">
        <w:rPr>
          <w:lang w:val="pl-PL"/>
        </w:rPr>
        <w:t xml:space="preserve">niezbędnych dla </w:t>
      </w:r>
      <w:r w:rsidR="00603786">
        <w:rPr>
          <w:lang w:val="pl-PL"/>
        </w:rPr>
        <w:t>po</w:t>
      </w:r>
      <w:r w:rsidR="00A13340">
        <w:rPr>
          <w:lang w:val="pl-PL"/>
        </w:rPr>
        <w:t>świadczenia</w:t>
      </w:r>
      <w:r w:rsidRPr="00953988">
        <w:rPr>
          <w:lang w:val="pl-PL"/>
        </w:rPr>
        <w:t xml:space="preserve"> bezpieczeństwa. </w:t>
      </w:r>
    </w:p>
    <w:p w:rsidR="00953988" w:rsidRDefault="00953988" w:rsidP="00953988">
      <w:pPr>
        <w:spacing w:after="120" w:line="240" w:lineRule="auto"/>
        <w:jc w:val="both"/>
        <w:rPr>
          <w:lang w:val="pl-PL"/>
        </w:rPr>
      </w:pPr>
      <w:r w:rsidRPr="0049484B">
        <w:rPr>
          <w:lang w:val="pl-PL"/>
        </w:rPr>
        <w:t>Trybunał nadał duże znaczenie</w:t>
      </w:r>
      <w:r w:rsidR="00A13340">
        <w:rPr>
          <w:lang w:val="pl-PL"/>
        </w:rPr>
        <w:t xml:space="preserve"> kwestii</w:t>
      </w:r>
      <w:r w:rsidRPr="0049484B">
        <w:rPr>
          <w:lang w:val="pl-PL"/>
        </w:rPr>
        <w:t>, że w postępowaniach w obecnej</w:t>
      </w:r>
      <w:r>
        <w:rPr>
          <w:lang w:val="pl-PL"/>
        </w:rPr>
        <w:t xml:space="preserve"> sprawie sądy miały pełną jurysdykcję i nie były związane wnioskiem skarżącego. </w:t>
      </w:r>
      <w:r w:rsidR="00A13340">
        <w:rPr>
          <w:lang w:val="pl-PL"/>
        </w:rPr>
        <w:t>M</w:t>
      </w:r>
      <w:r>
        <w:rPr>
          <w:lang w:val="pl-PL"/>
        </w:rPr>
        <w:t>usiały więc zbadać postępowanie</w:t>
      </w:r>
      <w:r w:rsidR="00A13340">
        <w:rPr>
          <w:lang w:val="pl-PL"/>
        </w:rPr>
        <w:t xml:space="preserve"> administracyjne</w:t>
      </w:r>
      <w:r>
        <w:rPr>
          <w:lang w:val="pl-PL"/>
        </w:rPr>
        <w:t xml:space="preserve"> i uzasadnienie decyzji urzędu w pełnym zakresie, </w:t>
      </w:r>
      <w:r w:rsidR="003C00A8">
        <w:rPr>
          <w:lang w:val="pl-PL"/>
        </w:rPr>
        <w:t>n</w:t>
      </w:r>
      <w:r>
        <w:rPr>
          <w:lang w:val="pl-PL"/>
        </w:rPr>
        <w:t xml:space="preserve">awet wykraczając poza kwestie podniesione przez </w:t>
      </w:r>
      <w:r w:rsidR="00445D04">
        <w:rPr>
          <w:lang w:val="pl-PL"/>
        </w:rPr>
        <w:t xml:space="preserve">samego </w:t>
      </w:r>
      <w:r>
        <w:rPr>
          <w:lang w:val="pl-PL"/>
        </w:rPr>
        <w:t xml:space="preserve">skarżącego. Skarżący był informowany i miał możliwość przedkładania swych obserwacji. Kwestia potrzeby </w:t>
      </w:r>
      <w:r w:rsidR="006D205A">
        <w:rPr>
          <w:lang w:val="pl-PL"/>
        </w:rPr>
        <w:t xml:space="preserve">zachowania </w:t>
      </w:r>
      <w:r>
        <w:rPr>
          <w:lang w:val="pl-PL"/>
        </w:rPr>
        <w:t xml:space="preserve">poufnego charakteru przedmiotowego dokumentu podlegała </w:t>
      </w:r>
      <w:r w:rsidR="006D205A">
        <w:rPr>
          <w:lang w:val="pl-PL"/>
        </w:rPr>
        <w:t xml:space="preserve">w każdej chwili </w:t>
      </w:r>
      <w:r>
        <w:rPr>
          <w:lang w:val="pl-PL"/>
        </w:rPr>
        <w:t xml:space="preserve">ocenie sędziego, co stanowiło dodatkową istotną gwarancję. Z akt sprawy wynika, że sąd miejski w istocie zbadał, czy przedmiotowy dokument może zostać ujawniony, w ten sposób zwiększając zakres ochrony praw skarżącego. Obecna sprawa różni się więc od sprawy </w:t>
      </w:r>
      <w:proofErr w:type="spellStart"/>
      <w:r w:rsidRPr="006D205A">
        <w:rPr>
          <w:i/>
          <w:lang w:val="pl-PL"/>
        </w:rPr>
        <w:t>Ternovskis</w:t>
      </w:r>
      <w:proofErr w:type="spellEnd"/>
      <w:r w:rsidRPr="006D205A">
        <w:rPr>
          <w:i/>
          <w:lang w:val="pl-PL"/>
        </w:rPr>
        <w:t xml:space="preserve"> p. Łotwie</w:t>
      </w:r>
      <w:r w:rsidRPr="003825AA">
        <w:rPr>
          <w:lang w:val="pl-PL"/>
        </w:rPr>
        <w:t xml:space="preserve"> (</w:t>
      </w:r>
      <w:r>
        <w:rPr>
          <w:lang w:val="pl-PL"/>
        </w:rPr>
        <w:t>nr</w:t>
      </w:r>
      <w:r w:rsidRPr="003825AA">
        <w:rPr>
          <w:lang w:val="pl-PL"/>
        </w:rPr>
        <w:t xml:space="preserve"> 33637/02, </w:t>
      </w:r>
      <w:r>
        <w:rPr>
          <w:lang w:val="pl-PL"/>
        </w:rPr>
        <w:t xml:space="preserve">wyrok z </w:t>
      </w:r>
      <w:r w:rsidRPr="003825AA">
        <w:rPr>
          <w:lang w:val="pl-PL"/>
        </w:rPr>
        <w:t xml:space="preserve">29 </w:t>
      </w:r>
      <w:r>
        <w:rPr>
          <w:lang w:val="pl-PL"/>
        </w:rPr>
        <w:t xml:space="preserve">kwietnia </w:t>
      </w:r>
      <w:r w:rsidRPr="003825AA">
        <w:rPr>
          <w:lang w:val="pl-PL"/>
        </w:rPr>
        <w:t>2014</w:t>
      </w:r>
      <w:r w:rsidRPr="0049484B">
        <w:rPr>
          <w:lang w:val="pl-PL"/>
        </w:rPr>
        <w:t xml:space="preserve"> </w:t>
      </w:r>
      <w:r>
        <w:rPr>
          <w:lang w:val="pl-PL"/>
        </w:rPr>
        <w:t>r.</w:t>
      </w:r>
      <w:r w:rsidRPr="0049484B">
        <w:rPr>
          <w:lang w:val="pl-PL"/>
        </w:rPr>
        <w:t xml:space="preserve">), w której sąd apelacyjny nie otrzymał kluczowych elementów poufnych dokumentów, do których dostęp miał tylko pozwany. </w:t>
      </w:r>
      <w:r w:rsidRPr="00B278A0">
        <w:rPr>
          <w:lang w:val="pl-PL"/>
        </w:rPr>
        <w:t xml:space="preserve">Również sprawa </w:t>
      </w:r>
      <w:proofErr w:type="spellStart"/>
      <w:r w:rsidRPr="003C00A8">
        <w:rPr>
          <w:i/>
          <w:lang w:val="pl-PL"/>
        </w:rPr>
        <w:t>Güner</w:t>
      </w:r>
      <w:proofErr w:type="spellEnd"/>
      <w:r w:rsidRPr="003C00A8">
        <w:rPr>
          <w:i/>
          <w:lang w:val="pl-PL"/>
        </w:rPr>
        <w:t xml:space="preserve"> </w:t>
      </w:r>
      <w:proofErr w:type="spellStart"/>
      <w:r w:rsidRPr="003C00A8">
        <w:rPr>
          <w:i/>
          <w:lang w:val="pl-PL"/>
        </w:rPr>
        <w:t>Çorum</w:t>
      </w:r>
      <w:proofErr w:type="spellEnd"/>
      <w:r w:rsidRPr="003C00A8">
        <w:rPr>
          <w:i/>
          <w:lang w:val="pl-PL"/>
        </w:rPr>
        <w:t xml:space="preserve"> p. Turcji</w:t>
      </w:r>
      <w:r w:rsidRPr="00953988">
        <w:rPr>
          <w:lang w:val="pl-PL"/>
        </w:rPr>
        <w:t xml:space="preserve"> </w:t>
      </w:r>
      <w:r w:rsidRPr="00B278A0">
        <w:rPr>
          <w:lang w:val="pl-PL"/>
        </w:rPr>
        <w:t>(</w:t>
      </w:r>
      <w:r w:rsidRPr="00853D63">
        <w:rPr>
          <w:lang w:val="pl-PL"/>
        </w:rPr>
        <w:t>n</w:t>
      </w:r>
      <w:r>
        <w:rPr>
          <w:lang w:val="pl-PL"/>
        </w:rPr>
        <w:t>r</w:t>
      </w:r>
      <w:r w:rsidRPr="00853D63">
        <w:rPr>
          <w:lang w:val="pl-PL"/>
        </w:rPr>
        <w:t xml:space="preserve"> 59739/00, </w:t>
      </w:r>
      <w:r>
        <w:rPr>
          <w:lang w:val="pl-PL"/>
        </w:rPr>
        <w:t xml:space="preserve">wyrok z </w:t>
      </w:r>
      <w:r w:rsidRPr="00853D63">
        <w:rPr>
          <w:lang w:val="pl-PL"/>
        </w:rPr>
        <w:t>31 </w:t>
      </w:r>
      <w:r>
        <w:rPr>
          <w:lang w:val="pl-PL"/>
        </w:rPr>
        <w:t xml:space="preserve">października </w:t>
      </w:r>
      <w:r w:rsidRPr="00853D63">
        <w:rPr>
          <w:lang w:val="pl-PL"/>
        </w:rPr>
        <w:t>2006</w:t>
      </w:r>
      <w:r>
        <w:rPr>
          <w:lang w:val="pl-PL"/>
        </w:rPr>
        <w:t xml:space="preserve"> r.</w:t>
      </w:r>
      <w:r w:rsidRPr="00B278A0">
        <w:rPr>
          <w:lang w:val="pl-PL"/>
        </w:rPr>
        <w:t xml:space="preserve">) różni się od obecnej, gdyż w tamtej </w:t>
      </w:r>
      <w:r w:rsidR="006D205A">
        <w:rPr>
          <w:lang w:val="pl-PL"/>
        </w:rPr>
        <w:t xml:space="preserve">sprawie </w:t>
      </w:r>
      <w:r w:rsidRPr="00B278A0">
        <w:rPr>
          <w:lang w:val="pl-PL"/>
        </w:rPr>
        <w:t xml:space="preserve">rząd turecki nie przedstawił żadnego argumentów mogącego uzasadnić brak ujawnienia akt dochodzenia. </w:t>
      </w:r>
    </w:p>
    <w:p w:rsidR="00953988" w:rsidRDefault="00953988" w:rsidP="00953988">
      <w:pPr>
        <w:spacing w:after="120" w:line="240" w:lineRule="auto"/>
        <w:jc w:val="both"/>
        <w:rPr>
          <w:lang w:val="pl-PL"/>
        </w:rPr>
      </w:pPr>
      <w:r>
        <w:rPr>
          <w:lang w:val="pl-PL"/>
        </w:rPr>
        <w:t>Z powyższych względów Trybunał uznał, że procedura decyzyjna w sprawie skarżącego spełniała w możliwym zakresie wymogi kontradyktoryjności i równości broni</w:t>
      </w:r>
      <w:r w:rsidR="00875B5C">
        <w:rPr>
          <w:lang w:val="pl-PL"/>
        </w:rPr>
        <w:t>,</w:t>
      </w:r>
      <w:r>
        <w:rPr>
          <w:lang w:val="pl-PL"/>
        </w:rPr>
        <w:t xml:space="preserve"> i zawierała gwarancje będące w stanie ochronić interes skarżącego. W rezultacie Trybunał jednomyślnie uznał, że nie doszło do naruszenia art. 6 ust. 1 Konwencji.</w:t>
      </w:r>
    </w:p>
    <w:p w:rsidR="00953988" w:rsidRPr="003825AA" w:rsidRDefault="00953988" w:rsidP="00953988">
      <w:pPr>
        <w:spacing w:after="120" w:line="240" w:lineRule="auto"/>
        <w:jc w:val="both"/>
        <w:rPr>
          <w:lang w:val="pl-PL"/>
        </w:rPr>
      </w:pPr>
      <w:r>
        <w:rPr>
          <w:lang w:val="pl-PL"/>
        </w:rPr>
        <w:t xml:space="preserve">Do wyroku załączone jest zdanie zbieżne sędziego </w:t>
      </w:r>
      <w:proofErr w:type="spellStart"/>
      <w:r>
        <w:rPr>
          <w:lang w:val="pl-PL"/>
        </w:rPr>
        <w:t>Pejchal</w:t>
      </w:r>
      <w:proofErr w:type="spellEnd"/>
      <w:r>
        <w:rPr>
          <w:lang w:val="pl-PL"/>
        </w:rPr>
        <w:t xml:space="preserve"> oraz zdanie częściowo odrębne sędziego </w:t>
      </w:r>
      <w:proofErr w:type="spellStart"/>
      <w:r>
        <w:rPr>
          <w:lang w:val="pl-PL"/>
        </w:rPr>
        <w:t>J</w:t>
      </w:r>
      <w:r w:rsidRPr="003825AA">
        <w:rPr>
          <w:lang w:val="pl-PL"/>
        </w:rPr>
        <w:t>äderblom</w:t>
      </w:r>
      <w:proofErr w:type="spellEnd"/>
      <w:r>
        <w:rPr>
          <w:lang w:val="pl-PL"/>
        </w:rPr>
        <w:t xml:space="preserve">, który zakwestionował opinię większości, iż art. 6 ust. 1 Konwencji znajduje zastosowanie w sprawie. </w:t>
      </w:r>
    </w:p>
    <w:p w:rsidR="00953988" w:rsidRPr="006D205A" w:rsidRDefault="006D205A" w:rsidP="000417B7">
      <w:pPr>
        <w:spacing w:after="120" w:line="240" w:lineRule="auto"/>
        <w:jc w:val="both"/>
        <w:rPr>
          <w:u w:val="single"/>
          <w:lang w:val="pl-PL"/>
        </w:rPr>
      </w:pPr>
      <w:r w:rsidRPr="006D205A">
        <w:rPr>
          <w:u w:val="single"/>
          <w:lang w:val="pl-PL"/>
        </w:rPr>
        <w:t>Znaczenie wyroku dla Polski</w:t>
      </w:r>
      <w:r w:rsidRPr="006D205A">
        <w:rPr>
          <w:lang w:val="pl-PL"/>
        </w:rPr>
        <w:t xml:space="preserve"> – wyrok </w:t>
      </w:r>
      <w:r w:rsidR="00746FB4">
        <w:rPr>
          <w:lang w:val="pl-PL"/>
        </w:rPr>
        <w:t xml:space="preserve">warto przeanalizować zarówno w odniesieniu do kwestii </w:t>
      </w:r>
      <w:r>
        <w:rPr>
          <w:lang w:val="pl-PL"/>
        </w:rPr>
        <w:t xml:space="preserve">zastosowania art. 6 ust. 1 Konwencji </w:t>
      </w:r>
      <w:r w:rsidR="00746FB4">
        <w:rPr>
          <w:lang w:val="pl-PL"/>
        </w:rPr>
        <w:t xml:space="preserve">do </w:t>
      </w:r>
      <w:r w:rsidR="00445D04">
        <w:rPr>
          <w:lang w:val="pl-PL"/>
        </w:rPr>
        <w:t xml:space="preserve">postępowań krajowych dotyczących funkcjonariuszy publicznych, </w:t>
      </w:r>
      <w:r w:rsidR="00746FB4">
        <w:rPr>
          <w:lang w:val="pl-PL"/>
        </w:rPr>
        <w:t xml:space="preserve">jak też </w:t>
      </w:r>
      <w:r w:rsidR="00445D04">
        <w:rPr>
          <w:lang w:val="pl-PL"/>
        </w:rPr>
        <w:t xml:space="preserve">z punktu widzenia wystarczających </w:t>
      </w:r>
      <w:r>
        <w:rPr>
          <w:lang w:val="pl-PL"/>
        </w:rPr>
        <w:t xml:space="preserve">gwarancji kontradyktoryjności </w:t>
      </w:r>
      <w:r w:rsidR="00AC5710">
        <w:rPr>
          <w:lang w:val="pl-PL"/>
        </w:rPr>
        <w:t xml:space="preserve">(i roli sądów) </w:t>
      </w:r>
      <w:r w:rsidR="00E533F3">
        <w:rPr>
          <w:lang w:val="pl-PL"/>
        </w:rPr>
        <w:t xml:space="preserve">w postępowaniu, w którym część </w:t>
      </w:r>
      <w:r w:rsidR="00746FB4">
        <w:rPr>
          <w:lang w:val="pl-PL"/>
        </w:rPr>
        <w:t xml:space="preserve">dokumentów </w:t>
      </w:r>
      <w:r w:rsidR="00E533F3">
        <w:rPr>
          <w:lang w:val="pl-PL"/>
        </w:rPr>
        <w:t>jest utajniona i niedostępna dla skarżącego</w:t>
      </w:r>
    </w:p>
    <w:p w:rsidR="004D4D79" w:rsidRPr="00EF0B90" w:rsidRDefault="004D4D79" w:rsidP="00EF0B90">
      <w:pPr>
        <w:pStyle w:val="Nagwek2"/>
        <w:numPr>
          <w:ilvl w:val="0"/>
          <w:numId w:val="1"/>
        </w:numPr>
      </w:pPr>
      <w:bookmarkStart w:id="12" w:name="_Toc439346293"/>
      <w:proofErr w:type="spellStart"/>
      <w:r w:rsidRPr="00EF0B90">
        <w:lastRenderedPageBreak/>
        <w:t>Ebrahimian</w:t>
      </w:r>
      <w:proofErr w:type="spellEnd"/>
      <w:r w:rsidRPr="00EF0B90">
        <w:t xml:space="preserve"> p. Francji, nr 64846/11, wyrok Izby z 26</w:t>
      </w:r>
      <w:r w:rsidR="00DD593A">
        <w:t>.11.</w:t>
      </w:r>
      <w:r w:rsidRPr="00EF0B90">
        <w:t>2015 r.</w:t>
      </w:r>
      <w:r w:rsidR="001C57E0">
        <w:t>, nieostateczny</w:t>
      </w:r>
      <w:bookmarkEnd w:id="12"/>
    </w:p>
    <w:p w:rsidR="004D4D79" w:rsidRPr="000C5931" w:rsidRDefault="001C102A" w:rsidP="00DD593A">
      <w:pPr>
        <w:keepNext/>
        <w:keepLines/>
        <w:spacing w:after="360" w:line="240" w:lineRule="auto"/>
        <w:jc w:val="both"/>
        <w:outlineLvl w:val="2"/>
        <w:rPr>
          <w:b/>
          <w:color w:val="000000" w:themeColor="text1"/>
          <w:lang w:val="pl-PL"/>
        </w:rPr>
      </w:pPr>
      <w:bookmarkStart w:id="13" w:name="_Toc439346294"/>
      <w:r w:rsidRPr="000C5931">
        <w:rPr>
          <w:b/>
          <w:color w:val="000000" w:themeColor="text1"/>
          <w:lang w:val="pl-PL"/>
        </w:rPr>
        <w:t>- brak naruszenia art. 9 Konwencji (wolność myśli, sumienia i wyznania) w sprawie dotyczącej nieprzedłużenia umowy o pracę z pracownicą socjalną, która</w:t>
      </w:r>
      <w:r w:rsidR="004D4D79" w:rsidRPr="000C5931">
        <w:rPr>
          <w:b/>
          <w:color w:val="000000" w:themeColor="text1"/>
          <w:lang w:val="pl-PL"/>
        </w:rPr>
        <w:t xml:space="preserve"> posiadał</w:t>
      </w:r>
      <w:r w:rsidRPr="000C5931">
        <w:rPr>
          <w:b/>
          <w:color w:val="000000" w:themeColor="text1"/>
          <w:lang w:val="pl-PL"/>
        </w:rPr>
        <w:t>a</w:t>
      </w:r>
      <w:r w:rsidR="004D4D79" w:rsidRPr="000C5931">
        <w:rPr>
          <w:b/>
          <w:color w:val="000000" w:themeColor="text1"/>
          <w:lang w:val="pl-PL"/>
        </w:rPr>
        <w:t xml:space="preserve"> jednocześnie status</w:t>
      </w:r>
      <w:r w:rsidR="000C5931" w:rsidRPr="000C5931">
        <w:rPr>
          <w:b/>
          <w:color w:val="000000" w:themeColor="text1"/>
          <w:lang w:val="pl-PL"/>
        </w:rPr>
        <w:t xml:space="preserve"> francuskiego</w:t>
      </w:r>
      <w:r w:rsidR="004D4D79" w:rsidRPr="000C5931">
        <w:rPr>
          <w:b/>
          <w:color w:val="000000" w:themeColor="text1"/>
          <w:lang w:val="pl-PL"/>
        </w:rPr>
        <w:t xml:space="preserve"> urzędnika państwowego, z powodu noszenia chusty</w:t>
      </w:r>
      <w:r w:rsidR="00660203" w:rsidRPr="000C5931">
        <w:rPr>
          <w:b/>
          <w:color w:val="000000" w:themeColor="text1"/>
          <w:lang w:val="pl-PL"/>
        </w:rPr>
        <w:t xml:space="preserve"> </w:t>
      </w:r>
      <w:r w:rsidR="004D4D79" w:rsidRPr="000C5931">
        <w:rPr>
          <w:b/>
          <w:color w:val="000000" w:themeColor="text1"/>
          <w:lang w:val="pl-PL"/>
        </w:rPr>
        <w:t>w trakcie wykonywania obowiązków służbowych</w:t>
      </w:r>
      <w:bookmarkEnd w:id="13"/>
      <w:r w:rsidR="004D4D79" w:rsidRPr="000C5931">
        <w:rPr>
          <w:b/>
          <w:color w:val="000000" w:themeColor="text1"/>
          <w:lang w:val="pl-PL"/>
        </w:rPr>
        <w:t xml:space="preserve"> </w:t>
      </w:r>
    </w:p>
    <w:p w:rsidR="000569E0" w:rsidRPr="00B90321" w:rsidRDefault="000569E0" w:rsidP="000569E0">
      <w:pPr>
        <w:spacing w:after="120" w:line="240" w:lineRule="auto"/>
        <w:jc w:val="both"/>
        <w:rPr>
          <w:u w:val="single"/>
          <w:lang w:val="pl-PL"/>
        </w:rPr>
      </w:pPr>
      <w:r w:rsidRPr="00B90321">
        <w:rPr>
          <w:u w:val="single"/>
          <w:lang w:val="pl-PL"/>
        </w:rPr>
        <w:t>Stan faktyczny i zarzuty skarżąc</w:t>
      </w:r>
      <w:r w:rsidR="00DD593A">
        <w:rPr>
          <w:u w:val="single"/>
          <w:lang w:val="pl-PL"/>
        </w:rPr>
        <w:t>e</w:t>
      </w:r>
      <w:r w:rsidR="008212E1">
        <w:rPr>
          <w:u w:val="single"/>
          <w:lang w:val="pl-PL"/>
        </w:rPr>
        <w:t>j</w:t>
      </w:r>
    </w:p>
    <w:p w:rsidR="004D4D79" w:rsidRPr="004D4D79" w:rsidRDefault="004D4D79" w:rsidP="00B90321">
      <w:pPr>
        <w:spacing w:after="120" w:line="240" w:lineRule="auto"/>
        <w:jc w:val="both"/>
        <w:rPr>
          <w:lang w:val="pl-PL"/>
        </w:rPr>
      </w:pPr>
      <w:r w:rsidRPr="004D4D79">
        <w:rPr>
          <w:lang w:val="pl-PL"/>
        </w:rPr>
        <w:t xml:space="preserve">Skarżącą w niniejszej sprawie była </w:t>
      </w:r>
      <w:proofErr w:type="spellStart"/>
      <w:r w:rsidRPr="004D4D79">
        <w:rPr>
          <w:lang w:val="pl-PL"/>
        </w:rPr>
        <w:t>Christiane</w:t>
      </w:r>
      <w:proofErr w:type="spellEnd"/>
      <w:r w:rsidRPr="004D4D79">
        <w:rPr>
          <w:lang w:val="pl-PL"/>
        </w:rPr>
        <w:t xml:space="preserve"> </w:t>
      </w:r>
      <w:proofErr w:type="spellStart"/>
      <w:r w:rsidRPr="004D4D79">
        <w:rPr>
          <w:lang w:val="pl-PL"/>
        </w:rPr>
        <w:t>Ebrahimian</w:t>
      </w:r>
      <w:proofErr w:type="spellEnd"/>
      <w:r w:rsidRPr="004D4D79">
        <w:rPr>
          <w:lang w:val="pl-PL"/>
        </w:rPr>
        <w:t xml:space="preserve">, posiadająca obywatelstwo </w:t>
      </w:r>
      <w:r w:rsidR="003D3E73">
        <w:rPr>
          <w:lang w:val="pl-PL"/>
        </w:rPr>
        <w:t>francuskie</w:t>
      </w:r>
      <w:r w:rsidRPr="004D4D79">
        <w:rPr>
          <w:lang w:val="pl-PL"/>
        </w:rPr>
        <w:t xml:space="preserve">, zatrudniona na umowę o pracę na czas określony na stanowisku pracownika socjalnego </w:t>
      </w:r>
      <w:r w:rsidRPr="004D4D79">
        <w:rPr>
          <w:lang w:val="pl-PL"/>
        </w:rPr>
        <w:br/>
        <w:t xml:space="preserve">w </w:t>
      </w:r>
      <w:r w:rsidR="000C5931">
        <w:rPr>
          <w:lang w:val="pl-PL"/>
        </w:rPr>
        <w:t xml:space="preserve">Centrum przyjęć i leczenia szpitalnego </w:t>
      </w:r>
      <w:r w:rsidR="0003682F" w:rsidRPr="004D4D79">
        <w:rPr>
          <w:lang w:val="pl-PL"/>
        </w:rPr>
        <w:t>(CASH)</w:t>
      </w:r>
      <w:r w:rsidR="0003682F">
        <w:rPr>
          <w:lang w:val="pl-PL"/>
        </w:rPr>
        <w:t xml:space="preserve"> </w:t>
      </w:r>
      <w:r w:rsidR="000C5931">
        <w:rPr>
          <w:lang w:val="pl-PL"/>
        </w:rPr>
        <w:t xml:space="preserve">w </w:t>
      </w:r>
      <w:r w:rsidRPr="004D4D79">
        <w:rPr>
          <w:lang w:val="pl-PL"/>
        </w:rPr>
        <w:t xml:space="preserve">Nanterre. Umowa o pracę została zawarta ze skarżącą na okres 3 miesięcy, a następnie przedłużona na kolejny rok, tj. do dnia 31 grudnia 2000 r. </w:t>
      </w:r>
    </w:p>
    <w:p w:rsidR="004D4D79" w:rsidRPr="004D4D79" w:rsidRDefault="004D4D79" w:rsidP="00B90321">
      <w:pPr>
        <w:spacing w:after="120" w:line="240" w:lineRule="auto"/>
        <w:jc w:val="both"/>
        <w:rPr>
          <w:lang w:val="pl-PL"/>
        </w:rPr>
      </w:pPr>
      <w:r w:rsidRPr="004D4D79">
        <w:rPr>
          <w:lang w:val="pl-PL"/>
        </w:rPr>
        <w:t xml:space="preserve">W </w:t>
      </w:r>
      <w:r w:rsidR="000C5931">
        <w:rPr>
          <w:lang w:val="pl-PL"/>
        </w:rPr>
        <w:t>grudniu</w:t>
      </w:r>
      <w:r w:rsidRPr="004D4D79">
        <w:rPr>
          <w:lang w:val="pl-PL"/>
        </w:rPr>
        <w:t xml:space="preserve"> 2000 r. skarżąca została poinformowana przez </w:t>
      </w:r>
      <w:r w:rsidR="000C5931">
        <w:rPr>
          <w:lang w:val="pl-PL"/>
        </w:rPr>
        <w:t>d</w:t>
      </w:r>
      <w:r w:rsidRPr="004D4D79">
        <w:rPr>
          <w:lang w:val="pl-PL"/>
        </w:rPr>
        <w:t xml:space="preserve">yrektora kadr, że jej umowa nie zostanie przedłużona ze względu na jej odmowę zdjęcia noszonej przez nią chusty i związanych z tym skarg pacjentów. Skarżąca nie nosiła burki ani </w:t>
      </w:r>
      <w:proofErr w:type="spellStart"/>
      <w:r w:rsidRPr="004D4D79">
        <w:rPr>
          <w:lang w:val="pl-PL"/>
        </w:rPr>
        <w:t>nikabu</w:t>
      </w:r>
      <w:proofErr w:type="spellEnd"/>
      <w:r w:rsidRPr="004D4D79">
        <w:rPr>
          <w:lang w:val="pl-PL"/>
        </w:rPr>
        <w:t xml:space="preserve">, lecz chustę, która zakrywała jej włosy, szyję i uszy, </w:t>
      </w:r>
      <w:r w:rsidR="000C5931">
        <w:rPr>
          <w:lang w:val="pl-PL"/>
        </w:rPr>
        <w:t xml:space="preserve">pozostawiając </w:t>
      </w:r>
      <w:r w:rsidRPr="004D4D79">
        <w:rPr>
          <w:lang w:val="pl-PL"/>
        </w:rPr>
        <w:t xml:space="preserve">twarz </w:t>
      </w:r>
      <w:r w:rsidR="000C5931">
        <w:rPr>
          <w:lang w:val="pl-PL"/>
        </w:rPr>
        <w:t>całkowicie odsłoniętą</w:t>
      </w:r>
      <w:r w:rsidRPr="004D4D79">
        <w:rPr>
          <w:lang w:val="pl-PL"/>
        </w:rPr>
        <w:t xml:space="preserve">. </w:t>
      </w:r>
    </w:p>
    <w:p w:rsidR="004D4D79" w:rsidRPr="004D4D79" w:rsidRDefault="004D4D79" w:rsidP="00B90321">
      <w:pPr>
        <w:spacing w:after="120" w:line="240" w:lineRule="auto"/>
        <w:jc w:val="both"/>
        <w:rPr>
          <w:lang w:val="pl-PL"/>
        </w:rPr>
      </w:pPr>
      <w:r w:rsidRPr="004D4D79">
        <w:rPr>
          <w:lang w:val="pl-PL"/>
        </w:rPr>
        <w:t xml:space="preserve">Dyrektor kadr wysłał skarżącej pisemne przypomnienie o opinii wydanej </w:t>
      </w:r>
      <w:r w:rsidR="000C5931">
        <w:rPr>
          <w:lang w:val="pl-PL"/>
        </w:rPr>
        <w:t>w dniu</w:t>
      </w:r>
      <w:r w:rsidR="000C5931" w:rsidRPr="004D4D79">
        <w:rPr>
          <w:lang w:val="pl-PL"/>
        </w:rPr>
        <w:t xml:space="preserve"> 3 maja 2000 r. </w:t>
      </w:r>
      <w:r w:rsidRPr="004D4D79">
        <w:rPr>
          <w:lang w:val="pl-PL"/>
        </w:rPr>
        <w:t xml:space="preserve">przez </w:t>
      </w:r>
      <w:r w:rsidR="000C5931">
        <w:rPr>
          <w:lang w:val="pl-PL"/>
        </w:rPr>
        <w:t>Radę Stanu (</w:t>
      </w:r>
      <w:proofErr w:type="spellStart"/>
      <w:r w:rsidRPr="00B21F71">
        <w:rPr>
          <w:i/>
          <w:lang w:val="pl-PL"/>
        </w:rPr>
        <w:t>Conseil</w:t>
      </w:r>
      <w:proofErr w:type="spellEnd"/>
      <w:r w:rsidRPr="00B21F71">
        <w:rPr>
          <w:i/>
          <w:lang w:val="pl-PL"/>
        </w:rPr>
        <w:t xml:space="preserve"> </w:t>
      </w:r>
      <w:proofErr w:type="spellStart"/>
      <w:r w:rsidRPr="00B21F71">
        <w:rPr>
          <w:i/>
          <w:lang w:val="pl-PL"/>
        </w:rPr>
        <w:t>d’Etat</w:t>
      </w:r>
      <w:proofErr w:type="spellEnd"/>
      <w:r w:rsidR="000C5931">
        <w:rPr>
          <w:lang w:val="pl-PL"/>
        </w:rPr>
        <w:t>),</w:t>
      </w:r>
      <w:r w:rsidRPr="004D4D79">
        <w:rPr>
          <w:lang w:val="pl-PL"/>
        </w:rPr>
        <w:t xml:space="preserve"> zgodnie z którą zasada laickości państwa zabrania urzędnikom państwowym manifestowania swoich przekonań religijnych w trakcie pełnienia przez nich obowiązków służbowych. Noszenie widocznych symboli przynależności religijnej stanowi zatem naruszenie obowiązków urzędnika państwowego. </w:t>
      </w:r>
    </w:p>
    <w:p w:rsidR="004D4D79" w:rsidRDefault="004D4D79" w:rsidP="00B90321">
      <w:pPr>
        <w:spacing w:after="120" w:line="240" w:lineRule="auto"/>
        <w:jc w:val="both"/>
        <w:rPr>
          <w:lang w:val="pl-PL"/>
        </w:rPr>
      </w:pPr>
      <w:r w:rsidRPr="004D4D79">
        <w:rPr>
          <w:lang w:val="pl-PL"/>
        </w:rPr>
        <w:t xml:space="preserve">Skarżąca odwołała się Sądu Administracyjnego w Paryżu, który uznał, że nieponowienie umowy o pracę ze </w:t>
      </w:r>
      <w:r w:rsidR="007553AB">
        <w:rPr>
          <w:lang w:val="pl-PL"/>
        </w:rPr>
        <w:t>s</w:t>
      </w:r>
      <w:r w:rsidRPr="004D4D79">
        <w:rPr>
          <w:lang w:val="pl-PL"/>
        </w:rPr>
        <w:t xml:space="preserve">karżącą oraz wszczęcie postępowania dyscyplinarnego było zgodne z zasadą świeckości i neutralności państwa. Skarżąca odwołała się następnie do Administracyjnego Sądu Apelacyjnego w Paryżu, który uchylił decyzję ze względu na braki proceduralne – brak możliwości zapoznania się przez skarżącą z aktami sprawy przed wydaniem decyzji. Po udostępnieniu </w:t>
      </w:r>
      <w:r w:rsidR="007553AB">
        <w:rPr>
          <w:lang w:val="pl-PL"/>
        </w:rPr>
        <w:t>s</w:t>
      </w:r>
      <w:r w:rsidRPr="004D4D79">
        <w:rPr>
          <w:lang w:val="pl-PL"/>
        </w:rPr>
        <w:t>karżącej akt sprawy, Sąd Administracyjny odrzucił apelację skarżącej, a następnie Administracyjny Sąd Apelacyjny utrzymał</w:t>
      </w:r>
      <w:r w:rsidR="0003682F">
        <w:rPr>
          <w:lang w:val="pl-PL"/>
        </w:rPr>
        <w:t xml:space="preserve"> w mocy</w:t>
      </w:r>
      <w:r w:rsidRPr="004D4D79">
        <w:rPr>
          <w:lang w:val="pl-PL"/>
        </w:rPr>
        <w:t xml:space="preserve"> to orzeczenie. </w:t>
      </w:r>
      <w:r w:rsidR="0003682F">
        <w:rPr>
          <w:lang w:val="pl-PL"/>
        </w:rPr>
        <w:t xml:space="preserve">Odwołanie </w:t>
      </w:r>
      <w:r w:rsidRPr="004D4D79">
        <w:rPr>
          <w:lang w:val="pl-PL"/>
        </w:rPr>
        <w:t xml:space="preserve">do </w:t>
      </w:r>
      <w:r w:rsidR="007553AB">
        <w:rPr>
          <w:lang w:val="pl-PL"/>
        </w:rPr>
        <w:t xml:space="preserve">Rady Stanu </w:t>
      </w:r>
      <w:r w:rsidR="0003682F">
        <w:rPr>
          <w:lang w:val="pl-PL"/>
        </w:rPr>
        <w:t>było</w:t>
      </w:r>
      <w:r w:rsidRPr="004D4D79">
        <w:rPr>
          <w:lang w:val="pl-PL"/>
        </w:rPr>
        <w:t xml:space="preserve"> niedopuszczaln</w:t>
      </w:r>
      <w:r w:rsidR="0003682F">
        <w:rPr>
          <w:lang w:val="pl-PL"/>
        </w:rPr>
        <w:t>e</w:t>
      </w:r>
      <w:r w:rsidRPr="004D4D79">
        <w:rPr>
          <w:lang w:val="pl-PL"/>
        </w:rPr>
        <w:t xml:space="preserve">. </w:t>
      </w:r>
    </w:p>
    <w:p w:rsidR="00B21F71" w:rsidRDefault="00B21F71" w:rsidP="00495400">
      <w:pPr>
        <w:spacing w:after="120" w:line="240" w:lineRule="auto"/>
        <w:jc w:val="both"/>
        <w:rPr>
          <w:lang w:val="pl-PL"/>
        </w:rPr>
      </w:pPr>
      <w:r>
        <w:rPr>
          <w:lang w:val="pl-PL"/>
        </w:rPr>
        <w:t>Skarżąca zarzucała</w:t>
      </w:r>
      <w:r w:rsidR="00550787">
        <w:rPr>
          <w:lang w:val="pl-PL"/>
        </w:rPr>
        <w:t xml:space="preserve"> przed Trybunałem</w:t>
      </w:r>
      <w:r>
        <w:rPr>
          <w:lang w:val="pl-PL"/>
        </w:rPr>
        <w:t xml:space="preserve">, że nieprzedłużenie z nią umowy o pracę było sprzeczne z jej prawem do wolności uzewnętrzniania wyznania przewidzianym przez art. 9 Konwencji. </w:t>
      </w:r>
    </w:p>
    <w:p w:rsidR="00495400" w:rsidRPr="004D4D79" w:rsidRDefault="00495400" w:rsidP="00495400">
      <w:pPr>
        <w:spacing w:after="120" w:line="240" w:lineRule="auto"/>
        <w:jc w:val="both"/>
        <w:rPr>
          <w:lang w:val="pl-PL"/>
        </w:rPr>
      </w:pPr>
      <w:r w:rsidRPr="004D4D79">
        <w:rPr>
          <w:lang w:val="pl-PL"/>
        </w:rPr>
        <w:t xml:space="preserve">W trakcie postępowania </w:t>
      </w:r>
      <w:r>
        <w:rPr>
          <w:lang w:val="pl-PL"/>
        </w:rPr>
        <w:t xml:space="preserve">przed Trybunałem </w:t>
      </w:r>
      <w:r w:rsidRPr="004D4D79">
        <w:rPr>
          <w:lang w:val="pl-PL"/>
        </w:rPr>
        <w:t xml:space="preserve">rząd Francji zwrócił uwagę, iż skarżąca dobrowolnie nabyła status funkcjonariusza publicznego, a tym samym przyjęła na siebie związane z tym obowiązki. Podkreślił również, że nie istniał żaden obowiązek zawarcia ze skarżącą kolejnej umowy o pracę. </w:t>
      </w:r>
    </w:p>
    <w:p w:rsidR="004D4D79" w:rsidRPr="000569E0" w:rsidRDefault="000569E0" w:rsidP="00B90321">
      <w:pPr>
        <w:spacing w:after="120" w:line="240" w:lineRule="auto"/>
        <w:jc w:val="both"/>
        <w:rPr>
          <w:u w:val="single"/>
          <w:lang w:val="pl-PL"/>
        </w:rPr>
      </w:pPr>
      <w:r w:rsidRPr="000569E0">
        <w:rPr>
          <w:u w:val="single"/>
          <w:lang w:val="pl-PL"/>
        </w:rPr>
        <w:t>Ocena</w:t>
      </w:r>
      <w:r w:rsidR="004D4D79" w:rsidRPr="000569E0">
        <w:rPr>
          <w:u w:val="single"/>
          <w:lang w:val="pl-PL"/>
        </w:rPr>
        <w:t xml:space="preserve"> </w:t>
      </w:r>
      <w:r w:rsidRPr="000569E0">
        <w:rPr>
          <w:u w:val="single"/>
          <w:lang w:val="pl-PL"/>
        </w:rPr>
        <w:t>Trybunału</w:t>
      </w:r>
    </w:p>
    <w:p w:rsidR="004D4D79" w:rsidRPr="004D4D79" w:rsidRDefault="004D4D79" w:rsidP="00B90321">
      <w:pPr>
        <w:spacing w:after="120" w:line="240" w:lineRule="auto"/>
        <w:jc w:val="both"/>
        <w:rPr>
          <w:lang w:val="pl-PL"/>
        </w:rPr>
      </w:pPr>
      <w:r w:rsidRPr="004D4D79">
        <w:rPr>
          <w:lang w:val="pl-PL"/>
        </w:rPr>
        <w:t xml:space="preserve">Trybunał przyjął, że </w:t>
      </w:r>
      <w:r w:rsidR="00495400">
        <w:rPr>
          <w:lang w:val="pl-PL"/>
        </w:rPr>
        <w:t xml:space="preserve">w sprawie doszło do ingerencji w prawo </w:t>
      </w:r>
      <w:r w:rsidR="00CA4692">
        <w:rPr>
          <w:lang w:val="pl-PL"/>
        </w:rPr>
        <w:t xml:space="preserve">skarżącej </w:t>
      </w:r>
      <w:r w:rsidR="00495400">
        <w:rPr>
          <w:lang w:val="pl-PL"/>
        </w:rPr>
        <w:t xml:space="preserve">do wolności uzewnętrzniania wyznania </w:t>
      </w:r>
      <w:r w:rsidR="00E6253E">
        <w:rPr>
          <w:lang w:val="pl-PL"/>
        </w:rPr>
        <w:t>chronionej art. 9 Konwencji</w:t>
      </w:r>
      <w:r w:rsidR="00BC46E5">
        <w:rPr>
          <w:lang w:val="pl-PL"/>
        </w:rPr>
        <w:t xml:space="preserve"> i zbadał, czy była ona zgodna z wymogami określonymi w art. 9 ust. 2 Konwencji</w:t>
      </w:r>
      <w:r w:rsidR="00495400">
        <w:rPr>
          <w:lang w:val="pl-PL"/>
        </w:rPr>
        <w:t>.</w:t>
      </w:r>
      <w:r w:rsidR="00CA4692">
        <w:rPr>
          <w:lang w:val="pl-PL"/>
        </w:rPr>
        <w:t xml:space="preserve"> Uznał, że</w:t>
      </w:r>
      <w:r w:rsidR="00495400">
        <w:rPr>
          <w:lang w:val="pl-PL"/>
        </w:rPr>
        <w:t xml:space="preserve"> </w:t>
      </w:r>
      <w:r w:rsidR="00CA4692">
        <w:rPr>
          <w:lang w:val="pl-PL"/>
        </w:rPr>
        <w:t>i</w:t>
      </w:r>
      <w:r w:rsidRPr="004D4D79">
        <w:rPr>
          <w:lang w:val="pl-PL"/>
        </w:rPr>
        <w:t xml:space="preserve">ngerencja </w:t>
      </w:r>
      <w:r w:rsidR="00E6253E">
        <w:rPr>
          <w:lang w:val="pl-PL"/>
        </w:rPr>
        <w:t xml:space="preserve">ta </w:t>
      </w:r>
      <w:r w:rsidR="00495400">
        <w:rPr>
          <w:lang w:val="pl-PL"/>
        </w:rPr>
        <w:t>była przewidziana w ustawie i miała uprawniony cel – ochronę</w:t>
      </w:r>
      <w:r w:rsidRPr="004D4D79">
        <w:rPr>
          <w:lang w:val="pl-PL"/>
        </w:rPr>
        <w:t xml:space="preserve"> wolności wyznania pacjentów, osób korzystających z usług publicznych oraz o</w:t>
      </w:r>
      <w:r w:rsidR="00F67738">
        <w:rPr>
          <w:lang w:val="pl-PL"/>
        </w:rPr>
        <w:t>sób uprawnionych, którym powinna zostać zapewniona</w:t>
      </w:r>
      <w:r w:rsidRPr="004D4D79">
        <w:rPr>
          <w:lang w:val="pl-PL"/>
        </w:rPr>
        <w:t xml:space="preserve"> </w:t>
      </w:r>
      <w:r w:rsidR="00F67738">
        <w:rPr>
          <w:lang w:val="pl-PL"/>
        </w:rPr>
        <w:t>równość</w:t>
      </w:r>
      <w:r w:rsidRPr="004D4D79">
        <w:rPr>
          <w:lang w:val="pl-PL"/>
        </w:rPr>
        <w:t xml:space="preserve"> wobec prawa. Przyjętą polityka państwa miała promować równość szans i nie dopuścić do zachowań dyskryminujących os</w:t>
      </w:r>
      <w:r w:rsidR="0003682F">
        <w:rPr>
          <w:lang w:val="pl-PL"/>
        </w:rPr>
        <w:t>oby trzecie</w:t>
      </w:r>
      <w:r w:rsidRPr="004D4D79">
        <w:rPr>
          <w:lang w:val="pl-PL"/>
        </w:rPr>
        <w:t xml:space="preserve">. </w:t>
      </w:r>
    </w:p>
    <w:p w:rsidR="009B1AD5" w:rsidRDefault="00E6253E" w:rsidP="009B1AD5">
      <w:pPr>
        <w:spacing w:after="120" w:line="240" w:lineRule="auto"/>
        <w:jc w:val="both"/>
        <w:rPr>
          <w:lang w:val="pl-PL"/>
        </w:rPr>
      </w:pPr>
      <w:r>
        <w:rPr>
          <w:lang w:val="pl-PL"/>
        </w:rPr>
        <w:t>Analizując</w:t>
      </w:r>
      <w:r w:rsidR="00495400">
        <w:rPr>
          <w:lang w:val="pl-PL"/>
        </w:rPr>
        <w:t>,</w:t>
      </w:r>
      <w:r w:rsidR="004D4D79" w:rsidRPr="004D4D79">
        <w:rPr>
          <w:lang w:val="pl-PL"/>
        </w:rPr>
        <w:t xml:space="preserve"> czy ingerencja ta była konieczna w </w:t>
      </w:r>
      <w:r>
        <w:rPr>
          <w:lang w:val="pl-PL"/>
        </w:rPr>
        <w:t>społeczeństwie d</w:t>
      </w:r>
      <w:r w:rsidR="004A133B">
        <w:rPr>
          <w:lang w:val="pl-PL"/>
        </w:rPr>
        <w:t>e</w:t>
      </w:r>
      <w:r>
        <w:rPr>
          <w:lang w:val="pl-PL"/>
        </w:rPr>
        <w:t>mokratycznym</w:t>
      </w:r>
      <w:r w:rsidR="004D4D79" w:rsidRPr="004D4D79">
        <w:rPr>
          <w:lang w:val="pl-PL"/>
        </w:rPr>
        <w:t xml:space="preserve">, Trybunał </w:t>
      </w:r>
      <w:r w:rsidR="00501FC5">
        <w:rPr>
          <w:lang w:val="pl-PL"/>
        </w:rPr>
        <w:t xml:space="preserve">przypomniał na wstępie </w:t>
      </w:r>
      <w:r w:rsidR="00AC4FF8">
        <w:rPr>
          <w:lang w:val="pl-PL"/>
        </w:rPr>
        <w:t xml:space="preserve">ogólne </w:t>
      </w:r>
      <w:r w:rsidR="00501FC5">
        <w:rPr>
          <w:lang w:val="pl-PL"/>
        </w:rPr>
        <w:t xml:space="preserve">zasady </w:t>
      </w:r>
      <w:r w:rsidR="009B1AD5">
        <w:rPr>
          <w:lang w:val="pl-PL"/>
        </w:rPr>
        <w:t>wypracowane w swym orzecznictwie</w:t>
      </w:r>
      <w:r w:rsidR="00501FC5">
        <w:rPr>
          <w:lang w:val="pl-PL"/>
        </w:rPr>
        <w:t>, w tym znaczenie wolności myśli, sumienia i wyznania w spo</w:t>
      </w:r>
      <w:r w:rsidR="00F67738">
        <w:rPr>
          <w:lang w:val="pl-PL"/>
        </w:rPr>
        <w:t>łeczeństwie demokratycznym</w:t>
      </w:r>
      <w:r w:rsidR="00501FC5">
        <w:rPr>
          <w:lang w:val="pl-PL"/>
        </w:rPr>
        <w:t xml:space="preserve"> </w:t>
      </w:r>
      <w:r w:rsidR="00CA4692">
        <w:rPr>
          <w:lang w:val="pl-PL"/>
        </w:rPr>
        <w:t xml:space="preserve">oraz </w:t>
      </w:r>
      <w:r w:rsidR="00501FC5">
        <w:rPr>
          <w:lang w:val="pl-PL"/>
        </w:rPr>
        <w:t xml:space="preserve">rolę państwa jako neutralnego i bezstronnego organizatora </w:t>
      </w:r>
      <w:r w:rsidR="004A133B">
        <w:rPr>
          <w:lang w:val="pl-PL"/>
        </w:rPr>
        <w:t>praktykowania różnych religii, kultów i wierzeń. Przypomniał, że w odniesieniu do kwestii relacji między państwem a religiami, co do których mogą istnieć różnice opinii w społeczeństwie demokratycznym, szczególne znaczenie</w:t>
      </w:r>
      <w:r w:rsidR="00843C5C">
        <w:rPr>
          <w:lang w:val="pl-PL"/>
        </w:rPr>
        <w:t xml:space="preserve"> </w:t>
      </w:r>
      <w:r w:rsidR="00220626">
        <w:rPr>
          <w:lang w:val="pl-PL"/>
        </w:rPr>
        <w:t xml:space="preserve">należy przyznać </w:t>
      </w:r>
      <w:r w:rsidR="00843C5C">
        <w:rPr>
          <w:lang w:val="pl-PL"/>
        </w:rPr>
        <w:t>roli decydentów krajowych</w:t>
      </w:r>
      <w:r w:rsidR="004A133B">
        <w:rPr>
          <w:lang w:val="pl-PL"/>
        </w:rPr>
        <w:t xml:space="preserve">. Dotyczy to </w:t>
      </w:r>
      <w:r w:rsidR="009B1AD5">
        <w:rPr>
          <w:lang w:val="pl-PL"/>
        </w:rPr>
        <w:t>także kwestii</w:t>
      </w:r>
      <w:r w:rsidR="004A133B">
        <w:rPr>
          <w:lang w:val="pl-PL"/>
        </w:rPr>
        <w:t xml:space="preserve"> </w:t>
      </w:r>
      <w:r w:rsidR="00AC4FF8">
        <w:rPr>
          <w:lang w:val="pl-PL"/>
        </w:rPr>
        <w:t xml:space="preserve">regulowania </w:t>
      </w:r>
      <w:r w:rsidR="004A133B">
        <w:rPr>
          <w:lang w:val="pl-PL"/>
        </w:rPr>
        <w:t>ubiorów i symboli religijnych</w:t>
      </w:r>
      <w:r w:rsidR="00AC4FF8">
        <w:rPr>
          <w:lang w:val="pl-PL"/>
        </w:rPr>
        <w:t xml:space="preserve"> –</w:t>
      </w:r>
      <w:r w:rsidR="0096376D">
        <w:rPr>
          <w:lang w:val="pl-PL"/>
        </w:rPr>
        <w:t xml:space="preserve"> zważywszy na </w:t>
      </w:r>
      <w:r w:rsidR="00843C5C">
        <w:rPr>
          <w:lang w:val="pl-PL"/>
        </w:rPr>
        <w:t>różni</w:t>
      </w:r>
      <w:r w:rsidR="00BC46E5">
        <w:rPr>
          <w:lang w:val="pl-PL"/>
        </w:rPr>
        <w:t>ce</w:t>
      </w:r>
      <w:r w:rsidR="0096376D">
        <w:rPr>
          <w:lang w:val="pl-PL"/>
        </w:rPr>
        <w:t xml:space="preserve"> </w:t>
      </w:r>
      <w:r w:rsidR="00A65A2C">
        <w:rPr>
          <w:lang w:val="pl-PL"/>
        </w:rPr>
        <w:t>w podejściu</w:t>
      </w:r>
      <w:r w:rsidR="0096376D">
        <w:rPr>
          <w:lang w:val="pl-PL"/>
        </w:rPr>
        <w:t xml:space="preserve"> poszczególnych państw</w:t>
      </w:r>
      <w:r w:rsidR="004A133B">
        <w:rPr>
          <w:lang w:val="pl-PL"/>
        </w:rPr>
        <w:t xml:space="preserve"> </w:t>
      </w:r>
      <w:r w:rsidR="00AC4FF8">
        <w:rPr>
          <w:lang w:val="pl-PL"/>
        </w:rPr>
        <w:t>w tym obszarze, zależn</w:t>
      </w:r>
      <w:r w:rsidR="00A65A2C">
        <w:rPr>
          <w:lang w:val="pl-PL"/>
        </w:rPr>
        <w:t>e</w:t>
      </w:r>
      <w:r w:rsidR="004A133B">
        <w:rPr>
          <w:lang w:val="pl-PL"/>
        </w:rPr>
        <w:t xml:space="preserve"> od tradycji </w:t>
      </w:r>
      <w:r w:rsidR="004A133B">
        <w:rPr>
          <w:lang w:val="pl-PL"/>
        </w:rPr>
        <w:lastRenderedPageBreak/>
        <w:t xml:space="preserve">narodowych i wymogów nałożonych </w:t>
      </w:r>
      <w:r w:rsidR="00CA4692">
        <w:rPr>
          <w:lang w:val="pl-PL"/>
        </w:rPr>
        <w:t xml:space="preserve">dla </w:t>
      </w:r>
      <w:r w:rsidR="004A133B">
        <w:rPr>
          <w:lang w:val="pl-PL"/>
        </w:rPr>
        <w:t>ochrony praw i wolności innych osób oraz porządku publicznego.</w:t>
      </w:r>
      <w:r w:rsidR="00843C5C">
        <w:rPr>
          <w:lang w:val="pl-PL"/>
        </w:rPr>
        <w:t xml:space="preserve"> </w:t>
      </w:r>
    </w:p>
    <w:p w:rsidR="00675868" w:rsidRPr="006A6AC6" w:rsidRDefault="00843C5C" w:rsidP="00675868">
      <w:pPr>
        <w:spacing w:after="120" w:line="240" w:lineRule="auto"/>
        <w:jc w:val="both"/>
        <w:rPr>
          <w:rStyle w:val="sb8d990e2"/>
          <w:lang w:val="pl-PL"/>
        </w:rPr>
      </w:pPr>
      <w:r>
        <w:rPr>
          <w:lang w:val="pl-PL"/>
        </w:rPr>
        <w:t xml:space="preserve">W odniesieniu do obecnej </w:t>
      </w:r>
      <w:r w:rsidRPr="00E618CF">
        <w:rPr>
          <w:lang w:val="pl-PL"/>
        </w:rPr>
        <w:t xml:space="preserve">sprawy </w:t>
      </w:r>
      <w:r w:rsidR="00675868" w:rsidRPr="00F108F0">
        <w:rPr>
          <w:rStyle w:val="sb8d990e2"/>
          <w:lang w:val="pl-PL"/>
        </w:rPr>
        <w:t>Trybunał odnotował, że oprócz przywołania zasady neutralności służb publicznych, administracja wskaza</w:t>
      </w:r>
      <w:r w:rsidR="00675868">
        <w:rPr>
          <w:rStyle w:val="sb8d990e2"/>
          <w:lang w:val="pl-PL"/>
        </w:rPr>
        <w:t xml:space="preserve">ła skarżącej powody, dla których istniało uzasadnienie zastosowania tej zasady w odniesieniu do osoby zatrudnionej w szpitalu. Administracja zidentyfikowała problemy, które powodowała </w:t>
      </w:r>
      <w:r w:rsidR="00BA252F">
        <w:rPr>
          <w:rStyle w:val="sb8d990e2"/>
          <w:lang w:val="pl-PL"/>
        </w:rPr>
        <w:t xml:space="preserve">jej </w:t>
      </w:r>
      <w:r w:rsidR="00675868">
        <w:rPr>
          <w:rStyle w:val="sb8d990e2"/>
          <w:lang w:val="pl-PL"/>
        </w:rPr>
        <w:t xml:space="preserve">postawa i próbowała zachęcić ją do zaprzestania manifestowania poglądów religijnych. </w:t>
      </w:r>
      <w:r w:rsidRPr="00E618CF">
        <w:rPr>
          <w:lang w:val="pl-PL"/>
        </w:rPr>
        <w:t>Trybunał</w:t>
      </w:r>
      <w:r w:rsidR="00F8489D">
        <w:rPr>
          <w:lang w:val="pl-PL"/>
        </w:rPr>
        <w:t xml:space="preserve"> zaakceptował</w:t>
      </w:r>
      <w:r w:rsidR="004D4D79" w:rsidRPr="00E618CF">
        <w:rPr>
          <w:lang w:val="pl-PL"/>
        </w:rPr>
        <w:t xml:space="preserve">, że </w:t>
      </w:r>
      <w:r w:rsidR="00675868">
        <w:rPr>
          <w:rStyle w:val="sb8d990e2"/>
          <w:lang w:val="pl-PL"/>
        </w:rPr>
        <w:t xml:space="preserve">państwo, która zatrudnia </w:t>
      </w:r>
      <w:r w:rsidR="00BA252F">
        <w:rPr>
          <w:rStyle w:val="sb8d990e2"/>
          <w:lang w:val="pl-PL"/>
        </w:rPr>
        <w:t>daną osobę</w:t>
      </w:r>
      <w:r w:rsidR="00675868">
        <w:rPr>
          <w:rStyle w:val="sb8d990e2"/>
          <w:lang w:val="pl-PL"/>
        </w:rPr>
        <w:t xml:space="preserve"> w szpitalu publicznym, gdzie kontaktuje się ona z pacjentami, może uznać za konieczne, by nie ujawniała </w:t>
      </w:r>
      <w:r w:rsidR="00BA252F">
        <w:rPr>
          <w:rStyle w:val="sb8d990e2"/>
          <w:lang w:val="pl-PL"/>
        </w:rPr>
        <w:t xml:space="preserve">ona </w:t>
      </w:r>
      <w:r w:rsidR="00675868">
        <w:rPr>
          <w:rStyle w:val="sb8d990e2"/>
          <w:lang w:val="pl-PL"/>
        </w:rPr>
        <w:t xml:space="preserve">swych poglądów religijnych przy wykonywaniu swych funkcji w celu zagwarantowania równego traktowania chorych. </w:t>
      </w:r>
      <w:r w:rsidR="00BA252F">
        <w:rPr>
          <w:rStyle w:val="sb8d990e2"/>
          <w:lang w:val="pl-PL"/>
        </w:rPr>
        <w:t xml:space="preserve"> </w:t>
      </w:r>
    </w:p>
    <w:p w:rsidR="00CA4692" w:rsidRDefault="0096376D" w:rsidP="00CA4692">
      <w:pPr>
        <w:spacing w:after="120" w:line="240" w:lineRule="auto"/>
        <w:jc w:val="both"/>
        <w:rPr>
          <w:lang w:val="pl-PL"/>
        </w:rPr>
      </w:pPr>
      <w:r>
        <w:rPr>
          <w:lang w:val="pl-PL"/>
        </w:rPr>
        <w:t>Trybunał zbadał następnie, czy ingerencja w przedmiotowej sprawie była proporcjonalna. O</w:t>
      </w:r>
      <w:r w:rsidR="00BC46E5">
        <w:rPr>
          <w:lang w:val="pl-PL"/>
        </w:rPr>
        <w:t>dnotował, że większość państw RE nie reguluje kwestii noszenia ubioru lub symboli o charakterze religijnym w miejscu pracy, w tym przez funkcjonariuszy, a jedynie pięć państw (na 26 państw, których regulacje zostały przeanalizowane), w tym Francja, całkowicie zakazuje w odniesieniu do nich noszenia znaków religijnych. Trybunał uznał</w:t>
      </w:r>
      <w:r w:rsidR="00F8489D">
        <w:rPr>
          <w:lang w:val="pl-PL"/>
        </w:rPr>
        <w:t xml:space="preserve"> jednak</w:t>
      </w:r>
      <w:r w:rsidR="00BC46E5">
        <w:rPr>
          <w:lang w:val="pl-PL"/>
        </w:rPr>
        <w:t xml:space="preserve">, że należy wziąć pod uwagę kontekst krajowy relacji między państwem a kościołami. Uznał, że w </w:t>
      </w:r>
      <w:r w:rsidR="00CA4692">
        <w:rPr>
          <w:lang w:val="pl-PL"/>
        </w:rPr>
        <w:t xml:space="preserve">tej </w:t>
      </w:r>
      <w:r w:rsidR="00BC46E5">
        <w:rPr>
          <w:lang w:val="pl-PL"/>
        </w:rPr>
        <w:t>sprawie państwo po</w:t>
      </w:r>
      <w:r w:rsidR="00CA4692">
        <w:rPr>
          <w:lang w:val="pl-PL"/>
        </w:rPr>
        <w:t xml:space="preserve">zwane ma szeroki margines oceny i </w:t>
      </w:r>
      <w:r w:rsidR="00BC46E5">
        <w:rPr>
          <w:lang w:val="pl-PL"/>
        </w:rPr>
        <w:t>z</w:t>
      </w:r>
      <w:r w:rsidR="00843C5C" w:rsidRPr="00843C5C">
        <w:rPr>
          <w:lang w:val="pl-PL"/>
        </w:rPr>
        <w:t xml:space="preserve">badał, czy </w:t>
      </w:r>
      <w:r w:rsidR="00CA4692">
        <w:rPr>
          <w:lang w:val="pl-PL"/>
        </w:rPr>
        <w:t xml:space="preserve">w obecnej sprawie </w:t>
      </w:r>
      <w:r w:rsidR="00843C5C" w:rsidRPr="00843C5C">
        <w:rPr>
          <w:lang w:val="pl-PL"/>
        </w:rPr>
        <w:t xml:space="preserve">państwo nie przekroczyło przysługującego mu marginesu oceny. </w:t>
      </w:r>
    </w:p>
    <w:p w:rsidR="007A5089" w:rsidRDefault="00843C5C" w:rsidP="00CA4692">
      <w:pPr>
        <w:spacing w:after="120" w:line="240" w:lineRule="auto"/>
        <w:jc w:val="both"/>
        <w:rPr>
          <w:lang w:val="pl-PL"/>
        </w:rPr>
      </w:pPr>
      <w:r>
        <w:rPr>
          <w:lang w:val="pl-PL"/>
        </w:rPr>
        <w:t>O</w:t>
      </w:r>
      <w:r w:rsidR="00495400">
        <w:rPr>
          <w:lang w:val="pl-PL"/>
        </w:rPr>
        <w:t>dnotował</w:t>
      </w:r>
      <w:r w:rsidR="004D4D79" w:rsidRPr="004D4D79">
        <w:rPr>
          <w:lang w:val="pl-PL"/>
        </w:rPr>
        <w:t xml:space="preserve">, że </w:t>
      </w:r>
      <w:r w:rsidR="00495400">
        <w:rPr>
          <w:lang w:val="pl-PL"/>
        </w:rPr>
        <w:t xml:space="preserve">francuscy </w:t>
      </w:r>
      <w:r w:rsidR="004D4D79" w:rsidRPr="004D4D79">
        <w:rPr>
          <w:lang w:val="pl-PL"/>
        </w:rPr>
        <w:t xml:space="preserve">urzędnicy państwowi </w:t>
      </w:r>
      <w:r w:rsidR="00986419">
        <w:rPr>
          <w:lang w:val="pl-PL"/>
        </w:rPr>
        <w:t>mają zagwarantowane prawo</w:t>
      </w:r>
      <w:r w:rsidR="004D4D79" w:rsidRPr="004D4D79">
        <w:rPr>
          <w:lang w:val="pl-PL"/>
        </w:rPr>
        <w:t xml:space="preserve"> do wolności </w:t>
      </w:r>
      <w:r w:rsidR="00986419">
        <w:rPr>
          <w:lang w:val="pl-PL"/>
        </w:rPr>
        <w:t>sumienia</w:t>
      </w:r>
      <w:r w:rsidR="004D4D79" w:rsidRPr="004D4D79">
        <w:rPr>
          <w:lang w:val="pl-PL"/>
        </w:rPr>
        <w:t xml:space="preserve">, </w:t>
      </w:r>
      <w:r w:rsidR="00986419">
        <w:rPr>
          <w:lang w:val="pl-PL"/>
        </w:rPr>
        <w:t xml:space="preserve">w szczególności zakazana jest jakakolwiek ich dyskryminacja w dostępie do służby i przebiegu kariery z uwagi na wyznanie, </w:t>
      </w:r>
      <w:r w:rsidR="004D4D79" w:rsidRPr="004D4D79">
        <w:rPr>
          <w:lang w:val="pl-PL"/>
        </w:rPr>
        <w:t xml:space="preserve">ale nie mogą manifestować swoich poglądów w trakcie wykonywania obowiązków. Takie ograniczenie wynika z przyjętej </w:t>
      </w:r>
      <w:r w:rsidR="00495400">
        <w:rPr>
          <w:lang w:val="pl-PL"/>
        </w:rPr>
        <w:t>we Francji</w:t>
      </w:r>
      <w:r w:rsidR="006C08DC">
        <w:rPr>
          <w:lang w:val="pl-PL"/>
        </w:rPr>
        <w:t xml:space="preserve"> – </w:t>
      </w:r>
      <w:r w:rsidR="006C08DC" w:rsidRPr="009169E9">
        <w:rPr>
          <w:lang w:val="pl-PL"/>
        </w:rPr>
        <w:t xml:space="preserve">w oparciu o regulacje konstytucyjne </w:t>
      </w:r>
      <w:r w:rsidR="00CA4692">
        <w:rPr>
          <w:lang w:val="pl-PL"/>
        </w:rPr>
        <w:t>–</w:t>
      </w:r>
      <w:r w:rsidR="006C08DC">
        <w:rPr>
          <w:lang w:val="pl-PL"/>
        </w:rPr>
        <w:t xml:space="preserve"> </w:t>
      </w:r>
      <w:r w:rsidR="004D4D79" w:rsidRPr="004D4D79">
        <w:rPr>
          <w:lang w:val="pl-PL"/>
        </w:rPr>
        <w:t>zasady świeckości służb publicznych</w:t>
      </w:r>
      <w:r w:rsidR="007A5089">
        <w:rPr>
          <w:lang w:val="pl-PL"/>
        </w:rPr>
        <w:t xml:space="preserve"> i ma na celu poszanowanie wszystkich przekonań</w:t>
      </w:r>
      <w:r w:rsidR="004D4D79" w:rsidRPr="004D4D79">
        <w:rPr>
          <w:lang w:val="pl-PL"/>
        </w:rPr>
        <w:t>.</w:t>
      </w:r>
    </w:p>
    <w:p w:rsidR="00882221" w:rsidRDefault="007A5089" w:rsidP="00CA4692">
      <w:pPr>
        <w:spacing w:after="120" w:line="240" w:lineRule="auto"/>
        <w:jc w:val="both"/>
        <w:rPr>
          <w:lang w:val="pl-PL"/>
        </w:rPr>
      </w:pPr>
      <w:r w:rsidRPr="007A5089">
        <w:rPr>
          <w:lang w:val="pl-PL"/>
        </w:rPr>
        <w:t xml:space="preserve">Trybunał podkreślił, że już wcześniej akceptował ścisłe przestrzeganie zasady świeckości i neutralności, w przypadku gdy chodzi o zasadę leżącą u </w:t>
      </w:r>
      <w:r w:rsidR="00A65A2C">
        <w:rPr>
          <w:lang w:val="pl-PL"/>
        </w:rPr>
        <w:t xml:space="preserve">samych </w:t>
      </w:r>
      <w:r w:rsidRPr="007A5089">
        <w:rPr>
          <w:lang w:val="pl-PL"/>
        </w:rPr>
        <w:t>podstaw danego państwa, jak to ma miejsce we Francji.</w:t>
      </w:r>
      <w:r w:rsidR="004D4D79" w:rsidRPr="007A5089">
        <w:rPr>
          <w:lang w:val="pl-PL"/>
        </w:rPr>
        <w:t xml:space="preserve"> </w:t>
      </w:r>
      <w:r w:rsidR="004D4D79" w:rsidRPr="004D4D79">
        <w:rPr>
          <w:lang w:val="pl-PL"/>
        </w:rPr>
        <w:t xml:space="preserve">Fakt przedkładania przez sądy krajowe zasady świeckości-neutralności państwa nad </w:t>
      </w:r>
      <w:r w:rsidR="0082678D">
        <w:rPr>
          <w:lang w:val="pl-PL"/>
        </w:rPr>
        <w:t xml:space="preserve">interes skarżącej do </w:t>
      </w:r>
      <w:r w:rsidR="004D4D79" w:rsidRPr="004D4D79">
        <w:rPr>
          <w:lang w:val="pl-PL"/>
        </w:rPr>
        <w:t xml:space="preserve">wyrażania własnych przekonań religijnych </w:t>
      </w:r>
      <w:r w:rsidR="0082678D">
        <w:rPr>
          <w:lang w:val="pl-PL"/>
        </w:rPr>
        <w:t>bez ograniczeń</w:t>
      </w:r>
      <w:r w:rsidR="004D4D79" w:rsidRPr="004D4D79">
        <w:rPr>
          <w:lang w:val="pl-PL"/>
        </w:rPr>
        <w:t xml:space="preserve"> nie stanowi naruszenia Konwencji.</w:t>
      </w:r>
      <w:r w:rsidR="00E6253E">
        <w:rPr>
          <w:lang w:val="pl-PL"/>
        </w:rPr>
        <w:t xml:space="preserve"> </w:t>
      </w:r>
      <w:r w:rsidR="00882221">
        <w:rPr>
          <w:lang w:val="pl-PL"/>
        </w:rPr>
        <w:t xml:space="preserve">Odnotował, że obowiązek neutralności ma we Francji zastosowanie do całości służby publicznej. </w:t>
      </w:r>
      <w:r w:rsidR="0060284B">
        <w:rPr>
          <w:lang w:val="pl-PL"/>
        </w:rPr>
        <w:t>Trybunał wyjaśnił</w:t>
      </w:r>
      <w:r w:rsidR="00882221">
        <w:rPr>
          <w:lang w:val="pl-PL"/>
        </w:rPr>
        <w:t xml:space="preserve"> też</w:t>
      </w:r>
      <w:r w:rsidR="0060284B">
        <w:rPr>
          <w:lang w:val="pl-PL"/>
        </w:rPr>
        <w:t xml:space="preserve">, że nie jest jego zadaniem orzekanie w sprawie modelu francuskiego jako takiego. </w:t>
      </w:r>
      <w:r w:rsidR="00882221">
        <w:rPr>
          <w:lang w:val="pl-PL"/>
        </w:rPr>
        <w:t xml:space="preserve">Jednak zadaniem sądów administracyjnych jest zadbanie, by administracja nie naruszała w sposób nieproporcjonalny wolności sumienia funkcjonariuszy publicznych, gdy podnoszona jest zasada neutralności państwa. </w:t>
      </w:r>
      <w:r w:rsidR="00095BC9">
        <w:rPr>
          <w:lang w:val="pl-PL"/>
        </w:rPr>
        <w:t>W</w:t>
      </w:r>
      <w:r w:rsidR="0060284B">
        <w:rPr>
          <w:lang w:val="pl-PL"/>
        </w:rPr>
        <w:t xml:space="preserve"> odniesieniu do konkretnych okoliczności sprawy </w:t>
      </w:r>
      <w:r w:rsidR="00095BC9">
        <w:rPr>
          <w:lang w:val="pl-PL"/>
        </w:rPr>
        <w:t xml:space="preserve">Trybunał </w:t>
      </w:r>
      <w:r w:rsidR="0060284B">
        <w:rPr>
          <w:lang w:val="pl-PL"/>
        </w:rPr>
        <w:t>odnotował</w:t>
      </w:r>
      <w:r w:rsidR="00A65A2C">
        <w:rPr>
          <w:lang w:val="pl-PL"/>
        </w:rPr>
        <w:t xml:space="preserve"> m.in.</w:t>
      </w:r>
      <w:r w:rsidR="0060284B">
        <w:rPr>
          <w:lang w:val="pl-PL"/>
        </w:rPr>
        <w:t xml:space="preserve">, że </w:t>
      </w:r>
      <w:r w:rsidR="00095BC9">
        <w:rPr>
          <w:lang w:val="pl-PL"/>
        </w:rPr>
        <w:t xml:space="preserve">administracja powołała się na ostentacyjny charakter działań skarżącej, a także uzasadniła potrzebę ograniczeń faktem, iż praca skarżącej łączyła się z kontaktami z pacjentami.  </w:t>
      </w:r>
      <w:r w:rsidR="00C85C2D">
        <w:rPr>
          <w:lang w:val="pl-PL"/>
        </w:rPr>
        <w:t xml:space="preserve">Przeanalizował </w:t>
      </w:r>
      <w:r w:rsidR="00693313">
        <w:rPr>
          <w:lang w:val="pl-PL"/>
        </w:rPr>
        <w:t>sposób zbadania sprawy przez sądy</w:t>
      </w:r>
      <w:r w:rsidR="00B21F71">
        <w:rPr>
          <w:lang w:val="pl-PL"/>
        </w:rPr>
        <w:t xml:space="preserve"> i przysługujące skarżącej gwarancje, a także</w:t>
      </w:r>
      <w:r w:rsidR="00693313">
        <w:rPr>
          <w:lang w:val="pl-PL"/>
        </w:rPr>
        <w:t xml:space="preserve"> podkreślił, że w</w:t>
      </w:r>
      <w:r w:rsidR="0060284B">
        <w:rPr>
          <w:lang w:val="pl-PL"/>
        </w:rPr>
        <w:t xml:space="preserve">ładze krajowe są w stanie lepiej ocenić proporcjonalność kary dyscyplinarnej zastosowanej wobec skarżącej z uwzględnieniem wszystkich okoliczności. </w:t>
      </w:r>
      <w:r w:rsidR="00882221">
        <w:rPr>
          <w:lang w:val="pl-PL"/>
        </w:rPr>
        <w:t xml:space="preserve">Skarżąca </w:t>
      </w:r>
      <w:r w:rsidR="00882221" w:rsidRPr="004D4D79">
        <w:rPr>
          <w:lang w:val="pl-PL"/>
        </w:rPr>
        <w:t xml:space="preserve">była świadoma obowiązku przestrzegania </w:t>
      </w:r>
      <w:r w:rsidR="00882221">
        <w:rPr>
          <w:lang w:val="pl-PL"/>
        </w:rPr>
        <w:t xml:space="preserve">zasad </w:t>
      </w:r>
      <w:r w:rsidR="00882221" w:rsidRPr="004D4D79">
        <w:rPr>
          <w:lang w:val="pl-PL"/>
        </w:rPr>
        <w:t xml:space="preserve">neutralnego </w:t>
      </w:r>
      <w:r w:rsidR="00882221">
        <w:rPr>
          <w:lang w:val="pl-PL"/>
        </w:rPr>
        <w:t xml:space="preserve">ubioru </w:t>
      </w:r>
      <w:r w:rsidR="00882221" w:rsidRPr="004D4D79">
        <w:rPr>
          <w:lang w:val="pl-PL"/>
        </w:rPr>
        <w:t xml:space="preserve">w trakcie wykonywania obowiązków, albowiem </w:t>
      </w:r>
      <w:r w:rsidR="00882221">
        <w:rPr>
          <w:lang w:val="pl-PL"/>
        </w:rPr>
        <w:t>o</w:t>
      </w:r>
      <w:r w:rsidR="00882221" w:rsidRPr="004D4D79">
        <w:rPr>
          <w:lang w:val="pl-PL"/>
        </w:rPr>
        <w:t xml:space="preserve">pinia </w:t>
      </w:r>
      <w:r w:rsidR="00882221">
        <w:rPr>
          <w:lang w:val="pl-PL"/>
        </w:rPr>
        <w:t xml:space="preserve">Rady Stanu </w:t>
      </w:r>
      <w:r w:rsidR="00882221" w:rsidRPr="004D4D79">
        <w:rPr>
          <w:lang w:val="pl-PL"/>
        </w:rPr>
        <w:t>z 3 maja 2000 r., która obowiązywała już na 6 miesięcy przed wydaniem zaskarżonej decyzji, wprowadzała obowiązek przestrzegania neutralności</w:t>
      </w:r>
      <w:r w:rsidR="00882221" w:rsidRPr="00220626">
        <w:rPr>
          <w:lang w:val="pl-PL"/>
        </w:rPr>
        <w:t xml:space="preserve"> </w:t>
      </w:r>
      <w:r w:rsidR="00882221" w:rsidRPr="004D4D79">
        <w:rPr>
          <w:lang w:val="pl-PL"/>
        </w:rPr>
        <w:t>religijnej.</w:t>
      </w:r>
      <w:r w:rsidR="00095BC9">
        <w:rPr>
          <w:lang w:val="pl-PL"/>
        </w:rPr>
        <w:t xml:space="preserve"> </w:t>
      </w:r>
    </w:p>
    <w:p w:rsidR="001C102A" w:rsidRPr="004D4D79" w:rsidRDefault="001C102A" w:rsidP="001C102A">
      <w:pPr>
        <w:spacing w:after="120" w:line="240" w:lineRule="auto"/>
        <w:jc w:val="both"/>
        <w:rPr>
          <w:lang w:val="pl-PL"/>
        </w:rPr>
      </w:pPr>
      <w:r w:rsidRPr="004D4D79">
        <w:rPr>
          <w:lang w:val="pl-PL"/>
        </w:rPr>
        <w:t xml:space="preserve">Trybunał uznał, że </w:t>
      </w:r>
      <w:r w:rsidR="00B83C8E">
        <w:rPr>
          <w:lang w:val="pl-PL"/>
        </w:rPr>
        <w:t xml:space="preserve">władze </w:t>
      </w:r>
      <w:r w:rsidRPr="004D4D79">
        <w:rPr>
          <w:lang w:val="pl-PL"/>
        </w:rPr>
        <w:t>krajowe</w:t>
      </w:r>
      <w:r w:rsidR="009531B2">
        <w:rPr>
          <w:lang w:val="pl-PL"/>
        </w:rPr>
        <w:t>,</w:t>
      </w:r>
      <w:r w:rsidRPr="004D4D79">
        <w:rPr>
          <w:lang w:val="pl-PL"/>
        </w:rPr>
        <w:t xml:space="preserve"> </w:t>
      </w:r>
      <w:r w:rsidR="009531B2" w:rsidRPr="004D4D79">
        <w:rPr>
          <w:lang w:val="pl-PL"/>
        </w:rPr>
        <w:t xml:space="preserve">przyjmując, że nie było możliwości pogodzenia swobody wyrażania przekonań religijnych przez skarżącą z obowiązkiem powstrzymania się przez nią od ich </w:t>
      </w:r>
      <w:r w:rsidR="009531B2">
        <w:rPr>
          <w:lang w:val="pl-PL"/>
        </w:rPr>
        <w:t xml:space="preserve">uzewnętrzniania </w:t>
      </w:r>
      <w:r w:rsidR="009531B2" w:rsidRPr="004D4D79">
        <w:rPr>
          <w:lang w:val="pl-PL"/>
        </w:rPr>
        <w:t>w trakcie wykonywania obowiązków</w:t>
      </w:r>
      <w:r w:rsidR="009531B2">
        <w:rPr>
          <w:lang w:val="pl-PL"/>
        </w:rPr>
        <w:t>,</w:t>
      </w:r>
      <w:r w:rsidR="009531B2" w:rsidRPr="004D4D79">
        <w:rPr>
          <w:lang w:val="pl-PL"/>
        </w:rPr>
        <w:t xml:space="preserve"> </w:t>
      </w:r>
      <w:r w:rsidR="009531B2">
        <w:rPr>
          <w:lang w:val="pl-PL"/>
        </w:rPr>
        <w:t xml:space="preserve">a </w:t>
      </w:r>
      <w:r w:rsidR="009531B2" w:rsidRPr="004D4D79">
        <w:rPr>
          <w:lang w:val="pl-PL"/>
        </w:rPr>
        <w:t>tym samym dając pierwszeństwo zasadzie neutralności i bezstronności państwa</w:t>
      </w:r>
      <w:r w:rsidR="009531B2">
        <w:rPr>
          <w:lang w:val="pl-PL"/>
        </w:rPr>
        <w:t xml:space="preserve">, </w:t>
      </w:r>
      <w:r w:rsidRPr="004D4D79">
        <w:rPr>
          <w:lang w:val="pl-PL"/>
        </w:rPr>
        <w:t xml:space="preserve">nie </w:t>
      </w:r>
      <w:r w:rsidR="00B83C8E">
        <w:rPr>
          <w:lang w:val="pl-PL"/>
        </w:rPr>
        <w:t>wykroczyły poza przysługujący im margines oceny</w:t>
      </w:r>
      <w:r w:rsidRPr="004D4D79">
        <w:rPr>
          <w:lang w:val="pl-PL"/>
        </w:rPr>
        <w:t>.</w:t>
      </w:r>
      <w:r w:rsidR="00B83C8E">
        <w:rPr>
          <w:lang w:val="pl-PL"/>
        </w:rPr>
        <w:t xml:space="preserve"> W rezultacie Trybunał stwierdził większością głosów 6 do 1, że nie doszło do naruszenia art. 9.</w:t>
      </w:r>
    </w:p>
    <w:p w:rsidR="004D4D79" w:rsidRPr="004D4D79" w:rsidRDefault="004D4D79" w:rsidP="00B90321">
      <w:pPr>
        <w:spacing w:after="120" w:line="240" w:lineRule="auto"/>
        <w:jc w:val="both"/>
        <w:rPr>
          <w:lang w:val="pl-PL"/>
        </w:rPr>
      </w:pPr>
      <w:r w:rsidRPr="004D4D79">
        <w:rPr>
          <w:lang w:val="pl-PL"/>
        </w:rPr>
        <w:t xml:space="preserve">Do wyroku dołączone jest zdanie częściowo odrębne, a częściowo </w:t>
      </w:r>
      <w:r w:rsidR="00C85C2D">
        <w:rPr>
          <w:lang w:val="pl-PL"/>
        </w:rPr>
        <w:t xml:space="preserve">zbieżne </w:t>
      </w:r>
      <w:r w:rsidRPr="004D4D79">
        <w:rPr>
          <w:lang w:val="pl-PL"/>
        </w:rPr>
        <w:t xml:space="preserve">sędziego </w:t>
      </w:r>
      <w:proofErr w:type="spellStart"/>
      <w:r w:rsidRPr="004D4D79">
        <w:rPr>
          <w:lang w:val="pl-PL"/>
        </w:rPr>
        <w:t>O’Leary</w:t>
      </w:r>
      <w:proofErr w:type="spellEnd"/>
      <w:r w:rsidRPr="004D4D79">
        <w:rPr>
          <w:lang w:val="pl-PL"/>
        </w:rPr>
        <w:t xml:space="preserve"> oraz zdanie odrębne sędziego De Gaetano.</w:t>
      </w:r>
    </w:p>
    <w:p w:rsidR="004D4D79" w:rsidRPr="00D83DCB" w:rsidRDefault="009E235A" w:rsidP="00B90321">
      <w:pPr>
        <w:spacing w:after="120" w:line="240" w:lineRule="auto"/>
        <w:jc w:val="both"/>
        <w:rPr>
          <w:lang w:val="pl-PL"/>
        </w:rPr>
      </w:pPr>
      <w:r w:rsidRPr="00496FB9">
        <w:rPr>
          <w:u w:val="single"/>
          <w:lang w:val="pl-PL"/>
        </w:rPr>
        <w:t>Znaczenie wyroku dla Polski</w:t>
      </w:r>
      <w:r>
        <w:rPr>
          <w:lang w:val="pl-PL"/>
        </w:rPr>
        <w:t xml:space="preserve"> – jest zgodny z dotychczasową linią orzeczniczą</w:t>
      </w:r>
      <w:r w:rsidR="00B906C0">
        <w:rPr>
          <w:lang w:val="pl-PL"/>
        </w:rPr>
        <w:t xml:space="preserve"> Trybunału</w:t>
      </w:r>
      <w:r w:rsidR="00813632">
        <w:rPr>
          <w:lang w:val="pl-PL"/>
        </w:rPr>
        <w:t xml:space="preserve"> w sprawach francuskich</w:t>
      </w:r>
      <w:r>
        <w:rPr>
          <w:lang w:val="pl-PL"/>
        </w:rPr>
        <w:t xml:space="preserve">. Potwierdza </w:t>
      </w:r>
      <w:r w:rsidR="00B906C0">
        <w:rPr>
          <w:lang w:val="pl-PL"/>
        </w:rPr>
        <w:t xml:space="preserve">m.in. </w:t>
      </w:r>
      <w:r>
        <w:rPr>
          <w:lang w:val="pl-PL"/>
        </w:rPr>
        <w:t xml:space="preserve">zasadę marginesu oceny i rolę decydentów krajowych w odniesieniu do </w:t>
      </w:r>
      <w:r>
        <w:rPr>
          <w:lang w:val="pl-PL"/>
        </w:rPr>
        <w:lastRenderedPageBreak/>
        <w:t xml:space="preserve">regulowania kwestii związanych z relacjami między państwem a religią. </w:t>
      </w:r>
      <w:r w:rsidR="00B906C0">
        <w:rPr>
          <w:lang w:val="pl-PL"/>
        </w:rPr>
        <w:t>Odnotowuje różnorodność rozwiązań stosowanych w państwach w odniesieniu do kwestii noszenia ubioru i symboli religijnych.</w:t>
      </w:r>
    </w:p>
    <w:p w:rsidR="00230793" w:rsidRPr="00A140FF" w:rsidRDefault="00230793" w:rsidP="00A140FF">
      <w:pPr>
        <w:pStyle w:val="Nagwek2"/>
        <w:numPr>
          <w:ilvl w:val="0"/>
          <w:numId w:val="1"/>
        </w:numPr>
      </w:pPr>
      <w:bookmarkStart w:id="14" w:name="_Toc439346295"/>
      <w:proofErr w:type="spellStart"/>
      <w:r w:rsidRPr="00A140FF">
        <w:t>Annen</w:t>
      </w:r>
      <w:proofErr w:type="spellEnd"/>
      <w:r w:rsidRPr="00A140FF">
        <w:t xml:space="preserve"> p. Niemcom, skarga nr 3690/10, wyrok Izby z 26.11.2015 r., nieostateczny</w:t>
      </w:r>
      <w:bookmarkEnd w:id="14"/>
    </w:p>
    <w:p w:rsidR="00230793" w:rsidRPr="00ED0D1E" w:rsidRDefault="00ED0D1E" w:rsidP="00ED0D1E">
      <w:pPr>
        <w:keepNext/>
        <w:keepLines/>
        <w:spacing w:after="120" w:line="240" w:lineRule="auto"/>
        <w:jc w:val="both"/>
        <w:outlineLvl w:val="2"/>
        <w:rPr>
          <w:b/>
          <w:color w:val="000000" w:themeColor="text1"/>
          <w:lang w:val="pl-PL"/>
        </w:rPr>
      </w:pPr>
      <w:bookmarkStart w:id="15" w:name="_Toc439346296"/>
      <w:r>
        <w:rPr>
          <w:b/>
          <w:color w:val="000000" w:themeColor="text1"/>
          <w:lang w:val="pl-PL"/>
        </w:rPr>
        <w:t>- n</w:t>
      </w:r>
      <w:r w:rsidR="00230793" w:rsidRPr="00ED0D1E">
        <w:rPr>
          <w:b/>
          <w:color w:val="000000" w:themeColor="text1"/>
          <w:lang w:val="pl-PL"/>
        </w:rPr>
        <w:t xml:space="preserve">aruszenie art. 10 Konwencji (wolność wyrażania opinii) z uwagi na </w:t>
      </w:r>
      <w:r w:rsidR="00866ABB" w:rsidRPr="00ED0D1E">
        <w:rPr>
          <w:b/>
          <w:color w:val="000000" w:themeColor="text1"/>
          <w:lang w:val="pl-PL"/>
        </w:rPr>
        <w:t xml:space="preserve">sądowy </w:t>
      </w:r>
      <w:r w:rsidR="00230793" w:rsidRPr="00ED0D1E">
        <w:rPr>
          <w:b/>
          <w:color w:val="000000" w:themeColor="text1"/>
          <w:lang w:val="pl-PL"/>
        </w:rPr>
        <w:t>nakaz wst</w:t>
      </w:r>
      <w:r w:rsidR="00B50D30">
        <w:rPr>
          <w:b/>
          <w:color w:val="000000" w:themeColor="text1"/>
          <w:lang w:val="pl-PL"/>
        </w:rPr>
        <w:t>rzymania przez skarżącego</w:t>
      </w:r>
      <w:r w:rsidR="00230793" w:rsidRPr="00ED0D1E">
        <w:rPr>
          <w:b/>
          <w:color w:val="000000" w:themeColor="text1"/>
          <w:lang w:val="pl-PL"/>
        </w:rPr>
        <w:t xml:space="preserve"> dystrybucji </w:t>
      </w:r>
      <w:r w:rsidR="00866ABB" w:rsidRPr="00ED0D1E">
        <w:rPr>
          <w:b/>
          <w:color w:val="000000" w:themeColor="text1"/>
          <w:lang w:val="pl-PL"/>
        </w:rPr>
        <w:t xml:space="preserve">ulotek porównujących </w:t>
      </w:r>
      <w:r w:rsidR="00866ABB">
        <w:rPr>
          <w:b/>
          <w:color w:val="000000" w:themeColor="text1"/>
          <w:lang w:val="pl-PL"/>
        </w:rPr>
        <w:t>uregulowania dotyczące aborcji</w:t>
      </w:r>
      <w:r w:rsidR="00866ABB" w:rsidRPr="00ED0D1E">
        <w:rPr>
          <w:b/>
          <w:color w:val="000000" w:themeColor="text1"/>
          <w:lang w:val="pl-PL"/>
        </w:rPr>
        <w:t xml:space="preserve"> do Holokaustu</w:t>
      </w:r>
      <w:r w:rsidR="00866ABB">
        <w:rPr>
          <w:b/>
          <w:color w:val="000000" w:themeColor="text1"/>
          <w:lang w:val="pl-PL"/>
        </w:rPr>
        <w:t xml:space="preserve"> </w:t>
      </w:r>
      <w:r w:rsidR="003A6979">
        <w:rPr>
          <w:b/>
          <w:color w:val="000000" w:themeColor="text1"/>
          <w:lang w:val="pl-PL"/>
        </w:rPr>
        <w:t>w pobliżu klini</w:t>
      </w:r>
      <w:r w:rsidR="00866ABB">
        <w:rPr>
          <w:b/>
          <w:color w:val="000000" w:themeColor="text1"/>
          <w:lang w:val="pl-PL"/>
        </w:rPr>
        <w:t>ki, w której wykonywano aborcje</w:t>
      </w:r>
      <w:bookmarkEnd w:id="15"/>
      <w:r w:rsidR="003A6979">
        <w:rPr>
          <w:b/>
          <w:color w:val="000000" w:themeColor="text1"/>
          <w:lang w:val="pl-PL"/>
        </w:rPr>
        <w:t xml:space="preserve"> </w:t>
      </w:r>
    </w:p>
    <w:p w:rsidR="00230793" w:rsidRPr="00ED0D1E" w:rsidRDefault="00ED0D1E" w:rsidP="00B47929">
      <w:pPr>
        <w:keepNext/>
        <w:keepLines/>
        <w:spacing w:after="360" w:line="240" w:lineRule="auto"/>
        <w:jc w:val="both"/>
        <w:outlineLvl w:val="2"/>
        <w:rPr>
          <w:b/>
          <w:color w:val="000000" w:themeColor="text1"/>
          <w:lang w:val="pl-PL"/>
        </w:rPr>
      </w:pPr>
      <w:bookmarkStart w:id="16" w:name="_Toc439346297"/>
      <w:r w:rsidRPr="008D6538">
        <w:rPr>
          <w:b/>
          <w:color w:val="000000" w:themeColor="text1"/>
          <w:lang w:val="pl-PL"/>
        </w:rPr>
        <w:t>- n</w:t>
      </w:r>
      <w:r w:rsidR="00230793" w:rsidRPr="008D6538">
        <w:rPr>
          <w:b/>
          <w:color w:val="000000" w:themeColor="text1"/>
          <w:lang w:val="pl-PL"/>
        </w:rPr>
        <w:t xml:space="preserve">aruszenie </w:t>
      </w:r>
      <w:r w:rsidR="00866ABB">
        <w:rPr>
          <w:b/>
          <w:color w:val="000000" w:themeColor="text1"/>
          <w:lang w:val="pl-PL"/>
        </w:rPr>
        <w:t xml:space="preserve">ze względów proceduralnych </w:t>
      </w:r>
      <w:r w:rsidR="00230793" w:rsidRPr="008D6538">
        <w:rPr>
          <w:b/>
          <w:color w:val="000000" w:themeColor="text1"/>
          <w:lang w:val="pl-PL"/>
        </w:rPr>
        <w:t xml:space="preserve">art. </w:t>
      </w:r>
      <w:r w:rsidR="00230793" w:rsidRPr="00ED0D1E">
        <w:rPr>
          <w:b/>
          <w:color w:val="000000" w:themeColor="text1"/>
          <w:lang w:val="pl-PL"/>
        </w:rPr>
        <w:t xml:space="preserve">10 Konwencji (wolność wyrażania opinii) </w:t>
      </w:r>
      <w:r w:rsidR="00230793" w:rsidRPr="008D6538">
        <w:rPr>
          <w:b/>
          <w:color w:val="000000" w:themeColor="text1"/>
          <w:lang w:val="pl-PL"/>
        </w:rPr>
        <w:t xml:space="preserve">w odniesieniu do sądowego </w:t>
      </w:r>
      <w:r w:rsidR="00866ABB" w:rsidRPr="00ED0D1E">
        <w:rPr>
          <w:b/>
          <w:color w:val="000000" w:themeColor="text1"/>
          <w:lang w:val="pl-PL"/>
        </w:rPr>
        <w:t>nakaz</w:t>
      </w:r>
      <w:r w:rsidR="00866ABB" w:rsidRPr="008D6538">
        <w:rPr>
          <w:b/>
          <w:color w:val="000000" w:themeColor="text1"/>
          <w:lang w:val="pl-PL"/>
        </w:rPr>
        <w:t>u</w:t>
      </w:r>
      <w:r w:rsidR="00866ABB">
        <w:rPr>
          <w:b/>
          <w:color w:val="000000" w:themeColor="text1"/>
          <w:lang w:val="pl-PL"/>
        </w:rPr>
        <w:t xml:space="preserve"> </w:t>
      </w:r>
      <w:r w:rsidR="00B50D30">
        <w:rPr>
          <w:b/>
          <w:color w:val="000000" w:themeColor="text1"/>
          <w:lang w:val="pl-PL"/>
        </w:rPr>
        <w:t>wstrzymania</w:t>
      </w:r>
      <w:r w:rsidR="00230793" w:rsidRPr="00ED0D1E">
        <w:rPr>
          <w:b/>
          <w:color w:val="000000" w:themeColor="text1"/>
          <w:lang w:val="pl-PL"/>
        </w:rPr>
        <w:t xml:space="preserve"> publikowania na stronie internetowej </w:t>
      </w:r>
      <w:r w:rsidR="00B50D30">
        <w:rPr>
          <w:b/>
          <w:color w:val="000000" w:themeColor="text1"/>
          <w:lang w:val="pl-PL"/>
        </w:rPr>
        <w:t xml:space="preserve">skarżącego </w:t>
      </w:r>
      <w:r w:rsidR="00230793" w:rsidRPr="00ED0D1E">
        <w:rPr>
          <w:b/>
          <w:color w:val="000000" w:themeColor="text1"/>
          <w:lang w:val="pl-PL"/>
        </w:rPr>
        <w:t>danych kontak</w:t>
      </w:r>
      <w:r w:rsidR="00230793" w:rsidRPr="008D6538">
        <w:rPr>
          <w:b/>
          <w:color w:val="000000" w:themeColor="text1"/>
          <w:lang w:val="pl-PL"/>
        </w:rPr>
        <w:t>t</w:t>
      </w:r>
      <w:r w:rsidR="00230793" w:rsidRPr="00ED0D1E">
        <w:rPr>
          <w:b/>
          <w:color w:val="000000" w:themeColor="text1"/>
          <w:lang w:val="pl-PL"/>
        </w:rPr>
        <w:t>owych lekarzy dokonujących aborcji</w:t>
      </w:r>
      <w:r w:rsidR="00866ABB">
        <w:rPr>
          <w:b/>
          <w:color w:val="000000" w:themeColor="text1"/>
          <w:lang w:val="pl-PL"/>
        </w:rPr>
        <w:t xml:space="preserve"> – naruszenie </w:t>
      </w:r>
      <w:r w:rsidR="00114790">
        <w:rPr>
          <w:b/>
          <w:color w:val="000000" w:themeColor="text1"/>
          <w:lang w:val="pl-PL"/>
        </w:rPr>
        <w:t>z uwagi na fakt, że sądy nie zbadały</w:t>
      </w:r>
      <w:r w:rsidR="00230793" w:rsidRPr="008D6538">
        <w:rPr>
          <w:b/>
          <w:color w:val="000000" w:themeColor="text1"/>
          <w:lang w:val="pl-PL"/>
        </w:rPr>
        <w:t xml:space="preserve"> wszystkich istotnych okoliczności sprawy</w:t>
      </w:r>
      <w:bookmarkEnd w:id="16"/>
    </w:p>
    <w:p w:rsidR="00B50D30" w:rsidRPr="00B50D30" w:rsidRDefault="00B50D30" w:rsidP="00230793">
      <w:pPr>
        <w:spacing w:after="120" w:line="240" w:lineRule="auto"/>
        <w:jc w:val="both"/>
        <w:rPr>
          <w:u w:val="single"/>
          <w:lang w:val="pl-PL"/>
        </w:rPr>
      </w:pPr>
      <w:r w:rsidRPr="00B50D30">
        <w:rPr>
          <w:u w:val="single"/>
          <w:lang w:val="pl-PL"/>
        </w:rPr>
        <w:t>Stan faktyczny i zarzuty skarżącego</w:t>
      </w:r>
    </w:p>
    <w:p w:rsidR="00230793" w:rsidRPr="00230793" w:rsidRDefault="00230793" w:rsidP="00230793">
      <w:pPr>
        <w:spacing w:after="120" w:line="240" w:lineRule="auto"/>
        <w:jc w:val="both"/>
        <w:rPr>
          <w:lang w:val="pl-PL"/>
        </w:rPr>
      </w:pPr>
      <w:r w:rsidRPr="00230793">
        <w:rPr>
          <w:lang w:val="pl-PL"/>
        </w:rPr>
        <w:t>W 2005 r. skarżący,</w:t>
      </w:r>
      <w:r w:rsidR="000B2587">
        <w:rPr>
          <w:lang w:val="pl-PL"/>
        </w:rPr>
        <w:t xml:space="preserve"> </w:t>
      </w:r>
      <w:r w:rsidR="000B2587" w:rsidRPr="000B2587">
        <w:rPr>
          <w:rStyle w:val="sb8d990e2"/>
          <w:lang w:val="pl-PL"/>
        </w:rPr>
        <w:t>Klaus Günter</w:t>
      </w:r>
      <w:r w:rsidR="000B2587">
        <w:rPr>
          <w:rStyle w:val="sb8d990e2"/>
          <w:lang w:val="pl-PL"/>
        </w:rPr>
        <w:t xml:space="preserve"> </w:t>
      </w:r>
      <w:proofErr w:type="spellStart"/>
      <w:r w:rsidR="000B2587">
        <w:rPr>
          <w:rStyle w:val="sb8d990e2"/>
          <w:lang w:val="pl-PL"/>
        </w:rPr>
        <w:t>An</w:t>
      </w:r>
      <w:r w:rsidR="007672DD">
        <w:rPr>
          <w:rStyle w:val="sb8d990e2"/>
          <w:lang w:val="pl-PL"/>
        </w:rPr>
        <w:t>n</w:t>
      </w:r>
      <w:r w:rsidR="000B2587">
        <w:rPr>
          <w:rStyle w:val="sb8d990e2"/>
          <w:lang w:val="pl-PL"/>
        </w:rPr>
        <w:t>en</w:t>
      </w:r>
      <w:proofErr w:type="spellEnd"/>
      <w:r w:rsidR="000B2587">
        <w:rPr>
          <w:rStyle w:val="sb8d990e2"/>
          <w:lang w:val="pl-PL"/>
        </w:rPr>
        <w:t>,</w:t>
      </w:r>
      <w:r w:rsidRPr="00230793">
        <w:rPr>
          <w:lang w:val="pl-PL"/>
        </w:rPr>
        <w:t xml:space="preserve"> działacz przeciwko aborcji, dystrybuował ulotki w okolicach kliniki prowadzonej przez dwóch lekarzy M. </w:t>
      </w:r>
      <w:r w:rsidR="00943D17">
        <w:rPr>
          <w:lang w:val="pl-PL"/>
        </w:rPr>
        <w:t>i</w:t>
      </w:r>
      <w:r w:rsidRPr="00230793">
        <w:rPr>
          <w:lang w:val="pl-PL"/>
        </w:rPr>
        <w:t xml:space="preserve"> R., w której przeprowadzano aborcje. Ulotki zawierały następujący tekst pisany pogrubioną czcionką</w:t>
      </w:r>
      <w:r w:rsidRPr="00773C5B">
        <w:rPr>
          <w:lang w:val="pl-PL"/>
        </w:rPr>
        <w:t xml:space="preserve">: </w:t>
      </w:r>
      <w:r w:rsidRPr="008C66DE">
        <w:rPr>
          <w:i/>
          <w:lang w:val="pl-PL"/>
        </w:rPr>
        <w:t xml:space="preserve">W klinice </w:t>
      </w:r>
      <w:r w:rsidR="00B47929" w:rsidRPr="008C66DE">
        <w:rPr>
          <w:i/>
          <w:lang w:val="pl-PL"/>
        </w:rPr>
        <w:t>d</w:t>
      </w:r>
      <w:r w:rsidRPr="008C66DE">
        <w:rPr>
          <w:i/>
          <w:lang w:val="pl-PL"/>
        </w:rPr>
        <w:t xml:space="preserve">r M. i </w:t>
      </w:r>
      <w:r w:rsidR="00B47929" w:rsidRPr="008C66DE">
        <w:rPr>
          <w:i/>
          <w:lang w:val="pl-PL"/>
        </w:rPr>
        <w:t>d</w:t>
      </w:r>
      <w:r w:rsidRPr="008C66DE">
        <w:rPr>
          <w:i/>
          <w:lang w:val="pl-PL"/>
        </w:rPr>
        <w:t>r R (pełna nazwa i adres) przeprowadzane są bezprawne aborcje</w:t>
      </w:r>
      <w:r w:rsidRPr="00773C5B">
        <w:rPr>
          <w:lang w:val="pl-PL"/>
        </w:rPr>
        <w:t>. Małą czcionką dopisa</w:t>
      </w:r>
      <w:r w:rsidR="008D6538">
        <w:rPr>
          <w:lang w:val="pl-PL"/>
        </w:rPr>
        <w:t>no wyjaśnienie, że aborcje były</w:t>
      </w:r>
      <w:r w:rsidRPr="00773C5B">
        <w:rPr>
          <w:lang w:val="pl-PL"/>
        </w:rPr>
        <w:t xml:space="preserve"> jednakże dopuszczalne na mocy ustawodawstwa niemieckiego i nie podlegały odpowiedzialności karnej. Na drugiej stronie ulotki stwierdzono, że </w:t>
      </w:r>
      <w:r w:rsidR="008D6538">
        <w:rPr>
          <w:lang w:val="pl-PL"/>
        </w:rPr>
        <w:t>m</w:t>
      </w:r>
      <w:r w:rsidRPr="00773C5B">
        <w:rPr>
          <w:lang w:val="pl-PL"/>
        </w:rPr>
        <w:t xml:space="preserve">ordowanie istot ludzkich w Auschwitz </w:t>
      </w:r>
      <w:r w:rsidR="008D6538">
        <w:rPr>
          <w:lang w:val="pl-PL"/>
        </w:rPr>
        <w:t>było bezprawne</w:t>
      </w:r>
      <w:r w:rsidRPr="00773C5B">
        <w:rPr>
          <w:lang w:val="pl-PL"/>
        </w:rPr>
        <w:t xml:space="preserve">, ale zdegenerowane moralnie państwo nazistowskie zezwalało na zabijanie niewinnych ludzi i nie </w:t>
      </w:r>
      <w:r w:rsidRPr="00230793">
        <w:rPr>
          <w:lang w:val="pl-PL"/>
        </w:rPr>
        <w:t>przewidywało</w:t>
      </w:r>
      <w:r w:rsidRPr="00773C5B">
        <w:rPr>
          <w:lang w:val="pl-PL"/>
        </w:rPr>
        <w:t xml:space="preserve"> za to odpowiedzialności karnej. Poniżej tego zdania </w:t>
      </w:r>
      <w:r w:rsidR="008D6538">
        <w:rPr>
          <w:lang w:val="pl-PL"/>
        </w:rPr>
        <w:t xml:space="preserve">ulotka </w:t>
      </w:r>
      <w:r w:rsidRPr="00773C5B">
        <w:rPr>
          <w:lang w:val="pl-PL"/>
        </w:rPr>
        <w:t xml:space="preserve">wskazywała stronę internetową prowadzoną przez skarżącego, zawierającą listę tzw. lekarzy aborcyjnych, w tym klinikę i pełne nazwiska </w:t>
      </w:r>
      <w:r w:rsidR="00B47929">
        <w:rPr>
          <w:lang w:val="pl-PL"/>
        </w:rPr>
        <w:t>d</w:t>
      </w:r>
      <w:r w:rsidRPr="00773C5B">
        <w:rPr>
          <w:lang w:val="pl-PL"/>
        </w:rPr>
        <w:t xml:space="preserve">r M i </w:t>
      </w:r>
      <w:r w:rsidR="00B47929">
        <w:rPr>
          <w:lang w:val="pl-PL"/>
        </w:rPr>
        <w:t xml:space="preserve">dr </w:t>
      </w:r>
      <w:r w:rsidRPr="00773C5B">
        <w:rPr>
          <w:lang w:val="pl-PL"/>
        </w:rPr>
        <w:t xml:space="preserve">R. Na skutek skargi dwóch lekarzy, sądy </w:t>
      </w:r>
      <w:r w:rsidR="00214274">
        <w:rPr>
          <w:lang w:val="pl-PL"/>
        </w:rPr>
        <w:t>k</w:t>
      </w:r>
      <w:r w:rsidRPr="00773C5B">
        <w:rPr>
          <w:lang w:val="pl-PL"/>
        </w:rPr>
        <w:t xml:space="preserve">rajowe </w:t>
      </w:r>
      <w:r w:rsidR="00214274">
        <w:rPr>
          <w:lang w:val="pl-PL"/>
        </w:rPr>
        <w:t>nakazały skarżącemu zaprzestanie</w:t>
      </w:r>
      <w:r w:rsidRPr="00773C5B">
        <w:rPr>
          <w:lang w:val="pl-PL"/>
        </w:rPr>
        <w:t xml:space="preserve"> dalszego rozpowszechniania przedmiotowych ulotek i wspominania nazwisk </w:t>
      </w:r>
      <w:r w:rsidR="00B47929">
        <w:rPr>
          <w:lang w:val="pl-PL"/>
        </w:rPr>
        <w:t xml:space="preserve">lekarzy </w:t>
      </w:r>
      <w:r w:rsidRPr="00773C5B">
        <w:rPr>
          <w:lang w:val="pl-PL"/>
        </w:rPr>
        <w:t xml:space="preserve">i </w:t>
      </w:r>
      <w:r w:rsidR="00B50D30">
        <w:rPr>
          <w:lang w:val="pl-PL"/>
        </w:rPr>
        <w:t xml:space="preserve">danych </w:t>
      </w:r>
      <w:r w:rsidRPr="00773C5B">
        <w:rPr>
          <w:lang w:val="pl-PL"/>
        </w:rPr>
        <w:t xml:space="preserve">kliniki na stronie internetowej. </w:t>
      </w:r>
      <w:r w:rsidRPr="00230793">
        <w:rPr>
          <w:lang w:val="pl-PL"/>
        </w:rPr>
        <w:t>Apelacja skarżącego została oddalona.</w:t>
      </w:r>
    </w:p>
    <w:p w:rsidR="00230793" w:rsidRPr="00773C5B" w:rsidRDefault="00230793" w:rsidP="00230793">
      <w:pPr>
        <w:spacing w:after="120" w:line="240" w:lineRule="auto"/>
        <w:jc w:val="both"/>
        <w:rPr>
          <w:lang w:val="pl-PL"/>
        </w:rPr>
      </w:pPr>
      <w:r w:rsidRPr="00773C5B">
        <w:rPr>
          <w:lang w:val="pl-PL"/>
        </w:rPr>
        <w:t>Skarżący zarzucał przed Trybunałem naruszenie prawa do wolności wyrażania opinii</w:t>
      </w:r>
      <w:r w:rsidR="00B47929">
        <w:rPr>
          <w:lang w:val="pl-PL"/>
        </w:rPr>
        <w:t xml:space="preserve"> (art. 10 Konwencji)</w:t>
      </w:r>
      <w:r w:rsidRPr="00773C5B">
        <w:rPr>
          <w:lang w:val="pl-PL"/>
        </w:rPr>
        <w:t xml:space="preserve">.  </w:t>
      </w:r>
    </w:p>
    <w:p w:rsidR="00230793" w:rsidRPr="00230793" w:rsidRDefault="00230793" w:rsidP="00230793">
      <w:pPr>
        <w:spacing w:after="120" w:line="240" w:lineRule="auto"/>
        <w:jc w:val="both"/>
        <w:rPr>
          <w:u w:val="single"/>
          <w:lang w:val="pl-PL"/>
        </w:rPr>
      </w:pPr>
      <w:r w:rsidRPr="00230793">
        <w:rPr>
          <w:u w:val="single"/>
          <w:lang w:val="pl-PL"/>
        </w:rPr>
        <w:t>Ocena Trybunału</w:t>
      </w:r>
    </w:p>
    <w:p w:rsidR="00230793" w:rsidRDefault="00230793" w:rsidP="00230793">
      <w:pPr>
        <w:spacing w:after="120" w:line="240" w:lineRule="auto"/>
        <w:jc w:val="both"/>
        <w:rPr>
          <w:lang w:val="pl-PL"/>
        </w:rPr>
      </w:pPr>
      <w:r>
        <w:rPr>
          <w:lang w:val="pl-PL"/>
        </w:rPr>
        <w:t>Nie było sporu między stronami, iż w przedmiotowej sprawie doszło do ingerencji w prawo do wolności wyrażania opinii skarżące</w:t>
      </w:r>
      <w:r w:rsidR="002E5734">
        <w:rPr>
          <w:lang w:val="pl-PL"/>
        </w:rPr>
        <w:t>go</w:t>
      </w:r>
      <w:r>
        <w:rPr>
          <w:lang w:val="pl-PL"/>
        </w:rPr>
        <w:t xml:space="preserve">, a ingerencja ta była przewidziana przez ustawę i miała uprawniony cel, jakim </w:t>
      </w:r>
      <w:r w:rsidR="00533C20">
        <w:rPr>
          <w:lang w:val="pl-PL"/>
        </w:rPr>
        <w:t xml:space="preserve">była </w:t>
      </w:r>
      <w:r>
        <w:rPr>
          <w:lang w:val="pl-PL"/>
        </w:rPr>
        <w:t>ochrona dobrego imienia i praw innych osób w rozumieniu art. 10 ust. 2 Konwencji. Trybunał zbadał</w:t>
      </w:r>
      <w:r w:rsidR="002F583E">
        <w:rPr>
          <w:lang w:val="pl-PL"/>
        </w:rPr>
        <w:t>,</w:t>
      </w:r>
      <w:r>
        <w:rPr>
          <w:lang w:val="pl-PL"/>
        </w:rPr>
        <w:t xml:space="preserve"> czy ingerencja była konieczna w społeczeństwie demokratycznym. </w:t>
      </w:r>
    </w:p>
    <w:p w:rsidR="00230793" w:rsidRPr="003A6979" w:rsidRDefault="00230793" w:rsidP="00230793">
      <w:pPr>
        <w:spacing w:after="120" w:line="240" w:lineRule="auto"/>
        <w:jc w:val="both"/>
        <w:rPr>
          <w:i/>
          <w:lang w:val="pl-PL"/>
        </w:rPr>
      </w:pPr>
      <w:r w:rsidRPr="003A6979">
        <w:rPr>
          <w:i/>
          <w:lang w:val="pl-PL"/>
        </w:rPr>
        <w:t>(a)  nakaz zaprzestania rozpowszechniania broszur w bezpośrednim sąsiedztwie kliniki</w:t>
      </w:r>
    </w:p>
    <w:p w:rsidR="00230793" w:rsidRPr="00230793" w:rsidRDefault="00230793" w:rsidP="00230793">
      <w:pPr>
        <w:spacing w:after="120" w:line="240" w:lineRule="auto"/>
        <w:jc w:val="both"/>
        <w:rPr>
          <w:lang w:val="pl-PL"/>
        </w:rPr>
      </w:pPr>
      <w:r w:rsidRPr="00E60AAC">
        <w:rPr>
          <w:lang w:val="pl-PL"/>
        </w:rPr>
        <w:t xml:space="preserve">Sądy </w:t>
      </w:r>
      <w:r w:rsidR="0085593C">
        <w:rPr>
          <w:lang w:val="pl-PL"/>
        </w:rPr>
        <w:t>k</w:t>
      </w:r>
      <w:r w:rsidRPr="00E60AAC">
        <w:rPr>
          <w:lang w:val="pl-PL"/>
        </w:rPr>
        <w:t xml:space="preserve">rajowe uznały, że  przedmiotowe ulotki dotyczyły kwestii z zakresu interesu publicznego oraz że </w:t>
      </w:r>
      <w:r w:rsidR="003A6979">
        <w:rPr>
          <w:lang w:val="pl-PL"/>
        </w:rPr>
        <w:t xml:space="preserve">co do zasady </w:t>
      </w:r>
      <w:r w:rsidRPr="00E60AAC">
        <w:rPr>
          <w:lang w:val="pl-PL"/>
        </w:rPr>
        <w:t xml:space="preserve">skarżący mógł działać na rzecz swych celów politycznych także używając przesadzonej </w:t>
      </w:r>
      <w:r w:rsidR="003A6979">
        <w:rPr>
          <w:lang w:val="pl-PL"/>
        </w:rPr>
        <w:t>i</w:t>
      </w:r>
      <w:r w:rsidRPr="00E60AAC">
        <w:rPr>
          <w:lang w:val="pl-PL"/>
        </w:rPr>
        <w:t xml:space="preserve"> polemicznej krytyki. </w:t>
      </w:r>
      <w:r w:rsidR="008C66DE">
        <w:rPr>
          <w:lang w:val="pl-PL"/>
        </w:rPr>
        <w:t>Sądy j</w:t>
      </w:r>
      <w:r w:rsidRPr="00E60AAC">
        <w:rPr>
          <w:lang w:val="pl-PL"/>
        </w:rPr>
        <w:t>ednakże stwierdziły, że skarżący stworzył mylne wrażenie, że aborcje były wykonywane nielegalnie, gdyż cały układ ulotki został tak pomyślany, by przyciągnąć uwagę czytelnika do pierwszego zdania zapisanego wytłuszczonym drukiem, podczas gdy dalsze wyjaśnienie zapisano małą czcionką z zamiarem ukrycia je</w:t>
      </w:r>
      <w:r w:rsidR="00A95D53">
        <w:rPr>
          <w:lang w:val="pl-PL"/>
        </w:rPr>
        <w:t>go</w:t>
      </w:r>
      <w:r w:rsidRPr="00E60AAC">
        <w:rPr>
          <w:lang w:val="pl-PL"/>
        </w:rPr>
        <w:t xml:space="preserve"> treści. Ponadto, </w:t>
      </w:r>
      <w:r w:rsidR="00A95D53">
        <w:rPr>
          <w:lang w:val="pl-PL"/>
        </w:rPr>
        <w:t xml:space="preserve">sądy </w:t>
      </w:r>
      <w:r w:rsidRPr="00E60AAC">
        <w:rPr>
          <w:lang w:val="pl-PL"/>
        </w:rPr>
        <w:t xml:space="preserve">uznały, że skarżący stworzył </w:t>
      </w:r>
      <w:r w:rsidR="003A6979">
        <w:rPr>
          <w:lang w:val="pl-PL"/>
        </w:rPr>
        <w:t>„</w:t>
      </w:r>
      <w:r w:rsidRPr="00230793">
        <w:rPr>
          <w:lang w:val="pl-PL"/>
        </w:rPr>
        <w:t>efekt pręgierza</w:t>
      </w:r>
      <w:r w:rsidR="003A6979">
        <w:rPr>
          <w:lang w:val="pl-PL"/>
        </w:rPr>
        <w:t>”</w:t>
      </w:r>
      <w:r w:rsidRPr="00E60AAC">
        <w:rPr>
          <w:lang w:val="pl-PL"/>
        </w:rPr>
        <w:t xml:space="preserve"> poprzez wyróżnienie dwóch lekarzy, co zostało jeszcze pogłębione poprzez wzmiankę nt. </w:t>
      </w:r>
      <w:r w:rsidRPr="00230793">
        <w:rPr>
          <w:lang w:val="pl-PL"/>
        </w:rPr>
        <w:t xml:space="preserve">Holokaustu.  </w:t>
      </w:r>
    </w:p>
    <w:p w:rsidR="00230793" w:rsidRPr="00773C5B" w:rsidRDefault="00230793" w:rsidP="0085593C">
      <w:pPr>
        <w:spacing w:after="120" w:line="240" w:lineRule="auto"/>
        <w:jc w:val="both"/>
        <w:rPr>
          <w:lang w:val="pl-PL"/>
        </w:rPr>
      </w:pPr>
      <w:r w:rsidRPr="00773C5B">
        <w:rPr>
          <w:lang w:val="pl-PL"/>
        </w:rPr>
        <w:t>Trybunał uznał, że stwierdzenie skarżącego, iż “bezprawne aborcje” były wykonywane</w:t>
      </w:r>
      <w:r w:rsidR="003A6979">
        <w:rPr>
          <w:lang w:val="pl-PL"/>
        </w:rPr>
        <w:t>,</w:t>
      </w:r>
      <w:r w:rsidRPr="00773C5B">
        <w:rPr>
          <w:lang w:val="pl-PL"/>
        </w:rPr>
        <w:t xml:space="preserve"> było prawidłowe z prawnego punktu widzenia, gdyż prawo krajowe rozróżniało jedynie aborcje, które były uznawane za bezprawne, ale zwolnione z odpowiedzialności karnej, oraz aborcje, które były uznawane za uzasadnione i z tego względu legalne. Choć układ ulotki był taki, by zwrócić uwagę na pierwsze zdanie, to jednak samo sformułowanie ulotki,</w:t>
      </w:r>
      <w:r w:rsidR="00A95D53">
        <w:rPr>
          <w:lang w:val="pl-PL"/>
        </w:rPr>
        <w:t xml:space="preserve"> która zawierała</w:t>
      </w:r>
      <w:r w:rsidRPr="00773C5B">
        <w:rPr>
          <w:lang w:val="pl-PL"/>
        </w:rPr>
        <w:t xml:space="preserve"> stwierdzenie, że aborcje nie podlegaj</w:t>
      </w:r>
      <w:r w:rsidR="00A95D53">
        <w:rPr>
          <w:lang w:val="pl-PL"/>
        </w:rPr>
        <w:t>ą odpowiedzialności karnej, było</w:t>
      </w:r>
      <w:r w:rsidRPr="00773C5B">
        <w:rPr>
          <w:lang w:val="pl-PL"/>
        </w:rPr>
        <w:t xml:space="preserve"> wystarczająco jasn</w:t>
      </w:r>
      <w:r w:rsidR="002F583E">
        <w:rPr>
          <w:lang w:val="pl-PL"/>
        </w:rPr>
        <w:t>e</w:t>
      </w:r>
      <w:r w:rsidRPr="00773C5B">
        <w:rPr>
          <w:lang w:val="pl-PL"/>
        </w:rPr>
        <w:t xml:space="preserve"> i dostępn</w:t>
      </w:r>
      <w:r w:rsidR="002F583E">
        <w:rPr>
          <w:lang w:val="pl-PL"/>
        </w:rPr>
        <w:t>e</w:t>
      </w:r>
      <w:r w:rsidRPr="00773C5B">
        <w:rPr>
          <w:lang w:val="pl-PL"/>
        </w:rPr>
        <w:t xml:space="preserve"> dla czytelnika, nawet nie </w:t>
      </w:r>
      <w:r w:rsidRPr="00773C5B">
        <w:rPr>
          <w:lang w:val="pl-PL"/>
        </w:rPr>
        <w:lastRenderedPageBreak/>
        <w:t>mającego doświadczenia prawn</w:t>
      </w:r>
      <w:r w:rsidR="003A6979">
        <w:rPr>
          <w:lang w:val="pl-PL"/>
        </w:rPr>
        <w:t>icz</w:t>
      </w:r>
      <w:r w:rsidRPr="00773C5B">
        <w:rPr>
          <w:lang w:val="pl-PL"/>
        </w:rPr>
        <w:t xml:space="preserve">ego. Sam fakt, że dodatkowe wyjaśnienie nie zostało wizualnie </w:t>
      </w:r>
      <w:r w:rsidR="003A6979">
        <w:rPr>
          <w:lang w:val="pl-PL"/>
        </w:rPr>
        <w:t>wyeksponowane,</w:t>
      </w:r>
      <w:r w:rsidRPr="00773C5B">
        <w:rPr>
          <w:lang w:val="pl-PL"/>
        </w:rPr>
        <w:t xml:space="preserve"> nie oznacza, że rozsądna osoba mająca zwykłą świadomość </w:t>
      </w:r>
      <w:r w:rsidR="003A6979">
        <w:rPr>
          <w:lang w:val="pl-PL"/>
        </w:rPr>
        <w:t xml:space="preserve">tematu </w:t>
      </w:r>
      <w:r w:rsidRPr="00773C5B">
        <w:rPr>
          <w:lang w:val="pl-PL"/>
        </w:rPr>
        <w:t>założy, że aborcje są wykonywane poza ramami prawnymi i są zakazane w ściślejszym znaczeniu odpowiedzialności karnej. Fakty obecnej sprawy różniły się więc od faktów objętych poprzednimi</w:t>
      </w:r>
      <w:r w:rsidR="002F583E">
        <w:rPr>
          <w:lang w:val="pl-PL"/>
        </w:rPr>
        <w:t>, uznanymi za niedopuszczalne,</w:t>
      </w:r>
      <w:r w:rsidRPr="00773C5B">
        <w:rPr>
          <w:lang w:val="pl-PL"/>
        </w:rPr>
        <w:t xml:space="preserve"> skargami</w:t>
      </w:r>
      <w:r w:rsidR="002F583E" w:rsidRPr="003A6979">
        <w:rPr>
          <w:vertAlign w:val="superscript"/>
        </w:rPr>
        <w:footnoteReference w:id="2"/>
      </w:r>
      <w:r w:rsidRPr="00773C5B">
        <w:rPr>
          <w:lang w:val="pl-PL"/>
        </w:rPr>
        <w:t xml:space="preserve"> tego samego skarżącego, które dotyczyły ulotek i plakatu posługujących się stwierdzeniem „bezprawne aborcje” bez dalszego wyjaśnienia. </w:t>
      </w:r>
    </w:p>
    <w:p w:rsidR="00230793" w:rsidRPr="00230793" w:rsidRDefault="003A6979" w:rsidP="00230793">
      <w:pPr>
        <w:pStyle w:val="ClinContent"/>
        <w:spacing w:before="0" w:after="120"/>
        <w:rPr>
          <w:rFonts w:asciiTheme="minorHAnsi" w:hAnsiTheme="minorHAnsi"/>
          <w:sz w:val="22"/>
          <w:szCs w:val="22"/>
          <w:lang w:val="pl-PL"/>
        </w:rPr>
      </w:pPr>
      <w:r>
        <w:rPr>
          <w:rFonts w:asciiTheme="minorHAnsi" w:hAnsiTheme="minorHAnsi"/>
          <w:sz w:val="22"/>
          <w:szCs w:val="22"/>
          <w:lang w:val="pl-PL"/>
        </w:rPr>
        <w:t>Ponadto, wybór skarżącego, by rozpowszechniać</w:t>
      </w:r>
      <w:r w:rsidR="00230793" w:rsidRPr="00773C5B">
        <w:rPr>
          <w:rFonts w:asciiTheme="minorHAnsi" w:hAnsiTheme="minorHAnsi"/>
          <w:sz w:val="22"/>
          <w:szCs w:val="22"/>
          <w:lang w:val="pl-PL"/>
        </w:rPr>
        <w:t xml:space="preserve"> ulotk</w:t>
      </w:r>
      <w:r>
        <w:rPr>
          <w:rFonts w:asciiTheme="minorHAnsi" w:hAnsiTheme="minorHAnsi"/>
          <w:sz w:val="22"/>
          <w:szCs w:val="22"/>
          <w:lang w:val="pl-PL"/>
        </w:rPr>
        <w:t>i</w:t>
      </w:r>
      <w:r w:rsidR="00230793" w:rsidRPr="00773C5B">
        <w:rPr>
          <w:rFonts w:asciiTheme="minorHAnsi" w:hAnsiTheme="minorHAnsi"/>
          <w:sz w:val="22"/>
          <w:szCs w:val="22"/>
          <w:lang w:val="pl-PL"/>
        </w:rPr>
        <w:t xml:space="preserve"> w bezpośrednim sąsiedztwie kliniki</w:t>
      </w:r>
      <w:r>
        <w:rPr>
          <w:rFonts w:asciiTheme="minorHAnsi" w:hAnsiTheme="minorHAnsi"/>
          <w:sz w:val="22"/>
          <w:szCs w:val="22"/>
          <w:lang w:val="pl-PL"/>
        </w:rPr>
        <w:t>,</w:t>
      </w:r>
      <w:r w:rsidR="00230793" w:rsidRPr="00773C5B">
        <w:rPr>
          <w:rFonts w:asciiTheme="minorHAnsi" w:hAnsiTheme="minorHAnsi"/>
          <w:sz w:val="22"/>
          <w:szCs w:val="22"/>
          <w:lang w:val="pl-PL"/>
        </w:rPr>
        <w:t xml:space="preserve"> zwiększał skuteczność jego kampanii, która stanowiła wkład do wysoce kontrowersyjnej debaty z zakresu interesu publicznego. </w:t>
      </w:r>
      <w:r w:rsidR="0085593C" w:rsidRPr="0085593C">
        <w:rPr>
          <w:rFonts w:asciiTheme="minorHAnsi" w:hAnsiTheme="minorHAnsi"/>
          <w:sz w:val="22"/>
          <w:szCs w:val="22"/>
          <w:lang w:val="pl-PL"/>
        </w:rPr>
        <w:t xml:space="preserve">Choć wyglądało na to, że lekarze, w rezultacie negatywnego rozgłosu, zamknęli swą </w:t>
      </w:r>
      <w:r w:rsidR="00230793" w:rsidRPr="0085593C">
        <w:rPr>
          <w:rFonts w:asciiTheme="minorHAnsi" w:hAnsiTheme="minorHAnsi"/>
          <w:sz w:val="22"/>
          <w:szCs w:val="22"/>
          <w:lang w:val="pl-PL"/>
        </w:rPr>
        <w:t xml:space="preserve">klinikę i </w:t>
      </w:r>
      <w:r w:rsidR="0085593C" w:rsidRPr="0085593C">
        <w:rPr>
          <w:rFonts w:asciiTheme="minorHAnsi" w:hAnsiTheme="minorHAnsi"/>
          <w:sz w:val="22"/>
          <w:szCs w:val="22"/>
          <w:lang w:val="pl-PL"/>
        </w:rPr>
        <w:t xml:space="preserve">podjęli </w:t>
      </w:r>
      <w:r w:rsidR="00230793" w:rsidRPr="0085593C">
        <w:rPr>
          <w:rFonts w:asciiTheme="minorHAnsi" w:hAnsiTheme="minorHAnsi"/>
          <w:sz w:val="22"/>
          <w:szCs w:val="22"/>
          <w:lang w:val="pl-PL"/>
        </w:rPr>
        <w:t xml:space="preserve">inną praktykę zawodową, </w:t>
      </w:r>
      <w:r w:rsidR="00230793" w:rsidRPr="00773C5B">
        <w:rPr>
          <w:rFonts w:asciiTheme="minorHAnsi" w:hAnsiTheme="minorHAnsi"/>
          <w:sz w:val="22"/>
          <w:szCs w:val="22"/>
          <w:lang w:val="pl-PL"/>
        </w:rPr>
        <w:t xml:space="preserve">nie jest </w:t>
      </w:r>
      <w:r w:rsidR="00A95D53" w:rsidRPr="0085593C">
        <w:rPr>
          <w:rFonts w:asciiTheme="minorHAnsi" w:hAnsiTheme="minorHAnsi"/>
          <w:sz w:val="22"/>
          <w:szCs w:val="22"/>
          <w:lang w:val="pl-PL"/>
        </w:rPr>
        <w:t>je</w:t>
      </w:r>
      <w:r w:rsidR="00A95D53" w:rsidRPr="00773C5B">
        <w:rPr>
          <w:rFonts w:asciiTheme="minorHAnsi" w:hAnsiTheme="minorHAnsi"/>
          <w:sz w:val="22"/>
          <w:szCs w:val="22"/>
          <w:lang w:val="pl-PL"/>
        </w:rPr>
        <w:t xml:space="preserve">dnak </w:t>
      </w:r>
      <w:r w:rsidR="00230793" w:rsidRPr="00773C5B">
        <w:rPr>
          <w:rFonts w:asciiTheme="minorHAnsi" w:hAnsiTheme="minorHAnsi"/>
          <w:sz w:val="22"/>
          <w:szCs w:val="22"/>
          <w:lang w:val="pl-PL"/>
        </w:rPr>
        <w:t>jasne, czy to działania skarżącego w rzeczywistości spowodowały t</w:t>
      </w:r>
      <w:r w:rsidR="00517EFC">
        <w:rPr>
          <w:rFonts w:asciiTheme="minorHAnsi" w:hAnsiTheme="minorHAnsi"/>
          <w:sz w:val="22"/>
          <w:szCs w:val="22"/>
          <w:lang w:val="pl-PL"/>
        </w:rPr>
        <w:t>aki</w:t>
      </w:r>
      <w:r w:rsidR="00230793" w:rsidRPr="00773C5B">
        <w:rPr>
          <w:rFonts w:asciiTheme="minorHAnsi" w:hAnsiTheme="minorHAnsi"/>
          <w:sz w:val="22"/>
          <w:szCs w:val="22"/>
          <w:lang w:val="pl-PL"/>
        </w:rPr>
        <w:t xml:space="preserve"> rozwój wypadków. Nie złożyli oni powództwa o odszkodowanie </w:t>
      </w:r>
      <w:r>
        <w:rPr>
          <w:rFonts w:asciiTheme="minorHAnsi" w:hAnsiTheme="minorHAnsi"/>
          <w:sz w:val="22"/>
          <w:szCs w:val="22"/>
          <w:lang w:val="pl-PL"/>
        </w:rPr>
        <w:t>przeciwko skarżącemu</w:t>
      </w:r>
      <w:r w:rsidR="00230793" w:rsidRPr="00773C5B">
        <w:rPr>
          <w:rFonts w:asciiTheme="minorHAnsi" w:hAnsiTheme="minorHAnsi"/>
          <w:sz w:val="22"/>
          <w:szCs w:val="22"/>
          <w:lang w:val="pl-PL"/>
        </w:rPr>
        <w:t xml:space="preserve">. Jeśli zaś chodzi o odniesienie do Holokaustu, Trybunał nie zgodził się z wykładnią sądów krajowych, iż skarżący porównał lekarzy i ich działania zawodowe do reżimu nazistowskiego. W istocie, jego stwierdzenie, że zabijanie istot ludzkich w Auschwitz </w:t>
      </w:r>
      <w:r w:rsidR="00517EFC">
        <w:rPr>
          <w:rFonts w:asciiTheme="minorHAnsi" w:hAnsiTheme="minorHAnsi"/>
          <w:sz w:val="22"/>
          <w:szCs w:val="22"/>
          <w:lang w:val="pl-PL"/>
        </w:rPr>
        <w:t xml:space="preserve">choć </w:t>
      </w:r>
      <w:r w:rsidR="00230793" w:rsidRPr="00773C5B">
        <w:rPr>
          <w:rFonts w:asciiTheme="minorHAnsi" w:hAnsiTheme="minorHAnsi"/>
          <w:sz w:val="22"/>
          <w:szCs w:val="22"/>
          <w:lang w:val="pl-PL"/>
        </w:rPr>
        <w:t xml:space="preserve">bezprawne, było dozwalane i nie podlegało odpowiedzialności karnej za reżimu nazistowskiego, mogło być </w:t>
      </w:r>
      <w:r w:rsidR="00A95D53" w:rsidRPr="00773C5B">
        <w:rPr>
          <w:rFonts w:asciiTheme="minorHAnsi" w:hAnsiTheme="minorHAnsi"/>
          <w:sz w:val="22"/>
          <w:szCs w:val="22"/>
          <w:lang w:val="pl-PL"/>
        </w:rPr>
        <w:t xml:space="preserve">również </w:t>
      </w:r>
      <w:r w:rsidR="00230793" w:rsidRPr="00773C5B">
        <w:rPr>
          <w:rFonts w:asciiTheme="minorHAnsi" w:hAnsiTheme="minorHAnsi"/>
          <w:sz w:val="22"/>
          <w:szCs w:val="22"/>
          <w:lang w:val="pl-PL"/>
        </w:rPr>
        <w:t xml:space="preserve">rozumiane jako upowszechniające świadomość ogólniejszego faktu, iż prawo może odbiegać od moralności. Choć Trybunał był świadom podtekstu wypowiedzi skarżącego, który został </w:t>
      </w:r>
      <w:r w:rsidR="00C80B26" w:rsidRPr="00773C5B">
        <w:rPr>
          <w:rFonts w:asciiTheme="minorHAnsi" w:hAnsiTheme="minorHAnsi"/>
          <w:sz w:val="22"/>
          <w:szCs w:val="22"/>
          <w:lang w:val="pl-PL"/>
        </w:rPr>
        <w:t xml:space="preserve">dodatkowo </w:t>
      </w:r>
      <w:r w:rsidR="00230793" w:rsidRPr="00773C5B">
        <w:rPr>
          <w:rFonts w:asciiTheme="minorHAnsi" w:hAnsiTheme="minorHAnsi"/>
          <w:sz w:val="22"/>
          <w:szCs w:val="22"/>
          <w:lang w:val="pl-PL"/>
        </w:rPr>
        <w:t xml:space="preserve">wzmocniony poprzez wzmiankę nt. jego strony internetowej, zwanej “www.babycaust.de”, zauważył, że skarżący nie dokonał – przynajmniej wyraźnie </w:t>
      </w:r>
      <w:r w:rsidR="00C80B26">
        <w:rPr>
          <w:rFonts w:asciiTheme="minorHAnsi" w:hAnsiTheme="minorHAnsi"/>
          <w:sz w:val="22"/>
          <w:szCs w:val="22"/>
          <w:lang w:val="pl-PL"/>
        </w:rPr>
        <w:t>–</w:t>
      </w:r>
      <w:r w:rsidR="00230793" w:rsidRPr="00773C5B">
        <w:rPr>
          <w:rFonts w:asciiTheme="minorHAnsi" w:hAnsiTheme="minorHAnsi"/>
          <w:sz w:val="22"/>
          <w:szCs w:val="22"/>
          <w:lang w:val="pl-PL"/>
        </w:rPr>
        <w:t xml:space="preserve"> zrównania aborcji z Holokaustem. Zatem, Trybunał nie był przekonany, że zakaz dystrybuowania ulotek był uzasadniony naruszeniem dóbr osobistych lekarzy z uwagi jedynie na wzmiankę nt. </w:t>
      </w:r>
      <w:r w:rsidR="00230793" w:rsidRPr="00230793">
        <w:rPr>
          <w:rFonts w:asciiTheme="minorHAnsi" w:hAnsiTheme="minorHAnsi"/>
          <w:sz w:val="22"/>
          <w:szCs w:val="22"/>
          <w:lang w:val="pl-PL"/>
        </w:rPr>
        <w:t xml:space="preserve">Holokaustu.  </w:t>
      </w:r>
    </w:p>
    <w:p w:rsidR="00230793" w:rsidRPr="00773C5B" w:rsidRDefault="00230793" w:rsidP="00230793">
      <w:pPr>
        <w:pStyle w:val="ClinContent"/>
        <w:spacing w:before="0" w:after="120"/>
        <w:rPr>
          <w:rFonts w:asciiTheme="minorHAnsi" w:hAnsiTheme="minorHAnsi"/>
          <w:sz w:val="22"/>
          <w:szCs w:val="22"/>
          <w:lang w:val="pl-PL"/>
        </w:rPr>
      </w:pPr>
      <w:r w:rsidRPr="00773C5B">
        <w:rPr>
          <w:rFonts w:asciiTheme="minorHAnsi" w:hAnsiTheme="minorHAnsi"/>
          <w:sz w:val="22"/>
          <w:szCs w:val="22"/>
          <w:lang w:val="pl-PL"/>
        </w:rPr>
        <w:t>Mając na uwadze powyższe kwestie, w szczególności fakt, że stwierdzenie skarżącego nie było sprzeczne ze stanem prawnym obowiązującym w Niemczech w odniesieniu do aborcji, stanowiło wkład do wysoce kontrowersyjnej debaty z zakresu interesu publicznego</w:t>
      </w:r>
      <w:r w:rsidR="00C80B26">
        <w:rPr>
          <w:rFonts w:asciiTheme="minorHAnsi" w:hAnsiTheme="minorHAnsi"/>
          <w:sz w:val="22"/>
          <w:szCs w:val="22"/>
          <w:lang w:val="pl-PL"/>
        </w:rPr>
        <w:t xml:space="preserve">, a także biorąc pod uwagę </w:t>
      </w:r>
      <w:r w:rsidRPr="00773C5B">
        <w:rPr>
          <w:rFonts w:asciiTheme="minorHAnsi" w:hAnsiTheme="minorHAnsi"/>
          <w:sz w:val="22"/>
          <w:szCs w:val="22"/>
          <w:lang w:val="pl-PL"/>
        </w:rPr>
        <w:t>szczególny zakres ochrony udzielany wypowiedziom dokonywanym w trakcie debaty na temat spraw z zakresu interesu publicznego</w:t>
      </w:r>
      <w:r w:rsidR="00C80B26">
        <w:rPr>
          <w:rFonts w:asciiTheme="minorHAnsi" w:hAnsiTheme="minorHAnsi"/>
          <w:sz w:val="22"/>
          <w:szCs w:val="22"/>
          <w:lang w:val="pl-PL"/>
        </w:rPr>
        <w:t>,</w:t>
      </w:r>
      <w:r w:rsidRPr="00773C5B">
        <w:rPr>
          <w:rFonts w:asciiTheme="minorHAnsi" w:hAnsiTheme="minorHAnsi"/>
          <w:sz w:val="22"/>
          <w:szCs w:val="22"/>
          <w:lang w:val="pl-PL"/>
        </w:rPr>
        <w:t xml:space="preserve"> Trybunał uznał, pomimo marginesu oceny przysługującego </w:t>
      </w:r>
      <w:r w:rsidR="00C80B26">
        <w:rPr>
          <w:rFonts w:asciiTheme="minorHAnsi" w:hAnsiTheme="minorHAnsi"/>
          <w:sz w:val="22"/>
          <w:szCs w:val="22"/>
          <w:lang w:val="pl-PL"/>
        </w:rPr>
        <w:t>państwu</w:t>
      </w:r>
      <w:r w:rsidRPr="00773C5B">
        <w:rPr>
          <w:rFonts w:asciiTheme="minorHAnsi" w:hAnsiTheme="minorHAnsi"/>
          <w:sz w:val="22"/>
          <w:szCs w:val="22"/>
          <w:lang w:val="pl-PL"/>
        </w:rPr>
        <w:t xml:space="preserve"> w obecnej sprawie, że sądy krajowe nie dokonały słusznego wyważenia między prawem do wolności wypowiedzi skarżącego a prawem lekarzy do ochrony ich dóbr osobistych. </w:t>
      </w:r>
    </w:p>
    <w:p w:rsidR="00230793" w:rsidRPr="00773C5B" w:rsidRDefault="00230793" w:rsidP="00230793">
      <w:pPr>
        <w:pStyle w:val="ClinContent"/>
        <w:spacing w:before="0" w:after="120"/>
        <w:rPr>
          <w:rFonts w:asciiTheme="minorHAnsi" w:hAnsiTheme="minorHAnsi"/>
          <w:sz w:val="22"/>
          <w:szCs w:val="22"/>
          <w:lang w:val="pl-PL"/>
        </w:rPr>
      </w:pPr>
      <w:r w:rsidRPr="00773C5B">
        <w:rPr>
          <w:rFonts w:asciiTheme="minorHAnsi" w:hAnsiTheme="minorHAnsi"/>
          <w:sz w:val="22"/>
          <w:szCs w:val="22"/>
          <w:lang w:val="pl-PL"/>
        </w:rPr>
        <w:t>Na tej podstawie Trybunał stwierdził większością głosów 5 do 2, iż doszło do naruszenia prawa skarżącego do wolności wyrażania opinii, chronionej art. 10 Konwencji z uwagi na nakaz zaprzestania rozpowszechniania ulotek.</w:t>
      </w:r>
    </w:p>
    <w:p w:rsidR="00230793" w:rsidRPr="00C80B26" w:rsidRDefault="00230793" w:rsidP="00230793">
      <w:pPr>
        <w:pStyle w:val="ClinContent"/>
        <w:spacing w:before="0" w:after="120"/>
        <w:rPr>
          <w:rFonts w:asciiTheme="minorHAnsi" w:hAnsiTheme="minorHAnsi"/>
          <w:i/>
          <w:sz w:val="22"/>
          <w:szCs w:val="22"/>
          <w:lang w:val="pl-PL"/>
        </w:rPr>
      </w:pPr>
      <w:r w:rsidRPr="00C80B26">
        <w:rPr>
          <w:rFonts w:asciiTheme="minorHAnsi" w:hAnsiTheme="minorHAnsi"/>
          <w:i/>
          <w:sz w:val="22"/>
          <w:szCs w:val="22"/>
          <w:lang w:val="pl-PL"/>
        </w:rPr>
        <w:t>(b) nakaz</w:t>
      </w:r>
      <w:r w:rsidR="00480526" w:rsidRPr="00C80B26">
        <w:rPr>
          <w:rFonts w:asciiTheme="minorHAnsi" w:hAnsiTheme="minorHAnsi"/>
          <w:i/>
          <w:sz w:val="22"/>
          <w:szCs w:val="22"/>
          <w:lang w:val="pl-PL"/>
        </w:rPr>
        <w:t xml:space="preserve"> zaprzestania wspominania</w:t>
      </w:r>
      <w:r w:rsidRPr="00C80B26">
        <w:rPr>
          <w:rFonts w:asciiTheme="minorHAnsi" w:hAnsiTheme="minorHAnsi"/>
          <w:i/>
          <w:sz w:val="22"/>
          <w:szCs w:val="22"/>
          <w:lang w:val="pl-PL"/>
        </w:rPr>
        <w:t xml:space="preserve"> danych kontaktowych lekarzy na liście lekarzy aborcyjnych dostępnej online</w:t>
      </w:r>
    </w:p>
    <w:p w:rsidR="00230793" w:rsidRPr="00773C5B" w:rsidRDefault="00230793" w:rsidP="00230793">
      <w:pPr>
        <w:pStyle w:val="ClinContent"/>
        <w:spacing w:before="0" w:after="120"/>
        <w:rPr>
          <w:rFonts w:asciiTheme="minorHAnsi" w:hAnsiTheme="minorHAnsi"/>
          <w:sz w:val="22"/>
          <w:szCs w:val="22"/>
          <w:lang w:val="pl-PL"/>
        </w:rPr>
      </w:pPr>
      <w:r w:rsidRPr="00CE2F20">
        <w:rPr>
          <w:rFonts w:asciiTheme="minorHAnsi" w:hAnsiTheme="minorHAnsi"/>
          <w:sz w:val="22"/>
          <w:szCs w:val="22"/>
          <w:lang w:val="pl-PL"/>
        </w:rPr>
        <w:t xml:space="preserve">Sądy </w:t>
      </w:r>
      <w:r w:rsidR="00C80B26">
        <w:rPr>
          <w:rFonts w:asciiTheme="minorHAnsi" w:hAnsiTheme="minorHAnsi"/>
          <w:sz w:val="22"/>
          <w:szCs w:val="22"/>
          <w:lang w:val="pl-PL"/>
        </w:rPr>
        <w:t>k</w:t>
      </w:r>
      <w:r w:rsidRPr="00CE2F20">
        <w:rPr>
          <w:rFonts w:asciiTheme="minorHAnsi" w:hAnsiTheme="minorHAnsi"/>
          <w:sz w:val="22"/>
          <w:szCs w:val="22"/>
          <w:lang w:val="pl-PL"/>
        </w:rPr>
        <w:t xml:space="preserve">rajowe uznały, że ulotka skarżącego oraz strona internetowa zrównywały działania lekarzy z Holokaustem i masowymi zabójstwami, co nie było objęte jego wolnością wyrażania opinii. Jednakże, ograniczyły się do stwierdzenia, że te same zasady, które zostały </w:t>
      </w:r>
      <w:r w:rsidR="00C80B26">
        <w:rPr>
          <w:rFonts w:asciiTheme="minorHAnsi" w:hAnsiTheme="minorHAnsi"/>
          <w:sz w:val="22"/>
          <w:szCs w:val="22"/>
          <w:lang w:val="pl-PL"/>
        </w:rPr>
        <w:t>przyjęte</w:t>
      </w:r>
      <w:r w:rsidRPr="00CE2F20">
        <w:rPr>
          <w:rFonts w:asciiTheme="minorHAnsi" w:hAnsiTheme="minorHAnsi"/>
          <w:sz w:val="22"/>
          <w:szCs w:val="22"/>
          <w:lang w:val="pl-PL"/>
        </w:rPr>
        <w:t xml:space="preserve"> w odniesieniu do ulotki, powinny mieć zastosowanie również do strony internetowej – </w:t>
      </w:r>
      <w:r w:rsidR="00C80B26">
        <w:rPr>
          <w:rFonts w:asciiTheme="minorHAnsi" w:hAnsiTheme="minorHAnsi"/>
          <w:sz w:val="22"/>
          <w:szCs w:val="22"/>
          <w:lang w:val="pl-PL"/>
        </w:rPr>
        <w:t>i nie przeprowadziły</w:t>
      </w:r>
      <w:r w:rsidRPr="00CE2F20">
        <w:rPr>
          <w:rFonts w:asciiTheme="minorHAnsi" w:hAnsiTheme="minorHAnsi"/>
          <w:sz w:val="22"/>
          <w:szCs w:val="22"/>
          <w:lang w:val="pl-PL"/>
        </w:rPr>
        <w:t xml:space="preserve"> dodatkowego zbadania okoliczności indywidualnych i kontekstu. Trybunał zauważył, że w aktach sprawy nie znalazł się dokładny opis strony ani jej układu, ani nawet zdjęcie</w:t>
      </w:r>
      <w:r w:rsidR="00A95D53">
        <w:rPr>
          <w:rFonts w:asciiTheme="minorHAnsi" w:hAnsiTheme="minorHAnsi"/>
          <w:sz w:val="22"/>
          <w:szCs w:val="22"/>
          <w:lang w:val="pl-PL"/>
        </w:rPr>
        <w:t xml:space="preserve"> ekranu</w:t>
      </w:r>
      <w:r w:rsidRPr="00CE2F20">
        <w:rPr>
          <w:rFonts w:asciiTheme="minorHAnsi" w:hAnsiTheme="minorHAnsi"/>
          <w:sz w:val="22"/>
          <w:szCs w:val="22"/>
          <w:lang w:val="pl-PL"/>
        </w:rPr>
        <w:t xml:space="preserve">. Sądy w szczególności, nie dokonały rozróżnienia między stwierdzeniem skarżącego zawartym w ulotce (które miało ograniczony geograficznie zasięg oddziaływania) a jego stwierdzeniami </w:t>
      </w:r>
      <w:r w:rsidR="00C80B26">
        <w:rPr>
          <w:rFonts w:asciiTheme="minorHAnsi" w:hAnsiTheme="minorHAnsi"/>
          <w:sz w:val="22"/>
          <w:szCs w:val="22"/>
          <w:lang w:val="pl-PL"/>
        </w:rPr>
        <w:t xml:space="preserve">publikowanymi </w:t>
      </w:r>
      <w:r w:rsidRPr="00CE2F20">
        <w:rPr>
          <w:rFonts w:asciiTheme="minorHAnsi" w:hAnsiTheme="minorHAnsi"/>
          <w:sz w:val="22"/>
          <w:szCs w:val="22"/>
          <w:lang w:val="pl-PL"/>
        </w:rPr>
        <w:t>w internecie, które mogły być rozpowszechniane na całym świecie. W dodatku, nie przeanalizowały, na przykład, dokładnej treści, całościowego kontekstu ani szczególnego układu strony internetowej skarżącego, potrzeby ochrony danych wrażliwych</w:t>
      </w:r>
      <w:r w:rsidR="00C80B26">
        <w:rPr>
          <w:rFonts w:asciiTheme="minorHAnsi" w:hAnsiTheme="minorHAnsi"/>
          <w:sz w:val="22"/>
          <w:szCs w:val="22"/>
          <w:lang w:val="pl-PL"/>
        </w:rPr>
        <w:t xml:space="preserve"> czy też</w:t>
      </w:r>
      <w:r w:rsidRPr="00CE2F20">
        <w:rPr>
          <w:rFonts w:asciiTheme="minorHAnsi" w:hAnsiTheme="minorHAnsi"/>
          <w:sz w:val="22"/>
          <w:szCs w:val="22"/>
          <w:lang w:val="pl-PL"/>
        </w:rPr>
        <w:t xml:space="preserve"> poprzedniego działania lekarzy (np. czy sami nie zamieścili wcześniej w internecie ogłoszenia nt. wykonywania aborcji w klinice). Sądy mogły </w:t>
      </w:r>
      <w:r w:rsidR="00C80B26">
        <w:rPr>
          <w:rFonts w:asciiTheme="minorHAnsi" w:hAnsiTheme="minorHAnsi"/>
          <w:sz w:val="22"/>
          <w:szCs w:val="22"/>
          <w:lang w:val="pl-PL"/>
        </w:rPr>
        <w:t xml:space="preserve">były </w:t>
      </w:r>
      <w:r w:rsidRPr="00CE2F20">
        <w:rPr>
          <w:rFonts w:asciiTheme="minorHAnsi" w:hAnsiTheme="minorHAnsi"/>
          <w:sz w:val="22"/>
          <w:szCs w:val="22"/>
          <w:lang w:val="pl-PL"/>
        </w:rPr>
        <w:t xml:space="preserve">też rozważyć wpływ stwierdzeń skarżącego na strony trzecie, a także, czy jego wypowiedzi mogły </w:t>
      </w:r>
      <w:r w:rsidR="00815828">
        <w:rPr>
          <w:rFonts w:asciiTheme="minorHAnsi" w:hAnsiTheme="minorHAnsi"/>
          <w:sz w:val="22"/>
          <w:szCs w:val="22"/>
          <w:lang w:val="pl-PL"/>
        </w:rPr>
        <w:t>(</w:t>
      </w:r>
      <w:r w:rsidRPr="00CE2F20">
        <w:rPr>
          <w:rFonts w:asciiTheme="minorHAnsi" w:hAnsiTheme="minorHAnsi"/>
          <w:sz w:val="22"/>
          <w:szCs w:val="22"/>
          <w:lang w:val="pl-PL"/>
        </w:rPr>
        <w:t>lub nie</w:t>
      </w:r>
      <w:r w:rsidR="00815828">
        <w:rPr>
          <w:rFonts w:asciiTheme="minorHAnsi" w:hAnsiTheme="minorHAnsi"/>
          <w:sz w:val="22"/>
          <w:szCs w:val="22"/>
          <w:lang w:val="pl-PL"/>
        </w:rPr>
        <w:t>)</w:t>
      </w:r>
      <w:r w:rsidRPr="00CE2F20">
        <w:rPr>
          <w:rFonts w:asciiTheme="minorHAnsi" w:hAnsiTheme="minorHAnsi"/>
          <w:sz w:val="22"/>
          <w:szCs w:val="22"/>
          <w:lang w:val="pl-PL"/>
        </w:rPr>
        <w:t xml:space="preserve"> podżegać do agresji lub przemocy wobec lekarzy. </w:t>
      </w:r>
      <w:r w:rsidRPr="00773C5B">
        <w:rPr>
          <w:rFonts w:asciiTheme="minorHAnsi" w:hAnsiTheme="minorHAnsi"/>
          <w:sz w:val="22"/>
          <w:szCs w:val="22"/>
          <w:lang w:val="pl-PL"/>
        </w:rPr>
        <w:t xml:space="preserve">Z tego względu sądy krajowe nie zastosowały </w:t>
      </w:r>
      <w:r w:rsidRPr="00773C5B">
        <w:rPr>
          <w:rFonts w:asciiTheme="minorHAnsi" w:hAnsiTheme="minorHAnsi"/>
          <w:sz w:val="22"/>
          <w:szCs w:val="22"/>
          <w:lang w:val="pl-PL"/>
        </w:rPr>
        <w:lastRenderedPageBreak/>
        <w:t xml:space="preserve">standardów zgodnych z wymogami proceduralnymi zawartymi w art. 10 Konwencji i nie oparły się na możliwej do zaakceptowania ocenie właściwych faktów sprawy. </w:t>
      </w:r>
    </w:p>
    <w:p w:rsidR="00230793" w:rsidRDefault="00230793" w:rsidP="00230793">
      <w:pPr>
        <w:pStyle w:val="ClinContent"/>
        <w:spacing w:before="0" w:after="120"/>
        <w:rPr>
          <w:rFonts w:asciiTheme="minorHAnsi" w:hAnsiTheme="minorHAnsi"/>
          <w:sz w:val="22"/>
          <w:szCs w:val="22"/>
          <w:lang w:val="pl-PL"/>
        </w:rPr>
      </w:pPr>
      <w:r w:rsidRPr="00773C5B">
        <w:rPr>
          <w:rFonts w:asciiTheme="minorHAnsi" w:hAnsiTheme="minorHAnsi"/>
          <w:sz w:val="22"/>
          <w:szCs w:val="22"/>
          <w:lang w:val="pl-PL"/>
        </w:rPr>
        <w:t xml:space="preserve">Na tej podstawie Trybunał stwierdził większością głosów 5 do 2, iż ochrona prawna </w:t>
      </w:r>
      <w:r w:rsidR="00815828">
        <w:rPr>
          <w:rFonts w:asciiTheme="minorHAnsi" w:hAnsiTheme="minorHAnsi"/>
          <w:sz w:val="22"/>
          <w:szCs w:val="22"/>
          <w:lang w:val="pl-PL"/>
        </w:rPr>
        <w:t xml:space="preserve">uzyskana </w:t>
      </w:r>
      <w:r w:rsidRPr="00773C5B">
        <w:rPr>
          <w:rFonts w:asciiTheme="minorHAnsi" w:hAnsiTheme="minorHAnsi"/>
          <w:sz w:val="22"/>
          <w:szCs w:val="22"/>
          <w:lang w:val="pl-PL"/>
        </w:rPr>
        <w:t xml:space="preserve">przez skarżącego na poziomie krajowym nie była zgodna z wymogami proceduralnymi art. 10 Konwencji. Również </w:t>
      </w:r>
      <w:r w:rsidR="00815828">
        <w:rPr>
          <w:rFonts w:asciiTheme="minorHAnsi" w:hAnsiTheme="minorHAnsi"/>
          <w:sz w:val="22"/>
          <w:szCs w:val="22"/>
          <w:lang w:val="pl-PL"/>
        </w:rPr>
        <w:t xml:space="preserve">więc </w:t>
      </w:r>
      <w:r w:rsidRPr="00773C5B">
        <w:rPr>
          <w:rFonts w:asciiTheme="minorHAnsi" w:hAnsiTheme="minorHAnsi"/>
          <w:sz w:val="22"/>
          <w:szCs w:val="22"/>
          <w:lang w:val="pl-PL"/>
        </w:rPr>
        <w:t xml:space="preserve">w zakresie dotyczącym nakazu zaprzestania </w:t>
      </w:r>
      <w:r w:rsidR="00815828">
        <w:rPr>
          <w:rFonts w:asciiTheme="minorHAnsi" w:hAnsiTheme="minorHAnsi"/>
          <w:sz w:val="22"/>
          <w:szCs w:val="22"/>
          <w:lang w:val="pl-PL"/>
        </w:rPr>
        <w:t xml:space="preserve">wymieniania </w:t>
      </w:r>
      <w:r w:rsidRPr="00773C5B">
        <w:rPr>
          <w:rFonts w:asciiTheme="minorHAnsi" w:hAnsiTheme="minorHAnsi"/>
          <w:sz w:val="22"/>
          <w:szCs w:val="22"/>
          <w:lang w:val="pl-PL"/>
        </w:rPr>
        <w:t xml:space="preserve">nazwisk lekarzy oraz adresu </w:t>
      </w:r>
      <w:r w:rsidR="00815828">
        <w:rPr>
          <w:rFonts w:asciiTheme="minorHAnsi" w:hAnsiTheme="minorHAnsi"/>
          <w:sz w:val="22"/>
          <w:szCs w:val="22"/>
          <w:lang w:val="pl-PL"/>
        </w:rPr>
        <w:t xml:space="preserve">kliniki </w:t>
      </w:r>
      <w:r w:rsidRPr="00773C5B">
        <w:rPr>
          <w:rFonts w:asciiTheme="minorHAnsi" w:hAnsiTheme="minorHAnsi"/>
          <w:sz w:val="22"/>
          <w:szCs w:val="22"/>
          <w:lang w:val="pl-PL"/>
        </w:rPr>
        <w:t>na stronie internetowej doszło do naruszenia prawa skarżącego do wolności wyrażania opinii.</w:t>
      </w:r>
    </w:p>
    <w:p w:rsidR="003C00A8" w:rsidRPr="003C00A8" w:rsidRDefault="003C00A8" w:rsidP="003C00A8">
      <w:pPr>
        <w:pStyle w:val="ClinContent"/>
        <w:spacing w:before="0" w:after="120"/>
        <w:rPr>
          <w:rFonts w:asciiTheme="minorHAnsi" w:hAnsiTheme="minorHAnsi"/>
          <w:sz w:val="22"/>
          <w:szCs w:val="22"/>
          <w:lang w:val="pl-PL"/>
        </w:rPr>
      </w:pPr>
      <w:r>
        <w:rPr>
          <w:rFonts w:asciiTheme="minorHAnsi" w:hAnsiTheme="minorHAnsi"/>
          <w:sz w:val="22"/>
          <w:szCs w:val="22"/>
          <w:lang w:val="pl-PL"/>
        </w:rPr>
        <w:t xml:space="preserve">Do wyroku zdanie odrębne złożyli wspólnie sędziowie </w:t>
      </w:r>
      <w:proofErr w:type="spellStart"/>
      <w:r w:rsidRPr="00B320D4">
        <w:rPr>
          <w:rFonts w:asciiTheme="minorHAnsi" w:hAnsiTheme="minorHAnsi"/>
          <w:sz w:val="22"/>
          <w:szCs w:val="22"/>
          <w:lang w:val="pl-PL"/>
        </w:rPr>
        <w:t>Yudkivsk</w:t>
      </w:r>
      <w:r w:rsidRPr="00C02892">
        <w:rPr>
          <w:rFonts w:asciiTheme="minorHAnsi" w:hAnsiTheme="minorHAnsi"/>
          <w:sz w:val="22"/>
          <w:szCs w:val="22"/>
          <w:lang w:val="pl-PL"/>
        </w:rPr>
        <w:t>a</w:t>
      </w:r>
      <w:proofErr w:type="spellEnd"/>
      <w:r w:rsidRPr="00B320D4">
        <w:rPr>
          <w:rFonts w:asciiTheme="minorHAnsi" w:hAnsiTheme="minorHAnsi"/>
          <w:sz w:val="22"/>
          <w:szCs w:val="22"/>
          <w:lang w:val="pl-PL"/>
        </w:rPr>
        <w:t xml:space="preserve"> </w:t>
      </w:r>
      <w:r w:rsidRPr="00C02892">
        <w:rPr>
          <w:rFonts w:asciiTheme="minorHAnsi" w:hAnsiTheme="minorHAnsi"/>
          <w:sz w:val="22"/>
          <w:szCs w:val="22"/>
          <w:lang w:val="pl-PL"/>
        </w:rPr>
        <w:t>i</w:t>
      </w:r>
      <w:r w:rsidRPr="00B320D4">
        <w:rPr>
          <w:rFonts w:asciiTheme="minorHAnsi" w:hAnsiTheme="minorHAnsi"/>
          <w:sz w:val="22"/>
          <w:szCs w:val="22"/>
          <w:lang w:val="pl-PL"/>
        </w:rPr>
        <w:t xml:space="preserve"> </w:t>
      </w:r>
      <w:proofErr w:type="spellStart"/>
      <w:r w:rsidRPr="00B320D4">
        <w:rPr>
          <w:rFonts w:asciiTheme="minorHAnsi" w:hAnsiTheme="minorHAnsi"/>
          <w:sz w:val="22"/>
          <w:szCs w:val="22"/>
          <w:lang w:val="pl-PL"/>
        </w:rPr>
        <w:t>Jäderblom</w:t>
      </w:r>
      <w:proofErr w:type="spellEnd"/>
      <w:r w:rsidRPr="00C02892">
        <w:rPr>
          <w:rFonts w:asciiTheme="minorHAnsi" w:hAnsiTheme="minorHAnsi"/>
          <w:sz w:val="22"/>
          <w:szCs w:val="22"/>
          <w:lang w:val="pl-PL"/>
        </w:rPr>
        <w:t>, którzy uznali, że władze niemieckie dokonały właściwego wyważenia interesów obu stron w postępowaniu krajowym i w związku z tym nie zgodzili się ze stwierdzeniem naruszenia art. 10 Konwencji.</w:t>
      </w:r>
    </w:p>
    <w:p w:rsidR="00230793" w:rsidRPr="00CE2F20" w:rsidRDefault="00A95486" w:rsidP="00CE2F20">
      <w:pPr>
        <w:pStyle w:val="ClinContent"/>
        <w:spacing w:before="0" w:after="120"/>
        <w:rPr>
          <w:rFonts w:asciiTheme="minorHAnsi" w:hAnsiTheme="minorHAnsi"/>
          <w:sz w:val="22"/>
          <w:szCs w:val="22"/>
          <w:lang w:val="pl-PL"/>
        </w:rPr>
      </w:pPr>
      <w:r w:rsidRPr="00B320D4">
        <w:rPr>
          <w:rFonts w:asciiTheme="minorHAnsi" w:hAnsiTheme="minorHAnsi"/>
          <w:sz w:val="22"/>
          <w:szCs w:val="22"/>
          <w:u w:val="single"/>
          <w:lang w:val="pl-PL"/>
        </w:rPr>
        <w:t>Znaczenie wyroku</w:t>
      </w:r>
      <w:r w:rsidR="00FE6D5F" w:rsidRPr="00B320D4">
        <w:rPr>
          <w:rFonts w:asciiTheme="minorHAnsi" w:hAnsiTheme="minorHAnsi"/>
          <w:sz w:val="22"/>
          <w:szCs w:val="22"/>
          <w:u w:val="single"/>
          <w:lang w:val="pl-PL"/>
        </w:rPr>
        <w:t xml:space="preserve"> dla Polski</w:t>
      </w:r>
      <w:r>
        <w:rPr>
          <w:rFonts w:asciiTheme="minorHAnsi" w:hAnsiTheme="minorHAnsi"/>
          <w:sz w:val="22"/>
          <w:szCs w:val="22"/>
          <w:lang w:val="pl-PL"/>
        </w:rPr>
        <w:t xml:space="preserve">: </w:t>
      </w:r>
      <w:r w:rsidR="001C0854">
        <w:rPr>
          <w:rFonts w:asciiTheme="minorHAnsi" w:hAnsiTheme="minorHAnsi"/>
          <w:sz w:val="22"/>
          <w:szCs w:val="22"/>
          <w:lang w:val="pl-PL"/>
        </w:rPr>
        <w:t>dotyczy zasad</w:t>
      </w:r>
      <w:r w:rsidR="00A53BE6">
        <w:rPr>
          <w:rFonts w:asciiTheme="minorHAnsi" w:hAnsiTheme="minorHAnsi"/>
          <w:sz w:val="22"/>
          <w:szCs w:val="22"/>
          <w:lang w:val="pl-PL"/>
        </w:rPr>
        <w:t xml:space="preserve"> </w:t>
      </w:r>
      <w:r>
        <w:rPr>
          <w:rFonts w:asciiTheme="minorHAnsi" w:hAnsiTheme="minorHAnsi"/>
          <w:sz w:val="22"/>
          <w:szCs w:val="22"/>
          <w:lang w:val="pl-PL"/>
        </w:rPr>
        <w:t>ochrony wolności wyrażania opinii w odniesieniu do wzbudzających kontrowersje kwestii z zakresu interesu publicznego, takich jak aborcja. Wskazuje na wysoki zakres ochrony przysługujący wolności wyrażania opinii</w:t>
      </w:r>
      <w:r w:rsidR="00A53BE6">
        <w:rPr>
          <w:rFonts w:asciiTheme="minorHAnsi" w:hAnsiTheme="minorHAnsi"/>
          <w:sz w:val="22"/>
          <w:szCs w:val="22"/>
          <w:lang w:val="pl-PL"/>
        </w:rPr>
        <w:t xml:space="preserve"> w tym zakresie</w:t>
      </w:r>
      <w:r>
        <w:rPr>
          <w:rFonts w:asciiTheme="minorHAnsi" w:hAnsiTheme="minorHAnsi"/>
          <w:sz w:val="22"/>
          <w:szCs w:val="22"/>
          <w:lang w:val="pl-PL"/>
        </w:rPr>
        <w:t xml:space="preserve">, ale też warunki, jakie powinna spełniać wypowiedź. Zawiera również wskazówki </w:t>
      </w:r>
      <w:r w:rsidR="001C0854">
        <w:rPr>
          <w:rFonts w:asciiTheme="minorHAnsi" w:hAnsiTheme="minorHAnsi"/>
          <w:sz w:val="22"/>
          <w:szCs w:val="22"/>
          <w:lang w:val="pl-PL"/>
        </w:rPr>
        <w:t>dotyczące</w:t>
      </w:r>
      <w:r>
        <w:rPr>
          <w:rFonts w:asciiTheme="minorHAnsi" w:hAnsiTheme="minorHAnsi"/>
          <w:sz w:val="22"/>
          <w:szCs w:val="22"/>
          <w:lang w:val="pl-PL"/>
        </w:rPr>
        <w:t xml:space="preserve"> wymogów </w:t>
      </w:r>
      <w:r w:rsidR="00815828">
        <w:rPr>
          <w:rFonts w:asciiTheme="minorHAnsi" w:hAnsiTheme="minorHAnsi"/>
          <w:sz w:val="22"/>
          <w:szCs w:val="22"/>
          <w:lang w:val="pl-PL"/>
        </w:rPr>
        <w:t xml:space="preserve">proceduralnych związanych z ochroną wolności wyrażania opinii, w tym kwestie, </w:t>
      </w:r>
      <w:r w:rsidR="00B320D4">
        <w:rPr>
          <w:rFonts w:asciiTheme="minorHAnsi" w:hAnsiTheme="minorHAnsi"/>
          <w:sz w:val="22"/>
          <w:szCs w:val="22"/>
          <w:lang w:val="pl-PL"/>
        </w:rPr>
        <w:t xml:space="preserve">które </w:t>
      </w:r>
      <w:r w:rsidR="00815828">
        <w:rPr>
          <w:rFonts w:asciiTheme="minorHAnsi" w:hAnsiTheme="minorHAnsi"/>
          <w:sz w:val="22"/>
          <w:szCs w:val="22"/>
          <w:lang w:val="pl-PL"/>
        </w:rPr>
        <w:t>powinny być badane przez sądy krajowe</w:t>
      </w:r>
      <w:r>
        <w:rPr>
          <w:rFonts w:asciiTheme="minorHAnsi" w:hAnsiTheme="minorHAnsi"/>
          <w:sz w:val="22"/>
          <w:szCs w:val="22"/>
          <w:lang w:val="pl-PL"/>
        </w:rPr>
        <w:t xml:space="preserve">. </w:t>
      </w:r>
    </w:p>
    <w:sectPr w:rsidR="00230793" w:rsidRPr="00CE2F20" w:rsidSect="00FA471E">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276" w:left="1417" w:header="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3EB" w:rsidRDefault="00B233EB" w:rsidP="003C7DF2">
      <w:pPr>
        <w:spacing w:after="0" w:line="240" w:lineRule="auto"/>
      </w:pPr>
      <w:r>
        <w:separator/>
      </w:r>
    </w:p>
  </w:endnote>
  <w:endnote w:type="continuationSeparator" w:id="0">
    <w:p w:rsidR="00B233EB" w:rsidRDefault="00B233EB" w:rsidP="003C7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692" w:rsidRDefault="00CA469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060254"/>
      <w:docPartObj>
        <w:docPartGallery w:val="Page Numbers (Bottom of Page)"/>
        <w:docPartUnique/>
      </w:docPartObj>
    </w:sdtPr>
    <w:sdtEndPr/>
    <w:sdtContent>
      <w:p w:rsidR="00CA4692" w:rsidRDefault="00CA4692">
        <w:pPr>
          <w:pStyle w:val="Stopka"/>
          <w:jc w:val="right"/>
        </w:pPr>
        <w:r>
          <w:fldChar w:fldCharType="begin"/>
        </w:r>
        <w:r>
          <w:instrText>PAGE   \* MERGEFORMAT</w:instrText>
        </w:r>
        <w:r>
          <w:fldChar w:fldCharType="separate"/>
        </w:r>
        <w:r w:rsidR="00AF45E4" w:rsidRPr="00AF45E4">
          <w:rPr>
            <w:noProof/>
            <w:lang w:val="pl-PL"/>
          </w:rPr>
          <w:t>14</w:t>
        </w:r>
        <w:r>
          <w:fldChar w:fldCharType="end"/>
        </w:r>
      </w:p>
    </w:sdtContent>
  </w:sdt>
  <w:p w:rsidR="00CA4692" w:rsidRDefault="00CA469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692" w:rsidRDefault="00CA46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3EB" w:rsidRDefault="00B233EB" w:rsidP="003C7DF2">
      <w:pPr>
        <w:spacing w:after="0" w:line="240" w:lineRule="auto"/>
      </w:pPr>
      <w:r>
        <w:separator/>
      </w:r>
    </w:p>
  </w:footnote>
  <w:footnote w:type="continuationSeparator" w:id="0">
    <w:p w:rsidR="00B233EB" w:rsidRDefault="00B233EB" w:rsidP="003C7DF2">
      <w:pPr>
        <w:spacing w:after="0" w:line="240" w:lineRule="auto"/>
      </w:pPr>
      <w:r>
        <w:continuationSeparator/>
      </w:r>
    </w:p>
  </w:footnote>
  <w:footnote w:id="1">
    <w:p w:rsidR="00CA4692" w:rsidRPr="00694B18" w:rsidRDefault="00CA4692" w:rsidP="00F3631F">
      <w:pPr>
        <w:pStyle w:val="Tekstprzypisudolnego"/>
        <w:rPr>
          <w:lang w:val="pl-PL"/>
        </w:rPr>
      </w:pPr>
      <w:r>
        <w:rPr>
          <w:rStyle w:val="Odwoanieprzypisudolnego"/>
        </w:rPr>
        <w:footnoteRef/>
      </w:r>
      <w:r w:rsidRPr="00694B18">
        <w:rPr>
          <w:lang w:val="pl-PL"/>
        </w:rPr>
        <w:t xml:space="preserve"> </w:t>
      </w:r>
      <w:r>
        <w:rPr>
          <w:lang w:val="pl-PL"/>
        </w:rPr>
        <w:t xml:space="preserve">Konwencja o ochronie praw człowieka i podstawowych wolności. </w:t>
      </w:r>
    </w:p>
  </w:footnote>
  <w:footnote w:id="2">
    <w:p w:rsidR="002F583E" w:rsidRPr="00517EFC" w:rsidRDefault="002F583E" w:rsidP="00517EFC">
      <w:pPr>
        <w:pStyle w:val="ClinContent"/>
        <w:spacing w:before="0" w:after="120"/>
        <w:rPr>
          <w:rFonts w:asciiTheme="minorHAnsi" w:hAnsiTheme="minorHAnsi"/>
          <w:lang w:val="pl-PL"/>
        </w:rPr>
      </w:pPr>
      <w:r w:rsidRPr="00517EFC">
        <w:rPr>
          <w:rStyle w:val="Odwoanieprzypisudolnego"/>
          <w:rFonts w:asciiTheme="minorHAnsi" w:hAnsiTheme="minorHAnsi"/>
        </w:rPr>
        <w:footnoteRef/>
      </w:r>
      <w:r w:rsidRPr="00517EFC">
        <w:rPr>
          <w:rFonts w:asciiTheme="minorHAnsi" w:hAnsiTheme="minorHAnsi"/>
          <w:lang w:val="pl-PL"/>
        </w:rPr>
        <w:t xml:space="preserve"> Decyzje w sprawie </w:t>
      </w:r>
      <w:proofErr w:type="spellStart"/>
      <w:r w:rsidRPr="00517EFC">
        <w:rPr>
          <w:rFonts w:asciiTheme="minorHAnsi" w:hAnsiTheme="minorHAnsi"/>
          <w:i/>
          <w:lang w:val="pl-PL"/>
        </w:rPr>
        <w:t>Annen</w:t>
      </w:r>
      <w:proofErr w:type="spellEnd"/>
      <w:r w:rsidRPr="00517EFC">
        <w:rPr>
          <w:rFonts w:asciiTheme="minorHAnsi" w:hAnsiTheme="minorHAnsi"/>
          <w:i/>
          <w:lang w:val="pl-PL"/>
        </w:rPr>
        <w:t xml:space="preserve"> p. Niemcom </w:t>
      </w:r>
      <w:r w:rsidRPr="00517EFC">
        <w:rPr>
          <w:rFonts w:asciiTheme="minorHAnsi" w:hAnsiTheme="minorHAnsi"/>
          <w:lang w:val="pl-PL"/>
        </w:rPr>
        <w:t>z 30</w:t>
      </w:r>
      <w:r w:rsidR="00517EFC" w:rsidRPr="00517EFC">
        <w:rPr>
          <w:rFonts w:asciiTheme="minorHAnsi" w:hAnsiTheme="minorHAnsi"/>
          <w:lang w:val="pl-PL"/>
        </w:rPr>
        <w:t>.03.201</w:t>
      </w:r>
      <w:r w:rsidRPr="00517EFC">
        <w:rPr>
          <w:rFonts w:asciiTheme="minorHAnsi" w:hAnsiTheme="minorHAnsi"/>
          <w:lang w:val="pl-PL"/>
        </w:rPr>
        <w:t>0 r. (nr 2373/07</w:t>
      </w:r>
      <w:r w:rsidR="00517EFC" w:rsidRPr="00517EFC">
        <w:rPr>
          <w:rFonts w:asciiTheme="minorHAnsi" w:hAnsiTheme="minorHAnsi"/>
          <w:lang w:val="pl-PL"/>
        </w:rPr>
        <w:t xml:space="preserve"> </w:t>
      </w:r>
      <w:r w:rsidR="00517EFC">
        <w:rPr>
          <w:rFonts w:asciiTheme="minorHAnsi" w:hAnsiTheme="minorHAnsi"/>
          <w:lang w:val="pl-PL"/>
        </w:rPr>
        <w:t xml:space="preserve">i </w:t>
      </w:r>
      <w:r w:rsidR="00517EFC" w:rsidRPr="00517EFC">
        <w:rPr>
          <w:rFonts w:asciiTheme="minorHAnsi" w:hAnsiTheme="minorHAnsi"/>
          <w:lang w:val="pl-PL"/>
        </w:rPr>
        <w:t xml:space="preserve">2396/07) </w:t>
      </w:r>
      <w:r w:rsidR="00517EFC">
        <w:rPr>
          <w:rFonts w:asciiTheme="minorHAnsi" w:hAnsiTheme="minorHAnsi"/>
          <w:lang w:val="pl-PL"/>
        </w:rPr>
        <w:t>i</w:t>
      </w:r>
      <w:r w:rsidR="00517EFC" w:rsidRPr="00517EFC">
        <w:rPr>
          <w:rFonts w:asciiTheme="minorHAnsi" w:hAnsiTheme="minorHAnsi"/>
          <w:lang w:val="pl-PL"/>
        </w:rPr>
        <w:t xml:space="preserve"> z 12.02.2013 r. (</w:t>
      </w:r>
      <w:r w:rsidRPr="00517EFC">
        <w:rPr>
          <w:rFonts w:asciiTheme="minorHAnsi" w:hAnsiTheme="minorHAnsi"/>
          <w:lang w:val="pl-PL"/>
        </w:rPr>
        <w:t>nr 55558/10</w:t>
      </w:r>
      <w:r w:rsidR="003E4181">
        <w:rPr>
          <w:rFonts w:asciiTheme="minorHAnsi" w:hAnsiTheme="minorHAnsi"/>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692" w:rsidRDefault="00CA469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692" w:rsidRDefault="00CA469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692" w:rsidRDefault="00CA4692">
    <w:pPr>
      <w:pStyle w:val="Nagwek"/>
    </w:pPr>
    <w:r>
      <w:rPr>
        <w:rFonts w:ascii="Times New Roman" w:hAnsi="Times New Roman" w:cs="Times New Roman"/>
        <w:noProof/>
        <w:sz w:val="24"/>
        <w:szCs w:val="24"/>
        <w:lang w:val="pl-PL" w:eastAsia="pl-PL"/>
      </w:rPr>
      <w:drawing>
        <wp:anchor distT="0" distB="0" distL="114300" distR="114300" simplePos="0" relativeHeight="251659264" behindDoc="1" locked="0" layoutInCell="1" allowOverlap="1" wp14:anchorId="67E641AC" wp14:editId="07724C76">
          <wp:simplePos x="0" y="0"/>
          <wp:positionH relativeFrom="page">
            <wp:posOffset>466725</wp:posOffset>
          </wp:positionH>
          <wp:positionV relativeFrom="page">
            <wp:posOffset>-238125</wp:posOffset>
          </wp:positionV>
          <wp:extent cx="2527935" cy="2608580"/>
          <wp:effectExtent l="0" t="0" r="5715" b="127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935" cy="26085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E5A03"/>
    <w:multiLevelType w:val="hybridMultilevel"/>
    <w:tmpl w:val="AF0C058A"/>
    <w:lvl w:ilvl="0" w:tplc="ED325C84">
      <w:start w:val="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A26B59"/>
    <w:multiLevelType w:val="hybridMultilevel"/>
    <w:tmpl w:val="EA0EBC82"/>
    <w:lvl w:ilvl="0" w:tplc="4220274A">
      <w:start w:val="1"/>
      <w:numFmt w:val="decimal"/>
      <w:pStyle w:val="Nagwek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2700EA8"/>
    <w:multiLevelType w:val="hybridMultilevel"/>
    <w:tmpl w:val="C70E1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355"/>
    <w:rsid w:val="00000C2D"/>
    <w:rsid w:val="0000365E"/>
    <w:rsid w:val="00003FBB"/>
    <w:rsid w:val="000045AA"/>
    <w:rsid w:val="000101FE"/>
    <w:rsid w:val="0001044C"/>
    <w:rsid w:val="00011FCA"/>
    <w:rsid w:val="00012E52"/>
    <w:rsid w:val="000145E5"/>
    <w:rsid w:val="0001654B"/>
    <w:rsid w:val="000166E2"/>
    <w:rsid w:val="000178F1"/>
    <w:rsid w:val="00020319"/>
    <w:rsid w:val="00024930"/>
    <w:rsid w:val="00026AC5"/>
    <w:rsid w:val="00027075"/>
    <w:rsid w:val="0003682F"/>
    <w:rsid w:val="00041638"/>
    <w:rsid w:val="000417B7"/>
    <w:rsid w:val="00042237"/>
    <w:rsid w:val="000429C8"/>
    <w:rsid w:val="0004746F"/>
    <w:rsid w:val="0005115F"/>
    <w:rsid w:val="00054168"/>
    <w:rsid w:val="00054F22"/>
    <w:rsid w:val="000569E0"/>
    <w:rsid w:val="00057A61"/>
    <w:rsid w:val="00060B88"/>
    <w:rsid w:val="00061066"/>
    <w:rsid w:val="000645B9"/>
    <w:rsid w:val="00065852"/>
    <w:rsid w:val="00067080"/>
    <w:rsid w:val="00067E51"/>
    <w:rsid w:val="0007098B"/>
    <w:rsid w:val="000712EE"/>
    <w:rsid w:val="00073C40"/>
    <w:rsid w:val="000754C7"/>
    <w:rsid w:val="000767D1"/>
    <w:rsid w:val="000802E2"/>
    <w:rsid w:val="00083235"/>
    <w:rsid w:val="000851CD"/>
    <w:rsid w:val="00086789"/>
    <w:rsid w:val="00086F92"/>
    <w:rsid w:val="00094397"/>
    <w:rsid w:val="00095BC9"/>
    <w:rsid w:val="0009668D"/>
    <w:rsid w:val="000A0792"/>
    <w:rsid w:val="000A082B"/>
    <w:rsid w:val="000A20D9"/>
    <w:rsid w:val="000A5203"/>
    <w:rsid w:val="000A5895"/>
    <w:rsid w:val="000B1807"/>
    <w:rsid w:val="000B2587"/>
    <w:rsid w:val="000B468F"/>
    <w:rsid w:val="000B5F56"/>
    <w:rsid w:val="000C05C2"/>
    <w:rsid w:val="000C38D7"/>
    <w:rsid w:val="000C3CC2"/>
    <w:rsid w:val="000C3E8E"/>
    <w:rsid w:val="000C3FD2"/>
    <w:rsid w:val="000C5931"/>
    <w:rsid w:val="000C75AB"/>
    <w:rsid w:val="000C7C4F"/>
    <w:rsid w:val="000D1906"/>
    <w:rsid w:val="000D4377"/>
    <w:rsid w:val="000D6B51"/>
    <w:rsid w:val="000D7BA6"/>
    <w:rsid w:val="000E146B"/>
    <w:rsid w:val="000E30C6"/>
    <w:rsid w:val="000E39C2"/>
    <w:rsid w:val="000E3D15"/>
    <w:rsid w:val="000E7670"/>
    <w:rsid w:val="000F22DE"/>
    <w:rsid w:val="000F395A"/>
    <w:rsid w:val="000F42C7"/>
    <w:rsid w:val="000F6790"/>
    <w:rsid w:val="00100660"/>
    <w:rsid w:val="001029AB"/>
    <w:rsid w:val="00102BE1"/>
    <w:rsid w:val="00105DFE"/>
    <w:rsid w:val="00110518"/>
    <w:rsid w:val="001109E7"/>
    <w:rsid w:val="00114790"/>
    <w:rsid w:val="00114EB1"/>
    <w:rsid w:val="001170C9"/>
    <w:rsid w:val="001210C6"/>
    <w:rsid w:val="00122A3C"/>
    <w:rsid w:val="00124435"/>
    <w:rsid w:val="0012487D"/>
    <w:rsid w:val="0012588A"/>
    <w:rsid w:val="00126019"/>
    <w:rsid w:val="001260FD"/>
    <w:rsid w:val="00127C20"/>
    <w:rsid w:val="0013265E"/>
    <w:rsid w:val="00132ECD"/>
    <w:rsid w:val="001350CC"/>
    <w:rsid w:val="0013708E"/>
    <w:rsid w:val="0013746B"/>
    <w:rsid w:val="001375F1"/>
    <w:rsid w:val="00137D2F"/>
    <w:rsid w:val="00141F0B"/>
    <w:rsid w:val="00143927"/>
    <w:rsid w:val="00145AF8"/>
    <w:rsid w:val="00150022"/>
    <w:rsid w:val="00151CC7"/>
    <w:rsid w:val="001534C9"/>
    <w:rsid w:val="00154B43"/>
    <w:rsid w:val="0016025A"/>
    <w:rsid w:val="001651AA"/>
    <w:rsid w:val="001660F7"/>
    <w:rsid w:val="0017194F"/>
    <w:rsid w:val="00172440"/>
    <w:rsid w:val="0017348C"/>
    <w:rsid w:val="001754D6"/>
    <w:rsid w:val="00176DB6"/>
    <w:rsid w:val="00177A8E"/>
    <w:rsid w:val="00180C2F"/>
    <w:rsid w:val="00183D21"/>
    <w:rsid w:val="001841F7"/>
    <w:rsid w:val="001847DD"/>
    <w:rsid w:val="00185071"/>
    <w:rsid w:val="00186510"/>
    <w:rsid w:val="00186F5F"/>
    <w:rsid w:val="00191EF5"/>
    <w:rsid w:val="00192699"/>
    <w:rsid w:val="00192A44"/>
    <w:rsid w:val="001A1311"/>
    <w:rsid w:val="001A3B80"/>
    <w:rsid w:val="001A3BE2"/>
    <w:rsid w:val="001A3FB4"/>
    <w:rsid w:val="001A7630"/>
    <w:rsid w:val="001B1673"/>
    <w:rsid w:val="001B2CC7"/>
    <w:rsid w:val="001B657E"/>
    <w:rsid w:val="001C0854"/>
    <w:rsid w:val="001C102A"/>
    <w:rsid w:val="001C167D"/>
    <w:rsid w:val="001C3779"/>
    <w:rsid w:val="001C51FC"/>
    <w:rsid w:val="001C57E0"/>
    <w:rsid w:val="001C62BE"/>
    <w:rsid w:val="001D11BB"/>
    <w:rsid w:val="001D4D8E"/>
    <w:rsid w:val="001D7526"/>
    <w:rsid w:val="001E0C94"/>
    <w:rsid w:val="001E3214"/>
    <w:rsid w:val="001E488B"/>
    <w:rsid w:val="001E4FD4"/>
    <w:rsid w:val="001E5AFA"/>
    <w:rsid w:val="001E7F05"/>
    <w:rsid w:val="001F021A"/>
    <w:rsid w:val="001F2167"/>
    <w:rsid w:val="001F54BA"/>
    <w:rsid w:val="002006E7"/>
    <w:rsid w:val="002032DF"/>
    <w:rsid w:val="0020365D"/>
    <w:rsid w:val="00203DD2"/>
    <w:rsid w:val="002040FA"/>
    <w:rsid w:val="00204E57"/>
    <w:rsid w:val="00207F5D"/>
    <w:rsid w:val="00211921"/>
    <w:rsid w:val="00211EB9"/>
    <w:rsid w:val="00211F8F"/>
    <w:rsid w:val="00213102"/>
    <w:rsid w:val="00213180"/>
    <w:rsid w:val="00213555"/>
    <w:rsid w:val="00213877"/>
    <w:rsid w:val="00214274"/>
    <w:rsid w:val="00217069"/>
    <w:rsid w:val="00220626"/>
    <w:rsid w:val="00220FA4"/>
    <w:rsid w:val="00221881"/>
    <w:rsid w:val="00226174"/>
    <w:rsid w:val="00227478"/>
    <w:rsid w:val="002274D1"/>
    <w:rsid w:val="002305C1"/>
    <w:rsid w:val="00230793"/>
    <w:rsid w:val="0023203E"/>
    <w:rsid w:val="00234F6F"/>
    <w:rsid w:val="002356D3"/>
    <w:rsid w:val="00235F4A"/>
    <w:rsid w:val="002360D2"/>
    <w:rsid w:val="0023645C"/>
    <w:rsid w:val="0023724C"/>
    <w:rsid w:val="00237D99"/>
    <w:rsid w:val="0024194D"/>
    <w:rsid w:val="0024234E"/>
    <w:rsid w:val="00242746"/>
    <w:rsid w:val="0024315E"/>
    <w:rsid w:val="002441E6"/>
    <w:rsid w:val="00246D3F"/>
    <w:rsid w:val="00250635"/>
    <w:rsid w:val="00255843"/>
    <w:rsid w:val="00255C96"/>
    <w:rsid w:val="00256708"/>
    <w:rsid w:val="00257C2D"/>
    <w:rsid w:val="002615CC"/>
    <w:rsid w:val="00261874"/>
    <w:rsid w:val="002632B7"/>
    <w:rsid w:val="00264095"/>
    <w:rsid w:val="00265688"/>
    <w:rsid w:val="002658D1"/>
    <w:rsid w:val="002674CA"/>
    <w:rsid w:val="002708A5"/>
    <w:rsid w:val="00271EAB"/>
    <w:rsid w:val="00272CB2"/>
    <w:rsid w:val="00281ADB"/>
    <w:rsid w:val="00286EE4"/>
    <w:rsid w:val="002907D9"/>
    <w:rsid w:val="0029096B"/>
    <w:rsid w:val="0029110B"/>
    <w:rsid w:val="002924D5"/>
    <w:rsid w:val="00292B87"/>
    <w:rsid w:val="00293C8C"/>
    <w:rsid w:val="002941D8"/>
    <w:rsid w:val="002966C1"/>
    <w:rsid w:val="002A2CDC"/>
    <w:rsid w:val="002A3805"/>
    <w:rsid w:val="002A3CCC"/>
    <w:rsid w:val="002A3D11"/>
    <w:rsid w:val="002A5D2E"/>
    <w:rsid w:val="002B25DD"/>
    <w:rsid w:val="002B2ECE"/>
    <w:rsid w:val="002B5A4C"/>
    <w:rsid w:val="002B6A75"/>
    <w:rsid w:val="002C3A38"/>
    <w:rsid w:val="002C6710"/>
    <w:rsid w:val="002D1A39"/>
    <w:rsid w:val="002D1B3B"/>
    <w:rsid w:val="002D1FC8"/>
    <w:rsid w:val="002D2795"/>
    <w:rsid w:val="002D2C70"/>
    <w:rsid w:val="002D2CF7"/>
    <w:rsid w:val="002D6158"/>
    <w:rsid w:val="002D6CB3"/>
    <w:rsid w:val="002E276F"/>
    <w:rsid w:val="002E2A1C"/>
    <w:rsid w:val="002E5734"/>
    <w:rsid w:val="002E66FB"/>
    <w:rsid w:val="002E7E1C"/>
    <w:rsid w:val="002F0F9E"/>
    <w:rsid w:val="002F13F2"/>
    <w:rsid w:val="002F13FD"/>
    <w:rsid w:val="002F297B"/>
    <w:rsid w:val="002F538B"/>
    <w:rsid w:val="002F583E"/>
    <w:rsid w:val="002F70C7"/>
    <w:rsid w:val="0030039D"/>
    <w:rsid w:val="00301552"/>
    <w:rsid w:val="0030397A"/>
    <w:rsid w:val="00303BCF"/>
    <w:rsid w:val="00314FB8"/>
    <w:rsid w:val="003152E7"/>
    <w:rsid w:val="003226C6"/>
    <w:rsid w:val="00323D74"/>
    <w:rsid w:val="00330A5F"/>
    <w:rsid w:val="003347A4"/>
    <w:rsid w:val="00337197"/>
    <w:rsid w:val="0034057C"/>
    <w:rsid w:val="00341CC3"/>
    <w:rsid w:val="003424A1"/>
    <w:rsid w:val="00346ECE"/>
    <w:rsid w:val="00347AD6"/>
    <w:rsid w:val="00353062"/>
    <w:rsid w:val="00354ACC"/>
    <w:rsid w:val="00355EAE"/>
    <w:rsid w:val="003617B9"/>
    <w:rsid w:val="00372730"/>
    <w:rsid w:val="00373568"/>
    <w:rsid w:val="00374E37"/>
    <w:rsid w:val="00374FE9"/>
    <w:rsid w:val="00376FBE"/>
    <w:rsid w:val="0037779A"/>
    <w:rsid w:val="00383EF6"/>
    <w:rsid w:val="0038514A"/>
    <w:rsid w:val="00387518"/>
    <w:rsid w:val="003911CE"/>
    <w:rsid w:val="00393069"/>
    <w:rsid w:val="0039478B"/>
    <w:rsid w:val="00396E3C"/>
    <w:rsid w:val="00397B54"/>
    <w:rsid w:val="00397BB2"/>
    <w:rsid w:val="003A0349"/>
    <w:rsid w:val="003A113C"/>
    <w:rsid w:val="003A1381"/>
    <w:rsid w:val="003A165C"/>
    <w:rsid w:val="003A19B3"/>
    <w:rsid w:val="003A1FB8"/>
    <w:rsid w:val="003A356C"/>
    <w:rsid w:val="003A49A5"/>
    <w:rsid w:val="003A5689"/>
    <w:rsid w:val="003A5837"/>
    <w:rsid w:val="003A5EA2"/>
    <w:rsid w:val="003A68A5"/>
    <w:rsid w:val="003A6950"/>
    <w:rsid w:val="003A6979"/>
    <w:rsid w:val="003B1289"/>
    <w:rsid w:val="003B2642"/>
    <w:rsid w:val="003B4435"/>
    <w:rsid w:val="003B49A2"/>
    <w:rsid w:val="003B59F6"/>
    <w:rsid w:val="003B745A"/>
    <w:rsid w:val="003C00A8"/>
    <w:rsid w:val="003C2545"/>
    <w:rsid w:val="003C4744"/>
    <w:rsid w:val="003C752A"/>
    <w:rsid w:val="003C7DF2"/>
    <w:rsid w:val="003D004C"/>
    <w:rsid w:val="003D04FE"/>
    <w:rsid w:val="003D19A4"/>
    <w:rsid w:val="003D1A0B"/>
    <w:rsid w:val="003D3E73"/>
    <w:rsid w:val="003D4086"/>
    <w:rsid w:val="003D4F56"/>
    <w:rsid w:val="003D51F0"/>
    <w:rsid w:val="003E0CEF"/>
    <w:rsid w:val="003E4181"/>
    <w:rsid w:val="003E56B1"/>
    <w:rsid w:val="003F2204"/>
    <w:rsid w:val="003F33BA"/>
    <w:rsid w:val="003F5C0C"/>
    <w:rsid w:val="003F7C66"/>
    <w:rsid w:val="00400711"/>
    <w:rsid w:val="0040080E"/>
    <w:rsid w:val="0040549F"/>
    <w:rsid w:val="00407BC0"/>
    <w:rsid w:val="0041026E"/>
    <w:rsid w:val="0041274C"/>
    <w:rsid w:val="0041293D"/>
    <w:rsid w:val="00412EE9"/>
    <w:rsid w:val="00413536"/>
    <w:rsid w:val="00414C20"/>
    <w:rsid w:val="00417353"/>
    <w:rsid w:val="0042151B"/>
    <w:rsid w:val="00422996"/>
    <w:rsid w:val="00423687"/>
    <w:rsid w:val="0042521D"/>
    <w:rsid w:val="0042564C"/>
    <w:rsid w:val="00427079"/>
    <w:rsid w:val="00427D36"/>
    <w:rsid w:val="00427FA7"/>
    <w:rsid w:val="00431C51"/>
    <w:rsid w:val="004334D7"/>
    <w:rsid w:val="00435E85"/>
    <w:rsid w:val="00435ED8"/>
    <w:rsid w:val="00437274"/>
    <w:rsid w:val="004379A9"/>
    <w:rsid w:val="00437DCC"/>
    <w:rsid w:val="00441756"/>
    <w:rsid w:val="00442874"/>
    <w:rsid w:val="00444B39"/>
    <w:rsid w:val="00445D04"/>
    <w:rsid w:val="00450B70"/>
    <w:rsid w:val="00454A30"/>
    <w:rsid w:val="00454BF2"/>
    <w:rsid w:val="00455334"/>
    <w:rsid w:val="00460166"/>
    <w:rsid w:val="0046248A"/>
    <w:rsid w:val="00463DEB"/>
    <w:rsid w:val="00465488"/>
    <w:rsid w:val="00465A41"/>
    <w:rsid w:val="00466DA0"/>
    <w:rsid w:val="00467800"/>
    <w:rsid w:val="00467EE2"/>
    <w:rsid w:val="0047129D"/>
    <w:rsid w:val="00474CC2"/>
    <w:rsid w:val="00474E79"/>
    <w:rsid w:val="00475561"/>
    <w:rsid w:val="00477BC7"/>
    <w:rsid w:val="00480526"/>
    <w:rsid w:val="004826EA"/>
    <w:rsid w:val="004832D7"/>
    <w:rsid w:val="00491180"/>
    <w:rsid w:val="00491B76"/>
    <w:rsid w:val="00493120"/>
    <w:rsid w:val="00494936"/>
    <w:rsid w:val="00495400"/>
    <w:rsid w:val="004955AA"/>
    <w:rsid w:val="00495FE1"/>
    <w:rsid w:val="00496F2A"/>
    <w:rsid w:val="00496FB9"/>
    <w:rsid w:val="00497E93"/>
    <w:rsid w:val="004A0BD4"/>
    <w:rsid w:val="004A133B"/>
    <w:rsid w:val="004A2D5E"/>
    <w:rsid w:val="004A401A"/>
    <w:rsid w:val="004A7112"/>
    <w:rsid w:val="004B1CDC"/>
    <w:rsid w:val="004B20B9"/>
    <w:rsid w:val="004B2475"/>
    <w:rsid w:val="004B3BEE"/>
    <w:rsid w:val="004B55A9"/>
    <w:rsid w:val="004B6236"/>
    <w:rsid w:val="004B6BF1"/>
    <w:rsid w:val="004B6E72"/>
    <w:rsid w:val="004C01AF"/>
    <w:rsid w:val="004C392A"/>
    <w:rsid w:val="004C546A"/>
    <w:rsid w:val="004C743C"/>
    <w:rsid w:val="004C7AAE"/>
    <w:rsid w:val="004D19CC"/>
    <w:rsid w:val="004D1D64"/>
    <w:rsid w:val="004D4D79"/>
    <w:rsid w:val="004D582D"/>
    <w:rsid w:val="004D67A6"/>
    <w:rsid w:val="004D6FF9"/>
    <w:rsid w:val="004D7B6A"/>
    <w:rsid w:val="004E0C37"/>
    <w:rsid w:val="004E0FBE"/>
    <w:rsid w:val="004E215F"/>
    <w:rsid w:val="004E3C04"/>
    <w:rsid w:val="004E4EBB"/>
    <w:rsid w:val="004E5516"/>
    <w:rsid w:val="004E7FF2"/>
    <w:rsid w:val="004F1DC6"/>
    <w:rsid w:val="004F2601"/>
    <w:rsid w:val="004F42AE"/>
    <w:rsid w:val="004F46D6"/>
    <w:rsid w:val="004F6109"/>
    <w:rsid w:val="004F6441"/>
    <w:rsid w:val="00501FC5"/>
    <w:rsid w:val="00513AAA"/>
    <w:rsid w:val="0051426D"/>
    <w:rsid w:val="0051472C"/>
    <w:rsid w:val="00514B8B"/>
    <w:rsid w:val="005155DD"/>
    <w:rsid w:val="00517EFC"/>
    <w:rsid w:val="00520084"/>
    <w:rsid w:val="00520674"/>
    <w:rsid w:val="00520AE9"/>
    <w:rsid w:val="0052159B"/>
    <w:rsid w:val="005219A8"/>
    <w:rsid w:val="0052370B"/>
    <w:rsid w:val="00523716"/>
    <w:rsid w:val="005237EF"/>
    <w:rsid w:val="00524AEF"/>
    <w:rsid w:val="0053148F"/>
    <w:rsid w:val="00531EE9"/>
    <w:rsid w:val="00532964"/>
    <w:rsid w:val="00533C20"/>
    <w:rsid w:val="00537CAA"/>
    <w:rsid w:val="00541003"/>
    <w:rsid w:val="005429A7"/>
    <w:rsid w:val="00542D55"/>
    <w:rsid w:val="00542E5C"/>
    <w:rsid w:val="00543B48"/>
    <w:rsid w:val="0055009A"/>
    <w:rsid w:val="00550787"/>
    <w:rsid w:val="00552244"/>
    <w:rsid w:val="00552393"/>
    <w:rsid w:val="00555021"/>
    <w:rsid w:val="00555EC2"/>
    <w:rsid w:val="00556E42"/>
    <w:rsid w:val="00561193"/>
    <w:rsid w:val="00565018"/>
    <w:rsid w:val="00567799"/>
    <w:rsid w:val="00570DCF"/>
    <w:rsid w:val="0057236D"/>
    <w:rsid w:val="00572DE6"/>
    <w:rsid w:val="005734CF"/>
    <w:rsid w:val="005759FF"/>
    <w:rsid w:val="00580EAF"/>
    <w:rsid w:val="00584490"/>
    <w:rsid w:val="00587DA9"/>
    <w:rsid w:val="00590AAD"/>
    <w:rsid w:val="00591444"/>
    <w:rsid w:val="00592DAA"/>
    <w:rsid w:val="005935BF"/>
    <w:rsid w:val="00595EF8"/>
    <w:rsid w:val="005A12DE"/>
    <w:rsid w:val="005A34CD"/>
    <w:rsid w:val="005A3D5D"/>
    <w:rsid w:val="005A48E7"/>
    <w:rsid w:val="005A5120"/>
    <w:rsid w:val="005A61A2"/>
    <w:rsid w:val="005A6E16"/>
    <w:rsid w:val="005B5AEA"/>
    <w:rsid w:val="005B6C70"/>
    <w:rsid w:val="005B6FAE"/>
    <w:rsid w:val="005C2778"/>
    <w:rsid w:val="005C40CE"/>
    <w:rsid w:val="005C48C5"/>
    <w:rsid w:val="005C51E2"/>
    <w:rsid w:val="005C7193"/>
    <w:rsid w:val="005D056A"/>
    <w:rsid w:val="005D2C60"/>
    <w:rsid w:val="005D4F21"/>
    <w:rsid w:val="005D557E"/>
    <w:rsid w:val="005D585C"/>
    <w:rsid w:val="005D6AFB"/>
    <w:rsid w:val="005D6FC8"/>
    <w:rsid w:val="005E13E7"/>
    <w:rsid w:val="005E1709"/>
    <w:rsid w:val="005E1FE7"/>
    <w:rsid w:val="005E39C2"/>
    <w:rsid w:val="005E6318"/>
    <w:rsid w:val="005E69D2"/>
    <w:rsid w:val="005E7FF4"/>
    <w:rsid w:val="005F25A5"/>
    <w:rsid w:val="005F53A4"/>
    <w:rsid w:val="005F60D3"/>
    <w:rsid w:val="005F67F0"/>
    <w:rsid w:val="006002BB"/>
    <w:rsid w:val="00600E3B"/>
    <w:rsid w:val="006016C0"/>
    <w:rsid w:val="0060284B"/>
    <w:rsid w:val="00603786"/>
    <w:rsid w:val="00603AD1"/>
    <w:rsid w:val="00611B7D"/>
    <w:rsid w:val="00613353"/>
    <w:rsid w:val="006137B4"/>
    <w:rsid w:val="0061382E"/>
    <w:rsid w:val="006162AC"/>
    <w:rsid w:val="00616F02"/>
    <w:rsid w:val="00621504"/>
    <w:rsid w:val="0062269C"/>
    <w:rsid w:val="00624A6F"/>
    <w:rsid w:val="0062563A"/>
    <w:rsid w:val="00625DD6"/>
    <w:rsid w:val="0062651D"/>
    <w:rsid w:val="006267B4"/>
    <w:rsid w:val="006273EE"/>
    <w:rsid w:val="00631E02"/>
    <w:rsid w:val="00635E73"/>
    <w:rsid w:val="006360AE"/>
    <w:rsid w:val="00641F13"/>
    <w:rsid w:val="0064489B"/>
    <w:rsid w:val="00646359"/>
    <w:rsid w:val="006466A3"/>
    <w:rsid w:val="006500D9"/>
    <w:rsid w:val="00652CCE"/>
    <w:rsid w:val="00652F29"/>
    <w:rsid w:val="0065695B"/>
    <w:rsid w:val="00660203"/>
    <w:rsid w:val="006609DA"/>
    <w:rsid w:val="00660B4C"/>
    <w:rsid w:val="006623BB"/>
    <w:rsid w:val="00663F0D"/>
    <w:rsid w:val="006651E4"/>
    <w:rsid w:val="00665941"/>
    <w:rsid w:val="0066679B"/>
    <w:rsid w:val="00667766"/>
    <w:rsid w:val="00670B4B"/>
    <w:rsid w:val="00671329"/>
    <w:rsid w:val="00675868"/>
    <w:rsid w:val="00675B62"/>
    <w:rsid w:val="0067773A"/>
    <w:rsid w:val="0068083D"/>
    <w:rsid w:val="006811AB"/>
    <w:rsid w:val="006827C6"/>
    <w:rsid w:val="00685188"/>
    <w:rsid w:val="006871BD"/>
    <w:rsid w:val="006928D4"/>
    <w:rsid w:val="00693313"/>
    <w:rsid w:val="0069436E"/>
    <w:rsid w:val="00694689"/>
    <w:rsid w:val="00694B18"/>
    <w:rsid w:val="00696800"/>
    <w:rsid w:val="006A0355"/>
    <w:rsid w:val="006A189A"/>
    <w:rsid w:val="006A4CE8"/>
    <w:rsid w:val="006A5445"/>
    <w:rsid w:val="006A61D6"/>
    <w:rsid w:val="006B37D8"/>
    <w:rsid w:val="006C01CE"/>
    <w:rsid w:val="006C08DC"/>
    <w:rsid w:val="006D1832"/>
    <w:rsid w:val="006D1AFF"/>
    <w:rsid w:val="006D205A"/>
    <w:rsid w:val="006D726F"/>
    <w:rsid w:val="006D7C85"/>
    <w:rsid w:val="006E12AB"/>
    <w:rsid w:val="006E12E4"/>
    <w:rsid w:val="006E4659"/>
    <w:rsid w:val="006E4878"/>
    <w:rsid w:val="006F460E"/>
    <w:rsid w:val="006F6061"/>
    <w:rsid w:val="00704591"/>
    <w:rsid w:val="00704CD0"/>
    <w:rsid w:val="00706E1D"/>
    <w:rsid w:val="007079B2"/>
    <w:rsid w:val="00710B97"/>
    <w:rsid w:val="00712554"/>
    <w:rsid w:val="00713DA1"/>
    <w:rsid w:val="00715241"/>
    <w:rsid w:val="007155EE"/>
    <w:rsid w:val="007264EA"/>
    <w:rsid w:val="00727342"/>
    <w:rsid w:val="00732417"/>
    <w:rsid w:val="007325EC"/>
    <w:rsid w:val="00732C33"/>
    <w:rsid w:val="00732DED"/>
    <w:rsid w:val="00733A1B"/>
    <w:rsid w:val="00733E94"/>
    <w:rsid w:val="0073434D"/>
    <w:rsid w:val="007363E5"/>
    <w:rsid w:val="00737275"/>
    <w:rsid w:val="0074214A"/>
    <w:rsid w:val="00743330"/>
    <w:rsid w:val="007437BC"/>
    <w:rsid w:val="00743A56"/>
    <w:rsid w:val="00746FB4"/>
    <w:rsid w:val="007553AB"/>
    <w:rsid w:val="0075739C"/>
    <w:rsid w:val="007611E7"/>
    <w:rsid w:val="00763A73"/>
    <w:rsid w:val="007672DD"/>
    <w:rsid w:val="007700A4"/>
    <w:rsid w:val="00770A84"/>
    <w:rsid w:val="00770C7A"/>
    <w:rsid w:val="00772CD4"/>
    <w:rsid w:val="007734B7"/>
    <w:rsid w:val="00773559"/>
    <w:rsid w:val="00780702"/>
    <w:rsid w:val="00781137"/>
    <w:rsid w:val="007823E4"/>
    <w:rsid w:val="0078437B"/>
    <w:rsid w:val="00790C21"/>
    <w:rsid w:val="007925E4"/>
    <w:rsid w:val="0079376A"/>
    <w:rsid w:val="00793985"/>
    <w:rsid w:val="007974F0"/>
    <w:rsid w:val="007A029F"/>
    <w:rsid w:val="007A1EF1"/>
    <w:rsid w:val="007A5089"/>
    <w:rsid w:val="007A5A1A"/>
    <w:rsid w:val="007A62C3"/>
    <w:rsid w:val="007A68EE"/>
    <w:rsid w:val="007B082A"/>
    <w:rsid w:val="007B4EA8"/>
    <w:rsid w:val="007B6C97"/>
    <w:rsid w:val="007B745A"/>
    <w:rsid w:val="007B7C97"/>
    <w:rsid w:val="007C1249"/>
    <w:rsid w:val="007C236B"/>
    <w:rsid w:val="007C33C6"/>
    <w:rsid w:val="007C413D"/>
    <w:rsid w:val="007C58B2"/>
    <w:rsid w:val="007C7BFF"/>
    <w:rsid w:val="007D1178"/>
    <w:rsid w:val="007D4464"/>
    <w:rsid w:val="007D45C3"/>
    <w:rsid w:val="007D59D1"/>
    <w:rsid w:val="007D63F2"/>
    <w:rsid w:val="007E26FA"/>
    <w:rsid w:val="007F1786"/>
    <w:rsid w:val="007F4A32"/>
    <w:rsid w:val="007F6CE9"/>
    <w:rsid w:val="00801401"/>
    <w:rsid w:val="0080155B"/>
    <w:rsid w:val="00803BCE"/>
    <w:rsid w:val="00804909"/>
    <w:rsid w:val="008061D6"/>
    <w:rsid w:val="00807A61"/>
    <w:rsid w:val="00807B35"/>
    <w:rsid w:val="0081235F"/>
    <w:rsid w:val="00813632"/>
    <w:rsid w:val="0081415A"/>
    <w:rsid w:val="008148A0"/>
    <w:rsid w:val="00815828"/>
    <w:rsid w:val="008159C2"/>
    <w:rsid w:val="00815B19"/>
    <w:rsid w:val="00815F4C"/>
    <w:rsid w:val="008212E1"/>
    <w:rsid w:val="00822277"/>
    <w:rsid w:val="0082521E"/>
    <w:rsid w:val="0082678D"/>
    <w:rsid w:val="00830622"/>
    <w:rsid w:val="00830A46"/>
    <w:rsid w:val="008344DF"/>
    <w:rsid w:val="00834556"/>
    <w:rsid w:val="00835951"/>
    <w:rsid w:val="00840FD8"/>
    <w:rsid w:val="00841F72"/>
    <w:rsid w:val="00843C5C"/>
    <w:rsid w:val="00845A79"/>
    <w:rsid w:val="00846B89"/>
    <w:rsid w:val="0084780B"/>
    <w:rsid w:val="00851FB6"/>
    <w:rsid w:val="00855372"/>
    <w:rsid w:val="0085593C"/>
    <w:rsid w:val="008577E0"/>
    <w:rsid w:val="008618C6"/>
    <w:rsid w:val="00863524"/>
    <w:rsid w:val="00864F2F"/>
    <w:rsid w:val="00865A26"/>
    <w:rsid w:val="0086617B"/>
    <w:rsid w:val="00866ABB"/>
    <w:rsid w:val="008673CF"/>
    <w:rsid w:val="00867829"/>
    <w:rsid w:val="0087390C"/>
    <w:rsid w:val="008746BE"/>
    <w:rsid w:val="008749D3"/>
    <w:rsid w:val="00875527"/>
    <w:rsid w:val="00875B5C"/>
    <w:rsid w:val="008769A4"/>
    <w:rsid w:val="00882221"/>
    <w:rsid w:val="008831FD"/>
    <w:rsid w:val="008843CA"/>
    <w:rsid w:val="00884846"/>
    <w:rsid w:val="00887A1D"/>
    <w:rsid w:val="008913F3"/>
    <w:rsid w:val="00891624"/>
    <w:rsid w:val="00894E4F"/>
    <w:rsid w:val="00896D71"/>
    <w:rsid w:val="008A1BCD"/>
    <w:rsid w:val="008A34AD"/>
    <w:rsid w:val="008B0445"/>
    <w:rsid w:val="008B11A2"/>
    <w:rsid w:val="008B757C"/>
    <w:rsid w:val="008C0115"/>
    <w:rsid w:val="008C01C4"/>
    <w:rsid w:val="008C10A8"/>
    <w:rsid w:val="008C1766"/>
    <w:rsid w:val="008C2FF0"/>
    <w:rsid w:val="008C6295"/>
    <w:rsid w:val="008C64EC"/>
    <w:rsid w:val="008C66DE"/>
    <w:rsid w:val="008C69E1"/>
    <w:rsid w:val="008D3934"/>
    <w:rsid w:val="008D61BF"/>
    <w:rsid w:val="008D6538"/>
    <w:rsid w:val="008D7434"/>
    <w:rsid w:val="008E098E"/>
    <w:rsid w:val="008E13A5"/>
    <w:rsid w:val="008E1DF1"/>
    <w:rsid w:val="008E4F3D"/>
    <w:rsid w:val="008E52F7"/>
    <w:rsid w:val="008E643A"/>
    <w:rsid w:val="008E71F9"/>
    <w:rsid w:val="008E785D"/>
    <w:rsid w:val="008F03A6"/>
    <w:rsid w:val="008F0929"/>
    <w:rsid w:val="008F5FBD"/>
    <w:rsid w:val="008F7628"/>
    <w:rsid w:val="009008DF"/>
    <w:rsid w:val="00900BFF"/>
    <w:rsid w:val="00901085"/>
    <w:rsid w:val="0090137E"/>
    <w:rsid w:val="00914260"/>
    <w:rsid w:val="00914B84"/>
    <w:rsid w:val="0091552D"/>
    <w:rsid w:val="0091697B"/>
    <w:rsid w:val="009169E9"/>
    <w:rsid w:val="00917F75"/>
    <w:rsid w:val="00917F9D"/>
    <w:rsid w:val="009235FD"/>
    <w:rsid w:val="00923FFF"/>
    <w:rsid w:val="009250C5"/>
    <w:rsid w:val="0092552E"/>
    <w:rsid w:val="00925B88"/>
    <w:rsid w:val="00926A4E"/>
    <w:rsid w:val="009270D4"/>
    <w:rsid w:val="009324B4"/>
    <w:rsid w:val="00934C10"/>
    <w:rsid w:val="00935BDD"/>
    <w:rsid w:val="009376D6"/>
    <w:rsid w:val="0094003D"/>
    <w:rsid w:val="009404BE"/>
    <w:rsid w:val="00940F58"/>
    <w:rsid w:val="00943A28"/>
    <w:rsid w:val="00943D17"/>
    <w:rsid w:val="00944997"/>
    <w:rsid w:val="009473A4"/>
    <w:rsid w:val="00950554"/>
    <w:rsid w:val="00951FA5"/>
    <w:rsid w:val="009531B2"/>
    <w:rsid w:val="00953988"/>
    <w:rsid w:val="00954DD2"/>
    <w:rsid w:val="0095635F"/>
    <w:rsid w:val="009569F2"/>
    <w:rsid w:val="00957824"/>
    <w:rsid w:val="0096376D"/>
    <w:rsid w:val="00965695"/>
    <w:rsid w:val="0096677D"/>
    <w:rsid w:val="009705C9"/>
    <w:rsid w:val="00970F39"/>
    <w:rsid w:val="009729EE"/>
    <w:rsid w:val="009732E5"/>
    <w:rsid w:val="009737C2"/>
    <w:rsid w:val="00977C81"/>
    <w:rsid w:val="00981CF1"/>
    <w:rsid w:val="0098439F"/>
    <w:rsid w:val="00986419"/>
    <w:rsid w:val="0099009E"/>
    <w:rsid w:val="009908E3"/>
    <w:rsid w:val="009910DF"/>
    <w:rsid w:val="00992836"/>
    <w:rsid w:val="0099316F"/>
    <w:rsid w:val="00993BB9"/>
    <w:rsid w:val="00995D5B"/>
    <w:rsid w:val="0099622C"/>
    <w:rsid w:val="00997615"/>
    <w:rsid w:val="009A1D2C"/>
    <w:rsid w:val="009A1FA9"/>
    <w:rsid w:val="009A24C1"/>
    <w:rsid w:val="009A3298"/>
    <w:rsid w:val="009A57EE"/>
    <w:rsid w:val="009A68A0"/>
    <w:rsid w:val="009A6D58"/>
    <w:rsid w:val="009B1597"/>
    <w:rsid w:val="009B195C"/>
    <w:rsid w:val="009B1AD5"/>
    <w:rsid w:val="009B29DA"/>
    <w:rsid w:val="009B2BEE"/>
    <w:rsid w:val="009B6562"/>
    <w:rsid w:val="009C04B2"/>
    <w:rsid w:val="009D1E70"/>
    <w:rsid w:val="009D1EF8"/>
    <w:rsid w:val="009D675A"/>
    <w:rsid w:val="009D6E00"/>
    <w:rsid w:val="009D6EC7"/>
    <w:rsid w:val="009E04F9"/>
    <w:rsid w:val="009E215A"/>
    <w:rsid w:val="009E235A"/>
    <w:rsid w:val="009E286D"/>
    <w:rsid w:val="009E5633"/>
    <w:rsid w:val="009E61E6"/>
    <w:rsid w:val="009F1E6B"/>
    <w:rsid w:val="009F358F"/>
    <w:rsid w:val="009F3660"/>
    <w:rsid w:val="009F4829"/>
    <w:rsid w:val="009F4FB5"/>
    <w:rsid w:val="00A01B84"/>
    <w:rsid w:val="00A02099"/>
    <w:rsid w:val="00A023AC"/>
    <w:rsid w:val="00A04D68"/>
    <w:rsid w:val="00A05CFD"/>
    <w:rsid w:val="00A077FB"/>
    <w:rsid w:val="00A07A2A"/>
    <w:rsid w:val="00A116EA"/>
    <w:rsid w:val="00A13340"/>
    <w:rsid w:val="00A140FF"/>
    <w:rsid w:val="00A2206C"/>
    <w:rsid w:val="00A22506"/>
    <w:rsid w:val="00A237B5"/>
    <w:rsid w:val="00A23D89"/>
    <w:rsid w:val="00A24DBC"/>
    <w:rsid w:val="00A2605C"/>
    <w:rsid w:val="00A321CF"/>
    <w:rsid w:val="00A342D4"/>
    <w:rsid w:val="00A36458"/>
    <w:rsid w:val="00A37A30"/>
    <w:rsid w:val="00A37F27"/>
    <w:rsid w:val="00A4129F"/>
    <w:rsid w:val="00A43494"/>
    <w:rsid w:val="00A4529D"/>
    <w:rsid w:val="00A50FE4"/>
    <w:rsid w:val="00A53BE6"/>
    <w:rsid w:val="00A53C3D"/>
    <w:rsid w:val="00A54D4E"/>
    <w:rsid w:val="00A567DD"/>
    <w:rsid w:val="00A56B18"/>
    <w:rsid w:val="00A56BA1"/>
    <w:rsid w:val="00A649BD"/>
    <w:rsid w:val="00A6521F"/>
    <w:rsid w:val="00A65A2C"/>
    <w:rsid w:val="00A90AB1"/>
    <w:rsid w:val="00A90E4F"/>
    <w:rsid w:val="00A951AC"/>
    <w:rsid w:val="00A951FA"/>
    <w:rsid w:val="00A95486"/>
    <w:rsid w:val="00A95D53"/>
    <w:rsid w:val="00A960F1"/>
    <w:rsid w:val="00A96163"/>
    <w:rsid w:val="00A965A9"/>
    <w:rsid w:val="00AA019F"/>
    <w:rsid w:val="00AA23CD"/>
    <w:rsid w:val="00AA2C94"/>
    <w:rsid w:val="00AA3011"/>
    <w:rsid w:val="00AA422F"/>
    <w:rsid w:val="00AA5A73"/>
    <w:rsid w:val="00AB02A4"/>
    <w:rsid w:val="00AB1559"/>
    <w:rsid w:val="00AB19F8"/>
    <w:rsid w:val="00AB4310"/>
    <w:rsid w:val="00AB603A"/>
    <w:rsid w:val="00AB6079"/>
    <w:rsid w:val="00AC09F0"/>
    <w:rsid w:val="00AC0A09"/>
    <w:rsid w:val="00AC29DE"/>
    <w:rsid w:val="00AC2EC2"/>
    <w:rsid w:val="00AC3061"/>
    <w:rsid w:val="00AC49FA"/>
    <w:rsid w:val="00AC4FF8"/>
    <w:rsid w:val="00AC541D"/>
    <w:rsid w:val="00AC5710"/>
    <w:rsid w:val="00AD026C"/>
    <w:rsid w:val="00AD7A1D"/>
    <w:rsid w:val="00AE1DDA"/>
    <w:rsid w:val="00AE1FD2"/>
    <w:rsid w:val="00AE2A76"/>
    <w:rsid w:val="00AE4892"/>
    <w:rsid w:val="00AE5127"/>
    <w:rsid w:val="00AE6F95"/>
    <w:rsid w:val="00AE78D2"/>
    <w:rsid w:val="00AF1C3C"/>
    <w:rsid w:val="00AF1D34"/>
    <w:rsid w:val="00AF3034"/>
    <w:rsid w:val="00AF3B55"/>
    <w:rsid w:val="00AF4283"/>
    <w:rsid w:val="00AF45E4"/>
    <w:rsid w:val="00AF5789"/>
    <w:rsid w:val="00AF57AB"/>
    <w:rsid w:val="00AF6E89"/>
    <w:rsid w:val="00AF751D"/>
    <w:rsid w:val="00B01744"/>
    <w:rsid w:val="00B02CEB"/>
    <w:rsid w:val="00B02CFA"/>
    <w:rsid w:val="00B0462E"/>
    <w:rsid w:val="00B04B05"/>
    <w:rsid w:val="00B11865"/>
    <w:rsid w:val="00B11E3A"/>
    <w:rsid w:val="00B130F4"/>
    <w:rsid w:val="00B1630D"/>
    <w:rsid w:val="00B17508"/>
    <w:rsid w:val="00B17A9A"/>
    <w:rsid w:val="00B20784"/>
    <w:rsid w:val="00B20F4F"/>
    <w:rsid w:val="00B21C6A"/>
    <w:rsid w:val="00B21F71"/>
    <w:rsid w:val="00B233EB"/>
    <w:rsid w:val="00B2422B"/>
    <w:rsid w:val="00B24FCB"/>
    <w:rsid w:val="00B25F76"/>
    <w:rsid w:val="00B320D4"/>
    <w:rsid w:val="00B3377F"/>
    <w:rsid w:val="00B33937"/>
    <w:rsid w:val="00B40590"/>
    <w:rsid w:val="00B40984"/>
    <w:rsid w:val="00B409BC"/>
    <w:rsid w:val="00B41707"/>
    <w:rsid w:val="00B44124"/>
    <w:rsid w:val="00B47929"/>
    <w:rsid w:val="00B506CF"/>
    <w:rsid w:val="00B50D30"/>
    <w:rsid w:val="00B523C5"/>
    <w:rsid w:val="00B53607"/>
    <w:rsid w:val="00B537C3"/>
    <w:rsid w:val="00B54642"/>
    <w:rsid w:val="00B563C3"/>
    <w:rsid w:val="00B56D2F"/>
    <w:rsid w:val="00B61C5F"/>
    <w:rsid w:val="00B61FA0"/>
    <w:rsid w:val="00B65F9C"/>
    <w:rsid w:val="00B6739E"/>
    <w:rsid w:val="00B67636"/>
    <w:rsid w:val="00B677A7"/>
    <w:rsid w:val="00B67E40"/>
    <w:rsid w:val="00B7348B"/>
    <w:rsid w:val="00B760BE"/>
    <w:rsid w:val="00B77EC0"/>
    <w:rsid w:val="00B82412"/>
    <w:rsid w:val="00B833B3"/>
    <w:rsid w:val="00B83C8E"/>
    <w:rsid w:val="00B8436B"/>
    <w:rsid w:val="00B85444"/>
    <w:rsid w:val="00B86E1A"/>
    <w:rsid w:val="00B90070"/>
    <w:rsid w:val="00B90321"/>
    <w:rsid w:val="00B906C0"/>
    <w:rsid w:val="00B90CBB"/>
    <w:rsid w:val="00B90E51"/>
    <w:rsid w:val="00B92402"/>
    <w:rsid w:val="00B931C5"/>
    <w:rsid w:val="00B948E7"/>
    <w:rsid w:val="00B957E0"/>
    <w:rsid w:val="00B95F4C"/>
    <w:rsid w:val="00B9643F"/>
    <w:rsid w:val="00B9691C"/>
    <w:rsid w:val="00B97097"/>
    <w:rsid w:val="00BA252F"/>
    <w:rsid w:val="00BA4625"/>
    <w:rsid w:val="00BB08D4"/>
    <w:rsid w:val="00BB7656"/>
    <w:rsid w:val="00BC052E"/>
    <w:rsid w:val="00BC2C9D"/>
    <w:rsid w:val="00BC45F2"/>
    <w:rsid w:val="00BC46E5"/>
    <w:rsid w:val="00BC4E06"/>
    <w:rsid w:val="00BC5353"/>
    <w:rsid w:val="00BC6C90"/>
    <w:rsid w:val="00BC7511"/>
    <w:rsid w:val="00BD23DA"/>
    <w:rsid w:val="00BD2BD9"/>
    <w:rsid w:val="00BD34D8"/>
    <w:rsid w:val="00BE1F70"/>
    <w:rsid w:val="00BE4FB6"/>
    <w:rsid w:val="00BE5B69"/>
    <w:rsid w:val="00BE640F"/>
    <w:rsid w:val="00BE6B7C"/>
    <w:rsid w:val="00BE7394"/>
    <w:rsid w:val="00BF0915"/>
    <w:rsid w:val="00BF7CEC"/>
    <w:rsid w:val="00C00572"/>
    <w:rsid w:val="00C02892"/>
    <w:rsid w:val="00C075EF"/>
    <w:rsid w:val="00C11B91"/>
    <w:rsid w:val="00C12034"/>
    <w:rsid w:val="00C164F1"/>
    <w:rsid w:val="00C16974"/>
    <w:rsid w:val="00C16A34"/>
    <w:rsid w:val="00C21A42"/>
    <w:rsid w:val="00C21B3F"/>
    <w:rsid w:val="00C2258C"/>
    <w:rsid w:val="00C23A55"/>
    <w:rsid w:val="00C23E44"/>
    <w:rsid w:val="00C254C8"/>
    <w:rsid w:val="00C30D8F"/>
    <w:rsid w:val="00C31CB4"/>
    <w:rsid w:val="00C327C3"/>
    <w:rsid w:val="00C333FB"/>
    <w:rsid w:val="00C33F4E"/>
    <w:rsid w:val="00C36466"/>
    <w:rsid w:val="00C37E18"/>
    <w:rsid w:val="00C413B4"/>
    <w:rsid w:val="00C43FEC"/>
    <w:rsid w:val="00C45BB5"/>
    <w:rsid w:val="00C46191"/>
    <w:rsid w:val="00C4657E"/>
    <w:rsid w:val="00C478C4"/>
    <w:rsid w:val="00C52D0C"/>
    <w:rsid w:val="00C53FD6"/>
    <w:rsid w:val="00C54247"/>
    <w:rsid w:val="00C56043"/>
    <w:rsid w:val="00C57A13"/>
    <w:rsid w:val="00C60A61"/>
    <w:rsid w:val="00C624E8"/>
    <w:rsid w:val="00C63309"/>
    <w:rsid w:val="00C646F4"/>
    <w:rsid w:val="00C65F7B"/>
    <w:rsid w:val="00C67BE1"/>
    <w:rsid w:val="00C70DB2"/>
    <w:rsid w:val="00C73F36"/>
    <w:rsid w:val="00C757C8"/>
    <w:rsid w:val="00C761E7"/>
    <w:rsid w:val="00C76246"/>
    <w:rsid w:val="00C80B26"/>
    <w:rsid w:val="00C82780"/>
    <w:rsid w:val="00C833F2"/>
    <w:rsid w:val="00C83701"/>
    <w:rsid w:val="00C8453F"/>
    <w:rsid w:val="00C85C2D"/>
    <w:rsid w:val="00C86D30"/>
    <w:rsid w:val="00C90C95"/>
    <w:rsid w:val="00C91F58"/>
    <w:rsid w:val="00C94A06"/>
    <w:rsid w:val="00CA3DF0"/>
    <w:rsid w:val="00CA4692"/>
    <w:rsid w:val="00CA5FE9"/>
    <w:rsid w:val="00CB00B8"/>
    <w:rsid w:val="00CB1D06"/>
    <w:rsid w:val="00CB343D"/>
    <w:rsid w:val="00CB4E5D"/>
    <w:rsid w:val="00CB56D3"/>
    <w:rsid w:val="00CB6357"/>
    <w:rsid w:val="00CB64AB"/>
    <w:rsid w:val="00CC0630"/>
    <w:rsid w:val="00CC0E16"/>
    <w:rsid w:val="00CC3A02"/>
    <w:rsid w:val="00CC4519"/>
    <w:rsid w:val="00CC6683"/>
    <w:rsid w:val="00CC6F77"/>
    <w:rsid w:val="00CC7D89"/>
    <w:rsid w:val="00CD1FC4"/>
    <w:rsid w:val="00CD23AC"/>
    <w:rsid w:val="00CD2793"/>
    <w:rsid w:val="00CD2851"/>
    <w:rsid w:val="00CD77E3"/>
    <w:rsid w:val="00CE2F20"/>
    <w:rsid w:val="00CE54CA"/>
    <w:rsid w:val="00CE730E"/>
    <w:rsid w:val="00CE75D4"/>
    <w:rsid w:val="00CE7632"/>
    <w:rsid w:val="00CF3587"/>
    <w:rsid w:val="00CF505F"/>
    <w:rsid w:val="00CF5395"/>
    <w:rsid w:val="00CF7131"/>
    <w:rsid w:val="00CF7736"/>
    <w:rsid w:val="00CF7DA6"/>
    <w:rsid w:val="00D00425"/>
    <w:rsid w:val="00D0538E"/>
    <w:rsid w:val="00D0768A"/>
    <w:rsid w:val="00D1041B"/>
    <w:rsid w:val="00D1078C"/>
    <w:rsid w:val="00D13447"/>
    <w:rsid w:val="00D14B59"/>
    <w:rsid w:val="00D179B3"/>
    <w:rsid w:val="00D2006E"/>
    <w:rsid w:val="00D2283C"/>
    <w:rsid w:val="00D2444A"/>
    <w:rsid w:val="00D24A73"/>
    <w:rsid w:val="00D24F30"/>
    <w:rsid w:val="00D2592E"/>
    <w:rsid w:val="00D3162C"/>
    <w:rsid w:val="00D32EDF"/>
    <w:rsid w:val="00D34096"/>
    <w:rsid w:val="00D342BB"/>
    <w:rsid w:val="00D34E88"/>
    <w:rsid w:val="00D36329"/>
    <w:rsid w:val="00D36AAC"/>
    <w:rsid w:val="00D41694"/>
    <w:rsid w:val="00D41B3F"/>
    <w:rsid w:val="00D4299D"/>
    <w:rsid w:val="00D42EA1"/>
    <w:rsid w:val="00D4388E"/>
    <w:rsid w:val="00D4670A"/>
    <w:rsid w:val="00D47270"/>
    <w:rsid w:val="00D476C9"/>
    <w:rsid w:val="00D503CF"/>
    <w:rsid w:val="00D507BC"/>
    <w:rsid w:val="00D51102"/>
    <w:rsid w:val="00D511F8"/>
    <w:rsid w:val="00D5179D"/>
    <w:rsid w:val="00D52566"/>
    <w:rsid w:val="00D52790"/>
    <w:rsid w:val="00D5343B"/>
    <w:rsid w:val="00D557C1"/>
    <w:rsid w:val="00D609C5"/>
    <w:rsid w:val="00D613D5"/>
    <w:rsid w:val="00D629ED"/>
    <w:rsid w:val="00D65F66"/>
    <w:rsid w:val="00D67615"/>
    <w:rsid w:val="00D70B7E"/>
    <w:rsid w:val="00D7186F"/>
    <w:rsid w:val="00D7274E"/>
    <w:rsid w:val="00D73D5E"/>
    <w:rsid w:val="00D73E31"/>
    <w:rsid w:val="00D74CC1"/>
    <w:rsid w:val="00D7655C"/>
    <w:rsid w:val="00D76F5C"/>
    <w:rsid w:val="00D81706"/>
    <w:rsid w:val="00D83DCB"/>
    <w:rsid w:val="00D83F4B"/>
    <w:rsid w:val="00D84FE8"/>
    <w:rsid w:val="00D86418"/>
    <w:rsid w:val="00D86635"/>
    <w:rsid w:val="00D90C67"/>
    <w:rsid w:val="00D90F5B"/>
    <w:rsid w:val="00D922A1"/>
    <w:rsid w:val="00D97B9B"/>
    <w:rsid w:val="00DA08C9"/>
    <w:rsid w:val="00DA0BD7"/>
    <w:rsid w:val="00DA2266"/>
    <w:rsid w:val="00DA2A22"/>
    <w:rsid w:val="00DA366F"/>
    <w:rsid w:val="00DA78D1"/>
    <w:rsid w:val="00DB4244"/>
    <w:rsid w:val="00DC385D"/>
    <w:rsid w:val="00DC5154"/>
    <w:rsid w:val="00DC59E4"/>
    <w:rsid w:val="00DC5C06"/>
    <w:rsid w:val="00DD3BB7"/>
    <w:rsid w:val="00DD3CAC"/>
    <w:rsid w:val="00DD593A"/>
    <w:rsid w:val="00DD763E"/>
    <w:rsid w:val="00DE00EB"/>
    <w:rsid w:val="00DE01BA"/>
    <w:rsid w:val="00DE0D9B"/>
    <w:rsid w:val="00DE2845"/>
    <w:rsid w:val="00DE4DE8"/>
    <w:rsid w:val="00DF52EC"/>
    <w:rsid w:val="00DF5B53"/>
    <w:rsid w:val="00E02905"/>
    <w:rsid w:val="00E03076"/>
    <w:rsid w:val="00E033DE"/>
    <w:rsid w:val="00E052BB"/>
    <w:rsid w:val="00E058C9"/>
    <w:rsid w:val="00E06391"/>
    <w:rsid w:val="00E11579"/>
    <w:rsid w:val="00E14313"/>
    <w:rsid w:val="00E15455"/>
    <w:rsid w:val="00E1661C"/>
    <w:rsid w:val="00E16E6F"/>
    <w:rsid w:val="00E170C7"/>
    <w:rsid w:val="00E17277"/>
    <w:rsid w:val="00E17330"/>
    <w:rsid w:val="00E17E29"/>
    <w:rsid w:val="00E17F15"/>
    <w:rsid w:val="00E23881"/>
    <w:rsid w:val="00E27FF6"/>
    <w:rsid w:val="00E30FB7"/>
    <w:rsid w:val="00E329BA"/>
    <w:rsid w:val="00E358E0"/>
    <w:rsid w:val="00E40CF7"/>
    <w:rsid w:val="00E458EB"/>
    <w:rsid w:val="00E46784"/>
    <w:rsid w:val="00E533F3"/>
    <w:rsid w:val="00E601BC"/>
    <w:rsid w:val="00E6149D"/>
    <w:rsid w:val="00E618CF"/>
    <w:rsid w:val="00E6253E"/>
    <w:rsid w:val="00E636C2"/>
    <w:rsid w:val="00E65DB0"/>
    <w:rsid w:val="00E66905"/>
    <w:rsid w:val="00E810A9"/>
    <w:rsid w:val="00E83243"/>
    <w:rsid w:val="00E94F72"/>
    <w:rsid w:val="00E950FC"/>
    <w:rsid w:val="00E95A40"/>
    <w:rsid w:val="00E95F69"/>
    <w:rsid w:val="00E965DC"/>
    <w:rsid w:val="00E96B01"/>
    <w:rsid w:val="00EA1C07"/>
    <w:rsid w:val="00EA21C8"/>
    <w:rsid w:val="00EA461E"/>
    <w:rsid w:val="00EA605B"/>
    <w:rsid w:val="00EB0132"/>
    <w:rsid w:val="00EB317B"/>
    <w:rsid w:val="00EC3920"/>
    <w:rsid w:val="00EC51DF"/>
    <w:rsid w:val="00EC57F0"/>
    <w:rsid w:val="00EC6AFA"/>
    <w:rsid w:val="00ED0D1E"/>
    <w:rsid w:val="00ED4BB5"/>
    <w:rsid w:val="00ED5EAD"/>
    <w:rsid w:val="00ED6A1B"/>
    <w:rsid w:val="00EE0CAF"/>
    <w:rsid w:val="00EE162B"/>
    <w:rsid w:val="00EE41E1"/>
    <w:rsid w:val="00EE61EC"/>
    <w:rsid w:val="00EE680C"/>
    <w:rsid w:val="00EE7260"/>
    <w:rsid w:val="00EF030D"/>
    <w:rsid w:val="00EF0B90"/>
    <w:rsid w:val="00EF4C5C"/>
    <w:rsid w:val="00F04249"/>
    <w:rsid w:val="00F05E8E"/>
    <w:rsid w:val="00F06566"/>
    <w:rsid w:val="00F06A10"/>
    <w:rsid w:val="00F06B99"/>
    <w:rsid w:val="00F0781A"/>
    <w:rsid w:val="00F07E5E"/>
    <w:rsid w:val="00F12497"/>
    <w:rsid w:val="00F14D00"/>
    <w:rsid w:val="00F15C22"/>
    <w:rsid w:val="00F21986"/>
    <w:rsid w:val="00F21FBD"/>
    <w:rsid w:val="00F23C6D"/>
    <w:rsid w:val="00F271F6"/>
    <w:rsid w:val="00F30410"/>
    <w:rsid w:val="00F31FB5"/>
    <w:rsid w:val="00F342F5"/>
    <w:rsid w:val="00F3631F"/>
    <w:rsid w:val="00F4595B"/>
    <w:rsid w:val="00F47558"/>
    <w:rsid w:val="00F56871"/>
    <w:rsid w:val="00F60282"/>
    <w:rsid w:val="00F60FB3"/>
    <w:rsid w:val="00F61B17"/>
    <w:rsid w:val="00F6211D"/>
    <w:rsid w:val="00F6232D"/>
    <w:rsid w:val="00F630DC"/>
    <w:rsid w:val="00F6352F"/>
    <w:rsid w:val="00F6542F"/>
    <w:rsid w:val="00F655D4"/>
    <w:rsid w:val="00F67738"/>
    <w:rsid w:val="00F70D47"/>
    <w:rsid w:val="00F72EBC"/>
    <w:rsid w:val="00F743F5"/>
    <w:rsid w:val="00F748AD"/>
    <w:rsid w:val="00F76127"/>
    <w:rsid w:val="00F7704E"/>
    <w:rsid w:val="00F8087C"/>
    <w:rsid w:val="00F81341"/>
    <w:rsid w:val="00F83BD2"/>
    <w:rsid w:val="00F8489D"/>
    <w:rsid w:val="00F860A6"/>
    <w:rsid w:val="00F914CC"/>
    <w:rsid w:val="00FA471E"/>
    <w:rsid w:val="00FA5434"/>
    <w:rsid w:val="00FA6D6F"/>
    <w:rsid w:val="00FA6FD7"/>
    <w:rsid w:val="00FB08C1"/>
    <w:rsid w:val="00FB1CB7"/>
    <w:rsid w:val="00FB3243"/>
    <w:rsid w:val="00FB39E8"/>
    <w:rsid w:val="00FB49D9"/>
    <w:rsid w:val="00FB4CD2"/>
    <w:rsid w:val="00FB53EB"/>
    <w:rsid w:val="00FB670B"/>
    <w:rsid w:val="00FB6BB0"/>
    <w:rsid w:val="00FB767A"/>
    <w:rsid w:val="00FB76BE"/>
    <w:rsid w:val="00FC1AFE"/>
    <w:rsid w:val="00FC236A"/>
    <w:rsid w:val="00FC3B73"/>
    <w:rsid w:val="00FC4712"/>
    <w:rsid w:val="00FC5CAA"/>
    <w:rsid w:val="00FC5F62"/>
    <w:rsid w:val="00FD045F"/>
    <w:rsid w:val="00FD5F83"/>
    <w:rsid w:val="00FD6763"/>
    <w:rsid w:val="00FD6776"/>
    <w:rsid w:val="00FD7F85"/>
    <w:rsid w:val="00FE338F"/>
    <w:rsid w:val="00FE4102"/>
    <w:rsid w:val="00FE5FFD"/>
    <w:rsid w:val="00FE6D5F"/>
    <w:rsid w:val="00FF1D0E"/>
    <w:rsid w:val="00FF2C44"/>
    <w:rsid w:val="00FF425D"/>
    <w:rsid w:val="00FF4787"/>
    <w:rsid w:val="00FF4ACC"/>
    <w:rsid w:val="00FF4AF1"/>
    <w:rsid w:val="00FF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2"/>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link w:val="AkapitzlistZnak"/>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 w:type="paragraph" w:customStyle="1" w:styleId="s1bd70772">
    <w:name w:val="s1bd70772"/>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d2086b4">
    <w:name w:val="s7d2086b4"/>
    <w:basedOn w:val="Domylnaczcionkaakapitu"/>
    <w:rsid w:val="001F54BA"/>
  </w:style>
  <w:style w:type="paragraph" w:customStyle="1" w:styleId="s9e9b0cd7">
    <w:name w:val="s9e9b0cd7"/>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1F54BA"/>
  </w:style>
  <w:style w:type="character" w:customStyle="1" w:styleId="sf8bfa2bc">
    <w:name w:val="sf8bfa2bc"/>
    <w:basedOn w:val="Domylnaczcionkaakapitu"/>
    <w:rsid w:val="001F54BA"/>
  </w:style>
  <w:style w:type="paragraph" w:customStyle="1" w:styleId="s6c429373">
    <w:name w:val="s6c429373"/>
    <w:basedOn w:val="Normalny"/>
    <w:rsid w:val="007D5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a844bc0">
    <w:name w:val="s1a844bc0"/>
    <w:basedOn w:val="Domylnaczcionkaakapitu"/>
    <w:rsid w:val="007D59D1"/>
  </w:style>
  <w:style w:type="character" w:customStyle="1" w:styleId="s2a6cf492">
    <w:name w:val="s2a6cf492"/>
    <w:basedOn w:val="Domylnaczcionkaakapitu"/>
    <w:rsid w:val="007D59D1"/>
  </w:style>
  <w:style w:type="paragraph" w:customStyle="1" w:styleId="DecHTitle">
    <w:name w:val="Dec_H_Title"/>
    <w:basedOn w:val="Normalny"/>
    <w:uiPriority w:val="7"/>
    <w:qFormat/>
    <w:rsid w:val="000F42C7"/>
    <w:pPr>
      <w:keepNext/>
      <w:keepLines/>
      <w:spacing w:after="240" w:line="240" w:lineRule="auto"/>
      <w:jc w:val="center"/>
      <w:outlineLvl w:val="0"/>
    </w:pPr>
    <w:rPr>
      <w:rFonts w:asciiTheme="majorHAnsi" w:eastAsiaTheme="minorEastAsia" w:hAnsiTheme="majorHAnsi"/>
      <w:sz w:val="28"/>
      <w:lang w:val="en-US"/>
    </w:rPr>
  </w:style>
  <w:style w:type="character" w:customStyle="1" w:styleId="AkapitzlistZnak">
    <w:name w:val="Akapit z listą Znak"/>
    <w:link w:val="Akapitzlist"/>
    <w:uiPriority w:val="34"/>
    <w:locked/>
    <w:rsid w:val="000F42C7"/>
  </w:style>
  <w:style w:type="character" w:styleId="Wyrnieniedelikatne">
    <w:name w:val="Subtle Emphasis"/>
    <w:basedOn w:val="Domylnaczcionkaakapitu"/>
    <w:uiPriority w:val="19"/>
    <w:qFormat/>
    <w:rsid w:val="000F42C7"/>
    <w:rPr>
      <w:i/>
      <w:iCs/>
      <w:color w:val="808080" w:themeColor="text1" w:themeTint="7F"/>
    </w:rPr>
  </w:style>
  <w:style w:type="paragraph" w:customStyle="1" w:styleId="ECHRPara">
    <w:name w:val="ECHR_Para"/>
    <w:aliases w:val="Ju_Para,Para,Left,First line:  0 cm"/>
    <w:basedOn w:val="Normalny"/>
    <w:link w:val="JuParaCar"/>
    <w:uiPriority w:val="12"/>
    <w:qFormat/>
    <w:rsid w:val="00EE41E1"/>
    <w:pPr>
      <w:spacing w:after="0" w:line="240" w:lineRule="auto"/>
      <w:ind w:firstLine="284"/>
      <w:jc w:val="both"/>
    </w:pPr>
    <w:rPr>
      <w:rFonts w:eastAsiaTheme="minorEastAsia"/>
      <w:sz w:val="24"/>
      <w:lang w:val="en-US"/>
    </w:rPr>
  </w:style>
  <w:style w:type="character" w:customStyle="1" w:styleId="JuParaCar">
    <w:name w:val="Ju_Para Car"/>
    <w:basedOn w:val="Domylnaczcionkaakapitu"/>
    <w:link w:val="ECHRPara"/>
    <w:uiPriority w:val="12"/>
    <w:locked/>
    <w:rsid w:val="00EE41E1"/>
    <w:rPr>
      <w:rFonts w:eastAsiaTheme="minorEastAsia"/>
      <w:sz w:val="24"/>
      <w:lang w:val="en-US"/>
    </w:rPr>
  </w:style>
  <w:style w:type="paragraph" w:styleId="HTML-wstpniesformatowany">
    <w:name w:val="HTML Preformatted"/>
    <w:basedOn w:val="Normalny"/>
    <w:link w:val="HTML-wstpniesformatowanyZnak"/>
    <w:uiPriority w:val="99"/>
    <w:unhideWhenUsed/>
    <w:rsid w:val="00065852"/>
    <w:pPr>
      <w:spacing w:after="0" w:line="240" w:lineRule="auto"/>
    </w:pPr>
    <w:rPr>
      <w:rFonts w:ascii="Consolas" w:hAnsi="Consolas"/>
      <w:sz w:val="20"/>
      <w:szCs w:val="20"/>
      <w:lang w:val="pl-PL"/>
    </w:rPr>
  </w:style>
  <w:style w:type="character" w:customStyle="1" w:styleId="HTML-wstpniesformatowanyZnak">
    <w:name w:val="HTML - wstępnie sformatowany Znak"/>
    <w:basedOn w:val="Domylnaczcionkaakapitu"/>
    <w:link w:val="HTML-wstpniesformatowany"/>
    <w:uiPriority w:val="99"/>
    <w:rsid w:val="00065852"/>
    <w:rPr>
      <w:rFonts w:ascii="Consolas" w:hAnsi="Consolas"/>
      <w:sz w:val="20"/>
      <w:szCs w:val="20"/>
      <w:lang w:val="pl-PL"/>
    </w:rPr>
  </w:style>
  <w:style w:type="character" w:customStyle="1" w:styleId="wordhighlighted">
    <w:name w:val="wordhighlighted"/>
    <w:basedOn w:val="Domylnaczcionkaakapitu"/>
    <w:rsid w:val="00D24A73"/>
  </w:style>
  <w:style w:type="paragraph" w:customStyle="1" w:styleId="ClinContent">
    <w:name w:val="ClinContent"/>
    <w:basedOn w:val="Normalny"/>
    <w:qFormat/>
    <w:rsid w:val="0087390C"/>
    <w:pPr>
      <w:spacing w:before="240" w:after="0" w:line="240" w:lineRule="auto"/>
      <w:jc w:val="both"/>
    </w:pPr>
    <w:rPr>
      <w:rFonts w:ascii="Verdana" w:eastAsia="Times New Roman" w:hAnsi="Verdana" w:cs="Times New Roman"/>
      <w:sz w:val="20"/>
      <w:szCs w:val="24"/>
      <w:lang w:eastAsia="en-GB"/>
    </w:rPr>
  </w:style>
  <w:style w:type="character" w:customStyle="1" w:styleId="ClinHeadNote">
    <w:name w:val="ClinHeadNote"/>
    <w:basedOn w:val="Domylnaczcionkaakapitu"/>
    <w:qFormat/>
    <w:rsid w:val="009E215A"/>
    <w:rPr>
      <w:rFonts w:ascii="Times New Roman" w:hAnsi="Times New Roman" w:cs="Times New Roman" w:hint="default"/>
    </w:rPr>
  </w:style>
  <w:style w:type="character" w:customStyle="1" w:styleId="tabulatory">
    <w:name w:val="tabulatory"/>
    <w:basedOn w:val="Domylnaczcionkaakapitu"/>
    <w:rsid w:val="001E7F05"/>
  </w:style>
  <w:style w:type="character" w:customStyle="1" w:styleId="JuParaChar">
    <w:name w:val="Ju_Para Char"/>
    <w:aliases w:val="ECHR_Para Char"/>
    <w:uiPriority w:val="12"/>
    <w:locked/>
    <w:rsid w:val="00E358E0"/>
    <w:rPr>
      <w:rFonts w:ascii="MS Mincho" w:eastAsiaTheme="minorEastAsia" w:hAnsi="MS Mincho"/>
      <w:sz w:val="24"/>
    </w:rPr>
  </w:style>
  <w:style w:type="paragraph" w:customStyle="1" w:styleId="ECHRParaQuote">
    <w:name w:val="ECHR_Para_Quote"/>
    <w:aliases w:val="Ju_Quot"/>
    <w:basedOn w:val="Normalny"/>
    <w:uiPriority w:val="14"/>
    <w:qFormat/>
    <w:rsid w:val="00AB1559"/>
    <w:pPr>
      <w:spacing w:before="120" w:after="120" w:line="240" w:lineRule="auto"/>
      <w:ind w:left="425" w:firstLine="142"/>
      <w:jc w:val="both"/>
    </w:pPr>
    <w:rPr>
      <w:rFonts w:eastAsiaTheme="minorEastAsia"/>
      <w:sz w:val="20"/>
    </w:rPr>
  </w:style>
  <w:style w:type="paragraph" w:customStyle="1" w:styleId="s6e50bd9a">
    <w:name w:val="s6e50bd9a"/>
    <w:basedOn w:val="Normalny"/>
    <w:rsid w:val="00E6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linCaseTitle">
    <w:name w:val="ClinCaseTitle"/>
    <w:basedOn w:val="Domylnaczcionkaakapitu"/>
    <w:qFormat/>
    <w:rsid w:val="00230793"/>
    <w:rPr>
      <w:rFonts w:ascii="Verdana" w:hAnsi="Verdana" w:cs="Times New Roman"/>
      <w:b/>
      <w:i/>
      <w:sz w:val="24"/>
    </w:rPr>
  </w:style>
  <w:style w:type="character" w:customStyle="1" w:styleId="ClinHudocDocumentTitle">
    <w:name w:val="ClinHudocDocumentTitle"/>
    <w:basedOn w:val="Domylnaczcionkaakapitu"/>
    <w:qFormat/>
    <w:rsid w:val="00230793"/>
    <w:rPr>
      <w:rFonts w:ascii="Verdana" w:hAnsi="Verdana" w:cs="Times New Roman"/>
      <w:color w:val="auto"/>
    </w:rPr>
  </w:style>
  <w:style w:type="character" w:customStyle="1" w:styleId="ClinApplicationNumber">
    <w:name w:val="ClinApplicationNumber"/>
    <w:basedOn w:val="Domylnaczcionkaakapitu"/>
    <w:qFormat/>
    <w:rsid w:val="00230793"/>
    <w:rPr>
      <w:rFonts w:ascii="Verdana" w:hAnsi="Verdana" w:cs="Times New Roman"/>
      <w:b/>
      <w:sz w:val="24"/>
    </w:rPr>
  </w:style>
  <w:style w:type="character" w:customStyle="1" w:styleId="s32a37344">
    <w:name w:val="s32a37344"/>
    <w:basedOn w:val="Domylnaczcionkaakapitu"/>
    <w:rsid w:val="003C00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4E7F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A1BCD"/>
    <w:pPr>
      <w:keepNext/>
      <w:keepLines/>
      <w:numPr>
        <w:numId w:val="2"/>
      </w:numPr>
      <w:spacing w:before="360" w:after="120" w:line="240" w:lineRule="auto"/>
      <w:jc w:val="both"/>
      <w:outlineLvl w:val="1"/>
    </w:pPr>
    <w:rPr>
      <w:rFonts w:eastAsiaTheme="majorEastAsia" w:cstheme="majorBidi"/>
      <w:b/>
      <w:bCs/>
      <w:color w:val="4F81BD" w:themeColor="accent1"/>
      <w:sz w:val="24"/>
      <w:szCs w:val="24"/>
      <w:lang w:val="pl-PL"/>
    </w:rPr>
  </w:style>
  <w:style w:type="paragraph" w:styleId="Nagwek3">
    <w:name w:val="heading 3"/>
    <w:basedOn w:val="Normalny"/>
    <w:next w:val="Normalny"/>
    <w:link w:val="Nagwek3Znak"/>
    <w:uiPriority w:val="9"/>
    <w:unhideWhenUsed/>
    <w:qFormat/>
    <w:rsid w:val="00834556"/>
    <w:pPr>
      <w:keepNext/>
      <w:keepLines/>
      <w:spacing w:before="200" w:after="240" w:line="240" w:lineRule="auto"/>
      <w:jc w:val="both"/>
      <w:outlineLvl w:val="2"/>
    </w:pPr>
    <w:rPr>
      <w:rFonts w:eastAsiaTheme="majorEastAsia" w:cstheme="majorBidi"/>
      <w:b/>
      <w:b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4C20"/>
    <w:rPr>
      <w:sz w:val="16"/>
      <w:szCs w:val="16"/>
    </w:rPr>
  </w:style>
  <w:style w:type="character" w:customStyle="1" w:styleId="sb8d990e2">
    <w:name w:val="sb8d990e2"/>
    <w:basedOn w:val="Domylnaczcionkaakapitu"/>
    <w:rsid w:val="00414C20"/>
  </w:style>
  <w:style w:type="character" w:styleId="Hipercze">
    <w:name w:val="Hyperlink"/>
    <w:basedOn w:val="Domylnaczcionkaakapitu"/>
    <w:uiPriority w:val="99"/>
    <w:unhideWhenUsed/>
    <w:rsid w:val="00414C20"/>
    <w:rPr>
      <w:color w:val="0000FF"/>
      <w:u w:val="single"/>
    </w:rPr>
  </w:style>
  <w:style w:type="character" w:customStyle="1" w:styleId="Nagwek2Znak">
    <w:name w:val="Nagłówek 2 Znak"/>
    <w:basedOn w:val="Domylnaczcionkaakapitu"/>
    <w:link w:val="Nagwek2"/>
    <w:uiPriority w:val="9"/>
    <w:rsid w:val="008A1BCD"/>
    <w:rPr>
      <w:rFonts w:eastAsiaTheme="majorEastAsia" w:cstheme="majorBidi"/>
      <w:b/>
      <w:bCs/>
      <w:color w:val="4F81BD" w:themeColor="accent1"/>
      <w:sz w:val="24"/>
      <w:szCs w:val="24"/>
      <w:lang w:val="pl-PL"/>
    </w:rPr>
  </w:style>
  <w:style w:type="character" w:customStyle="1" w:styleId="Nagwek1Znak">
    <w:name w:val="Nagłówek 1 Znak"/>
    <w:basedOn w:val="Domylnaczcionkaakapitu"/>
    <w:link w:val="Nagwek1"/>
    <w:uiPriority w:val="9"/>
    <w:rsid w:val="004E7FF2"/>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unhideWhenUsed/>
    <w:rsid w:val="003C7D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7DF2"/>
  </w:style>
  <w:style w:type="paragraph" w:styleId="Stopka">
    <w:name w:val="footer"/>
    <w:basedOn w:val="Normalny"/>
    <w:link w:val="StopkaZnak"/>
    <w:uiPriority w:val="99"/>
    <w:unhideWhenUsed/>
    <w:rsid w:val="003C7D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7DF2"/>
  </w:style>
  <w:style w:type="paragraph" w:styleId="Akapitzlist">
    <w:name w:val="List Paragraph"/>
    <w:basedOn w:val="Normalny"/>
    <w:link w:val="AkapitzlistZnak"/>
    <w:uiPriority w:val="34"/>
    <w:qFormat/>
    <w:rsid w:val="00884846"/>
    <w:pPr>
      <w:ind w:left="720"/>
      <w:contextualSpacing/>
    </w:pPr>
  </w:style>
  <w:style w:type="character" w:styleId="UyteHipercze">
    <w:name w:val="FollowedHyperlink"/>
    <w:basedOn w:val="Domylnaczcionkaakapitu"/>
    <w:uiPriority w:val="99"/>
    <w:semiHidden/>
    <w:unhideWhenUsed/>
    <w:rsid w:val="002B6A75"/>
    <w:rPr>
      <w:color w:val="800080" w:themeColor="followedHyperlink"/>
      <w:u w:val="single"/>
    </w:rPr>
  </w:style>
  <w:style w:type="paragraph" w:styleId="Nagwekspisutreci">
    <w:name w:val="TOC Heading"/>
    <w:basedOn w:val="Nagwek1"/>
    <w:next w:val="Normalny"/>
    <w:uiPriority w:val="39"/>
    <w:semiHidden/>
    <w:unhideWhenUsed/>
    <w:qFormat/>
    <w:rsid w:val="008C1766"/>
    <w:pPr>
      <w:outlineLvl w:val="9"/>
    </w:pPr>
    <w:rPr>
      <w:lang w:eastAsia="en-GB"/>
    </w:rPr>
  </w:style>
  <w:style w:type="paragraph" w:styleId="Spistreci1">
    <w:name w:val="toc 1"/>
    <w:basedOn w:val="Normalny"/>
    <w:next w:val="Normalny"/>
    <w:autoRedefine/>
    <w:uiPriority w:val="39"/>
    <w:unhideWhenUsed/>
    <w:rsid w:val="008C1766"/>
    <w:pPr>
      <w:spacing w:before="120" w:after="120"/>
    </w:pPr>
    <w:rPr>
      <w:b/>
      <w:bCs/>
      <w:caps/>
      <w:sz w:val="20"/>
      <w:szCs w:val="20"/>
    </w:rPr>
  </w:style>
  <w:style w:type="paragraph" w:styleId="Spistreci2">
    <w:name w:val="toc 2"/>
    <w:basedOn w:val="Normalny"/>
    <w:next w:val="Normalny"/>
    <w:autoRedefine/>
    <w:uiPriority w:val="39"/>
    <w:unhideWhenUsed/>
    <w:rsid w:val="00F47558"/>
    <w:pPr>
      <w:tabs>
        <w:tab w:val="left" w:pos="660"/>
        <w:tab w:val="right" w:leader="dot" w:pos="9062"/>
      </w:tabs>
      <w:spacing w:after="0"/>
      <w:ind w:left="220"/>
    </w:pPr>
    <w:rPr>
      <w:smallCaps/>
      <w:noProof/>
      <w:color w:val="4F81BD" w:themeColor="accent1"/>
      <w:sz w:val="20"/>
      <w:szCs w:val="20"/>
    </w:rPr>
  </w:style>
  <w:style w:type="paragraph" w:styleId="Tekstdymka">
    <w:name w:val="Balloon Text"/>
    <w:basedOn w:val="Normalny"/>
    <w:link w:val="TekstdymkaZnak"/>
    <w:uiPriority w:val="99"/>
    <w:semiHidden/>
    <w:unhideWhenUsed/>
    <w:rsid w:val="008C176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1766"/>
    <w:rPr>
      <w:rFonts w:ascii="Tahoma" w:hAnsi="Tahoma" w:cs="Tahoma"/>
      <w:sz w:val="16"/>
      <w:szCs w:val="16"/>
    </w:rPr>
  </w:style>
  <w:style w:type="character" w:customStyle="1" w:styleId="Nagwek3Znak">
    <w:name w:val="Nagłówek 3 Znak"/>
    <w:basedOn w:val="Domylnaczcionkaakapitu"/>
    <w:link w:val="Nagwek3"/>
    <w:uiPriority w:val="9"/>
    <w:rsid w:val="00834556"/>
    <w:rPr>
      <w:rFonts w:eastAsiaTheme="majorEastAsia" w:cstheme="majorBidi"/>
      <w:b/>
      <w:bCs/>
      <w:color w:val="000000" w:themeColor="text1"/>
    </w:rPr>
  </w:style>
  <w:style w:type="paragraph" w:styleId="Spistreci3">
    <w:name w:val="toc 3"/>
    <w:basedOn w:val="Normalny"/>
    <w:next w:val="Normalny"/>
    <w:autoRedefine/>
    <w:uiPriority w:val="39"/>
    <w:unhideWhenUsed/>
    <w:rsid w:val="004B3BEE"/>
    <w:pPr>
      <w:spacing w:after="0"/>
      <w:ind w:left="440"/>
    </w:pPr>
    <w:rPr>
      <w:i/>
      <w:iCs/>
      <w:sz w:val="20"/>
      <w:szCs w:val="20"/>
    </w:rPr>
  </w:style>
  <w:style w:type="paragraph" w:styleId="Spistreci4">
    <w:name w:val="toc 4"/>
    <w:basedOn w:val="Normalny"/>
    <w:next w:val="Normalny"/>
    <w:autoRedefine/>
    <w:uiPriority w:val="39"/>
    <w:unhideWhenUsed/>
    <w:rsid w:val="00397BB2"/>
    <w:pPr>
      <w:spacing w:after="0"/>
      <w:ind w:left="660"/>
    </w:pPr>
    <w:rPr>
      <w:sz w:val="18"/>
      <w:szCs w:val="18"/>
    </w:rPr>
  </w:style>
  <w:style w:type="paragraph" w:styleId="Spistreci5">
    <w:name w:val="toc 5"/>
    <w:basedOn w:val="Normalny"/>
    <w:next w:val="Normalny"/>
    <w:autoRedefine/>
    <w:uiPriority w:val="39"/>
    <w:unhideWhenUsed/>
    <w:rsid w:val="00397BB2"/>
    <w:pPr>
      <w:spacing w:after="0"/>
      <w:ind w:left="880"/>
    </w:pPr>
    <w:rPr>
      <w:sz w:val="18"/>
      <w:szCs w:val="18"/>
    </w:rPr>
  </w:style>
  <w:style w:type="paragraph" w:styleId="Spistreci6">
    <w:name w:val="toc 6"/>
    <w:basedOn w:val="Normalny"/>
    <w:next w:val="Normalny"/>
    <w:autoRedefine/>
    <w:uiPriority w:val="39"/>
    <w:unhideWhenUsed/>
    <w:rsid w:val="00397BB2"/>
    <w:pPr>
      <w:spacing w:after="0"/>
      <w:ind w:left="1100"/>
    </w:pPr>
    <w:rPr>
      <w:sz w:val="18"/>
      <w:szCs w:val="18"/>
    </w:rPr>
  </w:style>
  <w:style w:type="paragraph" w:styleId="Spistreci7">
    <w:name w:val="toc 7"/>
    <w:basedOn w:val="Normalny"/>
    <w:next w:val="Normalny"/>
    <w:autoRedefine/>
    <w:uiPriority w:val="39"/>
    <w:unhideWhenUsed/>
    <w:rsid w:val="00397BB2"/>
    <w:pPr>
      <w:spacing w:after="0"/>
      <w:ind w:left="1320"/>
    </w:pPr>
    <w:rPr>
      <w:sz w:val="18"/>
      <w:szCs w:val="18"/>
    </w:rPr>
  </w:style>
  <w:style w:type="paragraph" w:styleId="Spistreci8">
    <w:name w:val="toc 8"/>
    <w:basedOn w:val="Normalny"/>
    <w:next w:val="Normalny"/>
    <w:autoRedefine/>
    <w:uiPriority w:val="39"/>
    <w:unhideWhenUsed/>
    <w:rsid w:val="00397BB2"/>
    <w:pPr>
      <w:spacing w:after="0"/>
      <w:ind w:left="1540"/>
    </w:pPr>
    <w:rPr>
      <w:sz w:val="18"/>
      <w:szCs w:val="18"/>
    </w:rPr>
  </w:style>
  <w:style w:type="paragraph" w:styleId="Spistreci9">
    <w:name w:val="toc 9"/>
    <w:basedOn w:val="Normalny"/>
    <w:next w:val="Normalny"/>
    <w:autoRedefine/>
    <w:uiPriority w:val="39"/>
    <w:unhideWhenUsed/>
    <w:rsid w:val="00397BB2"/>
    <w:pPr>
      <w:spacing w:after="0"/>
      <w:ind w:left="1760"/>
    </w:pPr>
    <w:rPr>
      <w:sz w:val="18"/>
      <w:szCs w:val="18"/>
    </w:rPr>
  </w:style>
  <w:style w:type="paragraph" w:customStyle="1" w:styleId="s30eec3f8">
    <w:name w:val="s30eec3f8"/>
    <w:basedOn w:val="Normalny"/>
    <w:rsid w:val="00076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6b621b36">
    <w:name w:val="s6b621b36"/>
    <w:basedOn w:val="Domylnaczcionkaakapitu"/>
    <w:rsid w:val="000767D1"/>
  </w:style>
  <w:style w:type="paragraph" w:styleId="Tekstkomentarza">
    <w:name w:val="annotation text"/>
    <w:basedOn w:val="Normalny"/>
    <w:link w:val="TekstkomentarzaZnak"/>
    <w:uiPriority w:val="99"/>
    <w:semiHidden/>
    <w:unhideWhenUsed/>
    <w:rsid w:val="00B175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17508"/>
    <w:rPr>
      <w:sz w:val="20"/>
      <w:szCs w:val="20"/>
    </w:rPr>
  </w:style>
  <w:style w:type="paragraph" w:styleId="Tematkomentarza">
    <w:name w:val="annotation subject"/>
    <w:basedOn w:val="Tekstkomentarza"/>
    <w:next w:val="Tekstkomentarza"/>
    <w:link w:val="TematkomentarzaZnak"/>
    <w:uiPriority w:val="99"/>
    <w:semiHidden/>
    <w:unhideWhenUsed/>
    <w:rsid w:val="00B17508"/>
    <w:rPr>
      <w:b/>
      <w:bCs/>
    </w:rPr>
  </w:style>
  <w:style w:type="character" w:customStyle="1" w:styleId="TematkomentarzaZnak">
    <w:name w:val="Temat komentarza Znak"/>
    <w:basedOn w:val="TekstkomentarzaZnak"/>
    <w:link w:val="Tematkomentarza"/>
    <w:uiPriority w:val="99"/>
    <w:semiHidden/>
    <w:rsid w:val="00B17508"/>
    <w:rPr>
      <w:b/>
      <w:bCs/>
      <w:sz w:val="20"/>
      <w:szCs w:val="20"/>
    </w:rPr>
  </w:style>
  <w:style w:type="paragraph" w:styleId="Tekstprzypisudolnego">
    <w:name w:val="footnote text"/>
    <w:basedOn w:val="Normalny"/>
    <w:link w:val="TekstprzypisudolnegoZnak"/>
    <w:unhideWhenUsed/>
    <w:rsid w:val="006162AC"/>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rPr>
  </w:style>
  <w:style w:type="character" w:customStyle="1" w:styleId="TekstprzypisudolnegoZnak">
    <w:name w:val="Tekst przypisu dolnego Znak"/>
    <w:basedOn w:val="Domylnaczcionkaakapitu"/>
    <w:link w:val="Tekstprzypisudolnego"/>
    <w:rsid w:val="006162AC"/>
    <w:rPr>
      <w:rFonts w:ascii="Calibri" w:eastAsia="Calibri" w:hAnsi="Calibri" w:cs="Calibri"/>
      <w:color w:val="000000"/>
      <w:sz w:val="20"/>
      <w:szCs w:val="20"/>
      <w:u w:color="000000"/>
      <w:bdr w:val="nil"/>
      <w:lang w:val="en-US"/>
    </w:rPr>
  </w:style>
  <w:style w:type="character" w:styleId="Odwoanieprzypisudolnego">
    <w:name w:val="footnote reference"/>
    <w:basedOn w:val="Domylnaczcionkaakapitu"/>
    <w:uiPriority w:val="99"/>
    <w:semiHidden/>
    <w:unhideWhenUsed/>
    <w:rsid w:val="006162AC"/>
    <w:rPr>
      <w:vertAlign w:val="superscript"/>
    </w:rPr>
  </w:style>
  <w:style w:type="character" w:customStyle="1" w:styleId="hps">
    <w:name w:val="hps"/>
    <w:basedOn w:val="Domylnaczcionkaakapitu"/>
    <w:rsid w:val="00FB3243"/>
  </w:style>
  <w:style w:type="paragraph" w:styleId="Tekstprzypisukocowego">
    <w:name w:val="endnote text"/>
    <w:basedOn w:val="Normalny"/>
    <w:link w:val="TekstprzypisukocowegoZnak"/>
    <w:uiPriority w:val="99"/>
    <w:semiHidden/>
    <w:unhideWhenUsed/>
    <w:rsid w:val="007C236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C236B"/>
    <w:rPr>
      <w:sz w:val="20"/>
      <w:szCs w:val="20"/>
    </w:rPr>
  </w:style>
  <w:style w:type="character" w:styleId="Odwoanieprzypisukocowego">
    <w:name w:val="endnote reference"/>
    <w:basedOn w:val="Domylnaczcionkaakapitu"/>
    <w:uiPriority w:val="99"/>
    <w:semiHidden/>
    <w:unhideWhenUsed/>
    <w:rsid w:val="007C236B"/>
    <w:rPr>
      <w:vertAlign w:val="superscript"/>
    </w:rPr>
  </w:style>
  <w:style w:type="paragraph" w:customStyle="1" w:styleId="s1bd70772">
    <w:name w:val="s1bd70772"/>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d2086b4">
    <w:name w:val="s7d2086b4"/>
    <w:basedOn w:val="Domylnaczcionkaakapitu"/>
    <w:rsid w:val="001F54BA"/>
  </w:style>
  <w:style w:type="paragraph" w:customStyle="1" w:styleId="s9e9b0cd7">
    <w:name w:val="s9e9b0cd7"/>
    <w:basedOn w:val="Normalny"/>
    <w:rsid w:val="001F5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fbbfee58">
    <w:name w:val="sfbbfee58"/>
    <w:basedOn w:val="Domylnaczcionkaakapitu"/>
    <w:rsid w:val="001F54BA"/>
  </w:style>
  <w:style w:type="character" w:customStyle="1" w:styleId="sf8bfa2bc">
    <w:name w:val="sf8bfa2bc"/>
    <w:basedOn w:val="Domylnaczcionkaakapitu"/>
    <w:rsid w:val="001F54BA"/>
  </w:style>
  <w:style w:type="paragraph" w:customStyle="1" w:styleId="s6c429373">
    <w:name w:val="s6c429373"/>
    <w:basedOn w:val="Normalny"/>
    <w:rsid w:val="007D5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a844bc0">
    <w:name w:val="s1a844bc0"/>
    <w:basedOn w:val="Domylnaczcionkaakapitu"/>
    <w:rsid w:val="007D59D1"/>
  </w:style>
  <w:style w:type="character" w:customStyle="1" w:styleId="s2a6cf492">
    <w:name w:val="s2a6cf492"/>
    <w:basedOn w:val="Domylnaczcionkaakapitu"/>
    <w:rsid w:val="007D59D1"/>
  </w:style>
  <w:style w:type="paragraph" w:customStyle="1" w:styleId="DecHTitle">
    <w:name w:val="Dec_H_Title"/>
    <w:basedOn w:val="Normalny"/>
    <w:uiPriority w:val="7"/>
    <w:qFormat/>
    <w:rsid w:val="000F42C7"/>
    <w:pPr>
      <w:keepNext/>
      <w:keepLines/>
      <w:spacing w:after="240" w:line="240" w:lineRule="auto"/>
      <w:jc w:val="center"/>
      <w:outlineLvl w:val="0"/>
    </w:pPr>
    <w:rPr>
      <w:rFonts w:asciiTheme="majorHAnsi" w:eastAsiaTheme="minorEastAsia" w:hAnsiTheme="majorHAnsi"/>
      <w:sz w:val="28"/>
      <w:lang w:val="en-US"/>
    </w:rPr>
  </w:style>
  <w:style w:type="character" w:customStyle="1" w:styleId="AkapitzlistZnak">
    <w:name w:val="Akapit z listą Znak"/>
    <w:link w:val="Akapitzlist"/>
    <w:uiPriority w:val="34"/>
    <w:locked/>
    <w:rsid w:val="000F42C7"/>
  </w:style>
  <w:style w:type="character" w:styleId="Wyrnieniedelikatne">
    <w:name w:val="Subtle Emphasis"/>
    <w:basedOn w:val="Domylnaczcionkaakapitu"/>
    <w:uiPriority w:val="19"/>
    <w:qFormat/>
    <w:rsid w:val="000F42C7"/>
    <w:rPr>
      <w:i/>
      <w:iCs/>
      <w:color w:val="808080" w:themeColor="text1" w:themeTint="7F"/>
    </w:rPr>
  </w:style>
  <w:style w:type="paragraph" w:customStyle="1" w:styleId="ECHRPara">
    <w:name w:val="ECHR_Para"/>
    <w:aliases w:val="Ju_Para,Para,Left,First line:  0 cm"/>
    <w:basedOn w:val="Normalny"/>
    <w:link w:val="JuParaCar"/>
    <w:uiPriority w:val="12"/>
    <w:qFormat/>
    <w:rsid w:val="00EE41E1"/>
    <w:pPr>
      <w:spacing w:after="0" w:line="240" w:lineRule="auto"/>
      <w:ind w:firstLine="284"/>
      <w:jc w:val="both"/>
    </w:pPr>
    <w:rPr>
      <w:rFonts w:eastAsiaTheme="minorEastAsia"/>
      <w:sz w:val="24"/>
      <w:lang w:val="en-US"/>
    </w:rPr>
  </w:style>
  <w:style w:type="character" w:customStyle="1" w:styleId="JuParaCar">
    <w:name w:val="Ju_Para Car"/>
    <w:basedOn w:val="Domylnaczcionkaakapitu"/>
    <w:link w:val="ECHRPara"/>
    <w:uiPriority w:val="12"/>
    <w:locked/>
    <w:rsid w:val="00EE41E1"/>
    <w:rPr>
      <w:rFonts w:eastAsiaTheme="minorEastAsia"/>
      <w:sz w:val="24"/>
      <w:lang w:val="en-US"/>
    </w:rPr>
  </w:style>
  <w:style w:type="paragraph" w:styleId="HTML-wstpniesformatowany">
    <w:name w:val="HTML Preformatted"/>
    <w:basedOn w:val="Normalny"/>
    <w:link w:val="HTML-wstpniesformatowanyZnak"/>
    <w:uiPriority w:val="99"/>
    <w:unhideWhenUsed/>
    <w:rsid w:val="00065852"/>
    <w:pPr>
      <w:spacing w:after="0" w:line="240" w:lineRule="auto"/>
    </w:pPr>
    <w:rPr>
      <w:rFonts w:ascii="Consolas" w:hAnsi="Consolas"/>
      <w:sz w:val="20"/>
      <w:szCs w:val="20"/>
      <w:lang w:val="pl-PL"/>
    </w:rPr>
  </w:style>
  <w:style w:type="character" w:customStyle="1" w:styleId="HTML-wstpniesformatowanyZnak">
    <w:name w:val="HTML - wstępnie sformatowany Znak"/>
    <w:basedOn w:val="Domylnaczcionkaakapitu"/>
    <w:link w:val="HTML-wstpniesformatowany"/>
    <w:uiPriority w:val="99"/>
    <w:rsid w:val="00065852"/>
    <w:rPr>
      <w:rFonts w:ascii="Consolas" w:hAnsi="Consolas"/>
      <w:sz w:val="20"/>
      <w:szCs w:val="20"/>
      <w:lang w:val="pl-PL"/>
    </w:rPr>
  </w:style>
  <w:style w:type="character" w:customStyle="1" w:styleId="wordhighlighted">
    <w:name w:val="wordhighlighted"/>
    <w:basedOn w:val="Domylnaczcionkaakapitu"/>
    <w:rsid w:val="00D24A73"/>
  </w:style>
  <w:style w:type="paragraph" w:customStyle="1" w:styleId="ClinContent">
    <w:name w:val="ClinContent"/>
    <w:basedOn w:val="Normalny"/>
    <w:qFormat/>
    <w:rsid w:val="0087390C"/>
    <w:pPr>
      <w:spacing w:before="240" w:after="0" w:line="240" w:lineRule="auto"/>
      <w:jc w:val="both"/>
    </w:pPr>
    <w:rPr>
      <w:rFonts w:ascii="Verdana" w:eastAsia="Times New Roman" w:hAnsi="Verdana" w:cs="Times New Roman"/>
      <w:sz w:val="20"/>
      <w:szCs w:val="24"/>
      <w:lang w:eastAsia="en-GB"/>
    </w:rPr>
  </w:style>
  <w:style w:type="character" w:customStyle="1" w:styleId="ClinHeadNote">
    <w:name w:val="ClinHeadNote"/>
    <w:basedOn w:val="Domylnaczcionkaakapitu"/>
    <w:qFormat/>
    <w:rsid w:val="009E215A"/>
    <w:rPr>
      <w:rFonts w:ascii="Times New Roman" w:hAnsi="Times New Roman" w:cs="Times New Roman" w:hint="default"/>
    </w:rPr>
  </w:style>
  <w:style w:type="character" w:customStyle="1" w:styleId="tabulatory">
    <w:name w:val="tabulatory"/>
    <w:basedOn w:val="Domylnaczcionkaakapitu"/>
    <w:rsid w:val="001E7F05"/>
  </w:style>
  <w:style w:type="character" w:customStyle="1" w:styleId="JuParaChar">
    <w:name w:val="Ju_Para Char"/>
    <w:aliases w:val="ECHR_Para Char"/>
    <w:uiPriority w:val="12"/>
    <w:locked/>
    <w:rsid w:val="00E358E0"/>
    <w:rPr>
      <w:rFonts w:ascii="MS Mincho" w:eastAsiaTheme="minorEastAsia" w:hAnsi="MS Mincho"/>
      <w:sz w:val="24"/>
    </w:rPr>
  </w:style>
  <w:style w:type="paragraph" w:customStyle="1" w:styleId="ECHRParaQuote">
    <w:name w:val="ECHR_Para_Quote"/>
    <w:aliases w:val="Ju_Quot"/>
    <w:basedOn w:val="Normalny"/>
    <w:uiPriority w:val="14"/>
    <w:qFormat/>
    <w:rsid w:val="00AB1559"/>
    <w:pPr>
      <w:spacing w:before="120" w:after="120" w:line="240" w:lineRule="auto"/>
      <w:ind w:left="425" w:firstLine="142"/>
      <w:jc w:val="both"/>
    </w:pPr>
    <w:rPr>
      <w:rFonts w:eastAsiaTheme="minorEastAsia"/>
      <w:sz w:val="20"/>
    </w:rPr>
  </w:style>
  <w:style w:type="paragraph" w:customStyle="1" w:styleId="s6e50bd9a">
    <w:name w:val="s6e50bd9a"/>
    <w:basedOn w:val="Normalny"/>
    <w:rsid w:val="00E6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linCaseTitle">
    <w:name w:val="ClinCaseTitle"/>
    <w:basedOn w:val="Domylnaczcionkaakapitu"/>
    <w:qFormat/>
    <w:rsid w:val="00230793"/>
    <w:rPr>
      <w:rFonts w:ascii="Verdana" w:hAnsi="Verdana" w:cs="Times New Roman"/>
      <w:b/>
      <w:i/>
      <w:sz w:val="24"/>
    </w:rPr>
  </w:style>
  <w:style w:type="character" w:customStyle="1" w:styleId="ClinHudocDocumentTitle">
    <w:name w:val="ClinHudocDocumentTitle"/>
    <w:basedOn w:val="Domylnaczcionkaakapitu"/>
    <w:qFormat/>
    <w:rsid w:val="00230793"/>
    <w:rPr>
      <w:rFonts w:ascii="Verdana" w:hAnsi="Verdana" w:cs="Times New Roman"/>
      <w:color w:val="auto"/>
    </w:rPr>
  </w:style>
  <w:style w:type="character" w:customStyle="1" w:styleId="ClinApplicationNumber">
    <w:name w:val="ClinApplicationNumber"/>
    <w:basedOn w:val="Domylnaczcionkaakapitu"/>
    <w:qFormat/>
    <w:rsid w:val="00230793"/>
    <w:rPr>
      <w:rFonts w:ascii="Verdana" w:hAnsi="Verdana" w:cs="Times New Roman"/>
      <w:b/>
      <w:sz w:val="24"/>
    </w:rPr>
  </w:style>
  <w:style w:type="character" w:customStyle="1" w:styleId="s32a37344">
    <w:name w:val="s32a37344"/>
    <w:basedOn w:val="Domylnaczcionkaakapitu"/>
    <w:rsid w:val="003C0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1770">
      <w:bodyDiv w:val="1"/>
      <w:marLeft w:val="0"/>
      <w:marRight w:val="0"/>
      <w:marTop w:val="0"/>
      <w:marBottom w:val="0"/>
      <w:divBdr>
        <w:top w:val="none" w:sz="0" w:space="0" w:color="auto"/>
        <w:left w:val="none" w:sz="0" w:space="0" w:color="auto"/>
        <w:bottom w:val="none" w:sz="0" w:space="0" w:color="auto"/>
        <w:right w:val="none" w:sz="0" w:space="0" w:color="auto"/>
      </w:divBdr>
    </w:div>
    <w:div w:id="216674690">
      <w:bodyDiv w:val="1"/>
      <w:marLeft w:val="0"/>
      <w:marRight w:val="0"/>
      <w:marTop w:val="0"/>
      <w:marBottom w:val="0"/>
      <w:divBdr>
        <w:top w:val="none" w:sz="0" w:space="0" w:color="auto"/>
        <w:left w:val="none" w:sz="0" w:space="0" w:color="auto"/>
        <w:bottom w:val="none" w:sz="0" w:space="0" w:color="auto"/>
        <w:right w:val="none" w:sz="0" w:space="0" w:color="auto"/>
      </w:divBdr>
      <w:divsChild>
        <w:div w:id="876502346">
          <w:marLeft w:val="0"/>
          <w:marRight w:val="0"/>
          <w:marTop w:val="0"/>
          <w:marBottom w:val="0"/>
          <w:divBdr>
            <w:top w:val="none" w:sz="0" w:space="0" w:color="auto"/>
            <w:left w:val="none" w:sz="0" w:space="0" w:color="auto"/>
            <w:bottom w:val="none" w:sz="0" w:space="0" w:color="auto"/>
            <w:right w:val="none" w:sz="0" w:space="0" w:color="auto"/>
          </w:divBdr>
          <w:divsChild>
            <w:div w:id="2110467497">
              <w:marLeft w:val="0"/>
              <w:marRight w:val="0"/>
              <w:marTop w:val="0"/>
              <w:marBottom w:val="0"/>
              <w:divBdr>
                <w:top w:val="none" w:sz="0" w:space="0" w:color="auto"/>
                <w:left w:val="none" w:sz="0" w:space="0" w:color="auto"/>
                <w:bottom w:val="none" w:sz="0" w:space="0" w:color="auto"/>
                <w:right w:val="none" w:sz="0" w:space="0" w:color="auto"/>
              </w:divBdr>
              <w:divsChild>
                <w:div w:id="210457152">
                  <w:marLeft w:val="0"/>
                  <w:marRight w:val="0"/>
                  <w:marTop w:val="0"/>
                  <w:marBottom w:val="0"/>
                  <w:divBdr>
                    <w:top w:val="none" w:sz="0" w:space="0" w:color="auto"/>
                    <w:left w:val="none" w:sz="0" w:space="0" w:color="auto"/>
                    <w:bottom w:val="none" w:sz="0" w:space="0" w:color="auto"/>
                    <w:right w:val="none" w:sz="0" w:space="0" w:color="auto"/>
                  </w:divBdr>
                  <w:divsChild>
                    <w:div w:id="1025714890">
                      <w:marLeft w:val="0"/>
                      <w:marRight w:val="0"/>
                      <w:marTop w:val="0"/>
                      <w:marBottom w:val="0"/>
                      <w:divBdr>
                        <w:top w:val="none" w:sz="0" w:space="0" w:color="auto"/>
                        <w:left w:val="none" w:sz="0" w:space="0" w:color="auto"/>
                        <w:bottom w:val="none" w:sz="0" w:space="0" w:color="auto"/>
                        <w:right w:val="none" w:sz="0" w:space="0" w:color="auto"/>
                      </w:divBdr>
                      <w:divsChild>
                        <w:div w:id="2084833542">
                          <w:marLeft w:val="0"/>
                          <w:marRight w:val="0"/>
                          <w:marTop w:val="0"/>
                          <w:marBottom w:val="0"/>
                          <w:divBdr>
                            <w:top w:val="none" w:sz="0" w:space="0" w:color="auto"/>
                            <w:left w:val="none" w:sz="0" w:space="0" w:color="auto"/>
                            <w:bottom w:val="none" w:sz="0" w:space="0" w:color="auto"/>
                            <w:right w:val="none" w:sz="0" w:space="0" w:color="auto"/>
                          </w:divBdr>
                          <w:divsChild>
                            <w:div w:id="7404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62497">
      <w:bodyDiv w:val="1"/>
      <w:marLeft w:val="0"/>
      <w:marRight w:val="0"/>
      <w:marTop w:val="0"/>
      <w:marBottom w:val="0"/>
      <w:divBdr>
        <w:top w:val="none" w:sz="0" w:space="0" w:color="auto"/>
        <w:left w:val="none" w:sz="0" w:space="0" w:color="auto"/>
        <w:bottom w:val="none" w:sz="0" w:space="0" w:color="auto"/>
        <w:right w:val="none" w:sz="0" w:space="0" w:color="auto"/>
      </w:divBdr>
    </w:div>
    <w:div w:id="513030993">
      <w:bodyDiv w:val="1"/>
      <w:marLeft w:val="0"/>
      <w:marRight w:val="0"/>
      <w:marTop w:val="0"/>
      <w:marBottom w:val="0"/>
      <w:divBdr>
        <w:top w:val="none" w:sz="0" w:space="0" w:color="auto"/>
        <w:left w:val="none" w:sz="0" w:space="0" w:color="auto"/>
        <w:bottom w:val="none" w:sz="0" w:space="0" w:color="auto"/>
        <w:right w:val="none" w:sz="0" w:space="0" w:color="auto"/>
      </w:divBdr>
      <w:divsChild>
        <w:div w:id="1232618338">
          <w:marLeft w:val="0"/>
          <w:marRight w:val="0"/>
          <w:marTop w:val="0"/>
          <w:marBottom w:val="0"/>
          <w:divBdr>
            <w:top w:val="none" w:sz="0" w:space="0" w:color="auto"/>
            <w:left w:val="none" w:sz="0" w:space="0" w:color="auto"/>
            <w:bottom w:val="none" w:sz="0" w:space="0" w:color="auto"/>
            <w:right w:val="none" w:sz="0" w:space="0" w:color="auto"/>
          </w:divBdr>
          <w:divsChild>
            <w:div w:id="1986004003">
              <w:marLeft w:val="0"/>
              <w:marRight w:val="0"/>
              <w:marTop w:val="0"/>
              <w:marBottom w:val="0"/>
              <w:divBdr>
                <w:top w:val="none" w:sz="0" w:space="0" w:color="auto"/>
                <w:left w:val="none" w:sz="0" w:space="0" w:color="auto"/>
                <w:bottom w:val="none" w:sz="0" w:space="0" w:color="auto"/>
                <w:right w:val="none" w:sz="0" w:space="0" w:color="auto"/>
              </w:divBdr>
              <w:divsChild>
                <w:div w:id="156770863">
                  <w:marLeft w:val="0"/>
                  <w:marRight w:val="0"/>
                  <w:marTop w:val="0"/>
                  <w:marBottom w:val="0"/>
                  <w:divBdr>
                    <w:top w:val="none" w:sz="0" w:space="0" w:color="auto"/>
                    <w:left w:val="none" w:sz="0" w:space="0" w:color="auto"/>
                    <w:bottom w:val="none" w:sz="0" w:space="0" w:color="auto"/>
                    <w:right w:val="none" w:sz="0" w:space="0" w:color="auto"/>
                  </w:divBdr>
                  <w:divsChild>
                    <w:div w:id="1632324600">
                      <w:marLeft w:val="0"/>
                      <w:marRight w:val="0"/>
                      <w:marTop w:val="0"/>
                      <w:marBottom w:val="0"/>
                      <w:divBdr>
                        <w:top w:val="none" w:sz="0" w:space="0" w:color="auto"/>
                        <w:left w:val="none" w:sz="0" w:space="0" w:color="auto"/>
                        <w:bottom w:val="none" w:sz="0" w:space="0" w:color="auto"/>
                        <w:right w:val="none" w:sz="0" w:space="0" w:color="auto"/>
                      </w:divBdr>
                      <w:divsChild>
                        <w:div w:id="2048526099">
                          <w:marLeft w:val="0"/>
                          <w:marRight w:val="0"/>
                          <w:marTop w:val="0"/>
                          <w:marBottom w:val="0"/>
                          <w:divBdr>
                            <w:top w:val="none" w:sz="0" w:space="0" w:color="auto"/>
                            <w:left w:val="none" w:sz="0" w:space="0" w:color="auto"/>
                            <w:bottom w:val="none" w:sz="0" w:space="0" w:color="auto"/>
                            <w:right w:val="none" w:sz="0" w:space="0" w:color="auto"/>
                          </w:divBdr>
                          <w:divsChild>
                            <w:div w:id="12528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443353">
      <w:bodyDiv w:val="1"/>
      <w:marLeft w:val="0"/>
      <w:marRight w:val="0"/>
      <w:marTop w:val="0"/>
      <w:marBottom w:val="0"/>
      <w:divBdr>
        <w:top w:val="none" w:sz="0" w:space="0" w:color="auto"/>
        <w:left w:val="none" w:sz="0" w:space="0" w:color="auto"/>
        <w:bottom w:val="none" w:sz="0" w:space="0" w:color="auto"/>
        <w:right w:val="none" w:sz="0" w:space="0" w:color="auto"/>
      </w:divBdr>
    </w:div>
    <w:div w:id="674962731">
      <w:bodyDiv w:val="1"/>
      <w:marLeft w:val="0"/>
      <w:marRight w:val="0"/>
      <w:marTop w:val="0"/>
      <w:marBottom w:val="0"/>
      <w:divBdr>
        <w:top w:val="none" w:sz="0" w:space="0" w:color="auto"/>
        <w:left w:val="none" w:sz="0" w:space="0" w:color="auto"/>
        <w:bottom w:val="none" w:sz="0" w:space="0" w:color="auto"/>
        <w:right w:val="none" w:sz="0" w:space="0" w:color="auto"/>
      </w:divBdr>
      <w:divsChild>
        <w:div w:id="1541747390">
          <w:marLeft w:val="0"/>
          <w:marRight w:val="0"/>
          <w:marTop w:val="0"/>
          <w:marBottom w:val="0"/>
          <w:divBdr>
            <w:top w:val="none" w:sz="0" w:space="0" w:color="auto"/>
            <w:left w:val="none" w:sz="0" w:space="0" w:color="auto"/>
            <w:bottom w:val="none" w:sz="0" w:space="0" w:color="auto"/>
            <w:right w:val="none" w:sz="0" w:space="0" w:color="auto"/>
          </w:divBdr>
          <w:divsChild>
            <w:div w:id="859660463">
              <w:marLeft w:val="720"/>
              <w:marRight w:val="0"/>
              <w:marTop w:val="0"/>
              <w:marBottom w:val="0"/>
              <w:divBdr>
                <w:top w:val="none" w:sz="0" w:space="0" w:color="auto"/>
                <w:left w:val="none" w:sz="0" w:space="0" w:color="auto"/>
                <w:bottom w:val="none" w:sz="0" w:space="0" w:color="auto"/>
                <w:right w:val="none" w:sz="0" w:space="0" w:color="auto"/>
              </w:divBdr>
            </w:div>
            <w:div w:id="38476667">
              <w:marLeft w:val="0"/>
              <w:marRight w:val="0"/>
              <w:marTop w:val="0"/>
              <w:marBottom w:val="0"/>
              <w:divBdr>
                <w:top w:val="none" w:sz="0" w:space="0" w:color="auto"/>
                <w:left w:val="none" w:sz="0" w:space="0" w:color="auto"/>
                <w:bottom w:val="none" w:sz="0" w:space="0" w:color="auto"/>
                <w:right w:val="none" w:sz="0" w:space="0" w:color="auto"/>
              </w:divBdr>
              <w:divsChild>
                <w:div w:id="1045063480">
                  <w:marLeft w:val="1080"/>
                  <w:marRight w:val="0"/>
                  <w:marTop w:val="0"/>
                  <w:marBottom w:val="0"/>
                  <w:divBdr>
                    <w:top w:val="none" w:sz="0" w:space="0" w:color="auto"/>
                    <w:left w:val="none" w:sz="0" w:space="0" w:color="auto"/>
                    <w:bottom w:val="none" w:sz="0" w:space="0" w:color="auto"/>
                    <w:right w:val="none" w:sz="0" w:space="0" w:color="auto"/>
                  </w:divBdr>
                </w:div>
              </w:divsChild>
            </w:div>
            <w:div w:id="698121230">
              <w:marLeft w:val="0"/>
              <w:marRight w:val="0"/>
              <w:marTop w:val="0"/>
              <w:marBottom w:val="0"/>
              <w:divBdr>
                <w:top w:val="none" w:sz="0" w:space="0" w:color="auto"/>
                <w:left w:val="none" w:sz="0" w:space="0" w:color="auto"/>
                <w:bottom w:val="none" w:sz="0" w:space="0" w:color="auto"/>
                <w:right w:val="none" w:sz="0" w:space="0" w:color="auto"/>
              </w:divBdr>
              <w:divsChild>
                <w:div w:id="1205753863">
                  <w:marLeft w:val="1080"/>
                  <w:marRight w:val="0"/>
                  <w:marTop w:val="0"/>
                  <w:marBottom w:val="0"/>
                  <w:divBdr>
                    <w:top w:val="none" w:sz="0" w:space="0" w:color="auto"/>
                    <w:left w:val="none" w:sz="0" w:space="0" w:color="auto"/>
                    <w:bottom w:val="none" w:sz="0" w:space="0" w:color="auto"/>
                    <w:right w:val="none" w:sz="0" w:space="0" w:color="auto"/>
                  </w:divBdr>
                </w:div>
              </w:divsChild>
            </w:div>
            <w:div w:id="1881239769">
              <w:marLeft w:val="0"/>
              <w:marRight w:val="0"/>
              <w:marTop w:val="0"/>
              <w:marBottom w:val="0"/>
              <w:divBdr>
                <w:top w:val="none" w:sz="0" w:space="0" w:color="auto"/>
                <w:left w:val="none" w:sz="0" w:space="0" w:color="auto"/>
                <w:bottom w:val="none" w:sz="0" w:space="0" w:color="auto"/>
                <w:right w:val="none" w:sz="0" w:space="0" w:color="auto"/>
              </w:divBdr>
              <w:divsChild>
                <w:div w:id="14338660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7702">
      <w:bodyDiv w:val="1"/>
      <w:marLeft w:val="0"/>
      <w:marRight w:val="0"/>
      <w:marTop w:val="0"/>
      <w:marBottom w:val="0"/>
      <w:divBdr>
        <w:top w:val="none" w:sz="0" w:space="0" w:color="auto"/>
        <w:left w:val="none" w:sz="0" w:space="0" w:color="auto"/>
        <w:bottom w:val="none" w:sz="0" w:space="0" w:color="auto"/>
        <w:right w:val="none" w:sz="0" w:space="0" w:color="auto"/>
      </w:divBdr>
    </w:div>
    <w:div w:id="716780008">
      <w:bodyDiv w:val="1"/>
      <w:marLeft w:val="0"/>
      <w:marRight w:val="0"/>
      <w:marTop w:val="0"/>
      <w:marBottom w:val="0"/>
      <w:divBdr>
        <w:top w:val="none" w:sz="0" w:space="0" w:color="auto"/>
        <w:left w:val="none" w:sz="0" w:space="0" w:color="auto"/>
        <w:bottom w:val="none" w:sz="0" w:space="0" w:color="auto"/>
        <w:right w:val="none" w:sz="0" w:space="0" w:color="auto"/>
      </w:divBdr>
      <w:divsChild>
        <w:div w:id="1047878150">
          <w:marLeft w:val="0"/>
          <w:marRight w:val="0"/>
          <w:marTop w:val="0"/>
          <w:marBottom w:val="0"/>
          <w:divBdr>
            <w:top w:val="none" w:sz="0" w:space="0" w:color="auto"/>
            <w:left w:val="none" w:sz="0" w:space="0" w:color="auto"/>
            <w:bottom w:val="none" w:sz="0" w:space="0" w:color="auto"/>
            <w:right w:val="none" w:sz="0" w:space="0" w:color="auto"/>
          </w:divBdr>
        </w:div>
      </w:divsChild>
    </w:div>
    <w:div w:id="734401520">
      <w:bodyDiv w:val="1"/>
      <w:marLeft w:val="0"/>
      <w:marRight w:val="0"/>
      <w:marTop w:val="0"/>
      <w:marBottom w:val="0"/>
      <w:divBdr>
        <w:top w:val="none" w:sz="0" w:space="0" w:color="auto"/>
        <w:left w:val="none" w:sz="0" w:space="0" w:color="auto"/>
        <w:bottom w:val="none" w:sz="0" w:space="0" w:color="auto"/>
        <w:right w:val="none" w:sz="0" w:space="0" w:color="auto"/>
      </w:divBdr>
    </w:div>
    <w:div w:id="736319198">
      <w:bodyDiv w:val="1"/>
      <w:marLeft w:val="0"/>
      <w:marRight w:val="0"/>
      <w:marTop w:val="0"/>
      <w:marBottom w:val="0"/>
      <w:divBdr>
        <w:top w:val="none" w:sz="0" w:space="0" w:color="auto"/>
        <w:left w:val="none" w:sz="0" w:space="0" w:color="auto"/>
        <w:bottom w:val="none" w:sz="0" w:space="0" w:color="auto"/>
        <w:right w:val="none" w:sz="0" w:space="0" w:color="auto"/>
      </w:divBdr>
    </w:div>
    <w:div w:id="961572944">
      <w:bodyDiv w:val="1"/>
      <w:marLeft w:val="0"/>
      <w:marRight w:val="0"/>
      <w:marTop w:val="0"/>
      <w:marBottom w:val="0"/>
      <w:divBdr>
        <w:top w:val="none" w:sz="0" w:space="0" w:color="auto"/>
        <w:left w:val="none" w:sz="0" w:space="0" w:color="auto"/>
        <w:bottom w:val="none" w:sz="0" w:space="0" w:color="auto"/>
        <w:right w:val="none" w:sz="0" w:space="0" w:color="auto"/>
      </w:divBdr>
    </w:div>
    <w:div w:id="1139762964">
      <w:bodyDiv w:val="1"/>
      <w:marLeft w:val="0"/>
      <w:marRight w:val="0"/>
      <w:marTop w:val="0"/>
      <w:marBottom w:val="0"/>
      <w:divBdr>
        <w:top w:val="none" w:sz="0" w:space="0" w:color="auto"/>
        <w:left w:val="none" w:sz="0" w:space="0" w:color="auto"/>
        <w:bottom w:val="none" w:sz="0" w:space="0" w:color="auto"/>
        <w:right w:val="none" w:sz="0" w:space="0" w:color="auto"/>
      </w:divBdr>
    </w:div>
    <w:div w:id="1204752602">
      <w:bodyDiv w:val="1"/>
      <w:marLeft w:val="0"/>
      <w:marRight w:val="0"/>
      <w:marTop w:val="0"/>
      <w:marBottom w:val="0"/>
      <w:divBdr>
        <w:top w:val="none" w:sz="0" w:space="0" w:color="auto"/>
        <w:left w:val="none" w:sz="0" w:space="0" w:color="auto"/>
        <w:bottom w:val="none" w:sz="0" w:space="0" w:color="auto"/>
        <w:right w:val="none" w:sz="0" w:space="0" w:color="auto"/>
      </w:divBdr>
      <w:divsChild>
        <w:div w:id="174921218">
          <w:marLeft w:val="0"/>
          <w:marRight w:val="0"/>
          <w:marTop w:val="0"/>
          <w:marBottom w:val="0"/>
          <w:divBdr>
            <w:top w:val="none" w:sz="0" w:space="0" w:color="auto"/>
            <w:left w:val="none" w:sz="0" w:space="0" w:color="auto"/>
            <w:bottom w:val="none" w:sz="0" w:space="0" w:color="auto"/>
            <w:right w:val="none" w:sz="0" w:space="0" w:color="auto"/>
          </w:divBdr>
          <w:divsChild>
            <w:div w:id="1357655180">
              <w:marLeft w:val="0"/>
              <w:marRight w:val="0"/>
              <w:marTop w:val="0"/>
              <w:marBottom w:val="0"/>
              <w:divBdr>
                <w:top w:val="none" w:sz="0" w:space="0" w:color="auto"/>
                <w:left w:val="none" w:sz="0" w:space="0" w:color="auto"/>
                <w:bottom w:val="none" w:sz="0" w:space="0" w:color="auto"/>
                <w:right w:val="none" w:sz="0" w:space="0" w:color="auto"/>
              </w:divBdr>
              <w:divsChild>
                <w:div w:id="268440513">
                  <w:marLeft w:val="0"/>
                  <w:marRight w:val="0"/>
                  <w:marTop w:val="0"/>
                  <w:marBottom w:val="0"/>
                  <w:divBdr>
                    <w:top w:val="none" w:sz="0" w:space="0" w:color="auto"/>
                    <w:left w:val="none" w:sz="0" w:space="0" w:color="auto"/>
                    <w:bottom w:val="none" w:sz="0" w:space="0" w:color="auto"/>
                    <w:right w:val="none" w:sz="0" w:space="0" w:color="auto"/>
                  </w:divBdr>
                  <w:divsChild>
                    <w:div w:id="108160741">
                      <w:marLeft w:val="0"/>
                      <w:marRight w:val="0"/>
                      <w:marTop w:val="0"/>
                      <w:marBottom w:val="0"/>
                      <w:divBdr>
                        <w:top w:val="none" w:sz="0" w:space="0" w:color="auto"/>
                        <w:left w:val="none" w:sz="0" w:space="0" w:color="auto"/>
                        <w:bottom w:val="none" w:sz="0" w:space="0" w:color="auto"/>
                        <w:right w:val="none" w:sz="0" w:space="0" w:color="auto"/>
                      </w:divBdr>
                      <w:divsChild>
                        <w:div w:id="1947151170">
                          <w:marLeft w:val="0"/>
                          <w:marRight w:val="0"/>
                          <w:marTop w:val="0"/>
                          <w:marBottom w:val="0"/>
                          <w:divBdr>
                            <w:top w:val="none" w:sz="0" w:space="0" w:color="auto"/>
                            <w:left w:val="none" w:sz="0" w:space="0" w:color="auto"/>
                            <w:bottom w:val="none" w:sz="0" w:space="0" w:color="auto"/>
                            <w:right w:val="none" w:sz="0" w:space="0" w:color="auto"/>
                          </w:divBdr>
                          <w:divsChild>
                            <w:div w:id="12078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039321">
      <w:bodyDiv w:val="1"/>
      <w:marLeft w:val="0"/>
      <w:marRight w:val="0"/>
      <w:marTop w:val="0"/>
      <w:marBottom w:val="0"/>
      <w:divBdr>
        <w:top w:val="none" w:sz="0" w:space="0" w:color="auto"/>
        <w:left w:val="none" w:sz="0" w:space="0" w:color="auto"/>
        <w:bottom w:val="none" w:sz="0" w:space="0" w:color="auto"/>
        <w:right w:val="none" w:sz="0" w:space="0" w:color="auto"/>
      </w:divBdr>
    </w:div>
    <w:div w:id="1395078443">
      <w:bodyDiv w:val="1"/>
      <w:marLeft w:val="0"/>
      <w:marRight w:val="0"/>
      <w:marTop w:val="0"/>
      <w:marBottom w:val="0"/>
      <w:divBdr>
        <w:top w:val="none" w:sz="0" w:space="0" w:color="auto"/>
        <w:left w:val="none" w:sz="0" w:space="0" w:color="auto"/>
        <w:bottom w:val="none" w:sz="0" w:space="0" w:color="auto"/>
        <w:right w:val="none" w:sz="0" w:space="0" w:color="auto"/>
      </w:divBdr>
      <w:divsChild>
        <w:div w:id="994190227">
          <w:marLeft w:val="0"/>
          <w:marRight w:val="0"/>
          <w:marTop w:val="0"/>
          <w:marBottom w:val="0"/>
          <w:divBdr>
            <w:top w:val="none" w:sz="0" w:space="0" w:color="auto"/>
            <w:left w:val="none" w:sz="0" w:space="0" w:color="auto"/>
            <w:bottom w:val="none" w:sz="0" w:space="0" w:color="auto"/>
            <w:right w:val="none" w:sz="0" w:space="0" w:color="auto"/>
          </w:divBdr>
          <w:divsChild>
            <w:div w:id="902255750">
              <w:marLeft w:val="0"/>
              <w:marRight w:val="0"/>
              <w:marTop w:val="0"/>
              <w:marBottom w:val="0"/>
              <w:divBdr>
                <w:top w:val="none" w:sz="0" w:space="0" w:color="auto"/>
                <w:left w:val="none" w:sz="0" w:space="0" w:color="auto"/>
                <w:bottom w:val="none" w:sz="0" w:space="0" w:color="auto"/>
                <w:right w:val="none" w:sz="0" w:space="0" w:color="auto"/>
              </w:divBdr>
              <w:divsChild>
                <w:div w:id="984512518">
                  <w:marLeft w:val="0"/>
                  <w:marRight w:val="0"/>
                  <w:marTop w:val="0"/>
                  <w:marBottom w:val="0"/>
                  <w:divBdr>
                    <w:top w:val="none" w:sz="0" w:space="0" w:color="auto"/>
                    <w:left w:val="none" w:sz="0" w:space="0" w:color="auto"/>
                    <w:bottom w:val="none" w:sz="0" w:space="0" w:color="auto"/>
                    <w:right w:val="none" w:sz="0" w:space="0" w:color="auto"/>
                  </w:divBdr>
                  <w:divsChild>
                    <w:div w:id="279336424">
                      <w:marLeft w:val="0"/>
                      <w:marRight w:val="0"/>
                      <w:marTop w:val="0"/>
                      <w:marBottom w:val="0"/>
                      <w:divBdr>
                        <w:top w:val="none" w:sz="0" w:space="0" w:color="auto"/>
                        <w:left w:val="none" w:sz="0" w:space="0" w:color="auto"/>
                        <w:bottom w:val="none" w:sz="0" w:space="0" w:color="auto"/>
                        <w:right w:val="none" w:sz="0" w:space="0" w:color="auto"/>
                      </w:divBdr>
                      <w:divsChild>
                        <w:div w:id="1193499301">
                          <w:marLeft w:val="0"/>
                          <w:marRight w:val="0"/>
                          <w:marTop w:val="0"/>
                          <w:marBottom w:val="0"/>
                          <w:divBdr>
                            <w:top w:val="none" w:sz="0" w:space="0" w:color="auto"/>
                            <w:left w:val="none" w:sz="0" w:space="0" w:color="auto"/>
                            <w:bottom w:val="none" w:sz="0" w:space="0" w:color="auto"/>
                            <w:right w:val="none" w:sz="0" w:space="0" w:color="auto"/>
                          </w:divBdr>
                          <w:divsChild>
                            <w:div w:id="8988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391989">
      <w:bodyDiv w:val="1"/>
      <w:marLeft w:val="0"/>
      <w:marRight w:val="0"/>
      <w:marTop w:val="0"/>
      <w:marBottom w:val="0"/>
      <w:divBdr>
        <w:top w:val="none" w:sz="0" w:space="0" w:color="auto"/>
        <w:left w:val="none" w:sz="0" w:space="0" w:color="auto"/>
        <w:bottom w:val="none" w:sz="0" w:space="0" w:color="auto"/>
        <w:right w:val="none" w:sz="0" w:space="0" w:color="auto"/>
      </w:divBdr>
    </w:div>
    <w:div w:id="1626544914">
      <w:bodyDiv w:val="1"/>
      <w:marLeft w:val="0"/>
      <w:marRight w:val="0"/>
      <w:marTop w:val="0"/>
      <w:marBottom w:val="0"/>
      <w:divBdr>
        <w:top w:val="none" w:sz="0" w:space="0" w:color="auto"/>
        <w:left w:val="none" w:sz="0" w:space="0" w:color="auto"/>
        <w:bottom w:val="none" w:sz="0" w:space="0" w:color="auto"/>
        <w:right w:val="none" w:sz="0" w:space="0" w:color="auto"/>
      </w:divBdr>
    </w:div>
    <w:div w:id="1630279216">
      <w:bodyDiv w:val="1"/>
      <w:marLeft w:val="0"/>
      <w:marRight w:val="0"/>
      <w:marTop w:val="0"/>
      <w:marBottom w:val="0"/>
      <w:divBdr>
        <w:top w:val="none" w:sz="0" w:space="0" w:color="auto"/>
        <w:left w:val="none" w:sz="0" w:space="0" w:color="auto"/>
        <w:bottom w:val="none" w:sz="0" w:space="0" w:color="auto"/>
        <w:right w:val="none" w:sz="0" w:space="0" w:color="auto"/>
      </w:divBdr>
    </w:div>
    <w:div w:id="1649096156">
      <w:bodyDiv w:val="1"/>
      <w:marLeft w:val="0"/>
      <w:marRight w:val="0"/>
      <w:marTop w:val="0"/>
      <w:marBottom w:val="0"/>
      <w:divBdr>
        <w:top w:val="none" w:sz="0" w:space="0" w:color="auto"/>
        <w:left w:val="none" w:sz="0" w:space="0" w:color="auto"/>
        <w:bottom w:val="none" w:sz="0" w:space="0" w:color="auto"/>
        <w:right w:val="none" w:sz="0" w:space="0" w:color="auto"/>
      </w:divBdr>
      <w:divsChild>
        <w:div w:id="271523668">
          <w:marLeft w:val="0"/>
          <w:marRight w:val="0"/>
          <w:marTop w:val="0"/>
          <w:marBottom w:val="0"/>
          <w:divBdr>
            <w:top w:val="none" w:sz="0" w:space="0" w:color="auto"/>
            <w:left w:val="none" w:sz="0" w:space="0" w:color="auto"/>
            <w:bottom w:val="none" w:sz="0" w:space="0" w:color="auto"/>
            <w:right w:val="none" w:sz="0" w:space="0" w:color="auto"/>
          </w:divBdr>
          <w:divsChild>
            <w:div w:id="240795913">
              <w:marLeft w:val="0"/>
              <w:marRight w:val="0"/>
              <w:marTop w:val="0"/>
              <w:marBottom w:val="0"/>
              <w:divBdr>
                <w:top w:val="none" w:sz="0" w:space="0" w:color="auto"/>
                <w:left w:val="none" w:sz="0" w:space="0" w:color="auto"/>
                <w:bottom w:val="none" w:sz="0" w:space="0" w:color="auto"/>
                <w:right w:val="none" w:sz="0" w:space="0" w:color="auto"/>
              </w:divBdr>
              <w:divsChild>
                <w:div w:id="1983122103">
                  <w:marLeft w:val="0"/>
                  <w:marRight w:val="0"/>
                  <w:marTop w:val="0"/>
                  <w:marBottom w:val="0"/>
                  <w:divBdr>
                    <w:top w:val="none" w:sz="0" w:space="0" w:color="auto"/>
                    <w:left w:val="none" w:sz="0" w:space="0" w:color="auto"/>
                    <w:bottom w:val="none" w:sz="0" w:space="0" w:color="auto"/>
                    <w:right w:val="none" w:sz="0" w:space="0" w:color="auto"/>
                  </w:divBdr>
                  <w:divsChild>
                    <w:div w:id="366024528">
                      <w:marLeft w:val="0"/>
                      <w:marRight w:val="0"/>
                      <w:marTop w:val="0"/>
                      <w:marBottom w:val="0"/>
                      <w:divBdr>
                        <w:top w:val="none" w:sz="0" w:space="0" w:color="auto"/>
                        <w:left w:val="none" w:sz="0" w:space="0" w:color="auto"/>
                        <w:bottom w:val="none" w:sz="0" w:space="0" w:color="auto"/>
                        <w:right w:val="none" w:sz="0" w:space="0" w:color="auto"/>
                      </w:divBdr>
                      <w:divsChild>
                        <w:div w:id="2033876428">
                          <w:marLeft w:val="0"/>
                          <w:marRight w:val="0"/>
                          <w:marTop w:val="0"/>
                          <w:marBottom w:val="0"/>
                          <w:divBdr>
                            <w:top w:val="none" w:sz="0" w:space="0" w:color="auto"/>
                            <w:left w:val="none" w:sz="0" w:space="0" w:color="auto"/>
                            <w:bottom w:val="none" w:sz="0" w:space="0" w:color="auto"/>
                            <w:right w:val="none" w:sz="0" w:space="0" w:color="auto"/>
                          </w:divBdr>
                          <w:divsChild>
                            <w:div w:id="15282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9752">
      <w:bodyDiv w:val="1"/>
      <w:marLeft w:val="0"/>
      <w:marRight w:val="0"/>
      <w:marTop w:val="0"/>
      <w:marBottom w:val="0"/>
      <w:divBdr>
        <w:top w:val="none" w:sz="0" w:space="0" w:color="auto"/>
        <w:left w:val="none" w:sz="0" w:space="0" w:color="auto"/>
        <w:bottom w:val="none" w:sz="0" w:space="0" w:color="auto"/>
        <w:right w:val="none" w:sz="0" w:space="0" w:color="auto"/>
      </w:divBdr>
      <w:divsChild>
        <w:div w:id="1978491163">
          <w:marLeft w:val="0"/>
          <w:marRight w:val="0"/>
          <w:marTop w:val="0"/>
          <w:marBottom w:val="0"/>
          <w:divBdr>
            <w:top w:val="none" w:sz="0" w:space="0" w:color="auto"/>
            <w:left w:val="none" w:sz="0" w:space="0" w:color="auto"/>
            <w:bottom w:val="none" w:sz="0" w:space="0" w:color="auto"/>
            <w:right w:val="none" w:sz="0" w:space="0" w:color="auto"/>
          </w:divBdr>
          <w:divsChild>
            <w:div w:id="146434382">
              <w:marLeft w:val="0"/>
              <w:marRight w:val="0"/>
              <w:marTop w:val="0"/>
              <w:marBottom w:val="0"/>
              <w:divBdr>
                <w:top w:val="none" w:sz="0" w:space="0" w:color="auto"/>
                <w:left w:val="none" w:sz="0" w:space="0" w:color="auto"/>
                <w:bottom w:val="none" w:sz="0" w:space="0" w:color="auto"/>
                <w:right w:val="none" w:sz="0" w:space="0" w:color="auto"/>
              </w:divBdr>
              <w:divsChild>
                <w:div w:id="11077102">
                  <w:marLeft w:val="0"/>
                  <w:marRight w:val="0"/>
                  <w:marTop w:val="0"/>
                  <w:marBottom w:val="0"/>
                  <w:divBdr>
                    <w:top w:val="none" w:sz="0" w:space="0" w:color="auto"/>
                    <w:left w:val="none" w:sz="0" w:space="0" w:color="auto"/>
                    <w:bottom w:val="none" w:sz="0" w:space="0" w:color="auto"/>
                    <w:right w:val="none" w:sz="0" w:space="0" w:color="auto"/>
                  </w:divBdr>
                  <w:divsChild>
                    <w:div w:id="470444233">
                      <w:marLeft w:val="0"/>
                      <w:marRight w:val="0"/>
                      <w:marTop w:val="0"/>
                      <w:marBottom w:val="0"/>
                      <w:divBdr>
                        <w:top w:val="none" w:sz="0" w:space="0" w:color="auto"/>
                        <w:left w:val="none" w:sz="0" w:space="0" w:color="auto"/>
                        <w:bottom w:val="none" w:sz="0" w:space="0" w:color="auto"/>
                        <w:right w:val="none" w:sz="0" w:space="0" w:color="auto"/>
                      </w:divBdr>
                      <w:divsChild>
                        <w:div w:id="1549419045">
                          <w:marLeft w:val="0"/>
                          <w:marRight w:val="0"/>
                          <w:marTop w:val="0"/>
                          <w:marBottom w:val="0"/>
                          <w:divBdr>
                            <w:top w:val="none" w:sz="0" w:space="0" w:color="auto"/>
                            <w:left w:val="none" w:sz="0" w:space="0" w:color="auto"/>
                            <w:bottom w:val="none" w:sz="0" w:space="0" w:color="auto"/>
                            <w:right w:val="none" w:sz="0" w:space="0" w:color="auto"/>
                          </w:divBdr>
                          <w:divsChild>
                            <w:div w:id="9472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838947">
      <w:bodyDiv w:val="1"/>
      <w:marLeft w:val="0"/>
      <w:marRight w:val="0"/>
      <w:marTop w:val="0"/>
      <w:marBottom w:val="0"/>
      <w:divBdr>
        <w:top w:val="none" w:sz="0" w:space="0" w:color="auto"/>
        <w:left w:val="none" w:sz="0" w:space="0" w:color="auto"/>
        <w:bottom w:val="none" w:sz="0" w:space="0" w:color="auto"/>
        <w:right w:val="none" w:sz="0" w:space="0" w:color="auto"/>
      </w:divBdr>
      <w:divsChild>
        <w:div w:id="1198353849">
          <w:marLeft w:val="0"/>
          <w:marRight w:val="0"/>
          <w:marTop w:val="0"/>
          <w:marBottom w:val="0"/>
          <w:divBdr>
            <w:top w:val="none" w:sz="0" w:space="0" w:color="auto"/>
            <w:left w:val="none" w:sz="0" w:space="0" w:color="auto"/>
            <w:bottom w:val="none" w:sz="0" w:space="0" w:color="auto"/>
            <w:right w:val="none" w:sz="0" w:space="0" w:color="auto"/>
          </w:divBdr>
        </w:div>
      </w:divsChild>
    </w:div>
    <w:div w:id="1881167633">
      <w:bodyDiv w:val="1"/>
      <w:marLeft w:val="0"/>
      <w:marRight w:val="0"/>
      <w:marTop w:val="0"/>
      <w:marBottom w:val="0"/>
      <w:divBdr>
        <w:top w:val="none" w:sz="0" w:space="0" w:color="auto"/>
        <w:left w:val="none" w:sz="0" w:space="0" w:color="auto"/>
        <w:bottom w:val="none" w:sz="0" w:space="0" w:color="auto"/>
        <w:right w:val="none" w:sz="0" w:space="0" w:color="auto"/>
      </w:divBdr>
    </w:div>
    <w:div w:id="1889107116">
      <w:bodyDiv w:val="1"/>
      <w:marLeft w:val="0"/>
      <w:marRight w:val="0"/>
      <w:marTop w:val="0"/>
      <w:marBottom w:val="0"/>
      <w:divBdr>
        <w:top w:val="none" w:sz="0" w:space="0" w:color="auto"/>
        <w:left w:val="none" w:sz="0" w:space="0" w:color="auto"/>
        <w:bottom w:val="none" w:sz="0" w:space="0" w:color="auto"/>
        <w:right w:val="none" w:sz="0" w:space="0" w:color="auto"/>
      </w:divBdr>
      <w:divsChild>
        <w:div w:id="147092117">
          <w:marLeft w:val="0"/>
          <w:marRight w:val="0"/>
          <w:marTop w:val="0"/>
          <w:marBottom w:val="0"/>
          <w:divBdr>
            <w:top w:val="none" w:sz="0" w:space="0" w:color="auto"/>
            <w:left w:val="none" w:sz="0" w:space="0" w:color="auto"/>
            <w:bottom w:val="none" w:sz="0" w:space="0" w:color="auto"/>
            <w:right w:val="none" w:sz="0" w:space="0" w:color="auto"/>
          </w:divBdr>
          <w:divsChild>
            <w:div w:id="1546212241">
              <w:marLeft w:val="0"/>
              <w:marRight w:val="0"/>
              <w:marTop w:val="0"/>
              <w:marBottom w:val="0"/>
              <w:divBdr>
                <w:top w:val="none" w:sz="0" w:space="0" w:color="auto"/>
                <w:left w:val="none" w:sz="0" w:space="0" w:color="auto"/>
                <w:bottom w:val="none" w:sz="0" w:space="0" w:color="auto"/>
                <w:right w:val="none" w:sz="0" w:space="0" w:color="auto"/>
              </w:divBdr>
              <w:divsChild>
                <w:div w:id="434327486">
                  <w:marLeft w:val="0"/>
                  <w:marRight w:val="0"/>
                  <w:marTop w:val="0"/>
                  <w:marBottom w:val="0"/>
                  <w:divBdr>
                    <w:top w:val="none" w:sz="0" w:space="0" w:color="auto"/>
                    <w:left w:val="none" w:sz="0" w:space="0" w:color="auto"/>
                    <w:bottom w:val="none" w:sz="0" w:space="0" w:color="auto"/>
                    <w:right w:val="none" w:sz="0" w:space="0" w:color="auto"/>
                  </w:divBdr>
                  <w:divsChild>
                    <w:div w:id="1404567589">
                      <w:marLeft w:val="0"/>
                      <w:marRight w:val="0"/>
                      <w:marTop w:val="0"/>
                      <w:marBottom w:val="0"/>
                      <w:divBdr>
                        <w:top w:val="none" w:sz="0" w:space="0" w:color="auto"/>
                        <w:left w:val="none" w:sz="0" w:space="0" w:color="auto"/>
                        <w:bottom w:val="none" w:sz="0" w:space="0" w:color="auto"/>
                        <w:right w:val="none" w:sz="0" w:space="0" w:color="auto"/>
                      </w:divBdr>
                      <w:divsChild>
                        <w:div w:id="1213427175">
                          <w:marLeft w:val="0"/>
                          <w:marRight w:val="0"/>
                          <w:marTop w:val="0"/>
                          <w:marBottom w:val="0"/>
                          <w:divBdr>
                            <w:top w:val="none" w:sz="0" w:space="0" w:color="auto"/>
                            <w:left w:val="none" w:sz="0" w:space="0" w:color="auto"/>
                            <w:bottom w:val="none" w:sz="0" w:space="0" w:color="auto"/>
                            <w:right w:val="none" w:sz="0" w:space="0" w:color="auto"/>
                          </w:divBdr>
                          <w:divsChild>
                            <w:div w:id="200612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23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5C9EC-2F97-4B34-9A57-D4E56D09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7058</Words>
  <Characters>42351</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2016-01-04T13:03:00Z</dcterms:created>
  <dcterms:modified xsi:type="dcterms:W3CDTF">2016-01-04T13:03:00Z</dcterms:modified>
</cp:coreProperties>
</file>