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8F" w:rsidRPr="00555021" w:rsidRDefault="00CE75D4" w:rsidP="00555021">
      <w:pPr>
        <w:pStyle w:val="Nagwek1"/>
        <w:spacing w:line="240" w:lineRule="auto"/>
        <w:jc w:val="right"/>
        <w:rPr>
          <w:rFonts w:asciiTheme="minorHAnsi" w:hAnsiTheme="minorHAnsi"/>
          <w:u w:val="single"/>
          <w:lang w:val="pl-PL"/>
        </w:rPr>
      </w:pPr>
      <w:bookmarkStart w:id="0" w:name="_Toc421029254"/>
      <w:r>
        <w:rPr>
          <w:rFonts w:asciiTheme="minorHAnsi" w:hAnsiTheme="minorHAnsi"/>
          <w:u w:val="single"/>
          <w:lang w:val="pl-PL"/>
        </w:rPr>
        <w:t xml:space="preserve"> </w:t>
      </w:r>
    </w:p>
    <w:p w:rsidR="0053148F" w:rsidRPr="00D7274E" w:rsidRDefault="0053148F" w:rsidP="00D7274E">
      <w:pPr>
        <w:pStyle w:val="Nagwek1"/>
        <w:spacing w:line="240" w:lineRule="auto"/>
        <w:jc w:val="center"/>
        <w:rPr>
          <w:rFonts w:asciiTheme="minorHAnsi" w:hAnsiTheme="minorHAnsi"/>
          <w:lang w:val="pl-PL"/>
        </w:rPr>
      </w:pPr>
    </w:p>
    <w:p w:rsidR="00E15455" w:rsidRPr="00D7274E" w:rsidRDefault="00FF1D0E" w:rsidP="00D7274E">
      <w:pPr>
        <w:pStyle w:val="Nagwek1"/>
        <w:spacing w:before="7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  <w:r>
        <w:rPr>
          <w:rFonts w:asciiTheme="minorHAnsi" w:hAnsiTheme="minorHAnsi"/>
          <w:sz w:val="32"/>
          <w:szCs w:val="32"/>
          <w:lang w:val="pl-PL"/>
        </w:rPr>
        <w:t xml:space="preserve"> </w:t>
      </w:r>
    </w:p>
    <w:p w:rsidR="008D3934" w:rsidRPr="00D7274E" w:rsidRDefault="00E94F72" w:rsidP="00D7274E">
      <w:pPr>
        <w:pStyle w:val="Nagwek1"/>
        <w:spacing w:before="7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  <w:r w:rsidRPr="00D7274E">
        <w:rPr>
          <w:rFonts w:asciiTheme="minorHAnsi" w:hAnsiTheme="minorHAnsi"/>
          <w:sz w:val="32"/>
          <w:szCs w:val="32"/>
          <w:lang w:val="pl-PL"/>
        </w:rPr>
        <w:t>Przegląd orzecznictwa Europej</w:t>
      </w:r>
      <w:r w:rsidR="00B90E51" w:rsidRPr="00D7274E">
        <w:rPr>
          <w:rFonts w:asciiTheme="minorHAnsi" w:hAnsiTheme="minorHAnsi"/>
          <w:sz w:val="32"/>
          <w:szCs w:val="32"/>
          <w:lang w:val="pl-PL"/>
        </w:rPr>
        <w:t>skiego Trybunału Praw Człowieka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br/>
      </w:r>
      <w:r w:rsidRPr="00D7274E">
        <w:rPr>
          <w:rFonts w:asciiTheme="minorHAnsi" w:hAnsiTheme="minorHAnsi"/>
          <w:sz w:val="32"/>
          <w:szCs w:val="32"/>
          <w:lang w:val="pl-PL"/>
        </w:rPr>
        <w:t>w sprawach dotyczących państw trzecich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t xml:space="preserve"> – </w:t>
      </w:r>
      <w:r w:rsidR="00A02099">
        <w:rPr>
          <w:rFonts w:asciiTheme="minorHAnsi" w:hAnsiTheme="minorHAnsi"/>
          <w:sz w:val="32"/>
          <w:szCs w:val="32"/>
          <w:lang w:val="pl-PL"/>
        </w:rPr>
        <w:t>październik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t xml:space="preserve"> 2015 r.</w:t>
      </w:r>
      <w:bookmarkEnd w:id="0"/>
    </w:p>
    <w:p w:rsidR="00E15455" w:rsidRPr="00D7274E" w:rsidRDefault="00E15455" w:rsidP="00D7274E">
      <w:pPr>
        <w:spacing w:line="240" w:lineRule="auto"/>
        <w:rPr>
          <w:lang w:val="pl-PL"/>
        </w:rPr>
      </w:pPr>
    </w:p>
    <w:p w:rsidR="00E15455" w:rsidRPr="00D7274E" w:rsidRDefault="00E15455" w:rsidP="00D7274E">
      <w:pPr>
        <w:spacing w:before="600" w:line="240" w:lineRule="auto"/>
        <w:rPr>
          <w:lang w:val="pl-PL"/>
        </w:rPr>
      </w:pPr>
      <w:r w:rsidRPr="00D7274E">
        <w:rPr>
          <w:noProof/>
          <w:lang w:eastAsia="en-GB"/>
        </w:rPr>
        <w:drawing>
          <wp:inline distT="0" distB="0" distL="0" distR="0" wp14:anchorId="114DC8A2" wp14:editId="7016A971">
            <wp:extent cx="5760720" cy="3840480"/>
            <wp:effectExtent l="0" t="0" r="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etpcz_lato002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455" w:rsidRPr="00D7274E" w:rsidRDefault="00E15455" w:rsidP="00D7274E">
      <w:pPr>
        <w:spacing w:before="120" w:after="360" w:line="240" w:lineRule="auto"/>
        <w:jc w:val="center"/>
        <w:rPr>
          <w:b/>
          <w:sz w:val="26"/>
          <w:lang w:val="pl-PL"/>
        </w:rPr>
      </w:pPr>
    </w:p>
    <w:p w:rsidR="00E94F72" w:rsidRPr="00D7274E" w:rsidRDefault="00E94F72" w:rsidP="00D7274E">
      <w:pPr>
        <w:spacing w:before="120" w:after="360" w:line="240" w:lineRule="auto"/>
        <w:jc w:val="center"/>
        <w:rPr>
          <w:b/>
          <w:sz w:val="26"/>
          <w:lang w:val="pl-PL"/>
        </w:rPr>
      </w:pPr>
      <w:r w:rsidRPr="00D7274E">
        <w:rPr>
          <w:b/>
          <w:sz w:val="26"/>
          <w:lang w:val="pl-PL"/>
        </w:rPr>
        <w:t xml:space="preserve">Nr </w:t>
      </w:r>
      <w:r w:rsidR="0080155B">
        <w:rPr>
          <w:b/>
          <w:sz w:val="26"/>
          <w:lang w:val="pl-PL"/>
        </w:rPr>
        <w:t>6</w:t>
      </w:r>
      <w:r w:rsidR="00D24F30">
        <w:rPr>
          <w:b/>
          <w:sz w:val="26"/>
          <w:lang w:val="pl-PL"/>
        </w:rPr>
        <w:t xml:space="preserve"> /</w:t>
      </w:r>
      <w:r w:rsidRPr="00D7274E">
        <w:rPr>
          <w:b/>
          <w:sz w:val="26"/>
          <w:lang w:val="pl-PL"/>
        </w:rPr>
        <w:t>2015</w:t>
      </w:r>
    </w:p>
    <w:p w:rsidR="00E15455" w:rsidRPr="00D7274E" w:rsidRDefault="00E15455" w:rsidP="00D7274E">
      <w:pPr>
        <w:spacing w:before="120" w:after="360" w:line="240" w:lineRule="auto"/>
        <w:jc w:val="both"/>
        <w:rPr>
          <w:b/>
          <w:sz w:val="26"/>
          <w:lang w:val="pl-PL"/>
        </w:rPr>
      </w:pPr>
    </w:p>
    <w:p w:rsidR="00E15455" w:rsidRPr="00D7274E" w:rsidRDefault="00E15455" w:rsidP="00D7274E">
      <w:pPr>
        <w:spacing w:before="120" w:after="360" w:line="240" w:lineRule="auto"/>
        <w:jc w:val="both"/>
        <w:rPr>
          <w:b/>
          <w:sz w:val="26"/>
          <w:lang w:val="pl-PL"/>
        </w:rPr>
      </w:pPr>
    </w:p>
    <w:p w:rsidR="00B7348B" w:rsidRDefault="00F47558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r w:rsidRPr="00D7274E">
        <w:rPr>
          <w:lang w:val="pl-PL"/>
        </w:rPr>
        <w:fldChar w:fldCharType="begin"/>
      </w:r>
      <w:r w:rsidRPr="00D7274E">
        <w:rPr>
          <w:lang w:val="pl-PL"/>
        </w:rPr>
        <w:instrText xml:space="preserve"> TOC \o "2-3" \h \z \u </w:instrText>
      </w:r>
      <w:r w:rsidRPr="00D7274E">
        <w:rPr>
          <w:lang w:val="pl-PL"/>
        </w:rPr>
        <w:fldChar w:fldCharType="separate"/>
      </w:r>
      <w:hyperlink w:anchor="_Toc437252340" w:history="1">
        <w:r w:rsidR="00B7348B" w:rsidRPr="00F44E95">
          <w:rPr>
            <w:rStyle w:val="Hipercze"/>
          </w:rPr>
          <w:t>1.</w:t>
        </w:r>
        <w:r w:rsidR="00B7348B"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="00B7348B" w:rsidRPr="00F44E95">
          <w:rPr>
            <w:rStyle w:val="Hipercze"/>
          </w:rPr>
          <w:t>Okitaloshima Okonda Osungu i Selpa Lokongo p. Francji (skargi nr 76860/11 i 51354/13), decyzja Izby z 8.09.2015 r., opublikowana 1.10.2015 r., ostateczna</w:t>
        </w:r>
        <w:r w:rsidR="00B7348B">
          <w:rPr>
            <w:webHidden/>
          </w:rPr>
          <w:tab/>
        </w:r>
        <w:r w:rsidR="00B7348B">
          <w:rPr>
            <w:webHidden/>
          </w:rPr>
          <w:fldChar w:fldCharType="begin"/>
        </w:r>
        <w:r w:rsidR="00B7348B">
          <w:rPr>
            <w:webHidden/>
          </w:rPr>
          <w:instrText xml:space="preserve"> PAGEREF _Toc437252340 \h </w:instrText>
        </w:r>
        <w:r w:rsidR="00B7348B">
          <w:rPr>
            <w:webHidden/>
          </w:rPr>
        </w:r>
        <w:r w:rsidR="00B7348B">
          <w:rPr>
            <w:webHidden/>
          </w:rPr>
          <w:fldChar w:fldCharType="separate"/>
        </w:r>
        <w:r w:rsidR="00B7348B">
          <w:rPr>
            <w:webHidden/>
          </w:rPr>
          <w:t>3</w:t>
        </w:r>
        <w:r w:rsidR="00B7348B">
          <w:rPr>
            <w:webHidden/>
          </w:rPr>
          <w:fldChar w:fldCharType="end"/>
        </w:r>
      </w:hyperlink>
    </w:p>
    <w:p w:rsidR="00B7348B" w:rsidRDefault="00B7348B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7252341" w:history="1">
        <w:r w:rsidRPr="00F44E95">
          <w:rPr>
            <w:rStyle w:val="Hipercze"/>
            <w:b/>
            <w:noProof/>
            <w:lang w:val="pl-PL"/>
          </w:rPr>
          <w:t>- oczywista niezasadność i niedopuszczalność skargi na podstawie art. 14 Konwencji (zakaz dyskryminacji) w związku z art. 8 (prawo do poszanowania życia prywatnego i rodzinnego), a także na podstawie art. 14 Konwencji w związku z art. 1 Protokołu nr 1 do Konwencji (ochrona własności) w odniesieniu do odmowy przyznania przez władze francuskie świadczeń rodzinnych skarżącym, których dzieci przybyły do Francji bez przeprowadzenia wymaganej procedury łączenia rodzin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_Toc437252341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B7348B" w:rsidRDefault="00B7348B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37252342" w:history="1">
        <w:r w:rsidRPr="00F44E95">
          <w:rPr>
            <w:rStyle w:val="Hipercze"/>
          </w:rPr>
          <w:t>2.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F44E95">
          <w:rPr>
            <w:rStyle w:val="Hipercze"/>
          </w:rPr>
          <w:t>Macalin Moxamed Sed Dahira p. Szwajcarii, skarga nr 12209/10, decyzja Izby z 15.09.2015 r., opublikowana 8.10.2015 r., ostateczna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_Toc437252342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B7348B" w:rsidRDefault="00B7348B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7252343" w:history="1">
        <w:r w:rsidRPr="00F44E95">
          <w:rPr>
            <w:rStyle w:val="Hipercze"/>
            <w:b/>
            <w:noProof/>
            <w:lang w:val="pl-PL"/>
          </w:rPr>
          <w:t>- oczywista niezasadność i niedopuszczalność skargi zarzucającej naruszenie prawa do poszanowania życia prywatnego i rodzinnego (art. 8 Konwencji) oraz zakazu dyskryminacji (art. 14 Konwencji w związku z art. 8) w odniesieniu do odmowy wyrażenia zgody przez władze szwajcarskie na posługiwanie się przez skarżącą dodatkową wersją zapisu jej nazwiska, która byłaby dostosowana do wymowy w języku somalijskim z uwagi na fakt, że wymowa zgodna z zasadami zachodnioeuropejskimi miała obraźliwy wydźwięk w języku somalijskim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_Toc437252343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7348B" w:rsidRDefault="00B7348B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37252344" w:history="1">
        <w:r w:rsidRPr="00F44E95">
          <w:rPr>
            <w:rStyle w:val="Hipercze"/>
          </w:rPr>
          <w:t>3.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F44E95">
          <w:rPr>
            <w:rStyle w:val="Hipercze"/>
          </w:rPr>
          <w:t>Perinçek p. Szwajcarii (skarga nr 27510/08), wyrok Wielkiej Izby z 15.10.2015 r., 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_Toc437252344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B7348B" w:rsidRDefault="00B7348B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7252345" w:history="1">
        <w:r w:rsidRPr="00F44E95">
          <w:rPr>
            <w:rStyle w:val="Hipercze"/>
            <w:b/>
            <w:noProof/>
            <w:lang w:val="pl-PL"/>
          </w:rPr>
          <w:t>- naruszenie art. 10 Konwencji (wolność wyrażania opinii) z uwagi na skazanie skarżącego za przestępstwo negowania jako ludobójstwa w sensie prawnym, zbrodni popełnionych przez Imperium Otomańskie wobec ludności ormiańskiej począwszy od 1915 r.; brak podstaw do zastosowania art. 17 Konwencji (zakaz nadużycia praw)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_Toc437252345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7348B" w:rsidRDefault="00B7348B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37252346" w:history="1">
        <w:r w:rsidRPr="00F44E95">
          <w:rPr>
            <w:rStyle w:val="Hipercze"/>
          </w:rPr>
          <w:t>4.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F44E95">
          <w:rPr>
            <w:rStyle w:val="Hipercze"/>
          </w:rPr>
          <w:t>Sher i inni p. Wielkiej Brytanii (skarga nr 5201/11), wyrok Izby z 20.10.2015 r., nieostateczny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_Toc437252346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B7348B" w:rsidRDefault="00B7348B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7252347" w:history="1">
        <w:r w:rsidRPr="00F44E95">
          <w:rPr>
            <w:rStyle w:val="Hipercze"/>
            <w:b/>
            <w:noProof/>
            <w:lang w:val="pl-PL"/>
          </w:rPr>
          <w:t>- brak naruszenia art. 5 ust. 4 Konwencji (prawo do ustalenia legalności pozbawienia wolności) pomimo ograniczeń kontradyktoryjności procedury stosowania przez sąd aresztowania skarżących wnioskowanego w związku z operacją mającą na celu przeciwdziałanie zamachowi terrorystycznemu; brak naruszenia art. 8 Konwencji (prawo do poszanowania życia prywatnego i rodzinnego) pomimo szerokiego i ogólnego sformułowania sądowego nakazu przeszukania mieszkań skarżących prowadzonego w związku z operacją mającą na celu przeciwdziałanie zamachowi terrorystycznemu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_Toc437252347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7348B" w:rsidRDefault="00B7348B">
      <w:pPr>
        <w:pStyle w:val="Spistreci2"/>
        <w:rPr>
          <w:rFonts w:eastAsiaTheme="minorEastAsia"/>
          <w:smallCaps w:val="0"/>
          <w:color w:val="auto"/>
          <w:sz w:val="22"/>
          <w:szCs w:val="22"/>
          <w:lang w:eastAsia="en-GB"/>
        </w:rPr>
      </w:pPr>
      <w:hyperlink w:anchor="_Toc437252348" w:history="1">
        <w:r w:rsidRPr="00F44E95">
          <w:rPr>
            <w:rStyle w:val="Hipercze"/>
          </w:rPr>
          <w:t>5.</w:t>
        </w:r>
        <w:r>
          <w:rPr>
            <w:rFonts w:eastAsiaTheme="minorEastAsia"/>
            <w:smallCaps w:val="0"/>
            <w:color w:val="auto"/>
            <w:sz w:val="22"/>
            <w:szCs w:val="22"/>
            <w:lang w:eastAsia="en-GB"/>
          </w:rPr>
          <w:tab/>
        </w:r>
        <w:r w:rsidRPr="00F44E95">
          <w:rPr>
            <w:rStyle w:val="Hipercze"/>
          </w:rPr>
          <w:t>A.L. (X.W.) przeciwko Rosji (skarga nr 44095/14), wyrok Izby z 29.10.2015 r.,  nieostateczny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_Toc437252348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7348B" w:rsidRDefault="00B7348B">
      <w:pPr>
        <w:pStyle w:val="Spistreci3"/>
        <w:tabs>
          <w:tab w:val="right" w:leader="dot" w:pos="9062"/>
        </w:tabs>
        <w:rPr>
          <w:rFonts w:eastAsiaTheme="minorEastAsia"/>
          <w:i w:val="0"/>
          <w:iCs w:val="0"/>
          <w:noProof/>
          <w:sz w:val="22"/>
          <w:szCs w:val="22"/>
          <w:lang w:eastAsia="en-GB"/>
        </w:rPr>
      </w:pPr>
      <w:hyperlink w:anchor="_Toc437252349" w:history="1">
        <w:r w:rsidRPr="00F44E95">
          <w:rPr>
            <w:rStyle w:val="Hipercze"/>
            <w:b/>
            <w:noProof/>
            <w:lang w:val="pl-PL"/>
          </w:rPr>
          <w:t>- naruszenie art. 2 i 3 Konwencji (prawo do życia i zakaz tortur) w razie przymusowego wydania skarżącego Chinom – brak zbadania przez organy krajowe ryzyka skazania skarżącego na karę śmierci w Chinach w związku z decyzją nakazującą skarżącemu opuszczenie terytorium Rosji pod groźbą deportacji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_Toc437252349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C1766" w:rsidRDefault="00F47558" w:rsidP="00D7274E">
      <w:pPr>
        <w:spacing w:after="120" w:line="240" w:lineRule="auto"/>
        <w:jc w:val="both"/>
        <w:rPr>
          <w:smallCaps/>
          <w:sz w:val="20"/>
          <w:szCs w:val="20"/>
          <w:lang w:val="pl-PL"/>
        </w:rPr>
      </w:pPr>
      <w:r w:rsidRPr="00D7274E">
        <w:rPr>
          <w:smallCaps/>
          <w:sz w:val="20"/>
          <w:szCs w:val="20"/>
          <w:lang w:val="pl-PL"/>
        </w:rPr>
        <w:fldChar w:fldCharType="end"/>
      </w:r>
    </w:p>
    <w:p w:rsidR="001C62BE" w:rsidRPr="00D7274E" w:rsidRDefault="001C62BE" w:rsidP="00D7274E">
      <w:pPr>
        <w:spacing w:after="120" w:line="240" w:lineRule="auto"/>
        <w:jc w:val="both"/>
        <w:rPr>
          <w:smallCaps/>
          <w:sz w:val="20"/>
          <w:szCs w:val="20"/>
          <w:lang w:val="pl-PL"/>
        </w:rPr>
      </w:pPr>
    </w:p>
    <w:p w:rsidR="00065852" w:rsidRDefault="00065852" w:rsidP="00665941">
      <w:pPr>
        <w:spacing w:after="240" w:line="240" w:lineRule="auto"/>
        <w:jc w:val="both"/>
        <w:rPr>
          <w:rFonts w:ascii="Calibri" w:hAnsi="Calibri"/>
          <w:color w:val="000000"/>
          <w:lang w:val="pl-PL"/>
        </w:rPr>
      </w:pPr>
    </w:p>
    <w:p w:rsidR="00F7704E" w:rsidRDefault="00F7704E">
      <w:pPr>
        <w:rPr>
          <w:rFonts w:eastAsiaTheme="majorEastAsia" w:cstheme="majorBidi"/>
          <w:b/>
          <w:bCs/>
          <w:color w:val="4F81BD" w:themeColor="accent1"/>
          <w:sz w:val="24"/>
          <w:szCs w:val="24"/>
          <w:lang w:val="pl-PL"/>
        </w:rPr>
      </w:pPr>
      <w:r>
        <w:br w:type="page"/>
      </w:r>
    </w:p>
    <w:p w:rsidR="00065852" w:rsidRDefault="00065852" w:rsidP="00CA5FE9">
      <w:pPr>
        <w:pStyle w:val="Nagwek2"/>
        <w:numPr>
          <w:ilvl w:val="0"/>
          <w:numId w:val="1"/>
        </w:numPr>
      </w:pPr>
      <w:bookmarkStart w:id="1" w:name="_Toc437252340"/>
      <w:proofErr w:type="spellStart"/>
      <w:r w:rsidRPr="00CA5FE9">
        <w:t>Okitaloshima</w:t>
      </w:r>
      <w:proofErr w:type="spellEnd"/>
      <w:r w:rsidRPr="00CA5FE9">
        <w:t xml:space="preserve"> </w:t>
      </w:r>
      <w:proofErr w:type="spellStart"/>
      <w:r w:rsidRPr="00CA5FE9">
        <w:t>Okonda</w:t>
      </w:r>
      <w:proofErr w:type="spellEnd"/>
      <w:r w:rsidRPr="00CA5FE9">
        <w:t xml:space="preserve"> </w:t>
      </w:r>
      <w:proofErr w:type="spellStart"/>
      <w:r w:rsidRPr="00CA5FE9">
        <w:t>Osungu</w:t>
      </w:r>
      <w:proofErr w:type="spellEnd"/>
      <w:r w:rsidRPr="00CA5FE9">
        <w:t xml:space="preserve"> i </w:t>
      </w:r>
      <w:proofErr w:type="spellStart"/>
      <w:r w:rsidRPr="00CA5FE9">
        <w:t>Selpa</w:t>
      </w:r>
      <w:proofErr w:type="spellEnd"/>
      <w:r w:rsidRPr="00CA5FE9">
        <w:t xml:space="preserve"> </w:t>
      </w:r>
      <w:proofErr w:type="spellStart"/>
      <w:r w:rsidRPr="00CA5FE9">
        <w:t>Lokongo</w:t>
      </w:r>
      <w:proofErr w:type="spellEnd"/>
      <w:r w:rsidRPr="00CA5FE9">
        <w:t xml:space="preserve"> p. Francji</w:t>
      </w:r>
      <w:r w:rsidR="00AE1FD2">
        <w:t xml:space="preserve"> </w:t>
      </w:r>
      <w:r w:rsidRPr="00CA5FE9">
        <w:t xml:space="preserve">(skargi nr 76860/11 i 51354/13), decyzja </w:t>
      </w:r>
      <w:r w:rsidR="00FC236A">
        <w:t xml:space="preserve">Izby </w:t>
      </w:r>
      <w:r w:rsidRPr="00CA5FE9">
        <w:t>z 8</w:t>
      </w:r>
      <w:r w:rsidR="00C11B91">
        <w:t>.09.</w:t>
      </w:r>
      <w:r w:rsidRPr="00CA5FE9">
        <w:t>2015 r.</w:t>
      </w:r>
      <w:r w:rsidR="00D24A73">
        <w:t xml:space="preserve">, </w:t>
      </w:r>
      <w:r w:rsidR="00D24A73" w:rsidRPr="0080155B">
        <w:t>opublikowana</w:t>
      </w:r>
      <w:r w:rsidR="00C11B91">
        <w:t xml:space="preserve"> 1.10.2015 r.</w:t>
      </w:r>
      <w:r w:rsidR="00D24A73">
        <w:t>, ostateczna</w:t>
      </w:r>
      <w:bookmarkEnd w:id="1"/>
      <w:r w:rsidRPr="00CA5FE9">
        <w:t xml:space="preserve"> </w:t>
      </w:r>
    </w:p>
    <w:p w:rsidR="0064489B" w:rsidRPr="00467EE2" w:rsidRDefault="0064489B" w:rsidP="00592DAA">
      <w:pPr>
        <w:keepNext/>
        <w:keepLines/>
        <w:spacing w:after="360" w:line="240" w:lineRule="auto"/>
        <w:jc w:val="both"/>
        <w:outlineLvl w:val="2"/>
        <w:rPr>
          <w:b/>
          <w:color w:val="000000" w:themeColor="text1"/>
          <w:lang w:val="pl-PL"/>
        </w:rPr>
      </w:pPr>
      <w:bookmarkStart w:id="2" w:name="_Toc437252341"/>
      <w:r>
        <w:rPr>
          <w:b/>
          <w:color w:val="000000" w:themeColor="text1"/>
          <w:lang w:val="pl-PL"/>
        </w:rPr>
        <w:t xml:space="preserve">- </w:t>
      </w:r>
      <w:r w:rsidRPr="0064489B">
        <w:rPr>
          <w:b/>
          <w:color w:val="000000" w:themeColor="text1"/>
          <w:lang w:val="pl-PL"/>
        </w:rPr>
        <w:t xml:space="preserve">oczywista </w:t>
      </w:r>
      <w:r w:rsidR="006500D9">
        <w:rPr>
          <w:b/>
          <w:color w:val="000000" w:themeColor="text1"/>
          <w:lang w:val="pl-PL"/>
        </w:rPr>
        <w:t>nie</w:t>
      </w:r>
      <w:r w:rsidRPr="0064489B">
        <w:rPr>
          <w:b/>
          <w:color w:val="000000" w:themeColor="text1"/>
          <w:lang w:val="pl-PL"/>
        </w:rPr>
        <w:t xml:space="preserve">zasadność </w:t>
      </w:r>
      <w:r>
        <w:rPr>
          <w:b/>
          <w:color w:val="000000" w:themeColor="text1"/>
          <w:lang w:val="pl-PL"/>
        </w:rPr>
        <w:t xml:space="preserve">i niedopuszczalność </w:t>
      </w:r>
      <w:r w:rsidRPr="0064489B">
        <w:rPr>
          <w:b/>
          <w:color w:val="000000" w:themeColor="text1"/>
          <w:lang w:val="pl-PL"/>
        </w:rPr>
        <w:t>skarg</w:t>
      </w:r>
      <w:r w:rsidR="008C2FF0">
        <w:rPr>
          <w:b/>
          <w:color w:val="000000" w:themeColor="text1"/>
          <w:lang w:val="pl-PL"/>
        </w:rPr>
        <w:t>i</w:t>
      </w:r>
      <w:r w:rsidRPr="0064489B">
        <w:rPr>
          <w:b/>
          <w:color w:val="000000" w:themeColor="text1"/>
          <w:lang w:val="pl-PL"/>
        </w:rPr>
        <w:t xml:space="preserve"> na podstawie </w:t>
      </w:r>
      <w:r w:rsidR="0009668D" w:rsidRPr="0064489B">
        <w:rPr>
          <w:b/>
          <w:color w:val="000000" w:themeColor="text1"/>
          <w:lang w:val="pl-PL"/>
        </w:rPr>
        <w:t>art. 14 Konwencji</w:t>
      </w:r>
      <w:r w:rsidR="0009668D">
        <w:rPr>
          <w:rStyle w:val="Odwoanieprzypisudolnego"/>
          <w:b/>
          <w:color w:val="000000" w:themeColor="text1"/>
          <w:lang w:val="pl-PL"/>
        </w:rPr>
        <w:footnoteReference w:id="1"/>
      </w:r>
      <w:r w:rsidR="0009668D" w:rsidRPr="0064489B">
        <w:rPr>
          <w:b/>
          <w:color w:val="000000" w:themeColor="text1"/>
          <w:lang w:val="pl-PL"/>
        </w:rPr>
        <w:t xml:space="preserve"> (zakaz dyskryminacji)</w:t>
      </w:r>
      <w:r w:rsidR="0009668D">
        <w:rPr>
          <w:b/>
          <w:color w:val="000000" w:themeColor="text1"/>
          <w:lang w:val="pl-PL"/>
        </w:rPr>
        <w:t xml:space="preserve"> </w:t>
      </w:r>
      <w:r w:rsidRPr="0064489B">
        <w:rPr>
          <w:b/>
          <w:color w:val="000000" w:themeColor="text1"/>
          <w:lang w:val="pl-PL"/>
        </w:rPr>
        <w:t>w związku z</w:t>
      </w:r>
      <w:r w:rsidR="0009668D">
        <w:rPr>
          <w:b/>
          <w:color w:val="000000" w:themeColor="text1"/>
          <w:lang w:val="pl-PL"/>
        </w:rPr>
        <w:t xml:space="preserve"> </w:t>
      </w:r>
      <w:r w:rsidR="0009668D" w:rsidRPr="0064489B">
        <w:rPr>
          <w:b/>
          <w:color w:val="000000" w:themeColor="text1"/>
          <w:lang w:val="pl-PL"/>
        </w:rPr>
        <w:t>art. 8 (prawo do poszanowania życia prywatnego i rodzinnego)</w:t>
      </w:r>
      <w:r w:rsidR="0009668D">
        <w:rPr>
          <w:b/>
          <w:color w:val="000000" w:themeColor="text1"/>
          <w:lang w:val="pl-PL"/>
        </w:rPr>
        <w:t>,</w:t>
      </w:r>
      <w:r w:rsidR="0009668D" w:rsidRPr="0064489B">
        <w:rPr>
          <w:b/>
          <w:color w:val="000000" w:themeColor="text1"/>
          <w:lang w:val="pl-PL"/>
        </w:rPr>
        <w:t xml:space="preserve"> </w:t>
      </w:r>
      <w:r w:rsidR="00694B18">
        <w:rPr>
          <w:b/>
          <w:color w:val="000000" w:themeColor="text1"/>
          <w:lang w:val="pl-PL"/>
        </w:rPr>
        <w:t xml:space="preserve">a także </w:t>
      </w:r>
      <w:r w:rsidR="00A077FB">
        <w:rPr>
          <w:b/>
          <w:color w:val="000000" w:themeColor="text1"/>
          <w:lang w:val="pl-PL"/>
        </w:rPr>
        <w:t xml:space="preserve">na podstawie </w:t>
      </w:r>
      <w:r w:rsidR="0009668D" w:rsidRPr="0064489B">
        <w:rPr>
          <w:b/>
          <w:color w:val="000000" w:themeColor="text1"/>
          <w:lang w:val="pl-PL"/>
        </w:rPr>
        <w:t xml:space="preserve">art. 14 </w:t>
      </w:r>
      <w:r w:rsidR="0009668D">
        <w:rPr>
          <w:b/>
          <w:color w:val="000000" w:themeColor="text1"/>
          <w:lang w:val="pl-PL"/>
        </w:rPr>
        <w:t xml:space="preserve">Konwencji w związku z </w:t>
      </w:r>
      <w:r w:rsidRPr="0064489B">
        <w:rPr>
          <w:b/>
          <w:color w:val="000000" w:themeColor="text1"/>
          <w:lang w:val="pl-PL"/>
        </w:rPr>
        <w:t>art. 1 Protokołu nr 1 do Konwencji (ochrona własności) w odniesieniu do odmowy przyznania przez władze francuskie świadczeń rodzinnych skarżącym, których dzieci przybyły do Francji bez przeprowadzenia wymaganej procedury łączenia rodzin</w:t>
      </w:r>
      <w:bookmarkEnd w:id="2"/>
    </w:p>
    <w:p w:rsidR="00B1630D" w:rsidRPr="005A34CD" w:rsidRDefault="00B1630D" w:rsidP="00B1630D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 w:rsidRPr="005A34CD">
        <w:rPr>
          <w:rFonts w:ascii="Calibri" w:hAnsi="Calibri"/>
          <w:color w:val="000000"/>
          <w:u w:val="single"/>
          <w:lang w:val="pl-PL"/>
        </w:rPr>
        <w:t xml:space="preserve">Stan faktyczny </w:t>
      </w:r>
      <w:r w:rsidR="00AA3011">
        <w:rPr>
          <w:rFonts w:ascii="Calibri" w:hAnsi="Calibri"/>
          <w:color w:val="000000"/>
          <w:u w:val="single"/>
          <w:lang w:val="pl-PL"/>
        </w:rPr>
        <w:t>i zarzuty skarżących</w:t>
      </w:r>
    </w:p>
    <w:p w:rsidR="00065852" w:rsidRPr="007C7BFF" w:rsidRDefault="00065852" w:rsidP="00CA5FE9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 xml:space="preserve">Skarżący </w:t>
      </w:r>
      <w:r w:rsidR="004B2475">
        <w:rPr>
          <w:lang w:val="pl-PL"/>
        </w:rPr>
        <w:t xml:space="preserve">są </w:t>
      </w:r>
      <w:r w:rsidR="004B2475" w:rsidRPr="007C7BFF">
        <w:rPr>
          <w:lang w:val="pl-PL"/>
        </w:rPr>
        <w:t>obywatelami</w:t>
      </w:r>
      <w:r w:rsidRPr="007C7BFF">
        <w:rPr>
          <w:lang w:val="pl-PL"/>
        </w:rPr>
        <w:t xml:space="preserve"> </w:t>
      </w:r>
      <w:r w:rsidR="004B2475" w:rsidRPr="007C7BFF">
        <w:rPr>
          <w:lang w:val="pl-PL"/>
        </w:rPr>
        <w:t>Konga i mieszkają</w:t>
      </w:r>
      <w:r w:rsidRPr="007C7BFF">
        <w:rPr>
          <w:lang w:val="pl-PL"/>
        </w:rPr>
        <w:t xml:space="preserve"> </w:t>
      </w:r>
      <w:r w:rsidR="004B2475" w:rsidRPr="007C7BFF">
        <w:rPr>
          <w:lang w:val="pl-PL"/>
        </w:rPr>
        <w:t xml:space="preserve">legalnie </w:t>
      </w:r>
      <w:r w:rsidRPr="007C7BFF">
        <w:rPr>
          <w:lang w:val="pl-PL"/>
        </w:rPr>
        <w:t xml:space="preserve">we Francji. </w:t>
      </w:r>
      <w:r w:rsidR="004B2475" w:rsidRPr="007C7BFF">
        <w:rPr>
          <w:lang w:val="pl-PL"/>
        </w:rPr>
        <w:t>M</w:t>
      </w:r>
      <w:r w:rsidRPr="007C7BFF">
        <w:rPr>
          <w:lang w:val="pl-PL"/>
        </w:rPr>
        <w:t xml:space="preserve">ają dzieci, które dołączyły do nich </w:t>
      </w:r>
      <w:r w:rsidR="004B2475" w:rsidRPr="007C7BFF">
        <w:rPr>
          <w:lang w:val="pl-PL"/>
        </w:rPr>
        <w:t xml:space="preserve">już </w:t>
      </w:r>
      <w:r w:rsidRPr="007C7BFF">
        <w:rPr>
          <w:lang w:val="pl-PL"/>
        </w:rPr>
        <w:t xml:space="preserve">po </w:t>
      </w:r>
      <w:r w:rsidR="004B2475" w:rsidRPr="007C7BFF">
        <w:rPr>
          <w:lang w:val="pl-PL"/>
        </w:rPr>
        <w:t xml:space="preserve">ich </w:t>
      </w:r>
      <w:r w:rsidRPr="007C7BFF">
        <w:rPr>
          <w:lang w:val="pl-PL"/>
        </w:rPr>
        <w:t>przybyciu do Francji</w:t>
      </w:r>
      <w:r w:rsidR="008673CF" w:rsidRPr="007C7BFF">
        <w:rPr>
          <w:lang w:val="pl-PL"/>
        </w:rPr>
        <w:t xml:space="preserve"> i</w:t>
      </w:r>
      <w:r w:rsidRPr="007C7BFF">
        <w:rPr>
          <w:lang w:val="pl-PL"/>
        </w:rPr>
        <w:t xml:space="preserve"> bez zastosowania się do procedury łączenia rodzin. Skarżącym odmówiono przyznania świadczeń rodzinnych </w:t>
      </w:r>
      <w:r w:rsidR="0064489B" w:rsidRPr="007C7BFF">
        <w:rPr>
          <w:lang w:val="pl-PL"/>
        </w:rPr>
        <w:t xml:space="preserve">na </w:t>
      </w:r>
      <w:r w:rsidRPr="007C7BFF">
        <w:rPr>
          <w:lang w:val="pl-PL"/>
        </w:rPr>
        <w:t xml:space="preserve">ich dzieci </w:t>
      </w:r>
      <w:r w:rsidR="008673CF" w:rsidRPr="007C7BFF">
        <w:rPr>
          <w:lang w:val="pl-PL"/>
        </w:rPr>
        <w:t>na tej podstawie</w:t>
      </w:r>
      <w:r w:rsidRPr="007C7BFF">
        <w:rPr>
          <w:lang w:val="pl-PL"/>
        </w:rPr>
        <w:t xml:space="preserve">, że nie przedstawili dokumentów wymaganych przez </w:t>
      </w:r>
      <w:r w:rsidR="0064489B" w:rsidRPr="007C7BFF">
        <w:rPr>
          <w:lang w:val="pl-PL"/>
        </w:rPr>
        <w:t>kodeks</w:t>
      </w:r>
      <w:r w:rsidRPr="007C7BFF">
        <w:rPr>
          <w:lang w:val="pl-PL"/>
        </w:rPr>
        <w:t xml:space="preserve"> zabezpieczeń społecznych, tj. zaświadczenia medycznego wydawanego przez Francuską Agencję Imigracyjną i Integracyjną po zakończeniu procedury łączenia rodzin. </w:t>
      </w:r>
    </w:p>
    <w:p w:rsidR="00065852" w:rsidRPr="00CA5FE9" w:rsidRDefault="00065852" w:rsidP="00CA5FE9">
      <w:pPr>
        <w:spacing w:after="120" w:line="240" w:lineRule="auto"/>
        <w:jc w:val="both"/>
        <w:rPr>
          <w:lang w:val="pl-PL"/>
        </w:rPr>
      </w:pPr>
      <w:r w:rsidRPr="007C7BFF">
        <w:rPr>
          <w:lang w:val="pl-PL"/>
        </w:rPr>
        <w:t>Wnioski skarżących zostały od</w:t>
      </w:r>
      <w:r w:rsidR="00611B7D">
        <w:rPr>
          <w:lang w:val="pl-PL"/>
        </w:rPr>
        <w:t>dalone</w:t>
      </w:r>
      <w:r w:rsidRPr="007C7BFF">
        <w:rPr>
          <w:lang w:val="pl-PL"/>
        </w:rPr>
        <w:t xml:space="preserve"> przez sądy krajowe</w:t>
      </w:r>
      <w:r w:rsidR="008673CF" w:rsidRPr="007C7BFF">
        <w:rPr>
          <w:lang w:val="pl-PL"/>
        </w:rPr>
        <w:t xml:space="preserve">, które uznały, że </w:t>
      </w:r>
      <w:r w:rsidRPr="007C7BFF">
        <w:rPr>
          <w:lang w:val="pl-PL"/>
        </w:rPr>
        <w:t>postanowienia zawarte w kodeksie zabezpieczeń społecznych</w:t>
      </w:r>
      <w:r w:rsidR="003A1FB8">
        <w:rPr>
          <w:lang w:val="pl-PL"/>
        </w:rPr>
        <w:t>,</w:t>
      </w:r>
      <w:r w:rsidRPr="007C7BFF">
        <w:rPr>
          <w:lang w:val="pl-PL"/>
        </w:rPr>
        <w:t xml:space="preserve"> uzależniające wypłacenie świadczeń rodzinnych od przedstawienia dokumentu potwierdzającego, że dziecko wjechało na teren Francji legalnie, </w:t>
      </w:r>
      <w:r w:rsidR="008673CF" w:rsidRPr="007C7BFF">
        <w:rPr>
          <w:lang w:val="pl-PL"/>
        </w:rPr>
        <w:t>opierają się na obiektywn</w:t>
      </w:r>
      <w:r w:rsidR="002D1B3B" w:rsidRPr="007C7BFF">
        <w:rPr>
          <w:lang w:val="pl-PL"/>
        </w:rPr>
        <w:t xml:space="preserve">ych </w:t>
      </w:r>
      <w:r w:rsidR="0078437B" w:rsidRPr="007C7BFF">
        <w:rPr>
          <w:lang w:val="pl-PL"/>
        </w:rPr>
        <w:t xml:space="preserve">podstawach </w:t>
      </w:r>
      <w:r w:rsidR="008673CF" w:rsidRPr="007C7BFF">
        <w:rPr>
          <w:lang w:val="pl-PL"/>
        </w:rPr>
        <w:t xml:space="preserve">i </w:t>
      </w:r>
      <w:r w:rsidR="0078437B" w:rsidRPr="007C7BFF">
        <w:rPr>
          <w:lang w:val="pl-PL"/>
        </w:rPr>
        <w:t xml:space="preserve">są </w:t>
      </w:r>
      <w:r w:rsidR="008673CF" w:rsidRPr="007C7BFF">
        <w:rPr>
          <w:lang w:val="pl-PL"/>
        </w:rPr>
        <w:t xml:space="preserve">podyktowane </w:t>
      </w:r>
      <w:r w:rsidRPr="007C7BFF">
        <w:rPr>
          <w:lang w:val="pl-PL"/>
        </w:rPr>
        <w:t>potrzebą</w:t>
      </w:r>
      <w:r w:rsidR="0064489B" w:rsidRPr="007C7BFF">
        <w:rPr>
          <w:lang w:val="pl-PL"/>
        </w:rPr>
        <w:t xml:space="preserve"> zapewnienia </w:t>
      </w:r>
      <w:r w:rsidRPr="007C7BFF">
        <w:rPr>
          <w:lang w:val="pl-PL"/>
        </w:rPr>
        <w:t>możliw</w:t>
      </w:r>
      <w:r w:rsidR="0064489B" w:rsidRPr="007C7BFF">
        <w:rPr>
          <w:lang w:val="pl-PL"/>
        </w:rPr>
        <w:t>ości</w:t>
      </w:r>
      <w:r w:rsidRPr="007C7BFF">
        <w:rPr>
          <w:lang w:val="pl-PL"/>
        </w:rPr>
        <w:t xml:space="preserve"> </w:t>
      </w:r>
      <w:r w:rsidR="0064489B" w:rsidRPr="007C7BFF">
        <w:rPr>
          <w:lang w:val="pl-PL"/>
        </w:rPr>
        <w:t>kontroli</w:t>
      </w:r>
      <w:r w:rsidRPr="007C7BFF">
        <w:rPr>
          <w:lang w:val="pl-PL"/>
        </w:rPr>
        <w:t xml:space="preserve"> </w:t>
      </w:r>
      <w:r w:rsidR="0064489B" w:rsidRPr="007C7BFF">
        <w:rPr>
          <w:lang w:val="pl-PL"/>
        </w:rPr>
        <w:t xml:space="preserve">przez </w:t>
      </w:r>
      <w:r w:rsidR="0078437B" w:rsidRPr="007C7BFF">
        <w:rPr>
          <w:lang w:val="pl-PL"/>
        </w:rPr>
        <w:t xml:space="preserve">demokratyczne </w:t>
      </w:r>
      <w:r w:rsidR="0064489B" w:rsidRPr="007C7BFF">
        <w:rPr>
          <w:lang w:val="pl-PL"/>
        </w:rPr>
        <w:t xml:space="preserve">państwo </w:t>
      </w:r>
      <w:r w:rsidRPr="007C7BFF">
        <w:rPr>
          <w:lang w:val="pl-PL"/>
        </w:rPr>
        <w:t>warunków przyjmowania dzieci</w:t>
      </w:r>
      <w:r w:rsidR="002D1B3B" w:rsidRPr="007C7BFF">
        <w:rPr>
          <w:lang w:val="pl-PL"/>
        </w:rPr>
        <w:t>-cudzoziemców.</w:t>
      </w:r>
      <w:r w:rsidRPr="007C7BFF">
        <w:rPr>
          <w:lang w:val="pl-PL"/>
        </w:rPr>
        <w:t xml:space="preserve"> </w:t>
      </w:r>
      <w:r w:rsidR="002D1B3B" w:rsidRPr="007C7BFF">
        <w:rPr>
          <w:lang w:val="pl-PL"/>
        </w:rPr>
        <w:t>P</w:t>
      </w:r>
      <w:r w:rsidRPr="007C7BFF">
        <w:rPr>
          <w:lang w:val="pl-PL"/>
        </w:rPr>
        <w:t xml:space="preserve">ostanowienia te nie stanowiły nieproporcjonalnej ingerencji w prawo do życia rodzinnego </w:t>
      </w:r>
      <w:r w:rsidR="00611B7D">
        <w:rPr>
          <w:lang w:val="pl-PL"/>
        </w:rPr>
        <w:t xml:space="preserve">skarżących </w:t>
      </w:r>
      <w:r w:rsidRPr="007C7BFF">
        <w:rPr>
          <w:lang w:val="pl-PL"/>
        </w:rPr>
        <w:t>w rozumieniu art.</w:t>
      </w:r>
      <w:r w:rsidR="00AE1FD2" w:rsidRPr="007C7BFF">
        <w:rPr>
          <w:lang w:val="pl-PL"/>
        </w:rPr>
        <w:t xml:space="preserve"> </w:t>
      </w:r>
      <w:r w:rsidRPr="007C7BFF">
        <w:rPr>
          <w:lang w:val="pl-PL"/>
        </w:rPr>
        <w:t xml:space="preserve">8 i art. 14 </w:t>
      </w:r>
      <w:r w:rsidR="002D1B3B" w:rsidRPr="007C7BFF">
        <w:rPr>
          <w:lang w:val="pl-PL"/>
        </w:rPr>
        <w:t>Konwencji</w:t>
      </w:r>
      <w:r w:rsidRPr="007C7BFF">
        <w:rPr>
          <w:lang w:val="pl-PL"/>
        </w:rPr>
        <w:t xml:space="preserve"> ani </w:t>
      </w:r>
      <w:r w:rsidR="00611B7D">
        <w:rPr>
          <w:lang w:val="pl-PL"/>
        </w:rPr>
        <w:t xml:space="preserve">też </w:t>
      </w:r>
      <w:r w:rsidRPr="007C7BFF">
        <w:rPr>
          <w:lang w:val="pl-PL"/>
        </w:rPr>
        <w:t>nie naruszały art. 3</w:t>
      </w:r>
      <w:r w:rsidR="002D1B3B" w:rsidRPr="007C7BFF">
        <w:rPr>
          <w:lang w:val="pl-PL"/>
        </w:rPr>
        <w:t xml:space="preserve"> ust. </w:t>
      </w:r>
      <w:r w:rsidRPr="007C7BFF">
        <w:rPr>
          <w:lang w:val="pl-PL"/>
        </w:rPr>
        <w:t xml:space="preserve">1 Konwencji </w:t>
      </w:r>
      <w:r w:rsidR="00611B7D">
        <w:rPr>
          <w:lang w:val="pl-PL"/>
        </w:rPr>
        <w:t xml:space="preserve">o </w:t>
      </w:r>
      <w:r w:rsidR="00611B7D" w:rsidRPr="007C7BFF">
        <w:rPr>
          <w:lang w:val="pl-PL"/>
        </w:rPr>
        <w:t>praw</w:t>
      </w:r>
      <w:r w:rsidR="00611B7D">
        <w:rPr>
          <w:lang w:val="pl-PL"/>
        </w:rPr>
        <w:t>ach</w:t>
      </w:r>
      <w:r w:rsidR="00611B7D" w:rsidRPr="007C7BFF">
        <w:rPr>
          <w:lang w:val="pl-PL"/>
        </w:rPr>
        <w:t xml:space="preserve"> dziecka</w:t>
      </w:r>
      <w:r w:rsidRPr="007C7BFF">
        <w:rPr>
          <w:lang w:val="pl-PL"/>
        </w:rPr>
        <w:t xml:space="preserve">. Sądy krajowe ponadto </w:t>
      </w:r>
      <w:r w:rsidR="002D1B3B" w:rsidRPr="007C7BFF">
        <w:rPr>
          <w:lang w:val="pl-PL"/>
        </w:rPr>
        <w:t>podkreślały</w:t>
      </w:r>
      <w:r w:rsidRPr="00CA5FE9">
        <w:rPr>
          <w:lang w:val="pl-PL"/>
        </w:rPr>
        <w:t>, że przedmiotowe postanowienia kodeksu zabezpieczeń społecznych nie</w:t>
      </w:r>
      <w:r w:rsidR="002D1B3B">
        <w:rPr>
          <w:lang w:val="pl-PL"/>
        </w:rPr>
        <w:t xml:space="preserve"> naruszały</w:t>
      </w:r>
      <w:r w:rsidRPr="00CA5FE9">
        <w:rPr>
          <w:lang w:val="pl-PL"/>
        </w:rPr>
        <w:t xml:space="preserve"> </w:t>
      </w:r>
      <w:r w:rsidR="002D1B3B">
        <w:rPr>
          <w:lang w:val="pl-PL"/>
        </w:rPr>
        <w:t xml:space="preserve">w sposób nieproporcjonalny </w:t>
      </w:r>
      <w:r w:rsidRPr="00CA5FE9">
        <w:rPr>
          <w:lang w:val="pl-PL"/>
        </w:rPr>
        <w:t xml:space="preserve">zasady równego traktowania </w:t>
      </w:r>
      <w:r w:rsidR="00A077FB">
        <w:rPr>
          <w:lang w:val="pl-PL"/>
        </w:rPr>
        <w:t>wielo</w:t>
      </w:r>
      <w:r w:rsidR="002D1B3B">
        <w:rPr>
          <w:lang w:val="pl-PL"/>
        </w:rPr>
        <w:t xml:space="preserve">letnich rezydentów </w:t>
      </w:r>
      <w:r w:rsidR="002D1B3B" w:rsidRPr="007C7BFF">
        <w:rPr>
          <w:lang w:val="pl-PL"/>
        </w:rPr>
        <w:t>w stosunku do obywateli państw członkowskich</w:t>
      </w:r>
      <w:r w:rsidRPr="007C7BFF">
        <w:rPr>
          <w:lang w:val="pl-PL"/>
        </w:rPr>
        <w:t xml:space="preserve"> Unii Europejskiej.</w:t>
      </w:r>
      <w:r w:rsidRPr="00CA5FE9">
        <w:rPr>
          <w:lang w:val="pl-PL"/>
        </w:rPr>
        <w:t xml:space="preserve"> </w:t>
      </w:r>
    </w:p>
    <w:p w:rsidR="00AA3011" w:rsidRDefault="00AA3011" w:rsidP="00AA3011">
      <w:pPr>
        <w:spacing w:after="120" w:line="240" w:lineRule="auto"/>
        <w:jc w:val="both"/>
        <w:rPr>
          <w:lang w:val="pl-PL"/>
        </w:rPr>
      </w:pPr>
      <w:r>
        <w:rPr>
          <w:rStyle w:val="sb8d990e2"/>
          <w:lang w:val="pl-PL"/>
        </w:rPr>
        <w:t>S</w:t>
      </w:r>
      <w:r w:rsidRPr="00851F70">
        <w:rPr>
          <w:rStyle w:val="sb8d990e2"/>
          <w:lang w:val="pl-PL"/>
        </w:rPr>
        <w:t>karżący podnosili</w:t>
      </w:r>
      <w:r>
        <w:rPr>
          <w:rStyle w:val="sb8d990e2"/>
          <w:lang w:val="pl-PL"/>
        </w:rPr>
        <w:t xml:space="preserve"> przed Trybunałem</w:t>
      </w:r>
      <w:r w:rsidRPr="00851F70">
        <w:rPr>
          <w:rStyle w:val="sb8d990e2"/>
          <w:lang w:val="pl-PL"/>
        </w:rPr>
        <w:t xml:space="preserve">, że doszło do różnego traktowania </w:t>
      </w:r>
      <w:r w:rsidR="00A077FB">
        <w:rPr>
          <w:rStyle w:val="sb8d990e2"/>
          <w:lang w:val="pl-PL"/>
        </w:rPr>
        <w:t xml:space="preserve">ich </w:t>
      </w:r>
      <w:r>
        <w:rPr>
          <w:rStyle w:val="sb8d990e2"/>
          <w:lang w:val="pl-PL"/>
        </w:rPr>
        <w:t xml:space="preserve">dzieci z uwagi na status migracyjnych rodziców, co stanowi naruszenie zakazu dyskryminacji w odniesieniu do prawa do poszanowania życia rodzinnego (art. 8 Konwencji w związku z art. 14). Pierwsi skarżący wskazywali na odmienne traktowanie obywateli państw UE i państw trzecich, z którymi zawarto porozumienia przewidujące równe traktowanie w obszarze świadczeń rodzinnych – w stosunku do obywateli pozostałych państw trzecich. Sytuacja </w:t>
      </w:r>
      <w:r w:rsidR="00A077FB">
        <w:rPr>
          <w:rStyle w:val="sb8d990e2"/>
          <w:lang w:val="pl-PL"/>
        </w:rPr>
        <w:t xml:space="preserve">ta </w:t>
      </w:r>
      <w:r>
        <w:rPr>
          <w:rStyle w:val="sb8d990e2"/>
          <w:lang w:val="pl-PL"/>
        </w:rPr>
        <w:t xml:space="preserve">może być uznana za dyskryminację pośrednią opartą na przesłance pochodzenia oraz fakcie urodzenia za granicą. Druga skarżąca podnosiła ponadto, że niektórzy rodzice są zwolnieni z obowiązku przestrzegania procedury łączenia rodziny </w:t>
      </w:r>
      <w:r w:rsidR="00B0462E">
        <w:rPr>
          <w:rStyle w:val="sb8d990e2"/>
          <w:lang w:val="pl-PL"/>
        </w:rPr>
        <w:t>(</w:t>
      </w:r>
      <w:r>
        <w:rPr>
          <w:rStyle w:val="sb8d990e2"/>
          <w:lang w:val="pl-PL"/>
        </w:rPr>
        <w:t>m.in. osoby, których dzieci urodziły się we Francji, uchodźcy, bezpaństwowcy, osoby korzystające z opieki subsydiarnej, naukowcy i badacze</w:t>
      </w:r>
      <w:r w:rsidR="00B0462E">
        <w:rPr>
          <w:rStyle w:val="sb8d990e2"/>
          <w:lang w:val="pl-PL"/>
        </w:rPr>
        <w:t>)</w:t>
      </w:r>
      <w:r>
        <w:rPr>
          <w:rStyle w:val="sb8d990e2"/>
          <w:lang w:val="pl-PL"/>
        </w:rPr>
        <w:t xml:space="preserve">. </w:t>
      </w:r>
      <w:r w:rsidR="00454BF2">
        <w:rPr>
          <w:rStyle w:val="sb8d990e2"/>
          <w:lang w:val="pl-PL"/>
        </w:rPr>
        <w:t xml:space="preserve">Skarżący podnosili, że argumenty powoływane przez rząd dla usprawiedliwienia zróżnicowanego traktowania nie mogą zostać uznane za uprawnione, gdyż </w:t>
      </w:r>
      <w:r w:rsidR="003A1FB8">
        <w:rPr>
          <w:rStyle w:val="sb8d990e2"/>
          <w:lang w:val="pl-PL"/>
        </w:rPr>
        <w:t xml:space="preserve">stanowią </w:t>
      </w:r>
      <w:r w:rsidR="00454BF2" w:rsidRPr="007C7BFF">
        <w:rPr>
          <w:rStyle w:val="sb8d990e2"/>
          <w:lang w:val="pl-PL"/>
        </w:rPr>
        <w:t>sankcj</w:t>
      </w:r>
      <w:r w:rsidR="003A1FB8">
        <w:rPr>
          <w:rStyle w:val="sb8d990e2"/>
          <w:lang w:val="pl-PL"/>
        </w:rPr>
        <w:t xml:space="preserve">ę z uwagi na </w:t>
      </w:r>
      <w:r w:rsidR="00454BF2">
        <w:rPr>
          <w:rStyle w:val="sb8d990e2"/>
          <w:lang w:val="pl-PL"/>
        </w:rPr>
        <w:t>postępowanie rodziców bez wzięcia pod uwagę zasady dobra dziecka.</w:t>
      </w:r>
      <w:r w:rsidR="00454BF2" w:rsidRPr="00377F80">
        <w:rPr>
          <w:rStyle w:val="sb8d990e2"/>
          <w:lang w:val="pl-PL"/>
        </w:rPr>
        <w:t xml:space="preserve"> </w:t>
      </w:r>
      <w:r>
        <w:rPr>
          <w:rStyle w:val="sb8d990e2"/>
          <w:lang w:val="pl-PL"/>
        </w:rPr>
        <w:t>Skarżący kwestionowali też skuteczność procedury łączenia rodzin w sytuacji, gdy członek rodziny już przebywa w kraju. Powoływali się w tym względzie na niewielką liczbę spraw, w których taka procedura zakończyła się powodzeniem.</w:t>
      </w:r>
    </w:p>
    <w:p w:rsidR="003D04FE" w:rsidRDefault="003D04FE" w:rsidP="003D04FE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>
        <w:rPr>
          <w:rFonts w:ascii="Calibri" w:hAnsi="Calibri"/>
          <w:color w:val="000000"/>
          <w:u w:val="single"/>
          <w:lang w:val="pl-PL"/>
        </w:rPr>
        <w:t>O</w:t>
      </w:r>
      <w:r w:rsidRPr="002615CC">
        <w:rPr>
          <w:rFonts w:ascii="Calibri" w:hAnsi="Calibri"/>
          <w:color w:val="000000"/>
          <w:u w:val="single"/>
          <w:lang w:val="pl-PL"/>
        </w:rPr>
        <w:t>cena Trybunału</w:t>
      </w:r>
    </w:p>
    <w:p w:rsidR="00261874" w:rsidRPr="000F4AE5" w:rsidRDefault="00261874" w:rsidP="00261874">
      <w:pPr>
        <w:spacing w:after="120" w:line="240" w:lineRule="auto"/>
        <w:jc w:val="both"/>
        <w:rPr>
          <w:lang w:val="pl-PL"/>
        </w:rPr>
      </w:pPr>
      <w:r w:rsidRPr="000F4AE5">
        <w:rPr>
          <w:lang w:val="pl-PL"/>
        </w:rPr>
        <w:t>Trybunał przypomniał</w:t>
      </w:r>
      <w:r>
        <w:rPr>
          <w:lang w:val="pl-PL"/>
        </w:rPr>
        <w:t xml:space="preserve"> ogólne zasady dotyczące zakazu dyskryminacji. A</w:t>
      </w:r>
      <w:r w:rsidRPr="000F4AE5">
        <w:rPr>
          <w:lang w:val="pl-PL"/>
        </w:rPr>
        <w:t>rt.</w:t>
      </w:r>
      <w:r>
        <w:rPr>
          <w:lang w:val="pl-PL"/>
        </w:rPr>
        <w:t xml:space="preserve"> 14 Konwencji wchodzi w grę, jeśli doszło do różnego traktowania osób znajdujących się w podobnych sytuacjach. Takie zróżnicowanie jest dyskryminacyjne, tylko jeśli opiera się na określonych cechach osobistych oraz nie posiada obiektywnego i rozsądnego uzasadnienia, tj. nie służy osiągnięciu uprawnionego celu lub jeśli nie jest zachowana rozsądna proporcjonalność między celem a środkami użytymi do jego osiągnięcia. Państwa korzystają z pewnego marginesu oceny w celu określenia, czy i w jakim stopniu różnice między sytuacjami w pozostałym </w:t>
      </w:r>
      <w:r w:rsidR="00A077FB">
        <w:rPr>
          <w:lang w:val="pl-PL"/>
        </w:rPr>
        <w:t>zakresie podobnymi uzasadniają</w:t>
      </w:r>
      <w:r>
        <w:rPr>
          <w:lang w:val="pl-PL"/>
        </w:rPr>
        <w:t xml:space="preserve"> zróżnicowane traktowanie. Zakres marginesu oceny różni się w zależności od okoliczności, obszaru i kontekstu, ostatecznie to jednak do Trybunału należy ocena, czy spełnione są wymogi konwencyjne. Szeroka swoboda jest zwykle  pozostawiona państwu przy podejmowaniu środków generalnych w obszarze gospodarczym i społecznym. Jednakże, jedynie bardzo ważne względy mogą skłonić Trybunał do uznania zgodności z Konwencją zróżnicowanego traktowania opartego wyłącznie na przesłance obywatelstwa.</w:t>
      </w:r>
      <w:r w:rsidRPr="000F4AE5">
        <w:rPr>
          <w:lang w:val="pl-PL"/>
        </w:rPr>
        <w:t xml:space="preserve"> </w:t>
      </w:r>
    </w:p>
    <w:p w:rsidR="00065852" w:rsidRDefault="00A077FB" w:rsidP="00CA5FE9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1. </w:t>
      </w:r>
      <w:r w:rsidR="003347A4" w:rsidRPr="00A077FB">
        <w:rPr>
          <w:b/>
          <w:lang w:val="pl-PL"/>
        </w:rPr>
        <w:t xml:space="preserve">W odniesieniu do </w:t>
      </w:r>
      <w:r w:rsidR="002040FA" w:rsidRPr="00A077FB">
        <w:rPr>
          <w:b/>
          <w:lang w:val="pl-PL"/>
        </w:rPr>
        <w:t>zarzut</w:t>
      </w:r>
      <w:r w:rsidR="003347A4" w:rsidRPr="00A077FB">
        <w:rPr>
          <w:b/>
          <w:lang w:val="pl-PL"/>
        </w:rPr>
        <w:t>u</w:t>
      </w:r>
      <w:r w:rsidR="00065852" w:rsidRPr="00A077FB">
        <w:rPr>
          <w:b/>
          <w:lang w:val="pl-PL"/>
        </w:rPr>
        <w:t xml:space="preserve"> naruszenia art. 8 </w:t>
      </w:r>
      <w:r w:rsidRPr="00A077FB">
        <w:rPr>
          <w:b/>
          <w:lang w:val="pl-PL"/>
        </w:rPr>
        <w:t xml:space="preserve">Konwencji </w:t>
      </w:r>
      <w:r w:rsidR="00065852" w:rsidRPr="00A077FB">
        <w:rPr>
          <w:b/>
          <w:lang w:val="pl-PL"/>
        </w:rPr>
        <w:t xml:space="preserve">(prawo do poszanowania życia prywatnego i rodzinnego) </w:t>
      </w:r>
      <w:r w:rsidR="003347A4" w:rsidRPr="00A077FB">
        <w:rPr>
          <w:b/>
          <w:lang w:val="pl-PL"/>
        </w:rPr>
        <w:t xml:space="preserve">w związku z </w:t>
      </w:r>
      <w:r w:rsidR="00065852" w:rsidRPr="00A077FB">
        <w:rPr>
          <w:b/>
          <w:lang w:val="pl-PL"/>
        </w:rPr>
        <w:t>art. 14 (zakaz dyskryminacji)</w:t>
      </w:r>
      <w:r w:rsidR="003347A4" w:rsidRPr="00A077FB">
        <w:rPr>
          <w:b/>
          <w:lang w:val="pl-PL"/>
        </w:rPr>
        <w:t>,</w:t>
      </w:r>
      <w:r w:rsidR="003347A4" w:rsidRPr="00393069">
        <w:rPr>
          <w:lang w:val="pl-PL"/>
        </w:rPr>
        <w:t xml:space="preserve"> </w:t>
      </w:r>
      <w:r w:rsidR="00065852" w:rsidRPr="00CA5FE9">
        <w:rPr>
          <w:lang w:val="pl-PL"/>
        </w:rPr>
        <w:t xml:space="preserve">Trybunał </w:t>
      </w:r>
      <w:r w:rsidR="0078437B">
        <w:rPr>
          <w:lang w:val="pl-PL"/>
        </w:rPr>
        <w:t xml:space="preserve">na wstępie </w:t>
      </w:r>
      <w:r w:rsidR="003347A4">
        <w:rPr>
          <w:lang w:val="pl-PL"/>
        </w:rPr>
        <w:t>zauważył</w:t>
      </w:r>
      <w:r w:rsidR="00065852" w:rsidRPr="00CA5FE9">
        <w:rPr>
          <w:lang w:val="pl-PL"/>
        </w:rPr>
        <w:t xml:space="preserve">, że </w:t>
      </w:r>
      <w:r w:rsidR="007C1249">
        <w:rPr>
          <w:lang w:val="pl-PL"/>
        </w:rPr>
        <w:t xml:space="preserve">doszło do </w:t>
      </w:r>
      <w:r w:rsidR="00AA3011">
        <w:rPr>
          <w:lang w:val="pl-PL"/>
        </w:rPr>
        <w:t xml:space="preserve">zróżnicowanego </w:t>
      </w:r>
      <w:r w:rsidR="007C1249">
        <w:rPr>
          <w:lang w:val="pl-PL"/>
        </w:rPr>
        <w:t xml:space="preserve">traktowania skarżących </w:t>
      </w:r>
      <w:r w:rsidR="00AA3011">
        <w:rPr>
          <w:lang w:val="pl-PL"/>
        </w:rPr>
        <w:t xml:space="preserve">w stosunku do </w:t>
      </w:r>
      <w:r w:rsidR="007C1249">
        <w:rPr>
          <w:lang w:val="pl-PL"/>
        </w:rPr>
        <w:t xml:space="preserve">innych rodziców otrzymujących świadczenia rodzinne. Zróżnicowanie to wynikało z kryterium obywatelstwa oraz </w:t>
      </w:r>
      <w:r>
        <w:rPr>
          <w:lang w:val="pl-PL"/>
        </w:rPr>
        <w:t>przesłanki</w:t>
      </w:r>
      <w:r w:rsidR="007C1249">
        <w:rPr>
          <w:lang w:val="pl-PL"/>
        </w:rPr>
        <w:t xml:space="preserve"> zgodności z regulacjami </w:t>
      </w:r>
      <w:r w:rsidR="00065852" w:rsidRPr="00CA5FE9">
        <w:rPr>
          <w:lang w:val="pl-PL"/>
        </w:rPr>
        <w:t xml:space="preserve">ustawowymi dotyczącymi łączenia rodzin. Różnica </w:t>
      </w:r>
      <w:r w:rsidR="007C1249">
        <w:rPr>
          <w:lang w:val="pl-PL"/>
        </w:rPr>
        <w:t xml:space="preserve">ta </w:t>
      </w:r>
      <w:r w:rsidR="00065852" w:rsidRPr="00CA5FE9">
        <w:rPr>
          <w:lang w:val="pl-PL"/>
        </w:rPr>
        <w:t>miała zastosowanie w obszarze ekonomicznym i społecznym</w:t>
      </w:r>
      <w:r w:rsidR="00AC09F0">
        <w:rPr>
          <w:lang w:val="pl-PL"/>
        </w:rPr>
        <w:t xml:space="preserve"> (w odniesieniu do którego państwa mają szeroki margines oceny)</w:t>
      </w:r>
      <w:r w:rsidR="007C1249">
        <w:rPr>
          <w:lang w:val="pl-PL"/>
        </w:rPr>
        <w:t xml:space="preserve"> i </w:t>
      </w:r>
      <w:r w:rsidR="00065852" w:rsidRPr="00CA5FE9">
        <w:rPr>
          <w:lang w:val="pl-PL"/>
        </w:rPr>
        <w:t xml:space="preserve">nie </w:t>
      </w:r>
      <w:r w:rsidR="007C1249">
        <w:rPr>
          <w:lang w:val="pl-PL"/>
        </w:rPr>
        <w:t xml:space="preserve">opierała się wyłącznie na kryterium obywatelstwa, </w:t>
      </w:r>
      <w:r w:rsidR="00065852" w:rsidRPr="00CA5FE9">
        <w:rPr>
          <w:lang w:val="pl-PL"/>
        </w:rPr>
        <w:t>gdyż skarżącym odmówiono świadczeń ze względu na</w:t>
      </w:r>
      <w:r w:rsidR="007C1249">
        <w:rPr>
          <w:lang w:val="pl-PL"/>
        </w:rPr>
        <w:t xml:space="preserve"> fakt</w:t>
      </w:r>
      <w:r w:rsidR="00065852" w:rsidRPr="00CA5FE9">
        <w:rPr>
          <w:lang w:val="pl-PL"/>
        </w:rPr>
        <w:t xml:space="preserve">, że ich dzieci wjechały na teren Francji nielegalnie </w:t>
      </w:r>
      <w:r w:rsidR="007C1249">
        <w:rPr>
          <w:lang w:val="pl-PL"/>
        </w:rPr>
        <w:t xml:space="preserve">w rezultacie działań umyślnie naruszających prawo. </w:t>
      </w:r>
      <w:r w:rsidR="00AC09F0">
        <w:rPr>
          <w:lang w:val="pl-PL"/>
        </w:rPr>
        <w:t>W tym względzie Trybunał odnotował, że skarżący nie twierdzili ani nie powołali argumentów wskazujących, iż zasady mające zastosowanie w odniesieniu do łączenia rodzin same w sobie miały charakter dyskryminacyjny.</w:t>
      </w:r>
    </w:p>
    <w:p w:rsidR="00065852" w:rsidRPr="00CA5FE9" w:rsidRDefault="00065852" w:rsidP="00CA5FE9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 xml:space="preserve">Trybunał </w:t>
      </w:r>
      <w:r w:rsidR="007C1249">
        <w:rPr>
          <w:lang w:val="pl-PL"/>
        </w:rPr>
        <w:t xml:space="preserve">zwrócił też </w:t>
      </w:r>
      <w:r w:rsidR="00AA3011">
        <w:rPr>
          <w:lang w:val="pl-PL"/>
        </w:rPr>
        <w:t xml:space="preserve">szczególną </w:t>
      </w:r>
      <w:r w:rsidR="007C1249">
        <w:rPr>
          <w:lang w:val="pl-PL"/>
        </w:rPr>
        <w:t xml:space="preserve">uwagę na fakt, że osoby, których wniosek o przyznanie świadczeń został odrzucony, wciąż </w:t>
      </w:r>
      <w:r w:rsidRPr="00CA5FE9">
        <w:rPr>
          <w:lang w:val="pl-PL"/>
        </w:rPr>
        <w:t xml:space="preserve">mogły skutecznie uregulować swoją sytuację i ostatecznie uzyskać </w:t>
      </w:r>
      <w:r w:rsidR="007C1249">
        <w:rPr>
          <w:lang w:val="pl-PL"/>
        </w:rPr>
        <w:t xml:space="preserve">przedmiotowe </w:t>
      </w:r>
      <w:r w:rsidRPr="00CA5FE9">
        <w:rPr>
          <w:lang w:val="pl-PL"/>
        </w:rPr>
        <w:t xml:space="preserve">świadczenia </w:t>
      </w:r>
      <w:r w:rsidR="007C1249">
        <w:rPr>
          <w:lang w:val="pl-PL"/>
        </w:rPr>
        <w:t>w drodze</w:t>
      </w:r>
      <w:r w:rsidRPr="00CA5FE9">
        <w:rPr>
          <w:lang w:val="pl-PL"/>
        </w:rPr>
        <w:t xml:space="preserve"> procedury łączenia rodzin </w:t>
      </w:r>
      <w:r w:rsidR="00AA3011">
        <w:rPr>
          <w:lang w:val="pl-PL"/>
        </w:rPr>
        <w:t xml:space="preserve">prowadzonej </w:t>
      </w:r>
      <w:r w:rsidR="007C1249">
        <w:rPr>
          <w:lang w:val="pl-PL"/>
        </w:rPr>
        <w:t>w</w:t>
      </w:r>
      <w:r w:rsidR="00A077FB">
        <w:rPr>
          <w:lang w:val="pl-PL"/>
        </w:rPr>
        <w:t>obec</w:t>
      </w:r>
      <w:r w:rsidR="007C1249">
        <w:rPr>
          <w:lang w:val="pl-PL"/>
        </w:rPr>
        <w:t xml:space="preserve"> dzieci przebywających </w:t>
      </w:r>
      <w:r w:rsidRPr="00CA5FE9">
        <w:rPr>
          <w:lang w:val="pl-PL"/>
        </w:rPr>
        <w:t>już na terenie Francji</w:t>
      </w:r>
      <w:r w:rsidR="00AA3011">
        <w:rPr>
          <w:lang w:val="pl-PL"/>
        </w:rPr>
        <w:t xml:space="preserve"> (Trybunał odnotował przypadki pozytywnych orzeczeń organów krajowych w tym względzie)</w:t>
      </w:r>
      <w:r w:rsidRPr="00CA5FE9">
        <w:rPr>
          <w:lang w:val="pl-PL"/>
        </w:rPr>
        <w:t>.</w:t>
      </w:r>
      <w:r w:rsidR="00AE1FD2">
        <w:rPr>
          <w:lang w:val="pl-PL"/>
        </w:rPr>
        <w:t xml:space="preserve"> </w:t>
      </w:r>
      <w:r w:rsidRPr="00CA5FE9">
        <w:rPr>
          <w:lang w:val="pl-PL"/>
        </w:rPr>
        <w:t xml:space="preserve">Jednakże, </w:t>
      </w:r>
      <w:r w:rsidR="003347A4">
        <w:rPr>
          <w:lang w:val="pl-PL"/>
        </w:rPr>
        <w:t>skarżący</w:t>
      </w:r>
      <w:r w:rsidRPr="00CA5FE9">
        <w:rPr>
          <w:lang w:val="pl-PL"/>
        </w:rPr>
        <w:t xml:space="preserve"> nie </w:t>
      </w:r>
      <w:r w:rsidR="003347A4">
        <w:rPr>
          <w:lang w:val="pl-PL"/>
        </w:rPr>
        <w:t>udowodnili</w:t>
      </w:r>
      <w:r w:rsidRPr="00CA5FE9">
        <w:rPr>
          <w:lang w:val="pl-PL"/>
        </w:rPr>
        <w:t xml:space="preserve">, że poczynili </w:t>
      </w:r>
      <w:r w:rsidR="007C1249">
        <w:rPr>
          <w:lang w:val="pl-PL"/>
        </w:rPr>
        <w:t xml:space="preserve">wystarczające </w:t>
      </w:r>
      <w:r w:rsidRPr="00CA5FE9">
        <w:rPr>
          <w:lang w:val="pl-PL"/>
        </w:rPr>
        <w:t xml:space="preserve">starania, by </w:t>
      </w:r>
      <w:r w:rsidR="003347A4">
        <w:rPr>
          <w:lang w:val="pl-PL"/>
        </w:rPr>
        <w:t>przeprowadzić</w:t>
      </w:r>
      <w:r w:rsidRPr="00CA5FE9">
        <w:rPr>
          <w:lang w:val="pl-PL"/>
        </w:rPr>
        <w:t xml:space="preserve"> procedurę łączenia rodzin w kraju, pomimo że </w:t>
      </w:r>
      <w:r w:rsidR="003347A4">
        <w:rPr>
          <w:lang w:val="pl-PL"/>
        </w:rPr>
        <w:t xml:space="preserve">mieli </w:t>
      </w:r>
      <w:r w:rsidR="00A077FB">
        <w:rPr>
          <w:lang w:val="pl-PL"/>
        </w:rPr>
        <w:t xml:space="preserve">taką </w:t>
      </w:r>
      <w:r w:rsidR="003347A4">
        <w:rPr>
          <w:lang w:val="pl-PL"/>
        </w:rPr>
        <w:t>możliwość</w:t>
      </w:r>
      <w:r w:rsidRPr="00CA5FE9">
        <w:rPr>
          <w:lang w:val="pl-PL"/>
        </w:rPr>
        <w:t xml:space="preserve">. </w:t>
      </w:r>
      <w:r w:rsidR="003347A4">
        <w:rPr>
          <w:lang w:val="pl-PL"/>
        </w:rPr>
        <w:t xml:space="preserve"> </w:t>
      </w:r>
    </w:p>
    <w:p w:rsidR="00065852" w:rsidRPr="00CA5FE9" w:rsidRDefault="00065852" w:rsidP="00CA5FE9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>Trybunał</w:t>
      </w:r>
      <w:r w:rsidR="007C1249">
        <w:rPr>
          <w:lang w:val="pl-PL"/>
        </w:rPr>
        <w:t xml:space="preserve"> uznał więc</w:t>
      </w:r>
      <w:r w:rsidRPr="00CA5FE9">
        <w:rPr>
          <w:lang w:val="pl-PL"/>
        </w:rPr>
        <w:t xml:space="preserve">, że odmowa przyznania świadczeń rodzinnych skarżącym nie </w:t>
      </w:r>
      <w:r w:rsidR="003347A4">
        <w:rPr>
          <w:lang w:val="pl-PL"/>
        </w:rPr>
        <w:t xml:space="preserve">opierała się wyłącznie na kryterium obywatelstwa </w:t>
      </w:r>
      <w:r w:rsidRPr="00CA5FE9">
        <w:rPr>
          <w:lang w:val="pl-PL"/>
        </w:rPr>
        <w:t>lu</w:t>
      </w:r>
      <w:r w:rsidR="003347A4">
        <w:rPr>
          <w:lang w:val="pl-PL"/>
        </w:rPr>
        <w:t xml:space="preserve">b </w:t>
      </w:r>
      <w:r w:rsidR="00CD1FC4">
        <w:rPr>
          <w:lang w:val="pl-PL"/>
        </w:rPr>
        <w:t xml:space="preserve">na </w:t>
      </w:r>
      <w:r w:rsidR="003347A4">
        <w:rPr>
          <w:lang w:val="pl-PL"/>
        </w:rPr>
        <w:t>jakiejkolwiek innej przesłance</w:t>
      </w:r>
      <w:r w:rsidRPr="00CA5FE9">
        <w:rPr>
          <w:lang w:val="pl-PL"/>
        </w:rPr>
        <w:t xml:space="preserve"> zawartej w art. 14</w:t>
      </w:r>
      <w:r w:rsidR="003347A4">
        <w:rPr>
          <w:lang w:val="pl-PL"/>
        </w:rPr>
        <w:t xml:space="preserve"> Konwencji</w:t>
      </w:r>
      <w:r w:rsidRPr="00CA5FE9">
        <w:rPr>
          <w:lang w:val="pl-PL"/>
        </w:rPr>
        <w:t xml:space="preserve">, </w:t>
      </w:r>
      <w:r w:rsidR="003347A4">
        <w:rPr>
          <w:lang w:val="pl-PL"/>
        </w:rPr>
        <w:t xml:space="preserve">wynikała zaś z faktu, że skarżący </w:t>
      </w:r>
      <w:r w:rsidRPr="00CA5FE9">
        <w:rPr>
          <w:lang w:val="pl-PL"/>
        </w:rPr>
        <w:t xml:space="preserve">nie </w:t>
      </w:r>
      <w:r w:rsidR="00CD1FC4">
        <w:rPr>
          <w:lang w:val="pl-PL"/>
        </w:rPr>
        <w:t xml:space="preserve">spełnili zasad </w:t>
      </w:r>
      <w:r w:rsidRPr="00CA5FE9">
        <w:rPr>
          <w:lang w:val="pl-PL"/>
        </w:rPr>
        <w:t>procedury łączenia rodzin</w:t>
      </w:r>
      <w:r w:rsidR="003347A4">
        <w:rPr>
          <w:lang w:val="pl-PL"/>
        </w:rPr>
        <w:t>. R</w:t>
      </w:r>
      <w:r w:rsidRPr="00CA5FE9">
        <w:rPr>
          <w:lang w:val="pl-PL"/>
        </w:rPr>
        <w:t xml:space="preserve">óżnica w traktowaniu </w:t>
      </w:r>
      <w:r w:rsidR="003347A4">
        <w:rPr>
          <w:lang w:val="pl-PL"/>
        </w:rPr>
        <w:t xml:space="preserve">miała </w:t>
      </w:r>
      <w:r w:rsidR="00CD1FC4">
        <w:rPr>
          <w:lang w:val="pl-PL"/>
        </w:rPr>
        <w:t xml:space="preserve">więc </w:t>
      </w:r>
      <w:r w:rsidRPr="00CA5FE9">
        <w:rPr>
          <w:lang w:val="pl-PL"/>
        </w:rPr>
        <w:t xml:space="preserve">obiektywne i uzasadnione przyczyny. Trybunał uznał skargę </w:t>
      </w:r>
      <w:r w:rsidR="00CD1FC4">
        <w:rPr>
          <w:lang w:val="pl-PL"/>
        </w:rPr>
        <w:t xml:space="preserve">za </w:t>
      </w:r>
      <w:r w:rsidR="00393069">
        <w:rPr>
          <w:lang w:val="pl-PL"/>
        </w:rPr>
        <w:t xml:space="preserve">w sposób oczywisty nieuzasadnioną </w:t>
      </w:r>
      <w:r w:rsidRPr="00CA5FE9">
        <w:rPr>
          <w:lang w:val="pl-PL"/>
        </w:rPr>
        <w:t>i odrzucił</w:t>
      </w:r>
      <w:r w:rsidR="003347A4">
        <w:rPr>
          <w:lang w:val="pl-PL"/>
        </w:rPr>
        <w:t xml:space="preserve"> jako niedopuszczalną</w:t>
      </w:r>
      <w:r w:rsidRPr="00CA5FE9">
        <w:rPr>
          <w:lang w:val="pl-PL"/>
        </w:rPr>
        <w:t xml:space="preserve">. </w:t>
      </w:r>
    </w:p>
    <w:p w:rsidR="00393069" w:rsidRDefault="002F13FD" w:rsidP="00CA5FE9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2. </w:t>
      </w:r>
      <w:r w:rsidR="00065852" w:rsidRPr="00393069">
        <w:rPr>
          <w:lang w:val="pl-PL"/>
        </w:rPr>
        <w:t xml:space="preserve">Trybunał odrzucił </w:t>
      </w:r>
      <w:r w:rsidR="00393069" w:rsidRPr="00393069">
        <w:rPr>
          <w:lang w:val="pl-PL"/>
        </w:rPr>
        <w:t xml:space="preserve">również zarzut </w:t>
      </w:r>
      <w:r w:rsidR="00393069" w:rsidRPr="002F13FD">
        <w:rPr>
          <w:b/>
          <w:lang w:val="pl-PL"/>
        </w:rPr>
        <w:t>naruszenia  art. 14 Konwencji (zakaz dyskryminacji) w związku z art. 1 Protokołu nr 1 (ochrona własności)</w:t>
      </w:r>
      <w:r w:rsidR="00393069" w:rsidRPr="00393069">
        <w:rPr>
          <w:lang w:val="pl-PL"/>
        </w:rPr>
        <w:t>, uznając skargę w tym zakresie za w sposób oczywisty nieuzasadnioną.</w:t>
      </w:r>
      <w:r w:rsidR="00065852" w:rsidRPr="00393069">
        <w:rPr>
          <w:lang w:val="pl-PL"/>
        </w:rPr>
        <w:t xml:space="preserve"> </w:t>
      </w:r>
    </w:p>
    <w:p w:rsidR="00600E3B" w:rsidRPr="00393069" w:rsidRDefault="00600E3B" w:rsidP="00592DAA">
      <w:pPr>
        <w:spacing w:after="480" w:line="240" w:lineRule="auto"/>
        <w:jc w:val="both"/>
        <w:rPr>
          <w:lang w:val="pl-PL"/>
        </w:rPr>
      </w:pPr>
      <w:r w:rsidRPr="00600E3B">
        <w:rPr>
          <w:u w:val="single"/>
          <w:lang w:val="pl-PL"/>
        </w:rPr>
        <w:t>Znaczenie decyzji dla Polski</w:t>
      </w:r>
      <w:r>
        <w:rPr>
          <w:lang w:val="pl-PL"/>
        </w:rPr>
        <w:t xml:space="preserve"> – dotyczy interesującego zagadnienia zgodności z art. 14 Konwencji </w:t>
      </w:r>
      <w:r w:rsidR="002F13FD">
        <w:rPr>
          <w:lang w:val="pl-PL"/>
        </w:rPr>
        <w:t xml:space="preserve">(zakaz dyskryminacji) </w:t>
      </w:r>
      <w:r>
        <w:rPr>
          <w:lang w:val="pl-PL"/>
        </w:rPr>
        <w:t xml:space="preserve">zróżnicowanego traktowania obywateli państw trzecich w stosunku do obywateli państw UE. Trybunał jednak nie wypowiedział się wprost na temat tej kwestii, dostrzegł bowiem, że kryterium obywatelstwa nie było w tym przypadku jedyną przyczyną zróżnicowanego traktowania. </w:t>
      </w:r>
    </w:p>
    <w:p w:rsidR="00255C96" w:rsidRPr="00CA5FE9" w:rsidRDefault="00255C96" w:rsidP="00255C96">
      <w:pPr>
        <w:pStyle w:val="Nagwek2"/>
        <w:numPr>
          <w:ilvl w:val="0"/>
          <w:numId w:val="1"/>
        </w:numPr>
      </w:pPr>
      <w:bookmarkStart w:id="3" w:name="_Toc437252342"/>
      <w:proofErr w:type="spellStart"/>
      <w:r w:rsidRPr="00CA5FE9">
        <w:t>Macalin</w:t>
      </w:r>
      <w:proofErr w:type="spellEnd"/>
      <w:r w:rsidRPr="00CA5FE9">
        <w:t xml:space="preserve"> </w:t>
      </w:r>
      <w:proofErr w:type="spellStart"/>
      <w:r w:rsidRPr="00CA5FE9">
        <w:t>Moxamed</w:t>
      </w:r>
      <w:proofErr w:type="spellEnd"/>
      <w:r w:rsidRPr="00CA5FE9">
        <w:t xml:space="preserve"> </w:t>
      </w:r>
      <w:proofErr w:type="spellStart"/>
      <w:r w:rsidRPr="00CA5FE9">
        <w:t>Sed</w:t>
      </w:r>
      <w:proofErr w:type="spellEnd"/>
      <w:r w:rsidRPr="00CA5FE9">
        <w:t xml:space="preserve"> </w:t>
      </w:r>
      <w:proofErr w:type="spellStart"/>
      <w:r w:rsidRPr="00CA5FE9">
        <w:t>Dahira</w:t>
      </w:r>
      <w:proofErr w:type="spellEnd"/>
      <w:r w:rsidRPr="00CA5FE9">
        <w:t xml:space="preserve"> p. Szwajcarii,</w:t>
      </w:r>
      <w:r>
        <w:t xml:space="preserve"> </w:t>
      </w:r>
      <w:r w:rsidRPr="00CA5FE9">
        <w:t>skarga nr 12209/10</w:t>
      </w:r>
      <w:r>
        <w:t>, d</w:t>
      </w:r>
      <w:r w:rsidRPr="00CA5FE9">
        <w:t xml:space="preserve">ecyzja </w:t>
      </w:r>
      <w:r>
        <w:t>Izby z 15.09.2015 r., opublikowana 8.10.2015 r., ostateczna</w:t>
      </w:r>
      <w:bookmarkEnd w:id="3"/>
    </w:p>
    <w:p w:rsidR="009A6D58" w:rsidRPr="006500D9" w:rsidRDefault="009A6D58" w:rsidP="00592DAA">
      <w:pPr>
        <w:keepNext/>
        <w:keepLines/>
        <w:spacing w:after="360" w:line="240" w:lineRule="auto"/>
        <w:jc w:val="both"/>
        <w:outlineLvl w:val="2"/>
        <w:rPr>
          <w:b/>
          <w:color w:val="000000" w:themeColor="text1"/>
          <w:lang w:val="pl-PL"/>
        </w:rPr>
      </w:pPr>
      <w:bookmarkStart w:id="4" w:name="_Toc437252343"/>
      <w:r w:rsidRPr="006500D9">
        <w:rPr>
          <w:b/>
          <w:color w:val="000000" w:themeColor="text1"/>
          <w:lang w:val="pl-PL"/>
        </w:rPr>
        <w:t xml:space="preserve">- </w:t>
      </w:r>
      <w:r w:rsidR="006500D9" w:rsidRPr="006500D9">
        <w:rPr>
          <w:b/>
          <w:color w:val="000000" w:themeColor="text1"/>
          <w:lang w:val="pl-PL"/>
        </w:rPr>
        <w:t>oczy</w:t>
      </w:r>
      <w:r w:rsidR="006500D9">
        <w:rPr>
          <w:b/>
          <w:color w:val="000000" w:themeColor="text1"/>
          <w:lang w:val="pl-PL"/>
        </w:rPr>
        <w:t xml:space="preserve">wista niezasadność i niedopuszczalność </w:t>
      </w:r>
      <w:r w:rsidR="006500D9" w:rsidRPr="006500D9">
        <w:rPr>
          <w:b/>
          <w:color w:val="000000" w:themeColor="text1"/>
          <w:lang w:val="pl-PL"/>
        </w:rPr>
        <w:t>skargi zarzucającej naruszenie prawa do poszanowania życia prywatnego i rodzinnego (art. 8 Konwencji) oraz zakazu dyskryminacji (art. 14 Konwencji</w:t>
      </w:r>
      <w:r w:rsidR="00801401">
        <w:rPr>
          <w:b/>
          <w:color w:val="000000" w:themeColor="text1"/>
          <w:lang w:val="pl-PL"/>
        </w:rPr>
        <w:t xml:space="preserve"> w związku z art. 8</w:t>
      </w:r>
      <w:r w:rsidR="006500D9" w:rsidRPr="006500D9">
        <w:rPr>
          <w:b/>
          <w:color w:val="000000" w:themeColor="text1"/>
          <w:lang w:val="pl-PL"/>
        </w:rPr>
        <w:t xml:space="preserve">) w odniesieniu do odmowy wyrażenia zgody </w:t>
      </w:r>
      <w:r w:rsidR="00EC3920">
        <w:rPr>
          <w:b/>
          <w:color w:val="000000" w:themeColor="text1"/>
          <w:lang w:val="pl-PL"/>
        </w:rPr>
        <w:t xml:space="preserve">przez władze szwajcarskie </w:t>
      </w:r>
      <w:r w:rsidR="006500D9" w:rsidRPr="006500D9">
        <w:rPr>
          <w:b/>
          <w:color w:val="000000" w:themeColor="text1"/>
          <w:lang w:val="pl-PL"/>
        </w:rPr>
        <w:t xml:space="preserve">na posługiwanie się przez skarżącą </w:t>
      </w:r>
      <w:r w:rsidR="002F13FD">
        <w:rPr>
          <w:b/>
          <w:color w:val="000000" w:themeColor="text1"/>
          <w:lang w:val="pl-PL"/>
        </w:rPr>
        <w:t xml:space="preserve">dodatkową wersją zapisu </w:t>
      </w:r>
      <w:r w:rsidR="006500D9" w:rsidRPr="006500D9">
        <w:rPr>
          <w:b/>
          <w:color w:val="000000" w:themeColor="text1"/>
          <w:lang w:val="pl-PL"/>
        </w:rPr>
        <w:t>jej nazwiska,</w:t>
      </w:r>
      <w:r w:rsidR="002F13FD">
        <w:rPr>
          <w:b/>
          <w:color w:val="000000" w:themeColor="text1"/>
          <w:lang w:val="pl-PL"/>
        </w:rPr>
        <w:t xml:space="preserve"> </w:t>
      </w:r>
      <w:r w:rsidR="00652CCE">
        <w:rPr>
          <w:b/>
          <w:color w:val="000000" w:themeColor="text1"/>
          <w:lang w:val="pl-PL"/>
        </w:rPr>
        <w:t>która byłaby dostosowana</w:t>
      </w:r>
      <w:r w:rsidR="002F13FD">
        <w:rPr>
          <w:b/>
          <w:color w:val="000000" w:themeColor="text1"/>
          <w:lang w:val="pl-PL"/>
        </w:rPr>
        <w:t xml:space="preserve"> do wymowy w języku somalijskim</w:t>
      </w:r>
      <w:r w:rsidR="006500D9" w:rsidRPr="006500D9">
        <w:rPr>
          <w:b/>
          <w:color w:val="000000" w:themeColor="text1"/>
          <w:lang w:val="pl-PL"/>
        </w:rPr>
        <w:t xml:space="preserve"> </w:t>
      </w:r>
      <w:r w:rsidR="002F13FD">
        <w:rPr>
          <w:b/>
          <w:color w:val="000000" w:themeColor="text1"/>
          <w:lang w:val="pl-PL"/>
        </w:rPr>
        <w:t xml:space="preserve">z uwagi na fakt, że wymowa </w:t>
      </w:r>
      <w:r w:rsidR="006500D9" w:rsidRPr="002F13FD">
        <w:rPr>
          <w:b/>
          <w:color w:val="000000" w:themeColor="text1"/>
          <w:lang w:val="pl-PL"/>
        </w:rPr>
        <w:t>zgodn</w:t>
      </w:r>
      <w:r w:rsidR="002F13FD">
        <w:rPr>
          <w:b/>
          <w:color w:val="000000" w:themeColor="text1"/>
          <w:lang w:val="pl-PL"/>
        </w:rPr>
        <w:t>a</w:t>
      </w:r>
      <w:r w:rsidR="006500D9" w:rsidRPr="002F13FD">
        <w:rPr>
          <w:b/>
          <w:color w:val="000000" w:themeColor="text1"/>
          <w:lang w:val="pl-PL"/>
        </w:rPr>
        <w:t xml:space="preserve"> z zasadami zachodnioeuropejskimi</w:t>
      </w:r>
      <w:r w:rsidR="006500D9" w:rsidRPr="006500D9">
        <w:rPr>
          <w:b/>
          <w:color w:val="000000" w:themeColor="text1"/>
          <w:lang w:val="pl-PL"/>
        </w:rPr>
        <w:t xml:space="preserve"> </w:t>
      </w:r>
      <w:r w:rsidR="002F13FD">
        <w:rPr>
          <w:b/>
          <w:color w:val="000000" w:themeColor="text1"/>
          <w:lang w:val="pl-PL"/>
        </w:rPr>
        <w:t>miała obraźliwy wydźwięk w języku somalijskim</w:t>
      </w:r>
      <w:bookmarkEnd w:id="4"/>
    </w:p>
    <w:p w:rsidR="00B0462E" w:rsidRDefault="00B0462E" w:rsidP="005E69D2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</w:p>
    <w:p w:rsidR="00B0462E" w:rsidRDefault="00B0462E" w:rsidP="005E69D2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</w:p>
    <w:p w:rsidR="005E69D2" w:rsidRPr="005A34CD" w:rsidRDefault="005E69D2" w:rsidP="005E69D2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 w:rsidRPr="005A34CD">
        <w:rPr>
          <w:rFonts w:ascii="Calibri" w:hAnsi="Calibri"/>
          <w:color w:val="000000"/>
          <w:u w:val="single"/>
          <w:lang w:val="pl-PL"/>
        </w:rPr>
        <w:t xml:space="preserve">Stan faktyczny </w:t>
      </w:r>
      <w:r>
        <w:rPr>
          <w:rFonts w:ascii="Calibri" w:hAnsi="Calibri"/>
          <w:color w:val="000000"/>
          <w:u w:val="single"/>
          <w:lang w:val="pl-PL"/>
        </w:rPr>
        <w:t>i zarzuty skarżącej</w:t>
      </w:r>
    </w:p>
    <w:p w:rsidR="00255C96" w:rsidRPr="00D81706" w:rsidRDefault="00255C96" w:rsidP="00D363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eastAsia="Times New Roman" w:cs="Courier New"/>
          <w:color w:val="222222"/>
          <w:lang w:val="pl-PL" w:eastAsia="pl-PL"/>
        </w:rPr>
      </w:pPr>
      <w:r w:rsidRPr="00CA5FE9">
        <w:rPr>
          <w:color w:val="222222"/>
          <w:lang w:val="pl-PL"/>
        </w:rPr>
        <w:t>W 2003 r</w:t>
      </w:r>
      <w:r w:rsidR="005E69D2">
        <w:rPr>
          <w:color w:val="222222"/>
          <w:lang w:val="pl-PL"/>
        </w:rPr>
        <w:t>.</w:t>
      </w:r>
      <w:r w:rsidRPr="00CA5FE9">
        <w:rPr>
          <w:color w:val="222222"/>
          <w:lang w:val="pl-PL"/>
        </w:rPr>
        <w:t xml:space="preserve"> skarżąca, posiadająca obywatelstwo Szwajcarii i Somalii</w:t>
      </w:r>
      <w:r w:rsidR="009A6D58">
        <w:rPr>
          <w:color w:val="222222"/>
          <w:lang w:val="pl-PL"/>
        </w:rPr>
        <w:t>,</w:t>
      </w:r>
      <w:r>
        <w:rPr>
          <w:color w:val="222222"/>
          <w:lang w:val="pl-PL"/>
        </w:rPr>
        <w:t xml:space="preserve"> </w:t>
      </w:r>
      <w:r w:rsidRPr="00CA5FE9">
        <w:rPr>
          <w:color w:val="222222"/>
          <w:lang w:val="pl-PL"/>
        </w:rPr>
        <w:t xml:space="preserve">wyszła za mąż za </w:t>
      </w:r>
      <w:r w:rsidR="009A6D58">
        <w:rPr>
          <w:color w:val="222222"/>
          <w:lang w:val="pl-PL"/>
        </w:rPr>
        <w:t xml:space="preserve">obywatela </w:t>
      </w:r>
      <w:r w:rsidRPr="00CA5FE9">
        <w:rPr>
          <w:color w:val="222222"/>
          <w:lang w:val="pl-PL"/>
        </w:rPr>
        <w:t>Somali. W 2005 r</w:t>
      </w:r>
      <w:r w:rsidR="005E69D2">
        <w:rPr>
          <w:color w:val="222222"/>
          <w:lang w:val="pl-PL"/>
        </w:rPr>
        <w:t>.</w:t>
      </w:r>
      <w:r w:rsidRPr="00CA5FE9">
        <w:rPr>
          <w:color w:val="222222"/>
          <w:lang w:val="pl-PL"/>
        </w:rPr>
        <w:t xml:space="preserve"> wystąpiła z wnioskiem do właściwego organu o </w:t>
      </w:r>
      <w:r w:rsidR="009A6D58">
        <w:rPr>
          <w:color w:val="222222"/>
          <w:lang w:val="pl-PL"/>
        </w:rPr>
        <w:t>ze</w:t>
      </w:r>
      <w:r w:rsidRPr="00CA5FE9">
        <w:rPr>
          <w:color w:val="222222"/>
          <w:lang w:val="pl-PL"/>
        </w:rPr>
        <w:t xml:space="preserve">zwolenie </w:t>
      </w:r>
      <w:r w:rsidR="009A6D58">
        <w:rPr>
          <w:color w:val="222222"/>
          <w:lang w:val="pl-PL"/>
        </w:rPr>
        <w:t>na używanie</w:t>
      </w:r>
      <w:r w:rsidRPr="00CA5FE9">
        <w:rPr>
          <w:color w:val="222222"/>
          <w:lang w:val="pl-PL"/>
        </w:rPr>
        <w:t xml:space="preserve"> nazwiska panieńskiego </w:t>
      </w:r>
      <w:r w:rsidR="009A6D58">
        <w:rPr>
          <w:color w:val="222222"/>
          <w:lang w:val="pl-PL"/>
        </w:rPr>
        <w:t>przed nazwiskiem męża – wniosek został rozpatrzony pozytywnie</w:t>
      </w:r>
      <w:r w:rsidRPr="00CA5FE9">
        <w:rPr>
          <w:color w:val="222222"/>
          <w:lang w:val="pl-PL"/>
        </w:rPr>
        <w:t xml:space="preserve">. Od tego czasu skarżąca nazywa się Muna </w:t>
      </w:r>
      <w:proofErr w:type="spellStart"/>
      <w:r w:rsidRPr="00CA5FE9">
        <w:rPr>
          <w:color w:val="222222"/>
          <w:lang w:val="pl-PL"/>
        </w:rPr>
        <w:t>Dahir</w:t>
      </w:r>
      <w:proofErr w:type="spellEnd"/>
      <w:r w:rsidRPr="00CA5FE9">
        <w:rPr>
          <w:color w:val="222222"/>
          <w:lang w:val="pl-PL"/>
        </w:rPr>
        <w:t xml:space="preserve"> </w:t>
      </w:r>
      <w:proofErr w:type="spellStart"/>
      <w:r w:rsidRPr="00CA5FE9">
        <w:rPr>
          <w:color w:val="222222"/>
          <w:lang w:val="pl-PL"/>
        </w:rPr>
        <w:t>Macalin</w:t>
      </w:r>
      <w:proofErr w:type="spellEnd"/>
      <w:r w:rsidRPr="00CA5FE9">
        <w:rPr>
          <w:color w:val="222222"/>
          <w:lang w:val="pl-PL"/>
        </w:rPr>
        <w:t xml:space="preserve"> </w:t>
      </w:r>
      <w:proofErr w:type="spellStart"/>
      <w:r w:rsidRPr="00CA5FE9">
        <w:rPr>
          <w:color w:val="222222"/>
          <w:lang w:val="pl-PL"/>
        </w:rPr>
        <w:t>Moxamed</w:t>
      </w:r>
      <w:proofErr w:type="spellEnd"/>
      <w:r w:rsidRPr="00CA5FE9">
        <w:rPr>
          <w:color w:val="222222"/>
          <w:lang w:val="pl-PL"/>
        </w:rPr>
        <w:t xml:space="preserve"> </w:t>
      </w:r>
      <w:proofErr w:type="spellStart"/>
      <w:r w:rsidRPr="00CA5FE9">
        <w:rPr>
          <w:color w:val="222222"/>
          <w:lang w:val="pl-PL"/>
        </w:rPr>
        <w:t>Sed</w:t>
      </w:r>
      <w:proofErr w:type="spellEnd"/>
      <w:r w:rsidRPr="00CA5FE9">
        <w:rPr>
          <w:color w:val="222222"/>
          <w:lang w:val="pl-PL"/>
        </w:rPr>
        <w:t xml:space="preserve"> </w:t>
      </w:r>
      <w:proofErr w:type="spellStart"/>
      <w:r w:rsidRPr="00CA5FE9">
        <w:rPr>
          <w:color w:val="222222"/>
          <w:lang w:val="pl-PL"/>
        </w:rPr>
        <w:t>Dahira</w:t>
      </w:r>
      <w:proofErr w:type="spellEnd"/>
      <w:r w:rsidRPr="00CA5FE9">
        <w:rPr>
          <w:color w:val="222222"/>
          <w:lang w:val="pl-PL"/>
        </w:rPr>
        <w:t>.</w:t>
      </w:r>
      <w:r>
        <w:rPr>
          <w:color w:val="222222"/>
          <w:lang w:val="pl-PL"/>
        </w:rPr>
        <w:t xml:space="preserve"> </w:t>
      </w:r>
      <w:r w:rsidR="009A6D58">
        <w:rPr>
          <w:color w:val="222222"/>
          <w:lang w:val="pl-PL"/>
        </w:rPr>
        <w:t xml:space="preserve">Jednak słowa </w:t>
      </w:r>
      <w:r w:rsidR="005E69D2">
        <w:rPr>
          <w:color w:val="222222"/>
          <w:lang w:val="pl-PL"/>
        </w:rPr>
        <w:t>„</w:t>
      </w:r>
      <w:proofErr w:type="spellStart"/>
      <w:r w:rsidR="009A6D58">
        <w:rPr>
          <w:color w:val="222222"/>
          <w:lang w:val="pl-PL"/>
        </w:rPr>
        <w:t>Macalin</w:t>
      </w:r>
      <w:proofErr w:type="spellEnd"/>
      <w:r w:rsidR="009A6D58">
        <w:rPr>
          <w:color w:val="222222"/>
          <w:lang w:val="pl-PL"/>
        </w:rPr>
        <w:t xml:space="preserve"> </w:t>
      </w:r>
      <w:proofErr w:type="spellStart"/>
      <w:r w:rsidR="009A6D58">
        <w:rPr>
          <w:color w:val="222222"/>
          <w:lang w:val="pl-PL"/>
        </w:rPr>
        <w:t>Moxamed</w:t>
      </w:r>
      <w:proofErr w:type="spellEnd"/>
      <w:r w:rsidR="005E69D2">
        <w:rPr>
          <w:color w:val="222222"/>
          <w:lang w:val="pl-PL"/>
        </w:rPr>
        <w:t>”</w:t>
      </w:r>
      <w:r w:rsidR="009A6D58">
        <w:rPr>
          <w:color w:val="222222"/>
          <w:lang w:val="pl-PL"/>
        </w:rPr>
        <w:t xml:space="preserve"> wymawiane zgodnie z zachodnioeuropejskimi</w:t>
      </w:r>
      <w:r w:rsidRPr="00CA5FE9">
        <w:rPr>
          <w:color w:val="222222"/>
          <w:lang w:val="pl-PL"/>
        </w:rPr>
        <w:t xml:space="preserve"> zasadami wymowy nabiera</w:t>
      </w:r>
      <w:r w:rsidR="005E69D2">
        <w:rPr>
          <w:color w:val="222222"/>
          <w:lang w:val="pl-PL"/>
        </w:rPr>
        <w:t>ją</w:t>
      </w:r>
      <w:r w:rsidRPr="00CA5FE9">
        <w:rPr>
          <w:color w:val="222222"/>
          <w:lang w:val="pl-PL"/>
        </w:rPr>
        <w:t xml:space="preserve"> </w:t>
      </w:r>
      <w:r w:rsidR="00D36329">
        <w:rPr>
          <w:color w:val="222222"/>
          <w:lang w:val="pl-PL"/>
        </w:rPr>
        <w:t xml:space="preserve">obraźliwego </w:t>
      </w:r>
      <w:r w:rsidR="00354ACC">
        <w:rPr>
          <w:color w:val="222222"/>
          <w:lang w:val="pl-PL"/>
        </w:rPr>
        <w:t>znaczenia</w:t>
      </w:r>
      <w:r w:rsidRPr="00CA5FE9">
        <w:rPr>
          <w:color w:val="222222"/>
          <w:lang w:val="pl-PL"/>
        </w:rPr>
        <w:t xml:space="preserve"> w ojczystym języku skarżącej </w:t>
      </w:r>
      <w:r w:rsidR="00D36329">
        <w:rPr>
          <w:color w:val="222222"/>
          <w:lang w:val="pl-PL"/>
        </w:rPr>
        <w:t>(</w:t>
      </w:r>
      <w:r w:rsidR="005E69D2">
        <w:rPr>
          <w:color w:val="222222"/>
          <w:lang w:val="pl-PL"/>
        </w:rPr>
        <w:t>"zgniła</w:t>
      </w:r>
      <w:r w:rsidRPr="00CA5FE9">
        <w:rPr>
          <w:color w:val="222222"/>
          <w:lang w:val="pl-PL"/>
        </w:rPr>
        <w:t xml:space="preserve"> skóra"</w:t>
      </w:r>
      <w:r w:rsidR="00354ACC">
        <w:rPr>
          <w:color w:val="222222"/>
          <w:lang w:val="pl-PL"/>
        </w:rPr>
        <w:t>,</w:t>
      </w:r>
      <w:r w:rsidRPr="00CA5FE9">
        <w:rPr>
          <w:color w:val="222222"/>
          <w:lang w:val="pl-PL"/>
        </w:rPr>
        <w:t xml:space="preserve"> "toaleta”</w:t>
      </w:r>
      <w:r w:rsidR="00D36329">
        <w:rPr>
          <w:color w:val="222222"/>
          <w:lang w:val="pl-PL"/>
        </w:rPr>
        <w:t>)</w:t>
      </w:r>
      <w:r w:rsidRPr="00CA5FE9">
        <w:rPr>
          <w:color w:val="222222"/>
          <w:lang w:val="pl-PL"/>
        </w:rPr>
        <w:t>.</w:t>
      </w:r>
      <w:r w:rsidR="00D36329">
        <w:rPr>
          <w:color w:val="222222"/>
          <w:lang w:val="pl-PL"/>
        </w:rPr>
        <w:t xml:space="preserve"> </w:t>
      </w:r>
      <w:r w:rsidRPr="00D36329">
        <w:rPr>
          <w:rFonts w:eastAsia="Times New Roman" w:cs="Courier New"/>
          <w:color w:val="222222"/>
          <w:lang w:val="pl-PL" w:eastAsia="pl-PL"/>
        </w:rPr>
        <w:t xml:space="preserve">Z tego powodu skarżąca wystąpiła o zmianę </w:t>
      </w:r>
      <w:r w:rsidR="00D81706">
        <w:rPr>
          <w:rFonts w:eastAsia="Times New Roman" w:cs="Courier New"/>
          <w:color w:val="222222"/>
          <w:lang w:val="pl-PL" w:eastAsia="pl-PL"/>
        </w:rPr>
        <w:t xml:space="preserve"> zapisu jej nazwiska, tak by odzwierciedlał</w:t>
      </w:r>
      <w:r w:rsidR="005E69D2">
        <w:rPr>
          <w:rFonts w:eastAsia="Times New Roman" w:cs="Courier New"/>
          <w:color w:val="222222"/>
          <w:lang w:val="pl-PL" w:eastAsia="pl-PL"/>
        </w:rPr>
        <w:t xml:space="preserve"> on</w:t>
      </w:r>
      <w:r w:rsidR="00D81706">
        <w:rPr>
          <w:rFonts w:eastAsia="Times New Roman" w:cs="Courier New"/>
          <w:color w:val="222222"/>
          <w:lang w:val="pl-PL" w:eastAsia="pl-PL"/>
        </w:rPr>
        <w:t xml:space="preserve"> wymowę w języku somalijskim </w:t>
      </w:r>
      <w:r w:rsidR="00354ACC">
        <w:rPr>
          <w:rFonts w:eastAsia="Times New Roman" w:cs="Courier New"/>
          <w:color w:val="222222"/>
          <w:lang w:val="pl-PL" w:eastAsia="pl-PL"/>
        </w:rPr>
        <w:t xml:space="preserve">(tj. </w:t>
      </w:r>
      <w:r w:rsidR="00D36329" w:rsidRPr="00D36329">
        <w:rPr>
          <w:rFonts w:eastAsia="Times New Roman" w:cs="Courier New"/>
          <w:color w:val="222222"/>
          <w:lang w:val="pl-PL" w:eastAsia="pl-PL"/>
        </w:rPr>
        <w:t xml:space="preserve">by </w:t>
      </w:r>
      <w:r w:rsidR="005E69D2">
        <w:rPr>
          <w:rFonts w:eastAsia="Times New Roman" w:cs="Courier New"/>
          <w:color w:val="222222"/>
          <w:lang w:val="pl-PL" w:eastAsia="pl-PL"/>
        </w:rPr>
        <w:t xml:space="preserve">skarżąca </w:t>
      </w:r>
      <w:r w:rsidR="00D36329" w:rsidRPr="00D36329">
        <w:rPr>
          <w:rFonts w:eastAsia="Times New Roman" w:cs="Courier New"/>
          <w:color w:val="222222"/>
          <w:lang w:val="pl-PL" w:eastAsia="pl-PL"/>
        </w:rPr>
        <w:t xml:space="preserve">mogła używać również </w:t>
      </w:r>
      <w:r w:rsidR="00D81706">
        <w:rPr>
          <w:rFonts w:eastAsia="Times New Roman" w:cs="Courier New"/>
          <w:color w:val="222222"/>
          <w:lang w:val="pl-PL" w:eastAsia="pl-PL"/>
        </w:rPr>
        <w:t xml:space="preserve">zapisu </w:t>
      </w:r>
      <w:r w:rsidR="00D36329" w:rsidRPr="00D36329">
        <w:rPr>
          <w:rFonts w:eastAsia="Times New Roman" w:cs="Courier New"/>
          <w:color w:val="222222"/>
          <w:lang w:val="pl-PL" w:eastAsia="pl-PL"/>
        </w:rPr>
        <w:t>„</w:t>
      </w:r>
      <w:proofErr w:type="spellStart"/>
      <w:r w:rsidR="00D36329" w:rsidRPr="00D36329">
        <w:rPr>
          <w:rFonts w:eastAsia="Times New Roman" w:cs="Courier New"/>
          <w:color w:val="222222"/>
          <w:lang w:val="pl-PL" w:eastAsia="pl-PL"/>
        </w:rPr>
        <w:t>Moalim</w:t>
      </w:r>
      <w:proofErr w:type="spellEnd"/>
      <w:r w:rsidR="00D36329" w:rsidRPr="00D36329">
        <w:rPr>
          <w:rFonts w:eastAsia="Times New Roman" w:cs="Courier New"/>
          <w:color w:val="222222"/>
          <w:lang w:val="pl-PL" w:eastAsia="pl-PL"/>
        </w:rPr>
        <w:t xml:space="preserve"> </w:t>
      </w:r>
      <w:proofErr w:type="spellStart"/>
      <w:r w:rsidR="00D36329" w:rsidRPr="00D36329">
        <w:rPr>
          <w:rFonts w:eastAsia="Times New Roman" w:cs="Courier New"/>
          <w:color w:val="222222"/>
          <w:lang w:val="pl-PL" w:eastAsia="pl-PL"/>
        </w:rPr>
        <w:t>Mohamed</w:t>
      </w:r>
      <w:proofErr w:type="spellEnd"/>
      <w:r w:rsidR="00D36329" w:rsidRPr="00D36329">
        <w:rPr>
          <w:rFonts w:eastAsia="Times New Roman" w:cs="Courier New"/>
          <w:color w:val="222222"/>
          <w:lang w:val="pl-PL" w:eastAsia="pl-PL"/>
        </w:rPr>
        <w:t xml:space="preserve">” </w:t>
      </w:r>
      <w:r w:rsidR="00D36329" w:rsidRPr="00D36329">
        <w:rPr>
          <w:color w:val="222222"/>
          <w:lang w:val="pl-PL"/>
        </w:rPr>
        <w:t>w zależności od potrzeb</w:t>
      </w:r>
      <w:r w:rsidR="00354ACC">
        <w:rPr>
          <w:color w:val="222222"/>
          <w:lang w:val="pl-PL"/>
        </w:rPr>
        <w:t>)</w:t>
      </w:r>
      <w:r w:rsidRPr="00D36329">
        <w:rPr>
          <w:color w:val="222222"/>
          <w:lang w:val="pl-PL"/>
        </w:rPr>
        <w:t xml:space="preserve">. </w:t>
      </w:r>
      <w:r w:rsidR="00D36329" w:rsidRPr="00D81706">
        <w:rPr>
          <w:color w:val="222222"/>
          <w:lang w:val="pl-PL"/>
        </w:rPr>
        <w:t xml:space="preserve">Jej wniosek został oddalony zarówno przez </w:t>
      </w:r>
      <w:r w:rsidRPr="00D81706">
        <w:rPr>
          <w:color w:val="222222"/>
          <w:lang w:val="pl-PL"/>
        </w:rPr>
        <w:t>szwajcarski odpowiednik urzędu stanu cywilnego</w:t>
      </w:r>
      <w:r w:rsidR="00D36329" w:rsidRPr="00D81706">
        <w:rPr>
          <w:color w:val="222222"/>
          <w:lang w:val="pl-PL"/>
        </w:rPr>
        <w:t>, jak też wyrokiem sądu.</w:t>
      </w:r>
      <w:r w:rsidR="00D81706" w:rsidRPr="00D81706">
        <w:rPr>
          <w:color w:val="222222"/>
          <w:lang w:val="pl-PL"/>
        </w:rPr>
        <w:t xml:space="preserve"> </w:t>
      </w:r>
      <w:r w:rsidR="005E69D2">
        <w:rPr>
          <w:color w:val="222222"/>
          <w:lang w:val="pl-PL"/>
        </w:rPr>
        <w:t xml:space="preserve">Władze szwajcarskie </w:t>
      </w:r>
      <w:r w:rsidR="00D81706">
        <w:rPr>
          <w:color w:val="222222"/>
          <w:lang w:val="pl-PL"/>
        </w:rPr>
        <w:t xml:space="preserve">uznały m.in., że nazwisko skarżącej nie miało charakteru ośmieszającego ani obraźliwego w językach urzędowych Szwajcarii. </w:t>
      </w:r>
      <w:r w:rsidR="005E69D2">
        <w:rPr>
          <w:color w:val="222222"/>
          <w:lang w:val="pl-PL"/>
        </w:rPr>
        <w:t>Podkreślały</w:t>
      </w:r>
      <w:r w:rsidR="00D81706">
        <w:rPr>
          <w:color w:val="222222"/>
          <w:lang w:val="pl-PL"/>
        </w:rPr>
        <w:t xml:space="preserve"> potrzebę zachowania jednolitego zapisu nazwiska. </w:t>
      </w:r>
      <w:r w:rsidR="005E69D2">
        <w:rPr>
          <w:color w:val="222222"/>
          <w:lang w:val="pl-PL"/>
        </w:rPr>
        <w:t>Zwracały uwagę, że sama skarżąca wnioskowała o dodanie swego nazwiska panieńskiego do nazwiska męża.</w:t>
      </w:r>
      <w:r w:rsidR="00354ACC">
        <w:rPr>
          <w:color w:val="222222"/>
          <w:lang w:val="pl-PL"/>
        </w:rPr>
        <w:t xml:space="preserve"> Wskazywały na potrzebę wystąpienia do władz somalijskich o </w:t>
      </w:r>
      <w:r w:rsidR="00203DD2">
        <w:rPr>
          <w:color w:val="222222"/>
          <w:lang w:val="pl-PL"/>
        </w:rPr>
        <w:t>zmianę</w:t>
      </w:r>
      <w:r w:rsidR="00354ACC">
        <w:rPr>
          <w:color w:val="222222"/>
          <w:lang w:val="pl-PL"/>
        </w:rPr>
        <w:t xml:space="preserve"> zapisu.</w:t>
      </w:r>
    </w:p>
    <w:p w:rsidR="00255C96" w:rsidRDefault="00255C96" w:rsidP="00255C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eastAsia="Times New Roman" w:cs="Times New Roman"/>
          <w:color w:val="222222"/>
          <w:lang w:val="pl-PL" w:eastAsia="pl-PL"/>
        </w:rPr>
      </w:pPr>
      <w:r w:rsidRPr="00CA5FE9">
        <w:rPr>
          <w:rFonts w:eastAsia="Times New Roman" w:cs="Courier New"/>
          <w:color w:val="222222"/>
          <w:lang w:val="pl-PL" w:eastAsia="pl-PL"/>
        </w:rPr>
        <w:t xml:space="preserve">W skardze do Trybunału skarżąca </w:t>
      </w:r>
      <w:r w:rsidR="00D36329">
        <w:rPr>
          <w:rFonts w:eastAsia="Times New Roman" w:cs="Courier New"/>
          <w:color w:val="222222"/>
          <w:lang w:val="pl-PL" w:eastAsia="pl-PL"/>
        </w:rPr>
        <w:t>zarzucała naruszenie</w:t>
      </w:r>
      <w:r>
        <w:rPr>
          <w:rFonts w:eastAsia="Times New Roman" w:cs="Courier New"/>
          <w:color w:val="222222"/>
          <w:lang w:val="pl-PL" w:eastAsia="pl-PL"/>
        </w:rPr>
        <w:t xml:space="preserve"> </w:t>
      </w:r>
      <w:r w:rsidRPr="00CA5FE9">
        <w:rPr>
          <w:rFonts w:eastAsia="Times New Roman" w:cs="Courier New"/>
          <w:color w:val="222222"/>
          <w:lang w:val="pl-PL" w:eastAsia="pl-PL"/>
        </w:rPr>
        <w:t>prawo do poszanowani</w:t>
      </w:r>
      <w:r w:rsidR="00D41694">
        <w:rPr>
          <w:rFonts w:eastAsia="Times New Roman" w:cs="Courier New"/>
          <w:color w:val="222222"/>
          <w:lang w:val="pl-PL" w:eastAsia="pl-PL"/>
        </w:rPr>
        <w:t>a życia prywatnego i rodzinnego</w:t>
      </w:r>
      <w:r w:rsidR="005E69D2">
        <w:rPr>
          <w:rFonts w:eastAsia="Times New Roman" w:cs="Courier New"/>
          <w:color w:val="222222"/>
          <w:lang w:val="pl-PL" w:eastAsia="pl-PL"/>
        </w:rPr>
        <w:t xml:space="preserve"> </w:t>
      </w:r>
      <w:r w:rsidRPr="00CA5FE9">
        <w:rPr>
          <w:rFonts w:eastAsia="Times New Roman" w:cs="Courier New"/>
          <w:color w:val="222222"/>
          <w:lang w:val="pl-PL" w:eastAsia="pl-PL"/>
        </w:rPr>
        <w:t xml:space="preserve">oraz </w:t>
      </w:r>
      <w:r w:rsidR="005E69D2">
        <w:rPr>
          <w:rFonts w:eastAsia="Times New Roman" w:cs="Courier New"/>
          <w:color w:val="222222"/>
          <w:lang w:val="pl-PL" w:eastAsia="pl-PL"/>
        </w:rPr>
        <w:t xml:space="preserve">zakazu dyskryminacji przy korzystaniu z tego prawa </w:t>
      </w:r>
      <w:r w:rsidR="00D36329">
        <w:rPr>
          <w:rFonts w:eastAsia="Times New Roman" w:cs="Courier New"/>
          <w:color w:val="222222"/>
          <w:lang w:val="pl-PL" w:eastAsia="pl-PL"/>
        </w:rPr>
        <w:t>z uwagi na odmowę</w:t>
      </w:r>
      <w:r w:rsidRPr="00CA5FE9">
        <w:rPr>
          <w:rFonts w:eastAsia="Times New Roman" w:cs="Courier New"/>
          <w:color w:val="222222"/>
          <w:lang w:val="pl-PL" w:eastAsia="pl-PL"/>
        </w:rPr>
        <w:t xml:space="preserve"> zmiany pisowni jej nazwiska. Twierdziła</w:t>
      </w:r>
      <w:r w:rsidR="00D36329">
        <w:rPr>
          <w:rFonts w:eastAsia="Times New Roman" w:cs="Courier New"/>
          <w:color w:val="222222"/>
          <w:lang w:val="pl-PL" w:eastAsia="pl-PL"/>
        </w:rPr>
        <w:t xml:space="preserve"> m.in.</w:t>
      </w:r>
      <w:r w:rsidRPr="00CA5FE9">
        <w:rPr>
          <w:rFonts w:eastAsia="Times New Roman" w:cs="Courier New"/>
          <w:color w:val="222222"/>
          <w:lang w:val="pl-PL" w:eastAsia="pl-PL"/>
        </w:rPr>
        <w:t xml:space="preserve">, że była dyskryminowana w stosunku do osób </w:t>
      </w:r>
      <w:r w:rsidRPr="00CA5FE9">
        <w:rPr>
          <w:rFonts w:eastAsia="Times New Roman" w:cs="Times New Roman"/>
          <w:color w:val="222222"/>
          <w:lang w:val="pl-PL" w:eastAsia="pl-PL"/>
        </w:rPr>
        <w:t>pochodzenia</w:t>
      </w:r>
      <w:r w:rsidR="009732E5" w:rsidRPr="009732E5">
        <w:rPr>
          <w:rFonts w:eastAsia="Times New Roman" w:cs="Times New Roman"/>
          <w:color w:val="222222"/>
          <w:lang w:val="pl-PL" w:eastAsia="pl-PL"/>
        </w:rPr>
        <w:t xml:space="preserve"> </w:t>
      </w:r>
      <w:r w:rsidR="009732E5" w:rsidRPr="00CA5FE9">
        <w:rPr>
          <w:rFonts w:eastAsia="Times New Roman" w:cs="Times New Roman"/>
          <w:color w:val="222222"/>
          <w:lang w:val="pl-PL" w:eastAsia="pl-PL"/>
        </w:rPr>
        <w:t>polskiego</w:t>
      </w:r>
      <w:r w:rsidRPr="00CA5FE9">
        <w:rPr>
          <w:rFonts w:eastAsia="Times New Roman" w:cs="Times New Roman"/>
          <w:color w:val="222222"/>
          <w:lang w:val="pl-PL" w:eastAsia="pl-PL"/>
        </w:rPr>
        <w:t>, których wnioski o zmianę pisowni nazwiska zostały uwzględnione.</w:t>
      </w:r>
      <w:r>
        <w:rPr>
          <w:rFonts w:eastAsia="Times New Roman" w:cs="Times New Roman"/>
          <w:color w:val="222222"/>
          <w:lang w:val="pl-PL" w:eastAsia="pl-PL"/>
        </w:rPr>
        <w:t xml:space="preserve"> </w:t>
      </w:r>
    </w:p>
    <w:p w:rsidR="00255C96" w:rsidRPr="002615CC" w:rsidRDefault="00255C96" w:rsidP="00255C96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>
        <w:rPr>
          <w:rFonts w:ascii="Calibri" w:hAnsi="Calibri"/>
          <w:color w:val="000000"/>
          <w:u w:val="single"/>
          <w:lang w:val="pl-PL"/>
        </w:rPr>
        <w:t>O</w:t>
      </w:r>
      <w:r w:rsidRPr="002615CC">
        <w:rPr>
          <w:rFonts w:ascii="Calibri" w:hAnsi="Calibri"/>
          <w:color w:val="000000"/>
          <w:u w:val="single"/>
          <w:lang w:val="pl-PL"/>
        </w:rPr>
        <w:t>cena Trybunału</w:t>
      </w:r>
    </w:p>
    <w:p w:rsidR="001E4FD4" w:rsidRDefault="00354ACC" w:rsidP="00255C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eastAsia="Times New Roman" w:cs="Courier New"/>
          <w:color w:val="222222"/>
          <w:lang w:val="pl-PL" w:eastAsia="pl-PL"/>
        </w:rPr>
      </w:pPr>
      <w:r>
        <w:rPr>
          <w:rFonts w:eastAsia="Times New Roman" w:cs="Courier New"/>
          <w:color w:val="222222"/>
          <w:lang w:val="pl-PL" w:eastAsia="pl-PL"/>
        </w:rPr>
        <w:t xml:space="preserve">1. </w:t>
      </w:r>
      <w:r w:rsidR="00997615">
        <w:rPr>
          <w:rFonts w:eastAsia="Times New Roman" w:cs="Courier New"/>
          <w:color w:val="222222"/>
          <w:lang w:val="pl-PL" w:eastAsia="pl-PL"/>
        </w:rPr>
        <w:t xml:space="preserve">Trybunał przypomniał, że kwestie dotyczące wyboru lub zmiany imion i nazwisk osób wchodzą w zakres zastosowania </w:t>
      </w:r>
      <w:r w:rsidR="00997615" w:rsidRPr="00354ACC">
        <w:rPr>
          <w:rFonts w:eastAsia="Times New Roman" w:cs="Courier New"/>
          <w:b/>
          <w:color w:val="222222"/>
          <w:lang w:val="pl-PL" w:eastAsia="pl-PL"/>
        </w:rPr>
        <w:t>art. 8 Konwencji</w:t>
      </w:r>
      <w:r w:rsidR="00997615">
        <w:rPr>
          <w:rFonts w:eastAsia="Times New Roman" w:cs="Courier New"/>
          <w:color w:val="222222"/>
          <w:lang w:val="pl-PL" w:eastAsia="pl-PL"/>
        </w:rPr>
        <w:t>, jako że dotyczą one życia prywatnego i rodzinnego osób. O</w:t>
      </w:r>
      <w:r w:rsidR="00FF4ACC">
        <w:rPr>
          <w:rFonts w:eastAsia="Times New Roman" w:cs="Courier New"/>
          <w:color w:val="222222"/>
          <w:lang w:val="pl-PL" w:eastAsia="pl-PL"/>
        </w:rPr>
        <w:t xml:space="preserve">dmowa zezwolenia osobie na przyjęcie nowego nazwiska niekoniecznie musi stanowić ingerencję w korzystanie przez nią z prawa do poszanowania życia prywatnego </w:t>
      </w:r>
      <w:r w:rsidR="001E4FD4">
        <w:rPr>
          <w:rFonts w:eastAsia="Times New Roman" w:cs="Courier New"/>
          <w:color w:val="222222"/>
          <w:lang w:val="pl-PL" w:eastAsia="pl-PL"/>
        </w:rPr>
        <w:t>(</w:t>
      </w:r>
      <w:r w:rsidR="00FF4ACC">
        <w:rPr>
          <w:rFonts w:eastAsia="Times New Roman" w:cs="Courier New"/>
          <w:color w:val="222222"/>
          <w:lang w:val="pl-PL" w:eastAsia="pl-PL"/>
        </w:rPr>
        <w:t>odmiennie niż byłoby w przypadku nałożenia obowiązku zmiany nazwiska</w:t>
      </w:r>
      <w:r w:rsidR="001E4FD4">
        <w:rPr>
          <w:rFonts w:eastAsia="Times New Roman" w:cs="Courier New"/>
          <w:color w:val="222222"/>
          <w:lang w:val="pl-PL" w:eastAsia="pl-PL"/>
        </w:rPr>
        <w:t>)</w:t>
      </w:r>
      <w:r w:rsidR="00FF4ACC">
        <w:rPr>
          <w:rFonts w:eastAsia="Times New Roman" w:cs="Courier New"/>
          <w:color w:val="222222"/>
          <w:lang w:val="pl-PL" w:eastAsia="pl-PL"/>
        </w:rPr>
        <w:t xml:space="preserve">. Tym niemniej </w:t>
      </w:r>
      <w:r>
        <w:rPr>
          <w:rFonts w:eastAsia="Times New Roman" w:cs="Courier New"/>
          <w:color w:val="222222"/>
          <w:lang w:val="pl-PL" w:eastAsia="pl-PL"/>
        </w:rPr>
        <w:t>skarga może być rozpatrywana z punktu widzenia obowiązków pozytywnych</w:t>
      </w:r>
      <w:r w:rsidR="00804909">
        <w:rPr>
          <w:rFonts w:eastAsia="Times New Roman" w:cs="Courier New"/>
          <w:color w:val="222222"/>
          <w:lang w:val="pl-PL" w:eastAsia="pl-PL"/>
        </w:rPr>
        <w:t xml:space="preserve"> po stronie</w:t>
      </w:r>
      <w:r w:rsidR="00997615">
        <w:rPr>
          <w:rFonts w:eastAsia="Times New Roman" w:cs="Courier New"/>
          <w:color w:val="222222"/>
          <w:lang w:val="pl-PL" w:eastAsia="pl-PL"/>
        </w:rPr>
        <w:t xml:space="preserve"> władz</w:t>
      </w:r>
      <w:r>
        <w:rPr>
          <w:rFonts w:eastAsia="Times New Roman" w:cs="Courier New"/>
          <w:color w:val="222222"/>
          <w:lang w:val="pl-PL" w:eastAsia="pl-PL"/>
        </w:rPr>
        <w:t xml:space="preserve"> zapewnienia</w:t>
      </w:r>
      <w:r w:rsidR="00997615">
        <w:rPr>
          <w:rFonts w:eastAsia="Times New Roman" w:cs="Courier New"/>
          <w:color w:val="222222"/>
          <w:lang w:val="pl-PL" w:eastAsia="pl-PL"/>
        </w:rPr>
        <w:t xml:space="preserve"> skutecznego korzystania przez </w:t>
      </w:r>
      <w:r w:rsidR="00242746">
        <w:rPr>
          <w:rFonts w:eastAsia="Times New Roman" w:cs="Courier New"/>
          <w:color w:val="222222"/>
          <w:lang w:val="pl-PL" w:eastAsia="pl-PL"/>
        </w:rPr>
        <w:t>jednostki</w:t>
      </w:r>
      <w:r w:rsidR="00997615">
        <w:rPr>
          <w:rFonts w:eastAsia="Times New Roman" w:cs="Courier New"/>
          <w:color w:val="222222"/>
          <w:lang w:val="pl-PL" w:eastAsia="pl-PL"/>
        </w:rPr>
        <w:t xml:space="preserve"> z</w:t>
      </w:r>
      <w:r w:rsidR="00242746">
        <w:rPr>
          <w:rFonts w:eastAsia="Times New Roman" w:cs="Courier New"/>
          <w:color w:val="222222"/>
          <w:lang w:val="pl-PL" w:eastAsia="pl-PL"/>
        </w:rPr>
        <w:t xml:space="preserve"> </w:t>
      </w:r>
      <w:r w:rsidR="00804909">
        <w:rPr>
          <w:rFonts w:eastAsia="Times New Roman" w:cs="Courier New"/>
          <w:color w:val="222222"/>
          <w:lang w:val="pl-PL" w:eastAsia="pl-PL"/>
        </w:rPr>
        <w:t xml:space="preserve">ich </w:t>
      </w:r>
      <w:r w:rsidR="00997615">
        <w:rPr>
          <w:rFonts w:eastAsia="Times New Roman" w:cs="Courier New"/>
          <w:color w:val="222222"/>
          <w:lang w:val="pl-PL" w:eastAsia="pl-PL"/>
        </w:rPr>
        <w:t>praw chronionych art. 8 Konwencji.</w:t>
      </w:r>
      <w:r w:rsidR="00804909">
        <w:rPr>
          <w:rFonts w:eastAsia="Times New Roman" w:cs="Courier New"/>
          <w:color w:val="222222"/>
          <w:lang w:val="pl-PL" w:eastAsia="pl-PL"/>
        </w:rPr>
        <w:t xml:space="preserve"> </w:t>
      </w:r>
      <w:r w:rsidR="008618C6">
        <w:rPr>
          <w:rFonts w:eastAsia="Times New Roman" w:cs="Courier New"/>
          <w:color w:val="222222"/>
          <w:lang w:val="pl-PL" w:eastAsia="pl-PL"/>
        </w:rPr>
        <w:t>Kluczową kwestią jest ocena, czy władze osiągnęły słuszną równowagę między pot</w:t>
      </w:r>
      <w:r w:rsidR="00242746">
        <w:rPr>
          <w:rFonts w:eastAsia="Times New Roman" w:cs="Courier New"/>
          <w:color w:val="222222"/>
          <w:lang w:val="pl-PL" w:eastAsia="pl-PL"/>
        </w:rPr>
        <w:t>rzebami</w:t>
      </w:r>
      <w:r w:rsidR="008618C6">
        <w:rPr>
          <w:rFonts w:eastAsia="Times New Roman" w:cs="Courier New"/>
          <w:color w:val="222222"/>
          <w:lang w:val="pl-PL" w:eastAsia="pl-PL"/>
        </w:rPr>
        <w:t xml:space="preserve"> ochrony interesów jednostki i społeczeństwa. </w:t>
      </w:r>
      <w:r w:rsidR="00804909">
        <w:rPr>
          <w:rFonts w:eastAsia="Times New Roman" w:cs="Courier New"/>
          <w:color w:val="222222"/>
          <w:lang w:val="pl-PL" w:eastAsia="pl-PL"/>
        </w:rPr>
        <w:t>Trybunał podkreślił</w:t>
      </w:r>
      <w:r w:rsidR="008618C6">
        <w:rPr>
          <w:rFonts w:eastAsia="Times New Roman" w:cs="Courier New"/>
          <w:color w:val="222222"/>
          <w:lang w:val="pl-PL" w:eastAsia="pl-PL"/>
        </w:rPr>
        <w:t xml:space="preserve"> też</w:t>
      </w:r>
      <w:r w:rsidR="00804909">
        <w:rPr>
          <w:rFonts w:eastAsia="Times New Roman" w:cs="Courier New"/>
          <w:color w:val="222222"/>
          <w:lang w:val="pl-PL" w:eastAsia="pl-PL"/>
        </w:rPr>
        <w:t xml:space="preserve">, iż państwom przysługuje </w:t>
      </w:r>
      <w:r w:rsidR="001E4FD4">
        <w:rPr>
          <w:rFonts w:eastAsia="Times New Roman" w:cs="Courier New"/>
          <w:color w:val="222222"/>
          <w:lang w:val="pl-PL" w:eastAsia="pl-PL"/>
        </w:rPr>
        <w:t>margines oceny w tym obszarze</w:t>
      </w:r>
      <w:r w:rsidR="009D1EF8">
        <w:rPr>
          <w:rFonts w:eastAsia="Times New Roman" w:cs="Courier New"/>
          <w:color w:val="222222"/>
          <w:lang w:val="pl-PL" w:eastAsia="pl-PL"/>
        </w:rPr>
        <w:t>. Zwrócił uwagę na różnorodność stosowanych rozwiązań, a także na fakt, że w większości państw stosujących alfabet łaciński przyjmuje się proste odtworzenie zapisu</w:t>
      </w:r>
      <w:r w:rsidR="00242746">
        <w:rPr>
          <w:rFonts w:eastAsia="Times New Roman" w:cs="Courier New"/>
          <w:color w:val="222222"/>
          <w:lang w:val="pl-PL" w:eastAsia="pl-PL"/>
        </w:rPr>
        <w:t xml:space="preserve"> według</w:t>
      </w:r>
      <w:r w:rsidR="009D1EF8">
        <w:rPr>
          <w:rFonts w:eastAsia="Times New Roman" w:cs="Courier New"/>
          <w:color w:val="222222"/>
          <w:lang w:val="pl-PL" w:eastAsia="pl-PL"/>
        </w:rPr>
        <w:t xml:space="preserve"> </w:t>
      </w:r>
      <w:r w:rsidR="004B6BF1">
        <w:rPr>
          <w:rFonts w:eastAsia="Times New Roman" w:cs="Courier New"/>
          <w:color w:val="222222"/>
          <w:lang w:val="pl-PL" w:eastAsia="pl-PL"/>
        </w:rPr>
        <w:t xml:space="preserve">liter </w:t>
      </w:r>
      <w:r w:rsidR="009D1EF8">
        <w:rPr>
          <w:rFonts w:eastAsia="Times New Roman" w:cs="Courier New"/>
          <w:color w:val="222222"/>
          <w:lang w:val="pl-PL" w:eastAsia="pl-PL"/>
        </w:rPr>
        <w:t>nazwiska, nawet jeśli możliw</w:t>
      </w:r>
      <w:r w:rsidR="00804909">
        <w:rPr>
          <w:rFonts w:eastAsia="Times New Roman" w:cs="Courier New"/>
          <w:color w:val="222222"/>
          <w:lang w:val="pl-PL" w:eastAsia="pl-PL"/>
        </w:rPr>
        <w:t>e są</w:t>
      </w:r>
      <w:r w:rsidR="009D1EF8">
        <w:rPr>
          <w:rFonts w:eastAsia="Times New Roman" w:cs="Courier New"/>
          <w:color w:val="222222"/>
          <w:lang w:val="pl-PL" w:eastAsia="pl-PL"/>
        </w:rPr>
        <w:t xml:space="preserve"> trudności lu</w:t>
      </w:r>
      <w:r w:rsidR="00804909">
        <w:rPr>
          <w:rFonts w:eastAsia="Times New Roman" w:cs="Courier New"/>
          <w:color w:val="222222"/>
          <w:lang w:val="pl-PL" w:eastAsia="pl-PL"/>
        </w:rPr>
        <w:t>b nieporozumienia</w:t>
      </w:r>
      <w:r w:rsidR="009D1EF8">
        <w:rPr>
          <w:rFonts w:eastAsia="Times New Roman" w:cs="Courier New"/>
          <w:color w:val="222222"/>
          <w:lang w:val="pl-PL" w:eastAsia="pl-PL"/>
        </w:rPr>
        <w:t xml:space="preserve"> z uwagi na </w:t>
      </w:r>
      <w:r w:rsidR="004B6BF1">
        <w:rPr>
          <w:rFonts w:eastAsia="Times New Roman" w:cs="Courier New"/>
          <w:color w:val="222222"/>
          <w:lang w:val="pl-PL" w:eastAsia="pl-PL"/>
        </w:rPr>
        <w:t xml:space="preserve">odmienną </w:t>
      </w:r>
      <w:r w:rsidR="009D1EF8">
        <w:rPr>
          <w:rFonts w:eastAsia="Times New Roman" w:cs="Courier New"/>
          <w:color w:val="222222"/>
          <w:lang w:val="pl-PL" w:eastAsia="pl-PL"/>
        </w:rPr>
        <w:t>wymowę</w:t>
      </w:r>
      <w:r w:rsidR="00242746">
        <w:rPr>
          <w:rFonts w:eastAsia="Times New Roman" w:cs="Courier New"/>
          <w:color w:val="222222"/>
          <w:lang w:val="pl-PL" w:eastAsia="pl-PL"/>
        </w:rPr>
        <w:t xml:space="preserve"> w obu językach</w:t>
      </w:r>
      <w:r w:rsidR="009D1EF8">
        <w:rPr>
          <w:rFonts w:eastAsia="Times New Roman" w:cs="Courier New"/>
          <w:color w:val="222222"/>
          <w:lang w:val="pl-PL" w:eastAsia="pl-PL"/>
        </w:rPr>
        <w:t xml:space="preserve">. </w:t>
      </w:r>
    </w:p>
    <w:p w:rsidR="0087390C" w:rsidRPr="0074214A" w:rsidRDefault="00255C96" w:rsidP="007421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lang w:val="pl-PL"/>
        </w:rPr>
      </w:pPr>
      <w:r w:rsidRPr="00CA5FE9">
        <w:rPr>
          <w:rFonts w:eastAsia="Times New Roman" w:cs="Courier New"/>
          <w:color w:val="222222"/>
          <w:lang w:val="pl-PL" w:eastAsia="pl-PL"/>
        </w:rPr>
        <w:t xml:space="preserve">Trybunał uznał, że ograniczenia prawne dotyczące możliwości zmiany pisowni nazwisk </w:t>
      </w:r>
      <w:r w:rsidR="00FF4ACC">
        <w:rPr>
          <w:rFonts w:eastAsia="Times New Roman" w:cs="Courier New"/>
          <w:color w:val="222222"/>
          <w:lang w:val="pl-PL" w:eastAsia="pl-PL"/>
        </w:rPr>
        <w:t xml:space="preserve">mogą być </w:t>
      </w:r>
      <w:r w:rsidRPr="00CA5FE9">
        <w:rPr>
          <w:rFonts w:eastAsia="Times New Roman" w:cs="Courier New"/>
          <w:color w:val="222222"/>
          <w:lang w:val="pl-PL" w:eastAsia="pl-PL"/>
        </w:rPr>
        <w:t>uzasadnione</w:t>
      </w:r>
      <w:r w:rsidR="00FF4ACC" w:rsidRPr="008618C6">
        <w:rPr>
          <w:rFonts w:eastAsia="Times New Roman" w:cs="Courier New"/>
          <w:color w:val="222222"/>
          <w:lang w:val="pl-PL" w:eastAsia="pl-PL"/>
        </w:rPr>
        <w:t>, np. w celu za</w:t>
      </w:r>
      <w:r w:rsidR="00242746">
        <w:rPr>
          <w:rFonts w:eastAsia="Times New Roman" w:cs="Courier New"/>
          <w:color w:val="222222"/>
          <w:lang w:val="pl-PL" w:eastAsia="pl-PL"/>
        </w:rPr>
        <w:t xml:space="preserve">gwarantowania </w:t>
      </w:r>
      <w:r w:rsidR="00FF4ACC" w:rsidRPr="008618C6">
        <w:rPr>
          <w:rFonts w:eastAsia="Times New Roman" w:cs="Courier New"/>
          <w:color w:val="222222"/>
          <w:lang w:val="pl-PL" w:eastAsia="pl-PL"/>
        </w:rPr>
        <w:t>prawidłowej rejestracji ludności</w:t>
      </w:r>
      <w:r w:rsidR="00354ACC">
        <w:rPr>
          <w:rFonts w:eastAsia="Times New Roman" w:cs="Courier New"/>
          <w:color w:val="222222"/>
          <w:lang w:val="pl-PL" w:eastAsia="pl-PL"/>
        </w:rPr>
        <w:t>,</w:t>
      </w:r>
      <w:r w:rsidR="00FF4ACC" w:rsidRPr="008618C6">
        <w:rPr>
          <w:rFonts w:eastAsia="Times New Roman" w:cs="Courier New"/>
          <w:color w:val="222222"/>
          <w:lang w:val="pl-PL" w:eastAsia="pl-PL"/>
        </w:rPr>
        <w:t xml:space="preserve"> zapewnienia środków identyfikacji osób bądź w celu </w:t>
      </w:r>
      <w:r w:rsidR="008618C6" w:rsidRPr="008618C6">
        <w:rPr>
          <w:rFonts w:eastAsia="Times New Roman" w:cs="Courier New"/>
          <w:color w:val="222222"/>
          <w:lang w:val="pl-PL" w:eastAsia="pl-PL"/>
        </w:rPr>
        <w:t>powiązania</w:t>
      </w:r>
      <w:r w:rsidR="00FF4ACC" w:rsidRPr="008618C6">
        <w:rPr>
          <w:rFonts w:eastAsia="Times New Roman" w:cs="Courier New"/>
          <w:color w:val="222222"/>
          <w:lang w:val="pl-PL" w:eastAsia="pl-PL"/>
        </w:rPr>
        <w:t xml:space="preserve"> posiadaczy danego nazwiska </w:t>
      </w:r>
      <w:r w:rsidR="008618C6" w:rsidRPr="008618C6">
        <w:rPr>
          <w:rFonts w:eastAsia="Times New Roman" w:cs="Courier New"/>
          <w:color w:val="222222"/>
          <w:lang w:val="pl-PL" w:eastAsia="pl-PL"/>
        </w:rPr>
        <w:t>z</w:t>
      </w:r>
      <w:r w:rsidR="00FF4ACC" w:rsidRPr="008618C6">
        <w:rPr>
          <w:rFonts w:eastAsia="Times New Roman" w:cs="Courier New"/>
          <w:color w:val="222222"/>
          <w:lang w:val="pl-PL" w:eastAsia="pl-PL"/>
        </w:rPr>
        <w:t xml:space="preserve"> </w:t>
      </w:r>
      <w:r w:rsidR="008618C6" w:rsidRPr="008618C6">
        <w:rPr>
          <w:rFonts w:eastAsia="Times New Roman" w:cs="Courier New"/>
          <w:color w:val="222222"/>
          <w:lang w:val="pl-PL" w:eastAsia="pl-PL"/>
        </w:rPr>
        <w:t>daną</w:t>
      </w:r>
      <w:r w:rsidR="00977C81" w:rsidRPr="008618C6">
        <w:rPr>
          <w:rFonts w:eastAsia="Times New Roman" w:cs="Courier New"/>
          <w:color w:val="222222"/>
          <w:lang w:val="pl-PL" w:eastAsia="pl-PL"/>
        </w:rPr>
        <w:t xml:space="preserve"> </w:t>
      </w:r>
      <w:r w:rsidR="008618C6" w:rsidRPr="008618C6">
        <w:rPr>
          <w:rFonts w:eastAsia="Times New Roman" w:cs="Courier New"/>
          <w:color w:val="222222"/>
          <w:lang w:val="pl-PL" w:eastAsia="pl-PL"/>
        </w:rPr>
        <w:t>rodziną</w:t>
      </w:r>
      <w:r w:rsidR="0069436E" w:rsidRPr="008618C6">
        <w:rPr>
          <w:rFonts w:eastAsia="Times New Roman" w:cs="Courier New"/>
          <w:color w:val="222222"/>
          <w:lang w:val="pl-PL" w:eastAsia="pl-PL"/>
        </w:rPr>
        <w:t xml:space="preserve">. </w:t>
      </w:r>
      <w:r w:rsidR="0087390C" w:rsidRPr="008618C6">
        <w:rPr>
          <w:rFonts w:eastAsia="Times New Roman" w:cs="Times New Roman"/>
          <w:color w:val="222222"/>
          <w:lang w:val="pl-PL" w:eastAsia="pl-PL"/>
        </w:rPr>
        <w:t xml:space="preserve">Trybunał </w:t>
      </w:r>
      <w:r w:rsidR="009D1EF8" w:rsidRPr="008618C6">
        <w:rPr>
          <w:rFonts w:eastAsia="Times New Roman" w:cs="Times New Roman"/>
          <w:color w:val="222222"/>
          <w:lang w:val="pl-PL" w:eastAsia="pl-PL"/>
        </w:rPr>
        <w:t>przyznał</w:t>
      </w:r>
      <w:r w:rsidR="0087390C" w:rsidRPr="008618C6">
        <w:rPr>
          <w:rFonts w:eastAsia="Times New Roman" w:cs="Times New Roman"/>
          <w:color w:val="222222"/>
          <w:lang w:val="pl-PL" w:eastAsia="pl-PL"/>
        </w:rPr>
        <w:t>, że w interesie publicznym jest zagwarantowanie stabilności nazwiska z uwagi na bezpieczeństwo obrotu prawnego w relacjach społecznych. Nazwisko ma decydujące znaczenie dla identyfikacji osób. Skarżąca nie ubiegała się o zastąpienie dotychczasowego zapisu jej nazwiska nowym zapisem, a o umożliwienie posług</w:t>
      </w:r>
      <w:r w:rsidR="0074214A" w:rsidRPr="008618C6">
        <w:rPr>
          <w:rFonts w:eastAsia="Times New Roman" w:cs="Times New Roman"/>
          <w:color w:val="222222"/>
          <w:lang w:val="pl-PL" w:eastAsia="pl-PL"/>
        </w:rPr>
        <w:t xml:space="preserve">iwania się dwoma zapisami w zależności od sytuacji, a w szczególności od państwa, w którym się znajdowała. </w:t>
      </w:r>
      <w:r w:rsidR="00354ACC">
        <w:rPr>
          <w:rFonts w:eastAsia="Times New Roman" w:cs="Times New Roman"/>
          <w:color w:val="222222"/>
          <w:lang w:val="pl-PL" w:eastAsia="pl-PL"/>
        </w:rPr>
        <w:t>Trybunał zauważył, ze t</w:t>
      </w:r>
      <w:r w:rsidR="0074214A" w:rsidRPr="008618C6">
        <w:rPr>
          <w:rFonts w:eastAsia="Times New Roman" w:cs="Times New Roman"/>
          <w:color w:val="222222"/>
          <w:lang w:val="pl-PL" w:eastAsia="pl-PL"/>
        </w:rPr>
        <w:t>akie rozwiązanie byłoby wbrew zasadzie jednolitości nazwiska rodzinnego. Aby uniknąć takiej sytuacji, władze szwajcarskie zwróciły uwagę skarżącej na potrzebę</w:t>
      </w:r>
      <w:r w:rsidR="005A61A2">
        <w:rPr>
          <w:rFonts w:eastAsia="Times New Roman" w:cs="Times New Roman"/>
          <w:color w:val="222222"/>
          <w:lang w:val="pl-PL" w:eastAsia="pl-PL"/>
        </w:rPr>
        <w:t xml:space="preserve"> wystąpienia do władz somalijskich o zmianę</w:t>
      </w:r>
      <w:r w:rsidR="0074214A" w:rsidRPr="008618C6">
        <w:rPr>
          <w:rFonts w:eastAsia="Times New Roman" w:cs="Times New Roman"/>
          <w:color w:val="222222"/>
          <w:lang w:val="pl-PL" w:eastAsia="pl-PL"/>
        </w:rPr>
        <w:t xml:space="preserve"> zapisu jej nazwiska. Skarżąca nie podjęła jednak takich starań, a jedynie przedstawiła dokument somalijski potwierdzający, że oba zapisy mają tę samą wagę. Niedogodna </w:t>
      </w:r>
      <w:r w:rsidR="00D41694" w:rsidRPr="008618C6">
        <w:rPr>
          <w:rFonts w:eastAsia="Times New Roman" w:cs="Times New Roman"/>
          <w:color w:val="222222"/>
          <w:lang w:val="pl-PL" w:eastAsia="pl-PL"/>
        </w:rPr>
        <w:t>sytuacja</w:t>
      </w:r>
      <w:r w:rsidR="0074214A" w:rsidRPr="008618C6">
        <w:rPr>
          <w:rFonts w:eastAsia="Times New Roman" w:cs="Times New Roman"/>
          <w:color w:val="222222"/>
          <w:lang w:val="pl-PL" w:eastAsia="pl-PL"/>
        </w:rPr>
        <w:t xml:space="preserve">, na którą skarżyła się skarżąca, zachodziła jedynie w sytuacji, gdy jej nazwisko </w:t>
      </w:r>
      <w:r w:rsidR="00D41694" w:rsidRPr="008618C6">
        <w:rPr>
          <w:rFonts w:eastAsia="Times New Roman" w:cs="Times New Roman"/>
          <w:color w:val="222222"/>
          <w:lang w:val="pl-PL" w:eastAsia="pl-PL"/>
        </w:rPr>
        <w:t>było</w:t>
      </w:r>
      <w:r w:rsidR="0074214A" w:rsidRPr="008618C6">
        <w:rPr>
          <w:rFonts w:eastAsia="Times New Roman" w:cs="Times New Roman"/>
          <w:color w:val="222222"/>
          <w:lang w:val="pl-PL" w:eastAsia="pl-PL"/>
        </w:rPr>
        <w:t xml:space="preserve"> wypowiadane zgodnie z zasadami wymowy zachodnioeuropejskiej w obecności osób rozumiejących język somalijski. </w:t>
      </w:r>
      <w:r w:rsidR="008618C6" w:rsidRPr="008618C6">
        <w:rPr>
          <w:rFonts w:eastAsia="Times New Roman" w:cs="Times New Roman"/>
          <w:color w:val="222222"/>
          <w:lang w:val="pl-PL" w:eastAsia="pl-PL"/>
        </w:rPr>
        <w:t>Fakt, że nazwisko może mieć pejoratywne konotacje sam w sobie nie jest wystarczający do uznania, że naruszone zostały gwarancje art. 8 Konwencji.</w:t>
      </w:r>
      <w:r w:rsidR="008618C6" w:rsidRPr="008618C6">
        <w:rPr>
          <w:lang w:val="pl-PL"/>
        </w:rPr>
        <w:t xml:space="preserve"> </w:t>
      </w:r>
      <w:r w:rsidR="0074214A" w:rsidRPr="008618C6">
        <w:rPr>
          <w:rFonts w:eastAsia="Times New Roman" w:cs="Times New Roman"/>
          <w:color w:val="222222"/>
          <w:lang w:val="pl-PL" w:eastAsia="pl-PL"/>
        </w:rPr>
        <w:t>Trybunał odnotował także, że wniosek skarżącej został dokładnie zbadany przez władze szwajcarskie, a wydane przez nie orzeczenia zostały w sposób szczegółowy uzasadnion</w:t>
      </w:r>
      <w:r w:rsidR="005A61A2">
        <w:rPr>
          <w:rFonts w:eastAsia="Times New Roman" w:cs="Times New Roman"/>
          <w:color w:val="222222"/>
          <w:lang w:val="pl-PL" w:eastAsia="pl-PL"/>
        </w:rPr>
        <w:t>e</w:t>
      </w:r>
      <w:r w:rsidR="0074214A" w:rsidRPr="008618C6">
        <w:rPr>
          <w:rFonts w:eastAsia="Times New Roman" w:cs="Times New Roman"/>
          <w:color w:val="222222"/>
          <w:lang w:val="pl-PL" w:eastAsia="pl-PL"/>
        </w:rPr>
        <w:t xml:space="preserve">. </w:t>
      </w:r>
      <w:r w:rsidR="0074214A" w:rsidRPr="008618C6">
        <w:rPr>
          <w:lang w:val="pl-PL"/>
        </w:rPr>
        <w:t>W rezultacie</w:t>
      </w:r>
      <w:r w:rsidR="005A61A2">
        <w:rPr>
          <w:lang w:val="pl-PL"/>
        </w:rPr>
        <w:t>,</w:t>
      </w:r>
      <w:r w:rsidR="0074214A" w:rsidRPr="008618C6">
        <w:rPr>
          <w:lang w:val="pl-PL"/>
        </w:rPr>
        <w:t xml:space="preserve"> Trybunał stwierdził, że zarzut naruszenia art. 8 Konwencji </w:t>
      </w:r>
      <w:r w:rsidR="008F03A6">
        <w:rPr>
          <w:lang w:val="pl-PL"/>
        </w:rPr>
        <w:t>w</w:t>
      </w:r>
      <w:r w:rsidR="008618C6">
        <w:rPr>
          <w:lang w:val="pl-PL"/>
        </w:rPr>
        <w:t xml:space="preserve"> obecnej sprawie </w:t>
      </w:r>
      <w:r w:rsidR="008F03A6">
        <w:rPr>
          <w:lang w:val="pl-PL"/>
        </w:rPr>
        <w:t>j</w:t>
      </w:r>
      <w:r w:rsidR="0074214A" w:rsidRPr="008618C6">
        <w:rPr>
          <w:lang w:val="pl-PL"/>
        </w:rPr>
        <w:t>est w sposób oczywisty nieuzasadniony.</w:t>
      </w:r>
      <w:r w:rsidR="0074214A">
        <w:rPr>
          <w:lang w:val="pl-PL"/>
        </w:rPr>
        <w:t xml:space="preserve"> </w:t>
      </w:r>
    </w:p>
    <w:p w:rsidR="00272CB2" w:rsidRPr="00CE75D4" w:rsidRDefault="00354ACC" w:rsidP="007273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lang w:val="pl-PL"/>
        </w:rPr>
      </w:pPr>
      <w:r>
        <w:rPr>
          <w:rFonts w:eastAsia="Times New Roman" w:cs="Courier New"/>
          <w:color w:val="222222"/>
          <w:lang w:val="pl-PL" w:eastAsia="pl-PL"/>
        </w:rPr>
        <w:t xml:space="preserve">2. </w:t>
      </w:r>
      <w:r w:rsidR="00255C96" w:rsidRPr="00354ACC">
        <w:rPr>
          <w:rFonts w:eastAsia="Times New Roman" w:cs="Courier New"/>
          <w:b/>
          <w:color w:val="222222"/>
          <w:lang w:val="pl-PL" w:eastAsia="pl-PL"/>
        </w:rPr>
        <w:t xml:space="preserve">Odnośnie zarzutu </w:t>
      </w:r>
      <w:r w:rsidR="00835951" w:rsidRPr="00354ACC">
        <w:rPr>
          <w:rFonts w:eastAsia="Times New Roman" w:cs="Courier New"/>
          <w:b/>
          <w:color w:val="222222"/>
          <w:lang w:val="pl-PL" w:eastAsia="pl-PL"/>
        </w:rPr>
        <w:t>naruszenia zakazu dyskryminacji</w:t>
      </w:r>
      <w:r w:rsidR="00835951">
        <w:rPr>
          <w:rFonts w:eastAsia="Times New Roman" w:cs="Courier New"/>
          <w:color w:val="222222"/>
          <w:lang w:val="pl-PL" w:eastAsia="pl-PL"/>
        </w:rPr>
        <w:t xml:space="preserve"> </w:t>
      </w:r>
      <w:r>
        <w:rPr>
          <w:rFonts w:eastAsia="Times New Roman" w:cs="Courier New"/>
          <w:color w:val="222222"/>
          <w:lang w:val="pl-PL" w:eastAsia="pl-PL"/>
        </w:rPr>
        <w:t>(art. 14 w związku z art. 8 Konwencji) T</w:t>
      </w:r>
      <w:r w:rsidR="00255C96" w:rsidRPr="00CA5FE9">
        <w:rPr>
          <w:rFonts w:eastAsia="Times New Roman" w:cs="Courier New"/>
          <w:color w:val="222222"/>
          <w:lang w:val="pl-PL" w:eastAsia="pl-PL"/>
        </w:rPr>
        <w:t>rybunał zauważył</w:t>
      </w:r>
      <w:r w:rsidR="00203DD2">
        <w:rPr>
          <w:rFonts w:eastAsia="Times New Roman" w:cs="Courier New"/>
          <w:color w:val="222222"/>
          <w:lang w:val="pl-PL" w:eastAsia="pl-PL"/>
        </w:rPr>
        <w:t>,</w:t>
      </w:r>
      <w:r w:rsidR="00727342">
        <w:rPr>
          <w:rFonts w:eastAsia="Times New Roman" w:cs="Courier New"/>
          <w:color w:val="222222"/>
          <w:lang w:val="pl-PL" w:eastAsia="pl-PL"/>
        </w:rPr>
        <w:t xml:space="preserve"> po pierwsze, że </w:t>
      </w:r>
      <w:r w:rsidR="00542D55">
        <w:rPr>
          <w:rFonts w:eastAsia="Times New Roman" w:cs="Courier New"/>
          <w:color w:val="222222"/>
          <w:lang w:val="pl-PL" w:eastAsia="pl-PL"/>
        </w:rPr>
        <w:t xml:space="preserve">obraźliwy charakter wymowy nazwiska </w:t>
      </w:r>
      <w:r>
        <w:rPr>
          <w:rFonts w:eastAsia="Times New Roman" w:cs="Courier New"/>
          <w:color w:val="222222"/>
          <w:lang w:val="pl-PL" w:eastAsia="pl-PL"/>
        </w:rPr>
        <w:t xml:space="preserve">skarżącej </w:t>
      </w:r>
      <w:r w:rsidR="00542D55">
        <w:rPr>
          <w:rFonts w:eastAsia="Times New Roman" w:cs="Courier New"/>
          <w:color w:val="222222"/>
          <w:lang w:val="pl-PL" w:eastAsia="pl-PL"/>
        </w:rPr>
        <w:t xml:space="preserve">występował jedynie </w:t>
      </w:r>
      <w:r w:rsidR="00727342">
        <w:rPr>
          <w:rFonts w:eastAsia="Times New Roman" w:cs="Courier New"/>
          <w:color w:val="222222"/>
          <w:lang w:val="pl-PL" w:eastAsia="pl-PL"/>
        </w:rPr>
        <w:t xml:space="preserve">w języku somalijskim </w:t>
      </w:r>
      <w:r w:rsidR="00542D55">
        <w:rPr>
          <w:rFonts w:eastAsia="Times New Roman" w:cs="Courier New"/>
          <w:color w:val="222222"/>
          <w:lang w:val="pl-PL" w:eastAsia="pl-PL"/>
        </w:rPr>
        <w:t xml:space="preserve">w przypadku </w:t>
      </w:r>
      <w:r w:rsidR="00727342">
        <w:rPr>
          <w:rFonts w:eastAsia="Times New Roman" w:cs="Courier New"/>
          <w:color w:val="222222"/>
          <w:lang w:val="pl-PL" w:eastAsia="pl-PL"/>
        </w:rPr>
        <w:t xml:space="preserve">wymowy zgodnie z zasadami </w:t>
      </w:r>
      <w:r w:rsidR="00435ED8">
        <w:rPr>
          <w:rFonts w:eastAsia="Times New Roman" w:cs="Courier New"/>
          <w:color w:val="222222"/>
          <w:lang w:val="pl-PL" w:eastAsia="pl-PL"/>
        </w:rPr>
        <w:t>zachodnioeuropejskimi</w:t>
      </w:r>
      <w:r w:rsidR="00727342">
        <w:rPr>
          <w:rFonts w:eastAsia="Times New Roman" w:cs="Courier New"/>
          <w:color w:val="222222"/>
          <w:lang w:val="pl-PL" w:eastAsia="pl-PL"/>
        </w:rPr>
        <w:t xml:space="preserve">. Z tego względu sytuacja </w:t>
      </w:r>
      <w:r w:rsidR="00542D55">
        <w:rPr>
          <w:rFonts w:eastAsia="Times New Roman" w:cs="Courier New"/>
          <w:color w:val="222222"/>
          <w:lang w:val="pl-PL" w:eastAsia="pl-PL"/>
        </w:rPr>
        <w:t xml:space="preserve">skarżącej </w:t>
      </w:r>
      <w:r w:rsidR="00727342">
        <w:rPr>
          <w:rFonts w:eastAsia="Times New Roman" w:cs="Courier New"/>
          <w:color w:val="222222"/>
          <w:lang w:val="pl-PL" w:eastAsia="pl-PL"/>
        </w:rPr>
        <w:t xml:space="preserve">nie </w:t>
      </w:r>
      <w:r w:rsidR="00086F92">
        <w:rPr>
          <w:rFonts w:eastAsia="Times New Roman" w:cs="Courier New"/>
          <w:color w:val="222222"/>
          <w:lang w:val="pl-PL" w:eastAsia="pl-PL"/>
        </w:rPr>
        <w:t xml:space="preserve">była </w:t>
      </w:r>
      <w:r w:rsidR="00727342">
        <w:rPr>
          <w:rFonts w:eastAsia="Times New Roman" w:cs="Courier New"/>
          <w:color w:val="222222"/>
          <w:lang w:val="pl-PL" w:eastAsia="pl-PL"/>
        </w:rPr>
        <w:t>porównywalna do sytuacji osób, w</w:t>
      </w:r>
      <w:r w:rsidR="00542D55">
        <w:rPr>
          <w:rFonts w:eastAsia="Times New Roman" w:cs="Courier New"/>
          <w:color w:val="222222"/>
          <w:lang w:val="pl-PL" w:eastAsia="pl-PL"/>
        </w:rPr>
        <w:t>obec</w:t>
      </w:r>
      <w:r w:rsidR="00727342">
        <w:rPr>
          <w:rFonts w:eastAsia="Times New Roman" w:cs="Courier New"/>
          <w:color w:val="222222"/>
          <w:lang w:val="pl-PL" w:eastAsia="pl-PL"/>
        </w:rPr>
        <w:t xml:space="preserve"> których ośmieszające lub obraźliw</w:t>
      </w:r>
      <w:r w:rsidR="00086F92">
        <w:rPr>
          <w:rFonts w:eastAsia="Times New Roman" w:cs="Courier New"/>
          <w:color w:val="222222"/>
          <w:lang w:val="pl-PL" w:eastAsia="pl-PL"/>
        </w:rPr>
        <w:t>e znaczenie nazwiska występuje</w:t>
      </w:r>
      <w:r w:rsidR="00727342">
        <w:rPr>
          <w:rFonts w:eastAsia="Times New Roman" w:cs="Courier New"/>
          <w:color w:val="222222"/>
          <w:lang w:val="pl-PL" w:eastAsia="pl-PL"/>
        </w:rPr>
        <w:t xml:space="preserve"> w </w:t>
      </w:r>
      <w:r w:rsidR="00086F92">
        <w:rPr>
          <w:rFonts w:eastAsia="Times New Roman" w:cs="Courier New"/>
          <w:color w:val="222222"/>
          <w:lang w:val="pl-PL" w:eastAsia="pl-PL"/>
        </w:rPr>
        <w:t>szeroko</w:t>
      </w:r>
      <w:r w:rsidR="00542D55">
        <w:rPr>
          <w:rFonts w:eastAsia="Times New Roman" w:cs="Courier New"/>
          <w:color w:val="222222"/>
          <w:lang w:val="pl-PL" w:eastAsia="pl-PL"/>
        </w:rPr>
        <w:t xml:space="preserve"> rozpowszechnionym </w:t>
      </w:r>
      <w:r w:rsidR="00727342">
        <w:rPr>
          <w:rFonts w:eastAsia="Times New Roman" w:cs="Courier New"/>
          <w:color w:val="222222"/>
          <w:lang w:val="pl-PL" w:eastAsia="pl-PL"/>
        </w:rPr>
        <w:t>języku</w:t>
      </w:r>
      <w:r w:rsidR="00542D55">
        <w:rPr>
          <w:rFonts w:eastAsia="Times New Roman" w:cs="Courier New"/>
          <w:color w:val="222222"/>
          <w:lang w:val="pl-PL" w:eastAsia="pl-PL"/>
        </w:rPr>
        <w:t>, takim jak języki urzędowe</w:t>
      </w:r>
      <w:r w:rsidR="00727342">
        <w:rPr>
          <w:rFonts w:eastAsia="Times New Roman" w:cs="Courier New"/>
          <w:color w:val="222222"/>
          <w:lang w:val="pl-PL" w:eastAsia="pl-PL"/>
        </w:rPr>
        <w:t>. Po drugie, w odniesieniu do zarzutu dyskryminacji w</w:t>
      </w:r>
      <w:r w:rsidR="00542D55">
        <w:rPr>
          <w:rFonts w:eastAsia="Times New Roman" w:cs="Courier New"/>
          <w:color w:val="222222"/>
          <w:lang w:val="pl-PL" w:eastAsia="pl-PL"/>
        </w:rPr>
        <w:t xml:space="preserve"> stosunku do</w:t>
      </w:r>
      <w:r w:rsidR="00727342">
        <w:rPr>
          <w:rFonts w:eastAsia="Times New Roman" w:cs="Courier New"/>
          <w:color w:val="222222"/>
          <w:lang w:val="pl-PL" w:eastAsia="pl-PL"/>
        </w:rPr>
        <w:t xml:space="preserve"> </w:t>
      </w:r>
      <w:r w:rsidR="00542D55">
        <w:rPr>
          <w:rFonts w:eastAsia="Times New Roman" w:cs="Courier New"/>
          <w:color w:val="222222"/>
          <w:lang w:val="pl-PL" w:eastAsia="pl-PL"/>
        </w:rPr>
        <w:t>imigrantów z Polski</w:t>
      </w:r>
      <w:r w:rsidR="00727342">
        <w:rPr>
          <w:rFonts w:eastAsia="Times New Roman" w:cs="Courier New"/>
          <w:color w:val="222222"/>
          <w:lang w:val="pl-PL" w:eastAsia="pl-PL"/>
        </w:rPr>
        <w:t xml:space="preserve"> Trybunał zauważył</w:t>
      </w:r>
      <w:r w:rsidR="00255C96" w:rsidRPr="00CA5FE9">
        <w:rPr>
          <w:rFonts w:eastAsia="Times New Roman" w:cs="Courier New"/>
          <w:color w:val="222222"/>
          <w:lang w:val="pl-PL" w:eastAsia="pl-PL"/>
        </w:rPr>
        <w:t xml:space="preserve">, że osoby </w:t>
      </w:r>
      <w:r w:rsidR="00727342">
        <w:rPr>
          <w:rFonts w:eastAsia="Times New Roman" w:cs="Courier New"/>
          <w:color w:val="222222"/>
          <w:lang w:val="pl-PL" w:eastAsia="pl-PL"/>
        </w:rPr>
        <w:t xml:space="preserve">te </w:t>
      </w:r>
      <w:r w:rsidR="00255C96" w:rsidRPr="00CA5FE9">
        <w:rPr>
          <w:rFonts w:eastAsia="Times New Roman" w:cs="Courier New"/>
          <w:color w:val="222222"/>
          <w:lang w:val="pl-PL" w:eastAsia="pl-PL"/>
        </w:rPr>
        <w:t>wnios</w:t>
      </w:r>
      <w:r w:rsidR="0074214A">
        <w:rPr>
          <w:rFonts w:eastAsia="Times New Roman" w:cs="Courier New"/>
          <w:color w:val="222222"/>
          <w:lang w:val="pl-PL" w:eastAsia="pl-PL"/>
        </w:rPr>
        <w:t xml:space="preserve">kowały o zmianę zapisu </w:t>
      </w:r>
      <w:r w:rsidR="00542D55">
        <w:rPr>
          <w:rFonts w:eastAsia="Times New Roman" w:cs="Courier New"/>
          <w:color w:val="222222"/>
          <w:lang w:val="pl-PL" w:eastAsia="pl-PL"/>
        </w:rPr>
        <w:t>ich nazwisk</w:t>
      </w:r>
      <w:r w:rsidR="0074214A">
        <w:rPr>
          <w:rFonts w:eastAsia="Times New Roman" w:cs="Courier New"/>
          <w:color w:val="222222"/>
          <w:lang w:val="pl-PL" w:eastAsia="pl-PL"/>
        </w:rPr>
        <w:t xml:space="preserve"> z uwagi na fakt, że </w:t>
      </w:r>
      <w:r w:rsidR="00255C96" w:rsidRPr="00CA5FE9">
        <w:rPr>
          <w:rFonts w:eastAsia="Times New Roman" w:cs="Courier New"/>
          <w:color w:val="222222"/>
          <w:lang w:val="pl-PL" w:eastAsia="pl-PL"/>
        </w:rPr>
        <w:t xml:space="preserve">wymowa </w:t>
      </w:r>
      <w:r w:rsidR="005A61A2">
        <w:rPr>
          <w:rFonts w:eastAsia="Times New Roman" w:cs="Courier New"/>
          <w:color w:val="222222"/>
          <w:lang w:val="pl-PL" w:eastAsia="pl-PL"/>
        </w:rPr>
        <w:t xml:space="preserve">ich nazwisk </w:t>
      </w:r>
      <w:r w:rsidR="00255C96" w:rsidRPr="00CA5FE9">
        <w:rPr>
          <w:rFonts w:eastAsia="Times New Roman" w:cs="Courier New"/>
          <w:color w:val="222222"/>
          <w:lang w:val="pl-PL" w:eastAsia="pl-PL"/>
        </w:rPr>
        <w:t xml:space="preserve">była </w:t>
      </w:r>
      <w:r w:rsidR="003C4744">
        <w:rPr>
          <w:rFonts w:eastAsia="Times New Roman" w:cs="Courier New"/>
          <w:color w:val="222222"/>
          <w:lang w:val="pl-PL" w:eastAsia="pl-PL"/>
        </w:rPr>
        <w:t>nie</w:t>
      </w:r>
      <w:r w:rsidR="00255C96" w:rsidRPr="00CA5FE9">
        <w:rPr>
          <w:rFonts w:eastAsia="Times New Roman" w:cs="Courier New"/>
          <w:color w:val="222222"/>
          <w:lang w:val="pl-PL" w:eastAsia="pl-PL"/>
        </w:rPr>
        <w:t>możliwa</w:t>
      </w:r>
      <w:r w:rsidR="000754C7">
        <w:rPr>
          <w:rFonts w:eastAsia="Times New Roman" w:cs="Courier New"/>
          <w:color w:val="222222"/>
          <w:lang w:val="pl-PL" w:eastAsia="pl-PL"/>
        </w:rPr>
        <w:t xml:space="preserve"> w języku urzędowym</w:t>
      </w:r>
      <w:r w:rsidR="005A61A2">
        <w:rPr>
          <w:rFonts w:eastAsia="Times New Roman" w:cs="Courier New"/>
          <w:color w:val="222222"/>
          <w:lang w:val="pl-PL" w:eastAsia="pl-PL"/>
        </w:rPr>
        <w:t>.</w:t>
      </w:r>
      <w:r w:rsidR="003C4744">
        <w:rPr>
          <w:rFonts w:eastAsia="Times New Roman" w:cs="Courier New"/>
          <w:color w:val="222222"/>
          <w:lang w:val="pl-PL" w:eastAsia="pl-PL"/>
        </w:rPr>
        <w:t xml:space="preserve"> </w:t>
      </w:r>
      <w:r w:rsidR="005A61A2">
        <w:rPr>
          <w:rFonts w:eastAsia="Times New Roman" w:cs="Courier New"/>
          <w:color w:val="222222"/>
          <w:lang w:val="pl-PL" w:eastAsia="pl-PL"/>
        </w:rPr>
        <w:t>S</w:t>
      </w:r>
      <w:r w:rsidR="003C4744">
        <w:rPr>
          <w:rFonts w:eastAsia="Times New Roman" w:cs="Courier New"/>
          <w:color w:val="222222"/>
          <w:lang w:val="pl-PL" w:eastAsia="pl-PL"/>
        </w:rPr>
        <w:t>ytuacja taka nie zachodziła zaś w odniesieniu do skarżącej</w:t>
      </w:r>
      <w:r w:rsidR="00255C96" w:rsidRPr="00CA5FE9">
        <w:rPr>
          <w:rFonts w:eastAsia="Times New Roman" w:cs="Courier New"/>
          <w:color w:val="222222"/>
          <w:lang w:val="pl-PL" w:eastAsia="pl-PL"/>
        </w:rPr>
        <w:t xml:space="preserve">. Zatem </w:t>
      </w:r>
      <w:r w:rsidR="00FF425D">
        <w:rPr>
          <w:rFonts w:eastAsia="Times New Roman" w:cs="Courier New"/>
          <w:color w:val="222222"/>
          <w:lang w:val="pl-PL" w:eastAsia="pl-PL"/>
        </w:rPr>
        <w:t xml:space="preserve">również w tym względzie </w:t>
      </w:r>
      <w:r w:rsidR="00255C96" w:rsidRPr="00CA5FE9">
        <w:rPr>
          <w:rFonts w:eastAsia="Times New Roman" w:cs="Courier New"/>
          <w:color w:val="222222"/>
          <w:lang w:val="pl-PL" w:eastAsia="pl-PL"/>
        </w:rPr>
        <w:t xml:space="preserve">sytuacja skarżącej nie </w:t>
      </w:r>
      <w:r w:rsidR="00435ED8">
        <w:rPr>
          <w:rFonts w:eastAsia="Times New Roman" w:cs="Courier New"/>
          <w:color w:val="222222"/>
          <w:lang w:val="pl-PL" w:eastAsia="pl-PL"/>
        </w:rPr>
        <w:t xml:space="preserve">była </w:t>
      </w:r>
      <w:r w:rsidR="00255C96" w:rsidRPr="00CA5FE9">
        <w:rPr>
          <w:rFonts w:eastAsia="Times New Roman" w:cs="Courier New"/>
          <w:color w:val="222222"/>
          <w:lang w:val="pl-PL" w:eastAsia="pl-PL"/>
        </w:rPr>
        <w:t>porównywalna</w:t>
      </w:r>
      <w:r w:rsidR="00727342">
        <w:rPr>
          <w:rFonts w:eastAsia="Times New Roman" w:cs="Courier New"/>
          <w:color w:val="222222"/>
          <w:lang w:val="pl-PL" w:eastAsia="pl-PL"/>
        </w:rPr>
        <w:t xml:space="preserve">. W rezultacie Trybunał uznał, że również zarzut dyskryminacji jest w sposób oczywisty nieuzasadniony. </w:t>
      </w:r>
    </w:p>
    <w:p w:rsidR="00255C96" w:rsidRDefault="00255C96" w:rsidP="00255C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jc w:val="both"/>
        <w:rPr>
          <w:rFonts w:eastAsia="Times New Roman" w:cs="Courier New"/>
          <w:color w:val="222222"/>
          <w:lang w:val="pl-PL" w:eastAsia="pl-PL"/>
        </w:rPr>
      </w:pPr>
      <w:r w:rsidRPr="00CA5FE9">
        <w:rPr>
          <w:rFonts w:eastAsia="Times New Roman" w:cs="Courier New"/>
          <w:color w:val="222222"/>
          <w:lang w:val="pl-PL" w:eastAsia="pl-PL"/>
        </w:rPr>
        <w:t xml:space="preserve">Trybunał jednomyślnie </w:t>
      </w:r>
      <w:r w:rsidR="00727342">
        <w:rPr>
          <w:rFonts w:eastAsia="Times New Roman" w:cs="Courier New"/>
          <w:color w:val="222222"/>
          <w:lang w:val="pl-PL" w:eastAsia="pl-PL"/>
        </w:rPr>
        <w:t xml:space="preserve">uznał </w:t>
      </w:r>
      <w:r w:rsidRPr="00CA5FE9">
        <w:rPr>
          <w:rFonts w:eastAsia="Times New Roman" w:cs="Courier New"/>
          <w:color w:val="222222"/>
          <w:lang w:val="pl-PL" w:eastAsia="pl-PL"/>
        </w:rPr>
        <w:t xml:space="preserve">skargę </w:t>
      </w:r>
      <w:r w:rsidR="00727342">
        <w:rPr>
          <w:rFonts w:eastAsia="Times New Roman" w:cs="Courier New"/>
          <w:color w:val="222222"/>
          <w:lang w:val="pl-PL" w:eastAsia="pl-PL"/>
        </w:rPr>
        <w:t xml:space="preserve">za </w:t>
      </w:r>
      <w:r w:rsidRPr="00CA5FE9">
        <w:rPr>
          <w:rFonts w:eastAsia="Times New Roman" w:cs="Courier New"/>
          <w:color w:val="222222"/>
          <w:lang w:val="pl-PL" w:eastAsia="pl-PL"/>
        </w:rPr>
        <w:t>niedopuszczalną</w:t>
      </w:r>
      <w:r w:rsidR="005A61A2">
        <w:rPr>
          <w:rFonts w:eastAsia="Times New Roman" w:cs="Courier New"/>
          <w:color w:val="222222"/>
          <w:lang w:val="pl-PL" w:eastAsia="pl-PL"/>
        </w:rPr>
        <w:t xml:space="preserve"> na podstawie art. 35 ust. 3 i 4 Konwencji</w:t>
      </w:r>
      <w:r w:rsidRPr="00CA5FE9">
        <w:rPr>
          <w:rFonts w:eastAsia="Times New Roman" w:cs="Courier New"/>
          <w:color w:val="222222"/>
          <w:lang w:val="pl-PL" w:eastAsia="pl-PL"/>
        </w:rPr>
        <w:t xml:space="preserve">. </w:t>
      </w:r>
    </w:p>
    <w:p w:rsidR="0099622C" w:rsidRDefault="0099622C" w:rsidP="00592D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480" w:line="240" w:lineRule="auto"/>
        <w:jc w:val="both"/>
        <w:rPr>
          <w:rFonts w:eastAsia="Times New Roman" w:cs="Courier New"/>
          <w:color w:val="222222"/>
          <w:lang w:val="pl-PL" w:eastAsia="pl-PL"/>
        </w:rPr>
      </w:pPr>
      <w:r w:rsidRPr="0099622C">
        <w:rPr>
          <w:rFonts w:eastAsia="Times New Roman" w:cs="Courier New"/>
          <w:color w:val="222222"/>
          <w:u w:val="single"/>
          <w:lang w:val="pl-PL" w:eastAsia="pl-PL"/>
        </w:rPr>
        <w:t>Znaczenie decyzji dla Polski</w:t>
      </w:r>
      <w:r>
        <w:rPr>
          <w:rFonts w:eastAsia="Times New Roman" w:cs="Courier New"/>
          <w:color w:val="222222"/>
          <w:lang w:val="pl-PL" w:eastAsia="pl-PL"/>
        </w:rPr>
        <w:t xml:space="preserve"> – potwierdza, iż kwestie dotyczące wyboru lub zmiany zapisu imion i nazwisk są objęte zakresem zastosowania art. 8 Konwencji</w:t>
      </w:r>
      <w:r w:rsidR="00435ED8">
        <w:rPr>
          <w:rFonts w:eastAsia="Times New Roman" w:cs="Courier New"/>
          <w:color w:val="222222"/>
          <w:lang w:val="pl-PL" w:eastAsia="pl-PL"/>
        </w:rPr>
        <w:t xml:space="preserve"> (prawo do poszanowania życia prywatnego i rodzinnego)</w:t>
      </w:r>
      <w:r>
        <w:rPr>
          <w:rFonts w:eastAsia="Times New Roman" w:cs="Courier New"/>
          <w:color w:val="222222"/>
          <w:lang w:val="pl-PL" w:eastAsia="pl-PL"/>
        </w:rPr>
        <w:t>, ale także margines</w:t>
      </w:r>
      <w:r w:rsidR="00203DD2">
        <w:rPr>
          <w:rFonts w:eastAsia="Times New Roman" w:cs="Courier New"/>
          <w:color w:val="222222"/>
          <w:lang w:val="pl-PL" w:eastAsia="pl-PL"/>
        </w:rPr>
        <w:t>em</w:t>
      </w:r>
      <w:r>
        <w:rPr>
          <w:rFonts w:eastAsia="Times New Roman" w:cs="Courier New"/>
          <w:color w:val="222222"/>
          <w:lang w:val="pl-PL" w:eastAsia="pl-PL"/>
        </w:rPr>
        <w:t xml:space="preserve"> oceny przysługujący</w:t>
      </w:r>
      <w:r w:rsidR="00203DD2">
        <w:rPr>
          <w:rFonts w:eastAsia="Times New Roman" w:cs="Courier New"/>
          <w:color w:val="222222"/>
          <w:lang w:val="pl-PL" w:eastAsia="pl-PL"/>
        </w:rPr>
        <w:t>m</w:t>
      </w:r>
      <w:r>
        <w:rPr>
          <w:rFonts w:eastAsia="Times New Roman" w:cs="Courier New"/>
          <w:color w:val="222222"/>
          <w:lang w:val="pl-PL" w:eastAsia="pl-PL"/>
        </w:rPr>
        <w:t xml:space="preserve"> państwom w regulowaniu tych kwestii</w:t>
      </w:r>
      <w:r w:rsidR="00203DD2">
        <w:rPr>
          <w:rFonts w:eastAsia="Times New Roman" w:cs="Courier New"/>
          <w:color w:val="222222"/>
          <w:lang w:val="pl-PL" w:eastAsia="pl-PL"/>
        </w:rPr>
        <w:t>,</w:t>
      </w:r>
      <w:r>
        <w:rPr>
          <w:rFonts w:eastAsia="Times New Roman" w:cs="Courier New"/>
          <w:color w:val="222222"/>
          <w:lang w:val="pl-PL" w:eastAsia="pl-PL"/>
        </w:rPr>
        <w:t xml:space="preserve"> oraz </w:t>
      </w:r>
      <w:r w:rsidR="00203DD2">
        <w:rPr>
          <w:rFonts w:eastAsia="Times New Roman" w:cs="Courier New"/>
          <w:color w:val="222222"/>
          <w:lang w:val="pl-PL" w:eastAsia="pl-PL"/>
        </w:rPr>
        <w:t xml:space="preserve">wskazuje na </w:t>
      </w:r>
      <w:r>
        <w:rPr>
          <w:rFonts w:eastAsia="Times New Roman" w:cs="Courier New"/>
          <w:color w:val="222222"/>
          <w:lang w:val="pl-PL" w:eastAsia="pl-PL"/>
        </w:rPr>
        <w:t>znaczenie zasady bezpieczeństwa obrotu prawnego.</w:t>
      </w:r>
      <w:r w:rsidR="00556E42">
        <w:rPr>
          <w:rFonts w:eastAsia="Times New Roman" w:cs="Courier New"/>
          <w:color w:val="222222"/>
          <w:lang w:val="pl-PL" w:eastAsia="pl-PL"/>
        </w:rPr>
        <w:t xml:space="preserve"> </w:t>
      </w:r>
    </w:p>
    <w:p w:rsidR="000C05C2" w:rsidRPr="0012487D" w:rsidRDefault="008C64EC" w:rsidP="000C05C2">
      <w:pPr>
        <w:pStyle w:val="Nagwek2"/>
        <w:numPr>
          <w:ilvl w:val="0"/>
          <w:numId w:val="1"/>
        </w:numPr>
      </w:pPr>
      <w:bookmarkStart w:id="5" w:name="_Toc437252344"/>
      <w:proofErr w:type="spellStart"/>
      <w:r w:rsidRPr="0012487D">
        <w:t>Perinçek</w:t>
      </w:r>
      <w:proofErr w:type="spellEnd"/>
      <w:r w:rsidRPr="0012487D">
        <w:t xml:space="preserve"> </w:t>
      </w:r>
      <w:r w:rsidR="000C05C2" w:rsidRPr="0012487D">
        <w:t>p. Szwajcarii (skarga nr 27510/08), wyrok Wielkiej Izby z 15</w:t>
      </w:r>
      <w:r w:rsidR="00532964" w:rsidRPr="0012487D">
        <w:t>.10.</w:t>
      </w:r>
      <w:r w:rsidR="000C05C2" w:rsidRPr="0012487D">
        <w:t>2015 r., ostateczny</w:t>
      </w:r>
      <w:bookmarkEnd w:id="5"/>
    </w:p>
    <w:p w:rsidR="009E215A" w:rsidRPr="009E215A" w:rsidRDefault="009E215A" w:rsidP="00592DAA">
      <w:pPr>
        <w:keepNext/>
        <w:keepLines/>
        <w:spacing w:after="360" w:line="240" w:lineRule="auto"/>
        <w:jc w:val="both"/>
        <w:outlineLvl w:val="2"/>
        <w:rPr>
          <w:b/>
          <w:color w:val="000000" w:themeColor="text1"/>
          <w:lang w:val="pl-PL"/>
        </w:rPr>
      </w:pPr>
      <w:bookmarkStart w:id="6" w:name="_Toc437252345"/>
      <w:r>
        <w:rPr>
          <w:b/>
          <w:color w:val="000000" w:themeColor="text1"/>
          <w:lang w:val="pl-PL"/>
        </w:rPr>
        <w:t>- n</w:t>
      </w:r>
      <w:r w:rsidRPr="009E215A">
        <w:rPr>
          <w:b/>
          <w:color w:val="000000" w:themeColor="text1"/>
          <w:lang w:val="pl-PL"/>
        </w:rPr>
        <w:t xml:space="preserve">aruszenie art. 10 Konwencji (wolność wyrażania opinii) z uwagi na skazanie skarżącego za </w:t>
      </w:r>
      <w:r w:rsidR="007F4A32">
        <w:rPr>
          <w:b/>
          <w:color w:val="000000" w:themeColor="text1"/>
          <w:lang w:val="pl-PL"/>
        </w:rPr>
        <w:t xml:space="preserve">przestępstwo </w:t>
      </w:r>
      <w:r w:rsidRPr="009E215A">
        <w:rPr>
          <w:b/>
          <w:color w:val="000000" w:themeColor="text1"/>
          <w:lang w:val="pl-PL"/>
        </w:rPr>
        <w:t>negowani</w:t>
      </w:r>
      <w:r w:rsidR="007F4A32">
        <w:rPr>
          <w:b/>
          <w:color w:val="000000" w:themeColor="text1"/>
          <w:lang w:val="pl-PL"/>
        </w:rPr>
        <w:t>a</w:t>
      </w:r>
      <w:r w:rsidRPr="009E215A">
        <w:rPr>
          <w:b/>
          <w:color w:val="000000" w:themeColor="text1"/>
          <w:lang w:val="pl-PL"/>
        </w:rPr>
        <w:t xml:space="preserve"> jako ludobójstwa </w:t>
      </w:r>
      <w:r w:rsidR="007F4A32">
        <w:rPr>
          <w:b/>
          <w:color w:val="000000" w:themeColor="text1"/>
          <w:lang w:val="pl-PL"/>
        </w:rPr>
        <w:t>w sensie prawnym</w:t>
      </w:r>
      <w:r w:rsidR="00801401">
        <w:rPr>
          <w:b/>
          <w:color w:val="000000" w:themeColor="text1"/>
          <w:lang w:val="pl-PL"/>
        </w:rPr>
        <w:t>,</w:t>
      </w:r>
      <w:r w:rsidR="007F4A32">
        <w:rPr>
          <w:b/>
          <w:color w:val="000000" w:themeColor="text1"/>
          <w:lang w:val="pl-PL"/>
        </w:rPr>
        <w:t xml:space="preserve"> </w:t>
      </w:r>
      <w:r w:rsidRPr="009E215A">
        <w:rPr>
          <w:b/>
          <w:color w:val="000000" w:themeColor="text1"/>
          <w:lang w:val="pl-PL"/>
        </w:rPr>
        <w:t>zbrodni popełnionych przez Imperium Otomańskie wobec ludności ormiańskiej począwszy od 1915 r.</w:t>
      </w:r>
      <w:r w:rsidR="007A029F">
        <w:rPr>
          <w:b/>
          <w:color w:val="000000" w:themeColor="text1"/>
          <w:lang w:val="pl-PL"/>
        </w:rPr>
        <w:t>; brak podstaw</w:t>
      </w:r>
      <w:r w:rsidRPr="009E215A">
        <w:rPr>
          <w:b/>
          <w:color w:val="000000" w:themeColor="text1"/>
          <w:lang w:val="pl-PL"/>
        </w:rPr>
        <w:t xml:space="preserve"> </w:t>
      </w:r>
      <w:r w:rsidR="007A029F">
        <w:rPr>
          <w:b/>
          <w:color w:val="000000" w:themeColor="text1"/>
          <w:lang w:val="pl-PL"/>
        </w:rPr>
        <w:t>do zastosowania art. 17 Konwencji (zakaz nadużycia praw)</w:t>
      </w:r>
      <w:bookmarkEnd w:id="6"/>
    </w:p>
    <w:p w:rsidR="000C05C2" w:rsidRPr="00CA5FE9" w:rsidRDefault="000C05C2" w:rsidP="000C05C2">
      <w:pPr>
        <w:spacing w:after="120" w:line="240" w:lineRule="auto"/>
        <w:jc w:val="both"/>
        <w:rPr>
          <w:u w:val="single"/>
          <w:lang w:val="pl-PL"/>
        </w:rPr>
      </w:pPr>
      <w:r w:rsidRPr="00CA5FE9">
        <w:rPr>
          <w:u w:val="single"/>
          <w:lang w:val="pl-PL"/>
        </w:rPr>
        <w:t>Stan faktyczny</w:t>
      </w:r>
    </w:p>
    <w:p w:rsidR="000C05C2" w:rsidRPr="00CA5FE9" w:rsidRDefault="000C05C2" w:rsidP="000C05C2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 xml:space="preserve">Skarżący, </w:t>
      </w:r>
      <w:proofErr w:type="spellStart"/>
      <w:r w:rsidRPr="00CA5FE9">
        <w:rPr>
          <w:lang w:val="pl-PL"/>
        </w:rPr>
        <w:t>Doğu</w:t>
      </w:r>
      <w:proofErr w:type="spellEnd"/>
      <w:r w:rsidRPr="00CA5FE9">
        <w:rPr>
          <w:lang w:val="pl-PL"/>
        </w:rPr>
        <w:t xml:space="preserve"> </w:t>
      </w:r>
      <w:proofErr w:type="spellStart"/>
      <w:r w:rsidRPr="00CA5FE9">
        <w:rPr>
          <w:lang w:val="pl-PL"/>
        </w:rPr>
        <w:t>Perinçek</w:t>
      </w:r>
      <w:proofErr w:type="spellEnd"/>
      <w:r w:rsidRPr="00CA5FE9">
        <w:rPr>
          <w:lang w:val="pl-PL"/>
        </w:rPr>
        <w:t xml:space="preserve">, </w:t>
      </w:r>
      <w:r w:rsidR="00995D5B">
        <w:rPr>
          <w:lang w:val="pl-PL"/>
        </w:rPr>
        <w:t xml:space="preserve">jest </w:t>
      </w:r>
      <w:r w:rsidRPr="00CA5FE9">
        <w:rPr>
          <w:lang w:val="pl-PL"/>
        </w:rPr>
        <w:t>obywatel</w:t>
      </w:r>
      <w:r w:rsidR="00995D5B">
        <w:rPr>
          <w:lang w:val="pl-PL"/>
        </w:rPr>
        <w:t>em</w:t>
      </w:r>
      <w:r w:rsidRPr="00CA5FE9">
        <w:rPr>
          <w:lang w:val="pl-PL"/>
        </w:rPr>
        <w:t xml:space="preserve"> turecki</w:t>
      </w:r>
      <w:r w:rsidR="00995D5B">
        <w:rPr>
          <w:lang w:val="pl-PL"/>
        </w:rPr>
        <w:t>m</w:t>
      </w:r>
      <w:r w:rsidR="00A4129F">
        <w:rPr>
          <w:lang w:val="pl-PL"/>
        </w:rPr>
        <w:t>,</w:t>
      </w:r>
      <w:r w:rsidR="00995D5B">
        <w:rPr>
          <w:lang w:val="pl-PL"/>
        </w:rPr>
        <w:t xml:space="preserve"> zamieszkałym w </w:t>
      </w:r>
      <w:r w:rsidRPr="00CA5FE9">
        <w:rPr>
          <w:lang w:val="pl-PL"/>
        </w:rPr>
        <w:t>Ankarze (Turcja). Jest doktorem prawa i przewodniczącym Tureckiej Partii Robotniczej.</w:t>
      </w:r>
      <w:r w:rsidR="00341CC3">
        <w:rPr>
          <w:lang w:val="pl-PL"/>
        </w:rPr>
        <w:t xml:space="preserve"> </w:t>
      </w:r>
      <w:r w:rsidRPr="00CA5FE9">
        <w:rPr>
          <w:lang w:val="pl-PL"/>
        </w:rPr>
        <w:t>W 2005 r</w:t>
      </w:r>
      <w:r w:rsidR="00C075EF">
        <w:rPr>
          <w:lang w:val="pl-PL"/>
        </w:rPr>
        <w:t>.</w:t>
      </w:r>
      <w:r w:rsidRPr="00CA5FE9">
        <w:rPr>
          <w:lang w:val="pl-PL"/>
        </w:rPr>
        <w:t xml:space="preserve"> brał udział w trzech publicznych spotkaniach w Szwajcarii, w trakcie których wyraził pogląd, że zbiorowe deportacje i rze</w:t>
      </w:r>
      <w:r w:rsidR="00D1078C">
        <w:rPr>
          <w:lang w:val="pl-PL"/>
        </w:rPr>
        <w:t>zie, których</w:t>
      </w:r>
      <w:r w:rsidRPr="00CA5FE9">
        <w:rPr>
          <w:lang w:val="pl-PL"/>
        </w:rPr>
        <w:t xml:space="preserve"> doświadczyli Ormianie żyjący w Imperium Osmańskim </w:t>
      </w:r>
      <w:r w:rsidR="00D1078C">
        <w:rPr>
          <w:lang w:val="pl-PL"/>
        </w:rPr>
        <w:t>od</w:t>
      </w:r>
      <w:r w:rsidRPr="00CA5FE9">
        <w:rPr>
          <w:lang w:val="pl-PL"/>
        </w:rPr>
        <w:t xml:space="preserve"> 1915</w:t>
      </w:r>
      <w:r w:rsidR="004B6E72" w:rsidRPr="004B6E72">
        <w:rPr>
          <w:lang w:val="pl-PL"/>
        </w:rPr>
        <w:t xml:space="preserve"> </w:t>
      </w:r>
      <w:r w:rsidR="004B6E72">
        <w:rPr>
          <w:lang w:val="pl-PL"/>
        </w:rPr>
        <w:t>r.,</w:t>
      </w:r>
      <w:r w:rsidR="00341CC3">
        <w:rPr>
          <w:lang w:val="pl-PL"/>
        </w:rPr>
        <w:t xml:space="preserve"> nie nosiły znamion ludobójstwa:</w:t>
      </w:r>
    </w:p>
    <w:p w:rsidR="000C05C2" w:rsidRPr="00341CC3" w:rsidRDefault="000C05C2" w:rsidP="00341CC3">
      <w:pPr>
        <w:pStyle w:val="Akapitzlist"/>
        <w:numPr>
          <w:ilvl w:val="0"/>
          <w:numId w:val="49"/>
        </w:numPr>
        <w:spacing w:after="120" w:line="240" w:lineRule="auto"/>
        <w:jc w:val="both"/>
        <w:rPr>
          <w:lang w:val="pl-PL"/>
        </w:rPr>
      </w:pPr>
      <w:r w:rsidRPr="00341CC3">
        <w:rPr>
          <w:lang w:val="pl-PL"/>
        </w:rPr>
        <w:t xml:space="preserve">Podczas konferencji prasowej, która odbyła się w maju 2005 </w:t>
      </w:r>
      <w:r w:rsidR="004B6E72" w:rsidRPr="00341CC3">
        <w:rPr>
          <w:lang w:val="pl-PL"/>
        </w:rPr>
        <w:t>r.</w:t>
      </w:r>
      <w:r w:rsidRPr="00341CC3">
        <w:rPr>
          <w:lang w:val="pl-PL"/>
        </w:rPr>
        <w:t xml:space="preserve"> w Lozannie</w:t>
      </w:r>
      <w:r w:rsidR="004B6E72" w:rsidRPr="00341CC3">
        <w:rPr>
          <w:lang w:val="pl-PL"/>
        </w:rPr>
        <w:t>,</w:t>
      </w:r>
      <w:r w:rsidRPr="00341CC3">
        <w:rPr>
          <w:lang w:val="pl-PL"/>
        </w:rPr>
        <w:t xml:space="preserve"> </w:t>
      </w:r>
      <w:r w:rsidR="00DD3CAC" w:rsidRPr="00341CC3">
        <w:rPr>
          <w:lang w:val="pl-PL"/>
        </w:rPr>
        <w:t>skarżący</w:t>
      </w:r>
      <w:r w:rsidRPr="00341CC3">
        <w:rPr>
          <w:lang w:val="pl-PL"/>
        </w:rPr>
        <w:t xml:space="preserve"> stwierdził</w:t>
      </w:r>
      <w:r w:rsidR="000C3CC2" w:rsidRPr="00341CC3">
        <w:rPr>
          <w:lang w:val="pl-PL"/>
        </w:rPr>
        <w:t xml:space="preserve"> m.in.</w:t>
      </w:r>
      <w:r w:rsidRPr="00341CC3">
        <w:rPr>
          <w:lang w:val="pl-PL"/>
        </w:rPr>
        <w:t xml:space="preserve">, że „zarzut dokonania „ludobójstwa Ormian” jest międzynarodowym kłamstwem". Według niego, „imperialiści z Zachodu i z carskiej Rosji byli odpowiedzialni za napiętą sytuację między muzułmanami </w:t>
      </w:r>
      <w:r w:rsidR="004B6E72" w:rsidRPr="00341CC3">
        <w:rPr>
          <w:lang w:val="pl-PL"/>
        </w:rPr>
        <w:t>a</w:t>
      </w:r>
      <w:r w:rsidRPr="00341CC3">
        <w:rPr>
          <w:lang w:val="pl-PL"/>
        </w:rPr>
        <w:t xml:space="preserve"> Ormianami. Wielkie mocarstwa, które chciały podziału Imperium Osmańskiego</w:t>
      </w:r>
      <w:r w:rsidR="004B6E72" w:rsidRPr="00341CC3">
        <w:rPr>
          <w:lang w:val="pl-PL"/>
        </w:rPr>
        <w:t>,</w:t>
      </w:r>
      <w:r w:rsidRPr="00341CC3">
        <w:rPr>
          <w:lang w:val="pl-PL"/>
        </w:rPr>
        <w:t xml:space="preserve"> podburzyły część Ormian, z którymi żyliśmy przez wieki w pokoju, podżegając tym samym do stosowania przemocy."</w:t>
      </w:r>
    </w:p>
    <w:p w:rsidR="000C05C2" w:rsidRPr="00341CC3" w:rsidRDefault="000C05C2" w:rsidP="00341CC3">
      <w:pPr>
        <w:pStyle w:val="Akapitzlist"/>
        <w:numPr>
          <w:ilvl w:val="0"/>
          <w:numId w:val="49"/>
        </w:numPr>
        <w:spacing w:after="120" w:line="240" w:lineRule="auto"/>
        <w:jc w:val="both"/>
        <w:rPr>
          <w:lang w:val="pl-PL"/>
        </w:rPr>
      </w:pPr>
      <w:r w:rsidRPr="00341CC3">
        <w:rPr>
          <w:lang w:val="pl-PL"/>
        </w:rPr>
        <w:t xml:space="preserve">Na konferencji, która odbyła się w lipcu 2005 </w:t>
      </w:r>
      <w:r w:rsidR="004B6E72" w:rsidRPr="00341CC3">
        <w:rPr>
          <w:lang w:val="pl-PL"/>
        </w:rPr>
        <w:t>r.</w:t>
      </w:r>
      <w:r w:rsidRPr="00341CC3">
        <w:rPr>
          <w:lang w:val="pl-PL"/>
        </w:rPr>
        <w:t xml:space="preserve"> w </w:t>
      </w:r>
      <w:r w:rsidR="004B6E72" w:rsidRPr="00341CC3">
        <w:rPr>
          <w:lang w:val="pl-PL"/>
        </w:rPr>
        <w:t xml:space="preserve">szwajcarskim </w:t>
      </w:r>
      <w:proofErr w:type="spellStart"/>
      <w:r w:rsidRPr="00341CC3">
        <w:rPr>
          <w:lang w:val="pl-PL"/>
        </w:rPr>
        <w:t>Opfikon</w:t>
      </w:r>
      <w:proofErr w:type="spellEnd"/>
      <w:r w:rsidRPr="00341CC3">
        <w:rPr>
          <w:lang w:val="pl-PL"/>
        </w:rPr>
        <w:t xml:space="preserve"> z okazji zawarcia traktatu pokojowego po pierwszej wojny światowej w odniesieniu do Turcji, po wygłoszeniu przemówienia, w którym stwierdził</w:t>
      </w:r>
      <w:r w:rsidR="000C3CC2" w:rsidRPr="00341CC3">
        <w:rPr>
          <w:lang w:val="pl-PL"/>
        </w:rPr>
        <w:t xml:space="preserve"> m.in.</w:t>
      </w:r>
      <w:r w:rsidRPr="00341CC3">
        <w:rPr>
          <w:lang w:val="pl-PL"/>
        </w:rPr>
        <w:t>, że „problem ormiański ... nigdy nawet nie istniał”</w:t>
      </w:r>
      <w:r w:rsidR="004B6E72" w:rsidRPr="00341CC3">
        <w:rPr>
          <w:lang w:val="pl-PL"/>
        </w:rPr>
        <w:t>,</w:t>
      </w:r>
      <w:r w:rsidRPr="00341CC3">
        <w:rPr>
          <w:lang w:val="pl-PL"/>
        </w:rPr>
        <w:t xml:space="preserve"> </w:t>
      </w:r>
      <w:r w:rsidR="00DD3CAC" w:rsidRPr="00341CC3">
        <w:rPr>
          <w:lang w:val="pl-PL"/>
        </w:rPr>
        <w:t xml:space="preserve">skarżący </w:t>
      </w:r>
      <w:r w:rsidRPr="00341CC3">
        <w:rPr>
          <w:lang w:val="pl-PL"/>
        </w:rPr>
        <w:t xml:space="preserve">rozdał kopie referatu, w którym zaprzeczył, aby wydarzenia z 1915 </w:t>
      </w:r>
      <w:r w:rsidR="004B6E72" w:rsidRPr="00341CC3">
        <w:rPr>
          <w:lang w:val="pl-PL"/>
        </w:rPr>
        <w:t>r.</w:t>
      </w:r>
      <w:r w:rsidRPr="00341CC3">
        <w:rPr>
          <w:lang w:val="pl-PL"/>
        </w:rPr>
        <w:t xml:space="preserve"> i lat następnych stanowiły ludobójstwo.</w:t>
      </w:r>
    </w:p>
    <w:p w:rsidR="000C05C2" w:rsidRDefault="000C05C2" w:rsidP="00341CC3">
      <w:pPr>
        <w:pStyle w:val="Akapitzlist"/>
        <w:numPr>
          <w:ilvl w:val="0"/>
          <w:numId w:val="49"/>
        </w:numPr>
        <w:spacing w:after="120" w:line="240" w:lineRule="auto"/>
        <w:jc w:val="both"/>
        <w:rPr>
          <w:lang w:val="pl-PL"/>
        </w:rPr>
      </w:pPr>
      <w:r w:rsidRPr="00341CC3">
        <w:rPr>
          <w:lang w:val="pl-PL"/>
        </w:rPr>
        <w:t>Wreszcie, na wiecu Partii Pracowników Tureckich, któr</w:t>
      </w:r>
      <w:r w:rsidR="00341CC3">
        <w:rPr>
          <w:lang w:val="pl-PL"/>
        </w:rPr>
        <w:t>y odbył</w:t>
      </w:r>
      <w:r w:rsidRPr="00341CC3">
        <w:rPr>
          <w:lang w:val="pl-PL"/>
        </w:rPr>
        <w:t xml:space="preserve"> się w </w:t>
      </w:r>
      <w:r w:rsidR="004B6E72" w:rsidRPr="00341CC3">
        <w:rPr>
          <w:lang w:val="pl-PL"/>
        </w:rPr>
        <w:t xml:space="preserve">szwajcarskim </w:t>
      </w:r>
      <w:proofErr w:type="spellStart"/>
      <w:r w:rsidR="00341CC3" w:rsidRPr="00341CC3">
        <w:rPr>
          <w:lang w:val="pl-PL"/>
        </w:rPr>
        <w:t>Köniz</w:t>
      </w:r>
      <w:proofErr w:type="spellEnd"/>
      <w:r w:rsidR="00341CC3" w:rsidRPr="00341CC3">
        <w:rPr>
          <w:lang w:val="pl-PL"/>
        </w:rPr>
        <w:t xml:space="preserve"> </w:t>
      </w:r>
      <w:r w:rsidRPr="00341CC3">
        <w:rPr>
          <w:lang w:val="pl-PL"/>
        </w:rPr>
        <w:t xml:space="preserve">we wrześniu 2005 </w:t>
      </w:r>
      <w:r w:rsidR="004B6E72" w:rsidRPr="00341CC3">
        <w:rPr>
          <w:lang w:val="pl-PL"/>
        </w:rPr>
        <w:t>r.</w:t>
      </w:r>
      <w:r w:rsidRPr="00341CC3">
        <w:rPr>
          <w:lang w:val="pl-PL"/>
        </w:rPr>
        <w:t xml:space="preserve">, </w:t>
      </w:r>
      <w:r w:rsidR="00246D3F" w:rsidRPr="00341CC3">
        <w:rPr>
          <w:lang w:val="pl-PL"/>
        </w:rPr>
        <w:t xml:space="preserve">skarżący </w:t>
      </w:r>
      <w:r w:rsidRPr="00341CC3">
        <w:rPr>
          <w:lang w:val="pl-PL"/>
        </w:rPr>
        <w:t>stwierdził, że „sowieckie archiwa potwierdzają, iż w owym czasie miały miejsce konflikty etni</w:t>
      </w:r>
      <w:r w:rsidR="004B6E72" w:rsidRPr="00341CC3">
        <w:rPr>
          <w:lang w:val="pl-PL"/>
        </w:rPr>
        <w:t>czne, rzezie</w:t>
      </w:r>
      <w:r w:rsidRPr="00341CC3">
        <w:rPr>
          <w:lang w:val="pl-PL"/>
        </w:rPr>
        <w:t xml:space="preserve"> i masakry między Ormianami </w:t>
      </w:r>
      <w:r w:rsidR="004B6E72" w:rsidRPr="00341CC3">
        <w:rPr>
          <w:lang w:val="pl-PL"/>
        </w:rPr>
        <w:t>a</w:t>
      </w:r>
      <w:r w:rsidRPr="00341CC3">
        <w:rPr>
          <w:lang w:val="pl-PL"/>
        </w:rPr>
        <w:t xml:space="preserve"> muzułmanami. Jednakże Turcja stała po stronie osób broniących ojczyzny, natomiast Ormianie wypowiedzieli się po stronie imperialistów i ich działań…” Następnie stwierdził raz jeszcze, iż „ludobójstwo Ormian w 1915 </w:t>
      </w:r>
      <w:r w:rsidR="004B6E72" w:rsidRPr="00341CC3">
        <w:rPr>
          <w:lang w:val="pl-PL"/>
        </w:rPr>
        <w:t>r.</w:t>
      </w:r>
      <w:r w:rsidRPr="00341CC3">
        <w:rPr>
          <w:lang w:val="pl-PL"/>
        </w:rPr>
        <w:t xml:space="preserve"> nie miało miejsca”.</w:t>
      </w:r>
      <w:r w:rsidR="00CC0630">
        <w:rPr>
          <w:lang w:val="pl-PL"/>
        </w:rPr>
        <w:t xml:space="preserve"> „Mi</w:t>
      </w:r>
      <w:r w:rsidR="00D1078C">
        <w:rPr>
          <w:lang w:val="pl-PL"/>
        </w:rPr>
        <w:t>ała miejsce bitwa między ludźmi</w:t>
      </w:r>
      <w:r w:rsidR="00CC0630">
        <w:rPr>
          <w:lang w:val="pl-PL"/>
        </w:rPr>
        <w:t xml:space="preserve">, a my ponieśliśmy wiele ofiar … Oficerowie rosyjscy byli wówczas bardzo </w:t>
      </w:r>
      <w:r w:rsidR="00D2444A">
        <w:rPr>
          <w:lang w:val="pl-PL"/>
        </w:rPr>
        <w:t>niezadowoleni</w:t>
      </w:r>
      <w:r w:rsidR="00CC0630">
        <w:rPr>
          <w:lang w:val="pl-PL"/>
        </w:rPr>
        <w:t xml:space="preserve">, gdyż oddziały armeńskie prowadziły rzezie Turków i </w:t>
      </w:r>
      <w:r w:rsidR="00D1078C">
        <w:rPr>
          <w:lang w:val="pl-PL"/>
        </w:rPr>
        <w:t>m</w:t>
      </w:r>
      <w:r w:rsidR="00CC0630">
        <w:rPr>
          <w:lang w:val="pl-PL"/>
        </w:rPr>
        <w:t xml:space="preserve">uzułmanów …”.  </w:t>
      </w:r>
    </w:p>
    <w:p w:rsidR="000C05C2" w:rsidRPr="00CA5FE9" w:rsidRDefault="000C05C2" w:rsidP="000C05C2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 xml:space="preserve">Stowarzyszenie Szwajcarsko-Ormiańskie złożyło </w:t>
      </w:r>
      <w:r w:rsidR="0099316F">
        <w:rPr>
          <w:lang w:val="pl-PL"/>
        </w:rPr>
        <w:t>zawiadomienie o popełnieniu przestępstwa przez</w:t>
      </w:r>
      <w:r w:rsidRPr="00CA5FE9">
        <w:rPr>
          <w:lang w:val="pl-PL"/>
        </w:rPr>
        <w:t xml:space="preserve"> </w:t>
      </w:r>
      <w:r w:rsidR="0099316F">
        <w:rPr>
          <w:lang w:val="pl-PL"/>
        </w:rPr>
        <w:t>skarżącego</w:t>
      </w:r>
      <w:r w:rsidRPr="00CA5FE9">
        <w:rPr>
          <w:lang w:val="pl-PL"/>
        </w:rPr>
        <w:t xml:space="preserve">. W </w:t>
      </w:r>
      <w:r w:rsidR="004B6E72">
        <w:rPr>
          <w:lang w:val="pl-PL"/>
        </w:rPr>
        <w:t>marcu</w:t>
      </w:r>
      <w:r w:rsidRPr="00CA5FE9">
        <w:rPr>
          <w:lang w:val="pl-PL"/>
        </w:rPr>
        <w:t xml:space="preserve"> 2007 </w:t>
      </w:r>
      <w:r w:rsidR="004B6E72">
        <w:rPr>
          <w:lang w:val="pl-PL"/>
        </w:rPr>
        <w:t>r.</w:t>
      </w:r>
      <w:r w:rsidRPr="00CA5FE9">
        <w:rPr>
          <w:lang w:val="pl-PL"/>
        </w:rPr>
        <w:t xml:space="preserve"> Sąd Rejonowy w Lozannie uznał go </w:t>
      </w:r>
      <w:r w:rsidR="00B563C3">
        <w:rPr>
          <w:lang w:val="pl-PL"/>
        </w:rPr>
        <w:t>winnym</w:t>
      </w:r>
      <w:r w:rsidRPr="00CA5FE9">
        <w:rPr>
          <w:lang w:val="pl-PL"/>
        </w:rPr>
        <w:t xml:space="preserve"> przestępstwa z art. 261 bis </w:t>
      </w:r>
      <w:r w:rsidR="00137D2F">
        <w:rPr>
          <w:lang w:val="pl-PL"/>
        </w:rPr>
        <w:t>ust.</w:t>
      </w:r>
      <w:r w:rsidRPr="00CA5FE9">
        <w:rPr>
          <w:lang w:val="pl-PL"/>
        </w:rPr>
        <w:t xml:space="preserve"> 4 szwajcarskiego kodeksu karnego, przyjmując w szczególności, że działał </w:t>
      </w:r>
      <w:r w:rsidR="004B6E72">
        <w:rPr>
          <w:lang w:val="pl-PL"/>
        </w:rPr>
        <w:t xml:space="preserve">on </w:t>
      </w:r>
      <w:r w:rsidRPr="00CA5FE9">
        <w:rPr>
          <w:lang w:val="pl-PL"/>
        </w:rPr>
        <w:t>z pobudek rasistowskich i nacjonalistycznych</w:t>
      </w:r>
      <w:r w:rsidR="004B6E72">
        <w:rPr>
          <w:lang w:val="pl-PL"/>
        </w:rPr>
        <w:t xml:space="preserve">, a </w:t>
      </w:r>
      <w:r w:rsidRPr="00CA5FE9">
        <w:rPr>
          <w:lang w:val="pl-PL"/>
        </w:rPr>
        <w:t xml:space="preserve">jego wypowiedzi nie stanowiły wkładu </w:t>
      </w:r>
      <w:r w:rsidR="00D1078C">
        <w:rPr>
          <w:lang w:val="pl-PL"/>
        </w:rPr>
        <w:t>do debaty historycznej</w:t>
      </w:r>
      <w:r w:rsidRPr="00CA5FE9">
        <w:rPr>
          <w:lang w:val="pl-PL"/>
        </w:rPr>
        <w:t xml:space="preserve">. Sąd nakazał mu zapłacić 90 stawek dziennych grzywny po 100 franków szwajcarskich każda w zawieszeniu na dwa lata, grzywnę w wysokości 3000 franków szwajcarskich </w:t>
      </w:r>
      <w:r w:rsidR="004B6E72">
        <w:rPr>
          <w:lang w:val="pl-PL"/>
        </w:rPr>
        <w:t>(</w:t>
      </w:r>
      <w:r w:rsidR="00D2444A">
        <w:rPr>
          <w:lang w:val="pl-PL"/>
        </w:rPr>
        <w:t xml:space="preserve">podlegającą zamianie </w:t>
      </w:r>
      <w:r w:rsidRPr="00CA5FE9">
        <w:rPr>
          <w:lang w:val="pl-PL"/>
        </w:rPr>
        <w:t>na 30 dni pozbawienia wolności</w:t>
      </w:r>
      <w:r w:rsidR="004B6E72">
        <w:rPr>
          <w:lang w:val="pl-PL"/>
        </w:rPr>
        <w:t>)</w:t>
      </w:r>
      <w:r w:rsidRPr="00CA5FE9">
        <w:rPr>
          <w:lang w:val="pl-PL"/>
        </w:rPr>
        <w:t xml:space="preserve"> oraz 1000 franków szwajcarskich odszkodowania na rzecz Stowarzyszenia Szwajcarsko-Ormiańskiego z tytułu szkody niemajątkowej.</w:t>
      </w:r>
      <w:r w:rsidR="003F33BA">
        <w:rPr>
          <w:lang w:val="pl-PL"/>
        </w:rPr>
        <w:t xml:space="preserve"> Apelacja i kasacja skarżącego zostały oddalone przez sądy szwajcarskie. </w:t>
      </w:r>
    </w:p>
    <w:p w:rsidR="000C05C2" w:rsidRPr="00CA5FE9" w:rsidRDefault="000C05C2" w:rsidP="000C05C2">
      <w:pPr>
        <w:spacing w:after="120" w:line="240" w:lineRule="auto"/>
        <w:jc w:val="both"/>
        <w:rPr>
          <w:u w:val="single"/>
          <w:lang w:val="pl-PL"/>
        </w:rPr>
      </w:pPr>
      <w:r w:rsidRPr="00CA5FE9">
        <w:rPr>
          <w:u w:val="single"/>
          <w:lang w:val="pl-PL"/>
        </w:rPr>
        <w:t xml:space="preserve">Zarzuty </w:t>
      </w:r>
      <w:r w:rsidR="00514B8B">
        <w:rPr>
          <w:u w:val="single"/>
          <w:lang w:val="pl-PL"/>
        </w:rPr>
        <w:t>s</w:t>
      </w:r>
      <w:r w:rsidRPr="00CA5FE9">
        <w:rPr>
          <w:u w:val="single"/>
          <w:lang w:val="pl-PL"/>
        </w:rPr>
        <w:t>karżącego i procedura przed Trybunałem</w:t>
      </w:r>
    </w:p>
    <w:p w:rsidR="00AB1559" w:rsidRPr="00CE75D4" w:rsidRDefault="00246D3F" w:rsidP="000C05C2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Skarżący</w:t>
      </w:r>
      <w:r w:rsidRPr="00CA5FE9">
        <w:rPr>
          <w:lang w:val="pl-PL"/>
        </w:rPr>
        <w:t xml:space="preserve"> </w:t>
      </w:r>
      <w:r w:rsidR="00926A4E">
        <w:rPr>
          <w:lang w:val="pl-PL"/>
        </w:rPr>
        <w:t>zarzucał</w:t>
      </w:r>
      <w:r w:rsidR="000C05C2" w:rsidRPr="00CA5FE9">
        <w:rPr>
          <w:lang w:val="pl-PL"/>
        </w:rPr>
        <w:t>, że jego skazanie za publiczne</w:t>
      </w:r>
      <w:r w:rsidR="002A3805">
        <w:rPr>
          <w:lang w:val="pl-PL"/>
        </w:rPr>
        <w:t xml:space="preserve"> wypowiedzi</w:t>
      </w:r>
      <w:r w:rsidR="000C05C2" w:rsidRPr="00CA5FE9">
        <w:rPr>
          <w:lang w:val="pl-PL"/>
        </w:rPr>
        <w:t xml:space="preserve"> stanowiło naruszenie jego prawa do wolności </w:t>
      </w:r>
      <w:r w:rsidR="00926A4E">
        <w:rPr>
          <w:lang w:val="pl-PL"/>
        </w:rPr>
        <w:t>wyrażania opinii,</w:t>
      </w:r>
      <w:r w:rsidR="000C05C2" w:rsidRPr="00CA5FE9">
        <w:rPr>
          <w:lang w:val="pl-PL"/>
        </w:rPr>
        <w:t xml:space="preserve"> gwarantowanego art. 10 Konwencji. </w:t>
      </w:r>
      <w:r w:rsidR="00926A4E">
        <w:rPr>
          <w:lang w:val="pl-PL"/>
        </w:rPr>
        <w:t>P</w:t>
      </w:r>
      <w:r w:rsidR="000C05C2" w:rsidRPr="00CA5FE9">
        <w:rPr>
          <w:lang w:val="pl-PL"/>
        </w:rPr>
        <w:t>owołując się na art. 7 (zakaz karania bez podstawy prawnej)</w:t>
      </w:r>
      <w:r w:rsidR="00926A4E">
        <w:rPr>
          <w:lang w:val="pl-PL"/>
        </w:rPr>
        <w:t xml:space="preserve"> zarzucał także</w:t>
      </w:r>
      <w:r w:rsidR="000C05C2" w:rsidRPr="00CA5FE9">
        <w:rPr>
          <w:lang w:val="pl-PL"/>
        </w:rPr>
        <w:t xml:space="preserve">, że brzmienie art. 261 </w:t>
      </w:r>
      <w:r w:rsidR="00137D2F">
        <w:rPr>
          <w:lang w:val="pl-PL"/>
        </w:rPr>
        <w:t>ust.</w:t>
      </w:r>
      <w:r w:rsidR="000C05C2" w:rsidRPr="00CA5FE9">
        <w:rPr>
          <w:lang w:val="pl-PL"/>
        </w:rPr>
        <w:t xml:space="preserve"> 4 bis szwajcarskiego kodeksu karnego było zbyt ogólnikowe.</w:t>
      </w:r>
      <w:r w:rsidR="00E358E0">
        <w:rPr>
          <w:lang w:val="pl-PL"/>
        </w:rPr>
        <w:t xml:space="preserve"> Trybunał z urzędu zbadał również, czy s</w:t>
      </w:r>
      <w:r w:rsidR="00AB1559">
        <w:rPr>
          <w:lang w:val="pl-PL"/>
        </w:rPr>
        <w:t>karga</w:t>
      </w:r>
      <w:r w:rsidR="00E358E0">
        <w:rPr>
          <w:lang w:val="pl-PL"/>
        </w:rPr>
        <w:t xml:space="preserve"> nie powinna zostać uznana za nadużycie praw (art. 17 Konwencji)</w:t>
      </w:r>
      <w:r w:rsidR="00AB1559">
        <w:rPr>
          <w:lang w:val="pl-PL"/>
        </w:rPr>
        <w:t>.</w:t>
      </w:r>
      <w:r w:rsidR="00E358E0">
        <w:rPr>
          <w:lang w:val="pl-PL"/>
        </w:rPr>
        <w:t xml:space="preserve"> </w:t>
      </w:r>
    </w:p>
    <w:p w:rsidR="000C05C2" w:rsidRPr="00CA5FE9" w:rsidRDefault="000C05C2" w:rsidP="000C05C2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>W wy</w:t>
      </w:r>
      <w:r w:rsidR="004B6E72">
        <w:rPr>
          <w:lang w:val="pl-PL"/>
        </w:rPr>
        <w:t>r</w:t>
      </w:r>
      <w:r w:rsidR="00926A4E">
        <w:rPr>
          <w:lang w:val="pl-PL"/>
        </w:rPr>
        <w:t>oku</w:t>
      </w:r>
      <w:r w:rsidRPr="00CA5FE9">
        <w:rPr>
          <w:lang w:val="pl-PL"/>
        </w:rPr>
        <w:t xml:space="preserve"> z 17 grudnia 2013 </w:t>
      </w:r>
      <w:r w:rsidR="004B6E72">
        <w:rPr>
          <w:lang w:val="pl-PL"/>
        </w:rPr>
        <w:t>r.</w:t>
      </w:r>
      <w:r w:rsidRPr="00CA5FE9">
        <w:rPr>
          <w:lang w:val="pl-PL"/>
        </w:rPr>
        <w:t xml:space="preserve"> Izba Trybunału uznała, większością pięciu głosów przeciwko dwóm, że doszło do naruszenia art. 10 Konwencji. Rząd Szwajcarii zwrócił się o przekazanie sprawy do Wielkiej Izby. Rozprawa przed Wielką Izbą odbyła się w dniu 28 stycznia 2015 </w:t>
      </w:r>
      <w:r w:rsidR="004B6E72">
        <w:rPr>
          <w:lang w:val="pl-PL"/>
        </w:rPr>
        <w:t>r.</w:t>
      </w:r>
    </w:p>
    <w:p w:rsidR="000C05C2" w:rsidRPr="00CA5FE9" w:rsidRDefault="000C05C2" w:rsidP="000C05C2">
      <w:pPr>
        <w:spacing w:after="120" w:line="240" w:lineRule="auto"/>
        <w:jc w:val="both"/>
        <w:rPr>
          <w:u w:val="single"/>
          <w:lang w:val="pl-PL"/>
        </w:rPr>
      </w:pPr>
      <w:r w:rsidRPr="00CA5FE9">
        <w:rPr>
          <w:lang w:val="pl-PL"/>
        </w:rPr>
        <w:t xml:space="preserve">W postępowaniu przed Wielką Izbą, </w:t>
      </w:r>
      <w:r w:rsidR="00926A4E">
        <w:rPr>
          <w:lang w:val="pl-PL"/>
        </w:rPr>
        <w:t xml:space="preserve">rządy </w:t>
      </w:r>
      <w:r w:rsidRPr="00CA5FE9">
        <w:rPr>
          <w:lang w:val="pl-PL"/>
        </w:rPr>
        <w:t>Turcji, Armenii oraz Francji</w:t>
      </w:r>
      <w:r w:rsidR="00926A4E">
        <w:rPr>
          <w:lang w:val="pl-PL"/>
        </w:rPr>
        <w:t xml:space="preserve"> złożyły interwencje strony trzeciej</w:t>
      </w:r>
      <w:r w:rsidRPr="00CA5FE9">
        <w:rPr>
          <w:lang w:val="pl-PL"/>
        </w:rPr>
        <w:t xml:space="preserve">. Rząd Armenii został dodatkowo dopuszczony do udziału w rozprawie. Ponadto Trybunał otrzymał uwagi strony trzeciej od </w:t>
      </w:r>
      <w:r w:rsidR="00926A4E">
        <w:rPr>
          <w:lang w:val="pl-PL"/>
        </w:rPr>
        <w:t xml:space="preserve">kilku </w:t>
      </w:r>
      <w:r w:rsidRPr="00CA5FE9">
        <w:rPr>
          <w:lang w:val="pl-PL"/>
        </w:rPr>
        <w:t>organizacji pozarządowych i osób, które również zostały dopuszczone do udziału w procedurze pisemnej: (a) Stowarzyszenia Szwajcarsko-Ormiańskiego; (b) Federacji Stowarzyszeń Tureckich Francuskojęzycznej Szwajcarii; (c) Rady Koordynacyjnej Organizacji Ormiańskich we Francji („CCAF”); (d) Tureckiego Stowarzyszenia Praw Człowieka, Centrum Pamięci Prawdy i Sprawiedliwości Międzynarodowego Instytutu Studiów nad Ludobójstwem i Prawami Człowieka; (e) Międzynarodowej Federacji Praw Człowieka („FIDH”), (f) Międzynarodowej Ligi Przeciwko Rasizmowi i Antysemityzmowi („LICRA”); (g) Centrum Ochrony Międzynarodowej; (h) grupy francuskich i belgijskich naukowców.</w:t>
      </w:r>
    </w:p>
    <w:p w:rsidR="000C05C2" w:rsidRPr="002615CC" w:rsidRDefault="000C05C2" w:rsidP="000C05C2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>
        <w:rPr>
          <w:rFonts w:ascii="Calibri" w:hAnsi="Calibri"/>
          <w:color w:val="000000"/>
          <w:u w:val="single"/>
          <w:lang w:val="pl-PL"/>
        </w:rPr>
        <w:t>O</w:t>
      </w:r>
      <w:r w:rsidRPr="002615CC">
        <w:rPr>
          <w:rFonts w:ascii="Calibri" w:hAnsi="Calibri"/>
          <w:color w:val="000000"/>
          <w:u w:val="single"/>
          <w:lang w:val="pl-PL"/>
        </w:rPr>
        <w:t>cena Trybunału</w:t>
      </w:r>
    </w:p>
    <w:p w:rsidR="000C05C2" w:rsidRPr="00CA5FE9" w:rsidRDefault="000C05C2" w:rsidP="000C05C2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>Trybunał podkreślił, że nie jest zobowiązany do ustalenia, czy rze</w:t>
      </w:r>
      <w:r w:rsidR="00D511F8">
        <w:rPr>
          <w:lang w:val="pl-PL"/>
        </w:rPr>
        <w:t>zie i</w:t>
      </w:r>
      <w:r w:rsidRPr="00CA5FE9">
        <w:rPr>
          <w:lang w:val="pl-PL"/>
        </w:rPr>
        <w:t xml:space="preserve">  masowe deportacje względem Ormian z rąk Imperium Osmańskiego, które miały miejsce od 1915 </w:t>
      </w:r>
      <w:r w:rsidR="004B6E72">
        <w:rPr>
          <w:lang w:val="pl-PL"/>
        </w:rPr>
        <w:t>r.</w:t>
      </w:r>
      <w:r w:rsidRPr="00CA5FE9">
        <w:rPr>
          <w:lang w:val="pl-PL"/>
        </w:rPr>
        <w:t>, można określić mianem ludobójstwa w ro</w:t>
      </w:r>
      <w:r w:rsidR="00926A4E">
        <w:rPr>
          <w:lang w:val="pl-PL"/>
        </w:rPr>
        <w:t>zumieniu prawa międzynarodowego.</w:t>
      </w:r>
      <w:r w:rsidRPr="00CA5FE9">
        <w:rPr>
          <w:lang w:val="pl-PL"/>
        </w:rPr>
        <w:t xml:space="preserve"> </w:t>
      </w:r>
      <w:r w:rsidR="00926A4E">
        <w:rPr>
          <w:lang w:val="pl-PL"/>
        </w:rPr>
        <w:t>W</w:t>
      </w:r>
      <w:r w:rsidRPr="00CA5FE9">
        <w:rPr>
          <w:lang w:val="pl-PL"/>
        </w:rPr>
        <w:t xml:space="preserve"> przeciwieństwie do międzynarodowych trybunałów karnych, Trybunał w Strasburgu nie ma </w:t>
      </w:r>
      <w:r w:rsidR="00926A4E">
        <w:rPr>
          <w:lang w:val="pl-PL"/>
        </w:rPr>
        <w:t xml:space="preserve">bowiem </w:t>
      </w:r>
      <w:r w:rsidRPr="00CA5FE9">
        <w:rPr>
          <w:lang w:val="pl-PL"/>
        </w:rPr>
        <w:t xml:space="preserve">uprawnień do udzielania prawnie wiążących odpowiedzi w tej kwestii. </w:t>
      </w:r>
    </w:p>
    <w:p w:rsidR="000C05C2" w:rsidRPr="00CA5FE9" w:rsidRDefault="000C05C2" w:rsidP="000C05C2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>Uwzględniając wielkie znaczenie przypisywane przez społeczność ormiańską odpowiedzi na pytanie, czy masowe deportacje i rze</w:t>
      </w:r>
      <w:r w:rsidR="006871BD">
        <w:rPr>
          <w:lang w:val="pl-PL"/>
        </w:rPr>
        <w:t>zie</w:t>
      </w:r>
      <w:r w:rsidRPr="00CA5FE9">
        <w:rPr>
          <w:lang w:val="pl-PL"/>
        </w:rPr>
        <w:t xml:space="preserve"> można uznać za ludobójstwo, Trybunał orzekł, że godność ofiar oraz godność i poczucie tożsamości współczesnych Ormian znajdują ochronę na mocy art. 8 Konwencji (prawo do poszanowania życia prywatnego).</w:t>
      </w:r>
      <w:r w:rsidR="00D511F8">
        <w:rPr>
          <w:lang w:val="pl-PL"/>
        </w:rPr>
        <w:t xml:space="preserve"> Z tego też względu Trybunał uznał, że ingerencja w prawo do wyrażania opinii w przedmiotowej sprawie miała uprawniony cel, tj. „ochronę praw innych osób” w rozumieniu art. 10 ust. 2 Konwencji. </w:t>
      </w:r>
    </w:p>
    <w:p w:rsidR="000C05C2" w:rsidRPr="00CA5FE9" w:rsidRDefault="000C05C2" w:rsidP="000C05C2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 xml:space="preserve">Trybunał </w:t>
      </w:r>
      <w:r w:rsidR="006871BD">
        <w:rPr>
          <w:lang w:val="pl-PL"/>
        </w:rPr>
        <w:t xml:space="preserve">dokonał następnie wyważenia </w:t>
      </w:r>
      <w:r w:rsidRPr="00CA5FE9">
        <w:rPr>
          <w:lang w:val="pl-PL"/>
        </w:rPr>
        <w:t xml:space="preserve">między dwoma prawami chronionymi na mocy Konwencji - prawem do wolności </w:t>
      </w:r>
      <w:r w:rsidR="00012E52">
        <w:rPr>
          <w:lang w:val="pl-PL"/>
        </w:rPr>
        <w:t xml:space="preserve">wyrażania opinii </w:t>
      </w:r>
      <w:r w:rsidR="003F33BA">
        <w:rPr>
          <w:lang w:val="pl-PL"/>
        </w:rPr>
        <w:t xml:space="preserve">(art. 10) </w:t>
      </w:r>
      <w:r w:rsidR="00012E52">
        <w:rPr>
          <w:lang w:val="pl-PL"/>
        </w:rPr>
        <w:t>a</w:t>
      </w:r>
      <w:r w:rsidRPr="00CA5FE9">
        <w:rPr>
          <w:lang w:val="pl-PL"/>
        </w:rPr>
        <w:t xml:space="preserve"> prawem do poszanowania życia prywatnego </w:t>
      </w:r>
      <w:r w:rsidR="003F33BA">
        <w:rPr>
          <w:lang w:val="pl-PL"/>
        </w:rPr>
        <w:t>(art. 8)</w:t>
      </w:r>
      <w:r w:rsidRPr="00CA5FE9">
        <w:rPr>
          <w:lang w:val="pl-PL"/>
        </w:rPr>
        <w:t>- biorąc pod uwagę szczególne okoliczności sprawy i konieczność zachowania zasady proporcjonalności między powziętymi środkami a celem, który miał zostać osiągnięty.</w:t>
      </w:r>
    </w:p>
    <w:p w:rsidR="00012E52" w:rsidRDefault="006871BD" w:rsidP="000C05C2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S</w:t>
      </w:r>
      <w:r w:rsidR="000C05C2" w:rsidRPr="00CA5FE9">
        <w:rPr>
          <w:lang w:val="pl-PL"/>
        </w:rPr>
        <w:t xml:space="preserve">twierdził, że w przedmiotowej sprawie nałożenie na </w:t>
      </w:r>
      <w:r w:rsidR="00012E52">
        <w:rPr>
          <w:lang w:val="pl-PL"/>
        </w:rPr>
        <w:t xml:space="preserve">skarżącego </w:t>
      </w:r>
      <w:r w:rsidR="000C05C2" w:rsidRPr="00CA5FE9">
        <w:rPr>
          <w:lang w:val="pl-PL"/>
        </w:rPr>
        <w:t>sankcji karnej w celu ochrony praw</w:t>
      </w:r>
      <w:r w:rsidR="007C58B2">
        <w:rPr>
          <w:lang w:val="pl-PL"/>
        </w:rPr>
        <w:t xml:space="preserve"> osób należących</w:t>
      </w:r>
      <w:r w:rsidR="000C05C2" w:rsidRPr="00CA5FE9">
        <w:rPr>
          <w:lang w:val="pl-PL"/>
        </w:rPr>
        <w:t xml:space="preserve"> </w:t>
      </w:r>
      <w:r w:rsidR="007C58B2">
        <w:rPr>
          <w:lang w:val="pl-PL"/>
        </w:rPr>
        <w:t xml:space="preserve">do </w:t>
      </w:r>
      <w:r w:rsidR="000C05C2" w:rsidRPr="00CA5FE9">
        <w:rPr>
          <w:lang w:val="pl-PL"/>
        </w:rPr>
        <w:t>społeczności ormiańskiej nie było konieczne w społeczeństwie</w:t>
      </w:r>
      <w:r w:rsidR="00012E52" w:rsidRPr="00012E52">
        <w:rPr>
          <w:lang w:val="pl-PL"/>
        </w:rPr>
        <w:t xml:space="preserve"> </w:t>
      </w:r>
      <w:r w:rsidR="00012E52" w:rsidRPr="00CA5FE9">
        <w:rPr>
          <w:lang w:val="pl-PL"/>
        </w:rPr>
        <w:t>demokratycznym</w:t>
      </w:r>
      <w:r w:rsidR="000C05C2" w:rsidRPr="00CA5FE9">
        <w:rPr>
          <w:lang w:val="pl-PL"/>
        </w:rPr>
        <w:t xml:space="preserve">. Trybunał wziął pod uwagę </w:t>
      </w:r>
      <w:r w:rsidR="003F33BA">
        <w:rPr>
          <w:lang w:val="pl-PL"/>
        </w:rPr>
        <w:t xml:space="preserve">w szczególności </w:t>
      </w:r>
      <w:r w:rsidR="000C05C2" w:rsidRPr="00CA5FE9">
        <w:rPr>
          <w:lang w:val="pl-PL"/>
        </w:rPr>
        <w:t>następujące elementy:</w:t>
      </w:r>
    </w:p>
    <w:p w:rsidR="00012E52" w:rsidRDefault="00012E52" w:rsidP="000C05C2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-</w:t>
      </w:r>
      <w:r w:rsidR="000C05C2" w:rsidRPr="00CA5FE9">
        <w:rPr>
          <w:lang w:val="pl-PL"/>
        </w:rPr>
        <w:t xml:space="preserve"> </w:t>
      </w:r>
      <w:r w:rsidR="00763A73">
        <w:rPr>
          <w:lang w:val="pl-PL"/>
        </w:rPr>
        <w:t>wypowiedzi</w:t>
      </w:r>
      <w:r w:rsidR="000C05C2" w:rsidRPr="00CA5FE9">
        <w:rPr>
          <w:lang w:val="pl-PL"/>
        </w:rPr>
        <w:t xml:space="preserve"> </w:t>
      </w:r>
      <w:r>
        <w:rPr>
          <w:lang w:val="pl-PL"/>
        </w:rPr>
        <w:t xml:space="preserve">skarżącego </w:t>
      </w:r>
      <w:r w:rsidR="000C05C2" w:rsidRPr="00CA5FE9">
        <w:rPr>
          <w:lang w:val="pl-PL"/>
        </w:rPr>
        <w:t xml:space="preserve">dotyczyły kwestii </w:t>
      </w:r>
      <w:r w:rsidR="006871BD">
        <w:rPr>
          <w:lang w:val="pl-PL"/>
        </w:rPr>
        <w:t xml:space="preserve">będących </w:t>
      </w:r>
      <w:r w:rsidR="000C05C2" w:rsidRPr="00CA5FE9">
        <w:rPr>
          <w:lang w:val="pl-PL"/>
        </w:rPr>
        <w:t>przedmiotem publicznego zainteresowania i nie</w:t>
      </w:r>
      <w:r w:rsidR="007C58B2">
        <w:rPr>
          <w:lang w:val="pl-PL"/>
        </w:rPr>
        <w:t xml:space="preserve"> miały formy</w:t>
      </w:r>
      <w:r w:rsidR="000C05C2" w:rsidRPr="00CA5FE9">
        <w:rPr>
          <w:lang w:val="pl-PL"/>
        </w:rPr>
        <w:t xml:space="preserve"> wezwania do </w:t>
      </w:r>
      <w:r w:rsidR="0065695B">
        <w:rPr>
          <w:lang w:val="pl-PL"/>
        </w:rPr>
        <w:t>przemo</w:t>
      </w:r>
      <w:r w:rsidR="00D1078C">
        <w:rPr>
          <w:lang w:val="pl-PL"/>
        </w:rPr>
        <w:t>c</w:t>
      </w:r>
      <w:r w:rsidR="0065695B">
        <w:rPr>
          <w:lang w:val="pl-PL"/>
        </w:rPr>
        <w:t xml:space="preserve">y, </w:t>
      </w:r>
      <w:r w:rsidR="000C05C2" w:rsidRPr="00CA5FE9">
        <w:rPr>
          <w:lang w:val="pl-PL"/>
        </w:rPr>
        <w:t>nienawiści lub nietolerancji</w:t>
      </w:r>
      <w:r w:rsidR="0065695B">
        <w:rPr>
          <w:lang w:val="pl-PL"/>
        </w:rPr>
        <w:t xml:space="preserve"> (</w:t>
      </w:r>
      <w:r w:rsidR="006871BD">
        <w:rPr>
          <w:lang w:val="pl-PL"/>
        </w:rPr>
        <w:t xml:space="preserve">m.in. </w:t>
      </w:r>
      <w:r w:rsidR="0065695B">
        <w:rPr>
          <w:lang w:val="pl-PL"/>
        </w:rPr>
        <w:t>wypowiedzi nie były sformułowane w sposób obraźliwy lub pogardliwy wobec ludności ormiańskiej, a raczej krytykowały „imperialistów”)</w:t>
      </w:r>
      <w:r w:rsidR="000C05C2" w:rsidRPr="00CA5FE9">
        <w:rPr>
          <w:lang w:val="pl-PL"/>
        </w:rPr>
        <w:t xml:space="preserve">; </w:t>
      </w:r>
    </w:p>
    <w:p w:rsidR="00012E52" w:rsidRDefault="00012E52" w:rsidP="000C05C2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- </w:t>
      </w:r>
      <w:r w:rsidR="000C05C2" w:rsidRPr="00CA5FE9">
        <w:rPr>
          <w:lang w:val="pl-PL"/>
        </w:rPr>
        <w:t>kontekst</w:t>
      </w:r>
      <w:r>
        <w:rPr>
          <w:lang w:val="pl-PL"/>
        </w:rPr>
        <w:t>u</w:t>
      </w:r>
      <w:r w:rsidR="000C05C2" w:rsidRPr="00CA5FE9">
        <w:rPr>
          <w:lang w:val="pl-PL"/>
        </w:rPr>
        <w:t xml:space="preserve">, w </w:t>
      </w:r>
      <w:r w:rsidR="000C05C2" w:rsidRPr="00AE4892">
        <w:rPr>
          <w:lang w:val="pl-PL"/>
        </w:rPr>
        <w:t xml:space="preserve">którym </w:t>
      </w:r>
      <w:r w:rsidR="00763A73">
        <w:rPr>
          <w:lang w:val="pl-PL"/>
        </w:rPr>
        <w:t>wypowiedzi</w:t>
      </w:r>
      <w:r w:rsidRPr="00AE4892">
        <w:rPr>
          <w:lang w:val="pl-PL"/>
        </w:rPr>
        <w:t xml:space="preserve"> te </w:t>
      </w:r>
      <w:r w:rsidR="000C05C2" w:rsidRPr="00AE4892">
        <w:rPr>
          <w:lang w:val="pl-PL"/>
        </w:rPr>
        <w:t>zostały wygłoszone w Szwajcarii</w:t>
      </w:r>
      <w:r w:rsidRPr="00AE4892">
        <w:rPr>
          <w:lang w:val="pl-PL"/>
        </w:rPr>
        <w:t>,</w:t>
      </w:r>
      <w:r w:rsidR="000C05C2" w:rsidRPr="00AE4892">
        <w:rPr>
          <w:lang w:val="pl-PL"/>
        </w:rPr>
        <w:t xml:space="preserve"> nie znamionowały ani silne napięcia społeczne</w:t>
      </w:r>
      <w:r w:rsidRPr="00AE4892">
        <w:rPr>
          <w:lang w:val="pl-PL"/>
        </w:rPr>
        <w:t>,</w:t>
      </w:r>
      <w:r w:rsidR="000C05C2" w:rsidRPr="00AE4892">
        <w:rPr>
          <w:lang w:val="pl-PL"/>
        </w:rPr>
        <w:t xml:space="preserve"> ani specyficzny podtekst historyczny</w:t>
      </w:r>
      <w:r w:rsidR="00124435" w:rsidRPr="00AE4892">
        <w:rPr>
          <w:lang w:val="pl-PL"/>
        </w:rPr>
        <w:t xml:space="preserve"> </w:t>
      </w:r>
      <w:r w:rsidR="009404BE" w:rsidRPr="00AE4892">
        <w:rPr>
          <w:lang w:val="pl-PL"/>
        </w:rPr>
        <w:t>(Trybunał odróżnił obecną sytuację od rozpatrywanych wcześniej spraw dotyczących kryminalizacji negowania Holokaustu</w:t>
      </w:r>
      <w:r w:rsidR="00520AE9">
        <w:rPr>
          <w:lang w:val="pl-PL"/>
        </w:rPr>
        <w:t>,</w:t>
      </w:r>
      <w:r w:rsidR="009404BE" w:rsidRPr="00AE4892">
        <w:rPr>
          <w:lang w:val="pl-PL"/>
        </w:rPr>
        <w:t xml:space="preserve"> w </w:t>
      </w:r>
      <w:r w:rsidR="00126019">
        <w:rPr>
          <w:lang w:val="pl-PL"/>
        </w:rPr>
        <w:t>których</w:t>
      </w:r>
      <w:r w:rsidR="00520AE9">
        <w:rPr>
          <w:lang w:val="pl-PL"/>
        </w:rPr>
        <w:t>,</w:t>
      </w:r>
      <w:r w:rsidR="00126019">
        <w:rPr>
          <w:lang w:val="pl-PL"/>
        </w:rPr>
        <w:t xml:space="preserve"> z uwagi na szczególny kontekst historyczny</w:t>
      </w:r>
      <w:r w:rsidR="00520AE9">
        <w:rPr>
          <w:lang w:val="pl-PL"/>
        </w:rPr>
        <w:t>,</w:t>
      </w:r>
      <w:r w:rsidR="00126019">
        <w:rPr>
          <w:lang w:val="pl-PL"/>
        </w:rPr>
        <w:t xml:space="preserve"> uznawał, że </w:t>
      </w:r>
      <w:r w:rsidR="009404BE" w:rsidRPr="00AE4892">
        <w:rPr>
          <w:lang w:val="pl-PL"/>
        </w:rPr>
        <w:t>kryminalizacja była uzasadniona</w:t>
      </w:r>
      <w:r w:rsidR="002E66FB">
        <w:rPr>
          <w:lang w:val="pl-PL"/>
        </w:rPr>
        <w:t>,</w:t>
      </w:r>
      <w:r w:rsidR="00126019">
        <w:rPr>
          <w:lang w:val="pl-PL"/>
        </w:rPr>
        <w:t xml:space="preserve"> i przyjmował, że nawet jeśli </w:t>
      </w:r>
      <w:r w:rsidR="009404BE" w:rsidRPr="00AE4892">
        <w:rPr>
          <w:lang w:val="pl-PL"/>
        </w:rPr>
        <w:t>negacja Holokaustu</w:t>
      </w:r>
      <w:r w:rsidR="00126019">
        <w:rPr>
          <w:lang w:val="pl-PL"/>
        </w:rPr>
        <w:t xml:space="preserve"> dokonywana była</w:t>
      </w:r>
      <w:r w:rsidR="009404BE" w:rsidRPr="00AE4892">
        <w:rPr>
          <w:lang w:val="pl-PL"/>
        </w:rPr>
        <w:t xml:space="preserve"> pod pozorem niezależnych badań historycznych</w:t>
      </w:r>
      <w:r w:rsidR="00126019">
        <w:rPr>
          <w:lang w:val="pl-PL"/>
        </w:rPr>
        <w:t xml:space="preserve">, w sposób niezmienny przywodziła na myśl ideologię antydemokratyczną i antysemicką. </w:t>
      </w:r>
      <w:r w:rsidR="009404BE" w:rsidRPr="00AE4892">
        <w:rPr>
          <w:lang w:val="pl-PL"/>
        </w:rPr>
        <w:t xml:space="preserve">W obecnej sprawie nie zachodził żaden bezpośredni związek między Szwajcarią a wydarzeniami z 1915 r., a nic nie </w:t>
      </w:r>
      <w:r w:rsidR="006871BD">
        <w:rPr>
          <w:lang w:val="pl-PL"/>
        </w:rPr>
        <w:t xml:space="preserve">wskazuje, by klimat w Szwajcarii </w:t>
      </w:r>
      <w:r w:rsidR="009404BE" w:rsidRPr="00AE4892">
        <w:rPr>
          <w:lang w:val="pl-PL"/>
        </w:rPr>
        <w:t xml:space="preserve"> w czasie wypowiedzi skarżącego, </w:t>
      </w:r>
      <w:r w:rsidR="002E66FB">
        <w:rPr>
          <w:lang w:val="pl-PL"/>
        </w:rPr>
        <w:t>osoby pozostającej</w:t>
      </w:r>
      <w:r w:rsidR="009404BE" w:rsidRPr="00AE4892">
        <w:rPr>
          <w:lang w:val="pl-PL"/>
        </w:rPr>
        <w:t xml:space="preserve"> na zewnątrz życia politycznego Szwajcarii, </w:t>
      </w:r>
      <w:r w:rsidR="006871BD">
        <w:rPr>
          <w:lang w:val="pl-PL"/>
        </w:rPr>
        <w:t xml:space="preserve">by taki, by wypowiedzi te mogły </w:t>
      </w:r>
      <w:r w:rsidR="009404BE" w:rsidRPr="00AE4892">
        <w:rPr>
          <w:lang w:val="pl-PL"/>
        </w:rPr>
        <w:t xml:space="preserve">doprowadzić do poważnych napięć między Turkami </w:t>
      </w:r>
      <w:r w:rsidR="0075739C" w:rsidRPr="00AE4892">
        <w:rPr>
          <w:lang w:val="pl-PL"/>
        </w:rPr>
        <w:t>a</w:t>
      </w:r>
      <w:r w:rsidR="009404BE" w:rsidRPr="00AE4892">
        <w:rPr>
          <w:lang w:val="pl-PL"/>
        </w:rPr>
        <w:t xml:space="preserve"> Ormianami zamieszkującymi Szwajcarię</w:t>
      </w:r>
      <w:r w:rsidR="00D34096" w:rsidRPr="00AE4892">
        <w:rPr>
          <w:lang w:val="pl-PL"/>
        </w:rPr>
        <w:t xml:space="preserve"> bądź by m</w:t>
      </w:r>
      <w:r w:rsidR="006871BD">
        <w:rPr>
          <w:lang w:val="pl-PL"/>
        </w:rPr>
        <w:t>ogły</w:t>
      </w:r>
      <w:r w:rsidR="00D34096" w:rsidRPr="00AE4892">
        <w:rPr>
          <w:lang w:val="pl-PL"/>
        </w:rPr>
        <w:t xml:space="preserve"> mieć wpływ na sytuację w Turcji</w:t>
      </w:r>
      <w:r w:rsidR="009404BE" w:rsidRPr="00AE4892">
        <w:rPr>
          <w:lang w:val="pl-PL"/>
        </w:rPr>
        <w:t>);</w:t>
      </w:r>
    </w:p>
    <w:p w:rsidR="00012E52" w:rsidRDefault="00012E52" w:rsidP="000C05C2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- </w:t>
      </w:r>
      <w:r w:rsidR="00C478C4">
        <w:rPr>
          <w:lang w:val="pl-PL"/>
        </w:rPr>
        <w:t xml:space="preserve">wypowiedzi </w:t>
      </w:r>
      <w:r>
        <w:rPr>
          <w:lang w:val="pl-PL"/>
        </w:rPr>
        <w:t xml:space="preserve">te </w:t>
      </w:r>
      <w:r w:rsidR="000C05C2" w:rsidRPr="00CA5FE9">
        <w:rPr>
          <w:lang w:val="pl-PL"/>
        </w:rPr>
        <w:t xml:space="preserve">nie mogą być uznane za naruszające godność członków społeczności ormiańskiej w stopniu uzasadniającym interwencję prawno-karną </w:t>
      </w:r>
      <w:r w:rsidR="00FB39E8">
        <w:rPr>
          <w:lang w:val="pl-PL"/>
        </w:rPr>
        <w:t xml:space="preserve">(ponieważ skarżący krytykował nie ofiary, a „imperialistów”, a także kwestionował kwalifikację prawną zbrodni popełnianych wobec ludności Ormiańskiej jako ludobójstwo, ale nie sam fakt, że miały miejsce rzezie i masowe deportacje, Trybunał nie był przekonany, że jego wypowiedzi mogły mieć poważne skutki dla tożsamości </w:t>
      </w:r>
      <w:r w:rsidR="0099316F">
        <w:rPr>
          <w:lang w:val="pl-PL"/>
        </w:rPr>
        <w:t xml:space="preserve">społeczności </w:t>
      </w:r>
      <w:r w:rsidR="00126019">
        <w:rPr>
          <w:lang w:val="pl-PL"/>
        </w:rPr>
        <w:t>ormiańskiej</w:t>
      </w:r>
      <w:r w:rsidR="006360AE">
        <w:rPr>
          <w:lang w:val="pl-PL"/>
        </w:rPr>
        <w:t>, co więcej, zasięg oddziaływania wypowiedzi skarżącego był ograniczony do trzech wydarzeń, w których uczestniczył</w:t>
      </w:r>
      <w:r w:rsidR="00FB39E8">
        <w:rPr>
          <w:lang w:val="pl-PL"/>
        </w:rPr>
        <w:t>)</w:t>
      </w:r>
      <w:r w:rsidR="000C05C2" w:rsidRPr="00CA5FE9">
        <w:rPr>
          <w:lang w:val="pl-PL"/>
        </w:rPr>
        <w:t xml:space="preserve">; </w:t>
      </w:r>
    </w:p>
    <w:p w:rsidR="00374E37" w:rsidRDefault="00012E52" w:rsidP="000C05C2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- </w:t>
      </w:r>
      <w:r w:rsidR="000C05C2" w:rsidRPr="00CA5FE9">
        <w:rPr>
          <w:lang w:val="pl-PL"/>
        </w:rPr>
        <w:t>Szwajcaria nie miała obowiązku wynikającego z prawa międzynarodowego</w:t>
      </w:r>
      <w:r>
        <w:rPr>
          <w:lang w:val="pl-PL"/>
        </w:rPr>
        <w:t>,</w:t>
      </w:r>
      <w:r w:rsidR="000C05C2" w:rsidRPr="00CA5FE9">
        <w:rPr>
          <w:lang w:val="pl-PL"/>
        </w:rPr>
        <w:t xml:space="preserve"> aby dokonać kryminalizacji takich</w:t>
      </w:r>
      <w:r w:rsidR="00C478C4">
        <w:rPr>
          <w:lang w:val="pl-PL"/>
        </w:rPr>
        <w:t xml:space="preserve"> wypowiedzi</w:t>
      </w:r>
      <w:r w:rsidR="00374E37">
        <w:rPr>
          <w:lang w:val="pl-PL"/>
        </w:rPr>
        <w:t xml:space="preserve"> </w:t>
      </w:r>
      <w:r w:rsidR="00F271F6">
        <w:rPr>
          <w:lang w:val="pl-PL"/>
        </w:rPr>
        <w:t>(</w:t>
      </w:r>
      <w:r w:rsidR="00B41707">
        <w:rPr>
          <w:lang w:val="pl-PL"/>
        </w:rPr>
        <w:t xml:space="preserve">Trybunał </w:t>
      </w:r>
      <w:r w:rsidR="00F271F6">
        <w:rPr>
          <w:lang w:val="pl-PL"/>
        </w:rPr>
        <w:t xml:space="preserve">na marginesie </w:t>
      </w:r>
      <w:r w:rsidR="00B41707">
        <w:rPr>
          <w:lang w:val="pl-PL"/>
        </w:rPr>
        <w:t xml:space="preserve">odnotował też, że brak jest konsensusu wśród państw w odniesieniu do kwestii kryminalizacji zbrodni ludobójstwa, zauważył też, że </w:t>
      </w:r>
      <w:r w:rsidR="00CB64AB">
        <w:rPr>
          <w:lang w:val="pl-PL"/>
        </w:rPr>
        <w:t xml:space="preserve">w </w:t>
      </w:r>
      <w:r w:rsidR="00B41707">
        <w:rPr>
          <w:lang w:val="pl-PL"/>
        </w:rPr>
        <w:t>Szwajcari</w:t>
      </w:r>
      <w:r w:rsidR="00CB64AB">
        <w:rPr>
          <w:lang w:val="pl-PL"/>
        </w:rPr>
        <w:t>i</w:t>
      </w:r>
      <w:r w:rsidR="00B41707">
        <w:rPr>
          <w:lang w:val="pl-PL"/>
        </w:rPr>
        <w:t xml:space="preserve"> – odmiennie niż </w:t>
      </w:r>
      <w:r w:rsidR="00CB64AB">
        <w:rPr>
          <w:lang w:val="pl-PL"/>
        </w:rPr>
        <w:t>w regulacjach</w:t>
      </w:r>
      <w:r w:rsidR="00B41707">
        <w:rPr>
          <w:lang w:val="pl-PL"/>
        </w:rPr>
        <w:t xml:space="preserve"> </w:t>
      </w:r>
      <w:r w:rsidR="00126019">
        <w:rPr>
          <w:lang w:val="pl-PL"/>
        </w:rPr>
        <w:t xml:space="preserve">przyjętych na szczeblu </w:t>
      </w:r>
      <w:r w:rsidR="00B41707">
        <w:rPr>
          <w:lang w:val="pl-PL"/>
        </w:rPr>
        <w:t xml:space="preserve">UE – kryminalizuje </w:t>
      </w:r>
      <w:r w:rsidR="00CB64AB">
        <w:rPr>
          <w:lang w:val="pl-PL"/>
        </w:rPr>
        <w:t xml:space="preserve">się </w:t>
      </w:r>
      <w:r w:rsidR="00B41707">
        <w:rPr>
          <w:lang w:val="pl-PL"/>
        </w:rPr>
        <w:t>wszelkie przypadki negacji ludobójstwa bez wymagania, by wypowiedzi takie miały na celu podżeganie do przemocy lub nienawiści)</w:t>
      </w:r>
      <w:r w:rsidR="0099316F">
        <w:rPr>
          <w:lang w:val="pl-PL"/>
        </w:rPr>
        <w:t>;</w:t>
      </w:r>
    </w:p>
    <w:p w:rsidR="00012E52" w:rsidRDefault="00012E52" w:rsidP="000C05C2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- </w:t>
      </w:r>
      <w:r w:rsidR="000C05C2" w:rsidRPr="00CA5FE9">
        <w:rPr>
          <w:lang w:val="pl-PL"/>
        </w:rPr>
        <w:t xml:space="preserve">sądy szwajcarskie dokonały cenzury wypowiedzi </w:t>
      </w:r>
      <w:r w:rsidR="00246D3F">
        <w:rPr>
          <w:lang w:val="pl-PL"/>
        </w:rPr>
        <w:t>skarżącego,</w:t>
      </w:r>
      <w:r w:rsidR="00246D3F" w:rsidRPr="00CA5FE9">
        <w:rPr>
          <w:lang w:val="pl-PL"/>
        </w:rPr>
        <w:t xml:space="preserve"> </w:t>
      </w:r>
      <w:r w:rsidR="000C05C2" w:rsidRPr="00CA5FE9">
        <w:rPr>
          <w:lang w:val="pl-PL"/>
        </w:rPr>
        <w:t xml:space="preserve">gdyż wyraził on opinię odbiegającą od ogólnie uznawanych w Szwajcarii; </w:t>
      </w:r>
    </w:p>
    <w:p w:rsidR="000C05C2" w:rsidRDefault="00012E52" w:rsidP="000C05C2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- </w:t>
      </w:r>
      <w:r w:rsidR="0099316F">
        <w:rPr>
          <w:lang w:val="pl-PL"/>
        </w:rPr>
        <w:t>ingerencja w prawo</w:t>
      </w:r>
      <w:r w:rsidR="000C05C2" w:rsidRPr="00CA5FE9">
        <w:rPr>
          <w:lang w:val="pl-PL"/>
        </w:rPr>
        <w:t xml:space="preserve"> do wolności </w:t>
      </w:r>
      <w:r>
        <w:rPr>
          <w:lang w:val="pl-PL"/>
        </w:rPr>
        <w:t xml:space="preserve">wyrażania opinii </w:t>
      </w:r>
      <w:r w:rsidR="0099316F">
        <w:rPr>
          <w:lang w:val="pl-PL"/>
        </w:rPr>
        <w:t>skarżącego miała</w:t>
      </w:r>
      <w:r w:rsidR="000C05C2" w:rsidRPr="00CA5FE9">
        <w:rPr>
          <w:lang w:val="pl-PL"/>
        </w:rPr>
        <w:t xml:space="preserve"> poważną formę wy</w:t>
      </w:r>
      <w:r w:rsidR="004B6E72">
        <w:rPr>
          <w:lang w:val="pl-PL"/>
        </w:rPr>
        <w:t>r</w:t>
      </w:r>
      <w:r>
        <w:rPr>
          <w:lang w:val="pl-PL"/>
        </w:rPr>
        <w:t>oku</w:t>
      </w:r>
      <w:r w:rsidR="000C05C2" w:rsidRPr="00CA5FE9">
        <w:rPr>
          <w:lang w:val="pl-PL"/>
        </w:rPr>
        <w:t xml:space="preserve"> skazującego</w:t>
      </w:r>
      <w:r w:rsidR="00543B48">
        <w:rPr>
          <w:lang w:val="pl-PL"/>
        </w:rPr>
        <w:t xml:space="preserve"> </w:t>
      </w:r>
      <w:r w:rsidR="0099316F">
        <w:rPr>
          <w:lang w:val="pl-PL"/>
        </w:rPr>
        <w:t xml:space="preserve">(w tym z zagrożeniem karą pozbawienia wolności) </w:t>
      </w:r>
      <w:r w:rsidR="00543B48">
        <w:rPr>
          <w:lang w:val="pl-PL"/>
        </w:rPr>
        <w:t>– mimo iż możliwe było zastosowanie innych środków (np. prawa cywilnego)</w:t>
      </w:r>
      <w:r w:rsidR="000C05C2" w:rsidRPr="00CA5FE9">
        <w:rPr>
          <w:lang w:val="pl-PL"/>
        </w:rPr>
        <w:t>.</w:t>
      </w:r>
    </w:p>
    <w:p w:rsidR="000C05C2" w:rsidRPr="00CA5FE9" w:rsidRDefault="009A68A0" w:rsidP="000C05C2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W rezultacie Trybunał stwierdził</w:t>
      </w:r>
      <w:r w:rsidR="00543B48">
        <w:rPr>
          <w:lang w:val="pl-PL"/>
        </w:rPr>
        <w:t xml:space="preserve"> większością głosów (</w:t>
      </w:r>
      <w:r w:rsidR="00925B88">
        <w:rPr>
          <w:lang w:val="pl-PL"/>
        </w:rPr>
        <w:t>10 do 7</w:t>
      </w:r>
      <w:r w:rsidR="00543B48">
        <w:rPr>
          <w:lang w:val="pl-PL"/>
        </w:rPr>
        <w:t>)</w:t>
      </w:r>
      <w:r>
        <w:rPr>
          <w:lang w:val="pl-PL"/>
        </w:rPr>
        <w:t xml:space="preserve">, że doszło do naruszenia </w:t>
      </w:r>
      <w:r w:rsidR="000E146B">
        <w:rPr>
          <w:lang w:val="pl-PL"/>
        </w:rPr>
        <w:t>wolności wyrażania opinii (</w:t>
      </w:r>
      <w:r>
        <w:rPr>
          <w:lang w:val="pl-PL"/>
        </w:rPr>
        <w:t>art. 10 Konwencji</w:t>
      </w:r>
      <w:r w:rsidR="000E146B">
        <w:rPr>
          <w:lang w:val="pl-PL"/>
        </w:rPr>
        <w:t>)</w:t>
      </w:r>
      <w:r>
        <w:rPr>
          <w:lang w:val="pl-PL"/>
        </w:rPr>
        <w:t xml:space="preserve"> w stosunku do skarżącego. Jednocześnie uznał</w:t>
      </w:r>
      <w:r w:rsidR="00543B48">
        <w:rPr>
          <w:lang w:val="pl-PL"/>
        </w:rPr>
        <w:t xml:space="preserve"> większością głosów (13 do 4)</w:t>
      </w:r>
      <w:r>
        <w:rPr>
          <w:lang w:val="pl-PL"/>
        </w:rPr>
        <w:t xml:space="preserve">, </w:t>
      </w:r>
      <w:r w:rsidR="000C05C2" w:rsidRPr="00CA5FE9">
        <w:rPr>
          <w:lang w:val="pl-PL"/>
        </w:rPr>
        <w:t xml:space="preserve">że w sprawie nie było podstaw do zastosowania </w:t>
      </w:r>
      <w:r>
        <w:rPr>
          <w:lang w:val="pl-PL"/>
        </w:rPr>
        <w:t>art.</w:t>
      </w:r>
      <w:r w:rsidR="000C05C2" w:rsidRPr="00CA5FE9">
        <w:rPr>
          <w:lang w:val="pl-PL"/>
        </w:rPr>
        <w:t xml:space="preserve"> 17 Konwencji</w:t>
      </w:r>
      <w:r>
        <w:rPr>
          <w:lang w:val="pl-PL"/>
        </w:rPr>
        <w:t xml:space="preserve"> (zakaz nadużycia praw)</w:t>
      </w:r>
      <w:r w:rsidR="000C05C2" w:rsidRPr="00CA5FE9">
        <w:rPr>
          <w:lang w:val="pl-PL"/>
        </w:rPr>
        <w:t>.</w:t>
      </w:r>
      <w:r w:rsidR="00E17330">
        <w:rPr>
          <w:lang w:val="pl-PL"/>
        </w:rPr>
        <w:t xml:space="preserve"> </w:t>
      </w:r>
      <w:r w:rsidR="000C05C2" w:rsidRPr="00CA5FE9">
        <w:rPr>
          <w:lang w:val="pl-PL"/>
        </w:rPr>
        <w:t>Ponadto Trybunał stwierdził większością głosów</w:t>
      </w:r>
      <w:r w:rsidR="00925B88">
        <w:rPr>
          <w:lang w:val="pl-PL"/>
        </w:rPr>
        <w:t xml:space="preserve"> (16 do 1)</w:t>
      </w:r>
      <w:r w:rsidR="000C05C2" w:rsidRPr="00CA5FE9">
        <w:rPr>
          <w:lang w:val="pl-PL"/>
        </w:rPr>
        <w:t>, że zarzut</w:t>
      </w:r>
      <w:r w:rsidR="00BF7CEC">
        <w:rPr>
          <w:lang w:val="pl-PL"/>
        </w:rPr>
        <w:t>y</w:t>
      </w:r>
      <w:r w:rsidR="000C05C2" w:rsidRPr="00CA5FE9">
        <w:rPr>
          <w:lang w:val="pl-PL"/>
        </w:rPr>
        <w:t xml:space="preserve"> naruszenia art. 7 </w:t>
      </w:r>
      <w:r w:rsidR="00BF7CEC">
        <w:rPr>
          <w:lang w:val="pl-PL"/>
        </w:rPr>
        <w:t xml:space="preserve">(zakaz karania bez podstawy prawnej) </w:t>
      </w:r>
      <w:r>
        <w:rPr>
          <w:lang w:val="pl-PL"/>
        </w:rPr>
        <w:t xml:space="preserve">podnoszone przez skarżącego </w:t>
      </w:r>
      <w:r w:rsidR="00BF7CEC">
        <w:rPr>
          <w:lang w:val="pl-PL"/>
        </w:rPr>
        <w:t>są tożsame</w:t>
      </w:r>
      <w:r w:rsidR="000C05C2" w:rsidRPr="00CA5FE9">
        <w:rPr>
          <w:lang w:val="pl-PL"/>
        </w:rPr>
        <w:t xml:space="preserve"> z zarzutami sformułowanymi na podstawie art. 10 </w:t>
      </w:r>
      <w:r w:rsidR="00BF7CEC" w:rsidRPr="00CA5FE9">
        <w:rPr>
          <w:lang w:val="pl-PL"/>
        </w:rPr>
        <w:t>Konwencji</w:t>
      </w:r>
      <w:r w:rsidR="000C05C2" w:rsidRPr="00CA5FE9">
        <w:rPr>
          <w:lang w:val="pl-PL"/>
        </w:rPr>
        <w:t>. Nie znalazł zatem potrzeby odrębnego rozpatrzenia tej części skargi.</w:t>
      </w:r>
    </w:p>
    <w:p w:rsidR="000C05C2" w:rsidRPr="00CA5FE9" w:rsidRDefault="000C05C2" w:rsidP="000C05C2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 xml:space="preserve">Trybunał orzekł większością głosów, że stwierdzenie naruszenia art. 10 </w:t>
      </w:r>
      <w:r w:rsidR="00BF7CEC">
        <w:rPr>
          <w:lang w:val="pl-PL"/>
        </w:rPr>
        <w:t xml:space="preserve">Konwencji </w:t>
      </w:r>
      <w:r w:rsidRPr="00CA5FE9">
        <w:rPr>
          <w:lang w:val="pl-PL"/>
        </w:rPr>
        <w:t xml:space="preserve">stanowi samo w sobie wystarczające zadośćuczynienie za jakąkolwiek szkodę niematerialną skarżącego. </w:t>
      </w:r>
      <w:r w:rsidR="00BF7CEC">
        <w:rPr>
          <w:lang w:val="pl-PL"/>
        </w:rPr>
        <w:t xml:space="preserve"> </w:t>
      </w:r>
    </w:p>
    <w:p w:rsidR="000C05C2" w:rsidRDefault="002A3805" w:rsidP="000C05C2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Do wyroku zostały załączone zdania odrębne</w:t>
      </w:r>
      <w:r w:rsidR="000C05C2" w:rsidRPr="00CA5FE9">
        <w:rPr>
          <w:lang w:val="pl-PL"/>
        </w:rPr>
        <w:t xml:space="preserve">. </w:t>
      </w:r>
    </w:p>
    <w:p w:rsidR="001E7F05" w:rsidRPr="008D61BF" w:rsidRDefault="00376FBE" w:rsidP="00592DAA">
      <w:pPr>
        <w:spacing w:after="480" w:line="240" w:lineRule="auto"/>
        <w:jc w:val="both"/>
        <w:rPr>
          <w:lang w:val="pl-PL"/>
        </w:rPr>
      </w:pPr>
      <w:r w:rsidRPr="008D61BF">
        <w:rPr>
          <w:u w:val="single"/>
          <w:lang w:val="pl-PL"/>
        </w:rPr>
        <w:t>Znaczenie wyroku dla Polski</w:t>
      </w:r>
      <w:r>
        <w:rPr>
          <w:lang w:val="pl-PL"/>
        </w:rPr>
        <w:t xml:space="preserve"> – </w:t>
      </w:r>
      <w:r w:rsidRPr="008D61BF">
        <w:rPr>
          <w:lang w:val="pl-PL"/>
        </w:rPr>
        <w:t xml:space="preserve">wyrok </w:t>
      </w:r>
      <w:r w:rsidR="000851CD">
        <w:rPr>
          <w:lang w:val="pl-PL"/>
        </w:rPr>
        <w:t xml:space="preserve">może mieć znaczenie </w:t>
      </w:r>
      <w:r w:rsidRPr="008D61BF">
        <w:rPr>
          <w:lang w:val="pl-PL"/>
        </w:rPr>
        <w:t>z punktu widzenia zasad</w:t>
      </w:r>
      <w:r w:rsidR="009E215A" w:rsidRPr="008D61BF">
        <w:rPr>
          <w:lang w:val="pl-PL"/>
        </w:rPr>
        <w:t xml:space="preserve"> (i granic)</w:t>
      </w:r>
      <w:r w:rsidRPr="008D61BF">
        <w:rPr>
          <w:lang w:val="pl-PL"/>
        </w:rPr>
        <w:t xml:space="preserve"> ścigania tzw. </w:t>
      </w:r>
      <w:r w:rsidR="00667766" w:rsidRPr="008D61BF">
        <w:rPr>
          <w:lang w:val="pl-PL"/>
        </w:rPr>
        <w:t>zaprzecz</w:t>
      </w:r>
      <w:r w:rsidR="007A029F">
        <w:rPr>
          <w:lang w:val="pl-PL"/>
        </w:rPr>
        <w:t>a</w:t>
      </w:r>
      <w:r w:rsidR="00667766" w:rsidRPr="008D61BF">
        <w:rPr>
          <w:lang w:val="pl-PL"/>
        </w:rPr>
        <w:t xml:space="preserve">nia zbrodni ludobójstwa </w:t>
      </w:r>
      <w:r w:rsidR="00635E73" w:rsidRPr="008D61BF">
        <w:rPr>
          <w:lang w:val="pl-PL"/>
        </w:rPr>
        <w:t>(</w:t>
      </w:r>
      <w:r w:rsidR="00667766" w:rsidRPr="008D61BF">
        <w:rPr>
          <w:lang w:val="pl-PL"/>
        </w:rPr>
        <w:t>innych niż zbrodnia Holokaustu</w:t>
      </w:r>
      <w:r w:rsidR="00635E73" w:rsidRPr="008D61BF">
        <w:rPr>
          <w:lang w:val="pl-PL"/>
        </w:rPr>
        <w:t>)</w:t>
      </w:r>
      <w:r w:rsidR="00667766" w:rsidRPr="008D61BF">
        <w:rPr>
          <w:lang w:val="pl-PL"/>
        </w:rPr>
        <w:t xml:space="preserve">, a także ścigania tzw. </w:t>
      </w:r>
      <w:r w:rsidRPr="008D61BF">
        <w:rPr>
          <w:lang w:val="pl-PL"/>
        </w:rPr>
        <w:t>mowy nienawiści na gruncie prawa karnego</w:t>
      </w:r>
      <w:r w:rsidR="009E215A" w:rsidRPr="008D61BF">
        <w:rPr>
          <w:lang w:val="pl-PL"/>
        </w:rPr>
        <w:t xml:space="preserve">: </w:t>
      </w:r>
      <w:r w:rsidR="00C37E18" w:rsidRPr="008D61BF">
        <w:rPr>
          <w:lang w:val="pl-PL"/>
        </w:rPr>
        <w:t xml:space="preserve">niezbędne jest </w:t>
      </w:r>
      <w:r w:rsidR="00F271F6">
        <w:rPr>
          <w:lang w:val="pl-PL"/>
        </w:rPr>
        <w:t xml:space="preserve">dokładniejsze </w:t>
      </w:r>
      <w:r w:rsidR="00C37E18" w:rsidRPr="008D61BF">
        <w:rPr>
          <w:lang w:val="pl-PL"/>
        </w:rPr>
        <w:t xml:space="preserve">przeanalizowanie </w:t>
      </w:r>
      <w:r w:rsidR="000851CD">
        <w:rPr>
          <w:lang w:val="pl-PL"/>
        </w:rPr>
        <w:t xml:space="preserve">wyroku </w:t>
      </w:r>
      <w:r w:rsidR="00C37E18" w:rsidRPr="008D61BF">
        <w:rPr>
          <w:lang w:val="pl-PL"/>
        </w:rPr>
        <w:t>przez stosowne organy ścigania oraz sądy</w:t>
      </w:r>
      <w:r w:rsidR="007079B2">
        <w:rPr>
          <w:lang w:val="pl-PL"/>
        </w:rPr>
        <w:t xml:space="preserve"> (wyrok zawiera obszerną argumentację Trybunału, tu podaną w znacznym skrócie)</w:t>
      </w:r>
      <w:r w:rsidR="00C37E18" w:rsidRPr="008D61BF">
        <w:rPr>
          <w:lang w:val="pl-PL"/>
        </w:rPr>
        <w:t>.</w:t>
      </w:r>
      <w:r w:rsidRPr="008D61BF">
        <w:rPr>
          <w:lang w:val="pl-PL"/>
        </w:rPr>
        <w:t xml:space="preserve"> </w:t>
      </w:r>
      <w:r w:rsidR="007A029F">
        <w:rPr>
          <w:lang w:val="pl-PL"/>
        </w:rPr>
        <w:t>Wyrok w</w:t>
      </w:r>
      <w:r w:rsidR="001E7F05" w:rsidRPr="008D61BF">
        <w:rPr>
          <w:lang w:val="pl-PL"/>
        </w:rPr>
        <w:t xml:space="preserve">arto </w:t>
      </w:r>
      <w:r w:rsidR="007A029F">
        <w:rPr>
          <w:lang w:val="pl-PL"/>
        </w:rPr>
        <w:t xml:space="preserve">też </w:t>
      </w:r>
      <w:r w:rsidR="001E7F05" w:rsidRPr="008D61BF">
        <w:rPr>
          <w:lang w:val="pl-PL"/>
        </w:rPr>
        <w:t xml:space="preserve">przeanalizować w kontekście art. 55 ustawy o Instytucie Pamięci Narodowej </w:t>
      </w:r>
      <w:r w:rsidR="002B2ECE">
        <w:rPr>
          <w:lang w:val="pl-PL"/>
        </w:rPr>
        <w:t xml:space="preserve">– </w:t>
      </w:r>
      <w:r w:rsidR="001E7F05" w:rsidRPr="008D61BF">
        <w:rPr>
          <w:lang w:val="pl-PL"/>
        </w:rPr>
        <w:t xml:space="preserve">Komisji Ścigania Zbrodni przeciwko Narodowi Polskiemu, który przewiduje ściganie zaprzeczania m.in. </w:t>
      </w:r>
      <w:r w:rsidR="007A029F">
        <w:rPr>
          <w:lang w:val="pl-PL"/>
        </w:rPr>
        <w:t>zbrodni</w:t>
      </w:r>
      <w:r w:rsidR="001E7F05" w:rsidRPr="008D61BF">
        <w:rPr>
          <w:lang w:val="pl-PL"/>
        </w:rPr>
        <w:t xml:space="preserve"> </w:t>
      </w:r>
      <w:r w:rsidR="007A029F">
        <w:rPr>
          <w:lang w:val="pl-PL"/>
        </w:rPr>
        <w:t>nazistowskich</w:t>
      </w:r>
      <w:r w:rsidR="001E7F05" w:rsidRPr="008D61BF">
        <w:rPr>
          <w:lang w:val="pl-PL"/>
        </w:rPr>
        <w:t>, komunistycz</w:t>
      </w:r>
      <w:r w:rsidR="007A029F">
        <w:rPr>
          <w:lang w:val="pl-PL"/>
        </w:rPr>
        <w:t>nych i innych przestępstw stanowiących</w:t>
      </w:r>
      <w:r w:rsidR="001E7F05" w:rsidRPr="008D61BF">
        <w:rPr>
          <w:lang w:val="pl-PL"/>
        </w:rPr>
        <w:t xml:space="preserve"> </w:t>
      </w:r>
      <w:r w:rsidR="001E7F05" w:rsidRPr="001E7F05">
        <w:rPr>
          <w:lang w:val="pl-PL"/>
        </w:rPr>
        <w:t>zbrodnie przeciwko pokojowi, ludzkości lub zbrodnie wojenne</w:t>
      </w:r>
      <w:r w:rsidR="001E7F05" w:rsidRPr="008D61BF">
        <w:rPr>
          <w:lang w:val="pl-PL"/>
        </w:rPr>
        <w:t xml:space="preserve">, </w:t>
      </w:r>
      <w:r w:rsidR="001E7F05" w:rsidRPr="001E7F05">
        <w:rPr>
          <w:lang w:val="pl-PL"/>
        </w:rPr>
        <w:t>pope</w:t>
      </w:r>
      <w:r w:rsidR="001E7F05" w:rsidRPr="008D61BF">
        <w:rPr>
          <w:lang w:val="pl-PL"/>
        </w:rPr>
        <w:t>łniony</w:t>
      </w:r>
      <w:r w:rsidR="007C413D">
        <w:rPr>
          <w:lang w:val="pl-PL"/>
        </w:rPr>
        <w:t>ch</w:t>
      </w:r>
      <w:r w:rsidR="001E7F05" w:rsidRPr="001E7F05">
        <w:rPr>
          <w:lang w:val="pl-PL"/>
        </w:rPr>
        <w:t xml:space="preserve"> na osobach narodowości polskiej lub obywatelach polskich innych narodowości w okresie od dnia 1 września 1939 r. do dnia 31 lipca 1990 r.</w:t>
      </w:r>
      <w:r w:rsidR="001E7F05" w:rsidRPr="008D61BF">
        <w:rPr>
          <w:lang w:val="pl-PL"/>
        </w:rPr>
        <w:t xml:space="preserve"> Warto też zwrócić uwagę, że w </w:t>
      </w:r>
      <w:r w:rsidR="008D61BF" w:rsidRPr="008D61BF">
        <w:rPr>
          <w:lang w:val="pl-PL"/>
        </w:rPr>
        <w:t xml:space="preserve">pkt 18.e) </w:t>
      </w:r>
      <w:r w:rsidR="002B2ECE">
        <w:rPr>
          <w:lang w:val="pl-PL"/>
        </w:rPr>
        <w:t>Zalecenia</w:t>
      </w:r>
      <w:r w:rsidR="001E7F05" w:rsidRPr="008D61BF">
        <w:rPr>
          <w:lang w:val="pl-PL"/>
        </w:rPr>
        <w:t xml:space="preserve"> Polityki Ogólnej nr 7 Europejskiej Komisji przeciwko Rasizmowi i Nietolerancji </w:t>
      </w:r>
      <w:r w:rsidR="002B2ECE">
        <w:rPr>
          <w:lang w:val="pl-PL"/>
        </w:rPr>
        <w:t xml:space="preserve">(ECRI) </w:t>
      </w:r>
      <w:r w:rsidR="008D61BF" w:rsidRPr="008D61BF">
        <w:rPr>
          <w:lang w:val="pl-PL"/>
        </w:rPr>
        <w:t>zaleca się, by prawo karne kryminalizowało m.in. publiczne zaprzeczanie</w:t>
      </w:r>
      <w:r w:rsidR="002B2ECE">
        <w:rPr>
          <w:lang w:val="pl-PL"/>
        </w:rPr>
        <w:t>,</w:t>
      </w:r>
      <w:r w:rsidR="001E7F05" w:rsidRPr="008D61BF">
        <w:rPr>
          <w:lang w:val="pl-PL"/>
        </w:rPr>
        <w:t xml:space="preserve"> </w:t>
      </w:r>
      <w:r w:rsidR="008D61BF" w:rsidRPr="008D61BF">
        <w:rPr>
          <w:lang w:val="pl-PL"/>
        </w:rPr>
        <w:t>w celu rasistowskim</w:t>
      </w:r>
      <w:r w:rsidR="002B2ECE">
        <w:rPr>
          <w:lang w:val="pl-PL"/>
        </w:rPr>
        <w:t>,</w:t>
      </w:r>
      <w:r w:rsidR="007A029F">
        <w:rPr>
          <w:lang w:val="pl-PL"/>
        </w:rPr>
        <w:t xml:space="preserve"> zbrodni ludobójstwa, zbrodni</w:t>
      </w:r>
      <w:r w:rsidR="008D61BF" w:rsidRPr="008D61BF">
        <w:rPr>
          <w:lang w:val="pl-PL"/>
        </w:rPr>
        <w:t xml:space="preserve"> przeciwko ludzkości </w:t>
      </w:r>
      <w:r w:rsidR="007A029F">
        <w:rPr>
          <w:lang w:val="pl-PL"/>
        </w:rPr>
        <w:t>oraz zbrodni wojennych</w:t>
      </w:r>
      <w:r w:rsidR="008D61BF" w:rsidRPr="008D61BF">
        <w:rPr>
          <w:lang w:val="pl-PL"/>
        </w:rPr>
        <w:t xml:space="preserve">. </w:t>
      </w:r>
    </w:p>
    <w:p w:rsidR="00065852" w:rsidRPr="00CA5FE9" w:rsidRDefault="00065852" w:rsidP="00EE162B">
      <w:pPr>
        <w:pStyle w:val="Nagwek2"/>
        <w:numPr>
          <w:ilvl w:val="0"/>
          <w:numId w:val="1"/>
        </w:numPr>
      </w:pPr>
      <w:bookmarkStart w:id="7" w:name="_Toc437252346"/>
      <w:proofErr w:type="spellStart"/>
      <w:r w:rsidRPr="00CA5FE9">
        <w:t>Sher</w:t>
      </w:r>
      <w:proofErr w:type="spellEnd"/>
      <w:r w:rsidRPr="00CA5FE9">
        <w:t xml:space="preserve"> i inni p. Wielkiej Brytanii </w:t>
      </w:r>
      <w:r w:rsidR="002F538B">
        <w:t>(</w:t>
      </w:r>
      <w:r w:rsidRPr="00CA5FE9">
        <w:t>skarga nr 5201/11</w:t>
      </w:r>
      <w:r w:rsidR="002F538B">
        <w:t xml:space="preserve">), wyrok Izby z </w:t>
      </w:r>
      <w:r w:rsidR="002F538B" w:rsidRPr="00CA5FE9">
        <w:t>20.10.2015 r.,</w:t>
      </w:r>
      <w:r w:rsidR="002F538B">
        <w:t xml:space="preserve"> nieostateczny</w:t>
      </w:r>
      <w:bookmarkEnd w:id="7"/>
    </w:p>
    <w:p w:rsidR="00065852" w:rsidRPr="00F7704E" w:rsidRDefault="00FF4AF1" w:rsidP="00592DAA">
      <w:pPr>
        <w:keepNext/>
        <w:keepLines/>
        <w:spacing w:after="360" w:line="240" w:lineRule="auto"/>
        <w:jc w:val="both"/>
        <w:outlineLvl w:val="2"/>
        <w:rPr>
          <w:b/>
          <w:color w:val="000000" w:themeColor="text1"/>
          <w:lang w:val="pl-PL"/>
        </w:rPr>
      </w:pPr>
      <w:bookmarkStart w:id="8" w:name="_Toc437252347"/>
      <w:r w:rsidRPr="00E058C9">
        <w:rPr>
          <w:b/>
          <w:color w:val="000000" w:themeColor="text1"/>
          <w:lang w:val="pl-PL"/>
        </w:rPr>
        <w:t>- brak naruszenia</w:t>
      </w:r>
      <w:r w:rsidR="00065852" w:rsidRPr="00E058C9">
        <w:rPr>
          <w:b/>
          <w:color w:val="000000" w:themeColor="text1"/>
          <w:lang w:val="pl-PL"/>
        </w:rPr>
        <w:t xml:space="preserve"> </w:t>
      </w:r>
      <w:r w:rsidRPr="00E058C9">
        <w:rPr>
          <w:b/>
          <w:color w:val="000000" w:themeColor="text1"/>
          <w:lang w:val="pl-PL"/>
        </w:rPr>
        <w:t xml:space="preserve">art. </w:t>
      </w:r>
      <w:r w:rsidR="00065852" w:rsidRPr="00E058C9">
        <w:rPr>
          <w:b/>
          <w:color w:val="000000" w:themeColor="text1"/>
          <w:lang w:val="pl-PL"/>
        </w:rPr>
        <w:t xml:space="preserve">5 </w:t>
      </w:r>
      <w:r w:rsidRPr="00E058C9">
        <w:rPr>
          <w:b/>
          <w:color w:val="000000" w:themeColor="text1"/>
          <w:lang w:val="pl-PL"/>
        </w:rPr>
        <w:t>ust.</w:t>
      </w:r>
      <w:r w:rsidR="00065852" w:rsidRPr="00E058C9">
        <w:rPr>
          <w:b/>
          <w:color w:val="000000" w:themeColor="text1"/>
          <w:lang w:val="pl-PL"/>
        </w:rPr>
        <w:t xml:space="preserve"> 4 </w:t>
      </w:r>
      <w:r w:rsidR="00EE162B" w:rsidRPr="00E058C9">
        <w:rPr>
          <w:b/>
          <w:color w:val="000000" w:themeColor="text1"/>
          <w:lang w:val="pl-PL"/>
        </w:rPr>
        <w:t xml:space="preserve">Konwencji </w:t>
      </w:r>
      <w:r w:rsidR="00065852" w:rsidRPr="00E058C9">
        <w:rPr>
          <w:b/>
          <w:color w:val="000000" w:themeColor="text1"/>
          <w:lang w:val="pl-PL"/>
        </w:rPr>
        <w:t xml:space="preserve">(prawo do ustalenia legalności pozbawienia wolności) </w:t>
      </w:r>
      <w:r w:rsidR="0094003D">
        <w:rPr>
          <w:b/>
          <w:color w:val="000000" w:themeColor="text1"/>
          <w:lang w:val="pl-PL"/>
        </w:rPr>
        <w:t xml:space="preserve">pomimo </w:t>
      </w:r>
      <w:r w:rsidR="00E17330">
        <w:rPr>
          <w:b/>
          <w:color w:val="000000" w:themeColor="text1"/>
          <w:lang w:val="pl-PL"/>
        </w:rPr>
        <w:t>ograniczeń</w:t>
      </w:r>
      <w:r w:rsidR="00587DA9">
        <w:rPr>
          <w:b/>
          <w:color w:val="000000" w:themeColor="text1"/>
          <w:lang w:val="pl-PL"/>
        </w:rPr>
        <w:t xml:space="preserve"> kontradyktoryjności procedury </w:t>
      </w:r>
      <w:r w:rsidR="00B82412">
        <w:rPr>
          <w:b/>
          <w:color w:val="000000" w:themeColor="text1"/>
          <w:lang w:val="pl-PL"/>
        </w:rPr>
        <w:t>stosowania przez</w:t>
      </w:r>
      <w:r w:rsidR="00587DA9">
        <w:rPr>
          <w:b/>
          <w:color w:val="000000" w:themeColor="text1"/>
          <w:lang w:val="pl-PL"/>
        </w:rPr>
        <w:t xml:space="preserve"> sąd </w:t>
      </w:r>
      <w:r w:rsidR="00E058C9" w:rsidRPr="00E058C9">
        <w:rPr>
          <w:b/>
          <w:color w:val="000000" w:themeColor="text1"/>
          <w:lang w:val="pl-PL"/>
        </w:rPr>
        <w:t xml:space="preserve">aresztowania skarżących </w:t>
      </w:r>
      <w:r w:rsidR="00303BCF">
        <w:rPr>
          <w:b/>
          <w:color w:val="000000" w:themeColor="text1"/>
          <w:lang w:val="pl-PL"/>
        </w:rPr>
        <w:t>wnioskowanego</w:t>
      </w:r>
      <w:r w:rsidR="00E058C9" w:rsidRPr="00E058C9">
        <w:rPr>
          <w:b/>
          <w:color w:val="000000" w:themeColor="text1"/>
          <w:lang w:val="pl-PL"/>
        </w:rPr>
        <w:t xml:space="preserve"> w związku z operacją mającą na celu przeciwdziałanie zamachowi terrorystycznemu; brak naruszenia </w:t>
      </w:r>
      <w:r w:rsidRPr="00E058C9">
        <w:rPr>
          <w:b/>
          <w:color w:val="000000" w:themeColor="text1"/>
          <w:lang w:val="pl-PL"/>
        </w:rPr>
        <w:t xml:space="preserve">art. </w:t>
      </w:r>
      <w:r w:rsidR="00065852" w:rsidRPr="00E058C9">
        <w:rPr>
          <w:b/>
          <w:color w:val="000000" w:themeColor="text1"/>
          <w:lang w:val="pl-PL"/>
        </w:rPr>
        <w:t xml:space="preserve">8 </w:t>
      </w:r>
      <w:r w:rsidR="00E058C9" w:rsidRPr="00E058C9">
        <w:rPr>
          <w:b/>
          <w:color w:val="000000" w:themeColor="text1"/>
          <w:lang w:val="pl-PL"/>
        </w:rPr>
        <w:t xml:space="preserve">Konwencji </w:t>
      </w:r>
      <w:r w:rsidR="00065852" w:rsidRPr="00E058C9">
        <w:rPr>
          <w:b/>
          <w:color w:val="000000" w:themeColor="text1"/>
          <w:lang w:val="pl-PL"/>
        </w:rPr>
        <w:t xml:space="preserve">(prawo do </w:t>
      </w:r>
      <w:r w:rsidR="003D1A0B">
        <w:rPr>
          <w:b/>
          <w:color w:val="000000" w:themeColor="text1"/>
          <w:lang w:val="pl-PL"/>
        </w:rPr>
        <w:t xml:space="preserve">poszanowania </w:t>
      </w:r>
      <w:r w:rsidR="00065852" w:rsidRPr="00E058C9">
        <w:rPr>
          <w:b/>
          <w:color w:val="000000" w:themeColor="text1"/>
          <w:lang w:val="pl-PL"/>
        </w:rPr>
        <w:t>życia prywat</w:t>
      </w:r>
      <w:r w:rsidRPr="00E058C9">
        <w:rPr>
          <w:b/>
          <w:color w:val="000000" w:themeColor="text1"/>
          <w:lang w:val="pl-PL"/>
        </w:rPr>
        <w:t>nego i rodzinnego)</w:t>
      </w:r>
      <w:r w:rsidR="00E058C9" w:rsidRPr="00E058C9">
        <w:rPr>
          <w:b/>
          <w:color w:val="000000" w:themeColor="text1"/>
          <w:lang w:val="pl-PL"/>
        </w:rPr>
        <w:t xml:space="preserve"> pomimo szerokiego i ogólnego sformułowania sądowego nakazu przeszukania mieszkań skarżących prowadzonego w związku z operacją mającą na celu przeciwdziałanie zamachowi terrorystycznemu</w:t>
      </w:r>
      <w:bookmarkEnd w:id="8"/>
    </w:p>
    <w:p w:rsidR="00B1630D" w:rsidRPr="005A34CD" w:rsidRDefault="00B1630D" w:rsidP="00B1630D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 w:rsidRPr="005A34CD">
        <w:rPr>
          <w:rFonts w:ascii="Calibri" w:hAnsi="Calibri"/>
          <w:color w:val="000000"/>
          <w:u w:val="single"/>
          <w:lang w:val="pl-PL"/>
        </w:rPr>
        <w:t xml:space="preserve">Stan faktyczny </w:t>
      </w:r>
      <w:r w:rsidR="006002BB">
        <w:rPr>
          <w:rFonts w:ascii="Calibri" w:hAnsi="Calibri"/>
          <w:color w:val="000000"/>
          <w:u w:val="single"/>
          <w:lang w:val="pl-PL"/>
        </w:rPr>
        <w:t>i zarzuty skarżących</w:t>
      </w:r>
    </w:p>
    <w:p w:rsidR="009A1D2C" w:rsidRPr="009A1D2C" w:rsidRDefault="00065852" w:rsidP="009A1D2C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 xml:space="preserve">Skarżący </w:t>
      </w:r>
      <w:proofErr w:type="spellStart"/>
      <w:r w:rsidRPr="00CA5FE9">
        <w:rPr>
          <w:lang w:val="pl-PL"/>
        </w:rPr>
        <w:t>Sultan</w:t>
      </w:r>
      <w:proofErr w:type="spellEnd"/>
      <w:r w:rsidRPr="00CA5FE9">
        <w:rPr>
          <w:lang w:val="pl-PL"/>
        </w:rPr>
        <w:t xml:space="preserve"> </w:t>
      </w:r>
      <w:proofErr w:type="spellStart"/>
      <w:r w:rsidRPr="00CA5FE9">
        <w:rPr>
          <w:lang w:val="pl-PL"/>
        </w:rPr>
        <w:t>Sher</w:t>
      </w:r>
      <w:proofErr w:type="spellEnd"/>
      <w:r w:rsidRPr="00CA5FE9">
        <w:rPr>
          <w:lang w:val="pl-PL"/>
        </w:rPr>
        <w:t xml:space="preserve">, Mohammed </w:t>
      </w:r>
      <w:proofErr w:type="spellStart"/>
      <w:r w:rsidRPr="00CA5FE9">
        <w:rPr>
          <w:lang w:val="pl-PL"/>
        </w:rPr>
        <w:t>Rizwan</w:t>
      </w:r>
      <w:proofErr w:type="spellEnd"/>
      <w:r w:rsidRPr="00CA5FE9">
        <w:rPr>
          <w:lang w:val="pl-PL"/>
        </w:rPr>
        <w:t xml:space="preserve"> </w:t>
      </w:r>
      <w:proofErr w:type="spellStart"/>
      <w:r w:rsidRPr="00CA5FE9">
        <w:rPr>
          <w:lang w:val="pl-PL"/>
        </w:rPr>
        <w:t>Sharif</w:t>
      </w:r>
      <w:proofErr w:type="spellEnd"/>
      <w:r w:rsidRPr="00CA5FE9">
        <w:rPr>
          <w:lang w:val="pl-PL"/>
        </w:rPr>
        <w:t xml:space="preserve"> i Mohammed Umer </w:t>
      </w:r>
      <w:proofErr w:type="spellStart"/>
      <w:r w:rsidRPr="00CA5FE9">
        <w:rPr>
          <w:lang w:val="pl-PL"/>
        </w:rPr>
        <w:t>Farooq</w:t>
      </w:r>
      <w:proofErr w:type="spellEnd"/>
      <w:r w:rsidRPr="00CA5FE9">
        <w:rPr>
          <w:lang w:val="pl-PL"/>
        </w:rPr>
        <w:t xml:space="preserve">, </w:t>
      </w:r>
      <w:r w:rsidR="0013708E">
        <w:rPr>
          <w:lang w:val="pl-PL"/>
        </w:rPr>
        <w:t>są obywatelami</w:t>
      </w:r>
      <w:r w:rsidRPr="00CA5FE9">
        <w:rPr>
          <w:lang w:val="pl-PL"/>
        </w:rPr>
        <w:t xml:space="preserve"> Pakistanu, którzy wcześniej mieszkali w Wielkiej Brytanii na podstawie wiz studenckich, a obecnie mieszkają w Pakistanie. </w:t>
      </w:r>
      <w:r w:rsidR="009A1D2C" w:rsidRPr="009A1D2C">
        <w:rPr>
          <w:lang w:val="pl-PL"/>
        </w:rPr>
        <w:t>Sprawa dotyczyła zatrzymania i aresztowania skarżących</w:t>
      </w:r>
      <w:r w:rsidR="00E1661C">
        <w:rPr>
          <w:lang w:val="pl-PL"/>
        </w:rPr>
        <w:t xml:space="preserve"> </w:t>
      </w:r>
      <w:r w:rsidR="009A1D2C" w:rsidRPr="009A1D2C">
        <w:rPr>
          <w:lang w:val="pl-PL"/>
        </w:rPr>
        <w:t>w związku z operacją walki z terroryzmem. Skarżący byli pozbawieni wolności przez 13 dni</w:t>
      </w:r>
      <w:r w:rsidR="00454A30">
        <w:rPr>
          <w:lang w:val="pl-PL"/>
        </w:rPr>
        <w:t>, po czym</w:t>
      </w:r>
      <w:r w:rsidR="009A1D2C" w:rsidRPr="009A1D2C">
        <w:rPr>
          <w:lang w:val="pl-PL"/>
        </w:rPr>
        <w:t xml:space="preserve"> zostali zwolnieni bez postawienia zarzutów. W tym okresie byli dwukrotnie postawieni przed sądem, który przychylił się do wniosku o </w:t>
      </w:r>
      <w:r w:rsidR="00454A30">
        <w:rPr>
          <w:lang w:val="pl-PL"/>
        </w:rPr>
        <w:t>przedłużenie ich aresztowania</w:t>
      </w:r>
      <w:r w:rsidR="009A1D2C" w:rsidRPr="009A1D2C">
        <w:rPr>
          <w:lang w:val="pl-PL"/>
        </w:rPr>
        <w:t>.</w:t>
      </w:r>
    </w:p>
    <w:p w:rsidR="000B5F56" w:rsidRPr="00CA5FE9" w:rsidRDefault="00065852" w:rsidP="000B5F56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 xml:space="preserve">W dniu 8 kwietnia 2009 r. skarżący zostali </w:t>
      </w:r>
      <w:r w:rsidR="00F21FBD">
        <w:rPr>
          <w:lang w:val="pl-PL"/>
        </w:rPr>
        <w:t xml:space="preserve">zatrzymani </w:t>
      </w:r>
      <w:r w:rsidRPr="00CA5FE9">
        <w:rPr>
          <w:lang w:val="pl-PL"/>
        </w:rPr>
        <w:t xml:space="preserve">w różnych miejscach Anglii na podstawie ustawy antyterrorystycznej z 2000 r. (dalej: ustawa) z powodu podejrzenia o zaangażowanie w popełnienie, przygotowanie i podżeganie do aktów terroryzmu. </w:t>
      </w:r>
      <w:r w:rsidR="000B5F56">
        <w:rPr>
          <w:lang w:val="pl-PL"/>
        </w:rPr>
        <w:t xml:space="preserve">Tego samego dnia </w:t>
      </w:r>
      <w:r w:rsidR="000B5F56" w:rsidRPr="00CA5FE9">
        <w:rPr>
          <w:lang w:val="pl-PL"/>
        </w:rPr>
        <w:t xml:space="preserve">wydano </w:t>
      </w:r>
      <w:r w:rsidR="000B5F56">
        <w:rPr>
          <w:lang w:val="pl-PL"/>
        </w:rPr>
        <w:t xml:space="preserve">też </w:t>
      </w:r>
      <w:r w:rsidR="000B5F56" w:rsidRPr="00CA5FE9">
        <w:rPr>
          <w:lang w:val="pl-PL"/>
        </w:rPr>
        <w:t xml:space="preserve">jednorazowe nakazy przeszukania </w:t>
      </w:r>
      <w:r w:rsidR="00E1661C">
        <w:rPr>
          <w:lang w:val="pl-PL"/>
        </w:rPr>
        <w:t xml:space="preserve">mieszkań </w:t>
      </w:r>
      <w:r w:rsidR="000B5F56" w:rsidRPr="00CA5FE9">
        <w:rPr>
          <w:lang w:val="pl-PL"/>
        </w:rPr>
        <w:t>skarżących. Materiał określający cel przeszukania zawierał długą listę przedmiotów,</w:t>
      </w:r>
      <w:r w:rsidR="000B5F56">
        <w:rPr>
          <w:lang w:val="pl-PL"/>
        </w:rPr>
        <w:t xml:space="preserve"> takich</w:t>
      </w:r>
      <w:r w:rsidR="000B5F56" w:rsidRPr="00CA5FE9">
        <w:rPr>
          <w:lang w:val="pl-PL"/>
        </w:rPr>
        <w:t xml:space="preserve"> jak korespondencja, książki i sprzęt elektroniczny. Przeszukanie </w:t>
      </w:r>
      <w:r w:rsidR="00E1661C">
        <w:rPr>
          <w:lang w:val="pl-PL"/>
        </w:rPr>
        <w:t xml:space="preserve">mieszkań </w:t>
      </w:r>
      <w:r w:rsidR="006002BB">
        <w:rPr>
          <w:lang w:val="pl-PL"/>
        </w:rPr>
        <w:t>skarżących</w:t>
      </w:r>
      <w:r w:rsidR="000B5F56" w:rsidRPr="00CA5FE9">
        <w:rPr>
          <w:lang w:val="pl-PL"/>
        </w:rPr>
        <w:t xml:space="preserve"> </w:t>
      </w:r>
      <w:r w:rsidR="000B5F56" w:rsidRPr="00E1661C">
        <w:rPr>
          <w:lang w:val="pl-PL"/>
        </w:rPr>
        <w:t>zajęło</w:t>
      </w:r>
      <w:r w:rsidR="000B5F56" w:rsidRPr="00CA5FE9">
        <w:rPr>
          <w:lang w:val="pl-PL"/>
        </w:rPr>
        <w:t xml:space="preserve"> ponad 10</w:t>
      </w:r>
      <w:r w:rsidR="006002BB">
        <w:rPr>
          <w:lang w:val="pl-PL"/>
        </w:rPr>
        <w:t>-12</w:t>
      </w:r>
      <w:r w:rsidR="000B5F56" w:rsidRPr="00CA5FE9">
        <w:rPr>
          <w:lang w:val="pl-PL"/>
        </w:rPr>
        <w:t xml:space="preserve"> dni. </w:t>
      </w:r>
      <w:r w:rsidR="006002BB">
        <w:rPr>
          <w:lang w:val="pl-PL"/>
        </w:rPr>
        <w:t xml:space="preserve"> </w:t>
      </w:r>
    </w:p>
    <w:p w:rsidR="00065852" w:rsidRPr="00454A30" w:rsidRDefault="00065852" w:rsidP="00CA5FE9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 xml:space="preserve">Posiedzenie ws. </w:t>
      </w:r>
      <w:r w:rsidRPr="00454A30">
        <w:rPr>
          <w:lang w:val="pl-PL"/>
        </w:rPr>
        <w:t xml:space="preserve">aresztowania </w:t>
      </w:r>
      <w:r w:rsidR="006002BB">
        <w:rPr>
          <w:lang w:val="pl-PL"/>
        </w:rPr>
        <w:t xml:space="preserve">skarżących, </w:t>
      </w:r>
      <w:r w:rsidRPr="00454A30">
        <w:rPr>
          <w:lang w:val="pl-PL"/>
        </w:rPr>
        <w:t xml:space="preserve">po upływie wstępnego 48-godzinnego </w:t>
      </w:r>
      <w:r w:rsidR="000B5F56" w:rsidRPr="00454A30">
        <w:rPr>
          <w:lang w:val="pl-PL"/>
        </w:rPr>
        <w:t xml:space="preserve">zatrzymania </w:t>
      </w:r>
      <w:r w:rsidRPr="00454A30">
        <w:rPr>
          <w:lang w:val="pl-PL"/>
        </w:rPr>
        <w:t>przewidzianego prawem</w:t>
      </w:r>
      <w:r w:rsidR="006002BB">
        <w:rPr>
          <w:lang w:val="pl-PL"/>
        </w:rPr>
        <w:t>,</w:t>
      </w:r>
      <w:r w:rsidRPr="00454A30">
        <w:rPr>
          <w:lang w:val="pl-PL"/>
        </w:rPr>
        <w:t xml:space="preserve"> odbyło się </w:t>
      </w:r>
      <w:r w:rsidR="006002BB">
        <w:rPr>
          <w:lang w:val="pl-PL"/>
        </w:rPr>
        <w:t xml:space="preserve">przed sądem </w:t>
      </w:r>
      <w:r w:rsidRPr="00454A30">
        <w:rPr>
          <w:lang w:val="pl-PL"/>
        </w:rPr>
        <w:t>w dniu 10 kwietnia 2009 r.</w:t>
      </w:r>
      <w:r w:rsidR="004D1D64" w:rsidRPr="00454A30">
        <w:rPr>
          <w:lang w:val="pl-PL"/>
        </w:rPr>
        <w:t xml:space="preserve"> Dzień wcześniej poinformowano skarżących o złożonym wniosku </w:t>
      </w:r>
      <w:r w:rsidR="006002BB">
        <w:rPr>
          <w:lang w:val="pl-PL"/>
        </w:rPr>
        <w:t xml:space="preserve">ws. </w:t>
      </w:r>
      <w:r w:rsidR="004D1D64" w:rsidRPr="00454A30">
        <w:rPr>
          <w:lang w:val="pl-PL"/>
        </w:rPr>
        <w:t xml:space="preserve">aresztowania, nie udostępniono im jednak części </w:t>
      </w:r>
      <w:r w:rsidR="006002BB">
        <w:rPr>
          <w:lang w:val="pl-PL"/>
        </w:rPr>
        <w:t xml:space="preserve">tego </w:t>
      </w:r>
      <w:r w:rsidR="004D1D64" w:rsidRPr="00454A30">
        <w:rPr>
          <w:lang w:val="pl-PL"/>
        </w:rPr>
        <w:t>wniosku, która zawierała obszerny opis operacji policyjnej oraz aktualnego stanu dochodzenia.</w:t>
      </w:r>
    </w:p>
    <w:p w:rsidR="006002BB" w:rsidRDefault="00065852" w:rsidP="000B5F56">
      <w:pPr>
        <w:spacing w:after="120" w:line="240" w:lineRule="auto"/>
        <w:jc w:val="both"/>
        <w:rPr>
          <w:lang w:val="pl-PL"/>
        </w:rPr>
      </w:pPr>
      <w:r w:rsidRPr="00454A30">
        <w:rPr>
          <w:lang w:val="pl-PL"/>
        </w:rPr>
        <w:t xml:space="preserve">Skarżący zostali poinformowani o terminie posiedzenia i o przysługujących im </w:t>
      </w:r>
      <w:r w:rsidR="000B5F56" w:rsidRPr="00454A30">
        <w:rPr>
          <w:lang w:val="pl-PL"/>
        </w:rPr>
        <w:t xml:space="preserve">prawach </w:t>
      </w:r>
      <w:r w:rsidRPr="00454A30">
        <w:rPr>
          <w:lang w:val="pl-PL"/>
        </w:rPr>
        <w:t xml:space="preserve">na podstawie ustawy. Posiedzenie odbyło się </w:t>
      </w:r>
      <w:r w:rsidR="00E1661C" w:rsidRPr="00454A30">
        <w:rPr>
          <w:lang w:val="pl-PL"/>
        </w:rPr>
        <w:t xml:space="preserve">jednak </w:t>
      </w:r>
      <w:r w:rsidR="000B5F56" w:rsidRPr="00454A30">
        <w:rPr>
          <w:lang w:val="pl-PL"/>
        </w:rPr>
        <w:t xml:space="preserve">częściowo </w:t>
      </w:r>
      <w:r w:rsidR="006002BB">
        <w:rPr>
          <w:lang w:val="pl-PL"/>
        </w:rPr>
        <w:t xml:space="preserve">jako </w:t>
      </w:r>
      <w:r w:rsidR="00AE2A76">
        <w:rPr>
          <w:lang w:val="pl-PL"/>
        </w:rPr>
        <w:t>zamknięte</w:t>
      </w:r>
      <w:r w:rsidR="006002BB">
        <w:rPr>
          <w:lang w:val="pl-PL"/>
        </w:rPr>
        <w:t xml:space="preserve"> i bez udziału skarżących oraz ich </w:t>
      </w:r>
      <w:r w:rsidR="00F8087C">
        <w:rPr>
          <w:lang w:val="pl-PL"/>
        </w:rPr>
        <w:t>obrońców</w:t>
      </w:r>
      <w:r w:rsidR="006002BB">
        <w:rPr>
          <w:lang w:val="pl-PL"/>
        </w:rPr>
        <w:t>,</w:t>
      </w:r>
      <w:r w:rsidRPr="00454A30">
        <w:rPr>
          <w:lang w:val="pl-PL"/>
        </w:rPr>
        <w:t xml:space="preserve"> by umożliwić sędziemu zbadanie materiału</w:t>
      </w:r>
      <w:r w:rsidR="00E1661C" w:rsidRPr="00454A30">
        <w:rPr>
          <w:lang w:val="pl-PL"/>
        </w:rPr>
        <w:t>, którego nie udostępniono skarżącym,</w:t>
      </w:r>
      <w:r w:rsidRPr="00454A30">
        <w:rPr>
          <w:lang w:val="pl-PL"/>
        </w:rPr>
        <w:t xml:space="preserve"> oraz zadawanie </w:t>
      </w:r>
      <w:r w:rsidR="00E1661C" w:rsidRPr="00454A30">
        <w:rPr>
          <w:lang w:val="pl-PL"/>
        </w:rPr>
        <w:t>szczegółowych</w:t>
      </w:r>
      <w:r w:rsidR="00437274" w:rsidRPr="00454A30">
        <w:rPr>
          <w:lang w:val="pl-PL"/>
        </w:rPr>
        <w:t xml:space="preserve"> </w:t>
      </w:r>
      <w:r w:rsidRPr="00454A30">
        <w:rPr>
          <w:lang w:val="pl-PL"/>
        </w:rPr>
        <w:t xml:space="preserve">pytań </w:t>
      </w:r>
      <w:r w:rsidR="00437274" w:rsidRPr="00454A30">
        <w:rPr>
          <w:lang w:val="pl-PL"/>
        </w:rPr>
        <w:t xml:space="preserve">dotyczących </w:t>
      </w:r>
      <w:r w:rsidRPr="00454A30">
        <w:rPr>
          <w:lang w:val="pl-PL"/>
        </w:rPr>
        <w:t>operacji policyjnej i śledztwa.</w:t>
      </w:r>
      <w:r w:rsidR="00437274" w:rsidRPr="00454A30">
        <w:rPr>
          <w:lang w:val="pl-PL"/>
        </w:rPr>
        <w:t xml:space="preserve"> Skarżący byli reprezentowani przez adwokata w trakcie jawnej części tego posiedzenia, ale nie mieli specjalnego adwokata w celu reprezentowania ich w trakcie </w:t>
      </w:r>
      <w:r w:rsidR="00AE2A76">
        <w:rPr>
          <w:lang w:val="pl-PL"/>
        </w:rPr>
        <w:t>zamkniętej</w:t>
      </w:r>
      <w:r w:rsidR="00437274" w:rsidRPr="00454A30">
        <w:rPr>
          <w:lang w:val="pl-PL"/>
        </w:rPr>
        <w:t xml:space="preserve"> części</w:t>
      </w:r>
      <w:r w:rsidR="00AE2A76">
        <w:rPr>
          <w:lang w:val="pl-PL"/>
        </w:rPr>
        <w:t xml:space="preserve"> posiedzenia</w:t>
      </w:r>
      <w:r w:rsidR="00437274" w:rsidRPr="00454A30">
        <w:rPr>
          <w:lang w:val="pl-PL"/>
        </w:rPr>
        <w:t xml:space="preserve">. </w:t>
      </w:r>
      <w:r w:rsidRPr="00454A30">
        <w:rPr>
          <w:lang w:val="pl-PL"/>
        </w:rPr>
        <w:t xml:space="preserve">Sąd przychylił się do wniosku o </w:t>
      </w:r>
      <w:r w:rsidR="00F8087C">
        <w:rPr>
          <w:lang w:val="pl-PL"/>
        </w:rPr>
        <w:t>aresztowanie skarżących</w:t>
      </w:r>
      <w:r w:rsidR="00E1661C" w:rsidRPr="00454A30">
        <w:rPr>
          <w:lang w:val="pl-PL"/>
        </w:rPr>
        <w:t xml:space="preserve"> </w:t>
      </w:r>
      <w:r w:rsidRPr="00454A30">
        <w:rPr>
          <w:lang w:val="pl-PL"/>
        </w:rPr>
        <w:t xml:space="preserve">na 7 dni </w:t>
      </w:r>
      <w:r w:rsidR="00F8087C">
        <w:rPr>
          <w:lang w:val="pl-PL"/>
        </w:rPr>
        <w:t xml:space="preserve">licząc </w:t>
      </w:r>
      <w:r w:rsidRPr="00454A30">
        <w:rPr>
          <w:lang w:val="pl-PL"/>
        </w:rPr>
        <w:t xml:space="preserve">od dnia zatrzymania. </w:t>
      </w:r>
    </w:p>
    <w:p w:rsidR="000B5F56" w:rsidRPr="00454A30" w:rsidRDefault="00065852" w:rsidP="000B5F56">
      <w:pPr>
        <w:spacing w:after="120" w:line="240" w:lineRule="auto"/>
        <w:jc w:val="both"/>
        <w:rPr>
          <w:lang w:val="pl-PL"/>
        </w:rPr>
      </w:pPr>
      <w:r w:rsidRPr="00454A30">
        <w:rPr>
          <w:lang w:val="pl-PL"/>
        </w:rPr>
        <w:t>Kolejne posiedzenie w przedmiocie przedłużenia aresztowania odbyło się w dniu 15 kwietnia 2009 r. Skarżący uczestniczy</w:t>
      </w:r>
      <w:r w:rsidR="004B1CDC" w:rsidRPr="00454A30">
        <w:rPr>
          <w:lang w:val="pl-PL"/>
        </w:rPr>
        <w:t xml:space="preserve">li w nim dzięki łączności wideo </w:t>
      </w:r>
      <w:r w:rsidRPr="00454A30">
        <w:rPr>
          <w:lang w:val="pl-PL"/>
        </w:rPr>
        <w:t xml:space="preserve">i nie byli wyłączeni z żadnej części posiedzenia. Sąd przedłużył aresztowanie do dnia 22 kwietnia 2009 r. W dniu 21 kwietnia 2009 r. skarżący zostali zwolnieni bez przedstawienia zarzutów. </w:t>
      </w:r>
      <w:r w:rsidR="004D1D64" w:rsidRPr="00454A30">
        <w:rPr>
          <w:lang w:val="pl-PL"/>
        </w:rPr>
        <w:t>Wydano wobec nich nakaz deportacji, z</w:t>
      </w:r>
      <w:r w:rsidR="000B5F56" w:rsidRPr="00454A30">
        <w:rPr>
          <w:lang w:val="pl-PL"/>
        </w:rPr>
        <w:t xml:space="preserve">ostali umieszczeni w areszcie imigracyjnym, a </w:t>
      </w:r>
      <w:r w:rsidR="006002BB">
        <w:rPr>
          <w:lang w:val="pl-PL"/>
        </w:rPr>
        <w:t xml:space="preserve">następnie </w:t>
      </w:r>
      <w:r w:rsidR="000B5F56" w:rsidRPr="00454A30">
        <w:rPr>
          <w:lang w:val="pl-PL"/>
        </w:rPr>
        <w:t xml:space="preserve">dobrowolnie powrócili do Pakistanu. </w:t>
      </w:r>
    </w:p>
    <w:p w:rsidR="00065852" w:rsidRPr="00CA5FE9" w:rsidRDefault="00065852" w:rsidP="00CA5FE9">
      <w:pPr>
        <w:spacing w:after="120" w:line="240" w:lineRule="auto"/>
        <w:jc w:val="both"/>
        <w:rPr>
          <w:lang w:val="pl-PL"/>
        </w:rPr>
      </w:pPr>
      <w:r w:rsidRPr="00CA5FE9">
        <w:rPr>
          <w:lang w:val="pl-PL"/>
        </w:rPr>
        <w:t xml:space="preserve">W dniu 26 czerwca 2009 r. skarżący wszczęli postępowanie mające na celu sądową </w:t>
      </w:r>
      <w:r w:rsidR="00E1661C">
        <w:rPr>
          <w:lang w:val="pl-PL"/>
        </w:rPr>
        <w:t xml:space="preserve">kontrolę </w:t>
      </w:r>
      <w:r w:rsidRPr="00CA5FE9">
        <w:rPr>
          <w:lang w:val="pl-PL"/>
        </w:rPr>
        <w:t xml:space="preserve">legalności </w:t>
      </w:r>
      <w:r w:rsidR="00E1661C">
        <w:rPr>
          <w:lang w:val="pl-PL"/>
        </w:rPr>
        <w:t>sposobu</w:t>
      </w:r>
      <w:r w:rsidR="00454A30">
        <w:rPr>
          <w:lang w:val="pl-PL"/>
        </w:rPr>
        <w:t xml:space="preserve"> ich potraktowania</w:t>
      </w:r>
      <w:r w:rsidR="00E1661C">
        <w:rPr>
          <w:lang w:val="pl-PL"/>
        </w:rPr>
        <w:t xml:space="preserve"> </w:t>
      </w:r>
      <w:r w:rsidRPr="00CA5FE9">
        <w:rPr>
          <w:lang w:val="pl-PL"/>
        </w:rPr>
        <w:t>pomiędzy 8 i 21 kwietnia 2009 r. Zarzucali w szczególności, że nie udzielono im wystarczającej informacji w czasie zatrzymania i aresztowania</w:t>
      </w:r>
      <w:r w:rsidR="00E1661C">
        <w:rPr>
          <w:lang w:val="pl-PL"/>
        </w:rPr>
        <w:t xml:space="preserve"> na temat stawianych im </w:t>
      </w:r>
      <w:r w:rsidRPr="00CA5FE9">
        <w:rPr>
          <w:lang w:val="pl-PL"/>
        </w:rPr>
        <w:t xml:space="preserve">zarzutów. Zarzucali, że postępowanie ws. wniosków o </w:t>
      </w:r>
      <w:r w:rsidR="003D1A0B">
        <w:rPr>
          <w:lang w:val="pl-PL"/>
        </w:rPr>
        <w:t>aresztowanie i jego przedłużenie</w:t>
      </w:r>
      <w:r w:rsidRPr="00CA5FE9">
        <w:rPr>
          <w:lang w:val="pl-PL"/>
        </w:rPr>
        <w:t xml:space="preserve"> było nierzetelne, a przeszukania ich </w:t>
      </w:r>
      <w:r w:rsidR="00E1661C">
        <w:rPr>
          <w:lang w:val="pl-PL"/>
        </w:rPr>
        <w:t xml:space="preserve">mieszkań zostały przeprowadzone </w:t>
      </w:r>
      <w:r w:rsidRPr="00CA5FE9">
        <w:rPr>
          <w:lang w:val="pl-PL"/>
        </w:rPr>
        <w:t xml:space="preserve">nielegalne, gdyż zakres nakazów </w:t>
      </w:r>
      <w:r w:rsidR="00E1661C">
        <w:rPr>
          <w:lang w:val="pl-PL"/>
        </w:rPr>
        <w:t xml:space="preserve">przeszukania </w:t>
      </w:r>
      <w:r w:rsidRPr="00CA5FE9">
        <w:rPr>
          <w:lang w:val="pl-PL"/>
        </w:rPr>
        <w:t xml:space="preserve">był zbyt szeroki, </w:t>
      </w:r>
      <w:r w:rsidR="003D1A0B">
        <w:rPr>
          <w:lang w:val="pl-PL"/>
        </w:rPr>
        <w:t xml:space="preserve">a </w:t>
      </w:r>
      <w:r w:rsidRPr="00CA5FE9">
        <w:rPr>
          <w:lang w:val="pl-PL"/>
        </w:rPr>
        <w:t xml:space="preserve">przeszukania trwały kilka dni, mimo iż nakazy zezwalały </w:t>
      </w:r>
      <w:r w:rsidR="00E1661C">
        <w:rPr>
          <w:lang w:val="pl-PL"/>
        </w:rPr>
        <w:t xml:space="preserve">jedynie </w:t>
      </w:r>
      <w:r w:rsidRPr="00CA5FE9">
        <w:rPr>
          <w:lang w:val="pl-PL"/>
        </w:rPr>
        <w:t xml:space="preserve">na przeszukanie „jednorazowe”. W dniu 21 lipca 2009 r. sędzia </w:t>
      </w:r>
      <w:r w:rsidR="00454A30">
        <w:rPr>
          <w:lang w:val="pl-PL"/>
        </w:rPr>
        <w:t>odmówił przyjęcia wnios</w:t>
      </w:r>
      <w:r w:rsidRPr="00CA5FE9">
        <w:rPr>
          <w:lang w:val="pl-PL"/>
        </w:rPr>
        <w:t>k</w:t>
      </w:r>
      <w:r w:rsidR="00454A30">
        <w:rPr>
          <w:lang w:val="pl-PL"/>
        </w:rPr>
        <w:t>u</w:t>
      </w:r>
      <w:r w:rsidRPr="00CA5FE9">
        <w:rPr>
          <w:lang w:val="pl-PL"/>
        </w:rPr>
        <w:t xml:space="preserve"> skarżących o przeprowadzenie kontroli sądowej. </w:t>
      </w:r>
    </w:p>
    <w:p w:rsidR="000B5F56" w:rsidRPr="0013708E" w:rsidRDefault="00CB00B8" w:rsidP="00867829">
      <w:pPr>
        <w:spacing w:after="120" w:line="240" w:lineRule="auto"/>
        <w:jc w:val="both"/>
        <w:rPr>
          <w:highlight w:val="yellow"/>
          <w:lang w:val="pl-PL"/>
        </w:rPr>
      </w:pPr>
      <w:r>
        <w:rPr>
          <w:lang w:val="pl-PL"/>
        </w:rPr>
        <w:t xml:space="preserve">W postępowaniu przed Trybunałem </w:t>
      </w:r>
      <w:r w:rsidR="006002BB">
        <w:rPr>
          <w:lang w:val="pl-PL"/>
        </w:rPr>
        <w:t>s</w:t>
      </w:r>
      <w:r w:rsidR="00065852" w:rsidRPr="00CA5FE9">
        <w:rPr>
          <w:lang w:val="pl-PL"/>
        </w:rPr>
        <w:t xml:space="preserve">karżący </w:t>
      </w:r>
      <w:r w:rsidR="00867829">
        <w:rPr>
          <w:lang w:val="pl-PL"/>
        </w:rPr>
        <w:t xml:space="preserve">zarzucali </w:t>
      </w:r>
      <w:r w:rsidR="00065852" w:rsidRPr="00CA5FE9">
        <w:rPr>
          <w:lang w:val="pl-PL"/>
        </w:rPr>
        <w:t>brak adekwatnej informacji ze strony Policji w czasie zatrzymania i aresztowania</w:t>
      </w:r>
      <w:r w:rsidR="00867829">
        <w:rPr>
          <w:lang w:val="pl-PL"/>
        </w:rPr>
        <w:t xml:space="preserve"> </w:t>
      </w:r>
      <w:r>
        <w:rPr>
          <w:lang w:val="pl-PL"/>
        </w:rPr>
        <w:t>na temat stawianych im zarzutów</w:t>
      </w:r>
      <w:r w:rsidR="00EB317B">
        <w:rPr>
          <w:lang w:val="pl-PL"/>
        </w:rPr>
        <w:t>, co uniemożliwiało skuteczne kwestionowanie legalności zatrzymania</w:t>
      </w:r>
      <w:r>
        <w:rPr>
          <w:lang w:val="pl-PL"/>
        </w:rPr>
        <w:t xml:space="preserve"> </w:t>
      </w:r>
      <w:r w:rsidR="00867829">
        <w:rPr>
          <w:lang w:val="pl-PL"/>
        </w:rPr>
        <w:t xml:space="preserve">(art. </w:t>
      </w:r>
      <w:r w:rsidR="00867829" w:rsidRPr="00CA5FE9">
        <w:rPr>
          <w:lang w:val="pl-PL"/>
        </w:rPr>
        <w:t xml:space="preserve">5 </w:t>
      </w:r>
      <w:r w:rsidR="00867829">
        <w:rPr>
          <w:lang w:val="pl-PL"/>
        </w:rPr>
        <w:t xml:space="preserve">ust. </w:t>
      </w:r>
      <w:r w:rsidR="00867829" w:rsidRPr="00CA5FE9">
        <w:rPr>
          <w:lang w:val="pl-PL"/>
        </w:rPr>
        <w:t xml:space="preserve">2 </w:t>
      </w:r>
      <w:r w:rsidR="00867829">
        <w:rPr>
          <w:lang w:val="pl-PL"/>
        </w:rPr>
        <w:t>i</w:t>
      </w:r>
      <w:r w:rsidR="00867829" w:rsidRPr="00CA5FE9">
        <w:rPr>
          <w:lang w:val="pl-PL"/>
        </w:rPr>
        <w:t xml:space="preserve"> 4 </w:t>
      </w:r>
      <w:r w:rsidR="006002BB">
        <w:rPr>
          <w:lang w:val="pl-PL"/>
        </w:rPr>
        <w:t xml:space="preserve">Konwencji </w:t>
      </w:r>
      <w:r w:rsidR="003D1A0B">
        <w:rPr>
          <w:lang w:val="pl-PL"/>
        </w:rPr>
        <w:t>–</w:t>
      </w:r>
      <w:r w:rsidR="00867829">
        <w:rPr>
          <w:lang w:val="pl-PL"/>
        </w:rPr>
        <w:t xml:space="preserve"> </w:t>
      </w:r>
      <w:r w:rsidR="00867829" w:rsidRPr="00CA5FE9">
        <w:rPr>
          <w:lang w:val="pl-PL"/>
        </w:rPr>
        <w:t xml:space="preserve">prawo do </w:t>
      </w:r>
      <w:r w:rsidR="003D1A0B">
        <w:rPr>
          <w:lang w:val="pl-PL"/>
        </w:rPr>
        <w:t>niezwłocznego</w:t>
      </w:r>
      <w:r w:rsidR="00867829" w:rsidRPr="00CA5FE9">
        <w:rPr>
          <w:lang w:val="pl-PL"/>
        </w:rPr>
        <w:t xml:space="preserve"> poinformowania o powodach aresztowania </w:t>
      </w:r>
      <w:r w:rsidR="00867829">
        <w:rPr>
          <w:lang w:val="pl-PL"/>
        </w:rPr>
        <w:t xml:space="preserve">oraz </w:t>
      </w:r>
      <w:r w:rsidR="00867829" w:rsidRPr="00CA5FE9">
        <w:rPr>
          <w:lang w:val="pl-PL"/>
        </w:rPr>
        <w:t>prawo do ust</w:t>
      </w:r>
      <w:r w:rsidR="00867829">
        <w:rPr>
          <w:lang w:val="pl-PL"/>
        </w:rPr>
        <w:t>alenia legalności aresztowania)</w:t>
      </w:r>
      <w:r w:rsidR="00065852" w:rsidRPr="00CA5FE9">
        <w:rPr>
          <w:lang w:val="pl-PL"/>
        </w:rPr>
        <w:t xml:space="preserve">. </w:t>
      </w:r>
      <w:r>
        <w:rPr>
          <w:lang w:val="pl-PL"/>
        </w:rPr>
        <w:t>W</w:t>
      </w:r>
      <w:r w:rsidR="00065852" w:rsidRPr="00CA5FE9">
        <w:rPr>
          <w:lang w:val="pl-PL"/>
        </w:rPr>
        <w:t xml:space="preserve"> oparciu o </w:t>
      </w:r>
      <w:r w:rsidR="00137D2F">
        <w:rPr>
          <w:lang w:val="pl-PL"/>
        </w:rPr>
        <w:t xml:space="preserve">art. </w:t>
      </w:r>
      <w:r w:rsidR="00065852" w:rsidRPr="00CA5FE9">
        <w:rPr>
          <w:lang w:val="pl-PL"/>
        </w:rPr>
        <w:t xml:space="preserve">5 </w:t>
      </w:r>
      <w:r w:rsidR="00894E4F">
        <w:rPr>
          <w:lang w:val="pl-PL"/>
        </w:rPr>
        <w:t>ust. 4</w:t>
      </w:r>
      <w:r w:rsidR="00065852" w:rsidRPr="00CA5FE9">
        <w:rPr>
          <w:lang w:val="pl-PL"/>
        </w:rPr>
        <w:t xml:space="preserve"> </w:t>
      </w:r>
      <w:r>
        <w:rPr>
          <w:lang w:val="pl-PL"/>
        </w:rPr>
        <w:t xml:space="preserve">Konwencji </w:t>
      </w:r>
      <w:r w:rsidR="00867829">
        <w:rPr>
          <w:lang w:val="pl-PL"/>
        </w:rPr>
        <w:t xml:space="preserve">kwestionowali </w:t>
      </w:r>
      <w:r w:rsidR="006002BB">
        <w:rPr>
          <w:lang w:val="pl-PL"/>
        </w:rPr>
        <w:t xml:space="preserve">też </w:t>
      </w:r>
      <w:r w:rsidR="00437274" w:rsidRPr="00D86635">
        <w:rPr>
          <w:lang w:val="pl-PL"/>
        </w:rPr>
        <w:t>brak kontradyktoryjności procedury</w:t>
      </w:r>
      <w:r w:rsidR="00065852" w:rsidRPr="00D86635">
        <w:rPr>
          <w:lang w:val="pl-PL"/>
        </w:rPr>
        <w:t xml:space="preserve"> </w:t>
      </w:r>
      <w:r w:rsidR="003D1A0B">
        <w:rPr>
          <w:lang w:val="pl-PL"/>
        </w:rPr>
        <w:t>ws. zastosowania aresztu</w:t>
      </w:r>
      <w:r w:rsidR="00065852" w:rsidRPr="00D86635">
        <w:rPr>
          <w:lang w:val="pl-PL"/>
        </w:rPr>
        <w:t xml:space="preserve">, a </w:t>
      </w:r>
      <w:r w:rsidRPr="00D86635">
        <w:rPr>
          <w:lang w:val="pl-PL"/>
        </w:rPr>
        <w:t xml:space="preserve">w szczególności </w:t>
      </w:r>
      <w:r w:rsidR="00867829" w:rsidRPr="00D86635">
        <w:rPr>
          <w:lang w:val="pl-PL"/>
        </w:rPr>
        <w:t xml:space="preserve">fakt, że pewne dowody przemawiające za ich aresztowaniem </w:t>
      </w:r>
      <w:r w:rsidR="004832D7" w:rsidRPr="00D86635">
        <w:rPr>
          <w:lang w:val="pl-PL"/>
        </w:rPr>
        <w:t xml:space="preserve">nie </w:t>
      </w:r>
      <w:r w:rsidR="00867829" w:rsidRPr="00D86635">
        <w:rPr>
          <w:lang w:val="pl-PL"/>
        </w:rPr>
        <w:t xml:space="preserve">zostały </w:t>
      </w:r>
      <w:r w:rsidR="004832D7" w:rsidRPr="00D86635">
        <w:rPr>
          <w:lang w:val="pl-PL"/>
        </w:rPr>
        <w:t>im udostępnione</w:t>
      </w:r>
      <w:r w:rsidR="00867829" w:rsidRPr="00D86635">
        <w:rPr>
          <w:lang w:val="pl-PL"/>
        </w:rPr>
        <w:t xml:space="preserve">, jedno z posiedzeń sądu </w:t>
      </w:r>
      <w:r w:rsidR="004832D7" w:rsidRPr="00D86635">
        <w:rPr>
          <w:lang w:val="pl-PL"/>
        </w:rPr>
        <w:t xml:space="preserve">w sprawie </w:t>
      </w:r>
      <w:r w:rsidR="003D1A0B">
        <w:rPr>
          <w:lang w:val="pl-PL"/>
        </w:rPr>
        <w:t>a</w:t>
      </w:r>
      <w:r w:rsidR="004832D7" w:rsidRPr="00D86635">
        <w:rPr>
          <w:lang w:val="pl-PL"/>
        </w:rPr>
        <w:t xml:space="preserve">resztowania </w:t>
      </w:r>
      <w:r w:rsidR="00867829" w:rsidRPr="00D86635">
        <w:rPr>
          <w:lang w:val="pl-PL"/>
        </w:rPr>
        <w:t xml:space="preserve">było </w:t>
      </w:r>
      <w:r w:rsidR="006002BB">
        <w:rPr>
          <w:lang w:val="pl-PL"/>
        </w:rPr>
        <w:t xml:space="preserve">dla nich </w:t>
      </w:r>
      <w:r w:rsidR="00867829" w:rsidRPr="00D86635">
        <w:rPr>
          <w:lang w:val="pl-PL"/>
        </w:rPr>
        <w:t>częściowo</w:t>
      </w:r>
      <w:r w:rsidR="006002BB">
        <w:rPr>
          <w:lang w:val="pl-PL"/>
        </w:rPr>
        <w:t xml:space="preserve"> zamknięte</w:t>
      </w:r>
      <w:r w:rsidR="004832D7" w:rsidRPr="00D86635">
        <w:rPr>
          <w:lang w:val="pl-PL"/>
        </w:rPr>
        <w:t>, przepisy zaś nie przewidywały</w:t>
      </w:r>
      <w:r w:rsidR="00867829" w:rsidRPr="00D86635">
        <w:rPr>
          <w:lang w:val="pl-PL"/>
        </w:rPr>
        <w:t xml:space="preserve"> </w:t>
      </w:r>
      <w:r w:rsidR="00D86635" w:rsidRPr="00D86635">
        <w:rPr>
          <w:lang w:val="pl-PL"/>
        </w:rPr>
        <w:t xml:space="preserve">wyraźnie </w:t>
      </w:r>
      <w:r w:rsidR="004832D7" w:rsidRPr="00D86635">
        <w:rPr>
          <w:lang w:val="pl-PL"/>
        </w:rPr>
        <w:t xml:space="preserve">zapewnienia </w:t>
      </w:r>
      <w:r w:rsidR="003F2204" w:rsidRPr="00D86635">
        <w:rPr>
          <w:lang w:val="pl-PL"/>
        </w:rPr>
        <w:t xml:space="preserve">udziału w nim </w:t>
      </w:r>
      <w:r w:rsidR="004832D7" w:rsidRPr="00D86635">
        <w:rPr>
          <w:lang w:val="pl-PL"/>
        </w:rPr>
        <w:t xml:space="preserve">specjalnych </w:t>
      </w:r>
      <w:r w:rsidR="003F2204" w:rsidRPr="00D86635">
        <w:rPr>
          <w:lang w:val="pl-PL"/>
        </w:rPr>
        <w:t>o</w:t>
      </w:r>
      <w:r w:rsidR="00867829" w:rsidRPr="00D86635">
        <w:rPr>
          <w:lang w:val="pl-PL"/>
        </w:rPr>
        <w:t xml:space="preserve">brońców. </w:t>
      </w:r>
      <w:r w:rsidR="00894E4F">
        <w:rPr>
          <w:lang w:val="pl-PL"/>
        </w:rPr>
        <w:t>S</w:t>
      </w:r>
      <w:r w:rsidR="00065852" w:rsidRPr="00CA5FE9">
        <w:rPr>
          <w:lang w:val="pl-PL"/>
        </w:rPr>
        <w:t xml:space="preserve">karżyli się też na to, że </w:t>
      </w:r>
      <w:r w:rsidR="00437274">
        <w:rPr>
          <w:lang w:val="pl-PL"/>
        </w:rPr>
        <w:t xml:space="preserve">szeroki </w:t>
      </w:r>
      <w:r w:rsidR="00065852" w:rsidRPr="00CA5FE9">
        <w:rPr>
          <w:lang w:val="pl-PL"/>
        </w:rPr>
        <w:t xml:space="preserve">zakres nakazów przeszukania </w:t>
      </w:r>
      <w:r w:rsidR="003F2204">
        <w:rPr>
          <w:lang w:val="pl-PL"/>
        </w:rPr>
        <w:t xml:space="preserve">ich mieszkań </w:t>
      </w:r>
      <w:r w:rsidR="00065852" w:rsidRPr="00CA5FE9">
        <w:rPr>
          <w:lang w:val="pl-PL"/>
        </w:rPr>
        <w:t xml:space="preserve">i sposób </w:t>
      </w:r>
      <w:r w:rsidR="003F2204">
        <w:rPr>
          <w:lang w:val="pl-PL"/>
        </w:rPr>
        <w:t xml:space="preserve">jego </w:t>
      </w:r>
      <w:r w:rsidR="00065852" w:rsidRPr="00CA5FE9">
        <w:rPr>
          <w:lang w:val="pl-PL"/>
        </w:rPr>
        <w:t xml:space="preserve">wykonania naruszył </w:t>
      </w:r>
      <w:r w:rsidR="00137D2F">
        <w:rPr>
          <w:lang w:val="pl-PL"/>
        </w:rPr>
        <w:t xml:space="preserve">art. </w:t>
      </w:r>
      <w:r w:rsidR="00065852" w:rsidRPr="00CA5FE9">
        <w:rPr>
          <w:lang w:val="pl-PL"/>
        </w:rPr>
        <w:t xml:space="preserve">8 </w:t>
      </w:r>
      <w:r w:rsidR="00867829">
        <w:rPr>
          <w:lang w:val="pl-PL"/>
        </w:rPr>
        <w:t xml:space="preserve">Konwencji  </w:t>
      </w:r>
    </w:p>
    <w:p w:rsidR="00D5343B" w:rsidRDefault="00D5343B" w:rsidP="00D5343B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>
        <w:rPr>
          <w:rFonts w:ascii="Calibri" w:hAnsi="Calibri"/>
          <w:color w:val="000000"/>
          <w:u w:val="single"/>
          <w:lang w:val="pl-PL"/>
        </w:rPr>
        <w:t>O</w:t>
      </w:r>
      <w:r w:rsidRPr="002615CC">
        <w:rPr>
          <w:rFonts w:ascii="Calibri" w:hAnsi="Calibri"/>
          <w:color w:val="000000"/>
          <w:u w:val="single"/>
          <w:lang w:val="pl-PL"/>
        </w:rPr>
        <w:t>cena Trybunału</w:t>
      </w:r>
    </w:p>
    <w:p w:rsidR="00B677A7" w:rsidRDefault="008769A4" w:rsidP="00B677A7">
      <w:pPr>
        <w:spacing w:after="120" w:line="240" w:lineRule="auto"/>
        <w:jc w:val="both"/>
        <w:rPr>
          <w:rStyle w:val="sb8d990e2"/>
          <w:lang w:val="pl-PL"/>
        </w:rPr>
      </w:pPr>
      <w:r>
        <w:rPr>
          <w:lang w:val="pl-PL"/>
        </w:rPr>
        <w:t xml:space="preserve">1. </w:t>
      </w:r>
      <w:r w:rsidR="00625DD6" w:rsidRPr="008769A4">
        <w:rPr>
          <w:b/>
          <w:lang w:val="pl-PL"/>
        </w:rPr>
        <w:t>W odniesieniu do zarzutu naruszenia art. 5 ust. 4 Konwencji</w:t>
      </w:r>
      <w:r w:rsidR="00625DD6">
        <w:rPr>
          <w:lang w:val="pl-PL"/>
        </w:rPr>
        <w:t xml:space="preserve"> </w:t>
      </w:r>
      <w:r w:rsidR="00217069">
        <w:rPr>
          <w:lang w:val="pl-PL"/>
        </w:rPr>
        <w:t xml:space="preserve">(prawo do ustalenia legalności aresztowania) </w:t>
      </w:r>
      <w:r w:rsidR="00065852" w:rsidRPr="00CA5FE9">
        <w:rPr>
          <w:lang w:val="pl-PL"/>
        </w:rPr>
        <w:t>Trybunał</w:t>
      </w:r>
      <w:r w:rsidR="004832D7">
        <w:rPr>
          <w:lang w:val="pl-PL"/>
        </w:rPr>
        <w:t xml:space="preserve"> przypomniał, że gwarancje dotyczące rzetelności postępowania prowadzonego na tej podstawie mogą się różnić od wymogów na podstawie art. 6 ust. 1 (prawo do rzetelnego procesu sądowego). </w:t>
      </w:r>
      <w:r w:rsidR="00C8453F">
        <w:rPr>
          <w:lang w:val="pl-PL"/>
        </w:rPr>
        <w:t xml:space="preserve">Kluczową kwestią jest </w:t>
      </w:r>
      <w:r>
        <w:rPr>
          <w:lang w:val="pl-PL"/>
        </w:rPr>
        <w:t xml:space="preserve">tu </w:t>
      </w:r>
      <w:r w:rsidR="00C8453F">
        <w:rPr>
          <w:lang w:val="pl-PL"/>
        </w:rPr>
        <w:t>zbadanie przez sąd, czy istnieje rozsądne podejrzenie popełnienia przestępstwa przez skarżącego</w:t>
      </w:r>
      <w:r w:rsidR="00AE2A76">
        <w:rPr>
          <w:lang w:val="pl-PL"/>
        </w:rPr>
        <w:t xml:space="preserve"> w rozumieniu art. 5 ust. 1 lit. c) Konwencji</w:t>
      </w:r>
      <w:r w:rsidR="00C8453F">
        <w:rPr>
          <w:lang w:val="pl-PL"/>
        </w:rPr>
        <w:t xml:space="preserve">. Do organów wnioskujących o aresztowanie należy wskazanie dowodów uzasadniających to podejrzenie. Co do zasady, dowody te powinny zostać ujawnione podejrzanemu, by umożliwić mu kwestionowanie podstaw wniosku. </w:t>
      </w:r>
      <w:r w:rsidR="00670B4B">
        <w:rPr>
          <w:lang w:val="pl-PL"/>
        </w:rPr>
        <w:t>Trybunał</w:t>
      </w:r>
      <w:r w:rsidR="00C8453F">
        <w:rPr>
          <w:lang w:val="pl-PL"/>
        </w:rPr>
        <w:t xml:space="preserve"> </w:t>
      </w:r>
      <w:r w:rsidR="00065852" w:rsidRPr="00CA5FE9">
        <w:rPr>
          <w:lang w:val="pl-PL"/>
        </w:rPr>
        <w:t>uznał</w:t>
      </w:r>
      <w:r w:rsidR="00670B4B">
        <w:rPr>
          <w:lang w:val="pl-PL"/>
        </w:rPr>
        <w:t xml:space="preserve"> jednak</w:t>
      </w:r>
      <w:r w:rsidR="00065852" w:rsidRPr="00CA5FE9">
        <w:rPr>
          <w:lang w:val="pl-PL"/>
        </w:rPr>
        <w:t xml:space="preserve">, że </w:t>
      </w:r>
      <w:r w:rsidR="00670B4B">
        <w:rPr>
          <w:lang w:val="pl-PL"/>
        </w:rPr>
        <w:t xml:space="preserve">przestępstwa </w:t>
      </w:r>
      <w:r w:rsidR="00670B4B" w:rsidRPr="00CA5FE9">
        <w:rPr>
          <w:lang w:val="pl-PL"/>
        </w:rPr>
        <w:t>terroryzm</w:t>
      </w:r>
      <w:r w:rsidR="00670B4B">
        <w:rPr>
          <w:lang w:val="pl-PL"/>
        </w:rPr>
        <w:t>u</w:t>
      </w:r>
      <w:r w:rsidR="00670B4B" w:rsidRPr="00CA5FE9">
        <w:rPr>
          <w:lang w:val="pl-PL"/>
        </w:rPr>
        <w:t xml:space="preserve"> </w:t>
      </w:r>
      <w:r w:rsidR="00670B4B">
        <w:rPr>
          <w:lang w:val="pl-PL"/>
        </w:rPr>
        <w:t xml:space="preserve">stanowią </w:t>
      </w:r>
      <w:r w:rsidR="00670B4B" w:rsidRPr="00CA5FE9">
        <w:rPr>
          <w:lang w:val="pl-PL"/>
        </w:rPr>
        <w:t>szczególną kategorię</w:t>
      </w:r>
      <w:r w:rsidR="00670B4B">
        <w:rPr>
          <w:lang w:val="pl-PL"/>
        </w:rPr>
        <w:t xml:space="preserve">. </w:t>
      </w:r>
      <w:r w:rsidR="00670B4B" w:rsidRPr="00CA5FE9">
        <w:rPr>
          <w:lang w:val="pl-PL"/>
        </w:rPr>
        <w:t xml:space="preserve"> </w:t>
      </w:r>
      <w:r w:rsidR="00D557C1">
        <w:rPr>
          <w:lang w:val="pl-PL"/>
        </w:rPr>
        <w:t xml:space="preserve">Z uwagi na ryzyko utraty życia lub spowodowania cierpień ludności, policja jest zobowiązana działać w sposób możliwie pilny w odpowiedzi na wszelkie informacje, w tym pochodzące z tajnych źródeł. Policja może być też </w:t>
      </w:r>
      <w:r w:rsidR="00AE2A76">
        <w:rPr>
          <w:lang w:val="pl-PL"/>
        </w:rPr>
        <w:t xml:space="preserve">często </w:t>
      </w:r>
      <w:r w:rsidR="00D557C1">
        <w:rPr>
          <w:lang w:val="pl-PL"/>
        </w:rPr>
        <w:t>zmuszona do aresztowania podejrzanych terrorystów na podstawie informacji, która jest wiarygodna, ale która nie może zostać ujawniona (bez narażenia źródła informacji) podejrzanemu lub przedstawiona w sądzie. Art.</w:t>
      </w:r>
      <w:r w:rsidR="00D557C1" w:rsidRPr="00CA5FE9">
        <w:rPr>
          <w:lang w:val="pl-PL"/>
        </w:rPr>
        <w:t xml:space="preserve"> 5 </w:t>
      </w:r>
      <w:r w:rsidR="00D557C1">
        <w:rPr>
          <w:lang w:val="pl-PL"/>
        </w:rPr>
        <w:t>ust.</w:t>
      </w:r>
      <w:r w:rsidR="00D557C1" w:rsidRPr="00CA5FE9">
        <w:rPr>
          <w:lang w:val="pl-PL"/>
        </w:rPr>
        <w:t xml:space="preserve"> 4 </w:t>
      </w:r>
      <w:r w:rsidR="00D557C1">
        <w:rPr>
          <w:lang w:val="pl-PL"/>
        </w:rPr>
        <w:t xml:space="preserve">Konwencji </w:t>
      </w:r>
      <w:r w:rsidR="00D557C1" w:rsidRPr="00CA5FE9">
        <w:rPr>
          <w:lang w:val="pl-PL"/>
        </w:rPr>
        <w:t xml:space="preserve">nie może być stosowany w sposób, który powoduje nieproporcjonalne trudności </w:t>
      </w:r>
      <w:r w:rsidR="00D557C1">
        <w:rPr>
          <w:lang w:val="pl-PL"/>
        </w:rPr>
        <w:t>po stronie</w:t>
      </w:r>
      <w:r w:rsidR="00D557C1" w:rsidRPr="00CA5FE9">
        <w:rPr>
          <w:lang w:val="pl-PL"/>
        </w:rPr>
        <w:t xml:space="preserve"> Policji w podejmowaniu skutecznych środków </w:t>
      </w:r>
      <w:r w:rsidR="00AE2A76">
        <w:rPr>
          <w:lang w:val="pl-PL"/>
        </w:rPr>
        <w:t xml:space="preserve">w celu </w:t>
      </w:r>
      <w:r w:rsidR="00D557C1" w:rsidRPr="00CA5FE9">
        <w:rPr>
          <w:lang w:val="pl-PL"/>
        </w:rPr>
        <w:t>zwalczania terroryzmu</w:t>
      </w:r>
      <w:r w:rsidR="00D557C1">
        <w:rPr>
          <w:lang w:val="pl-PL"/>
        </w:rPr>
        <w:t xml:space="preserve"> zgodnie z obowiązkiem ochrony m.in. prawa do życia</w:t>
      </w:r>
      <w:r w:rsidR="002B25DD">
        <w:rPr>
          <w:lang w:val="pl-PL"/>
        </w:rPr>
        <w:t xml:space="preserve"> przewidzianego Konwencją</w:t>
      </w:r>
      <w:r w:rsidR="00D557C1">
        <w:rPr>
          <w:lang w:val="pl-PL"/>
        </w:rPr>
        <w:t xml:space="preserve">. Nie można wymagać od państw udowodnienia istnienia rozsądnego podejrzenia poprzez ujawnienie poufnych źródeł informacji. </w:t>
      </w:r>
      <w:r w:rsidR="00B677A7">
        <w:rPr>
          <w:lang w:val="pl-PL"/>
        </w:rPr>
        <w:t xml:space="preserve">Art. 5 ust. 4 Konwencji nie może wymagać ujawnienia takich materiałów </w:t>
      </w:r>
      <w:r w:rsidR="002B25DD">
        <w:rPr>
          <w:lang w:val="pl-PL"/>
        </w:rPr>
        <w:t>ani też</w:t>
      </w:r>
      <w:r w:rsidR="00B677A7">
        <w:rPr>
          <w:lang w:val="pl-PL"/>
        </w:rPr>
        <w:t xml:space="preserve"> zakazywać przeprowadzenia posiedzenia </w:t>
      </w:r>
      <w:r w:rsidR="002B25DD">
        <w:rPr>
          <w:lang w:val="pl-PL"/>
        </w:rPr>
        <w:t xml:space="preserve">zamkniętego, </w:t>
      </w:r>
      <w:r w:rsidR="00B677A7">
        <w:rPr>
          <w:lang w:val="pl-PL"/>
        </w:rPr>
        <w:t xml:space="preserve">umożliwiającego sądowi zapoznanie się z takimi materiałami. Władze muszą udostępnić </w:t>
      </w:r>
      <w:r w:rsidR="003B1289">
        <w:rPr>
          <w:lang w:val="pl-PL"/>
        </w:rPr>
        <w:t>podejrzanem</w:t>
      </w:r>
      <w:r w:rsidR="00B677A7">
        <w:rPr>
          <w:lang w:val="pl-PL"/>
        </w:rPr>
        <w:t xml:space="preserve">u adekwatną informację umożliwiającą mu poznanie charakteru stawianych mu zarzutów i dać mu szanse przedstawienia dowodów na obalenie tych twierdzeń. </w:t>
      </w:r>
    </w:p>
    <w:p w:rsidR="00BB08D4" w:rsidRDefault="00B677A7" w:rsidP="00B677A7">
      <w:pPr>
        <w:spacing w:after="120" w:line="240" w:lineRule="auto"/>
        <w:jc w:val="both"/>
        <w:rPr>
          <w:lang w:val="pl-PL"/>
        </w:rPr>
      </w:pPr>
      <w:r>
        <w:rPr>
          <w:rStyle w:val="sb8d990e2"/>
          <w:lang w:val="pl-PL"/>
        </w:rPr>
        <w:t xml:space="preserve">W obecnej sprawie Trybunał uznał, że </w:t>
      </w:r>
      <w:r w:rsidR="00065852" w:rsidRPr="00B677A7">
        <w:rPr>
          <w:lang w:val="pl-PL"/>
        </w:rPr>
        <w:t xml:space="preserve">zagrożenie atakiem terrorystycznym usprawiedliwiało </w:t>
      </w:r>
      <w:r w:rsidR="0034057C" w:rsidRPr="00B677A7">
        <w:rPr>
          <w:lang w:val="pl-PL"/>
        </w:rPr>
        <w:t xml:space="preserve">nałożenie pewnych ograniczeń na kontradyktoryjny charakter postępowania ws. </w:t>
      </w:r>
      <w:r w:rsidR="00C333FB">
        <w:rPr>
          <w:lang w:val="pl-PL"/>
        </w:rPr>
        <w:t xml:space="preserve">aresztowania </w:t>
      </w:r>
      <w:r w:rsidR="0034057C" w:rsidRPr="00B677A7">
        <w:rPr>
          <w:lang w:val="pl-PL"/>
        </w:rPr>
        <w:t>skarżących w oparciu o względy bezpieczeństwa państwowego</w:t>
      </w:r>
      <w:r w:rsidR="00065852" w:rsidRPr="00B677A7">
        <w:rPr>
          <w:lang w:val="pl-PL"/>
        </w:rPr>
        <w:t xml:space="preserve">. </w:t>
      </w:r>
      <w:r w:rsidR="0034057C">
        <w:rPr>
          <w:lang w:val="pl-PL"/>
        </w:rPr>
        <w:t xml:space="preserve">Ustawodawstwo krajowe zawierało jasne i szczegółowe uregulowania proceduralne dotyczące tej kwestii, a regulacje te były przestrzegane w postępowaniu wobec skarżących, które miało charakter sądowy. </w:t>
      </w:r>
      <w:r>
        <w:rPr>
          <w:lang w:val="pl-PL"/>
        </w:rPr>
        <w:t xml:space="preserve">Przepisy umożliwiały sędziemu podjęcie decyzji o przeprowadzeniu części posiedzenia bez udziału podejrzanych i ich obrońców. </w:t>
      </w:r>
      <w:r w:rsidR="00BB08D4">
        <w:rPr>
          <w:lang w:val="pl-PL"/>
        </w:rPr>
        <w:t xml:space="preserve">Skarżącym udostępniono większą część wniosku o przedłużenie aresztu – poza częścią wskazującą dalsze planowane czynności śledcze. Otrzymali też uzasadnienie, dlaczego część informacji nie została im udostępniona. </w:t>
      </w:r>
    </w:p>
    <w:p w:rsidR="00954DD2" w:rsidRPr="00FB76BE" w:rsidRDefault="00954DD2" w:rsidP="00B677A7">
      <w:pPr>
        <w:spacing w:after="120" w:line="240" w:lineRule="auto"/>
        <w:jc w:val="both"/>
        <w:rPr>
          <w:lang w:val="pl-PL"/>
        </w:rPr>
      </w:pPr>
      <w:r w:rsidRPr="00FB76BE">
        <w:rPr>
          <w:lang w:val="pl-PL"/>
        </w:rPr>
        <w:t xml:space="preserve">Choć pierwsze posiedzenie ws. aresztowania było w części </w:t>
      </w:r>
      <w:r w:rsidR="00AE2A76">
        <w:rPr>
          <w:lang w:val="pl-PL"/>
        </w:rPr>
        <w:t>zamknięte</w:t>
      </w:r>
      <w:r w:rsidRPr="00FB76BE">
        <w:rPr>
          <w:lang w:val="pl-PL"/>
        </w:rPr>
        <w:t xml:space="preserve">, </w:t>
      </w:r>
      <w:r w:rsidR="00BB08D4">
        <w:rPr>
          <w:lang w:val="pl-PL"/>
        </w:rPr>
        <w:t xml:space="preserve">było to w interesie samych skarżących, jako że </w:t>
      </w:r>
      <w:r w:rsidRPr="00FB76BE">
        <w:rPr>
          <w:lang w:val="pl-PL"/>
        </w:rPr>
        <w:t xml:space="preserve">procedura ta umożliwiła sędziemu </w:t>
      </w:r>
      <w:r w:rsidR="002B25DD">
        <w:rPr>
          <w:lang w:val="pl-PL"/>
        </w:rPr>
        <w:t>dogłębne zbadanie</w:t>
      </w:r>
      <w:r w:rsidRPr="00FB76BE">
        <w:rPr>
          <w:lang w:val="pl-PL"/>
        </w:rPr>
        <w:t xml:space="preserve"> podstaw wniosku policji o przedłużenie </w:t>
      </w:r>
      <w:r w:rsidR="00BB08D4">
        <w:rPr>
          <w:lang w:val="pl-PL"/>
        </w:rPr>
        <w:t xml:space="preserve">ich </w:t>
      </w:r>
      <w:r w:rsidR="002B25DD">
        <w:rPr>
          <w:lang w:val="pl-PL"/>
        </w:rPr>
        <w:t>zatrzymania</w:t>
      </w:r>
      <w:r w:rsidRPr="00FB76BE">
        <w:rPr>
          <w:lang w:val="pl-PL"/>
        </w:rPr>
        <w:t>. Dzię</w:t>
      </w:r>
      <w:r w:rsidR="0041274C">
        <w:rPr>
          <w:lang w:val="pl-PL"/>
        </w:rPr>
        <w:t>ki temu sędzia mógł się upewnić –</w:t>
      </w:r>
      <w:r w:rsidRPr="00FB76BE">
        <w:rPr>
          <w:lang w:val="pl-PL"/>
        </w:rPr>
        <w:t xml:space="preserve"> co było w interesie samych skarżących</w:t>
      </w:r>
      <w:r w:rsidR="0041274C">
        <w:rPr>
          <w:lang w:val="pl-PL"/>
        </w:rPr>
        <w:t xml:space="preserve"> –</w:t>
      </w:r>
      <w:r w:rsidRPr="00FB76BE">
        <w:rPr>
          <w:lang w:val="pl-PL"/>
        </w:rPr>
        <w:t xml:space="preserve"> że istniały rozsądne podstawy, by sądzić, że ich dalsze zatrzymanie jest konieczne. Sędzia </w:t>
      </w:r>
      <w:r w:rsidR="001660F7">
        <w:rPr>
          <w:lang w:val="pl-PL"/>
        </w:rPr>
        <w:t xml:space="preserve">mógł też </w:t>
      </w:r>
      <w:r w:rsidRPr="00FB76BE">
        <w:rPr>
          <w:lang w:val="pl-PL"/>
        </w:rPr>
        <w:t xml:space="preserve">najlepiej </w:t>
      </w:r>
      <w:r w:rsidR="001660F7">
        <w:rPr>
          <w:lang w:val="pl-PL"/>
        </w:rPr>
        <w:t>zapewnić</w:t>
      </w:r>
      <w:r w:rsidRPr="00FB76BE">
        <w:rPr>
          <w:lang w:val="pl-PL"/>
        </w:rPr>
        <w:t xml:space="preserve">, by żaden materiał śledztwa nie został bez potrzeby utajniony. </w:t>
      </w:r>
    </w:p>
    <w:p w:rsidR="00067080" w:rsidRPr="00FB76BE" w:rsidRDefault="00FB76BE" w:rsidP="00B86E1A">
      <w:pPr>
        <w:spacing w:after="120" w:line="240" w:lineRule="auto"/>
        <w:jc w:val="both"/>
        <w:rPr>
          <w:lang w:val="pl-PL"/>
        </w:rPr>
      </w:pPr>
      <w:r w:rsidRPr="00FB76BE">
        <w:rPr>
          <w:lang w:val="pl-PL"/>
        </w:rPr>
        <w:t xml:space="preserve">Było też oczywiste, </w:t>
      </w:r>
      <w:r w:rsidR="00BB08D4">
        <w:rPr>
          <w:lang w:val="pl-PL"/>
        </w:rPr>
        <w:t xml:space="preserve">mimo braku wyraźnych przepisów, </w:t>
      </w:r>
      <w:r w:rsidRPr="00FB76BE">
        <w:rPr>
          <w:lang w:val="pl-PL"/>
        </w:rPr>
        <w:t>że s</w:t>
      </w:r>
      <w:r w:rsidR="00067080" w:rsidRPr="00FB76BE">
        <w:rPr>
          <w:lang w:val="pl-PL"/>
        </w:rPr>
        <w:t xml:space="preserve">ędzia był </w:t>
      </w:r>
      <w:r w:rsidRPr="00FB76BE">
        <w:rPr>
          <w:lang w:val="pl-PL"/>
        </w:rPr>
        <w:t>uprawniony</w:t>
      </w:r>
      <w:r w:rsidR="00067080" w:rsidRPr="00FB76BE">
        <w:rPr>
          <w:lang w:val="pl-PL"/>
        </w:rPr>
        <w:t xml:space="preserve"> do </w:t>
      </w:r>
      <w:r w:rsidR="00067080" w:rsidRPr="00CA5FE9">
        <w:rPr>
          <w:lang w:val="pl-PL"/>
        </w:rPr>
        <w:t>ustanowienia specjalnego adwokata, jeśli uznał</w:t>
      </w:r>
      <w:r w:rsidR="00067080">
        <w:rPr>
          <w:lang w:val="pl-PL"/>
        </w:rPr>
        <w:t>by</w:t>
      </w:r>
      <w:r w:rsidR="00067080" w:rsidRPr="00CA5FE9">
        <w:rPr>
          <w:lang w:val="pl-PL"/>
        </w:rPr>
        <w:t>, że jest to niezbędne dla zapewnienia rzetelności postępowania.</w:t>
      </w:r>
      <w:r w:rsidR="00067080" w:rsidRPr="00067080">
        <w:rPr>
          <w:lang w:val="pl-PL"/>
        </w:rPr>
        <w:t xml:space="preserve"> </w:t>
      </w:r>
      <w:r w:rsidR="00067080">
        <w:rPr>
          <w:lang w:val="pl-PL"/>
        </w:rPr>
        <w:t>Trybunał odnotował</w:t>
      </w:r>
      <w:r w:rsidR="00BB08D4">
        <w:rPr>
          <w:lang w:val="pl-PL"/>
        </w:rPr>
        <w:t xml:space="preserve"> także</w:t>
      </w:r>
      <w:r w:rsidR="00067080">
        <w:rPr>
          <w:lang w:val="pl-PL"/>
        </w:rPr>
        <w:t xml:space="preserve">, </w:t>
      </w:r>
      <w:r w:rsidR="00067080" w:rsidRPr="00CA5FE9">
        <w:rPr>
          <w:lang w:val="pl-PL"/>
        </w:rPr>
        <w:t xml:space="preserve">że </w:t>
      </w:r>
      <w:r w:rsidR="00BB08D4">
        <w:rPr>
          <w:lang w:val="pl-PL"/>
        </w:rPr>
        <w:t xml:space="preserve">sami </w:t>
      </w:r>
      <w:r w:rsidR="00067080" w:rsidRPr="00CA5FE9">
        <w:rPr>
          <w:lang w:val="pl-PL"/>
        </w:rPr>
        <w:t>skarżący nie wnioskowali o ustanowienie takiego adwokata.</w:t>
      </w:r>
    </w:p>
    <w:p w:rsidR="00067080" w:rsidRDefault="00067080" w:rsidP="00FB76BE">
      <w:pPr>
        <w:spacing w:after="120" w:line="240" w:lineRule="auto"/>
        <w:jc w:val="both"/>
        <w:rPr>
          <w:lang w:val="pl-PL"/>
        </w:rPr>
      </w:pPr>
      <w:r w:rsidRPr="00FB76BE">
        <w:rPr>
          <w:lang w:val="pl-PL"/>
        </w:rPr>
        <w:t xml:space="preserve">W trakcie jawnych </w:t>
      </w:r>
      <w:r w:rsidR="00FB76BE" w:rsidRPr="00FB76BE">
        <w:rPr>
          <w:lang w:val="pl-PL"/>
        </w:rPr>
        <w:t>posiedzeń</w:t>
      </w:r>
      <w:r w:rsidRPr="00FB76BE">
        <w:rPr>
          <w:lang w:val="pl-PL"/>
        </w:rPr>
        <w:t xml:space="preserve"> przedstawiciel Policji ustnie wyjaśnił, dlaczego złożony został wniosek o przedłużenie </w:t>
      </w:r>
      <w:r w:rsidR="00FB76BE" w:rsidRPr="00FB76BE">
        <w:rPr>
          <w:lang w:val="pl-PL"/>
        </w:rPr>
        <w:t>aresztu</w:t>
      </w:r>
      <w:r w:rsidRPr="00FB76BE">
        <w:rPr>
          <w:lang w:val="pl-PL"/>
        </w:rPr>
        <w:t xml:space="preserve">, a na drugim posiedzeniu przekazał szczegóły dotyczące </w:t>
      </w:r>
      <w:r w:rsidR="00FB76BE" w:rsidRPr="00FB76BE">
        <w:rPr>
          <w:lang w:val="pl-PL"/>
        </w:rPr>
        <w:t>postępu</w:t>
      </w:r>
      <w:r w:rsidRPr="00FB76BE">
        <w:rPr>
          <w:lang w:val="pl-PL"/>
        </w:rPr>
        <w:t xml:space="preserve"> śledztwa oraz badania uzyskanych dowodów. Skarżący byli </w:t>
      </w:r>
      <w:r w:rsidR="00FB76BE" w:rsidRPr="00FB76BE">
        <w:rPr>
          <w:lang w:val="pl-PL"/>
        </w:rPr>
        <w:t>reprezentowani</w:t>
      </w:r>
      <w:r w:rsidRPr="00FB76BE">
        <w:rPr>
          <w:lang w:val="pl-PL"/>
        </w:rPr>
        <w:t xml:space="preserve"> przez obrońcę, który był w stanie zadawać pytania policjantowi będącemu świadkiem. </w:t>
      </w:r>
    </w:p>
    <w:p w:rsidR="00065852" w:rsidRPr="00CA5FE9" w:rsidRDefault="00067080" w:rsidP="00CA5FE9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Trybunał uznał więc, że postępowanie prowadzące do wydania nakazu dalszego aresztowania nie było nierzetelne. W szczególności, brak wyraźnych regulacji ustawowych dotyczących ustanowienia specjalnego obrońcy nie powodował, że postępowanie to było niezgodne z art. 5 ust. 4 Konwencji. </w:t>
      </w:r>
      <w:r w:rsidR="00B24FCB">
        <w:rPr>
          <w:lang w:val="pl-PL"/>
        </w:rPr>
        <w:t>Większością sześciu głosów do jednego Trybunał uznał, że</w:t>
      </w:r>
      <w:r w:rsidR="00065852" w:rsidRPr="00CA5FE9">
        <w:rPr>
          <w:lang w:val="pl-PL"/>
        </w:rPr>
        <w:t xml:space="preserve"> nie doszło do naruszenia </w:t>
      </w:r>
      <w:r w:rsidR="00531EE9">
        <w:rPr>
          <w:lang w:val="pl-PL"/>
        </w:rPr>
        <w:t>a</w:t>
      </w:r>
      <w:r w:rsidR="00137D2F">
        <w:rPr>
          <w:lang w:val="pl-PL"/>
        </w:rPr>
        <w:t>rt.</w:t>
      </w:r>
      <w:r w:rsidR="00065852" w:rsidRPr="00CA5FE9">
        <w:rPr>
          <w:lang w:val="pl-PL"/>
        </w:rPr>
        <w:t xml:space="preserve"> 5 </w:t>
      </w:r>
      <w:r w:rsidR="00137D2F">
        <w:rPr>
          <w:lang w:val="pl-PL"/>
        </w:rPr>
        <w:t>ust.</w:t>
      </w:r>
      <w:r w:rsidR="00065852" w:rsidRPr="00CA5FE9">
        <w:rPr>
          <w:lang w:val="pl-PL"/>
        </w:rPr>
        <w:t xml:space="preserve"> 4.</w:t>
      </w:r>
    </w:p>
    <w:p w:rsidR="00625DD6" w:rsidRPr="00454A30" w:rsidRDefault="00C333FB" w:rsidP="00CA5FE9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2. </w:t>
      </w:r>
      <w:r w:rsidR="00531EE9" w:rsidRPr="00C333FB">
        <w:rPr>
          <w:b/>
          <w:lang w:val="pl-PL"/>
        </w:rPr>
        <w:t>W odniesieniu do zarzutu naruszenia art. 8 Konwencji</w:t>
      </w:r>
      <w:r w:rsidR="00531EE9">
        <w:rPr>
          <w:lang w:val="pl-PL"/>
        </w:rPr>
        <w:t xml:space="preserve"> </w:t>
      </w:r>
      <w:r w:rsidR="002B25DD">
        <w:rPr>
          <w:lang w:val="pl-PL"/>
        </w:rPr>
        <w:t xml:space="preserve">(prawo do poszanowania życia prywatnego i rodzinnego) </w:t>
      </w:r>
      <w:r w:rsidR="00065852" w:rsidRPr="00CA5FE9">
        <w:rPr>
          <w:lang w:val="pl-PL"/>
        </w:rPr>
        <w:t xml:space="preserve">Trybunał </w:t>
      </w:r>
      <w:r w:rsidR="00625DD6">
        <w:rPr>
          <w:lang w:val="pl-PL"/>
        </w:rPr>
        <w:t>zbadał, czy przeszukanie mieszkań skarżących było konieczne w społeczeństwie demokratycznym. Trybunał przyznał</w:t>
      </w:r>
      <w:r w:rsidR="00625DD6" w:rsidRPr="00CA5FE9">
        <w:rPr>
          <w:lang w:val="pl-PL"/>
        </w:rPr>
        <w:t>, że nakaz przeszukania był stosunkowo szeroki,</w:t>
      </w:r>
      <w:r w:rsidR="00625DD6">
        <w:rPr>
          <w:lang w:val="pl-PL"/>
        </w:rPr>
        <w:t xml:space="preserve"> obejmował bowiem</w:t>
      </w:r>
      <w:r w:rsidR="00625DD6" w:rsidRPr="00CA5FE9">
        <w:rPr>
          <w:lang w:val="pl-PL"/>
        </w:rPr>
        <w:t xml:space="preserve"> </w:t>
      </w:r>
      <w:r w:rsidR="00F72EBC">
        <w:rPr>
          <w:lang w:val="pl-PL"/>
        </w:rPr>
        <w:t xml:space="preserve">w sposób ogólny i nieograniczony </w:t>
      </w:r>
      <w:r w:rsidR="00625DD6" w:rsidRPr="00CA5FE9">
        <w:rPr>
          <w:lang w:val="pl-PL"/>
        </w:rPr>
        <w:t>sprawdzenie</w:t>
      </w:r>
      <w:r w:rsidR="00625DD6">
        <w:rPr>
          <w:lang w:val="pl-PL"/>
        </w:rPr>
        <w:t xml:space="preserve"> </w:t>
      </w:r>
      <w:r w:rsidR="00625DD6" w:rsidRPr="00CA5FE9">
        <w:rPr>
          <w:lang w:val="pl-PL"/>
        </w:rPr>
        <w:t>i zajęcie korespondencji, książek, sprzętu elektronicznego i wielu innych rzeczy.</w:t>
      </w:r>
      <w:r w:rsidR="00625DD6">
        <w:rPr>
          <w:lang w:val="pl-PL"/>
        </w:rPr>
        <w:t xml:space="preserve"> </w:t>
      </w:r>
      <w:r w:rsidR="00625DD6" w:rsidRPr="00CA5FE9">
        <w:rPr>
          <w:lang w:val="pl-PL"/>
        </w:rPr>
        <w:t>Jednakże</w:t>
      </w:r>
      <w:r w:rsidR="00625DD6">
        <w:rPr>
          <w:lang w:val="pl-PL"/>
        </w:rPr>
        <w:t xml:space="preserve"> Trybunał przypomniał, że lista przedmiotów podlegających zajęciu w trakcie przeszukania może się różnić w zależności od sprawy i natury zarzutów. Sprawy, takie jak skarżących, które </w:t>
      </w:r>
      <w:r w:rsidR="00AC49FA">
        <w:rPr>
          <w:lang w:val="pl-PL"/>
        </w:rPr>
        <w:t xml:space="preserve">dotyczą </w:t>
      </w:r>
      <w:r w:rsidR="00625DD6">
        <w:rPr>
          <w:lang w:val="pl-PL"/>
        </w:rPr>
        <w:t xml:space="preserve">podejrzenia planowania zamachu terrorystycznego na dużą skalę, stanowią szczególne wyzwanie, </w:t>
      </w:r>
      <w:r w:rsidR="004E0C37">
        <w:rPr>
          <w:lang w:val="pl-PL"/>
        </w:rPr>
        <w:t xml:space="preserve">gdyż </w:t>
      </w:r>
      <w:r w:rsidR="001660F7">
        <w:rPr>
          <w:lang w:val="pl-PL"/>
        </w:rPr>
        <w:t xml:space="preserve">choć </w:t>
      </w:r>
      <w:r w:rsidR="004E0C37">
        <w:rPr>
          <w:lang w:val="pl-PL"/>
        </w:rPr>
        <w:t xml:space="preserve">mogą być dostępne wystarczające dowody uzasadniające rozsądne podejrzenie, iż zamach jest przygotowywany, brak może być szczegółowej informacji nt. natury zamachu lub jego celów – powoduje to, że nie jest możliwe precyzyjne wskazanie poszukiwanych przedmiotów. Skomplikowanie takich spraw może uzasadnić przeszukanie w szerszym zakresie niż byłoby </w:t>
      </w:r>
      <w:r w:rsidR="00AC49FA">
        <w:rPr>
          <w:lang w:val="pl-PL"/>
        </w:rPr>
        <w:t xml:space="preserve">to </w:t>
      </w:r>
      <w:r w:rsidR="004E0C37">
        <w:rPr>
          <w:lang w:val="pl-PL"/>
        </w:rPr>
        <w:t xml:space="preserve">dopuszczalne w innych sytuacjach. Fakt, że w sprawie jest wielu podejrzanych, a </w:t>
      </w:r>
      <w:r w:rsidR="00AC49FA">
        <w:rPr>
          <w:lang w:val="pl-PL"/>
        </w:rPr>
        <w:t xml:space="preserve">informacje mogą być </w:t>
      </w:r>
      <w:r w:rsidR="0041274C">
        <w:rPr>
          <w:lang w:val="pl-PL"/>
        </w:rPr>
        <w:t>kodowane</w:t>
      </w:r>
      <w:r w:rsidR="001660F7">
        <w:rPr>
          <w:lang w:val="pl-PL"/>
        </w:rPr>
        <w:t xml:space="preserve"> </w:t>
      </w:r>
      <w:r w:rsidR="00AC49FA">
        <w:rPr>
          <w:lang w:val="pl-PL"/>
        </w:rPr>
        <w:t>zwiększa</w:t>
      </w:r>
      <w:r w:rsidR="004E0C37">
        <w:rPr>
          <w:lang w:val="pl-PL"/>
        </w:rPr>
        <w:t xml:space="preserve"> trudności</w:t>
      </w:r>
      <w:r w:rsidR="00AC49FA">
        <w:rPr>
          <w:lang w:val="pl-PL"/>
        </w:rPr>
        <w:t xml:space="preserve"> po stronie organów</w:t>
      </w:r>
      <w:r w:rsidR="004E0C37">
        <w:rPr>
          <w:lang w:val="pl-PL"/>
        </w:rPr>
        <w:t xml:space="preserve">, a jednocześnie </w:t>
      </w:r>
      <w:r w:rsidR="00AC49FA">
        <w:rPr>
          <w:lang w:val="pl-PL"/>
        </w:rPr>
        <w:t>muszą one uwzględnić pilność</w:t>
      </w:r>
      <w:r w:rsidR="004E0C37">
        <w:rPr>
          <w:lang w:val="pl-PL"/>
        </w:rPr>
        <w:t xml:space="preserve"> sytuacji. Wymaganie na </w:t>
      </w:r>
      <w:r w:rsidR="00BB08D4">
        <w:rPr>
          <w:lang w:val="pl-PL"/>
        </w:rPr>
        <w:t>podstawie</w:t>
      </w:r>
      <w:r w:rsidR="004E0C37">
        <w:rPr>
          <w:lang w:val="pl-PL"/>
        </w:rPr>
        <w:t xml:space="preserve"> art. 8 Konwencji, by nakaz przeszukania szczegółowo wskazywał poszukiwane przedmioty</w:t>
      </w:r>
      <w:r w:rsidR="002B25DD">
        <w:rPr>
          <w:lang w:val="pl-PL"/>
        </w:rPr>
        <w:t>,</w:t>
      </w:r>
      <w:r w:rsidR="004E0C37">
        <w:rPr>
          <w:lang w:val="pl-PL"/>
        </w:rPr>
        <w:t xml:space="preserve"> może poważnie ograniczyć skuteczność śledztwa, w którym w grę wchodzi ochrona życia wielu osób. W sprawach o tej naturze policja powinna mieć możliwość pewnej elastyczności, by </w:t>
      </w:r>
      <w:r w:rsidR="004E0C37" w:rsidRPr="00454A30">
        <w:rPr>
          <w:lang w:val="pl-PL"/>
        </w:rPr>
        <w:t xml:space="preserve">ocenić, </w:t>
      </w:r>
      <w:r w:rsidR="00346ECE" w:rsidRPr="00454A30">
        <w:rPr>
          <w:lang w:val="pl-PL"/>
        </w:rPr>
        <w:t>na podstawie tego, co znaleziono w wyniku przeszukania,</w:t>
      </w:r>
      <w:r w:rsidR="004E0C37" w:rsidRPr="00454A30">
        <w:rPr>
          <w:lang w:val="pl-PL"/>
        </w:rPr>
        <w:t xml:space="preserve"> które przedmioty mogą się wiązać z działalnością terrorystyczną</w:t>
      </w:r>
      <w:r w:rsidR="00AC49FA">
        <w:rPr>
          <w:lang w:val="pl-PL"/>
        </w:rPr>
        <w:t>,</w:t>
      </w:r>
      <w:r w:rsidR="004E0C37" w:rsidRPr="00454A30">
        <w:rPr>
          <w:lang w:val="pl-PL"/>
        </w:rPr>
        <w:t xml:space="preserve"> i zająć je w celu dalszego zbadania. </w:t>
      </w:r>
    </w:p>
    <w:p w:rsidR="00346ECE" w:rsidRDefault="00346ECE" w:rsidP="00346ECE">
      <w:pPr>
        <w:spacing w:after="120" w:line="240" w:lineRule="auto"/>
        <w:jc w:val="both"/>
        <w:rPr>
          <w:lang w:val="pl-PL"/>
        </w:rPr>
      </w:pPr>
      <w:r w:rsidRPr="00454A30">
        <w:rPr>
          <w:lang w:val="pl-PL"/>
        </w:rPr>
        <w:t xml:space="preserve">Jeśli chodzi o istnienie gwarancji ochrony przed arbitralnością, Trybunał odnotował, że nakaz został wydany przez sędziego, a skarżący nie </w:t>
      </w:r>
      <w:r w:rsidR="00454A30" w:rsidRPr="00454A30">
        <w:rPr>
          <w:lang w:val="pl-PL"/>
        </w:rPr>
        <w:t xml:space="preserve">wskazali, </w:t>
      </w:r>
      <w:r w:rsidRPr="00454A30">
        <w:rPr>
          <w:lang w:val="pl-PL"/>
        </w:rPr>
        <w:t xml:space="preserve">że </w:t>
      </w:r>
      <w:r w:rsidR="00454A30" w:rsidRPr="00454A30">
        <w:rPr>
          <w:lang w:val="pl-PL"/>
        </w:rPr>
        <w:t xml:space="preserve">brak </w:t>
      </w:r>
      <w:r w:rsidRPr="00454A30">
        <w:rPr>
          <w:lang w:val="pl-PL"/>
        </w:rPr>
        <w:t>było rozsądnych podstaw</w:t>
      </w:r>
      <w:r w:rsidR="00454A30" w:rsidRPr="00454A30">
        <w:rPr>
          <w:lang w:val="pl-PL"/>
        </w:rPr>
        <w:t xml:space="preserve"> do jego wydania</w:t>
      </w:r>
      <w:r w:rsidRPr="00454A30">
        <w:rPr>
          <w:lang w:val="pl-PL"/>
        </w:rPr>
        <w:t xml:space="preserve">. Ponadto, skarżący mogli wnioskować o kontrolę sądową </w:t>
      </w:r>
      <w:r w:rsidRPr="00454A30">
        <w:rPr>
          <w:i/>
          <w:lang w:val="pl-PL"/>
        </w:rPr>
        <w:t>ex post</w:t>
      </w:r>
      <w:r w:rsidRPr="00454A30">
        <w:rPr>
          <w:lang w:val="pl-PL"/>
        </w:rPr>
        <w:t xml:space="preserve"> bądź o odszkodowanie. Skarżący jednak nie kwestionowali zatrzymania żadnego </w:t>
      </w:r>
      <w:r w:rsidR="00AC49FA">
        <w:rPr>
          <w:lang w:val="pl-PL"/>
        </w:rPr>
        <w:t>przedmiotu</w:t>
      </w:r>
      <w:r w:rsidRPr="00454A30">
        <w:rPr>
          <w:lang w:val="pl-PL"/>
        </w:rPr>
        <w:t xml:space="preserve"> ani też nie twierdzili, że został zajęty bądź przeszukany w sposób nieuzasadniony. </w:t>
      </w:r>
      <w:r w:rsidR="00AC49FA">
        <w:rPr>
          <w:lang w:val="pl-PL"/>
        </w:rPr>
        <w:t xml:space="preserve"> </w:t>
      </w:r>
    </w:p>
    <w:p w:rsidR="00065852" w:rsidRPr="00346ECE" w:rsidRDefault="00346ECE" w:rsidP="00346ECE">
      <w:pPr>
        <w:pStyle w:val="ClinContent"/>
        <w:spacing w:before="0" w:after="120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346ECE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W rezultacie, Trybunał </w:t>
      </w:r>
      <w:r w:rsidR="00F72EBC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jednomyślnie </w:t>
      </w:r>
      <w:r w:rsidRPr="00346ECE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uznał, że nakazy przeszukania w sprawie skarżących nie mogą zostać uznane za nadmiernie szerokie, a władze były uprawnione, by uznać, że wynikająca z tych nakazów ingerencja w prawo skarżących do poszanowania ich życia prywatnego i mieszkania była konieczna w społeczeństwie demokratycznym. </w:t>
      </w:r>
      <w:r w:rsidR="00065852" w:rsidRPr="00346ECE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Zatem zdaniem Trybunału nie doszło do naruszenia </w:t>
      </w:r>
      <w:r w:rsidRPr="00346ECE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a</w:t>
      </w:r>
      <w:r w:rsidR="00137D2F" w:rsidRPr="00346ECE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rt.</w:t>
      </w:r>
      <w:r w:rsidR="00065852" w:rsidRPr="00346ECE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8 Konwencji.</w:t>
      </w:r>
    </w:p>
    <w:p w:rsidR="00065852" w:rsidRDefault="00BC5353" w:rsidP="00CA5FE9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3. </w:t>
      </w:r>
      <w:r w:rsidR="00065852" w:rsidRPr="00CA5FE9">
        <w:rPr>
          <w:lang w:val="pl-PL"/>
        </w:rPr>
        <w:t xml:space="preserve">Ponadto Trybunał odrzucił </w:t>
      </w:r>
      <w:r w:rsidR="000101FE">
        <w:rPr>
          <w:lang w:val="pl-PL"/>
        </w:rPr>
        <w:t xml:space="preserve">z uwagi na </w:t>
      </w:r>
      <w:r w:rsidR="00065852" w:rsidRPr="00CA5FE9">
        <w:rPr>
          <w:lang w:val="pl-PL"/>
        </w:rPr>
        <w:t>niewykorzystanie krajowego środka</w:t>
      </w:r>
      <w:r w:rsidR="000101FE">
        <w:rPr>
          <w:lang w:val="pl-PL"/>
        </w:rPr>
        <w:t xml:space="preserve"> odwoławczego</w:t>
      </w:r>
      <w:r w:rsidR="00065852" w:rsidRPr="00CA5FE9">
        <w:rPr>
          <w:lang w:val="pl-PL"/>
        </w:rPr>
        <w:t xml:space="preserve"> skargi skarżących złożone na podstawie </w:t>
      </w:r>
      <w:r w:rsidR="00531EE9">
        <w:rPr>
          <w:lang w:val="pl-PL"/>
        </w:rPr>
        <w:t>a</w:t>
      </w:r>
      <w:r w:rsidR="00137D2F">
        <w:rPr>
          <w:lang w:val="pl-PL"/>
        </w:rPr>
        <w:t>rt.</w:t>
      </w:r>
      <w:r w:rsidR="00065852" w:rsidRPr="00CA5FE9">
        <w:rPr>
          <w:lang w:val="pl-PL"/>
        </w:rPr>
        <w:t xml:space="preserve"> 5 </w:t>
      </w:r>
      <w:r w:rsidR="00137D2F">
        <w:rPr>
          <w:lang w:val="pl-PL"/>
        </w:rPr>
        <w:t>ust.</w:t>
      </w:r>
      <w:r w:rsidR="00065852" w:rsidRPr="00CA5FE9">
        <w:rPr>
          <w:lang w:val="pl-PL"/>
        </w:rPr>
        <w:t xml:space="preserve"> 2 i 4 oraz </w:t>
      </w:r>
      <w:r w:rsidR="00531EE9">
        <w:rPr>
          <w:lang w:val="pl-PL"/>
        </w:rPr>
        <w:t>a</w:t>
      </w:r>
      <w:r w:rsidR="00137D2F">
        <w:rPr>
          <w:lang w:val="pl-PL"/>
        </w:rPr>
        <w:t>rt.</w:t>
      </w:r>
      <w:r w:rsidR="00065852" w:rsidRPr="00CA5FE9">
        <w:rPr>
          <w:lang w:val="pl-PL"/>
        </w:rPr>
        <w:t xml:space="preserve"> 8 Konwencji dotyczące </w:t>
      </w:r>
      <w:r w:rsidR="00531EE9">
        <w:rPr>
          <w:lang w:val="pl-PL"/>
        </w:rPr>
        <w:t xml:space="preserve">braku </w:t>
      </w:r>
      <w:r w:rsidR="00065852" w:rsidRPr="00CA5FE9">
        <w:rPr>
          <w:lang w:val="pl-PL"/>
        </w:rPr>
        <w:t xml:space="preserve">poinformowania przez Policję o powodach zatrzymania </w:t>
      </w:r>
      <w:r w:rsidR="00531EE9">
        <w:rPr>
          <w:lang w:val="pl-PL"/>
        </w:rPr>
        <w:t xml:space="preserve">i </w:t>
      </w:r>
      <w:r w:rsidR="00065852" w:rsidRPr="00CA5FE9">
        <w:rPr>
          <w:lang w:val="pl-PL"/>
        </w:rPr>
        <w:t>aresztowania oraz sposobu wykonania nakazów przeszukania.</w:t>
      </w:r>
      <w:r w:rsidR="00AE1FD2">
        <w:rPr>
          <w:lang w:val="pl-PL"/>
        </w:rPr>
        <w:t xml:space="preserve"> </w:t>
      </w:r>
    </w:p>
    <w:p w:rsidR="00BB08D4" w:rsidRDefault="00BC5353" w:rsidP="00592DAA">
      <w:pPr>
        <w:spacing w:after="480" w:line="240" w:lineRule="auto"/>
        <w:jc w:val="both"/>
        <w:rPr>
          <w:lang w:val="pl-PL"/>
        </w:rPr>
      </w:pPr>
      <w:r w:rsidRPr="00830A46">
        <w:rPr>
          <w:u w:val="single"/>
          <w:lang w:val="pl-PL"/>
        </w:rPr>
        <w:t>Z</w:t>
      </w:r>
      <w:r w:rsidR="00BB08D4" w:rsidRPr="00830A46">
        <w:rPr>
          <w:u w:val="single"/>
          <w:lang w:val="pl-PL"/>
        </w:rPr>
        <w:t>naczenie</w:t>
      </w:r>
      <w:r w:rsidRPr="00830A46">
        <w:rPr>
          <w:u w:val="single"/>
          <w:lang w:val="pl-PL"/>
        </w:rPr>
        <w:t xml:space="preserve"> wyroku dla Polski</w:t>
      </w:r>
      <w:r>
        <w:rPr>
          <w:lang w:val="pl-PL"/>
        </w:rPr>
        <w:t xml:space="preserve"> – </w:t>
      </w:r>
      <w:r w:rsidR="00B760BE">
        <w:rPr>
          <w:lang w:val="pl-PL"/>
        </w:rPr>
        <w:t xml:space="preserve">w sprawach osób podejrzanych o terroryzm </w:t>
      </w:r>
      <w:r w:rsidR="001660F7">
        <w:rPr>
          <w:lang w:val="pl-PL"/>
        </w:rPr>
        <w:t xml:space="preserve">wyrok </w:t>
      </w:r>
      <w:r>
        <w:rPr>
          <w:lang w:val="pl-PL"/>
        </w:rPr>
        <w:t xml:space="preserve">potwierdza możliwość nałożenia pewnych ograniczeń </w:t>
      </w:r>
      <w:r w:rsidR="00891624">
        <w:rPr>
          <w:lang w:val="pl-PL"/>
        </w:rPr>
        <w:t>kontradyktoryjnego</w:t>
      </w:r>
      <w:r>
        <w:rPr>
          <w:lang w:val="pl-PL"/>
        </w:rPr>
        <w:t xml:space="preserve"> charakteru postępowań ws. tymczasowego aresztowania (</w:t>
      </w:r>
      <w:r w:rsidR="001660F7">
        <w:rPr>
          <w:lang w:val="pl-PL"/>
        </w:rPr>
        <w:t xml:space="preserve">takich jak </w:t>
      </w:r>
      <w:r>
        <w:rPr>
          <w:lang w:val="pl-PL"/>
        </w:rPr>
        <w:t xml:space="preserve">brak udostępnienia </w:t>
      </w:r>
      <w:r w:rsidR="00830A46">
        <w:rPr>
          <w:lang w:val="pl-PL"/>
        </w:rPr>
        <w:t xml:space="preserve">poufnej </w:t>
      </w:r>
      <w:r>
        <w:rPr>
          <w:lang w:val="pl-PL"/>
        </w:rPr>
        <w:t>części informacji stanowiącej p</w:t>
      </w:r>
      <w:r w:rsidR="001660F7">
        <w:rPr>
          <w:lang w:val="pl-PL"/>
        </w:rPr>
        <w:t>odstawię wniosku o aresztowanie lub</w:t>
      </w:r>
      <w:r>
        <w:rPr>
          <w:lang w:val="pl-PL"/>
        </w:rPr>
        <w:t xml:space="preserve"> </w:t>
      </w:r>
      <w:r w:rsidR="00830A46">
        <w:rPr>
          <w:lang w:val="pl-PL"/>
        </w:rPr>
        <w:t xml:space="preserve">prowadzenie posiedzenia sądu w części </w:t>
      </w:r>
      <w:r>
        <w:rPr>
          <w:lang w:val="pl-PL"/>
        </w:rPr>
        <w:t>bez udzi</w:t>
      </w:r>
      <w:r w:rsidR="00830A46">
        <w:rPr>
          <w:lang w:val="pl-PL"/>
        </w:rPr>
        <w:t>ału podejrzanego i jego obrońcy)</w:t>
      </w:r>
      <w:r w:rsidR="00B760BE">
        <w:rPr>
          <w:lang w:val="pl-PL"/>
        </w:rPr>
        <w:t xml:space="preserve">, jak też możliwość szerokiego </w:t>
      </w:r>
      <w:r w:rsidR="00891624">
        <w:rPr>
          <w:lang w:val="pl-PL"/>
        </w:rPr>
        <w:t xml:space="preserve">sformułowania </w:t>
      </w:r>
      <w:r w:rsidR="00B760BE">
        <w:rPr>
          <w:lang w:val="pl-PL"/>
        </w:rPr>
        <w:t>nakazów przeszukania</w:t>
      </w:r>
      <w:r w:rsidR="00830A46">
        <w:rPr>
          <w:lang w:val="pl-PL"/>
        </w:rPr>
        <w:t xml:space="preserve">. Warto jednak zwrócić uwagę, że </w:t>
      </w:r>
      <w:r w:rsidR="00891624">
        <w:rPr>
          <w:lang w:val="pl-PL"/>
        </w:rPr>
        <w:t xml:space="preserve">w okolicznościach sprawy </w:t>
      </w:r>
      <w:r w:rsidR="00830A46">
        <w:rPr>
          <w:lang w:val="pl-PL"/>
        </w:rPr>
        <w:t xml:space="preserve">ograniczenia te zostały nałożone w ramach szczegółowo i jasno </w:t>
      </w:r>
      <w:r w:rsidR="00B760BE">
        <w:rPr>
          <w:lang w:val="pl-PL"/>
        </w:rPr>
        <w:t>określonych</w:t>
      </w:r>
      <w:r w:rsidR="00830A46">
        <w:rPr>
          <w:lang w:val="pl-PL"/>
        </w:rPr>
        <w:t xml:space="preserve"> </w:t>
      </w:r>
      <w:r w:rsidR="00B760BE">
        <w:rPr>
          <w:lang w:val="pl-PL"/>
        </w:rPr>
        <w:t>procedur, w których</w:t>
      </w:r>
      <w:r w:rsidR="00830A46">
        <w:rPr>
          <w:lang w:val="pl-PL"/>
        </w:rPr>
        <w:t xml:space="preserve"> zapewnione były inne adekwatne gwarancje </w:t>
      </w:r>
      <w:r w:rsidR="004D19CC">
        <w:rPr>
          <w:lang w:val="pl-PL"/>
        </w:rPr>
        <w:t xml:space="preserve">praw </w:t>
      </w:r>
      <w:r w:rsidR="00830A46">
        <w:rPr>
          <w:lang w:val="pl-PL"/>
        </w:rPr>
        <w:t xml:space="preserve">podejrzanych. </w:t>
      </w:r>
    </w:p>
    <w:p w:rsidR="00065852" w:rsidRPr="00CA5FE9" w:rsidRDefault="00065852" w:rsidP="00CA5FE9">
      <w:pPr>
        <w:pStyle w:val="Nagwek2"/>
        <w:numPr>
          <w:ilvl w:val="0"/>
          <w:numId w:val="1"/>
        </w:numPr>
      </w:pPr>
      <w:bookmarkStart w:id="9" w:name="_Toc437252348"/>
      <w:r w:rsidRPr="00CA5FE9">
        <w:t>A.L. (X.W.) przeciwko Rosji (skarga nr 44095/14)</w:t>
      </w:r>
      <w:r w:rsidR="00CA5FE9">
        <w:t xml:space="preserve">, </w:t>
      </w:r>
      <w:r w:rsidR="007A62C3" w:rsidRPr="00CA5FE9">
        <w:t xml:space="preserve">wyrok </w:t>
      </w:r>
      <w:r w:rsidRPr="00CA5FE9">
        <w:t>Izby z 29</w:t>
      </w:r>
      <w:r w:rsidR="009E5633">
        <w:t>.10.</w:t>
      </w:r>
      <w:r w:rsidRPr="00CA5FE9">
        <w:t>2015 r.</w:t>
      </w:r>
      <w:r w:rsidR="009E5633">
        <w:t xml:space="preserve">, </w:t>
      </w:r>
      <w:r w:rsidRPr="00CA5FE9">
        <w:t xml:space="preserve"> nie</w:t>
      </w:r>
      <w:r w:rsidR="009E5633">
        <w:t>ostateczny</w:t>
      </w:r>
      <w:bookmarkEnd w:id="9"/>
    </w:p>
    <w:p w:rsidR="00020319" w:rsidRDefault="00020319" w:rsidP="00592DAA">
      <w:pPr>
        <w:keepNext/>
        <w:keepLines/>
        <w:spacing w:after="360" w:line="240" w:lineRule="auto"/>
        <w:jc w:val="both"/>
        <w:outlineLvl w:val="2"/>
        <w:rPr>
          <w:b/>
          <w:color w:val="000000" w:themeColor="text1"/>
          <w:lang w:val="pl-PL"/>
        </w:rPr>
      </w:pPr>
      <w:bookmarkStart w:id="10" w:name="_Toc437252349"/>
      <w:r>
        <w:rPr>
          <w:b/>
          <w:color w:val="000000" w:themeColor="text1"/>
          <w:lang w:val="pl-PL"/>
        </w:rPr>
        <w:t>- naruszenie</w:t>
      </w:r>
      <w:r w:rsidR="00065852" w:rsidRPr="00F7704E">
        <w:rPr>
          <w:b/>
          <w:color w:val="000000" w:themeColor="text1"/>
          <w:lang w:val="pl-PL"/>
        </w:rPr>
        <w:t xml:space="preserve"> art. 2</w:t>
      </w:r>
      <w:r>
        <w:rPr>
          <w:b/>
          <w:color w:val="000000" w:themeColor="text1"/>
          <w:lang w:val="pl-PL"/>
        </w:rPr>
        <w:t xml:space="preserve"> i</w:t>
      </w:r>
      <w:r w:rsidR="00065852" w:rsidRPr="00F7704E">
        <w:rPr>
          <w:b/>
          <w:color w:val="000000" w:themeColor="text1"/>
          <w:lang w:val="pl-PL"/>
        </w:rPr>
        <w:t xml:space="preserve"> 3 Konwencji</w:t>
      </w:r>
      <w:r>
        <w:rPr>
          <w:b/>
          <w:color w:val="000000" w:themeColor="text1"/>
          <w:lang w:val="pl-PL"/>
        </w:rPr>
        <w:t xml:space="preserve"> (prawo do życia i zakaz tortur) </w:t>
      </w:r>
      <w:r w:rsidR="00B25F76">
        <w:rPr>
          <w:b/>
          <w:color w:val="000000" w:themeColor="text1"/>
          <w:lang w:val="pl-PL"/>
        </w:rPr>
        <w:t xml:space="preserve">w razie przymusowego wydania skarżącego Chinom </w:t>
      </w:r>
      <w:r w:rsidR="003D4086">
        <w:rPr>
          <w:b/>
          <w:color w:val="000000" w:themeColor="text1"/>
          <w:lang w:val="pl-PL"/>
        </w:rPr>
        <w:t>–</w:t>
      </w:r>
      <w:r w:rsidR="009F358F">
        <w:rPr>
          <w:b/>
          <w:color w:val="000000" w:themeColor="text1"/>
          <w:lang w:val="pl-PL"/>
        </w:rPr>
        <w:t xml:space="preserve"> </w:t>
      </w:r>
      <w:r w:rsidR="004D67A6">
        <w:rPr>
          <w:b/>
          <w:color w:val="000000" w:themeColor="text1"/>
          <w:lang w:val="pl-PL"/>
        </w:rPr>
        <w:t>brak zbadania</w:t>
      </w:r>
      <w:r>
        <w:rPr>
          <w:b/>
          <w:color w:val="000000" w:themeColor="text1"/>
          <w:lang w:val="pl-PL"/>
        </w:rPr>
        <w:t xml:space="preserve"> przez </w:t>
      </w:r>
      <w:r w:rsidR="009F358F">
        <w:rPr>
          <w:b/>
          <w:color w:val="000000" w:themeColor="text1"/>
          <w:lang w:val="pl-PL"/>
        </w:rPr>
        <w:t xml:space="preserve">organy krajowe </w:t>
      </w:r>
      <w:r w:rsidR="00D613D5">
        <w:rPr>
          <w:b/>
          <w:color w:val="000000" w:themeColor="text1"/>
          <w:lang w:val="pl-PL"/>
        </w:rPr>
        <w:t xml:space="preserve">ryzyka </w:t>
      </w:r>
      <w:r w:rsidR="00D613D5" w:rsidRPr="00F7704E">
        <w:rPr>
          <w:b/>
          <w:color w:val="000000" w:themeColor="text1"/>
          <w:lang w:val="pl-PL"/>
        </w:rPr>
        <w:t xml:space="preserve">skazania </w:t>
      </w:r>
      <w:r w:rsidR="00D613D5">
        <w:rPr>
          <w:b/>
          <w:color w:val="000000" w:themeColor="text1"/>
          <w:lang w:val="pl-PL"/>
        </w:rPr>
        <w:t xml:space="preserve">skarżącego </w:t>
      </w:r>
      <w:r w:rsidR="00D613D5" w:rsidRPr="00F7704E">
        <w:rPr>
          <w:b/>
          <w:color w:val="000000" w:themeColor="text1"/>
          <w:lang w:val="pl-PL"/>
        </w:rPr>
        <w:t>na karę śmierci</w:t>
      </w:r>
      <w:r w:rsidR="00D613D5">
        <w:rPr>
          <w:b/>
          <w:color w:val="000000" w:themeColor="text1"/>
          <w:lang w:val="pl-PL"/>
        </w:rPr>
        <w:t xml:space="preserve"> w Chinach</w:t>
      </w:r>
      <w:r w:rsidR="000B1807">
        <w:rPr>
          <w:b/>
          <w:color w:val="000000" w:themeColor="text1"/>
          <w:lang w:val="pl-PL"/>
        </w:rPr>
        <w:t xml:space="preserve"> w </w:t>
      </w:r>
      <w:r w:rsidR="00EA21C8">
        <w:rPr>
          <w:b/>
          <w:color w:val="000000" w:themeColor="text1"/>
          <w:lang w:val="pl-PL"/>
        </w:rPr>
        <w:t xml:space="preserve">związku z decyzją </w:t>
      </w:r>
      <w:r>
        <w:rPr>
          <w:b/>
          <w:color w:val="000000" w:themeColor="text1"/>
          <w:lang w:val="pl-PL"/>
        </w:rPr>
        <w:t>nakazu</w:t>
      </w:r>
      <w:r w:rsidR="00EA21C8">
        <w:rPr>
          <w:b/>
          <w:color w:val="000000" w:themeColor="text1"/>
          <w:lang w:val="pl-PL"/>
        </w:rPr>
        <w:t>jącą</w:t>
      </w:r>
      <w:r>
        <w:rPr>
          <w:b/>
          <w:color w:val="000000" w:themeColor="text1"/>
          <w:lang w:val="pl-PL"/>
        </w:rPr>
        <w:t xml:space="preserve"> </w:t>
      </w:r>
      <w:r w:rsidR="000B1807">
        <w:rPr>
          <w:b/>
          <w:color w:val="000000" w:themeColor="text1"/>
          <w:lang w:val="pl-PL"/>
        </w:rPr>
        <w:t xml:space="preserve">skarżącemu </w:t>
      </w:r>
      <w:r w:rsidR="00D613D5">
        <w:rPr>
          <w:b/>
          <w:color w:val="000000" w:themeColor="text1"/>
          <w:lang w:val="pl-PL"/>
        </w:rPr>
        <w:t>opuszczenie</w:t>
      </w:r>
      <w:r w:rsidR="004D67A6">
        <w:rPr>
          <w:b/>
          <w:color w:val="000000" w:themeColor="text1"/>
          <w:lang w:val="pl-PL"/>
        </w:rPr>
        <w:t xml:space="preserve"> terytorium Rosji pod groźbą deportacji</w:t>
      </w:r>
      <w:bookmarkEnd w:id="10"/>
      <w:r>
        <w:rPr>
          <w:b/>
          <w:color w:val="000000" w:themeColor="text1"/>
          <w:lang w:val="pl-PL"/>
        </w:rPr>
        <w:t xml:space="preserve"> </w:t>
      </w:r>
    </w:p>
    <w:p w:rsidR="004B1CDC" w:rsidRPr="005A34CD" w:rsidRDefault="004B1CDC" w:rsidP="00C90C95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 w:rsidRPr="005A34CD">
        <w:rPr>
          <w:rFonts w:ascii="Calibri" w:hAnsi="Calibri"/>
          <w:color w:val="000000"/>
          <w:u w:val="single"/>
          <w:lang w:val="pl-PL"/>
        </w:rPr>
        <w:t xml:space="preserve">Stan faktyczny </w:t>
      </w:r>
    </w:p>
    <w:p w:rsidR="00065852" w:rsidRPr="00CA5FE9" w:rsidRDefault="00065852" w:rsidP="00CA5FE9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  <w:lang w:val="pl-PL"/>
        </w:rPr>
      </w:pPr>
      <w:r w:rsidRPr="00CA5FE9">
        <w:rPr>
          <w:rFonts w:cs="Calibri"/>
          <w:color w:val="000000"/>
          <w:lang w:val="pl-PL"/>
        </w:rPr>
        <w:t xml:space="preserve">Skarżący </w:t>
      </w:r>
      <w:r w:rsidR="0086617B">
        <w:rPr>
          <w:rFonts w:cs="Calibri"/>
          <w:color w:val="000000"/>
          <w:lang w:val="pl-PL"/>
        </w:rPr>
        <w:t>twierdził</w:t>
      </w:r>
      <w:r w:rsidRPr="00CA5FE9">
        <w:rPr>
          <w:rFonts w:cs="Calibri"/>
          <w:color w:val="000000"/>
          <w:lang w:val="pl-PL"/>
        </w:rPr>
        <w:t xml:space="preserve">, że jest obywatelem rosyjskim. </w:t>
      </w:r>
      <w:r w:rsidR="004E5516">
        <w:rPr>
          <w:rFonts w:cs="Calibri"/>
          <w:color w:val="000000"/>
          <w:lang w:val="pl-PL"/>
        </w:rPr>
        <w:t>F</w:t>
      </w:r>
      <w:r w:rsidRPr="00CA5FE9">
        <w:rPr>
          <w:rFonts w:cs="Calibri"/>
          <w:color w:val="000000"/>
          <w:lang w:val="pl-PL"/>
        </w:rPr>
        <w:t xml:space="preserve">akt </w:t>
      </w:r>
      <w:r w:rsidR="004E5516">
        <w:rPr>
          <w:rFonts w:cs="Calibri"/>
          <w:color w:val="000000"/>
          <w:lang w:val="pl-PL"/>
        </w:rPr>
        <w:t xml:space="preserve">ten </w:t>
      </w:r>
      <w:r w:rsidRPr="00CA5FE9">
        <w:rPr>
          <w:rFonts w:cs="Calibri"/>
          <w:color w:val="000000"/>
          <w:lang w:val="pl-PL"/>
        </w:rPr>
        <w:t xml:space="preserve">kwestionował rząd </w:t>
      </w:r>
      <w:r w:rsidR="005D585C">
        <w:rPr>
          <w:rFonts w:cs="Calibri"/>
          <w:color w:val="000000"/>
          <w:lang w:val="pl-PL"/>
        </w:rPr>
        <w:t xml:space="preserve">rosyjski </w:t>
      </w:r>
      <w:r w:rsidRPr="00CA5FE9">
        <w:rPr>
          <w:rFonts w:cs="Calibri"/>
          <w:color w:val="000000"/>
          <w:lang w:val="pl-PL"/>
        </w:rPr>
        <w:t xml:space="preserve">podnosząc, że jest on obywatelem Chin. </w:t>
      </w:r>
    </w:p>
    <w:p w:rsidR="00E66905" w:rsidRDefault="00065852" w:rsidP="00CA5FE9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  <w:lang w:val="pl-PL"/>
        </w:rPr>
      </w:pPr>
      <w:r w:rsidRPr="00CA5FE9">
        <w:rPr>
          <w:rFonts w:cs="Calibri"/>
          <w:color w:val="000000"/>
          <w:lang w:val="pl-PL"/>
        </w:rPr>
        <w:t>Skarżący został zatrzymany w marcu 2014 r. pod zarzutem zabójstwa chińskiego</w:t>
      </w:r>
      <w:r w:rsidR="00EA21C8" w:rsidRPr="00EA21C8">
        <w:rPr>
          <w:rFonts w:cs="Calibri"/>
          <w:color w:val="000000"/>
          <w:lang w:val="pl-PL"/>
        </w:rPr>
        <w:t xml:space="preserve"> </w:t>
      </w:r>
      <w:r w:rsidR="00EA21C8" w:rsidRPr="00CA5FE9">
        <w:rPr>
          <w:rFonts w:cs="Calibri"/>
          <w:color w:val="000000"/>
          <w:lang w:val="pl-PL"/>
        </w:rPr>
        <w:t>policjanta</w:t>
      </w:r>
      <w:r w:rsidRPr="00CA5FE9">
        <w:rPr>
          <w:rFonts w:cs="Calibri"/>
          <w:color w:val="000000"/>
          <w:lang w:val="pl-PL"/>
        </w:rPr>
        <w:t xml:space="preserve">. Został umieszczony na liście osób poszukiwanych Interpolu w następstwie nakazu aresztowania wydanego przez władze chińskie. Ponieważ Chiny nie przedstawiły </w:t>
      </w:r>
      <w:r w:rsidR="00D86418">
        <w:rPr>
          <w:rFonts w:cs="Calibri"/>
          <w:color w:val="000000"/>
          <w:lang w:val="pl-PL"/>
        </w:rPr>
        <w:t xml:space="preserve">w wymaganym terminie </w:t>
      </w:r>
      <w:r w:rsidRPr="00CA5FE9">
        <w:rPr>
          <w:rFonts w:cs="Calibri"/>
          <w:color w:val="000000"/>
          <w:lang w:val="pl-PL"/>
        </w:rPr>
        <w:t>oficjalnego wniosku ekstradycyjnego, p</w:t>
      </w:r>
      <w:r w:rsidR="002D2795">
        <w:rPr>
          <w:rFonts w:cs="Calibri"/>
          <w:color w:val="000000"/>
          <w:lang w:val="pl-PL"/>
        </w:rPr>
        <w:t>rokura</w:t>
      </w:r>
      <w:r w:rsidRPr="00CA5FE9">
        <w:rPr>
          <w:rFonts w:cs="Calibri"/>
          <w:color w:val="000000"/>
          <w:lang w:val="pl-PL"/>
        </w:rPr>
        <w:t xml:space="preserve">tor postanowił o zwolnieniu </w:t>
      </w:r>
      <w:r w:rsidR="00D1041B">
        <w:rPr>
          <w:rFonts w:cs="Calibri"/>
          <w:color w:val="000000"/>
          <w:lang w:val="pl-PL"/>
        </w:rPr>
        <w:t xml:space="preserve">skarżącego </w:t>
      </w:r>
      <w:r w:rsidRPr="00CA5FE9">
        <w:rPr>
          <w:rFonts w:cs="Calibri"/>
          <w:color w:val="000000"/>
          <w:lang w:val="pl-PL"/>
        </w:rPr>
        <w:t xml:space="preserve">z aresztu. Jednakże </w:t>
      </w:r>
      <w:r w:rsidR="00E66905">
        <w:rPr>
          <w:rFonts w:cs="Calibri"/>
          <w:color w:val="000000"/>
          <w:lang w:val="pl-PL"/>
        </w:rPr>
        <w:t>skarżący pozostał w areszcie, a</w:t>
      </w:r>
      <w:r w:rsidRPr="00CA5FE9">
        <w:rPr>
          <w:rFonts w:cs="Calibri"/>
          <w:color w:val="000000"/>
          <w:lang w:val="pl-PL"/>
        </w:rPr>
        <w:t xml:space="preserve"> następnego dnia sąd uznał go winnym nielegalnego pobytu w Rosji</w:t>
      </w:r>
      <w:r w:rsidR="005C51E2">
        <w:rPr>
          <w:rFonts w:cs="Calibri"/>
          <w:color w:val="000000"/>
          <w:lang w:val="pl-PL"/>
        </w:rPr>
        <w:t xml:space="preserve"> i nakazał jego wydalenie do Chin</w:t>
      </w:r>
      <w:r w:rsidRPr="00CA5FE9">
        <w:rPr>
          <w:rFonts w:cs="Calibri"/>
          <w:color w:val="000000"/>
          <w:lang w:val="pl-PL"/>
        </w:rPr>
        <w:t>.</w:t>
      </w:r>
      <w:r w:rsidR="00AE1FD2">
        <w:rPr>
          <w:rFonts w:cs="Calibri"/>
          <w:color w:val="000000"/>
          <w:lang w:val="pl-PL"/>
        </w:rPr>
        <w:t xml:space="preserve"> </w:t>
      </w:r>
      <w:r w:rsidRPr="00CA5FE9">
        <w:rPr>
          <w:rFonts w:cs="Calibri"/>
          <w:color w:val="000000"/>
          <w:lang w:val="pl-PL"/>
        </w:rPr>
        <w:t>Kilka dni później urząd migracyjny ustalił, że skarżący nielegalnie otrzymał paszport rosyjski</w:t>
      </w:r>
      <w:r w:rsidR="00D86418">
        <w:rPr>
          <w:rFonts w:cs="Calibri"/>
          <w:color w:val="000000"/>
          <w:lang w:val="pl-PL"/>
        </w:rPr>
        <w:t xml:space="preserve"> w oparciu o fałszywe</w:t>
      </w:r>
      <w:r w:rsidRPr="00CA5FE9">
        <w:rPr>
          <w:rFonts w:cs="Calibri"/>
          <w:color w:val="000000"/>
          <w:lang w:val="pl-PL"/>
        </w:rPr>
        <w:t xml:space="preserve"> </w:t>
      </w:r>
      <w:r w:rsidR="00D86418">
        <w:rPr>
          <w:rFonts w:cs="Calibri"/>
          <w:color w:val="000000"/>
          <w:lang w:val="pl-PL"/>
        </w:rPr>
        <w:t xml:space="preserve">dane </w:t>
      </w:r>
      <w:r w:rsidRPr="00CA5FE9">
        <w:rPr>
          <w:rFonts w:cs="Calibri"/>
          <w:color w:val="000000"/>
          <w:lang w:val="pl-PL"/>
        </w:rPr>
        <w:t xml:space="preserve">personalne A.L. Wyrok </w:t>
      </w:r>
      <w:r w:rsidR="005C51E2">
        <w:rPr>
          <w:rFonts w:cs="Calibri"/>
          <w:color w:val="000000"/>
          <w:lang w:val="pl-PL"/>
        </w:rPr>
        <w:t xml:space="preserve">sądu I instancji </w:t>
      </w:r>
      <w:r w:rsidRPr="00CA5FE9">
        <w:rPr>
          <w:rFonts w:cs="Calibri"/>
          <w:color w:val="000000"/>
          <w:lang w:val="pl-PL"/>
        </w:rPr>
        <w:t xml:space="preserve">został następnie uchylony, a sprawę umorzono 30 sierpnia 2014 r. ze względu </w:t>
      </w:r>
      <w:r w:rsidR="0086617B">
        <w:rPr>
          <w:rFonts w:cs="Calibri"/>
          <w:color w:val="000000"/>
          <w:lang w:val="pl-PL"/>
        </w:rPr>
        <w:t>na uchybienia proceduralne</w:t>
      </w:r>
      <w:r w:rsidRPr="00CA5FE9">
        <w:rPr>
          <w:rFonts w:cs="Calibri"/>
          <w:color w:val="000000"/>
          <w:lang w:val="pl-PL"/>
        </w:rPr>
        <w:t xml:space="preserve">, po czym skarżący został zwolniony. Jego paszport </w:t>
      </w:r>
      <w:r w:rsidR="00D1041B">
        <w:rPr>
          <w:rFonts w:cs="Calibri"/>
          <w:color w:val="000000"/>
          <w:lang w:val="pl-PL"/>
        </w:rPr>
        <w:t>poz</w:t>
      </w:r>
      <w:r w:rsidRPr="00CA5FE9">
        <w:rPr>
          <w:rFonts w:cs="Calibri"/>
          <w:color w:val="000000"/>
          <w:lang w:val="pl-PL"/>
        </w:rPr>
        <w:t xml:space="preserve">ostał </w:t>
      </w:r>
      <w:r w:rsidR="00D1041B">
        <w:rPr>
          <w:rFonts w:cs="Calibri"/>
          <w:color w:val="000000"/>
          <w:lang w:val="pl-PL"/>
        </w:rPr>
        <w:t xml:space="preserve">jednak </w:t>
      </w:r>
      <w:r w:rsidRPr="00CA5FE9">
        <w:rPr>
          <w:rFonts w:cs="Calibri"/>
          <w:color w:val="000000"/>
          <w:lang w:val="pl-PL"/>
        </w:rPr>
        <w:t xml:space="preserve">zatrzymany. </w:t>
      </w:r>
    </w:p>
    <w:p w:rsidR="00065852" w:rsidRPr="00CA5FE9" w:rsidRDefault="00065852" w:rsidP="00CA5FE9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  <w:lang w:val="pl-PL"/>
        </w:rPr>
      </w:pPr>
      <w:r w:rsidRPr="00CA5FE9">
        <w:rPr>
          <w:rFonts w:cs="Calibri"/>
          <w:color w:val="000000"/>
          <w:lang w:val="pl-PL"/>
        </w:rPr>
        <w:t xml:space="preserve">Następnie wydano </w:t>
      </w:r>
      <w:r w:rsidR="005D585C">
        <w:rPr>
          <w:rFonts w:cs="Calibri"/>
          <w:color w:val="000000"/>
          <w:lang w:val="pl-PL"/>
        </w:rPr>
        <w:t xml:space="preserve">wobec skarżącego </w:t>
      </w:r>
      <w:r w:rsidRPr="00CA5FE9">
        <w:rPr>
          <w:rFonts w:cs="Calibri"/>
          <w:color w:val="000000"/>
          <w:lang w:val="pl-PL"/>
        </w:rPr>
        <w:t>decyzję o nakazie opuszczenia kraju przed 3 września 2014 r. pod rygorem deportacji. Skarżący odwołał się do sądu</w:t>
      </w:r>
      <w:r w:rsidR="0086617B">
        <w:rPr>
          <w:rFonts w:cs="Calibri"/>
          <w:color w:val="000000"/>
          <w:lang w:val="pl-PL"/>
        </w:rPr>
        <w:t xml:space="preserve">, twierdząc, że </w:t>
      </w:r>
      <w:r w:rsidR="005C51E2">
        <w:rPr>
          <w:rFonts w:cs="Calibri"/>
          <w:color w:val="000000"/>
          <w:lang w:val="pl-PL"/>
        </w:rPr>
        <w:t xml:space="preserve">z uwagi na zajęcie jego rosyjskiego paszportu nie ma możliwości podporządkowania się nakazowi poprzez wyjazd do innego kraju, a </w:t>
      </w:r>
      <w:r w:rsidR="0086617B">
        <w:rPr>
          <w:rFonts w:cs="Calibri"/>
          <w:color w:val="000000"/>
          <w:lang w:val="pl-PL"/>
        </w:rPr>
        <w:t>deportacja do Chin narazi go na ryzyko kary śmierci</w:t>
      </w:r>
      <w:r w:rsidRPr="00CA5FE9">
        <w:rPr>
          <w:rFonts w:cs="Calibri"/>
          <w:color w:val="000000"/>
          <w:lang w:val="pl-PL"/>
        </w:rPr>
        <w:t xml:space="preserve">. W dniu 12 listopada 2014 r. sąd potwierdził legalność decyzji i jednocześnie uznał, że groźba kary śmierci w Chinach nie może stanowić podstawy do uchylenia zgodnej z prawem decyzji administracyjnej. Wskazał też, że </w:t>
      </w:r>
      <w:r w:rsidR="00E66905">
        <w:rPr>
          <w:rFonts w:cs="Calibri"/>
          <w:color w:val="000000"/>
          <w:lang w:val="pl-PL"/>
        </w:rPr>
        <w:t xml:space="preserve">skarżący </w:t>
      </w:r>
      <w:r w:rsidRPr="00CA5FE9">
        <w:rPr>
          <w:rFonts w:cs="Calibri"/>
          <w:color w:val="000000"/>
          <w:lang w:val="pl-PL"/>
        </w:rPr>
        <w:t xml:space="preserve">może uniknąć deportacji do Chin poprzez wyjazd do innego kraju. Wyrok został utrzymany w mocy przez sąd wyższej instancji w dniu 25 lutego 2015 r. Sąd ten zwrócił uwagę, że testy genetyczne potwierdziły, że profil genetyczny skarżącego jest zgodny z profilami rodziców X.W. Nie ma zatem wątpliwości, że prawdziwe dane skarżącego to X.W. </w:t>
      </w:r>
    </w:p>
    <w:p w:rsidR="00065852" w:rsidRDefault="00065852" w:rsidP="00CA5FE9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  <w:lang w:val="pl-PL"/>
        </w:rPr>
      </w:pPr>
      <w:r w:rsidRPr="00CA5FE9">
        <w:rPr>
          <w:rFonts w:cs="Calibri"/>
          <w:color w:val="000000"/>
          <w:lang w:val="pl-PL"/>
        </w:rPr>
        <w:t xml:space="preserve">W międzyczasie, w czerwcu 2014 r. </w:t>
      </w:r>
      <w:r w:rsidR="0086617B">
        <w:rPr>
          <w:rFonts w:cs="Calibri"/>
          <w:color w:val="000000"/>
          <w:lang w:val="pl-PL"/>
        </w:rPr>
        <w:t xml:space="preserve">Trybunał </w:t>
      </w:r>
      <w:r w:rsidRPr="00CA5FE9">
        <w:rPr>
          <w:rFonts w:cs="Calibri"/>
          <w:color w:val="000000"/>
          <w:lang w:val="pl-PL"/>
        </w:rPr>
        <w:t xml:space="preserve">zdecydował o zastosowaniu środka tymczasowego na podstawie </w:t>
      </w:r>
      <w:r w:rsidR="0086617B">
        <w:rPr>
          <w:rFonts w:cs="Calibri"/>
          <w:color w:val="000000"/>
          <w:lang w:val="pl-PL"/>
        </w:rPr>
        <w:t xml:space="preserve">art. </w:t>
      </w:r>
      <w:r w:rsidRPr="00CA5FE9">
        <w:rPr>
          <w:rFonts w:cs="Calibri"/>
          <w:color w:val="000000"/>
          <w:lang w:val="pl-PL"/>
        </w:rPr>
        <w:t xml:space="preserve">39 Regulaminu Trybunału, zakazując władzom rosyjskim wydalenia skarżącego na czas </w:t>
      </w:r>
      <w:r w:rsidR="00D1041B">
        <w:rPr>
          <w:rFonts w:cs="Calibri"/>
          <w:color w:val="000000"/>
          <w:lang w:val="pl-PL"/>
        </w:rPr>
        <w:t xml:space="preserve">trwania </w:t>
      </w:r>
      <w:r w:rsidRPr="00CA5FE9">
        <w:rPr>
          <w:rFonts w:cs="Calibri"/>
          <w:color w:val="000000"/>
          <w:lang w:val="pl-PL"/>
        </w:rPr>
        <w:t>postępowania przed</w:t>
      </w:r>
      <w:r w:rsidR="0086617B">
        <w:rPr>
          <w:rFonts w:cs="Calibri"/>
          <w:color w:val="000000"/>
          <w:lang w:val="pl-PL"/>
        </w:rPr>
        <w:t xml:space="preserve"> Trybunałem</w:t>
      </w:r>
      <w:r w:rsidRPr="00CA5FE9">
        <w:rPr>
          <w:rFonts w:cs="Calibri"/>
          <w:color w:val="000000"/>
          <w:lang w:val="pl-PL"/>
        </w:rPr>
        <w:t>.</w:t>
      </w:r>
    </w:p>
    <w:p w:rsidR="00592DAA" w:rsidRPr="00CA5FE9" w:rsidRDefault="00592DAA" w:rsidP="00CA5FE9">
      <w:pPr>
        <w:autoSpaceDE w:val="0"/>
        <w:autoSpaceDN w:val="0"/>
        <w:adjustRightInd w:val="0"/>
        <w:spacing w:after="120" w:line="240" w:lineRule="auto"/>
        <w:jc w:val="both"/>
        <w:rPr>
          <w:rFonts w:cs="Calibri"/>
          <w:color w:val="000000"/>
          <w:lang w:val="pl-PL"/>
        </w:rPr>
      </w:pPr>
    </w:p>
    <w:p w:rsidR="0037779A" w:rsidRPr="002615CC" w:rsidRDefault="0037779A" w:rsidP="0037779A">
      <w:pPr>
        <w:spacing w:after="120" w:line="240" w:lineRule="auto"/>
        <w:jc w:val="both"/>
        <w:rPr>
          <w:rFonts w:ascii="Calibri" w:hAnsi="Calibri"/>
          <w:color w:val="000000"/>
          <w:u w:val="single"/>
          <w:lang w:val="pl-PL"/>
        </w:rPr>
      </w:pPr>
      <w:r>
        <w:rPr>
          <w:rFonts w:ascii="Calibri" w:hAnsi="Calibri"/>
          <w:color w:val="000000"/>
          <w:u w:val="single"/>
          <w:lang w:val="pl-PL"/>
        </w:rPr>
        <w:t>O</w:t>
      </w:r>
      <w:r w:rsidRPr="002615CC">
        <w:rPr>
          <w:rFonts w:ascii="Calibri" w:hAnsi="Calibri"/>
          <w:color w:val="000000"/>
          <w:u w:val="single"/>
          <w:lang w:val="pl-PL"/>
        </w:rPr>
        <w:t>cena Trybunału</w:t>
      </w:r>
    </w:p>
    <w:p w:rsidR="000E30C6" w:rsidRDefault="00065852" w:rsidP="00CA5FE9">
      <w:pPr>
        <w:spacing w:after="120" w:line="240" w:lineRule="auto"/>
        <w:jc w:val="both"/>
        <w:rPr>
          <w:rFonts w:cs="Calibri"/>
          <w:lang w:val="pl-PL"/>
        </w:rPr>
      </w:pPr>
      <w:r w:rsidRPr="00CA5FE9">
        <w:rPr>
          <w:rFonts w:cs="Calibri"/>
          <w:lang w:val="pl-PL"/>
        </w:rPr>
        <w:t>Trybunał w pierwszej kolejności przypomniał</w:t>
      </w:r>
      <w:r w:rsidR="00B56D2F">
        <w:rPr>
          <w:rFonts w:cs="Calibri"/>
          <w:lang w:val="pl-PL"/>
        </w:rPr>
        <w:t xml:space="preserve"> swe orzecznictwo (</w:t>
      </w:r>
      <w:r w:rsidR="00B56D2F" w:rsidRPr="00020319">
        <w:rPr>
          <w:rFonts w:cs="Calibri"/>
          <w:i/>
          <w:lang w:val="pl-PL"/>
        </w:rPr>
        <w:t>sprawa Al-</w:t>
      </w:r>
      <w:proofErr w:type="spellStart"/>
      <w:r w:rsidR="00B56D2F" w:rsidRPr="00020319">
        <w:rPr>
          <w:rFonts w:cs="Calibri"/>
          <w:i/>
          <w:lang w:val="pl-PL"/>
        </w:rPr>
        <w:t>Saadoon</w:t>
      </w:r>
      <w:proofErr w:type="spellEnd"/>
      <w:r w:rsidR="00B56D2F" w:rsidRPr="00020319">
        <w:rPr>
          <w:rFonts w:cs="Calibri"/>
          <w:i/>
          <w:lang w:val="pl-PL"/>
        </w:rPr>
        <w:t xml:space="preserve"> i </w:t>
      </w:r>
      <w:proofErr w:type="spellStart"/>
      <w:r w:rsidR="00B56D2F" w:rsidRPr="00020319">
        <w:rPr>
          <w:rFonts w:cs="Calibri"/>
          <w:i/>
          <w:lang w:val="pl-PL"/>
        </w:rPr>
        <w:t>Mufdhi</w:t>
      </w:r>
      <w:proofErr w:type="spellEnd"/>
      <w:r w:rsidR="00B56D2F" w:rsidRPr="00020319">
        <w:rPr>
          <w:rFonts w:cs="Calibri"/>
          <w:i/>
          <w:lang w:val="pl-PL"/>
        </w:rPr>
        <w:t xml:space="preserve"> p. Wielkiej Brytanii</w:t>
      </w:r>
      <w:r w:rsidR="00CF5395">
        <w:rPr>
          <w:rStyle w:val="Odwoanieprzypisudolnego"/>
          <w:rFonts w:cs="Calibri"/>
          <w:i/>
          <w:lang w:val="pl-PL"/>
        </w:rPr>
        <w:footnoteReference w:id="2"/>
      </w:r>
      <w:r w:rsidR="00B56D2F">
        <w:rPr>
          <w:rFonts w:cs="Calibri"/>
          <w:lang w:val="pl-PL"/>
        </w:rPr>
        <w:t xml:space="preserve">), w świetle którego kara śmierci stanowi </w:t>
      </w:r>
      <w:r w:rsidR="00020319">
        <w:rPr>
          <w:rFonts w:cs="Calibri"/>
          <w:lang w:val="pl-PL"/>
        </w:rPr>
        <w:t>nieakceptowalną</w:t>
      </w:r>
      <w:r w:rsidR="00B56D2F">
        <w:rPr>
          <w:rFonts w:cs="Calibri"/>
          <w:lang w:val="pl-PL"/>
        </w:rPr>
        <w:t xml:space="preserve"> formę karania, niedopuszczalną na podstawie art. 2 Konwencji </w:t>
      </w:r>
      <w:r w:rsidR="00E66905">
        <w:rPr>
          <w:rFonts w:cs="Calibri"/>
          <w:lang w:val="pl-PL"/>
        </w:rPr>
        <w:t>zmienionego</w:t>
      </w:r>
      <w:r w:rsidR="00B56D2F">
        <w:rPr>
          <w:rFonts w:cs="Calibri"/>
          <w:lang w:val="pl-PL"/>
        </w:rPr>
        <w:t xml:space="preserve"> Protokołami nr 6 i 13 dotyczącymi zakazu kary śmierci. Kara taka stanowi nieludzkie lub poniżające traktowanie lub karanie w świetle art. 3 Konwencji. Choć Rosja nie ratyfikowała Protokołu nr 6 ani nie </w:t>
      </w:r>
      <w:r w:rsidR="00020319">
        <w:rPr>
          <w:rFonts w:cs="Calibri"/>
          <w:lang w:val="pl-PL"/>
        </w:rPr>
        <w:t>podpisała</w:t>
      </w:r>
      <w:r w:rsidR="00B56D2F">
        <w:rPr>
          <w:rFonts w:cs="Calibri"/>
          <w:lang w:val="pl-PL"/>
        </w:rPr>
        <w:t xml:space="preserve"> Protokołu nr 13, </w:t>
      </w:r>
      <w:r w:rsidR="00D86418">
        <w:rPr>
          <w:rFonts w:cs="Calibri"/>
          <w:lang w:val="pl-PL"/>
        </w:rPr>
        <w:t xml:space="preserve">to jednak </w:t>
      </w:r>
      <w:r w:rsidR="00B56D2F">
        <w:rPr>
          <w:rFonts w:cs="Calibri"/>
          <w:lang w:val="pl-PL"/>
        </w:rPr>
        <w:t xml:space="preserve">z uwagi na </w:t>
      </w:r>
      <w:r w:rsidR="00D1041B">
        <w:rPr>
          <w:rFonts w:cs="Calibri"/>
          <w:lang w:val="pl-PL"/>
        </w:rPr>
        <w:t xml:space="preserve">swe </w:t>
      </w:r>
      <w:r w:rsidR="001029AB">
        <w:rPr>
          <w:rFonts w:cs="Calibri"/>
          <w:lang w:val="pl-PL"/>
        </w:rPr>
        <w:t xml:space="preserve">zobowiązanie zniesienia kary śmierci, podjęte przy wstąpieniu do Rady Europy, jest związana obowiązkiem wynikającym z art. 2 i 3 Konwencji niewydalania ani nieprzekazywania osób do innego państwa, w którym istniałyby podstawy, by sądzić, że osoba ta narażona będzie na rzeczywiste ryzyko kary śmierci. W obecnej sprawie </w:t>
      </w:r>
      <w:r w:rsidRPr="00CA5FE9">
        <w:rPr>
          <w:rFonts w:cs="Calibri"/>
          <w:lang w:val="pl-PL"/>
        </w:rPr>
        <w:t xml:space="preserve">rosyjskie sądy nie zbadały ryzyka narażenia skarżącego na karę śmierci w przypadku deportacji do Chin. </w:t>
      </w:r>
      <w:r w:rsidR="001029AB">
        <w:rPr>
          <w:rFonts w:cs="Calibri"/>
          <w:lang w:val="pl-PL"/>
        </w:rPr>
        <w:t>Uznały natomiast, że nakaz wydalenia nie oznacza automatycznie deportacji do Chin</w:t>
      </w:r>
      <w:r w:rsidR="00D86418">
        <w:rPr>
          <w:rFonts w:cs="Calibri"/>
          <w:lang w:val="pl-PL"/>
        </w:rPr>
        <w:t>, gdyż</w:t>
      </w:r>
      <w:r w:rsidR="001029AB">
        <w:rPr>
          <w:rFonts w:cs="Calibri"/>
          <w:lang w:val="pl-PL"/>
        </w:rPr>
        <w:t xml:space="preserve"> </w:t>
      </w:r>
      <w:r w:rsidR="000E30C6">
        <w:rPr>
          <w:rFonts w:cs="Calibri"/>
          <w:lang w:val="pl-PL"/>
        </w:rPr>
        <w:t xml:space="preserve">skarżący </w:t>
      </w:r>
      <w:r w:rsidR="001029AB">
        <w:rPr>
          <w:rFonts w:cs="Calibri"/>
          <w:lang w:val="pl-PL"/>
        </w:rPr>
        <w:t xml:space="preserve">może opuścić Rosję i udać się do innego państwa. Trybunał zauważył jednak, że nakaz wydalenia wyraźnie wspominał, że w razie braku opuszczenia Rosji we wskazanym terminie </w:t>
      </w:r>
      <w:r w:rsidR="00D86418">
        <w:rPr>
          <w:rFonts w:cs="Calibri"/>
          <w:lang w:val="pl-PL"/>
        </w:rPr>
        <w:t xml:space="preserve">skarżący </w:t>
      </w:r>
      <w:r w:rsidR="001029AB">
        <w:rPr>
          <w:rFonts w:cs="Calibri"/>
          <w:lang w:val="pl-PL"/>
        </w:rPr>
        <w:t xml:space="preserve">będzie podlegał deportacji. </w:t>
      </w:r>
      <w:r w:rsidRPr="00CA5FE9">
        <w:rPr>
          <w:rFonts w:cs="Calibri"/>
          <w:lang w:val="pl-PL"/>
        </w:rPr>
        <w:t xml:space="preserve">Skoro </w:t>
      </w:r>
      <w:r w:rsidR="001029AB">
        <w:rPr>
          <w:rFonts w:cs="Calibri"/>
          <w:lang w:val="pl-PL"/>
        </w:rPr>
        <w:t xml:space="preserve">zaś rosyjski </w:t>
      </w:r>
      <w:r w:rsidRPr="00CA5FE9">
        <w:rPr>
          <w:rFonts w:cs="Calibri"/>
          <w:lang w:val="pl-PL"/>
        </w:rPr>
        <w:t xml:space="preserve">paszport skarżącego został zatrzymany, </w:t>
      </w:r>
      <w:r w:rsidR="00337197">
        <w:rPr>
          <w:rFonts w:cs="Calibri"/>
          <w:lang w:val="pl-PL"/>
        </w:rPr>
        <w:t xml:space="preserve">wydaje się niemożliwe, by skarżący mógł wyjechać do innego państwa w ciągu trzech dni. Trybunał </w:t>
      </w:r>
      <w:r w:rsidRPr="00CA5FE9">
        <w:rPr>
          <w:rFonts w:cs="Calibri"/>
          <w:lang w:val="pl-PL"/>
        </w:rPr>
        <w:t>przyznał rację</w:t>
      </w:r>
      <w:r w:rsidR="00337197">
        <w:rPr>
          <w:rFonts w:cs="Calibri"/>
          <w:lang w:val="pl-PL"/>
        </w:rPr>
        <w:t xml:space="preserve"> skarżącemu</w:t>
      </w:r>
      <w:r w:rsidRPr="00CA5FE9">
        <w:rPr>
          <w:rFonts w:cs="Calibri"/>
          <w:lang w:val="pl-PL"/>
        </w:rPr>
        <w:t xml:space="preserve">, że </w:t>
      </w:r>
      <w:r w:rsidR="00D1041B">
        <w:rPr>
          <w:rFonts w:cs="Calibri"/>
          <w:lang w:val="pl-PL"/>
        </w:rPr>
        <w:t>w razie deportacji do Chin</w:t>
      </w:r>
      <w:r w:rsidR="00337197">
        <w:rPr>
          <w:rFonts w:cs="Calibri"/>
          <w:lang w:val="pl-PL"/>
        </w:rPr>
        <w:t xml:space="preserve"> narażony byłby </w:t>
      </w:r>
      <w:r w:rsidR="00D1041B">
        <w:rPr>
          <w:rFonts w:cs="Calibri"/>
          <w:lang w:val="pl-PL"/>
        </w:rPr>
        <w:t xml:space="preserve">on </w:t>
      </w:r>
      <w:r w:rsidR="00337197">
        <w:rPr>
          <w:rFonts w:cs="Calibri"/>
          <w:lang w:val="pl-PL"/>
        </w:rPr>
        <w:t xml:space="preserve">na poważne i przewidywalne ryzyko kary śmierci. </w:t>
      </w:r>
      <w:r w:rsidRPr="002D2795">
        <w:rPr>
          <w:rFonts w:cs="Calibri"/>
          <w:lang w:val="pl-PL"/>
        </w:rPr>
        <w:t>Deportacja skarżącego stanowiłaby zatem naruszenie art. 2 i 3 Konwencji.</w:t>
      </w:r>
      <w:r w:rsidRPr="00CA5FE9">
        <w:rPr>
          <w:rFonts w:cs="Calibri"/>
          <w:lang w:val="pl-PL"/>
        </w:rPr>
        <w:t xml:space="preserve"> </w:t>
      </w:r>
    </w:p>
    <w:p w:rsidR="00065852" w:rsidRPr="002D2795" w:rsidRDefault="00065852" w:rsidP="00CA5FE9">
      <w:pPr>
        <w:spacing w:after="120" w:line="240" w:lineRule="auto"/>
        <w:jc w:val="both"/>
        <w:rPr>
          <w:rFonts w:cs="Calibri"/>
          <w:lang w:val="pl-PL"/>
        </w:rPr>
      </w:pPr>
      <w:r w:rsidRPr="00CA5FE9">
        <w:rPr>
          <w:rFonts w:cs="Calibri"/>
          <w:lang w:val="pl-PL"/>
        </w:rPr>
        <w:t>W świetle tych ustale</w:t>
      </w:r>
      <w:r w:rsidRPr="001E488B">
        <w:rPr>
          <w:rFonts w:cs="Calibri"/>
          <w:lang w:val="pl-PL"/>
        </w:rPr>
        <w:t>ń Trybunał uznał, że nie jest konieczne odrębne rozpoznawanie skargi w świetle art. 13</w:t>
      </w:r>
      <w:r w:rsidR="00337197" w:rsidRPr="001E488B">
        <w:rPr>
          <w:rFonts w:cs="Calibri"/>
          <w:lang w:val="pl-PL"/>
        </w:rPr>
        <w:t xml:space="preserve"> Konwencji</w:t>
      </w:r>
      <w:r w:rsidR="00AF4283">
        <w:rPr>
          <w:rFonts w:cs="Calibri"/>
          <w:lang w:val="pl-PL"/>
        </w:rPr>
        <w:t xml:space="preserve"> (prawo do  skutecznego środka odwoławczego)</w:t>
      </w:r>
      <w:r w:rsidRPr="00CA5FE9">
        <w:rPr>
          <w:rFonts w:cs="Calibri"/>
          <w:lang w:val="pl-PL"/>
        </w:rPr>
        <w:t>.</w:t>
      </w:r>
      <w:r w:rsidR="00D1041B">
        <w:rPr>
          <w:rFonts w:cs="Calibri"/>
          <w:lang w:val="pl-PL"/>
        </w:rPr>
        <w:t xml:space="preserve"> </w:t>
      </w:r>
      <w:r w:rsidRPr="00CA5FE9">
        <w:rPr>
          <w:rFonts w:cs="Calibri"/>
          <w:lang w:val="pl-PL"/>
        </w:rPr>
        <w:t xml:space="preserve">Ponadto, </w:t>
      </w:r>
      <w:r w:rsidR="00337197">
        <w:rPr>
          <w:rFonts w:cs="Calibri"/>
          <w:lang w:val="pl-PL"/>
        </w:rPr>
        <w:t xml:space="preserve">Trybunał </w:t>
      </w:r>
      <w:r w:rsidRPr="00CA5FE9">
        <w:rPr>
          <w:rFonts w:cs="Calibri"/>
          <w:lang w:val="pl-PL"/>
        </w:rPr>
        <w:t xml:space="preserve">uznał, </w:t>
      </w:r>
      <w:r w:rsidRPr="002D2795">
        <w:rPr>
          <w:rFonts w:cs="Calibri"/>
          <w:lang w:val="pl-PL"/>
        </w:rPr>
        <w:t xml:space="preserve">że </w:t>
      </w:r>
      <w:r w:rsidR="00337197">
        <w:rPr>
          <w:rFonts w:cs="Calibri"/>
          <w:lang w:val="pl-PL"/>
        </w:rPr>
        <w:t>zatrzymanie</w:t>
      </w:r>
      <w:r w:rsidRPr="002D2795">
        <w:rPr>
          <w:rFonts w:cs="Calibri"/>
          <w:lang w:val="pl-PL"/>
        </w:rPr>
        <w:t xml:space="preserve"> skarżącego w oś</w:t>
      </w:r>
      <w:r w:rsidR="00337197">
        <w:rPr>
          <w:rFonts w:cs="Calibri"/>
          <w:lang w:val="pl-PL"/>
        </w:rPr>
        <w:t>rodku dla cudzoziemców stanowiło</w:t>
      </w:r>
      <w:r w:rsidRPr="002D2795">
        <w:rPr>
          <w:rFonts w:cs="Calibri"/>
          <w:lang w:val="pl-PL"/>
        </w:rPr>
        <w:t xml:space="preserve"> nieludzkie i poniżające traktowanie sprzeczne z art. 3 Konwencji</w:t>
      </w:r>
      <w:r w:rsidR="00337197">
        <w:rPr>
          <w:rFonts w:cs="Calibri"/>
          <w:lang w:val="pl-PL"/>
        </w:rPr>
        <w:t xml:space="preserve"> z uwagi na warunki zatrzymania (cela </w:t>
      </w:r>
      <w:r w:rsidRPr="002D2795">
        <w:rPr>
          <w:rFonts w:cs="Calibri"/>
          <w:lang w:val="pl-PL"/>
        </w:rPr>
        <w:t xml:space="preserve">nie miała toalety </w:t>
      </w:r>
      <w:r w:rsidR="00337197">
        <w:rPr>
          <w:rFonts w:cs="Calibri"/>
          <w:lang w:val="pl-PL"/>
        </w:rPr>
        <w:t xml:space="preserve">ani </w:t>
      </w:r>
      <w:r w:rsidRPr="002D2795">
        <w:rPr>
          <w:rFonts w:cs="Calibri"/>
          <w:lang w:val="pl-PL"/>
        </w:rPr>
        <w:t xml:space="preserve">zlewu, łóżka, krzesła </w:t>
      </w:r>
      <w:r w:rsidR="000E30C6">
        <w:rPr>
          <w:rFonts w:cs="Calibri"/>
          <w:lang w:val="pl-PL"/>
        </w:rPr>
        <w:t>ani</w:t>
      </w:r>
      <w:r w:rsidRPr="002D2795">
        <w:rPr>
          <w:rFonts w:cs="Calibri"/>
          <w:lang w:val="pl-PL"/>
        </w:rPr>
        <w:t xml:space="preserve"> stołu, </w:t>
      </w:r>
      <w:r w:rsidR="000E30C6">
        <w:rPr>
          <w:rFonts w:cs="Calibri"/>
          <w:lang w:val="pl-PL"/>
        </w:rPr>
        <w:t>jak</w:t>
      </w:r>
      <w:r w:rsidRPr="002D2795">
        <w:rPr>
          <w:rFonts w:cs="Calibri"/>
          <w:lang w:val="pl-PL"/>
        </w:rPr>
        <w:t xml:space="preserve"> też dostępu do świeżego powietrza i światła dziennego</w:t>
      </w:r>
      <w:r w:rsidR="00337197">
        <w:rPr>
          <w:rFonts w:cs="Calibri"/>
          <w:lang w:val="pl-PL"/>
        </w:rPr>
        <w:t>)</w:t>
      </w:r>
      <w:r w:rsidRPr="002D2795">
        <w:rPr>
          <w:rFonts w:cs="Calibri"/>
          <w:lang w:val="pl-PL"/>
        </w:rPr>
        <w:t>.</w:t>
      </w:r>
    </w:p>
    <w:p w:rsidR="00065852" w:rsidRPr="00CA5FE9" w:rsidRDefault="00337197" w:rsidP="00CA5FE9">
      <w:pPr>
        <w:spacing w:after="120" w:line="240" w:lineRule="auto"/>
        <w:jc w:val="both"/>
        <w:rPr>
          <w:rFonts w:cs="Calibri"/>
          <w:lang w:val="pl-PL"/>
        </w:rPr>
      </w:pPr>
      <w:r>
        <w:rPr>
          <w:rFonts w:cs="Calibri"/>
          <w:lang w:val="pl-PL"/>
        </w:rPr>
        <w:t>Trybunał zasądził na</w:t>
      </w:r>
      <w:r w:rsidR="00065852" w:rsidRPr="00CA5FE9">
        <w:rPr>
          <w:rFonts w:cs="Calibri"/>
          <w:lang w:val="pl-PL"/>
        </w:rPr>
        <w:t xml:space="preserve"> rzecz skarżącego słuszne zadośćuczynienie w wysokości 5</w:t>
      </w:r>
      <w:r w:rsidR="000E30C6">
        <w:rPr>
          <w:rFonts w:cs="Calibri"/>
          <w:lang w:val="pl-PL"/>
        </w:rPr>
        <w:t>.000 euro oraz 2.</w:t>
      </w:r>
      <w:r w:rsidR="00065852" w:rsidRPr="00CA5FE9">
        <w:rPr>
          <w:rFonts w:cs="Calibri"/>
          <w:lang w:val="pl-PL"/>
        </w:rPr>
        <w:t>100 euro tytułem poniesionych kosztów i wydatków.</w:t>
      </w:r>
    </w:p>
    <w:p w:rsidR="00065852" w:rsidRPr="00CA5FE9" w:rsidRDefault="00337197" w:rsidP="00CA5FE9">
      <w:pPr>
        <w:spacing w:after="120" w:line="240" w:lineRule="auto"/>
        <w:jc w:val="both"/>
        <w:rPr>
          <w:color w:val="000000"/>
          <w:lang w:val="pl-PL"/>
        </w:rPr>
      </w:pPr>
      <w:r w:rsidRPr="00020319">
        <w:rPr>
          <w:color w:val="000000"/>
          <w:u w:val="single"/>
          <w:lang w:val="pl-PL"/>
        </w:rPr>
        <w:t>Znaczenie wyroku dla Polski</w:t>
      </w:r>
      <w:r>
        <w:rPr>
          <w:color w:val="000000"/>
          <w:lang w:val="pl-PL"/>
        </w:rPr>
        <w:t xml:space="preserve">: potwierdza wcześniejsze orzecznictwo </w:t>
      </w:r>
      <w:r w:rsidR="00965695">
        <w:rPr>
          <w:color w:val="000000"/>
          <w:lang w:val="pl-PL"/>
        </w:rPr>
        <w:t xml:space="preserve">Trybunału </w:t>
      </w:r>
      <w:r>
        <w:rPr>
          <w:color w:val="000000"/>
          <w:lang w:val="pl-PL"/>
        </w:rPr>
        <w:t xml:space="preserve">dotyczące ochrony przed wydaniem lub wydaleniem do państwa trzeciego, w którym skarżący narażony byłby na ryzyko kary śmierci - </w:t>
      </w:r>
      <w:r w:rsidR="00355EAE">
        <w:rPr>
          <w:color w:val="000000"/>
          <w:lang w:val="pl-PL"/>
        </w:rPr>
        <w:t>również w sytuacji</w:t>
      </w:r>
      <w:r>
        <w:rPr>
          <w:color w:val="000000"/>
          <w:lang w:val="pl-PL"/>
        </w:rPr>
        <w:t xml:space="preserve">, gdy nakaz wydalenia </w:t>
      </w:r>
      <w:r w:rsidR="00C82780">
        <w:rPr>
          <w:color w:val="000000"/>
          <w:lang w:val="pl-PL"/>
        </w:rPr>
        <w:t>przewiduje możliwość dobrowolnego wyjazdu cudzoziemca do innego kraju</w:t>
      </w:r>
      <w:r w:rsidR="00355EAE">
        <w:rPr>
          <w:color w:val="000000"/>
          <w:lang w:val="pl-PL"/>
        </w:rPr>
        <w:t xml:space="preserve"> w określonym terminie pod groźbą deportacji, </w:t>
      </w:r>
      <w:r w:rsidR="002C3A38">
        <w:rPr>
          <w:color w:val="000000"/>
          <w:lang w:val="pl-PL"/>
        </w:rPr>
        <w:t xml:space="preserve">ale </w:t>
      </w:r>
      <w:r w:rsidR="00355EAE">
        <w:rPr>
          <w:color w:val="000000"/>
          <w:lang w:val="pl-PL"/>
        </w:rPr>
        <w:t xml:space="preserve">możliwość </w:t>
      </w:r>
      <w:r w:rsidR="002C3A38">
        <w:rPr>
          <w:color w:val="000000"/>
          <w:lang w:val="pl-PL"/>
        </w:rPr>
        <w:t xml:space="preserve">ta </w:t>
      </w:r>
      <w:r w:rsidR="00355EAE">
        <w:rPr>
          <w:color w:val="000000"/>
          <w:lang w:val="pl-PL"/>
        </w:rPr>
        <w:t>jest iluzoryczna. W</w:t>
      </w:r>
      <w:r w:rsidR="00C82780">
        <w:rPr>
          <w:color w:val="000000"/>
          <w:lang w:val="pl-PL"/>
        </w:rPr>
        <w:t xml:space="preserve">yrok powinien zostać przeanalizowany przez </w:t>
      </w:r>
      <w:r w:rsidR="00CE7632">
        <w:rPr>
          <w:color w:val="000000"/>
          <w:lang w:val="pl-PL"/>
        </w:rPr>
        <w:t>organy i sądy</w:t>
      </w:r>
      <w:r w:rsidR="00355EAE">
        <w:rPr>
          <w:color w:val="000000"/>
          <w:lang w:val="pl-PL"/>
        </w:rPr>
        <w:t xml:space="preserve"> właściwe w sprawach ekstradycji i wydalenia cudzoziemców. Przy okazji wyrok</w:t>
      </w:r>
      <w:r w:rsidR="00CE7632">
        <w:rPr>
          <w:color w:val="000000"/>
          <w:lang w:val="pl-PL"/>
        </w:rPr>
        <w:t xml:space="preserve"> wskazuje też na obowiązki w zakresie ochrony przed karą śmierci spoczywające na</w:t>
      </w:r>
      <w:r w:rsidR="00355EAE">
        <w:rPr>
          <w:color w:val="000000"/>
          <w:lang w:val="pl-PL"/>
        </w:rPr>
        <w:t>wet na</w:t>
      </w:r>
      <w:r w:rsidR="00CE7632">
        <w:rPr>
          <w:color w:val="000000"/>
          <w:lang w:val="pl-PL"/>
        </w:rPr>
        <w:t xml:space="preserve"> państwie, które nie ratyfikowało Protokołów nr 6 i 13 Konwencji</w:t>
      </w:r>
      <w:r w:rsidR="00355EAE">
        <w:rPr>
          <w:color w:val="000000"/>
          <w:lang w:val="pl-PL"/>
        </w:rPr>
        <w:t xml:space="preserve"> dotyczących zakazu kary śmierci.</w:t>
      </w:r>
    </w:p>
    <w:p w:rsidR="00E6149D" w:rsidRPr="00E6149D" w:rsidRDefault="00C82780" w:rsidP="002C3A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en-GB"/>
        </w:rPr>
      </w:pPr>
      <w:r w:rsidRPr="00CE7632">
        <w:rPr>
          <w:rFonts w:ascii="Times New Roman" w:eastAsia="Times New Roman" w:hAnsi="Times New Roman" w:cs="Times New Roman"/>
          <w:sz w:val="24"/>
          <w:szCs w:val="24"/>
          <w:lang w:val="pl-PL" w:eastAsia="en-GB"/>
        </w:rPr>
        <w:t xml:space="preserve"> </w:t>
      </w:r>
    </w:p>
    <w:p w:rsidR="00CA5FE9" w:rsidRPr="00CE7632" w:rsidRDefault="00CA5FE9" w:rsidP="00CA5FE9">
      <w:pPr>
        <w:spacing w:after="120" w:line="240" w:lineRule="auto"/>
        <w:jc w:val="both"/>
        <w:rPr>
          <w:color w:val="000000"/>
          <w:lang w:val="pl-PL"/>
        </w:rPr>
      </w:pPr>
    </w:p>
    <w:sectPr w:rsidR="00CA5FE9" w:rsidRPr="00CE7632" w:rsidSect="0053148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EB1" w:rsidRDefault="00114EB1" w:rsidP="003C7DF2">
      <w:pPr>
        <w:spacing w:after="0" w:line="240" w:lineRule="auto"/>
      </w:pPr>
      <w:r>
        <w:separator/>
      </w:r>
    </w:p>
  </w:endnote>
  <w:endnote w:type="continuationSeparator" w:id="0">
    <w:p w:rsidR="00114EB1" w:rsidRDefault="00114EB1" w:rsidP="003C7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7FB" w:rsidRDefault="00A077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6060254"/>
      <w:docPartObj>
        <w:docPartGallery w:val="Page Numbers (Bottom of Page)"/>
        <w:docPartUnique/>
      </w:docPartObj>
    </w:sdtPr>
    <w:sdtEndPr/>
    <w:sdtContent>
      <w:p w:rsidR="00A077FB" w:rsidRDefault="00A077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348B" w:rsidRPr="00B7348B">
          <w:rPr>
            <w:noProof/>
            <w:lang w:val="pl-PL"/>
          </w:rPr>
          <w:t>2</w:t>
        </w:r>
        <w:r>
          <w:fldChar w:fldCharType="end"/>
        </w:r>
      </w:p>
    </w:sdtContent>
  </w:sdt>
  <w:p w:rsidR="00A077FB" w:rsidRDefault="00A077F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7FB" w:rsidRDefault="00A077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EB1" w:rsidRDefault="00114EB1" w:rsidP="003C7DF2">
      <w:pPr>
        <w:spacing w:after="0" w:line="240" w:lineRule="auto"/>
      </w:pPr>
      <w:r>
        <w:separator/>
      </w:r>
    </w:p>
  </w:footnote>
  <w:footnote w:type="continuationSeparator" w:id="0">
    <w:p w:rsidR="00114EB1" w:rsidRDefault="00114EB1" w:rsidP="003C7DF2">
      <w:pPr>
        <w:spacing w:after="0" w:line="240" w:lineRule="auto"/>
      </w:pPr>
      <w:r>
        <w:continuationSeparator/>
      </w:r>
    </w:p>
  </w:footnote>
  <w:footnote w:id="1">
    <w:p w:rsidR="0009668D" w:rsidRPr="00694B18" w:rsidRDefault="0009668D" w:rsidP="0009668D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694B18">
        <w:rPr>
          <w:lang w:val="pl-PL"/>
        </w:rPr>
        <w:t xml:space="preserve"> </w:t>
      </w:r>
      <w:r>
        <w:rPr>
          <w:lang w:val="pl-PL"/>
        </w:rPr>
        <w:t>Konwencja o ochronie praw człowieka i podstawowych wolności</w:t>
      </w:r>
    </w:p>
  </w:footnote>
  <w:footnote w:id="2">
    <w:p w:rsidR="00CF5395" w:rsidRPr="00CF5395" w:rsidRDefault="00CF5395" w:rsidP="00DC5154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CF5395">
        <w:rPr>
          <w:lang w:val="pl-PL"/>
        </w:rPr>
        <w:t xml:space="preserve"> </w:t>
      </w:r>
      <w:r>
        <w:rPr>
          <w:lang w:val="pl-PL"/>
        </w:rPr>
        <w:t xml:space="preserve">Wyrok w sprawie </w:t>
      </w:r>
      <w:r w:rsidRPr="00DC5154">
        <w:rPr>
          <w:i/>
          <w:lang w:val="pl-PL"/>
        </w:rPr>
        <w:t>A</w:t>
      </w:r>
      <w:r w:rsidR="00DC5154" w:rsidRPr="00DC5154">
        <w:rPr>
          <w:i/>
          <w:lang w:val="pl-PL"/>
        </w:rPr>
        <w:t>l</w:t>
      </w:r>
      <w:r w:rsidRPr="00DC5154">
        <w:rPr>
          <w:i/>
          <w:lang w:val="pl-PL"/>
        </w:rPr>
        <w:t>-</w:t>
      </w:r>
      <w:proofErr w:type="spellStart"/>
      <w:r w:rsidRPr="00DC5154">
        <w:rPr>
          <w:i/>
          <w:lang w:val="pl-PL"/>
        </w:rPr>
        <w:t>Saadoon</w:t>
      </w:r>
      <w:proofErr w:type="spellEnd"/>
      <w:r w:rsidRPr="00DC5154">
        <w:rPr>
          <w:i/>
          <w:lang w:val="pl-PL"/>
        </w:rPr>
        <w:t xml:space="preserve"> i </w:t>
      </w:r>
      <w:proofErr w:type="spellStart"/>
      <w:r w:rsidRPr="00DC5154">
        <w:rPr>
          <w:i/>
          <w:lang w:val="pl-PL"/>
        </w:rPr>
        <w:t>Mufdhi</w:t>
      </w:r>
      <w:proofErr w:type="spellEnd"/>
      <w:r w:rsidRPr="00DC5154">
        <w:rPr>
          <w:i/>
          <w:lang w:val="pl-PL"/>
        </w:rPr>
        <w:t xml:space="preserve"> p. Wielkiej Brytanii</w:t>
      </w:r>
      <w:r>
        <w:rPr>
          <w:lang w:val="pl-PL"/>
        </w:rPr>
        <w:t xml:space="preserve"> został przetłumaczony na język polski przez Naczelny Sąd Administracyjny – </w:t>
      </w:r>
      <w:r w:rsidR="000D7BA6">
        <w:rPr>
          <w:lang w:val="pl-PL"/>
        </w:rPr>
        <w:t>jest on dostępny na stronie</w:t>
      </w:r>
      <w:r w:rsidR="0005115F">
        <w:rPr>
          <w:lang w:val="pl-PL"/>
        </w:rPr>
        <w:t xml:space="preserve">: </w:t>
      </w:r>
      <w:hyperlink r:id="rId1" w:history="1">
        <w:r w:rsidR="0005115F" w:rsidRPr="009D722C">
          <w:rPr>
            <w:rStyle w:val="Hipercze"/>
            <w:lang w:val="pl-PL"/>
          </w:rPr>
          <w:t>http://www.nsa.gov.pl/download.php?id=139</w:t>
        </w:r>
      </w:hyperlink>
      <w:r w:rsidR="0005115F">
        <w:rPr>
          <w:lang w:val="pl-P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7FB" w:rsidRDefault="00A077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7FB" w:rsidRDefault="00A077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7FB" w:rsidRDefault="00A077FB">
    <w:pPr>
      <w:pStyle w:val="Nagwek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1" locked="0" layoutInCell="1" allowOverlap="1" wp14:anchorId="2EAAE274" wp14:editId="6CBE5381">
          <wp:simplePos x="0" y="0"/>
          <wp:positionH relativeFrom="page">
            <wp:posOffset>466725</wp:posOffset>
          </wp:positionH>
          <wp:positionV relativeFrom="page">
            <wp:posOffset>-238125</wp:posOffset>
          </wp:positionV>
          <wp:extent cx="2527935" cy="2608580"/>
          <wp:effectExtent l="0" t="0" r="5715" b="127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2608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35316"/>
    <w:multiLevelType w:val="hybridMultilevel"/>
    <w:tmpl w:val="6472FCC6"/>
    <w:lvl w:ilvl="0" w:tplc="3A1233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59F390D"/>
    <w:multiLevelType w:val="hybridMultilevel"/>
    <w:tmpl w:val="C70E1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96919"/>
    <w:multiLevelType w:val="hybridMultilevel"/>
    <w:tmpl w:val="4CFCC7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86366C"/>
    <w:multiLevelType w:val="hybridMultilevel"/>
    <w:tmpl w:val="33D0076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2276E07"/>
    <w:multiLevelType w:val="multilevel"/>
    <w:tmpl w:val="BD04EB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4068299F"/>
    <w:multiLevelType w:val="hybridMultilevel"/>
    <w:tmpl w:val="C70E11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7D5B14"/>
    <w:multiLevelType w:val="hybridMultilevel"/>
    <w:tmpl w:val="D1181284"/>
    <w:lvl w:ilvl="0" w:tplc="3A1233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9D76F81"/>
    <w:multiLevelType w:val="hybridMultilevel"/>
    <w:tmpl w:val="F490CC36"/>
    <w:lvl w:ilvl="0" w:tplc="95EC0F6C">
      <w:numFmt w:val="bullet"/>
      <w:lvlText w:val="-"/>
      <w:lvlJc w:val="left"/>
      <w:pPr>
        <w:ind w:left="360" w:hanging="360"/>
      </w:pPr>
      <w:rPr>
        <w:rFonts w:ascii="Verdana" w:eastAsiaTheme="minorHAnsi" w:hAnsi="Verdana" w:cs="Times New Roman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F21A58"/>
    <w:multiLevelType w:val="hybridMultilevel"/>
    <w:tmpl w:val="842E573A"/>
    <w:lvl w:ilvl="0" w:tplc="F9E2D5B2">
      <w:start w:val="41"/>
      <w:numFmt w:val="bullet"/>
      <w:lvlText w:val="-"/>
      <w:lvlJc w:val="left"/>
      <w:pPr>
        <w:ind w:left="720" w:hanging="360"/>
      </w:pPr>
      <w:rPr>
        <w:rFonts w:ascii="Times New Roman" w:eastAsiaTheme="maj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A26B59"/>
    <w:multiLevelType w:val="hybridMultilevel"/>
    <w:tmpl w:val="EA0EBC82"/>
    <w:lvl w:ilvl="0" w:tplc="4220274A">
      <w:start w:val="1"/>
      <w:numFmt w:val="decimal"/>
      <w:pStyle w:val="Nagwek2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E2B96"/>
    <w:multiLevelType w:val="hybridMultilevel"/>
    <w:tmpl w:val="FADA46A4"/>
    <w:lvl w:ilvl="0" w:tplc="95EC0F6C"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700EA8"/>
    <w:multiLevelType w:val="hybridMultilevel"/>
    <w:tmpl w:val="C70E1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"/>
  </w:num>
  <w:num w:numId="3">
    <w:abstractNumId w:val="9"/>
  </w:num>
  <w:num w:numId="4">
    <w:abstractNumId w:val="5"/>
  </w:num>
  <w:num w:numId="5">
    <w:abstractNumId w:val="9"/>
  </w:num>
  <w:num w:numId="6">
    <w:abstractNumId w:val="9"/>
  </w:num>
  <w:num w:numId="7">
    <w:abstractNumId w:val="9"/>
  </w:num>
  <w:num w:numId="8">
    <w:abstractNumId w:val="9"/>
  </w:num>
  <w:num w:numId="9">
    <w:abstractNumId w:val="9"/>
  </w:num>
  <w:num w:numId="10">
    <w:abstractNumId w:val="9"/>
  </w:num>
  <w:num w:numId="11">
    <w:abstractNumId w:val="9"/>
  </w:num>
  <w:num w:numId="12">
    <w:abstractNumId w:val="4"/>
  </w:num>
  <w:num w:numId="13">
    <w:abstractNumId w:val="9"/>
  </w:num>
  <w:num w:numId="14">
    <w:abstractNumId w:val="9"/>
  </w:num>
  <w:num w:numId="15">
    <w:abstractNumId w:val="9"/>
  </w:num>
  <w:num w:numId="16">
    <w:abstractNumId w:val="9"/>
  </w:num>
  <w:num w:numId="17">
    <w:abstractNumId w:val="9"/>
  </w:num>
  <w:num w:numId="18">
    <w:abstractNumId w:val="9"/>
  </w:num>
  <w:num w:numId="19">
    <w:abstractNumId w:val="9"/>
  </w:num>
  <w:num w:numId="20">
    <w:abstractNumId w:val="3"/>
  </w:num>
  <w:num w:numId="21">
    <w:abstractNumId w:val="9"/>
  </w:num>
  <w:num w:numId="22">
    <w:abstractNumId w:val="2"/>
  </w:num>
  <w:num w:numId="23">
    <w:abstractNumId w:val="9"/>
  </w:num>
  <w:num w:numId="24">
    <w:abstractNumId w:val="9"/>
  </w:num>
  <w:num w:numId="25">
    <w:abstractNumId w:val="9"/>
  </w:num>
  <w:num w:numId="26">
    <w:abstractNumId w:val="9"/>
  </w:num>
  <w:num w:numId="27">
    <w:abstractNumId w:val="9"/>
  </w:num>
  <w:num w:numId="28">
    <w:abstractNumId w:val="9"/>
  </w:num>
  <w:num w:numId="29">
    <w:abstractNumId w:val="9"/>
  </w:num>
  <w:num w:numId="30">
    <w:abstractNumId w:val="9"/>
  </w:num>
  <w:num w:numId="31">
    <w:abstractNumId w:val="9"/>
  </w:num>
  <w:num w:numId="32">
    <w:abstractNumId w:val="9"/>
  </w:num>
  <w:num w:numId="33">
    <w:abstractNumId w:val="8"/>
  </w:num>
  <w:num w:numId="34">
    <w:abstractNumId w:val="9"/>
  </w:num>
  <w:num w:numId="35">
    <w:abstractNumId w:val="9"/>
  </w:num>
  <w:num w:numId="36">
    <w:abstractNumId w:val="9"/>
  </w:num>
  <w:num w:numId="37">
    <w:abstractNumId w:val="9"/>
  </w:num>
  <w:num w:numId="38">
    <w:abstractNumId w:val="9"/>
  </w:num>
  <w:num w:numId="39">
    <w:abstractNumId w:val="0"/>
  </w:num>
  <w:num w:numId="40">
    <w:abstractNumId w:val="6"/>
  </w:num>
  <w:num w:numId="41">
    <w:abstractNumId w:val="9"/>
  </w:num>
  <w:num w:numId="42">
    <w:abstractNumId w:val="9"/>
  </w:num>
  <w:num w:numId="43">
    <w:abstractNumId w:val="9"/>
  </w:num>
  <w:num w:numId="44">
    <w:abstractNumId w:val="9"/>
  </w:num>
  <w:num w:numId="45">
    <w:abstractNumId w:val="9"/>
  </w:num>
  <w:num w:numId="46">
    <w:abstractNumId w:val="9"/>
  </w:num>
  <w:num w:numId="47">
    <w:abstractNumId w:val="10"/>
  </w:num>
  <w:num w:numId="48">
    <w:abstractNumId w:val="9"/>
  </w:num>
  <w:num w:numId="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355"/>
    <w:rsid w:val="00000C2D"/>
    <w:rsid w:val="000045AA"/>
    <w:rsid w:val="000101FE"/>
    <w:rsid w:val="0001044C"/>
    <w:rsid w:val="00011FCA"/>
    <w:rsid w:val="00012E52"/>
    <w:rsid w:val="000145E5"/>
    <w:rsid w:val="0001654B"/>
    <w:rsid w:val="000166E2"/>
    <w:rsid w:val="000178F1"/>
    <w:rsid w:val="00020319"/>
    <w:rsid w:val="00024930"/>
    <w:rsid w:val="00026AC5"/>
    <w:rsid w:val="00027075"/>
    <w:rsid w:val="00041638"/>
    <w:rsid w:val="0004746F"/>
    <w:rsid w:val="0005115F"/>
    <w:rsid w:val="00054168"/>
    <w:rsid w:val="00054F22"/>
    <w:rsid w:val="00057A61"/>
    <w:rsid w:val="00060B88"/>
    <w:rsid w:val="00061066"/>
    <w:rsid w:val="000645B9"/>
    <w:rsid w:val="00065852"/>
    <w:rsid w:val="00067080"/>
    <w:rsid w:val="00067E51"/>
    <w:rsid w:val="0007098B"/>
    <w:rsid w:val="00073C40"/>
    <w:rsid w:val="000754C7"/>
    <w:rsid w:val="000767D1"/>
    <w:rsid w:val="00083235"/>
    <w:rsid w:val="000851CD"/>
    <w:rsid w:val="00086F92"/>
    <w:rsid w:val="00094397"/>
    <w:rsid w:val="0009668D"/>
    <w:rsid w:val="000A0792"/>
    <w:rsid w:val="000A082B"/>
    <w:rsid w:val="000A20D9"/>
    <w:rsid w:val="000A5895"/>
    <w:rsid w:val="000B1807"/>
    <w:rsid w:val="000B468F"/>
    <w:rsid w:val="000B5F56"/>
    <w:rsid w:val="000C05C2"/>
    <w:rsid w:val="000C38D7"/>
    <w:rsid w:val="000C3CC2"/>
    <w:rsid w:val="000C3FD2"/>
    <w:rsid w:val="000C7C4F"/>
    <w:rsid w:val="000D4377"/>
    <w:rsid w:val="000D7BA6"/>
    <w:rsid w:val="000E146B"/>
    <w:rsid w:val="000E30C6"/>
    <w:rsid w:val="000E3D15"/>
    <w:rsid w:val="000E7670"/>
    <w:rsid w:val="000F22DE"/>
    <w:rsid w:val="000F395A"/>
    <w:rsid w:val="000F42C7"/>
    <w:rsid w:val="000F6790"/>
    <w:rsid w:val="00100660"/>
    <w:rsid w:val="001029AB"/>
    <w:rsid w:val="00102BE1"/>
    <w:rsid w:val="00105DFE"/>
    <w:rsid w:val="00110518"/>
    <w:rsid w:val="001109E7"/>
    <w:rsid w:val="00114EB1"/>
    <w:rsid w:val="001170C9"/>
    <w:rsid w:val="001210C6"/>
    <w:rsid w:val="00122A3C"/>
    <w:rsid w:val="00124435"/>
    <w:rsid w:val="0012487D"/>
    <w:rsid w:val="0012588A"/>
    <w:rsid w:val="00126019"/>
    <w:rsid w:val="001260FD"/>
    <w:rsid w:val="00127C20"/>
    <w:rsid w:val="0013265E"/>
    <w:rsid w:val="00132ECD"/>
    <w:rsid w:val="001350CC"/>
    <w:rsid w:val="0013708E"/>
    <w:rsid w:val="0013746B"/>
    <w:rsid w:val="001375F1"/>
    <w:rsid w:val="00137D2F"/>
    <w:rsid w:val="00143927"/>
    <w:rsid w:val="00145AF8"/>
    <w:rsid w:val="00151CC7"/>
    <w:rsid w:val="001534C9"/>
    <w:rsid w:val="00154B43"/>
    <w:rsid w:val="0016025A"/>
    <w:rsid w:val="001651AA"/>
    <w:rsid w:val="001660F7"/>
    <w:rsid w:val="0017348C"/>
    <w:rsid w:val="001754D6"/>
    <w:rsid w:val="00177A8E"/>
    <w:rsid w:val="00180C2F"/>
    <w:rsid w:val="00183D21"/>
    <w:rsid w:val="001841F7"/>
    <w:rsid w:val="001847DD"/>
    <w:rsid w:val="00185071"/>
    <w:rsid w:val="00186510"/>
    <w:rsid w:val="00186F5F"/>
    <w:rsid w:val="00191EF5"/>
    <w:rsid w:val="00192A44"/>
    <w:rsid w:val="001A3B80"/>
    <w:rsid w:val="001A3FB4"/>
    <w:rsid w:val="001B1673"/>
    <w:rsid w:val="001B2CC7"/>
    <w:rsid w:val="001B657E"/>
    <w:rsid w:val="001C167D"/>
    <w:rsid w:val="001C3779"/>
    <w:rsid w:val="001C62BE"/>
    <w:rsid w:val="001D11BB"/>
    <w:rsid w:val="001D4D8E"/>
    <w:rsid w:val="001D7526"/>
    <w:rsid w:val="001E0C94"/>
    <w:rsid w:val="001E488B"/>
    <w:rsid w:val="001E4FD4"/>
    <w:rsid w:val="001E5AFA"/>
    <w:rsid w:val="001E7F05"/>
    <w:rsid w:val="001F021A"/>
    <w:rsid w:val="001F2167"/>
    <w:rsid w:val="001F54BA"/>
    <w:rsid w:val="002006E7"/>
    <w:rsid w:val="002032DF"/>
    <w:rsid w:val="0020365D"/>
    <w:rsid w:val="00203DD2"/>
    <w:rsid w:val="002040FA"/>
    <w:rsid w:val="00204E57"/>
    <w:rsid w:val="00207F5D"/>
    <w:rsid w:val="00211921"/>
    <w:rsid w:val="00211EB9"/>
    <w:rsid w:val="00211F8F"/>
    <w:rsid w:val="00213102"/>
    <w:rsid w:val="00213180"/>
    <w:rsid w:val="00213877"/>
    <w:rsid w:val="00217069"/>
    <w:rsid w:val="00220FA4"/>
    <w:rsid w:val="00221881"/>
    <w:rsid w:val="00226174"/>
    <w:rsid w:val="00227478"/>
    <w:rsid w:val="002274D1"/>
    <w:rsid w:val="00234F6F"/>
    <w:rsid w:val="002356D3"/>
    <w:rsid w:val="002360D2"/>
    <w:rsid w:val="0023645C"/>
    <w:rsid w:val="00237D99"/>
    <w:rsid w:val="0024194D"/>
    <w:rsid w:val="0024234E"/>
    <w:rsid w:val="00242746"/>
    <w:rsid w:val="0024315E"/>
    <w:rsid w:val="002441E6"/>
    <w:rsid w:val="00246D3F"/>
    <w:rsid w:val="00250635"/>
    <w:rsid w:val="00255C96"/>
    <w:rsid w:val="00257C2D"/>
    <w:rsid w:val="002615CC"/>
    <w:rsid w:val="00261874"/>
    <w:rsid w:val="002632B7"/>
    <w:rsid w:val="00264095"/>
    <w:rsid w:val="00265688"/>
    <w:rsid w:val="002658D1"/>
    <w:rsid w:val="002674CA"/>
    <w:rsid w:val="002708A5"/>
    <w:rsid w:val="00271EAB"/>
    <w:rsid w:val="00272CB2"/>
    <w:rsid w:val="00281ADB"/>
    <w:rsid w:val="00286EE4"/>
    <w:rsid w:val="002907D9"/>
    <w:rsid w:val="0029096B"/>
    <w:rsid w:val="0029110B"/>
    <w:rsid w:val="002924D5"/>
    <w:rsid w:val="00292B87"/>
    <w:rsid w:val="00293C8C"/>
    <w:rsid w:val="002966C1"/>
    <w:rsid w:val="002A3805"/>
    <w:rsid w:val="002A3CCC"/>
    <w:rsid w:val="002A3D11"/>
    <w:rsid w:val="002A5D2E"/>
    <w:rsid w:val="002B25DD"/>
    <w:rsid w:val="002B2ECE"/>
    <w:rsid w:val="002B5A4C"/>
    <w:rsid w:val="002B6A75"/>
    <w:rsid w:val="002C3A38"/>
    <w:rsid w:val="002C6710"/>
    <w:rsid w:val="002D1A39"/>
    <w:rsid w:val="002D1B3B"/>
    <w:rsid w:val="002D1FC8"/>
    <w:rsid w:val="002D2795"/>
    <w:rsid w:val="002D2C70"/>
    <w:rsid w:val="002D2CF7"/>
    <w:rsid w:val="002D6CB3"/>
    <w:rsid w:val="002E276F"/>
    <w:rsid w:val="002E2A1C"/>
    <w:rsid w:val="002E66FB"/>
    <w:rsid w:val="002E7E1C"/>
    <w:rsid w:val="002F0F9E"/>
    <w:rsid w:val="002F13F2"/>
    <w:rsid w:val="002F13FD"/>
    <w:rsid w:val="002F297B"/>
    <w:rsid w:val="002F538B"/>
    <w:rsid w:val="002F70C7"/>
    <w:rsid w:val="0030039D"/>
    <w:rsid w:val="00301552"/>
    <w:rsid w:val="0030397A"/>
    <w:rsid w:val="00303BCF"/>
    <w:rsid w:val="00314FB8"/>
    <w:rsid w:val="003152E7"/>
    <w:rsid w:val="00323D74"/>
    <w:rsid w:val="00330A5F"/>
    <w:rsid w:val="003347A4"/>
    <w:rsid w:val="00337197"/>
    <w:rsid w:val="0034057C"/>
    <w:rsid w:val="00341CC3"/>
    <w:rsid w:val="003424A1"/>
    <w:rsid w:val="00346ECE"/>
    <w:rsid w:val="00347AD6"/>
    <w:rsid w:val="00353062"/>
    <w:rsid w:val="00354ACC"/>
    <w:rsid w:val="00355EAE"/>
    <w:rsid w:val="00373568"/>
    <w:rsid w:val="00374E37"/>
    <w:rsid w:val="00374FE9"/>
    <w:rsid w:val="00376FBE"/>
    <w:rsid w:val="0037779A"/>
    <w:rsid w:val="00383EF6"/>
    <w:rsid w:val="0038514A"/>
    <w:rsid w:val="00387518"/>
    <w:rsid w:val="00393069"/>
    <w:rsid w:val="00396E3C"/>
    <w:rsid w:val="00397B54"/>
    <w:rsid w:val="00397BB2"/>
    <w:rsid w:val="003A0349"/>
    <w:rsid w:val="003A113C"/>
    <w:rsid w:val="003A1381"/>
    <w:rsid w:val="003A165C"/>
    <w:rsid w:val="003A19B3"/>
    <w:rsid w:val="003A1FB8"/>
    <w:rsid w:val="003A49A5"/>
    <w:rsid w:val="003A5689"/>
    <w:rsid w:val="003A5837"/>
    <w:rsid w:val="003A5EA2"/>
    <w:rsid w:val="003A68A5"/>
    <w:rsid w:val="003A6950"/>
    <w:rsid w:val="003B1289"/>
    <w:rsid w:val="003B2642"/>
    <w:rsid w:val="003B4435"/>
    <w:rsid w:val="003B49A2"/>
    <w:rsid w:val="003B745A"/>
    <w:rsid w:val="003C4744"/>
    <w:rsid w:val="003C7DF2"/>
    <w:rsid w:val="003D04FE"/>
    <w:rsid w:val="003D1A0B"/>
    <w:rsid w:val="003D4086"/>
    <w:rsid w:val="003D4F56"/>
    <w:rsid w:val="003D51F0"/>
    <w:rsid w:val="003E56B1"/>
    <w:rsid w:val="003F2204"/>
    <w:rsid w:val="003F33BA"/>
    <w:rsid w:val="0040080E"/>
    <w:rsid w:val="0040549F"/>
    <w:rsid w:val="00407BC0"/>
    <w:rsid w:val="0041026E"/>
    <w:rsid w:val="0041274C"/>
    <w:rsid w:val="00412EE9"/>
    <w:rsid w:val="00413536"/>
    <w:rsid w:val="00414C20"/>
    <w:rsid w:val="00417353"/>
    <w:rsid w:val="0042151B"/>
    <w:rsid w:val="00422996"/>
    <w:rsid w:val="0042521D"/>
    <w:rsid w:val="00427079"/>
    <w:rsid w:val="00427D36"/>
    <w:rsid w:val="00427FA7"/>
    <w:rsid w:val="00431C51"/>
    <w:rsid w:val="004334D7"/>
    <w:rsid w:val="00435E85"/>
    <w:rsid w:val="00435ED8"/>
    <w:rsid w:val="00437274"/>
    <w:rsid w:val="004379A9"/>
    <w:rsid w:val="00437DCC"/>
    <w:rsid w:val="00441756"/>
    <w:rsid w:val="00442874"/>
    <w:rsid w:val="00444B39"/>
    <w:rsid w:val="00450B70"/>
    <w:rsid w:val="00454A30"/>
    <w:rsid w:val="00454BF2"/>
    <w:rsid w:val="00455334"/>
    <w:rsid w:val="00460166"/>
    <w:rsid w:val="00463DEB"/>
    <w:rsid w:val="00465A41"/>
    <w:rsid w:val="00466DA0"/>
    <w:rsid w:val="00467800"/>
    <w:rsid w:val="00467EE2"/>
    <w:rsid w:val="0047129D"/>
    <w:rsid w:val="00474CC2"/>
    <w:rsid w:val="00477BC7"/>
    <w:rsid w:val="004826EA"/>
    <w:rsid w:val="004832D7"/>
    <w:rsid w:val="00491B76"/>
    <w:rsid w:val="00493120"/>
    <w:rsid w:val="00494936"/>
    <w:rsid w:val="004955AA"/>
    <w:rsid w:val="00496F2A"/>
    <w:rsid w:val="00497E93"/>
    <w:rsid w:val="004A0BD4"/>
    <w:rsid w:val="004A2D5E"/>
    <w:rsid w:val="004A7112"/>
    <w:rsid w:val="004B1CDC"/>
    <w:rsid w:val="004B2475"/>
    <w:rsid w:val="004B3BEE"/>
    <w:rsid w:val="004B55A9"/>
    <w:rsid w:val="004B6236"/>
    <w:rsid w:val="004B6BF1"/>
    <w:rsid w:val="004B6E72"/>
    <w:rsid w:val="004C01AF"/>
    <w:rsid w:val="004C392A"/>
    <w:rsid w:val="004C546A"/>
    <w:rsid w:val="004C743C"/>
    <w:rsid w:val="004C7AAE"/>
    <w:rsid w:val="004D19CC"/>
    <w:rsid w:val="004D1D64"/>
    <w:rsid w:val="004D67A6"/>
    <w:rsid w:val="004D6FF9"/>
    <w:rsid w:val="004D7B6A"/>
    <w:rsid w:val="004E0C37"/>
    <w:rsid w:val="004E215F"/>
    <w:rsid w:val="004E3C04"/>
    <w:rsid w:val="004E4EBB"/>
    <w:rsid w:val="004E5516"/>
    <w:rsid w:val="004E7FF2"/>
    <w:rsid w:val="004F2601"/>
    <w:rsid w:val="004F42AE"/>
    <w:rsid w:val="004F6441"/>
    <w:rsid w:val="00513AAA"/>
    <w:rsid w:val="0051426D"/>
    <w:rsid w:val="0051472C"/>
    <w:rsid w:val="00514B8B"/>
    <w:rsid w:val="005155DD"/>
    <w:rsid w:val="00520084"/>
    <w:rsid w:val="00520674"/>
    <w:rsid w:val="00520AE9"/>
    <w:rsid w:val="0052159B"/>
    <w:rsid w:val="005219A8"/>
    <w:rsid w:val="0052370B"/>
    <w:rsid w:val="005237EF"/>
    <w:rsid w:val="00524AEF"/>
    <w:rsid w:val="0053148F"/>
    <w:rsid w:val="00531EE9"/>
    <w:rsid w:val="00532964"/>
    <w:rsid w:val="00537CAA"/>
    <w:rsid w:val="00541003"/>
    <w:rsid w:val="005429A7"/>
    <w:rsid w:val="00542D55"/>
    <w:rsid w:val="00542E5C"/>
    <w:rsid w:val="00543B48"/>
    <w:rsid w:val="0055009A"/>
    <w:rsid w:val="00552244"/>
    <w:rsid w:val="00552393"/>
    <w:rsid w:val="00555021"/>
    <w:rsid w:val="00555EC2"/>
    <w:rsid w:val="00556E42"/>
    <w:rsid w:val="00561193"/>
    <w:rsid w:val="00565018"/>
    <w:rsid w:val="00570DCF"/>
    <w:rsid w:val="0057236D"/>
    <w:rsid w:val="005734CF"/>
    <w:rsid w:val="005759FF"/>
    <w:rsid w:val="00580EAF"/>
    <w:rsid w:val="00584490"/>
    <w:rsid w:val="00587DA9"/>
    <w:rsid w:val="00590AAD"/>
    <w:rsid w:val="00591444"/>
    <w:rsid w:val="00592DAA"/>
    <w:rsid w:val="005935BF"/>
    <w:rsid w:val="00595EF8"/>
    <w:rsid w:val="005A12DE"/>
    <w:rsid w:val="005A34CD"/>
    <w:rsid w:val="005A3D5D"/>
    <w:rsid w:val="005A5120"/>
    <w:rsid w:val="005A61A2"/>
    <w:rsid w:val="005B6C70"/>
    <w:rsid w:val="005B6FAE"/>
    <w:rsid w:val="005C2778"/>
    <w:rsid w:val="005C40CE"/>
    <w:rsid w:val="005C48C5"/>
    <w:rsid w:val="005C51E2"/>
    <w:rsid w:val="005C7193"/>
    <w:rsid w:val="005D056A"/>
    <w:rsid w:val="005D2C60"/>
    <w:rsid w:val="005D4F21"/>
    <w:rsid w:val="005D557E"/>
    <w:rsid w:val="005D585C"/>
    <w:rsid w:val="005D6AFB"/>
    <w:rsid w:val="005D6FC8"/>
    <w:rsid w:val="005E13E7"/>
    <w:rsid w:val="005E1709"/>
    <w:rsid w:val="005E39C2"/>
    <w:rsid w:val="005E6318"/>
    <w:rsid w:val="005E69D2"/>
    <w:rsid w:val="005E7FF4"/>
    <w:rsid w:val="005F25A5"/>
    <w:rsid w:val="005F53A4"/>
    <w:rsid w:val="005F60D3"/>
    <w:rsid w:val="005F67F0"/>
    <w:rsid w:val="006002BB"/>
    <w:rsid w:val="00600E3B"/>
    <w:rsid w:val="00603AD1"/>
    <w:rsid w:val="00611B7D"/>
    <w:rsid w:val="00613353"/>
    <w:rsid w:val="006137B4"/>
    <w:rsid w:val="006162AC"/>
    <w:rsid w:val="00616F02"/>
    <w:rsid w:val="00621504"/>
    <w:rsid w:val="00624A6F"/>
    <w:rsid w:val="00625DD6"/>
    <w:rsid w:val="0062651D"/>
    <w:rsid w:val="006273EE"/>
    <w:rsid w:val="00635E73"/>
    <w:rsid w:val="006360AE"/>
    <w:rsid w:val="00641F13"/>
    <w:rsid w:val="0064489B"/>
    <w:rsid w:val="00646359"/>
    <w:rsid w:val="006466A3"/>
    <w:rsid w:val="006500D9"/>
    <w:rsid w:val="00652CCE"/>
    <w:rsid w:val="00652F29"/>
    <w:rsid w:val="0065695B"/>
    <w:rsid w:val="006609DA"/>
    <w:rsid w:val="00660B4C"/>
    <w:rsid w:val="006623BB"/>
    <w:rsid w:val="00663F0D"/>
    <w:rsid w:val="006651E4"/>
    <w:rsid w:val="00665941"/>
    <w:rsid w:val="0066679B"/>
    <w:rsid w:val="00667766"/>
    <w:rsid w:val="00670B4B"/>
    <w:rsid w:val="00675B62"/>
    <w:rsid w:val="0067773A"/>
    <w:rsid w:val="006811AB"/>
    <w:rsid w:val="006827C6"/>
    <w:rsid w:val="00685188"/>
    <w:rsid w:val="006871BD"/>
    <w:rsid w:val="006928D4"/>
    <w:rsid w:val="0069436E"/>
    <w:rsid w:val="00694689"/>
    <w:rsid w:val="00694B18"/>
    <w:rsid w:val="00696800"/>
    <w:rsid w:val="006A0355"/>
    <w:rsid w:val="006A4CE8"/>
    <w:rsid w:val="006A5445"/>
    <w:rsid w:val="006B37D8"/>
    <w:rsid w:val="006D1832"/>
    <w:rsid w:val="006D1AFF"/>
    <w:rsid w:val="006D726F"/>
    <w:rsid w:val="006E12AB"/>
    <w:rsid w:val="006E4659"/>
    <w:rsid w:val="006E4878"/>
    <w:rsid w:val="006F460E"/>
    <w:rsid w:val="00704591"/>
    <w:rsid w:val="00704CD0"/>
    <w:rsid w:val="007079B2"/>
    <w:rsid w:val="00712554"/>
    <w:rsid w:val="00713DA1"/>
    <w:rsid w:val="007155EE"/>
    <w:rsid w:val="007264EA"/>
    <w:rsid w:val="00727342"/>
    <w:rsid w:val="007325EC"/>
    <w:rsid w:val="00732C33"/>
    <w:rsid w:val="00732DED"/>
    <w:rsid w:val="00733A1B"/>
    <w:rsid w:val="00733E94"/>
    <w:rsid w:val="0073434D"/>
    <w:rsid w:val="007363E5"/>
    <w:rsid w:val="00737275"/>
    <w:rsid w:val="0074214A"/>
    <w:rsid w:val="00743330"/>
    <w:rsid w:val="00743A56"/>
    <w:rsid w:val="0075739C"/>
    <w:rsid w:val="007611E7"/>
    <w:rsid w:val="00763A73"/>
    <w:rsid w:val="007700A4"/>
    <w:rsid w:val="00770A84"/>
    <w:rsid w:val="00770C7A"/>
    <w:rsid w:val="007734B7"/>
    <w:rsid w:val="00773559"/>
    <w:rsid w:val="00780702"/>
    <w:rsid w:val="00781137"/>
    <w:rsid w:val="0078437B"/>
    <w:rsid w:val="0079376A"/>
    <w:rsid w:val="00793985"/>
    <w:rsid w:val="007974F0"/>
    <w:rsid w:val="007A029F"/>
    <w:rsid w:val="007A1EF1"/>
    <w:rsid w:val="007A5A1A"/>
    <w:rsid w:val="007A62C3"/>
    <w:rsid w:val="007A68EE"/>
    <w:rsid w:val="007B082A"/>
    <w:rsid w:val="007B4EA8"/>
    <w:rsid w:val="007B6C97"/>
    <w:rsid w:val="007B745A"/>
    <w:rsid w:val="007B7C97"/>
    <w:rsid w:val="007C1249"/>
    <w:rsid w:val="007C236B"/>
    <w:rsid w:val="007C33C6"/>
    <w:rsid w:val="007C413D"/>
    <w:rsid w:val="007C58B2"/>
    <w:rsid w:val="007C7BFF"/>
    <w:rsid w:val="007D4464"/>
    <w:rsid w:val="007D45C3"/>
    <w:rsid w:val="007D59D1"/>
    <w:rsid w:val="007E26FA"/>
    <w:rsid w:val="007F4A32"/>
    <w:rsid w:val="007F6CE9"/>
    <w:rsid w:val="00801401"/>
    <w:rsid w:val="0080155B"/>
    <w:rsid w:val="00803BCE"/>
    <w:rsid w:val="00804909"/>
    <w:rsid w:val="008061D6"/>
    <w:rsid w:val="00807A61"/>
    <w:rsid w:val="00807B35"/>
    <w:rsid w:val="0081235F"/>
    <w:rsid w:val="0081415A"/>
    <w:rsid w:val="008148A0"/>
    <w:rsid w:val="008159C2"/>
    <w:rsid w:val="00815B19"/>
    <w:rsid w:val="00815F4C"/>
    <w:rsid w:val="00822277"/>
    <w:rsid w:val="0082521E"/>
    <w:rsid w:val="00830622"/>
    <w:rsid w:val="00830A46"/>
    <w:rsid w:val="00834556"/>
    <w:rsid w:val="00835951"/>
    <w:rsid w:val="00840FD8"/>
    <w:rsid w:val="00841F72"/>
    <w:rsid w:val="00846B89"/>
    <w:rsid w:val="0084780B"/>
    <w:rsid w:val="00851FB6"/>
    <w:rsid w:val="00855372"/>
    <w:rsid w:val="008618C6"/>
    <w:rsid w:val="00863524"/>
    <w:rsid w:val="00864F2F"/>
    <w:rsid w:val="0086617B"/>
    <w:rsid w:val="008673CF"/>
    <w:rsid w:val="00867829"/>
    <w:rsid w:val="0087390C"/>
    <w:rsid w:val="008749D3"/>
    <w:rsid w:val="00875527"/>
    <w:rsid w:val="008769A4"/>
    <w:rsid w:val="008831FD"/>
    <w:rsid w:val="008843CA"/>
    <w:rsid w:val="00884846"/>
    <w:rsid w:val="008913F3"/>
    <w:rsid w:val="00891624"/>
    <w:rsid w:val="00894E4F"/>
    <w:rsid w:val="00896D71"/>
    <w:rsid w:val="008A1BCD"/>
    <w:rsid w:val="008A34AD"/>
    <w:rsid w:val="008B0445"/>
    <w:rsid w:val="008B11A2"/>
    <w:rsid w:val="008B757C"/>
    <w:rsid w:val="008C1766"/>
    <w:rsid w:val="008C2FF0"/>
    <w:rsid w:val="008C64EC"/>
    <w:rsid w:val="008C69E1"/>
    <w:rsid w:val="008D3934"/>
    <w:rsid w:val="008D61BF"/>
    <w:rsid w:val="008D7434"/>
    <w:rsid w:val="008E13A5"/>
    <w:rsid w:val="008E4F3D"/>
    <w:rsid w:val="008E52F7"/>
    <w:rsid w:val="008E71F9"/>
    <w:rsid w:val="008E785D"/>
    <w:rsid w:val="008F03A6"/>
    <w:rsid w:val="008F0929"/>
    <w:rsid w:val="008F5FBD"/>
    <w:rsid w:val="008F7628"/>
    <w:rsid w:val="00900BFF"/>
    <w:rsid w:val="00914260"/>
    <w:rsid w:val="00914B84"/>
    <w:rsid w:val="0091697B"/>
    <w:rsid w:val="00917F75"/>
    <w:rsid w:val="00923FFF"/>
    <w:rsid w:val="009250C5"/>
    <w:rsid w:val="0092552E"/>
    <w:rsid w:val="00925B88"/>
    <w:rsid w:val="00926A4E"/>
    <w:rsid w:val="009270D4"/>
    <w:rsid w:val="009324B4"/>
    <w:rsid w:val="00934C10"/>
    <w:rsid w:val="00935BDD"/>
    <w:rsid w:val="009376D6"/>
    <w:rsid w:val="0094003D"/>
    <w:rsid w:val="009404BE"/>
    <w:rsid w:val="00940F58"/>
    <w:rsid w:val="00943A28"/>
    <w:rsid w:val="00951FA5"/>
    <w:rsid w:val="00954DD2"/>
    <w:rsid w:val="0095635F"/>
    <w:rsid w:val="009569F2"/>
    <w:rsid w:val="00957824"/>
    <w:rsid w:val="00965695"/>
    <w:rsid w:val="0096677D"/>
    <w:rsid w:val="009705C9"/>
    <w:rsid w:val="00970F39"/>
    <w:rsid w:val="009732E5"/>
    <w:rsid w:val="009737C2"/>
    <w:rsid w:val="00977C81"/>
    <w:rsid w:val="00981CF1"/>
    <w:rsid w:val="0099009E"/>
    <w:rsid w:val="009908E3"/>
    <w:rsid w:val="009910DF"/>
    <w:rsid w:val="00992836"/>
    <w:rsid w:val="0099316F"/>
    <w:rsid w:val="00993BB9"/>
    <w:rsid w:val="00995D5B"/>
    <w:rsid w:val="0099622C"/>
    <w:rsid w:val="00997615"/>
    <w:rsid w:val="009A1D2C"/>
    <w:rsid w:val="009A1FA9"/>
    <w:rsid w:val="009A24C1"/>
    <w:rsid w:val="009A3298"/>
    <w:rsid w:val="009A57EE"/>
    <w:rsid w:val="009A68A0"/>
    <w:rsid w:val="009A6D58"/>
    <w:rsid w:val="009B1597"/>
    <w:rsid w:val="009B195C"/>
    <w:rsid w:val="009B29DA"/>
    <w:rsid w:val="009B2BEE"/>
    <w:rsid w:val="009C04B2"/>
    <w:rsid w:val="009D1E70"/>
    <w:rsid w:val="009D1EF8"/>
    <w:rsid w:val="009D675A"/>
    <w:rsid w:val="009D6E00"/>
    <w:rsid w:val="009D6EC7"/>
    <w:rsid w:val="009E04F9"/>
    <w:rsid w:val="009E215A"/>
    <w:rsid w:val="009E286D"/>
    <w:rsid w:val="009E5633"/>
    <w:rsid w:val="009E61E6"/>
    <w:rsid w:val="009F1E6B"/>
    <w:rsid w:val="009F358F"/>
    <w:rsid w:val="009F3660"/>
    <w:rsid w:val="009F4FB5"/>
    <w:rsid w:val="00A01B84"/>
    <w:rsid w:val="00A02099"/>
    <w:rsid w:val="00A023AC"/>
    <w:rsid w:val="00A04D68"/>
    <w:rsid w:val="00A077FB"/>
    <w:rsid w:val="00A116EA"/>
    <w:rsid w:val="00A2206C"/>
    <w:rsid w:val="00A22506"/>
    <w:rsid w:val="00A237B5"/>
    <w:rsid w:val="00A2605C"/>
    <w:rsid w:val="00A321CF"/>
    <w:rsid w:val="00A36458"/>
    <w:rsid w:val="00A37F27"/>
    <w:rsid w:val="00A4129F"/>
    <w:rsid w:val="00A4529D"/>
    <w:rsid w:val="00A50FE4"/>
    <w:rsid w:val="00A53C3D"/>
    <w:rsid w:val="00A567DD"/>
    <w:rsid w:val="00A56B18"/>
    <w:rsid w:val="00A56BA1"/>
    <w:rsid w:val="00A90AB1"/>
    <w:rsid w:val="00A951AC"/>
    <w:rsid w:val="00A951FA"/>
    <w:rsid w:val="00A960F1"/>
    <w:rsid w:val="00A96163"/>
    <w:rsid w:val="00A965A9"/>
    <w:rsid w:val="00AA019F"/>
    <w:rsid w:val="00AA2C94"/>
    <w:rsid w:val="00AA3011"/>
    <w:rsid w:val="00AA422F"/>
    <w:rsid w:val="00AA5A73"/>
    <w:rsid w:val="00AB02A4"/>
    <w:rsid w:val="00AB1559"/>
    <w:rsid w:val="00AB19F8"/>
    <w:rsid w:val="00AB4310"/>
    <w:rsid w:val="00AB603A"/>
    <w:rsid w:val="00AB6079"/>
    <w:rsid w:val="00AC09F0"/>
    <w:rsid w:val="00AC29DE"/>
    <w:rsid w:val="00AC2EC2"/>
    <w:rsid w:val="00AC3061"/>
    <w:rsid w:val="00AC49FA"/>
    <w:rsid w:val="00AC541D"/>
    <w:rsid w:val="00AD7A1D"/>
    <w:rsid w:val="00AE1DDA"/>
    <w:rsid w:val="00AE1FD2"/>
    <w:rsid w:val="00AE2A76"/>
    <w:rsid w:val="00AE4892"/>
    <w:rsid w:val="00AE5127"/>
    <w:rsid w:val="00AE6F95"/>
    <w:rsid w:val="00AE78D2"/>
    <w:rsid w:val="00AF1C3C"/>
    <w:rsid w:val="00AF1D34"/>
    <w:rsid w:val="00AF3B55"/>
    <w:rsid w:val="00AF4283"/>
    <w:rsid w:val="00AF5789"/>
    <w:rsid w:val="00AF57AB"/>
    <w:rsid w:val="00AF751D"/>
    <w:rsid w:val="00B02CFA"/>
    <w:rsid w:val="00B0462E"/>
    <w:rsid w:val="00B04B05"/>
    <w:rsid w:val="00B11865"/>
    <w:rsid w:val="00B11E3A"/>
    <w:rsid w:val="00B1630D"/>
    <w:rsid w:val="00B17508"/>
    <w:rsid w:val="00B20F4F"/>
    <w:rsid w:val="00B21C6A"/>
    <w:rsid w:val="00B24FCB"/>
    <w:rsid w:val="00B25F76"/>
    <w:rsid w:val="00B3377F"/>
    <w:rsid w:val="00B33937"/>
    <w:rsid w:val="00B40590"/>
    <w:rsid w:val="00B40984"/>
    <w:rsid w:val="00B409BC"/>
    <w:rsid w:val="00B41707"/>
    <w:rsid w:val="00B44124"/>
    <w:rsid w:val="00B523C5"/>
    <w:rsid w:val="00B53607"/>
    <w:rsid w:val="00B537C3"/>
    <w:rsid w:val="00B54642"/>
    <w:rsid w:val="00B563C3"/>
    <w:rsid w:val="00B56D2F"/>
    <w:rsid w:val="00B61C5F"/>
    <w:rsid w:val="00B61FA0"/>
    <w:rsid w:val="00B65F9C"/>
    <w:rsid w:val="00B6739E"/>
    <w:rsid w:val="00B677A7"/>
    <w:rsid w:val="00B67E40"/>
    <w:rsid w:val="00B7348B"/>
    <w:rsid w:val="00B760BE"/>
    <w:rsid w:val="00B77EC0"/>
    <w:rsid w:val="00B82412"/>
    <w:rsid w:val="00B833B3"/>
    <w:rsid w:val="00B8436B"/>
    <w:rsid w:val="00B86E1A"/>
    <w:rsid w:val="00B90070"/>
    <w:rsid w:val="00B90CBB"/>
    <w:rsid w:val="00B90E51"/>
    <w:rsid w:val="00B92402"/>
    <w:rsid w:val="00B931C5"/>
    <w:rsid w:val="00B948E7"/>
    <w:rsid w:val="00B957E0"/>
    <w:rsid w:val="00B95F4C"/>
    <w:rsid w:val="00B9643F"/>
    <w:rsid w:val="00B9691C"/>
    <w:rsid w:val="00B97097"/>
    <w:rsid w:val="00BA4625"/>
    <w:rsid w:val="00BB08D4"/>
    <w:rsid w:val="00BB7656"/>
    <w:rsid w:val="00BC052E"/>
    <w:rsid w:val="00BC2C9D"/>
    <w:rsid w:val="00BC45F2"/>
    <w:rsid w:val="00BC4E06"/>
    <w:rsid w:val="00BC5353"/>
    <w:rsid w:val="00BC7511"/>
    <w:rsid w:val="00BD23DA"/>
    <w:rsid w:val="00BD2BD9"/>
    <w:rsid w:val="00BD34D8"/>
    <w:rsid w:val="00BE1F70"/>
    <w:rsid w:val="00BE4FB6"/>
    <w:rsid w:val="00BE5B69"/>
    <w:rsid w:val="00BE640F"/>
    <w:rsid w:val="00BE6B7C"/>
    <w:rsid w:val="00BE7394"/>
    <w:rsid w:val="00BF0915"/>
    <w:rsid w:val="00BF7CEC"/>
    <w:rsid w:val="00C00572"/>
    <w:rsid w:val="00C075EF"/>
    <w:rsid w:val="00C11B91"/>
    <w:rsid w:val="00C12034"/>
    <w:rsid w:val="00C164F1"/>
    <w:rsid w:val="00C16974"/>
    <w:rsid w:val="00C21B3F"/>
    <w:rsid w:val="00C23A55"/>
    <w:rsid w:val="00C23E44"/>
    <w:rsid w:val="00C254C8"/>
    <w:rsid w:val="00C30D8F"/>
    <w:rsid w:val="00C333FB"/>
    <w:rsid w:val="00C36466"/>
    <w:rsid w:val="00C37E18"/>
    <w:rsid w:val="00C413B4"/>
    <w:rsid w:val="00C43FEC"/>
    <w:rsid w:val="00C45BB5"/>
    <w:rsid w:val="00C46191"/>
    <w:rsid w:val="00C4657E"/>
    <w:rsid w:val="00C478C4"/>
    <w:rsid w:val="00C52D0C"/>
    <w:rsid w:val="00C53FD6"/>
    <w:rsid w:val="00C54247"/>
    <w:rsid w:val="00C56043"/>
    <w:rsid w:val="00C57A13"/>
    <w:rsid w:val="00C60A61"/>
    <w:rsid w:val="00C63309"/>
    <w:rsid w:val="00C646F4"/>
    <w:rsid w:val="00C65F7B"/>
    <w:rsid w:val="00C67BE1"/>
    <w:rsid w:val="00C73F36"/>
    <w:rsid w:val="00C757C8"/>
    <w:rsid w:val="00C761E7"/>
    <w:rsid w:val="00C76246"/>
    <w:rsid w:val="00C82780"/>
    <w:rsid w:val="00C833F2"/>
    <w:rsid w:val="00C83701"/>
    <w:rsid w:val="00C8453F"/>
    <w:rsid w:val="00C86D30"/>
    <w:rsid w:val="00C90C95"/>
    <w:rsid w:val="00C91F58"/>
    <w:rsid w:val="00CA3DF0"/>
    <w:rsid w:val="00CA5FE9"/>
    <w:rsid w:val="00CB00B8"/>
    <w:rsid w:val="00CB1D06"/>
    <w:rsid w:val="00CB343D"/>
    <w:rsid w:val="00CB4E5D"/>
    <w:rsid w:val="00CB56D3"/>
    <w:rsid w:val="00CB6357"/>
    <w:rsid w:val="00CB64AB"/>
    <w:rsid w:val="00CC0630"/>
    <w:rsid w:val="00CC3A02"/>
    <w:rsid w:val="00CC6683"/>
    <w:rsid w:val="00CC7D89"/>
    <w:rsid w:val="00CD1FC4"/>
    <w:rsid w:val="00CD2793"/>
    <w:rsid w:val="00CD2851"/>
    <w:rsid w:val="00CD77E3"/>
    <w:rsid w:val="00CE730E"/>
    <w:rsid w:val="00CE75D4"/>
    <w:rsid w:val="00CE7632"/>
    <w:rsid w:val="00CF3587"/>
    <w:rsid w:val="00CF505F"/>
    <w:rsid w:val="00CF5395"/>
    <w:rsid w:val="00CF7736"/>
    <w:rsid w:val="00CF7DA6"/>
    <w:rsid w:val="00D00425"/>
    <w:rsid w:val="00D0538E"/>
    <w:rsid w:val="00D0768A"/>
    <w:rsid w:val="00D1041B"/>
    <w:rsid w:val="00D1078C"/>
    <w:rsid w:val="00D13447"/>
    <w:rsid w:val="00D14B59"/>
    <w:rsid w:val="00D179B3"/>
    <w:rsid w:val="00D2006E"/>
    <w:rsid w:val="00D2444A"/>
    <w:rsid w:val="00D24A73"/>
    <w:rsid w:val="00D24F30"/>
    <w:rsid w:val="00D34096"/>
    <w:rsid w:val="00D342BB"/>
    <w:rsid w:val="00D36329"/>
    <w:rsid w:val="00D36AAC"/>
    <w:rsid w:val="00D41694"/>
    <w:rsid w:val="00D4299D"/>
    <w:rsid w:val="00D42EA1"/>
    <w:rsid w:val="00D4388E"/>
    <w:rsid w:val="00D47270"/>
    <w:rsid w:val="00D476C9"/>
    <w:rsid w:val="00D503CF"/>
    <w:rsid w:val="00D507BC"/>
    <w:rsid w:val="00D511F8"/>
    <w:rsid w:val="00D5179D"/>
    <w:rsid w:val="00D52790"/>
    <w:rsid w:val="00D5343B"/>
    <w:rsid w:val="00D557C1"/>
    <w:rsid w:val="00D609C5"/>
    <w:rsid w:val="00D613D5"/>
    <w:rsid w:val="00D629ED"/>
    <w:rsid w:val="00D67615"/>
    <w:rsid w:val="00D70B7E"/>
    <w:rsid w:val="00D7186F"/>
    <w:rsid w:val="00D7274E"/>
    <w:rsid w:val="00D73E31"/>
    <w:rsid w:val="00D74CC1"/>
    <w:rsid w:val="00D7655C"/>
    <w:rsid w:val="00D76F5C"/>
    <w:rsid w:val="00D81706"/>
    <w:rsid w:val="00D83F4B"/>
    <w:rsid w:val="00D86418"/>
    <w:rsid w:val="00D86635"/>
    <w:rsid w:val="00D90C67"/>
    <w:rsid w:val="00D90F5B"/>
    <w:rsid w:val="00D922A1"/>
    <w:rsid w:val="00D97B9B"/>
    <w:rsid w:val="00DA08C9"/>
    <w:rsid w:val="00DA0BD7"/>
    <w:rsid w:val="00DA2266"/>
    <w:rsid w:val="00DA2A22"/>
    <w:rsid w:val="00DA366F"/>
    <w:rsid w:val="00DA78D1"/>
    <w:rsid w:val="00DB4244"/>
    <w:rsid w:val="00DC385D"/>
    <w:rsid w:val="00DC5154"/>
    <w:rsid w:val="00DC5C06"/>
    <w:rsid w:val="00DD3CAC"/>
    <w:rsid w:val="00DD763E"/>
    <w:rsid w:val="00DE00EB"/>
    <w:rsid w:val="00DE01BA"/>
    <w:rsid w:val="00DF52EC"/>
    <w:rsid w:val="00DF5B53"/>
    <w:rsid w:val="00E03076"/>
    <w:rsid w:val="00E033DE"/>
    <w:rsid w:val="00E052BB"/>
    <w:rsid w:val="00E058C9"/>
    <w:rsid w:val="00E06391"/>
    <w:rsid w:val="00E11579"/>
    <w:rsid w:val="00E14313"/>
    <w:rsid w:val="00E15455"/>
    <w:rsid w:val="00E1661C"/>
    <w:rsid w:val="00E16E6F"/>
    <w:rsid w:val="00E17277"/>
    <w:rsid w:val="00E17330"/>
    <w:rsid w:val="00E17F15"/>
    <w:rsid w:val="00E23881"/>
    <w:rsid w:val="00E27FF6"/>
    <w:rsid w:val="00E30FB7"/>
    <w:rsid w:val="00E329BA"/>
    <w:rsid w:val="00E358E0"/>
    <w:rsid w:val="00E40CF7"/>
    <w:rsid w:val="00E46784"/>
    <w:rsid w:val="00E601BC"/>
    <w:rsid w:val="00E6149D"/>
    <w:rsid w:val="00E636C2"/>
    <w:rsid w:val="00E65DB0"/>
    <w:rsid w:val="00E66905"/>
    <w:rsid w:val="00E810A9"/>
    <w:rsid w:val="00E83243"/>
    <w:rsid w:val="00E94F72"/>
    <w:rsid w:val="00E950FC"/>
    <w:rsid w:val="00E95A40"/>
    <w:rsid w:val="00E965DC"/>
    <w:rsid w:val="00E96B01"/>
    <w:rsid w:val="00EA1C07"/>
    <w:rsid w:val="00EA21C8"/>
    <w:rsid w:val="00EA461E"/>
    <w:rsid w:val="00EA605B"/>
    <w:rsid w:val="00EB0132"/>
    <w:rsid w:val="00EB317B"/>
    <w:rsid w:val="00EC3920"/>
    <w:rsid w:val="00EC51DF"/>
    <w:rsid w:val="00EC57F0"/>
    <w:rsid w:val="00EC6AFA"/>
    <w:rsid w:val="00ED4BB5"/>
    <w:rsid w:val="00ED5EAD"/>
    <w:rsid w:val="00ED6A1B"/>
    <w:rsid w:val="00EE162B"/>
    <w:rsid w:val="00EE41E1"/>
    <w:rsid w:val="00EE61EC"/>
    <w:rsid w:val="00EE680C"/>
    <w:rsid w:val="00EE7260"/>
    <w:rsid w:val="00EF030D"/>
    <w:rsid w:val="00EF4C5C"/>
    <w:rsid w:val="00F06566"/>
    <w:rsid w:val="00F06B99"/>
    <w:rsid w:val="00F07E5E"/>
    <w:rsid w:val="00F12497"/>
    <w:rsid w:val="00F14D00"/>
    <w:rsid w:val="00F21986"/>
    <w:rsid w:val="00F21FBD"/>
    <w:rsid w:val="00F23C6D"/>
    <w:rsid w:val="00F271F6"/>
    <w:rsid w:val="00F31FB5"/>
    <w:rsid w:val="00F342F5"/>
    <w:rsid w:val="00F47558"/>
    <w:rsid w:val="00F60282"/>
    <w:rsid w:val="00F60FB3"/>
    <w:rsid w:val="00F61B17"/>
    <w:rsid w:val="00F6232D"/>
    <w:rsid w:val="00F630DC"/>
    <w:rsid w:val="00F6352F"/>
    <w:rsid w:val="00F6542F"/>
    <w:rsid w:val="00F655D4"/>
    <w:rsid w:val="00F70D47"/>
    <w:rsid w:val="00F72EBC"/>
    <w:rsid w:val="00F743F5"/>
    <w:rsid w:val="00F748AD"/>
    <w:rsid w:val="00F76127"/>
    <w:rsid w:val="00F7704E"/>
    <w:rsid w:val="00F8087C"/>
    <w:rsid w:val="00F81341"/>
    <w:rsid w:val="00F83BD2"/>
    <w:rsid w:val="00F860A6"/>
    <w:rsid w:val="00FA6D6F"/>
    <w:rsid w:val="00FA6FD7"/>
    <w:rsid w:val="00FB08C1"/>
    <w:rsid w:val="00FB1CB7"/>
    <w:rsid w:val="00FB3243"/>
    <w:rsid w:val="00FB39E8"/>
    <w:rsid w:val="00FB49D9"/>
    <w:rsid w:val="00FB4CD2"/>
    <w:rsid w:val="00FB670B"/>
    <w:rsid w:val="00FB6BB0"/>
    <w:rsid w:val="00FB767A"/>
    <w:rsid w:val="00FB76BE"/>
    <w:rsid w:val="00FC1AFE"/>
    <w:rsid w:val="00FC236A"/>
    <w:rsid w:val="00FC3B73"/>
    <w:rsid w:val="00FC5CAA"/>
    <w:rsid w:val="00FC5F62"/>
    <w:rsid w:val="00FD045F"/>
    <w:rsid w:val="00FD5F83"/>
    <w:rsid w:val="00FD6763"/>
    <w:rsid w:val="00FD6776"/>
    <w:rsid w:val="00FE338F"/>
    <w:rsid w:val="00FE4102"/>
    <w:rsid w:val="00FE5FFD"/>
    <w:rsid w:val="00FF1D0E"/>
    <w:rsid w:val="00FF2C44"/>
    <w:rsid w:val="00FF425D"/>
    <w:rsid w:val="00FF4787"/>
    <w:rsid w:val="00FF4ACC"/>
    <w:rsid w:val="00FF4AF1"/>
    <w:rsid w:val="00FF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7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BCD"/>
    <w:pPr>
      <w:keepNext/>
      <w:keepLines/>
      <w:numPr>
        <w:numId w:val="3"/>
      </w:numPr>
      <w:spacing w:before="360" w:after="120" w:line="240" w:lineRule="auto"/>
      <w:jc w:val="both"/>
      <w:outlineLvl w:val="1"/>
    </w:pPr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4556"/>
    <w:pPr>
      <w:keepNext/>
      <w:keepLines/>
      <w:spacing w:before="200" w:after="240" w:line="240" w:lineRule="auto"/>
      <w:jc w:val="both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4C20"/>
    <w:rPr>
      <w:sz w:val="16"/>
      <w:szCs w:val="16"/>
    </w:rPr>
  </w:style>
  <w:style w:type="character" w:customStyle="1" w:styleId="sb8d990e2">
    <w:name w:val="sb8d990e2"/>
    <w:basedOn w:val="Domylnaczcionkaakapitu"/>
    <w:rsid w:val="00414C20"/>
  </w:style>
  <w:style w:type="character" w:styleId="Hipercze">
    <w:name w:val="Hyperlink"/>
    <w:basedOn w:val="Domylnaczcionkaakapitu"/>
    <w:uiPriority w:val="99"/>
    <w:unhideWhenUsed/>
    <w:rsid w:val="00414C2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A1BCD"/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DF2"/>
  </w:style>
  <w:style w:type="paragraph" w:styleId="Stopka">
    <w:name w:val="footer"/>
    <w:basedOn w:val="Normalny"/>
    <w:link w:val="Stopka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F2"/>
  </w:style>
  <w:style w:type="paragraph" w:styleId="Akapitzlist">
    <w:name w:val="List Paragraph"/>
    <w:basedOn w:val="Normalny"/>
    <w:link w:val="AkapitzlistZnak"/>
    <w:uiPriority w:val="34"/>
    <w:qFormat/>
    <w:rsid w:val="0088484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B6A75"/>
    <w:rPr>
      <w:color w:val="800080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C1766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8C1766"/>
    <w:pPr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47558"/>
    <w:pPr>
      <w:tabs>
        <w:tab w:val="left" w:pos="660"/>
        <w:tab w:val="right" w:leader="dot" w:pos="9062"/>
      </w:tabs>
      <w:spacing w:after="0"/>
      <w:ind w:left="220"/>
    </w:pPr>
    <w:rPr>
      <w:smallCaps/>
      <w:noProof/>
      <w:color w:val="4F81BD" w:themeColor="accent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76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834556"/>
    <w:rPr>
      <w:rFonts w:eastAsiaTheme="majorEastAsia" w:cstheme="majorBidi"/>
      <w:b/>
      <w:bCs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4B3BEE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397BB2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397BB2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397BB2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397BB2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397BB2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397BB2"/>
    <w:pPr>
      <w:spacing w:after="0"/>
      <w:ind w:left="1760"/>
    </w:pPr>
    <w:rPr>
      <w:sz w:val="18"/>
      <w:szCs w:val="18"/>
    </w:rPr>
  </w:style>
  <w:style w:type="paragraph" w:customStyle="1" w:styleId="s30eec3f8">
    <w:name w:val="s30eec3f8"/>
    <w:basedOn w:val="Normalny"/>
    <w:rsid w:val="0007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6b621b36">
    <w:name w:val="s6b621b36"/>
    <w:basedOn w:val="Domylnaczcionkaakapitu"/>
    <w:rsid w:val="000767D1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5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75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5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50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62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62AC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2AC"/>
    <w:rPr>
      <w:vertAlign w:val="superscript"/>
    </w:rPr>
  </w:style>
  <w:style w:type="character" w:customStyle="1" w:styleId="hps">
    <w:name w:val="hps"/>
    <w:basedOn w:val="Domylnaczcionkaakapitu"/>
    <w:rsid w:val="00FB324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3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3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36B"/>
    <w:rPr>
      <w:vertAlign w:val="superscript"/>
    </w:rPr>
  </w:style>
  <w:style w:type="paragraph" w:customStyle="1" w:styleId="s1bd70772">
    <w:name w:val="s1bd70772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7d2086b4">
    <w:name w:val="s7d2086b4"/>
    <w:basedOn w:val="Domylnaczcionkaakapitu"/>
    <w:rsid w:val="001F54BA"/>
  </w:style>
  <w:style w:type="paragraph" w:customStyle="1" w:styleId="s9e9b0cd7">
    <w:name w:val="s9e9b0cd7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fbbfee58">
    <w:name w:val="sfbbfee58"/>
    <w:basedOn w:val="Domylnaczcionkaakapitu"/>
    <w:rsid w:val="001F54BA"/>
  </w:style>
  <w:style w:type="character" w:customStyle="1" w:styleId="sf8bfa2bc">
    <w:name w:val="sf8bfa2bc"/>
    <w:basedOn w:val="Domylnaczcionkaakapitu"/>
    <w:rsid w:val="001F54BA"/>
  </w:style>
  <w:style w:type="paragraph" w:customStyle="1" w:styleId="s6c429373">
    <w:name w:val="s6c429373"/>
    <w:basedOn w:val="Normalny"/>
    <w:rsid w:val="007D5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a844bc0">
    <w:name w:val="s1a844bc0"/>
    <w:basedOn w:val="Domylnaczcionkaakapitu"/>
    <w:rsid w:val="007D59D1"/>
  </w:style>
  <w:style w:type="character" w:customStyle="1" w:styleId="s2a6cf492">
    <w:name w:val="s2a6cf492"/>
    <w:basedOn w:val="Domylnaczcionkaakapitu"/>
    <w:rsid w:val="007D59D1"/>
  </w:style>
  <w:style w:type="paragraph" w:customStyle="1" w:styleId="DecHTitle">
    <w:name w:val="Dec_H_Title"/>
    <w:basedOn w:val="Normalny"/>
    <w:uiPriority w:val="7"/>
    <w:qFormat/>
    <w:rsid w:val="000F42C7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/>
      <w:sz w:val="28"/>
      <w:lang w:val="en-US"/>
    </w:rPr>
  </w:style>
  <w:style w:type="character" w:customStyle="1" w:styleId="AkapitzlistZnak">
    <w:name w:val="Akapit z listą Znak"/>
    <w:link w:val="Akapitzlist"/>
    <w:uiPriority w:val="34"/>
    <w:locked/>
    <w:rsid w:val="000F42C7"/>
  </w:style>
  <w:style w:type="character" w:styleId="Wyrnieniedelikatne">
    <w:name w:val="Subtle Emphasis"/>
    <w:basedOn w:val="Domylnaczcionkaakapitu"/>
    <w:uiPriority w:val="19"/>
    <w:qFormat/>
    <w:rsid w:val="000F42C7"/>
    <w:rPr>
      <w:i/>
      <w:iCs/>
      <w:color w:val="808080" w:themeColor="text1" w:themeTint="7F"/>
    </w:rPr>
  </w:style>
  <w:style w:type="paragraph" w:customStyle="1" w:styleId="ECHRPara">
    <w:name w:val="ECHR_Para"/>
    <w:aliases w:val="Ju_Para,Para,Left,First line:  0 cm"/>
    <w:basedOn w:val="Normalny"/>
    <w:link w:val="JuParaCar"/>
    <w:uiPriority w:val="12"/>
    <w:qFormat/>
    <w:rsid w:val="00EE41E1"/>
    <w:pPr>
      <w:spacing w:after="0" w:line="240" w:lineRule="auto"/>
      <w:ind w:firstLine="284"/>
      <w:jc w:val="both"/>
    </w:pPr>
    <w:rPr>
      <w:rFonts w:eastAsiaTheme="minorEastAsia"/>
      <w:sz w:val="24"/>
      <w:lang w:val="en-US"/>
    </w:rPr>
  </w:style>
  <w:style w:type="character" w:customStyle="1" w:styleId="JuParaCar">
    <w:name w:val="Ju_Para Car"/>
    <w:basedOn w:val="Domylnaczcionkaakapitu"/>
    <w:link w:val="ECHRPara"/>
    <w:uiPriority w:val="12"/>
    <w:locked/>
    <w:rsid w:val="00EE41E1"/>
    <w:rPr>
      <w:rFonts w:eastAsiaTheme="minorEastAsia"/>
      <w:sz w:val="24"/>
      <w:lang w:val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65852"/>
    <w:pPr>
      <w:spacing w:after="0" w:line="240" w:lineRule="auto"/>
    </w:pPr>
    <w:rPr>
      <w:rFonts w:ascii="Consolas" w:hAnsi="Consolas"/>
      <w:sz w:val="20"/>
      <w:szCs w:val="20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65852"/>
    <w:rPr>
      <w:rFonts w:ascii="Consolas" w:hAnsi="Consolas"/>
      <w:sz w:val="20"/>
      <w:szCs w:val="20"/>
      <w:lang w:val="pl-PL"/>
    </w:rPr>
  </w:style>
  <w:style w:type="character" w:customStyle="1" w:styleId="wordhighlighted">
    <w:name w:val="wordhighlighted"/>
    <w:basedOn w:val="Domylnaczcionkaakapitu"/>
    <w:rsid w:val="00D24A73"/>
  </w:style>
  <w:style w:type="paragraph" w:customStyle="1" w:styleId="ClinContent">
    <w:name w:val="ClinContent"/>
    <w:basedOn w:val="Normalny"/>
    <w:qFormat/>
    <w:rsid w:val="0087390C"/>
    <w:pPr>
      <w:spacing w:before="240"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en-GB"/>
    </w:rPr>
  </w:style>
  <w:style w:type="character" w:customStyle="1" w:styleId="ClinHeadNote">
    <w:name w:val="ClinHeadNote"/>
    <w:basedOn w:val="Domylnaczcionkaakapitu"/>
    <w:qFormat/>
    <w:rsid w:val="009E215A"/>
    <w:rPr>
      <w:rFonts w:ascii="Times New Roman" w:hAnsi="Times New Roman" w:cs="Times New Roman" w:hint="default"/>
    </w:rPr>
  </w:style>
  <w:style w:type="character" w:customStyle="1" w:styleId="tabulatory">
    <w:name w:val="tabulatory"/>
    <w:basedOn w:val="Domylnaczcionkaakapitu"/>
    <w:rsid w:val="001E7F05"/>
  </w:style>
  <w:style w:type="character" w:customStyle="1" w:styleId="JuParaChar">
    <w:name w:val="Ju_Para Char"/>
    <w:uiPriority w:val="12"/>
    <w:locked/>
    <w:rsid w:val="00E358E0"/>
    <w:rPr>
      <w:rFonts w:ascii="MS Mincho" w:eastAsiaTheme="minorEastAsia" w:hAnsi="MS Mincho"/>
      <w:sz w:val="24"/>
    </w:rPr>
  </w:style>
  <w:style w:type="paragraph" w:customStyle="1" w:styleId="ECHRParaQuote">
    <w:name w:val="ECHR_Para_Quote"/>
    <w:aliases w:val="Ju_Quot"/>
    <w:basedOn w:val="Normalny"/>
    <w:qFormat/>
    <w:rsid w:val="00AB1559"/>
    <w:pPr>
      <w:spacing w:before="120" w:after="120" w:line="240" w:lineRule="auto"/>
      <w:ind w:left="425" w:firstLine="142"/>
      <w:jc w:val="both"/>
    </w:pPr>
    <w:rPr>
      <w:rFonts w:eastAsiaTheme="minorEastAsia"/>
      <w:sz w:val="20"/>
    </w:rPr>
  </w:style>
  <w:style w:type="paragraph" w:customStyle="1" w:styleId="s6e50bd9a">
    <w:name w:val="s6e50bd9a"/>
    <w:basedOn w:val="Normalny"/>
    <w:rsid w:val="00E6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7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BCD"/>
    <w:pPr>
      <w:keepNext/>
      <w:keepLines/>
      <w:numPr>
        <w:numId w:val="3"/>
      </w:numPr>
      <w:spacing w:before="360" w:after="120" w:line="240" w:lineRule="auto"/>
      <w:jc w:val="both"/>
      <w:outlineLvl w:val="1"/>
    </w:pPr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4556"/>
    <w:pPr>
      <w:keepNext/>
      <w:keepLines/>
      <w:spacing w:before="200" w:after="240" w:line="240" w:lineRule="auto"/>
      <w:jc w:val="both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4C20"/>
    <w:rPr>
      <w:sz w:val="16"/>
      <w:szCs w:val="16"/>
    </w:rPr>
  </w:style>
  <w:style w:type="character" w:customStyle="1" w:styleId="sb8d990e2">
    <w:name w:val="sb8d990e2"/>
    <w:basedOn w:val="Domylnaczcionkaakapitu"/>
    <w:rsid w:val="00414C20"/>
  </w:style>
  <w:style w:type="character" w:styleId="Hipercze">
    <w:name w:val="Hyperlink"/>
    <w:basedOn w:val="Domylnaczcionkaakapitu"/>
    <w:uiPriority w:val="99"/>
    <w:unhideWhenUsed/>
    <w:rsid w:val="00414C2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A1BCD"/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DF2"/>
  </w:style>
  <w:style w:type="paragraph" w:styleId="Stopka">
    <w:name w:val="footer"/>
    <w:basedOn w:val="Normalny"/>
    <w:link w:val="Stopka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F2"/>
  </w:style>
  <w:style w:type="paragraph" w:styleId="Akapitzlist">
    <w:name w:val="List Paragraph"/>
    <w:basedOn w:val="Normalny"/>
    <w:link w:val="AkapitzlistZnak"/>
    <w:uiPriority w:val="34"/>
    <w:qFormat/>
    <w:rsid w:val="0088484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B6A75"/>
    <w:rPr>
      <w:color w:val="800080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C1766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8C1766"/>
    <w:pPr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47558"/>
    <w:pPr>
      <w:tabs>
        <w:tab w:val="left" w:pos="660"/>
        <w:tab w:val="right" w:leader="dot" w:pos="9062"/>
      </w:tabs>
      <w:spacing w:after="0"/>
      <w:ind w:left="220"/>
    </w:pPr>
    <w:rPr>
      <w:smallCaps/>
      <w:noProof/>
      <w:color w:val="4F81BD" w:themeColor="accent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76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834556"/>
    <w:rPr>
      <w:rFonts w:eastAsiaTheme="majorEastAsia" w:cstheme="majorBidi"/>
      <w:b/>
      <w:bCs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4B3BEE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397BB2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397BB2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397BB2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397BB2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397BB2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397BB2"/>
    <w:pPr>
      <w:spacing w:after="0"/>
      <w:ind w:left="1760"/>
    </w:pPr>
    <w:rPr>
      <w:sz w:val="18"/>
      <w:szCs w:val="18"/>
    </w:rPr>
  </w:style>
  <w:style w:type="paragraph" w:customStyle="1" w:styleId="s30eec3f8">
    <w:name w:val="s30eec3f8"/>
    <w:basedOn w:val="Normalny"/>
    <w:rsid w:val="0007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6b621b36">
    <w:name w:val="s6b621b36"/>
    <w:basedOn w:val="Domylnaczcionkaakapitu"/>
    <w:rsid w:val="000767D1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5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75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5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50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62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62AC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2AC"/>
    <w:rPr>
      <w:vertAlign w:val="superscript"/>
    </w:rPr>
  </w:style>
  <w:style w:type="character" w:customStyle="1" w:styleId="hps">
    <w:name w:val="hps"/>
    <w:basedOn w:val="Domylnaczcionkaakapitu"/>
    <w:rsid w:val="00FB324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3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3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36B"/>
    <w:rPr>
      <w:vertAlign w:val="superscript"/>
    </w:rPr>
  </w:style>
  <w:style w:type="paragraph" w:customStyle="1" w:styleId="s1bd70772">
    <w:name w:val="s1bd70772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7d2086b4">
    <w:name w:val="s7d2086b4"/>
    <w:basedOn w:val="Domylnaczcionkaakapitu"/>
    <w:rsid w:val="001F54BA"/>
  </w:style>
  <w:style w:type="paragraph" w:customStyle="1" w:styleId="s9e9b0cd7">
    <w:name w:val="s9e9b0cd7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fbbfee58">
    <w:name w:val="sfbbfee58"/>
    <w:basedOn w:val="Domylnaczcionkaakapitu"/>
    <w:rsid w:val="001F54BA"/>
  </w:style>
  <w:style w:type="character" w:customStyle="1" w:styleId="sf8bfa2bc">
    <w:name w:val="sf8bfa2bc"/>
    <w:basedOn w:val="Domylnaczcionkaakapitu"/>
    <w:rsid w:val="001F54BA"/>
  </w:style>
  <w:style w:type="paragraph" w:customStyle="1" w:styleId="s6c429373">
    <w:name w:val="s6c429373"/>
    <w:basedOn w:val="Normalny"/>
    <w:rsid w:val="007D5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a844bc0">
    <w:name w:val="s1a844bc0"/>
    <w:basedOn w:val="Domylnaczcionkaakapitu"/>
    <w:rsid w:val="007D59D1"/>
  </w:style>
  <w:style w:type="character" w:customStyle="1" w:styleId="s2a6cf492">
    <w:name w:val="s2a6cf492"/>
    <w:basedOn w:val="Domylnaczcionkaakapitu"/>
    <w:rsid w:val="007D59D1"/>
  </w:style>
  <w:style w:type="paragraph" w:customStyle="1" w:styleId="DecHTitle">
    <w:name w:val="Dec_H_Title"/>
    <w:basedOn w:val="Normalny"/>
    <w:uiPriority w:val="7"/>
    <w:qFormat/>
    <w:rsid w:val="000F42C7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/>
      <w:sz w:val="28"/>
      <w:lang w:val="en-US"/>
    </w:rPr>
  </w:style>
  <w:style w:type="character" w:customStyle="1" w:styleId="AkapitzlistZnak">
    <w:name w:val="Akapit z listą Znak"/>
    <w:link w:val="Akapitzlist"/>
    <w:uiPriority w:val="34"/>
    <w:locked/>
    <w:rsid w:val="000F42C7"/>
  </w:style>
  <w:style w:type="character" w:styleId="Wyrnieniedelikatne">
    <w:name w:val="Subtle Emphasis"/>
    <w:basedOn w:val="Domylnaczcionkaakapitu"/>
    <w:uiPriority w:val="19"/>
    <w:qFormat/>
    <w:rsid w:val="000F42C7"/>
    <w:rPr>
      <w:i/>
      <w:iCs/>
      <w:color w:val="808080" w:themeColor="text1" w:themeTint="7F"/>
    </w:rPr>
  </w:style>
  <w:style w:type="paragraph" w:customStyle="1" w:styleId="ECHRPara">
    <w:name w:val="ECHR_Para"/>
    <w:aliases w:val="Ju_Para,Para,Left,First line:  0 cm"/>
    <w:basedOn w:val="Normalny"/>
    <w:link w:val="JuParaCar"/>
    <w:uiPriority w:val="12"/>
    <w:qFormat/>
    <w:rsid w:val="00EE41E1"/>
    <w:pPr>
      <w:spacing w:after="0" w:line="240" w:lineRule="auto"/>
      <w:ind w:firstLine="284"/>
      <w:jc w:val="both"/>
    </w:pPr>
    <w:rPr>
      <w:rFonts w:eastAsiaTheme="minorEastAsia"/>
      <w:sz w:val="24"/>
      <w:lang w:val="en-US"/>
    </w:rPr>
  </w:style>
  <w:style w:type="character" w:customStyle="1" w:styleId="JuParaCar">
    <w:name w:val="Ju_Para Car"/>
    <w:basedOn w:val="Domylnaczcionkaakapitu"/>
    <w:link w:val="ECHRPara"/>
    <w:uiPriority w:val="12"/>
    <w:locked/>
    <w:rsid w:val="00EE41E1"/>
    <w:rPr>
      <w:rFonts w:eastAsiaTheme="minorEastAsia"/>
      <w:sz w:val="24"/>
      <w:lang w:val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65852"/>
    <w:pPr>
      <w:spacing w:after="0" w:line="240" w:lineRule="auto"/>
    </w:pPr>
    <w:rPr>
      <w:rFonts w:ascii="Consolas" w:hAnsi="Consolas"/>
      <w:sz w:val="20"/>
      <w:szCs w:val="20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65852"/>
    <w:rPr>
      <w:rFonts w:ascii="Consolas" w:hAnsi="Consolas"/>
      <w:sz w:val="20"/>
      <w:szCs w:val="20"/>
      <w:lang w:val="pl-PL"/>
    </w:rPr>
  </w:style>
  <w:style w:type="character" w:customStyle="1" w:styleId="wordhighlighted">
    <w:name w:val="wordhighlighted"/>
    <w:basedOn w:val="Domylnaczcionkaakapitu"/>
    <w:rsid w:val="00D24A73"/>
  </w:style>
  <w:style w:type="paragraph" w:customStyle="1" w:styleId="ClinContent">
    <w:name w:val="ClinContent"/>
    <w:basedOn w:val="Normalny"/>
    <w:qFormat/>
    <w:rsid w:val="0087390C"/>
    <w:pPr>
      <w:spacing w:before="240"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en-GB"/>
    </w:rPr>
  </w:style>
  <w:style w:type="character" w:customStyle="1" w:styleId="ClinHeadNote">
    <w:name w:val="ClinHeadNote"/>
    <w:basedOn w:val="Domylnaczcionkaakapitu"/>
    <w:qFormat/>
    <w:rsid w:val="009E215A"/>
    <w:rPr>
      <w:rFonts w:ascii="Times New Roman" w:hAnsi="Times New Roman" w:cs="Times New Roman" w:hint="default"/>
    </w:rPr>
  </w:style>
  <w:style w:type="character" w:customStyle="1" w:styleId="tabulatory">
    <w:name w:val="tabulatory"/>
    <w:basedOn w:val="Domylnaczcionkaakapitu"/>
    <w:rsid w:val="001E7F05"/>
  </w:style>
  <w:style w:type="character" w:customStyle="1" w:styleId="JuParaChar">
    <w:name w:val="Ju_Para Char"/>
    <w:uiPriority w:val="12"/>
    <w:locked/>
    <w:rsid w:val="00E358E0"/>
    <w:rPr>
      <w:rFonts w:ascii="MS Mincho" w:eastAsiaTheme="minorEastAsia" w:hAnsi="MS Mincho"/>
      <w:sz w:val="24"/>
    </w:rPr>
  </w:style>
  <w:style w:type="paragraph" w:customStyle="1" w:styleId="ECHRParaQuote">
    <w:name w:val="ECHR_Para_Quote"/>
    <w:aliases w:val="Ju_Quot"/>
    <w:basedOn w:val="Normalny"/>
    <w:qFormat/>
    <w:rsid w:val="00AB1559"/>
    <w:pPr>
      <w:spacing w:before="120" w:after="120" w:line="240" w:lineRule="auto"/>
      <w:ind w:left="425" w:firstLine="142"/>
      <w:jc w:val="both"/>
    </w:pPr>
    <w:rPr>
      <w:rFonts w:eastAsiaTheme="minorEastAsia"/>
      <w:sz w:val="20"/>
    </w:rPr>
  </w:style>
  <w:style w:type="paragraph" w:customStyle="1" w:styleId="s6e50bd9a">
    <w:name w:val="s6e50bd9a"/>
    <w:basedOn w:val="Normalny"/>
    <w:rsid w:val="00E6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83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44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2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52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0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046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063480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1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753863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2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66034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7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4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44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15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83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0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1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3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49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85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3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2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02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87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25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8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9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41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27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8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1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56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42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12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2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sa.gov.pl/download.php?id=139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766FA-3599-4647-B983-717A6BA1A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6904</Words>
  <Characters>39355</Characters>
  <Application>Microsoft Office Word</Application>
  <DocSecurity>0</DocSecurity>
  <Lines>327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2015-09-18T07:39:00Z</dcterms:created>
  <dcterms:modified xsi:type="dcterms:W3CDTF">2015-12-07T10:50:00Z</dcterms:modified>
  <cp:contentStatus/>
</cp:coreProperties>
</file>