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8F" w:rsidRPr="00D7274E" w:rsidRDefault="0053148F" w:rsidP="00D7274E">
      <w:pPr>
        <w:pStyle w:val="Nagwek1"/>
        <w:spacing w:line="240" w:lineRule="auto"/>
        <w:jc w:val="center"/>
        <w:rPr>
          <w:rFonts w:asciiTheme="minorHAnsi" w:hAnsiTheme="minorHAnsi"/>
          <w:lang w:val="pl-PL"/>
        </w:rPr>
      </w:pPr>
      <w:bookmarkStart w:id="0" w:name="_Toc421029254"/>
    </w:p>
    <w:p w:rsidR="0053148F" w:rsidRPr="00D7274E" w:rsidRDefault="0053148F" w:rsidP="00D7274E">
      <w:pPr>
        <w:pStyle w:val="Nagwek1"/>
        <w:spacing w:line="240" w:lineRule="auto"/>
        <w:jc w:val="center"/>
        <w:rPr>
          <w:rFonts w:asciiTheme="minorHAnsi" w:hAnsiTheme="minorHAnsi"/>
          <w:lang w:val="pl-PL"/>
        </w:rPr>
      </w:pPr>
    </w:p>
    <w:p w:rsidR="00E15455" w:rsidRPr="00D7274E" w:rsidRDefault="00FF1D0E" w:rsidP="00D7274E">
      <w:pPr>
        <w:pStyle w:val="Nagwek1"/>
        <w:spacing w:before="7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>
        <w:rPr>
          <w:rFonts w:asciiTheme="minorHAnsi" w:hAnsiTheme="minorHAnsi"/>
          <w:sz w:val="32"/>
          <w:szCs w:val="32"/>
          <w:lang w:val="pl-PL"/>
        </w:rPr>
        <w:t xml:space="preserve"> </w:t>
      </w:r>
    </w:p>
    <w:p w:rsidR="008D3934" w:rsidRPr="00D7274E" w:rsidRDefault="00E94F72" w:rsidP="00D7274E">
      <w:pPr>
        <w:pStyle w:val="Nagwek1"/>
        <w:spacing w:before="7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 w:rsidRPr="00D7274E">
        <w:rPr>
          <w:rFonts w:asciiTheme="minorHAnsi" w:hAnsiTheme="minorHAnsi"/>
          <w:sz w:val="32"/>
          <w:szCs w:val="32"/>
          <w:lang w:val="pl-PL"/>
        </w:rPr>
        <w:t>Przegląd orzecznictwa Europej</w:t>
      </w:r>
      <w:r w:rsidR="00B90E51" w:rsidRPr="00D7274E">
        <w:rPr>
          <w:rFonts w:asciiTheme="minorHAnsi" w:hAnsiTheme="minorHAnsi"/>
          <w:sz w:val="32"/>
          <w:szCs w:val="32"/>
          <w:lang w:val="pl-PL"/>
        </w:rPr>
        <w:t>skiego Trybunału Praw Człowieka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br/>
      </w:r>
      <w:r w:rsidRPr="00D7274E">
        <w:rPr>
          <w:rFonts w:asciiTheme="minorHAnsi" w:hAnsiTheme="minorHAnsi"/>
          <w:sz w:val="32"/>
          <w:szCs w:val="32"/>
          <w:lang w:val="pl-PL"/>
        </w:rPr>
        <w:t>w sprawach dotyczących państw trzecich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– </w:t>
      </w:r>
      <w:r w:rsidR="005D6FC8">
        <w:rPr>
          <w:rFonts w:asciiTheme="minorHAnsi" w:hAnsiTheme="minorHAnsi"/>
          <w:sz w:val="32"/>
          <w:szCs w:val="32"/>
          <w:lang w:val="pl-PL"/>
        </w:rPr>
        <w:t>wrzesień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2015 r.</w:t>
      </w:r>
      <w:bookmarkEnd w:id="0"/>
    </w:p>
    <w:p w:rsidR="00E15455" w:rsidRPr="00D7274E" w:rsidRDefault="00E15455" w:rsidP="00D7274E">
      <w:pPr>
        <w:spacing w:line="240" w:lineRule="auto"/>
        <w:rPr>
          <w:lang w:val="pl-PL"/>
        </w:rPr>
      </w:pPr>
    </w:p>
    <w:p w:rsidR="00E15455" w:rsidRPr="00D7274E" w:rsidRDefault="00E15455" w:rsidP="00D7274E">
      <w:pPr>
        <w:spacing w:before="600" w:line="240" w:lineRule="auto"/>
        <w:rPr>
          <w:lang w:val="pl-PL"/>
        </w:rPr>
      </w:pPr>
      <w:r w:rsidRPr="00D7274E">
        <w:rPr>
          <w:noProof/>
          <w:lang w:eastAsia="en-GB"/>
        </w:rPr>
        <w:drawing>
          <wp:inline distT="0" distB="0" distL="0" distR="0" wp14:anchorId="114DC8A2" wp14:editId="7016A971">
            <wp:extent cx="5760720" cy="38404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etpcz_lato002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455" w:rsidRPr="00D7274E" w:rsidRDefault="00E15455" w:rsidP="00D7274E">
      <w:pPr>
        <w:spacing w:before="120" w:after="360" w:line="240" w:lineRule="auto"/>
        <w:jc w:val="center"/>
        <w:rPr>
          <w:b/>
          <w:sz w:val="26"/>
          <w:lang w:val="pl-PL"/>
        </w:rPr>
      </w:pPr>
    </w:p>
    <w:p w:rsidR="00E94F72" w:rsidRPr="00D7274E" w:rsidRDefault="00E94F72" w:rsidP="00D7274E">
      <w:pPr>
        <w:spacing w:before="120" w:after="360" w:line="240" w:lineRule="auto"/>
        <w:jc w:val="center"/>
        <w:rPr>
          <w:b/>
          <w:sz w:val="26"/>
          <w:lang w:val="pl-PL"/>
        </w:rPr>
      </w:pPr>
      <w:r w:rsidRPr="00D7274E">
        <w:rPr>
          <w:b/>
          <w:sz w:val="26"/>
          <w:lang w:val="pl-PL"/>
        </w:rPr>
        <w:t xml:space="preserve">Nr </w:t>
      </w:r>
      <w:r w:rsidR="005D6FC8">
        <w:rPr>
          <w:b/>
          <w:sz w:val="26"/>
          <w:lang w:val="pl-PL"/>
        </w:rPr>
        <w:t>5</w:t>
      </w:r>
      <w:r w:rsidR="00D24F30">
        <w:rPr>
          <w:b/>
          <w:sz w:val="26"/>
          <w:lang w:val="pl-PL"/>
        </w:rPr>
        <w:t xml:space="preserve"> /</w:t>
      </w:r>
      <w:r w:rsidRPr="00D7274E">
        <w:rPr>
          <w:b/>
          <w:sz w:val="26"/>
          <w:lang w:val="pl-PL"/>
        </w:rPr>
        <w:t>2015</w:t>
      </w:r>
    </w:p>
    <w:p w:rsidR="00E15455" w:rsidRPr="00D7274E" w:rsidRDefault="00E15455" w:rsidP="00D7274E">
      <w:pPr>
        <w:spacing w:before="120" w:after="360" w:line="240" w:lineRule="auto"/>
        <w:jc w:val="both"/>
        <w:rPr>
          <w:b/>
          <w:sz w:val="26"/>
          <w:lang w:val="pl-PL"/>
        </w:rPr>
      </w:pPr>
    </w:p>
    <w:p w:rsidR="00E15455" w:rsidRPr="00D7274E" w:rsidRDefault="00E15455" w:rsidP="00D7274E">
      <w:pPr>
        <w:spacing w:before="120" w:after="360" w:line="240" w:lineRule="auto"/>
        <w:jc w:val="both"/>
        <w:rPr>
          <w:b/>
          <w:sz w:val="26"/>
          <w:lang w:val="pl-PL"/>
        </w:rPr>
      </w:pPr>
    </w:p>
    <w:p w:rsidR="00047635" w:rsidRDefault="00F47558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r w:rsidRPr="00D7274E">
        <w:rPr>
          <w:lang w:val="pl-PL"/>
        </w:rPr>
        <w:lastRenderedPageBreak/>
        <w:fldChar w:fldCharType="begin"/>
      </w:r>
      <w:r w:rsidRPr="00D7274E">
        <w:rPr>
          <w:lang w:val="pl-PL"/>
        </w:rPr>
        <w:instrText xml:space="preserve"> TOC \o "2-3" \h \z \u </w:instrText>
      </w:r>
      <w:r w:rsidRPr="00D7274E">
        <w:rPr>
          <w:lang w:val="pl-PL"/>
        </w:rPr>
        <w:fldChar w:fldCharType="separate"/>
      </w:r>
      <w:hyperlink w:anchor="_Toc432502262" w:history="1">
        <w:r w:rsidR="00047635" w:rsidRPr="00B241A0">
          <w:rPr>
            <w:rStyle w:val="Hipercze"/>
          </w:rPr>
          <w:t>1.</w:t>
        </w:r>
        <w:r w:rsidR="00047635"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="00047635" w:rsidRPr="00B241A0">
          <w:rPr>
            <w:rStyle w:val="Hipercze"/>
          </w:rPr>
          <w:t>Khlaifia i inni p. Włochom (skarga nr 16483/12), wyrok Izby z 1.09.2015 r., nieostateczny</w:t>
        </w:r>
        <w:r w:rsidR="00047635">
          <w:rPr>
            <w:webHidden/>
          </w:rPr>
          <w:tab/>
        </w:r>
        <w:r w:rsidR="00047635">
          <w:rPr>
            <w:webHidden/>
          </w:rPr>
          <w:fldChar w:fldCharType="begin"/>
        </w:r>
        <w:r w:rsidR="00047635">
          <w:rPr>
            <w:webHidden/>
          </w:rPr>
          <w:instrText xml:space="preserve"> PAGEREF _Toc432502262 \h </w:instrText>
        </w:r>
        <w:r w:rsidR="00047635">
          <w:rPr>
            <w:webHidden/>
          </w:rPr>
        </w:r>
        <w:r w:rsidR="00047635">
          <w:rPr>
            <w:webHidden/>
          </w:rPr>
          <w:fldChar w:fldCharType="separate"/>
        </w:r>
        <w:r w:rsidR="00047635">
          <w:rPr>
            <w:webHidden/>
          </w:rPr>
          <w:t>3</w:t>
        </w:r>
        <w:r w:rsidR="00047635">
          <w:rPr>
            <w:webHidden/>
          </w:rPr>
          <w:fldChar w:fldCharType="end"/>
        </w:r>
      </w:hyperlink>
    </w:p>
    <w:p w:rsidR="00047635" w:rsidRDefault="00047635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2502263" w:history="1">
        <w:r w:rsidRPr="00B241A0">
          <w:rPr>
            <w:rStyle w:val="Hipercze"/>
            <w:b/>
            <w:noProof/>
            <w:lang w:val="pl-PL"/>
          </w:rPr>
          <w:t>- naruszenie przez Włochy szeregu artykułów Konwencji (art. 3, art. 5 ust. 1, 2 i 4, art. 13) oraz art. 4 Protokołu nr 4 do Konwencji w odniesieniu do zarzutów nielegalności i poniżających warunków zatrzymania w ośrodku recepcyjnym na Lampedusie oraz odesłania do Tunezji bez indywidualnego zbadania sprawy, nielegalnych migrantów, którzy wylądowali na wybrzeżu włoskim w 2011 r. w trakcie masowego napływu migrantów w czasie wydarzeń tzw. wiosny arabskiej w Tunezji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_Toc432502263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47635" w:rsidRDefault="00047635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32502264" w:history="1">
        <w:r w:rsidRPr="00B241A0">
          <w:rPr>
            <w:rStyle w:val="Hipercze"/>
          </w:rPr>
          <w:t>2.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B241A0">
          <w:rPr>
            <w:rStyle w:val="Hipercze"/>
          </w:rPr>
          <w:t>Sérvulo &amp; Associados - Sociedade de Advogados, RL i Inni p. Portugalii (skarga nr 27013/10), wyrok Izby z dnia 3.09.2015 r.,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_Toc432502264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47635" w:rsidRDefault="00047635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2502265" w:history="1">
        <w:r w:rsidRPr="00B241A0">
          <w:rPr>
            <w:rStyle w:val="Hipercze"/>
            <w:rFonts w:eastAsiaTheme="majorEastAsia" w:cstheme="majorBidi"/>
            <w:b/>
            <w:bCs/>
            <w:noProof/>
            <w:lang w:val="pl-PL"/>
          </w:rPr>
          <w:t>- brak naruszenia art. 8 Konwencji (prawo do poszanowania życia prywatnego) w odniesieniu do zajęcia plików komputerowych oraz wiadomości e-mail w trakcie przeszukania biura kancelarii adwokackiej podjętego w ramach śledztwa dotyczącego podejrzenia o korupcję, uzyskanie niedozwolonych korzyści i pranie pieniędzy – z uwagi na fakt, iż przeszukanie i zajęcie zapisów komputerowych zostało zrekompensowane odpowiednimi gwarancjami proceduralnymi zastosowanymi w celu przeciwdziałania nadużyciom i arbitralności oraz zapewnieniu prawnej ochrony tajemnicy zawodowej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_Toc432502265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47635" w:rsidRDefault="00047635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32502266" w:history="1">
        <w:r w:rsidRPr="00B241A0">
          <w:rPr>
            <w:rStyle w:val="Hipercze"/>
          </w:rPr>
          <w:t>3.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B241A0">
          <w:rPr>
            <w:rStyle w:val="Hipercze"/>
          </w:rPr>
          <w:t>Sõro przeciwko Estonii (skarga nr 22588/08), wyrok Izby z dnia 3.09.2014 r.,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_Toc432502266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47635" w:rsidRDefault="00047635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2502267" w:history="1">
        <w:r w:rsidRPr="00B241A0">
          <w:rPr>
            <w:rStyle w:val="Hipercze"/>
            <w:rFonts w:eastAsiaTheme="majorEastAsia" w:cstheme="majorBidi"/>
            <w:b/>
            <w:bCs/>
            <w:noProof/>
            <w:lang w:val="pl-PL"/>
          </w:rPr>
          <w:t xml:space="preserve">- naruszenie art. 8 Konwencji (prawo do poszanowania życia prywatnego) w odniesieniu do opublikowania informacji o zatrudnieniu skarżącego jako kierowcy w estońskim oddziale </w:t>
        </w:r>
        <w:r w:rsidRPr="00B241A0">
          <w:rPr>
            <w:rStyle w:val="Hipercze"/>
            <w:b/>
            <w:bCs/>
            <w:noProof/>
            <w:lang w:val="pl-PL"/>
          </w:rPr>
          <w:t>Komitetu Bezpieczeństwa Państwowego (</w:t>
        </w:r>
        <w:r w:rsidRPr="00B241A0">
          <w:rPr>
            <w:rStyle w:val="Hipercze"/>
            <w:rFonts w:eastAsiaTheme="majorEastAsia" w:cstheme="majorBidi"/>
            <w:b/>
            <w:bCs/>
            <w:noProof/>
            <w:lang w:val="pl-PL"/>
          </w:rPr>
          <w:t>KGB) kilkanaście lat po odzyskaniu niepodległości przez Estonię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_Toc432502267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47635" w:rsidRDefault="00047635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32502268" w:history="1">
        <w:r w:rsidRPr="00B241A0">
          <w:rPr>
            <w:rStyle w:val="Hipercze"/>
          </w:rPr>
          <w:t>4.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B241A0">
          <w:rPr>
            <w:rStyle w:val="Hipercze"/>
          </w:rPr>
          <w:t>R.H. p. Szwecji (skarga nr 4601/14), wyrok Izby z 10.09.2015 r.,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_Toc432502268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47635" w:rsidRDefault="00047635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2502269" w:history="1">
        <w:r w:rsidRPr="00B241A0">
          <w:rPr>
            <w:rStyle w:val="Hipercze"/>
            <w:rFonts w:eastAsiaTheme="majorEastAsia" w:cstheme="majorBidi"/>
            <w:b/>
            <w:bCs/>
            <w:noProof/>
            <w:lang w:val="pl-PL"/>
          </w:rPr>
          <w:t>- brak naruszenia przez Szwecję art. 3 Konwencji (zakaz tortur) w sprawie dotyczącej odmowy przyznania skarżącej azylu na terytorium Szwecji przy równoczesnym nakazie powrotu do kraju pochodzenia tj. do Somalii;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_Toc432502269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47635" w:rsidRDefault="00047635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2502270" w:history="1">
        <w:r w:rsidRPr="00B241A0">
          <w:rPr>
            <w:rStyle w:val="Hipercze"/>
            <w:rFonts w:eastAsiaTheme="majorEastAsia" w:cstheme="majorBidi"/>
            <w:b/>
            <w:bCs/>
            <w:noProof/>
            <w:lang w:val="pl-PL"/>
          </w:rPr>
          <w:t>- zobowiązanie rządu szwedzkiego na podstawie art. 39 Regulaminu Trybunału (zarządzenia tymczasowe) do wstrzymania się z deportacją skarżącej do czasu, w którym wyrok Trybunału stanie się ostateczny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_Toc432502270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47635" w:rsidRDefault="00047635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32502271" w:history="1">
        <w:r w:rsidRPr="00B241A0">
          <w:rPr>
            <w:rStyle w:val="Hipercze"/>
          </w:rPr>
          <w:t>5.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B241A0">
          <w:rPr>
            <w:rStyle w:val="Hipercze"/>
          </w:rPr>
          <w:t>Andonoski p. Macedonii (skarga nr 16225/08), wyrok Izby z 17.09.2015 r.,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_Toc432502271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47635" w:rsidRDefault="00047635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2502272" w:history="1">
        <w:r w:rsidRPr="00B241A0">
          <w:rPr>
            <w:rStyle w:val="Hipercze"/>
            <w:rFonts w:eastAsiaTheme="majorEastAsia" w:cstheme="majorBidi"/>
            <w:b/>
            <w:bCs/>
            <w:noProof/>
            <w:lang w:val="pl-PL"/>
          </w:rPr>
          <w:t>- naruszenie art. 1 Protokołu nr 1 do Konwencji (ochrona własności) w sprawie dotyczącej automatycznej konfiskaty samochodu, który bez wiedzy i winy skarżącego został użyty do transportu nielegalnych imigrantów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_Toc432502272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bookmarkStart w:id="1" w:name="_GoBack"/>
    <w:bookmarkEnd w:id="1"/>
    <w:p w:rsidR="00047635" w:rsidRDefault="00047635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r w:rsidRPr="00B241A0">
        <w:rPr>
          <w:rStyle w:val="Hipercze"/>
        </w:rPr>
        <w:fldChar w:fldCharType="begin"/>
      </w:r>
      <w:r w:rsidRPr="00B241A0">
        <w:rPr>
          <w:rStyle w:val="Hipercze"/>
        </w:rPr>
        <w:instrText xml:space="preserve"> </w:instrText>
      </w:r>
      <w:r>
        <w:instrText>HYPERLINK \l "_Toc432502273"</w:instrText>
      </w:r>
      <w:r w:rsidRPr="00B241A0">
        <w:rPr>
          <w:rStyle w:val="Hipercze"/>
        </w:rPr>
        <w:instrText xml:space="preserve"> </w:instrText>
      </w:r>
      <w:r w:rsidRPr="00B241A0">
        <w:rPr>
          <w:rStyle w:val="Hipercze"/>
        </w:rPr>
      </w:r>
      <w:r w:rsidRPr="00B241A0">
        <w:rPr>
          <w:rStyle w:val="Hipercze"/>
        </w:rPr>
        <w:fldChar w:fldCharType="separate"/>
      </w:r>
      <w:r w:rsidRPr="00B241A0">
        <w:rPr>
          <w:rStyle w:val="Hipercze"/>
        </w:rPr>
        <w:t>6.</w:t>
      </w:r>
      <w:r>
        <w:rPr>
          <w:rFonts w:eastAsiaTheme="minorEastAsia"/>
          <w:smallCaps w:val="0"/>
          <w:color w:val="auto"/>
          <w:sz w:val="22"/>
          <w:szCs w:val="22"/>
          <w:lang w:eastAsia="en-GB"/>
        </w:rPr>
        <w:tab/>
      </w:r>
      <w:r w:rsidRPr="00B241A0">
        <w:rPr>
          <w:rStyle w:val="Hipercze"/>
        </w:rPr>
        <w:t>Nabil i Inni przeciwko Węgrom, skarga nr 62116/12, wyrok Izby z 22.09.2015 r., nieostateczny</w:t>
      </w:r>
      <w:r>
        <w:rPr>
          <w:webHidden/>
        </w:rPr>
        <w:tab/>
      </w:r>
      <w:r>
        <w:rPr>
          <w:webHidden/>
        </w:rPr>
        <w:fldChar w:fldCharType="begin"/>
      </w:r>
      <w:r>
        <w:rPr>
          <w:webHidden/>
        </w:rPr>
        <w:instrText xml:space="preserve"> PAGEREF _Toc432502273 \h </w:instrText>
      </w:r>
      <w:r>
        <w:rPr>
          <w:webHidden/>
        </w:rPr>
      </w:r>
      <w:r>
        <w:rPr>
          <w:webHidden/>
        </w:rPr>
        <w:fldChar w:fldCharType="separate"/>
      </w:r>
      <w:r>
        <w:rPr>
          <w:webHidden/>
        </w:rPr>
        <w:t>14</w:t>
      </w:r>
      <w:r>
        <w:rPr>
          <w:webHidden/>
        </w:rPr>
        <w:fldChar w:fldCharType="end"/>
      </w:r>
      <w:r w:rsidRPr="00B241A0">
        <w:rPr>
          <w:rStyle w:val="Hipercze"/>
        </w:rPr>
        <w:fldChar w:fldCharType="end"/>
      </w:r>
    </w:p>
    <w:p w:rsidR="00047635" w:rsidRDefault="00047635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2502274" w:history="1">
        <w:r w:rsidRPr="00B241A0">
          <w:rPr>
            <w:rStyle w:val="Hipercze"/>
            <w:rFonts w:eastAsiaTheme="majorEastAsia" w:cstheme="majorBidi"/>
            <w:b/>
            <w:bCs/>
            <w:noProof/>
            <w:lang w:val="pl-PL"/>
          </w:rPr>
          <w:t>- naruszenie art. 5 ust. 1 Konwencji (prawo do wolności i bezpieczeństwa osobistego) z uwagi na przedłużanie przez sądy zatrzymania cudzoziemców umieszczonych w strzeżonym ośrodku w celu wydalenia w oparciu o wciąż te same ogólne podstawy zatrzymania i bez odpowiedniego uzasadnienia powołującego się na konkretne okoliczności sprawy i sytuacji skarżących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_Toc432502274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47635" w:rsidRDefault="00047635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32502275" w:history="1">
        <w:r w:rsidRPr="00B241A0">
          <w:rPr>
            <w:rStyle w:val="Hipercze"/>
          </w:rPr>
          <w:t>7.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B241A0">
          <w:rPr>
            <w:rStyle w:val="Hipercze"/>
          </w:rPr>
          <w:t>Novaković p. Chorwacji (skarga nr 32096/12), wyrok Izby z dnia 23 lipca 2015 r.,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_Toc432502275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047635" w:rsidRDefault="00047635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2502276" w:history="1">
        <w:r w:rsidRPr="00B241A0">
          <w:rPr>
            <w:rStyle w:val="Hipercze"/>
            <w:rFonts w:eastAsiaTheme="majorEastAsia" w:cstheme="majorBidi"/>
            <w:b/>
            <w:bCs/>
            <w:noProof/>
            <w:lang w:val="pl-PL"/>
          </w:rPr>
          <w:t>- brak naruszenia art. 6 ust. 1 Konwencji (prawo do rzetelnego procesu sądowego) w odniesieniu do uznania przez sądy krajowe za przedawnione roszczenia skarżącego, który opuścił kraj zamieszkania na kilka lat z uwagi na zagrożenie bezpieczeństwa, jednak nie wykorzystał istniejących możliwości dochodzenia roszczeń w terminie za pośrednictwem innych osób lub korespondencyjnie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_Toc432502276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8C1766" w:rsidRDefault="00F47558" w:rsidP="00D7274E">
      <w:pPr>
        <w:spacing w:after="120" w:line="240" w:lineRule="auto"/>
        <w:jc w:val="both"/>
        <w:rPr>
          <w:smallCaps/>
          <w:sz w:val="20"/>
          <w:szCs w:val="20"/>
          <w:lang w:val="pl-PL"/>
        </w:rPr>
      </w:pPr>
      <w:r w:rsidRPr="00D7274E">
        <w:rPr>
          <w:smallCaps/>
          <w:sz w:val="20"/>
          <w:szCs w:val="20"/>
          <w:lang w:val="pl-PL"/>
        </w:rPr>
        <w:fldChar w:fldCharType="end"/>
      </w:r>
    </w:p>
    <w:p w:rsidR="001C62BE" w:rsidRPr="00D7274E" w:rsidRDefault="001C62BE" w:rsidP="00D7274E">
      <w:pPr>
        <w:spacing w:after="120" w:line="240" w:lineRule="auto"/>
        <w:jc w:val="both"/>
        <w:rPr>
          <w:smallCaps/>
          <w:sz w:val="20"/>
          <w:szCs w:val="20"/>
          <w:lang w:val="pl-PL"/>
        </w:rPr>
      </w:pPr>
    </w:p>
    <w:p w:rsidR="00DC385D" w:rsidRPr="002C6710" w:rsidRDefault="002C6710" w:rsidP="00DC385D">
      <w:pPr>
        <w:pStyle w:val="Nagwek2"/>
        <w:numPr>
          <w:ilvl w:val="0"/>
          <w:numId w:val="1"/>
        </w:numPr>
      </w:pPr>
      <w:bookmarkStart w:id="2" w:name="_Toc432502262"/>
      <w:proofErr w:type="spellStart"/>
      <w:r w:rsidRPr="002C6710">
        <w:lastRenderedPageBreak/>
        <w:t>Khlaifia</w:t>
      </w:r>
      <w:proofErr w:type="spellEnd"/>
      <w:r w:rsidRPr="002C6710">
        <w:t xml:space="preserve"> i inni p. Włochom (skarga nr </w:t>
      </w:r>
      <w:r w:rsidRPr="00422996">
        <w:t>16483/12),</w:t>
      </w:r>
      <w:r w:rsidR="00DC385D" w:rsidRPr="002C6710">
        <w:t xml:space="preserve"> wyrok </w:t>
      </w:r>
      <w:r w:rsidRPr="002C6710">
        <w:t xml:space="preserve">Izby </w:t>
      </w:r>
      <w:r w:rsidR="00DC385D" w:rsidRPr="002C6710">
        <w:t>z 1.09.2015 r.</w:t>
      </w:r>
      <w:r w:rsidRPr="002C6710">
        <w:t>, nieostateczny</w:t>
      </w:r>
      <w:bookmarkEnd w:id="2"/>
    </w:p>
    <w:p w:rsidR="00DC385D" w:rsidRPr="002615CC" w:rsidRDefault="00DF5B53" w:rsidP="002615CC">
      <w:pPr>
        <w:keepNext/>
        <w:keepLines/>
        <w:spacing w:after="240" w:line="240" w:lineRule="auto"/>
        <w:jc w:val="both"/>
        <w:outlineLvl w:val="2"/>
        <w:rPr>
          <w:b/>
          <w:color w:val="000000" w:themeColor="text1"/>
          <w:lang w:val="pl-PL"/>
        </w:rPr>
      </w:pPr>
      <w:bookmarkStart w:id="3" w:name="_Toc432502263"/>
      <w:r w:rsidRPr="002615CC">
        <w:rPr>
          <w:b/>
          <w:color w:val="000000" w:themeColor="text1"/>
          <w:lang w:val="pl-PL"/>
        </w:rPr>
        <w:t xml:space="preserve">- </w:t>
      </w:r>
      <w:r w:rsidR="00DC385D" w:rsidRPr="002615CC">
        <w:rPr>
          <w:b/>
          <w:color w:val="000000" w:themeColor="text1"/>
          <w:lang w:val="pl-PL"/>
        </w:rPr>
        <w:t xml:space="preserve">naruszenie przez Włochy szeregu artykułów </w:t>
      </w:r>
      <w:r w:rsidRPr="002615CC">
        <w:rPr>
          <w:b/>
          <w:color w:val="000000" w:themeColor="text1"/>
          <w:lang w:val="pl-PL"/>
        </w:rPr>
        <w:t xml:space="preserve">Konwencji </w:t>
      </w:r>
      <w:r w:rsidR="003A5689">
        <w:rPr>
          <w:b/>
          <w:color w:val="000000" w:themeColor="text1"/>
          <w:lang w:val="pl-PL"/>
        </w:rPr>
        <w:t xml:space="preserve">(art. 3, </w:t>
      </w:r>
      <w:r w:rsidR="00EE7260">
        <w:rPr>
          <w:b/>
          <w:color w:val="000000" w:themeColor="text1"/>
          <w:lang w:val="pl-PL"/>
        </w:rPr>
        <w:t xml:space="preserve">art. </w:t>
      </w:r>
      <w:r w:rsidR="003A5689">
        <w:rPr>
          <w:b/>
          <w:color w:val="000000" w:themeColor="text1"/>
          <w:lang w:val="pl-PL"/>
        </w:rPr>
        <w:t>5 ust. 1, 2 i 4</w:t>
      </w:r>
      <w:r w:rsidR="00EE7260">
        <w:rPr>
          <w:b/>
          <w:color w:val="000000" w:themeColor="text1"/>
          <w:lang w:val="pl-PL"/>
        </w:rPr>
        <w:t xml:space="preserve">, </w:t>
      </w:r>
      <w:r w:rsidR="003A5689">
        <w:rPr>
          <w:b/>
          <w:color w:val="000000" w:themeColor="text1"/>
          <w:lang w:val="pl-PL"/>
        </w:rPr>
        <w:t xml:space="preserve">art. 13) oraz art. 4 Protokołu nr 4 do Konwencji </w:t>
      </w:r>
      <w:r w:rsidRPr="002615CC">
        <w:rPr>
          <w:b/>
          <w:color w:val="000000" w:themeColor="text1"/>
          <w:lang w:val="pl-PL"/>
        </w:rPr>
        <w:t>w odniesieniu do</w:t>
      </w:r>
      <w:r w:rsidR="004B6236">
        <w:rPr>
          <w:b/>
          <w:color w:val="000000" w:themeColor="text1"/>
          <w:lang w:val="pl-PL"/>
        </w:rPr>
        <w:t xml:space="preserve"> </w:t>
      </w:r>
      <w:r w:rsidR="003A5689">
        <w:rPr>
          <w:b/>
          <w:color w:val="000000" w:themeColor="text1"/>
          <w:lang w:val="pl-PL"/>
        </w:rPr>
        <w:t xml:space="preserve">zarzutów </w:t>
      </w:r>
      <w:r w:rsidR="00675B62">
        <w:rPr>
          <w:b/>
          <w:color w:val="000000" w:themeColor="text1"/>
          <w:lang w:val="pl-PL"/>
        </w:rPr>
        <w:t>nie</w:t>
      </w:r>
      <w:r w:rsidR="004B6236">
        <w:rPr>
          <w:b/>
          <w:color w:val="000000" w:themeColor="text1"/>
          <w:lang w:val="pl-PL"/>
        </w:rPr>
        <w:t xml:space="preserve">legalności i </w:t>
      </w:r>
      <w:r w:rsidR="00675B62">
        <w:rPr>
          <w:b/>
          <w:color w:val="000000" w:themeColor="text1"/>
          <w:lang w:val="pl-PL"/>
        </w:rPr>
        <w:t xml:space="preserve">poniżających </w:t>
      </w:r>
      <w:r w:rsidR="004B6236">
        <w:rPr>
          <w:b/>
          <w:color w:val="000000" w:themeColor="text1"/>
          <w:lang w:val="pl-PL"/>
        </w:rPr>
        <w:t>warunków</w:t>
      </w:r>
      <w:r w:rsidRPr="002615CC">
        <w:rPr>
          <w:b/>
          <w:color w:val="000000" w:themeColor="text1"/>
          <w:lang w:val="pl-PL"/>
        </w:rPr>
        <w:t xml:space="preserve"> zatrzymania w ośrodku recepcyjnym na Lampedusie </w:t>
      </w:r>
      <w:r w:rsidR="004B6236">
        <w:rPr>
          <w:b/>
          <w:color w:val="000000" w:themeColor="text1"/>
          <w:lang w:val="pl-PL"/>
        </w:rPr>
        <w:t>oraz odesłania</w:t>
      </w:r>
      <w:r w:rsidRPr="002615CC">
        <w:rPr>
          <w:b/>
          <w:color w:val="000000" w:themeColor="text1"/>
          <w:lang w:val="pl-PL"/>
        </w:rPr>
        <w:t xml:space="preserve"> do Tunezji </w:t>
      </w:r>
      <w:r w:rsidR="004B6236">
        <w:rPr>
          <w:b/>
          <w:color w:val="000000" w:themeColor="text1"/>
          <w:lang w:val="pl-PL"/>
        </w:rPr>
        <w:t>bez indywidualnego zbadania sprawy</w:t>
      </w:r>
      <w:r w:rsidR="002E276F">
        <w:rPr>
          <w:b/>
          <w:color w:val="000000" w:themeColor="text1"/>
          <w:lang w:val="pl-PL"/>
        </w:rPr>
        <w:t>,</w:t>
      </w:r>
      <w:r w:rsidR="00EE7260">
        <w:rPr>
          <w:b/>
          <w:color w:val="000000" w:themeColor="text1"/>
          <w:lang w:val="pl-PL"/>
        </w:rPr>
        <w:t xml:space="preserve"> </w:t>
      </w:r>
      <w:r w:rsidR="00EE7260" w:rsidRPr="002615CC">
        <w:rPr>
          <w:b/>
          <w:color w:val="000000" w:themeColor="text1"/>
          <w:lang w:val="pl-PL"/>
        </w:rPr>
        <w:t>nielegalnych migrantów</w:t>
      </w:r>
      <w:r w:rsidRPr="002615CC">
        <w:rPr>
          <w:b/>
          <w:color w:val="000000" w:themeColor="text1"/>
          <w:lang w:val="pl-PL"/>
        </w:rPr>
        <w:t xml:space="preserve">, którzy wylądowali na wybrzeżu włoskim w 2011 r. </w:t>
      </w:r>
      <w:r w:rsidR="003A5689">
        <w:rPr>
          <w:b/>
          <w:color w:val="000000" w:themeColor="text1"/>
          <w:lang w:val="pl-PL"/>
        </w:rPr>
        <w:t xml:space="preserve">w trakcie masowego napływu migrantów </w:t>
      </w:r>
      <w:r w:rsidRPr="002615CC">
        <w:rPr>
          <w:b/>
          <w:color w:val="000000" w:themeColor="text1"/>
          <w:lang w:val="pl-PL"/>
        </w:rPr>
        <w:t>w czasie wydarzeń tzw. wiosny arabskiej w Tunezji</w:t>
      </w:r>
      <w:bookmarkEnd w:id="3"/>
    </w:p>
    <w:p w:rsidR="002615CC" w:rsidRPr="005A34CD" w:rsidRDefault="002615CC" w:rsidP="002615CC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 w:rsidRPr="005A34CD">
        <w:rPr>
          <w:rFonts w:ascii="Calibri" w:hAnsi="Calibri"/>
          <w:color w:val="000000"/>
          <w:u w:val="single"/>
          <w:lang w:val="pl-PL"/>
        </w:rPr>
        <w:t xml:space="preserve">Stan faktyczny </w:t>
      </w:r>
    </w:p>
    <w:p w:rsidR="00A37F27" w:rsidRDefault="00DC385D" w:rsidP="00DC385D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Style w:val="s6b621b36"/>
          <w:rFonts w:ascii="Calibri" w:hAnsi="Calibri"/>
          <w:lang w:val="pl-PL"/>
        </w:rPr>
        <w:t xml:space="preserve">Sprawa dotyczyła warunków </w:t>
      </w:r>
      <w:r w:rsidR="002615CC">
        <w:rPr>
          <w:rStyle w:val="s6b621b36"/>
          <w:rFonts w:ascii="Calibri" w:hAnsi="Calibri"/>
          <w:lang w:val="pl-PL"/>
        </w:rPr>
        <w:t>zatrzymania</w:t>
      </w:r>
      <w:r w:rsidRPr="00CB6357">
        <w:rPr>
          <w:rStyle w:val="s6b621b36"/>
          <w:rFonts w:ascii="Calibri" w:hAnsi="Calibri"/>
          <w:lang w:val="pl-PL"/>
        </w:rPr>
        <w:t xml:space="preserve"> w </w:t>
      </w:r>
      <w:r w:rsidR="00C413B4">
        <w:rPr>
          <w:rStyle w:val="s6b621b36"/>
          <w:rFonts w:ascii="Calibri" w:hAnsi="Calibri"/>
          <w:lang w:val="pl-PL"/>
        </w:rPr>
        <w:t>ośrodku</w:t>
      </w:r>
      <w:r w:rsidRPr="00CB6357">
        <w:rPr>
          <w:rStyle w:val="s6b621b36"/>
          <w:rFonts w:ascii="Calibri" w:hAnsi="Calibri"/>
          <w:lang w:val="pl-PL"/>
        </w:rPr>
        <w:t xml:space="preserve"> recepcyjnym na Lampedu</w:t>
      </w:r>
      <w:r w:rsidR="0095635F">
        <w:rPr>
          <w:rStyle w:val="s6b621b36"/>
          <w:rFonts w:ascii="Calibri" w:hAnsi="Calibri"/>
          <w:lang w:val="pl-PL"/>
        </w:rPr>
        <w:t>s</w:t>
      </w:r>
      <w:r w:rsidRPr="00CB6357">
        <w:rPr>
          <w:rStyle w:val="s6b621b36"/>
          <w:rFonts w:ascii="Calibri" w:hAnsi="Calibri"/>
          <w:lang w:val="pl-PL"/>
        </w:rPr>
        <w:t xml:space="preserve">ie oraz na statkach zacumowanych w porcie w Palermo, a następnie wydalenia do Tunezji </w:t>
      </w:r>
      <w:r w:rsidR="00211921">
        <w:rPr>
          <w:rStyle w:val="s6b621b36"/>
          <w:rFonts w:ascii="Calibri" w:hAnsi="Calibri"/>
          <w:lang w:val="pl-PL"/>
        </w:rPr>
        <w:t xml:space="preserve">bez indywidualnego rozpatrzenia sprawy, </w:t>
      </w:r>
      <w:r w:rsidRPr="00CB6357">
        <w:rPr>
          <w:rStyle w:val="s6b621b36"/>
          <w:rFonts w:ascii="Calibri" w:hAnsi="Calibri"/>
          <w:lang w:val="pl-PL"/>
        </w:rPr>
        <w:t xml:space="preserve">trzech obywateli tego państwa, którzy </w:t>
      </w:r>
      <w:r w:rsidR="0095635F" w:rsidRPr="00CB6357">
        <w:rPr>
          <w:rStyle w:val="s6b621b36"/>
          <w:rFonts w:ascii="Calibri" w:hAnsi="Calibri"/>
          <w:lang w:val="pl-PL"/>
        </w:rPr>
        <w:t>w dniach 16-17 września 2011 r.</w:t>
      </w:r>
      <w:r w:rsidR="0095635F">
        <w:rPr>
          <w:rStyle w:val="s6b621b36"/>
          <w:rFonts w:ascii="Calibri" w:hAnsi="Calibri"/>
          <w:lang w:val="pl-PL"/>
        </w:rPr>
        <w:t xml:space="preserve"> </w:t>
      </w:r>
      <w:r w:rsidRPr="00CB6357">
        <w:rPr>
          <w:rStyle w:val="s6b621b36"/>
          <w:rFonts w:ascii="Calibri" w:hAnsi="Calibri"/>
          <w:lang w:val="pl-PL"/>
        </w:rPr>
        <w:t xml:space="preserve">podjęli próbę przedostania się </w:t>
      </w:r>
      <w:r w:rsidR="002615CC" w:rsidRPr="00CB6357">
        <w:rPr>
          <w:rStyle w:val="s6b621b36"/>
          <w:rFonts w:ascii="Calibri" w:hAnsi="Calibri"/>
          <w:lang w:val="pl-PL"/>
        </w:rPr>
        <w:t xml:space="preserve">na statkach </w:t>
      </w:r>
      <w:r w:rsidR="002E276F" w:rsidRPr="00CB6357">
        <w:rPr>
          <w:rStyle w:val="s6b621b36"/>
          <w:rFonts w:ascii="Calibri" w:hAnsi="Calibri"/>
          <w:lang w:val="pl-PL"/>
        </w:rPr>
        <w:t xml:space="preserve">przez Morze Śródziemne </w:t>
      </w:r>
      <w:r w:rsidRPr="00CB6357">
        <w:rPr>
          <w:rStyle w:val="s6b621b36"/>
          <w:rFonts w:ascii="Calibri" w:hAnsi="Calibri"/>
          <w:lang w:val="pl-PL"/>
        </w:rPr>
        <w:t>do Europy</w:t>
      </w:r>
      <w:r w:rsidR="0095635F">
        <w:rPr>
          <w:rStyle w:val="s6b621b36"/>
          <w:rFonts w:ascii="Calibri" w:hAnsi="Calibri"/>
          <w:lang w:val="pl-PL"/>
        </w:rPr>
        <w:t>.</w:t>
      </w:r>
      <w:r w:rsidRPr="00CB6357">
        <w:rPr>
          <w:rStyle w:val="s6b621b36"/>
          <w:rFonts w:ascii="Calibri" w:hAnsi="Calibri"/>
          <w:lang w:val="pl-PL"/>
        </w:rPr>
        <w:t xml:space="preserve"> Przechwyceni przez władze włoskie zostali przekazani do </w:t>
      </w:r>
      <w:r w:rsidRPr="00CB6357">
        <w:rPr>
          <w:rFonts w:ascii="Calibri" w:hAnsi="Calibri"/>
          <w:color w:val="000000"/>
          <w:lang w:val="pl-PL"/>
        </w:rPr>
        <w:t>"</w:t>
      </w:r>
      <w:r w:rsidR="002615CC">
        <w:rPr>
          <w:rFonts w:ascii="Calibri" w:hAnsi="Calibri"/>
          <w:color w:val="000000"/>
          <w:lang w:val="pl-PL"/>
        </w:rPr>
        <w:t>o</w:t>
      </w:r>
      <w:r w:rsidR="00C413B4">
        <w:rPr>
          <w:rFonts w:ascii="Calibri" w:hAnsi="Calibri"/>
          <w:color w:val="000000"/>
          <w:lang w:val="pl-PL"/>
        </w:rPr>
        <w:t>środka</w:t>
      </w:r>
      <w:r w:rsidRPr="00CB6357">
        <w:rPr>
          <w:rFonts w:ascii="Calibri" w:hAnsi="Calibri"/>
          <w:color w:val="000000"/>
          <w:lang w:val="pl-PL"/>
        </w:rPr>
        <w:t xml:space="preserve"> pomocy i pierwszego przyjęcia" do czasu dalszej decyzji. </w:t>
      </w:r>
      <w:r w:rsidR="00A37F27">
        <w:rPr>
          <w:rFonts w:ascii="Calibri" w:hAnsi="Calibri"/>
          <w:color w:val="000000"/>
          <w:lang w:val="pl-PL"/>
        </w:rPr>
        <w:t xml:space="preserve">Według skarżących warunki pobytu </w:t>
      </w:r>
      <w:r w:rsidR="00211921">
        <w:rPr>
          <w:rFonts w:ascii="Calibri" w:hAnsi="Calibri"/>
          <w:color w:val="000000"/>
          <w:lang w:val="pl-PL"/>
        </w:rPr>
        <w:t xml:space="preserve">w ośrodku </w:t>
      </w:r>
      <w:r w:rsidR="00A37F27">
        <w:rPr>
          <w:rFonts w:ascii="Calibri" w:hAnsi="Calibri"/>
          <w:color w:val="000000"/>
          <w:lang w:val="pl-PL"/>
        </w:rPr>
        <w:t xml:space="preserve">były straszne </w:t>
      </w:r>
      <w:r w:rsidR="002E276F">
        <w:rPr>
          <w:rFonts w:ascii="Calibri" w:hAnsi="Calibri"/>
          <w:color w:val="000000"/>
          <w:lang w:val="pl-PL"/>
        </w:rPr>
        <w:t>(</w:t>
      </w:r>
      <w:r w:rsidR="00A37F27">
        <w:rPr>
          <w:rFonts w:ascii="Calibri" w:hAnsi="Calibri"/>
          <w:color w:val="000000"/>
          <w:lang w:val="pl-PL"/>
        </w:rPr>
        <w:t>brak drzwi oddzielających toalety i prysznice od pozostałych pomieszczeń, ograniczone dostawy</w:t>
      </w:r>
      <w:r w:rsidR="00ED4BB5">
        <w:rPr>
          <w:rFonts w:ascii="Calibri" w:hAnsi="Calibri"/>
          <w:color w:val="000000"/>
          <w:lang w:val="pl-PL"/>
        </w:rPr>
        <w:t xml:space="preserve"> </w:t>
      </w:r>
      <w:r w:rsidR="00A37F27">
        <w:rPr>
          <w:rFonts w:ascii="Calibri" w:hAnsi="Calibri"/>
          <w:color w:val="000000"/>
          <w:lang w:val="pl-PL"/>
        </w:rPr>
        <w:t>wody, przeludnienie powodujące konieczność spania na podłodze, brak kontaktu ze światem zewnętrznym</w:t>
      </w:r>
      <w:r w:rsidR="002E276F">
        <w:rPr>
          <w:rFonts w:ascii="Calibri" w:hAnsi="Calibri"/>
          <w:color w:val="000000"/>
          <w:lang w:val="pl-PL"/>
        </w:rPr>
        <w:t>)</w:t>
      </w:r>
      <w:r w:rsidR="00A37F27">
        <w:rPr>
          <w:rFonts w:ascii="Calibri" w:hAnsi="Calibri"/>
          <w:color w:val="000000"/>
          <w:lang w:val="pl-PL"/>
        </w:rPr>
        <w:t xml:space="preserve">. </w:t>
      </w:r>
    </w:p>
    <w:p w:rsidR="00DC385D" w:rsidRDefault="00DC385D" w:rsidP="00DC385D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>W międzyczasie doszło do zamieszek</w:t>
      </w:r>
      <w:r w:rsidRPr="00CB6357">
        <w:rPr>
          <w:rFonts w:ascii="Calibri" w:hAnsi="Calibri"/>
          <w:lang w:val="pl-PL"/>
        </w:rPr>
        <w:t>,</w:t>
      </w:r>
      <w:r w:rsidRPr="00CB6357">
        <w:rPr>
          <w:rFonts w:ascii="Calibri" w:hAnsi="Calibri"/>
          <w:color w:val="000000"/>
          <w:lang w:val="pl-PL"/>
        </w:rPr>
        <w:t xml:space="preserve"> a następnie podpalenia ośrodka. Tunezyjczyków tymcza</w:t>
      </w:r>
      <w:r w:rsidR="00A37F27">
        <w:rPr>
          <w:rFonts w:ascii="Calibri" w:hAnsi="Calibri"/>
          <w:color w:val="000000"/>
          <w:lang w:val="pl-PL"/>
        </w:rPr>
        <w:t>sowo ulokowano w hali sportowej.</w:t>
      </w:r>
      <w:r w:rsidR="002924D5">
        <w:rPr>
          <w:rFonts w:ascii="Calibri" w:hAnsi="Calibri"/>
          <w:color w:val="000000"/>
          <w:lang w:val="pl-PL"/>
        </w:rPr>
        <w:t xml:space="preserve"> Skarżący</w:t>
      </w:r>
      <w:r w:rsidR="00A37F27">
        <w:rPr>
          <w:rFonts w:ascii="Calibri" w:hAnsi="Calibri"/>
          <w:color w:val="000000"/>
          <w:lang w:val="pl-PL"/>
        </w:rPr>
        <w:t xml:space="preserve"> </w:t>
      </w:r>
      <w:r w:rsidR="002924D5">
        <w:rPr>
          <w:rFonts w:ascii="Calibri" w:hAnsi="Calibri"/>
          <w:color w:val="000000"/>
          <w:lang w:val="pl-PL"/>
        </w:rPr>
        <w:t>u</w:t>
      </w:r>
      <w:r w:rsidR="00A37F27">
        <w:rPr>
          <w:rFonts w:ascii="Calibri" w:hAnsi="Calibri"/>
          <w:color w:val="000000"/>
          <w:lang w:val="pl-PL"/>
        </w:rPr>
        <w:t xml:space="preserve">czestniczyli w protestach </w:t>
      </w:r>
      <w:r w:rsidR="002615CC">
        <w:rPr>
          <w:rFonts w:ascii="Calibri" w:hAnsi="Calibri"/>
          <w:color w:val="000000"/>
          <w:lang w:val="pl-PL"/>
        </w:rPr>
        <w:t xml:space="preserve">wraz </w:t>
      </w:r>
      <w:r w:rsidR="00A37F27">
        <w:rPr>
          <w:rFonts w:ascii="Calibri" w:hAnsi="Calibri"/>
          <w:color w:val="000000"/>
          <w:lang w:val="pl-PL"/>
        </w:rPr>
        <w:t>z innymi 1800 migrantami, po czym zostali zatrzymani przez policję. T</w:t>
      </w:r>
      <w:r w:rsidRPr="00CB6357">
        <w:rPr>
          <w:rFonts w:ascii="Calibri" w:hAnsi="Calibri"/>
          <w:color w:val="000000"/>
          <w:lang w:val="pl-PL"/>
        </w:rPr>
        <w:t xml:space="preserve">ransportem lotniczym </w:t>
      </w:r>
      <w:r w:rsidR="00A37F27">
        <w:rPr>
          <w:rFonts w:ascii="Calibri" w:hAnsi="Calibri"/>
          <w:color w:val="000000"/>
          <w:lang w:val="pl-PL"/>
        </w:rPr>
        <w:t>przewieziono ich na statki zakotwiczone koło</w:t>
      </w:r>
      <w:r w:rsidRPr="00CB6357">
        <w:rPr>
          <w:rFonts w:ascii="Calibri" w:hAnsi="Calibri"/>
          <w:color w:val="000000"/>
          <w:lang w:val="pl-PL"/>
        </w:rPr>
        <w:t xml:space="preserve"> Palermo,</w:t>
      </w:r>
      <w:r w:rsidR="00A37F27">
        <w:rPr>
          <w:rFonts w:ascii="Calibri" w:hAnsi="Calibri"/>
          <w:color w:val="000000"/>
          <w:lang w:val="pl-PL"/>
        </w:rPr>
        <w:t xml:space="preserve"> gdzie spędzili </w:t>
      </w:r>
      <w:r w:rsidR="00186F5F">
        <w:rPr>
          <w:rFonts w:ascii="Calibri" w:hAnsi="Calibri"/>
          <w:color w:val="000000"/>
          <w:lang w:val="pl-PL"/>
        </w:rPr>
        <w:t xml:space="preserve">6-8 </w:t>
      </w:r>
      <w:r w:rsidR="00A37F27">
        <w:rPr>
          <w:rFonts w:ascii="Calibri" w:hAnsi="Calibri"/>
          <w:color w:val="000000"/>
          <w:lang w:val="pl-PL"/>
        </w:rPr>
        <w:t>dni</w:t>
      </w:r>
      <w:r w:rsidR="00D7655C">
        <w:rPr>
          <w:rFonts w:ascii="Calibri" w:hAnsi="Calibri"/>
          <w:color w:val="000000"/>
          <w:lang w:val="pl-PL"/>
        </w:rPr>
        <w:t xml:space="preserve"> </w:t>
      </w:r>
      <w:r w:rsidR="002615CC">
        <w:rPr>
          <w:rFonts w:ascii="Calibri" w:hAnsi="Calibri"/>
          <w:color w:val="000000"/>
          <w:lang w:val="pl-PL"/>
        </w:rPr>
        <w:t xml:space="preserve">– jak twierdzą – </w:t>
      </w:r>
      <w:r w:rsidR="00D7655C">
        <w:rPr>
          <w:rFonts w:ascii="Calibri" w:hAnsi="Calibri"/>
          <w:color w:val="000000"/>
          <w:lang w:val="pl-PL"/>
        </w:rPr>
        <w:t xml:space="preserve">w warunkach </w:t>
      </w:r>
      <w:r w:rsidR="006651E4">
        <w:rPr>
          <w:rFonts w:ascii="Calibri" w:hAnsi="Calibri"/>
          <w:color w:val="000000"/>
          <w:lang w:val="pl-PL"/>
        </w:rPr>
        <w:t xml:space="preserve">znacznego </w:t>
      </w:r>
      <w:r w:rsidR="00D7655C">
        <w:rPr>
          <w:rFonts w:ascii="Calibri" w:hAnsi="Calibri"/>
          <w:color w:val="000000"/>
          <w:lang w:val="pl-PL"/>
        </w:rPr>
        <w:t>zatłoczenia</w:t>
      </w:r>
      <w:r w:rsidR="00D7655C" w:rsidRPr="00CB6357">
        <w:rPr>
          <w:rFonts w:ascii="Calibri" w:hAnsi="Calibri"/>
          <w:color w:val="000000"/>
          <w:lang w:val="pl-PL"/>
        </w:rPr>
        <w:t>, z mini</w:t>
      </w:r>
      <w:r w:rsidR="00D7655C">
        <w:rPr>
          <w:rFonts w:ascii="Calibri" w:hAnsi="Calibri"/>
          <w:color w:val="000000"/>
          <w:lang w:val="pl-PL"/>
        </w:rPr>
        <w:t>malnym dostępem do sanitariatów i</w:t>
      </w:r>
      <w:r w:rsidR="00D7655C" w:rsidRPr="00CB6357">
        <w:rPr>
          <w:rFonts w:ascii="Calibri" w:hAnsi="Calibri"/>
          <w:color w:val="000000"/>
          <w:lang w:val="pl-PL"/>
        </w:rPr>
        <w:t xml:space="preserve"> z prawem do</w:t>
      </w:r>
      <w:r w:rsidR="00ED4BB5">
        <w:rPr>
          <w:rFonts w:ascii="Calibri" w:hAnsi="Calibri"/>
          <w:color w:val="000000"/>
          <w:lang w:val="pl-PL"/>
        </w:rPr>
        <w:t xml:space="preserve"> </w:t>
      </w:r>
      <w:r w:rsidR="00D7655C" w:rsidRPr="00CB6357">
        <w:rPr>
          <w:rFonts w:ascii="Calibri" w:hAnsi="Calibri"/>
          <w:color w:val="000000"/>
          <w:lang w:val="pl-PL"/>
        </w:rPr>
        <w:t xml:space="preserve">zaledwie kilkuminutowego wyjścia na pokład, obrażani </w:t>
      </w:r>
      <w:r w:rsidR="00C761E7">
        <w:rPr>
          <w:rFonts w:ascii="Calibri" w:hAnsi="Calibri"/>
          <w:color w:val="000000"/>
          <w:lang w:val="pl-PL"/>
        </w:rPr>
        <w:t xml:space="preserve">i źle traktowani </w:t>
      </w:r>
      <w:r w:rsidR="00D7655C" w:rsidRPr="00CB6357">
        <w:rPr>
          <w:rFonts w:ascii="Calibri" w:hAnsi="Calibri"/>
          <w:color w:val="000000"/>
          <w:lang w:val="pl-PL"/>
        </w:rPr>
        <w:t xml:space="preserve">przez strażników, a przede wszystkim </w:t>
      </w:r>
      <w:r w:rsidR="00D7655C">
        <w:rPr>
          <w:rFonts w:ascii="Calibri" w:hAnsi="Calibri"/>
          <w:color w:val="000000"/>
          <w:lang w:val="pl-PL"/>
        </w:rPr>
        <w:t>pozbawieni jakichkolwiek informacji.</w:t>
      </w:r>
      <w:r w:rsidR="00D7655C" w:rsidRPr="00CB6357">
        <w:rPr>
          <w:rFonts w:ascii="Calibri" w:hAnsi="Calibri"/>
          <w:color w:val="000000"/>
          <w:lang w:val="pl-PL"/>
        </w:rPr>
        <w:t> </w:t>
      </w:r>
      <w:r w:rsidR="00D7655C">
        <w:rPr>
          <w:rFonts w:ascii="Calibri" w:hAnsi="Calibri"/>
          <w:color w:val="000000"/>
          <w:lang w:val="pl-PL"/>
        </w:rPr>
        <w:t>W</w:t>
      </w:r>
      <w:r w:rsidRPr="00CB6357">
        <w:rPr>
          <w:rFonts w:ascii="Calibri" w:hAnsi="Calibri"/>
          <w:lang w:val="pl-PL"/>
        </w:rPr>
        <w:t xml:space="preserve"> dniach 27 i 29 września 2011 r. </w:t>
      </w:r>
      <w:r w:rsidR="0057236D">
        <w:rPr>
          <w:rFonts w:ascii="Calibri" w:hAnsi="Calibri"/>
          <w:lang w:val="pl-PL"/>
        </w:rPr>
        <w:t>odesłano</w:t>
      </w:r>
      <w:r w:rsidRPr="00CB6357">
        <w:rPr>
          <w:rFonts w:ascii="Calibri" w:hAnsi="Calibri"/>
          <w:lang w:val="pl-PL"/>
        </w:rPr>
        <w:t xml:space="preserve"> </w:t>
      </w:r>
      <w:r w:rsidR="00D7655C">
        <w:rPr>
          <w:rFonts w:ascii="Calibri" w:hAnsi="Calibri"/>
          <w:lang w:val="pl-PL"/>
        </w:rPr>
        <w:t xml:space="preserve">ich </w:t>
      </w:r>
      <w:r w:rsidRPr="00CB6357">
        <w:rPr>
          <w:rFonts w:ascii="Calibri" w:hAnsi="Calibri"/>
          <w:lang w:val="pl-PL"/>
        </w:rPr>
        <w:t>do Tunezji</w:t>
      </w:r>
      <w:r w:rsidRPr="00CB6357">
        <w:rPr>
          <w:rFonts w:ascii="Calibri" w:hAnsi="Calibri"/>
          <w:color w:val="000000"/>
          <w:lang w:val="pl-PL"/>
        </w:rPr>
        <w:t>.</w:t>
      </w:r>
      <w:r w:rsidR="007D59D1">
        <w:rPr>
          <w:rFonts w:ascii="Calibri" w:hAnsi="Calibri"/>
          <w:color w:val="000000"/>
          <w:lang w:val="pl-PL"/>
        </w:rPr>
        <w:t xml:space="preserve"> </w:t>
      </w:r>
      <w:r w:rsidR="00A37F27">
        <w:rPr>
          <w:rFonts w:ascii="Calibri" w:hAnsi="Calibri"/>
          <w:color w:val="000000"/>
          <w:lang w:val="pl-PL"/>
        </w:rPr>
        <w:t xml:space="preserve">Przed wydaleniem zostali przesłuchani przez konsula tunezyjskiego, który jednak jedynie zarejestrował dane na temat ich stanu cywilnego zgodnie z umową włosko-tunezyjską z 2011 r. </w:t>
      </w:r>
      <w:r w:rsidR="007D59D1">
        <w:rPr>
          <w:rFonts w:ascii="Calibri" w:hAnsi="Calibri"/>
          <w:color w:val="000000"/>
          <w:lang w:val="pl-PL"/>
        </w:rPr>
        <w:t>Skarżący twierdzili</w:t>
      </w:r>
      <w:r w:rsidR="00A37F27">
        <w:rPr>
          <w:rFonts w:ascii="Calibri" w:hAnsi="Calibri"/>
          <w:color w:val="000000"/>
          <w:lang w:val="pl-PL"/>
        </w:rPr>
        <w:t xml:space="preserve"> też</w:t>
      </w:r>
      <w:r w:rsidR="007D59D1">
        <w:rPr>
          <w:rFonts w:ascii="Calibri" w:hAnsi="Calibri"/>
          <w:color w:val="000000"/>
          <w:lang w:val="pl-PL"/>
        </w:rPr>
        <w:t>, że nie otrzymali</w:t>
      </w:r>
      <w:r w:rsidR="006651E4">
        <w:rPr>
          <w:rFonts w:ascii="Calibri" w:hAnsi="Calibri"/>
          <w:color w:val="000000"/>
          <w:lang w:val="pl-PL"/>
        </w:rPr>
        <w:t xml:space="preserve"> decyzji o</w:t>
      </w:r>
      <w:r w:rsidR="0057236D">
        <w:rPr>
          <w:rFonts w:ascii="Calibri" w:hAnsi="Calibri"/>
          <w:color w:val="000000"/>
          <w:lang w:val="pl-PL"/>
        </w:rPr>
        <w:t xml:space="preserve"> odesłaniu do Tunezji</w:t>
      </w:r>
      <w:r w:rsidR="007D59D1">
        <w:rPr>
          <w:rFonts w:ascii="Calibri" w:hAnsi="Calibri"/>
          <w:color w:val="000000"/>
          <w:lang w:val="pl-PL"/>
        </w:rPr>
        <w:t>.</w:t>
      </w:r>
      <w:r w:rsidR="00A37F27">
        <w:rPr>
          <w:rFonts w:ascii="Calibri" w:hAnsi="Calibri"/>
          <w:color w:val="000000"/>
          <w:lang w:val="pl-PL"/>
        </w:rPr>
        <w:t xml:space="preserve"> </w:t>
      </w:r>
    </w:p>
    <w:p w:rsidR="002615CC" w:rsidRDefault="002615CC" w:rsidP="00DC385D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>
        <w:rPr>
          <w:rFonts w:ascii="Calibri" w:hAnsi="Calibri"/>
          <w:color w:val="000000"/>
          <w:lang w:val="pl-PL"/>
        </w:rPr>
        <w:t xml:space="preserve">Skarżący zarzucali </w:t>
      </w:r>
      <w:r w:rsidR="002924D5">
        <w:rPr>
          <w:rFonts w:ascii="Calibri" w:hAnsi="Calibri"/>
          <w:color w:val="000000"/>
          <w:lang w:val="pl-PL"/>
        </w:rPr>
        <w:t xml:space="preserve">przed Trybunałem </w:t>
      </w:r>
      <w:r>
        <w:rPr>
          <w:rFonts w:ascii="Calibri" w:hAnsi="Calibri"/>
          <w:color w:val="000000"/>
          <w:lang w:val="pl-PL"/>
        </w:rPr>
        <w:t xml:space="preserve">poniżające traktowanie w czasie pobytu w ośrodku i na statkach, nielegalność pozbawienia wolności i brak poinformowania o przyczynach zatrzymania, złamanie zakazu zbiorowego </w:t>
      </w:r>
      <w:r w:rsidR="006651E4">
        <w:rPr>
          <w:rFonts w:ascii="Calibri" w:hAnsi="Calibri"/>
          <w:color w:val="000000"/>
          <w:lang w:val="pl-PL"/>
        </w:rPr>
        <w:t>wydala</w:t>
      </w:r>
      <w:r>
        <w:rPr>
          <w:rFonts w:ascii="Calibri" w:hAnsi="Calibri"/>
          <w:color w:val="000000"/>
          <w:lang w:val="pl-PL"/>
        </w:rPr>
        <w:t>nia cudzoziemców</w:t>
      </w:r>
      <w:r w:rsidR="0057236D">
        <w:rPr>
          <w:rFonts w:ascii="Calibri" w:hAnsi="Calibri"/>
          <w:color w:val="000000"/>
          <w:lang w:val="pl-PL"/>
        </w:rPr>
        <w:t>, a także brak skutecznych środków krajowych w odniesieniu do ich zarzutów</w:t>
      </w:r>
      <w:r>
        <w:rPr>
          <w:rFonts w:ascii="Calibri" w:hAnsi="Calibri"/>
          <w:color w:val="000000"/>
          <w:lang w:val="pl-PL"/>
        </w:rPr>
        <w:t xml:space="preserve">. </w:t>
      </w:r>
    </w:p>
    <w:p w:rsidR="002615CC" w:rsidRPr="002615CC" w:rsidRDefault="002615CC" w:rsidP="00DC385D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>
        <w:rPr>
          <w:rFonts w:ascii="Calibri" w:hAnsi="Calibri"/>
          <w:color w:val="000000"/>
          <w:u w:val="single"/>
          <w:lang w:val="pl-PL"/>
        </w:rPr>
        <w:t>O</w:t>
      </w:r>
      <w:r w:rsidRPr="002615CC">
        <w:rPr>
          <w:rFonts w:ascii="Calibri" w:hAnsi="Calibri"/>
          <w:color w:val="000000"/>
          <w:u w:val="single"/>
          <w:lang w:val="pl-PL"/>
        </w:rPr>
        <w:t>cena Trybunału</w:t>
      </w:r>
    </w:p>
    <w:p w:rsidR="004955AA" w:rsidRDefault="00DC385D" w:rsidP="00DC385D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>Sęd</w:t>
      </w:r>
      <w:r w:rsidR="00323D74">
        <w:rPr>
          <w:rFonts w:ascii="Calibri" w:hAnsi="Calibri"/>
          <w:color w:val="000000"/>
          <w:lang w:val="pl-PL"/>
        </w:rPr>
        <w:t>ziowie jednomyślnie stwierdzili:</w:t>
      </w:r>
    </w:p>
    <w:p w:rsidR="00407BC0" w:rsidRPr="00407BC0" w:rsidRDefault="004955AA" w:rsidP="00DC385D">
      <w:pPr>
        <w:spacing w:after="120" w:line="240" w:lineRule="auto"/>
        <w:jc w:val="both"/>
        <w:rPr>
          <w:lang w:val="pl-PL"/>
        </w:rPr>
      </w:pPr>
      <w:r>
        <w:rPr>
          <w:rFonts w:ascii="Calibri" w:hAnsi="Calibri"/>
          <w:color w:val="000000"/>
          <w:lang w:val="pl-PL"/>
        </w:rPr>
        <w:t xml:space="preserve">- </w:t>
      </w:r>
      <w:r w:rsidR="00DC385D" w:rsidRPr="00CB6357">
        <w:rPr>
          <w:rFonts w:ascii="Calibri" w:hAnsi="Calibri"/>
          <w:color w:val="000000"/>
          <w:lang w:val="pl-PL"/>
        </w:rPr>
        <w:t>naruszenie prawa do wolności i bezpieczeństwa</w:t>
      </w:r>
      <w:r w:rsidR="00211921">
        <w:rPr>
          <w:rFonts w:ascii="Calibri" w:hAnsi="Calibri"/>
          <w:color w:val="000000"/>
          <w:lang w:val="pl-PL"/>
        </w:rPr>
        <w:t xml:space="preserve"> osobistego (art. 5 ust. 1 Konwencji) </w:t>
      </w:r>
      <w:r w:rsidR="002E276F">
        <w:rPr>
          <w:rFonts w:ascii="Calibri" w:hAnsi="Calibri"/>
          <w:color w:val="000000"/>
          <w:lang w:val="pl-PL"/>
        </w:rPr>
        <w:t>z u</w:t>
      </w:r>
      <w:r w:rsidR="00407BC0">
        <w:rPr>
          <w:rFonts w:ascii="Calibri" w:hAnsi="Calibri"/>
          <w:color w:val="000000"/>
          <w:lang w:val="pl-PL"/>
        </w:rPr>
        <w:t>wagi na bezprawność zatrzymania.</w:t>
      </w:r>
      <w:r w:rsidR="00211921">
        <w:rPr>
          <w:rFonts w:ascii="Calibri" w:hAnsi="Calibri"/>
          <w:color w:val="000000"/>
          <w:lang w:val="pl-PL"/>
        </w:rPr>
        <w:t xml:space="preserve"> </w:t>
      </w:r>
      <w:r w:rsidR="00407BC0">
        <w:rPr>
          <w:rFonts w:ascii="Calibri" w:hAnsi="Calibri"/>
          <w:color w:val="000000"/>
          <w:lang w:val="pl-PL"/>
        </w:rPr>
        <w:t>W</w:t>
      </w:r>
      <w:r w:rsidR="00685188">
        <w:rPr>
          <w:rFonts w:ascii="Calibri" w:hAnsi="Calibri"/>
          <w:color w:val="000000"/>
          <w:lang w:val="pl-PL"/>
        </w:rPr>
        <w:t xml:space="preserve">ładze włoskie twierdziły, że </w:t>
      </w:r>
      <w:r w:rsidR="00407BC0">
        <w:rPr>
          <w:rFonts w:ascii="Calibri" w:hAnsi="Calibri"/>
          <w:color w:val="000000"/>
          <w:lang w:val="pl-PL"/>
        </w:rPr>
        <w:t xml:space="preserve">art. 5 Konwencji nie ma zastosowania, gdyż </w:t>
      </w:r>
      <w:r w:rsidR="00211921">
        <w:rPr>
          <w:rFonts w:ascii="Calibri" w:hAnsi="Calibri"/>
          <w:color w:val="000000"/>
          <w:lang w:val="pl-PL"/>
        </w:rPr>
        <w:t xml:space="preserve">skarżący nie </w:t>
      </w:r>
      <w:r w:rsidR="00685188">
        <w:rPr>
          <w:rFonts w:ascii="Calibri" w:hAnsi="Calibri"/>
          <w:color w:val="000000"/>
          <w:lang w:val="pl-PL"/>
        </w:rPr>
        <w:t xml:space="preserve">zostali pozbawieni wolności, a jedynie udzielono im pomocy na morzu i doprowadzono do centrum pomocy i pierwszego przyjęcia w celu udzielenia wsparcia i zapewnienia bezpieczeństwa. Przepisy wymagały od władz </w:t>
      </w:r>
      <w:r w:rsidR="00407BC0">
        <w:rPr>
          <w:rFonts w:ascii="Calibri" w:hAnsi="Calibri"/>
          <w:color w:val="000000"/>
          <w:lang w:val="pl-PL"/>
        </w:rPr>
        <w:t xml:space="preserve">ratowania i </w:t>
      </w:r>
      <w:r w:rsidR="00685188">
        <w:rPr>
          <w:rFonts w:ascii="Calibri" w:hAnsi="Calibri"/>
          <w:color w:val="000000"/>
          <w:lang w:val="pl-PL"/>
        </w:rPr>
        <w:t xml:space="preserve">przeprowadzenia identyfikacji osób znajdujących się na wodach terytorialnych. Sytuacja była szczególna i władze włoskie musiały podjąć wyjątkowe działania, by sprostać trudnej sytuacji humanitarnej, a także zapewnić bezpieczeństwo </w:t>
      </w:r>
      <w:r w:rsidR="00407BC0">
        <w:rPr>
          <w:rFonts w:ascii="Calibri" w:hAnsi="Calibri"/>
          <w:color w:val="000000"/>
          <w:lang w:val="pl-PL"/>
        </w:rPr>
        <w:t xml:space="preserve">zarówno </w:t>
      </w:r>
      <w:r w:rsidR="00685188">
        <w:rPr>
          <w:rFonts w:ascii="Calibri" w:hAnsi="Calibri"/>
          <w:color w:val="000000"/>
          <w:lang w:val="pl-PL"/>
        </w:rPr>
        <w:t xml:space="preserve">migrantom, jak i społeczności lokalnej. Trybunał podkreślił jednak, że skarżący nie </w:t>
      </w:r>
      <w:r w:rsidR="00211921">
        <w:rPr>
          <w:rFonts w:ascii="Calibri" w:hAnsi="Calibri"/>
          <w:color w:val="000000"/>
          <w:lang w:val="pl-PL"/>
        </w:rPr>
        <w:t>mogli opuścić ani</w:t>
      </w:r>
      <w:r w:rsidR="00C413B4">
        <w:rPr>
          <w:rFonts w:ascii="Calibri" w:hAnsi="Calibri"/>
          <w:color w:val="000000"/>
          <w:lang w:val="pl-PL"/>
        </w:rPr>
        <w:t xml:space="preserve"> ośrodka</w:t>
      </w:r>
      <w:r w:rsidR="00211921" w:rsidRPr="00CB6357">
        <w:rPr>
          <w:rFonts w:ascii="Calibri" w:hAnsi="Calibri"/>
          <w:color w:val="000000"/>
          <w:lang w:val="pl-PL"/>
        </w:rPr>
        <w:t xml:space="preserve"> pomocy i pierwszego przyjęcia</w:t>
      </w:r>
      <w:r>
        <w:rPr>
          <w:rFonts w:ascii="Calibri" w:hAnsi="Calibri"/>
          <w:color w:val="000000"/>
          <w:lang w:val="pl-PL"/>
        </w:rPr>
        <w:t>,</w:t>
      </w:r>
      <w:r w:rsidR="00211921">
        <w:rPr>
          <w:rFonts w:ascii="Calibri" w:hAnsi="Calibri"/>
          <w:color w:val="000000"/>
          <w:lang w:val="pl-PL"/>
        </w:rPr>
        <w:t xml:space="preserve"> ani też statków, na których ich umieszczono (jak podkreślił rząd, statki te stanowiły przedłużenie </w:t>
      </w:r>
      <w:r w:rsidR="00C413B4">
        <w:rPr>
          <w:rFonts w:ascii="Calibri" w:hAnsi="Calibri"/>
          <w:color w:val="000000"/>
          <w:lang w:val="pl-PL"/>
        </w:rPr>
        <w:t xml:space="preserve">ośrodka </w:t>
      </w:r>
      <w:r w:rsidR="00211921">
        <w:rPr>
          <w:rFonts w:ascii="Calibri" w:hAnsi="Calibri"/>
          <w:color w:val="000000"/>
          <w:lang w:val="pl-PL"/>
        </w:rPr>
        <w:t xml:space="preserve">pomocy i pierwszego przyjęcia). Podlegali stałemu dozorowi policji i nie mogli kontaktować się ze światem zewnętrznym. </w:t>
      </w:r>
      <w:r w:rsidR="00407BC0">
        <w:rPr>
          <w:rFonts w:ascii="Calibri" w:hAnsi="Calibri"/>
          <w:color w:val="000000"/>
          <w:lang w:val="pl-PL"/>
        </w:rPr>
        <w:t xml:space="preserve">W tych okolicznościach Trybunał nie mógł się zgodzić z tezą władz włoskich, iż skarżących nie zatrzymano, a jedynie udzielono pomocy na morzu i umieszczono w ośrodkach i na statkach w celu zapewnienia wsparcia i bezpieczeństwa. </w:t>
      </w:r>
      <w:r w:rsidR="004F6441">
        <w:rPr>
          <w:rFonts w:ascii="Calibri" w:hAnsi="Calibri"/>
          <w:color w:val="000000"/>
          <w:lang w:val="pl-PL"/>
        </w:rPr>
        <w:t xml:space="preserve">Ograniczenia </w:t>
      </w:r>
      <w:r w:rsidR="002924D5">
        <w:rPr>
          <w:rFonts w:ascii="Calibri" w:hAnsi="Calibri"/>
          <w:color w:val="000000"/>
          <w:lang w:val="pl-PL"/>
        </w:rPr>
        <w:t xml:space="preserve">nałożone na nich </w:t>
      </w:r>
      <w:r w:rsidR="004F6441">
        <w:rPr>
          <w:rFonts w:ascii="Calibri" w:hAnsi="Calibri"/>
          <w:color w:val="000000"/>
          <w:lang w:val="pl-PL"/>
        </w:rPr>
        <w:t>stanowiły formę pozbawienia wolności, w</w:t>
      </w:r>
      <w:r>
        <w:rPr>
          <w:rFonts w:ascii="Calibri" w:hAnsi="Calibri"/>
          <w:color w:val="000000"/>
          <w:lang w:val="pl-PL"/>
        </w:rPr>
        <w:t xml:space="preserve"> odniesieniu do </w:t>
      </w:r>
      <w:r w:rsidR="004F6441">
        <w:rPr>
          <w:rFonts w:ascii="Calibri" w:hAnsi="Calibri"/>
          <w:color w:val="000000"/>
          <w:lang w:val="pl-PL"/>
        </w:rPr>
        <w:t>którego zastosowanie ma art. 5 Konwencji.</w:t>
      </w:r>
      <w:r w:rsidR="00407BC0">
        <w:rPr>
          <w:rFonts w:ascii="Calibri" w:hAnsi="Calibri"/>
          <w:color w:val="000000"/>
          <w:lang w:val="pl-PL"/>
        </w:rPr>
        <w:t xml:space="preserve"> </w:t>
      </w:r>
    </w:p>
    <w:p w:rsidR="00211921" w:rsidRPr="004F6441" w:rsidRDefault="0051472C" w:rsidP="00DC385D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>
        <w:rPr>
          <w:rFonts w:ascii="Calibri" w:hAnsi="Calibri"/>
          <w:color w:val="000000"/>
          <w:lang w:val="pl-PL"/>
        </w:rPr>
        <w:lastRenderedPageBreak/>
        <w:t xml:space="preserve">Odnośnie zgodności zatrzymania z Konwencją Trybunał zauważył, że </w:t>
      </w:r>
      <w:r w:rsidR="004955AA">
        <w:rPr>
          <w:rFonts w:ascii="Calibri" w:hAnsi="Calibri"/>
          <w:color w:val="000000"/>
          <w:lang w:val="pl-PL"/>
        </w:rPr>
        <w:t xml:space="preserve">art. 5 </w:t>
      </w:r>
      <w:r w:rsidR="004F6441">
        <w:rPr>
          <w:rFonts w:ascii="Calibri" w:hAnsi="Calibri"/>
          <w:color w:val="000000"/>
          <w:lang w:val="pl-PL"/>
        </w:rPr>
        <w:t xml:space="preserve">przewiduje </w:t>
      </w:r>
      <w:r>
        <w:rPr>
          <w:rFonts w:ascii="Calibri" w:hAnsi="Calibri"/>
          <w:color w:val="000000"/>
          <w:lang w:val="pl-PL"/>
        </w:rPr>
        <w:t xml:space="preserve">co prawda </w:t>
      </w:r>
      <w:r w:rsidR="004F6441">
        <w:rPr>
          <w:rFonts w:ascii="Calibri" w:hAnsi="Calibri"/>
          <w:color w:val="000000"/>
          <w:lang w:val="pl-PL"/>
        </w:rPr>
        <w:t xml:space="preserve">uprawnienie państw ograniczania wolności cudzoziemców </w:t>
      </w:r>
      <w:r w:rsidR="002E276F">
        <w:rPr>
          <w:rFonts w:ascii="Calibri" w:hAnsi="Calibri"/>
          <w:color w:val="000000"/>
          <w:lang w:val="pl-PL"/>
        </w:rPr>
        <w:t>dla celów kontroli imigracji</w:t>
      </w:r>
      <w:r w:rsidR="004F6441">
        <w:rPr>
          <w:rFonts w:ascii="Calibri" w:hAnsi="Calibri"/>
          <w:color w:val="000000"/>
          <w:lang w:val="pl-PL"/>
        </w:rPr>
        <w:t>, jednakże</w:t>
      </w:r>
      <w:r w:rsidR="00AA019F">
        <w:rPr>
          <w:rFonts w:ascii="Calibri" w:hAnsi="Calibri"/>
          <w:color w:val="000000"/>
          <w:lang w:val="pl-PL"/>
        </w:rPr>
        <w:t xml:space="preserve"> władze włoskie wprost stwierdziły, że w odniesieniu do skarżących nie </w:t>
      </w:r>
      <w:r w:rsidR="002E276F">
        <w:rPr>
          <w:rFonts w:ascii="Calibri" w:hAnsi="Calibri"/>
          <w:color w:val="000000"/>
          <w:lang w:val="pl-PL"/>
        </w:rPr>
        <w:t xml:space="preserve">miało miejsce </w:t>
      </w:r>
      <w:r>
        <w:rPr>
          <w:rFonts w:ascii="Calibri" w:hAnsi="Calibri"/>
          <w:color w:val="000000"/>
          <w:lang w:val="pl-PL"/>
        </w:rPr>
        <w:t xml:space="preserve">ani </w:t>
      </w:r>
      <w:r w:rsidR="002E276F">
        <w:rPr>
          <w:rFonts w:ascii="Calibri" w:hAnsi="Calibri"/>
          <w:color w:val="000000"/>
          <w:lang w:val="pl-PL"/>
        </w:rPr>
        <w:t>wydalenie</w:t>
      </w:r>
      <w:r>
        <w:rPr>
          <w:rFonts w:ascii="Calibri" w:hAnsi="Calibri"/>
          <w:color w:val="000000"/>
          <w:lang w:val="pl-PL"/>
        </w:rPr>
        <w:t>,</w:t>
      </w:r>
      <w:r w:rsidR="002E276F">
        <w:rPr>
          <w:rFonts w:ascii="Calibri" w:hAnsi="Calibri"/>
          <w:color w:val="000000"/>
          <w:lang w:val="pl-PL"/>
        </w:rPr>
        <w:t xml:space="preserve"> ani ekstradycja</w:t>
      </w:r>
      <w:r w:rsidR="00AA019F">
        <w:rPr>
          <w:rFonts w:ascii="Calibri" w:hAnsi="Calibri"/>
          <w:color w:val="000000"/>
          <w:lang w:val="pl-PL"/>
        </w:rPr>
        <w:t xml:space="preserve"> w rozumieniu art. 5 ust. 1 </w:t>
      </w:r>
      <w:r w:rsidR="002E276F">
        <w:rPr>
          <w:rFonts w:ascii="Calibri" w:hAnsi="Calibri"/>
          <w:color w:val="000000"/>
          <w:lang w:val="pl-PL"/>
        </w:rPr>
        <w:t xml:space="preserve">lit </w:t>
      </w:r>
      <w:r w:rsidR="00AA019F">
        <w:rPr>
          <w:rFonts w:ascii="Calibri" w:hAnsi="Calibri"/>
          <w:color w:val="000000"/>
          <w:lang w:val="pl-PL"/>
        </w:rPr>
        <w:t>f)</w:t>
      </w:r>
      <w:r w:rsidR="002E276F">
        <w:rPr>
          <w:rFonts w:ascii="Calibri" w:hAnsi="Calibri"/>
          <w:color w:val="000000"/>
          <w:lang w:val="pl-PL"/>
        </w:rPr>
        <w:t xml:space="preserve"> Konwencji</w:t>
      </w:r>
      <w:r w:rsidR="00AA019F">
        <w:rPr>
          <w:rFonts w:ascii="Calibri" w:hAnsi="Calibri"/>
          <w:color w:val="000000"/>
          <w:lang w:val="pl-PL"/>
        </w:rPr>
        <w:t xml:space="preserve">, </w:t>
      </w:r>
      <w:r>
        <w:rPr>
          <w:rFonts w:ascii="Calibri" w:hAnsi="Calibri"/>
          <w:color w:val="000000"/>
          <w:lang w:val="pl-PL"/>
        </w:rPr>
        <w:t xml:space="preserve">ani też nie powołały się na inne podstawy zatrzymania przewidziane w art. 5 ust. 1 Konwencji. </w:t>
      </w:r>
      <w:r w:rsidR="0047129D">
        <w:rPr>
          <w:rFonts w:ascii="Calibri" w:hAnsi="Calibri"/>
          <w:color w:val="000000"/>
          <w:lang w:val="pl-PL"/>
        </w:rPr>
        <w:t xml:space="preserve">Choć Trybunał był gotów uznać, że w sprawie tej mogły zachodzić okoliczności w rozumieniu art. 5 ust. 1 </w:t>
      </w:r>
      <w:r w:rsidR="005D4F21">
        <w:rPr>
          <w:rFonts w:ascii="Calibri" w:hAnsi="Calibri"/>
          <w:color w:val="000000"/>
          <w:lang w:val="pl-PL"/>
        </w:rPr>
        <w:t xml:space="preserve">lit. </w:t>
      </w:r>
      <w:r w:rsidR="0047129D">
        <w:rPr>
          <w:rFonts w:ascii="Calibri" w:hAnsi="Calibri"/>
          <w:color w:val="000000"/>
          <w:lang w:val="pl-PL"/>
        </w:rPr>
        <w:t>f), zauważył jednak</w:t>
      </w:r>
      <w:r w:rsidR="00AA019F">
        <w:rPr>
          <w:rFonts w:ascii="Calibri" w:hAnsi="Calibri"/>
          <w:color w:val="000000"/>
          <w:lang w:val="pl-PL"/>
        </w:rPr>
        <w:t xml:space="preserve">, że </w:t>
      </w:r>
      <w:r w:rsidR="004F6441">
        <w:rPr>
          <w:rFonts w:ascii="Calibri" w:hAnsi="Calibri"/>
          <w:color w:val="000000"/>
          <w:lang w:val="pl-PL"/>
        </w:rPr>
        <w:t xml:space="preserve">wszelkie ograniczenie wolności musi mieć podstawę w prawie krajowym. </w:t>
      </w:r>
      <w:r w:rsidR="005D4F21">
        <w:rPr>
          <w:rFonts w:ascii="Calibri" w:hAnsi="Calibri"/>
          <w:color w:val="000000"/>
          <w:lang w:val="pl-PL"/>
        </w:rPr>
        <w:t>Choć p</w:t>
      </w:r>
      <w:r w:rsidR="004F6441">
        <w:rPr>
          <w:rFonts w:ascii="Calibri" w:hAnsi="Calibri"/>
          <w:color w:val="000000"/>
          <w:lang w:val="pl-PL"/>
        </w:rPr>
        <w:t xml:space="preserve">rawo włoskie </w:t>
      </w:r>
      <w:r w:rsidR="005D4F21">
        <w:rPr>
          <w:rFonts w:ascii="Calibri" w:hAnsi="Calibri"/>
          <w:color w:val="000000"/>
          <w:lang w:val="pl-PL"/>
        </w:rPr>
        <w:t>zna instytucję zatrzymania migrantów, to jednak regulacje te nie miały zastosowania w okolicznościach sprawy skarżących</w:t>
      </w:r>
      <w:r w:rsidR="002E7E1C">
        <w:rPr>
          <w:rFonts w:ascii="Calibri" w:hAnsi="Calibri"/>
          <w:color w:val="000000"/>
          <w:lang w:val="pl-PL"/>
        </w:rPr>
        <w:t>,</w:t>
      </w:r>
      <w:r w:rsidR="005D4F21">
        <w:rPr>
          <w:rFonts w:ascii="Calibri" w:hAnsi="Calibri"/>
          <w:color w:val="000000"/>
          <w:lang w:val="pl-PL"/>
        </w:rPr>
        <w:t xml:space="preserve"> </w:t>
      </w:r>
      <w:r w:rsidR="0047129D">
        <w:rPr>
          <w:rFonts w:ascii="Calibri" w:hAnsi="Calibri"/>
          <w:color w:val="000000"/>
          <w:lang w:val="pl-PL"/>
        </w:rPr>
        <w:t xml:space="preserve">ani też nie wydano </w:t>
      </w:r>
      <w:r w:rsidR="001210C6">
        <w:rPr>
          <w:rFonts w:ascii="Calibri" w:hAnsi="Calibri"/>
          <w:color w:val="000000"/>
          <w:lang w:val="pl-PL"/>
        </w:rPr>
        <w:t xml:space="preserve">żadnych formalnych </w:t>
      </w:r>
      <w:r w:rsidR="0047129D">
        <w:rPr>
          <w:rFonts w:ascii="Calibri" w:hAnsi="Calibri"/>
          <w:color w:val="000000"/>
          <w:lang w:val="pl-PL"/>
        </w:rPr>
        <w:t>decyzji w sprawie</w:t>
      </w:r>
      <w:r w:rsidR="001B1673">
        <w:rPr>
          <w:rFonts w:ascii="Calibri" w:hAnsi="Calibri"/>
          <w:color w:val="000000"/>
          <w:lang w:val="pl-PL"/>
        </w:rPr>
        <w:t xml:space="preserve"> ich zatrzymania</w:t>
      </w:r>
      <w:r w:rsidR="00E27FF6">
        <w:rPr>
          <w:rFonts w:ascii="Calibri" w:hAnsi="Calibri"/>
          <w:color w:val="000000"/>
          <w:lang w:val="pl-PL"/>
        </w:rPr>
        <w:t>.</w:t>
      </w:r>
      <w:r w:rsidR="002E7E1C">
        <w:rPr>
          <w:rFonts w:ascii="Calibri" w:hAnsi="Calibri"/>
          <w:color w:val="000000"/>
          <w:lang w:val="pl-PL"/>
        </w:rPr>
        <w:t xml:space="preserve"> </w:t>
      </w:r>
      <w:r w:rsidR="00E27FF6">
        <w:rPr>
          <w:rFonts w:ascii="Calibri" w:hAnsi="Calibri"/>
          <w:color w:val="000000"/>
          <w:lang w:val="pl-PL"/>
        </w:rPr>
        <w:t>P</w:t>
      </w:r>
      <w:r w:rsidR="00DE01BA">
        <w:rPr>
          <w:rFonts w:ascii="Calibri" w:hAnsi="Calibri"/>
          <w:color w:val="000000"/>
          <w:lang w:val="pl-PL"/>
        </w:rPr>
        <w:t xml:space="preserve">rzewidziane prawem zatrzymanie </w:t>
      </w:r>
      <w:r w:rsidR="00E27FF6">
        <w:rPr>
          <w:rFonts w:ascii="Calibri" w:hAnsi="Calibri"/>
          <w:color w:val="000000"/>
          <w:lang w:val="pl-PL"/>
        </w:rPr>
        <w:t xml:space="preserve">migrantów </w:t>
      </w:r>
      <w:r w:rsidR="00DE01BA">
        <w:rPr>
          <w:rFonts w:ascii="Calibri" w:hAnsi="Calibri"/>
          <w:color w:val="000000"/>
          <w:lang w:val="pl-PL"/>
        </w:rPr>
        <w:t>dotyczy</w:t>
      </w:r>
      <w:r w:rsidR="002E7E1C">
        <w:rPr>
          <w:rFonts w:ascii="Calibri" w:hAnsi="Calibri"/>
          <w:color w:val="000000"/>
          <w:lang w:val="pl-PL"/>
        </w:rPr>
        <w:t xml:space="preserve"> </w:t>
      </w:r>
      <w:r w:rsidR="00DE01BA">
        <w:rPr>
          <w:rFonts w:ascii="Calibri" w:hAnsi="Calibri"/>
          <w:color w:val="000000"/>
          <w:lang w:val="pl-PL"/>
        </w:rPr>
        <w:t>innego rodzaju ośrodków</w:t>
      </w:r>
      <w:r w:rsidR="002E7E1C">
        <w:rPr>
          <w:rFonts w:ascii="Calibri" w:hAnsi="Calibri"/>
          <w:color w:val="000000"/>
          <w:lang w:val="pl-PL"/>
        </w:rPr>
        <w:t xml:space="preserve"> </w:t>
      </w:r>
      <w:r w:rsidR="00E27FF6">
        <w:rPr>
          <w:rFonts w:ascii="Calibri" w:hAnsi="Calibri"/>
          <w:color w:val="000000"/>
          <w:lang w:val="pl-PL"/>
        </w:rPr>
        <w:t xml:space="preserve">(ośrodków identyfikacji i wydalenia) </w:t>
      </w:r>
      <w:r w:rsidR="00DE01BA">
        <w:rPr>
          <w:rFonts w:ascii="Calibri" w:hAnsi="Calibri"/>
          <w:color w:val="000000"/>
          <w:lang w:val="pl-PL"/>
        </w:rPr>
        <w:t>i dokonywane jest na podstawie decyzji podlegających kontroli sędziego pokoju</w:t>
      </w:r>
      <w:r w:rsidR="004F6441">
        <w:rPr>
          <w:rFonts w:ascii="Calibri" w:hAnsi="Calibri"/>
          <w:color w:val="000000"/>
          <w:lang w:val="pl-PL"/>
        </w:rPr>
        <w:t>. Nawet jeśli</w:t>
      </w:r>
      <w:r w:rsidR="00E27FF6">
        <w:rPr>
          <w:rFonts w:ascii="Calibri" w:hAnsi="Calibri"/>
          <w:color w:val="000000"/>
          <w:lang w:val="pl-PL"/>
        </w:rPr>
        <w:t xml:space="preserve"> zatrzymanie </w:t>
      </w:r>
      <w:r w:rsidR="00271EAB">
        <w:rPr>
          <w:rFonts w:ascii="Calibri" w:hAnsi="Calibri"/>
          <w:color w:val="000000"/>
          <w:lang w:val="pl-PL"/>
        </w:rPr>
        <w:t>skarżących</w:t>
      </w:r>
      <w:r w:rsidR="004F6441">
        <w:rPr>
          <w:rFonts w:ascii="Calibri" w:hAnsi="Calibri"/>
          <w:color w:val="000000"/>
          <w:lang w:val="pl-PL"/>
        </w:rPr>
        <w:t xml:space="preserve"> było objęte umową dwustronną z Tunezją, nie mogli </w:t>
      </w:r>
      <w:r w:rsidR="00271EAB">
        <w:rPr>
          <w:rFonts w:ascii="Calibri" w:hAnsi="Calibri"/>
          <w:color w:val="000000"/>
          <w:lang w:val="pl-PL"/>
        </w:rPr>
        <w:t xml:space="preserve">oni </w:t>
      </w:r>
      <w:r w:rsidR="004F6441">
        <w:rPr>
          <w:rFonts w:ascii="Calibri" w:hAnsi="Calibri"/>
          <w:color w:val="000000"/>
          <w:lang w:val="pl-PL"/>
        </w:rPr>
        <w:t xml:space="preserve">zdawać sobie </w:t>
      </w:r>
      <w:r w:rsidR="00B61FA0">
        <w:rPr>
          <w:rFonts w:ascii="Calibri" w:hAnsi="Calibri"/>
          <w:color w:val="000000"/>
          <w:lang w:val="pl-PL"/>
        </w:rPr>
        <w:t xml:space="preserve">sprawy </w:t>
      </w:r>
      <w:r w:rsidR="004F6441">
        <w:rPr>
          <w:rFonts w:ascii="Calibri" w:hAnsi="Calibri"/>
          <w:color w:val="000000"/>
          <w:lang w:val="pl-PL"/>
        </w:rPr>
        <w:t xml:space="preserve">z konsekwencji tej umowy, gdyż nie została ogłoszona, a ponadto nie zawierała gwarancji przeciwko arbitralnemu traktowaniu. </w:t>
      </w:r>
      <w:r w:rsidR="004F6441" w:rsidRPr="004F6441">
        <w:rPr>
          <w:rFonts w:ascii="Calibri" w:hAnsi="Calibri"/>
          <w:color w:val="000000"/>
          <w:lang w:val="pl-PL"/>
        </w:rPr>
        <w:t>Pozbawienie wolności było więc bezprawne, naruszając art. 5 ust. 1 Konwencji.</w:t>
      </w:r>
      <w:r w:rsidR="00ED4BB5">
        <w:rPr>
          <w:rFonts w:ascii="Calibri" w:hAnsi="Calibri"/>
          <w:color w:val="000000"/>
          <w:lang w:val="pl-PL"/>
        </w:rPr>
        <w:t xml:space="preserve"> </w:t>
      </w:r>
    </w:p>
    <w:p w:rsidR="004955AA" w:rsidRDefault="004955AA" w:rsidP="004955AA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>
        <w:rPr>
          <w:rFonts w:ascii="Calibri" w:hAnsi="Calibri"/>
          <w:color w:val="000000"/>
          <w:lang w:val="pl-PL"/>
        </w:rPr>
        <w:t xml:space="preserve">- naruszenie </w:t>
      </w:r>
      <w:r w:rsidR="00221881">
        <w:rPr>
          <w:rFonts w:ascii="Calibri" w:hAnsi="Calibri"/>
          <w:color w:val="000000"/>
          <w:lang w:val="pl-PL"/>
        </w:rPr>
        <w:t>prawa</w:t>
      </w:r>
      <w:r>
        <w:rPr>
          <w:rFonts w:ascii="Calibri" w:hAnsi="Calibri"/>
          <w:color w:val="000000"/>
          <w:lang w:val="pl-PL"/>
        </w:rPr>
        <w:t xml:space="preserve"> do niezwłocznego poinformowania o przyczynach zatrzymania</w:t>
      </w:r>
      <w:r w:rsidR="00221881">
        <w:rPr>
          <w:rFonts w:ascii="Calibri" w:hAnsi="Calibri"/>
          <w:color w:val="000000"/>
          <w:lang w:val="pl-PL"/>
        </w:rPr>
        <w:t xml:space="preserve"> (art. 5 ust. 2 Konwencji</w:t>
      </w:r>
      <w:r>
        <w:rPr>
          <w:rFonts w:ascii="Calibri" w:hAnsi="Calibri"/>
          <w:color w:val="000000"/>
          <w:lang w:val="pl-PL"/>
        </w:rPr>
        <w:t xml:space="preserve">) – </w:t>
      </w:r>
      <w:r w:rsidR="00AA422F">
        <w:rPr>
          <w:rFonts w:ascii="Calibri" w:hAnsi="Calibri"/>
          <w:color w:val="000000"/>
          <w:lang w:val="pl-PL"/>
        </w:rPr>
        <w:t xml:space="preserve">skarżący nie zaprzeczyli, że </w:t>
      </w:r>
      <w:r w:rsidR="00B44124">
        <w:rPr>
          <w:rFonts w:ascii="Calibri" w:hAnsi="Calibri"/>
          <w:color w:val="000000"/>
          <w:lang w:val="pl-PL"/>
        </w:rPr>
        <w:t>poinformowano</w:t>
      </w:r>
      <w:r w:rsidR="00AA422F">
        <w:rPr>
          <w:rFonts w:ascii="Calibri" w:hAnsi="Calibri"/>
          <w:color w:val="000000"/>
          <w:lang w:val="pl-PL"/>
        </w:rPr>
        <w:t xml:space="preserve"> ich nt. ich statusu w świetle prawa włoskiego, tj. statusu obywateli tunezyjskich czasowo dopuszczonych na terytorium włoskie ze względów pomocy publicznej. Jednak </w:t>
      </w:r>
      <w:r w:rsidR="007974F0">
        <w:rPr>
          <w:rFonts w:ascii="Calibri" w:hAnsi="Calibri"/>
          <w:color w:val="000000"/>
          <w:lang w:val="pl-PL"/>
        </w:rPr>
        <w:t xml:space="preserve">w opinii Trybunału </w:t>
      </w:r>
      <w:r w:rsidR="008E52F7">
        <w:rPr>
          <w:rFonts w:ascii="Calibri" w:hAnsi="Calibri"/>
          <w:color w:val="000000"/>
          <w:lang w:val="pl-PL"/>
        </w:rPr>
        <w:t xml:space="preserve">tego typu informacja nie jest wystarczająca na potrzeby art. 5 ust. 2 Konwencji. </w:t>
      </w:r>
      <w:r w:rsidR="00AA422F">
        <w:rPr>
          <w:rFonts w:ascii="Calibri" w:hAnsi="Calibri"/>
          <w:color w:val="000000"/>
          <w:lang w:val="pl-PL"/>
        </w:rPr>
        <w:t xml:space="preserve">Trybunał wytknął, że </w:t>
      </w:r>
      <w:r>
        <w:rPr>
          <w:rFonts w:ascii="Calibri" w:hAnsi="Calibri"/>
          <w:color w:val="000000"/>
          <w:lang w:val="pl-PL"/>
        </w:rPr>
        <w:t xml:space="preserve">w żadnym dokumencie nie wskazano powodów pozbawienia skarżących wolności. </w:t>
      </w:r>
      <w:r w:rsidR="00221881">
        <w:rPr>
          <w:rFonts w:ascii="Calibri" w:hAnsi="Calibri"/>
          <w:color w:val="000000"/>
          <w:lang w:val="pl-PL"/>
        </w:rPr>
        <w:t>Przedłożone przez rząd d</w:t>
      </w:r>
      <w:r>
        <w:rPr>
          <w:rFonts w:ascii="Calibri" w:hAnsi="Calibri"/>
          <w:color w:val="000000"/>
          <w:lang w:val="pl-PL"/>
        </w:rPr>
        <w:t>ecyzje ws. odesłania</w:t>
      </w:r>
      <w:r w:rsidR="00221881">
        <w:rPr>
          <w:rFonts w:ascii="Calibri" w:hAnsi="Calibri"/>
          <w:color w:val="000000"/>
          <w:lang w:val="pl-PL"/>
        </w:rPr>
        <w:t xml:space="preserve"> zawierały niekompletne i niewystarczające</w:t>
      </w:r>
      <w:r>
        <w:rPr>
          <w:rFonts w:ascii="Calibri" w:hAnsi="Calibri"/>
          <w:color w:val="000000"/>
          <w:lang w:val="pl-PL"/>
        </w:rPr>
        <w:t xml:space="preserve"> info</w:t>
      </w:r>
      <w:r w:rsidR="00221881">
        <w:rPr>
          <w:rFonts w:ascii="Calibri" w:hAnsi="Calibri"/>
          <w:color w:val="000000"/>
          <w:lang w:val="pl-PL"/>
        </w:rPr>
        <w:t>rmacje</w:t>
      </w:r>
      <w:r w:rsidR="00B44124">
        <w:rPr>
          <w:rFonts w:ascii="Calibri" w:hAnsi="Calibri"/>
          <w:color w:val="000000"/>
          <w:lang w:val="pl-PL"/>
        </w:rPr>
        <w:t xml:space="preserve"> (</w:t>
      </w:r>
      <w:r w:rsidR="007974F0">
        <w:rPr>
          <w:rFonts w:ascii="Calibri" w:hAnsi="Calibri"/>
          <w:color w:val="000000"/>
          <w:lang w:val="pl-PL"/>
        </w:rPr>
        <w:t>powołanie się na fakt</w:t>
      </w:r>
      <w:r w:rsidR="00B44124">
        <w:rPr>
          <w:rFonts w:ascii="Calibri" w:hAnsi="Calibri"/>
          <w:color w:val="000000"/>
          <w:lang w:val="pl-PL"/>
        </w:rPr>
        <w:t xml:space="preserve"> nielegalnego przekroczenia granicy i </w:t>
      </w:r>
      <w:r w:rsidR="0030397A">
        <w:rPr>
          <w:rFonts w:ascii="Calibri" w:hAnsi="Calibri"/>
          <w:color w:val="000000"/>
          <w:lang w:val="pl-PL"/>
        </w:rPr>
        <w:t>decyzję</w:t>
      </w:r>
      <w:r w:rsidR="00B44124">
        <w:rPr>
          <w:rFonts w:ascii="Calibri" w:hAnsi="Calibri"/>
          <w:color w:val="000000"/>
          <w:lang w:val="pl-PL"/>
        </w:rPr>
        <w:t xml:space="preserve"> o odesłaniu, ale nie </w:t>
      </w:r>
      <w:r w:rsidR="002924D5">
        <w:rPr>
          <w:rFonts w:ascii="Calibri" w:hAnsi="Calibri"/>
          <w:color w:val="000000"/>
          <w:lang w:val="pl-PL"/>
        </w:rPr>
        <w:t>na</w:t>
      </w:r>
      <w:r w:rsidR="0030397A">
        <w:rPr>
          <w:rFonts w:ascii="Calibri" w:hAnsi="Calibri"/>
          <w:color w:val="000000"/>
          <w:lang w:val="pl-PL"/>
        </w:rPr>
        <w:t xml:space="preserve"> przyczyn pozbawienia</w:t>
      </w:r>
      <w:r w:rsidR="00B44124">
        <w:rPr>
          <w:rFonts w:ascii="Calibri" w:hAnsi="Calibri"/>
          <w:color w:val="000000"/>
          <w:lang w:val="pl-PL"/>
        </w:rPr>
        <w:t xml:space="preserve"> wolności)</w:t>
      </w:r>
      <w:r>
        <w:rPr>
          <w:rFonts w:ascii="Calibri" w:hAnsi="Calibri"/>
          <w:color w:val="000000"/>
          <w:lang w:val="pl-PL"/>
        </w:rPr>
        <w:t xml:space="preserve">, </w:t>
      </w:r>
      <w:r w:rsidR="00B44124">
        <w:rPr>
          <w:rFonts w:ascii="Calibri" w:hAnsi="Calibri"/>
          <w:color w:val="000000"/>
          <w:lang w:val="pl-PL"/>
        </w:rPr>
        <w:t xml:space="preserve">co więcej decyzje te zostały </w:t>
      </w:r>
      <w:r w:rsidR="00323D74">
        <w:rPr>
          <w:rFonts w:ascii="Calibri" w:hAnsi="Calibri"/>
          <w:color w:val="000000"/>
          <w:lang w:val="pl-PL"/>
        </w:rPr>
        <w:t>doręczone</w:t>
      </w:r>
      <w:r>
        <w:rPr>
          <w:rFonts w:ascii="Calibri" w:hAnsi="Calibri"/>
          <w:color w:val="000000"/>
          <w:lang w:val="pl-PL"/>
        </w:rPr>
        <w:t xml:space="preserve"> skarżącym </w:t>
      </w:r>
      <w:r w:rsidR="008E52F7">
        <w:rPr>
          <w:rFonts w:ascii="Calibri" w:hAnsi="Calibri"/>
          <w:color w:val="000000"/>
          <w:lang w:val="pl-PL"/>
        </w:rPr>
        <w:t xml:space="preserve">dopiero po upływie ponad 10 dni od </w:t>
      </w:r>
      <w:r w:rsidR="002924D5">
        <w:rPr>
          <w:rFonts w:ascii="Calibri" w:hAnsi="Calibri"/>
          <w:color w:val="000000"/>
          <w:lang w:val="pl-PL"/>
        </w:rPr>
        <w:t xml:space="preserve">dnia </w:t>
      </w:r>
      <w:r w:rsidR="008E52F7">
        <w:rPr>
          <w:rFonts w:ascii="Calibri" w:hAnsi="Calibri"/>
          <w:color w:val="000000"/>
          <w:lang w:val="pl-PL"/>
        </w:rPr>
        <w:t>ich zatrzymania w ośrodku</w:t>
      </w:r>
      <w:r w:rsidR="00B44124">
        <w:rPr>
          <w:rFonts w:ascii="Calibri" w:hAnsi="Calibri"/>
          <w:color w:val="000000"/>
          <w:lang w:val="pl-PL"/>
        </w:rPr>
        <w:t xml:space="preserve">, co naruszało wymóg niezwłoczności (Trybunał przypomniał w tym względzie swe orzecznictwo, w świetle którego </w:t>
      </w:r>
      <w:r w:rsidR="007974F0">
        <w:rPr>
          <w:rFonts w:ascii="Calibri" w:hAnsi="Calibri"/>
          <w:color w:val="000000"/>
          <w:lang w:val="pl-PL"/>
        </w:rPr>
        <w:t xml:space="preserve">nawet </w:t>
      </w:r>
      <w:r w:rsidR="00B44124">
        <w:rPr>
          <w:rFonts w:ascii="Calibri" w:hAnsi="Calibri"/>
          <w:color w:val="000000"/>
          <w:lang w:val="pl-PL"/>
        </w:rPr>
        <w:t>poinformowanie w ciągu 4 dni było niezgodne z wymogami art. 5 ust. 2)</w:t>
      </w:r>
      <w:r>
        <w:rPr>
          <w:rFonts w:ascii="Calibri" w:hAnsi="Calibri"/>
          <w:color w:val="000000"/>
          <w:lang w:val="pl-PL"/>
        </w:rPr>
        <w:t xml:space="preserve">. </w:t>
      </w:r>
    </w:p>
    <w:p w:rsidR="002E2A1C" w:rsidRDefault="002E2A1C" w:rsidP="002E2A1C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>
        <w:rPr>
          <w:rFonts w:ascii="Calibri" w:hAnsi="Calibri"/>
          <w:color w:val="000000"/>
          <w:lang w:val="pl-PL"/>
        </w:rPr>
        <w:t xml:space="preserve">- naruszenie </w:t>
      </w:r>
      <w:r w:rsidR="00221881">
        <w:rPr>
          <w:rFonts w:ascii="Calibri" w:hAnsi="Calibri"/>
          <w:color w:val="000000"/>
          <w:lang w:val="pl-PL"/>
        </w:rPr>
        <w:t>prawa do odwołania do sądu w celu bezzwłocznego ustalenia przez sąd legalności pozbawienia wolności (</w:t>
      </w:r>
      <w:r>
        <w:rPr>
          <w:rFonts w:ascii="Calibri" w:hAnsi="Calibri"/>
          <w:color w:val="000000"/>
          <w:lang w:val="pl-PL"/>
        </w:rPr>
        <w:t xml:space="preserve">art. 5 ust. 4 </w:t>
      </w:r>
      <w:r w:rsidR="00221881">
        <w:rPr>
          <w:rFonts w:ascii="Calibri" w:hAnsi="Calibri"/>
          <w:color w:val="000000"/>
          <w:lang w:val="pl-PL"/>
        </w:rPr>
        <w:t>Konwencji</w:t>
      </w:r>
      <w:r>
        <w:rPr>
          <w:rFonts w:ascii="Calibri" w:hAnsi="Calibri"/>
          <w:color w:val="000000"/>
          <w:lang w:val="pl-PL"/>
        </w:rPr>
        <w:t>) – ponieważ skarżących na żadnym etapie nie poinformowano o powodach zatrzymania,</w:t>
      </w:r>
      <w:r w:rsidR="00DF52EC">
        <w:rPr>
          <w:rFonts w:ascii="Calibri" w:hAnsi="Calibri"/>
          <w:color w:val="000000"/>
          <w:lang w:val="pl-PL"/>
        </w:rPr>
        <w:t xml:space="preserve"> w opinii Trybunału</w:t>
      </w:r>
      <w:r>
        <w:rPr>
          <w:rFonts w:ascii="Calibri" w:hAnsi="Calibri"/>
          <w:color w:val="000000"/>
          <w:lang w:val="pl-PL"/>
        </w:rPr>
        <w:t xml:space="preserve"> nie byli </w:t>
      </w:r>
      <w:r w:rsidR="00DF52EC">
        <w:rPr>
          <w:rFonts w:ascii="Calibri" w:hAnsi="Calibri"/>
          <w:color w:val="000000"/>
          <w:lang w:val="pl-PL"/>
        </w:rPr>
        <w:t xml:space="preserve">oni </w:t>
      </w:r>
      <w:r>
        <w:rPr>
          <w:rFonts w:ascii="Calibri" w:hAnsi="Calibri"/>
          <w:color w:val="000000"/>
          <w:lang w:val="pl-PL"/>
        </w:rPr>
        <w:t xml:space="preserve">w stanie kwestionować jego legalności. </w:t>
      </w:r>
      <w:r w:rsidR="005C40CE">
        <w:rPr>
          <w:rFonts w:ascii="Calibri" w:hAnsi="Calibri"/>
          <w:color w:val="000000"/>
          <w:lang w:val="pl-PL"/>
        </w:rPr>
        <w:t xml:space="preserve">Z tego względu Trybunał nie musiał badać, czy dostępne w prawie włoskim środki </w:t>
      </w:r>
      <w:r w:rsidR="00E96B01">
        <w:rPr>
          <w:rFonts w:ascii="Calibri" w:hAnsi="Calibri"/>
          <w:color w:val="000000"/>
          <w:lang w:val="pl-PL"/>
        </w:rPr>
        <w:t xml:space="preserve">odwoławcze </w:t>
      </w:r>
      <w:r w:rsidR="005C40CE">
        <w:rPr>
          <w:rFonts w:ascii="Calibri" w:hAnsi="Calibri"/>
          <w:color w:val="000000"/>
          <w:lang w:val="pl-PL"/>
        </w:rPr>
        <w:t>i gwarancje były odpowiednie.</w:t>
      </w:r>
      <w:r w:rsidR="00ED4BB5">
        <w:rPr>
          <w:rFonts w:ascii="Calibri" w:hAnsi="Calibri"/>
          <w:color w:val="000000"/>
          <w:lang w:val="pl-PL"/>
        </w:rPr>
        <w:t xml:space="preserve"> </w:t>
      </w:r>
    </w:p>
    <w:p w:rsidR="006651E4" w:rsidRDefault="00323D74" w:rsidP="00F630DC">
      <w:pPr>
        <w:spacing w:after="120" w:line="240" w:lineRule="auto"/>
        <w:jc w:val="both"/>
        <w:rPr>
          <w:rFonts w:ascii="Calibri" w:hAnsi="Calibri"/>
          <w:lang w:val="pl-PL"/>
        </w:rPr>
      </w:pPr>
      <w:r>
        <w:rPr>
          <w:rFonts w:ascii="Calibri" w:hAnsi="Calibri"/>
          <w:color w:val="000000"/>
          <w:lang w:val="pl-PL"/>
        </w:rPr>
        <w:t xml:space="preserve">- naruszenie art. 3 Konwencji (zakaz poniżającego traktowania) </w:t>
      </w:r>
      <w:r w:rsidR="00221881">
        <w:rPr>
          <w:rFonts w:ascii="Calibri" w:hAnsi="Calibri"/>
          <w:color w:val="000000"/>
          <w:lang w:val="pl-PL"/>
        </w:rPr>
        <w:t xml:space="preserve">w </w:t>
      </w:r>
      <w:r w:rsidR="00DC385D" w:rsidRPr="00CB6357">
        <w:rPr>
          <w:rFonts w:ascii="Calibri" w:hAnsi="Calibri"/>
          <w:color w:val="000000"/>
          <w:lang w:val="pl-PL"/>
        </w:rPr>
        <w:t>odniesieniu do warunków panujących w ośrodku na Lampedusie</w:t>
      </w:r>
      <w:r w:rsidR="00221881">
        <w:rPr>
          <w:rFonts w:ascii="Calibri" w:hAnsi="Calibri"/>
          <w:color w:val="000000"/>
          <w:lang w:val="pl-PL"/>
        </w:rPr>
        <w:t xml:space="preserve">. </w:t>
      </w:r>
      <w:r w:rsidR="00D2006E">
        <w:rPr>
          <w:rFonts w:ascii="Calibri" w:hAnsi="Calibri"/>
          <w:lang w:val="pl-PL"/>
        </w:rPr>
        <w:t xml:space="preserve">Trybunał odnotował fakt, że w czasie tzw. wiosny arabskiej w Tunezji i Libii w 2011 r., na </w:t>
      </w:r>
      <w:r w:rsidR="00221881">
        <w:rPr>
          <w:rFonts w:ascii="Calibri" w:hAnsi="Calibri"/>
          <w:lang w:val="pl-PL"/>
        </w:rPr>
        <w:t>Lampedusę</w:t>
      </w:r>
      <w:r w:rsidR="00D2006E">
        <w:rPr>
          <w:rFonts w:ascii="Calibri" w:hAnsi="Calibri"/>
          <w:lang w:val="pl-PL"/>
        </w:rPr>
        <w:t xml:space="preserve"> przybyła ogromna liczba migrantów (ok. </w:t>
      </w:r>
      <w:r w:rsidR="002C6710">
        <w:rPr>
          <w:rFonts w:ascii="Calibri" w:hAnsi="Calibri"/>
          <w:lang w:val="pl-PL"/>
        </w:rPr>
        <w:t>55.</w:t>
      </w:r>
      <w:r w:rsidR="00D2006E">
        <w:rPr>
          <w:rFonts w:ascii="Calibri" w:hAnsi="Calibri"/>
          <w:lang w:val="pl-PL"/>
        </w:rPr>
        <w:t xml:space="preserve">298 osób dotarło tam na łodziach w czasie, gdy przebywali tam skarżący). Doprowadziło to do ogłoszenia przez władze włoskie stanu nadzwyczajnego ze względów humanitarnych. Trybunał zdawał sobie sprawę, że zachodziły szczególne okoliczności, a władze lokalne intensywnie próbowały znaleźć miejsce </w:t>
      </w:r>
      <w:r w:rsidR="00221881">
        <w:rPr>
          <w:rFonts w:ascii="Calibri" w:hAnsi="Calibri"/>
          <w:lang w:val="pl-PL"/>
        </w:rPr>
        <w:t xml:space="preserve">zakwaterowania </w:t>
      </w:r>
      <w:r w:rsidR="00D2006E">
        <w:rPr>
          <w:rFonts w:ascii="Calibri" w:hAnsi="Calibri"/>
          <w:lang w:val="pl-PL"/>
        </w:rPr>
        <w:t>dla</w:t>
      </w:r>
      <w:r w:rsidR="00E96B01">
        <w:rPr>
          <w:rFonts w:ascii="Calibri" w:hAnsi="Calibri"/>
          <w:lang w:val="pl-PL"/>
        </w:rPr>
        <w:t xml:space="preserve"> imigrantów</w:t>
      </w:r>
      <w:r w:rsidR="00D2006E">
        <w:rPr>
          <w:rFonts w:ascii="Calibri" w:hAnsi="Calibri"/>
          <w:lang w:val="pl-PL"/>
        </w:rPr>
        <w:t>. Nie pomniejszając problemów napotykanych przez państwa w sytuacjach nadzwyczajnego napływu imigrantów, Trybunał przypomniał jednak, że nie jest możliwe uchylenie zobowiązań wynikających z art. 3 Konwencji. Wiele raportów potwier</w:t>
      </w:r>
      <w:r w:rsidR="00221881">
        <w:rPr>
          <w:rFonts w:ascii="Calibri" w:hAnsi="Calibri"/>
          <w:lang w:val="pl-PL"/>
        </w:rPr>
        <w:t>dza, że w przedmiotowym ośrodku</w:t>
      </w:r>
      <w:r w:rsidR="00D2006E">
        <w:rPr>
          <w:rFonts w:ascii="Calibri" w:hAnsi="Calibri"/>
          <w:lang w:val="pl-PL"/>
        </w:rPr>
        <w:t xml:space="preserve"> występowały poważne problemy </w:t>
      </w:r>
      <w:r w:rsidR="00221881">
        <w:rPr>
          <w:rFonts w:ascii="Calibri" w:hAnsi="Calibri"/>
          <w:lang w:val="pl-PL"/>
        </w:rPr>
        <w:t xml:space="preserve">z przeludnieniem, </w:t>
      </w:r>
      <w:r w:rsidR="00D2006E">
        <w:rPr>
          <w:rFonts w:ascii="Calibri" w:hAnsi="Calibri"/>
          <w:lang w:val="pl-PL"/>
        </w:rPr>
        <w:t>higieną i brakiem kontaktu ze światem. Trybunał uznał więc, że złe warunki pobytu w</w:t>
      </w:r>
      <w:r w:rsidR="00C413B4">
        <w:rPr>
          <w:rFonts w:ascii="Calibri" w:hAnsi="Calibri"/>
          <w:lang w:val="pl-PL"/>
        </w:rPr>
        <w:t xml:space="preserve"> ośrodku</w:t>
      </w:r>
      <w:r w:rsidR="00D2006E">
        <w:rPr>
          <w:rFonts w:ascii="Calibri" w:hAnsi="Calibri"/>
          <w:lang w:val="pl-PL"/>
        </w:rPr>
        <w:t xml:space="preserve"> zostały dowiedzione. </w:t>
      </w:r>
      <w:r w:rsidR="00F630DC">
        <w:rPr>
          <w:rFonts w:ascii="Calibri" w:hAnsi="Calibri"/>
          <w:lang w:val="pl-PL"/>
        </w:rPr>
        <w:t xml:space="preserve">Ponadto skarżący, którzy właśnie odbyli niebezpieczną podróż morską, znajdowali się w szczególnie wrażliwej sytuacji. Nawet jeśli ich pobyt w </w:t>
      </w:r>
      <w:r w:rsidR="00C413B4">
        <w:rPr>
          <w:rFonts w:ascii="Calibri" w:hAnsi="Calibri"/>
          <w:lang w:val="pl-PL"/>
        </w:rPr>
        <w:t>ośrodku</w:t>
      </w:r>
      <w:r w:rsidR="00F630DC">
        <w:rPr>
          <w:rFonts w:ascii="Calibri" w:hAnsi="Calibri"/>
          <w:lang w:val="pl-PL"/>
        </w:rPr>
        <w:t xml:space="preserve"> trwał jedynie</w:t>
      </w:r>
      <w:r w:rsidR="007A68EE">
        <w:rPr>
          <w:rFonts w:ascii="Calibri" w:hAnsi="Calibri"/>
          <w:lang w:val="pl-PL"/>
        </w:rPr>
        <w:t xml:space="preserve"> kilka</w:t>
      </w:r>
      <w:r w:rsidR="00F630DC">
        <w:rPr>
          <w:rFonts w:ascii="Calibri" w:hAnsi="Calibri"/>
          <w:lang w:val="pl-PL"/>
        </w:rPr>
        <w:t xml:space="preserve"> dni, warunki pobytu tam poniżyły ich ludzką godność, a sytuacja wykraczała poza cierpienie nieodłącznie związane z zatrzymaniem i stanowiła poniżające traktowanie niezgodne z art. 3 Konwencji. </w:t>
      </w:r>
    </w:p>
    <w:p w:rsidR="00323D74" w:rsidRPr="00F630DC" w:rsidRDefault="00F630DC" w:rsidP="00F630DC">
      <w:pPr>
        <w:spacing w:after="120" w:line="240" w:lineRule="auto"/>
        <w:jc w:val="both"/>
        <w:rPr>
          <w:rFonts w:ascii="Calibri" w:hAnsi="Calibri" w:cs="Calibri"/>
          <w:color w:val="000000"/>
          <w:sz w:val="21"/>
          <w:szCs w:val="21"/>
          <w:lang w:val="pl-PL"/>
        </w:rPr>
      </w:pPr>
      <w:r>
        <w:rPr>
          <w:rFonts w:ascii="Calibri" w:hAnsi="Calibri"/>
          <w:lang w:val="pl-PL"/>
        </w:rPr>
        <w:t xml:space="preserve">Trybunał nie uznał jednak zarzutów skarżących dotyczących warunków zatrzymania na statkach, gdyż ich twierdzenia były sprzeczne z oświadczeniami członka parlamentu włoskiego, który wizytował statki. </w:t>
      </w:r>
      <w:r w:rsidR="007A68EE">
        <w:rPr>
          <w:rFonts w:ascii="Calibri" w:hAnsi="Calibri"/>
          <w:lang w:val="pl-PL"/>
        </w:rPr>
        <w:t>Natomiast p</w:t>
      </w:r>
      <w:r>
        <w:rPr>
          <w:rFonts w:ascii="Calibri" w:hAnsi="Calibri"/>
          <w:lang w:val="pl-PL"/>
        </w:rPr>
        <w:t xml:space="preserve">oczucie niepokoju wzbudzone w skarżących </w:t>
      </w:r>
      <w:r w:rsidR="009737C2">
        <w:rPr>
          <w:rFonts w:ascii="Calibri" w:hAnsi="Calibri"/>
          <w:lang w:val="pl-PL"/>
        </w:rPr>
        <w:t>przez</w:t>
      </w:r>
      <w:r>
        <w:rPr>
          <w:rFonts w:ascii="Calibri" w:hAnsi="Calibri"/>
          <w:lang w:val="pl-PL"/>
        </w:rPr>
        <w:t xml:space="preserve"> brak </w:t>
      </w:r>
      <w:r w:rsidR="007A68EE">
        <w:rPr>
          <w:rFonts w:ascii="Calibri" w:hAnsi="Calibri"/>
          <w:lang w:val="pl-PL"/>
        </w:rPr>
        <w:t xml:space="preserve">otrzymania </w:t>
      </w:r>
      <w:r>
        <w:rPr>
          <w:rFonts w:ascii="Calibri" w:hAnsi="Calibri"/>
          <w:lang w:val="pl-PL"/>
        </w:rPr>
        <w:t xml:space="preserve">wyjaśnień dotyczących ich zatrzymania na statkach nie osiągnął takiego poziomu dolegliwości, który </w:t>
      </w:r>
      <w:r>
        <w:rPr>
          <w:rFonts w:ascii="Calibri" w:hAnsi="Calibri"/>
          <w:lang w:val="pl-PL"/>
        </w:rPr>
        <w:lastRenderedPageBreak/>
        <w:t xml:space="preserve">uzasadniałby zastosowanie art. 3 Konwencji. W tym zakresie nie doszło do naruszenia tego postanowienia. </w:t>
      </w:r>
    </w:p>
    <w:p w:rsidR="007155EE" w:rsidRDefault="007155EE" w:rsidP="00DC385D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>
        <w:rPr>
          <w:rFonts w:ascii="Calibri" w:hAnsi="Calibri"/>
          <w:color w:val="000000"/>
          <w:lang w:val="pl-PL"/>
        </w:rPr>
        <w:t>Trybunał stwierdził także większością głosów 5 do 2</w:t>
      </w:r>
      <w:r w:rsidR="003B4435">
        <w:rPr>
          <w:rFonts w:ascii="Calibri" w:hAnsi="Calibri"/>
          <w:color w:val="000000"/>
          <w:lang w:val="pl-PL"/>
        </w:rPr>
        <w:t>:</w:t>
      </w:r>
    </w:p>
    <w:p w:rsidR="007D59D1" w:rsidRPr="005A3D5D" w:rsidRDefault="007155EE" w:rsidP="005A3D5D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>
        <w:rPr>
          <w:rFonts w:ascii="Calibri" w:hAnsi="Calibri"/>
          <w:color w:val="000000"/>
          <w:lang w:val="pl-PL"/>
        </w:rPr>
        <w:t xml:space="preserve">- </w:t>
      </w:r>
      <w:r w:rsidR="006651E4">
        <w:rPr>
          <w:rFonts w:ascii="Calibri" w:hAnsi="Calibri"/>
          <w:color w:val="000000"/>
          <w:lang w:val="pl-PL"/>
        </w:rPr>
        <w:t>n</w:t>
      </w:r>
      <w:r w:rsidR="007D59D1" w:rsidRPr="005A3D5D">
        <w:rPr>
          <w:rFonts w:ascii="Calibri" w:hAnsi="Calibri"/>
          <w:color w:val="000000"/>
          <w:lang w:val="pl-PL"/>
        </w:rPr>
        <w:t xml:space="preserve">aruszenie </w:t>
      </w:r>
      <w:r w:rsidR="006651E4">
        <w:rPr>
          <w:rFonts w:ascii="Calibri" w:hAnsi="Calibri"/>
          <w:color w:val="000000"/>
          <w:lang w:val="pl-PL"/>
        </w:rPr>
        <w:t>zakazu zbiorowego wydalania cudzoziemców (</w:t>
      </w:r>
      <w:r w:rsidR="007D59D1" w:rsidRPr="005A3D5D">
        <w:rPr>
          <w:rFonts w:ascii="Calibri" w:hAnsi="Calibri"/>
          <w:color w:val="000000"/>
          <w:lang w:val="pl-PL"/>
        </w:rPr>
        <w:t>art. 4 Protokołu nr 4 do Konwencji</w:t>
      </w:r>
      <w:r w:rsidR="006651E4">
        <w:rPr>
          <w:rFonts w:ascii="Calibri" w:hAnsi="Calibri"/>
          <w:color w:val="000000"/>
          <w:lang w:val="pl-PL"/>
        </w:rPr>
        <w:t>)</w:t>
      </w:r>
      <w:r w:rsidR="007D59D1" w:rsidRPr="005A3D5D">
        <w:rPr>
          <w:rFonts w:ascii="Calibri" w:hAnsi="Calibri"/>
          <w:color w:val="000000"/>
          <w:lang w:val="pl-PL"/>
        </w:rPr>
        <w:t xml:space="preserve"> – wobec skarżących wydano co prawda </w:t>
      </w:r>
      <w:r w:rsidR="007D59D1" w:rsidRPr="007155EE">
        <w:rPr>
          <w:rFonts w:ascii="Calibri" w:hAnsi="Calibri"/>
          <w:color w:val="000000"/>
          <w:lang w:val="pl-PL"/>
        </w:rPr>
        <w:t xml:space="preserve">indywidualne </w:t>
      </w:r>
      <w:r w:rsidR="007D59D1" w:rsidRPr="005A3D5D">
        <w:rPr>
          <w:rFonts w:ascii="Calibri" w:hAnsi="Calibri"/>
          <w:color w:val="000000"/>
          <w:lang w:val="pl-PL"/>
        </w:rPr>
        <w:t xml:space="preserve">decyzje o </w:t>
      </w:r>
      <w:r w:rsidR="006651E4">
        <w:rPr>
          <w:rFonts w:ascii="Calibri" w:hAnsi="Calibri"/>
          <w:color w:val="000000"/>
          <w:lang w:val="pl-PL"/>
        </w:rPr>
        <w:t xml:space="preserve">ich </w:t>
      </w:r>
      <w:r w:rsidR="00FC5CAA" w:rsidRPr="007155EE">
        <w:rPr>
          <w:rFonts w:ascii="Calibri" w:hAnsi="Calibri"/>
          <w:color w:val="000000"/>
          <w:lang w:val="pl-PL"/>
        </w:rPr>
        <w:t xml:space="preserve">odesłaniu </w:t>
      </w:r>
      <w:r w:rsidR="006651E4">
        <w:rPr>
          <w:rFonts w:ascii="Calibri" w:hAnsi="Calibri"/>
          <w:color w:val="000000"/>
          <w:lang w:val="pl-PL"/>
        </w:rPr>
        <w:t>do Tunezji</w:t>
      </w:r>
      <w:r w:rsidR="009737C2">
        <w:rPr>
          <w:rFonts w:ascii="Calibri" w:hAnsi="Calibri"/>
          <w:color w:val="000000"/>
          <w:lang w:val="pl-PL"/>
        </w:rPr>
        <w:t>,</w:t>
      </w:r>
      <w:r w:rsidR="007D59D1" w:rsidRPr="007155EE">
        <w:rPr>
          <w:rFonts w:ascii="Calibri" w:hAnsi="Calibri"/>
          <w:color w:val="000000"/>
          <w:lang w:val="pl-PL"/>
        </w:rPr>
        <w:t xml:space="preserve"> </w:t>
      </w:r>
      <w:r w:rsidR="009737C2">
        <w:rPr>
          <w:rFonts w:ascii="Calibri" w:hAnsi="Calibri"/>
          <w:color w:val="000000"/>
          <w:lang w:val="pl-PL"/>
        </w:rPr>
        <w:t>j</w:t>
      </w:r>
      <w:r w:rsidR="007D59D1" w:rsidRPr="006651E4">
        <w:rPr>
          <w:rFonts w:ascii="Calibri" w:hAnsi="Calibri"/>
          <w:color w:val="000000"/>
          <w:lang w:val="pl-PL"/>
        </w:rPr>
        <w:t>ednakże zostały one zredagowane w sposób identyczn</w:t>
      </w:r>
      <w:r w:rsidR="006651E4" w:rsidRPr="006651E4">
        <w:rPr>
          <w:rFonts w:ascii="Calibri" w:hAnsi="Calibri"/>
          <w:color w:val="000000"/>
          <w:lang w:val="pl-PL"/>
        </w:rPr>
        <w:t>y</w:t>
      </w:r>
      <w:r w:rsidR="007D59D1" w:rsidRPr="006651E4">
        <w:rPr>
          <w:rFonts w:ascii="Calibri" w:hAnsi="Calibri"/>
          <w:color w:val="000000"/>
          <w:lang w:val="pl-PL"/>
        </w:rPr>
        <w:t xml:space="preserve"> (różniły się jedynie danymi osobowymi adresatów decyzji). </w:t>
      </w:r>
      <w:r w:rsidR="00D52790" w:rsidRPr="005759FF">
        <w:rPr>
          <w:rFonts w:ascii="Calibri" w:hAnsi="Calibri"/>
          <w:color w:val="000000"/>
          <w:lang w:val="pl-PL"/>
        </w:rPr>
        <w:t xml:space="preserve">Choć przeprowadzono </w:t>
      </w:r>
      <w:r w:rsidR="00C413B4" w:rsidRPr="005759FF">
        <w:rPr>
          <w:rFonts w:ascii="Calibri" w:hAnsi="Calibri"/>
          <w:color w:val="000000"/>
          <w:lang w:val="pl-PL"/>
        </w:rPr>
        <w:t>procedurę</w:t>
      </w:r>
      <w:r w:rsidR="00D52790" w:rsidRPr="005759FF">
        <w:rPr>
          <w:rFonts w:ascii="Calibri" w:hAnsi="Calibri"/>
          <w:color w:val="000000"/>
          <w:lang w:val="pl-PL"/>
        </w:rPr>
        <w:t xml:space="preserve"> </w:t>
      </w:r>
      <w:r w:rsidR="00C413B4" w:rsidRPr="005759FF">
        <w:rPr>
          <w:rFonts w:ascii="Calibri" w:hAnsi="Calibri"/>
          <w:color w:val="000000"/>
          <w:lang w:val="pl-PL"/>
        </w:rPr>
        <w:t>identyfikacji</w:t>
      </w:r>
      <w:r w:rsidR="00D52790" w:rsidRPr="005759FF">
        <w:rPr>
          <w:rFonts w:ascii="Calibri" w:hAnsi="Calibri"/>
          <w:color w:val="000000"/>
          <w:lang w:val="pl-PL"/>
        </w:rPr>
        <w:t xml:space="preserve"> </w:t>
      </w:r>
      <w:r w:rsidR="009737C2">
        <w:rPr>
          <w:rFonts w:ascii="Calibri" w:hAnsi="Calibri"/>
          <w:color w:val="000000"/>
          <w:lang w:val="pl-PL"/>
        </w:rPr>
        <w:t xml:space="preserve">skarżących </w:t>
      </w:r>
      <w:r w:rsidR="00D52790" w:rsidRPr="005759FF">
        <w:rPr>
          <w:rFonts w:ascii="Calibri" w:hAnsi="Calibri"/>
          <w:color w:val="000000"/>
          <w:lang w:val="pl-PL"/>
        </w:rPr>
        <w:t>(</w:t>
      </w:r>
      <w:r w:rsidR="00281ADB">
        <w:rPr>
          <w:rFonts w:ascii="Calibri" w:hAnsi="Calibri"/>
          <w:color w:val="000000"/>
          <w:lang w:val="pl-PL"/>
        </w:rPr>
        <w:t>czym obecna sprawa różni się od sprawy</w:t>
      </w:r>
      <w:r w:rsidR="00D52790" w:rsidRPr="005759FF">
        <w:rPr>
          <w:rFonts w:ascii="Calibri" w:hAnsi="Calibri"/>
          <w:color w:val="000000"/>
          <w:lang w:val="pl-PL"/>
        </w:rPr>
        <w:t xml:space="preserve"> </w:t>
      </w:r>
      <w:proofErr w:type="spellStart"/>
      <w:r w:rsidR="005759FF" w:rsidRPr="00281ADB">
        <w:rPr>
          <w:rFonts w:ascii="Calibri" w:hAnsi="Calibri"/>
          <w:i/>
          <w:color w:val="000000"/>
          <w:lang w:val="pl-PL"/>
        </w:rPr>
        <w:t>Hirsi</w:t>
      </w:r>
      <w:proofErr w:type="spellEnd"/>
      <w:r w:rsidR="005759FF" w:rsidRPr="00281ADB">
        <w:rPr>
          <w:rFonts w:ascii="Calibri" w:hAnsi="Calibri"/>
          <w:i/>
          <w:color w:val="000000"/>
          <w:lang w:val="pl-PL"/>
        </w:rPr>
        <w:t xml:space="preserve"> </w:t>
      </w:r>
      <w:proofErr w:type="spellStart"/>
      <w:r w:rsidR="005759FF" w:rsidRPr="00281ADB">
        <w:rPr>
          <w:rFonts w:ascii="Calibri" w:hAnsi="Calibri"/>
          <w:i/>
          <w:color w:val="000000"/>
          <w:lang w:val="pl-PL"/>
        </w:rPr>
        <w:t>Jamaa</w:t>
      </w:r>
      <w:proofErr w:type="spellEnd"/>
      <w:r w:rsidR="005759FF" w:rsidRPr="00281ADB">
        <w:rPr>
          <w:rFonts w:ascii="Calibri" w:hAnsi="Calibri"/>
          <w:i/>
          <w:color w:val="000000"/>
          <w:lang w:val="pl-PL"/>
        </w:rPr>
        <w:t xml:space="preserve"> </w:t>
      </w:r>
      <w:r w:rsidR="00281ADB" w:rsidRPr="00281ADB">
        <w:rPr>
          <w:rFonts w:ascii="Calibri" w:hAnsi="Calibri"/>
          <w:i/>
          <w:color w:val="000000"/>
          <w:lang w:val="pl-PL"/>
        </w:rPr>
        <w:t>i</w:t>
      </w:r>
      <w:r w:rsidR="005759FF" w:rsidRPr="00281ADB">
        <w:rPr>
          <w:rFonts w:ascii="Calibri" w:hAnsi="Calibri"/>
          <w:i/>
          <w:color w:val="000000"/>
          <w:lang w:val="pl-PL"/>
        </w:rPr>
        <w:t xml:space="preserve"> Inni </w:t>
      </w:r>
      <w:r w:rsidR="00C833F2" w:rsidRPr="00281ADB">
        <w:rPr>
          <w:rFonts w:ascii="Calibri" w:hAnsi="Calibri"/>
          <w:i/>
          <w:color w:val="000000"/>
          <w:lang w:val="pl-PL"/>
        </w:rPr>
        <w:t>przeciwko</w:t>
      </w:r>
      <w:r w:rsidR="005759FF" w:rsidRPr="00281ADB">
        <w:rPr>
          <w:rFonts w:ascii="Calibri" w:hAnsi="Calibri"/>
          <w:i/>
          <w:color w:val="000000"/>
          <w:lang w:val="pl-PL"/>
        </w:rPr>
        <w:t xml:space="preserve"> Włochom</w:t>
      </w:r>
      <w:r w:rsidR="005759FF" w:rsidRPr="005759FF">
        <w:rPr>
          <w:rFonts w:ascii="Calibri-Italic" w:hAnsi="Calibri-Italic" w:cs="Calibri-Italic"/>
          <w:i/>
          <w:iCs/>
          <w:sz w:val="21"/>
          <w:szCs w:val="21"/>
          <w:lang w:val="pl-PL"/>
        </w:rPr>
        <w:t>)</w:t>
      </w:r>
      <w:r w:rsidR="005759FF">
        <w:rPr>
          <w:rFonts w:ascii="Calibri-Italic" w:hAnsi="Calibri-Italic" w:cs="Calibri-Italic"/>
          <w:i/>
          <w:iCs/>
          <w:sz w:val="21"/>
          <w:szCs w:val="21"/>
          <w:lang w:val="pl-PL"/>
        </w:rPr>
        <w:t>,</w:t>
      </w:r>
      <w:r w:rsidR="005759FF" w:rsidRPr="005759FF">
        <w:rPr>
          <w:rFonts w:ascii="Calibri-Italic" w:hAnsi="Calibri-Italic" w:cs="Calibri-Italic"/>
          <w:i/>
          <w:iCs/>
          <w:sz w:val="21"/>
          <w:szCs w:val="21"/>
          <w:lang w:val="pl-PL"/>
        </w:rPr>
        <w:t xml:space="preserve"> </w:t>
      </w:r>
      <w:r w:rsidR="009737C2" w:rsidRPr="009737C2">
        <w:rPr>
          <w:rFonts w:ascii="Calibri" w:hAnsi="Calibri"/>
          <w:color w:val="000000"/>
          <w:lang w:val="pl-PL"/>
        </w:rPr>
        <w:t xml:space="preserve">w opinii Trybunału, </w:t>
      </w:r>
      <w:r w:rsidR="007D59D1" w:rsidRPr="005759FF">
        <w:rPr>
          <w:rFonts w:ascii="Calibri" w:hAnsi="Calibri"/>
          <w:color w:val="000000"/>
          <w:lang w:val="pl-PL"/>
        </w:rPr>
        <w:t xml:space="preserve">samo </w:t>
      </w:r>
      <w:r w:rsidR="005759FF">
        <w:rPr>
          <w:rFonts w:ascii="Calibri" w:hAnsi="Calibri"/>
          <w:color w:val="000000"/>
          <w:lang w:val="pl-PL"/>
        </w:rPr>
        <w:t xml:space="preserve">przeprowadzenie procedury </w:t>
      </w:r>
      <w:r w:rsidR="00E96B01">
        <w:rPr>
          <w:rFonts w:ascii="Calibri" w:hAnsi="Calibri"/>
          <w:color w:val="000000"/>
          <w:lang w:val="pl-PL"/>
        </w:rPr>
        <w:t>identyfikacyjnej nie wystarcza</w:t>
      </w:r>
      <w:r w:rsidR="007D59D1" w:rsidRPr="005759FF">
        <w:rPr>
          <w:rFonts w:ascii="Calibri" w:hAnsi="Calibri"/>
          <w:color w:val="000000"/>
          <w:lang w:val="pl-PL"/>
        </w:rPr>
        <w:t xml:space="preserve"> do wykluczenia zbiorowego charakteru</w:t>
      </w:r>
      <w:r w:rsidR="00B6739E">
        <w:rPr>
          <w:rFonts w:ascii="Calibri" w:hAnsi="Calibri"/>
          <w:color w:val="000000"/>
          <w:lang w:val="pl-PL"/>
        </w:rPr>
        <w:t xml:space="preserve"> </w:t>
      </w:r>
      <w:r w:rsidR="007D59D1" w:rsidRPr="005759FF">
        <w:rPr>
          <w:rFonts w:ascii="Calibri" w:hAnsi="Calibri"/>
          <w:color w:val="000000"/>
          <w:lang w:val="pl-PL"/>
        </w:rPr>
        <w:t xml:space="preserve">wydalenia. </w:t>
      </w:r>
      <w:r w:rsidR="007D59D1" w:rsidRPr="00281ADB">
        <w:rPr>
          <w:rFonts w:ascii="Calibri" w:hAnsi="Calibri"/>
          <w:color w:val="000000"/>
          <w:lang w:val="pl-PL"/>
        </w:rPr>
        <w:t xml:space="preserve">Wiele elementów pozwala </w:t>
      </w:r>
      <w:r w:rsidR="00281ADB">
        <w:rPr>
          <w:rFonts w:ascii="Calibri" w:hAnsi="Calibri"/>
          <w:color w:val="000000"/>
          <w:lang w:val="pl-PL"/>
        </w:rPr>
        <w:t xml:space="preserve">natomiast </w:t>
      </w:r>
      <w:r w:rsidR="007D59D1" w:rsidRPr="00281ADB">
        <w:rPr>
          <w:rFonts w:ascii="Calibri" w:hAnsi="Calibri"/>
          <w:color w:val="000000"/>
          <w:lang w:val="pl-PL"/>
        </w:rPr>
        <w:t xml:space="preserve">uznać, że w sprawie </w:t>
      </w:r>
      <w:r w:rsidR="00281ADB" w:rsidRPr="00281ADB">
        <w:rPr>
          <w:rFonts w:ascii="Calibri" w:hAnsi="Calibri"/>
          <w:color w:val="000000"/>
          <w:lang w:val="pl-PL"/>
        </w:rPr>
        <w:t xml:space="preserve">skarżących </w:t>
      </w:r>
      <w:r w:rsidR="007D59D1" w:rsidRPr="00281ADB">
        <w:rPr>
          <w:rFonts w:ascii="Calibri" w:hAnsi="Calibri"/>
          <w:color w:val="000000"/>
          <w:lang w:val="pl-PL"/>
        </w:rPr>
        <w:t xml:space="preserve">wydalenie miało charakter zbiorowy. </w:t>
      </w:r>
      <w:r w:rsidR="007D59D1" w:rsidRPr="004E3C04">
        <w:rPr>
          <w:rFonts w:ascii="Calibri" w:hAnsi="Calibri"/>
          <w:color w:val="000000"/>
          <w:lang w:val="pl-PL"/>
        </w:rPr>
        <w:t xml:space="preserve">W szczególności, decyzje o </w:t>
      </w:r>
      <w:r w:rsidR="00FC5CAA" w:rsidRPr="004E3C04">
        <w:rPr>
          <w:rFonts w:ascii="Calibri" w:hAnsi="Calibri"/>
          <w:color w:val="000000"/>
          <w:lang w:val="pl-PL"/>
        </w:rPr>
        <w:t>odesłaniu (</w:t>
      </w:r>
      <w:proofErr w:type="spellStart"/>
      <w:r w:rsidR="00FC5CAA" w:rsidRPr="004E3C04">
        <w:rPr>
          <w:rFonts w:ascii="Calibri" w:hAnsi="Calibri"/>
          <w:i/>
          <w:color w:val="000000"/>
          <w:lang w:val="pl-PL"/>
        </w:rPr>
        <w:t>refoulement</w:t>
      </w:r>
      <w:proofErr w:type="spellEnd"/>
      <w:r w:rsidR="00FC5CAA" w:rsidRPr="004E3C04">
        <w:rPr>
          <w:rFonts w:ascii="Calibri" w:hAnsi="Calibri"/>
          <w:color w:val="000000"/>
          <w:lang w:val="pl-PL"/>
        </w:rPr>
        <w:t xml:space="preserve">) </w:t>
      </w:r>
      <w:r w:rsidR="007D59D1" w:rsidRPr="004E3C04">
        <w:rPr>
          <w:rFonts w:ascii="Calibri" w:hAnsi="Calibri"/>
          <w:color w:val="000000"/>
          <w:lang w:val="pl-PL"/>
        </w:rPr>
        <w:t xml:space="preserve">nie zawierały żadnych odniesień do sytuacji osobistej zainteresowanych. Rząd nie przedstawił żadnego dokumentu mogącego udowodnić, że miało miejsce indywidualne przesłuchanie dotyczące szczególnej sytuacji każdego skarżącego przed wydaniem decyzji. </w:t>
      </w:r>
      <w:r w:rsidR="00281ADB" w:rsidRPr="00281ADB">
        <w:rPr>
          <w:rFonts w:ascii="Calibri" w:hAnsi="Calibri"/>
          <w:color w:val="000000"/>
          <w:lang w:val="pl-PL"/>
        </w:rPr>
        <w:t>W tym czasie w</w:t>
      </w:r>
      <w:r w:rsidR="000A082B" w:rsidRPr="00281ADB">
        <w:rPr>
          <w:rFonts w:ascii="Calibri" w:hAnsi="Calibri"/>
          <w:color w:val="000000"/>
          <w:lang w:val="pl-PL"/>
        </w:rPr>
        <w:t>iele innych osób tego samego pochod</w:t>
      </w:r>
      <w:r w:rsidR="00E96B01">
        <w:rPr>
          <w:rFonts w:ascii="Calibri" w:hAnsi="Calibri"/>
          <w:color w:val="000000"/>
          <w:lang w:val="pl-PL"/>
        </w:rPr>
        <w:t>zenia zostało</w:t>
      </w:r>
      <w:r w:rsidR="00281ADB" w:rsidRPr="00281ADB">
        <w:rPr>
          <w:rFonts w:ascii="Calibri" w:hAnsi="Calibri"/>
          <w:color w:val="000000"/>
          <w:lang w:val="pl-PL"/>
        </w:rPr>
        <w:t xml:space="preserve"> potraktowanych</w:t>
      </w:r>
      <w:r w:rsidR="000A082B" w:rsidRPr="00281ADB">
        <w:rPr>
          <w:rFonts w:ascii="Calibri" w:hAnsi="Calibri"/>
          <w:color w:val="000000"/>
          <w:lang w:val="pl-PL"/>
        </w:rPr>
        <w:t xml:space="preserve"> identycznie jak skarżący. </w:t>
      </w:r>
      <w:r w:rsidR="00281ADB">
        <w:rPr>
          <w:rFonts w:ascii="Calibri" w:hAnsi="Calibri"/>
          <w:color w:val="000000"/>
          <w:lang w:val="pl-PL"/>
        </w:rPr>
        <w:t>Porozumienie</w:t>
      </w:r>
      <w:r w:rsidR="000A082B" w:rsidRPr="00281ADB">
        <w:rPr>
          <w:rFonts w:ascii="Calibri" w:hAnsi="Calibri"/>
          <w:color w:val="000000"/>
          <w:lang w:val="pl-PL"/>
        </w:rPr>
        <w:t xml:space="preserve"> dwustronne z Tunezją, które nie został</w:t>
      </w:r>
      <w:r w:rsidR="007A68EE">
        <w:rPr>
          <w:rFonts w:ascii="Calibri" w:hAnsi="Calibri"/>
          <w:color w:val="000000"/>
          <w:lang w:val="pl-PL"/>
        </w:rPr>
        <w:t>o</w:t>
      </w:r>
      <w:r w:rsidR="000A082B" w:rsidRPr="00281ADB">
        <w:rPr>
          <w:rFonts w:ascii="Calibri" w:hAnsi="Calibri"/>
          <w:color w:val="000000"/>
          <w:lang w:val="pl-PL"/>
        </w:rPr>
        <w:t xml:space="preserve"> og</w:t>
      </w:r>
      <w:r w:rsidR="00281ADB" w:rsidRPr="00281ADB">
        <w:rPr>
          <w:rFonts w:ascii="Calibri" w:hAnsi="Calibri"/>
          <w:color w:val="000000"/>
          <w:lang w:val="pl-PL"/>
        </w:rPr>
        <w:t>łoszone publicznie, przewidywało</w:t>
      </w:r>
      <w:r w:rsidR="000A082B" w:rsidRPr="00281ADB">
        <w:rPr>
          <w:rFonts w:ascii="Calibri" w:hAnsi="Calibri"/>
          <w:color w:val="000000"/>
          <w:lang w:val="pl-PL"/>
        </w:rPr>
        <w:t xml:space="preserve"> repatriację nielegalnych imigrantów tunezyjskich w drodze uproszczonych procedur w oparciu o prostą identyfikację </w:t>
      </w:r>
      <w:r w:rsidR="00FC5CAA" w:rsidRPr="00281ADB">
        <w:rPr>
          <w:rFonts w:ascii="Calibri" w:hAnsi="Calibri"/>
          <w:color w:val="000000"/>
          <w:lang w:val="pl-PL"/>
        </w:rPr>
        <w:t xml:space="preserve">osób </w:t>
      </w:r>
      <w:r w:rsidR="000A082B" w:rsidRPr="00281ADB">
        <w:rPr>
          <w:rFonts w:ascii="Calibri" w:hAnsi="Calibri"/>
          <w:color w:val="000000"/>
          <w:lang w:val="pl-PL"/>
        </w:rPr>
        <w:t>przez tunezyjskie władze konsularne. Te okoliczności wystarczają do uznania</w:t>
      </w:r>
      <w:r w:rsidR="00281ADB" w:rsidRPr="00281ADB">
        <w:rPr>
          <w:rFonts w:ascii="Calibri" w:hAnsi="Calibri"/>
          <w:color w:val="000000"/>
          <w:lang w:val="pl-PL"/>
        </w:rPr>
        <w:t xml:space="preserve"> przez Trybunał</w:t>
      </w:r>
      <w:r w:rsidR="000A082B" w:rsidRPr="00281ADB">
        <w:rPr>
          <w:rFonts w:ascii="Calibri" w:hAnsi="Calibri"/>
          <w:color w:val="000000"/>
          <w:lang w:val="pl-PL"/>
        </w:rPr>
        <w:t xml:space="preserve">, że nie istniały wystarczające gwarancje uwzględnienia rzeczywistej i zróżnicowanej sytuacji wszystkich zainteresowanych osób. </w:t>
      </w:r>
      <w:r w:rsidR="000A082B" w:rsidRPr="004E3C04">
        <w:rPr>
          <w:rFonts w:ascii="Calibri" w:hAnsi="Calibri"/>
          <w:color w:val="000000"/>
          <w:lang w:val="pl-PL"/>
        </w:rPr>
        <w:t xml:space="preserve">Trybunał stwierdził większością głosów 5 do 2, że doszło do naruszenia art. 4 Protokołu nr 4 do Konwencji. </w:t>
      </w:r>
    </w:p>
    <w:p w:rsidR="00C413B4" w:rsidRPr="00AC541D" w:rsidRDefault="007155EE" w:rsidP="005A3D5D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AC541D">
        <w:rPr>
          <w:rFonts w:ascii="Calibri" w:hAnsi="Calibri"/>
          <w:color w:val="000000"/>
          <w:lang w:val="pl-PL"/>
        </w:rPr>
        <w:t xml:space="preserve">- </w:t>
      </w:r>
      <w:r w:rsidR="00281ADB" w:rsidRPr="00AC541D">
        <w:rPr>
          <w:rFonts w:ascii="Calibri" w:hAnsi="Calibri"/>
          <w:color w:val="000000"/>
          <w:lang w:val="pl-PL"/>
        </w:rPr>
        <w:t>n</w:t>
      </w:r>
      <w:r w:rsidR="000A082B" w:rsidRPr="00AC541D">
        <w:rPr>
          <w:rFonts w:ascii="Calibri" w:hAnsi="Calibri"/>
          <w:color w:val="000000"/>
          <w:lang w:val="pl-PL"/>
        </w:rPr>
        <w:t xml:space="preserve">aruszenie </w:t>
      </w:r>
      <w:r w:rsidR="00281ADB" w:rsidRPr="00AC541D">
        <w:rPr>
          <w:rFonts w:ascii="Calibri" w:hAnsi="Calibri"/>
          <w:color w:val="000000"/>
          <w:lang w:val="pl-PL"/>
        </w:rPr>
        <w:t xml:space="preserve">prawa do skutecznego środka odwoławczego w odniesieniu do warunków zatrzymania </w:t>
      </w:r>
      <w:r w:rsidR="0038514A" w:rsidRPr="00AC541D">
        <w:rPr>
          <w:rFonts w:ascii="Calibri" w:hAnsi="Calibri"/>
          <w:color w:val="000000"/>
          <w:lang w:val="pl-PL"/>
        </w:rPr>
        <w:t>(art. 13 Konwencji w związku z art. 3</w:t>
      </w:r>
      <w:r w:rsidR="0038514A">
        <w:rPr>
          <w:rFonts w:ascii="Calibri" w:hAnsi="Calibri"/>
          <w:color w:val="000000"/>
          <w:lang w:val="pl-PL"/>
        </w:rPr>
        <w:t xml:space="preserve"> Konwencji) </w:t>
      </w:r>
      <w:r w:rsidR="002A5D2E">
        <w:rPr>
          <w:rFonts w:ascii="Calibri" w:hAnsi="Calibri"/>
          <w:color w:val="000000"/>
          <w:lang w:val="pl-PL"/>
        </w:rPr>
        <w:t>–</w:t>
      </w:r>
      <w:r w:rsidR="00281ADB" w:rsidRPr="00AC541D">
        <w:rPr>
          <w:rFonts w:ascii="Calibri" w:hAnsi="Calibri"/>
          <w:color w:val="000000"/>
          <w:lang w:val="pl-PL"/>
        </w:rPr>
        <w:t xml:space="preserve"> </w:t>
      </w:r>
      <w:r w:rsidR="002A5D2E">
        <w:rPr>
          <w:rFonts w:ascii="Calibri" w:hAnsi="Calibri"/>
          <w:color w:val="000000"/>
          <w:lang w:val="pl-PL"/>
        </w:rPr>
        <w:t xml:space="preserve">Trybunał uznał, że skarżący nie mieli </w:t>
      </w:r>
      <w:r w:rsidR="00C413B4" w:rsidRPr="00AC541D">
        <w:rPr>
          <w:rFonts w:ascii="Calibri" w:hAnsi="Calibri"/>
          <w:color w:val="000000"/>
          <w:lang w:val="pl-PL"/>
        </w:rPr>
        <w:t xml:space="preserve">możliwości złożenia skargi na warunki </w:t>
      </w:r>
      <w:r w:rsidR="002A5D2E">
        <w:rPr>
          <w:rFonts w:ascii="Calibri" w:hAnsi="Calibri"/>
          <w:color w:val="000000"/>
          <w:lang w:val="pl-PL"/>
        </w:rPr>
        <w:t xml:space="preserve">ich </w:t>
      </w:r>
      <w:r w:rsidR="00C413B4" w:rsidRPr="00AC541D">
        <w:rPr>
          <w:rFonts w:ascii="Calibri" w:hAnsi="Calibri"/>
          <w:color w:val="000000"/>
          <w:lang w:val="pl-PL"/>
        </w:rPr>
        <w:t xml:space="preserve">zatrzymania w ośrodku </w:t>
      </w:r>
      <w:r w:rsidR="00281ADB" w:rsidRPr="00AC541D">
        <w:rPr>
          <w:rFonts w:ascii="Calibri" w:hAnsi="Calibri"/>
          <w:color w:val="000000"/>
          <w:lang w:val="pl-PL"/>
        </w:rPr>
        <w:t>recepcyjnym</w:t>
      </w:r>
      <w:r w:rsidR="00C413B4" w:rsidRPr="00AC541D">
        <w:rPr>
          <w:rFonts w:ascii="Calibri" w:hAnsi="Calibri"/>
          <w:color w:val="000000"/>
          <w:lang w:val="pl-PL"/>
        </w:rPr>
        <w:t xml:space="preserve">, istniała </w:t>
      </w:r>
      <w:r w:rsidR="00281ADB" w:rsidRPr="00AC541D">
        <w:rPr>
          <w:rFonts w:ascii="Calibri" w:hAnsi="Calibri"/>
          <w:color w:val="000000"/>
          <w:lang w:val="pl-PL"/>
        </w:rPr>
        <w:t xml:space="preserve">bowiem </w:t>
      </w:r>
      <w:r w:rsidR="00C413B4" w:rsidRPr="00AC541D">
        <w:rPr>
          <w:rFonts w:ascii="Calibri" w:hAnsi="Calibri"/>
          <w:color w:val="000000"/>
          <w:lang w:val="pl-PL"/>
        </w:rPr>
        <w:t xml:space="preserve">jedynie możliwość </w:t>
      </w:r>
      <w:r w:rsidR="007700A4" w:rsidRPr="00AC541D">
        <w:rPr>
          <w:rFonts w:ascii="Calibri" w:hAnsi="Calibri"/>
          <w:color w:val="000000"/>
          <w:lang w:val="pl-PL"/>
        </w:rPr>
        <w:t>kwestionowania legalności wydalenia</w:t>
      </w:r>
      <w:r w:rsidR="00E23881">
        <w:rPr>
          <w:rFonts w:ascii="Calibri" w:hAnsi="Calibri"/>
          <w:color w:val="000000"/>
          <w:lang w:val="pl-PL"/>
        </w:rPr>
        <w:t>.</w:t>
      </w:r>
    </w:p>
    <w:p w:rsidR="000A082B" w:rsidRDefault="00C413B4" w:rsidP="005A3D5D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AC541D">
        <w:rPr>
          <w:rFonts w:ascii="Calibri" w:hAnsi="Calibri"/>
          <w:color w:val="000000"/>
          <w:lang w:val="pl-PL"/>
        </w:rPr>
        <w:t xml:space="preserve">- naruszenie </w:t>
      </w:r>
      <w:r w:rsidR="00281ADB" w:rsidRPr="00AC541D">
        <w:rPr>
          <w:rFonts w:ascii="Calibri" w:hAnsi="Calibri"/>
          <w:color w:val="000000"/>
          <w:lang w:val="pl-PL"/>
        </w:rPr>
        <w:t xml:space="preserve">prawa do skutecznego środka odwoławczego </w:t>
      </w:r>
      <w:r w:rsidR="009D675A" w:rsidRPr="00AC541D">
        <w:rPr>
          <w:rFonts w:ascii="Calibri" w:hAnsi="Calibri"/>
          <w:color w:val="000000"/>
          <w:lang w:val="pl-PL"/>
        </w:rPr>
        <w:t>w odniesieniu do zarzutu zbiorowego wydalenia</w:t>
      </w:r>
      <w:r w:rsidR="009D675A">
        <w:rPr>
          <w:rFonts w:ascii="Calibri" w:hAnsi="Calibri"/>
          <w:color w:val="000000"/>
          <w:lang w:val="pl-PL"/>
        </w:rPr>
        <w:t xml:space="preserve"> cudzoziemców </w:t>
      </w:r>
      <w:r w:rsidR="00281ADB" w:rsidRPr="00AC541D">
        <w:rPr>
          <w:rFonts w:ascii="Calibri" w:hAnsi="Calibri"/>
          <w:color w:val="000000"/>
          <w:lang w:val="pl-PL"/>
        </w:rPr>
        <w:t>(</w:t>
      </w:r>
      <w:r w:rsidRPr="00AC541D">
        <w:rPr>
          <w:rFonts w:ascii="Calibri" w:hAnsi="Calibri"/>
          <w:color w:val="000000"/>
          <w:lang w:val="pl-PL"/>
        </w:rPr>
        <w:t>art. 13 Konwencji</w:t>
      </w:r>
      <w:r w:rsidR="00281ADB" w:rsidRPr="00AC541D">
        <w:rPr>
          <w:rFonts w:ascii="Calibri" w:hAnsi="Calibri"/>
          <w:color w:val="000000"/>
          <w:lang w:val="pl-PL"/>
        </w:rPr>
        <w:t xml:space="preserve"> w związku z art. 4 Protokołu nr 4)</w:t>
      </w:r>
      <w:r w:rsidR="009D675A">
        <w:rPr>
          <w:rFonts w:ascii="Calibri" w:hAnsi="Calibri"/>
          <w:color w:val="000000"/>
          <w:lang w:val="pl-PL"/>
        </w:rPr>
        <w:t xml:space="preserve"> </w:t>
      </w:r>
      <w:r w:rsidR="000A082B" w:rsidRPr="007155EE">
        <w:rPr>
          <w:rFonts w:ascii="Calibri" w:hAnsi="Calibri"/>
          <w:color w:val="000000"/>
          <w:lang w:val="pl-PL"/>
        </w:rPr>
        <w:t xml:space="preserve">– </w:t>
      </w:r>
      <w:r w:rsidR="007700A4">
        <w:rPr>
          <w:rFonts w:ascii="Calibri" w:hAnsi="Calibri"/>
          <w:color w:val="000000"/>
          <w:lang w:val="pl-PL"/>
        </w:rPr>
        <w:t>Trybunał uznał, że</w:t>
      </w:r>
      <w:r w:rsidR="000A082B" w:rsidRPr="007155EE">
        <w:rPr>
          <w:rFonts w:ascii="Calibri" w:hAnsi="Calibri"/>
          <w:color w:val="000000"/>
          <w:lang w:val="pl-PL"/>
        </w:rPr>
        <w:t xml:space="preserve"> skarga do sędziego pokoju </w:t>
      </w:r>
      <w:r w:rsidR="007700A4">
        <w:rPr>
          <w:rFonts w:ascii="Calibri" w:hAnsi="Calibri"/>
          <w:color w:val="000000"/>
          <w:lang w:val="pl-PL"/>
        </w:rPr>
        <w:t>(</w:t>
      </w:r>
      <w:r w:rsidR="000A082B" w:rsidRPr="007155EE">
        <w:rPr>
          <w:rFonts w:ascii="Calibri" w:hAnsi="Calibri"/>
          <w:color w:val="000000"/>
          <w:lang w:val="pl-PL"/>
        </w:rPr>
        <w:t xml:space="preserve">który mógł zbadać </w:t>
      </w:r>
      <w:r w:rsidR="007700A4">
        <w:rPr>
          <w:rFonts w:ascii="Calibri" w:hAnsi="Calibri"/>
          <w:color w:val="000000"/>
          <w:lang w:val="pl-PL"/>
        </w:rPr>
        <w:t>decyzje</w:t>
      </w:r>
      <w:r w:rsidR="000A082B" w:rsidRPr="007155EE">
        <w:rPr>
          <w:rFonts w:ascii="Calibri" w:hAnsi="Calibri"/>
          <w:color w:val="000000"/>
          <w:lang w:val="pl-PL"/>
        </w:rPr>
        <w:t xml:space="preserve"> o </w:t>
      </w:r>
      <w:r w:rsidR="009D675A">
        <w:rPr>
          <w:rFonts w:ascii="Calibri" w:hAnsi="Calibri"/>
          <w:color w:val="000000"/>
          <w:lang w:val="pl-PL"/>
        </w:rPr>
        <w:t>odesłaniu</w:t>
      </w:r>
      <w:r w:rsidR="000A082B" w:rsidRPr="007155EE">
        <w:rPr>
          <w:rFonts w:ascii="Calibri" w:hAnsi="Calibri"/>
          <w:color w:val="000000"/>
          <w:lang w:val="pl-PL"/>
        </w:rPr>
        <w:t xml:space="preserve"> z punktu widzenia prawa krajowego i kons</w:t>
      </w:r>
      <w:r>
        <w:rPr>
          <w:rFonts w:ascii="Calibri" w:hAnsi="Calibri"/>
          <w:color w:val="000000"/>
          <w:lang w:val="pl-PL"/>
        </w:rPr>
        <w:t>t</w:t>
      </w:r>
      <w:r w:rsidR="000A082B" w:rsidRPr="007155EE">
        <w:rPr>
          <w:rFonts w:ascii="Calibri" w:hAnsi="Calibri"/>
          <w:color w:val="000000"/>
          <w:lang w:val="pl-PL"/>
        </w:rPr>
        <w:t>ytucji</w:t>
      </w:r>
      <w:r w:rsidR="007700A4">
        <w:rPr>
          <w:rFonts w:ascii="Calibri" w:hAnsi="Calibri"/>
          <w:color w:val="000000"/>
          <w:lang w:val="pl-PL"/>
        </w:rPr>
        <w:t xml:space="preserve">, w tym </w:t>
      </w:r>
      <w:r w:rsidR="00281ADB">
        <w:rPr>
          <w:rFonts w:ascii="Calibri" w:hAnsi="Calibri"/>
          <w:color w:val="000000"/>
          <w:lang w:val="pl-PL"/>
        </w:rPr>
        <w:t xml:space="preserve">również </w:t>
      </w:r>
      <w:r w:rsidR="009D675A">
        <w:rPr>
          <w:rFonts w:ascii="Calibri" w:hAnsi="Calibri"/>
          <w:color w:val="000000"/>
          <w:lang w:val="pl-PL"/>
        </w:rPr>
        <w:t xml:space="preserve">z punktu widzenia zarzutu </w:t>
      </w:r>
      <w:r w:rsidR="007700A4" w:rsidRPr="007155EE">
        <w:rPr>
          <w:rFonts w:ascii="Calibri" w:hAnsi="Calibri"/>
          <w:color w:val="000000"/>
          <w:lang w:val="pl-PL"/>
        </w:rPr>
        <w:t>niezbadania indywidualnych sytuacji poszczególnych zainteresowanych</w:t>
      </w:r>
      <w:r w:rsidR="007700A4">
        <w:rPr>
          <w:rFonts w:ascii="Calibri" w:hAnsi="Calibri"/>
          <w:color w:val="000000"/>
          <w:lang w:val="pl-PL"/>
        </w:rPr>
        <w:t>)</w:t>
      </w:r>
      <w:r w:rsidR="000A082B" w:rsidRPr="007155EE">
        <w:rPr>
          <w:rFonts w:ascii="Calibri" w:hAnsi="Calibri"/>
          <w:color w:val="000000"/>
          <w:lang w:val="pl-PL"/>
        </w:rPr>
        <w:t xml:space="preserve"> </w:t>
      </w:r>
      <w:r w:rsidR="007700A4">
        <w:rPr>
          <w:rFonts w:ascii="Calibri" w:hAnsi="Calibri"/>
          <w:color w:val="000000"/>
          <w:lang w:val="pl-PL"/>
        </w:rPr>
        <w:t xml:space="preserve">była </w:t>
      </w:r>
      <w:r w:rsidR="00281ADB">
        <w:rPr>
          <w:rFonts w:ascii="Calibri" w:hAnsi="Calibri"/>
          <w:color w:val="000000"/>
          <w:lang w:val="pl-PL"/>
        </w:rPr>
        <w:t xml:space="preserve">co prawda dostępna, ale </w:t>
      </w:r>
      <w:r w:rsidR="007700A4">
        <w:rPr>
          <w:rFonts w:ascii="Calibri" w:hAnsi="Calibri"/>
          <w:color w:val="000000"/>
          <w:lang w:val="pl-PL"/>
        </w:rPr>
        <w:t>niewystarczająca z uwagi na brak skutku zawieszającego wydalenie</w:t>
      </w:r>
      <w:r w:rsidR="000A082B" w:rsidRPr="007155EE">
        <w:rPr>
          <w:rFonts w:ascii="Calibri" w:hAnsi="Calibri"/>
          <w:color w:val="000000"/>
          <w:lang w:val="pl-PL"/>
        </w:rPr>
        <w:t xml:space="preserve">. </w:t>
      </w:r>
      <w:r w:rsidR="007700A4">
        <w:rPr>
          <w:rFonts w:ascii="Calibri" w:hAnsi="Calibri"/>
          <w:color w:val="000000"/>
          <w:lang w:val="pl-PL"/>
        </w:rPr>
        <w:t>Trybunał przypomniał wymogi dotyczące skutku zawieszającego, wynikające</w:t>
      </w:r>
      <w:r w:rsidR="00054168" w:rsidRPr="005935BF">
        <w:rPr>
          <w:rFonts w:ascii="Calibri" w:hAnsi="Calibri"/>
          <w:color w:val="000000"/>
          <w:lang w:val="pl-PL"/>
        </w:rPr>
        <w:t xml:space="preserve"> z </w:t>
      </w:r>
      <w:r w:rsidR="000A082B" w:rsidRPr="005935BF">
        <w:rPr>
          <w:rFonts w:ascii="Calibri" w:hAnsi="Calibri"/>
          <w:color w:val="000000"/>
          <w:lang w:val="pl-PL"/>
        </w:rPr>
        <w:t xml:space="preserve">art. 13 </w:t>
      </w:r>
      <w:r w:rsidR="00054168" w:rsidRPr="005935BF">
        <w:rPr>
          <w:rFonts w:ascii="Calibri" w:hAnsi="Calibri"/>
          <w:color w:val="000000"/>
          <w:lang w:val="pl-PL"/>
        </w:rPr>
        <w:t xml:space="preserve">Konwencji </w:t>
      </w:r>
      <w:r w:rsidR="009D675A">
        <w:rPr>
          <w:rFonts w:ascii="Calibri" w:hAnsi="Calibri"/>
          <w:color w:val="000000"/>
          <w:lang w:val="pl-PL"/>
        </w:rPr>
        <w:t xml:space="preserve">i </w:t>
      </w:r>
      <w:r w:rsidR="007700A4">
        <w:rPr>
          <w:rFonts w:ascii="Calibri" w:hAnsi="Calibri"/>
          <w:color w:val="000000"/>
          <w:lang w:val="pl-PL"/>
        </w:rPr>
        <w:t>wskazane</w:t>
      </w:r>
      <w:r w:rsidR="00054168" w:rsidRPr="005935BF">
        <w:rPr>
          <w:rFonts w:ascii="Calibri" w:hAnsi="Calibri"/>
          <w:color w:val="000000"/>
          <w:lang w:val="pl-PL"/>
        </w:rPr>
        <w:t xml:space="preserve"> w wyroku </w:t>
      </w:r>
      <w:r w:rsidR="00054168" w:rsidRPr="009D675A">
        <w:rPr>
          <w:rFonts w:ascii="Calibri" w:hAnsi="Calibri"/>
          <w:i/>
          <w:color w:val="000000"/>
          <w:lang w:val="pl-PL"/>
        </w:rPr>
        <w:t xml:space="preserve">De </w:t>
      </w:r>
      <w:proofErr w:type="spellStart"/>
      <w:r w:rsidR="00054168" w:rsidRPr="009D675A">
        <w:rPr>
          <w:rFonts w:ascii="Calibri" w:hAnsi="Calibri"/>
          <w:i/>
          <w:color w:val="000000"/>
          <w:lang w:val="pl-PL"/>
        </w:rPr>
        <w:t>Souza</w:t>
      </w:r>
      <w:proofErr w:type="spellEnd"/>
      <w:r w:rsidR="00054168" w:rsidRPr="009D675A">
        <w:rPr>
          <w:rFonts w:ascii="Calibri" w:hAnsi="Calibri"/>
          <w:i/>
          <w:color w:val="000000"/>
          <w:lang w:val="pl-PL"/>
        </w:rPr>
        <w:t xml:space="preserve"> Ribeiro p. Francji</w:t>
      </w:r>
      <w:r w:rsidR="00A116EA" w:rsidRPr="009D675A">
        <w:rPr>
          <w:rFonts w:ascii="Calibri" w:hAnsi="Calibri"/>
          <w:i/>
          <w:color w:val="000000"/>
          <w:lang w:val="pl-PL"/>
        </w:rPr>
        <w:t xml:space="preserve"> </w:t>
      </w:r>
      <w:r w:rsidR="009D675A" w:rsidRPr="003A5837">
        <w:rPr>
          <w:rFonts w:ascii="Calibri" w:hAnsi="Calibri"/>
          <w:color w:val="000000"/>
          <w:lang w:val="pl-PL"/>
        </w:rPr>
        <w:t>(</w:t>
      </w:r>
      <w:r w:rsidR="00A116EA">
        <w:rPr>
          <w:rFonts w:ascii="Calibri" w:hAnsi="Calibri"/>
          <w:color w:val="000000"/>
          <w:lang w:val="pl-PL"/>
        </w:rPr>
        <w:t xml:space="preserve">skarga nr </w:t>
      </w:r>
      <w:r w:rsidR="00A116EA" w:rsidRPr="00A116EA">
        <w:rPr>
          <w:rFonts w:ascii="Calibri" w:hAnsi="Calibri"/>
          <w:color w:val="000000"/>
          <w:lang w:val="pl-PL"/>
        </w:rPr>
        <w:t>22689/07</w:t>
      </w:r>
      <w:r w:rsidR="00422996">
        <w:rPr>
          <w:rStyle w:val="Odwoanieprzypisudolnego"/>
          <w:rFonts w:ascii="Calibri" w:hAnsi="Calibri"/>
          <w:color w:val="000000"/>
          <w:lang w:val="pl-PL"/>
        </w:rPr>
        <w:footnoteReference w:id="1"/>
      </w:r>
      <w:r w:rsidR="00054168" w:rsidRPr="005935BF">
        <w:rPr>
          <w:rFonts w:ascii="Calibri" w:hAnsi="Calibri"/>
          <w:color w:val="000000"/>
          <w:lang w:val="pl-PL"/>
        </w:rPr>
        <w:t>)</w:t>
      </w:r>
      <w:r w:rsidR="002D2CF7">
        <w:rPr>
          <w:rFonts w:ascii="Calibri" w:hAnsi="Calibri"/>
          <w:color w:val="000000"/>
          <w:lang w:val="pl-PL"/>
        </w:rPr>
        <w:t>.</w:t>
      </w:r>
      <w:r w:rsidR="00054168" w:rsidRPr="005935BF">
        <w:rPr>
          <w:rFonts w:ascii="Calibri" w:hAnsi="Calibri"/>
          <w:color w:val="000000"/>
          <w:lang w:val="pl-PL"/>
        </w:rPr>
        <w:t xml:space="preserve"> </w:t>
      </w:r>
    </w:p>
    <w:p w:rsidR="00AA2C94" w:rsidRDefault="00F83BD2" w:rsidP="00675B62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lang w:val="pl-PL"/>
        </w:rPr>
      </w:pPr>
      <w:r w:rsidRPr="00F83BD2">
        <w:rPr>
          <w:rFonts w:ascii="Calibri" w:hAnsi="Calibri" w:cs="Calibri"/>
          <w:lang w:val="pl-PL"/>
        </w:rPr>
        <w:t xml:space="preserve">Do wyroku została </w:t>
      </w:r>
      <w:r w:rsidR="002D2CF7">
        <w:rPr>
          <w:rFonts w:ascii="Calibri" w:hAnsi="Calibri" w:cs="Calibri"/>
          <w:lang w:val="pl-PL"/>
        </w:rPr>
        <w:t xml:space="preserve">dołączona </w:t>
      </w:r>
      <w:r w:rsidRPr="00F83BD2">
        <w:rPr>
          <w:rFonts w:ascii="Calibri" w:hAnsi="Calibri" w:cs="Calibri"/>
          <w:lang w:val="pl-PL"/>
        </w:rPr>
        <w:t xml:space="preserve">opinia zbieżna sędzi </w:t>
      </w:r>
      <w:r w:rsidR="00E052BB" w:rsidRPr="00F83BD2">
        <w:rPr>
          <w:rFonts w:ascii="Calibri" w:hAnsi="Calibri" w:cs="Calibri"/>
          <w:lang w:val="pl-PL"/>
        </w:rPr>
        <w:t>Keller</w:t>
      </w:r>
      <w:r w:rsidRPr="00F83BD2">
        <w:rPr>
          <w:rFonts w:ascii="Calibri" w:hAnsi="Calibri" w:cs="Calibri"/>
          <w:lang w:val="pl-PL"/>
        </w:rPr>
        <w:t xml:space="preserve"> </w:t>
      </w:r>
      <w:r w:rsidR="00CB1D06">
        <w:rPr>
          <w:rFonts w:ascii="Calibri" w:hAnsi="Calibri" w:cs="Calibri"/>
          <w:lang w:val="pl-PL"/>
        </w:rPr>
        <w:t>oraz dwie opinie</w:t>
      </w:r>
      <w:r>
        <w:rPr>
          <w:rFonts w:ascii="Calibri" w:hAnsi="Calibri" w:cs="Calibri"/>
          <w:lang w:val="pl-PL"/>
        </w:rPr>
        <w:t xml:space="preserve"> częściowo rozbieżne:</w:t>
      </w:r>
      <w:r w:rsidRPr="00F83BD2">
        <w:rPr>
          <w:rFonts w:ascii="Calibri" w:hAnsi="Calibri" w:cs="Calibri"/>
          <w:lang w:val="pl-PL"/>
        </w:rPr>
        <w:t xml:space="preserve"> </w:t>
      </w:r>
      <w:r w:rsidR="007B082A">
        <w:rPr>
          <w:rFonts w:ascii="Calibri" w:hAnsi="Calibri" w:cs="Calibri"/>
          <w:lang w:val="pl-PL"/>
        </w:rPr>
        <w:t xml:space="preserve">sędziego </w:t>
      </w:r>
      <w:proofErr w:type="spellStart"/>
      <w:r w:rsidR="007B082A">
        <w:rPr>
          <w:rFonts w:ascii="Calibri" w:hAnsi="Calibri" w:cs="Calibri"/>
          <w:lang w:val="pl-PL"/>
        </w:rPr>
        <w:t>Lemmensa</w:t>
      </w:r>
      <w:proofErr w:type="spellEnd"/>
      <w:r w:rsidR="007B082A">
        <w:rPr>
          <w:rFonts w:ascii="Calibri" w:hAnsi="Calibri" w:cs="Calibri"/>
          <w:lang w:val="pl-PL"/>
        </w:rPr>
        <w:t xml:space="preserve"> (który uznał kwoty zasądzeń dla skarżących za zbyt wysokie) oraz </w:t>
      </w:r>
      <w:r w:rsidRPr="00F83BD2">
        <w:rPr>
          <w:rFonts w:ascii="Calibri" w:hAnsi="Calibri" w:cs="Calibri"/>
          <w:lang w:val="pl-PL"/>
        </w:rPr>
        <w:t xml:space="preserve">sędziów </w:t>
      </w:r>
      <w:proofErr w:type="spellStart"/>
      <w:r w:rsidR="00E052BB" w:rsidRPr="00F83BD2">
        <w:rPr>
          <w:rFonts w:ascii="Calibri" w:hAnsi="Calibri" w:cs="Calibri"/>
          <w:lang w:val="pl-PL"/>
        </w:rPr>
        <w:t>Sajó</w:t>
      </w:r>
      <w:proofErr w:type="spellEnd"/>
      <w:r w:rsidR="00E052BB" w:rsidRPr="00F83BD2"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  <w:lang w:val="pl-PL"/>
        </w:rPr>
        <w:t>i</w:t>
      </w:r>
      <w:r w:rsidRPr="00F83BD2">
        <w:rPr>
          <w:rFonts w:ascii="Calibri" w:hAnsi="Calibri" w:cs="Calibri"/>
          <w:lang w:val="pl-PL"/>
        </w:rPr>
        <w:t xml:space="preserve"> </w:t>
      </w:r>
      <w:proofErr w:type="spellStart"/>
      <w:r w:rsidR="00E052BB" w:rsidRPr="00F83BD2">
        <w:rPr>
          <w:rFonts w:ascii="Calibri" w:hAnsi="Calibri" w:cs="Calibri"/>
          <w:lang w:val="pl-PL"/>
        </w:rPr>
        <w:t>Vučinić</w:t>
      </w:r>
      <w:r>
        <w:rPr>
          <w:rFonts w:ascii="Calibri" w:hAnsi="Calibri" w:cs="Calibri"/>
          <w:lang w:val="pl-PL"/>
        </w:rPr>
        <w:t>’a</w:t>
      </w:r>
      <w:proofErr w:type="spellEnd"/>
      <w:r>
        <w:rPr>
          <w:rFonts w:ascii="Calibri" w:hAnsi="Calibri" w:cs="Calibri"/>
          <w:lang w:val="pl-PL"/>
        </w:rPr>
        <w:t xml:space="preserve"> </w:t>
      </w:r>
      <w:r w:rsidR="00C4657E">
        <w:rPr>
          <w:rFonts w:ascii="Calibri" w:hAnsi="Calibri" w:cs="Calibri"/>
          <w:lang w:val="pl-PL"/>
        </w:rPr>
        <w:t xml:space="preserve">(którzy </w:t>
      </w:r>
      <w:r w:rsidR="009D6E00">
        <w:rPr>
          <w:rFonts w:ascii="Calibri" w:hAnsi="Calibri" w:cs="Calibri"/>
          <w:lang w:val="pl-PL"/>
        </w:rPr>
        <w:t xml:space="preserve">m.in. </w:t>
      </w:r>
      <w:r w:rsidR="00C4657E">
        <w:rPr>
          <w:rFonts w:ascii="Calibri" w:hAnsi="Calibri" w:cs="Calibri"/>
          <w:lang w:val="pl-PL"/>
        </w:rPr>
        <w:t>nie zgodzili się ze stwierdzeniem naruszenia art. 3 Konwencji, podkreślając, iż pobyt skarżących w ośrodku na Lampedusie był bardzo krótki, a długość przebywania w niewłaściwych warunkach powinna mieć znaczenie przy ocenie, czy doszło do naruszenia art. 3</w:t>
      </w:r>
      <w:r w:rsidR="009D6E00">
        <w:rPr>
          <w:rFonts w:ascii="Calibri" w:hAnsi="Calibri" w:cs="Calibri"/>
          <w:lang w:val="pl-PL"/>
        </w:rPr>
        <w:t>,</w:t>
      </w:r>
      <w:r w:rsidR="00C4657E">
        <w:rPr>
          <w:rFonts w:ascii="Calibri" w:hAnsi="Calibri" w:cs="Calibri"/>
          <w:lang w:val="pl-PL"/>
        </w:rPr>
        <w:t xml:space="preserve"> ani też nie przyłączyli się do opinii większości, iż doszło do n</w:t>
      </w:r>
      <w:r w:rsidR="009D6E00">
        <w:rPr>
          <w:rFonts w:ascii="Calibri" w:hAnsi="Calibri" w:cs="Calibri"/>
          <w:lang w:val="pl-PL"/>
        </w:rPr>
        <w:t>aruszenia zakazu zbiorowego wyda</w:t>
      </w:r>
      <w:r w:rsidR="00C4657E">
        <w:rPr>
          <w:rFonts w:ascii="Calibri" w:hAnsi="Calibri" w:cs="Calibri"/>
          <w:lang w:val="pl-PL"/>
        </w:rPr>
        <w:t>l</w:t>
      </w:r>
      <w:r w:rsidR="009D6E00">
        <w:rPr>
          <w:rFonts w:ascii="Calibri" w:hAnsi="Calibri" w:cs="Calibri"/>
          <w:lang w:val="pl-PL"/>
        </w:rPr>
        <w:t>e</w:t>
      </w:r>
      <w:r w:rsidR="00C4657E">
        <w:rPr>
          <w:rFonts w:ascii="Calibri" w:hAnsi="Calibri" w:cs="Calibri"/>
          <w:lang w:val="pl-PL"/>
        </w:rPr>
        <w:t xml:space="preserve">nia cudzoziemców </w:t>
      </w:r>
      <w:r w:rsidR="009D6E00">
        <w:rPr>
          <w:rFonts w:ascii="Calibri" w:hAnsi="Calibri" w:cs="Calibri"/>
          <w:lang w:val="pl-PL"/>
        </w:rPr>
        <w:t>–</w:t>
      </w:r>
      <w:r w:rsidR="00C4657E">
        <w:rPr>
          <w:rFonts w:ascii="Calibri" w:hAnsi="Calibri" w:cs="Calibri"/>
          <w:lang w:val="pl-PL"/>
        </w:rPr>
        <w:t xml:space="preserve"> </w:t>
      </w:r>
      <w:r w:rsidR="00AA2C94">
        <w:rPr>
          <w:rFonts w:ascii="Calibri" w:hAnsi="Calibri" w:cs="Calibri"/>
          <w:lang w:val="pl-PL"/>
        </w:rPr>
        <w:t>skrytykowali fakt, że Trybunał uznał za wydalenie zbiorowe próby władz włoskich kontrolowania swych granic w sytuacji nieprzewidywalnego kryzysu</w:t>
      </w:r>
      <w:r w:rsidR="00387518">
        <w:rPr>
          <w:rFonts w:ascii="Calibri" w:hAnsi="Calibri" w:cs="Calibri"/>
          <w:lang w:val="pl-PL"/>
        </w:rPr>
        <w:t xml:space="preserve"> </w:t>
      </w:r>
      <w:r w:rsidR="00E96B01">
        <w:rPr>
          <w:rFonts w:ascii="Calibri" w:hAnsi="Calibri" w:cs="Calibri"/>
          <w:lang w:val="pl-PL"/>
        </w:rPr>
        <w:t xml:space="preserve">migracyjnego </w:t>
      </w:r>
      <w:r w:rsidR="00387518">
        <w:rPr>
          <w:rFonts w:ascii="Calibri" w:hAnsi="Calibri" w:cs="Calibri"/>
          <w:lang w:val="pl-PL"/>
        </w:rPr>
        <w:t>–</w:t>
      </w:r>
      <w:r w:rsidR="00AA2C94">
        <w:rPr>
          <w:rFonts w:ascii="Calibri" w:hAnsi="Calibri" w:cs="Calibri"/>
          <w:lang w:val="pl-PL"/>
        </w:rPr>
        <w:t xml:space="preserve"> </w:t>
      </w:r>
      <w:r w:rsidR="009D6E00">
        <w:rPr>
          <w:rFonts w:ascii="Calibri" w:hAnsi="Calibri" w:cs="Calibri"/>
          <w:lang w:val="pl-PL"/>
        </w:rPr>
        <w:t>w</w:t>
      </w:r>
      <w:r w:rsidR="00387518">
        <w:rPr>
          <w:rFonts w:ascii="Calibri" w:hAnsi="Calibri" w:cs="Calibri"/>
          <w:lang w:val="pl-PL"/>
        </w:rPr>
        <w:t xml:space="preserve"> </w:t>
      </w:r>
      <w:r w:rsidR="009D6E00">
        <w:rPr>
          <w:rFonts w:ascii="Calibri" w:hAnsi="Calibri" w:cs="Calibri"/>
          <w:lang w:val="pl-PL"/>
        </w:rPr>
        <w:t>opinii tych sędziów art. 4 P</w:t>
      </w:r>
      <w:r w:rsidR="00387518">
        <w:rPr>
          <w:rFonts w:ascii="Calibri" w:hAnsi="Calibri" w:cs="Calibri"/>
          <w:lang w:val="pl-PL"/>
        </w:rPr>
        <w:t>rotokołu</w:t>
      </w:r>
      <w:r w:rsidR="009D6E00">
        <w:rPr>
          <w:rFonts w:ascii="Calibri" w:hAnsi="Calibri" w:cs="Calibri"/>
          <w:lang w:val="pl-PL"/>
        </w:rPr>
        <w:t xml:space="preserve"> nr 4 nie miał zastosowania w tej sprawie, </w:t>
      </w:r>
      <w:r w:rsidR="00E96B01">
        <w:rPr>
          <w:rFonts w:ascii="Calibri" w:hAnsi="Calibri" w:cs="Calibri"/>
          <w:lang w:val="pl-PL"/>
        </w:rPr>
        <w:t xml:space="preserve">gdyż </w:t>
      </w:r>
      <w:r w:rsidR="009D6E00">
        <w:rPr>
          <w:rFonts w:ascii="Calibri" w:hAnsi="Calibri" w:cs="Calibri"/>
          <w:lang w:val="pl-PL"/>
        </w:rPr>
        <w:t xml:space="preserve">dotyczyła </w:t>
      </w:r>
      <w:r w:rsidR="00E96B01">
        <w:rPr>
          <w:rFonts w:ascii="Calibri" w:hAnsi="Calibri" w:cs="Calibri"/>
          <w:lang w:val="pl-PL"/>
        </w:rPr>
        <w:t xml:space="preserve">ona </w:t>
      </w:r>
      <w:r w:rsidR="009D6E00">
        <w:rPr>
          <w:rFonts w:ascii="Calibri" w:hAnsi="Calibri" w:cs="Calibri"/>
          <w:lang w:val="pl-PL"/>
        </w:rPr>
        <w:t xml:space="preserve">w istocie niedyskryminacyjnego </w:t>
      </w:r>
      <w:r w:rsidR="002D2CF7">
        <w:rPr>
          <w:rFonts w:ascii="Calibri" w:hAnsi="Calibri" w:cs="Calibri"/>
          <w:lang w:val="pl-PL"/>
        </w:rPr>
        <w:t xml:space="preserve">i legalnego </w:t>
      </w:r>
      <w:r w:rsidR="009D6E00">
        <w:rPr>
          <w:rFonts w:ascii="Calibri" w:hAnsi="Calibri" w:cs="Calibri"/>
          <w:lang w:val="pl-PL"/>
        </w:rPr>
        <w:t xml:space="preserve">odesłania </w:t>
      </w:r>
      <w:r w:rsidR="00CF7DA6">
        <w:rPr>
          <w:rFonts w:ascii="Calibri" w:hAnsi="Calibri" w:cs="Calibri"/>
          <w:lang w:val="pl-PL"/>
        </w:rPr>
        <w:t xml:space="preserve">na granicę do bezpiecznego państwa </w:t>
      </w:r>
      <w:r w:rsidR="002D2CF7">
        <w:rPr>
          <w:rFonts w:ascii="Calibri" w:hAnsi="Calibri" w:cs="Calibri"/>
          <w:lang w:val="pl-PL"/>
        </w:rPr>
        <w:t xml:space="preserve">osób </w:t>
      </w:r>
      <w:r w:rsidR="00CF7DA6">
        <w:rPr>
          <w:rFonts w:ascii="Calibri" w:hAnsi="Calibri" w:cs="Calibri"/>
          <w:lang w:val="pl-PL"/>
        </w:rPr>
        <w:t xml:space="preserve">nie spełniających kryteriów uznania za uchodźców i nie objętych zakazem </w:t>
      </w:r>
      <w:r w:rsidR="00CF7DA6" w:rsidRPr="00CF7DA6">
        <w:rPr>
          <w:rFonts w:ascii="Calibri" w:hAnsi="Calibri" w:cs="Calibri"/>
          <w:i/>
          <w:lang w:val="pl-PL"/>
        </w:rPr>
        <w:t>non-</w:t>
      </w:r>
      <w:proofErr w:type="spellStart"/>
      <w:r w:rsidR="00CF7DA6" w:rsidRPr="00CF7DA6">
        <w:rPr>
          <w:rFonts w:ascii="Calibri" w:hAnsi="Calibri" w:cs="Calibri"/>
          <w:i/>
          <w:lang w:val="pl-PL"/>
        </w:rPr>
        <w:t>refoulement</w:t>
      </w:r>
      <w:proofErr w:type="spellEnd"/>
      <w:r w:rsidR="007B082A">
        <w:rPr>
          <w:rFonts w:ascii="Calibri" w:hAnsi="Calibri" w:cs="Calibri"/>
          <w:lang w:val="pl-PL"/>
        </w:rPr>
        <w:t>).</w:t>
      </w:r>
    </w:p>
    <w:p w:rsidR="00B409BC" w:rsidRPr="00B409BC" w:rsidRDefault="00B409BC" w:rsidP="00665941">
      <w:pPr>
        <w:spacing w:after="240" w:line="240" w:lineRule="auto"/>
        <w:jc w:val="both"/>
        <w:rPr>
          <w:rFonts w:ascii="Calibri" w:hAnsi="Calibri"/>
          <w:color w:val="000000"/>
          <w:lang w:val="pl-PL"/>
        </w:rPr>
      </w:pPr>
      <w:r w:rsidRPr="00B409BC">
        <w:rPr>
          <w:rFonts w:ascii="Calibri" w:hAnsi="Calibri"/>
          <w:color w:val="000000"/>
          <w:u w:val="single"/>
          <w:lang w:val="pl-PL"/>
        </w:rPr>
        <w:t>Znaczenie wyroku dla Polski</w:t>
      </w:r>
      <w:r w:rsidRPr="00B409BC">
        <w:rPr>
          <w:rFonts w:ascii="Calibri" w:hAnsi="Calibri"/>
          <w:color w:val="000000"/>
          <w:lang w:val="pl-PL"/>
        </w:rPr>
        <w:t xml:space="preserve"> – potwierdza wcześniejsze </w:t>
      </w:r>
      <w:r w:rsidR="00D13447">
        <w:rPr>
          <w:rFonts w:ascii="Calibri" w:hAnsi="Calibri"/>
          <w:color w:val="000000"/>
          <w:lang w:val="pl-PL"/>
        </w:rPr>
        <w:t xml:space="preserve">wysokie standardy </w:t>
      </w:r>
      <w:r w:rsidR="003424A1">
        <w:rPr>
          <w:rFonts w:ascii="Calibri" w:hAnsi="Calibri"/>
          <w:color w:val="000000"/>
          <w:lang w:val="pl-PL"/>
        </w:rPr>
        <w:t xml:space="preserve">wypracowane w orzecznictwie Trybunału </w:t>
      </w:r>
      <w:r w:rsidRPr="00B409BC">
        <w:rPr>
          <w:rFonts w:ascii="Calibri" w:hAnsi="Calibri"/>
          <w:color w:val="000000"/>
          <w:lang w:val="pl-PL"/>
        </w:rPr>
        <w:t xml:space="preserve">dotyczące traktowania </w:t>
      </w:r>
      <w:r w:rsidR="008159C2">
        <w:rPr>
          <w:rFonts w:ascii="Calibri" w:hAnsi="Calibri"/>
          <w:color w:val="000000"/>
          <w:lang w:val="pl-PL"/>
        </w:rPr>
        <w:t xml:space="preserve">nielegalnych imigrantów i </w:t>
      </w:r>
      <w:r w:rsidRPr="00B409BC">
        <w:rPr>
          <w:rFonts w:ascii="Calibri" w:hAnsi="Calibri"/>
          <w:color w:val="000000"/>
          <w:lang w:val="pl-PL"/>
        </w:rPr>
        <w:t xml:space="preserve">osób ubiegających się o azyl. Wskazuje także na wymóg respektowania przez państwa wymogów konwencyjnych nawet w </w:t>
      </w:r>
      <w:r w:rsidRPr="00B409BC">
        <w:rPr>
          <w:rFonts w:ascii="Calibri" w:hAnsi="Calibri"/>
          <w:color w:val="000000"/>
          <w:lang w:val="pl-PL"/>
        </w:rPr>
        <w:lastRenderedPageBreak/>
        <w:t>obliczu masowego napływu imigrantów</w:t>
      </w:r>
      <w:r w:rsidR="003424A1">
        <w:rPr>
          <w:rFonts w:ascii="Calibri" w:hAnsi="Calibri"/>
          <w:color w:val="000000"/>
          <w:lang w:val="pl-PL"/>
        </w:rPr>
        <w:t xml:space="preserve">, w tym w odniesieniu do zapewnienia ludzkich warunków pobytu </w:t>
      </w:r>
      <w:r w:rsidR="00D13447">
        <w:rPr>
          <w:rFonts w:ascii="Calibri" w:hAnsi="Calibri"/>
          <w:color w:val="000000"/>
          <w:lang w:val="pl-PL"/>
        </w:rPr>
        <w:t>(nawet krótkotrwałego</w:t>
      </w:r>
      <w:r w:rsidR="00675B62">
        <w:rPr>
          <w:rFonts w:ascii="Calibri" w:hAnsi="Calibri"/>
          <w:color w:val="000000"/>
          <w:lang w:val="pl-PL"/>
        </w:rPr>
        <w:t xml:space="preserve">) </w:t>
      </w:r>
      <w:r w:rsidR="003424A1">
        <w:rPr>
          <w:rFonts w:ascii="Calibri" w:hAnsi="Calibri"/>
          <w:color w:val="000000"/>
          <w:lang w:val="pl-PL"/>
        </w:rPr>
        <w:t>w ośrodkach recepcyjnych oraz zindywidualizowanego rozpatrzenia i uzasadnienia każdej decyzji o wydaleniu</w:t>
      </w:r>
      <w:r w:rsidRPr="00B409BC">
        <w:rPr>
          <w:rFonts w:ascii="Calibri" w:hAnsi="Calibri"/>
          <w:color w:val="000000"/>
          <w:lang w:val="pl-PL"/>
        </w:rPr>
        <w:t xml:space="preserve">. </w:t>
      </w:r>
      <w:r w:rsidR="00397B54">
        <w:rPr>
          <w:rFonts w:ascii="Calibri" w:hAnsi="Calibri"/>
          <w:color w:val="000000"/>
          <w:lang w:val="pl-PL"/>
        </w:rPr>
        <w:t>Wskazuje też na potrzebę odpowiednich regulacji prawnych</w:t>
      </w:r>
      <w:r w:rsidR="00387518">
        <w:rPr>
          <w:rFonts w:ascii="Calibri" w:hAnsi="Calibri"/>
          <w:color w:val="000000"/>
          <w:lang w:val="pl-PL"/>
        </w:rPr>
        <w:t xml:space="preserve"> i stosownych informacji </w:t>
      </w:r>
      <w:r w:rsidR="00397B54">
        <w:rPr>
          <w:rFonts w:ascii="Calibri" w:hAnsi="Calibri"/>
          <w:color w:val="000000"/>
          <w:lang w:val="pl-PL"/>
        </w:rPr>
        <w:t xml:space="preserve">dotyczących </w:t>
      </w:r>
      <w:r w:rsidR="00675B62">
        <w:rPr>
          <w:rFonts w:ascii="Calibri" w:hAnsi="Calibri"/>
          <w:color w:val="000000"/>
          <w:lang w:val="pl-PL"/>
        </w:rPr>
        <w:t xml:space="preserve">procedury </w:t>
      </w:r>
      <w:r w:rsidR="00397B54">
        <w:rPr>
          <w:rFonts w:ascii="Calibri" w:hAnsi="Calibri"/>
          <w:color w:val="000000"/>
          <w:lang w:val="pl-PL"/>
        </w:rPr>
        <w:t xml:space="preserve">zatrzymania osób </w:t>
      </w:r>
      <w:r w:rsidR="00675B62">
        <w:rPr>
          <w:rFonts w:ascii="Calibri" w:hAnsi="Calibri"/>
          <w:color w:val="000000"/>
          <w:lang w:val="pl-PL"/>
        </w:rPr>
        <w:t xml:space="preserve">nawet w sytuacjach, które dotyczą masowego napływu </w:t>
      </w:r>
      <w:r w:rsidR="00D13447">
        <w:rPr>
          <w:rFonts w:ascii="Calibri" w:hAnsi="Calibri"/>
          <w:color w:val="000000"/>
          <w:lang w:val="pl-PL"/>
        </w:rPr>
        <w:t>imigrantów. Potwierdza po raz kolejny</w:t>
      </w:r>
      <w:r w:rsidR="00422996">
        <w:rPr>
          <w:rFonts w:ascii="Calibri" w:hAnsi="Calibri"/>
          <w:color w:val="000000"/>
          <w:lang w:val="pl-PL"/>
        </w:rPr>
        <w:t xml:space="preserve"> wymóg zawieszającego skutku środków odwoławczych w odniesieniu do decyzji o wydaleniu.</w:t>
      </w:r>
      <w:r w:rsidR="00675B62">
        <w:rPr>
          <w:rFonts w:ascii="Calibri" w:hAnsi="Calibri"/>
          <w:color w:val="000000"/>
          <w:lang w:val="pl-PL"/>
        </w:rPr>
        <w:t xml:space="preserve"> </w:t>
      </w:r>
    </w:p>
    <w:p w:rsidR="008F7628" w:rsidRPr="000D4377" w:rsidRDefault="008F7628" w:rsidP="008F7628">
      <w:pPr>
        <w:pStyle w:val="Nagwek2"/>
        <w:numPr>
          <w:ilvl w:val="0"/>
          <w:numId w:val="1"/>
        </w:numPr>
      </w:pPr>
      <w:bookmarkStart w:id="4" w:name="_Toc430336797"/>
      <w:bookmarkStart w:id="5" w:name="_Toc432502264"/>
      <w:proofErr w:type="spellStart"/>
      <w:r w:rsidRPr="000D4377">
        <w:t>Sérvulo</w:t>
      </w:r>
      <w:proofErr w:type="spellEnd"/>
      <w:r w:rsidRPr="000D4377">
        <w:t xml:space="preserve"> &amp; </w:t>
      </w:r>
      <w:proofErr w:type="spellStart"/>
      <w:r w:rsidRPr="000D4377">
        <w:t>Associados</w:t>
      </w:r>
      <w:proofErr w:type="spellEnd"/>
      <w:r w:rsidRPr="000D4377">
        <w:t xml:space="preserve"> - </w:t>
      </w:r>
      <w:proofErr w:type="spellStart"/>
      <w:r w:rsidRPr="000D4377">
        <w:t>Sociedade</w:t>
      </w:r>
      <w:proofErr w:type="spellEnd"/>
      <w:r w:rsidRPr="000D4377">
        <w:t xml:space="preserve"> de </w:t>
      </w:r>
      <w:proofErr w:type="spellStart"/>
      <w:r w:rsidRPr="000D4377">
        <w:t>Advogados</w:t>
      </w:r>
      <w:proofErr w:type="spellEnd"/>
      <w:r w:rsidRPr="000D4377">
        <w:t xml:space="preserve">, RL i Inni p. Portugalii </w:t>
      </w:r>
      <w:r>
        <w:t xml:space="preserve">(skarga </w:t>
      </w:r>
      <w:r w:rsidRPr="000D4377">
        <w:t>nr 27013/10</w:t>
      </w:r>
      <w:r>
        <w:t>)</w:t>
      </w:r>
      <w:r w:rsidRPr="000D4377">
        <w:t>, wyrok Izby z dnia 3</w:t>
      </w:r>
      <w:r>
        <w:t>.0</w:t>
      </w:r>
      <w:r w:rsidR="000E3D15">
        <w:t>9</w:t>
      </w:r>
      <w:r>
        <w:t>.</w:t>
      </w:r>
      <w:r w:rsidRPr="000D4377">
        <w:t>2015 r.</w:t>
      </w:r>
      <w:r>
        <w:t>, nieostateczny</w:t>
      </w:r>
      <w:bookmarkEnd w:id="4"/>
      <w:bookmarkEnd w:id="5"/>
    </w:p>
    <w:p w:rsidR="008F7628" w:rsidRPr="00A70F1B" w:rsidRDefault="008F7628" w:rsidP="008F7628">
      <w:pPr>
        <w:keepNext/>
        <w:keepLines/>
        <w:spacing w:after="240" w:line="240" w:lineRule="auto"/>
        <w:jc w:val="both"/>
        <w:outlineLvl w:val="2"/>
        <w:rPr>
          <w:rFonts w:eastAsiaTheme="majorEastAsia" w:cstheme="majorBidi"/>
          <w:b/>
          <w:bCs/>
          <w:color w:val="000000" w:themeColor="text1"/>
          <w:lang w:val="pl-PL"/>
        </w:rPr>
      </w:pPr>
      <w:bookmarkStart w:id="6" w:name="_Toc430336798"/>
      <w:bookmarkStart w:id="7" w:name="_Toc432502265"/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>- brak</w:t>
      </w:r>
      <w:r w:rsidR="00ED4BB5">
        <w:rPr>
          <w:rFonts w:eastAsiaTheme="majorEastAsia" w:cstheme="majorBidi"/>
          <w:b/>
          <w:bCs/>
          <w:color w:val="000000" w:themeColor="text1"/>
          <w:lang w:val="pl-PL"/>
        </w:rPr>
        <w:t xml:space="preserve"> 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naruszenia </w:t>
      </w:r>
      <w:r w:rsidR="00613353">
        <w:rPr>
          <w:rFonts w:eastAsiaTheme="majorEastAsia" w:cstheme="majorBidi"/>
          <w:b/>
          <w:bCs/>
          <w:color w:val="000000" w:themeColor="text1"/>
          <w:lang w:val="pl-PL"/>
        </w:rPr>
        <w:t xml:space="preserve">art. 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8 Konwencji 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>(prawo</w:t>
      </w:r>
      <w:r w:rsidR="00ED4BB5">
        <w:rPr>
          <w:rFonts w:eastAsiaTheme="majorEastAsia" w:cstheme="majorBidi"/>
          <w:b/>
          <w:bCs/>
          <w:color w:val="000000" w:themeColor="text1"/>
          <w:lang w:val="pl-PL"/>
        </w:rPr>
        <w:t xml:space="preserve"> 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>do</w:t>
      </w:r>
      <w:r w:rsidR="00ED4BB5">
        <w:rPr>
          <w:rFonts w:eastAsiaTheme="majorEastAsia" w:cstheme="majorBidi"/>
          <w:b/>
          <w:bCs/>
          <w:color w:val="000000" w:themeColor="text1"/>
          <w:lang w:val="pl-PL"/>
        </w:rPr>
        <w:t xml:space="preserve"> 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 xml:space="preserve">poszanowania życia prywatnego) 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w odniesieniu do </w:t>
      </w:r>
      <w:r w:rsidR="00BE4FB6">
        <w:rPr>
          <w:rFonts w:eastAsiaTheme="majorEastAsia" w:cstheme="majorBidi"/>
          <w:b/>
          <w:bCs/>
          <w:color w:val="000000" w:themeColor="text1"/>
          <w:lang w:val="pl-PL"/>
        </w:rPr>
        <w:t>zajęcia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 plików komputerowych oraz wiadomości e</w:t>
      </w:r>
      <w:r w:rsidR="00E810A9">
        <w:rPr>
          <w:rFonts w:eastAsiaTheme="majorEastAsia" w:cstheme="majorBidi"/>
          <w:b/>
          <w:bCs/>
          <w:color w:val="000000" w:themeColor="text1"/>
          <w:lang w:val="pl-PL"/>
        </w:rPr>
        <w:t>-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mail 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>w trakcie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 przeszukania biura kancelarii </w:t>
      </w:r>
      <w:r w:rsidR="00914260">
        <w:rPr>
          <w:rFonts w:eastAsiaTheme="majorEastAsia" w:cstheme="majorBidi"/>
          <w:b/>
          <w:bCs/>
          <w:color w:val="000000" w:themeColor="text1"/>
          <w:lang w:val="pl-PL"/>
        </w:rPr>
        <w:t>adwokackiej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 xml:space="preserve"> podjętego w ramach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 śledztwa dotyczącego p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>odejrzenia o korupcję, uzyskanie niedozwolonych korzyści</w:t>
      </w:r>
      <w:r w:rsidR="00914260">
        <w:rPr>
          <w:rFonts w:eastAsiaTheme="majorEastAsia" w:cstheme="majorBidi"/>
          <w:b/>
          <w:bCs/>
          <w:color w:val="000000" w:themeColor="text1"/>
          <w:lang w:val="pl-PL"/>
        </w:rPr>
        <w:t xml:space="preserve"> i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 xml:space="preserve"> pranie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 pieniędzy 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 xml:space="preserve">– z uwagi na fakt, 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iż przeszukanie </w:t>
      </w:r>
      <w:r w:rsidR="00BE4FB6">
        <w:rPr>
          <w:rFonts w:eastAsiaTheme="majorEastAsia" w:cstheme="majorBidi"/>
          <w:b/>
          <w:bCs/>
          <w:color w:val="000000" w:themeColor="text1"/>
          <w:lang w:val="pl-PL"/>
        </w:rPr>
        <w:t xml:space="preserve">i zajęcie 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zapisów </w:t>
      </w:r>
      <w:r w:rsidR="00704591">
        <w:rPr>
          <w:rFonts w:eastAsiaTheme="majorEastAsia" w:cstheme="majorBidi"/>
          <w:b/>
          <w:bCs/>
          <w:color w:val="000000" w:themeColor="text1"/>
          <w:lang w:val="pl-PL"/>
        </w:rPr>
        <w:t>k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omputerowych zostało zrekompensowane </w:t>
      </w:r>
      <w:r w:rsidR="008159C2">
        <w:rPr>
          <w:rFonts w:eastAsiaTheme="majorEastAsia" w:cstheme="majorBidi"/>
          <w:b/>
          <w:bCs/>
          <w:color w:val="000000" w:themeColor="text1"/>
          <w:lang w:val="pl-PL"/>
        </w:rPr>
        <w:t xml:space="preserve">odpowiednimi 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 xml:space="preserve">gwarancjami 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proceduralnymi zastosowanymi w celu przeciwdziałania nadużyciom i arbitralności oraz zapewnieniu </w:t>
      </w:r>
      <w:r w:rsidR="00BE4FB6" w:rsidRPr="00A70F1B">
        <w:rPr>
          <w:rFonts w:eastAsiaTheme="majorEastAsia" w:cstheme="majorBidi"/>
          <w:b/>
          <w:bCs/>
          <w:color w:val="000000" w:themeColor="text1"/>
          <w:lang w:val="pl-PL"/>
        </w:rPr>
        <w:t xml:space="preserve">prawnej </w:t>
      </w:r>
      <w:r w:rsidRPr="00A70F1B">
        <w:rPr>
          <w:rFonts w:eastAsiaTheme="majorEastAsia" w:cstheme="majorBidi"/>
          <w:b/>
          <w:bCs/>
          <w:color w:val="000000" w:themeColor="text1"/>
          <w:lang w:val="pl-PL"/>
        </w:rPr>
        <w:t>ochrony tajemnicy zawodowej</w:t>
      </w:r>
      <w:bookmarkEnd w:id="6"/>
      <w:bookmarkEnd w:id="7"/>
    </w:p>
    <w:p w:rsidR="008F7628" w:rsidRPr="005A34CD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 w:rsidRPr="005A34CD">
        <w:rPr>
          <w:rFonts w:ascii="Calibri" w:hAnsi="Calibri"/>
          <w:color w:val="000000"/>
          <w:u w:val="single"/>
          <w:lang w:val="pl-PL"/>
        </w:rPr>
        <w:t>Stan faktyczny i zarzuty sk</w:t>
      </w:r>
      <w:r w:rsidR="005A34CD" w:rsidRPr="005A34CD">
        <w:rPr>
          <w:rFonts w:ascii="Calibri" w:hAnsi="Calibri"/>
          <w:color w:val="000000"/>
          <w:u w:val="single"/>
          <w:lang w:val="pl-PL"/>
        </w:rPr>
        <w:t>arżących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 xml:space="preserve">Skarżącymi w niniejszej sprawie </w:t>
      </w:r>
      <w:r w:rsidR="008159C2">
        <w:rPr>
          <w:rFonts w:ascii="Calibri" w:hAnsi="Calibri"/>
          <w:color w:val="000000"/>
          <w:lang w:val="pl-PL"/>
        </w:rPr>
        <w:t xml:space="preserve">była </w:t>
      </w:r>
      <w:r w:rsidRPr="00CB6357">
        <w:rPr>
          <w:rFonts w:ascii="Calibri" w:hAnsi="Calibri"/>
          <w:color w:val="000000"/>
          <w:lang w:val="pl-PL"/>
        </w:rPr>
        <w:t xml:space="preserve">kancelaria adwokacka </w:t>
      </w:r>
      <w:proofErr w:type="spellStart"/>
      <w:r w:rsidRPr="00914260">
        <w:rPr>
          <w:rFonts w:ascii="Calibri" w:hAnsi="Calibri"/>
          <w:i/>
          <w:color w:val="000000"/>
          <w:lang w:val="pl-PL"/>
        </w:rPr>
        <w:t>Sérvulo</w:t>
      </w:r>
      <w:proofErr w:type="spellEnd"/>
      <w:r w:rsidRPr="00914260">
        <w:rPr>
          <w:rFonts w:ascii="Calibri" w:hAnsi="Calibri"/>
          <w:i/>
          <w:color w:val="000000"/>
          <w:lang w:val="pl-PL"/>
        </w:rPr>
        <w:t xml:space="preserve"> &amp; </w:t>
      </w:r>
      <w:proofErr w:type="spellStart"/>
      <w:r w:rsidRPr="00914260">
        <w:rPr>
          <w:rFonts w:ascii="Calibri" w:hAnsi="Calibri"/>
          <w:i/>
          <w:color w:val="000000"/>
          <w:lang w:val="pl-PL"/>
        </w:rPr>
        <w:t>Associados</w:t>
      </w:r>
      <w:proofErr w:type="spellEnd"/>
      <w:r w:rsidRPr="00914260">
        <w:rPr>
          <w:rFonts w:ascii="Calibri" w:hAnsi="Calibri"/>
          <w:i/>
          <w:color w:val="000000"/>
          <w:lang w:val="pl-PL"/>
        </w:rPr>
        <w:t xml:space="preserve"> – </w:t>
      </w:r>
      <w:proofErr w:type="spellStart"/>
      <w:r w:rsidRPr="00914260">
        <w:rPr>
          <w:rFonts w:ascii="Calibri" w:hAnsi="Calibri"/>
          <w:i/>
          <w:color w:val="000000"/>
          <w:lang w:val="pl-PL"/>
        </w:rPr>
        <w:t>Sociedade</w:t>
      </w:r>
      <w:proofErr w:type="spellEnd"/>
      <w:r w:rsidRPr="00914260">
        <w:rPr>
          <w:rFonts w:ascii="Calibri" w:hAnsi="Calibri"/>
          <w:i/>
          <w:color w:val="000000"/>
          <w:lang w:val="pl-PL"/>
        </w:rPr>
        <w:t xml:space="preserve"> de </w:t>
      </w:r>
      <w:proofErr w:type="spellStart"/>
      <w:r w:rsidRPr="00914260">
        <w:rPr>
          <w:rFonts w:ascii="Calibri" w:hAnsi="Calibri"/>
          <w:i/>
          <w:color w:val="000000"/>
          <w:lang w:val="pl-PL"/>
        </w:rPr>
        <w:t>Advogados</w:t>
      </w:r>
      <w:proofErr w:type="spellEnd"/>
      <w:r w:rsidRPr="00914260">
        <w:rPr>
          <w:rFonts w:ascii="Calibri" w:hAnsi="Calibri"/>
          <w:i/>
          <w:color w:val="000000"/>
          <w:lang w:val="pl-PL"/>
        </w:rPr>
        <w:t xml:space="preserve"> RL</w:t>
      </w:r>
      <w:r w:rsidRPr="00CB6357">
        <w:rPr>
          <w:rFonts w:ascii="Calibri" w:hAnsi="Calibri"/>
          <w:color w:val="000000"/>
          <w:lang w:val="pl-PL"/>
        </w:rPr>
        <w:t xml:space="preserve"> z siedzibą w Lizbonie, a tak</w:t>
      </w:r>
      <w:r w:rsidR="00914260">
        <w:rPr>
          <w:rFonts w:ascii="Calibri" w:hAnsi="Calibri"/>
          <w:color w:val="000000"/>
          <w:lang w:val="pl-PL"/>
        </w:rPr>
        <w:t>że czterej obywatele Portugalii</w:t>
      </w:r>
      <w:r w:rsidRPr="00CB6357">
        <w:rPr>
          <w:rFonts w:ascii="Calibri" w:hAnsi="Calibri"/>
          <w:color w:val="000000"/>
          <w:lang w:val="pl-PL"/>
        </w:rPr>
        <w:t xml:space="preserve"> będący adwokatami i partnerami w tej kancelarii.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>Centralny Departament ds. Dochodzeń i Oskarżenia (DCIAP) wszczął śledztwo obejmujące kilku obywateli Portugalii oraz Niemiec (w tym adwokata, który pracował dla skarżącej kancelarii), w związku z podejrzeniem o korupcję, uz</w:t>
      </w:r>
      <w:r w:rsidR="00914260">
        <w:rPr>
          <w:rFonts w:ascii="Calibri" w:hAnsi="Calibri"/>
          <w:color w:val="000000"/>
          <w:lang w:val="pl-PL"/>
        </w:rPr>
        <w:t>yskanie niedozwolonych korzyści oraz</w:t>
      </w:r>
      <w:r w:rsidRPr="00CB6357">
        <w:rPr>
          <w:rFonts w:ascii="Calibri" w:hAnsi="Calibri"/>
          <w:color w:val="000000"/>
          <w:lang w:val="pl-PL"/>
        </w:rPr>
        <w:t xml:space="preserve"> pranie pieniędzy przy nabyciu przez rząd Portugalii dwóch łodzi podwodnych od niemieckiego konsorcjum. Następnie DCIAP zwrócił się do Centralnego Sądu Śledczego (TCIC) z wnioskiem o wydanie </w:t>
      </w:r>
      <w:r w:rsidR="00914260">
        <w:rPr>
          <w:rFonts w:ascii="Calibri" w:hAnsi="Calibri"/>
          <w:color w:val="000000"/>
          <w:lang w:val="pl-PL"/>
        </w:rPr>
        <w:t>zarządzenia o przeszukaniu</w:t>
      </w:r>
      <w:r w:rsidRPr="00CB6357">
        <w:rPr>
          <w:rFonts w:ascii="Calibri" w:hAnsi="Calibri"/>
          <w:color w:val="000000"/>
          <w:lang w:val="pl-PL"/>
        </w:rPr>
        <w:t xml:space="preserve"> między innymi siedziby skarżącej kancelarii oraz zatrzymaniu dokumentów istotnych dla śledztwa. Sąd TCIC wydał zarządzenie o przeszukaniu zezwalające na dostęp do danych komputerowych na podstawie 35 słów kluczowych związanych ze śledztwem, włączając w to nazwy firm oraz banków związanych ze </w:t>
      </w:r>
      <w:r w:rsidR="00914260">
        <w:rPr>
          <w:rFonts w:ascii="Calibri" w:hAnsi="Calibri"/>
          <w:color w:val="000000"/>
          <w:lang w:val="pl-PL"/>
        </w:rPr>
        <w:t>śledztwem oraz terminy takie</w:t>
      </w:r>
      <w:r w:rsidRPr="00CB6357">
        <w:rPr>
          <w:rFonts w:ascii="Calibri" w:hAnsi="Calibri"/>
          <w:color w:val="000000"/>
          <w:lang w:val="pl-PL"/>
        </w:rPr>
        <w:t xml:space="preserve"> jak „wkład finansowy” oraz „finansowanie”. 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 xml:space="preserve">Jeszcze </w:t>
      </w:r>
      <w:r w:rsidR="00914260">
        <w:rPr>
          <w:rFonts w:ascii="Calibri" w:hAnsi="Calibri"/>
          <w:color w:val="000000"/>
          <w:lang w:val="pl-PL"/>
        </w:rPr>
        <w:t>przed rozpoczęciem przeszukania</w:t>
      </w:r>
      <w:r w:rsidRPr="00CB6357">
        <w:rPr>
          <w:rFonts w:ascii="Calibri" w:hAnsi="Calibri"/>
          <w:color w:val="000000"/>
          <w:lang w:val="pl-PL"/>
        </w:rPr>
        <w:t xml:space="preserve"> skarżący wnieśli </w:t>
      </w:r>
      <w:r w:rsidR="008159C2">
        <w:rPr>
          <w:rFonts w:ascii="Calibri" w:hAnsi="Calibri"/>
          <w:color w:val="000000"/>
          <w:lang w:val="pl-PL"/>
        </w:rPr>
        <w:t xml:space="preserve">za pośrednictwem Sądu TCIC </w:t>
      </w:r>
      <w:r w:rsidRPr="00CB6357">
        <w:rPr>
          <w:rFonts w:ascii="Calibri" w:hAnsi="Calibri"/>
          <w:color w:val="000000"/>
          <w:lang w:val="pl-PL"/>
        </w:rPr>
        <w:t>zażalenie do Prezesa Sądu Apelacyjnego w Lizbonie, twierdząc iż słowa kluczowe były rutynowo używane przez ich kancelarię prawną, a tym samym ich użycie może wygenerować nieodpowiednią liczbę dokumentów do przeszukania, w tym dokumenty niezwiązane ze śledztwem i objęte tajemnicą zawodową. Sąd TCIC uznał zażalenie za dopuszczalne i nakazał, aby wszystkie przeszukane dokumenty zostały opieczętowane bez wglądu do nich, a następnie wysłane do Prezesa Sądu Apelacyjnego w celu zbadania zasadności zażalenia w kontekście tajemnicy zawodowej. Jednakże, Wiceprezes Sądu Apelacyjnego od</w:t>
      </w:r>
      <w:r w:rsidR="00BE4FB6">
        <w:rPr>
          <w:rFonts w:ascii="Calibri" w:hAnsi="Calibri"/>
          <w:color w:val="000000"/>
          <w:lang w:val="pl-PL"/>
        </w:rPr>
        <w:t>dalił</w:t>
      </w:r>
      <w:r w:rsidRPr="00CB6357">
        <w:rPr>
          <w:rFonts w:ascii="Calibri" w:hAnsi="Calibri"/>
          <w:color w:val="000000"/>
          <w:lang w:val="pl-PL"/>
        </w:rPr>
        <w:t xml:space="preserve"> zażalenie skarżących i nakazał wysłanie dokumentów do sędziego śledczego.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>Po p</w:t>
      </w:r>
      <w:r w:rsidR="00914260">
        <w:rPr>
          <w:rFonts w:ascii="Calibri" w:hAnsi="Calibri"/>
          <w:color w:val="000000"/>
          <w:lang w:val="pl-PL"/>
        </w:rPr>
        <w:t>rzejrzeniu danych komputerowych</w:t>
      </w:r>
      <w:r w:rsidRPr="00CB6357">
        <w:rPr>
          <w:rFonts w:ascii="Calibri" w:hAnsi="Calibri"/>
          <w:color w:val="000000"/>
          <w:lang w:val="pl-PL"/>
        </w:rPr>
        <w:t xml:space="preserve"> sędzia śledczy zlecił usunięcie 850 plików zawierających dane osobowe i dane objęte tajemnicą zawodową, zgodnie z prawem krajowym. Następnie sąd TCIC zakończył śledztwo.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>W skardze wniesionej do Trybunału skarżący zarzucili, iż przeszukanie ich systemów informatycznych oraz zatrzymanie plików komputerowych i wiadomości elektronicznych stanowiło naruszenie ich praw chronionych art. 8 Konwencji.</w:t>
      </w:r>
    </w:p>
    <w:p w:rsidR="008F7628" w:rsidRPr="005A34CD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 w:rsidRPr="005A34CD">
        <w:rPr>
          <w:rFonts w:ascii="Calibri" w:hAnsi="Calibri"/>
          <w:color w:val="000000"/>
          <w:u w:val="single"/>
          <w:lang w:val="pl-PL"/>
        </w:rPr>
        <w:t>Ocena Trybunału</w:t>
      </w:r>
    </w:p>
    <w:p w:rsidR="00BE4FB6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 xml:space="preserve">Trybunał uznał, iż przeszukanie oraz zajęcie dokumentów i danych komputerowych z kancelarii prawnej nie stanowiło naruszenia artykułu 8 Konwencji. 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lastRenderedPageBreak/>
        <w:t xml:space="preserve">Trybunał odnotował, że ingerencja </w:t>
      </w:r>
      <w:r w:rsidR="00BE4FB6">
        <w:rPr>
          <w:rFonts w:ascii="Calibri" w:hAnsi="Calibri"/>
          <w:color w:val="000000"/>
          <w:lang w:val="pl-PL"/>
        </w:rPr>
        <w:t xml:space="preserve">ta </w:t>
      </w:r>
      <w:r w:rsidRPr="00CB6357">
        <w:rPr>
          <w:rFonts w:ascii="Calibri" w:hAnsi="Calibri"/>
          <w:color w:val="000000"/>
          <w:lang w:val="pl-PL"/>
        </w:rPr>
        <w:t xml:space="preserve">była zgodna z prawem i miała uprawniony cel. Oceniając, czy była ona konieczna w społeczeństwie demokratycznym, zauważył, że </w:t>
      </w:r>
      <w:r w:rsidR="00914260">
        <w:rPr>
          <w:rFonts w:ascii="Calibri" w:hAnsi="Calibri"/>
          <w:color w:val="000000"/>
          <w:lang w:val="pl-PL"/>
        </w:rPr>
        <w:t>w uzasadnieniu</w:t>
      </w:r>
      <w:r w:rsidRPr="00CB6357">
        <w:rPr>
          <w:rFonts w:ascii="Calibri" w:hAnsi="Calibri"/>
          <w:color w:val="000000"/>
          <w:lang w:val="pl-PL"/>
        </w:rPr>
        <w:t xml:space="preserve"> zarządzenia o przeszukaniu </w:t>
      </w:r>
      <w:r w:rsidR="00914260">
        <w:rPr>
          <w:rFonts w:ascii="Calibri" w:hAnsi="Calibri"/>
          <w:color w:val="000000"/>
          <w:lang w:val="pl-PL"/>
        </w:rPr>
        <w:t>i zabezpieczeniu plików powołan</w:t>
      </w:r>
      <w:r w:rsidRPr="00CB6357">
        <w:rPr>
          <w:rFonts w:ascii="Calibri" w:hAnsi="Calibri"/>
          <w:color w:val="000000"/>
          <w:lang w:val="pl-PL"/>
        </w:rPr>
        <w:t xml:space="preserve">o się na przekonujące argumenty dotyczące podejrzenia przestępstwa. </w:t>
      </w:r>
      <w:r w:rsidR="00914260">
        <w:rPr>
          <w:rFonts w:ascii="Calibri" w:hAnsi="Calibri"/>
          <w:color w:val="000000"/>
          <w:lang w:val="pl-PL"/>
        </w:rPr>
        <w:t>Trybunał z</w:t>
      </w:r>
      <w:r w:rsidRPr="00CB6357">
        <w:rPr>
          <w:rFonts w:ascii="Calibri" w:hAnsi="Calibri"/>
          <w:color w:val="000000"/>
          <w:lang w:val="pl-PL"/>
        </w:rPr>
        <w:t xml:space="preserve">wrócił jednak </w:t>
      </w:r>
      <w:r w:rsidR="00914260">
        <w:rPr>
          <w:rFonts w:ascii="Calibri" w:hAnsi="Calibri"/>
          <w:color w:val="000000"/>
          <w:lang w:val="pl-PL"/>
        </w:rPr>
        <w:t xml:space="preserve">również </w:t>
      </w:r>
      <w:r w:rsidRPr="00CB6357">
        <w:rPr>
          <w:rFonts w:ascii="Calibri" w:hAnsi="Calibri"/>
          <w:color w:val="000000"/>
          <w:lang w:val="pl-PL"/>
        </w:rPr>
        <w:t xml:space="preserve">uwagę na fakt, że zakres przeszukania był szeroki, jako że niektóre z 35 słów kluczowych były dość ogólne (zajęto 89 tysięcy plików i 29 tysięcy wiadomości elektronicznych). W tej sytuacji Trybunał przeanalizował, czy szeroki zakres przeszukania i zajęcia mógł zostać zrekompensowany odpowiednimi i wystarczającymi gwarancjami proceduralnymi, </w:t>
      </w:r>
      <w:r w:rsidR="00914260">
        <w:rPr>
          <w:rFonts w:ascii="Calibri" w:hAnsi="Calibri"/>
          <w:color w:val="000000"/>
          <w:lang w:val="pl-PL"/>
        </w:rPr>
        <w:t xml:space="preserve">mogącymi </w:t>
      </w:r>
      <w:r w:rsidRPr="00CB6357">
        <w:rPr>
          <w:rFonts w:ascii="Calibri" w:hAnsi="Calibri"/>
          <w:color w:val="000000"/>
          <w:lang w:val="pl-PL"/>
        </w:rPr>
        <w:t xml:space="preserve">zapobiec nadużyciu lub arbitralności i zapewnić ochronę tajemnicy zawodowej adwokata. </w:t>
      </w:r>
    </w:p>
    <w:p w:rsidR="008F7628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 xml:space="preserve">Trybunał odnotował, iż zgodnie z prawem krajowym dokumenty objęte adwokacką tajemnicą zawodową nie mogą być przeszukane i zatrzymane, jeśli adwokat nie został objęty śledztwem. Przesłanka ta </w:t>
      </w:r>
      <w:r w:rsidR="003A165C">
        <w:rPr>
          <w:rFonts w:ascii="Calibri" w:hAnsi="Calibri"/>
          <w:color w:val="000000"/>
          <w:lang w:val="pl-PL"/>
        </w:rPr>
        <w:t xml:space="preserve">została </w:t>
      </w:r>
      <w:r w:rsidRPr="00CB6357">
        <w:rPr>
          <w:rFonts w:ascii="Calibri" w:hAnsi="Calibri"/>
          <w:color w:val="000000"/>
          <w:lang w:val="pl-PL"/>
        </w:rPr>
        <w:t xml:space="preserve">spełniona, gdyż śledztwo dotyczyło adwokata pracującego dla kancelarii. </w:t>
      </w:r>
      <w:r w:rsidR="003A165C">
        <w:rPr>
          <w:rFonts w:ascii="Calibri" w:hAnsi="Calibri"/>
          <w:color w:val="000000"/>
          <w:lang w:val="pl-PL"/>
        </w:rPr>
        <w:t>Ponadto, k</w:t>
      </w:r>
      <w:r w:rsidRPr="00CB6357">
        <w:rPr>
          <w:rFonts w:ascii="Calibri" w:hAnsi="Calibri"/>
          <w:color w:val="000000"/>
          <w:lang w:val="pl-PL"/>
        </w:rPr>
        <w:t>odeks postępowania karnego oraz statut Stowarzyszenia Adwokatów zapewniają pewną liczbę gwarancji proceduralnych dotyczących czynności przeszukiwania i zatrzymania w kancelariach adwokack</w:t>
      </w:r>
      <w:r w:rsidR="008159C2">
        <w:rPr>
          <w:rFonts w:ascii="Calibri" w:hAnsi="Calibri"/>
          <w:color w:val="000000"/>
          <w:lang w:val="pl-PL"/>
        </w:rPr>
        <w:t>ich, takich</w:t>
      </w:r>
      <w:r w:rsidRPr="00CB6357">
        <w:rPr>
          <w:rFonts w:ascii="Calibri" w:hAnsi="Calibri"/>
          <w:color w:val="000000"/>
          <w:lang w:val="pl-PL"/>
        </w:rPr>
        <w:t xml:space="preserve"> jak wymóg obecności zainteresowanego adwokata, a także przedstawiciela Stowarzyszenia Adwokatów, </w:t>
      </w:r>
      <w:r w:rsidR="003A165C">
        <w:rPr>
          <w:rFonts w:ascii="Calibri" w:hAnsi="Calibri"/>
          <w:color w:val="000000"/>
          <w:lang w:val="pl-PL"/>
        </w:rPr>
        <w:t xml:space="preserve">wymóg, by </w:t>
      </w:r>
      <w:r w:rsidRPr="00CB6357">
        <w:rPr>
          <w:rFonts w:ascii="Calibri" w:hAnsi="Calibri"/>
          <w:color w:val="000000"/>
          <w:lang w:val="pl-PL"/>
        </w:rPr>
        <w:t xml:space="preserve">sędzia śledczy </w:t>
      </w:r>
      <w:r w:rsidR="003A165C">
        <w:rPr>
          <w:rFonts w:ascii="Calibri" w:hAnsi="Calibri"/>
          <w:color w:val="000000"/>
          <w:lang w:val="pl-PL"/>
        </w:rPr>
        <w:t>osobiście przewodniczył</w:t>
      </w:r>
      <w:r w:rsidRPr="00CB6357">
        <w:rPr>
          <w:rFonts w:ascii="Calibri" w:hAnsi="Calibri"/>
          <w:color w:val="000000"/>
          <w:lang w:val="pl-PL"/>
        </w:rPr>
        <w:t xml:space="preserve"> przeszukaniom i zajęciom, </w:t>
      </w:r>
      <w:r w:rsidR="003A165C">
        <w:rPr>
          <w:rFonts w:ascii="Calibri" w:hAnsi="Calibri"/>
          <w:color w:val="000000"/>
          <w:lang w:val="pl-PL"/>
        </w:rPr>
        <w:t>a także</w:t>
      </w:r>
      <w:r w:rsidR="0082521E">
        <w:rPr>
          <w:rFonts w:ascii="Calibri" w:hAnsi="Calibri"/>
          <w:color w:val="000000"/>
          <w:lang w:val="pl-PL"/>
        </w:rPr>
        <w:t xml:space="preserve"> przewidują, że</w:t>
      </w:r>
      <w:r w:rsidR="008159C2">
        <w:rPr>
          <w:rFonts w:ascii="Calibri" w:hAnsi="Calibri"/>
          <w:color w:val="000000"/>
          <w:lang w:val="pl-PL"/>
        </w:rPr>
        <w:t xml:space="preserve"> </w:t>
      </w:r>
      <w:r w:rsidR="00B97097">
        <w:rPr>
          <w:rFonts w:ascii="Calibri" w:hAnsi="Calibri"/>
          <w:color w:val="000000"/>
          <w:lang w:val="pl-PL"/>
        </w:rPr>
        <w:t xml:space="preserve">sędzia ten </w:t>
      </w:r>
      <w:r w:rsidR="0082521E">
        <w:rPr>
          <w:rFonts w:ascii="Calibri" w:hAnsi="Calibri"/>
          <w:color w:val="000000"/>
          <w:lang w:val="pl-PL"/>
        </w:rPr>
        <w:t xml:space="preserve">jest </w:t>
      </w:r>
      <w:r w:rsidRPr="00CB6357">
        <w:rPr>
          <w:rFonts w:ascii="Calibri" w:hAnsi="Calibri"/>
          <w:color w:val="000000"/>
          <w:lang w:val="pl-PL"/>
        </w:rPr>
        <w:t xml:space="preserve">jedyną osobą, która może upoważnić lub nakazać zajęcie korespondencji i pierwszą osobą, która może się z nią zapoznać. Jest </w:t>
      </w:r>
      <w:r w:rsidR="003A165C">
        <w:rPr>
          <w:rFonts w:ascii="Calibri" w:hAnsi="Calibri"/>
          <w:color w:val="000000"/>
          <w:lang w:val="pl-PL"/>
        </w:rPr>
        <w:t xml:space="preserve">on </w:t>
      </w:r>
      <w:r w:rsidRPr="00CB6357">
        <w:rPr>
          <w:rFonts w:ascii="Calibri" w:hAnsi="Calibri"/>
          <w:color w:val="000000"/>
          <w:lang w:val="pl-PL"/>
        </w:rPr>
        <w:t>zobowiązany do zachowania tajemnicy zawodowej w odniesieniu do wszystkich informacji nie mających związku ze śledztwem. Zainteresowany adwokat ma prawo do złożenia zażalenia do prezesa sądu apelacyjnego, a w razie złożenia zażalenia, zajęte mate</w:t>
      </w:r>
      <w:r w:rsidR="003A165C">
        <w:rPr>
          <w:rFonts w:ascii="Calibri" w:hAnsi="Calibri"/>
          <w:color w:val="000000"/>
          <w:lang w:val="pl-PL"/>
        </w:rPr>
        <w:t xml:space="preserve">riały powinny </w:t>
      </w:r>
      <w:r w:rsidR="00B97097">
        <w:rPr>
          <w:rFonts w:ascii="Calibri" w:hAnsi="Calibri"/>
          <w:color w:val="000000"/>
          <w:lang w:val="pl-PL"/>
        </w:rPr>
        <w:t xml:space="preserve">zostać </w:t>
      </w:r>
      <w:r w:rsidR="003A165C">
        <w:rPr>
          <w:rFonts w:ascii="Calibri" w:hAnsi="Calibri"/>
          <w:color w:val="000000"/>
          <w:lang w:val="pl-PL"/>
        </w:rPr>
        <w:t>opieczętowane.</w:t>
      </w:r>
      <w:r w:rsidRPr="00CB6357">
        <w:rPr>
          <w:rFonts w:ascii="Calibri" w:hAnsi="Calibri"/>
          <w:color w:val="000000"/>
          <w:lang w:val="pl-PL"/>
        </w:rPr>
        <w:t xml:space="preserve"> </w:t>
      </w:r>
      <w:r w:rsidR="003A165C">
        <w:rPr>
          <w:rFonts w:ascii="Calibri" w:hAnsi="Calibri"/>
          <w:color w:val="000000"/>
          <w:lang w:val="pl-PL"/>
        </w:rPr>
        <w:t>N</w:t>
      </w:r>
      <w:r w:rsidRPr="00CB6357">
        <w:rPr>
          <w:rFonts w:ascii="Calibri" w:hAnsi="Calibri"/>
          <w:color w:val="000000"/>
          <w:lang w:val="pl-PL"/>
        </w:rPr>
        <w:t>a zakończenie operacji sporządza się protokół, a sędzia śledczy powinien nakazać zniszczenie wszystkich dokumen</w:t>
      </w:r>
      <w:r w:rsidR="003A165C">
        <w:rPr>
          <w:rFonts w:ascii="Calibri" w:hAnsi="Calibri"/>
          <w:color w:val="000000"/>
          <w:lang w:val="pl-PL"/>
        </w:rPr>
        <w:t>tów o charakterze osobistym</w:t>
      </w:r>
      <w:r w:rsidRPr="00CB6357">
        <w:rPr>
          <w:rFonts w:ascii="Calibri" w:hAnsi="Calibri"/>
          <w:color w:val="000000"/>
          <w:lang w:val="pl-PL"/>
        </w:rPr>
        <w:t xml:space="preserve">, mogących naruszać tajemnicę zawodową lub nie dotyczących osób objętych śledztwem. 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 xml:space="preserve">Trybunał uznał, że w omawianej sprawie wszystkie te gwarancje </w:t>
      </w:r>
      <w:r w:rsidR="003A165C">
        <w:rPr>
          <w:rFonts w:ascii="Calibri" w:hAnsi="Calibri"/>
          <w:color w:val="000000"/>
          <w:lang w:val="pl-PL"/>
        </w:rPr>
        <w:t>zostały zastosowane.</w:t>
      </w:r>
      <w:r w:rsidRPr="00CB6357">
        <w:rPr>
          <w:rFonts w:ascii="Calibri" w:hAnsi="Calibri"/>
          <w:color w:val="000000"/>
          <w:lang w:val="pl-PL"/>
        </w:rPr>
        <w:t xml:space="preserve"> </w:t>
      </w:r>
      <w:r w:rsidR="0082521E">
        <w:rPr>
          <w:rFonts w:ascii="Calibri" w:hAnsi="Calibri"/>
          <w:color w:val="000000"/>
          <w:lang w:val="pl-PL"/>
        </w:rPr>
        <w:t>S</w:t>
      </w:r>
      <w:r w:rsidRPr="00CB6357">
        <w:rPr>
          <w:rFonts w:ascii="Calibri" w:hAnsi="Calibri"/>
          <w:color w:val="000000"/>
          <w:lang w:val="pl-PL"/>
        </w:rPr>
        <w:t>karżący byli obecni podcza</w:t>
      </w:r>
      <w:r w:rsidR="003A165C">
        <w:rPr>
          <w:rFonts w:ascii="Calibri" w:hAnsi="Calibri"/>
          <w:color w:val="000000"/>
          <w:lang w:val="pl-PL"/>
        </w:rPr>
        <w:t>s przeszukiwania</w:t>
      </w:r>
      <w:r w:rsidRPr="00CB6357">
        <w:rPr>
          <w:rFonts w:ascii="Calibri" w:hAnsi="Calibri"/>
          <w:color w:val="000000"/>
          <w:lang w:val="pl-PL"/>
        </w:rPr>
        <w:t xml:space="preserve"> razem z osobą reprezentującą Stowarzyszenie Adwokatów. </w:t>
      </w:r>
      <w:r w:rsidR="00417353">
        <w:rPr>
          <w:rFonts w:ascii="Calibri" w:hAnsi="Calibri"/>
          <w:color w:val="000000"/>
          <w:lang w:val="pl-PL"/>
        </w:rPr>
        <w:t xml:space="preserve">Zgodnie z prawem portugalskim śledztwo prowadzone było przez prokuraturę, sędzia śledczy działał zaś jako gwarant poszanowania praw podstawowych w </w:t>
      </w:r>
      <w:r w:rsidR="0082521E">
        <w:rPr>
          <w:rFonts w:ascii="Calibri" w:hAnsi="Calibri"/>
          <w:color w:val="000000"/>
          <w:lang w:val="pl-PL"/>
        </w:rPr>
        <w:t xml:space="preserve">trakcie </w:t>
      </w:r>
      <w:r w:rsidR="00417353">
        <w:rPr>
          <w:rFonts w:ascii="Calibri" w:hAnsi="Calibri"/>
          <w:color w:val="000000"/>
          <w:lang w:val="pl-PL"/>
        </w:rPr>
        <w:t>dochodzenia karnego</w:t>
      </w:r>
      <w:r w:rsidR="00E06391">
        <w:rPr>
          <w:rFonts w:ascii="Calibri" w:hAnsi="Calibri"/>
          <w:color w:val="000000"/>
          <w:lang w:val="pl-PL"/>
        </w:rPr>
        <w:t>.</w:t>
      </w:r>
      <w:r w:rsidR="00417353" w:rsidRPr="00CB6357">
        <w:rPr>
          <w:rFonts w:ascii="Calibri" w:hAnsi="Calibri"/>
          <w:color w:val="000000"/>
          <w:lang w:val="pl-PL"/>
        </w:rPr>
        <w:t xml:space="preserve"> </w:t>
      </w:r>
      <w:r w:rsidRPr="00CB6357">
        <w:rPr>
          <w:rFonts w:ascii="Calibri" w:hAnsi="Calibri"/>
          <w:color w:val="000000"/>
          <w:lang w:val="pl-PL"/>
        </w:rPr>
        <w:t xml:space="preserve">Sędzia </w:t>
      </w:r>
      <w:r w:rsidR="00E06391">
        <w:rPr>
          <w:rFonts w:ascii="Calibri" w:hAnsi="Calibri"/>
          <w:color w:val="000000"/>
          <w:lang w:val="pl-PL"/>
        </w:rPr>
        <w:t>śledczy</w:t>
      </w:r>
      <w:r w:rsidRPr="00CB6357">
        <w:rPr>
          <w:rFonts w:ascii="Calibri" w:hAnsi="Calibri"/>
          <w:color w:val="000000"/>
          <w:lang w:val="pl-PL"/>
        </w:rPr>
        <w:t xml:space="preserve"> nadzorował całą operację oraz sporządził z niej oficjalny raport. Po zapoznaniu się z plikami komputerowymi oraz e</w:t>
      </w:r>
      <w:r w:rsidR="00E810A9">
        <w:rPr>
          <w:rFonts w:ascii="Calibri" w:hAnsi="Calibri"/>
          <w:color w:val="000000"/>
          <w:lang w:val="pl-PL"/>
        </w:rPr>
        <w:t>-</w:t>
      </w:r>
      <w:r w:rsidRPr="00CB6357">
        <w:rPr>
          <w:rFonts w:ascii="Calibri" w:hAnsi="Calibri"/>
          <w:color w:val="000000"/>
          <w:lang w:val="pl-PL"/>
        </w:rPr>
        <w:t>mailami, które zostały zatrzymane, sędzia śled</w:t>
      </w:r>
      <w:r w:rsidR="00E06391">
        <w:rPr>
          <w:rFonts w:ascii="Calibri" w:hAnsi="Calibri"/>
          <w:color w:val="000000"/>
          <w:lang w:val="pl-PL"/>
        </w:rPr>
        <w:t>czy</w:t>
      </w:r>
      <w:r w:rsidRPr="00CB6357">
        <w:rPr>
          <w:rFonts w:ascii="Calibri" w:hAnsi="Calibri"/>
          <w:color w:val="000000"/>
          <w:lang w:val="pl-PL"/>
        </w:rPr>
        <w:t xml:space="preserve"> zlecił usunięcie 850 plików, które uznał za prywatne, dotyczące tajemnicy zawodowej i niezwiązane z prowadzonym śledztwem. 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 xml:space="preserve">Co prawda sędzia śledczy nadzorujący przeszukanie, był wówczas jedyną osobą w Portugalii prowadzącą najbardziej skomplikowane postępowania, </w:t>
      </w:r>
      <w:r w:rsidR="003A165C">
        <w:rPr>
          <w:rFonts w:ascii="Calibri" w:hAnsi="Calibri"/>
          <w:color w:val="000000"/>
          <w:lang w:val="pl-PL"/>
        </w:rPr>
        <w:t xml:space="preserve">jednak </w:t>
      </w:r>
      <w:r w:rsidRPr="00CB6357">
        <w:rPr>
          <w:rFonts w:ascii="Calibri" w:hAnsi="Calibri"/>
          <w:color w:val="000000"/>
          <w:lang w:val="pl-PL"/>
        </w:rPr>
        <w:t xml:space="preserve">jego udział w sprawie dotyczył jedynie kontroli legalności przeszukania i zajęcia, a w szczególności ochrony tajemnicy zawodowej adwokatów, nie miał </w:t>
      </w:r>
      <w:r w:rsidR="003A165C">
        <w:rPr>
          <w:rFonts w:ascii="Calibri" w:hAnsi="Calibri"/>
          <w:color w:val="000000"/>
          <w:lang w:val="pl-PL"/>
        </w:rPr>
        <w:t xml:space="preserve">on zaś </w:t>
      </w:r>
      <w:r w:rsidRPr="00CB6357">
        <w:rPr>
          <w:rFonts w:ascii="Calibri" w:hAnsi="Calibri"/>
          <w:color w:val="000000"/>
          <w:lang w:val="pl-PL"/>
        </w:rPr>
        <w:t xml:space="preserve">żadnych uprawnień, by wszczynać śledztwo. Zarzuty wobec niego nie zostały przez skarżących wystarczająco uprawdopodobnione, by poddać w wątpliwość skuteczność kontroli, jaką realizował. Ponadto, fakt, że sprawa była badana </w:t>
      </w:r>
      <w:r w:rsidR="003A165C">
        <w:rPr>
          <w:rFonts w:ascii="Calibri" w:hAnsi="Calibri"/>
          <w:color w:val="000000"/>
          <w:lang w:val="pl-PL"/>
        </w:rPr>
        <w:t xml:space="preserve">również </w:t>
      </w:r>
      <w:r w:rsidRPr="00CB6357">
        <w:rPr>
          <w:rFonts w:ascii="Calibri" w:hAnsi="Calibri"/>
          <w:color w:val="000000"/>
          <w:lang w:val="pl-PL"/>
        </w:rPr>
        <w:t>przez wiceprezesa sądu apelacyjnego stanowił dodatkową gwarancję w stosunku do kontroli sprawowanej przez sędziego śledczego, a jego orzeczenie zawierało wystarczające uzasadnienie w tym zakresie. W rezultacie, zażalenie do prezesa sądu apelacyjnego stanowiło środek odpowiedni i skuteczny, uzupełniający kontrolę sędziego śledczego i rekompensujący</w:t>
      </w:r>
      <w:r w:rsidR="003A165C">
        <w:rPr>
          <w:rFonts w:ascii="Calibri" w:hAnsi="Calibri"/>
          <w:color w:val="000000"/>
          <w:lang w:val="pl-PL"/>
        </w:rPr>
        <w:t xml:space="preserve"> szeroki</w:t>
      </w:r>
      <w:r w:rsidRPr="00CB6357">
        <w:rPr>
          <w:rFonts w:ascii="Calibri" w:hAnsi="Calibri"/>
          <w:color w:val="000000"/>
          <w:lang w:val="pl-PL"/>
        </w:rPr>
        <w:t xml:space="preserve"> zakres mandatu ws. przeszukania.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 xml:space="preserve">W odniesieniu do zastrzeżeń skarżącej kancelarii, iż dane komputerowe nie zostały jej zwrócone, Trybunał uznał, że oryginalne dane zostały zwrócone, brak jest </w:t>
      </w:r>
      <w:r w:rsidR="003A165C">
        <w:rPr>
          <w:rFonts w:ascii="Calibri" w:hAnsi="Calibri"/>
          <w:color w:val="000000"/>
          <w:lang w:val="pl-PL"/>
        </w:rPr>
        <w:t xml:space="preserve">zaś </w:t>
      </w:r>
      <w:r w:rsidRPr="00CB6357">
        <w:rPr>
          <w:rFonts w:ascii="Calibri" w:hAnsi="Calibri"/>
          <w:color w:val="000000"/>
          <w:lang w:val="pl-PL"/>
        </w:rPr>
        <w:t>obowiązku zwrotu kopii, które mogą być przechowywane aż do upływu terminu przedawnienia przewidzianego dla tego rodzaju przestępstw. Jeśli chodzi o użycie danych w kontekście śledztwa</w:t>
      </w:r>
      <w:r w:rsidR="00EE61EC">
        <w:rPr>
          <w:rFonts w:ascii="Calibri" w:hAnsi="Calibri"/>
          <w:color w:val="000000"/>
          <w:lang w:val="pl-PL"/>
        </w:rPr>
        <w:t xml:space="preserve"> dotyczącego</w:t>
      </w:r>
      <w:r w:rsidRPr="00CB6357">
        <w:rPr>
          <w:rFonts w:ascii="Calibri" w:hAnsi="Calibri"/>
          <w:color w:val="000000"/>
          <w:lang w:val="pl-PL"/>
        </w:rPr>
        <w:t xml:space="preserve"> tych samych przestępstw, a innych podejrzanych, Trybunał stwierdził, iż towarzyszyły </w:t>
      </w:r>
      <w:r w:rsidR="00EE61EC">
        <w:rPr>
          <w:rFonts w:ascii="Calibri" w:hAnsi="Calibri"/>
          <w:color w:val="000000"/>
          <w:lang w:val="pl-PL"/>
        </w:rPr>
        <w:t>te</w:t>
      </w:r>
      <w:r w:rsidRPr="00CB6357">
        <w:rPr>
          <w:rFonts w:ascii="Calibri" w:hAnsi="Calibri"/>
          <w:color w:val="000000"/>
          <w:lang w:val="pl-PL"/>
        </w:rPr>
        <w:t xml:space="preserve">mu zabezpieczenia przeciwko nadużyciom oraz arbitralności. 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 xml:space="preserve">Trybunał stwierdził, że pomimo szerokiego zakresu zarządzenia o przeszukaniu i zatrzymaniu, skarżącym przysługiwały adekwatne i wystarczające w okolicznościach sprawy gwarancje chroniące </w:t>
      </w:r>
      <w:r w:rsidRPr="00CB6357">
        <w:rPr>
          <w:rFonts w:ascii="Calibri" w:hAnsi="Calibri"/>
          <w:color w:val="000000"/>
          <w:lang w:val="pl-PL"/>
        </w:rPr>
        <w:lastRenderedPageBreak/>
        <w:t xml:space="preserve">przed nadużyciem, uznaniowością oraz naruszeniem tajemnicy zawodowej. Stąd samo przeszukanie i zatrzymanie </w:t>
      </w:r>
      <w:r w:rsidR="0082521E">
        <w:rPr>
          <w:rFonts w:ascii="Calibri" w:hAnsi="Calibri"/>
          <w:color w:val="000000"/>
          <w:lang w:val="pl-PL"/>
        </w:rPr>
        <w:t xml:space="preserve">dokumentów </w:t>
      </w:r>
      <w:r w:rsidRPr="00CB6357">
        <w:rPr>
          <w:rFonts w:ascii="Calibri" w:hAnsi="Calibri"/>
          <w:color w:val="000000"/>
          <w:lang w:val="pl-PL"/>
        </w:rPr>
        <w:t>nie doprowadziło do nieproporcjonalnej ingerencji w prawo skarżących do poszanowania życia prywatnego.</w:t>
      </w:r>
    </w:p>
    <w:p w:rsidR="008F7628" w:rsidRPr="00CB6357" w:rsidRDefault="008F7628" w:rsidP="008F7628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 xml:space="preserve">Do wyroku dołączone jest zdanie odrębne sędziego Paulo Jorge </w:t>
      </w:r>
      <w:proofErr w:type="spellStart"/>
      <w:r w:rsidRPr="00CB6357">
        <w:rPr>
          <w:rFonts w:ascii="Calibri" w:hAnsi="Calibri"/>
          <w:color w:val="000000"/>
          <w:lang w:val="pl-PL"/>
        </w:rPr>
        <w:t>Saragoça</w:t>
      </w:r>
      <w:proofErr w:type="spellEnd"/>
      <w:r w:rsidRPr="00CB6357">
        <w:rPr>
          <w:rFonts w:ascii="Calibri" w:hAnsi="Calibri"/>
          <w:color w:val="000000"/>
          <w:lang w:val="pl-PL"/>
        </w:rPr>
        <w:t xml:space="preserve"> Da Matta, który opowiedział się za stwierdzeniem naruszenia art. 8 Konwencji w tej sprawie. </w:t>
      </w:r>
    </w:p>
    <w:p w:rsidR="002F0F9E" w:rsidRPr="00CB6357" w:rsidRDefault="002F0F9E" w:rsidP="00CB6357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5A34CD">
        <w:rPr>
          <w:rFonts w:ascii="Calibri" w:hAnsi="Calibri"/>
          <w:color w:val="000000"/>
          <w:u w:val="single"/>
          <w:lang w:val="pl-PL"/>
        </w:rPr>
        <w:t xml:space="preserve">Znaczenie wyroku </w:t>
      </w:r>
      <w:r w:rsidR="005A34CD">
        <w:rPr>
          <w:rFonts w:ascii="Calibri" w:hAnsi="Calibri"/>
          <w:color w:val="000000"/>
          <w:u w:val="single"/>
          <w:lang w:val="pl-PL"/>
        </w:rPr>
        <w:t>dla</w:t>
      </w:r>
      <w:r w:rsidRPr="005A34CD">
        <w:rPr>
          <w:rFonts w:ascii="Calibri" w:hAnsi="Calibri"/>
          <w:color w:val="000000"/>
          <w:u w:val="single"/>
          <w:lang w:val="pl-PL"/>
        </w:rPr>
        <w:t xml:space="preserve"> Polski</w:t>
      </w:r>
      <w:r w:rsidR="00B409BC">
        <w:rPr>
          <w:rFonts w:ascii="Calibri" w:hAnsi="Calibri"/>
          <w:color w:val="000000"/>
          <w:u w:val="single"/>
          <w:lang w:val="pl-PL"/>
        </w:rPr>
        <w:t xml:space="preserve"> </w:t>
      </w:r>
      <w:r w:rsidR="00C91F58">
        <w:rPr>
          <w:rFonts w:ascii="Calibri" w:hAnsi="Calibri"/>
          <w:color w:val="000000"/>
          <w:lang w:val="pl-PL"/>
        </w:rPr>
        <w:t>–</w:t>
      </w:r>
      <w:r w:rsidR="00B409BC" w:rsidRPr="00B409BC">
        <w:rPr>
          <w:rFonts w:ascii="Calibri" w:hAnsi="Calibri"/>
          <w:color w:val="000000"/>
          <w:lang w:val="pl-PL"/>
        </w:rPr>
        <w:t xml:space="preserve"> w</w:t>
      </w:r>
      <w:r w:rsidRPr="00CB6357">
        <w:rPr>
          <w:rFonts w:ascii="Calibri" w:hAnsi="Calibri"/>
          <w:color w:val="000000"/>
          <w:lang w:val="pl-PL"/>
        </w:rPr>
        <w:t xml:space="preserve"> kontekście niniejszego orzeczenia należy zwrócić uwagę na regulację instytucji przeszukania zawartą w rozdziale 25 </w:t>
      </w:r>
      <w:r w:rsidR="0082521E" w:rsidRPr="00CB6357">
        <w:rPr>
          <w:rFonts w:ascii="Calibri" w:hAnsi="Calibri"/>
          <w:color w:val="000000"/>
          <w:lang w:val="pl-PL"/>
        </w:rPr>
        <w:t xml:space="preserve">Kodeksu </w:t>
      </w:r>
      <w:r w:rsidR="009250C5" w:rsidRPr="00CB6357">
        <w:rPr>
          <w:rFonts w:ascii="Calibri" w:hAnsi="Calibri"/>
          <w:color w:val="000000"/>
          <w:lang w:val="pl-PL"/>
        </w:rPr>
        <w:t>postępowania karnego</w:t>
      </w:r>
      <w:r w:rsidRPr="00CB6357">
        <w:rPr>
          <w:rFonts w:ascii="Calibri" w:hAnsi="Calibri"/>
          <w:color w:val="000000"/>
          <w:lang w:val="pl-PL"/>
        </w:rPr>
        <w:t xml:space="preserve">. Zgodnie z art. 225 </w:t>
      </w:r>
      <w:r w:rsidR="009A1FA9">
        <w:rPr>
          <w:rFonts w:ascii="Calibri" w:hAnsi="Calibri"/>
          <w:color w:val="000000"/>
          <w:lang w:val="pl-PL"/>
        </w:rPr>
        <w:t>ust.</w:t>
      </w:r>
      <w:r w:rsidRPr="00CB6357">
        <w:rPr>
          <w:rFonts w:ascii="Calibri" w:hAnsi="Calibri"/>
          <w:color w:val="000000"/>
          <w:lang w:val="pl-PL"/>
        </w:rPr>
        <w:t xml:space="preserve"> 3</w:t>
      </w:r>
      <w:r w:rsidR="00EE61EC">
        <w:rPr>
          <w:rFonts w:ascii="Calibri" w:hAnsi="Calibri"/>
          <w:color w:val="000000"/>
          <w:lang w:val="pl-PL"/>
        </w:rPr>
        <w:t xml:space="preserve"> k.p.k.,</w:t>
      </w:r>
      <w:r w:rsidRPr="00CB6357">
        <w:rPr>
          <w:rFonts w:ascii="Calibri" w:hAnsi="Calibri"/>
          <w:color w:val="000000"/>
          <w:lang w:val="pl-PL"/>
        </w:rPr>
        <w:t xml:space="preserve"> jeżeli obrońca lub inna osoba, od której żąda się wydania rzeczy lub u której dokonuje się przeszukania, oświadczy, że wydane lub znalezione w toku przeszukania pisma lub inne dokumenty obejmują okoliczności związane z wykonywaniem funkcji obrońcy, organ dokonujący czynności pozostawia te dokumenty wymienionej osobie bez zapoznawania się z ich treścią lub wyglądem. Ponadto, Kodeks </w:t>
      </w:r>
      <w:r w:rsidR="0082521E" w:rsidRPr="00CB6357">
        <w:rPr>
          <w:rFonts w:ascii="Calibri" w:hAnsi="Calibri"/>
          <w:color w:val="000000"/>
          <w:lang w:val="pl-PL"/>
        </w:rPr>
        <w:t xml:space="preserve">etyki adwokackiej </w:t>
      </w:r>
      <w:r w:rsidRPr="00CB6357">
        <w:rPr>
          <w:rFonts w:ascii="Calibri" w:hAnsi="Calibri"/>
          <w:color w:val="000000"/>
          <w:lang w:val="pl-PL"/>
        </w:rPr>
        <w:t xml:space="preserve">oraz Kodeks </w:t>
      </w:r>
      <w:r w:rsidR="0082521E" w:rsidRPr="00CB6357">
        <w:rPr>
          <w:rFonts w:ascii="Calibri" w:hAnsi="Calibri"/>
          <w:color w:val="000000"/>
          <w:lang w:val="pl-PL"/>
        </w:rPr>
        <w:t xml:space="preserve">etyki radców prawnych </w:t>
      </w:r>
      <w:r w:rsidRPr="00CB6357">
        <w:rPr>
          <w:rFonts w:ascii="Calibri" w:hAnsi="Calibri"/>
          <w:color w:val="000000"/>
          <w:lang w:val="pl-PL"/>
        </w:rPr>
        <w:t>przewidują, iż w razie dokonania przeszukania w lokalu kancelarii, w wyniku którego mogłoby dojść do naruszenia tajemnicy zawodowej, adwokaci oraz radcowie zobowiązani są do żądania udziału w przeszukaniu przedstawiciela samorządu zawodowego (</w:t>
      </w:r>
      <w:r w:rsidR="009A1FA9">
        <w:rPr>
          <w:rFonts w:ascii="Calibri" w:hAnsi="Calibri"/>
          <w:color w:val="000000"/>
          <w:lang w:val="pl-PL"/>
        </w:rPr>
        <w:t>ust.</w:t>
      </w:r>
      <w:r w:rsidRPr="00CB6357">
        <w:rPr>
          <w:rFonts w:ascii="Calibri" w:hAnsi="Calibri"/>
          <w:color w:val="000000"/>
          <w:lang w:val="pl-PL"/>
        </w:rPr>
        <w:t xml:space="preserve"> 20 KEA oraz </w:t>
      </w:r>
      <w:r w:rsidR="009A1FA9">
        <w:rPr>
          <w:rFonts w:ascii="Calibri" w:hAnsi="Calibri"/>
          <w:color w:val="000000"/>
          <w:lang w:val="pl-PL"/>
        </w:rPr>
        <w:t>ust.</w:t>
      </w:r>
      <w:r w:rsidRPr="00CB6357">
        <w:rPr>
          <w:rFonts w:ascii="Calibri" w:hAnsi="Calibri"/>
          <w:color w:val="000000"/>
          <w:lang w:val="pl-PL"/>
        </w:rPr>
        <w:t xml:space="preserve"> 18 KERP).</w:t>
      </w:r>
    </w:p>
    <w:p w:rsidR="00D507BC" w:rsidRDefault="002F0F9E" w:rsidP="00CB6357">
      <w:pPr>
        <w:spacing w:after="120" w:line="240" w:lineRule="auto"/>
        <w:jc w:val="both"/>
        <w:rPr>
          <w:rFonts w:ascii="Calibri" w:hAnsi="Calibri"/>
          <w:color w:val="000000"/>
          <w:lang w:val="pl-PL"/>
        </w:rPr>
      </w:pPr>
      <w:r w:rsidRPr="00CB6357">
        <w:rPr>
          <w:rFonts w:ascii="Calibri" w:hAnsi="Calibri"/>
          <w:color w:val="000000"/>
          <w:lang w:val="pl-PL"/>
        </w:rPr>
        <w:t>Gwarancje proceduralne, które zapewnia prawo polskie, wydają się być bardziej skuteczne dla ochrony prawa do prywatności niż te, które Trybunał uznał za zgodne ze standardem europejskim</w:t>
      </w:r>
      <w:r w:rsidR="004E3C04">
        <w:rPr>
          <w:rFonts w:ascii="Calibri" w:hAnsi="Calibri"/>
          <w:color w:val="000000"/>
          <w:lang w:val="pl-PL"/>
        </w:rPr>
        <w:t xml:space="preserve"> w sprawie portugalskiej</w:t>
      </w:r>
      <w:r w:rsidRPr="00CB6357">
        <w:rPr>
          <w:rFonts w:ascii="Calibri" w:hAnsi="Calibri"/>
          <w:color w:val="000000"/>
          <w:lang w:val="pl-PL"/>
        </w:rPr>
        <w:t xml:space="preserve">. Z jednej strony, kodeksy etyki nakładają obowiązek na członków samorządów, aby zabezpieczyć informacje objęte tajemnicą zawodową przed ujawnieniem, z drugiej zaś przepisy </w:t>
      </w:r>
      <w:r w:rsidR="004E3C04" w:rsidRPr="00CB6357">
        <w:rPr>
          <w:rFonts w:ascii="Calibri" w:hAnsi="Calibri"/>
          <w:color w:val="000000"/>
          <w:lang w:val="pl-PL"/>
        </w:rPr>
        <w:t xml:space="preserve">Kodeksu postępowania karnego </w:t>
      </w:r>
      <w:r w:rsidRPr="00CB6357">
        <w:rPr>
          <w:rFonts w:ascii="Calibri" w:hAnsi="Calibri"/>
          <w:color w:val="000000"/>
          <w:lang w:val="pl-PL"/>
        </w:rPr>
        <w:t xml:space="preserve">umożliwiają im powołanie się na tajemnicę obrończą w celu uniemożliwienia zapoznania się organom prowadzącym postępowanie z treścią dokumentów dotyczących ich klientów. Oświadczenia w tym względzie nie muszą spełniać żadnych wymogów formalnych. </w:t>
      </w:r>
    </w:p>
    <w:p w:rsidR="002F0F9E" w:rsidRPr="00CB6357" w:rsidRDefault="001B657E" w:rsidP="00665941">
      <w:pPr>
        <w:spacing w:after="240" w:line="240" w:lineRule="auto"/>
        <w:jc w:val="both"/>
        <w:rPr>
          <w:rFonts w:ascii="Calibri" w:hAnsi="Calibri"/>
          <w:color w:val="000000"/>
          <w:lang w:val="pl-PL"/>
        </w:rPr>
      </w:pPr>
      <w:r w:rsidRPr="00EF4C5C">
        <w:rPr>
          <w:rFonts w:ascii="Calibri" w:hAnsi="Calibri"/>
          <w:color w:val="000000"/>
          <w:lang w:val="pl-PL"/>
        </w:rPr>
        <w:t xml:space="preserve">Tym niemniej warto </w:t>
      </w:r>
      <w:r w:rsidR="00B97097" w:rsidRPr="00EF4C5C">
        <w:rPr>
          <w:rFonts w:ascii="Calibri" w:hAnsi="Calibri"/>
          <w:color w:val="000000"/>
          <w:lang w:val="pl-PL"/>
        </w:rPr>
        <w:t xml:space="preserve">dokładnie </w:t>
      </w:r>
      <w:r w:rsidRPr="00EF4C5C">
        <w:rPr>
          <w:rFonts w:ascii="Calibri" w:hAnsi="Calibri"/>
          <w:color w:val="000000"/>
          <w:lang w:val="pl-PL"/>
        </w:rPr>
        <w:t xml:space="preserve">przeanalizować </w:t>
      </w:r>
      <w:r w:rsidR="00E06391">
        <w:rPr>
          <w:rFonts w:ascii="Calibri" w:hAnsi="Calibri"/>
          <w:color w:val="000000"/>
          <w:lang w:val="pl-PL"/>
        </w:rPr>
        <w:t>wyrok</w:t>
      </w:r>
      <w:r w:rsidRPr="00EF4C5C">
        <w:rPr>
          <w:rFonts w:ascii="Calibri" w:hAnsi="Calibri"/>
          <w:color w:val="000000"/>
          <w:lang w:val="pl-PL"/>
        </w:rPr>
        <w:t xml:space="preserve"> w celu ustalenia, czy </w:t>
      </w:r>
      <w:r w:rsidR="00D507BC" w:rsidRPr="00EF4C5C">
        <w:rPr>
          <w:rFonts w:ascii="Calibri" w:hAnsi="Calibri"/>
          <w:color w:val="000000"/>
          <w:lang w:val="pl-PL"/>
        </w:rPr>
        <w:t xml:space="preserve">regulacje prawne, a w szczególności </w:t>
      </w:r>
      <w:r w:rsidRPr="00EF4C5C">
        <w:rPr>
          <w:rFonts w:ascii="Calibri" w:hAnsi="Calibri"/>
          <w:color w:val="000000"/>
          <w:lang w:val="pl-PL"/>
        </w:rPr>
        <w:t xml:space="preserve">praktyka stosowania prawa </w:t>
      </w:r>
      <w:r w:rsidR="00D507BC" w:rsidRPr="00EF4C5C">
        <w:rPr>
          <w:rFonts w:ascii="Calibri" w:hAnsi="Calibri"/>
          <w:color w:val="000000"/>
          <w:lang w:val="pl-PL"/>
        </w:rPr>
        <w:t xml:space="preserve">w pełni </w:t>
      </w:r>
      <w:r w:rsidRPr="00EF4C5C">
        <w:rPr>
          <w:rFonts w:ascii="Calibri" w:hAnsi="Calibri"/>
          <w:color w:val="000000"/>
          <w:lang w:val="pl-PL"/>
        </w:rPr>
        <w:t>zapewnia</w:t>
      </w:r>
      <w:r w:rsidR="004E3C04" w:rsidRPr="00EF4C5C">
        <w:rPr>
          <w:rFonts w:ascii="Calibri" w:hAnsi="Calibri"/>
          <w:color w:val="000000"/>
          <w:lang w:val="pl-PL"/>
        </w:rPr>
        <w:t>ją</w:t>
      </w:r>
      <w:r w:rsidRPr="00EF4C5C">
        <w:rPr>
          <w:rFonts w:ascii="Calibri" w:hAnsi="Calibri"/>
          <w:color w:val="000000"/>
          <w:lang w:val="pl-PL"/>
        </w:rPr>
        <w:t xml:space="preserve"> stosowne gwarancje.</w:t>
      </w:r>
    </w:p>
    <w:p w:rsidR="004F42AE" w:rsidRPr="008831FD" w:rsidRDefault="00807A61" w:rsidP="00EE61EC">
      <w:pPr>
        <w:pStyle w:val="Nagwek2"/>
        <w:numPr>
          <w:ilvl w:val="0"/>
          <w:numId w:val="1"/>
        </w:numPr>
      </w:pPr>
      <w:bookmarkStart w:id="8" w:name="_Toc432502266"/>
      <w:proofErr w:type="spellStart"/>
      <w:r w:rsidRPr="004F42AE">
        <w:t>Sõro</w:t>
      </w:r>
      <w:proofErr w:type="spellEnd"/>
      <w:r w:rsidRPr="004F42AE">
        <w:t xml:space="preserve"> </w:t>
      </w:r>
      <w:r w:rsidR="004F42AE" w:rsidRPr="004F42AE">
        <w:t>przeciwko Estonii (skarga nr 22588/08)</w:t>
      </w:r>
      <w:r>
        <w:t>,</w:t>
      </w:r>
      <w:r w:rsidR="004F42AE" w:rsidRPr="004F42AE">
        <w:t xml:space="preserve"> wyrok Izby z dnia 3.09.2014 r.</w:t>
      </w:r>
      <w:r w:rsidR="009B195C">
        <w:t>,</w:t>
      </w:r>
      <w:r w:rsidR="00ED4BB5">
        <w:t xml:space="preserve"> </w:t>
      </w:r>
      <w:r w:rsidR="004F42AE" w:rsidRPr="0073434D">
        <w:t>nieostateczny</w:t>
      </w:r>
      <w:bookmarkEnd w:id="8"/>
      <w:r w:rsidR="004F42AE" w:rsidRPr="0073434D">
        <w:t xml:space="preserve"> </w:t>
      </w:r>
    </w:p>
    <w:p w:rsidR="004F42AE" w:rsidRPr="004F42AE" w:rsidRDefault="004F42AE" w:rsidP="00D83F4B">
      <w:pPr>
        <w:keepNext/>
        <w:keepLines/>
        <w:spacing w:after="240" w:line="240" w:lineRule="auto"/>
        <w:jc w:val="both"/>
        <w:outlineLvl w:val="2"/>
        <w:rPr>
          <w:rFonts w:eastAsiaTheme="majorEastAsia" w:cstheme="majorBidi"/>
          <w:b/>
          <w:bCs/>
          <w:color w:val="000000" w:themeColor="text1"/>
          <w:lang w:val="pl-PL"/>
        </w:rPr>
      </w:pPr>
      <w:bookmarkStart w:id="9" w:name="_Toc432502267"/>
      <w:r w:rsidRPr="004F42AE">
        <w:rPr>
          <w:rFonts w:eastAsiaTheme="majorEastAsia" w:cstheme="majorBidi"/>
          <w:b/>
          <w:bCs/>
          <w:color w:val="000000" w:themeColor="text1"/>
          <w:lang w:val="pl-PL"/>
        </w:rPr>
        <w:t>- naruszenie art. 8 Konwencji (prawo do poszanowania życia prywatnego) w odniesieniu do opublikowania infor</w:t>
      </w:r>
      <w:r w:rsidR="0001654B">
        <w:rPr>
          <w:rFonts w:eastAsiaTheme="majorEastAsia" w:cstheme="majorBidi"/>
          <w:b/>
          <w:bCs/>
          <w:color w:val="000000" w:themeColor="text1"/>
          <w:lang w:val="pl-PL"/>
        </w:rPr>
        <w:t>macji o zatrudnieniu skarżącego</w:t>
      </w:r>
      <w:r w:rsidRPr="004F42AE">
        <w:rPr>
          <w:rFonts w:eastAsiaTheme="majorEastAsia" w:cstheme="majorBidi"/>
          <w:b/>
          <w:bCs/>
          <w:color w:val="000000" w:themeColor="text1"/>
          <w:lang w:val="pl-PL"/>
        </w:rPr>
        <w:t xml:space="preserve"> jako kierowcy w </w:t>
      </w:r>
      <w:r w:rsidR="004F2601">
        <w:rPr>
          <w:rFonts w:eastAsiaTheme="majorEastAsia" w:cstheme="majorBidi"/>
          <w:b/>
          <w:bCs/>
          <w:color w:val="000000" w:themeColor="text1"/>
          <w:lang w:val="pl-PL"/>
        </w:rPr>
        <w:t xml:space="preserve">estońskim oddziale </w:t>
      </w:r>
      <w:r w:rsidR="004F2601">
        <w:rPr>
          <w:b/>
          <w:bCs/>
          <w:lang w:val="pl-PL"/>
        </w:rPr>
        <w:t>Komitetu</w:t>
      </w:r>
      <w:r w:rsidRPr="004F42AE">
        <w:rPr>
          <w:b/>
          <w:bCs/>
          <w:lang w:val="pl-PL"/>
        </w:rPr>
        <w:t xml:space="preserve"> Bezpieczeństwa Państwowego (</w:t>
      </w:r>
      <w:r w:rsidRPr="004F42AE">
        <w:rPr>
          <w:rFonts w:eastAsiaTheme="majorEastAsia" w:cstheme="majorBidi"/>
          <w:b/>
          <w:bCs/>
          <w:color w:val="000000" w:themeColor="text1"/>
          <w:lang w:val="pl-PL"/>
        </w:rPr>
        <w:t xml:space="preserve">KGB) </w:t>
      </w:r>
      <w:r w:rsidR="00FF2C44">
        <w:rPr>
          <w:rFonts w:eastAsiaTheme="majorEastAsia" w:cstheme="majorBidi"/>
          <w:b/>
          <w:bCs/>
          <w:color w:val="000000" w:themeColor="text1"/>
          <w:lang w:val="pl-PL"/>
        </w:rPr>
        <w:t>kilkanaście lat po odzyskaniu niepodległości przez Estonię</w:t>
      </w:r>
      <w:bookmarkEnd w:id="9"/>
    </w:p>
    <w:p w:rsidR="004F42AE" w:rsidRPr="00CB6357" w:rsidRDefault="004F2601" w:rsidP="00D83F4B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color w:val="000000"/>
          <w:u w:val="single"/>
          <w:lang w:val="pl-PL"/>
        </w:rPr>
      </w:pPr>
      <w:r>
        <w:rPr>
          <w:rFonts w:ascii="Calibri" w:hAnsi="Calibri" w:cs="Calibri"/>
          <w:color w:val="000000"/>
          <w:u w:val="single"/>
          <w:lang w:val="pl-PL"/>
        </w:rPr>
        <w:t>Stan faktyczny</w:t>
      </w:r>
    </w:p>
    <w:p w:rsidR="004F42AE" w:rsidRPr="00CB6357" w:rsidRDefault="004F42AE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CB6357">
        <w:rPr>
          <w:rFonts w:ascii="Calibri" w:hAnsi="Calibri" w:cs="Calibri"/>
          <w:color w:val="000000"/>
          <w:lang w:val="pl-PL"/>
        </w:rPr>
        <w:t>Skarżący jest obywatelem Estonii. Od 1980</w:t>
      </w:r>
      <w:r w:rsidR="00807A61">
        <w:rPr>
          <w:rFonts w:ascii="Calibri" w:hAnsi="Calibri" w:cs="Calibri"/>
          <w:color w:val="000000"/>
          <w:lang w:val="pl-PL"/>
        </w:rPr>
        <w:t xml:space="preserve"> </w:t>
      </w:r>
      <w:r w:rsidRPr="00CB6357">
        <w:rPr>
          <w:rFonts w:ascii="Calibri" w:hAnsi="Calibri" w:cs="Calibri"/>
          <w:color w:val="000000"/>
          <w:lang w:val="pl-PL"/>
        </w:rPr>
        <w:t xml:space="preserve">do 1991 </w:t>
      </w:r>
      <w:r w:rsidR="00474CC2" w:rsidRPr="00CB6357">
        <w:rPr>
          <w:rFonts w:ascii="Calibri" w:hAnsi="Calibri" w:cs="Calibri"/>
          <w:color w:val="000000"/>
          <w:lang w:val="pl-PL"/>
        </w:rPr>
        <w:t xml:space="preserve">r. </w:t>
      </w:r>
      <w:r w:rsidRPr="00CB6357">
        <w:rPr>
          <w:rFonts w:ascii="Calibri" w:hAnsi="Calibri" w:cs="Calibri"/>
          <w:color w:val="000000"/>
          <w:lang w:val="pl-PL"/>
        </w:rPr>
        <w:t>był zatrudniony jako kierowca estońskiego oddziału Komitetu Bezpieczeństwa Państwowego ZSRR (KGB). W lutym 2004 r</w:t>
      </w:r>
      <w:r w:rsidR="0001654B">
        <w:rPr>
          <w:rFonts w:ascii="Calibri" w:hAnsi="Calibri" w:cs="Calibri"/>
          <w:color w:val="000000"/>
          <w:lang w:val="pl-PL"/>
        </w:rPr>
        <w:t>.</w:t>
      </w:r>
      <w:r w:rsidRPr="00CB6357">
        <w:rPr>
          <w:rFonts w:ascii="Calibri" w:hAnsi="Calibri" w:cs="Calibri"/>
          <w:color w:val="000000"/>
          <w:lang w:val="pl-PL"/>
        </w:rPr>
        <w:t xml:space="preserve"> estońska Służba Bezpieczeństwa Wewnętrznego zawiadomiła go, że został zarejestrowany zgodnie z krajowymi przepisami </w:t>
      </w:r>
      <w:r w:rsidRPr="00CB6357">
        <w:rPr>
          <w:rFonts w:ascii="Calibri" w:hAnsi="Calibri" w:cs="Calibri"/>
          <w:i/>
          <w:color w:val="000000"/>
          <w:lang w:val="pl-PL"/>
        </w:rPr>
        <w:t xml:space="preserve">ustawy w sprawie ujawnienia osób, które służyły lub współpracowały z </w:t>
      </w:r>
      <w:r w:rsidR="0001654B" w:rsidRPr="00CB6357">
        <w:rPr>
          <w:rFonts w:ascii="Calibri" w:hAnsi="Calibri" w:cs="Calibri"/>
          <w:i/>
          <w:color w:val="000000"/>
          <w:lang w:val="pl-PL"/>
        </w:rPr>
        <w:t>organizacjami bezpieczeństwa lub wywiadu i kontrwywiadu sił zbrojnych państw</w:t>
      </w:r>
      <w:r w:rsidRPr="00CB6357">
        <w:rPr>
          <w:rFonts w:ascii="Calibri" w:hAnsi="Calibri" w:cs="Calibri"/>
          <w:i/>
          <w:color w:val="000000"/>
          <w:lang w:val="pl-PL"/>
        </w:rPr>
        <w:t>, które okupowały Estonię</w:t>
      </w:r>
      <w:r w:rsidRPr="00CB6357">
        <w:rPr>
          <w:rFonts w:ascii="Calibri" w:hAnsi="Calibri" w:cs="Calibri"/>
          <w:color w:val="000000"/>
          <w:lang w:val="pl-PL"/>
        </w:rPr>
        <w:t xml:space="preserve"> („ustawa ws. ujawnienia”). </w:t>
      </w:r>
    </w:p>
    <w:p w:rsidR="004F42AE" w:rsidRPr="00CB6357" w:rsidRDefault="004F42AE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CB6357">
        <w:rPr>
          <w:rFonts w:ascii="Calibri" w:hAnsi="Calibri" w:cs="Calibri"/>
          <w:color w:val="000000"/>
          <w:lang w:val="pl-PL"/>
        </w:rPr>
        <w:t>Zgodnie z powyższą ustawą, która weszła w życie w 1995 r</w:t>
      </w:r>
      <w:r w:rsidR="00474CC2" w:rsidRPr="00CB6357">
        <w:rPr>
          <w:rFonts w:ascii="Calibri" w:hAnsi="Calibri" w:cs="Calibri"/>
          <w:color w:val="000000"/>
          <w:lang w:val="pl-PL"/>
        </w:rPr>
        <w:t>.</w:t>
      </w:r>
      <w:r w:rsidRPr="00CB6357">
        <w:rPr>
          <w:rFonts w:ascii="Calibri" w:hAnsi="Calibri" w:cs="Calibri"/>
          <w:color w:val="000000"/>
          <w:lang w:val="pl-PL"/>
        </w:rPr>
        <w:t>, zainteresowane osoby miały zostać zarejestrowane</w:t>
      </w:r>
      <w:r w:rsidR="00474CC2" w:rsidRPr="00CB6357">
        <w:rPr>
          <w:rFonts w:ascii="Calibri" w:hAnsi="Calibri" w:cs="Calibri"/>
          <w:color w:val="000000"/>
          <w:lang w:val="pl-PL"/>
        </w:rPr>
        <w:t>,</w:t>
      </w:r>
      <w:r w:rsidRPr="00CB6357">
        <w:rPr>
          <w:rFonts w:ascii="Calibri" w:hAnsi="Calibri" w:cs="Calibri"/>
          <w:color w:val="000000"/>
          <w:lang w:val="pl-PL"/>
        </w:rPr>
        <w:t xml:space="preserve"> a informacje o ich służbie lub współpracy z organizacjami bezpieczeństwa lub wywiadu miały być podane do publicznej</w:t>
      </w:r>
      <w:r w:rsidR="0001654B">
        <w:rPr>
          <w:rFonts w:ascii="Calibri" w:hAnsi="Calibri" w:cs="Calibri"/>
          <w:color w:val="000000"/>
          <w:lang w:val="pl-PL"/>
        </w:rPr>
        <w:t xml:space="preserve"> wiadomości, chyba że</w:t>
      </w:r>
      <w:r w:rsidR="00ED4BB5">
        <w:rPr>
          <w:rFonts w:ascii="Calibri" w:hAnsi="Calibri" w:cs="Calibri"/>
          <w:color w:val="000000"/>
          <w:lang w:val="pl-PL"/>
        </w:rPr>
        <w:t xml:space="preserve"> </w:t>
      </w:r>
      <w:r w:rsidR="0001654B">
        <w:rPr>
          <w:rFonts w:ascii="Calibri" w:hAnsi="Calibri" w:cs="Calibri"/>
          <w:color w:val="000000"/>
          <w:lang w:val="pl-PL"/>
        </w:rPr>
        <w:t>przyznały</w:t>
      </w:r>
      <w:r w:rsidR="0067773A">
        <w:rPr>
          <w:rFonts w:ascii="Calibri" w:hAnsi="Calibri" w:cs="Calibri"/>
          <w:color w:val="000000"/>
          <w:lang w:val="pl-PL"/>
        </w:rPr>
        <w:t>by</w:t>
      </w:r>
      <w:r w:rsidRPr="00CB6357">
        <w:rPr>
          <w:rFonts w:ascii="Calibri" w:hAnsi="Calibri" w:cs="Calibri"/>
          <w:color w:val="000000"/>
          <w:lang w:val="pl-PL"/>
        </w:rPr>
        <w:t xml:space="preserve"> się do tego w estońskiej Służbie Bezpieczeństwa Wewnętrznego w ciągu roku od wejścia w życie</w:t>
      </w:r>
      <w:r w:rsidR="0001654B">
        <w:rPr>
          <w:rFonts w:ascii="Calibri" w:hAnsi="Calibri" w:cs="Calibri"/>
          <w:color w:val="000000"/>
          <w:lang w:val="pl-PL"/>
        </w:rPr>
        <w:t xml:space="preserve"> </w:t>
      </w:r>
      <w:r w:rsidR="0001654B" w:rsidRPr="00CB6357">
        <w:rPr>
          <w:rFonts w:ascii="Calibri" w:hAnsi="Calibri" w:cs="Calibri"/>
          <w:color w:val="000000"/>
          <w:lang w:val="pl-PL"/>
        </w:rPr>
        <w:t>ustawy</w:t>
      </w:r>
      <w:r w:rsidRPr="00CB6357">
        <w:rPr>
          <w:rFonts w:ascii="Calibri" w:hAnsi="Calibri" w:cs="Calibri"/>
          <w:color w:val="000000"/>
          <w:lang w:val="pl-PL"/>
        </w:rPr>
        <w:t>.</w:t>
      </w:r>
    </w:p>
    <w:p w:rsidR="004F42AE" w:rsidRPr="00CB6357" w:rsidRDefault="004F42AE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CB6357">
        <w:rPr>
          <w:rFonts w:ascii="Calibri" w:hAnsi="Calibri" w:cs="Calibri"/>
          <w:color w:val="000000"/>
          <w:lang w:val="pl-PL"/>
        </w:rPr>
        <w:t xml:space="preserve">W zawiadomieniu otrzymanym przez skarżącego </w:t>
      </w:r>
      <w:r w:rsidR="0067773A">
        <w:rPr>
          <w:rFonts w:ascii="Calibri" w:hAnsi="Calibri" w:cs="Calibri"/>
          <w:color w:val="000000"/>
          <w:lang w:val="pl-PL"/>
        </w:rPr>
        <w:t xml:space="preserve">w 2004 r. </w:t>
      </w:r>
      <w:r w:rsidR="004F2601">
        <w:rPr>
          <w:rFonts w:ascii="Calibri" w:hAnsi="Calibri" w:cs="Calibri"/>
          <w:color w:val="000000"/>
          <w:lang w:val="pl-PL"/>
        </w:rPr>
        <w:t>oświadczono</w:t>
      </w:r>
      <w:r w:rsidRPr="00CB6357">
        <w:rPr>
          <w:rFonts w:ascii="Calibri" w:hAnsi="Calibri" w:cs="Calibri"/>
          <w:color w:val="000000"/>
          <w:lang w:val="pl-PL"/>
        </w:rPr>
        <w:t xml:space="preserve">, że </w:t>
      </w:r>
      <w:r w:rsidR="0067773A">
        <w:rPr>
          <w:rFonts w:ascii="Calibri" w:hAnsi="Calibri" w:cs="Calibri"/>
          <w:color w:val="000000"/>
          <w:lang w:val="pl-PL"/>
        </w:rPr>
        <w:t xml:space="preserve">informacja o </w:t>
      </w:r>
      <w:r w:rsidRPr="00CB6357">
        <w:rPr>
          <w:rFonts w:ascii="Calibri" w:hAnsi="Calibri" w:cs="Calibri"/>
          <w:color w:val="000000"/>
          <w:lang w:val="pl-PL"/>
        </w:rPr>
        <w:t xml:space="preserve">jego wcześniejszej pracy zostanie opublikowane w załączniku do </w:t>
      </w:r>
      <w:r w:rsidR="0067773A">
        <w:rPr>
          <w:rFonts w:ascii="Calibri" w:hAnsi="Calibri" w:cs="Calibri"/>
          <w:color w:val="000000"/>
          <w:lang w:val="pl-PL"/>
        </w:rPr>
        <w:t>Dziennika Urzędowego</w:t>
      </w:r>
      <w:r w:rsidRPr="00CB6357">
        <w:rPr>
          <w:rFonts w:ascii="Calibri" w:hAnsi="Calibri" w:cs="Calibri"/>
          <w:color w:val="000000"/>
          <w:lang w:val="pl-PL"/>
        </w:rPr>
        <w:t xml:space="preserve">. </w:t>
      </w:r>
      <w:r w:rsidR="0001654B">
        <w:rPr>
          <w:rFonts w:ascii="Calibri" w:hAnsi="Calibri" w:cs="Calibri"/>
          <w:color w:val="000000"/>
          <w:lang w:val="pl-PL"/>
        </w:rPr>
        <w:t>P</w:t>
      </w:r>
      <w:r w:rsidRPr="00CB6357">
        <w:rPr>
          <w:rFonts w:ascii="Calibri" w:hAnsi="Calibri" w:cs="Calibri"/>
          <w:color w:val="000000"/>
          <w:lang w:val="pl-PL"/>
        </w:rPr>
        <w:t xml:space="preserve">oinformowano </w:t>
      </w:r>
      <w:r w:rsidR="0001654B">
        <w:rPr>
          <w:rFonts w:ascii="Calibri" w:hAnsi="Calibri" w:cs="Calibri"/>
          <w:color w:val="000000"/>
          <w:lang w:val="pl-PL"/>
        </w:rPr>
        <w:t>go</w:t>
      </w:r>
      <w:r w:rsidRPr="00CB6357">
        <w:rPr>
          <w:rFonts w:ascii="Calibri" w:hAnsi="Calibri" w:cs="Calibri"/>
          <w:color w:val="000000"/>
          <w:lang w:val="pl-PL"/>
        </w:rPr>
        <w:t xml:space="preserve">, że ma </w:t>
      </w:r>
      <w:r w:rsidR="0001654B">
        <w:rPr>
          <w:rFonts w:ascii="Calibri" w:hAnsi="Calibri" w:cs="Calibri"/>
          <w:color w:val="000000"/>
          <w:lang w:val="pl-PL"/>
        </w:rPr>
        <w:t xml:space="preserve">on </w:t>
      </w:r>
      <w:r w:rsidRPr="00CB6357">
        <w:rPr>
          <w:rFonts w:ascii="Calibri" w:hAnsi="Calibri" w:cs="Calibri"/>
          <w:color w:val="000000"/>
          <w:lang w:val="pl-PL"/>
        </w:rPr>
        <w:t xml:space="preserve">prawo dostępu do dokumentów potwierdzających jego związek z organizacją bezpieczeństwa lub wywiadu i może </w:t>
      </w:r>
      <w:r w:rsidR="0042151B">
        <w:rPr>
          <w:rFonts w:ascii="Calibri" w:hAnsi="Calibri" w:cs="Calibri"/>
          <w:color w:val="000000"/>
          <w:lang w:val="pl-PL"/>
        </w:rPr>
        <w:t xml:space="preserve">on </w:t>
      </w:r>
      <w:r w:rsidRPr="00CB6357">
        <w:rPr>
          <w:rFonts w:ascii="Calibri" w:hAnsi="Calibri" w:cs="Calibri"/>
          <w:color w:val="000000"/>
          <w:lang w:val="pl-PL"/>
        </w:rPr>
        <w:t xml:space="preserve">zakwestionować te informacje przed estońską Służbą Bezpieczeństwa Wewnętrznego lub sądami. Według skarżącego jego wniosek o udostępnienie </w:t>
      </w:r>
      <w:r w:rsidR="0024234E">
        <w:rPr>
          <w:rFonts w:ascii="Calibri" w:hAnsi="Calibri" w:cs="Calibri"/>
          <w:color w:val="000000"/>
          <w:lang w:val="pl-PL"/>
        </w:rPr>
        <w:lastRenderedPageBreak/>
        <w:t xml:space="preserve">dokumentów </w:t>
      </w:r>
      <w:r w:rsidRPr="00CB6357">
        <w:rPr>
          <w:rFonts w:ascii="Calibri" w:hAnsi="Calibri" w:cs="Calibri"/>
          <w:color w:val="000000"/>
          <w:lang w:val="pl-PL"/>
        </w:rPr>
        <w:t xml:space="preserve">nie został </w:t>
      </w:r>
      <w:r w:rsidR="00C833F2">
        <w:rPr>
          <w:rFonts w:ascii="Calibri" w:hAnsi="Calibri" w:cs="Calibri"/>
          <w:color w:val="000000"/>
          <w:lang w:val="pl-PL"/>
        </w:rPr>
        <w:t>zrealizowan</w:t>
      </w:r>
      <w:r w:rsidR="0067773A">
        <w:rPr>
          <w:rFonts w:ascii="Calibri" w:hAnsi="Calibri" w:cs="Calibri"/>
          <w:color w:val="000000"/>
          <w:lang w:val="pl-PL"/>
        </w:rPr>
        <w:t xml:space="preserve">y </w:t>
      </w:r>
      <w:r w:rsidR="0024234E">
        <w:rPr>
          <w:rFonts w:ascii="Calibri" w:hAnsi="Calibri" w:cs="Calibri"/>
          <w:color w:val="000000"/>
          <w:lang w:val="pl-PL"/>
        </w:rPr>
        <w:t>(tezę tę kwestionował rząd estoński)</w:t>
      </w:r>
      <w:r w:rsidRPr="00CB6357">
        <w:rPr>
          <w:rFonts w:ascii="Calibri" w:hAnsi="Calibri" w:cs="Calibri"/>
          <w:color w:val="000000"/>
          <w:lang w:val="pl-PL"/>
        </w:rPr>
        <w:t>.</w:t>
      </w:r>
      <w:r w:rsidR="00ED4BB5">
        <w:rPr>
          <w:rFonts w:ascii="Calibri" w:hAnsi="Calibri" w:cs="Calibri"/>
          <w:color w:val="000000"/>
          <w:lang w:val="pl-PL"/>
        </w:rPr>
        <w:t xml:space="preserve"> </w:t>
      </w:r>
      <w:r w:rsidRPr="00CB6357">
        <w:rPr>
          <w:rFonts w:ascii="Calibri" w:hAnsi="Calibri" w:cs="Calibri"/>
          <w:color w:val="000000"/>
          <w:lang w:val="pl-PL"/>
        </w:rPr>
        <w:t>Skarżący nigdy nie</w:t>
      </w:r>
      <w:r w:rsidR="0024234E">
        <w:rPr>
          <w:rFonts w:ascii="Calibri" w:hAnsi="Calibri" w:cs="Calibri"/>
          <w:color w:val="000000"/>
          <w:lang w:val="pl-PL"/>
        </w:rPr>
        <w:t xml:space="preserve"> zaprzeczał</w:t>
      </w:r>
      <w:r w:rsidRPr="00CB6357">
        <w:rPr>
          <w:rFonts w:ascii="Calibri" w:hAnsi="Calibri" w:cs="Calibri"/>
          <w:color w:val="000000"/>
          <w:lang w:val="pl-PL"/>
        </w:rPr>
        <w:t xml:space="preserve">, że pracował w KGB w charakterze kierowcy. </w:t>
      </w:r>
    </w:p>
    <w:p w:rsidR="004F42AE" w:rsidRPr="00CB6357" w:rsidRDefault="004F42AE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CB6357">
        <w:rPr>
          <w:rFonts w:ascii="Calibri" w:hAnsi="Calibri" w:cs="Calibri"/>
          <w:color w:val="000000"/>
          <w:lang w:val="pl-PL"/>
        </w:rPr>
        <w:t>W czerwcu 2004 r</w:t>
      </w:r>
      <w:r w:rsidR="001847DD" w:rsidRPr="00CB6357">
        <w:rPr>
          <w:rFonts w:ascii="Calibri" w:hAnsi="Calibri" w:cs="Calibri"/>
          <w:color w:val="000000"/>
          <w:lang w:val="pl-PL"/>
        </w:rPr>
        <w:t>.</w:t>
      </w:r>
      <w:r w:rsidRPr="00CB6357">
        <w:rPr>
          <w:rFonts w:ascii="Calibri" w:hAnsi="Calibri" w:cs="Calibri"/>
          <w:color w:val="000000"/>
          <w:lang w:val="pl-PL"/>
        </w:rPr>
        <w:t xml:space="preserve"> informacja o pracy skarżącego dla KGB w charakterze kierowcy została opublikowana w załączniku do </w:t>
      </w:r>
      <w:r w:rsidR="0067773A">
        <w:rPr>
          <w:rFonts w:ascii="Calibri" w:hAnsi="Calibri" w:cs="Calibri"/>
          <w:color w:val="000000"/>
          <w:lang w:val="pl-PL"/>
        </w:rPr>
        <w:t>Dziennika Urzędowego</w:t>
      </w:r>
      <w:r w:rsidRPr="00CB6357">
        <w:rPr>
          <w:rFonts w:ascii="Calibri" w:hAnsi="Calibri" w:cs="Calibri"/>
          <w:color w:val="000000"/>
          <w:lang w:val="pl-PL"/>
        </w:rPr>
        <w:t>, zarówno w wersji drukowanej</w:t>
      </w:r>
      <w:r w:rsidR="001847DD" w:rsidRPr="00CB6357">
        <w:rPr>
          <w:rFonts w:ascii="Calibri" w:hAnsi="Calibri" w:cs="Calibri"/>
          <w:color w:val="000000"/>
          <w:lang w:val="pl-PL"/>
        </w:rPr>
        <w:t>, jak i</w:t>
      </w:r>
      <w:r w:rsidRPr="00CB6357">
        <w:rPr>
          <w:rFonts w:ascii="Calibri" w:hAnsi="Calibri" w:cs="Calibri"/>
          <w:color w:val="000000"/>
          <w:lang w:val="pl-PL"/>
        </w:rPr>
        <w:t xml:space="preserve"> w </w:t>
      </w:r>
      <w:r w:rsidR="0042151B" w:rsidRPr="00CB6357">
        <w:rPr>
          <w:rFonts w:ascii="Calibri" w:hAnsi="Calibri" w:cs="Calibri"/>
          <w:color w:val="000000"/>
          <w:lang w:val="pl-PL"/>
        </w:rPr>
        <w:t xml:space="preserve">internecie. </w:t>
      </w:r>
    </w:p>
    <w:p w:rsidR="004F42AE" w:rsidRPr="00CB6357" w:rsidRDefault="004F42AE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CB6357">
        <w:rPr>
          <w:rFonts w:ascii="Calibri" w:hAnsi="Calibri" w:cs="Calibri"/>
          <w:color w:val="000000"/>
          <w:lang w:val="pl-PL"/>
        </w:rPr>
        <w:t xml:space="preserve">Skarżący złożył skargę do </w:t>
      </w:r>
      <w:r w:rsidR="000045AA">
        <w:rPr>
          <w:rFonts w:ascii="Calibri" w:hAnsi="Calibri" w:cs="Calibri"/>
          <w:color w:val="000000"/>
          <w:lang w:val="pl-PL"/>
        </w:rPr>
        <w:t>Kanclerza</w:t>
      </w:r>
      <w:r w:rsidR="00AB02A4">
        <w:rPr>
          <w:rFonts w:ascii="Calibri" w:hAnsi="Calibri" w:cs="Calibri"/>
          <w:color w:val="000000"/>
          <w:lang w:val="pl-PL"/>
        </w:rPr>
        <w:t xml:space="preserve"> </w:t>
      </w:r>
      <w:r w:rsidRPr="00CB6357">
        <w:rPr>
          <w:rFonts w:ascii="Calibri" w:hAnsi="Calibri" w:cs="Calibri"/>
          <w:color w:val="000000"/>
          <w:lang w:val="pl-PL"/>
        </w:rPr>
        <w:t xml:space="preserve">Sprawiedliwości, który w sprawozdaniu </w:t>
      </w:r>
      <w:r w:rsidR="0042151B">
        <w:rPr>
          <w:rFonts w:ascii="Calibri" w:hAnsi="Calibri" w:cs="Calibri"/>
          <w:color w:val="000000"/>
          <w:lang w:val="pl-PL"/>
        </w:rPr>
        <w:t xml:space="preserve">skierowanym </w:t>
      </w:r>
      <w:r w:rsidRPr="00CB6357">
        <w:rPr>
          <w:rFonts w:ascii="Calibri" w:hAnsi="Calibri" w:cs="Calibri"/>
          <w:color w:val="000000"/>
          <w:lang w:val="pl-PL"/>
        </w:rPr>
        <w:t xml:space="preserve">do </w:t>
      </w:r>
      <w:r w:rsidR="0042151B" w:rsidRPr="00CB6357">
        <w:rPr>
          <w:rFonts w:ascii="Calibri" w:hAnsi="Calibri" w:cs="Calibri"/>
          <w:color w:val="000000"/>
          <w:lang w:val="pl-PL"/>
        </w:rPr>
        <w:t xml:space="preserve">parlamentu </w:t>
      </w:r>
      <w:r w:rsidRPr="00CB6357">
        <w:rPr>
          <w:rFonts w:ascii="Calibri" w:hAnsi="Calibri" w:cs="Calibri"/>
          <w:color w:val="000000"/>
          <w:lang w:val="pl-PL"/>
        </w:rPr>
        <w:t>uznał, że ustawa ws. ujawnienia była niezgodna z konstytucją</w:t>
      </w:r>
      <w:r w:rsidR="00ED4BB5">
        <w:rPr>
          <w:rFonts w:ascii="Calibri" w:hAnsi="Calibri" w:cs="Calibri"/>
          <w:color w:val="000000"/>
          <w:lang w:val="pl-PL"/>
        </w:rPr>
        <w:t xml:space="preserve"> </w:t>
      </w:r>
      <w:r w:rsidR="00F6542F">
        <w:rPr>
          <w:rFonts w:ascii="Calibri" w:hAnsi="Calibri" w:cs="Calibri"/>
          <w:color w:val="000000"/>
          <w:lang w:val="pl-PL"/>
        </w:rPr>
        <w:t xml:space="preserve">w zakresie, w jakim </w:t>
      </w:r>
      <w:r w:rsidR="0042151B">
        <w:rPr>
          <w:rFonts w:ascii="Calibri" w:hAnsi="Calibri" w:cs="Calibri"/>
          <w:color w:val="000000"/>
          <w:lang w:val="pl-PL"/>
        </w:rPr>
        <w:t>przewidywała ujawnienie informacji</w:t>
      </w:r>
      <w:r w:rsidRPr="00CB6357">
        <w:rPr>
          <w:rFonts w:ascii="Calibri" w:hAnsi="Calibri" w:cs="Calibri"/>
          <w:color w:val="000000"/>
          <w:lang w:val="pl-PL"/>
        </w:rPr>
        <w:t xml:space="preserve"> o wszystkich pracownikach organizacji bezpieczeństwa i wywiadu</w:t>
      </w:r>
      <w:r w:rsidR="00F6542F">
        <w:rPr>
          <w:rFonts w:ascii="Calibri" w:hAnsi="Calibri" w:cs="Calibri"/>
          <w:color w:val="000000"/>
          <w:lang w:val="pl-PL"/>
        </w:rPr>
        <w:t xml:space="preserve"> bez wyjątków w odniesieniu do osób, które </w:t>
      </w:r>
      <w:r w:rsidRPr="00CB6357">
        <w:rPr>
          <w:rFonts w:ascii="Calibri" w:hAnsi="Calibri" w:cs="Calibri"/>
          <w:color w:val="000000"/>
          <w:lang w:val="pl-PL"/>
        </w:rPr>
        <w:t xml:space="preserve">realizowały </w:t>
      </w:r>
      <w:r w:rsidR="00F6542F">
        <w:rPr>
          <w:rFonts w:ascii="Calibri" w:hAnsi="Calibri" w:cs="Calibri"/>
          <w:color w:val="000000"/>
          <w:lang w:val="pl-PL"/>
        </w:rPr>
        <w:t xml:space="preserve">jedynie </w:t>
      </w:r>
      <w:r w:rsidR="00F6542F" w:rsidRPr="00CB6357">
        <w:rPr>
          <w:rFonts w:ascii="Calibri" w:hAnsi="Calibri" w:cs="Calibri"/>
          <w:color w:val="000000"/>
          <w:lang w:val="pl-PL"/>
        </w:rPr>
        <w:t xml:space="preserve">zadania </w:t>
      </w:r>
      <w:r w:rsidRPr="00CB6357">
        <w:rPr>
          <w:rFonts w:ascii="Calibri" w:hAnsi="Calibri" w:cs="Calibri"/>
          <w:color w:val="000000"/>
          <w:lang w:val="pl-PL"/>
        </w:rPr>
        <w:t xml:space="preserve">techniczne </w:t>
      </w:r>
      <w:r w:rsidR="00F6542F">
        <w:rPr>
          <w:rFonts w:ascii="Calibri" w:hAnsi="Calibri" w:cs="Calibri"/>
          <w:color w:val="000000"/>
          <w:lang w:val="pl-PL"/>
        </w:rPr>
        <w:t xml:space="preserve">i </w:t>
      </w:r>
      <w:r w:rsidRPr="00CB6357">
        <w:rPr>
          <w:rFonts w:ascii="Calibri" w:hAnsi="Calibri" w:cs="Calibri"/>
          <w:color w:val="000000"/>
          <w:lang w:val="pl-PL"/>
        </w:rPr>
        <w:t>niezwiązane z głównymi funkcjami tych organizacji. Jednakże parlamentarn</w:t>
      </w:r>
      <w:r w:rsidR="001847DD" w:rsidRPr="00CB6357">
        <w:rPr>
          <w:rFonts w:ascii="Calibri" w:hAnsi="Calibri" w:cs="Calibri"/>
          <w:color w:val="000000"/>
          <w:lang w:val="pl-PL"/>
        </w:rPr>
        <w:t xml:space="preserve">a </w:t>
      </w:r>
      <w:r w:rsidR="0042151B" w:rsidRPr="00CB6357">
        <w:rPr>
          <w:rFonts w:ascii="Calibri" w:hAnsi="Calibri" w:cs="Calibri"/>
          <w:color w:val="000000"/>
          <w:lang w:val="pl-PL"/>
        </w:rPr>
        <w:t xml:space="preserve">Komisja </w:t>
      </w:r>
      <w:r w:rsidRPr="00CB6357">
        <w:rPr>
          <w:rFonts w:ascii="Calibri" w:hAnsi="Calibri" w:cs="Calibri"/>
          <w:color w:val="000000"/>
          <w:lang w:val="pl-PL"/>
        </w:rPr>
        <w:t>ds. prawa konstytucyjnego nie zgodził</w:t>
      </w:r>
      <w:r w:rsidR="001847DD" w:rsidRPr="00CB6357">
        <w:rPr>
          <w:rFonts w:ascii="Calibri" w:hAnsi="Calibri" w:cs="Calibri"/>
          <w:color w:val="000000"/>
          <w:lang w:val="pl-PL"/>
        </w:rPr>
        <w:t>a</w:t>
      </w:r>
      <w:r w:rsidRPr="00CB6357">
        <w:rPr>
          <w:rFonts w:ascii="Calibri" w:hAnsi="Calibri" w:cs="Calibri"/>
          <w:color w:val="000000"/>
          <w:lang w:val="pl-PL"/>
        </w:rPr>
        <w:t xml:space="preserve"> się z oceną </w:t>
      </w:r>
      <w:r w:rsidR="0042151B" w:rsidRPr="00F6542F">
        <w:rPr>
          <w:rFonts w:ascii="Calibri" w:hAnsi="Calibri" w:cs="Calibri"/>
          <w:color w:val="000000"/>
          <w:lang w:val="pl-PL"/>
        </w:rPr>
        <w:t xml:space="preserve">Kanclerza. </w:t>
      </w:r>
      <w:r w:rsidRPr="00F6542F">
        <w:rPr>
          <w:rFonts w:ascii="Calibri" w:hAnsi="Calibri" w:cs="Calibri"/>
          <w:color w:val="000000"/>
          <w:lang w:val="pl-PL"/>
        </w:rPr>
        <w:t>Kanclerz</w:t>
      </w:r>
      <w:r w:rsidR="00F6542F">
        <w:rPr>
          <w:rFonts w:ascii="Calibri" w:hAnsi="Calibri" w:cs="Calibri"/>
          <w:color w:val="000000"/>
          <w:lang w:val="pl-PL"/>
        </w:rPr>
        <w:t xml:space="preserve"> ostatecznie</w:t>
      </w:r>
      <w:r w:rsidRPr="00CB6357">
        <w:rPr>
          <w:rFonts w:ascii="Calibri" w:hAnsi="Calibri" w:cs="Calibri"/>
          <w:color w:val="000000"/>
          <w:lang w:val="pl-PL"/>
        </w:rPr>
        <w:t xml:space="preserve"> </w:t>
      </w:r>
      <w:r w:rsidRPr="00AB02A4">
        <w:rPr>
          <w:rFonts w:ascii="Calibri" w:hAnsi="Calibri" w:cs="Calibri"/>
          <w:color w:val="000000"/>
          <w:lang w:val="pl-PL"/>
        </w:rPr>
        <w:t xml:space="preserve">nie </w:t>
      </w:r>
      <w:r w:rsidR="00AB02A4" w:rsidRPr="00AB02A4">
        <w:rPr>
          <w:rFonts w:ascii="Calibri" w:hAnsi="Calibri" w:cs="Calibri"/>
          <w:color w:val="000000"/>
          <w:lang w:val="pl-PL"/>
        </w:rPr>
        <w:t>skierował</w:t>
      </w:r>
      <w:r w:rsidRPr="00AB02A4">
        <w:rPr>
          <w:rFonts w:ascii="Calibri" w:hAnsi="Calibri" w:cs="Calibri"/>
          <w:color w:val="000000"/>
          <w:lang w:val="pl-PL"/>
        </w:rPr>
        <w:t xml:space="preserve"> </w:t>
      </w:r>
      <w:r w:rsidR="0042151B" w:rsidRPr="00AB02A4">
        <w:rPr>
          <w:rFonts w:ascii="Calibri" w:hAnsi="Calibri" w:cs="Calibri"/>
          <w:color w:val="000000"/>
          <w:lang w:val="pl-PL"/>
        </w:rPr>
        <w:t xml:space="preserve">wniosku o </w:t>
      </w:r>
      <w:r w:rsidR="004F2601">
        <w:rPr>
          <w:rFonts w:ascii="Calibri" w:hAnsi="Calibri" w:cs="Calibri"/>
          <w:color w:val="000000"/>
          <w:lang w:val="pl-PL"/>
        </w:rPr>
        <w:t>zbadanie</w:t>
      </w:r>
      <w:r w:rsidR="0042151B" w:rsidRPr="00AB02A4">
        <w:rPr>
          <w:rFonts w:ascii="Calibri" w:hAnsi="Calibri" w:cs="Calibri"/>
          <w:color w:val="000000"/>
          <w:lang w:val="pl-PL"/>
        </w:rPr>
        <w:t xml:space="preserve"> konstytucyjności</w:t>
      </w:r>
      <w:r w:rsidR="00AB02A4" w:rsidRPr="00AB02A4">
        <w:rPr>
          <w:rFonts w:ascii="Calibri" w:hAnsi="Calibri" w:cs="Calibri"/>
          <w:color w:val="000000"/>
          <w:lang w:val="pl-PL"/>
        </w:rPr>
        <w:t xml:space="preserve"> ustawy</w:t>
      </w:r>
      <w:r w:rsidRPr="00AB02A4">
        <w:rPr>
          <w:rFonts w:ascii="Calibri" w:hAnsi="Calibri" w:cs="Calibri"/>
          <w:color w:val="000000"/>
          <w:lang w:val="pl-PL"/>
        </w:rPr>
        <w:t>.</w:t>
      </w:r>
      <w:r w:rsidRPr="00CB6357">
        <w:rPr>
          <w:rFonts w:ascii="Calibri" w:hAnsi="Calibri" w:cs="Calibri"/>
          <w:color w:val="000000"/>
          <w:lang w:val="pl-PL"/>
        </w:rPr>
        <w:t xml:space="preserve"> </w:t>
      </w:r>
    </w:p>
    <w:p w:rsidR="00B90CBB" w:rsidRPr="00CB6357" w:rsidRDefault="004F42AE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CB6357">
        <w:rPr>
          <w:rFonts w:ascii="Calibri" w:hAnsi="Calibri" w:cs="Calibri"/>
          <w:color w:val="000000"/>
          <w:lang w:val="pl-PL"/>
        </w:rPr>
        <w:t>W 2006 r</w:t>
      </w:r>
      <w:r w:rsidR="0042151B">
        <w:rPr>
          <w:rFonts w:ascii="Calibri" w:hAnsi="Calibri" w:cs="Calibri"/>
          <w:color w:val="000000"/>
          <w:lang w:val="pl-PL"/>
        </w:rPr>
        <w:t>.</w:t>
      </w:r>
      <w:r w:rsidRPr="00CB6357">
        <w:rPr>
          <w:rFonts w:ascii="Calibri" w:hAnsi="Calibri" w:cs="Calibri"/>
          <w:color w:val="000000"/>
          <w:lang w:val="pl-PL"/>
        </w:rPr>
        <w:t xml:space="preserve"> skarżący wniósł skargę do sądu administracyjnego z żądaniem</w:t>
      </w:r>
      <w:r w:rsidR="001847DD" w:rsidRPr="00CB6357">
        <w:rPr>
          <w:rFonts w:ascii="Calibri" w:hAnsi="Calibri" w:cs="Calibri"/>
          <w:color w:val="000000"/>
          <w:lang w:val="pl-PL"/>
        </w:rPr>
        <w:t>,</w:t>
      </w:r>
      <w:r w:rsidRPr="00CB6357">
        <w:rPr>
          <w:rFonts w:ascii="Calibri" w:hAnsi="Calibri" w:cs="Calibri"/>
          <w:color w:val="000000"/>
          <w:lang w:val="pl-PL"/>
        </w:rPr>
        <w:t xml:space="preserve"> by tekst opublikowany </w:t>
      </w:r>
      <w:r w:rsidR="00AB02A4">
        <w:rPr>
          <w:rFonts w:ascii="Calibri" w:hAnsi="Calibri" w:cs="Calibri"/>
          <w:color w:val="000000"/>
          <w:lang w:val="pl-PL"/>
        </w:rPr>
        <w:t>w Dzienniku Urzędowym</w:t>
      </w:r>
      <w:r w:rsidRPr="00CB6357">
        <w:rPr>
          <w:rFonts w:ascii="Calibri" w:hAnsi="Calibri" w:cs="Calibri"/>
          <w:color w:val="000000"/>
          <w:lang w:val="pl-PL"/>
        </w:rPr>
        <w:t xml:space="preserve"> został uznany za niezgodny z prawem, w szczególności</w:t>
      </w:r>
      <w:r w:rsidR="001847DD" w:rsidRPr="00CB6357">
        <w:rPr>
          <w:rFonts w:ascii="Calibri" w:hAnsi="Calibri" w:cs="Calibri"/>
          <w:color w:val="000000"/>
          <w:lang w:val="pl-PL"/>
        </w:rPr>
        <w:t>,</w:t>
      </w:r>
      <w:r w:rsidRPr="00CB6357">
        <w:rPr>
          <w:rFonts w:ascii="Calibri" w:hAnsi="Calibri" w:cs="Calibri"/>
          <w:color w:val="000000"/>
          <w:lang w:val="pl-PL"/>
        </w:rPr>
        <w:t xml:space="preserve"> aby słowo „okupant” (w odniesieniu do </w:t>
      </w:r>
      <w:r w:rsidR="0042151B" w:rsidRPr="00CB6357">
        <w:rPr>
          <w:rFonts w:ascii="Calibri" w:hAnsi="Calibri" w:cs="Calibri"/>
          <w:color w:val="000000"/>
          <w:lang w:val="pl-PL"/>
        </w:rPr>
        <w:t xml:space="preserve">państw </w:t>
      </w:r>
      <w:r w:rsidRPr="00CB6357">
        <w:rPr>
          <w:rFonts w:ascii="Calibri" w:hAnsi="Calibri" w:cs="Calibri"/>
          <w:color w:val="000000"/>
          <w:lang w:val="pl-PL"/>
        </w:rPr>
        <w:t xml:space="preserve">okupujących Estonię) zostało usunięte. Skarżący zauważył, że nigdy nie został oskarżony, jak również nie przedstawiono mu żadnych dowodów wskazujących, że brał udział w zbrojnej okupacji terytorium Estonii. Twierdził, że pracował dla KGB </w:t>
      </w:r>
      <w:r w:rsidR="00AB02A4" w:rsidRPr="00CB6357">
        <w:rPr>
          <w:rFonts w:ascii="Calibri" w:hAnsi="Calibri" w:cs="Calibri"/>
          <w:color w:val="000000"/>
          <w:lang w:val="pl-PL"/>
        </w:rPr>
        <w:t xml:space="preserve">jedynie </w:t>
      </w:r>
      <w:r w:rsidRPr="00CB6357">
        <w:rPr>
          <w:rFonts w:ascii="Calibri" w:hAnsi="Calibri" w:cs="Calibri"/>
          <w:color w:val="000000"/>
          <w:lang w:val="pl-PL"/>
        </w:rPr>
        <w:t>jako kierowca i nie wiedział nic o zbieraniu informacji. Ponadto, w</w:t>
      </w:r>
      <w:r w:rsidR="0042151B">
        <w:rPr>
          <w:rFonts w:ascii="Calibri" w:hAnsi="Calibri" w:cs="Calibri"/>
          <w:color w:val="000000"/>
          <w:lang w:val="pl-PL"/>
        </w:rPr>
        <w:t xml:space="preserve"> wyniku publikacji stracił pracę</w:t>
      </w:r>
      <w:r w:rsidRPr="00CB6357">
        <w:rPr>
          <w:rFonts w:ascii="Calibri" w:hAnsi="Calibri" w:cs="Calibri"/>
          <w:color w:val="000000"/>
          <w:lang w:val="pl-PL"/>
        </w:rPr>
        <w:t xml:space="preserve"> i stał się ofiarą bezpodstawnych oskarżeń ze strony innych osób. Sąd administracyjny oddalił skargę, zauważając w szczególności, że </w:t>
      </w:r>
      <w:r w:rsidR="001847DD" w:rsidRPr="00CB6357">
        <w:rPr>
          <w:rFonts w:ascii="Calibri" w:hAnsi="Calibri" w:cs="Calibri"/>
          <w:color w:val="000000"/>
          <w:lang w:val="pl-PL"/>
        </w:rPr>
        <w:t>skarżący</w:t>
      </w:r>
      <w:r w:rsidRPr="00CB6357">
        <w:rPr>
          <w:rFonts w:ascii="Calibri" w:hAnsi="Calibri" w:cs="Calibri"/>
          <w:color w:val="000000"/>
          <w:lang w:val="pl-PL"/>
        </w:rPr>
        <w:t xml:space="preserve"> </w:t>
      </w:r>
      <w:r w:rsidRPr="007B745A">
        <w:rPr>
          <w:rFonts w:ascii="Calibri" w:hAnsi="Calibri" w:cs="Calibri"/>
          <w:color w:val="000000"/>
          <w:lang w:val="pl-PL"/>
        </w:rPr>
        <w:t>nie zakwestionował zawiadomienia</w:t>
      </w:r>
      <w:r w:rsidR="001847DD" w:rsidRPr="007B745A">
        <w:rPr>
          <w:rFonts w:ascii="Calibri" w:hAnsi="Calibri" w:cs="Calibri"/>
          <w:color w:val="000000"/>
          <w:lang w:val="pl-PL"/>
        </w:rPr>
        <w:t>,</w:t>
      </w:r>
      <w:r w:rsidRPr="007B745A">
        <w:rPr>
          <w:rFonts w:ascii="Calibri" w:hAnsi="Calibri" w:cs="Calibri"/>
          <w:color w:val="000000"/>
          <w:lang w:val="pl-PL"/>
        </w:rPr>
        <w:t xml:space="preserve"> które</w:t>
      </w:r>
      <w:r w:rsidRPr="00CB6357">
        <w:rPr>
          <w:rFonts w:ascii="Calibri" w:hAnsi="Calibri" w:cs="Calibri"/>
          <w:color w:val="000000"/>
          <w:lang w:val="pl-PL"/>
        </w:rPr>
        <w:t xml:space="preserve"> otrzymał. Apelacja skarżącego została oddalona. Sąd Najwyższy odmówił w lutym 2008 r. </w:t>
      </w:r>
      <w:r w:rsidRPr="007B745A">
        <w:rPr>
          <w:rFonts w:ascii="Calibri" w:hAnsi="Calibri" w:cs="Calibri"/>
          <w:color w:val="000000"/>
          <w:lang w:val="pl-PL"/>
        </w:rPr>
        <w:t xml:space="preserve">rozpatrzenia </w:t>
      </w:r>
      <w:r w:rsidR="001847DD" w:rsidRPr="007B745A">
        <w:rPr>
          <w:rFonts w:ascii="Calibri" w:hAnsi="Calibri" w:cs="Calibri"/>
          <w:color w:val="000000"/>
          <w:lang w:val="pl-PL"/>
        </w:rPr>
        <w:t>kasacji</w:t>
      </w:r>
      <w:r w:rsidRPr="007B745A">
        <w:rPr>
          <w:rFonts w:ascii="Calibri" w:hAnsi="Calibri" w:cs="Calibri"/>
          <w:color w:val="000000"/>
          <w:lang w:val="pl-PL"/>
        </w:rPr>
        <w:t xml:space="preserve"> skarżącego</w:t>
      </w:r>
      <w:r w:rsidRPr="00CB6357">
        <w:rPr>
          <w:rFonts w:ascii="Calibri" w:hAnsi="Calibri" w:cs="Calibri"/>
          <w:color w:val="000000"/>
          <w:lang w:val="pl-PL"/>
        </w:rPr>
        <w:t xml:space="preserve">. </w:t>
      </w:r>
    </w:p>
    <w:p w:rsidR="00B90CBB" w:rsidRDefault="005D056A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u w:val="single"/>
          <w:lang w:val="pl-PL"/>
        </w:rPr>
      </w:pPr>
      <w:r w:rsidRPr="004F42AE">
        <w:rPr>
          <w:u w:val="single"/>
          <w:lang w:val="pl-PL"/>
        </w:rPr>
        <w:t xml:space="preserve">Ocena Trybunału </w:t>
      </w:r>
    </w:p>
    <w:p w:rsidR="00B90CBB" w:rsidRDefault="005D056A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4F42AE">
        <w:rPr>
          <w:rFonts w:ascii="Calibri" w:hAnsi="Calibri" w:cs="Calibri"/>
          <w:color w:val="000000"/>
          <w:lang w:val="pl-PL"/>
        </w:rPr>
        <w:t xml:space="preserve">Trybunał zauważył, że publikacja informacji na temat służby skarżącego w KGB dotyczyła faktów o jego osobistej przeszłości, które zostały udostępnione do publicznej wiadomości, </w:t>
      </w:r>
      <w:r w:rsidR="004F2601">
        <w:rPr>
          <w:rFonts w:ascii="Calibri" w:hAnsi="Calibri" w:cs="Calibri"/>
          <w:color w:val="000000"/>
          <w:lang w:val="pl-PL"/>
        </w:rPr>
        <w:t>co miało</w:t>
      </w:r>
      <w:r w:rsidRPr="004F42AE">
        <w:rPr>
          <w:rFonts w:ascii="Calibri" w:hAnsi="Calibri" w:cs="Calibri"/>
          <w:color w:val="000000"/>
          <w:lang w:val="pl-PL"/>
        </w:rPr>
        <w:t xml:space="preserve"> wpływ na jego reputację. W związku z tym stanowiła </w:t>
      </w:r>
      <w:r w:rsidR="001847DD">
        <w:rPr>
          <w:rFonts w:ascii="Calibri" w:hAnsi="Calibri" w:cs="Calibri"/>
          <w:color w:val="000000"/>
          <w:lang w:val="pl-PL"/>
        </w:rPr>
        <w:t xml:space="preserve">ona </w:t>
      </w:r>
      <w:r w:rsidRPr="004F42AE">
        <w:rPr>
          <w:rFonts w:ascii="Calibri" w:hAnsi="Calibri" w:cs="Calibri"/>
          <w:color w:val="000000"/>
          <w:lang w:val="pl-PL"/>
        </w:rPr>
        <w:t>ingerencję w jego prawo do poszanowania życia prywatnego</w:t>
      </w:r>
      <w:r w:rsidR="0042151B">
        <w:rPr>
          <w:rFonts w:ascii="Calibri" w:hAnsi="Calibri" w:cs="Calibri"/>
          <w:color w:val="000000"/>
          <w:lang w:val="pl-PL"/>
        </w:rPr>
        <w:t xml:space="preserve"> (art. 8 Konwencji)</w:t>
      </w:r>
      <w:r w:rsidRPr="004F42AE">
        <w:rPr>
          <w:rFonts w:ascii="Calibri" w:hAnsi="Calibri" w:cs="Calibri"/>
          <w:color w:val="000000"/>
          <w:lang w:val="pl-PL"/>
        </w:rPr>
        <w:t>.</w:t>
      </w:r>
    </w:p>
    <w:p w:rsidR="00B90CBB" w:rsidRDefault="005D056A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4F42AE">
        <w:rPr>
          <w:rFonts w:ascii="Calibri" w:hAnsi="Calibri" w:cs="Calibri"/>
          <w:color w:val="000000"/>
          <w:lang w:val="pl-PL"/>
        </w:rPr>
        <w:t xml:space="preserve">Zgodność z prawem tej ingerencji – </w:t>
      </w:r>
      <w:r w:rsidR="00C86D30">
        <w:rPr>
          <w:rFonts w:ascii="Calibri" w:hAnsi="Calibri" w:cs="Calibri"/>
          <w:color w:val="000000"/>
          <w:lang w:val="pl-PL"/>
        </w:rPr>
        <w:t>dokonanej w oparciu o przepisy ustawy</w:t>
      </w:r>
      <w:r w:rsidRPr="004F42AE">
        <w:rPr>
          <w:rFonts w:ascii="Calibri" w:hAnsi="Calibri" w:cs="Calibri"/>
          <w:color w:val="000000"/>
          <w:lang w:val="pl-PL"/>
        </w:rPr>
        <w:t xml:space="preserve"> ws. ujawnienia – nie stanowiła </w:t>
      </w:r>
      <w:r w:rsidR="007D45C3">
        <w:rPr>
          <w:rFonts w:ascii="Calibri" w:hAnsi="Calibri" w:cs="Calibri"/>
          <w:color w:val="000000"/>
          <w:lang w:val="pl-PL"/>
        </w:rPr>
        <w:t xml:space="preserve">przedmiotu </w:t>
      </w:r>
      <w:r w:rsidRPr="004F42AE">
        <w:rPr>
          <w:rFonts w:ascii="Calibri" w:hAnsi="Calibri" w:cs="Calibri"/>
          <w:color w:val="000000"/>
          <w:lang w:val="pl-PL"/>
        </w:rPr>
        <w:t xml:space="preserve">sporu między stronami. Trybunał </w:t>
      </w:r>
      <w:r w:rsidR="00F6542F">
        <w:rPr>
          <w:rFonts w:ascii="Calibri" w:hAnsi="Calibri" w:cs="Calibri"/>
          <w:color w:val="000000"/>
          <w:lang w:val="pl-PL"/>
        </w:rPr>
        <w:t xml:space="preserve">odnotował również, że </w:t>
      </w:r>
      <w:r w:rsidR="004F2601">
        <w:rPr>
          <w:rFonts w:ascii="Calibri" w:hAnsi="Calibri" w:cs="Calibri"/>
          <w:color w:val="000000"/>
          <w:lang w:val="pl-PL"/>
        </w:rPr>
        <w:t>rejestracj</w:t>
      </w:r>
      <w:r w:rsidR="00057A61">
        <w:rPr>
          <w:rFonts w:ascii="Calibri" w:hAnsi="Calibri" w:cs="Calibri"/>
          <w:color w:val="000000"/>
          <w:lang w:val="pl-PL"/>
        </w:rPr>
        <w:t>ę</w:t>
      </w:r>
      <w:r w:rsidR="00F6542F">
        <w:rPr>
          <w:rFonts w:ascii="Calibri" w:hAnsi="Calibri" w:cs="Calibri"/>
          <w:color w:val="000000"/>
          <w:lang w:val="pl-PL"/>
        </w:rPr>
        <w:t xml:space="preserve"> i </w:t>
      </w:r>
      <w:r w:rsidR="004F2601">
        <w:rPr>
          <w:rFonts w:ascii="Calibri" w:hAnsi="Calibri" w:cs="Calibri"/>
          <w:color w:val="000000"/>
          <w:lang w:val="pl-PL"/>
        </w:rPr>
        <w:t>ujawnienie</w:t>
      </w:r>
      <w:r w:rsidR="00F6542F">
        <w:rPr>
          <w:rFonts w:ascii="Calibri" w:hAnsi="Calibri" w:cs="Calibri"/>
          <w:color w:val="000000"/>
          <w:lang w:val="pl-PL"/>
        </w:rPr>
        <w:t xml:space="preserve"> byłych współpracowników służb bezpieczeństwa i organizacji wywiadu, które w przeszłoś</w:t>
      </w:r>
      <w:r w:rsidR="004F2601">
        <w:rPr>
          <w:rFonts w:ascii="Calibri" w:hAnsi="Calibri" w:cs="Calibri"/>
          <w:color w:val="000000"/>
          <w:lang w:val="pl-PL"/>
        </w:rPr>
        <w:t xml:space="preserve">ci działały w Estonii, </w:t>
      </w:r>
      <w:r w:rsidR="00057A61">
        <w:rPr>
          <w:rFonts w:ascii="Calibri" w:hAnsi="Calibri" w:cs="Calibri"/>
          <w:color w:val="000000"/>
          <w:lang w:val="pl-PL"/>
        </w:rPr>
        <w:t xml:space="preserve">przeprowadzono </w:t>
      </w:r>
      <w:r w:rsidR="00F6542F">
        <w:rPr>
          <w:rFonts w:ascii="Calibri" w:hAnsi="Calibri" w:cs="Calibri"/>
          <w:color w:val="000000"/>
          <w:lang w:val="pl-PL"/>
        </w:rPr>
        <w:t>w celu z</w:t>
      </w:r>
      <w:r w:rsidR="00213180">
        <w:rPr>
          <w:rFonts w:ascii="Calibri" w:hAnsi="Calibri" w:cs="Calibri"/>
          <w:color w:val="000000"/>
          <w:lang w:val="pl-PL"/>
        </w:rPr>
        <w:t>a</w:t>
      </w:r>
      <w:r w:rsidR="00F6542F">
        <w:rPr>
          <w:rFonts w:ascii="Calibri" w:hAnsi="Calibri" w:cs="Calibri"/>
          <w:color w:val="000000"/>
          <w:lang w:val="pl-PL"/>
        </w:rPr>
        <w:t xml:space="preserve">pewnienia przejrzystości i pokoju społecznego oraz zapobieżenia </w:t>
      </w:r>
      <w:r w:rsidR="00213180">
        <w:rPr>
          <w:rFonts w:ascii="Calibri" w:hAnsi="Calibri" w:cs="Calibri"/>
          <w:color w:val="000000"/>
          <w:lang w:val="pl-PL"/>
        </w:rPr>
        <w:t>zagrożeniom dla bezpieczeństwa. Trybunał uznał więc, że</w:t>
      </w:r>
      <w:r w:rsidRPr="004F42AE">
        <w:rPr>
          <w:rFonts w:ascii="Calibri" w:hAnsi="Calibri" w:cs="Calibri"/>
          <w:color w:val="000000"/>
          <w:lang w:val="pl-PL"/>
        </w:rPr>
        <w:t xml:space="preserve"> ingerencja </w:t>
      </w:r>
      <w:r w:rsidR="00057A61">
        <w:rPr>
          <w:rFonts w:ascii="Calibri" w:hAnsi="Calibri" w:cs="Calibri"/>
          <w:color w:val="000000"/>
          <w:lang w:val="pl-PL"/>
        </w:rPr>
        <w:t xml:space="preserve">służyła </w:t>
      </w:r>
      <w:r w:rsidR="0042151B">
        <w:rPr>
          <w:rFonts w:ascii="Calibri" w:hAnsi="Calibri" w:cs="Calibri"/>
          <w:color w:val="000000"/>
          <w:lang w:val="pl-PL"/>
        </w:rPr>
        <w:t xml:space="preserve">realizacji </w:t>
      </w:r>
      <w:r w:rsidR="007D45C3">
        <w:rPr>
          <w:rFonts w:ascii="Calibri" w:hAnsi="Calibri" w:cs="Calibri"/>
          <w:color w:val="000000"/>
          <w:lang w:val="pl-PL"/>
        </w:rPr>
        <w:t xml:space="preserve">uprawnionych </w:t>
      </w:r>
      <w:r w:rsidRPr="004F42AE">
        <w:rPr>
          <w:rFonts w:ascii="Calibri" w:hAnsi="Calibri" w:cs="Calibri"/>
          <w:color w:val="000000"/>
          <w:lang w:val="pl-PL"/>
        </w:rPr>
        <w:t xml:space="preserve">celów w rozumieniu </w:t>
      </w:r>
      <w:r w:rsidR="0042151B">
        <w:rPr>
          <w:rFonts w:ascii="Calibri" w:hAnsi="Calibri" w:cs="Calibri"/>
          <w:color w:val="000000"/>
          <w:lang w:val="pl-PL"/>
        </w:rPr>
        <w:t xml:space="preserve">art. 8 ust. 2 </w:t>
      </w:r>
      <w:r w:rsidRPr="004F42AE">
        <w:rPr>
          <w:rFonts w:ascii="Calibri" w:hAnsi="Calibri" w:cs="Calibri"/>
          <w:color w:val="000000"/>
          <w:lang w:val="pl-PL"/>
        </w:rPr>
        <w:t>Konwencji, a mianowicie ochrony bezpieczeństwa państwa i bezpieczeństwa publicznego, ochrony porządku, jak również ochrony praw i wolności innych osób.</w:t>
      </w:r>
    </w:p>
    <w:p w:rsidR="00D74CC1" w:rsidRDefault="005155DD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>
        <w:rPr>
          <w:rFonts w:ascii="Calibri" w:hAnsi="Calibri" w:cs="Calibri"/>
          <w:color w:val="000000"/>
          <w:lang w:val="pl-PL"/>
        </w:rPr>
        <w:t xml:space="preserve">Trybunał </w:t>
      </w:r>
      <w:r w:rsidR="00213180">
        <w:rPr>
          <w:rFonts w:ascii="Calibri" w:hAnsi="Calibri" w:cs="Calibri"/>
          <w:color w:val="000000"/>
          <w:lang w:val="pl-PL"/>
        </w:rPr>
        <w:t xml:space="preserve">zbadał następnie, czy </w:t>
      </w:r>
      <w:r>
        <w:rPr>
          <w:rFonts w:ascii="Calibri" w:hAnsi="Calibri" w:cs="Calibri"/>
          <w:color w:val="000000"/>
          <w:lang w:val="pl-PL"/>
        </w:rPr>
        <w:t xml:space="preserve">ingerencja była </w:t>
      </w:r>
      <w:r w:rsidR="00213180">
        <w:rPr>
          <w:rFonts w:ascii="Calibri" w:hAnsi="Calibri" w:cs="Calibri"/>
          <w:color w:val="000000"/>
          <w:lang w:val="pl-PL"/>
        </w:rPr>
        <w:t xml:space="preserve">konieczna w społeczeństwie demokratycznym i </w:t>
      </w:r>
      <w:r>
        <w:rPr>
          <w:rFonts w:ascii="Calibri" w:hAnsi="Calibri" w:cs="Calibri"/>
          <w:color w:val="000000"/>
          <w:lang w:val="pl-PL"/>
        </w:rPr>
        <w:t>proporcjonalna do zamierzonych celów. Przypomniał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, że w wielu wcześniejszych sprawach dotyczących innych krajów i podobnych środków krytykował brak indywidualizacji </w:t>
      </w:r>
      <w:r w:rsidR="007D45C3">
        <w:rPr>
          <w:rFonts w:ascii="Calibri" w:hAnsi="Calibri" w:cs="Calibri"/>
          <w:color w:val="000000"/>
          <w:lang w:val="pl-PL"/>
        </w:rPr>
        <w:t xml:space="preserve">zastosowanych 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środków. </w:t>
      </w:r>
      <w:r w:rsidR="00D476C9">
        <w:rPr>
          <w:rFonts w:ascii="Calibri" w:hAnsi="Calibri" w:cs="Calibri"/>
          <w:color w:val="000000"/>
          <w:lang w:val="pl-PL"/>
        </w:rPr>
        <w:t>Dotyczy to również obecnej sprawy.</w:t>
      </w:r>
    </w:p>
    <w:p w:rsidR="00B90CBB" w:rsidRPr="00696800" w:rsidRDefault="00D476C9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>
        <w:rPr>
          <w:rFonts w:ascii="Calibri" w:hAnsi="Calibri" w:cs="Calibri"/>
          <w:color w:val="000000"/>
          <w:lang w:val="pl-PL"/>
        </w:rPr>
        <w:t xml:space="preserve">Estońska </w:t>
      </w:r>
      <w:r w:rsidR="005D056A" w:rsidRPr="004F42AE">
        <w:rPr>
          <w:rFonts w:ascii="Calibri" w:hAnsi="Calibri" w:cs="Calibri"/>
          <w:color w:val="000000"/>
          <w:lang w:val="pl-PL"/>
        </w:rPr>
        <w:t>ustawa ws</w:t>
      </w:r>
      <w:r>
        <w:rPr>
          <w:rFonts w:ascii="Calibri" w:hAnsi="Calibri" w:cs="Calibri"/>
          <w:color w:val="000000"/>
          <w:lang w:val="pl-PL"/>
        </w:rPr>
        <w:t>.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 ujawnienia nie dokonywała rozróżnienia między różnymi poziomami współpracy z KGB. </w:t>
      </w:r>
      <w:r w:rsidR="005155DD">
        <w:rPr>
          <w:rFonts w:ascii="Calibri" w:hAnsi="Calibri" w:cs="Calibri"/>
          <w:color w:val="000000"/>
          <w:lang w:val="pl-PL"/>
        </w:rPr>
        <w:t xml:space="preserve">Co prawda 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zgodnie z obowiązującą procedurą skarżący został </w:t>
      </w:r>
      <w:r w:rsidR="00D74CC1">
        <w:rPr>
          <w:rFonts w:ascii="Calibri" w:hAnsi="Calibri" w:cs="Calibri"/>
          <w:color w:val="000000"/>
          <w:lang w:val="pl-PL"/>
        </w:rPr>
        <w:t xml:space="preserve">powiadomiony </w:t>
      </w:r>
      <w:r w:rsidR="0017348C">
        <w:rPr>
          <w:rFonts w:ascii="Calibri" w:hAnsi="Calibri" w:cs="Calibri"/>
          <w:color w:val="000000"/>
          <w:lang w:val="pl-PL"/>
        </w:rPr>
        <w:t>z wyprzedzeniem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 o informacjach, które miały zostać opublikowane</w:t>
      </w:r>
      <w:r>
        <w:rPr>
          <w:rFonts w:ascii="Calibri" w:hAnsi="Calibri" w:cs="Calibri"/>
          <w:color w:val="000000"/>
          <w:lang w:val="pl-PL"/>
        </w:rPr>
        <w:t>,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 i miał możliwość zakwestionowania </w:t>
      </w:r>
      <w:r w:rsidR="0017348C">
        <w:rPr>
          <w:rFonts w:ascii="Calibri" w:hAnsi="Calibri" w:cs="Calibri"/>
          <w:color w:val="000000"/>
          <w:lang w:val="pl-PL"/>
        </w:rPr>
        <w:t xml:space="preserve">ich </w:t>
      </w:r>
      <w:r>
        <w:rPr>
          <w:rFonts w:ascii="Calibri" w:hAnsi="Calibri" w:cs="Calibri"/>
          <w:color w:val="000000"/>
          <w:lang w:val="pl-PL"/>
        </w:rPr>
        <w:t>prawdziwości</w:t>
      </w:r>
      <w:r w:rsidR="005155DD">
        <w:rPr>
          <w:rFonts w:ascii="Calibri" w:hAnsi="Calibri" w:cs="Calibri"/>
          <w:color w:val="000000"/>
          <w:lang w:val="pl-PL"/>
        </w:rPr>
        <w:t>,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 </w:t>
      </w:r>
      <w:r w:rsidR="005155DD">
        <w:rPr>
          <w:rFonts w:ascii="Calibri" w:hAnsi="Calibri" w:cs="Calibri"/>
          <w:color w:val="000000"/>
          <w:lang w:val="pl-PL"/>
        </w:rPr>
        <w:t>j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ednak przepisy nie przewidywały procedur </w:t>
      </w:r>
      <w:r w:rsidR="00696800">
        <w:rPr>
          <w:rFonts w:ascii="Calibri" w:hAnsi="Calibri" w:cs="Calibri"/>
          <w:color w:val="000000"/>
          <w:lang w:val="pl-PL"/>
        </w:rPr>
        <w:t xml:space="preserve">umożliwiających </w:t>
      </w:r>
      <w:r>
        <w:rPr>
          <w:rFonts w:ascii="Calibri" w:hAnsi="Calibri" w:cs="Calibri"/>
          <w:color w:val="000000"/>
          <w:lang w:val="pl-PL"/>
        </w:rPr>
        <w:t xml:space="preserve">dokonanie </w:t>
      </w:r>
      <w:r w:rsidR="00696800">
        <w:rPr>
          <w:rFonts w:ascii="Calibri" w:hAnsi="Calibri" w:cs="Calibri"/>
          <w:color w:val="000000"/>
          <w:lang w:val="pl-PL"/>
        </w:rPr>
        <w:t>oceny</w:t>
      </w:r>
      <w:r w:rsidR="005D056A" w:rsidRPr="00696800">
        <w:rPr>
          <w:rFonts w:ascii="Calibri" w:hAnsi="Calibri" w:cs="Calibri"/>
          <w:color w:val="000000"/>
          <w:lang w:val="pl-PL"/>
        </w:rPr>
        <w:t xml:space="preserve"> konkretnych zadań wykonywanych przez poszczególnych pracowników </w:t>
      </w:r>
      <w:r w:rsidRPr="00696800">
        <w:rPr>
          <w:rFonts w:ascii="Calibri" w:hAnsi="Calibri" w:cs="Calibri"/>
          <w:color w:val="000000"/>
          <w:lang w:val="pl-PL"/>
        </w:rPr>
        <w:t>dawnych</w:t>
      </w:r>
      <w:r w:rsidR="00696800">
        <w:rPr>
          <w:rFonts w:ascii="Calibri" w:hAnsi="Calibri" w:cs="Calibri"/>
          <w:color w:val="000000"/>
          <w:lang w:val="pl-PL"/>
        </w:rPr>
        <w:t xml:space="preserve"> służb bezpieczeństwa</w:t>
      </w:r>
      <w:r w:rsidRPr="00696800">
        <w:rPr>
          <w:rFonts w:ascii="Calibri" w:hAnsi="Calibri" w:cs="Calibri"/>
          <w:color w:val="000000"/>
          <w:lang w:val="pl-PL"/>
        </w:rPr>
        <w:t xml:space="preserve"> </w:t>
      </w:r>
      <w:r w:rsidR="00FE338F">
        <w:rPr>
          <w:rFonts w:ascii="Calibri" w:hAnsi="Calibri" w:cs="Calibri"/>
          <w:color w:val="000000"/>
          <w:lang w:val="pl-PL"/>
        </w:rPr>
        <w:t xml:space="preserve">i oceny </w:t>
      </w:r>
      <w:r w:rsidRPr="00696800">
        <w:rPr>
          <w:rFonts w:ascii="Calibri" w:hAnsi="Calibri" w:cs="Calibri"/>
          <w:color w:val="000000"/>
          <w:lang w:val="pl-PL"/>
        </w:rPr>
        <w:t>potencjalne</w:t>
      </w:r>
      <w:r w:rsidR="00FE338F">
        <w:rPr>
          <w:rFonts w:ascii="Calibri" w:hAnsi="Calibri" w:cs="Calibri"/>
          <w:color w:val="000000"/>
          <w:lang w:val="pl-PL"/>
        </w:rPr>
        <w:t>go</w:t>
      </w:r>
      <w:r w:rsidRPr="00696800">
        <w:rPr>
          <w:rFonts w:ascii="Calibri" w:hAnsi="Calibri" w:cs="Calibri"/>
          <w:color w:val="000000"/>
          <w:lang w:val="pl-PL"/>
        </w:rPr>
        <w:t xml:space="preserve"> niebezpieczeństw</w:t>
      </w:r>
      <w:r w:rsidR="00FE338F">
        <w:rPr>
          <w:rFonts w:ascii="Calibri" w:hAnsi="Calibri" w:cs="Calibri"/>
          <w:color w:val="000000"/>
          <w:lang w:val="pl-PL"/>
        </w:rPr>
        <w:t>a</w:t>
      </w:r>
      <w:r w:rsidR="005D056A" w:rsidRPr="00696800">
        <w:rPr>
          <w:rFonts w:ascii="Calibri" w:hAnsi="Calibri" w:cs="Calibri"/>
          <w:color w:val="000000"/>
          <w:lang w:val="pl-PL"/>
        </w:rPr>
        <w:t xml:space="preserve">, </w:t>
      </w:r>
      <w:r w:rsidRPr="00696800">
        <w:rPr>
          <w:rFonts w:ascii="Calibri" w:hAnsi="Calibri" w:cs="Calibri"/>
          <w:color w:val="000000"/>
          <w:lang w:val="pl-PL"/>
        </w:rPr>
        <w:t>jakie</w:t>
      </w:r>
      <w:r w:rsidR="005D056A" w:rsidRPr="00696800">
        <w:rPr>
          <w:rFonts w:ascii="Calibri" w:hAnsi="Calibri" w:cs="Calibri"/>
          <w:color w:val="000000"/>
          <w:lang w:val="pl-PL"/>
        </w:rPr>
        <w:t xml:space="preserve"> </w:t>
      </w:r>
      <w:r w:rsidR="0067773A" w:rsidRPr="00696800">
        <w:rPr>
          <w:rFonts w:ascii="Calibri" w:hAnsi="Calibri" w:cs="Calibri"/>
          <w:color w:val="000000"/>
          <w:lang w:val="pl-PL"/>
        </w:rPr>
        <w:t xml:space="preserve">osoby te mogły </w:t>
      </w:r>
      <w:r w:rsidR="005D056A" w:rsidRPr="00696800">
        <w:rPr>
          <w:rFonts w:ascii="Calibri" w:hAnsi="Calibri" w:cs="Calibri"/>
          <w:color w:val="000000"/>
          <w:lang w:val="pl-PL"/>
        </w:rPr>
        <w:t>stanowić po upływie kilku lat od zakończenia pracy w tych instytucjach.</w:t>
      </w:r>
    </w:p>
    <w:p w:rsidR="00B90CBB" w:rsidRDefault="00696800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696800">
        <w:rPr>
          <w:rFonts w:ascii="Calibri" w:hAnsi="Calibri" w:cs="Calibri"/>
          <w:color w:val="000000"/>
          <w:lang w:val="pl-PL"/>
        </w:rPr>
        <w:t xml:space="preserve">Z tego względu </w:t>
      </w:r>
      <w:r w:rsidR="005D056A" w:rsidRPr="00696800">
        <w:rPr>
          <w:rFonts w:ascii="Calibri" w:hAnsi="Calibri" w:cs="Calibri"/>
          <w:color w:val="000000"/>
          <w:lang w:val="pl-PL"/>
        </w:rPr>
        <w:t xml:space="preserve">Trybunał nie był przekonany, </w:t>
      </w:r>
      <w:r w:rsidR="0055009A">
        <w:rPr>
          <w:rFonts w:ascii="Calibri" w:hAnsi="Calibri" w:cs="Calibri"/>
          <w:color w:val="000000"/>
          <w:lang w:val="pl-PL"/>
        </w:rPr>
        <w:t>że</w:t>
      </w:r>
      <w:r w:rsidRPr="00696800">
        <w:rPr>
          <w:rFonts w:ascii="Calibri" w:hAnsi="Calibri" w:cs="Calibri"/>
          <w:color w:val="000000"/>
          <w:lang w:val="pl-PL"/>
        </w:rPr>
        <w:t xml:space="preserve"> zachodził związek </w:t>
      </w:r>
      <w:r w:rsidR="005D056A" w:rsidRPr="00696800">
        <w:rPr>
          <w:rFonts w:ascii="Calibri" w:hAnsi="Calibri" w:cs="Calibri"/>
          <w:color w:val="000000"/>
          <w:lang w:val="pl-PL"/>
        </w:rPr>
        <w:t>między u</w:t>
      </w:r>
      <w:r w:rsidR="00D74CC1" w:rsidRPr="00696800">
        <w:rPr>
          <w:rFonts w:ascii="Calibri" w:hAnsi="Calibri" w:cs="Calibri"/>
          <w:color w:val="000000"/>
          <w:lang w:val="pl-PL"/>
        </w:rPr>
        <w:t>prawnionymi</w:t>
      </w:r>
      <w:r w:rsidR="005D056A" w:rsidRPr="00696800">
        <w:rPr>
          <w:rFonts w:ascii="Calibri" w:hAnsi="Calibri" w:cs="Calibri"/>
          <w:color w:val="000000"/>
          <w:lang w:val="pl-PL"/>
        </w:rPr>
        <w:t xml:space="preserve"> celami ustawy ws. ujawnienia a publikacją informacji o wszystkich byłych pracownikach byłych służb</w:t>
      </w:r>
      <w:r w:rsidRPr="00696800">
        <w:rPr>
          <w:rFonts w:ascii="Calibri" w:hAnsi="Calibri" w:cs="Calibri"/>
          <w:color w:val="000000"/>
          <w:lang w:val="pl-PL"/>
        </w:rPr>
        <w:t xml:space="preserve"> bezpieczeństwa, w tym kierowcach</w:t>
      </w:r>
      <w:r w:rsidR="005D056A" w:rsidRPr="00696800">
        <w:rPr>
          <w:rFonts w:ascii="Calibri" w:hAnsi="Calibri" w:cs="Calibri"/>
          <w:color w:val="000000"/>
          <w:lang w:val="pl-PL"/>
        </w:rPr>
        <w:t>, bez względu na funkcję</w:t>
      </w:r>
      <w:r w:rsidR="00DB4244" w:rsidRPr="00696800">
        <w:rPr>
          <w:rFonts w:ascii="Calibri" w:hAnsi="Calibri" w:cs="Calibri"/>
          <w:color w:val="000000"/>
          <w:lang w:val="pl-PL"/>
        </w:rPr>
        <w:t>,</w:t>
      </w:r>
      <w:r w:rsidR="005D056A" w:rsidRPr="00696800">
        <w:rPr>
          <w:rFonts w:ascii="Calibri" w:hAnsi="Calibri" w:cs="Calibri"/>
          <w:color w:val="000000"/>
          <w:lang w:val="pl-PL"/>
        </w:rPr>
        <w:t xml:space="preserve"> jaką pełnili w tych instytucjach.</w:t>
      </w:r>
    </w:p>
    <w:p w:rsidR="00B90CBB" w:rsidRDefault="005D056A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4F42AE">
        <w:rPr>
          <w:rFonts w:ascii="Calibri" w:hAnsi="Calibri" w:cs="Calibri"/>
          <w:color w:val="000000"/>
          <w:lang w:val="pl-PL"/>
        </w:rPr>
        <w:lastRenderedPageBreak/>
        <w:t>Trybunał zauważył również, że choć powyższa ustawa weszła w życie w trzy i pół roku po ogłoszeni</w:t>
      </w:r>
      <w:r w:rsidR="00DB4244">
        <w:rPr>
          <w:rFonts w:ascii="Calibri" w:hAnsi="Calibri" w:cs="Calibri"/>
          <w:color w:val="000000"/>
          <w:lang w:val="pl-PL"/>
        </w:rPr>
        <w:t>u</w:t>
      </w:r>
      <w:r w:rsidRPr="004F42AE">
        <w:rPr>
          <w:rFonts w:ascii="Calibri" w:hAnsi="Calibri" w:cs="Calibri"/>
          <w:color w:val="000000"/>
          <w:lang w:val="pl-PL"/>
        </w:rPr>
        <w:t xml:space="preserve"> przez Estonię niepodległości, publikacja informacji o byłych pracownikach służb bezpieczeństwa została rozciągnięta na kilka lat. Trybunał był zdania, że jakkolwiek byli współpracownicy KGB mogli początkowo stanowić zagrożenie dla nowopowstałej</w:t>
      </w:r>
      <w:r w:rsidR="00D74CC1">
        <w:rPr>
          <w:rFonts w:ascii="Calibri" w:hAnsi="Calibri" w:cs="Calibri"/>
          <w:color w:val="000000"/>
          <w:lang w:val="pl-PL"/>
        </w:rPr>
        <w:t xml:space="preserve"> </w:t>
      </w:r>
      <w:r w:rsidRPr="004F42AE">
        <w:rPr>
          <w:rFonts w:ascii="Calibri" w:hAnsi="Calibri" w:cs="Calibri"/>
          <w:color w:val="000000"/>
          <w:lang w:val="pl-PL"/>
        </w:rPr>
        <w:t xml:space="preserve">demokracji, zagrożenie to </w:t>
      </w:r>
      <w:r w:rsidR="00DB4244" w:rsidRPr="004F42AE">
        <w:rPr>
          <w:rFonts w:ascii="Calibri" w:hAnsi="Calibri" w:cs="Calibri"/>
          <w:color w:val="000000"/>
          <w:lang w:val="pl-PL"/>
        </w:rPr>
        <w:t xml:space="preserve">jednak </w:t>
      </w:r>
      <w:r w:rsidRPr="004F42AE">
        <w:rPr>
          <w:rFonts w:ascii="Calibri" w:hAnsi="Calibri" w:cs="Calibri"/>
          <w:color w:val="000000"/>
          <w:lang w:val="pl-PL"/>
        </w:rPr>
        <w:t>znacznie zmniejszyło się wraz z upływem czasu.</w:t>
      </w:r>
      <w:r w:rsidR="00696800">
        <w:rPr>
          <w:rFonts w:ascii="Calibri" w:hAnsi="Calibri" w:cs="Calibri"/>
          <w:color w:val="000000"/>
          <w:lang w:val="pl-PL"/>
        </w:rPr>
        <w:t xml:space="preserve"> Informacja nt. skarżącego została zaś opublikowana dopiero po 13 latach od odzyskania niepodległości przez Estonię. </w:t>
      </w:r>
    </w:p>
    <w:p w:rsidR="00B90CBB" w:rsidRDefault="00807A61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>
        <w:rPr>
          <w:rFonts w:ascii="Calibri" w:hAnsi="Calibri" w:cs="Calibri"/>
          <w:color w:val="000000"/>
          <w:lang w:val="pl-PL"/>
        </w:rPr>
        <w:t>Choć u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stawa nie nakładała żadnych ograniczeń </w:t>
      </w:r>
      <w:r w:rsidR="005D056A" w:rsidRPr="00855372">
        <w:rPr>
          <w:rFonts w:ascii="Calibri" w:hAnsi="Calibri" w:cs="Calibri"/>
          <w:color w:val="000000"/>
          <w:lang w:val="pl-PL"/>
        </w:rPr>
        <w:t xml:space="preserve">w </w:t>
      </w:r>
      <w:r w:rsidR="00D74CC1" w:rsidRPr="00855372">
        <w:rPr>
          <w:rFonts w:ascii="Calibri" w:hAnsi="Calibri" w:cs="Calibri"/>
          <w:color w:val="000000"/>
          <w:lang w:val="pl-PL"/>
        </w:rPr>
        <w:t xml:space="preserve">odniesieniu do </w:t>
      </w:r>
      <w:r w:rsidR="005D056A" w:rsidRPr="00855372">
        <w:rPr>
          <w:rFonts w:ascii="Calibri" w:hAnsi="Calibri" w:cs="Calibri"/>
          <w:color w:val="000000"/>
          <w:lang w:val="pl-PL"/>
        </w:rPr>
        <w:t>zatrudnienia skarżącego</w:t>
      </w:r>
      <w:r w:rsidRPr="00855372">
        <w:rPr>
          <w:rFonts w:ascii="Calibri" w:hAnsi="Calibri" w:cs="Calibri"/>
          <w:color w:val="000000"/>
          <w:lang w:val="pl-PL"/>
        </w:rPr>
        <w:t>,</w:t>
      </w:r>
      <w:r>
        <w:rPr>
          <w:rFonts w:ascii="Calibri" w:hAnsi="Calibri" w:cs="Calibri"/>
          <w:color w:val="000000"/>
          <w:lang w:val="pl-PL"/>
        </w:rPr>
        <w:t xml:space="preserve"> t</w:t>
      </w:r>
      <w:r w:rsidR="00D74CC1">
        <w:rPr>
          <w:rFonts w:ascii="Calibri" w:hAnsi="Calibri" w:cs="Calibri"/>
          <w:color w:val="000000"/>
          <w:lang w:val="pl-PL"/>
        </w:rPr>
        <w:t>ym n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iemniej współpracownicy </w:t>
      </w:r>
      <w:r>
        <w:rPr>
          <w:rFonts w:ascii="Calibri" w:hAnsi="Calibri" w:cs="Calibri"/>
          <w:color w:val="000000"/>
          <w:lang w:val="pl-PL"/>
        </w:rPr>
        <w:t xml:space="preserve">skarżącego 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szydzili z niego i </w:t>
      </w:r>
      <w:r w:rsidR="00D74CC1">
        <w:rPr>
          <w:rFonts w:ascii="Calibri" w:hAnsi="Calibri" w:cs="Calibri"/>
          <w:color w:val="000000"/>
          <w:lang w:val="pl-PL"/>
        </w:rPr>
        <w:t xml:space="preserve">został </w:t>
      </w:r>
      <w:r w:rsidR="005D056A" w:rsidRPr="004F42AE">
        <w:rPr>
          <w:rFonts w:ascii="Calibri" w:hAnsi="Calibri" w:cs="Calibri"/>
          <w:color w:val="000000"/>
          <w:lang w:val="pl-PL"/>
        </w:rPr>
        <w:t>zmuszony do porzucenia pracy. Trybunał</w:t>
      </w:r>
      <w:r w:rsidR="00D74CC1">
        <w:rPr>
          <w:rFonts w:ascii="Calibri" w:hAnsi="Calibri" w:cs="Calibri"/>
          <w:color w:val="000000"/>
          <w:lang w:val="pl-PL"/>
        </w:rPr>
        <w:t xml:space="preserve"> uznał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, że nawet jeśli taki rezultat nie był </w:t>
      </w:r>
      <w:r>
        <w:rPr>
          <w:rFonts w:ascii="Calibri" w:hAnsi="Calibri" w:cs="Calibri"/>
          <w:color w:val="000000"/>
          <w:lang w:val="pl-PL"/>
        </w:rPr>
        <w:t xml:space="preserve">bezpośrednio </w:t>
      </w:r>
      <w:r w:rsidR="005D056A" w:rsidRPr="004F42AE">
        <w:rPr>
          <w:rFonts w:ascii="Calibri" w:hAnsi="Calibri" w:cs="Calibri"/>
          <w:color w:val="000000"/>
          <w:lang w:val="pl-PL"/>
        </w:rPr>
        <w:t xml:space="preserve">zamierzony przez ustawę, wskazuje </w:t>
      </w:r>
      <w:r>
        <w:rPr>
          <w:rFonts w:ascii="Calibri" w:hAnsi="Calibri" w:cs="Calibri"/>
          <w:color w:val="000000"/>
          <w:lang w:val="pl-PL"/>
        </w:rPr>
        <w:t xml:space="preserve">on </w:t>
      </w:r>
      <w:r w:rsidR="005D056A" w:rsidRPr="004F42AE">
        <w:rPr>
          <w:rFonts w:ascii="Calibri" w:hAnsi="Calibri" w:cs="Calibri"/>
          <w:color w:val="000000"/>
          <w:lang w:val="pl-PL"/>
        </w:rPr>
        <w:t>na powagę ingerencji w prawo skarżącego do poszanowania życia prywatnego</w:t>
      </w:r>
      <w:r w:rsidR="00B90CBB">
        <w:rPr>
          <w:rFonts w:ascii="Calibri" w:hAnsi="Calibri" w:cs="Calibri"/>
          <w:color w:val="000000"/>
          <w:lang w:val="pl-PL"/>
        </w:rPr>
        <w:t>.</w:t>
      </w:r>
      <w:r>
        <w:rPr>
          <w:rFonts w:ascii="Calibri" w:hAnsi="Calibri" w:cs="Calibri"/>
          <w:color w:val="000000"/>
          <w:lang w:val="pl-PL"/>
        </w:rPr>
        <w:t xml:space="preserve"> W rezultacie, Trybunał stwierdził</w:t>
      </w:r>
      <w:r w:rsidR="00FE338F">
        <w:rPr>
          <w:rFonts w:ascii="Calibri" w:hAnsi="Calibri" w:cs="Calibri"/>
          <w:color w:val="000000"/>
          <w:lang w:val="pl-PL"/>
        </w:rPr>
        <w:t xml:space="preserve"> większością głosów 4 do 3</w:t>
      </w:r>
      <w:r>
        <w:rPr>
          <w:rFonts w:ascii="Calibri" w:hAnsi="Calibri" w:cs="Calibri"/>
          <w:color w:val="000000"/>
          <w:lang w:val="pl-PL"/>
        </w:rPr>
        <w:t xml:space="preserve">, że ingerencja nie była proporcjonalna i doszło do naruszenia art. 8 Konwencji. </w:t>
      </w:r>
    </w:p>
    <w:p w:rsidR="005D056A" w:rsidRPr="004F42AE" w:rsidRDefault="005D056A" w:rsidP="00D83F4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4F42AE">
        <w:rPr>
          <w:rFonts w:ascii="Calibri" w:hAnsi="Calibri" w:cs="Calibri"/>
          <w:color w:val="000000"/>
          <w:lang w:val="pl-PL"/>
        </w:rPr>
        <w:t xml:space="preserve">Trybunał </w:t>
      </w:r>
      <w:r w:rsidR="00D73E31">
        <w:rPr>
          <w:rFonts w:ascii="Calibri" w:hAnsi="Calibri" w:cs="Calibri"/>
          <w:color w:val="000000"/>
          <w:lang w:val="pl-PL"/>
        </w:rPr>
        <w:t>zasądził na rzecz skarżącego kwotę</w:t>
      </w:r>
      <w:r w:rsidRPr="004F42AE">
        <w:rPr>
          <w:rFonts w:ascii="Calibri" w:hAnsi="Calibri" w:cs="Calibri"/>
          <w:color w:val="000000"/>
          <w:lang w:val="pl-PL"/>
        </w:rPr>
        <w:t xml:space="preserve"> 6</w:t>
      </w:r>
      <w:r w:rsidR="00D73E31">
        <w:rPr>
          <w:rFonts w:ascii="Calibri" w:hAnsi="Calibri" w:cs="Calibri"/>
          <w:color w:val="000000"/>
          <w:lang w:val="pl-PL"/>
        </w:rPr>
        <w:t>.</w:t>
      </w:r>
      <w:r w:rsidRPr="004F42AE">
        <w:rPr>
          <w:rFonts w:ascii="Calibri" w:hAnsi="Calibri" w:cs="Calibri"/>
          <w:color w:val="000000"/>
          <w:lang w:val="pl-PL"/>
        </w:rPr>
        <w:t xml:space="preserve">000 euro </w:t>
      </w:r>
      <w:r w:rsidR="00D73E31">
        <w:rPr>
          <w:rFonts w:ascii="Calibri" w:hAnsi="Calibri" w:cs="Calibri"/>
          <w:color w:val="000000"/>
          <w:lang w:val="pl-PL"/>
        </w:rPr>
        <w:t xml:space="preserve">tytułem </w:t>
      </w:r>
      <w:r w:rsidRPr="004F42AE">
        <w:rPr>
          <w:rFonts w:ascii="Calibri" w:hAnsi="Calibri" w:cs="Calibri"/>
          <w:color w:val="000000"/>
          <w:lang w:val="pl-PL"/>
        </w:rPr>
        <w:t>zadośćuczynienia i 1,444.74 EUR z tytułu kosztów i wydatków.</w:t>
      </w:r>
    </w:p>
    <w:p w:rsidR="005D056A" w:rsidRPr="0051426D" w:rsidRDefault="005D056A" w:rsidP="00855372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lang w:val="pl-PL"/>
        </w:rPr>
      </w:pPr>
      <w:r w:rsidRPr="0051426D">
        <w:rPr>
          <w:rFonts w:ascii="Calibri" w:hAnsi="Calibri" w:cs="Calibri"/>
          <w:lang w:val="pl-PL"/>
        </w:rPr>
        <w:t>Do wyroku dołączone są: zgodna opini</w:t>
      </w:r>
      <w:r w:rsidR="001F54BA" w:rsidRPr="0051426D">
        <w:rPr>
          <w:rFonts w:ascii="Calibri" w:hAnsi="Calibri" w:cs="Calibri"/>
          <w:lang w:val="pl-PL"/>
        </w:rPr>
        <w:t xml:space="preserve">a sędziego </w:t>
      </w:r>
      <w:proofErr w:type="spellStart"/>
      <w:r w:rsidR="001F54BA" w:rsidRPr="0051426D">
        <w:rPr>
          <w:rFonts w:ascii="Calibri" w:hAnsi="Calibri" w:cs="Calibri"/>
          <w:lang w:val="pl-PL"/>
        </w:rPr>
        <w:t>Pinto</w:t>
      </w:r>
      <w:proofErr w:type="spellEnd"/>
      <w:r w:rsidR="001F54BA" w:rsidRPr="0051426D">
        <w:rPr>
          <w:rFonts w:ascii="Calibri" w:hAnsi="Calibri" w:cs="Calibri"/>
          <w:lang w:val="pl-PL"/>
        </w:rPr>
        <w:t xml:space="preserve"> de Albuquerque, a także zdanie odrębne trzech</w:t>
      </w:r>
      <w:r w:rsidRPr="0051426D">
        <w:rPr>
          <w:rFonts w:ascii="Calibri" w:hAnsi="Calibri" w:cs="Calibri"/>
          <w:lang w:val="pl-PL"/>
        </w:rPr>
        <w:t xml:space="preserve"> sędziów (K. </w:t>
      </w:r>
      <w:proofErr w:type="spellStart"/>
      <w:r w:rsidRPr="0051426D">
        <w:rPr>
          <w:rFonts w:ascii="Calibri" w:hAnsi="Calibri" w:cs="Calibri"/>
          <w:lang w:val="pl-PL"/>
        </w:rPr>
        <w:t>Hajiyev</w:t>
      </w:r>
      <w:proofErr w:type="spellEnd"/>
      <w:r w:rsidRPr="0051426D">
        <w:rPr>
          <w:rFonts w:ascii="Calibri" w:hAnsi="Calibri" w:cs="Calibri"/>
          <w:lang w:val="pl-PL"/>
        </w:rPr>
        <w:t xml:space="preserve">, J. </w:t>
      </w:r>
      <w:proofErr w:type="spellStart"/>
      <w:r w:rsidRPr="0051426D">
        <w:rPr>
          <w:rFonts w:ascii="Calibri" w:hAnsi="Calibri" w:cs="Calibri"/>
          <w:lang w:val="pl-PL"/>
        </w:rPr>
        <w:t>Laffranque</w:t>
      </w:r>
      <w:proofErr w:type="spellEnd"/>
      <w:r w:rsidRPr="0051426D">
        <w:rPr>
          <w:rFonts w:ascii="Calibri" w:hAnsi="Calibri" w:cs="Calibri"/>
          <w:lang w:val="pl-PL"/>
        </w:rPr>
        <w:t xml:space="preserve"> i D. </w:t>
      </w:r>
      <w:proofErr w:type="spellStart"/>
      <w:r w:rsidRPr="0051426D">
        <w:rPr>
          <w:rFonts w:ascii="Calibri" w:hAnsi="Calibri" w:cs="Calibri"/>
          <w:lang w:val="pl-PL"/>
        </w:rPr>
        <w:t>Dedov</w:t>
      </w:r>
      <w:proofErr w:type="spellEnd"/>
      <w:r w:rsidRPr="0051426D">
        <w:rPr>
          <w:rFonts w:ascii="Calibri" w:hAnsi="Calibri" w:cs="Calibri"/>
          <w:lang w:val="pl-PL"/>
        </w:rPr>
        <w:t>)</w:t>
      </w:r>
      <w:r w:rsidR="001F54BA" w:rsidRPr="0051426D">
        <w:rPr>
          <w:rFonts w:ascii="Calibri" w:hAnsi="Calibri" w:cs="Calibri"/>
          <w:lang w:val="pl-PL"/>
        </w:rPr>
        <w:t xml:space="preserve">, którzy nie zgodzili się z tezą, iż doszło do naruszenia art. 8 Konwencji. </w:t>
      </w:r>
      <w:r w:rsidR="00057A61" w:rsidRPr="0051426D">
        <w:rPr>
          <w:rFonts w:ascii="Calibri" w:hAnsi="Calibri" w:cs="Calibri"/>
          <w:lang w:val="pl-PL"/>
        </w:rPr>
        <w:t xml:space="preserve">Podkreślali, że prawo estońskie zawiera wystarczające gwarancje. </w:t>
      </w:r>
      <w:r w:rsidR="00855372" w:rsidRPr="0051426D">
        <w:rPr>
          <w:rFonts w:ascii="Calibri" w:hAnsi="Calibri" w:cs="Calibri"/>
          <w:lang w:val="pl-PL"/>
        </w:rPr>
        <w:t>Zwrócili też uwagę na</w:t>
      </w:r>
      <w:r w:rsidR="00185071" w:rsidRPr="0051426D">
        <w:rPr>
          <w:rFonts w:ascii="Calibri" w:hAnsi="Calibri" w:cs="Calibri"/>
          <w:lang w:val="pl-PL"/>
        </w:rPr>
        <w:t xml:space="preserve"> w dalszym ciągu utrzymującą się potrzebę</w:t>
      </w:r>
      <w:r w:rsidR="00855372" w:rsidRPr="0051426D">
        <w:rPr>
          <w:rFonts w:ascii="Calibri" w:hAnsi="Calibri" w:cs="Calibri"/>
          <w:lang w:val="pl-PL"/>
        </w:rPr>
        <w:t xml:space="preserve"> rozliczania totalitarnej przeszłości</w:t>
      </w:r>
      <w:r w:rsidR="00743330" w:rsidRPr="0051426D">
        <w:rPr>
          <w:rFonts w:ascii="Calibri" w:hAnsi="Calibri" w:cs="Calibri"/>
          <w:lang w:val="pl-PL"/>
        </w:rPr>
        <w:t xml:space="preserve"> i przywołali w tym względzie dokumenty Zgromadzenia Parlamentarnego Rady Europy</w:t>
      </w:r>
      <w:r w:rsidR="00855372" w:rsidRPr="0051426D">
        <w:rPr>
          <w:rFonts w:ascii="Calibri" w:hAnsi="Calibri" w:cs="Calibri"/>
          <w:lang w:val="pl-PL"/>
        </w:rPr>
        <w:t>.</w:t>
      </w:r>
      <w:r w:rsidR="00743330" w:rsidRPr="0051426D">
        <w:rPr>
          <w:rFonts w:ascii="Calibri" w:hAnsi="Calibri" w:cs="Calibri"/>
          <w:lang w:val="pl-PL"/>
        </w:rPr>
        <w:t xml:space="preserve"> Ich zdaniem nie ma powodów, by uznać za niezgodną z wartościami Konwencji zwykłą publikację informacji (przy zastosowaniu odpowiednich gwarancji) stanowiącą niewątpliwie najłagodniejszą formę zindywidualizowanej moralnej dezaprobaty wobec współpracy z reżimami totalitarnymi.</w:t>
      </w:r>
    </w:p>
    <w:p w:rsidR="002D6CB3" w:rsidRPr="002D6CB3" w:rsidRDefault="002D6CB3" w:rsidP="00665941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Calibri" w:hAnsi="Calibri" w:cs="Calibri"/>
          <w:color w:val="000000"/>
          <w:lang w:val="pl-PL"/>
        </w:rPr>
      </w:pPr>
      <w:r w:rsidRPr="00D342BB">
        <w:rPr>
          <w:rFonts w:ascii="Calibri" w:hAnsi="Calibri" w:cs="Calibri"/>
          <w:color w:val="000000"/>
          <w:u w:val="single"/>
          <w:lang w:val="pl-PL"/>
        </w:rPr>
        <w:t xml:space="preserve">Znaczenie wyroku dla Polski </w:t>
      </w:r>
      <w:r w:rsidRPr="00D342BB">
        <w:rPr>
          <w:rFonts w:ascii="Calibri" w:hAnsi="Calibri" w:cs="Calibri"/>
          <w:color w:val="000000"/>
          <w:lang w:val="pl-PL"/>
        </w:rPr>
        <w:t>– wyrok został przyjęty większością zaledwie jednego głosu, z tego względu na tym etapie nie można wykluczyć, że może być on jeszcze przedmiotem ewentualnych postępowań przed Wielką Izbą Trybunału. W razie gdyby wyrok stał się ostateczny, warto będzie przeanalizować w jego świetle przepisy lustracyjne obowiązując</w:t>
      </w:r>
      <w:r w:rsidR="00427D36" w:rsidRPr="00D342BB">
        <w:rPr>
          <w:rFonts w:ascii="Calibri" w:hAnsi="Calibri" w:cs="Calibri"/>
          <w:color w:val="000000"/>
          <w:lang w:val="pl-PL"/>
        </w:rPr>
        <w:t>e</w:t>
      </w:r>
      <w:r w:rsidRPr="00D342BB">
        <w:rPr>
          <w:rFonts w:ascii="Calibri" w:hAnsi="Calibri" w:cs="Calibri"/>
          <w:color w:val="000000"/>
          <w:lang w:val="pl-PL"/>
        </w:rPr>
        <w:t xml:space="preserve"> w Polsce.</w:t>
      </w:r>
      <w:r w:rsidRPr="002D6CB3">
        <w:rPr>
          <w:rFonts w:ascii="Calibri" w:hAnsi="Calibri" w:cs="Calibri"/>
          <w:color w:val="000000"/>
          <w:lang w:val="pl-PL"/>
        </w:rPr>
        <w:t xml:space="preserve"> </w:t>
      </w:r>
    </w:p>
    <w:p w:rsidR="00A36458" w:rsidRPr="008831FD" w:rsidRDefault="00A36458" w:rsidP="00A36458">
      <w:pPr>
        <w:pStyle w:val="Nagwek2"/>
        <w:numPr>
          <w:ilvl w:val="0"/>
          <w:numId w:val="1"/>
        </w:numPr>
      </w:pPr>
      <w:bookmarkStart w:id="10" w:name="_Toc432502268"/>
      <w:r w:rsidRPr="008831FD">
        <w:t>R.H. p. Szwecji (skarga nr 4601/14), wyrok Izby z 10.09.2015 r.</w:t>
      </w:r>
      <w:r w:rsidR="00840FD8" w:rsidRPr="008831FD">
        <w:t>,</w:t>
      </w:r>
      <w:r w:rsidRPr="008831FD">
        <w:t xml:space="preserve"> nieostateczny</w:t>
      </w:r>
      <w:bookmarkEnd w:id="10"/>
    </w:p>
    <w:p w:rsidR="005C2778" w:rsidRDefault="00CB6357" w:rsidP="00641F13">
      <w:pPr>
        <w:keepNext/>
        <w:keepLines/>
        <w:spacing w:after="60" w:line="240" w:lineRule="auto"/>
        <w:jc w:val="both"/>
        <w:outlineLvl w:val="2"/>
        <w:rPr>
          <w:rFonts w:eastAsiaTheme="majorEastAsia" w:cstheme="majorBidi"/>
          <w:b/>
          <w:bCs/>
          <w:color w:val="000000" w:themeColor="text1"/>
          <w:lang w:val="pl-PL"/>
        </w:rPr>
      </w:pPr>
      <w:bookmarkStart w:id="11" w:name="_Toc432502269"/>
      <w:r w:rsidRPr="006E4659">
        <w:rPr>
          <w:rFonts w:eastAsiaTheme="majorEastAsia" w:cstheme="majorBidi"/>
          <w:b/>
          <w:bCs/>
          <w:color w:val="000000" w:themeColor="text1"/>
          <w:lang w:val="pl-PL"/>
        </w:rPr>
        <w:t xml:space="preserve">- </w:t>
      </w:r>
      <w:r w:rsidR="00855372">
        <w:rPr>
          <w:rFonts w:eastAsiaTheme="majorEastAsia" w:cstheme="majorBidi"/>
          <w:b/>
          <w:bCs/>
          <w:color w:val="000000" w:themeColor="text1"/>
          <w:lang w:val="pl-PL"/>
        </w:rPr>
        <w:t>b</w:t>
      </w:r>
      <w:r w:rsidR="00A36458" w:rsidRPr="006E4659">
        <w:rPr>
          <w:rFonts w:eastAsiaTheme="majorEastAsia" w:cstheme="majorBidi"/>
          <w:b/>
          <w:bCs/>
          <w:color w:val="000000" w:themeColor="text1"/>
          <w:lang w:val="pl-PL"/>
        </w:rPr>
        <w:t xml:space="preserve">rak naruszenia przez Szwecję art. 3 Konwencji </w:t>
      </w:r>
      <w:r w:rsidR="00855372">
        <w:rPr>
          <w:rFonts w:eastAsiaTheme="majorEastAsia" w:cstheme="majorBidi"/>
          <w:b/>
          <w:bCs/>
          <w:color w:val="000000" w:themeColor="text1"/>
          <w:lang w:val="pl-PL"/>
        </w:rPr>
        <w:t xml:space="preserve">(zakaz tortur) </w:t>
      </w:r>
      <w:r w:rsidR="00A36458" w:rsidRPr="006E4659">
        <w:rPr>
          <w:rFonts w:eastAsiaTheme="majorEastAsia" w:cstheme="majorBidi"/>
          <w:b/>
          <w:bCs/>
          <w:color w:val="000000" w:themeColor="text1"/>
          <w:lang w:val="pl-PL"/>
        </w:rPr>
        <w:t>w sprawie dotyczącej odmowy przyznania skarżą</w:t>
      </w:r>
      <w:r w:rsidR="00EA461E">
        <w:rPr>
          <w:rFonts w:eastAsiaTheme="majorEastAsia" w:cstheme="majorBidi"/>
          <w:b/>
          <w:bCs/>
          <w:color w:val="000000" w:themeColor="text1"/>
          <w:lang w:val="pl-PL"/>
        </w:rPr>
        <w:t>cej azylu na terytorium Szwecji</w:t>
      </w:r>
      <w:r w:rsidR="00A36458" w:rsidRPr="006E4659">
        <w:rPr>
          <w:rFonts w:eastAsiaTheme="majorEastAsia" w:cstheme="majorBidi"/>
          <w:b/>
          <w:bCs/>
          <w:color w:val="000000" w:themeColor="text1"/>
          <w:lang w:val="pl-PL"/>
        </w:rPr>
        <w:t xml:space="preserve"> przy równoczesnym nakazie powrotu do kr</w:t>
      </w:r>
      <w:r w:rsidR="00542E5C">
        <w:rPr>
          <w:rFonts w:eastAsiaTheme="majorEastAsia" w:cstheme="majorBidi"/>
          <w:b/>
          <w:bCs/>
          <w:color w:val="000000" w:themeColor="text1"/>
          <w:lang w:val="pl-PL"/>
        </w:rPr>
        <w:t>aju pochodzenia tj. do Somalii;</w:t>
      </w:r>
      <w:bookmarkEnd w:id="11"/>
    </w:p>
    <w:p w:rsidR="00A36458" w:rsidRPr="006E4659" w:rsidRDefault="005C2778" w:rsidP="006E4659">
      <w:pPr>
        <w:keepNext/>
        <w:keepLines/>
        <w:spacing w:after="240" w:line="240" w:lineRule="auto"/>
        <w:jc w:val="both"/>
        <w:outlineLvl w:val="2"/>
        <w:rPr>
          <w:rFonts w:eastAsiaTheme="majorEastAsia" w:cstheme="majorBidi"/>
          <w:b/>
          <w:bCs/>
          <w:color w:val="000000" w:themeColor="text1"/>
          <w:lang w:val="pl-PL"/>
        </w:rPr>
      </w:pPr>
      <w:bookmarkStart w:id="12" w:name="_Toc432502270"/>
      <w:r>
        <w:rPr>
          <w:rFonts w:eastAsiaTheme="majorEastAsia" w:cstheme="majorBidi"/>
          <w:b/>
          <w:bCs/>
          <w:color w:val="000000" w:themeColor="text1"/>
          <w:lang w:val="pl-PL"/>
        </w:rPr>
        <w:t xml:space="preserve">- </w:t>
      </w:r>
      <w:r w:rsidR="00F31FB5">
        <w:rPr>
          <w:rFonts w:eastAsiaTheme="majorEastAsia" w:cstheme="majorBidi"/>
          <w:b/>
          <w:bCs/>
          <w:color w:val="000000" w:themeColor="text1"/>
          <w:lang w:val="pl-PL"/>
        </w:rPr>
        <w:t xml:space="preserve">zobowiązanie rządu szwedzkiego </w:t>
      </w:r>
      <w:r w:rsidR="00A36458" w:rsidRPr="006E4659">
        <w:rPr>
          <w:rFonts w:eastAsiaTheme="majorEastAsia" w:cstheme="majorBidi"/>
          <w:b/>
          <w:bCs/>
          <w:color w:val="000000" w:themeColor="text1"/>
          <w:lang w:val="pl-PL"/>
        </w:rPr>
        <w:t xml:space="preserve">na podstawie </w:t>
      </w:r>
      <w:r w:rsidR="00855372">
        <w:rPr>
          <w:rFonts w:eastAsiaTheme="majorEastAsia" w:cstheme="majorBidi"/>
          <w:b/>
          <w:bCs/>
          <w:color w:val="000000" w:themeColor="text1"/>
          <w:lang w:val="pl-PL"/>
        </w:rPr>
        <w:t xml:space="preserve">art. </w:t>
      </w:r>
      <w:r w:rsidR="00A36458" w:rsidRPr="006E4659">
        <w:rPr>
          <w:rFonts w:eastAsiaTheme="majorEastAsia" w:cstheme="majorBidi"/>
          <w:b/>
          <w:bCs/>
          <w:color w:val="000000" w:themeColor="text1"/>
          <w:lang w:val="pl-PL"/>
        </w:rPr>
        <w:t xml:space="preserve">39 </w:t>
      </w:r>
      <w:r>
        <w:rPr>
          <w:rFonts w:eastAsiaTheme="majorEastAsia" w:cstheme="majorBidi"/>
          <w:b/>
          <w:bCs/>
          <w:color w:val="000000" w:themeColor="text1"/>
          <w:lang w:val="pl-PL"/>
        </w:rPr>
        <w:t xml:space="preserve">Regulaminu Trybunału </w:t>
      </w:r>
      <w:r w:rsidR="00145AF8">
        <w:rPr>
          <w:rFonts w:eastAsiaTheme="majorEastAsia" w:cstheme="majorBidi"/>
          <w:b/>
          <w:bCs/>
          <w:color w:val="000000" w:themeColor="text1"/>
          <w:lang w:val="pl-PL"/>
        </w:rPr>
        <w:t>(zar</w:t>
      </w:r>
      <w:r w:rsidR="00B61C5F">
        <w:rPr>
          <w:rFonts w:eastAsiaTheme="majorEastAsia" w:cstheme="majorBidi"/>
          <w:b/>
          <w:bCs/>
          <w:color w:val="000000" w:themeColor="text1"/>
          <w:lang w:val="pl-PL"/>
        </w:rPr>
        <w:t>ządzenia tymczasowe</w:t>
      </w:r>
      <w:r w:rsidR="00145AF8">
        <w:rPr>
          <w:rFonts w:eastAsiaTheme="majorEastAsia" w:cstheme="majorBidi"/>
          <w:b/>
          <w:bCs/>
          <w:color w:val="000000" w:themeColor="text1"/>
          <w:lang w:val="pl-PL"/>
        </w:rPr>
        <w:t xml:space="preserve">) </w:t>
      </w:r>
      <w:r w:rsidR="00A36458" w:rsidRPr="006E4659">
        <w:rPr>
          <w:rFonts w:eastAsiaTheme="majorEastAsia" w:cstheme="majorBidi"/>
          <w:b/>
          <w:bCs/>
          <w:color w:val="000000" w:themeColor="text1"/>
          <w:lang w:val="pl-PL"/>
        </w:rPr>
        <w:t>do wstrzymania się z deportacją skarżącej do czasu</w:t>
      </w:r>
      <w:r w:rsidR="002632B7">
        <w:rPr>
          <w:rFonts w:eastAsiaTheme="majorEastAsia" w:cstheme="majorBidi"/>
          <w:b/>
          <w:bCs/>
          <w:color w:val="000000" w:themeColor="text1"/>
          <w:lang w:val="pl-PL"/>
        </w:rPr>
        <w:t>, w którym wyrok Trybunału stanie się ostateczny</w:t>
      </w:r>
      <w:bookmarkEnd w:id="12"/>
    </w:p>
    <w:p w:rsidR="00A36458" w:rsidRPr="00B931C5" w:rsidRDefault="00A36458" w:rsidP="00D83F4B">
      <w:pPr>
        <w:spacing w:after="120" w:line="240" w:lineRule="auto"/>
        <w:jc w:val="both"/>
        <w:rPr>
          <w:rFonts w:eastAsia="Times New Roman Bold" w:cs="Times New Roman"/>
          <w:color w:val="222222"/>
          <w:u w:val="single" w:color="222222"/>
          <w:lang w:val="pl-PL"/>
        </w:rPr>
      </w:pPr>
      <w:r w:rsidRPr="00B931C5">
        <w:rPr>
          <w:rFonts w:cs="Times New Roman"/>
          <w:color w:val="222222"/>
          <w:u w:val="single" w:color="222222"/>
          <w:lang w:val="pl-PL"/>
        </w:rPr>
        <w:t>Stan faktyczny i zarzuty skarżące</w:t>
      </w:r>
      <w:r w:rsidR="00EA461E">
        <w:rPr>
          <w:rFonts w:cs="Times New Roman"/>
          <w:color w:val="222222"/>
          <w:u w:val="single" w:color="222222"/>
          <w:lang w:val="pl-PL"/>
        </w:rPr>
        <w:t>j</w:t>
      </w:r>
    </w:p>
    <w:p w:rsidR="004E215F" w:rsidRDefault="00A36458" w:rsidP="00D83F4B">
      <w:pPr>
        <w:spacing w:after="120" w:line="240" w:lineRule="auto"/>
        <w:jc w:val="both"/>
        <w:rPr>
          <w:rFonts w:cs="Times New Roman"/>
          <w:color w:val="222222"/>
          <w:u w:color="222222"/>
          <w:lang w:val="pl-PL"/>
        </w:rPr>
      </w:pPr>
      <w:r w:rsidRPr="00B931C5">
        <w:rPr>
          <w:rFonts w:cs="Times New Roman"/>
          <w:color w:val="222222"/>
          <w:u w:color="222222"/>
          <w:lang w:val="pl-PL"/>
        </w:rPr>
        <w:t xml:space="preserve">Skarżąca jest obywatelką Somalii. </w:t>
      </w:r>
      <w:r w:rsidR="004E215F">
        <w:rPr>
          <w:rFonts w:cs="Times New Roman"/>
          <w:color w:val="222222"/>
          <w:u w:color="222222"/>
          <w:lang w:val="pl-PL"/>
        </w:rPr>
        <w:t xml:space="preserve">Pod koniec </w:t>
      </w:r>
      <w:r w:rsidRPr="00B931C5">
        <w:rPr>
          <w:rFonts w:cs="Times New Roman"/>
          <w:color w:val="222222"/>
          <w:u w:color="222222"/>
          <w:lang w:val="pl-PL"/>
        </w:rPr>
        <w:t xml:space="preserve">grudnia 2011 r. złożyła ona wniosek do </w:t>
      </w:r>
      <w:r w:rsidR="00427D36">
        <w:rPr>
          <w:rFonts w:cs="Times New Roman"/>
          <w:color w:val="222222"/>
          <w:u w:color="222222"/>
          <w:lang w:val="pl-PL"/>
        </w:rPr>
        <w:t xml:space="preserve">szwedzkiego </w:t>
      </w:r>
      <w:r w:rsidRPr="00B931C5">
        <w:rPr>
          <w:rFonts w:cs="Times New Roman"/>
          <w:color w:val="222222"/>
          <w:u w:color="222222"/>
          <w:lang w:val="pl-PL"/>
        </w:rPr>
        <w:t>Urzędu Imigracyjnego o udzielenie jej azylu i przyznanie prawa stałego pobytu na terenie Szwecji</w:t>
      </w:r>
      <w:r w:rsidR="00122A3C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zaznaczając, że przyjechała do Szwecji 11 grudnia 2011 r. Podczas przesłuchania w Urzędzie Imigracyjnym została poinformowana, iż z systemu rozpoznawania odcisków palców EURODAC wynika, że składała wniosek o azyl w Holandii w grudniu 2006 r. Skarżąca przyznała, ze przyjechała do Szwecji w 2007 r. i od tej pory przebywa</w:t>
      </w:r>
      <w:r w:rsidR="004E215F">
        <w:rPr>
          <w:rFonts w:cs="Times New Roman"/>
          <w:color w:val="222222"/>
          <w:u w:color="222222"/>
          <w:lang w:val="pl-PL"/>
        </w:rPr>
        <w:t>ła</w:t>
      </w:r>
      <w:r w:rsidRPr="00B931C5">
        <w:rPr>
          <w:rFonts w:cs="Times New Roman"/>
          <w:color w:val="222222"/>
          <w:u w:color="222222"/>
          <w:lang w:val="pl-PL"/>
        </w:rPr>
        <w:t xml:space="preserve"> nielegalnie</w:t>
      </w:r>
      <w:r w:rsidR="001A3FB4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ponieważ obawiała się, że władze Szwecji odeślą ja do Holandii, a następnie do Włoch, gdz</w:t>
      </w:r>
      <w:r w:rsidR="004E215F">
        <w:rPr>
          <w:rFonts w:cs="Times New Roman"/>
          <w:color w:val="222222"/>
          <w:u w:color="222222"/>
          <w:lang w:val="pl-PL"/>
        </w:rPr>
        <w:t>ie nie miałaby</w:t>
      </w:r>
      <w:r w:rsidRPr="00B931C5">
        <w:rPr>
          <w:rFonts w:cs="Times New Roman"/>
          <w:color w:val="222222"/>
          <w:u w:color="222222"/>
          <w:lang w:val="pl-PL"/>
        </w:rPr>
        <w:t xml:space="preserve"> domu i możliwości utrzymania się, </w:t>
      </w:r>
      <w:r w:rsidR="000C38D7">
        <w:rPr>
          <w:rFonts w:cs="Times New Roman"/>
          <w:color w:val="222222"/>
          <w:u w:color="222222"/>
          <w:lang w:val="pl-PL"/>
        </w:rPr>
        <w:t xml:space="preserve">podczas gdy </w:t>
      </w:r>
      <w:r w:rsidRPr="00B931C5">
        <w:rPr>
          <w:rFonts w:cs="Times New Roman"/>
          <w:color w:val="222222"/>
          <w:u w:color="222222"/>
          <w:lang w:val="pl-PL"/>
        </w:rPr>
        <w:t xml:space="preserve">w Szwecji ma kuzynów. Ponieważ skarżąca złożyła wniosek o azyl w Holandii pod innym nazwiskiem i podając inną datę urodzenia, Urząd Imigracyjny zwrócił się do władz Holandii o przyjęcie jej zgodnie z przepisami Rozporządzenia nr 343/2003/WE (tzw. Dublin II). </w:t>
      </w:r>
      <w:r w:rsidRPr="00E17277">
        <w:rPr>
          <w:rFonts w:cs="Times New Roman"/>
          <w:color w:val="222222"/>
          <w:u w:color="222222"/>
          <w:lang w:val="pl-PL"/>
        </w:rPr>
        <w:t>Władze Holandii odmówiły</w:t>
      </w:r>
      <w:r w:rsidR="000C38D7" w:rsidRPr="00E17277">
        <w:rPr>
          <w:rFonts w:cs="Times New Roman"/>
          <w:color w:val="222222"/>
          <w:u w:color="222222"/>
          <w:lang w:val="pl-PL"/>
        </w:rPr>
        <w:t>, gdyż</w:t>
      </w:r>
      <w:r w:rsidRPr="00E17277">
        <w:rPr>
          <w:rFonts w:cs="Times New Roman"/>
          <w:color w:val="222222"/>
          <w:u w:color="222222"/>
          <w:lang w:val="pl-PL"/>
        </w:rPr>
        <w:t xml:space="preserve"> skarżąca wcześniej, pod nieco zmienionym nazwiskiem, składała wniosek o azyl we Włoszech. W</w:t>
      </w:r>
      <w:r w:rsidRPr="00B931C5">
        <w:rPr>
          <w:rFonts w:cs="Times New Roman"/>
          <w:color w:val="222222"/>
          <w:u w:color="222222"/>
          <w:lang w:val="pl-PL"/>
        </w:rPr>
        <w:t xml:space="preserve"> </w:t>
      </w:r>
      <w:r w:rsidR="001A3FB4">
        <w:rPr>
          <w:rFonts w:cs="Times New Roman"/>
          <w:color w:val="222222"/>
          <w:u w:color="222222"/>
          <w:lang w:val="pl-PL"/>
        </w:rPr>
        <w:t xml:space="preserve">tej sytuacji </w:t>
      </w:r>
      <w:r w:rsidRPr="00B931C5">
        <w:rPr>
          <w:rFonts w:cs="Times New Roman"/>
          <w:color w:val="222222"/>
          <w:u w:color="222222"/>
          <w:lang w:val="pl-PL"/>
        </w:rPr>
        <w:t xml:space="preserve">zwrócono się do władz </w:t>
      </w:r>
      <w:r w:rsidR="001A3FB4">
        <w:rPr>
          <w:rFonts w:cs="Times New Roman"/>
          <w:color w:val="222222"/>
          <w:u w:color="222222"/>
          <w:lang w:val="pl-PL"/>
        </w:rPr>
        <w:t xml:space="preserve">włoskich </w:t>
      </w:r>
      <w:r w:rsidRPr="00B931C5">
        <w:rPr>
          <w:rFonts w:cs="Times New Roman"/>
          <w:color w:val="222222"/>
          <w:u w:color="222222"/>
          <w:lang w:val="pl-PL"/>
        </w:rPr>
        <w:t xml:space="preserve">o przyjęcie skarżącej, nie udzieliły </w:t>
      </w:r>
      <w:r w:rsidR="001A3FB4">
        <w:rPr>
          <w:rFonts w:cs="Times New Roman"/>
          <w:color w:val="222222"/>
          <w:u w:color="222222"/>
          <w:lang w:val="pl-PL"/>
        </w:rPr>
        <w:t xml:space="preserve">one jednak </w:t>
      </w:r>
      <w:r w:rsidRPr="00B931C5">
        <w:rPr>
          <w:rFonts w:cs="Times New Roman"/>
          <w:color w:val="222222"/>
          <w:u w:color="222222"/>
          <w:lang w:val="pl-PL"/>
        </w:rPr>
        <w:t xml:space="preserve">odpowiedzi </w:t>
      </w:r>
      <w:r w:rsidRPr="00B931C5">
        <w:rPr>
          <w:rFonts w:cs="Times New Roman"/>
          <w:color w:val="222222"/>
          <w:u w:color="222222"/>
          <w:lang w:val="pl-PL"/>
        </w:rPr>
        <w:lastRenderedPageBreak/>
        <w:t>w wyznaczonym</w:t>
      </w:r>
      <w:r w:rsidR="001A3FB4" w:rsidRPr="001A3FB4">
        <w:rPr>
          <w:rFonts w:cs="Times New Roman"/>
          <w:color w:val="222222"/>
          <w:u w:color="222222"/>
          <w:lang w:val="pl-PL"/>
        </w:rPr>
        <w:t xml:space="preserve"> </w:t>
      </w:r>
      <w:r w:rsidR="001A3FB4" w:rsidRPr="00B931C5">
        <w:rPr>
          <w:rFonts w:cs="Times New Roman"/>
          <w:color w:val="222222"/>
          <w:u w:color="222222"/>
          <w:lang w:val="pl-PL"/>
        </w:rPr>
        <w:t>terminie</w:t>
      </w:r>
      <w:r w:rsidR="001A3FB4">
        <w:rPr>
          <w:rFonts w:cs="Times New Roman"/>
          <w:color w:val="222222"/>
          <w:u w:color="222222"/>
          <w:lang w:val="pl-PL"/>
        </w:rPr>
        <w:t>.</w:t>
      </w:r>
      <w:r w:rsidRPr="00B931C5">
        <w:rPr>
          <w:rFonts w:cs="Times New Roman"/>
          <w:color w:val="222222"/>
          <w:u w:color="222222"/>
          <w:lang w:val="pl-PL"/>
        </w:rPr>
        <w:t xml:space="preserve"> </w:t>
      </w:r>
      <w:r w:rsidR="001A3FB4">
        <w:rPr>
          <w:rFonts w:cs="Times New Roman"/>
          <w:color w:val="222222"/>
          <w:u w:color="222222"/>
          <w:lang w:val="pl-PL"/>
        </w:rPr>
        <w:t>W</w:t>
      </w:r>
      <w:r w:rsidRPr="00B931C5">
        <w:rPr>
          <w:rFonts w:cs="Times New Roman"/>
          <w:color w:val="222222"/>
          <w:u w:color="222222"/>
          <w:lang w:val="pl-PL"/>
        </w:rPr>
        <w:t xml:space="preserve"> związku z </w:t>
      </w:r>
      <w:r w:rsidR="001A3FB4">
        <w:rPr>
          <w:rFonts w:cs="Times New Roman"/>
          <w:color w:val="222222"/>
          <w:u w:color="222222"/>
          <w:lang w:val="pl-PL"/>
        </w:rPr>
        <w:t>powyższym</w:t>
      </w:r>
      <w:r w:rsidRPr="00B931C5">
        <w:rPr>
          <w:rFonts w:cs="Times New Roman"/>
          <w:color w:val="222222"/>
          <w:u w:color="222222"/>
          <w:lang w:val="pl-PL"/>
        </w:rPr>
        <w:t xml:space="preserve"> uznano na podstawie art. 20 (1) c Rozporządzenia Dublin II, że wyrażają </w:t>
      </w:r>
      <w:r w:rsidR="001A3FB4">
        <w:rPr>
          <w:rFonts w:cs="Times New Roman"/>
          <w:color w:val="222222"/>
          <w:u w:color="222222"/>
          <w:lang w:val="pl-PL"/>
        </w:rPr>
        <w:t xml:space="preserve">one </w:t>
      </w:r>
      <w:r w:rsidRPr="00B931C5">
        <w:rPr>
          <w:rFonts w:cs="Times New Roman"/>
          <w:color w:val="222222"/>
          <w:u w:color="222222"/>
          <w:lang w:val="pl-PL"/>
        </w:rPr>
        <w:t xml:space="preserve">zgodę na przyjęcie skarżącej. </w:t>
      </w:r>
      <w:r w:rsidR="001A3FB4">
        <w:rPr>
          <w:rFonts w:cs="Times New Roman"/>
          <w:color w:val="222222"/>
          <w:u w:color="222222"/>
          <w:lang w:val="pl-PL"/>
        </w:rPr>
        <w:t xml:space="preserve">Dnia </w:t>
      </w:r>
      <w:r w:rsidRPr="00B931C5">
        <w:rPr>
          <w:rFonts w:cs="Times New Roman"/>
          <w:color w:val="222222"/>
          <w:u w:color="222222"/>
          <w:lang w:val="pl-PL"/>
        </w:rPr>
        <w:t xml:space="preserve">24 kwietnia 2012 r. </w:t>
      </w:r>
      <w:r w:rsidR="001A3FB4" w:rsidRPr="00E17277">
        <w:rPr>
          <w:rFonts w:cs="Times New Roman"/>
          <w:color w:val="222222"/>
          <w:u w:color="222222"/>
          <w:lang w:val="pl-PL"/>
        </w:rPr>
        <w:t>szwedzki</w:t>
      </w:r>
      <w:r w:rsidR="001A3FB4">
        <w:rPr>
          <w:rFonts w:cs="Times New Roman"/>
          <w:color w:val="222222"/>
          <w:u w:color="222222"/>
          <w:lang w:val="pl-PL"/>
        </w:rPr>
        <w:t xml:space="preserve"> </w:t>
      </w:r>
      <w:r w:rsidRPr="00B931C5">
        <w:rPr>
          <w:rFonts w:cs="Times New Roman"/>
          <w:color w:val="222222"/>
          <w:u w:color="222222"/>
          <w:lang w:val="pl-PL"/>
        </w:rPr>
        <w:t xml:space="preserve">Urząd Migracyjny odrzucił wniosek </w:t>
      </w:r>
      <w:r w:rsidR="001A3FB4">
        <w:rPr>
          <w:rFonts w:cs="Times New Roman"/>
          <w:color w:val="222222"/>
          <w:u w:color="222222"/>
          <w:lang w:val="pl-PL"/>
        </w:rPr>
        <w:t xml:space="preserve">skarżącej </w:t>
      </w:r>
      <w:r w:rsidRPr="00B931C5">
        <w:rPr>
          <w:rFonts w:cs="Times New Roman"/>
          <w:color w:val="222222"/>
          <w:u w:color="222222"/>
          <w:lang w:val="pl-PL"/>
        </w:rPr>
        <w:t xml:space="preserve">o przyznanie azylu i wydał decyzję nakazującą </w:t>
      </w:r>
      <w:r w:rsidR="001A3FB4">
        <w:rPr>
          <w:rFonts w:cs="Times New Roman"/>
          <w:color w:val="222222"/>
          <w:u w:color="222222"/>
          <w:lang w:val="pl-PL"/>
        </w:rPr>
        <w:t xml:space="preserve">jej </w:t>
      </w:r>
      <w:r w:rsidRPr="00B931C5">
        <w:rPr>
          <w:rFonts w:cs="Times New Roman"/>
          <w:color w:val="222222"/>
          <w:u w:color="222222"/>
          <w:lang w:val="pl-PL"/>
        </w:rPr>
        <w:t xml:space="preserve">transfer do Włoch. </w:t>
      </w:r>
    </w:p>
    <w:p w:rsidR="00A36458" w:rsidRPr="00B931C5" w:rsidRDefault="00A36458" w:rsidP="00D83F4B">
      <w:pPr>
        <w:spacing w:after="120" w:line="240" w:lineRule="auto"/>
        <w:jc w:val="both"/>
        <w:rPr>
          <w:rFonts w:cs="Times New Roman"/>
          <w:color w:val="222222"/>
          <w:u w:color="222222"/>
          <w:lang w:val="pl-PL"/>
        </w:rPr>
      </w:pPr>
      <w:r w:rsidRPr="00B931C5">
        <w:rPr>
          <w:rFonts w:cs="Times New Roman"/>
          <w:color w:val="222222"/>
          <w:u w:color="222222"/>
          <w:lang w:val="pl-PL"/>
        </w:rPr>
        <w:t>W związku z przedawnieniem</w:t>
      </w:r>
      <w:r w:rsidR="004E215F">
        <w:rPr>
          <w:rFonts w:cs="Times New Roman"/>
          <w:color w:val="222222"/>
          <w:u w:color="222222"/>
          <w:lang w:val="pl-PL"/>
        </w:rPr>
        <w:t xml:space="preserve"> tej</w:t>
      </w:r>
      <w:r w:rsidRPr="00B931C5">
        <w:rPr>
          <w:rFonts w:cs="Times New Roman"/>
          <w:color w:val="222222"/>
          <w:u w:color="222222"/>
          <w:lang w:val="pl-PL"/>
        </w:rPr>
        <w:t xml:space="preserve"> decyzji </w:t>
      </w:r>
      <w:r w:rsidRPr="00E17277">
        <w:rPr>
          <w:rFonts w:cs="Times New Roman"/>
          <w:color w:val="222222"/>
          <w:u w:color="222222"/>
          <w:lang w:val="pl-PL"/>
        </w:rPr>
        <w:t>przed</w:t>
      </w:r>
      <w:r w:rsidR="00ED4BB5">
        <w:rPr>
          <w:rFonts w:cs="Times New Roman"/>
          <w:color w:val="222222"/>
          <w:u w:color="222222"/>
          <w:lang w:val="pl-PL"/>
        </w:rPr>
        <w:t xml:space="preserve"> </w:t>
      </w:r>
      <w:r w:rsidRPr="00E17277">
        <w:rPr>
          <w:rFonts w:cs="Times New Roman"/>
          <w:color w:val="222222"/>
          <w:u w:color="222222"/>
          <w:lang w:val="pl-PL"/>
        </w:rPr>
        <w:t xml:space="preserve">dokonaniem transferu, </w:t>
      </w:r>
      <w:r w:rsidR="004E215F">
        <w:rPr>
          <w:rFonts w:cs="Times New Roman"/>
          <w:color w:val="222222"/>
          <w:u w:color="222222"/>
          <w:lang w:val="pl-PL"/>
        </w:rPr>
        <w:t xml:space="preserve">pod koniec </w:t>
      </w:r>
      <w:r w:rsidRPr="00B931C5">
        <w:rPr>
          <w:rFonts w:cs="Times New Roman"/>
          <w:color w:val="222222"/>
          <w:u w:color="222222"/>
          <w:lang w:val="pl-PL"/>
        </w:rPr>
        <w:t>listopada 2012</w:t>
      </w:r>
      <w:r w:rsidR="001A3FB4">
        <w:rPr>
          <w:rFonts w:cs="Times New Roman"/>
          <w:color w:val="222222"/>
          <w:u w:color="222222"/>
          <w:lang w:val="pl-PL"/>
        </w:rPr>
        <w:t xml:space="preserve"> r.</w:t>
      </w:r>
      <w:r w:rsidRPr="00B931C5">
        <w:rPr>
          <w:rFonts w:cs="Times New Roman"/>
          <w:color w:val="222222"/>
          <w:u w:color="222222"/>
          <w:lang w:val="pl-PL"/>
        </w:rPr>
        <w:t xml:space="preserve"> </w:t>
      </w:r>
      <w:r w:rsidR="001A3FB4">
        <w:rPr>
          <w:rFonts w:cs="Times New Roman"/>
          <w:color w:val="222222"/>
          <w:u w:color="222222"/>
          <w:lang w:val="pl-PL"/>
        </w:rPr>
        <w:t xml:space="preserve">skarżąca </w:t>
      </w:r>
      <w:r w:rsidR="004E4EBB" w:rsidRPr="00B931C5">
        <w:rPr>
          <w:rFonts w:cs="Times New Roman"/>
          <w:color w:val="222222"/>
          <w:u w:color="222222"/>
          <w:lang w:val="pl-PL"/>
        </w:rPr>
        <w:t xml:space="preserve">ponownie </w:t>
      </w:r>
      <w:r w:rsidRPr="00B931C5">
        <w:rPr>
          <w:rFonts w:cs="Times New Roman"/>
          <w:color w:val="222222"/>
          <w:u w:color="222222"/>
          <w:lang w:val="pl-PL"/>
        </w:rPr>
        <w:t>złożyła wniosek o azyl i prawo stałego pobytu w Szwecji. Podczas przesłuchania w styczniu 2013 r. podkreśliła, że uciekła z Somalii</w:t>
      </w:r>
      <w:r w:rsidR="001A3FB4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ponieważ była zmuszona do małżeństwa ze starszym mężczyzną i pobita za próbę ucieczki</w:t>
      </w:r>
      <w:r w:rsidR="001A3FB4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w wyniku czego </w:t>
      </w:r>
      <w:r w:rsidR="000C38D7">
        <w:rPr>
          <w:rFonts w:cs="Times New Roman"/>
          <w:color w:val="222222"/>
          <w:u w:color="222222"/>
          <w:lang w:val="pl-PL"/>
        </w:rPr>
        <w:t xml:space="preserve">doznała uszkodzenia bioder </w:t>
      </w:r>
      <w:r w:rsidRPr="00B931C5">
        <w:rPr>
          <w:rFonts w:cs="Times New Roman"/>
          <w:color w:val="222222"/>
          <w:u w:color="222222"/>
          <w:lang w:val="pl-PL"/>
        </w:rPr>
        <w:t xml:space="preserve">i </w:t>
      </w:r>
      <w:r w:rsidR="000C38D7">
        <w:rPr>
          <w:rFonts w:cs="Times New Roman"/>
          <w:color w:val="222222"/>
          <w:u w:color="222222"/>
          <w:lang w:val="pl-PL"/>
        </w:rPr>
        <w:t xml:space="preserve">podlegała </w:t>
      </w:r>
      <w:r w:rsidRPr="00B931C5">
        <w:rPr>
          <w:rFonts w:cs="Times New Roman"/>
          <w:color w:val="222222"/>
          <w:u w:color="222222"/>
          <w:lang w:val="pl-PL"/>
        </w:rPr>
        <w:t>hospitaliz</w:t>
      </w:r>
      <w:r w:rsidR="000C38D7">
        <w:rPr>
          <w:rFonts w:cs="Times New Roman"/>
          <w:color w:val="222222"/>
          <w:u w:color="222222"/>
          <w:lang w:val="pl-PL"/>
        </w:rPr>
        <w:t>acji</w:t>
      </w:r>
      <w:r w:rsidRPr="00B931C5">
        <w:rPr>
          <w:rFonts w:cs="Times New Roman"/>
          <w:color w:val="222222"/>
          <w:u w:color="222222"/>
          <w:lang w:val="pl-PL"/>
        </w:rPr>
        <w:t>. Zaznaczyła, że deportacja do Somalii wiąże się dla niej z koniecznością powrotu do m</w:t>
      </w:r>
      <w:r w:rsidR="001A3FB4">
        <w:rPr>
          <w:rFonts w:cs="Times New Roman"/>
          <w:color w:val="222222"/>
          <w:u w:color="222222"/>
          <w:lang w:val="pl-PL"/>
        </w:rPr>
        <w:t>ęża, w przeciwnym wypadku grozić</w:t>
      </w:r>
      <w:r w:rsidRPr="00B931C5">
        <w:rPr>
          <w:rFonts w:cs="Times New Roman"/>
          <w:color w:val="222222"/>
          <w:u w:color="222222"/>
          <w:lang w:val="pl-PL"/>
        </w:rPr>
        <w:t xml:space="preserve"> jej będzie kara śmierci za ucieczkę od niego i opuszczenie kraju</w:t>
      </w:r>
      <w:r w:rsidR="001A3FB4">
        <w:rPr>
          <w:rFonts w:cs="Times New Roman"/>
          <w:color w:val="222222"/>
          <w:u w:color="222222"/>
          <w:lang w:val="pl-PL"/>
        </w:rPr>
        <w:t>.</w:t>
      </w:r>
      <w:r w:rsidRPr="00B931C5">
        <w:rPr>
          <w:rFonts w:cs="Times New Roman"/>
          <w:color w:val="222222"/>
          <w:u w:color="222222"/>
          <w:lang w:val="pl-PL"/>
        </w:rPr>
        <w:t xml:space="preserve"> </w:t>
      </w:r>
      <w:r w:rsidR="001A3FB4">
        <w:rPr>
          <w:rFonts w:cs="Times New Roman"/>
          <w:color w:val="222222"/>
          <w:u w:color="222222"/>
          <w:lang w:val="pl-PL"/>
        </w:rPr>
        <w:t>P</w:t>
      </w:r>
      <w:r w:rsidRPr="00B931C5">
        <w:rPr>
          <w:rFonts w:cs="Times New Roman"/>
          <w:color w:val="222222"/>
          <w:u w:color="222222"/>
          <w:lang w:val="pl-PL"/>
        </w:rPr>
        <w:t>onadto</w:t>
      </w:r>
      <w:r w:rsidR="001A3FB4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w związku ze śmiercią rodziców i brakiem męskiej opieki jako samotna kobieta będzie skazana na społeczny ostracyzm</w:t>
      </w:r>
      <w:r w:rsidR="000C38D7">
        <w:rPr>
          <w:rFonts w:cs="Times New Roman"/>
          <w:color w:val="222222"/>
          <w:u w:color="222222"/>
          <w:lang w:val="pl-PL"/>
        </w:rPr>
        <w:t xml:space="preserve"> i </w:t>
      </w:r>
      <w:r w:rsidR="004E215F">
        <w:rPr>
          <w:rFonts w:cs="Times New Roman"/>
          <w:color w:val="222222"/>
          <w:u w:color="222222"/>
          <w:lang w:val="pl-PL"/>
        </w:rPr>
        <w:t>zagrożenie</w:t>
      </w:r>
      <w:r w:rsidR="000C38D7">
        <w:rPr>
          <w:rFonts w:cs="Times New Roman"/>
          <w:color w:val="222222"/>
          <w:u w:color="222222"/>
          <w:lang w:val="pl-PL"/>
        </w:rPr>
        <w:t xml:space="preserve"> napaści</w:t>
      </w:r>
      <w:r w:rsidR="004E4EBB">
        <w:rPr>
          <w:rFonts w:cs="Times New Roman"/>
          <w:color w:val="222222"/>
          <w:u w:color="222222"/>
          <w:lang w:val="pl-PL"/>
        </w:rPr>
        <w:t>ą</w:t>
      </w:r>
      <w:r w:rsidR="000C38D7">
        <w:rPr>
          <w:rFonts w:cs="Times New Roman"/>
          <w:color w:val="222222"/>
          <w:u w:color="222222"/>
          <w:lang w:val="pl-PL"/>
        </w:rPr>
        <w:t xml:space="preserve"> na tle seksualnym</w:t>
      </w:r>
      <w:r w:rsidRPr="00B931C5">
        <w:rPr>
          <w:rFonts w:cs="Times New Roman"/>
          <w:color w:val="222222"/>
          <w:u w:color="222222"/>
          <w:lang w:val="pl-PL"/>
        </w:rPr>
        <w:t xml:space="preserve">. Poza tym jej problemy z biodrami wymagają dalszej hospitalizacji, z uwagi </w:t>
      </w:r>
      <w:r w:rsidR="001A3FB4">
        <w:rPr>
          <w:rFonts w:cs="Times New Roman"/>
          <w:color w:val="222222"/>
          <w:u w:color="222222"/>
          <w:lang w:val="pl-PL"/>
        </w:rPr>
        <w:t xml:space="preserve">zaś </w:t>
      </w:r>
      <w:r w:rsidRPr="00B931C5">
        <w:rPr>
          <w:rFonts w:cs="Times New Roman"/>
          <w:color w:val="222222"/>
          <w:u w:color="222222"/>
          <w:lang w:val="pl-PL"/>
        </w:rPr>
        <w:t xml:space="preserve">na niski poziom leczenia w Somalii nie otrzyma odpowiedniej opieki lekarskiej. </w:t>
      </w:r>
      <w:r w:rsidR="001A3FB4">
        <w:rPr>
          <w:rFonts w:cs="Times New Roman"/>
          <w:color w:val="222222"/>
          <w:u w:color="222222"/>
          <w:lang w:val="pl-PL"/>
        </w:rPr>
        <w:t xml:space="preserve">Dnia </w:t>
      </w:r>
      <w:r w:rsidRPr="00B931C5">
        <w:rPr>
          <w:rFonts w:cs="Times New Roman"/>
          <w:color w:val="222222"/>
          <w:u w:color="222222"/>
          <w:lang w:val="pl-PL"/>
        </w:rPr>
        <w:t>8 marca 2013 r. Urząd Im</w:t>
      </w:r>
      <w:r w:rsidR="000C38D7">
        <w:rPr>
          <w:rFonts w:cs="Times New Roman"/>
          <w:color w:val="222222"/>
          <w:u w:color="222222"/>
          <w:lang w:val="pl-PL"/>
        </w:rPr>
        <w:t>igracyjny odrzucił</w:t>
      </w:r>
      <w:r w:rsidR="00ED4BB5">
        <w:rPr>
          <w:rFonts w:cs="Times New Roman"/>
          <w:color w:val="222222"/>
          <w:u w:color="222222"/>
          <w:lang w:val="pl-PL"/>
        </w:rPr>
        <w:t xml:space="preserve"> </w:t>
      </w:r>
      <w:r w:rsidR="000C38D7">
        <w:rPr>
          <w:rFonts w:cs="Times New Roman"/>
          <w:color w:val="222222"/>
          <w:u w:color="222222"/>
          <w:lang w:val="pl-PL"/>
        </w:rPr>
        <w:t>jej wniosek</w:t>
      </w:r>
      <w:r w:rsidR="001A3FB4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zaznaczając, że skarżąca przyjechała do Szwecji w 2007 r.</w:t>
      </w:r>
      <w:r w:rsidR="001A3FB4">
        <w:rPr>
          <w:rFonts w:cs="Times New Roman"/>
          <w:color w:val="222222"/>
          <w:u w:color="222222"/>
          <w:lang w:val="pl-PL"/>
        </w:rPr>
        <w:t>, jednak</w:t>
      </w:r>
      <w:r w:rsidRPr="00B931C5">
        <w:rPr>
          <w:rFonts w:cs="Times New Roman"/>
          <w:color w:val="222222"/>
          <w:u w:color="222222"/>
          <w:lang w:val="pl-PL"/>
        </w:rPr>
        <w:t xml:space="preserve"> wniosek o</w:t>
      </w:r>
      <w:r w:rsidR="001A3FB4">
        <w:rPr>
          <w:rFonts w:cs="Times New Roman"/>
          <w:color w:val="222222"/>
          <w:u w:color="222222"/>
          <w:lang w:val="pl-PL"/>
        </w:rPr>
        <w:t xml:space="preserve"> azyl złożyła dopiero w 2011 r.</w:t>
      </w:r>
      <w:r w:rsidRPr="00B931C5">
        <w:rPr>
          <w:rFonts w:cs="Times New Roman"/>
          <w:color w:val="222222"/>
          <w:u w:color="222222"/>
          <w:lang w:val="pl-PL"/>
        </w:rPr>
        <w:t xml:space="preserve"> </w:t>
      </w:r>
      <w:r w:rsidR="001A3FB4">
        <w:rPr>
          <w:rFonts w:cs="Times New Roman"/>
          <w:color w:val="222222"/>
          <w:u w:color="222222"/>
          <w:lang w:val="pl-PL"/>
        </w:rPr>
        <w:t>T</w:t>
      </w:r>
      <w:r w:rsidRPr="00B931C5">
        <w:rPr>
          <w:rFonts w:cs="Times New Roman"/>
          <w:color w:val="222222"/>
          <w:u w:color="222222"/>
          <w:lang w:val="pl-PL"/>
        </w:rPr>
        <w:t xml:space="preserve">ym samym przez ponad 4 lata nie szukała ochrony. Ponadto </w:t>
      </w:r>
      <w:r w:rsidR="001A3FB4" w:rsidRPr="00B931C5">
        <w:rPr>
          <w:rFonts w:cs="Times New Roman"/>
          <w:color w:val="222222"/>
          <w:u w:color="222222"/>
          <w:lang w:val="pl-PL"/>
        </w:rPr>
        <w:t xml:space="preserve">Urząd </w:t>
      </w:r>
      <w:r w:rsidRPr="00B931C5">
        <w:rPr>
          <w:rFonts w:cs="Times New Roman"/>
          <w:color w:val="222222"/>
          <w:u w:color="222222"/>
          <w:lang w:val="pl-PL"/>
        </w:rPr>
        <w:t>zakwestionował jej wniosek</w:t>
      </w:r>
      <w:r w:rsidR="001A3FB4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podkreślając istnienie wielu </w:t>
      </w:r>
      <w:r w:rsidR="000C38D7">
        <w:rPr>
          <w:rFonts w:cs="Times New Roman"/>
          <w:color w:val="222222"/>
          <w:u w:color="222222"/>
          <w:lang w:val="pl-PL"/>
        </w:rPr>
        <w:t xml:space="preserve">rozbieżności </w:t>
      </w:r>
      <w:r w:rsidRPr="00B931C5">
        <w:rPr>
          <w:rFonts w:cs="Times New Roman"/>
          <w:color w:val="222222"/>
          <w:u w:color="222222"/>
          <w:lang w:val="pl-PL"/>
        </w:rPr>
        <w:t xml:space="preserve">i nieścisłości w stosunku do </w:t>
      </w:r>
      <w:r w:rsidR="000C38D7">
        <w:rPr>
          <w:rFonts w:cs="Times New Roman"/>
          <w:color w:val="222222"/>
          <w:u w:color="222222"/>
          <w:lang w:val="pl-PL"/>
        </w:rPr>
        <w:t xml:space="preserve">jej </w:t>
      </w:r>
      <w:r w:rsidRPr="00B931C5">
        <w:rPr>
          <w:rFonts w:cs="Times New Roman"/>
          <w:color w:val="222222"/>
          <w:u w:color="222222"/>
          <w:lang w:val="pl-PL"/>
        </w:rPr>
        <w:t>wcześniejszych wniosków azylowych</w:t>
      </w:r>
      <w:r w:rsidR="00D503CF">
        <w:rPr>
          <w:rFonts w:cs="Times New Roman"/>
          <w:color w:val="222222"/>
          <w:u w:color="222222"/>
          <w:lang w:val="pl-PL"/>
        </w:rPr>
        <w:t xml:space="preserve"> (</w:t>
      </w:r>
      <w:r w:rsidR="009E61E6">
        <w:rPr>
          <w:rFonts w:cs="Times New Roman"/>
          <w:color w:val="222222"/>
          <w:u w:color="222222"/>
          <w:lang w:val="pl-PL"/>
        </w:rPr>
        <w:t>pierwotnie</w:t>
      </w:r>
      <w:r w:rsidR="00D503CF">
        <w:rPr>
          <w:rFonts w:cs="Times New Roman"/>
          <w:color w:val="222222"/>
          <w:u w:color="222222"/>
          <w:lang w:val="pl-PL"/>
        </w:rPr>
        <w:t xml:space="preserve"> powoływała się na opuszczenie Somalii z powodu trwającej wojny, podczas gdy obecnie twierdzi, że uciekła z powodu przymusowego małżeństwa oraz ryzyka złego</w:t>
      </w:r>
      <w:r w:rsidR="009E61E6">
        <w:rPr>
          <w:rFonts w:cs="Times New Roman"/>
          <w:color w:val="222222"/>
          <w:u w:color="222222"/>
          <w:lang w:val="pl-PL"/>
        </w:rPr>
        <w:t xml:space="preserve"> traktowania ze strony rodziny</w:t>
      </w:r>
      <w:r w:rsidR="00B21C6A">
        <w:rPr>
          <w:rFonts w:cs="Times New Roman"/>
          <w:color w:val="222222"/>
          <w:u w:color="222222"/>
          <w:lang w:val="pl-PL"/>
        </w:rPr>
        <w:t xml:space="preserve">, </w:t>
      </w:r>
      <w:r w:rsidR="004E215F">
        <w:rPr>
          <w:rFonts w:cs="Times New Roman"/>
          <w:color w:val="222222"/>
          <w:u w:color="222222"/>
          <w:lang w:val="pl-PL"/>
        </w:rPr>
        <w:t xml:space="preserve">natomiast w </w:t>
      </w:r>
      <w:r w:rsidR="00B21C6A">
        <w:rPr>
          <w:rFonts w:cs="Times New Roman"/>
          <w:color w:val="222222"/>
          <w:u w:color="222222"/>
          <w:lang w:val="pl-PL"/>
        </w:rPr>
        <w:t>grudniu 2011 r. oświadczyła, że jest niezamężna</w:t>
      </w:r>
      <w:r w:rsidR="009E61E6">
        <w:rPr>
          <w:rFonts w:cs="Times New Roman"/>
          <w:color w:val="222222"/>
          <w:u w:color="222222"/>
          <w:lang w:val="pl-PL"/>
        </w:rPr>
        <w:t>)</w:t>
      </w:r>
      <w:r w:rsidR="00D503CF">
        <w:rPr>
          <w:rFonts w:cs="Times New Roman"/>
          <w:color w:val="222222"/>
          <w:u w:color="222222"/>
          <w:lang w:val="pl-PL"/>
        </w:rPr>
        <w:t xml:space="preserve">. </w:t>
      </w:r>
      <w:r w:rsidRPr="00B931C5">
        <w:rPr>
          <w:rFonts w:cs="Times New Roman"/>
          <w:color w:val="222222"/>
          <w:u w:color="222222"/>
          <w:lang w:val="pl-PL"/>
        </w:rPr>
        <w:t xml:space="preserve">Urząd odniósł się także do generalnej sytuacji w Mogadiszu, w tym sytuacji kobiet i uznał, że warunki bezpieczeństwa tam panujące nie uniemożliwiają jej powrotu. Skarżąca </w:t>
      </w:r>
      <w:r w:rsidRPr="00E17277">
        <w:rPr>
          <w:rFonts w:cs="Times New Roman"/>
          <w:color w:val="222222"/>
          <w:u w:color="222222"/>
          <w:lang w:val="pl-PL"/>
        </w:rPr>
        <w:t xml:space="preserve">złożyła </w:t>
      </w:r>
      <w:r w:rsidR="00D90F5B" w:rsidRPr="00E17277">
        <w:rPr>
          <w:rFonts w:cs="Times New Roman"/>
          <w:color w:val="222222"/>
          <w:u w:color="222222"/>
          <w:lang w:val="pl-PL"/>
        </w:rPr>
        <w:t xml:space="preserve">skargę </w:t>
      </w:r>
      <w:r w:rsidRPr="00E17277">
        <w:rPr>
          <w:rFonts w:cs="Times New Roman"/>
          <w:color w:val="222222"/>
          <w:u w:color="222222"/>
          <w:lang w:val="pl-PL"/>
        </w:rPr>
        <w:t xml:space="preserve">do Sądu </w:t>
      </w:r>
      <w:r w:rsidRPr="005C7193">
        <w:rPr>
          <w:rFonts w:cs="Times New Roman"/>
          <w:u w:color="222222"/>
          <w:lang w:val="pl-PL"/>
        </w:rPr>
        <w:t xml:space="preserve">Imigracyjnego, który w dniu 4 czerwca 2013 r. podtrzymał decyzję </w:t>
      </w:r>
      <w:r w:rsidR="00D90F5B" w:rsidRPr="005C7193">
        <w:rPr>
          <w:rFonts w:cs="Times New Roman"/>
          <w:u w:color="222222"/>
          <w:lang w:val="pl-PL"/>
        </w:rPr>
        <w:t>Urzędu</w:t>
      </w:r>
      <w:r w:rsidRPr="005C7193">
        <w:rPr>
          <w:rFonts w:cs="Times New Roman"/>
          <w:u w:color="222222"/>
          <w:lang w:val="pl-PL"/>
        </w:rPr>
        <w:t xml:space="preserve">. W dniu 15 lipca 2013 r. Imigracyjny Sąd Apelacyjny odmówił </w:t>
      </w:r>
      <w:r w:rsidR="00E17277" w:rsidRPr="005C7193">
        <w:rPr>
          <w:rFonts w:cs="Times New Roman"/>
          <w:u w:color="222222"/>
          <w:lang w:val="pl-PL"/>
        </w:rPr>
        <w:t xml:space="preserve">przyznania </w:t>
      </w:r>
      <w:r w:rsidR="004E4EBB" w:rsidRPr="005C7193">
        <w:rPr>
          <w:rFonts w:cs="Times New Roman"/>
          <w:u w:color="222222"/>
          <w:lang w:val="pl-PL"/>
        </w:rPr>
        <w:t xml:space="preserve">skarżącej </w:t>
      </w:r>
      <w:r w:rsidR="00E17277" w:rsidRPr="005C7193">
        <w:rPr>
          <w:rFonts w:cs="Times New Roman"/>
          <w:u w:color="222222"/>
          <w:lang w:val="pl-PL"/>
        </w:rPr>
        <w:t xml:space="preserve">prawa do </w:t>
      </w:r>
      <w:r w:rsidR="00D90F5B" w:rsidRPr="005C7193">
        <w:rPr>
          <w:rFonts w:cs="Times New Roman"/>
          <w:u w:color="222222"/>
          <w:lang w:val="pl-PL"/>
        </w:rPr>
        <w:t>odwołania</w:t>
      </w:r>
      <w:r w:rsidRPr="005C7193">
        <w:rPr>
          <w:rFonts w:cs="Times New Roman"/>
          <w:u w:color="222222"/>
          <w:lang w:val="pl-PL"/>
        </w:rPr>
        <w:t>. W związku z tym skarżąca wystąpiła do Urzędu Imigracyjnego o ponowne zbadanie jej sprawy</w:t>
      </w:r>
      <w:r w:rsidR="00D90F5B" w:rsidRPr="005C7193">
        <w:rPr>
          <w:rFonts w:cs="Times New Roman"/>
          <w:u w:color="222222"/>
          <w:lang w:val="pl-PL"/>
        </w:rPr>
        <w:t>,</w:t>
      </w:r>
      <w:r w:rsidRPr="005C7193">
        <w:rPr>
          <w:rFonts w:cs="Times New Roman"/>
          <w:u w:color="222222"/>
          <w:lang w:val="pl-PL"/>
        </w:rPr>
        <w:t xml:space="preserve"> podnosząc, że </w:t>
      </w:r>
      <w:r w:rsidR="00C164F1" w:rsidRPr="005C7193">
        <w:rPr>
          <w:rFonts w:cs="Times New Roman"/>
          <w:u w:color="222222"/>
          <w:lang w:val="pl-PL"/>
        </w:rPr>
        <w:t>jeden z jej wujków</w:t>
      </w:r>
      <w:r w:rsidR="009E61E6" w:rsidRPr="005C7193">
        <w:rPr>
          <w:rFonts w:cs="Times New Roman"/>
          <w:u w:color="222222"/>
          <w:lang w:val="pl-PL"/>
        </w:rPr>
        <w:t xml:space="preserve"> przystąpi</w:t>
      </w:r>
      <w:r w:rsidR="00C164F1" w:rsidRPr="005C7193">
        <w:rPr>
          <w:rFonts w:cs="Times New Roman"/>
          <w:u w:color="222222"/>
          <w:lang w:val="pl-PL"/>
        </w:rPr>
        <w:t>ł</w:t>
      </w:r>
      <w:r w:rsidRPr="005C7193">
        <w:rPr>
          <w:rFonts w:cs="Times New Roman"/>
          <w:u w:color="222222"/>
          <w:lang w:val="pl-PL"/>
        </w:rPr>
        <w:t xml:space="preserve"> do radykalnej islamistycznej organiza</w:t>
      </w:r>
      <w:r w:rsidR="009E61E6" w:rsidRPr="005C7193">
        <w:rPr>
          <w:rFonts w:cs="Times New Roman"/>
          <w:u w:color="222222"/>
          <w:lang w:val="pl-PL"/>
        </w:rPr>
        <w:t>cji militarnej al-</w:t>
      </w:r>
      <w:proofErr w:type="spellStart"/>
      <w:r w:rsidR="009E61E6" w:rsidRPr="005C7193">
        <w:rPr>
          <w:rFonts w:cs="Times New Roman"/>
          <w:u w:color="222222"/>
          <w:lang w:val="pl-PL"/>
        </w:rPr>
        <w:t>Shabaab</w:t>
      </w:r>
      <w:proofErr w:type="spellEnd"/>
      <w:r w:rsidR="009E61E6" w:rsidRPr="005C7193">
        <w:rPr>
          <w:rFonts w:cs="Times New Roman"/>
          <w:u w:color="222222"/>
          <w:lang w:val="pl-PL"/>
        </w:rPr>
        <w:t>, zabi</w:t>
      </w:r>
      <w:r w:rsidR="00C164F1" w:rsidRPr="005C7193">
        <w:rPr>
          <w:rFonts w:cs="Times New Roman"/>
          <w:u w:color="222222"/>
          <w:lang w:val="pl-PL"/>
        </w:rPr>
        <w:t>ł</w:t>
      </w:r>
      <w:r w:rsidR="009E61E6" w:rsidRPr="005C7193">
        <w:rPr>
          <w:rFonts w:cs="Times New Roman"/>
          <w:u w:color="222222"/>
          <w:lang w:val="pl-PL"/>
        </w:rPr>
        <w:t xml:space="preserve"> jej siostrę i zmusi</w:t>
      </w:r>
      <w:r w:rsidR="00C164F1" w:rsidRPr="005C7193">
        <w:rPr>
          <w:rFonts w:cs="Times New Roman"/>
          <w:u w:color="222222"/>
          <w:lang w:val="pl-PL"/>
        </w:rPr>
        <w:t>ł</w:t>
      </w:r>
      <w:r w:rsidRPr="005C7193">
        <w:rPr>
          <w:rFonts w:cs="Times New Roman"/>
          <w:u w:color="222222"/>
          <w:lang w:val="pl-PL"/>
        </w:rPr>
        <w:t xml:space="preserve"> jej brata do wstąpienia do</w:t>
      </w:r>
      <w:r w:rsidR="00ED4BB5" w:rsidRPr="005C7193">
        <w:rPr>
          <w:rFonts w:cs="Times New Roman"/>
          <w:u w:color="222222"/>
          <w:lang w:val="pl-PL"/>
        </w:rPr>
        <w:t xml:space="preserve"> </w:t>
      </w:r>
      <w:r w:rsidR="00D90F5B" w:rsidRPr="005C7193">
        <w:rPr>
          <w:rFonts w:cs="Times New Roman"/>
          <w:u w:color="222222"/>
          <w:lang w:val="pl-PL"/>
        </w:rPr>
        <w:t>tej organizacji. Z tego względu</w:t>
      </w:r>
      <w:r w:rsidRPr="005C7193">
        <w:rPr>
          <w:rFonts w:cs="Times New Roman"/>
          <w:u w:color="222222"/>
          <w:lang w:val="pl-PL"/>
        </w:rPr>
        <w:t xml:space="preserve"> po powrocie do Somalii może zostać ukamieniowana przez</w:t>
      </w:r>
      <w:r w:rsidR="00ED4BB5" w:rsidRPr="005C7193">
        <w:rPr>
          <w:rFonts w:cs="Times New Roman"/>
          <w:u w:color="222222"/>
          <w:lang w:val="pl-PL"/>
        </w:rPr>
        <w:t xml:space="preserve"> </w:t>
      </w:r>
      <w:r w:rsidR="009E61E6" w:rsidRPr="005C7193">
        <w:rPr>
          <w:rFonts w:cs="Times New Roman"/>
          <w:u w:color="222222"/>
          <w:lang w:val="pl-PL"/>
        </w:rPr>
        <w:t>swych krewnych</w:t>
      </w:r>
      <w:r w:rsidRPr="005C7193">
        <w:rPr>
          <w:rFonts w:cs="Times New Roman"/>
          <w:u w:color="222222"/>
          <w:lang w:val="pl-PL"/>
        </w:rPr>
        <w:t xml:space="preserve">. Urząd nie uwzględnił jej wniosku, </w:t>
      </w:r>
      <w:r w:rsidR="00C646F4" w:rsidRPr="005C7193">
        <w:rPr>
          <w:rFonts w:cs="Times New Roman"/>
          <w:u w:color="222222"/>
          <w:lang w:val="pl-PL"/>
        </w:rPr>
        <w:t>uznając, iż jej zeznania nie są wiarygodne w świetle oświadczeń składanych wcześniej</w:t>
      </w:r>
      <w:r w:rsidR="00ED4BB5" w:rsidRPr="005C7193">
        <w:rPr>
          <w:rFonts w:cs="Times New Roman"/>
          <w:u w:color="222222"/>
          <w:lang w:val="pl-PL"/>
        </w:rPr>
        <w:t xml:space="preserve">, a </w:t>
      </w:r>
      <w:r w:rsidRPr="005C7193">
        <w:rPr>
          <w:rFonts w:cs="Times New Roman"/>
          <w:u w:color="222222"/>
          <w:lang w:val="pl-PL"/>
        </w:rPr>
        <w:t xml:space="preserve">samo </w:t>
      </w:r>
      <w:r w:rsidR="004E4EBB" w:rsidRPr="005C7193">
        <w:rPr>
          <w:rFonts w:cs="Times New Roman"/>
          <w:u w:color="222222"/>
          <w:lang w:val="pl-PL"/>
        </w:rPr>
        <w:t xml:space="preserve">jej </w:t>
      </w:r>
      <w:r w:rsidRPr="005C7193">
        <w:rPr>
          <w:rFonts w:cs="Times New Roman"/>
          <w:u w:color="222222"/>
          <w:lang w:val="pl-PL"/>
        </w:rPr>
        <w:t xml:space="preserve">oświadczenie nie usprawiedliwia </w:t>
      </w:r>
      <w:r w:rsidR="004E4EBB" w:rsidRPr="005C7193">
        <w:rPr>
          <w:rFonts w:cs="Times New Roman"/>
          <w:u w:color="222222"/>
          <w:lang w:val="pl-PL"/>
        </w:rPr>
        <w:t>tezy</w:t>
      </w:r>
      <w:r w:rsidRPr="005C7193">
        <w:rPr>
          <w:rFonts w:cs="Times New Roman"/>
          <w:u w:color="222222"/>
          <w:lang w:val="pl-PL"/>
        </w:rPr>
        <w:t xml:space="preserve">, że nastąpiła zmiana </w:t>
      </w:r>
      <w:r w:rsidRPr="00B931C5">
        <w:rPr>
          <w:rFonts w:cs="Times New Roman"/>
          <w:color w:val="222222"/>
          <w:u w:color="222222"/>
          <w:lang w:val="pl-PL"/>
        </w:rPr>
        <w:t>warunków uzasadniająca ponowne rozpatrzenie sprawy.</w:t>
      </w:r>
    </w:p>
    <w:p w:rsidR="00A36458" w:rsidRPr="00B931C5" w:rsidRDefault="00A36458" w:rsidP="00D83F4B">
      <w:pPr>
        <w:spacing w:after="120" w:line="240" w:lineRule="auto"/>
        <w:jc w:val="both"/>
        <w:rPr>
          <w:rFonts w:cs="Times New Roman"/>
          <w:color w:val="222222"/>
          <w:u w:color="222222"/>
          <w:lang w:val="pl-PL"/>
        </w:rPr>
      </w:pPr>
      <w:r w:rsidRPr="00B931C5">
        <w:rPr>
          <w:rFonts w:cs="Times New Roman"/>
          <w:color w:val="222222"/>
          <w:u w:color="222222"/>
          <w:lang w:val="pl-PL"/>
        </w:rPr>
        <w:t>W skardze do Trybunału skarżąca zarzuciła, iż jej deportacja do Somalii naruszy art. 3 Konwencji.</w:t>
      </w:r>
    </w:p>
    <w:p w:rsidR="00A36458" w:rsidRPr="00B931C5" w:rsidRDefault="00D83F4B" w:rsidP="00D83F4B">
      <w:pPr>
        <w:spacing w:after="120" w:line="240" w:lineRule="auto"/>
        <w:jc w:val="both"/>
        <w:rPr>
          <w:rFonts w:eastAsia="Times New Roman Bold" w:cs="Times New Roman"/>
          <w:color w:val="222222"/>
          <w:u w:val="single" w:color="222222"/>
          <w:lang w:val="pl-PL"/>
        </w:rPr>
      </w:pPr>
      <w:r>
        <w:rPr>
          <w:rFonts w:cs="Times New Roman"/>
          <w:color w:val="222222"/>
          <w:u w:val="single" w:color="222222"/>
          <w:lang w:val="pl-PL"/>
        </w:rPr>
        <w:t>Ocena Trybunału</w:t>
      </w:r>
    </w:p>
    <w:p w:rsidR="00C646F4" w:rsidRDefault="00A36458" w:rsidP="00D83F4B">
      <w:pPr>
        <w:spacing w:after="120" w:line="240" w:lineRule="auto"/>
        <w:jc w:val="both"/>
        <w:rPr>
          <w:rFonts w:cs="Times New Roman"/>
          <w:color w:val="222222"/>
          <w:u w:color="222222"/>
          <w:lang w:val="pl-PL"/>
        </w:rPr>
      </w:pPr>
      <w:r w:rsidRPr="00B931C5">
        <w:rPr>
          <w:rFonts w:cs="Times New Roman"/>
          <w:color w:val="222222"/>
          <w:u w:color="222222"/>
          <w:lang w:val="pl-PL"/>
        </w:rPr>
        <w:t xml:space="preserve">Trybunał uznał, że deportacja </w:t>
      </w:r>
      <w:r w:rsidRPr="005C7193">
        <w:rPr>
          <w:rFonts w:cs="Times New Roman"/>
          <w:u w:color="222222"/>
          <w:lang w:val="pl-PL"/>
        </w:rPr>
        <w:t xml:space="preserve">skarżącej do Somalii nie naruszy art. 3 Konwencji. </w:t>
      </w:r>
      <w:r w:rsidR="00D90F5B" w:rsidRPr="005C7193">
        <w:rPr>
          <w:rFonts w:cs="Times New Roman"/>
          <w:u w:color="222222"/>
          <w:lang w:val="pl-PL"/>
        </w:rPr>
        <w:t>S</w:t>
      </w:r>
      <w:r w:rsidRPr="005C7193">
        <w:rPr>
          <w:rFonts w:cs="Times New Roman"/>
          <w:u w:color="222222"/>
          <w:lang w:val="pl-PL"/>
        </w:rPr>
        <w:t>twierdził w oparciu o dane z szeregu raportów</w:t>
      </w:r>
      <w:r w:rsidR="00D90F5B" w:rsidRPr="005C7193">
        <w:rPr>
          <w:rFonts w:cs="Times New Roman"/>
          <w:u w:color="222222"/>
          <w:lang w:val="pl-PL"/>
        </w:rPr>
        <w:t>,</w:t>
      </w:r>
      <w:r w:rsidRPr="005C7193">
        <w:rPr>
          <w:rFonts w:cs="Times New Roman"/>
          <w:u w:color="222222"/>
          <w:lang w:val="pl-PL"/>
        </w:rPr>
        <w:t xml:space="preserve"> że sytuacja w Mogadiszu uległa poprawie w stosunku do sytuacji w 2011</w:t>
      </w:r>
      <w:r w:rsidR="004E4EBB" w:rsidRPr="005C7193">
        <w:rPr>
          <w:rFonts w:cs="Times New Roman"/>
          <w:u w:color="222222"/>
          <w:lang w:val="pl-PL"/>
        </w:rPr>
        <w:t xml:space="preserve"> r.</w:t>
      </w:r>
      <w:r w:rsidRPr="005C7193">
        <w:rPr>
          <w:rFonts w:cs="Times New Roman"/>
          <w:u w:color="222222"/>
          <w:lang w:val="pl-PL"/>
        </w:rPr>
        <w:t xml:space="preserve">, gdy to Trybunał w wyroku </w:t>
      </w:r>
      <w:r w:rsidRPr="005C7193">
        <w:rPr>
          <w:rFonts w:cs="Times New Roman"/>
          <w:i/>
          <w:u w:color="222222"/>
          <w:lang w:val="pl-PL"/>
        </w:rPr>
        <w:t xml:space="preserve">Sufi i </w:t>
      </w:r>
      <w:proofErr w:type="spellStart"/>
      <w:r w:rsidRPr="005C7193">
        <w:rPr>
          <w:rFonts w:cs="Times New Roman"/>
          <w:i/>
          <w:u w:color="222222"/>
          <w:lang w:val="pl-PL"/>
        </w:rPr>
        <w:t>Elmi</w:t>
      </w:r>
      <w:proofErr w:type="spellEnd"/>
      <w:r w:rsidRPr="005C7193">
        <w:rPr>
          <w:rFonts w:cs="Times New Roman"/>
          <w:i/>
          <w:u w:color="222222"/>
          <w:lang w:val="pl-PL"/>
        </w:rPr>
        <w:t xml:space="preserve"> p. Wielkiej Brytanii </w:t>
      </w:r>
      <w:r w:rsidRPr="005C7193">
        <w:rPr>
          <w:rFonts w:cs="Times New Roman"/>
          <w:u w:color="222222"/>
          <w:lang w:val="pl-PL"/>
        </w:rPr>
        <w:t>(skarga nr 8319/07 i 11449/07) uznał, że poziom przemocy w Mogadiszu osiągnął taki stopień, że każdy kto tam przebywa jest narażony na traktowanie sprzeczne z art. 3 Konwencji. Obecna ocena sytuacji w tym mieście nie o</w:t>
      </w:r>
      <w:r w:rsidR="004E4EBB" w:rsidRPr="005C7193">
        <w:rPr>
          <w:rFonts w:cs="Times New Roman"/>
          <w:u w:color="222222"/>
          <w:lang w:val="pl-PL"/>
        </w:rPr>
        <w:t>d</w:t>
      </w:r>
      <w:r w:rsidRPr="005C7193">
        <w:rPr>
          <w:rFonts w:cs="Times New Roman"/>
          <w:u w:color="222222"/>
          <w:lang w:val="pl-PL"/>
        </w:rPr>
        <w:t xml:space="preserve">biega od oceny dokonanej w 2013 r. w sprawie </w:t>
      </w:r>
      <w:r w:rsidRPr="005C7193">
        <w:rPr>
          <w:rFonts w:cs="Times New Roman"/>
          <w:i/>
          <w:u w:color="222222"/>
          <w:lang w:val="pl-PL"/>
        </w:rPr>
        <w:t>K.A.B. p. Szwecji</w:t>
      </w:r>
      <w:r w:rsidRPr="005C7193">
        <w:rPr>
          <w:rFonts w:cs="Times New Roman"/>
          <w:u w:color="222222"/>
          <w:lang w:val="pl-PL"/>
        </w:rPr>
        <w:t xml:space="preserve"> (skarga </w:t>
      </w:r>
      <w:r w:rsidRPr="00B931C5">
        <w:rPr>
          <w:rFonts w:cs="Times New Roman"/>
          <w:color w:val="222222"/>
          <w:u w:color="222222"/>
          <w:lang w:val="pl-PL"/>
        </w:rPr>
        <w:t>nr 886/11)</w:t>
      </w:r>
      <w:r w:rsidR="00D90F5B">
        <w:rPr>
          <w:rFonts w:cs="Times New Roman"/>
          <w:color w:val="222222"/>
          <w:u w:color="222222"/>
          <w:lang w:val="pl-PL"/>
        </w:rPr>
        <w:t>.</w:t>
      </w:r>
      <w:r w:rsidRPr="00B931C5">
        <w:rPr>
          <w:rFonts w:cs="Times New Roman"/>
          <w:color w:val="222222"/>
          <w:u w:color="222222"/>
          <w:lang w:val="pl-PL"/>
        </w:rPr>
        <w:t xml:space="preserve"> Trybunał uznał</w:t>
      </w:r>
      <w:r w:rsidR="00D90F5B">
        <w:rPr>
          <w:rFonts w:cs="Times New Roman"/>
          <w:color w:val="222222"/>
          <w:u w:color="222222"/>
          <w:lang w:val="pl-PL"/>
        </w:rPr>
        <w:t xml:space="preserve"> więc</w:t>
      </w:r>
      <w:r w:rsidRPr="00B931C5">
        <w:rPr>
          <w:rFonts w:cs="Times New Roman"/>
          <w:color w:val="222222"/>
          <w:u w:color="222222"/>
          <w:lang w:val="pl-PL"/>
        </w:rPr>
        <w:t>, że poziom przemocy</w:t>
      </w:r>
      <w:r w:rsidR="00D90F5B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choć nadal poważny</w:t>
      </w:r>
      <w:r w:rsidR="00D90F5B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nie powoduje narażenia </w:t>
      </w:r>
      <w:r w:rsidR="009376D6">
        <w:rPr>
          <w:rFonts w:cs="Times New Roman"/>
          <w:color w:val="222222"/>
          <w:u w:color="222222"/>
          <w:lang w:val="pl-PL"/>
        </w:rPr>
        <w:t xml:space="preserve">każdej osoby przebywającej w mieście </w:t>
      </w:r>
      <w:r w:rsidRPr="00B931C5">
        <w:rPr>
          <w:rFonts w:cs="Times New Roman"/>
          <w:color w:val="222222"/>
          <w:u w:color="222222"/>
          <w:lang w:val="pl-PL"/>
        </w:rPr>
        <w:t xml:space="preserve">na traktowanie sprzeczne z art. 3 Konwencji. </w:t>
      </w:r>
    </w:p>
    <w:p w:rsidR="00ED4BB5" w:rsidRDefault="00E329BA" w:rsidP="00D83F4B">
      <w:pPr>
        <w:spacing w:after="120" w:line="240" w:lineRule="auto"/>
        <w:jc w:val="both"/>
        <w:rPr>
          <w:rFonts w:cs="Times New Roman"/>
          <w:color w:val="222222"/>
          <w:u w:color="222222"/>
          <w:lang w:val="pl-PL"/>
        </w:rPr>
      </w:pPr>
      <w:r>
        <w:rPr>
          <w:rFonts w:cs="Times New Roman"/>
          <w:color w:val="222222"/>
          <w:u w:color="222222"/>
          <w:lang w:val="pl-PL"/>
        </w:rPr>
        <w:t xml:space="preserve">Trybunał odnotował </w:t>
      </w:r>
      <w:r w:rsidR="004E4EBB">
        <w:rPr>
          <w:rFonts w:cs="Times New Roman"/>
          <w:color w:val="222222"/>
          <w:u w:color="222222"/>
          <w:lang w:val="pl-PL"/>
        </w:rPr>
        <w:t xml:space="preserve">też </w:t>
      </w:r>
      <w:r>
        <w:rPr>
          <w:rFonts w:cs="Times New Roman"/>
          <w:color w:val="222222"/>
          <w:u w:color="222222"/>
          <w:lang w:val="pl-PL"/>
        </w:rPr>
        <w:t>raporty wskazujące na duży poziom przemocy wobec kobiet i dzie</w:t>
      </w:r>
      <w:r w:rsidR="004E4EBB">
        <w:rPr>
          <w:rFonts w:cs="Times New Roman"/>
          <w:color w:val="222222"/>
          <w:u w:color="222222"/>
          <w:lang w:val="pl-PL"/>
        </w:rPr>
        <w:t>wcząt, a także ich dyskryminację</w:t>
      </w:r>
      <w:r>
        <w:rPr>
          <w:rFonts w:cs="Times New Roman"/>
          <w:color w:val="222222"/>
          <w:u w:color="222222"/>
          <w:lang w:val="pl-PL"/>
        </w:rPr>
        <w:t xml:space="preserve"> w Somalii. Na tej podstawie można twierdzić, że powrót do Mogadiszu samotnej kobiety bez dostępu do męskiej opieki może narazić </w:t>
      </w:r>
      <w:r w:rsidR="00ED4BB5">
        <w:rPr>
          <w:rFonts w:cs="Times New Roman"/>
          <w:color w:val="222222"/>
          <w:u w:color="222222"/>
          <w:lang w:val="pl-PL"/>
        </w:rPr>
        <w:t xml:space="preserve">ją </w:t>
      </w:r>
      <w:r>
        <w:rPr>
          <w:rFonts w:cs="Times New Roman"/>
          <w:color w:val="222222"/>
          <w:u w:color="222222"/>
          <w:lang w:val="pl-PL"/>
        </w:rPr>
        <w:t xml:space="preserve">na rzeczywiste ryzyko życia w warunkach nieludzkiego lub poniżającego traktowania </w:t>
      </w:r>
      <w:r w:rsidR="00ED4BB5">
        <w:rPr>
          <w:rFonts w:cs="Times New Roman"/>
          <w:color w:val="222222"/>
          <w:u w:color="222222"/>
          <w:lang w:val="pl-PL"/>
        </w:rPr>
        <w:t xml:space="preserve">w rozumieniu </w:t>
      </w:r>
      <w:r>
        <w:rPr>
          <w:rFonts w:cs="Times New Roman"/>
          <w:color w:val="222222"/>
          <w:u w:color="222222"/>
          <w:lang w:val="pl-PL"/>
        </w:rPr>
        <w:t xml:space="preserve">art. 3 Konwencji. </w:t>
      </w:r>
    </w:p>
    <w:p w:rsidR="00A36458" w:rsidRDefault="00A36458" w:rsidP="00D83F4B">
      <w:pPr>
        <w:spacing w:after="120" w:line="240" w:lineRule="auto"/>
        <w:jc w:val="both"/>
        <w:rPr>
          <w:rFonts w:cs="Times New Roman"/>
          <w:color w:val="222222"/>
          <w:u w:color="222222"/>
          <w:lang w:val="pl-PL"/>
        </w:rPr>
      </w:pPr>
      <w:r w:rsidRPr="00B931C5">
        <w:rPr>
          <w:rFonts w:cs="Times New Roman"/>
          <w:color w:val="222222"/>
          <w:u w:color="222222"/>
          <w:lang w:val="pl-PL"/>
        </w:rPr>
        <w:t xml:space="preserve">Trybunał </w:t>
      </w:r>
      <w:r w:rsidR="009376D6">
        <w:rPr>
          <w:rFonts w:cs="Times New Roman"/>
          <w:color w:val="222222"/>
          <w:u w:color="222222"/>
          <w:lang w:val="pl-PL"/>
        </w:rPr>
        <w:t xml:space="preserve">następnie zbadał, czy w stosunku do skarżącej zachodzą szczególne okoliczności, które powodowałyby, iż jej deportacja do Somalii byłaby sprzeczna z art. 3 Konwencji. </w:t>
      </w:r>
      <w:r w:rsidR="00D14B59">
        <w:rPr>
          <w:rFonts w:cs="Times New Roman"/>
          <w:color w:val="222222"/>
          <w:u w:color="222222"/>
          <w:lang w:val="pl-PL"/>
        </w:rPr>
        <w:t>Z</w:t>
      </w:r>
      <w:r w:rsidRPr="00B931C5">
        <w:rPr>
          <w:rFonts w:cs="Times New Roman"/>
          <w:color w:val="222222"/>
          <w:u w:color="222222"/>
          <w:lang w:val="pl-PL"/>
        </w:rPr>
        <w:t>auważył</w:t>
      </w:r>
      <w:r w:rsidR="00C646F4">
        <w:rPr>
          <w:rFonts w:cs="Times New Roman"/>
          <w:color w:val="222222"/>
          <w:u w:color="222222"/>
          <w:lang w:val="pl-PL"/>
        </w:rPr>
        <w:t xml:space="preserve"> co prawda</w:t>
      </w:r>
      <w:r w:rsidRPr="00B931C5">
        <w:rPr>
          <w:rFonts w:cs="Times New Roman"/>
          <w:color w:val="222222"/>
          <w:u w:color="222222"/>
          <w:lang w:val="pl-PL"/>
        </w:rPr>
        <w:t xml:space="preserve">, że sytuacja samotnej kobiety po powrocie do Mogadiszu może narazić </w:t>
      </w:r>
      <w:r w:rsidR="00D90F5B">
        <w:rPr>
          <w:rFonts w:cs="Times New Roman"/>
          <w:color w:val="222222"/>
          <w:u w:color="222222"/>
          <w:lang w:val="pl-PL"/>
        </w:rPr>
        <w:t xml:space="preserve">skarżącą </w:t>
      </w:r>
      <w:r w:rsidRPr="00B931C5">
        <w:rPr>
          <w:rFonts w:cs="Times New Roman"/>
          <w:color w:val="222222"/>
          <w:u w:color="222222"/>
          <w:lang w:val="pl-PL"/>
        </w:rPr>
        <w:t>na niehumanitarne traktowanie</w:t>
      </w:r>
      <w:r w:rsidR="00C646F4">
        <w:rPr>
          <w:rFonts w:cs="Times New Roman"/>
          <w:color w:val="222222"/>
          <w:u w:color="222222"/>
          <w:lang w:val="pl-PL"/>
        </w:rPr>
        <w:t>, j</w:t>
      </w:r>
      <w:r w:rsidRPr="00B931C5">
        <w:rPr>
          <w:rFonts w:cs="Times New Roman"/>
          <w:color w:val="222222"/>
          <w:u w:color="222222"/>
          <w:lang w:val="pl-PL"/>
        </w:rPr>
        <w:t xml:space="preserve">ednak biorąc pod uwagę poważne zastrzeżenia co do prawdziwości </w:t>
      </w:r>
      <w:r w:rsidR="00C646F4">
        <w:rPr>
          <w:rFonts w:cs="Times New Roman"/>
          <w:color w:val="222222"/>
          <w:u w:color="222222"/>
          <w:lang w:val="pl-PL"/>
        </w:rPr>
        <w:t xml:space="preserve">zeznań </w:t>
      </w:r>
      <w:r w:rsidRPr="00B931C5">
        <w:rPr>
          <w:rFonts w:cs="Times New Roman"/>
          <w:color w:val="222222"/>
          <w:u w:color="222222"/>
          <w:lang w:val="pl-PL"/>
        </w:rPr>
        <w:t>składanych przez skarżącą</w:t>
      </w:r>
      <w:r w:rsidR="00D90F5B">
        <w:rPr>
          <w:rFonts w:cs="Times New Roman"/>
          <w:color w:val="222222"/>
          <w:u w:color="222222"/>
          <w:lang w:val="pl-PL"/>
        </w:rPr>
        <w:t>,</w:t>
      </w:r>
      <w:r w:rsidRPr="00B931C5">
        <w:rPr>
          <w:rFonts w:cs="Times New Roman"/>
          <w:color w:val="222222"/>
          <w:u w:color="222222"/>
          <w:lang w:val="pl-PL"/>
        </w:rPr>
        <w:t xml:space="preserve"> jej obawy związane z powrotem nie mogą być uznane za wiarygodne. </w:t>
      </w:r>
      <w:r w:rsidR="00E329BA">
        <w:rPr>
          <w:rFonts w:cs="Times New Roman"/>
          <w:color w:val="222222"/>
          <w:u w:color="222222"/>
          <w:lang w:val="pl-PL"/>
        </w:rPr>
        <w:t xml:space="preserve">Skarżąca przez </w:t>
      </w:r>
      <w:r w:rsidR="00E329BA">
        <w:rPr>
          <w:rFonts w:cs="Times New Roman"/>
          <w:color w:val="222222"/>
          <w:u w:color="222222"/>
          <w:lang w:val="pl-PL"/>
        </w:rPr>
        <w:lastRenderedPageBreak/>
        <w:t xml:space="preserve">4 lata przebywała w Szwecji, nie próbując uregulować swego statusu, jeśli zaś rzeczywiście byłaby zagrożona, w jej interesie byłoby jak najszybciej stawić się przed władzami migracyjnymi, by uzyskać odpowiednią ochronę. Ponadto, w czasie zeznań składanych przed władzami szwedzkimi w grudniu 2011 r. nie wspominała o kwestiach związanych z przymusowym małżeństwem i pobiciem przez rodzinę, </w:t>
      </w:r>
      <w:r w:rsidR="00C164F1">
        <w:rPr>
          <w:rFonts w:cs="Times New Roman"/>
          <w:color w:val="222222"/>
          <w:u w:color="222222"/>
          <w:lang w:val="pl-PL"/>
        </w:rPr>
        <w:t xml:space="preserve">które to kwestie podniosła dopiero po ponad roku i które </w:t>
      </w:r>
      <w:r w:rsidR="00E329BA">
        <w:rPr>
          <w:rFonts w:cs="Times New Roman"/>
          <w:color w:val="222222"/>
          <w:u w:color="222222"/>
          <w:lang w:val="pl-PL"/>
        </w:rPr>
        <w:t>stały się obecnie jej głównym argumentem w odniesieniu d</w:t>
      </w:r>
      <w:r w:rsidR="00ED4BB5">
        <w:rPr>
          <w:rFonts w:cs="Times New Roman"/>
          <w:color w:val="222222"/>
          <w:u w:color="222222"/>
          <w:lang w:val="pl-PL"/>
        </w:rPr>
        <w:t>o</w:t>
      </w:r>
      <w:r w:rsidR="00E329BA">
        <w:rPr>
          <w:rFonts w:cs="Times New Roman"/>
          <w:color w:val="222222"/>
          <w:u w:color="222222"/>
          <w:lang w:val="pl-PL"/>
        </w:rPr>
        <w:t xml:space="preserve"> obaw przed powrotem do Somalii. </w:t>
      </w:r>
      <w:r w:rsidR="00C164F1">
        <w:rPr>
          <w:rFonts w:cs="Times New Roman"/>
          <w:color w:val="222222"/>
          <w:u w:color="222222"/>
          <w:lang w:val="pl-PL"/>
        </w:rPr>
        <w:t xml:space="preserve">Skarżąca nie wskazała też żadnych źródeł informacji, jakoby jej wuj przystąpił do organizacji islamistycznej. </w:t>
      </w:r>
    </w:p>
    <w:p w:rsidR="00C646F4" w:rsidRPr="00C12034" w:rsidRDefault="00132ECD" w:rsidP="00D83F4B">
      <w:pPr>
        <w:spacing w:after="120" w:line="240" w:lineRule="auto"/>
        <w:jc w:val="both"/>
        <w:rPr>
          <w:rFonts w:cs="Times New Roman"/>
          <w:color w:val="222222"/>
          <w:u w:color="222222"/>
          <w:lang w:val="pl-PL"/>
        </w:rPr>
      </w:pPr>
      <w:r>
        <w:rPr>
          <w:rStyle w:val="sfbbfee58"/>
          <w:lang w:val="pl-PL"/>
        </w:rPr>
        <w:t xml:space="preserve">W opinii Trybunału w zeznaniach skarżącej występowały poważne rozbieżności. Jej twierdzenia dotyczące jej przeżyć i zagrożenia, na jakie byłaby wystawiona, nie </w:t>
      </w:r>
      <w:r w:rsidR="00CD2851">
        <w:rPr>
          <w:rStyle w:val="sfbbfee58"/>
          <w:lang w:val="pl-PL"/>
        </w:rPr>
        <w:t>zostały uwiarygodnione</w:t>
      </w:r>
      <w:r>
        <w:rPr>
          <w:rStyle w:val="sfbbfee58"/>
          <w:lang w:val="pl-PL"/>
        </w:rPr>
        <w:t>. N</w:t>
      </w:r>
      <w:r w:rsidR="00C646F4" w:rsidRPr="00C646F4">
        <w:rPr>
          <w:rStyle w:val="sfbbfee58"/>
          <w:lang w:val="pl-PL"/>
        </w:rPr>
        <w:t xml:space="preserve">ie było </w:t>
      </w:r>
      <w:r>
        <w:rPr>
          <w:rStyle w:val="sfbbfee58"/>
          <w:lang w:val="pl-PL"/>
        </w:rPr>
        <w:t xml:space="preserve">więc </w:t>
      </w:r>
      <w:r w:rsidR="00C646F4" w:rsidRPr="00C646F4">
        <w:rPr>
          <w:rStyle w:val="sfbbfee58"/>
          <w:lang w:val="pl-PL"/>
        </w:rPr>
        <w:t xml:space="preserve">podstaw do stwierdzenia, że skarżąca powróci do Mogadiszu jako samotna kobieta </w:t>
      </w:r>
      <w:r w:rsidR="00C646F4">
        <w:rPr>
          <w:rStyle w:val="sfbbfee58"/>
          <w:lang w:val="pl-PL"/>
        </w:rPr>
        <w:t>i</w:t>
      </w:r>
      <w:r w:rsidR="00C646F4" w:rsidRPr="00C646F4">
        <w:rPr>
          <w:rStyle w:val="sfbbfee58"/>
          <w:lang w:val="pl-PL"/>
        </w:rPr>
        <w:t xml:space="preserve"> będzie </w:t>
      </w:r>
      <w:r w:rsidR="00C646F4">
        <w:rPr>
          <w:rStyle w:val="sfbbfee58"/>
          <w:lang w:val="pl-PL"/>
        </w:rPr>
        <w:t xml:space="preserve">narażona na niebezpieczeństwa związane z tym statusem. </w:t>
      </w:r>
      <w:r w:rsidR="00C12034">
        <w:rPr>
          <w:rStyle w:val="sfbbfee58"/>
          <w:lang w:val="pl-PL"/>
        </w:rPr>
        <w:t xml:space="preserve">Należy uznać, że ma ona dostęp do wsparcia ze strony rodziny oraz </w:t>
      </w:r>
      <w:r>
        <w:rPr>
          <w:rStyle w:val="sfbbfee58"/>
          <w:lang w:val="pl-PL"/>
        </w:rPr>
        <w:t>męskiej opieki (w Mogadiszu zamieszkuje jej brat i wujkowie).</w:t>
      </w:r>
      <w:r w:rsidR="00C12034">
        <w:rPr>
          <w:rStyle w:val="sfbbfee58"/>
          <w:lang w:val="pl-PL"/>
        </w:rPr>
        <w:t xml:space="preserve"> Nie wykazano też, że w razie powrotu do kraju będzie zmuszona mieszkać w obozie dla uchodźców lub osób przesiedlonych. </w:t>
      </w:r>
      <w:r w:rsidR="00C12034" w:rsidRPr="00B931C5">
        <w:rPr>
          <w:rFonts w:cs="Times New Roman"/>
          <w:color w:val="222222"/>
          <w:u w:color="222222"/>
          <w:lang w:val="pl-PL"/>
        </w:rPr>
        <w:t>Z tych powodów Trybunał orzekł</w:t>
      </w:r>
      <w:r w:rsidR="00C12034">
        <w:rPr>
          <w:rFonts w:cs="Times New Roman"/>
          <w:color w:val="222222"/>
          <w:u w:color="222222"/>
          <w:lang w:val="pl-PL"/>
        </w:rPr>
        <w:t xml:space="preserve"> większością głosów 5 do 2, że d</w:t>
      </w:r>
      <w:r w:rsidR="00C12034">
        <w:rPr>
          <w:rStyle w:val="sfbbfee58"/>
          <w:lang w:val="pl-PL"/>
        </w:rPr>
        <w:t>eportacja skarżącej do Mogadiszu nie będzie się wiązać z naruszeniem art. 3 Konwencji.</w:t>
      </w:r>
      <w:r w:rsidR="00ED4BB5">
        <w:rPr>
          <w:rStyle w:val="sfbbfee58"/>
          <w:lang w:val="pl-PL"/>
        </w:rPr>
        <w:t xml:space="preserve"> </w:t>
      </w:r>
    </w:p>
    <w:p w:rsidR="00A36458" w:rsidRDefault="00A36458" w:rsidP="00EE41E1">
      <w:pPr>
        <w:spacing w:after="120" w:line="240" w:lineRule="auto"/>
        <w:jc w:val="both"/>
        <w:rPr>
          <w:rFonts w:cs="Times New Roman"/>
          <w:color w:val="222222"/>
          <w:u w:color="222222"/>
          <w:lang w:val="pl-PL"/>
        </w:rPr>
      </w:pPr>
      <w:r w:rsidRPr="00B931C5">
        <w:rPr>
          <w:rFonts w:cs="Times New Roman"/>
          <w:color w:val="222222"/>
          <w:u w:color="222222"/>
          <w:lang w:val="pl-PL"/>
        </w:rPr>
        <w:t xml:space="preserve">Zdanie odrębne w tej sprawie zgłosiło dwóch sędziów: </w:t>
      </w:r>
      <w:proofErr w:type="spellStart"/>
      <w:r w:rsidRPr="00B931C5">
        <w:rPr>
          <w:rFonts w:cs="Times New Roman"/>
          <w:color w:val="222222"/>
          <w:u w:color="222222"/>
          <w:lang w:val="pl-PL"/>
        </w:rPr>
        <w:t>Boštjan</w:t>
      </w:r>
      <w:proofErr w:type="spellEnd"/>
      <w:r w:rsidRPr="00B931C5">
        <w:rPr>
          <w:rFonts w:cs="Times New Roman"/>
          <w:color w:val="222222"/>
          <w:u w:color="222222"/>
          <w:lang w:val="pl-PL"/>
        </w:rPr>
        <w:t xml:space="preserve"> M. </w:t>
      </w:r>
      <w:proofErr w:type="spellStart"/>
      <w:r w:rsidRPr="00B931C5">
        <w:rPr>
          <w:rFonts w:cs="Times New Roman"/>
          <w:color w:val="222222"/>
          <w:u w:color="222222"/>
          <w:lang w:val="pl-PL"/>
        </w:rPr>
        <w:t>Zupančič</w:t>
      </w:r>
      <w:proofErr w:type="spellEnd"/>
      <w:r w:rsidRPr="00B931C5">
        <w:rPr>
          <w:rFonts w:cs="Times New Roman"/>
          <w:color w:val="222222"/>
          <w:u w:color="222222"/>
          <w:lang w:val="pl-PL"/>
        </w:rPr>
        <w:t xml:space="preserve"> i Vincent A. De Gaetano</w:t>
      </w:r>
      <w:r w:rsidR="00B931C5" w:rsidRPr="00B931C5">
        <w:rPr>
          <w:rFonts w:cs="Times New Roman"/>
          <w:color w:val="222222"/>
          <w:u w:color="222222"/>
          <w:lang w:val="pl-PL"/>
        </w:rPr>
        <w:t>.</w:t>
      </w:r>
      <w:r w:rsidRPr="00B931C5">
        <w:rPr>
          <w:rFonts w:cs="Times New Roman"/>
          <w:color w:val="222222"/>
          <w:u w:color="222222"/>
          <w:lang w:val="pl-PL"/>
        </w:rPr>
        <w:t xml:space="preserve"> </w:t>
      </w:r>
      <w:r w:rsidR="00132ECD">
        <w:rPr>
          <w:rFonts w:cs="Times New Roman"/>
          <w:color w:val="222222"/>
          <w:u w:color="222222"/>
          <w:lang w:val="pl-PL"/>
        </w:rPr>
        <w:t xml:space="preserve">Skrytykowali </w:t>
      </w:r>
      <w:r w:rsidR="00ED4BB5">
        <w:rPr>
          <w:rFonts w:cs="Times New Roman"/>
          <w:color w:val="222222"/>
          <w:u w:color="222222"/>
          <w:lang w:val="pl-PL"/>
        </w:rPr>
        <w:t xml:space="preserve">oni </w:t>
      </w:r>
      <w:r w:rsidR="00132ECD">
        <w:rPr>
          <w:rFonts w:cs="Times New Roman"/>
          <w:color w:val="222222"/>
          <w:u w:color="222222"/>
          <w:lang w:val="pl-PL"/>
        </w:rPr>
        <w:t xml:space="preserve">większość sędziów za przywiązywanie nadmiernej wagi do drobnych nieścisłości w oświadczeniach skarżącej i do </w:t>
      </w:r>
      <w:r w:rsidR="00923FFF">
        <w:rPr>
          <w:rFonts w:cs="Times New Roman"/>
          <w:color w:val="222222"/>
          <w:u w:color="222222"/>
          <w:lang w:val="pl-PL"/>
        </w:rPr>
        <w:t xml:space="preserve">pomniejszania trudnej sytuacji w Somalii. Zwrócili uwagę m.in. na fakt, że skarżąca, będąca samotną kobietą mieszkającą w Szwecji ponad 8 lat, zostanie zmuszona do powrotu do </w:t>
      </w:r>
      <w:r w:rsidR="00ED4BB5">
        <w:rPr>
          <w:rFonts w:cs="Times New Roman"/>
          <w:color w:val="222222"/>
          <w:u w:color="222222"/>
          <w:lang w:val="pl-PL"/>
        </w:rPr>
        <w:t xml:space="preserve">społeczeństwa </w:t>
      </w:r>
      <w:r w:rsidR="00923FFF">
        <w:rPr>
          <w:rFonts w:cs="Times New Roman"/>
          <w:color w:val="222222"/>
          <w:u w:color="222222"/>
          <w:lang w:val="pl-PL"/>
        </w:rPr>
        <w:t xml:space="preserve">w istocie nie funkcjonującego, które jest </w:t>
      </w:r>
      <w:r w:rsidR="00D00425">
        <w:rPr>
          <w:rFonts w:cs="Times New Roman"/>
          <w:color w:val="222222"/>
          <w:u w:color="222222"/>
          <w:lang w:val="pl-PL"/>
        </w:rPr>
        <w:t xml:space="preserve">ponadto </w:t>
      </w:r>
      <w:r w:rsidR="00923FFF">
        <w:rPr>
          <w:rFonts w:cs="Times New Roman"/>
          <w:color w:val="222222"/>
          <w:u w:color="222222"/>
          <w:lang w:val="pl-PL"/>
        </w:rPr>
        <w:t>wrogo nastawione do jej statusu i sposobu, w jaki żyła przez ostatnie 10 lat.</w:t>
      </w:r>
      <w:r w:rsidR="00ED4BB5">
        <w:rPr>
          <w:rFonts w:cs="Times New Roman"/>
          <w:color w:val="222222"/>
          <w:u w:color="222222"/>
          <w:lang w:val="pl-PL"/>
        </w:rPr>
        <w:t xml:space="preserve"> </w:t>
      </w:r>
    </w:p>
    <w:p w:rsidR="00F743F5" w:rsidRPr="00BC2C9D" w:rsidRDefault="001F021A" w:rsidP="00665941">
      <w:pPr>
        <w:spacing w:after="240" w:line="240" w:lineRule="auto"/>
        <w:jc w:val="both"/>
        <w:rPr>
          <w:rFonts w:cs="Times New Roman"/>
          <w:color w:val="222222"/>
          <w:lang w:val="pl-PL"/>
        </w:rPr>
      </w:pPr>
      <w:r>
        <w:rPr>
          <w:rFonts w:cs="Times New Roman"/>
          <w:color w:val="222222"/>
          <w:u w:val="single" w:color="222222"/>
          <w:lang w:val="pl-PL"/>
        </w:rPr>
        <w:t xml:space="preserve">Znaczenie wyroku dla </w:t>
      </w:r>
      <w:r w:rsidRPr="00185071">
        <w:rPr>
          <w:rFonts w:cs="Times New Roman"/>
          <w:color w:val="222222"/>
          <w:u w:val="single" w:color="222222"/>
          <w:lang w:val="pl-PL"/>
        </w:rPr>
        <w:t xml:space="preserve">Polski </w:t>
      </w:r>
      <w:r w:rsidRPr="00185071">
        <w:rPr>
          <w:rFonts w:cs="Times New Roman"/>
          <w:color w:val="222222"/>
          <w:lang w:val="pl-PL"/>
        </w:rPr>
        <w:t>–</w:t>
      </w:r>
      <w:r w:rsidR="00F21986" w:rsidRPr="00185071">
        <w:rPr>
          <w:rFonts w:cs="Times New Roman"/>
          <w:color w:val="222222"/>
          <w:lang w:val="pl-PL"/>
        </w:rPr>
        <w:t xml:space="preserve"> </w:t>
      </w:r>
      <w:r w:rsidRPr="00185071">
        <w:rPr>
          <w:rFonts w:cs="Times New Roman"/>
          <w:color w:val="222222"/>
          <w:lang w:val="pl-PL"/>
        </w:rPr>
        <w:t xml:space="preserve">wyrok wskazuje m.in. na </w:t>
      </w:r>
      <w:r w:rsidR="00185071">
        <w:rPr>
          <w:rFonts w:cs="Times New Roman"/>
          <w:color w:val="222222"/>
          <w:lang w:val="pl-PL"/>
        </w:rPr>
        <w:t xml:space="preserve">kryteria i sposób </w:t>
      </w:r>
      <w:r w:rsidR="00ED4BB5">
        <w:rPr>
          <w:rFonts w:cs="Times New Roman"/>
          <w:color w:val="222222"/>
          <w:lang w:val="pl-PL"/>
        </w:rPr>
        <w:t>oceniania</w:t>
      </w:r>
      <w:r w:rsidR="00F21986" w:rsidRPr="00185071">
        <w:rPr>
          <w:rFonts w:cs="Times New Roman"/>
          <w:color w:val="222222"/>
          <w:lang w:val="pl-PL"/>
        </w:rPr>
        <w:t xml:space="preserve"> </w:t>
      </w:r>
      <w:r w:rsidR="001375F1" w:rsidRPr="00185071">
        <w:rPr>
          <w:rFonts w:cs="Times New Roman"/>
          <w:color w:val="222222"/>
          <w:lang w:val="pl-PL"/>
        </w:rPr>
        <w:t xml:space="preserve">z punktu widzenia wymogów art. 2 i 3 Konwencji </w:t>
      </w:r>
      <w:r w:rsidR="00F21986" w:rsidRPr="00185071">
        <w:rPr>
          <w:rFonts w:cs="Times New Roman"/>
          <w:color w:val="222222"/>
          <w:lang w:val="pl-PL"/>
        </w:rPr>
        <w:t>sytuacji w kraju, do którego miałaby zostać d</w:t>
      </w:r>
      <w:r w:rsidR="001375F1">
        <w:rPr>
          <w:rFonts w:cs="Times New Roman"/>
          <w:color w:val="222222"/>
          <w:lang w:val="pl-PL"/>
        </w:rPr>
        <w:t>okonana deportacja cudzoziemca</w:t>
      </w:r>
      <w:r w:rsidR="00D00425">
        <w:rPr>
          <w:rFonts w:cs="Times New Roman"/>
          <w:color w:val="222222"/>
          <w:lang w:val="pl-PL"/>
        </w:rPr>
        <w:t xml:space="preserve"> </w:t>
      </w:r>
      <w:r w:rsidR="00D00425" w:rsidRPr="00185071">
        <w:rPr>
          <w:rFonts w:cs="Times New Roman"/>
          <w:color w:val="222222"/>
          <w:lang w:val="pl-PL"/>
        </w:rPr>
        <w:t>(zob. w szczególności para. 63-70</w:t>
      </w:r>
      <w:r w:rsidR="00D00425">
        <w:rPr>
          <w:rFonts w:cs="Times New Roman"/>
          <w:color w:val="222222"/>
          <w:lang w:val="pl-PL"/>
        </w:rPr>
        <w:t xml:space="preserve"> wyroku</w:t>
      </w:r>
      <w:r w:rsidR="00D00425" w:rsidRPr="00185071">
        <w:rPr>
          <w:rFonts w:cs="Times New Roman"/>
          <w:color w:val="222222"/>
          <w:lang w:val="pl-PL"/>
        </w:rPr>
        <w:t>)</w:t>
      </w:r>
      <w:r w:rsidR="00F743F5">
        <w:rPr>
          <w:rFonts w:cs="Times New Roman"/>
          <w:color w:val="222222"/>
          <w:lang w:val="pl-PL"/>
        </w:rPr>
        <w:t xml:space="preserve">. </w:t>
      </w:r>
    </w:p>
    <w:p w:rsidR="005D6FC8" w:rsidRPr="008831FD" w:rsidRDefault="00A023AC" w:rsidP="00665941">
      <w:pPr>
        <w:pStyle w:val="Nagwek2"/>
        <w:numPr>
          <w:ilvl w:val="0"/>
          <w:numId w:val="1"/>
        </w:numPr>
      </w:pPr>
      <w:bookmarkStart w:id="13" w:name="_Toc432502271"/>
      <w:proofErr w:type="spellStart"/>
      <w:r w:rsidRPr="008831FD">
        <w:t>A</w:t>
      </w:r>
      <w:r w:rsidR="005D6FC8" w:rsidRPr="008831FD">
        <w:t>ndonoski</w:t>
      </w:r>
      <w:proofErr w:type="spellEnd"/>
      <w:r w:rsidR="005D6FC8" w:rsidRPr="008831FD">
        <w:t xml:space="preserve"> </w:t>
      </w:r>
      <w:r w:rsidR="002D1FC8" w:rsidRPr="008831FD">
        <w:t>p. Macedonii</w:t>
      </w:r>
      <w:r w:rsidR="005D6FC8" w:rsidRPr="008831FD">
        <w:t xml:space="preserve"> (skarga nr 16225/08), wyrok Izby z 17.09.2015 r., nieostateczny</w:t>
      </w:r>
      <w:bookmarkEnd w:id="13"/>
    </w:p>
    <w:p w:rsidR="005D6FC8" w:rsidRPr="006E4659" w:rsidRDefault="00B931C5" w:rsidP="006E4659">
      <w:pPr>
        <w:keepNext/>
        <w:keepLines/>
        <w:spacing w:after="240" w:line="240" w:lineRule="auto"/>
        <w:jc w:val="both"/>
        <w:outlineLvl w:val="2"/>
        <w:rPr>
          <w:rFonts w:eastAsiaTheme="majorEastAsia" w:cstheme="majorBidi"/>
          <w:b/>
          <w:bCs/>
          <w:color w:val="000000" w:themeColor="text1"/>
          <w:lang w:val="pl-PL"/>
        </w:rPr>
      </w:pPr>
      <w:bookmarkStart w:id="14" w:name="_Toc432502272"/>
      <w:r w:rsidRPr="006E4659">
        <w:rPr>
          <w:rFonts w:eastAsiaTheme="majorEastAsia" w:cstheme="majorBidi"/>
          <w:b/>
          <w:bCs/>
          <w:color w:val="000000" w:themeColor="text1"/>
          <w:lang w:val="pl-PL"/>
        </w:rPr>
        <w:t>- n</w:t>
      </w:r>
      <w:r w:rsidR="005D6FC8" w:rsidRPr="006E4659">
        <w:rPr>
          <w:rFonts w:eastAsiaTheme="majorEastAsia" w:cstheme="majorBidi"/>
          <w:b/>
          <w:bCs/>
          <w:color w:val="000000" w:themeColor="text1"/>
          <w:lang w:val="pl-PL"/>
        </w:rPr>
        <w:t xml:space="preserve">aruszenie art. 1 Protokołu </w:t>
      </w:r>
      <w:r w:rsidR="003D51F0">
        <w:rPr>
          <w:rFonts w:eastAsiaTheme="majorEastAsia" w:cstheme="majorBidi"/>
          <w:b/>
          <w:bCs/>
          <w:color w:val="000000" w:themeColor="text1"/>
          <w:lang w:val="pl-PL"/>
        </w:rPr>
        <w:t xml:space="preserve">nr </w:t>
      </w:r>
      <w:r w:rsidR="005D6FC8" w:rsidRPr="006E4659">
        <w:rPr>
          <w:rFonts w:eastAsiaTheme="majorEastAsia" w:cstheme="majorBidi"/>
          <w:b/>
          <w:bCs/>
          <w:color w:val="000000" w:themeColor="text1"/>
          <w:lang w:val="pl-PL"/>
        </w:rPr>
        <w:t xml:space="preserve">1 do Konwencji </w:t>
      </w:r>
      <w:r w:rsidRPr="006E4659">
        <w:rPr>
          <w:rFonts w:eastAsiaTheme="majorEastAsia" w:cstheme="majorBidi"/>
          <w:b/>
          <w:bCs/>
          <w:color w:val="000000" w:themeColor="text1"/>
          <w:lang w:val="pl-PL"/>
        </w:rPr>
        <w:t xml:space="preserve">(ochrona własności) </w:t>
      </w:r>
      <w:r w:rsidR="005D6FC8" w:rsidRPr="006E4659">
        <w:rPr>
          <w:rFonts w:eastAsiaTheme="majorEastAsia" w:cstheme="majorBidi"/>
          <w:b/>
          <w:bCs/>
          <w:color w:val="000000" w:themeColor="text1"/>
          <w:lang w:val="pl-PL"/>
        </w:rPr>
        <w:t xml:space="preserve">w sprawie dotyczącej </w:t>
      </w:r>
      <w:r w:rsidR="00186510">
        <w:rPr>
          <w:rFonts w:eastAsiaTheme="majorEastAsia" w:cstheme="majorBidi"/>
          <w:b/>
          <w:bCs/>
          <w:color w:val="000000" w:themeColor="text1"/>
          <w:lang w:val="pl-PL"/>
        </w:rPr>
        <w:t xml:space="preserve">automatycznej </w:t>
      </w:r>
      <w:r w:rsidR="005D6FC8" w:rsidRPr="006E4659">
        <w:rPr>
          <w:rFonts w:eastAsiaTheme="majorEastAsia" w:cstheme="majorBidi"/>
          <w:b/>
          <w:bCs/>
          <w:color w:val="000000" w:themeColor="text1"/>
          <w:lang w:val="pl-PL"/>
        </w:rPr>
        <w:t>konfiskaty samochodu, który bez wiedzy i winy skarżącego został użyty do transportu nielegalnych imigrantów</w:t>
      </w:r>
      <w:bookmarkEnd w:id="14"/>
    </w:p>
    <w:p w:rsidR="005D6FC8" w:rsidRPr="00D83F4B" w:rsidRDefault="005D6FC8" w:rsidP="00D83F4B">
      <w:pPr>
        <w:spacing w:after="120" w:line="240" w:lineRule="auto"/>
        <w:jc w:val="both"/>
        <w:rPr>
          <w:rFonts w:ascii="Calibri" w:eastAsia="Times New Roman Bold" w:hAnsi="Calibri" w:cs="Times New Roman"/>
          <w:color w:val="222222"/>
          <w:u w:val="single" w:color="222222"/>
          <w:lang w:val="pl-PL"/>
        </w:rPr>
      </w:pPr>
      <w:r w:rsidRPr="00D83F4B">
        <w:rPr>
          <w:rFonts w:ascii="Calibri" w:eastAsia="Times New Roman Bold" w:hAnsi="Calibri" w:cs="Times New Roman"/>
          <w:color w:val="222222"/>
          <w:u w:val="single" w:color="222222"/>
          <w:lang w:val="pl-PL"/>
        </w:rPr>
        <w:t>Stan faktyczny i zarzuty skarżącego</w:t>
      </w:r>
    </w:p>
    <w:p w:rsidR="005D6FC8" w:rsidRPr="00D83F4B" w:rsidRDefault="005D6FC8" w:rsidP="00D83F4B">
      <w:pPr>
        <w:spacing w:after="120" w:line="240" w:lineRule="auto"/>
        <w:jc w:val="both"/>
        <w:rPr>
          <w:rFonts w:ascii="Calibri" w:hAnsi="Calibri" w:cs="Times New Roman"/>
          <w:lang w:val="pl-PL"/>
        </w:rPr>
      </w:pPr>
      <w:r w:rsidRPr="00D83F4B">
        <w:rPr>
          <w:rFonts w:ascii="Calibri" w:hAnsi="Calibri" w:cs="Times New Roman"/>
          <w:lang w:val="pl-PL"/>
        </w:rPr>
        <w:t xml:space="preserve">W lipcu 2007 r. do taksówki </w:t>
      </w:r>
      <w:r w:rsidR="00590AAD">
        <w:rPr>
          <w:rFonts w:ascii="Calibri" w:hAnsi="Calibri" w:cs="Times New Roman"/>
          <w:lang w:val="pl-PL"/>
        </w:rPr>
        <w:t>skarżącego</w:t>
      </w:r>
      <w:r w:rsidRPr="00D83F4B">
        <w:rPr>
          <w:rFonts w:ascii="Calibri" w:hAnsi="Calibri" w:cs="Times New Roman"/>
          <w:lang w:val="pl-PL"/>
        </w:rPr>
        <w:t>, obywatela Macedonii</w:t>
      </w:r>
      <w:r w:rsidR="008B11A2">
        <w:rPr>
          <w:rFonts w:ascii="Calibri" w:hAnsi="Calibri" w:cs="Times New Roman"/>
          <w:lang w:val="pl-PL"/>
        </w:rPr>
        <w:t xml:space="preserve">, wsiadło trzech mężczyzn </w:t>
      </w:r>
      <w:r w:rsidRPr="00D83F4B">
        <w:rPr>
          <w:rFonts w:ascii="Calibri" w:hAnsi="Calibri" w:cs="Times New Roman"/>
          <w:lang w:val="pl-PL"/>
        </w:rPr>
        <w:t xml:space="preserve">narodowości albańskiej </w:t>
      </w:r>
      <w:r w:rsidR="008B11A2">
        <w:rPr>
          <w:rFonts w:ascii="Calibri" w:hAnsi="Calibri" w:cs="Times New Roman"/>
          <w:lang w:val="pl-PL"/>
        </w:rPr>
        <w:t>(</w:t>
      </w:r>
      <w:r w:rsidRPr="00D83F4B">
        <w:rPr>
          <w:rFonts w:ascii="Calibri" w:hAnsi="Calibri" w:cs="Times New Roman"/>
          <w:lang w:val="pl-PL"/>
        </w:rPr>
        <w:t>jak ustalono w dalszym śledztwie</w:t>
      </w:r>
      <w:r w:rsidR="008B11A2">
        <w:rPr>
          <w:rFonts w:ascii="Calibri" w:hAnsi="Calibri" w:cs="Times New Roman"/>
          <w:lang w:val="pl-PL"/>
        </w:rPr>
        <w:t>)</w:t>
      </w:r>
      <w:r w:rsidRPr="00D83F4B">
        <w:rPr>
          <w:rFonts w:ascii="Calibri" w:hAnsi="Calibri" w:cs="Times New Roman"/>
          <w:lang w:val="pl-PL"/>
        </w:rPr>
        <w:t xml:space="preserve">. Jeden z nich, P.K., mówił płynnie po macedońsku, dwóch pozostałych milczało przez całą podróż. Skarżący został poinformowany, iż jadą oni do pracy do miasta </w:t>
      </w:r>
      <w:proofErr w:type="spellStart"/>
      <w:r w:rsidRPr="00D83F4B">
        <w:rPr>
          <w:rFonts w:ascii="Calibri" w:hAnsi="Calibri" w:cs="Times New Roman"/>
          <w:lang w:val="pl-PL"/>
        </w:rPr>
        <w:t>Vitolište</w:t>
      </w:r>
      <w:proofErr w:type="spellEnd"/>
      <w:r w:rsidRPr="00D83F4B">
        <w:rPr>
          <w:rFonts w:ascii="Calibri" w:hAnsi="Calibri" w:cs="Times New Roman"/>
          <w:lang w:val="pl-PL"/>
        </w:rPr>
        <w:t xml:space="preserve">. Około godziny 16:00 policja zatrzymała pojazd. Podczas kontroli okazało się, iż imigranci nie mają ze sobą żadnych dokumentów. Zarówno skarżący, jak i pasażerowie, zostali aresztowani, a samochód skarżącego tymczasowo zatrzymano. </w:t>
      </w:r>
    </w:p>
    <w:p w:rsidR="005D6FC8" w:rsidRPr="00D83F4B" w:rsidRDefault="00590AAD" w:rsidP="00D83F4B">
      <w:pPr>
        <w:spacing w:after="120" w:line="240" w:lineRule="auto"/>
        <w:jc w:val="both"/>
        <w:rPr>
          <w:rFonts w:ascii="Calibri" w:hAnsi="Calibri" w:cs="Times New Roman"/>
          <w:lang w:val="pl-PL"/>
        </w:rPr>
      </w:pPr>
      <w:r>
        <w:rPr>
          <w:rFonts w:ascii="Calibri" w:hAnsi="Calibri" w:cs="Times New Roman"/>
          <w:lang w:val="pl-PL"/>
        </w:rPr>
        <w:t>W sierpniu</w:t>
      </w:r>
      <w:r w:rsidR="005D6FC8" w:rsidRPr="00D83F4B">
        <w:rPr>
          <w:rFonts w:ascii="Calibri" w:hAnsi="Calibri" w:cs="Times New Roman"/>
          <w:lang w:val="pl-PL"/>
        </w:rPr>
        <w:t xml:space="preserve"> 2007 r. prokurator wycofał zarzuty przeciwko skarżącemu</w:t>
      </w:r>
      <w:r w:rsidR="00D00425">
        <w:rPr>
          <w:rFonts w:ascii="Calibri" w:hAnsi="Calibri" w:cs="Times New Roman"/>
          <w:lang w:val="pl-PL"/>
        </w:rPr>
        <w:t>, uwzględniając fakt</w:t>
      </w:r>
      <w:r>
        <w:rPr>
          <w:rFonts w:ascii="Calibri" w:hAnsi="Calibri" w:cs="Times New Roman"/>
          <w:lang w:val="pl-PL"/>
        </w:rPr>
        <w:t>, iż</w:t>
      </w:r>
      <w:r w:rsidR="005D6FC8" w:rsidRPr="00D83F4B">
        <w:rPr>
          <w:rFonts w:ascii="Calibri" w:hAnsi="Calibri" w:cs="Times New Roman"/>
          <w:lang w:val="pl-PL"/>
        </w:rPr>
        <w:t xml:space="preserve"> </w:t>
      </w:r>
      <w:r w:rsidR="00D00425">
        <w:rPr>
          <w:rFonts w:ascii="Calibri" w:hAnsi="Calibri" w:cs="Times New Roman"/>
          <w:lang w:val="pl-PL"/>
        </w:rPr>
        <w:t xml:space="preserve">skarżący </w:t>
      </w:r>
      <w:r w:rsidR="005D6FC8" w:rsidRPr="00D83F4B">
        <w:rPr>
          <w:rFonts w:ascii="Calibri" w:hAnsi="Calibri" w:cs="Times New Roman"/>
          <w:lang w:val="pl-PL"/>
        </w:rPr>
        <w:t xml:space="preserve">nie wiedział i nie mógł wiedzieć, iż transportuje nielegalnych imigrantów, </w:t>
      </w:r>
      <w:r w:rsidR="00186510">
        <w:rPr>
          <w:rFonts w:ascii="Calibri" w:hAnsi="Calibri" w:cs="Times New Roman"/>
          <w:lang w:val="pl-PL"/>
        </w:rPr>
        <w:t xml:space="preserve">nigdy wcześniej </w:t>
      </w:r>
      <w:r w:rsidR="005D6FC8" w:rsidRPr="00D83F4B">
        <w:rPr>
          <w:rFonts w:ascii="Calibri" w:hAnsi="Calibri" w:cs="Times New Roman"/>
          <w:lang w:val="pl-PL"/>
        </w:rPr>
        <w:t>nie kontaktował się z nimi, a fakt, iż jeden z mężczyzn posługiwał się płynnie językiem macedońskim, mógł wywołać u niego uzasadnione przekonanie, że wszyscy pasażerowie są obywatelami Macedonii.</w:t>
      </w:r>
      <w:r w:rsidR="00ED4BB5">
        <w:rPr>
          <w:rFonts w:ascii="Calibri" w:hAnsi="Calibri" w:cs="Times New Roman"/>
          <w:lang w:val="pl-PL"/>
        </w:rPr>
        <w:t xml:space="preserve"> </w:t>
      </w:r>
    </w:p>
    <w:p w:rsidR="005D6FC8" w:rsidRPr="00D83F4B" w:rsidRDefault="005D6FC8" w:rsidP="00D83F4B">
      <w:pPr>
        <w:spacing w:after="120" w:line="240" w:lineRule="auto"/>
        <w:jc w:val="both"/>
        <w:rPr>
          <w:rFonts w:ascii="Calibri" w:hAnsi="Calibri" w:cs="Times New Roman"/>
          <w:lang w:val="pl-PL"/>
        </w:rPr>
      </w:pPr>
      <w:r w:rsidRPr="00D83F4B">
        <w:rPr>
          <w:rFonts w:ascii="Calibri" w:hAnsi="Calibri" w:cs="Times New Roman"/>
          <w:lang w:val="pl-PL"/>
        </w:rPr>
        <w:t xml:space="preserve">We wrześniu 2007 r. Sąd Rejonowy skazał P.K. za przemyt migrantów, jednocześnie nakazując konfiskatę samochodu skarżącego, który posłużył do popełnienia przestępstwa. W apelacji skarżący podnosił, iż nie został skazany, </w:t>
      </w:r>
      <w:r w:rsidR="00590AAD">
        <w:rPr>
          <w:rFonts w:ascii="Calibri" w:hAnsi="Calibri" w:cs="Times New Roman"/>
          <w:lang w:val="pl-PL"/>
        </w:rPr>
        <w:t xml:space="preserve">a </w:t>
      </w:r>
      <w:r w:rsidRPr="00D83F4B">
        <w:rPr>
          <w:rFonts w:ascii="Calibri" w:hAnsi="Calibri" w:cs="Times New Roman"/>
          <w:lang w:val="pl-PL"/>
        </w:rPr>
        <w:t xml:space="preserve">zarzuty przeciwko niemu wycofano, skazany P.K. podróżował </w:t>
      </w:r>
      <w:r w:rsidR="008B11A2">
        <w:rPr>
          <w:rFonts w:ascii="Calibri" w:hAnsi="Calibri" w:cs="Times New Roman"/>
          <w:lang w:val="pl-PL"/>
        </w:rPr>
        <w:t xml:space="preserve">zaś </w:t>
      </w:r>
      <w:r w:rsidRPr="00D83F4B">
        <w:rPr>
          <w:rFonts w:ascii="Calibri" w:hAnsi="Calibri" w:cs="Times New Roman"/>
          <w:lang w:val="pl-PL"/>
        </w:rPr>
        <w:t xml:space="preserve">jego taksówką jedynie jako pasażer. Sąd Apelacyjny oddalił apelację skarżącego, powołując się na przepis </w:t>
      </w:r>
      <w:r w:rsidR="00590AAD" w:rsidRPr="00D83F4B">
        <w:rPr>
          <w:rFonts w:ascii="Calibri" w:hAnsi="Calibri" w:cs="Times New Roman"/>
          <w:lang w:val="pl-PL"/>
        </w:rPr>
        <w:t xml:space="preserve">Kodeksu </w:t>
      </w:r>
      <w:r w:rsidR="008B11A2" w:rsidRPr="00D83F4B">
        <w:rPr>
          <w:rFonts w:ascii="Calibri" w:hAnsi="Calibri" w:cs="Times New Roman"/>
          <w:lang w:val="pl-PL"/>
        </w:rPr>
        <w:t>karnego</w:t>
      </w:r>
      <w:r w:rsidRPr="00D83F4B">
        <w:rPr>
          <w:rFonts w:ascii="Calibri" w:hAnsi="Calibri" w:cs="Times New Roman"/>
          <w:lang w:val="pl-PL"/>
        </w:rPr>
        <w:t>, przewidujący bezwarunkową konfiskatę przedmiotów oraz środków transportu użytych do popełnienia przestępstwa przemytu migrantów.</w:t>
      </w:r>
    </w:p>
    <w:p w:rsidR="005D6FC8" w:rsidRPr="00D83F4B" w:rsidRDefault="008B11A2" w:rsidP="00D83F4B">
      <w:pPr>
        <w:spacing w:after="120" w:line="240" w:lineRule="auto"/>
        <w:jc w:val="both"/>
        <w:rPr>
          <w:rFonts w:ascii="Calibri" w:hAnsi="Calibri" w:cs="Times New Roman"/>
          <w:lang w:val="pl-PL"/>
        </w:rPr>
      </w:pPr>
      <w:r>
        <w:rPr>
          <w:rFonts w:ascii="Calibri" w:hAnsi="Calibri" w:cs="Times New Roman"/>
          <w:lang w:val="pl-PL"/>
        </w:rPr>
        <w:lastRenderedPageBreak/>
        <w:t>S</w:t>
      </w:r>
      <w:r w:rsidR="005D6FC8" w:rsidRPr="00D83F4B">
        <w:rPr>
          <w:rFonts w:ascii="Calibri" w:hAnsi="Calibri" w:cs="Times New Roman"/>
          <w:lang w:val="pl-PL"/>
        </w:rPr>
        <w:t xml:space="preserve">karżący zarzucił naruszenie art. 6 Konwencji, gdyż jego samochód został skonfiskowany, pomimo iż sam skarżący nie został skazany. Trybunał </w:t>
      </w:r>
      <w:r>
        <w:rPr>
          <w:rFonts w:ascii="Calibri" w:hAnsi="Calibri" w:cs="Times New Roman"/>
          <w:lang w:val="pl-PL"/>
        </w:rPr>
        <w:t>rozpatrzył jednak</w:t>
      </w:r>
      <w:r w:rsidR="005D6FC8" w:rsidRPr="00D83F4B">
        <w:rPr>
          <w:rFonts w:ascii="Calibri" w:hAnsi="Calibri" w:cs="Times New Roman"/>
          <w:lang w:val="pl-PL"/>
        </w:rPr>
        <w:t xml:space="preserve"> sprawę pod kątem naruszenia art. 1 Protokołu </w:t>
      </w:r>
      <w:r>
        <w:rPr>
          <w:rFonts w:ascii="Calibri" w:hAnsi="Calibri" w:cs="Times New Roman"/>
          <w:lang w:val="pl-PL"/>
        </w:rPr>
        <w:t xml:space="preserve">nr </w:t>
      </w:r>
      <w:r w:rsidR="005D6FC8" w:rsidRPr="00D83F4B">
        <w:rPr>
          <w:rFonts w:ascii="Calibri" w:hAnsi="Calibri" w:cs="Times New Roman"/>
          <w:lang w:val="pl-PL"/>
        </w:rPr>
        <w:t>1</w:t>
      </w:r>
      <w:r>
        <w:rPr>
          <w:rFonts w:ascii="Calibri" w:hAnsi="Calibri" w:cs="Times New Roman"/>
          <w:lang w:val="pl-PL"/>
        </w:rPr>
        <w:t xml:space="preserve"> w odniesieniu do konfiskaty</w:t>
      </w:r>
      <w:r w:rsidR="005D6FC8" w:rsidRPr="00D83F4B">
        <w:rPr>
          <w:rFonts w:ascii="Calibri" w:hAnsi="Calibri" w:cs="Times New Roman"/>
          <w:lang w:val="pl-PL"/>
        </w:rPr>
        <w:t xml:space="preserve"> przez władze samochodu skarżącego. </w:t>
      </w:r>
    </w:p>
    <w:p w:rsidR="005D6FC8" w:rsidRPr="00D83F4B" w:rsidRDefault="005D6FC8" w:rsidP="00D83F4B">
      <w:pPr>
        <w:spacing w:after="120" w:line="240" w:lineRule="auto"/>
        <w:jc w:val="both"/>
        <w:rPr>
          <w:rFonts w:ascii="Calibri" w:hAnsi="Calibri" w:cs="Times New Roman"/>
          <w:u w:val="single"/>
          <w:lang w:val="pl-PL"/>
        </w:rPr>
      </w:pPr>
      <w:r w:rsidRPr="00D83F4B">
        <w:rPr>
          <w:rFonts w:ascii="Calibri" w:hAnsi="Calibri" w:cs="Times New Roman"/>
          <w:u w:val="single"/>
          <w:lang w:val="pl-PL"/>
        </w:rPr>
        <w:t>Ocena Trybunału</w:t>
      </w:r>
    </w:p>
    <w:p w:rsidR="005D6FC8" w:rsidRPr="00D83F4B" w:rsidRDefault="005D6FC8" w:rsidP="00D83F4B">
      <w:pPr>
        <w:spacing w:after="120" w:line="240" w:lineRule="auto"/>
        <w:jc w:val="both"/>
        <w:rPr>
          <w:rFonts w:ascii="Calibri" w:hAnsi="Calibri" w:cs="Times New Roman"/>
          <w:lang w:val="pl-PL"/>
        </w:rPr>
      </w:pPr>
      <w:r w:rsidRPr="00D83F4B">
        <w:rPr>
          <w:rFonts w:ascii="Calibri" w:hAnsi="Calibri" w:cs="Times New Roman"/>
          <w:lang w:val="pl-PL"/>
        </w:rPr>
        <w:t xml:space="preserve">Konfiskata samochodu skarżącego stanowiła ingerencję w jego prawa gwarantowane art. 1 Protokołu 1 do Konwencji. </w:t>
      </w:r>
      <w:r w:rsidR="00186510">
        <w:rPr>
          <w:rFonts w:ascii="Calibri" w:hAnsi="Calibri" w:cs="Times New Roman"/>
          <w:lang w:val="pl-PL"/>
        </w:rPr>
        <w:t>Z</w:t>
      </w:r>
      <w:r w:rsidR="00BE1F70">
        <w:rPr>
          <w:rFonts w:ascii="Calibri" w:hAnsi="Calibri" w:cs="Times New Roman"/>
          <w:lang w:val="pl-PL"/>
        </w:rPr>
        <w:t xml:space="preserve"> uwagi na fakt, że </w:t>
      </w:r>
      <w:r w:rsidRPr="00D83F4B">
        <w:rPr>
          <w:rFonts w:ascii="Calibri" w:hAnsi="Calibri" w:cs="Times New Roman"/>
          <w:lang w:val="pl-PL"/>
        </w:rPr>
        <w:t xml:space="preserve">konfiskata </w:t>
      </w:r>
      <w:r w:rsidR="00186510">
        <w:rPr>
          <w:rFonts w:ascii="Calibri" w:hAnsi="Calibri" w:cs="Times New Roman"/>
          <w:lang w:val="pl-PL"/>
        </w:rPr>
        <w:t>ta</w:t>
      </w:r>
      <w:r w:rsidRPr="00D83F4B">
        <w:rPr>
          <w:rFonts w:ascii="Calibri" w:hAnsi="Calibri" w:cs="Times New Roman"/>
          <w:lang w:val="pl-PL"/>
        </w:rPr>
        <w:t xml:space="preserve"> miała charakter trwały i skutkowała definitywnym przeniesieniem własności</w:t>
      </w:r>
      <w:r w:rsidR="00BE1F70">
        <w:rPr>
          <w:rFonts w:ascii="Calibri" w:hAnsi="Calibri" w:cs="Times New Roman"/>
          <w:lang w:val="pl-PL"/>
        </w:rPr>
        <w:t xml:space="preserve"> rzeczy</w:t>
      </w:r>
      <w:r w:rsidRPr="00D83F4B">
        <w:rPr>
          <w:rFonts w:ascii="Calibri" w:hAnsi="Calibri" w:cs="Times New Roman"/>
          <w:lang w:val="pl-PL"/>
        </w:rPr>
        <w:t xml:space="preserve">, stanowiła </w:t>
      </w:r>
      <w:r w:rsidR="00BE1F70">
        <w:rPr>
          <w:rFonts w:ascii="Calibri" w:hAnsi="Calibri" w:cs="Times New Roman"/>
          <w:lang w:val="pl-PL"/>
        </w:rPr>
        <w:t xml:space="preserve">ona </w:t>
      </w:r>
      <w:r w:rsidRPr="00D83F4B">
        <w:rPr>
          <w:rFonts w:ascii="Calibri" w:hAnsi="Calibri" w:cs="Times New Roman"/>
          <w:lang w:val="pl-PL"/>
        </w:rPr>
        <w:t xml:space="preserve">pozbawienie własności w </w:t>
      </w:r>
      <w:r w:rsidRPr="0016025A">
        <w:rPr>
          <w:rFonts w:ascii="Calibri" w:hAnsi="Calibri" w:cs="Times New Roman"/>
          <w:lang w:val="pl-PL"/>
        </w:rPr>
        <w:t xml:space="preserve">rozumieniu </w:t>
      </w:r>
      <w:r w:rsidR="00BE1F70" w:rsidRPr="0016025A">
        <w:rPr>
          <w:rFonts w:ascii="Calibri" w:hAnsi="Calibri" w:cs="Times New Roman"/>
          <w:lang w:val="pl-PL"/>
        </w:rPr>
        <w:t>zdania drugiego</w:t>
      </w:r>
      <w:r w:rsidR="00BE1F70">
        <w:rPr>
          <w:rFonts w:ascii="Calibri" w:hAnsi="Calibri" w:cs="Times New Roman"/>
          <w:lang w:val="pl-PL"/>
        </w:rPr>
        <w:t xml:space="preserve"> </w:t>
      </w:r>
      <w:r w:rsidRPr="00D83F4B">
        <w:rPr>
          <w:rFonts w:ascii="Calibri" w:hAnsi="Calibri" w:cs="Times New Roman"/>
          <w:lang w:val="pl-PL"/>
        </w:rPr>
        <w:t xml:space="preserve">art. 1 Protokołu 1 i powinna odpowiadać warunkom w nim przewidzianym. </w:t>
      </w:r>
    </w:p>
    <w:p w:rsidR="005D6FC8" w:rsidRPr="00D83F4B" w:rsidRDefault="005D6FC8" w:rsidP="00D83F4B">
      <w:pPr>
        <w:spacing w:after="120" w:line="240" w:lineRule="auto"/>
        <w:jc w:val="both"/>
        <w:rPr>
          <w:rFonts w:ascii="Calibri" w:hAnsi="Calibri" w:cs="Times New Roman"/>
          <w:lang w:val="pl-PL"/>
        </w:rPr>
      </w:pPr>
      <w:r w:rsidRPr="00D83F4B">
        <w:rPr>
          <w:rFonts w:ascii="Calibri" w:hAnsi="Calibri" w:cs="Times New Roman"/>
          <w:lang w:val="pl-PL"/>
        </w:rPr>
        <w:t>Konfiskata jako środek karny była przewidziana przez prawo w celu zapobiegania nielegalnej imigracji oraz handlu ludźmi, który to cel mo</w:t>
      </w:r>
      <w:r w:rsidR="00186510">
        <w:rPr>
          <w:rFonts w:ascii="Calibri" w:hAnsi="Calibri" w:cs="Times New Roman"/>
          <w:lang w:val="pl-PL"/>
        </w:rPr>
        <w:t xml:space="preserve">żna, w opinii Trybunału, </w:t>
      </w:r>
      <w:r w:rsidRPr="00D83F4B">
        <w:rPr>
          <w:rFonts w:ascii="Calibri" w:hAnsi="Calibri" w:cs="Times New Roman"/>
          <w:lang w:val="pl-PL"/>
        </w:rPr>
        <w:t xml:space="preserve">uznać za prawnie uzasadniony. </w:t>
      </w:r>
      <w:r w:rsidR="00BE1F70">
        <w:rPr>
          <w:rFonts w:ascii="Calibri" w:hAnsi="Calibri" w:cs="Times New Roman"/>
          <w:lang w:val="pl-PL"/>
        </w:rPr>
        <w:t>Badając, czy zachowano równowagę</w:t>
      </w:r>
      <w:r w:rsidRPr="00D83F4B">
        <w:rPr>
          <w:rFonts w:ascii="Calibri" w:hAnsi="Calibri" w:cs="Times New Roman"/>
          <w:lang w:val="pl-PL"/>
        </w:rPr>
        <w:t xml:space="preserve"> między dążeniem do tego celu a </w:t>
      </w:r>
      <w:r w:rsidR="00BE1F70">
        <w:rPr>
          <w:rFonts w:ascii="Calibri" w:hAnsi="Calibri" w:cs="Times New Roman"/>
          <w:lang w:val="pl-PL"/>
        </w:rPr>
        <w:t>poszanowaniem praw</w:t>
      </w:r>
      <w:r w:rsidRPr="00D83F4B">
        <w:rPr>
          <w:rFonts w:ascii="Calibri" w:hAnsi="Calibri" w:cs="Times New Roman"/>
          <w:lang w:val="pl-PL"/>
        </w:rPr>
        <w:t xml:space="preserve"> skarżącego, </w:t>
      </w:r>
      <w:r w:rsidR="00BE1F70">
        <w:rPr>
          <w:rFonts w:ascii="Calibri" w:hAnsi="Calibri" w:cs="Times New Roman"/>
          <w:lang w:val="pl-PL"/>
        </w:rPr>
        <w:t xml:space="preserve">Trybunał </w:t>
      </w:r>
      <w:r w:rsidR="00186510">
        <w:rPr>
          <w:rFonts w:ascii="Calibri" w:hAnsi="Calibri" w:cs="Times New Roman"/>
          <w:lang w:val="pl-PL"/>
        </w:rPr>
        <w:t>podkreślił</w:t>
      </w:r>
      <w:r w:rsidR="00BE1F70">
        <w:rPr>
          <w:rFonts w:ascii="Calibri" w:hAnsi="Calibri" w:cs="Times New Roman"/>
          <w:lang w:val="pl-PL"/>
        </w:rPr>
        <w:t xml:space="preserve">, że </w:t>
      </w:r>
      <w:r w:rsidRPr="00D83F4B">
        <w:rPr>
          <w:rFonts w:ascii="Calibri" w:hAnsi="Calibri" w:cs="Times New Roman"/>
          <w:lang w:val="pl-PL"/>
        </w:rPr>
        <w:t xml:space="preserve">należy wziąć pod uwagę </w:t>
      </w:r>
      <w:r w:rsidR="00186510">
        <w:rPr>
          <w:rFonts w:ascii="Calibri" w:hAnsi="Calibri" w:cs="Times New Roman"/>
          <w:lang w:val="pl-PL"/>
        </w:rPr>
        <w:t xml:space="preserve">szereg </w:t>
      </w:r>
      <w:r w:rsidRPr="00D83F4B">
        <w:rPr>
          <w:rFonts w:ascii="Calibri" w:hAnsi="Calibri" w:cs="Times New Roman"/>
          <w:lang w:val="pl-PL"/>
        </w:rPr>
        <w:t xml:space="preserve">czynników, w tym także zachowanie właściciela. Pojazd skarżącego w niniejszej sprawie skonfiskowano w związku z postępowaniem karnym przeciwko osobie trzeciej. Zarzuty wobec samego skarżącego zostały wycofane, jako że nie brał on świadomie udziału w </w:t>
      </w:r>
      <w:r w:rsidR="00E950FC">
        <w:rPr>
          <w:rFonts w:ascii="Calibri" w:hAnsi="Calibri" w:cs="Times New Roman"/>
          <w:lang w:val="pl-PL"/>
        </w:rPr>
        <w:t xml:space="preserve">przewozie </w:t>
      </w:r>
      <w:r w:rsidRPr="00D83F4B">
        <w:rPr>
          <w:rFonts w:ascii="Calibri" w:hAnsi="Calibri" w:cs="Times New Roman"/>
          <w:lang w:val="pl-PL"/>
        </w:rPr>
        <w:t xml:space="preserve">nielegalnych imigrantów. Co więcej, samochód służył skarżącemu w celach zarobkowych i nie był nigdy wcześniej użyty do popełnienia przestępstwa. Nic nie wskazuje też na to, aby kiedykolwiek w przyszłości miał do tego posłużyć. </w:t>
      </w:r>
    </w:p>
    <w:p w:rsidR="005D6FC8" w:rsidRDefault="005D6FC8" w:rsidP="00D83F4B">
      <w:pPr>
        <w:spacing w:after="120" w:line="240" w:lineRule="auto"/>
        <w:jc w:val="both"/>
        <w:rPr>
          <w:rFonts w:ascii="Calibri" w:hAnsi="Calibri" w:cs="Times New Roman"/>
          <w:lang w:val="pl-PL"/>
        </w:rPr>
      </w:pPr>
      <w:r w:rsidRPr="00D83F4B">
        <w:rPr>
          <w:rFonts w:ascii="Calibri" w:hAnsi="Calibri" w:cs="Times New Roman"/>
          <w:lang w:val="pl-PL"/>
        </w:rPr>
        <w:t xml:space="preserve">Kodeks karny Macedonii nakazuje obowiązkową konfiskatę pojazdu w przypadku użycia go do przemytu migrantów, nie przewidując </w:t>
      </w:r>
      <w:r w:rsidR="00E950FC">
        <w:rPr>
          <w:rFonts w:ascii="Calibri" w:hAnsi="Calibri" w:cs="Times New Roman"/>
          <w:lang w:val="pl-PL"/>
        </w:rPr>
        <w:t xml:space="preserve">w tym względzie </w:t>
      </w:r>
      <w:r w:rsidRPr="00D83F4B">
        <w:rPr>
          <w:rFonts w:ascii="Calibri" w:hAnsi="Calibri" w:cs="Times New Roman"/>
          <w:lang w:val="pl-PL"/>
        </w:rPr>
        <w:t>żadnych wyjątków</w:t>
      </w:r>
      <w:r w:rsidR="00E03076">
        <w:rPr>
          <w:rFonts w:ascii="Calibri" w:hAnsi="Calibri" w:cs="Times New Roman"/>
          <w:lang w:val="pl-PL"/>
        </w:rPr>
        <w:t xml:space="preserve"> i niezależnie od tego, czy przestępstwo zostało popełnione przez właściciela, czy też osobę trzecią</w:t>
      </w:r>
      <w:r w:rsidRPr="00D83F4B">
        <w:rPr>
          <w:rFonts w:ascii="Calibri" w:hAnsi="Calibri" w:cs="Times New Roman"/>
          <w:lang w:val="pl-PL"/>
        </w:rPr>
        <w:t xml:space="preserve">. Taka automatyczna konfiskata pozbawiła skarżącego możliwości skutecznej ochrony swoich praw, a sądy krajowe nie miały żadnej dowolności i nie mogły rozpatrzyć sprawy w świetle przedstawionych wyżej faktów. Nie przewidziano też procedury ewentualnego dochodzenia odszkodowania od oskarżonego przez osoby trzecie w razie konfiskaty ich mienia. </w:t>
      </w:r>
    </w:p>
    <w:p w:rsidR="005D6FC8" w:rsidRPr="00D83F4B" w:rsidRDefault="005D6FC8" w:rsidP="00D83F4B">
      <w:pPr>
        <w:spacing w:after="120" w:line="240" w:lineRule="auto"/>
        <w:jc w:val="both"/>
        <w:rPr>
          <w:rFonts w:ascii="Calibri" w:hAnsi="Calibri" w:cs="Times New Roman"/>
          <w:lang w:val="pl-PL"/>
        </w:rPr>
      </w:pPr>
      <w:r w:rsidRPr="00D83F4B">
        <w:rPr>
          <w:rFonts w:ascii="Calibri" w:hAnsi="Calibri" w:cs="Times New Roman"/>
          <w:lang w:val="pl-PL"/>
        </w:rPr>
        <w:t>Wobec powyższego Trybunał uznał konfiskatę samochodu s</w:t>
      </w:r>
      <w:r w:rsidR="00E03076">
        <w:rPr>
          <w:rFonts w:ascii="Calibri" w:hAnsi="Calibri" w:cs="Times New Roman"/>
          <w:lang w:val="pl-PL"/>
        </w:rPr>
        <w:t xml:space="preserve">karżącego za nieproporcjonalną, </w:t>
      </w:r>
      <w:r w:rsidRPr="00D83F4B">
        <w:rPr>
          <w:rFonts w:ascii="Calibri" w:hAnsi="Calibri" w:cs="Times New Roman"/>
          <w:lang w:val="pl-PL"/>
        </w:rPr>
        <w:t xml:space="preserve">stwierdzając tym samym naruszenie przez Macedonię art. 1 Protokołu </w:t>
      </w:r>
      <w:r w:rsidR="00E950FC">
        <w:rPr>
          <w:rFonts w:ascii="Calibri" w:hAnsi="Calibri" w:cs="Times New Roman"/>
          <w:lang w:val="pl-PL"/>
        </w:rPr>
        <w:t xml:space="preserve">nr </w:t>
      </w:r>
      <w:r w:rsidRPr="00D83F4B">
        <w:rPr>
          <w:rFonts w:ascii="Calibri" w:hAnsi="Calibri" w:cs="Times New Roman"/>
          <w:lang w:val="pl-PL"/>
        </w:rPr>
        <w:t xml:space="preserve">1 do Konwencji. </w:t>
      </w:r>
      <w:r w:rsidR="00537CAA">
        <w:rPr>
          <w:rFonts w:ascii="Calibri" w:hAnsi="Calibri" w:cs="Times New Roman"/>
          <w:lang w:val="pl-PL"/>
        </w:rPr>
        <w:t>Nakazał władzom macedoń</w:t>
      </w:r>
      <w:r w:rsidR="00BE7394">
        <w:rPr>
          <w:rFonts w:ascii="Calibri" w:hAnsi="Calibri" w:cs="Times New Roman"/>
          <w:lang w:val="pl-PL"/>
        </w:rPr>
        <w:t>skim m.in. zwrot samochodu, ewentualnie wypłacenie odszkodowania.</w:t>
      </w:r>
    </w:p>
    <w:p w:rsidR="002F297B" w:rsidRPr="002F297B" w:rsidRDefault="002F297B" w:rsidP="00DA08C9">
      <w:pPr>
        <w:spacing w:after="120" w:line="240" w:lineRule="auto"/>
        <w:jc w:val="both"/>
        <w:rPr>
          <w:rFonts w:ascii="Calibri" w:hAnsi="Calibri"/>
          <w:u w:val="single"/>
          <w:lang w:val="pl-PL"/>
        </w:rPr>
      </w:pPr>
      <w:r>
        <w:rPr>
          <w:rFonts w:ascii="Calibri" w:hAnsi="Calibri"/>
          <w:u w:val="single"/>
          <w:lang w:val="pl-PL"/>
        </w:rPr>
        <w:t>Znaczenie wyroku dla Polski</w:t>
      </w:r>
    </w:p>
    <w:p w:rsidR="000F42C7" w:rsidRPr="00DA08C9" w:rsidRDefault="005D6FC8" w:rsidP="00DA08C9">
      <w:pPr>
        <w:spacing w:after="120" w:line="240" w:lineRule="auto"/>
        <w:jc w:val="both"/>
        <w:rPr>
          <w:rFonts w:ascii="Calibri" w:hAnsi="Calibri"/>
          <w:lang w:val="pl-PL"/>
        </w:rPr>
      </w:pPr>
      <w:r w:rsidRPr="00DA08C9">
        <w:rPr>
          <w:rFonts w:ascii="Calibri" w:hAnsi="Calibri"/>
          <w:lang w:val="pl-PL"/>
        </w:rPr>
        <w:t xml:space="preserve">W kontekście niniejszego orzeczenia należy zwrócić uwagę na przepisy polskiego </w:t>
      </w:r>
      <w:r w:rsidR="002658D1" w:rsidRPr="00DA08C9">
        <w:rPr>
          <w:rFonts w:ascii="Calibri" w:hAnsi="Calibri"/>
          <w:lang w:val="pl-PL"/>
        </w:rPr>
        <w:t xml:space="preserve">Kodeksu </w:t>
      </w:r>
      <w:r w:rsidR="00E30FB7" w:rsidRPr="00DA08C9">
        <w:rPr>
          <w:rFonts w:ascii="Calibri" w:hAnsi="Calibri"/>
          <w:lang w:val="pl-PL"/>
        </w:rPr>
        <w:t xml:space="preserve">karnego </w:t>
      </w:r>
      <w:r w:rsidRPr="00DA08C9">
        <w:rPr>
          <w:rFonts w:ascii="Calibri" w:hAnsi="Calibri"/>
          <w:lang w:val="pl-PL"/>
        </w:rPr>
        <w:t xml:space="preserve">regulujące stosowanie środków karnych, w tym przepadku, tj. art. 44 </w:t>
      </w:r>
      <w:r w:rsidR="00E30FB7">
        <w:rPr>
          <w:rFonts w:ascii="Calibri" w:hAnsi="Calibri"/>
          <w:lang w:val="pl-PL"/>
        </w:rPr>
        <w:t>k.k., a</w:t>
      </w:r>
      <w:r w:rsidRPr="00DA08C9">
        <w:rPr>
          <w:rFonts w:ascii="Calibri" w:hAnsi="Calibri"/>
          <w:lang w:val="pl-PL"/>
        </w:rPr>
        <w:t xml:space="preserve"> w szczególności</w:t>
      </w:r>
      <w:r w:rsidR="00590AAD">
        <w:rPr>
          <w:rFonts w:ascii="Calibri" w:hAnsi="Calibri"/>
          <w:lang w:val="pl-PL"/>
        </w:rPr>
        <w:t xml:space="preserve"> jego </w:t>
      </w:r>
      <w:r w:rsidR="002658D1" w:rsidRPr="00E965DC">
        <w:rPr>
          <w:rFonts w:ascii="Calibri" w:hAnsi="Calibri"/>
          <w:lang w:val="pl-PL"/>
        </w:rPr>
        <w:t>§</w:t>
      </w:r>
      <w:r w:rsidRPr="00DA08C9">
        <w:rPr>
          <w:rFonts w:ascii="Calibri" w:hAnsi="Calibri"/>
          <w:lang w:val="pl-PL"/>
        </w:rPr>
        <w:t xml:space="preserve"> 7</w:t>
      </w:r>
      <w:r w:rsidR="00E30FB7">
        <w:rPr>
          <w:rFonts w:ascii="Calibri" w:hAnsi="Calibri"/>
          <w:lang w:val="pl-PL"/>
        </w:rPr>
        <w:t>.</w:t>
      </w:r>
      <w:r w:rsidRPr="00DA08C9">
        <w:rPr>
          <w:rFonts w:ascii="Calibri" w:hAnsi="Calibri"/>
          <w:lang w:val="pl-PL"/>
        </w:rPr>
        <w:t xml:space="preserve"> W świetle t</w:t>
      </w:r>
      <w:r w:rsidR="00E965DC">
        <w:rPr>
          <w:rFonts w:ascii="Calibri" w:hAnsi="Calibri"/>
          <w:lang w:val="pl-PL"/>
        </w:rPr>
        <w:t>ego</w:t>
      </w:r>
      <w:r w:rsidRPr="00DA08C9">
        <w:rPr>
          <w:rFonts w:ascii="Calibri" w:hAnsi="Calibri"/>
          <w:lang w:val="pl-PL"/>
        </w:rPr>
        <w:t xml:space="preserve"> </w:t>
      </w:r>
      <w:r w:rsidR="00E965DC">
        <w:rPr>
          <w:rFonts w:ascii="Calibri" w:hAnsi="Calibri"/>
          <w:lang w:val="pl-PL"/>
        </w:rPr>
        <w:t>przepisu, j</w:t>
      </w:r>
      <w:r w:rsidR="00E965DC" w:rsidRPr="00E965DC">
        <w:rPr>
          <w:rFonts w:ascii="Calibri" w:hAnsi="Calibri"/>
          <w:lang w:val="pl-PL"/>
        </w:rPr>
        <w:t>eżeli przedmioty wymienione w art. 44 §</w:t>
      </w:r>
      <w:r w:rsidR="00227478" w:rsidRPr="00E965DC">
        <w:rPr>
          <w:rFonts w:ascii="Calibri" w:hAnsi="Calibri"/>
          <w:lang w:val="pl-PL"/>
        </w:rPr>
        <w:t>§</w:t>
      </w:r>
      <w:r w:rsidR="00E965DC" w:rsidRPr="00E965DC">
        <w:rPr>
          <w:rFonts w:ascii="Calibri" w:hAnsi="Calibri"/>
          <w:lang w:val="pl-PL"/>
        </w:rPr>
        <w:t xml:space="preserve"> 2 lub 6 </w:t>
      </w:r>
      <w:r w:rsidR="00227478">
        <w:rPr>
          <w:rFonts w:ascii="Calibri" w:hAnsi="Calibri"/>
          <w:lang w:val="pl-PL"/>
        </w:rPr>
        <w:t xml:space="preserve">k.k. </w:t>
      </w:r>
      <w:r w:rsidR="00E965DC" w:rsidRPr="00E965DC">
        <w:rPr>
          <w:rFonts w:ascii="Calibri" w:hAnsi="Calibri"/>
          <w:lang w:val="pl-PL"/>
        </w:rPr>
        <w:t xml:space="preserve">nie stanowią własności sprawcy, ich przepadek można orzec tylko w wypadkach przewidzianych w </w:t>
      </w:r>
      <w:bookmarkStart w:id="15" w:name="#hiperlinkDocsList.rpc?hiperlink=type=me"/>
      <w:r w:rsidR="00E965DC" w:rsidRPr="00E965DC">
        <w:rPr>
          <w:rFonts w:ascii="Calibri" w:hAnsi="Calibri"/>
          <w:lang w:val="pl-PL"/>
        </w:rPr>
        <w:t>ustawie</w:t>
      </w:r>
      <w:bookmarkEnd w:id="15"/>
      <w:r w:rsidR="00E965DC" w:rsidRPr="00E965DC">
        <w:rPr>
          <w:rFonts w:ascii="Calibri" w:hAnsi="Calibri"/>
          <w:lang w:val="pl-PL"/>
        </w:rPr>
        <w:t>.</w:t>
      </w:r>
      <w:r w:rsidR="00ED4BB5">
        <w:rPr>
          <w:rFonts w:ascii="Calibri" w:hAnsi="Calibri"/>
          <w:lang w:val="pl-PL"/>
        </w:rPr>
        <w:t xml:space="preserve"> </w:t>
      </w:r>
      <w:r w:rsidRPr="00DA08C9">
        <w:rPr>
          <w:rFonts w:ascii="Calibri" w:hAnsi="Calibri"/>
          <w:lang w:val="pl-PL"/>
        </w:rPr>
        <w:t xml:space="preserve">Ponadto, art. 264 </w:t>
      </w:r>
      <w:r w:rsidR="00E30FB7">
        <w:rPr>
          <w:rFonts w:ascii="Calibri" w:hAnsi="Calibri"/>
          <w:lang w:val="pl-PL"/>
        </w:rPr>
        <w:t xml:space="preserve">k.k. </w:t>
      </w:r>
      <w:r w:rsidRPr="00DA08C9">
        <w:rPr>
          <w:rFonts w:ascii="Calibri" w:hAnsi="Calibri"/>
          <w:lang w:val="pl-PL"/>
        </w:rPr>
        <w:t xml:space="preserve">penalizujący </w:t>
      </w:r>
      <w:r w:rsidR="00E30FB7">
        <w:rPr>
          <w:rFonts w:ascii="Calibri" w:hAnsi="Calibri"/>
          <w:lang w:val="pl-PL"/>
        </w:rPr>
        <w:t>organizowanie</w:t>
      </w:r>
      <w:r w:rsidRPr="00DA08C9">
        <w:rPr>
          <w:rFonts w:ascii="Calibri" w:hAnsi="Calibri"/>
          <w:lang w:val="pl-PL"/>
        </w:rPr>
        <w:t xml:space="preserve"> innym osobom nielegalnego przekraczania granicy, a także art. 264a </w:t>
      </w:r>
      <w:r w:rsidR="00E30FB7">
        <w:rPr>
          <w:rFonts w:ascii="Calibri" w:hAnsi="Calibri"/>
          <w:lang w:val="pl-PL"/>
        </w:rPr>
        <w:t>k.k.</w:t>
      </w:r>
      <w:r w:rsidRPr="00DA08C9">
        <w:rPr>
          <w:rFonts w:ascii="Calibri" w:hAnsi="Calibri"/>
          <w:lang w:val="pl-PL"/>
        </w:rPr>
        <w:t xml:space="preserve"> dotyczący umożliwiania lub ułatwiania takim osobom pobytu w RP w celu osiągnięcia korzyści majątkowej, nie przewidują </w:t>
      </w:r>
      <w:r w:rsidR="00227478">
        <w:rPr>
          <w:rFonts w:ascii="Calibri" w:hAnsi="Calibri"/>
          <w:lang w:val="pl-PL"/>
        </w:rPr>
        <w:t xml:space="preserve">wyjątków w postaci </w:t>
      </w:r>
      <w:r w:rsidRPr="00DA08C9">
        <w:rPr>
          <w:rFonts w:ascii="Calibri" w:hAnsi="Calibri"/>
          <w:lang w:val="pl-PL"/>
        </w:rPr>
        <w:t>możliwości orzeczenia konfiskaty przedmiotów należących do osoby trzeciej. Tym samym sytuacja</w:t>
      </w:r>
      <w:r w:rsidR="00E30FB7">
        <w:rPr>
          <w:rFonts w:ascii="Calibri" w:hAnsi="Calibri"/>
          <w:lang w:val="pl-PL"/>
        </w:rPr>
        <w:t xml:space="preserve"> podobna</w:t>
      </w:r>
      <w:r w:rsidR="00F81341">
        <w:rPr>
          <w:rFonts w:ascii="Calibri" w:hAnsi="Calibri"/>
          <w:lang w:val="pl-PL"/>
        </w:rPr>
        <w:t xml:space="preserve"> jak w sprawie macedońskiej</w:t>
      </w:r>
      <w:r w:rsidRPr="00DA08C9">
        <w:rPr>
          <w:rFonts w:ascii="Calibri" w:hAnsi="Calibri"/>
          <w:lang w:val="pl-PL"/>
        </w:rPr>
        <w:t xml:space="preserve"> nie powinna mieć </w:t>
      </w:r>
      <w:r w:rsidR="00E30FB7">
        <w:rPr>
          <w:rFonts w:ascii="Calibri" w:hAnsi="Calibri"/>
          <w:lang w:val="pl-PL"/>
        </w:rPr>
        <w:t xml:space="preserve">co do zasady </w:t>
      </w:r>
      <w:r w:rsidR="00227478">
        <w:rPr>
          <w:rFonts w:ascii="Calibri" w:hAnsi="Calibri"/>
          <w:lang w:val="pl-PL"/>
        </w:rPr>
        <w:t>miejsca w Polsce</w:t>
      </w:r>
      <w:r w:rsidR="00E636C2">
        <w:rPr>
          <w:rFonts w:ascii="Calibri" w:hAnsi="Calibri"/>
          <w:lang w:val="pl-PL"/>
        </w:rPr>
        <w:t>. Tym niemniej</w:t>
      </w:r>
      <w:r w:rsidR="00227478">
        <w:rPr>
          <w:rFonts w:ascii="Calibri" w:hAnsi="Calibri"/>
          <w:lang w:val="pl-PL"/>
        </w:rPr>
        <w:t xml:space="preserve"> warto przeanalizować, czy od tej zasady nie </w:t>
      </w:r>
      <w:r w:rsidR="00E636C2">
        <w:rPr>
          <w:rFonts w:ascii="Calibri" w:hAnsi="Calibri"/>
          <w:lang w:val="pl-PL"/>
        </w:rPr>
        <w:t xml:space="preserve">zostały </w:t>
      </w:r>
      <w:r w:rsidR="00227478">
        <w:rPr>
          <w:rFonts w:ascii="Calibri" w:hAnsi="Calibri"/>
          <w:lang w:val="pl-PL"/>
        </w:rPr>
        <w:t xml:space="preserve">przewidziane w ustawach szczególnych wyjątki, które mogłyby </w:t>
      </w:r>
      <w:r w:rsidR="00E636C2">
        <w:rPr>
          <w:rFonts w:ascii="Calibri" w:hAnsi="Calibri"/>
          <w:lang w:val="pl-PL"/>
        </w:rPr>
        <w:t>prowadzić do skutków sprzecznych</w:t>
      </w:r>
      <w:r w:rsidR="00227478">
        <w:rPr>
          <w:rFonts w:ascii="Calibri" w:hAnsi="Calibri"/>
          <w:lang w:val="pl-PL"/>
        </w:rPr>
        <w:t xml:space="preserve"> z wymogami wynikającymi ze zdania drugiego art. 1 Protokołu nr 1</w:t>
      </w:r>
      <w:r w:rsidR="00E636C2">
        <w:rPr>
          <w:rFonts w:ascii="Calibri" w:hAnsi="Calibri"/>
          <w:lang w:val="pl-PL"/>
        </w:rPr>
        <w:t xml:space="preserve"> w świetle niniejszego wyroku</w:t>
      </w:r>
      <w:r w:rsidR="000F42C7">
        <w:rPr>
          <w:rStyle w:val="Odwoanieprzypisudolnego"/>
          <w:rFonts w:ascii="Calibri" w:hAnsi="Calibri"/>
          <w:lang w:val="pl-PL"/>
        </w:rPr>
        <w:footnoteReference w:id="2"/>
      </w:r>
      <w:r w:rsidR="00227478">
        <w:rPr>
          <w:rFonts w:ascii="Calibri" w:hAnsi="Calibri"/>
          <w:lang w:val="pl-PL"/>
        </w:rPr>
        <w:t xml:space="preserve">. </w:t>
      </w:r>
    </w:p>
    <w:p w:rsidR="00EE41E1" w:rsidRPr="00EE41E1" w:rsidRDefault="00EE41E1" w:rsidP="00EE41E1">
      <w:pPr>
        <w:pStyle w:val="Nagwek2"/>
        <w:numPr>
          <w:ilvl w:val="0"/>
          <w:numId w:val="1"/>
        </w:numPr>
      </w:pPr>
      <w:bookmarkStart w:id="17" w:name="_Toc432502273"/>
      <w:proofErr w:type="spellStart"/>
      <w:r w:rsidRPr="00EE41E1">
        <w:lastRenderedPageBreak/>
        <w:t>Nabil</w:t>
      </w:r>
      <w:proofErr w:type="spellEnd"/>
      <w:r w:rsidRPr="00EE41E1">
        <w:t xml:space="preserve"> i Inni przeciwko W</w:t>
      </w:r>
      <w:r w:rsidR="00CF4FA5">
        <w:t>ęgrom</w:t>
      </w:r>
      <w:r w:rsidRPr="00EE41E1">
        <w:t>, skarga nr 62116/12, wyrok Izby z 22.09.2015 r., nieostateczny</w:t>
      </w:r>
      <w:bookmarkEnd w:id="17"/>
    </w:p>
    <w:p w:rsidR="00EE41E1" w:rsidRPr="00A951AC" w:rsidRDefault="00A951AC" w:rsidP="00A951AC">
      <w:pPr>
        <w:keepNext/>
        <w:keepLines/>
        <w:spacing w:after="240" w:line="240" w:lineRule="auto"/>
        <w:jc w:val="both"/>
        <w:outlineLvl w:val="2"/>
        <w:rPr>
          <w:rFonts w:eastAsiaTheme="majorEastAsia" w:cstheme="majorBidi"/>
          <w:b/>
          <w:bCs/>
          <w:color w:val="000000" w:themeColor="text1"/>
          <w:lang w:val="pl-PL"/>
        </w:rPr>
      </w:pPr>
      <w:bookmarkStart w:id="18" w:name="_Toc432502274"/>
      <w:r w:rsidRPr="00A951AC">
        <w:rPr>
          <w:rFonts w:eastAsiaTheme="majorEastAsia" w:cstheme="majorBidi"/>
          <w:b/>
          <w:bCs/>
          <w:color w:val="000000" w:themeColor="text1"/>
          <w:lang w:val="pl-PL"/>
        </w:rPr>
        <w:t>- naruszenie art. 5 ust. 1 Konwencji (prawo do wolności i bezpieczeństwa osobistego) z uwagi na przedłużanie przez sądy zatrzymania cudzoziemców umieszczonych w strzeżonym ośrodku w celu wydalenia w oparciu o wciąż te same ogólne podstawy zatrzymania i bez odpowiedniego uzasadnienia powołującego się na konkretne okoliczności sprawy i sytuacji skarżących</w:t>
      </w:r>
      <w:bookmarkEnd w:id="18"/>
      <w:r w:rsidRPr="00A951AC">
        <w:rPr>
          <w:rFonts w:eastAsiaTheme="majorEastAsia" w:cstheme="majorBidi"/>
          <w:b/>
          <w:bCs/>
          <w:color w:val="000000" w:themeColor="text1"/>
          <w:lang w:val="pl-PL"/>
        </w:rPr>
        <w:t xml:space="preserve"> 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eastAsia="Times New Roman Bold" w:hAnsi="Calibri" w:cs="Times New Roman"/>
          <w:color w:val="222222"/>
          <w:u w:val="single" w:color="222222"/>
          <w:lang w:val="pl-PL"/>
        </w:rPr>
      </w:pPr>
      <w:r w:rsidRPr="00EE41E1">
        <w:rPr>
          <w:rFonts w:ascii="Calibri" w:eastAsia="Times New Roman Bold" w:hAnsi="Calibri" w:cs="Times New Roman"/>
          <w:color w:val="222222"/>
          <w:u w:val="single" w:color="222222"/>
          <w:lang w:val="pl-PL"/>
        </w:rPr>
        <w:t>Stan faktyczny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 w:rsidRPr="00EE41E1">
        <w:rPr>
          <w:rFonts w:ascii="Calibri" w:hAnsi="Calibri"/>
          <w:lang w:val="pl-PL"/>
        </w:rPr>
        <w:t xml:space="preserve">Skarżący są obywatelami Somalii, którzy obecnie mieszkają na Węgrzech. </w:t>
      </w:r>
      <w:r w:rsidR="00A4529D">
        <w:rPr>
          <w:rFonts w:ascii="Calibri" w:hAnsi="Calibri"/>
          <w:lang w:val="pl-PL"/>
        </w:rPr>
        <w:t>P</w:t>
      </w:r>
      <w:r w:rsidRPr="00EE41E1">
        <w:rPr>
          <w:rFonts w:ascii="Calibri" w:hAnsi="Calibri"/>
          <w:lang w:val="pl-PL"/>
        </w:rPr>
        <w:t>rzybyli na terytorium Węgier przez Serbię. W dniu 6 listopada 2011 r. zostali zatrzymani przez węgierską Straż Graniczną z uwagi na nielegalne przekroczenie granicy bez dokumentów tożsamości. Tego samego dnia władze zarządziły ich wydalenie do Serbii, jednak z uwagi na brak odpowiedzi ze strony Serbii wykonanie tej decyzji zostało zawieszone na 6 miesięcy lub do czasu, gdy stanie się ono</w:t>
      </w:r>
      <w:r w:rsidR="00A4529D">
        <w:rPr>
          <w:rFonts w:ascii="Calibri" w:hAnsi="Calibri"/>
          <w:lang w:val="pl-PL"/>
        </w:rPr>
        <w:t xml:space="preserve"> wykonalne</w:t>
      </w:r>
      <w:r w:rsidRPr="00EE41E1">
        <w:rPr>
          <w:rFonts w:ascii="Calibri" w:hAnsi="Calibri"/>
          <w:lang w:val="pl-PL"/>
        </w:rPr>
        <w:t xml:space="preserve">. Jednocześnie zarządzono zatrzymanie skarżących do dnia 9 listopada 2011 r. 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 w:rsidRPr="00EE41E1">
        <w:rPr>
          <w:rFonts w:ascii="Calibri" w:hAnsi="Calibri"/>
          <w:lang w:val="pl-PL"/>
        </w:rPr>
        <w:t xml:space="preserve">Pomiędzy 8 listopada 2011 a 3 marca 2012 r. zatrzymanie skarżących pięciokrotnie podlegało kontroli sądów i było przedłużane – głównie z powołaniem się na fakt, że skarżący, którzy przekroczyli granicę węgierską nielegalnie i bez dowodów tożsamości, mogą uniemożliwić wydalenie. Wnioski o przedłużenie zatrzymania i postanowienia sądów </w:t>
      </w:r>
      <w:r w:rsidR="00A4529D">
        <w:rPr>
          <w:rFonts w:ascii="Calibri" w:hAnsi="Calibri"/>
          <w:lang w:val="pl-PL"/>
        </w:rPr>
        <w:t xml:space="preserve">w tej sprawie </w:t>
      </w:r>
      <w:r w:rsidRPr="00EE41E1">
        <w:rPr>
          <w:rFonts w:ascii="Calibri" w:hAnsi="Calibri"/>
          <w:lang w:val="pl-PL"/>
        </w:rPr>
        <w:t>opierały się zasadniczo na tych samych argumentach i fakcie, że okoliczności się nie zmieniły. Od 10 listopada 2011 r. skarżący przebywali w strzeżonym ośrodku.</w:t>
      </w:r>
    </w:p>
    <w:p w:rsidR="00EE41E1" w:rsidRDefault="00EE41E1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 w:rsidRPr="00EE41E1">
        <w:rPr>
          <w:rFonts w:ascii="Calibri" w:hAnsi="Calibri"/>
          <w:lang w:val="pl-PL"/>
        </w:rPr>
        <w:t xml:space="preserve">W międzyczasie, w dniu 9 listopada 2011 r., skarżący złożyli wniosek o azyl. Wniosek został oddalony 19 marca 2012 r., jednak jednocześnie udzielono im ochrony uzupełniającej. Decyzja w tej sprawie stała się ostateczna 23 marca 2012 r., a skarżący zostali zwolnieni 24 marca 2012 r. 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eastAsia="Times New Roman Bold" w:hAnsi="Calibri" w:cs="Times New Roman"/>
          <w:color w:val="222222"/>
          <w:u w:val="single" w:color="222222"/>
          <w:lang w:val="pl-PL"/>
        </w:rPr>
      </w:pPr>
      <w:r w:rsidRPr="00EE41E1">
        <w:rPr>
          <w:rFonts w:ascii="Calibri" w:eastAsia="Times New Roman Bold" w:hAnsi="Calibri" w:cs="Times New Roman"/>
          <w:color w:val="222222"/>
          <w:u w:val="single" w:color="222222"/>
          <w:lang w:val="pl-PL"/>
        </w:rPr>
        <w:t>Ocena Trybunału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 w:rsidRPr="00EE41E1">
        <w:rPr>
          <w:rFonts w:ascii="Calibri" w:hAnsi="Calibri"/>
          <w:lang w:val="pl-PL"/>
        </w:rPr>
        <w:t xml:space="preserve">Trybunał stwierdził naruszenie art. 5 ust. 1 Konwencji (prawo do bezpieczeństwa i wolności osobistej) w odniesieniu do zatrzymania </w:t>
      </w:r>
      <w:r w:rsidR="00FD5F83">
        <w:rPr>
          <w:rFonts w:ascii="Calibri" w:hAnsi="Calibri"/>
          <w:lang w:val="pl-PL"/>
        </w:rPr>
        <w:t xml:space="preserve">trwającego </w:t>
      </w:r>
      <w:r w:rsidRPr="00EE41E1">
        <w:rPr>
          <w:rFonts w:ascii="Calibri" w:hAnsi="Calibri"/>
          <w:lang w:val="pl-PL"/>
        </w:rPr>
        <w:t xml:space="preserve">od 8 listopada 2011 r. do 3 marca 2012 r. </w:t>
      </w:r>
      <w:r w:rsidR="00FD5F83">
        <w:rPr>
          <w:rFonts w:ascii="Calibri" w:hAnsi="Calibri"/>
          <w:lang w:val="pl-PL"/>
        </w:rPr>
        <w:t>(uznał, że nie istnieje potrzeba badania zatrzymania od 3 marca do 24 marca 2012 r.)</w:t>
      </w:r>
      <w:r w:rsidRPr="00EE41E1">
        <w:rPr>
          <w:rFonts w:ascii="Calibri" w:hAnsi="Calibri"/>
          <w:lang w:val="pl-PL"/>
        </w:rPr>
        <w:t xml:space="preserve"> </w:t>
      </w:r>
    </w:p>
    <w:p w:rsidR="00EE41E1" w:rsidRPr="00EE41E1" w:rsidRDefault="00FD5F83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>Trybunał p</w:t>
      </w:r>
      <w:r w:rsidR="00EE41E1" w:rsidRPr="00EE41E1">
        <w:rPr>
          <w:rFonts w:ascii="Calibri" w:hAnsi="Calibri"/>
          <w:lang w:val="pl-PL"/>
        </w:rPr>
        <w:t xml:space="preserve">odsumował </w:t>
      </w:r>
      <w:r>
        <w:rPr>
          <w:rFonts w:ascii="Calibri" w:hAnsi="Calibri"/>
          <w:lang w:val="pl-PL"/>
        </w:rPr>
        <w:t xml:space="preserve">na wstępie </w:t>
      </w:r>
      <w:r w:rsidR="00EE41E1" w:rsidRPr="00EE41E1">
        <w:rPr>
          <w:rFonts w:ascii="Calibri" w:hAnsi="Calibri"/>
          <w:lang w:val="pl-PL"/>
        </w:rPr>
        <w:t>ogólne zasady wynikające z art. 5 ust. 1 Konwencji, w tym w sprawach imigracyjnych</w:t>
      </w:r>
      <w:r>
        <w:rPr>
          <w:rFonts w:ascii="Calibri" w:hAnsi="Calibri"/>
          <w:lang w:val="pl-PL"/>
        </w:rPr>
        <w:t xml:space="preserve"> (art. 5 ust. 1 lit. f)</w:t>
      </w:r>
      <w:r w:rsidR="00EE41E1" w:rsidRPr="00EE41E1">
        <w:rPr>
          <w:rFonts w:ascii="Calibri" w:hAnsi="Calibri"/>
          <w:lang w:val="pl-PL"/>
        </w:rPr>
        <w:t xml:space="preserve">. Przypomniał, że pozbawienie wolności w celu wydalenia lub ekstradycji jest uzasadnione jedynie tak długo, jak długo postępowanie deportacyjne lub ekstradycyjne znajduje się w toku. Jeśli postępowanie takie nie jest prowadzone z zachowaniem wymogu staranności, zatrzymanie przestaje być dopuszczalne na gruncie art. 5 ust. 1. </w:t>
      </w:r>
      <w:r>
        <w:rPr>
          <w:rFonts w:ascii="Calibri" w:hAnsi="Calibri"/>
          <w:lang w:val="pl-PL"/>
        </w:rPr>
        <w:t>Ponadto, o</w:t>
      </w:r>
      <w:r w:rsidR="00EE41E1" w:rsidRPr="00EE41E1">
        <w:rPr>
          <w:rFonts w:ascii="Calibri" w:hAnsi="Calibri"/>
          <w:lang w:val="pl-PL"/>
        </w:rPr>
        <w:t xml:space="preserve">prócz wymogu legalności zatrzymania </w:t>
      </w:r>
      <w:r w:rsidR="00704CD0">
        <w:rPr>
          <w:rFonts w:ascii="Calibri" w:hAnsi="Calibri"/>
          <w:lang w:val="pl-PL"/>
        </w:rPr>
        <w:t>(</w:t>
      </w:r>
      <w:r w:rsidR="00EE41E1" w:rsidRPr="00EE41E1">
        <w:rPr>
          <w:rFonts w:ascii="Calibri" w:hAnsi="Calibri"/>
          <w:lang w:val="pl-PL"/>
        </w:rPr>
        <w:t>ocenianego w świetle</w:t>
      </w:r>
      <w:r>
        <w:rPr>
          <w:rFonts w:ascii="Calibri" w:hAnsi="Calibri"/>
          <w:lang w:val="pl-PL"/>
        </w:rPr>
        <w:t xml:space="preserve"> prawa </w:t>
      </w:r>
      <w:r w:rsidR="00EE41E1" w:rsidRPr="00EE41E1">
        <w:rPr>
          <w:rFonts w:ascii="Calibri" w:hAnsi="Calibri"/>
          <w:lang w:val="pl-PL"/>
        </w:rPr>
        <w:t>krajowego</w:t>
      </w:r>
      <w:r w:rsidR="00704CD0">
        <w:rPr>
          <w:rFonts w:ascii="Calibri" w:hAnsi="Calibri"/>
          <w:lang w:val="pl-PL"/>
        </w:rPr>
        <w:t xml:space="preserve"> i</w:t>
      </w:r>
      <w:r>
        <w:rPr>
          <w:rFonts w:ascii="Calibri" w:hAnsi="Calibri"/>
          <w:lang w:val="pl-PL"/>
        </w:rPr>
        <w:t xml:space="preserve"> </w:t>
      </w:r>
      <w:r w:rsidR="00AF5789">
        <w:rPr>
          <w:rFonts w:ascii="Calibri" w:hAnsi="Calibri"/>
          <w:lang w:val="pl-PL"/>
        </w:rPr>
        <w:t xml:space="preserve">oznaczającego </w:t>
      </w:r>
      <w:r>
        <w:rPr>
          <w:rFonts w:ascii="Calibri" w:hAnsi="Calibri"/>
          <w:lang w:val="pl-PL"/>
        </w:rPr>
        <w:t>zgodnoś</w:t>
      </w:r>
      <w:r w:rsidR="00AF5789">
        <w:rPr>
          <w:rFonts w:ascii="Calibri" w:hAnsi="Calibri"/>
          <w:lang w:val="pl-PL"/>
        </w:rPr>
        <w:t>ć</w:t>
      </w:r>
      <w:r>
        <w:rPr>
          <w:rFonts w:ascii="Calibri" w:hAnsi="Calibri"/>
          <w:lang w:val="pl-PL"/>
        </w:rPr>
        <w:t xml:space="preserve"> z przepisami </w:t>
      </w:r>
      <w:r w:rsidR="00AF5789">
        <w:rPr>
          <w:rFonts w:ascii="Calibri" w:hAnsi="Calibri"/>
          <w:lang w:val="pl-PL"/>
        </w:rPr>
        <w:t xml:space="preserve">zarówno </w:t>
      </w:r>
      <w:r>
        <w:rPr>
          <w:rFonts w:ascii="Calibri" w:hAnsi="Calibri"/>
          <w:lang w:val="pl-PL"/>
        </w:rPr>
        <w:t>prawa materialnego, jaki i procesowego</w:t>
      </w:r>
      <w:r w:rsidR="00704CD0">
        <w:rPr>
          <w:rFonts w:ascii="Calibri" w:hAnsi="Calibri"/>
          <w:lang w:val="pl-PL"/>
        </w:rPr>
        <w:t>)</w:t>
      </w:r>
      <w:r w:rsidR="00EE41E1" w:rsidRPr="00EE41E1">
        <w:rPr>
          <w:rFonts w:ascii="Calibri" w:hAnsi="Calibri"/>
          <w:lang w:val="pl-PL"/>
        </w:rPr>
        <w:t xml:space="preserve">, </w:t>
      </w:r>
      <w:r w:rsidR="00AF5789">
        <w:rPr>
          <w:rFonts w:ascii="Calibri" w:hAnsi="Calibri"/>
          <w:lang w:val="pl-PL"/>
        </w:rPr>
        <w:t xml:space="preserve">dodatkowo </w:t>
      </w:r>
      <w:r w:rsidR="00EE41E1" w:rsidRPr="00EE41E1">
        <w:rPr>
          <w:rFonts w:ascii="Calibri" w:hAnsi="Calibri"/>
          <w:lang w:val="pl-PL"/>
        </w:rPr>
        <w:t xml:space="preserve">zachowany musi być także wymóg, by pozbawienie wolności nie było arbitralne. Trybunał wskazał, że aby zatrzymanie na podstawie art. 5 ust. 1 lit. f) nie było uznane za arbitralne, musi być ono dokonane w dobrej wierze, być blisko powiązane z powoływanymi podstawami zatrzymania, a miejsce i warunki zatrzymania muszą być odpowiednie </w:t>
      </w:r>
      <w:r w:rsidR="00AF5789">
        <w:rPr>
          <w:rFonts w:ascii="Calibri" w:hAnsi="Calibri"/>
          <w:lang w:val="pl-PL"/>
        </w:rPr>
        <w:t>z uwzględnieniem tego</w:t>
      </w:r>
      <w:r w:rsidR="00EE41E1" w:rsidRPr="00EE41E1">
        <w:rPr>
          <w:rFonts w:ascii="Calibri" w:hAnsi="Calibri"/>
          <w:lang w:val="pl-PL"/>
        </w:rPr>
        <w:t>, że środek ten nie dotyczy osób, które dopuściły się przestępstwa, a cudzoziemc</w:t>
      </w:r>
      <w:r w:rsidR="00AF5789">
        <w:rPr>
          <w:rFonts w:ascii="Calibri" w:hAnsi="Calibri"/>
          <w:lang w:val="pl-PL"/>
        </w:rPr>
        <w:t>ów, którzy często z powodu obaw</w:t>
      </w:r>
      <w:r w:rsidR="00EE41E1" w:rsidRPr="00EE41E1">
        <w:rPr>
          <w:rFonts w:ascii="Calibri" w:hAnsi="Calibri"/>
          <w:lang w:val="pl-PL"/>
        </w:rPr>
        <w:t xml:space="preserve"> o życie uciekli z własnego kraju. Długość zatrzymania nie może przekroczyć czasu rozsądnie potrzebnego do realizacji celu tego zatrzymania.  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 w:rsidRPr="00EE41E1">
        <w:rPr>
          <w:rFonts w:ascii="Calibri" w:hAnsi="Calibri"/>
          <w:lang w:val="pl-PL"/>
        </w:rPr>
        <w:t xml:space="preserve">W odniesieniu do obecnej sprawy Trybunał odnotował, że nakaz wydalenia skarżących został wydany 6 listopada 2011 r., jednak wykonanie tego środka zostało zawieszone, a skarżących zatrzymano w celu wydalenia. W odniesieniu do pierwszych trzech dni zatrzymania Trybunał uznał, że środek </w:t>
      </w:r>
      <w:r w:rsidR="00704CD0">
        <w:rPr>
          <w:rFonts w:ascii="Calibri" w:hAnsi="Calibri"/>
          <w:lang w:val="pl-PL"/>
        </w:rPr>
        <w:t xml:space="preserve">stanowił </w:t>
      </w:r>
      <w:r w:rsidRPr="00EE41E1">
        <w:rPr>
          <w:rFonts w:ascii="Calibri" w:hAnsi="Calibri"/>
          <w:lang w:val="pl-PL"/>
        </w:rPr>
        <w:t xml:space="preserve">zatrzymanie osób, wobec których były podejmowane działania mające na celu ich deportację, tj. było ono zgodne z art. 5 ust. 1 lit. f) Konwencji. W tym czasie bowiem skarżący jeszcze nie wnioskowali o azyl, byli zaś jedynie nielegalnymi imigrantami, którzy </w:t>
      </w:r>
      <w:r w:rsidR="00AF5789" w:rsidRPr="00EE41E1">
        <w:rPr>
          <w:rFonts w:ascii="Calibri" w:hAnsi="Calibri"/>
          <w:lang w:val="pl-PL"/>
        </w:rPr>
        <w:t xml:space="preserve">nielegalnie </w:t>
      </w:r>
      <w:r w:rsidR="00AF5789">
        <w:rPr>
          <w:rFonts w:ascii="Calibri" w:hAnsi="Calibri"/>
          <w:lang w:val="pl-PL"/>
        </w:rPr>
        <w:t xml:space="preserve">i </w:t>
      </w:r>
      <w:r w:rsidR="00AF5789" w:rsidRPr="00EE41E1">
        <w:rPr>
          <w:rFonts w:ascii="Calibri" w:hAnsi="Calibri"/>
          <w:lang w:val="pl-PL"/>
        </w:rPr>
        <w:t xml:space="preserve">bez dokumentów </w:t>
      </w:r>
      <w:r w:rsidRPr="00EE41E1">
        <w:rPr>
          <w:rFonts w:ascii="Calibri" w:hAnsi="Calibri"/>
          <w:lang w:val="pl-PL"/>
        </w:rPr>
        <w:t xml:space="preserve">przekroczyli granicę.  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 w:rsidRPr="00EE41E1">
        <w:rPr>
          <w:rFonts w:ascii="Calibri" w:hAnsi="Calibri"/>
          <w:lang w:val="pl-PL"/>
        </w:rPr>
        <w:lastRenderedPageBreak/>
        <w:t>Jednakże w odniesieniu do dalszego okresu zatrzymania Trybunał podkreślił, że zatrzymanie w celu wydalenia może być uzasadnione jedynie tak długo, jak długo procedura deportacyjna toczy się i są rzeczywiste szanse wykonania decyzji o wydaleniu. W dniu 9 listopada 2011 r. skarżący złożyli wniosek o azyl. Dla Trybunału, fakt, że toczyło się postępowanie azylowe sam w sobie nie oznaczał</w:t>
      </w:r>
      <w:r w:rsidR="00704CD0">
        <w:rPr>
          <w:rFonts w:ascii="Calibri" w:hAnsi="Calibri"/>
          <w:lang w:val="pl-PL"/>
        </w:rPr>
        <w:t xml:space="preserve"> jednak</w:t>
      </w:r>
      <w:r w:rsidRPr="00EE41E1">
        <w:rPr>
          <w:rFonts w:ascii="Calibri" w:hAnsi="Calibri"/>
          <w:lang w:val="pl-PL"/>
        </w:rPr>
        <w:t xml:space="preserve">, że zatrzymanie w celu wydalenia nie miało już miejsca, gdyż ewentualne oddalenie wniosku azylowego mogło otworzyć drogę do wykonania nakazu wydalenia. Tym niemniej, zatrzymanie takie musiało być zgodne z prawem krajowym i nie mogło być arbitralne. 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 w:rsidRPr="00EE41E1">
        <w:rPr>
          <w:rFonts w:ascii="Calibri" w:hAnsi="Calibri"/>
          <w:lang w:val="pl-PL"/>
        </w:rPr>
        <w:t>W odniesieniu do kwestii zgodności z prawem krajowym Trybunał odnotował</w:t>
      </w:r>
      <w:r w:rsidR="00AF5789">
        <w:rPr>
          <w:rFonts w:ascii="Calibri" w:hAnsi="Calibri"/>
          <w:lang w:val="pl-PL"/>
        </w:rPr>
        <w:t xml:space="preserve"> jednak</w:t>
      </w:r>
      <w:r w:rsidRPr="00EE41E1">
        <w:rPr>
          <w:rFonts w:ascii="Calibri" w:hAnsi="Calibri"/>
          <w:lang w:val="pl-PL"/>
        </w:rPr>
        <w:t xml:space="preserve">, że sądy krajowe, które badały zgodność pozbawienia wolności skarżących z prawem, we wszystkich postanowieniach jedynie potwierdzały pierwotną decyzję o zatrzymaniu z 6 listopada 2011 r., która powoływała się na konieczność zatrzymania skarżących z uwagi na ich nielegalny wjazd do kraju bez dokumentów i ryzyko </w:t>
      </w:r>
      <w:r w:rsidR="00AF5789">
        <w:rPr>
          <w:rFonts w:ascii="Calibri" w:hAnsi="Calibri"/>
          <w:lang w:val="pl-PL"/>
        </w:rPr>
        <w:t xml:space="preserve">z ich strony </w:t>
      </w:r>
      <w:r w:rsidRPr="00EE41E1">
        <w:rPr>
          <w:rFonts w:ascii="Calibri" w:hAnsi="Calibri"/>
          <w:lang w:val="pl-PL"/>
        </w:rPr>
        <w:t xml:space="preserve">uniemożliwiania wydalenia. Co więcej, niektóre postanowienia sądów nawet nie wspominały, iż toczy się postępowanie azylowe. 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 w:rsidRPr="00EE41E1">
        <w:rPr>
          <w:rFonts w:ascii="Calibri" w:hAnsi="Calibri"/>
          <w:lang w:val="pl-PL"/>
        </w:rPr>
        <w:t>Trybunał uznał, że taki sposób przedłużania zatrzymania budzi poważne wątpliwości co do jego zgodności z prawem krajowym. Zgodnie bowiem z ustawą imigracyjną władze krajowe powinny były weryfikować, czy skarżący rzeczywiście utrudniali wykonanie decyzji o wydaleniu, a także, czy nie istniały alternatywne, mniej restrykcyjne środki wobec zatrzymania, a także czy wydalenie mogło być zrealizowane. Sądy powoływały się jednak wciąż na te same powody wskazane w pierwotnej decyzji o zatrzymaniu z listopada 2011 r., tj. na ryzyko, że skarżący mogą uniemożliwić wydalenie. Jednak nie wskaz</w:t>
      </w:r>
      <w:r w:rsidR="00AF5789">
        <w:rPr>
          <w:rFonts w:ascii="Calibri" w:hAnsi="Calibri"/>
          <w:lang w:val="pl-PL"/>
        </w:rPr>
        <w:t>yw</w:t>
      </w:r>
      <w:r w:rsidRPr="00EE41E1">
        <w:rPr>
          <w:rFonts w:ascii="Calibri" w:hAnsi="Calibri"/>
          <w:lang w:val="pl-PL"/>
        </w:rPr>
        <w:t xml:space="preserve">ano praktycznie żadnych argumentów na poparcie tezy o istnieniu ryzyka ucieczki skarżących. Żadne postanowienie nie odnosiło się też do kwestii możliwości zastosowania środków alternatywnych oraz </w:t>
      </w:r>
      <w:r w:rsidR="00AF5789">
        <w:rPr>
          <w:rFonts w:ascii="Calibri" w:hAnsi="Calibri"/>
          <w:lang w:val="pl-PL"/>
        </w:rPr>
        <w:t xml:space="preserve">do kwestii </w:t>
      </w:r>
      <w:r w:rsidRPr="00EE41E1">
        <w:rPr>
          <w:rFonts w:ascii="Calibri" w:hAnsi="Calibri"/>
          <w:lang w:val="pl-PL"/>
        </w:rPr>
        <w:t xml:space="preserve">skutków, jakie wywoływało toczące się postępowania azylowego na możliwość wydalenia. W opinii Trybunału z uzasadnień postanowień sądów nie wynika, by zbadały one istnienie podstaw do zatrzymania skarżących w świetle prawa krajowego z uwzględnieniem szczególnych okoliczności sprawy oraz sytuacji skarżących. </w:t>
      </w:r>
    </w:p>
    <w:p w:rsidR="00EE41E1" w:rsidRPr="00EE41E1" w:rsidRDefault="00EE41E1" w:rsidP="00EE41E1">
      <w:pPr>
        <w:spacing w:after="120" w:line="240" w:lineRule="auto"/>
        <w:jc w:val="both"/>
        <w:rPr>
          <w:rFonts w:ascii="Calibri" w:hAnsi="Calibri"/>
          <w:lang w:val="pl-PL"/>
        </w:rPr>
      </w:pPr>
      <w:r w:rsidRPr="00EE41E1">
        <w:rPr>
          <w:rFonts w:ascii="Calibri" w:hAnsi="Calibri"/>
          <w:lang w:val="pl-PL"/>
        </w:rPr>
        <w:t xml:space="preserve">Ponieważ przy przedłużaniu zatrzymania nie spełniono przewidzianych prawem krajowym wymogów </w:t>
      </w:r>
      <w:r w:rsidR="0092552E">
        <w:rPr>
          <w:rFonts w:ascii="Calibri" w:hAnsi="Calibri"/>
          <w:lang w:val="pl-PL"/>
        </w:rPr>
        <w:t xml:space="preserve">odpowiedniego </w:t>
      </w:r>
      <w:r w:rsidRPr="00EE41E1">
        <w:rPr>
          <w:rFonts w:ascii="Calibri" w:hAnsi="Calibri"/>
          <w:lang w:val="pl-PL"/>
        </w:rPr>
        <w:t xml:space="preserve">zbadania sprawy, Trybunał stwierdził naruszenie art. 5 ust. 1 Konwencji. Podkreślił też, że w tej sytuacji nie musiał badać innych argumentów skarżących ani też kwestii, czy zatrzymanie z innych powodów nie było arbitralne, np. z uwagi na brak wykazania rzeczywistego postępu procedury wydalenia. </w:t>
      </w:r>
    </w:p>
    <w:p w:rsidR="00EE41E1" w:rsidRPr="00A951AC" w:rsidRDefault="00EE41E1" w:rsidP="00524AEF">
      <w:pPr>
        <w:spacing w:after="240" w:line="240" w:lineRule="auto"/>
        <w:jc w:val="both"/>
        <w:rPr>
          <w:lang w:val="pl-PL"/>
        </w:rPr>
      </w:pPr>
      <w:r w:rsidRPr="00EE41E1">
        <w:rPr>
          <w:rFonts w:ascii="Calibri" w:eastAsia="Times New Roman Bold" w:hAnsi="Calibri" w:cs="Times New Roman"/>
          <w:color w:val="222222"/>
          <w:u w:val="single" w:color="222222"/>
          <w:lang w:val="pl-PL"/>
        </w:rPr>
        <w:t>Znaczenie wyroku dla Polski</w:t>
      </w:r>
      <w:r w:rsidRPr="00EE41E1">
        <w:rPr>
          <w:rFonts w:ascii="Calibri" w:hAnsi="Calibri"/>
          <w:lang w:val="pl-PL"/>
        </w:rPr>
        <w:t xml:space="preserve"> – wskazuje na istotne znaczenie </w:t>
      </w:r>
      <w:r w:rsidR="0092552E">
        <w:rPr>
          <w:rFonts w:ascii="Calibri" w:hAnsi="Calibri"/>
          <w:lang w:val="pl-PL"/>
        </w:rPr>
        <w:t xml:space="preserve">odpowiedniej </w:t>
      </w:r>
      <w:r w:rsidRPr="00EE41E1">
        <w:rPr>
          <w:rFonts w:ascii="Calibri" w:hAnsi="Calibri"/>
          <w:lang w:val="pl-PL"/>
        </w:rPr>
        <w:t xml:space="preserve">jakości uzasadnień </w:t>
      </w:r>
      <w:r w:rsidR="0042521D">
        <w:rPr>
          <w:rFonts w:ascii="Calibri" w:hAnsi="Calibri"/>
          <w:lang w:val="pl-PL"/>
        </w:rPr>
        <w:t>postanowień</w:t>
      </w:r>
      <w:r w:rsidR="0092552E" w:rsidRPr="00EE41E1">
        <w:rPr>
          <w:rFonts w:ascii="Calibri" w:hAnsi="Calibri"/>
          <w:lang w:val="pl-PL"/>
        </w:rPr>
        <w:t xml:space="preserve"> o przedłużeniu zatrzymania cudzoziemca w procedurach dotyczących wydalenia </w:t>
      </w:r>
      <w:r w:rsidRPr="00EE41E1">
        <w:rPr>
          <w:rFonts w:ascii="Calibri" w:hAnsi="Calibri"/>
          <w:lang w:val="pl-PL"/>
        </w:rPr>
        <w:t xml:space="preserve">i </w:t>
      </w:r>
      <w:r w:rsidR="0042521D">
        <w:rPr>
          <w:rFonts w:ascii="Calibri" w:hAnsi="Calibri"/>
          <w:lang w:val="pl-PL"/>
        </w:rPr>
        <w:t xml:space="preserve">podkreśla </w:t>
      </w:r>
      <w:r w:rsidRPr="00EE41E1">
        <w:rPr>
          <w:rFonts w:ascii="Calibri" w:hAnsi="Calibri"/>
          <w:lang w:val="pl-PL"/>
        </w:rPr>
        <w:t xml:space="preserve">konieczność powołania się na konkretne argumenty </w:t>
      </w:r>
      <w:r w:rsidR="0092552E">
        <w:rPr>
          <w:rFonts w:ascii="Calibri" w:hAnsi="Calibri"/>
          <w:lang w:val="pl-PL"/>
        </w:rPr>
        <w:t xml:space="preserve">dotyczące okoliczności sprawy i sytuacji osób, których </w:t>
      </w:r>
      <w:r w:rsidR="0042521D">
        <w:rPr>
          <w:rFonts w:ascii="Calibri" w:hAnsi="Calibri"/>
          <w:lang w:val="pl-PL"/>
        </w:rPr>
        <w:t xml:space="preserve">postanowienia te </w:t>
      </w:r>
      <w:r w:rsidR="0092552E">
        <w:rPr>
          <w:rFonts w:ascii="Calibri" w:hAnsi="Calibri"/>
          <w:lang w:val="pl-PL"/>
        </w:rPr>
        <w:t>dotyczą</w:t>
      </w:r>
      <w:r w:rsidRPr="00EE41E1">
        <w:rPr>
          <w:rFonts w:ascii="Calibri" w:hAnsi="Calibri"/>
          <w:lang w:val="pl-PL"/>
        </w:rPr>
        <w:t>.</w:t>
      </w:r>
      <w:r w:rsidR="00A951AC">
        <w:rPr>
          <w:rFonts w:ascii="Calibri" w:hAnsi="Calibri"/>
          <w:lang w:val="pl-PL"/>
        </w:rPr>
        <w:t xml:space="preserve"> Wyrok zawiera też podsumowanie najważniejszych zasad</w:t>
      </w:r>
      <w:r w:rsidR="00B8436B" w:rsidRPr="00B8436B">
        <w:rPr>
          <w:rFonts w:ascii="Calibri" w:hAnsi="Calibri"/>
          <w:lang w:val="pl-PL"/>
        </w:rPr>
        <w:t xml:space="preserve"> </w:t>
      </w:r>
      <w:r w:rsidR="00B8436B">
        <w:rPr>
          <w:rFonts w:ascii="Calibri" w:hAnsi="Calibri"/>
          <w:lang w:val="pl-PL"/>
        </w:rPr>
        <w:t>wynikających z art. 5 ust. 1 Konwencji,</w:t>
      </w:r>
      <w:r w:rsidR="00A951AC">
        <w:rPr>
          <w:rFonts w:ascii="Calibri" w:hAnsi="Calibri"/>
          <w:lang w:val="pl-PL"/>
        </w:rPr>
        <w:t xml:space="preserve"> </w:t>
      </w:r>
      <w:r w:rsidR="00B8436B">
        <w:rPr>
          <w:rFonts w:ascii="Calibri" w:hAnsi="Calibri"/>
          <w:lang w:val="pl-PL"/>
        </w:rPr>
        <w:t xml:space="preserve">wypracowanych w dotychczasowym orzecznictwie Trybunału </w:t>
      </w:r>
      <w:r w:rsidR="00A951AC">
        <w:rPr>
          <w:rFonts w:ascii="Calibri" w:hAnsi="Calibri"/>
          <w:lang w:val="pl-PL"/>
        </w:rPr>
        <w:t xml:space="preserve">do oceny zgodności </w:t>
      </w:r>
      <w:r w:rsidR="00B02CFA">
        <w:rPr>
          <w:rFonts w:ascii="Calibri" w:hAnsi="Calibri"/>
          <w:lang w:val="pl-PL"/>
        </w:rPr>
        <w:t xml:space="preserve">z Konwencją </w:t>
      </w:r>
      <w:r w:rsidR="00A951AC">
        <w:rPr>
          <w:rFonts w:ascii="Calibri" w:hAnsi="Calibri"/>
          <w:lang w:val="pl-PL"/>
        </w:rPr>
        <w:t>pozbawienia wolności w sprawach imigracyjnych.</w:t>
      </w:r>
      <w:r w:rsidRPr="00EE41E1">
        <w:rPr>
          <w:rFonts w:ascii="Calibri" w:hAnsi="Calibri"/>
          <w:lang w:val="pl-PL"/>
        </w:rPr>
        <w:t xml:space="preserve"> </w:t>
      </w:r>
    </w:p>
    <w:p w:rsidR="007A1EF1" w:rsidRPr="008831FD" w:rsidRDefault="007A1EF1" w:rsidP="007A1EF1">
      <w:pPr>
        <w:pStyle w:val="Nagwek2"/>
        <w:numPr>
          <w:ilvl w:val="0"/>
          <w:numId w:val="1"/>
        </w:numPr>
      </w:pPr>
      <w:bookmarkStart w:id="19" w:name="_Toc432502275"/>
      <w:proofErr w:type="spellStart"/>
      <w:r w:rsidRPr="008831FD">
        <w:t>Novaković</w:t>
      </w:r>
      <w:proofErr w:type="spellEnd"/>
      <w:r w:rsidRPr="008831FD">
        <w:t xml:space="preserve"> p. Chorwacji (skarga nr 32096/12), wyrok</w:t>
      </w:r>
      <w:r w:rsidR="00780702" w:rsidRPr="008831FD">
        <w:t xml:space="preserve"> Izby</w:t>
      </w:r>
      <w:r w:rsidRPr="008831FD">
        <w:t xml:space="preserve"> z dnia 23 lipca 2015 r.</w:t>
      </w:r>
      <w:r w:rsidR="00780702" w:rsidRPr="008831FD">
        <w:t>, nieostateczny</w:t>
      </w:r>
      <w:bookmarkEnd w:id="19"/>
    </w:p>
    <w:p w:rsidR="003A5EA2" w:rsidRPr="00B40590" w:rsidRDefault="003A5EA2" w:rsidP="00B40590">
      <w:pPr>
        <w:keepNext/>
        <w:keepLines/>
        <w:spacing w:after="240" w:line="240" w:lineRule="auto"/>
        <w:jc w:val="both"/>
        <w:outlineLvl w:val="2"/>
        <w:rPr>
          <w:rFonts w:eastAsiaTheme="majorEastAsia" w:cstheme="majorBidi"/>
          <w:b/>
          <w:bCs/>
          <w:color w:val="000000" w:themeColor="text1"/>
          <w:lang w:val="pl-PL"/>
        </w:rPr>
      </w:pPr>
      <w:bookmarkStart w:id="20" w:name="_Toc432502276"/>
      <w:r w:rsidRPr="00B40590">
        <w:rPr>
          <w:rFonts w:eastAsiaTheme="majorEastAsia" w:cstheme="majorBidi"/>
          <w:b/>
          <w:bCs/>
          <w:color w:val="000000" w:themeColor="text1"/>
          <w:lang w:val="pl-PL"/>
        </w:rPr>
        <w:t xml:space="preserve">- brak naruszenia art. 6 ust. 1 Konwencji (prawo do rzetelnego procesu sądowego) w odniesieniu do uznania przez sądy krajowe za przedawnione roszczenia skarżącego, który opuścił kraj zamieszkania </w:t>
      </w:r>
      <w:r w:rsidR="00F23C6D">
        <w:rPr>
          <w:rFonts w:eastAsiaTheme="majorEastAsia" w:cstheme="majorBidi"/>
          <w:b/>
          <w:bCs/>
          <w:color w:val="000000" w:themeColor="text1"/>
          <w:lang w:val="pl-PL"/>
        </w:rPr>
        <w:t xml:space="preserve">na kilka lat </w:t>
      </w:r>
      <w:r w:rsidRPr="00B40590">
        <w:rPr>
          <w:rFonts w:eastAsiaTheme="majorEastAsia" w:cstheme="majorBidi"/>
          <w:b/>
          <w:bCs/>
          <w:color w:val="000000" w:themeColor="text1"/>
          <w:lang w:val="pl-PL"/>
        </w:rPr>
        <w:t>z uwagi na z</w:t>
      </w:r>
      <w:r w:rsidR="00B40590" w:rsidRPr="00B40590">
        <w:rPr>
          <w:rFonts w:eastAsiaTheme="majorEastAsia" w:cstheme="majorBidi"/>
          <w:b/>
          <w:bCs/>
          <w:color w:val="000000" w:themeColor="text1"/>
          <w:lang w:val="pl-PL"/>
        </w:rPr>
        <w:t>agrożenie bezpieczeństwa, jednak nie wykorzystał istniejących możliwości dochodzenia roszczeń w terminie za pośrednictwem innych osób lub korespondencyjnie</w:t>
      </w:r>
      <w:bookmarkEnd w:id="20"/>
    </w:p>
    <w:p w:rsidR="007A1EF1" w:rsidRPr="009A1FA9" w:rsidRDefault="007A1EF1" w:rsidP="009A1FA9">
      <w:pPr>
        <w:spacing w:after="120"/>
        <w:jc w:val="both"/>
        <w:rPr>
          <w:rFonts w:ascii="Calibri" w:hAnsi="Calibri"/>
          <w:u w:val="single"/>
          <w:lang w:val="pl-PL"/>
        </w:rPr>
      </w:pPr>
      <w:r w:rsidRPr="009A1FA9">
        <w:rPr>
          <w:rFonts w:ascii="Calibri" w:hAnsi="Calibri"/>
          <w:u w:val="single"/>
          <w:lang w:val="pl-PL"/>
        </w:rPr>
        <w:t>Stan faktyczny</w:t>
      </w:r>
      <w:r w:rsidR="00466DA0">
        <w:rPr>
          <w:rFonts w:ascii="Calibri" w:hAnsi="Calibri"/>
          <w:u w:val="single"/>
          <w:lang w:val="pl-PL"/>
        </w:rPr>
        <w:t xml:space="preserve"> i zarzuty skarżącego</w:t>
      </w:r>
    </w:p>
    <w:p w:rsidR="002966C1" w:rsidRDefault="007A1EF1" w:rsidP="00DA08C9">
      <w:pPr>
        <w:spacing w:after="120" w:line="240" w:lineRule="auto"/>
        <w:jc w:val="both"/>
        <w:rPr>
          <w:rFonts w:ascii="Calibri" w:hAnsi="Calibri"/>
          <w:lang w:val="pl-PL"/>
        </w:rPr>
      </w:pPr>
      <w:r w:rsidRPr="009A1FA9">
        <w:rPr>
          <w:rFonts w:ascii="Calibri" w:hAnsi="Calibri"/>
          <w:lang w:val="pl-PL"/>
        </w:rPr>
        <w:t xml:space="preserve">Skarżący jest osobą pochodzenia serbskiego </w:t>
      </w:r>
      <w:r w:rsidR="00B3377F">
        <w:rPr>
          <w:rFonts w:ascii="Calibri" w:hAnsi="Calibri"/>
          <w:lang w:val="pl-PL"/>
        </w:rPr>
        <w:t>i mieszka</w:t>
      </w:r>
      <w:r w:rsidRPr="009A1FA9">
        <w:rPr>
          <w:rFonts w:ascii="Calibri" w:hAnsi="Calibri"/>
          <w:lang w:val="pl-PL"/>
        </w:rPr>
        <w:t xml:space="preserve"> w chorwackim mieście Sisak. </w:t>
      </w:r>
      <w:r w:rsidRPr="009A1FA9">
        <w:rPr>
          <w:rFonts w:ascii="Calibri" w:hAnsi="Calibri"/>
          <w:lang w:val="pl-PL"/>
        </w:rPr>
        <w:br/>
        <w:t>W latach 1991-1992 serbskie oddziały paramilitarne przejęły kontrol</w:t>
      </w:r>
      <w:r w:rsidR="00F23C6D">
        <w:rPr>
          <w:rFonts w:ascii="Calibri" w:hAnsi="Calibri"/>
          <w:lang w:val="pl-PL"/>
        </w:rPr>
        <w:t>ę</w:t>
      </w:r>
      <w:r w:rsidRPr="009A1FA9">
        <w:rPr>
          <w:rFonts w:ascii="Calibri" w:hAnsi="Calibri"/>
          <w:lang w:val="pl-PL"/>
        </w:rPr>
        <w:t xml:space="preserve"> nad jedną trzecią terytorium </w:t>
      </w:r>
      <w:r w:rsidRPr="009A1FA9">
        <w:rPr>
          <w:rFonts w:ascii="Calibri" w:hAnsi="Calibri"/>
          <w:lang w:val="pl-PL"/>
        </w:rPr>
        <w:lastRenderedPageBreak/>
        <w:t>Chorwacji</w:t>
      </w:r>
      <w:r w:rsidR="00B3377F">
        <w:rPr>
          <w:rFonts w:ascii="Calibri" w:hAnsi="Calibri"/>
          <w:lang w:val="pl-PL"/>
        </w:rPr>
        <w:t>,</w:t>
      </w:r>
      <w:r w:rsidRPr="009A1FA9">
        <w:rPr>
          <w:rFonts w:ascii="Calibri" w:hAnsi="Calibri"/>
          <w:lang w:val="pl-PL"/>
        </w:rPr>
        <w:t xml:space="preserve"> proklamując Republikę Serbskiej Krajiny (miasto Sisak znajduje się blisko ówczesnej granicy RSK). W okresie tym miały miejsce zabójstwa Serbów dokonywane przez chorwacka policję i wojsko. W lipcu 1991 r. w obawie o własne bezpieczeństwo </w:t>
      </w:r>
      <w:r w:rsidR="00B3377F">
        <w:rPr>
          <w:rFonts w:ascii="Calibri" w:hAnsi="Calibri"/>
          <w:lang w:val="pl-PL"/>
        </w:rPr>
        <w:t>s</w:t>
      </w:r>
      <w:r w:rsidRPr="009A1FA9">
        <w:rPr>
          <w:rFonts w:ascii="Calibri" w:hAnsi="Calibri"/>
          <w:lang w:val="pl-PL"/>
        </w:rPr>
        <w:t>karżący opuścił Sisak.</w:t>
      </w:r>
      <w:r w:rsidR="00D36AAC">
        <w:rPr>
          <w:rFonts w:ascii="Calibri" w:hAnsi="Calibri"/>
          <w:lang w:val="pl-PL"/>
        </w:rPr>
        <w:t xml:space="preserve"> </w:t>
      </w:r>
    </w:p>
    <w:p w:rsidR="007A1EF1" w:rsidRPr="009A1FA9" w:rsidRDefault="002966C1" w:rsidP="00DA08C9">
      <w:pPr>
        <w:spacing w:after="120" w:line="240" w:lineRule="auto"/>
        <w:jc w:val="both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t>Skarżący p</w:t>
      </w:r>
      <w:r w:rsidR="00D36AAC">
        <w:rPr>
          <w:rFonts w:ascii="Calibri" w:hAnsi="Calibri"/>
          <w:lang w:val="pl-PL"/>
        </w:rPr>
        <w:t>owrócił do kraju w 1996 r.</w:t>
      </w:r>
      <w:r>
        <w:rPr>
          <w:rFonts w:ascii="Calibri" w:hAnsi="Calibri"/>
          <w:lang w:val="pl-PL"/>
        </w:rPr>
        <w:t>, a w</w:t>
      </w:r>
      <w:r w:rsidR="009B1597">
        <w:rPr>
          <w:rFonts w:ascii="Calibri" w:hAnsi="Calibri"/>
          <w:lang w:val="pl-PL"/>
        </w:rPr>
        <w:t>e wrześniu</w:t>
      </w:r>
      <w:r w:rsidR="007A1EF1" w:rsidRPr="009A1FA9">
        <w:rPr>
          <w:rFonts w:ascii="Calibri" w:hAnsi="Calibri"/>
          <w:lang w:val="pl-PL"/>
        </w:rPr>
        <w:t xml:space="preserve"> 1999 r.</w:t>
      </w:r>
      <w:r w:rsidR="00570DCF">
        <w:rPr>
          <w:rFonts w:ascii="Calibri" w:hAnsi="Calibri"/>
          <w:lang w:val="pl-PL"/>
        </w:rPr>
        <w:t>,</w:t>
      </w:r>
      <w:r w:rsidR="007A1EF1" w:rsidRPr="009A1FA9">
        <w:rPr>
          <w:rFonts w:ascii="Calibri" w:hAnsi="Calibri"/>
          <w:lang w:val="pl-PL"/>
        </w:rPr>
        <w:t xml:space="preserve"> chcąc dochodzić płatności pewnej sumy należnej w związku z poczynionymi inwestycjami, wniósł powództwo cywilne przeciwko </w:t>
      </w:r>
      <w:r w:rsidR="00F23C6D">
        <w:rPr>
          <w:rFonts w:ascii="Calibri" w:hAnsi="Calibri"/>
          <w:lang w:val="pl-PL"/>
        </w:rPr>
        <w:t xml:space="preserve">m.in. </w:t>
      </w:r>
      <w:r w:rsidR="00570DCF">
        <w:rPr>
          <w:rFonts w:ascii="Calibri" w:hAnsi="Calibri"/>
          <w:lang w:val="pl-PL"/>
        </w:rPr>
        <w:t xml:space="preserve">gminie </w:t>
      </w:r>
      <w:r w:rsidR="007A1EF1" w:rsidRPr="009A1FA9">
        <w:rPr>
          <w:rFonts w:ascii="Calibri" w:hAnsi="Calibri"/>
          <w:lang w:val="pl-PL"/>
        </w:rPr>
        <w:t>Sisak. Skarżący argumentował, że nie mógł wnieść powództwa w przepisowym terminie 5 lat, ponieważ</w:t>
      </w:r>
      <w:r w:rsidR="00B53607">
        <w:rPr>
          <w:rFonts w:ascii="Calibri" w:hAnsi="Calibri"/>
          <w:lang w:val="pl-PL"/>
        </w:rPr>
        <w:t xml:space="preserve"> </w:t>
      </w:r>
      <w:r w:rsidR="00F23C6D" w:rsidRPr="009A1FA9">
        <w:rPr>
          <w:rFonts w:ascii="Calibri" w:hAnsi="Calibri"/>
          <w:lang w:val="pl-PL"/>
        </w:rPr>
        <w:t xml:space="preserve">w 1991 r. </w:t>
      </w:r>
      <w:r w:rsidR="00B53607">
        <w:rPr>
          <w:rFonts w:ascii="Calibri" w:hAnsi="Calibri"/>
          <w:lang w:val="pl-PL"/>
        </w:rPr>
        <w:t>z obawy</w:t>
      </w:r>
      <w:r w:rsidR="007A1EF1" w:rsidRPr="009A1FA9">
        <w:rPr>
          <w:rFonts w:ascii="Calibri" w:hAnsi="Calibri"/>
          <w:lang w:val="pl-PL"/>
        </w:rPr>
        <w:t xml:space="preserve"> o własne bezpieczeństwo opuścił Sisak</w:t>
      </w:r>
      <w:r w:rsidR="00F23C6D">
        <w:rPr>
          <w:rFonts w:ascii="Calibri" w:hAnsi="Calibri"/>
          <w:lang w:val="pl-PL"/>
        </w:rPr>
        <w:t>.</w:t>
      </w:r>
      <w:r w:rsidR="00F23C6D" w:rsidRPr="00F23C6D">
        <w:rPr>
          <w:rFonts w:ascii="Calibri" w:hAnsi="Calibri"/>
          <w:lang w:val="pl-PL"/>
        </w:rPr>
        <w:t xml:space="preserve"> </w:t>
      </w:r>
      <w:r w:rsidR="007A1EF1" w:rsidRPr="009A1FA9">
        <w:rPr>
          <w:rFonts w:ascii="Calibri" w:hAnsi="Calibri"/>
          <w:lang w:val="pl-PL"/>
        </w:rPr>
        <w:t>Sąd oddalił</w:t>
      </w:r>
      <w:r w:rsidR="00B40590">
        <w:rPr>
          <w:rFonts w:ascii="Calibri" w:hAnsi="Calibri"/>
          <w:lang w:val="pl-PL"/>
        </w:rPr>
        <w:t xml:space="preserve"> roszczenie jako przedawnione</w:t>
      </w:r>
      <w:r w:rsidR="00570DCF">
        <w:rPr>
          <w:rFonts w:ascii="Calibri" w:hAnsi="Calibri"/>
          <w:lang w:val="pl-PL"/>
        </w:rPr>
        <w:t>,</w:t>
      </w:r>
      <w:r w:rsidR="007A1EF1" w:rsidRPr="009A1FA9">
        <w:rPr>
          <w:rFonts w:ascii="Calibri" w:hAnsi="Calibri"/>
          <w:lang w:val="pl-PL"/>
        </w:rPr>
        <w:t xml:space="preserve"> argumentując, że </w:t>
      </w:r>
      <w:r w:rsidR="00570DCF">
        <w:rPr>
          <w:rFonts w:ascii="Calibri" w:hAnsi="Calibri"/>
          <w:lang w:val="pl-PL"/>
        </w:rPr>
        <w:t>s</w:t>
      </w:r>
      <w:r w:rsidR="007A1EF1" w:rsidRPr="009A1FA9">
        <w:rPr>
          <w:rFonts w:ascii="Calibri" w:hAnsi="Calibri"/>
          <w:lang w:val="pl-PL"/>
        </w:rPr>
        <w:t>karżący opuścił Sisak z własnej woli, samo miasto nigdy nie było okupowane,</w:t>
      </w:r>
      <w:r w:rsidR="00B53607">
        <w:rPr>
          <w:rFonts w:ascii="Calibri" w:hAnsi="Calibri"/>
          <w:lang w:val="pl-PL"/>
        </w:rPr>
        <w:t xml:space="preserve"> </w:t>
      </w:r>
      <w:r w:rsidR="00B40590">
        <w:rPr>
          <w:rFonts w:ascii="Calibri" w:hAnsi="Calibri"/>
          <w:lang w:val="pl-PL"/>
        </w:rPr>
        <w:t xml:space="preserve">a </w:t>
      </w:r>
      <w:r w:rsidR="00B53607">
        <w:rPr>
          <w:rFonts w:ascii="Calibri" w:hAnsi="Calibri"/>
          <w:lang w:val="pl-PL"/>
        </w:rPr>
        <w:t>sądy nadal działały,</w:t>
      </w:r>
      <w:r w:rsidR="007A1EF1" w:rsidRPr="009A1FA9">
        <w:rPr>
          <w:rFonts w:ascii="Calibri" w:hAnsi="Calibri"/>
          <w:lang w:val="pl-PL"/>
        </w:rPr>
        <w:t xml:space="preserve"> w związku z czym nie istniały nieprzezwyciężalne przeszkody, które uniemożliwiały wniesienie </w:t>
      </w:r>
      <w:r w:rsidR="005E13E7">
        <w:rPr>
          <w:rFonts w:ascii="Calibri" w:hAnsi="Calibri"/>
          <w:lang w:val="pl-PL"/>
        </w:rPr>
        <w:t xml:space="preserve">powództwa </w:t>
      </w:r>
      <w:r w:rsidR="007A1EF1" w:rsidRPr="009A1FA9">
        <w:rPr>
          <w:rFonts w:ascii="Calibri" w:hAnsi="Calibri"/>
          <w:lang w:val="pl-PL"/>
        </w:rPr>
        <w:t>w przepis</w:t>
      </w:r>
      <w:r>
        <w:rPr>
          <w:rFonts w:ascii="Calibri" w:hAnsi="Calibri"/>
          <w:lang w:val="pl-PL"/>
        </w:rPr>
        <w:t>anym</w:t>
      </w:r>
      <w:r w:rsidR="007A1EF1" w:rsidRPr="009A1FA9">
        <w:rPr>
          <w:rFonts w:ascii="Calibri" w:hAnsi="Calibri"/>
          <w:lang w:val="pl-PL"/>
        </w:rPr>
        <w:t xml:space="preserve"> terminie. Wyrok ten został podtrzymany przez sąd II instancji </w:t>
      </w:r>
      <w:r w:rsidR="00F23C6D">
        <w:rPr>
          <w:rFonts w:ascii="Calibri" w:hAnsi="Calibri"/>
          <w:lang w:val="pl-PL"/>
        </w:rPr>
        <w:t>oraz</w:t>
      </w:r>
      <w:r w:rsidR="007A1EF1" w:rsidRPr="009A1FA9">
        <w:rPr>
          <w:rFonts w:ascii="Calibri" w:hAnsi="Calibri"/>
          <w:lang w:val="pl-PL"/>
        </w:rPr>
        <w:t xml:space="preserve"> Sąd Najwyższy, Trybunał Konstytucyjny odrzucił </w:t>
      </w:r>
      <w:r w:rsidR="00570DCF">
        <w:rPr>
          <w:rFonts w:ascii="Calibri" w:hAnsi="Calibri"/>
          <w:lang w:val="pl-PL"/>
        </w:rPr>
        <w:t xml:space="preserve">zaś </w:t>
      </w:r>
      <w:r>
        <w:rPr>
          <w:rFonts w:ascii="Calibri" w:hAnsi="Calibri"/>
          <w:lang w:val="pl-PL"/>
        </w:rPr>
        <w:t xml:space="preserve">jego </w:t>
      </w:r>
      <w:r w:rsidR="00570DCF">
        <w:rPr>
          <w:rFonts w:ascii="Calibri" w:hAnsi="Calibri"/>
          <w:lang w:val="pl-PL"/>
        </w:rPr>
        <w:t>skargę</w:t>
      </w:r>
      <w:r w:rsidR="00B40590">
        <w:rPr>
          <w:rFonts w:ascii="Calibri" w:hAnsi="Calibri"/>
          <w:lang w:val="pl-PL"/>
        </w:rPr>
        <w:t xml:space="preserve"> konstytucyjną</w:t>
      </w:r>
      <w:r w:rsidR="007A1EF1" w:rsidRPr="009A1FA9">
        <w:rPr>
          <w:rFonts w:ascii="Calibri" w:hAnsi="Calibri"/>
          <w:lang w:val="pl-PL"/>
        </w:rPr>
        <w:t>.</w:t>
      </w:r>
    </w:p>
    <w:p w:rsidR="007A1EF1" w:rsidRPr="009A1FA9" w:rsidRDefault="007A1EF1" w:rsidP="00DA08C9">
      <w:pPr>
        <w:spacing w:after="120" w:line="240" w:lineRule="auto"/>
        <w:jc w:val="both"/>
        <w:rPr>
          <w:rFonts w:ascii="Calibri" w:hAnsi="Calibri"/>
          <w:lang w:val="pl-PL"/>
        </w:rPr>
      </w:pPr>
      <w:r w:rsidRPr="009A1FA9">
        <w:rPr>
          <w:rFonts w:ascii="Calibri" w:hAnsi="Calibri"/>
          <w:lang w:val="pl-PL"/>
        </w:rPr>
        <w:t xml:space="preserve">W skardze wniesionej do Trybunału </w:t>
      </w:r>
      <w:r w:rsidR="00466DA0">
        <w:rPr>
          <w:rFonts w:ascii="Calibri" w:hAnsi="Calibri"/>
          <w:lang w:val="pl-PL"/>
        </w:rPr>
        <w:t>s</w:t>
      </w:r>
      <w:r w:rsidRPr="009A1FA9">
        <w:rPr>
          <w:rFonts w:ascii="Calibri" w:hAnsi="Calibri"/>
          <w:lang w:val="pl-PL"/>
        </w:rPr>
        <w:t xml:space="preserve">karżący zarzucił naruszenie art. 6 </w:t>
      </w:r>
      <w:r w:rsidR="009A1FA9">
        <w:rPr>
          <w:rFonts w:ascii="Calibri" w:hAnsi="Calibri"/>
          <w:lang w:val="pl-PL"/>
        </w:rPr>
        <w:t>ust.</w:t>
      </w:r>
      <w:r w:rsidRPr="009A1FA9">
        <w:rPr>
          <w:rFonts w:ascii="Calibri" w:hAnsi="Calibri"/>
          <w:lang w:val="pl-PL"/>
        </w:rPr>
        <w:t xml:space="preserve"> 1 </w:t>
      </w:r>
      <w:r w:rsidR="00B40590">
        <w:rPr>
          <w:rFonts w:ascii="Calibri" w:hAnsi="Calibri"/>
          <w:lang w:val="pl-PL"/>
        </w:rPr>
        <w:t xml:space="preserve">(prawo do rzetelnego procesu sądowego) </w:t>
      </w:r>
      <w:r w:rsidRPr="009A1FA9">
        <w:rPr>
          <w:rFonts w:ascii="Calibri" w:hAnsi="Calibri"/>
          <w:lang w:val="pl-PL"/>
        </w:rPr>
        <w:t xml:space="preserve">i art. 13 </w:t>
      </w:r>
      <w:r w:rsidR="00B40590">
        <w:rPr>
          <w:rFonts w:ascii="Calibri" w:hAnsi="Calibri"/>
          <w:lang w:val="pl-PL"/>
        </w:rPr>
        <w:t xml:space="preserve">(prawo do skutecznego środka odwoławczego) </w:t>
      </w:r>
      <w:r w:rsidRPr="009A1FA9">
        <w:rPr>
          <w:rFonts w:ascii="Calibri" w:hAnsi="Calibri"/>
          <w:lang w:val="pl-PL"/>
        </w:rPr>
        <w:t>Konwencji w związku z odmową rozpatrzenia jego powództwa przez sądy krajowe</w:t>
      </w:r>
      <w:r w:rsidR="00466DA0">
        <w:rPr>
          <w:rFonts w:ascii="Calibri" w:hAnsi="Calibri"/>
          <w:lang w:val="pl-PL"/>
        </w:rPr>
        <w:t>.</w:t>
      </w:r>
      <w:r w:rsidRPr="009A1FA9">
        <w:rPr>
          <w:rFonts w:ascii="Calibri" w:hAnsi="Calibri"/>
          <w:lang w:val="pl-PL"/>
        </w:rPr>
        <w:t xml:space="preserve"> Trybunał zdecydował, że przedmiotem rozstrzygnięcia w sprawie będzie</w:t>
      </w:r>
      <w:r w:rsidR="00B53607">
        <w:rPr>
          <w:rFonts w:ascii="Calibri" w:hAnsi="Calibri"/>
          <w:lang w:val="pl-PL"/>
        </w:rPr>
        <w:t xml:space="preserve"> jedynie</w:t>
      </w:r>
      <w:r w:rsidRPr="009A1FA9">
        <w:rPr>
          <w:rFonts w:ascii="Calibri" w:hAnsi="Calibri"/>
          <w:lang w:val="pl-PL"/>
        </w:rPr>
        <w:t xml:space="preserve"> </w:t>
      </w:r>
      <w:r w:rsidR="00466DA0">
        <w:rPr>
          <w:rFonts w:ascii="Calibri" w:hAnsi="Calibri"/>
          <w:lang w:val="pl-PL"/>
        </w:rPr>
        <w:t xml:space="preserve">kwestia </w:t>
      </w:r>
      <w:r w:rsidRPr="009A1FA9">
        <w:rPr>
          <w:rFonts w:ascii="Calibri" w:hAnsi="Calibri"/>
          <w:lang w:val="pl-PL"/>
        </w:rPr>
        <w:t xml:space="preserve">ewentualnego naruszenia art. 6 </w:t>
      </w:r>
      <w:r w:rsidR="009A1FA9">
        <w:rPr>
          <w:rFonts w:ascii="Calibri" w:hAnsi="Calibri"/>
          <w:lang w:val="pl-PL"/>
        </w:rPr>
        <w:t>ust.</w:t>
      </w:r>
      <w:r w:rsidRPr="009A1FA9">
        <w:rPr>
          <w:rFonts w:ascii="Calibri" w:hAnsi="Calibri"/>
          <w:lang w:val="pl-PL"/>
        </w:rPr>
        <w:t xml:space="preserve"> 1</w:t>
      </w:r>
      <w:r w:rsidR="00466DA0">
        <w:rPr>
          <w:rFonts w:ascii="Calibri" w:hAnsi="Calibri"/>
          <w:lang w:val="pl-PL"/>
        </w:rPr>
        <w:t xml:space="preserve"> Konwencji</w:t>
      </w:r>
      <w:r w:rsidR="00B40590">
        <w:rPr>
          <w:rFonts w:ascii="Calibri" w:hAnsi="Calibri"/>
          <w:lang w:val="pl-PL"/>
        </w:rPr>
        <w:t>, gdyż przepis ten zawiera dalej idące zobowiązania</w:t>
      </w:r>
      <w:r w:rsidR="00441756">
        <w:rPr>
          <w:rFonts w:ascii="Calibri" w:hAnsi="Calibri"/>
          <w:lang w:val="pl-PL"/>
        </w:rPr>
        <w:t xml:space="preserve"> państwa</w:t>
      </w:r>
      <w:r w:rsidR="00B53607">
        <w:rPr>
          <w:rFonts w:ascii="Calibri" w:hAnsi="Calibri"/>
          <w:lang w:val="pl-PL"/>
        </w:rPr>
        <w:t>.</w:t>
      </w:r>
    </w:p>
    <w:p w:rsidR="007A1EF1" w:rsidRPr="009A1FA9" w:rsidRDefault="001E0C94" w:rsidP="00DA08C9">
      <w:pPr>
        <w:spacing w:after="120" w:line="240" w:lineRule="auto"/>
        <w:jc w:val="both"/>
        <w:rPr>
          <w:rFonts w:ascii="Calibri" w:hAnsi="Calibri"/>
          <w:u w:val="single"/>
          <w:lang w:val="pl-PL"/>
        </w:rPr>
      </w:pPr>
      <w:r>
        <w:rPr>
          <w:rFonts w:ascii="Calibri" w:hAnsi="Calibri"/>
          <w:u w:val="single"/>
          <w:lang w:val="pl-PL"/>
        </w:rPr>
        <w:t>Ocena</w:t>
      </w:r>
      <w:r w:rsidR="007A1EF1" w:rsidRPr="009A1FA9">
        <w:rPr>
          <w:rFonts w:ascii="Calibri" w:hAnsi="Calibri"/>
          <w:u w:val="single"/>
          <w:lang w:val="pl-PL"/>
        </w:rPr>
        <w:t xml:space="preserve"> Trybunału</w:t>
      </w:r>
    </w:p>
    <w:p w:rsidR="007A1EF1" w:rsidRPr="009A1FA9" w:rsidRDefault="007A1EF1" w:rsidP="00DA08C9">
      <w:pPr>
        <w:spacing w:after="120" w:line="240" w:lineRule="auto"/>
        <w:jc w:val="both"/>
        <w:rPr>
          <w:rFonts w:ascii="Calibri" w:hAnsi="Calibri"/>
          <w:lang w:val="pl-PL"/>
        </w:rPr>
      </w:pPr>
      <w:r w:rsidRPr="009A1FA9">
        <w:rPr>
          <w:rFonts w:ascii="Calibri" w:hAnsi="Calibri"/>
          <w:lang w:val="pl-PL"/>
        </w:rPr>
        <w:t xml:space="preserve">Trybunał potwierdził, że gwarantowane w art. 6 </w:t>
      </w:r>
      <w:r w:rsidR="009A1FA9">
        <w:rPr>
          <w:rFonts w:ascii="Calibri" w:hAnsi="Calibri"/>
          <w:lang w:val="pl-PL"/>
        </w:rPr>
        <w:t>ust.</w:t>
      </w:r>
      <w:r w:rsidRPr="009A1FA9">
        <w:rPr>
          <w:rFonts w:ascii="Calibri" w:hAnsi="Calibri"/>
          <w:lang w:val="pl-PL"/>
        </w:rPr>
        <w:t xml:space="preserve"> 1</w:t>
      </w:r>
      <w:r w:rsidR="005E13E7">
        <w:rPr>
          <w:rFonts w:ascii="Calibri" w:hAnsi="Calibri"/>
          <w:lang w:val="pl-PL"/>
        </w:rPr>
        <w:t xml:space="preserve"> Konwencji</w:t>
      </w:r>
      <w:r w:rsidRPr="009A1FA9">
        <w:rPr>
          <w:rFonts w:ascii="Calibri" w:hAnsi="Calibri"/>
          <w:lang w:val="pl-PL"/>
        </w:rPr>
        <w:t xml:space="preserve"> prawo </w:t>
      </w:r>
      <w:r w:rsidR="003A6950">
        <w:rPr>
          <w:rFonts w:ascii="Calibri" w:hAnsi="Calibri"/>
          <w:lang w:val="pl-PL"/>
        </w:rPr>
        <w:t xml:space="preserve">dostępu do sądu </w:t>
      </w:r>
      <w:r w:rsidRPr="009A1FA9">
        <w:rPr>
          <w:rFonts w:ascii="Calibri" w:hAnsi="Calibri"/>
          <w:lang w:val="pl-PL"/>
        </w:rPr>
        <w:t>nie ma charakteru absolutnego i</w:t>
      </w:r>
      <w:r w:rsidR="00B53607">
        <w:rPr>
          <w:rFonts w:ascii="Calibri" w:hAnsi="Calibri"/>
          <w:lang w:val="pl-PL"/>
        </w:rPr>
        <w:t xml:space="preserve"> może być poddane ograniczeniom, jako że prawo to ze swej istoty wymaga regulacji przez państwo.</w:t>
      </w:r>
      <w:r w:rsidRPr="009A1FA9">
        <w:rPr>
          <w:rFonts w:ascii="Calibri" w:hAnsi="Calibri"/>
          <w:lang w:val="pl-PL"/>
        </w:rPr>
        <w:t xml:space="preserve"> Restrykcje nie mogą </w:t>
      </w:r>
      <w:r w:rsidR="00B53607">
        <w:rPr>
          <w:rFonts w:ascii="Calibri" w:hAnsi="Calibri"/>
          <w:lang w:val="pl-PL"/>
        </w:rPr>
        <w:t xml:space="preserve">jednak </w:t>
      </w:r>
      <w:r w:rsidRPr="009A1FA9">
        <w:rPr>
          <w:rFonts w:ascii="Calibri" w:hAnsi="Calibri"/>
          <w:lang w:val="pl-PL"/>
        </w:rPr>
        <w:t xml:space="preserve">ograniczać lub wykluczać prawa do sądu w taki sposób lub do tego stopnia, </w:t>
      </w:r>
      <w:r w:rsidR="001D4D8E">
        <w:rPr>
          <w:rFonts w:ascii="Calibri" w:hAnsi="Calibri"/>
          <w:lang w:val="pl-PL"/>
        </w:rPr>
        <w:t>że naruszona zostałaby</w:t>
      </w:r>
      <w:r w:rsidRPr="009A1FA9">
        <w:rPr>
          <w:rFonts w:ascii="Calibri" w:hAnsi="Calibri"/>
          <w:lang w:val="pl-PL"/>
        </w:rPr>
        <w:t xml:space="preserve"> sama istota </w:t>
      </w:r>
      <w:r w:rsidR="001D4D8E">
        <w:rPr>
          <w:rFonts w:ascii="Calibri" w:hAnsi="Calibri"/>
          <w:lang w:val="pl-PL"/>
        </w:rPr>
        <w:t xml:space="preserve">tego </w:t>
      </w:r>
      <w:r w:rsidRPr="009A1FA9">
        <w:rPr>
          <w:rFonts w:ascii="Calibri" w:hAnsi="Calibri"/>
          <w:lang w:val="pl-PL"/>
        </w:rPr>
        <w:t xml:space="preserve">prawa. Ponadto ograniczenia nie </w:t>
      </w:r>
      <w:r w:rsidR="001D4D8E">
        <w:rPr>
          <w:rFonts w:ascii="Calibri" w:hAnsi="Calibri"/>
          <w:lang w:val="pl-PL"/>
        </w:rPr>
        <w:t>są zgodn</w:t>
      </w:r>
      <w:r w:rsidRPr="009A1FA9">
        <w:rPr>
          <w:rFonts w:ascii="Calibri" w:hAnsi="Calibri"/>
          <w:lang w:val="pl-PL"/>
        </w:rPr>
        <w:t xml:space="preserve">e z art. 6 </w:t>
      </w:r>
      <w:r w:rsidR="009A1FA9">
        <w:rPr>
          <w:rFonts w:ascii="Calibri" w:hAnsi="Calibri"/>
          <w:lang w:val="pl-PL"/>
        </w:rPr>
        <w:t>ust.</w:t>
      </w:r>
      <w:r w:rsidRPr="009A1FA9">
        <w:rPr>
          <w:rFonts w:ascii="Calibri" w:hAnsi="Calibri"/>
          <w:lang w:val="pl-PL"/>
        </w:rPr>
        <w:t xml:space="preserve"> 1 Konwencji</w:t>
      </w:r>
      <w:r w:rsidR="001D4D8E">
        <w:rPr>
          <w:rFonts w:ascii="Calibri" w:hAnsi="Calibri"/>
          <w:lang w:val="pl-PL"/>
        </w:rPr>
        <w:t>,</w:t>
      </w:r>
      <w:r w:rsidRPr="009A1FA9">
        <w:rPr>
          <w:rFonts w:ascii="Calibri" w:hAnsi="Calibri"/>
          <w:lang w:val="pl-PL"/>
        </w:rPr>
        <w:t xml:space="preserve"> jeśli nie służą realizacji u</w:t>
      </w:r>
      <w:r w:rsidR="001D4D8E">
        <w:rPr>
          <w:rFonts w:ascii="Calibri" w:hAnsi="Calibri"/>
          <w:lang w:val="pl-PL"/>
        </w:rPr>
        <w:t xml:space="preserve">prawnionego </w:t>
      </w:r>
      <w:r w:rsidRPr="009A1FA9">
        <w:rPr>
          <w:rFonts w:ascii="Calibri" w:hAnsi="Calibri"/>
          <w:lang w:val="pl-PL"/>
        </w:rPr>
        <w:t xml:space="preserve">celu oraz jeśli nie spełniają kryterium proporcjonalności. </w:t>
      </w:r>
    </w:p>
    <w:p w:rsidR="00441756" w:rsidRDefault="007A1EF1" w:rsidP="00DA08C9">
      <w:pPr>
        <w:spacing w:after="120" w:line="240" w:lineRule="auto"/>
        <w:jc w:val="both"/>
        <w:rPr>
          <w:rFonts w:ascii="Calibri" w:hAnsi="Calibri"/>
          <w:lang w:val="pl-PL"/>
        </w:rPr>
      </w:pPr>
      <w:r w:rsidRPr="009A1FA9">
        <w:rPr>
          <w:rFonts w:ascii="Calibri" w:hAnsi="Calibri"/>
          <w:lang w:val="pl-PL"/>
        </w:rPr>
        <w:t xml:space="preserve">Trybunał podkreślił, że </w:t>
      </w:r>
      <w:r w:rsidR="00C30D8F">
        <w:rPr>
          <w:rFonts w:ascii="Calibri" w:hAnsi="Calibri"/>
          <w:lang w:val="pl-PL"/>
        </w:rPr>
        <w:t xml:space="preserve">w pierwszej kolejności to </w:t>
      </w:r>
      <w:r w:rsidRPr="009A1FA9">
        <w:rPr>
          <w:rFonts w:ascii="Calibri" w:hAnsi="Calibri"/>
          <w:lang w:val="pl-PL"/>
        </w:rPr>
        <w:t xml:space="preserve">rolą sądów krajowych jest </w:t>
      </w:r>
      <w:r w:rsidR="00EC51DF">
        <w:rPr>
          <w:rFonts w:ascii="Calibri" w:hAnsi="Calibri"/>
          <w:lang w:val="pl-PL"/>
        </w:rPr>
        <w:t>dokonywanie rozstrzygnięć w sprawie interpretacji</w:t>
      </w:r>
      <w:r w:rsidRPr="009A1FA9">
        <w:rPr>
          <w:rFonts w:ascii="Calibri" w:hAnsi="Calibri"/>
          <w:lang w:val="pl-PL"/>
        </w:rPr>
        <w:t xml:space="preserve"> prawa krajowego, </w:t>
      </w:r>
      <w:r w:rsidR="00C30D8F">
        <w:rPr>
          <w:rFonts w:ascii="Calibri" w:hAnsi="Calibri"/>
          <w:lang w:val="pl-PL"/>
        </w:rPr>
        <w:t xml:space="preserve">do Trybunału </w:t>
      </w:r>
      <w:r w:rsidR="00F23C6D">
        <w:rPr>
          <w:rFonts w:ascii="Calibri" w:hAnsi="Calibri"/>
          <w:lang w:val="pl-PL"/>
        </w:rPr>
        <w:t xml:space="preserve">natomiast </w:t>
      </w:r>
      <w:r w:rsidR="00C30D8F">
        <w:rPr>
          <w:rFonts w:ascii="Calibri" w:hAnsi="Calibri"/>
          <w:lang w:val="pl-PL"/>
        </w:rPr>
        <w:t>należy</w:t>
      </w:r>
      <w:r w:rsidR="000178F1">
        <w:rPr>
          <w:rFonts w:ascii="Calibri" w:hAnsi="Calibri"/>
          <w:lang w:val="pl-PL"/>
        </w:rPr>
        <w:t xml:space="preserve"> jedynie</w:t>
      </w:r>
      <w:r w:rsidR="00C30D8F">
        <w:rPr>
          <w:rFonts w:ascii="Calibri" w:hAnsi="Calibri"/>
          <w:lang w:val="pl-PL"/>
        </w:rPr>
        <w:t xml:space="preserve"> ocena, czy skutki takiej interpretacji są zgodne z Konwencją</w:t>
      </w:r>
      <w:r w:rsidRPr="009A1FA9">
        <w:rPr>
          <w:rFonts w:ascii="Calibri" w:hAnsi="Calibri"/>
          <w:lang w:val="pl-PL"/>
        </w:rPr>
        <w:t>.</w:t>
      </w:r>
      <w:r w:rsidR="001E5AFA">
        <w:rPr>
          <w:rFonts w:ascii="Calibri" w:hAnsi="Calibri"/>
          <w:lang w:val="pl-PL"/>
        </w:rPr>
        <w:t xml:space="preserve"> Dotyczy to w szczególności wykładni przez sądy krajowe uregulowań o charakterze proceduralnym, takich jak terminy dotyczące składania dokumentów lub </w:t>
      </w:r>
      <w:proofErr w:type="spellStart"/>
      <w:r w:rsidR="001E5AFA">
        <w:rPr>
          <w:rFonts w:ascii="Calibri" w:hAnsi="Calibri"/>
          <w:lang w:val="pl-PL"/>
        </w:rPr>
        <w:t>odwołań</w:t>
      </w:r>
      <w:proofErr w:type="spellEnd"/>
      <w:r w:rsidR="001E5AFA">
        <w:rPr>
          <w:rFonts w:ascii="Calibri" w:hAnsi="Calibri"/>
          <w:lang w:val="pl-PL"/>
        </w:rPr>
        <w:t xml:space="preserve">. </w:t>
      </w:r>
    </w:p>
    <w:p w:rsidR="00F70D47" w:rsidRPr="003A5EA2" w:rsidRDefault="007A1EF1" w:rsidP="00DA08C9">
      <w:pPr>
        <w:spacing w:after="120" w:line="240" w:lineRule="auto"/>
        <w:jc w:val="both"/>
        <w:rPr>
          <w:rFonts w:ascii="Calibri" w:hAnsi="Calibri"/>
          <w:lang w:val="pl-PL"/>
        </w:rPr>
      </w:pPr>
      <w:r w:rsidRPr="009A1FA9">
        <w:rPr>
          <w:rFonts w:ascii="Calibri" w:hAnsi="Calibri"/>
          <w:lang w:val="pl-PL"/>
        </w:rPr>
        <w:t>W ocenie Trybunału, przewidziane w przepisach krajowych terminy dla</w:t>
      </w:r>
      <w:r w:rsidR="000178F1">
        <w:rPr>
          <w:rFonts w:ascii="Calibri" w:hAnsi="Calibri"/>
          <w:lang w:val="pl-PL"/>
        </w:rPr>
        <w:t xml:space="preserve"> dochodzenia roszczeń </w:t>
      </w:r>
      <w:r w:rsidR="00EC51DF">
        <w:rPr>
          <w:rFonts w:ascii="Calibri" w:hAnsi="Calibri"/>
          <w:lang w:val="pl-PL"/>
        </w:rPr>
        <w:t>same w sobie</w:t>
      </w:r>
      <w:r w:rsidRPr="009A1FA9">
        <w:rPr>
          <w:rFonts w:ascii="Calibri" w:hAnsi="Calibri"/>
          <w:lang w:val="pl-PL"/>
        </w:rPr>
        <w:t xml:space="preserve"> nie naruszają art. 6 </w:t>
      </w:r>
      <w:r w:rsidR="009A1FA9">
        <w:rPr>
          <w:rFonts w:ascii="Calibri" w:hAnsi="Calibri"/>
          <w:lang w:val="pl-PL"/>
        </w:rPr>
        <w:t>ust.</w:t>
      </w:r>
      <w:r w:rsidRPr="009A1FA9">
        <w:rPr>
          <w:rFonts w:ascii="Calibri" w:hAnsi="Calibri"/>
          <w:lang w:val="pl-PL"/>
        </w:rPr>
        <w:t xml:space="preserve"> 1</w:t>
      </w:r>
      <w:r w:rsidR="00100660">
        <w:rPr>
          <w:rFonts w:ascii="Calibri" w:hAnsi="Calibri"/>
          <w:lang w:val="pl-PL"/>
        </w:rPr>
        <w:t xml:space="preserve"> Konwencji</w:t>
      </w:r>
      <w:r w:rsidR="000178F1">
        <w:rPr>
          <w:rFonts w:ascii="Calibri" w:hAnsi="Calibri"/>
          <w:lang w:val="pl-PL"/>
        </w:rPr>
        <w:t>, mają one bowiem na celu zapewnienie odpowiedniego wymiaru sprawiedliwości i realizację zasady pewności prawnej</w:t>
      </w:r>
      <w:r w:rsidR="00100660">
        <w:rPr>
          <w:rFonts w:ascii="Calibri" w:hAnsi="Calibri"/>
          <w:lang w:val="pl-PL"/>
        </w:rPr>
        <w:t xml:space="preserve">. </w:t>
      </w:r>
      <w:r w:rsidR="00100660" w:rsidRPr="003A5EA2">
        <w:rPr>
          <w:rFonts w:ascii="Calibri" w:hAnsi="Calibri"/>
          <w:lang w:val="pl-PL"/>
        </w:rPr>
        <w:t>J</w:t>
      </w:r>
      <w:r w:rsidRPr="003A5EA2">
        <w:rPr>
          <w:rFonts w:ascii="Calibri" w:hAnsi="Calibri"/>
          <w:lang w:val="pl-PL"/>
        </w:rPr>
        <w:t xml:space="preserve">ednakże </w:t>
      </w:r>
      <w:r w:rsidR="000178F1" w:rsidRPr="003A5EA2">
        <w:rPr>
          <w:rFonts w:ascii="Calibri" w:hAnsi="Calibri"/>
          <w:lang w:val="pl-PL"/>
        </w:rPr>
        <w:t xml:space="preserve">sposób stosowania tych terminów przez sądy </w:t>
      </w:r>
      <w:r w:rsidR="00FD6776" w:rsidRPr="003A5EA2">
        <w:rPr>
          <w:rFonts w:ascii="Calibri" w:hAnsi="Calibri"/>
          <w:lang w:val="pl-PL"/>
        </w:rPr>
        <w:t xml:space="preserve">w okolicznościach danej sprawy </w:t>
      </w:r>
      <w:r w:rsidR="000178F1" w:rsidRPr="003A5EA2">
        <w:rPr>
          <w:rFonts w:ascii="Calibri" w:hAnsi="Calibri"/>
          <w:lang w:val="pl-PL"/>
        </w:rPr>
        <w:t xml:space="preserve">może mieć znaczenie dla oceny, czy skarżący dysponował skutecznym </w:t>
      </w:r>
      <w:r w:rsidR="00F70D47" w:rsidRPr="003A5EA2">
        <w:rPr>
          <w:rFonts w:ascii="Calibri" w:hAnsi="Calibri"/>
          <w:lang w:val="pl-PL"/>
        </w:rPr>
        <w:t xml:space="preserve">dostępem </w:t>
      </w:r>
      <w:r w:rsidR="000178F1" w:rsidRPr="003A5EA2">
        <w:rPr>
          <w:rFonts w:ascii="Calibri" w:hAnsi="Calibri"/>
          <w:lang w:val="pl-PL"/>
        </w:rPr>
        <w:t xml:space="preserve">do sądu. </w:t>
      </w:r>
    </w:p>
    <w:p w:rsidR="00665941" w:rsidRDefault="00565018" w:rsidP="00DA08C9">
      <w:pPr>
        <w:spacing w:after="120" w:line="240" w:lineRule="auto"/>
        <w:jc w:val="both"/>
        <w:rPr>
          <w:rFonts w:ascii="Calibri" w:hAnsi="Calibri"/>
          <w:lang w:val="pl-PL"/>
        </w:rPr>
      </w:pPr>
      <w:r w:rsidRPr="003A5EA2">
        <w:rPr>
          <w:rFonts w:ascii="Calibri" w:hAnsi="Calibri"/>
          <w:lang w:val="pl-PL"/>
        </w:rPr>
        <w:t>W</w:t>
      </w:r>
      <w:r w:rsidR="007A1EF1" w:rsidRPr="003A5EA2">
        <w:rPr>
          <w:rFonts w:ascii="Calibri" w:hAnsi="Calibri"/>
          <w:lang w:val="pl-PL"/>
        </w:rPr>
        <w:t xml:space="preserve"> przedmiotowej sprawie, </w:t>
      </w:r>
      <w:r w:rsidRPr="003A5EA2">
        <w:rPr>
          <w:rFonts w:ascii="Calibri" w:hAnsi="Calibri"/>
          <w:lang w:val="pl-PL"/>
        </w:rPr>
        <w:t xml:space="preserve">Trybunał nie kwestionował faktu, że skarżący </w:t>
      </w:r>
      <w:r w:rsidR="009A3298">
        <w:rPr>
          <w:rFonts w:ascii="Calibri" w:hAnsi="Calibri"/>
          <w:lang w:val="pl-PL"/>
        </w:rPr>
        <w:t xml:space="preserve">mógł mieć </w:t>
      </w:r>
      <w:r w:rsidRPr="003A5EA2">
        <w:rPr>
          <w:rFonts w:ascii="Calibri" w:hAnsi="Calibri"/>
          <w:lang w:val="pl-PL"/>
        </w:rPr>
        <w:t xml:space="preserve">ważne </w:t>
      </w:r>
      <w:r w:rsidR="009A3298" w:rsidRPr="003A5EA2">
        <w:rPr>
          <w:rFonts w:ascii="Calibri" w:hAnsi="Calibri"/>
          <w:lang w:val="pl-PL"/>
        </w:rPr>
        <w:t>powody</w:t>
      </w:r>
      <w:r w:rsidR="009A3298">
        <w:rPr>
          <w:rFonts w:ascii="Calibri" w:hAnsi="Calibri"/>
          <w:lang w:val="pl-PL"/>
        </w:rPr>
        <w:t xml:space="preserve"> dotyczące </w:t>
      </w:r>
      <w:r w:rsidR="009E286D">
        <w:rPr>
          <w:rFonts w:ascii="Calibri" w:hAnsi="Calibri"/>
          <w:lang w:val="pl-PL"/>
        </w:rPr>
        <w:t xml:space="preserve">swojego </w:t>
      </w:r>
      <w:r w:rsidR="009A3298">
        <w:rPr>
          <w:rFonts w:ascii="Calibri" w:hAnsi="Calibri"/>
          <w:lang w:val="pl-PL"/>
        </w:rPr>
        <w:t>bezpieczeństwa</w:t>
      </w:r>
      <w:r w:rsidR="009E286D">
        <w:rPr>
          <w:rFonts w:ascii="Calibri" w:hAnsi="Calibri"/>
          <w:lang w:val="pl-PL"/>
        </w:rPr>
        <w:t xml:space="preserve"> osobistego</w:t>
      </w:r>
      <w:r w:rsidRPr="003A5EA2">
        <w:rPr>
          <w:rFonts w:ascii="Calibri" w:hAnsi="Calibri"/>
          <w:lang w:val="pl-PL"/>
        </w:rPr>
        <w:t xml:space="preserve">, dla których musiał wyjechać z Chorwacji. Tym niemniej uznał, że Sąd Najwyższy i Trybunał Konstytucyjny, które uznały, że skarżący mógł był złożyć powództwo w terminie, rzetelnie zbadały jego sytuację, a ich orzeczenia nie były arbitralne. Trybunał uznał, że nawet zakładając, iż skarżący nie mógł w przedmiotowym czasie wjechać na teren Chorwacji, mógł był zaangażować inną osobę, która mogła reprezentować jego interesy przed </w:t>
      </w:r>
      <w:r w:rsidR="009E286D">
        <w:rPr>
          <w:rFonts w:ascii="Calibri" w:hAnsi="Calibri"/>
          <w:lang w:val="pl-PL"/>
        </w:rPr>
        <w:t>władzami chorwackimi</w:t>
      </w:r>
      <w:r w:rsidRPr="003A5EA2">
        <w:rPr>
          <w:rFonts w:ascii="Calibri" w:hAnsi="Calibri"/>
          <w:lang w:val="pl-PL"/>
        </w:rPr>
        <w:t>. Mógł</w:t>
      </w:r>
      <w:r w:rsidR="00ED4BB5">
        <w:rPr>
          <w:rFonts w:ascii="Calibri" w:hAnsi="Calibri"/>
          <w:lang w:val="pl-PL"/>
        </w:rPr>
        <w:t xml:space="preserve"> </w:t>
      </w:r>
      <w:r w:rsidRPr="003A5EA2">
        <w:rPr>
          <w:rFonts w:ascii="Calibri" w:hAnsi="Calibri"/>
          <w:lang w:val="pl-PL"/>
        </w:rPr>
        <w:t>był też korespondować z władzami na piśmie, nic nie wskazuje na to, by komunikacja pocztowa między Chorwacją a Holandią, gdzie skarżący wówczas przebywał, została przerwana. Gmina Sisak nie była okupowana, a sądy działały przez cały</w:t>
      </w:r>
      <w:r w:rsidR="009A3298">
        <w:rPr>
          <w:rFonts w:ascii="Calibri" w:hAnsi="Calibri"/>
          <w:lang w:val="pl-PL"/>
        </w:rPr>
        <w:t xml:space="preserve"> ten</w:t>
      </w:r>
      <w:r w:rsidRPr="003A5EA2">
        <w:rPr>
          <w:rFonts w:ascii="Calibri" w:hAnsi="Calibri"/>
          <w:lang w:val="pl-PL"/>
        </w:rPr>
        <w:t xml:space="preserve"> czas. </w:t>
      </w:r>
    </w:p>
    <w:p w:rsidR="007A1EF1" w:rsidRDefault="00565018" w:rsidP="00DA08C9">
      <w:pPr>
        <w:spacing w:after="120" w:line="240" w:lineRule="auto"/>
        <w:jc w:val="both"/>
        <w:rPr>
          <w:rFonts w:ascii="Calibri" w:hAnsi="Calibri"/>
          <w:lang w:val="pl-PL"/>
        </w:rPr>
      </w:pPr>
      <w:r w:rsidRPr="003A5EA2">
        <w:rPr>
          <w:rFonts w:ascii="Calibri" w:hAnsi="Calibri"/>
          <w:lang w:val="pl-PL"/>
        </w:rPr>
        <w:t xml:space="preserve">Zważywszy na </w:t>
      </w:r>
      <w:r w:rsidR="003A5EA2" w:rsidRPr="003A5EA2">
        <w:rPr>
          <w:rFonts w:ascii="Calibri" w:hAnsi="Calibri"/>
          <w:lang w:val="pl-PL"/>
        </w:rPr>
        <w:t xml:space="preserve">powyższe względy, a także uprawniony cel </w:t>
      </w:r>
      <w:r w:rsidR="009A3298">
        <w:rPr>
          <w:rFonts w:ascii="Calibri" w:hAnsi="Calibri"/>
          <w:lang w:val="pl-PL"/>
        </w:rPr>
        <w:t xml:space="preserve">istnienia </w:t>
      </w:r>
      <w:r w:rsidR="009E286D" w:rsidRPr="003A5EA2">
        <w:rPr>
          <w:rFonts w:ascii="Calibri" w:hAnsi="Calibri"/>
          <w:lang w:val="pl-PL"/>
        </w:rPr>
        <w:t xml:space="preserve">ustawowych </w:t>
      </w:r>
      <w:r w:rsidR="003A5EA2" w:rsidRPr="003A5EA2">
        <w:rPr>
          <w:rFonts w:ascii="Calibri" w:hAnsi="Calibri"/>
          <w:lang w:val="pl-PL"/>
        </w:rPr>
        <w:t>terminów dochodzenia roszczeń, a także margines oceny przysługujący państwu w zakresie regulowania prawa dostępu do sądu, Trybunał uznał, że ograniczenia nałożone na skarżącego w zakresie dostępu do sądu nie były nieproporcjonalne. Nie doszło więc do naruszenia art. 6 ust. 1 Konwencji.</w:t>
      </w:r>
      <w:r w:rsidR="00ED4BB5">
        <w:rPr>
          <w:rFonts w:ascii="Calibri" w:hAnsi="Calibri"/>
          <w:lang w:val="pl-PL"/>
        </w:rPr>
        <w:t xml:space="preserve"> </w:t>
      </w:r>
    </w:p>
    <w:p w:rsidR="009A3298" w:rsidRPr="00F31FB5" w:rsidRDefault="009A3298" w:rsidP="00C83701">
      <w:pPr>
        <w:spacing w:after="0" w:line="240" w:lineRule="auto"/>
        <w:jc w:val="both"/>
        <w:rPr>
          <w:rFonts w:ascii="Calibri" w:hAnsi="Calibri"/>
          <w:i/>
          <w:lang w:val="pl-PL"/>
        </w:rPr>
      </w:pPr>
      <w:r w:rsidRPr="00185071">
        <w:rPr>
          <w:rFonts w:ascii="Calibri" w:hAnsi="Calibri"/>
          <w:u w:val="single"/>
          <w:lang w:val="pl-PL"/>
        </w:rPr>
        <w:lastRenderedPageBreak/>
        <w:t>Znaczenie wyroku dla Polski</w:t>
      </w:r>
      <w:r w:rsidRPr="00185071">
        <w:rPr>
          <w:rFonts w:ascii="Calibri" w:hAnsi="Calibri"/>
          <w:lang w:val="pl-PL"/>
        </w:rPr>
        <w:t xml:space="preserve"> – wskazuje na </w:t>
      </w:r>
      <w:r w:rsidR="004B55A9">
        <w:rPr>
          <w:rFonts w:ascii="Calibri" w:hAnsi="Calibri"/>
          <w:lang w:val="pl-PL"/>
        </w:rPr>
        <w:t xml:space="preserve">istotne </w:t>
      </w:r>
      <w:r w:rsidRPr="00185071">
        <w:rPr>
          <w:rFonts w:ascii="Calibri" w:hAnsi="Calibri"/>
          <w:lang w:val="pl-PL"/>
        </w:rPr>
        <w:t xml:space="preserve">znaczenie </w:t>
      </w:r>
      <w:r w:rsidR="004B55A9" w:rsidRPr="00185071">
        <w:rPr>
          <w:rFonts w:ascii="Calibri" w:hAnsi="Calibri"/>
          <w:lang w:val="pl-PL"/>
        </w:rPr>
        <w:t>z punktu widzenia art. 6 ust. 1 Konwencji</w:t>
      </w:r>
      <w:r w:rsidR="004B55A9">
        <w:rPr>
          <w:rFonts w:ascii="Calibri" w:hAnsi="Calibri"/>
          <w:lang w:val="pl-PL"/>
        </w:rPr>
        <w:t xml:space="preserve"> instytucji </w:t>
      </w:r>
      <w:r w:rsidRPr="00185071">
        <w:rPr>
          <w:rFonts w:ascii="Calibri" w:hAnsi="Calibri"/>
          <w:lang w:val="pl-PL"/>
        </w:rPr>
        <w:t>termin</w:t>
      </w:r>
      <w:r w:rsidR="00FD6776">
        <w:rPr>
          <w:rFonts w:ascii="Calibri" w:hAnsi="Calibri"/>
          <w:lang w:val="pl-PL"/>
        </w:rPr>
        <w:t>u</w:t>
      </w:r>
      <w:r w:rsidRPr="00185071">
        <w:rPr>
          <w:rFonts w:ascii="Calibri" w:hAnsi="Calibri"/>
          <w:lang w:val="pl-PL"/>
        </w:rPr>
        <w:t xml:space="preserve"> </w:t>
      </w:r>
      <w:r w:rsidR="004B55A9">
        <w:rPr>
          <w:rFonts w:ascii="Calibri" w:hAnsi="Calibri"/>
          <w:lang w:val="pl-PL"/>
        </w:rPr>
        <w:t xml:space="preserve">dochodzenia </w:t>
      </w:r>
      <w:r w:rsidR="009E286D" w:rsidRPr="00185071">
        <w:rPr>
          <w:rFonts w:ascii="Calibri" w:hAnsi="Calibri"/>
          <w:lang w:val="pl-PL"/>
        </w:rPr>
        <w:t>roszczeń</w:t>
      </w:r>
      <w:r w:rsidRPr="00185071">
        <w:rPr>
          <w:rFonts w:ascii="Calibri" w:hAnsi="Calibri"/>
          <w:lang w:val="pl-PL"/>
        </w:rPr>
        <w:t xml:space="preserve">, a także </w:t>
      </w:r>
      <w:r w:rsidR="00441756">
        <w:rPr>
          <w:rFonts w:ascii="Calibri" w:hAnsi="Calibri"/>
          <w:lang w:val="pl-PL"/>
        </w:rPr>
        <w:t xml:space="preserve">na </w:t>
      </w:r>
      <w:r w:rsidRPr="00185071">
        <w:rPr>
          <w:rFonts w:ascii="Calibri" w:hAnsi="Calibri"/>
          <w:lang w:val="pl-PL"/>
        </w:rPr>
        <w:t xml:space="preserve">zasady </w:t>
      </w:r>
      <w:r w:rsidR="00F31FB5" w:rsidRPr="00185071">
        <w:rPr>
          <w:rFonts w:ascii="Calibri" w:hAnsi="Calibri"/>
          <w:lang w:val="pl-PL"/>
        </w:rPr>
        <w:t xml:space="preserve">mające znaczenie przy ocenie biegu terminów przedawnienia, w tym okoliczności </w:t>
      </w:r>
      <w:r w:rsidR="009E286D" w:rsidRPr="00185071">
        <w:rPr>
          <w:rFonts w:ascii="Calibri" w:hAnsi="Calibri"/>
          <w:lang w:val="pl-PL"/>
        </w:rPr>
        <w:t>o charakterze siły wyższej</w:t>
      </w:r>
      <w:r w:rsidR="00F31FB5" w:rsidRPr="00185071">
        <w:rPr>
          <w:rFonts w:ascii="Calibri" w:hAnsi="Calibri"/>
          <w:lang w:val="pl-PL"/>
        </w:rPr>
        <w:t>.</w:t>
      </w:r>
    </w:p>
    <w:p w:rsidR="00770C7A" w:rsidRPr="00770C7A" w:rsidRDefault="00770C7A" w:rsidP="009A3298">
      <w:pPr>
        <w:pStyle w:val="Nagwek2"/>
        <w:numPr>
          <w:ilvl w:val="0"/>
          <w:numId w:val="0"/>
        </w:numPr>
        <w:rPr>
          <w:b w:val="0"/>
        </w:rPr>
      </w:pPr>
    </w:p>
    <w:sectPr w:rsidR="00770C7A" w:rsidRPr="00770C7A" w:rsidSect="0053148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5B1" w:rsidRDefault="00AD75B1" w:rsidP="003C7DF2">
      <w:pPr>
        <w:spacing w:after="0" w:line="240" w:lineRule="auto"/>
      </w:pPr>
      <w:r>
        <w:separator/>
      </w:r>
    </w:p>
  </w:endnote>
  <w:endnote w:type="continuationSeparator" w:id="0">
    <w:p w:rsidR="00AD75B1" w:rsidRDefault="00AD75B1" w:rsidP="003C7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 Bold">
    <w:charset w:val="00"/>
    <w:family w:val="roman"/>
    <w:pitch w:val="default"/>
  </w:font>
  <w:font w:name="AGaramondPro-Regular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D5" w:rsidRDefault="002924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6060254"/>
      <w:docPartObj>
        <w:docPartGallery w:val="Page Numbers (Bottom of Page)"/>
        <w:docPartUnique/>
      </w:docPartObj>
    </w:sdtPr>
    <w:sdtEndPr/>
    <w:sdtContent>
      <w:p w:rsidR="002924D5" w:rsidRDefault="002924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7635" w:rsidRPr="00047635">
          <w:rPr>
            <w:noProof/>
            <w:lang w:val="pl-PL"/>
          </w:rPr>
          <w:t>2</w:t>
        </w:r>
        <w:r>
          <w:fldChar w:fldCharType="end"/>
        </w:r>
      </w:p>
    </w:sdtContent>
  </w:sdt>
  <w:p w:rsidR="002924D5" w:rsidRDefault="002924D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D5" w:rsidRDefault="002924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5B1" w:rsidRDefault="00AD75B1" w:rsidP="003C7DF2">
      <w:pPr>
        <w:spacing w:after="0" w:line="240" w:lineRule="auto"/>
      </w:pPr>
      <w:r>
        <w:separator/>
      </w:r>
    </w:p>
  </w:footnote>
  <w:footnote w:type="continuationSeparator" w:id="0">
    <w:p w:rsidR="00AD75B1" w:rsidRDefault="00AD75B1" w:rsidP="003C7DF2">
      <w:pPr>
        <w:spacing w:after="0" w:line="240" w:lineRule="auto"/>
      </w:pPr>
      <w:r>
        <w:continuationSeparator/>
      </w:r>
    </w:p>
  </w:footnote>
  <w:footnote w:id="1">
    <w:p w:rsidR="002924D5" w:rsidRPr="00422996" w:rsidRDefault="002924D5" w:rsidP="00422996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422996">
        <w:rPr>
          <w:lang w:val="pl-PL"/>
        </w:rPr>
        <w:t xml:space="preserve"> Tłumaczenie </w:t>
      </w:r>
      <w:r>
        <w:rPr>
          <w:lang w:val="pl-PL"/>
        </w:rPr>
        <w:t xml:space="preserve">na język polski </w:t>
      </w:r>
      <w:r w:rsidRPr="00422996">
        <w:rPr>
          <w:lang w:val="pl-PL"/>
        </w:rPr>
        <w:t xml:space="preserve">wyroku </w:t>
      </w:r>
      <w:r>
        <w:rPr>
          <w:lang w:val="pl-PL"/>
        </w:rPr>
        <w:t xml:space="preserve">w sprawie </w:t>
      </w:r>
      <w:r w:rsidRPr="00BE4FB6">
        <w:rPr>
          <w:i/>
          <w:lang w:val="pl-PL"/>
        </w:rPr>
        <w:t xml:space="preserve">De </w:t>
      </w:r>
      <w:proofErr w:type="spellStart"/>
      <w:r w:rsidRPr="00BE4FB6">
        <w:rPr>
          <w:i/>
          <w:lang w:val="pl-PL"/>
        </w:rPr>
        <w:t>Souza</w:t>
      </w:r>
      <w:proofErr w:type="spellEnd"/>
      <w:r w:rsidRPr="00BE4FB6">
        <w:rPr>
          <w:i/>
          <w:lang w:val="pl-PL"/>
        </w:rPr>
        <w:t xml:space="preserve"> Ribeiro p. Francji</w:t>
      </w:r>
      <w:r>
        <w:rPr>
          <w:lang w:val="pl-PL"/>
        </w:rPr>
        <w:t xml:space="preserve"> </w:t>
      </w:r>
      <w:r w:rsidRPr="00422996">
        <w:rPr>
          <w:lang w:val="pl-PL"/>
        </w:rPr>
        <w:t xml:space="preserve">jest dostępne na stronie: </w:t>
      </w:r>
      <w:r w:rsidR="00AD75B1">
        <w:fldChar w:fldCharType="begin"/>
      </w:r>
      <w:r w:rsidR="00AD75B1" w:rsidRPr="00CF4FA5">
        <w:rPr>
          <w:lang w:val="pl-PL"/>
        </w:rPr>
        <w:instrText xml:space="preserve"> HYPERLINK "http://www.nsa.gov.pl/download.php?id=113" </w:instrText>
      </w:r>
      <w:r w:rsidR="00AD75B1">
        <w:fldChar w:fldCharType="separate"/>
      </w:r>
      <w:r w:rsidRPr="00422996">
        <w:rPr>
          <w:rStyle w:val="Hipercze"/>
          <w:lang w:val="pl-PL"/>
        </w:rPr>
        <w:t>http://www.nsa.gov.pl/download.php?id=113</w:t>
      </w:r>
      <w:r w:rsidR="00AD75B1">
        <w:rPr>
          <w:rStyle w:val="Hipercze"/>
          <w:lang w:val="pl-PL"/>
        </w:rPr>
        <w:fldChar w:fldCharType="end"/>
      </w:r>
      <w:r w:rsidRPr="00422996">
        <w:rPr>
          <w:lang w:val="pl-PL"/>
        </w:rPr>
        <w:t xml:space="preserve"> </w:t>
      </w:r>
    </w:p>
  </w:footnote>
  <w:footnote w:id="2">
    <w:p w:rsidR="002924D5" w:rsidRPr="000F42C7" w:rsidRDefault="002924D5" w:rsidP="000F42C7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0F42C7">
        <w:rPr>
          <w:lang w:val="pl-PL"/>
        </w:rPr>
        <w:t xml:space="preserve"> Przy okazji warto też zwrócić uwagę na decyzję o niedopuszczalności wydaną przez Trybunał w sprawie </w:t>
      </w:r>
      <w:bookmarkStart w:id="16" w:name="_Ref418162904"/>
      <w:proofErr w:type="spellStart"/>
      <w:r w:rsidRPr="00F23C6D">
        <w:rPr>
          <w:i/>
          <w:lang w:val="pl-PL"/>
        </w:rPr>
        <w:t>Aboufadda</w:t>
      </w:r>
      <w:proofErr w:type="spellEnd"/>
      <w:r w:rsidRPr="00F23C6D">
        <w:rPr>
          <w:i/>
          <w:lang w:val="pl-PL"/>
        </w:rPr>
        <w:t xml:space="preserve"> p. Francji</w:t>
      </w:r>
      <w:r w:rsidRPr="000F42C7">
        <w:rPr>
          <w:lang w:val="pl-PL"/>
        </w:rPr>
        <w:t xml:space="preserve"> (skarga nr 28457/10, decyzja z 4.11.2014</w:t>
      </w:r>
      <w:r w:rsidR="002658D1">
        <w:rPr>
          <w:lang w:val="pl-PL"/>
        </w:rPr>
        <w:t xml:space="preserve"> r.</w:t>
      </w:r>
      <w:r w:rsidRPr="000F42C7">
        <w:rPr>
          <w:lang w:val="pl-PL"/>
        </w:rPr>
        <w:t xml:space="preserve">), w której </w:t>
      </w:r>
      <w:bookmarkEnd w:id="16"/>
      <w:r w:rsidRPr="000F42C7">
        <w:rPr>
          <w:lang w:val="pl-PL"/>
        </w:rPr>
        <w:t xml:space="preserve">Trybunał uznał za </w:t>
      </w:r>
      <w:r w:rsidRPr="000F42C7">
        <w:rPr>
          <w:rFonts w:cs="AGaramondPro-Regular"/>
          <w:lang w:val="pl-PL"/>
        </w:rPr>
        <w:t xml:space="preserve">oczywiście niezasadną skargę </w:t>
      </w:r>
      <w:r w:rsidR="002658D1">
        <w:rPr>
          <w:rFonts w:cs="AGaramondPro-Regular"/>
          <w:lang w:val="pl-PL"/>
        </w:rPr>
        <w:t xml:space="preserve">złożoną </w:t>
      </w:r>
      <w:r w:rsidRPr="000F42C7">
        <w:rPr>
          <w:rFonts w:cs="AGaramondPro-Regular"/>
          <w:lang w:val="pl-PL"/>
        </w:rPr>
        <w:t>na podstawie art. 1 Protokołu nr 1 (ochrona własności) oraz art. 8 Konwencji (prawo do poszanowania mieszkania) dotyczącą konfiskaty domu zakupionego przez skarżących z uwagi na domniemanie na gruncie prawa, że środki na sfinansowanie zakupu pochodziły z przestępstwa (handel narkotykami), w które zaangażowany był ich syn.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D5" w:rsidRDefault="002924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D5" w:rsidRDefault="002924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D5" w:rsidRDefault="002924D5">
    <w:pPr>
      <w:pStyle w:val="Nagwek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52C051BF" wp14:editId="370CEAB9">
          <wp:simplePos x="0" y="0"/>
          <wp:positionH relativeFrom="page">
            <wp:posOffset>466725</wp:posOffset>
          </wp:positionH>
          <wp:positionV relativeFrom="page">
            <wp:posOffset>-238125</wp:posOffset>
          </wp:positionV>
          <wp:extent cx="2527935" cy="2608580"/>
          <wp:effectExtent l="0" t="0" r="5715" b="127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2608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5316"/>
    <w:multiLevelType w:val="hybridMultilevel"/>
    <w:tmpl w:val="6472FCC6"/>
    <w:lvl w:ilvl="0" w:tplc="3A1233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59F390D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96919"/>
    <w:multiLevelType w:val="hybridMultilevel"/>
    <w:tmpl w:val="4CFCC7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86366C"/>
    <w:multiLevelType w:val="hybridMultilevel"/>
    <w:tmpl w:val="33D0076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276E07"/>
    <w:multiLevelType w:val="multilevel"/>
    <w:tmpl w:val="BD04E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4068299F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D5B14"/>
    <w:multiLevelType w:val="hybridMultilevel"/>
    <w:tmpl w:val="D1181284"/>
    <w:lvl w:ilvl="0" w:tplc="3A1233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CF21A58"/>
    <w:multiLevelType w:val="hybridMultilevel"/>
    <w:tmpl w:val="842E573A"/>
    <w:lvl w:ilvl="0" w:tplc="F9E2D5B2">
      <w:start w:val="41"/>
      <w:numFmt w:val="bullet"/>
      <w:lvlText w:val="-"/>
      <w:lvlJc w:val="left"/>
      <w:pPr>
        <w:ind w:left="720" w:hanging="360"/>
      </w:pPr>
      <w:rPr>
        <w:rFonts w:ascii="Times New Roman" w:eastAsiaTheme="maj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A26B59"/>
    <w:multiLevelType w:val="hybridMultilevel"/>
    <w:tmpl w:val="EA0EBC82"/>
    <w:lvl w:ilvl="0" w:tplc="4220274A">
      <w:start w:val="1"/>
      <w:numFmt w:val="decimal"/>
      <w:pStyle w:val="Nagwek2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700EA8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5"/>
  </w:num>
  <w:num w:numId="5">
    <w:abstractNumId w:val="8"/>
  </w:num>
  <w:num w:numId="6">
    <w:abstractNumId w:val="8"/>
  </w:num>
  <w:num w:numId="7">
    <w:abstractNumId w:val="8"/>
  </w:num>
  <w:num w:numId="8">
    <w:abstractNumId w:val="8"/>
  </w:num>
  <w:num w:numId="9">
    <w:abstractNumId w:val="8"/>
  </w:num>
  <w:num w:numId="10">
    <w:abstractNumId w:val="8"/>
  </w:num>
  <w:num w:numId="11">
    <w:abstractNumId w:val="8"/>
  </w:num>
  <w:num w:numId="12">
    <w:abstractNumId w:val="4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3"/>
  </w:num>
  <w:num w:numId="21">
    <w:abstractNumId w:val="8"/>
  </w:num>
  <w:num w:numId="22">
    <w:abstractNumId w:val="2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8"/>
  </w:num>
  <w:num w:numId="33">
    <w:abstractNumId w:val="7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0"/>
  </w:num>
  <w:num w:numId="40">
    <w:abstractNumId w:val="6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355"/>
    <w:rsid w:val="00000C2D"/>
    <w:rsid w:val="000045AA"/>
    <w:rsid w:val="0001044C"/>
    <w:rsid w:val="00011FCA"/>
    <w:rsid w:val="000145E5"/>
    <w:rsid w:val="0001654B"/>
    <w:rsid w:val="000178F1"/>
    <w:rsid w:val="00024930"/>
    <w:rsid w:val="00026AC5"/>
    <w:rsid w:val="00041638"/>
    <w:rsid w:val="00047635"/>
    <w:rsid w:val="00054168"/>
    <w:rsid w:val="00054F22"/>
    <w:rsid w:val="00057A61"/>
    <w:rsid w:val="00060B88"/>
    <w:rsid w:val="00061066"/>
    <w:rsid w:val="000645B9"/>
    <w:rsid w:val="0007098B"/>
    <w:rsid w:val="00073C40"/>
    <w:rsid w:val="000767D1"/>
    <w:rsid w:val="00094397"/>
    <w:rsid w:val="000A0792"/>
    <w:rsid w:val="000A082B"/>
    <w:rsid w:val="000A5895"/>
    <w:rsid w:val="000C38D7"/>
    <w:rsid w:val="000C3FD2"/>
    <w:rsid w:val="000C7C4F"/>
    <w:rsid w:val="000D4377"/>
    <w:rsid w:val="000E3D15"/>
    <w:rsid w:val="000E7670"/>
    <w:rsid w:val="000F22DE"/>
    <w:rsid w:val="000F42C7"/>
    <w:rsid w:val="000F6790"/>
    <w:rsid w:val="00100660"/>
    <w:rsid w:val="00102BE1"/>
    <w:rsid w:val="00105DFE"/>
    <w:rsid w:val="00110518"/>
    <w:rsid w:val="001109E7"/>
    <w:rsid w:val="001210C6"/>
    <w:rsid w:val="00122A3C"/>
    <w:rsid w:val="0012588A"/>
    <w:rsid w:val="001260FD"/>
    <w:rsid w:val="00127C20"/>
    <w:rsid w:val="0013265E"/>
    <w:rsid w:val="00132ECD"/>
    <w:rsid w:val="001350CC"/>
    <w:rsid w:val="001375F1"/>
    <w:rsid w:val="00145AF8"/>
    <w:rsid w:val="00151CC7"/>
    <w:rsid w:val="00154B43"/>
    <w:rsid w:val="0016025A"/>
    <w:rsid w:val="001651AA"/>
    <w:rsid w:val="0017348C"/>
    <w:rsid w:val="001754D6"/>
    <w:rsid w:val="00180C2F"/>
    <w:rsid w:val="00183D21"/>
    <w:rsid w:val="001841F7"/>
    <w:rsid w:val="001847DD"/>
    <w:rsid w:val="00185071"/>
    <w:rsid w:val="00186510"/>
    <w:rsid w:val="00186F5F"/>
    <w:rsid w:val="00191EF5"/>
    <w:rsid w:val="00192A44"/>
    <w:rsid w:val="001A3B80"/>
    <w:rsid w:val="001A3FB4"/>
    <w:rsid w:val="001B1673"/>
    <w:rsid w:val="001B2CC7"/>
    <w:rsid w:val="001B657E"/>
    <w:rsid w:val="001C167D"/>
    <w:rsid w:val="001C3779"/>
    <w:rsid w:val="001C62BE"/>
    <w:rsid w:val="001D11BB"/>
    <w:rsid w:val="001D4D8E"/>
    <w:rsid w:val="001D7526"/>
    <w:rsid w:val="001E0C94"/>
    <w:rsid w:val="001E5AFA"/>
    <w:rsid w:val="001F021A"/>
    <w:rsid w:val="001F2167"/>
    <w:rsid w:val="001F54BA"/>
    <w:rsid w:val="002006E7"/>
    <w:rsid w:val="002032DF"/>
    <w:rsid w:val="0020365D"/>
    <w:rsid w:val="00204E57"/>
    <w:rsid w:val="00207F5D"/>
    <w:rsid w:val="00211921"/>
    <w:rsid w:val="00211EB9"/>
    <w:rsid w:val="00211F8F"/>
    <w:rsid w:val="00213102"/>
    <w:rsid w:val="00213180"/>
    <w:rsid w:val="00213877"/>
    <w:rsid w:val="00220FA4"/>
    <w:rsid w:val="00221881"/>
    <w:rsid w:val="00226174"/>
    <w:rsid w:val="00227478"/>
    <w:rsid w:val="00234F6F"/>
    <w:rsid w:val="002356D3"/>
    <w:rsid w:val="002360D2"/>
    <w:rsid w:val="00237D99"/>
    <w:rsid w:val="0024194D"/>
    <w:rsid w:val="0024234E"/>
    <w:rsid w:val="0024315E"/>
    <w:rsid w:val="002441E6"/>
    <w:rsid w:val="00250635"/>
    <w:rsid w:val="00257C2D"/>
    <w:rsid w:val="002615CC"/>
    <w:rsid w:val="002632B7"/>
    <w:rsid w:val="00264095"/>
    <w:rsid w:val="00265688"/>
    <w:rsid w:val="002658D1"/>
    <w:rsid w:val="002674CA"/>
    <w:rsid w:val="002708A5"/>
    <w:rsid w:val="00271EAB"/>
    <w:rsid w:val="00281ADB"/>
    <w:rsid w:val="002907D9"/>
    <w:rsid w:val="0029096B"/>
    <w:rsid w:val="002924D5"/>
    <w:rsid w:val="00292B87"/>
    <w:rsid w:val="00293C8C"/>
    <w:rsid w:val="002966C1"/>
    <w:rsid w:val="002A3CCC"/>
    <w:rsid w:val="002A3D11"/>
    <w:rsid w:val="002A5D2E"/>
    <w:rsid w:val="002B5A4C"/>
    <w:rsid w:val="002B6A75"/>
    <w:rsid w:val="002C6710"/>
    <w:rsid w:val="002D1A39"/>
    <w:rsid w:val="002D1FC8"/>
    <w:rsid w:val="002D2C70"/>
    <w:rsid w:val="002D2CF7"/>
    <w:rsid w:val="002D6CB3"/>
    <w:rsid w:val="002E276F"/>
    <w:rsid w:val="002E2A1C"/>
    <w:rsid w:val="002E7E1C"/>
    <w:rsid w:val="002F0F9E"/>
    <w:rsid w:val="002F13F2"/>
    <w:rsid w:val="002F297B"/>
    <w:rsid w:val="002F70C7"/>
    <w:rsid w:val="0030039D"/>
    <w:rsid w:val="00301552"/>
    <w:rsid w:val="0030397A"/>
    <w:rsid w:val="00314FB8"/>
    <w:rsid w:val="003152E7"/>
    <w:rsid w:val="00323D74"/>
    <w:rsid w:val="00330A5F"/>
    <w:rsid w:val="003424A1"/>
    <w:rsid w:val="00353062"/>
    <w:rsid w:val="00373568"/>
    <w:rsid w:val="00374FE9"/>
    <w:rsid w:val="0038514A"/>
    <w:rsid w:val="00387518"/>
    <w:rsid w:val="00396E3C"/>
    <w:rsid w:val="00397B54"/>
    <w:rsid w:val="00397BB2"/>
    <w:rsid w:val="003A0349"/>
    <w:rsid w:val="003A113C"/>
    <w:rsid w:val="003A1381"/>
    <w:rsid w:val="003A165C"/>
    <w:rsid w:val="003A19B3"/>
    <w:rsid w:val="003A49A5"/>
    <w:rsid w:val="003A5689"/>
    <w:rsid w:val="003A5837"/>
    <w:rsid w:val="003A5EA2"/>
    <w:rsid w:val="003A68A5"/>
    <w:rsid w:val="003A6950"/>
    <w:rsid w:val="003B4435"/>
    <w:rsid w:val="003B49A2"/>
    <w:rsid w:val="003B745A"/>
    <w:rsid w:val="003C7DF2"/>
    <w:rsid w:val="003D51F0"/>
    <w:rsid w:val="003E56B1"/>
    <w:rsid w:val="0040080E"/>
    <w:rsid w:val="0040549F"/>
    <w:rsid w:val="00407BC0"/>
    <w:rsid w:val="0041026E"/>
    <w:rsid w:val="00413536"/>
    <w:rsid w:val="00414C20"/>
    <w:rsid w:val="00417353"/>
    <w:rsid w:val="0042151B"/>
    <w:rsid w:val="00422996"/>
    <w:rsid w:val="0042521D"/>
    <w:rsid w:val="00427079"/>
    <w:rsid w:val="00427D36"/>
    <w:rsid w:val="004334D7"/>
    <w:rsid w:val="00435E85"/>
    <w:rsid w:val="004379A9"/>
    <w:rsid w:val="00441756"/>
    <w:rsid w:val="00442874"/>
    <w:rsid w:val="00444B39"/>
    <w:rsid w:val="00450B70"/>
    <w:rsid w:val="00460166"/>
    <w:rsid w:val="00463DEB"/>
    <w:rsid w:val="00465A41"/>
    <w:rsid w:val="00466DA0"/>
    <w:rsid w:val="00467800"/>
    <w:rsid w:val="0047129D"/>
    <w:rsid w:val="00474CC2"/>
    <w:rsid w:val="00477BC7"/>
    <w:rsid w:val="004826EA"/>
    <w:rsid w:val="00491B76"/>
    <w:rsid w:val="00494936"/>
    <w:rsid w:val="004955AA"/>
    <w:rsid w:val="00496F2A"/>
    <w:rsid w:val="00497E93"/>
    <w:rsid w:val="004A0BD4"/>
    <w:rsid w:val="004A2D5E"/>
    <w:rsid w:val="004B3BEE"/>
    <w:rsid w:val="004B55A9"/>
    <w:rsid w:val="004B6236"/>
    <w:rsid w:val="004C01AF"/>
    <w:rsid w:val="004C392A"/>
    <w:rsid w:val="004C546A"/>
    <w:rsid w:val="004C743C"/>
    <w:rsid w:val="004C7AAE"/>
    <w:rsid w:val="004D6FF9"/>
    <w:rsid w:val="004D7B6A"/>
    <w:rsid w:val="004E215F"/>
    <w:rsid w:val="004E3C04"/>
    <w:rsid w:val="004E4EBB"/>
    <w:rsid w:val="004E7FF2"/>
    <w:rsid w:val="004F2601"/>
    <w:rsid w:val="004F42AE"/>
    <w:rsid w:val="004F6441"/>
    <w:rsid w:val="00513AAA"/>
    <w:rsid w:val="0051426D"/>
    <w:rsid w:val="0051472C"/>
    <w:rsid w:val="005155DD"/>
    <w:rsid w:val="00520084"/>
    <w:rsid w:val="00520674"/>
    <w:rsid w:val="0052159B"/>
    <w:rsid w:val="0052370B"/>
    <w:rsid w:val="005237EF"/>
    <w:rsid w:val="00524AEF"/>
    <w:rsid w:val="0053148F"/>
    <w:rsid w:val="00537CAA"/>
    <w:rsid w:val="005429A7"/>
    <w:rsid w:val="00542E5C"/>
    <w:rsid w:val="0055009A"/>
    <w:rsid w:val="00552244"/>
    <w:rsid w:val="00552393"/>
    <w:rsid w:val="00555EC2"/>
    <w:rsid w:val="00565018"/>
    <w:rsid w:val="00570DCF"/>
    <w:rsid w:val="0057236D"/>
    <w:rsid w:val="005734CF"/>
    <w:rsid w:val="005759FF"/>
    <w:rsid w:val="00580EAF"/>
    <w:rsid w:val="00584490"/>
    <w:rsid w:val="00590AAD"/>
    <w:rsid w:val="00591444"/>
    <w:rsid w:val="005935BF"/>
    <w:rsid w:val="00595EF8"/>
    <w:rsid w:val="005A34CD"/>
    <w:rsid w:val="005A3D5D"/>
    <w:rsid w:val="005A5120"/>
    <w:rsid w:val="005B6C70"/>
    <w:rsid w:val="005B6FAE"/>
    <w:rsid w:val="005C2778"/>
    <w:rsid w:val="005C40CE"/>
    <w:rsid w:val="005C48C5"/>
    <w:rsid w:val="005C7193"/>
    <w:rsid w:val="005D056A"/>
    <w:rsid w:val="005D2C60"/>
    <w:rsid w:val="005D4F21"/>
    <w:rsid w:val="005D557E"/>
    <w:rsid w:val="005D6AFB"/>
    <w:rsid w:val="005D6FC8"/>
    <w:rsid w:val="005E13E7"/>
    <w:rsid w:val="005E1709"/>
    <w:rsid w:val="005E7FF4"/>
    <w:rsid w:val="005F25A5"/>
    <w:rsid w:val="005F53A4"/>
    <w:rsid w:val="005F60D3"/>
    <w:rsid w:val="005F67F0"/>
    <w:rsid w:val="00613353"/>
    <w:rsid w:val="006137B4"/>
    <w:rsid w:val="006162AC"/>
    <w:rsid w:val="00616F02"/>
    <w:rsid w:val="00621504"/>
    <w:rsid w:val="0062651D"/>
    <w:rsid w:val="006273EE"/>
    <w:rsid w:val="00641F13"/>
    <w:rsid w:val="00646359"/>
    <w:rsid w:val="006466A3"/>
    <w:rsid w:val="00652F29"/>
    <w:rsid w:val="006609DA"/>
    <w:rsid w:val="00660B4C"/>
    <w:rsid w:val="006623BB"/>
    <w:rsid w:val="006651E4"/>
    <w:rsid w:val="00665941"/>
    <w:rsid w:val="0066679B"/>
    <w:rsid w:val="00675B62"/>
    <w:rsid w:val="0067773A"/>
    <w:rsid w:val="006811AB"/>
    <w:rsid w:val="006827C6"/>
    <w:rsid w:val="00685188"/>
    <w:rsid w:val="006928D4"/>
    <w:rsid w:val="00694689"/>
    <w:rsid w:val="00696800"/>
    <w:rsid w:val="006A0355"/>
    <w:rsid w:val="006A4CE8"/>
    <w:rsid w:val="006B37D8"/>
    <w:rsid w:val="006D1832"/>
    <w:rsid w:val="006D1AFF"/>
    <w:rsid w:val="006D726F"/>
    <w:rsid w:val="006E12AB"/>
    <w:rsid w:val="006E4659"/>
    <w:rsid w:val="006F460E"/>
    <w:rsid w:val="00704591"/>
    <w:rsid w:val="00704CD0"/>
    <w:rsid w:val="00712554"/>
    <w:rsid w:val="00713DA1"/>
    <w:rsid w:val="007155EE"/>
    <w:rsid w:val="007264EA"/>
    <w:rsid w:val="007325EC"/>
    <w:rsid w:val="00732C33"/>
    <w:rsid w:val="00732DED"/>
    <w:rsid w:val="00733A1B"/>
    <w:rsid w:val="00733E94"/>
    <w:rsid w:val="0073434D"/>
    <w:rsid w:val="007363E5"/>
    <w:rsid w:val="00743330"/>
    <w:rsid w:val="00743A56"/>
    <w:rsid w:val="007611E7"/>
    <w:rsid w:val="007700A4"/>
    <w:rsid w:val="00770A84"/>
    <w:rsid w:val="00770C7A"/>
    <w:rsid w:val="007734B7"/>
    <w:rsid w:val="00773559"/>
    <w:rsid w:val="00780702"/>
    <w:rsid w:val="00781137"/>
    <w:rsid w:val="00793985"/>
    <w:rsid w:val="007974F0"/>
    <w:rsid w:val="007A1EF1"/>
    <w:rsid w:val="007A5A1A"/>
    <w:rsid w:val="007A68EE"/>
    <w:rsid w:val="007B082A"/>
    <w:rsid w:val="007B4EA8"/>
    <w:rsid w:val="007B6C97"/>
    <w:rsid w:val="007B745A"/>
    <w:rsid w:val="007C236B"/>
    <w:rsid w:val="007D4464"/>
    <w:rsid w:val="007D45C3"/>
    <w:rsid w:val="007D59D1"/>
    <w:rsid w:val="007E26FA"/>
    <w:rsid w:val="007F6CE9"/>
    <w:rsid w:val="00803BCE"/>
    <w:rsid w:val="008061D6"/>
    <w:rsid w:val="00807A61"/>
    <w:rsid w:val="00807B35"/>
    <w:rsid w:val="0081235F"/>
    <w:rsid w:val="0081415A"/>
    <w:rsid w:val="008148A0"/>
    <w:rsid w:val="008159C2"/>
    <w:rsid w:val="00815B19"/>
    <w:rsid w:val="00815F4C"/>
    <w:rsid w:val="00822277"/>
    <w:rsid w:val="0082521E"/>
    <w:rsid w:val="00830622"/>
    <w:rsid w:val="00834556"/>
    <w:rsid w:val="00840FD8"/>
    <w:rsid w:val="00841F72"/>
    <w:rsid w:val="00846B89"/>
    <w:rsid w:val="0084780B"/>
    <w:rsid w:val="00855372"/>
    <w:rsid w:val="00863524"/>
    <w:rsid w:val="00864F2F"/>
    <w:rsid w:val="008749D3"/>
    <w:rsid w:val="008831FD"/>
    <w:rsid w:val="008843CA"/>
    <w:rsid w:val="00884846"/>
    <w:rsid w:val="008913F3"/>
    <w:rsid w:val="00896D71"/>
    <w:rsid w:val="008A1BCD"/>
    <w:rsid w:val="008A34AD"/>
    <w:rsid w:val="008B0445"/>
    <w:rsid w:val="008B11A2"/>
    <w:rsid w:val="008C1766"/>
    <w:rsid w:val="008C69E1"/>
    <w:rsid w:val="008D3934"/>
    <w:rsid w:val="008D7434"/>
    <w:rsid w:val="008E13A5"/>
    <w:rsid w:val="008E4F3D"/>
    <w:rsid w:val="008E52F7"/>
    <w:rsid w:val="008E71F9"/>
    <w:rsid w:val="008E785D"/>
    <w:rsid w:val="008F0929"/>
    <w:rsid w:val="008F5FBD"/>
    <w:rsid w:val="008F7628"/>
    <w:rsid w:val="00900BFF"/>
    <w:rsid w:val="00914260"/>
    <w:rsid w:val="0091697B"/>
    <w:rsid w:val="00917F75"/>
    <w:rsid w:val="00923FFF"/>
    <w:rsid w:val="009250C5"/>
    <w:rsid w:val="0092552E"/>
    <w:rsid w:val="009270D4"/>
    <w:rsid w:val="009324B4"/>
    <w:rsid w:val="00934C10"/>
    <w:rsid w:val="00935BDD"/>
    <w:rsid w:val="009376D6"/>
    <w:rsid w:val="00943A28"/>
    <w:rsid w:val="00951FA5"/>
    <w:rsid w:val="0095635F"/>
    <w:rsid w:val="009569F2"/>
    <w:rsid w:val="00957824"/>
    <w:rsid w:val="009705C9"/>
    <w:rsid w:val="009737C2"/>
    <w:rsid w:val="00981CF1"/>
    <w:rsid w:val="0099009E"/>
    <w:rsid w:val="009908E3"/>
    <w:rsid w:val="009910DF"/>
    <w:rsid w:val="00992836"/>
    <w:rsid w:val="00993BB9"/>
    <w:rsid w:val="009A1FA9"/>
    <w:rsid w:val="009A24C1"/>
    <w:rsid w:val="009A3298"/>
    <w:rsid w:val="009B1597"/>
    <w:rsid w:val="009B195C"/>
    <w:rsid w:val="009B29DA"/>
    <w:rsid w:val="009B2BEE"/>
    <w:rsid w:val="009C04B2"/>
    <w:rsid w:val="009D1E70"/>
    <w:rsid w:val="009D675A"/>
    <w:rsid w:val="009D6E00"/>
    <w:rsid w:val="009D6EC7"/>
    <w:rsid w:val="009E04F9"/>
    <w:rsid w:val="009E286D"/>
    <w:rsid w:val="009E61E6"/>
    <w:rsid w:val="009F1E6B"/>
    <w:rsid w:val="009F3660"/>
    <w:rsid w:val="009F4FB5"/>
    <w:rsid w:val="00A01B84"/>
    <w:rsid w:val="00A023AC"/>
    <w:rsid w:val="00A04D68"/>
    <w:rsid w:val="00A116EA"/>
    <w:rsid w:val="00A2206C"/>
    <w:rsid w:val="00A22506"/>
    <w:rsid w:val="00A237B5"/>
    <w:rsid w:val="00A2605C"/>
    <w:rsid w:val="00A36458"/>
    <w:rsid w:val="00A37F27"/>
    <w:rsid w:val="00A4529D"/>
    <w:rsid w:val="00A53C3D"/>
    <w:rsid w:val="00A567DD"/>
    <w:rsid w:val="00A56B18"/>
    <w:rsid w:val="00A56BA1"/>
    <w:rsid w:val="00A90AB1"/>
    <w:rsid w:val="00A951AC"/>
    <w:rsid w:val="00A951FA"/>
    <w:rsid w:val="00A960F1"/>
    <w:rsid w:val="00A96163"/>
    <w:rsid w:val="00A965A9"/>
    <w:rsid w:val="00AA019F"/>
    <w:rsid w:val="00AA2C94"/>
    <w:rsid w:val="00AA422F"/>
    <w:rsid w:val="00AA5A73"/>
    <w:rsid w:val="00AB02A4"/>
    <w:rsid w:val="00AB19F8"/>
    <w:rsid w:val="00AB4310"/>
    <w:rsid w:val="00AB603A"/>
    <w:rsid w:val="00AB6079"/>
    <w:rsid w:val="00AC29DE"/>
    <w:rsid w:val="00AC2EC2"/>
    <w:rsid w:val="00AC3061"/>
    <w:rsid w:val="00AC541D"/>
    <w:rsid w:val="00AD75B1"/>
    <w:rsid w:val="00AD7A1D"/>
    <w:rsid w:val="00AE5127"/>
    <w:rsid w:val="00AE6F95"/>
    <w:rsid w:val="00AE78D2"/>
    <w:rsid w:val="00AF1C3C"/>
    <w:rsid w:val="00AF1D34"/>
    <w:rsid w:val="00AF3B55"/>
    <w:rsid w:val="00AF5789"/>
    <w:rsid w:val="00AF57AB"/>
    <w:rsid w:val="00AF751D"/>
    <w:rsid w:val="00B02CFA"/>
    <w:rsid w:val="00B04B05"/>
    <w:rsid w:val="00B11865"/>
    <w:rsid w:val="00B11E3A"/>
    <w:rsid w:val="00B17508"/>
    <w:rsid w:val="00B20F4F"/>
    <w:rsid w:val="00B21C6A"/>
    <w:rsid w:val="00B3377F"/>
    <w:rsid w:val="00B33937"/>
    <w:rsid w:val="00B40590"/>
    <w:rsid w:val="00B40984"/>
    <w:rsid w:val="00B409BC"/>
    <w:rsid w:val="00B44124"/>
    <w:rsid w:val="00B523C5"/>
    <w:rsid w:val="00B53607"/>
    <w:rsid w:val="00B537C3"/>
    <w:rsid w:val="00B54642"/>
    <w:rsid w:val="00B61C5F"/>
    <w:rsid w:val="00B61FA0"/>
    <w:rsid w:val="00B65F9C"/>
    <w:rsid w:val="00B6739E"/>
    <w:rsid w:val="00B67E40"/>
    <w:rsid w:val="00B77EC0"/>
    <w:rsid w:val="00B833B3"/>
    <w:rsid w:val="00B8436B"/>
    <w:rsid w:val="00B90070"/>
    <w:rsid w:val="00B90CBB"/>
    <w:rsid w:val="00B90E51"/>
    <w:rsid w:val="00B92402"/>
    <w:rsid w:val="00B931C5"/>
    <w:rsid w:val="00B948E7"/>
    <w:rsid w:val="00B957E0"/>
    <w:rsid w:val="00B9643F"/>
    <w:rsid w:val="00B97097"/>
    <w:rsid w:val="00BA4625"/>
    <w:rsid w:val="00BB7656"/>
    <w:rsid w:val="00BC052E"/>
    <w:rsid w:val="00BC2C9D"/>
    <w:rsid w:val="00BC45F2"/>
    <w:rsid w:val="00BC4E06"/>
    <w:rsid w:val="00BC7511"/>
    <w:rsid w:val="00BD23DA"/>
    <w:rsid w:val="00BD2BD9"/>
    <w:rsid w:val="00BD34D8"/>
    <w:rsid w:val="00BE1F70"/>
    <w:rsid w:val="00BE4FB6"/>
    <w:rsid w:val="00BE5B69"/>
    <w:rsid w:val="00BE640F"/>
    <w:rsid w:val="00BE6B7C"/>
    <w:rsid w:val="00BE7394"/>
    <w:rsid w:val="00BF0915"/>
    <w:rsid w:val="00C00572"/>
    <w:rsid w:val="00C12034"/>
    <w:rsid w:val="00C164F1"/>
    <w:rsid w:val="00C16974"/>
    <w:rsid w:val="00C21B3F"/>
    <w:rsid w:val="00C23A55"/>
    <w:rsid w:val="00C23E44"/>
    <w:rsid w:val="00C254C8"/>
    <w:rsid w:val="00C30D8F"/>
    <w:rsid w:val="00C36466"/>
    <w:rsid w:val="00C413B4"/>
    <w:rsid w:val="00C45BB5"/>
    <w:rsid w:val="00C46191"/>
    <w:rsid w:val="00C4657E"/>
    <w:rsid w:val="00C52D0C"/>
    <w:rsid w:val="00C53FD6"/>
    <w:rsid w:val="00C54247"/>
    <w:rsid w:val="00C56043"/>
    <w:rsid w:val="00C57A13"/>
    <w:rsid w:val="00C60A61"/>
    <w:rsid w:val="00C63309"/>
    <w:rsid w:val="00C646F4"/>
    <w:rsid w:val="00C65F7B"/>
    <w:rsid w:val="00C757C8"/>
    <w:rsid w:val="00C761E7"/>
    <w:rsid w:val="00C76246"/>
    <w:rsid w:val="00C833F2"/>
    <w:rsid w:val="00C83701"/>
    <w:rsid w:val="00C86D30"/>
    <w:rsid w:val="00C91F58"/>
    <w:rsid w:val="00CA3DF0"/>
    <w:rsid w:val="00CB1D06"/>
    <w:rsid w:val="00CB343D"/>
    <w:rsid w:val="00CB4E5D"/>
    <w:rsid w:val="00CB6357"/>
    <w:rsid w:val="00CC6683"/>
    <w:rsid w:val="00CC7D89"/>
    <w:rsid w:val="00CD2793"/>
    <w:rsid w:val="00CD2851"/>
    <w:rsid w:val="00CD77E3"/>
    <w:rsid w:val="00CE730E"/>
    <w:rsid w:val="00CF3587"/>
    <w:rsid w:val="00CF4FA5"/>
    <w:rsid w:val="00CF505F"/>
    <w:rsid w:val="00CF7736"/>
    <w:rsid w:val="00CF7DA6"/>
    <w:rsid w:val="00D00425"/>
    <w:rsid w:val="00D0538E"/>
    <w:rsid w:val="00D0768A"/>
    <w:rsid w:val="00D13447"/>
    <w:rsid w:val="00D14B59"/>
    <w:rsid w:val="00D179B3"/>
    <w:rsid w:val="00D2006E"/>
    <w:rsid w:val="00D24F30"/>
    <w:rsid w:val="00D342BB"/>
    <w:rsid w:val="00D36AAC"/>
    <w:rsid w:val="00D4299D"/>
    <w:rsid w:val="00D42EA1"/>
    <w:rsid w:val="00D4388E"/>
    <w:rsid w:val="00D47270"/>
    <w:rsid w:val="00D476C9"/>
    <w:rsid w:val="00D503CF"/>
    <w:rsid w:val="00D507BC"/>
    <w:rsid w:val="00D5179D"/>
    <w:rsid w:val="00D52790"/>
    <w:rsid w:val="00D609C5"/>
    <w:rsid w:val="00D629ED"/>
    <w:rsid w:val="00D67615"/>
    <w:rsid w:val="00D70B7E"/>
    <w:rsid w:val="00D7186F"/>
    <w:rsid w:val="00D7274E"/>
    <w:rsid w:val="00D73E31"/>
    <w:rsid w:val="00D74CC1"/>
    <w:rsid w:val="00D7655C"/>
    <w:rsid w:val="00D76F5C"/>
    <w:rsid w:val="00D83F4B"/>
    <w:rsid w:val="00D90C67"/>
    <w:rsid w:val="00D90F5B"/>
    <w:rsid w:val="00D922A1"/>
    <w:rsid w:val="00D97B9B"/>
    <w:rsid w:val="00DA08C9"/>
    <w:rsid w:val="00DA0BD7"/>
    <w:rsid w:val="00DA2266"/>
    <w:rsid w:val="00DA2A22"/>
    <w:rsid w:val="00DA78D1"/>
    <w:rsid w:val="00DB4244"/>
    <w:rsid w:val="00DC385D"/>
    <w:rsid w:val="00DC5C06"/>
    <w:rsid w:val="00DE00EB"/>
    <w:rsid w:val="00DE01BA"/>
    <w:rsid w:val="00DF52EC"/>
    <w:rsid w:val="00DF5B53"/>
    <w:rsid w:val="00E03076"/>
    <w:rsid w:val="00E033DE"/>
    <w:rsid w:val="00E052BB"/>
    <w:rsid w:val="00E06391"/>
    <w:rsid w:val="00E11579"/>
    <w:rsid w:val="00E15455"/>
    <w:rsid w:val="00E16E6F"/>
    <w:rsid w:val="00E17277"/>
    <w:rsid w:val="00E17F15"/>
    <w:rsid w:val="00E23881"/>
    <w:rsid w:val="00E27FF6"/>
    <w:rsid w:val="00E30FB7"/>
    <w:rsid w:val="00E329BA"/>
    <w:rsid w:val="00E46784"/>
    <w:rsid w:val="00E601BC"/>
    <w:rsid w:val="00E636C2"/>
    <w:rsid w:val="00E65DB0"/>
    <w:rsid w:val="00E810A9"/>
    <w:rsid w:val="00E83243"/>
    <w:rsid w:val="00E94F72"/>
    <w:rsid w:val="00E950FC"/>
    <w:rsid w:val="00E95A40"/>
    <w:rsid w:val="00E965DC"/>
    <w:rsid w:val="00E96B01"/>
    <w:rsid w:val="00EA1C07"/>
    <w:rsid w:val="00EA461E"/>
    <w:rsid w:val="00EA605B"/>
    <w:rsid w:val="00EB0132"/>
    <w:rsid w:val="00EC51DF"/>
    <w:rsid w:val="00EC57F0"/>
    <w:rsid w:val="00EC6AFA"/>
    <w:rsid w:val="00ED4BB5"/>
    <w:rsid w:val="00ED5EAD"/>
    <w:rsid w:val="00ED6A1B"/>
    <w:rsid w:val="00EE41E1"/>
    <w:rsid w:val="00EE61EC"/>
    <w:rsid w:val="00EE680C"/>
    <w:rsid w:val="00EE7260"/>
    <w:rsid w:val="00EF030D"/>
    <w:rsid w:val="00EF4C5C"/>
    <w:rsid w:val="00F12497"/>
    <w:rsid w:val="00F14D00"/>
    <w:rsid w:val="00F21986"/>
    <w:rsid w:val="00F23C6D"/>
    <w:rsid w:val="00F31FB5"/>
    <w:rsid w:val="00F342F5"/>
    <w:rsid w:val="00F47558"/>
    <w:rsid w:val="00F60282"/>
    <w:rsid w:val="00F6232D"/>
    <w:rsid w:val="00F630DC"/>
    <w:rsid w:val="00F6352F"/>
    <w:rsid w:val="00F6542F"/>
    <w:rsid w:val="00F655D4"/>
    <w:rsid w:val="00F70D47"/>
    <w:rsid w:val="00F743F5"/>
    <w:rsid w:val="00F748AD"/>
    <w:rsid w:val="00F76127"/>
    <w:rsid w:val="00F81341"/>
    <w:rsid w:val="00F83BD2"/>
    <w:rsid w:val="00F860A6"/>
    <w:rsid w:val="00FA6D6F"/>
    <w:rsid w:val="00FA6FD7"/>
    <w:rsid w:val="00FB08C1"/>
    <w:rsid w:val="00FB1CB7"/>
    <w:rsid w:val="00FB3243"/>
    <w:rsid w:val="00FB49D9"/>
    <w:rsid w:val="00FB4CD2"/>
    <w:rsid w:val="00FB670B"/>
    <w:rsid w:val="00FB6BB0"/>
    <w:rsid w:val="00FB767A"/>
    <w:rsid w:val="00FC1AFE"/>
    <w:rsid w:val="00FC3B73"/>
    <w:rsid w:val="00FC5CAA"/>
    <w:rsid w:val="00FC5F62"/>
    <w:rsid w:val="00FD045F"/>
    <w:rsid w:val="00FD5F83"/>
    <w:rsid w:val="00FD6763"/>
    <w:rsid w:val="00FD6776"/>
    <w:rsid w:val="00FE338F"/>
    <w:rsid w:val="00FE4102"/>
    <w:rsid w:val="00FF1D0E"/>
    <w:rsid w:val="00FF2C44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3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3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6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2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5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0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4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44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83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0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49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85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87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25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8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9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27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6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42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12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CC4B3-D667-4C30-B4BB-4584FEB77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9091</Words>
  <Characters>51820</Characters>
  <Application>Microsoft Office Word</Application>
  <DocSecurity>0</DocSecurity>
  <Lines>431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2015-09-18T07:39:00Z</dcterms:created>
  <dcterms:modified xsi:type="dcterms:W3CDTF">2015-10-13T10:22:00Z</dcterms:modified>
</cp:coreProperties>
</file>