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8F" w:rsidRPr="00D7274E" w:rsidRDefault="0053148F" w:rsidP="00D7274E">
      <w:pPr>
        <w:pStyle w:val="Nagwek1"/>
        <w:spacing w:line="240" w:lineRule="auto"/>
        <w:jc w:val="center"/>
        <w:rPr>
          <w:rFonts w:asciiTheme="minorHAnsi" w:hAnsiTheme="minorHAnsi"/>
          <w:lang w:val="pl-PL"/>
        </w:rPr>
      </w:pPr>
      <w:bookmarkStart w:id="0" w:name="_Toc421029254"/>
    </w:p>
    <w:p w:rsidR="0053148F" w:rsidRPr="00D7274E" w:rsidRDefault="0053148F" w:rsidP="00D7274E">
      <w:pPr>
        <w:pStyle w:val="Nagwek1"/>
        <w:spacing w:line="240" w:lineRule="auto"/>
        <w:jc w:val="center"/>
        <w:rPr>
          <w:rFonts w:asciiTheme="minorHAnsi" w:hAnsiTheme="minorHAnsi"/>
          <w:lang w:val="pl-PL"/>
        </w:rPr>
      </w:pPr>
    </w:p>
    <w:p w:rsidR="00E15455" w:rsidRPr="00D7274E" w:rsidRDefault="00E15455" w:rsidP="00D7274E">
      <w:pPr>
        <w:pStyle w:val="Nagwek1"/>
        <w:spacing w:before="720" w:line="240" w:lineRule="auto"/>
        <w:jc w:val="center"/>
        <w:rPr>
          <w:rFonts w:asciiTheme="minorHAnsi" w:hAnsiTheme="minorHAnsi"/>
          <w:sz w:val="32"/>
          <w:szCs w:val="32"/>
          <w:lang w:val="pl-PL"/>
        </w:rPr>
      </w:pPr>
    </w:p>
    <w:p w:rsidR="008D3934" w:rsidRPr="00D7274E" w:rsidRDefault="00E94F72" w:rsidP="00D7274E">
      <w:pPr>
        <w:pStyle w:val="Nagwek1"/>
        <w:spacing w:before="720" w:line="240" w:lineRule="auto"/>
        <w:jc w:val="center"/>
        <w:rPr>
          <w:rFonts w:asciiTheme="minorHAnsi" w:hAnsiTheme="minorHAnsi"/>
          <w:sz w:val="32"/>
          <w:szCs w:val="32"/>
          <w:lang w:val="pl-PL"/>
        </w:rPr>
      </w:pPr>
      <w:r w:rsidRPr="00D7274E">
        <w:rPr>
          <w:rFonts w:asciiTheme="minorHAnsi" w:hAnsiTheme="minorHAnsi"/>
          <w:sz w:val="32"/>
          <w:szCs w:val="32"/>
          <w:lang w:val="pl-PL"/>
        </w:rPr>
        <w:t>Przegląd orzecznictwa Europej</w:t>
      </w:r>
      <w:r w:rsidR="00B90E51" w:rsidRPr="00D7274E">
        <w:rPr>
          <w:rFonts w:asciiTheme="minorHAnsi" w:hAnsiTheme="minorHAnsi"/>
          <w:sz w:val="32"/>
          <w:szCs w:val="32"/>
          <w:lang w:val="pl-PL"/>
        </w:rPr>
        <w:t>skiego Trybunału Praw Człowieka</w:t>
      </w:r>
      <w:r w:rsidR="004E7FF2" w:rsidRPr="00D7274E">
        <w:rPr>
          <w:rFonts w:asciiTheme="minorHAnsi" w:hAnsiTheme="minorHAnsi"/>
          <w:sz w:val="32"/>
          <w:szCs w:val="32"/>
          <w:lang w:val="pl-PL"/>
        </w:rPr>
        <w:br/>
      </w:r>
      <w:r w:rsidRPr="00D7274E">
        <w:rPr>
          <w:rFonts w:asciiTheme="minorHAnsi" w:hAnsiTheme="minorHAnsi"/>
          <w:sz w:val="32"/>
          <w:szCs w:val="32"/>
          <w:lang w:val="pl-PL"/>
        </w:rPr>
        <w:t>w sprawach dotyczących państw trzecich</w:t>
      </w:r>
      <w:r w:rsidR="004E7FF2" w:rsidRPr="00D7274E">
        <w:rPr>
          <w:rFonts w:asciiTheme="minorHAnsi" w:hAnsiTheme="minorHAnsi"/>
          <w:sz w:val="32"/>
          <w:szCs w:val="32"/>
          <w:lang w:val="pl-PL"/>
        </w:rPr>
        <w:t xml:space="preserve"> – </w:t>
      </w:r>
      <w:r w:rsidR="008148A0">
        <w:rPr>
          <w:rFonts w:asciiTheme="minorHAnsi" w:hAnsiTheme="minorHAnsi"/>
          <w:sz w:val="32"/>
          <w:szCs w:val="32"/>
          <w:lang w:val="pl-PL"/>
        </w:rPr>
        <w:t>lipiec</w:t>
      </w:r>
      <w:r w:rsidR="004E7FF2" w:rsidRPr="00D7274E">
        <w:rPr>
          <w:rFonts w:asciiTheme="minorHAnsi" w:hAnsiTheme="minorHAnsi"/>
          <w:sz w:val="32"/>
          <w:szCs w:val="32"/>
          <w:lang w:val="pl-PL"/>
        </w:rPr>
        <w:t xml:space="preserve"> 2015 r.</w:t>
      </w:r>
      <w:bookmarkEnd w:id="0"/>
    </w:p>
    <w:p w:rsidR="00E15455" w:rsidRPr="00D7274E" w:rsidRDefault="00E15455" w:rsidP="00D7274E">
      <w:pPr>
        <w:spacing w:line="240" w:lineRule="auto"/>
        <w:rPr>
          <w:lang w:val="pl-PL"/>
        </w:rPr>
      </w:pPr>
    </w:p>
    <w:p w:rsidR="00E15455" w:rsidRPr="00D7274E" w:rsidRDefault="00E15455" w:rsidP="00D7274E">
      <w:pPr>
        <w:spacing w:before="600" w:line="240" w:lineRule="auto"/>
        <w:rPr>
          <w:lang w:val="pl-PL"/>
        </w:rPr>
      </w:pPr>
      <w:r w:rsidRPr="00D7274E">
        <w:rPr>
          <w:noProof/>
          <w:lang w:eastAsia="en-GB"/>
        </w:rPr>
        <w:drawing>
          <wp:inline distT="0" distB="0" distL="0" distR="0" wp14:anchorId="114DC8A2" wp14:editId="7016A971">
            <wp:extent cx="5760720" cy="38404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etpcz_lato0020.jpg"/>
                    <pic:cNvPicPr/>
                  </pic:nvPicPr>
                  <pic:blipFill>
                    <a:blip r:embed="rId9">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E15455" w:rsidRPr="00D7274E" w:rsidRDefault="00E15455" w:rsidP="00D7274E">
      <w:pPr>
        <w:spacing w:before="120" w:after="360" w:line="240" w:lineRule="auto"/>
        <w:jc w:val="center"/>
        <w:rPr>
          <w:b/>
          <w:sz w:val="26"/>
          <w:lang w:val="pl-PL"/>
        </w:rPr>
      </w:pPr>
    </w:p>
    <w:p w:rsidR="00E94F72" w:rsidRPr="00D7274E" w:rsidRDefault="00E94F72" w:rsidP="00D7274E">
      <w:pPr>
        <w:spacing w:before="120" w:after="360" w:line="240" w:lineRule="auto"/>
        <w:jc w:val="center"/>
        <w:rPr>
          <w:b/>
          <w:sz w:val="26"/>
          <w:lang w:val="pl-PL"/>
        </w:rPr>
      </w:pPr>
      <w:r w:rsidRPr="00D7274E">
        <w:rPr>
          <w:b/>
          <w:sz w:val="26"/>
          <w:lang w:val="pl-PL"/>
        </w:rPr>
        <w:t xml:space="preserve">Nr </w:t>
      </w:r>
      <w:r w:rsidR="008148A0">
        <w:rPr>
          <w:b/>
          <w:sz w:val="26"/>
          <w:lang w:val="pl-PL"/>
        </w:rPr>
        <w:t>3</w:t>
      </w:r>
      <w:r w:rsidRPr="00D7274E">
        <w:rPr>
          <w:b/>
          <w:sz w:val="26"/>
          <w:lang w:val="pl-PL"/>
        </w:rPr>
        <w:t>/2015</w:t>
      </w:r>
    </w:p>
    <w:p w:rsidR="00E15455" w:rsidRPr="00D7274E" w:rsidRDefault="00E15455" w:rsidP="00D7274E">
      <w:pPr>
        <w:spacing w:before="120" w:after="360" w:line="240" w:lineRule="auto"/>
        <w:jc w:val="both"/>
        <w:rPr>
          <w:b/>
          <w:sz w:val="26"/>
          <w:lang w:val="pl-PL"/>
        </w:rPr>
      </w:pPr>
    </w:p>
    <w:p w:rsidR="00E15455" w:rsidRPr="00D7274E" w:rsidRDefault="00E15455" w:rsidP="00D7274E">
      <w:pPr>
        <w:spacing w:before="120" w:after="360" w:line="240" w:lineRule="auto"/>
        <w:jc w:val="both"/>
        <w:rPr>
          <w:b/>
          <w:sz w:val="26"/>
          <w:lang w:val="pl-PL"/>
        </w:rPr>
      </w:pPr>
    </w:p>
    <w:p w:rsidR="00094397" w:rsidRDefault="00F47558">
      <w:pPr>
        <w:pStyle w:val="Spistreci2"/>
        <w:rPr>
          <w:rFonts w:eastAsiaTheme="minorEastAsia"/>
          <w:smallCaps w:val="0"/>
          <w:color w:val="auto"/>
          <w:sz w:val="22"/>
          <w:szCs w:val="22"/>
          <w:lang w:eastAsia="en-GB"/>
        </w:rPr>
      </w:pPr>
      <w:r w:rsidRPr="00D7274E">
        <w:rPr>
          <w:lang w:val="pl-PL"/>
        </w:rPr>
        <w:fldChar w:fldCharType="begin"/>
      </w:r>
      <w:r w:rsidRPr="00D7274E">
        <w:rPr>
          <w:lang w:val="pl-PL"/>
        </w:rPr>
        <w:instrText xml:space="preserve"> TOC \o "2-3" \h \z \u </w:instrText>
      </w:r>
      <w:r w:rsidRPr="00D7274E">
        <w:rPr>
          <w:lang w:val="pl-PL"/>
        </w:rPr>
        <w:fldChar w:fldCharType="separate"/>
      </w:r>
      <w:hyperlink w:anchor="_Toc428457797" w:history="1">
        <w:r w:rsidR="00094397" w:rsidRPr="00521100">
          <w:rPr>
            <w:rStyle w:val="Hipercze"/>
          </w:rPr>
          <w:t>1.</w:t>
        </w:r>
        <w:r w:rsidR="00094397">
          <w:rPr>
            <w:rFonts w:eastAsiaTheme="minorEastAsia"/>
            <w:smallCaps w:val="0"/>
            <w:color w:val="auto"/>
            <w:sz w:val="22"/>
            <w:szCs w:val="22"/>
            <w:lang w:eastAsia="en-GB"/>
          </w:rPr>
          <w:tab/>
        </w:r>
        <w:r w:rsidR="00094397" w:rsidRPr="00521100">
          <w:rPr>
            <w:rStyle w:val="Hipercze"/>
          </w:rPr>
          <w:t>Bittó i inni przeciwko Słowacji (skarga nr 302055/09)</w:t>
        </w:r>
        <w:r w:rsidR="00094397">
          <w:rPr>
            <w:webHidden/>
          </w:rPr>
          <w:tab/>
        </w:r>
        <w:r w:rsidR="00094397">
          <w:rPr>
            <w:webHidden/>
          </w:rPr>
          <w:fldChar w:fldCharType="begin"/>
        </w:r>
        <w:r w:rsidR="00094397">
          <w:rPr>
            <w:webHidden/>
          </w:rPr>
          <w:instrText xml:space="preserve"> PAGEREF _Toc428457797 \h </w:instrText>
        </w:r>
        <w:r w:rsidR="00094397">
          <w:rPr>
            <w:webHidden/>
          </w:rPr>
        </w:r>
        <w:r w:rsidR="00094397">
          <w:rPr>
            <w:webHidden/>
          </w:rPr>
          <w:fldChar w:fldCharType="separate"/>
        </w:r>
        <w:r w:rsidR="00094397">
          <w:rPr>
            <w:webHidden/>
          </w:rPr>
          <w:t>3</w:t>
        </w:r>
        <w:r w:rsidR="00094397">
          <w:rPr>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798" w:history="1">
        <w:r w:rsidRPr="00521100">
          <w:rPr>
            <w:rStyle w:val="Hipercze"/>
            <w:rFonts w:ascii="Symbol" w:hAnsi="Symbol"/>
          </w:rPr>
          <w:t></w:t>
        </w:r>
        <w:r>
          <w:rPr>
            <w:rFonts w:eastAsiaTheme="minorEastAsia"/>
            <w:smallCaps w:val="0"/>
            <w:color w:val="auto"/>
            <w:sz w:val="22"/>
            <w:szCs w:val="22"/>
            <w:lang w:eastAsia="en-GB"/>
          </w:rPr>
          <w:tab/>
        </w:r>
        <w:r w:rsidRPr="00521100">
          <w:rPr>
            <w:rStyle w:val="Hipercze"/>
          </w:rPr>
          <w:t>wyrok Izby dotyczący meritum z dnia 28.01.2014 r., ostateczny</w:t>
        </w:r>
        <w:r>
          <w:rPr>
            <w:webHidden/>
          </w:rPr>
          <w:tab/>
        </w:r>
        <w:r>
          <w:rPr>
            <w:webHidden/>
          </w:rPr>
          <w:fldChar w:fldCharType="begin"/>
        </w:r>
        <w:r>
          <w:rPr>
            <w:webHidden/>
          </w:rPr>
          <w:instrText xml:space="preserve"> PAGEREF _Toc428457798 \h </w:instrText>
        </w:r>
        <w:r>
          <w:rPr>
            <w:webHidden/>
          </w:rPr>
        </w:r>
        <w:r>
          <w:rPr>
            <w:webHidden/>
          </w:rPr>
          <w:fldChar w:fldCharType="separate"/>
        </w:r>
        <w:r>
          <w:rPr>
            <w:webHidden/>
          </w:rPr>
          <w:t>3</w:t>
        </w:r>
        <w:r>
          <w:rPr>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799" w:history="1">
        <w:r w:rsidRPr="00521100">
          <w:rPr>
            <w:rStyle w:val="Hipercze"/>
            <w:rFonts w:ascii="Symbol" w:hAnsi="Symbol"/>
          </w:rPr>
          <w:t></w:t>
        </w:r>
        <w:r>
          <w:rPr>
            <w:rFonts w:eastAsiaTheme="minorEastAsia"/>
            <w:smallCaps w:val="0"/>
            <w:color w:val="auto"/>
            <w:sz w:val="22"/>
            <w:szCs w:val="22"/>
            <w:lang w:eastAsia="en-GB"/>
          </w:rPr>
          <w:tab/>
        </w:r>
        <w:r w:rsidRPr="00521100">
          <w:rPr>
            <w:rStyle w:val="Hipercze"/>
          </w:rPr>
          <w:t>wyrok Izby dotyczący słusznego zadośćuczynienia z dnia 7.07.2015 r., nieostateczny</w:t>
        </w:r>
        <w:r>
          <w:rPr>
            <w:webHidden/>
          </w:rPr>
          <w:tab/>
        </w:r>
        <w:r>
          <w:rPr>
            <w:webHidden/>
          </w:rPr>
          <w:fldChar w:fldCharType="begin"/>
        </w:r>
        <w:r>
          <w:rPr>
            <w:webHidden/>
          </w:rPr>
          <w:instrText xml:space="preserve"> PAGEREF _Toc428457799 \h </w:instrText>
        </w:r>
        <w:r>
          <w:rPr>
            <w:webHidden/>
          </w:rPr>
        </w:r>
        <w:r>
          <w:rPr>
            <w:webHidden/>
          </w:rPr>
          <w:fldChar w:fldCharType="separate"/>
        </w:r>
        <w:r>
          <w:rPr>
            <w:webHidden/>
          </w:rPr>
          <w:t>3</w:t>
        </w:r>
        <w:r>
          <w:rPr>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0" w:history="1">
        <w:r w:rsidRPr="00521100">
          <w:rPr>
            <w:rStyle w:val="Hipercze"/>
            <w:noProof/>
            <w:lang w:val="pl-PL"/>
          </w:rPr>
          <w:t>- naruszenie art. 1 Protokołu nr 1 do Konwencji (ochrona własności) i brak konieczności rozpoznawania zarzutu naruszenia art. 14 Konwencji (zakaz dyskryminacji) w zw. z art. 1 Protokołu nr 1 w odniesieniu do skarg dotyczących systemu czynszu regulowanego narzucającego wynajmującym (właścicielom) zbyt niski poziom czynszów</w:t>
        </w:r>
        <w:r>
          <w:rPr>
            <w:noProof/>
            <w:webHidden/>
          </w:rPr>
          <w:tab/>
        </w:r>
        <w:r>
          <w:rPr>
            <w:noProof/>
            <w:webHidden/>
          </w:rPr>
          <w:fldChar w:fldCharType="begin"/>
        </w:r>
        <w:r>
          <w:rPr>
            <w:noProof/>
            <w:webHidden/>
          </w:rPr>
          <w:instrText xml:space="preserve"> PAGEREF _Toc428457800 \h </w:instrText>
        </w:r>
        <w:r>
          <w:rPr>
            <w:noProof/>
            <w:webHidden/>
          </w:rPr>
        </w:r>
        <w:r>
          <w:rPr>
            <w:noProof/>
            <w:webHidden/>
          </w:rPr>
          <w:fldChar w:fldCharType="separate"/>
        </w:r>
        <w:r>
          <w:rPr>
            <w:noProof/>
            <w:webHidden/>
          </w:rPr>
          <w:t>3</w:t>
        </w:r>
        <w:r>
          <w:rPr>
            <w:noProof/>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1" w:history="1">
        <w:r w:rsidRPr="00521100">
          <w:rPr>
            <w:rStyle w:val="Hipercze"/>
            <w:noProof/>
            <w:lang w:val="pl-PL"/>
          </w:rPr>
          <w:t>- odszkodowanie wyliczone przez Trybunał w oparciu o zasadę słuszności</w:t>
        </w:r>
        <w:r>
          <w:rPr>
            <w:noProof/>
            <w:webHidden/>
          </w:rPr>
          <w:tab/>
        </w:r>
        <w:r>
          <w:rPr>
            <w:noProof/>
            <w:webHidden/>
          </w:rPr>
          <w:fldChar w:fldCharType="begin"/>
        </w:r>
        <w:r>
          <w:rPr>
            <w:noProof/>
            <w:webHidden/>
          </w:rPr>
          <w:instrText xml:space="preserve"> PAGEREF _Toc428457801 \h </w:instrText>
        </w:r>
        <w:r>
          <w:rPr>
            <w:noProof/>
            <w:webHidden/>
          </w:rPr>
        </w:r>
        <w:r>
          <w:rPr>
            <w:noProof/>
            <w:webHidden/>
          </w:rPr>
          <w:fldChar w:fldCharType="separate"/>
        </w:r>
        <w:r>
          <w:rPr>
            <w:noProof/>
            <w:webHidden/>
          </w:rPr>
          <w:t>3</w:t>
        </w:r>
        <w:r>
          <w:rPr>
            <w:noProof/>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802" w:history="1">
        <w:r w:rsidRPr="00521100">
          <w:rPr>
            <w:rStyle w:val="Hipercze"/>
          </w:rPr>
          <w:t>2.</w:t>
        </w:r>
        <w:r>
          <w:rPr>
            <w:rFonts w:eastAsiaTheme="minorEastAsia"/>
            <w:smallCaps w:val="0"/>
            <w:color w:val="auto"/>
            <w:sz w:val="22"/>
            <w:szCs w:val="22"/>
            <w:lang w:eastAsia="en-GB"/>
          </w:rPr>
          <w:tab/>
        </w:r>
        <w:r w:rsidRPr="00521100">
          <w:rPr>
            <w:rStyle w:val="Hipercze"/>
          </w:rPr>
          <w:t>Nicklinson p. Zjednoczonemu Królestwu oraz Lamb p. Zjednoczonemu Królestwu (skargi nr 2478/15 i 1787/15), decyzja o niedopuszczalności z 23.06.2015 r., opublikowana 16.07.2015 r., ostateczna</w:t>
        </w:r>
        <w:r>
          <w:rPr>
            <w:webHidden/>
          </w:rPr>
          <w:tab/>
        </w:r>
        <w:r>
          <w:rPr>
            <w:webHidden/>
          </w:rPr>
          <w:fldChar w:fldCharType="begin"/>
        </w:r>
        <w:r>
          <w:rPr>
            <w:webHidden/>
          </w:rPr>
          <w:instrText xml:space="preserve"> PAGEREF _Toc428457802 \h </w:instrText>
        </w:r>
        <w:r>
          <w:rPr>
            <w:webHidden/>
          </w:rPr>
        </w:r>
        <w:r>
          <w:rPr>
            <w:webHidden/>
          </w:rPr>
          <w:fldChar w:fldCharType="separate"/>
        </w:r>
        <w:r>
          <w:rPr>
            <w:webHidden/>
          </w:rPr>
          <w:t>5</w:t>
        </w:r>
        <w:r>
          <w:rPr>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3" w:history="1">
        <w:r w:rsidRPr="00521100">
          <w:rPr>
            <w:rStyle w:val="Hipercze"/>
            <w:noProof/>
            <w:lang w:val="pl-PL"/>
          </w:rPr>
          <w:t>- oczywista niezasadność i niedopuszczalność skargi na gruncie art. 8 Konwencji (prawo  do poszanowania życia prywatnego i rodzinnego) dotyczącej odmowy zbadania przez sąd krajowy zgodności z art. 8 Konwencji przepisu kryminalizującego udzielanie pomocy w popełnieniu samobójstwa przez osobę ciężko chorą</w:t>
        </w:r>
        <w:r>
          <w:rPr>
            <w:noProof/>
            <w:webHidden/>
          </w:rPr>
          <w:tab/>
        </w:r>
        <w:r>
          <w:rPr>
            <w:noProof/>
            <w:webHidden/>
          </w:rPr>
          <w:fldChar w:fldCharType="begin"/>
        </w:r>
        <w:r>
          <w:rPr>
            <w:noProof/>
            <w:webHidden/>
          </w:rPr>
          <w:instrText xml:space="preserve"> PAGEREF _Toc428457803 \h </w:instrText>
        </w:r>
        <w:r>
          <w:rPr>
            <w:noProof/>
            <w:webHidden/>
          </w:rPr>
        </w:r>
        <w:r>
          <w:rPr>
            <w:noProof/>
            <w:webHidden/>
          </w:rPr>
          <w:fldChar w:fldCharType="separate"/>
        </w:r>
        <w:r>
          <w:rPr>
            <w:noProof/>
            <w:webHidden/>
          </w:rPr>
          <w:t>5</w:t>
        </w:r>
        <w:r>
          <w:rPr>
            <w:noProof/>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4" w:history="1">
        <w:r w:rsidRPr="00521100">
          <w:rPr>
            <w:rStyle w:val="Hipercze"/>
            <w:noProof/>
            <w:lang w:val="pl-PL"/>
          </w:rPr>
          <w:t>- niedopuszczalność z uwagi na niewykorzystanie środków krajowych skargi na gruncie art. 8 Konwencji dotyczącej braku możliwości ubiegania się o wydanie przez sąd upoważnienia do dokonania dobrowolnej eutanazji</w:t>
        </w:r>
        <w:r>
          <w:rPr>
            <w:noProof/>
            <w:webHidden/>
          </w:rPr>
          <w:tab/>
        </w:r>
        <w:r>
          <w:rPr>
            <w:noProof/>
            <w:webHidden/>
          </w:rPr>
          <w:fldChar w:fldCharType="begin"/>
        </w:r>
        <w:r>
          <w:rPr>
            <w:noProof/>
            <w:webHidden/>
          </w:rPr>
          <w:instrText xml:space="preserve"> PAGEREF _Toc428457804 \h </w:instrText>
        </w:r>
        <w:r>
          <w:rPr>
            <w:noProof/>
            <w:webHidden/>
          </w:rPr>
        </w:r>
        <w:r>
          <w:rPr>
            <w:noProof/>
            <w:webHidden/>
          </w:rPr>
          <w:fldChar w:fldCharType="separate"/>
        </w:r>
        <w:r>
          <w:rPr>
            <w:noProof/>
            <w:webHidden/>
          </w:rPr>
          <w:t>5</w:t>
        </w:r>
        <w:r>
          <w:rPr>
            <w:noProof/>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805" w:history="1">
        <w:r w:rsidRPr="00521100">
          <w:rPr>
            <w:rStyle w:val="Hipercze"/>
          </w:rPr>
          <w:t>3.</w:t>
        </w:r>
        <w:r>
          <w:rPr>
            <w:rFonts w:eastAsiaTheme="minorEastAsia"/>
            <w:smallCaps w:val="0"/>
            <w:color w:val="auto"/>
            <w:sz w:val="22"/>
            <w:szCs w:val="22"/>
            <w:lang w:eastAsia="en-GB"/>
          </w:rPr>
          <w:tab/>
        </w:r>
        <w:r w:rsidRPr="00521100">
          <w:rPr>
            <w:rStyle w:val="Hipercze"/>
          </w:rPr>
          <w:t>Oliari i inni przeciwko Włochom (skargi nr 18766/11 oraz 36030/11), wyrok Izby z dnia 21.07.2015 r., nieostateczny</w:t>
        </w:r>
        <w:r>
          <w:rPr>
            <w:webHidden/>
          </w:rPr>
          <w:tab/>
        </w:r>
        <w:r>
          <w:rPr>
            <w:webHidden/>
          </w:rPr>
          <w:fldChar w:fldCharType="begin"/>
        </w:r>
        <w:r>
          <w:rPr>
            <w:webHidden/>
          </w:rPr>
          <w:instrText xml:space="preserve"> PAGEREF _Toc428457805 \h </w:instrText>
        </w:r>
        <w:r>
          <w:rPr>
            <w:webHidden/>
          </w:rPr>
        </w:r>
        <w:r>
          <w:rPr>
            <w:webHidden/>
          </w:rPr>
          <w:fldChar w:fldCharType="separate"/>
        </w:r>
        <w:r>
          <w:rPr>
            <w:webHidden/>
          </w:rPr>
          <w:t>8</w:t>
        </w:r>
        <w:r>
          <w:rPr>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6" w:history="1">
        <w:r w:rsidRPr="00521100">
          <w:rPr>
            <w:rStyle w:val="Hipercze"/>
            <w:noProof/>
            <w:lang w:val="pl-PL"/>
          </w:rPr>
          <w:t>- naruszenie art. 8 Konwencji (prawo do poszanowania życia prywatnego i rodzinnego) z uwagi na brak przewidzianej prawem możliwości zawarcia związku partnerskiego osób tej samej płci</w:t>
        </w:r>
        <w:r>
          <w:rPr>
            <w:noProof/>
            <w:webHidden/>
          </w:rPr>
          <w:tab/>
        </w:r>
        <w:r>
          <w:rPr>
            <w:noProof/>
            <w:webHidden/>
          </w:rPr>
          <w:fldChar w:fldCharType="begin"/>
        </w:r>
        <w:r>
          <w:rPr>
            <w:noProof/>
            <w:webHidden/>
          </w:rPr>
          <w:instrText xml:space="preserve"> PAGEREF _Toc428457806 \h </w:instrText>
        </w:r>
        <w:r>
          <w:rPr>
            <w:noProof/>
            <w:webHidden/>
          </w:rPr>
        </w:r>
        <w:r>
          <w:rPr>
            <w:noProof/>
            <w:webHidden/>
          </w:rPr>
          <w:fldChar w:fldCharType="separate"/>
        </w:r>
        <w:r>
          <w:rPr>
            <w:noProof/>
            <w:webHidden/>
          </w:rPr>
          <w:t>8</w:t>
        </w:r>
        <w:r>
          <w:rPr>
            <w:noProof/>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7" w:history="1">
        <w:r w:rsidRPr="00521100">
          <w:rPr>
            <w:rStyle w:val="Hipercze"/>
            <w:noProof/>
            <w:lang w:val="pl-PL"/>
          </w:rPr>
          <w:t>- oczywista niezasadność i niedopuszczalność skargi na gruncie art. 12 Konwencji (prawo do zawarcia małżeństwa) oraz art. 14 (zakaz dyskryminacji) w związku z art. 12 Konwencji w odniesieniu do braku przewidzianej prawem możliwości zawarcia małżeństwa przez osoby tej samej płci</w:t>
        </w:r>
        <w:r>
          <w:rPr>
            <w:noProof/>
            <w:webHidden/>
          </w:rPr>
          <w:tab/>
        </w:r>
        <w:r>
          <w:rPr>
            <w:noProof/>
            <w:webHidden/>
          </w:rPr>
          <w:fldChar w:fldCharType="begin"/>
        </w:r>
        <w:r>
          <w:rPr>
            <w:noProof/>
            <w:webHidden/>
          </w:rPr>
          <w:instrText xml:space="preserve"> PAGEREF _Toc428457807 \h </w:instrText>
        </w:r>
        <w:r>
          <w:rPr>
            <w:noProof/>
            <w:webHidden/>
          </w:rPr>
        </w:r>
        <w:r>
          <w:rPr>
            <w:noProof/>
            <w:webHidden/>
          </w:rPr>
          <w:fldChar w:fldCharType="separate"/>
        </w:r>
        <w:r>
          <w:rPr>
            <w:noProof/>
            <w:webHidden/>
          </w:rPr>
          <w:t>8</w:t>
        </w:r>
        <w:r>
          <w:rPr>
            <w:noProof/>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808" w:history="1">
        <w:r w:rsidRPr="00521100">
          <w:rPr>
            <w:rStyle w:val="Hipercze"/>
          </w:rPr>
          <w:t>4.</w:t>
        </w:r>
        <w:r>
          <w:rPr>
            <w:rFonts w:eastAsiaTheme="minorEastAsia"/>
            <w:smallCaps w:val="0"/>
            <w:color w:val="auto"/>
            <w:sz w:val="22"/>
            <w:szCs w:val="22"/>
            <w:lang w:eastAsia="en-GB"/>
          </w:rPr>
          <w:tab/>
        </w:r>
        <w:r w:rsidRPr="00521100">
          <w:rPr>
            <w:rStyle w:val="Hipercze"/>
          </w:rPr>
          <w:t>Zammit i Attard Cassar p. Malcie (skarga nr 1046/12), wyrok Izby z 30.07.2015 r., nieostateczny</w:t>
        </w:r>
        <w:r>
          <w:rPr>
            <w:webHidden/>
          </w:rPr>
          <w:tab/>
        </w:r>
        <w:r>
          <w:rPr>
            <w:webHidden/>
          </w:rPr>
          <w:fldChar w:fldCharType="begin"/>
        </w:r>
        <w:r>
          <w:rPr>
            <w:webHidden/>
          </w:rPr>
          <w:instrText xml:space="preserve"> PAGEREF _Toc428457808 \h </w:instrText>
        </w:r>
        <w:r>
          <w:rPr>
            <w:webHidden/>
          </w:rPr>
        </w:r>
        <w:r>
          <w:rPr>
            <w:webHidden/>
          </w:rPr>
          <w:fldChar w:fldCharType="separate"/>
        </w:r>
        <w:r>
          <w:rPr>
            <w:webHidden/>
          </w:rPr>
          <w:t>10</w:t>
        </w:r>
        <w:r>
          <w:rPr>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09" w:history="1">
        <w:r w:rsidRPr="00521100">
          <w:rPr>
            <w:rStyle w:val="Hipercze"/>
            <w:noProof/>
            <w:lang w:val="pl-PL"/>
          </w:rPr>
          <w:t>- naruszenie art. 1 Protokołu nr 1 do Konwencji (ochrona własności) z uwagi na nieproporcjonalne ograniczenia możliwości podwyższania czynszu najmu przez właścicieli nieruchomości wynajmowanych na cele działalności gospodarczej</w:t>
        </w:r>
        <w:r>
          <w:rPr>
            <w:noProof/>
            <w:webHidden/>
          </w:rPr>
          <w:tab/>
        </w:r>
        <w:r>
          <w:rPr>
            <w:noProof/>
            <w:webHidden/>
          </w:rPr>
          <w:fldChar w:fldCharType="begin"/>
        </w:r>
        <w:r>
          <w:rPr>
            <w:noProof/>
            <w:webHidden/>
          </w:rPr>
          <w:instrText xml:space="preserve"> PAGEREF _Toc428457809 \h </w:instrText>
        </w:r>
        <w:r>
          <w:rPr>
            <w:noProof/>
            <w:webHidden/>
          </w:rPr>
        </w:r>
        <w:r>
          <w:rPr>
            <w:noProof/>
            <w:webHidden/>
          </w:rPr>
          <w:fldChar w:fldCharType="separate"/>
        </w:r>
        <w:r>
          <w:rPr>
            <w:noProof/>
            <w:webHidden/>
          </w:rPr>
          <w:t>10</w:t>
        </w:r>
        <w:r>
          <w:rPr>
            <w:noProof/>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10" w:history="1">
        <w:r w:rsidRPr="00521100">
          <w:rPr>
            <w:rStyle w:val="Hipercze"/>
            <w:noProof/>
            <w:lang w:val="pl-PL"/>
          </w:rPr>
          <w:t>- oczywista niezasadność i niedopuszczalność skargi na podstawie art. 14 Konwencji (zakaz dyskryminacji) w związku z art. 1 Protokołu nr 1 do Konwencji w odniesieniu do zarzutu, iż po wejściu w życie zmian legislacyjnych mających na celu poprawę sytuacji właścicieli do skarżących miały zastosowanie mniej korzystne (dotychczasowe) regulacje w porównaniu do osób objętych nowym reżimem prawnym.</w:t>
        </w:r>
        <w:r>
          <w:rPr>
            <w:noProof/>
            <w:webHidden/>
          </w:rPr>
          <w:tab/>
        </w:r>
        <w:r>
          <w:rPr>
            <w:noProof/>
            <w:webHidden/>
          </w:rPr>
          <w:fldChar w:fldCharType="begin"/>
        </w:r>
        <w:r>
          <w:rPr>
            <w:noProof/>
            <w:webHidden/>
          </w:rPr>
          <w:instrText xml:space="preserve"> PAGEREF _Toc428457810 \h </w:instrText>
        </w:r>
        <w:r>
          <w:rPr>
            <w:noProof/>
            <w:webHidden/>
          </w:rPr>
        </w:r>
        <w:r>
          <w:rPr>
            <w:noProof/>
            <w:webHidden/>
          </w:rPr>
          <w:fldChar w:fldCharType="separate"/>
        </w:r>
        <w:r>
          <w:rPr>
            <w:noProof/>
            <w:webHidden/>
          </w:rPr>
          <w:t>10</w:t>
        </w:r>
        <w:r>
          <w:rPr>
            <w:noProof/>
            <w:webHidden/>
          </w:rPr>
          <w:fldChar w:fldCharType="end"/>
        </w:r>
      </w:hyperlink>
    </w:p>
    <w:p w:rsidR="00094397" w:rsidRDefault="00094397">
      <w:pPr>
        <w:pStyle w:val="Spistreci2"/>
        <w:rPr>
          <w:rFonts w:eastAsiaTheme="minorEastAsia"/>
          <w:smallCaps w:val="0"/>
          <w:color w:val="auto"/>
          <w:sz w:val="22"/>
          <w:szCs w:val="22"/>
          <w:lang w:eastAsia="en-GB"/>
        </w:rPr>
      </w:pPr>
      <w:hyperlink w:anchor="_Toc428457811" w:history="1">
        <w:r w:rsidRPr="00521100">
          <w:rPr>
            <w:rStyle w:val="Hipercze"/>
          </w:rPr>
          <w:t>5.</w:t>
        </w:r>
        <w:r>
          <w:rPr>
            <w:rFonts w:eastAsiaTheme="minorEastAsia"/>
            <w:smallCaps w:val="0"/>
            <w:color w:val="auto"/>
            <w:sz w:val="22"/>
            <w:szCs w:val="22"/>
            <w:lang w:eastAsia="en-GB"/>
          </w:rPr>
          <w:tab/>
        </w:r>
        <w:r w:rsidRPr="00521100">
          <w:rPr>
            <w:rStyle w:val="Hipercze"/>
          </w:rPr>
          <w:t>Ferreira Santos Pardal przeciwko Portugalii (skarga nr 30123/10), wyrok Izby z 30.07.2015 r., nieostateczny</w:t>
        </w:r>
        <w:r>
          <w:rPr>
            <w:webHidden/>
          </w:rPr>
          <w:tab/>
        </w:r>
        <w:r>
          <w:rPr>
            <w:webHidden/>
          </w:rPr>
          <w:fldChar w:fldCharType="begin"/>
        </w:r>
        <w:r>
          <w:rPr>
            <w:webHidden/>
          </w:rPr>
          <w:instrText xml:space="preserve"> PAGEREF _Toc428457811 \h </w:instrText>
        </w:r>
        <w:r>
          <w:rPr>
            <w:webHidden/>
          </w:rPr>
        </w:r>
        <w:r>
          <w:rPr>
            <w:webHidden/>
          </w:rPr>
          <w:fldChar w:fldCharType="separate"/>
        </w:r>
        <w:r>
          <w:rPr>
            <w:webHidden/>
          </w:rPr>
          <w:t>12</w:t>
        </w:r>
        <w:r>
          <w:rPr>
            <w:webHidden/>
          </w:rPr>
          <w:fldChar w:fldCharType="end"/>
        </w:r>
      </w:hyperlink>
    </w:p>
    <w:p w:rsidR="00094397" w:rsidRDefault="00094397">
      <w:pPr>
        <w:pStyle w:val="Spistreci3"/>
        <w:tabs>
          <w:tab w:val="right" w:leader="dot" w:pos="9062"/>
        </w:tabs>
        <w:rPr>
          <w:rFonts w:eastAsiaTheme="minorEastAsia"/>
          <w:i w:val="0"/>
          <w:iCs w:val="0"/>
          <w:noProof/>
          <w:sz w:val="22"/>
          <w:szCs w:val="22"/>
          <w:lang w:eastAsia="en-GB"/>
        </w:rPr>
      </w:pPr>
      <w:hyperlink w:anchor="_Toc428457812" w:history="1">
        <w:r w:rsidRPr="00521100">
          <w:rPr>
            <w:rStyle w:val="Hipercze"/>
            <w:noProof/>
            <w:lang w:val="pl-PL"/>
          </w:rPr>
          <w:t>- naruszenie art. 6 ust. 1 Konwencji (prawo do rzetelnego procesu sądowego) z uwagi na rozbieżność w orzecznictwie Sądu Najwyższego i brak skutecznego mechanizmu zapewnienia spójności jego orzecznictwa w sprawie dotyczącej oddalenia powództwa skarżącego przeciwko państwu</w:t>
        </w:r>
        <w:r>
          <w:rPr>
            <w:noProof/>
            <w:webHidden/>
          </w:rPr>
          <w:tab/>
        </w:r>
        <w:r>
          <w:rPr>
            <w:noProof/>
            <w:webHidden/>
          </w:rPr>
          <w:fldChar w:fldCharType="begin"/>
        </w:r>
        <w:r>
          <w:rPr>
            <w:noProof/>
            <w:webHidden/>
          </w:rPr>
          <w:instrText xml:space="preserve"> PAGEREF _Toc428457812 \h </w:instrText>
        </w:r>
        <w:r>
          <w:rPr>
            <w:noProof/>
            <w:webHidden/>
          </w:rPr>
        </w:r>
        <w:r>
          <w:rPr>
            <w:noProof/>
            <w:webHidden/>
          </w:rPr>
          <w:fldChar w:fldCharType="separate"/>
        </w:r>
        <w:r>
          <w:rPr>
            <w:noProof/>
            <w:webHidden/>
          </w:rPr>
          <w:t>12</w:t>
        </w:r>
        <w:r>
          <w:rPr>
            <w:noProof/>
            <w:webHidden/>
          </w:rPr>
          <w:fldChar w:fldCharType="end"/>
        </w:r>
      </w:hyperlink>
    </w:p>
    <w:p w:rsidR="008C1766" w:rsidRPr="00D7274E" w:rsidRDefault="00F47558" w:rsidP="00D7274E">
      <w:pPr>
        <w:spacing w:after="120" w:line="240" w:lineRule="auto"/>
        <w:jc w:val="both"/>
        <w:rPr>
          <w:smallCaps/>
          <w:sz w:val="20"/>
          <w:szCs w:val="20"/>
          <w:lang w:val="pl-PL"/>
        </w:rPr>
      </w:pPr>
      <w:r w:rsidRPr="00D7274E">
        <w:rPr>
          <w:smallCaps/>
          <w:sz w:val="20"/>
          <w:szCs w:val="20"/>
          <w:lang w:val="pl-PL"/>
        </w:rPr>
        <w:fldChar w:fldCharType="end"/>
      </w:r>
    </w:p>
    <w:p w:rsidR="00FB3243" w:rsidRPr="00B77EC0" w:rsidRDefault="00FB3243" w:rsidP="00B77EC0">
      <w:pPr>
        <w:pStyle w:val="Nagwek2"/>
        <w:numPr>
          <w:ilvl w:val="0"/>
          <w:numId w:val="1"/>
        </w:numPr>
      </w:pPr>
      <w:bookmarkStart w:id="1" w:name="_Toc428457797"/>
      <w:proofErr w:type="spellStart"/>
      <w:r w:rsidRPr="00B77EC0">
        <w:t>Bittó</w:t>
      </w:r>
      <w:proofErr w:type="spellEnd"/>
      <w:r w:rsidRPr="00B77EC0">
        <w:t xml:space="preserve"> i inni przeciwko Słowacji (skarga nr 302055/09)</w:t>
      </w:r>
      <w:bookmarkEnd w:id="1"/>
    </w:p>
    <w:p w:rsidR="00FB3243" w:rsidRPr="00B77EC0" w:rsidRDefault="00FB3243" w:rsidP="00B77EC0">
      <w:pPr>
        <w:pStyle w:val="Nagwek2"/>
        <w:numPr>
          <w:ilvl w:val="0"/>
          <w:numId w:val="22"/>
        </w:numPr>
        <w:spacing w:before="0" w:after="0"/>
      </w:pPr>
      <w:bookmarkStart w:id="2" w:name="_Toc428457798"/>
      <w:r w:rsidRPr="00B77EC0">
        <w:t xml:space="preserve">wyrok Izby dotyczący </w:t>
      </w:r>
      <w:r w:rsidR="00B77EC0">
        <w:t xml:space="preserve">meritum </w:t>
      </w:r>
      <w:r w:rsidRPr="00B77EC0">
        <w:t>z dnia 28</w:t>
      </w:r>
      <w:r w:rsidR="00B77EC0">
        <w:t>.01.</w:t>
      </w:r>
      <w:r w:rsidRPr="00B77EC0">
        <w:t>2014 r.</w:t>
      </w:r>
      <w:r w:rsidR="00B77EC0">
        <w:t>,</w:t>
      </w:r>
      <w:r w:rsidRPr="00B77EC0">
        <w:t xml:space="preserve"> ostateczny</w:t>
      </w:r>
      <w:bookmarkEnd w:id="2"/>
    </w:p>
    <w:p w:rsidR="00FB3243" w:rsidRPr="00B77EC0" w:rsidRDefault="00FB3243" w:rsidP="00B77EC0">
      <w:pPr>
        <w:pStyle w:val="Nagwek2"/>
        <w:numPr>
          <w:ilvl w:val="0"/>
          <w:numId w:val="22"/>
        </w:numPr>
        <w:spacing w:before="0" w:after="0"/>
      </w:pPr>
      <w:bookmarkStart w:id="3" w:name="_Toc428457799"/>
      <w:r w:rsidRPr="00B77EC0">
        <w:t xml:space="preserve">wyrok Izby dotyczący </w:t>
      </w:r>
      <w:r w:rsidR="00B77EC0">
        <w:t xml:space="preserve">słusznego </w:t>
      </w:r>
      <w:r w:rsidRPr="00B77EC0">
        <w:t>zadośćuczynienia z dnia 7</w:t>
      </w:r>
      <w:r w:rsidR="00B77EC0">
        <w:t>.07.</w:t>
      </w:r>
      <w:r w:rsidRPr="00B77EC0">
        <w:t>2015 r.</w:t>
      </w:r>
      <w:r w:rsidR="00B77EC0">
        <w:t>,</w:t>
      </w:r>
      <w:r w:rsidRPr="00B77EC0">
        <w:t xml:space="preserve"> nieostateczny</w:t>
      </w:r>
      <w:bookmarkEnd w:id="3"/>
      <w:r w:rsidRPr="00B77EC0">
        <w:t xml:space="preserve"> </w:t>
      </w:r>
    </w:p>
    <w:p w:rsidR="00FB3243" w:rsidRPr="00B20F4F" w:rsidRDefault="00FB3243" w:rsidP="00C53FD6">
      <w:pPr>
        <w:pStyle w:val="Nagwek3"/>
        <w:spacing w:after="120"/>
        <w:rPr>
          <w:lang w:val="pl-PL"/>
        </w:rPr>
      </w:pPr>
      <w:bookmarkStart w:id="4" w:name="_Toc428457800"/>
      <w:r w:rsidRPr="00B20F4F">
        <w:rPr>
          <w:lang w:val="pl-PL"/>
        </w:rPr>
        <w:t>- naruszenie art. 1 Protokołu</w:t>
      </w:r>
      <w:r w:rsidR="00151CC7">
        <w:rPr>
          <w:lang w:val="pl-PL"/>
        </w:rPr>
        <w:t xml:space="preserve"> nr</w:t>
      </w:r>
      <w:r w:rsidRPr="00B20F4F">
        <w:rPr>
          <w:lang w:val="pl-PL"/>
        </w:rPr>
        <w:t xml:space="preserve"> 1 </w:t>
      </w:r>
      <w:r w:rsidR="00151CC7">
        <w:rPr>
          <w:lang w:val="pl-PL"/>
        </w:rPr>
        <w:t xml:space="preserve">do </w:t>
      </w:r>
      <w:r w:rsidRPr="00B20F4F">
        <w:rPr>
          <w:lang w:val="pl-PL"/>
        </w:rPr>
        <w:t xml:space="preserve">Konwencji </w:t>
      </w:r>
      <w:r w:rsidR="00151CC7">
        <w:rPr>
          <w:lang w:val="pl-PL"/>
        </w:rPr>
        <w:t xml:space="preserve">(ochrona własności) </w:t>
      </w:r>
      <w:r w:rsidRPr="00B20F4F">
        <w:rPr>
          <w:lang w:val="pl-PL"/>
        </w:rPr>
        <w:t xml:space="preserve">i brak konieczności rozpoznawania zarzutu naruszenia art. 14 Konwencji </w:t>
      </w:r>
      <w:r w:rsidR="00151CC7">
        <w:rPr>
          <w:lang w:val="pl-PL"/>
        </w:rPr>
        <w:t xml:space="preserve">(zakaz dyskryminacji) </w:t>
      </w:r>
      <w:r w:rsidRPr="00B20F4F">
        <w:rPr>
          <w:lang w:val="pl-PL"/>
        </w:rPr>
        <w:t xml:space="preserve">w zw. z art. 1 Protokołu </w:t>
      </w:r>
      <w:r w:rsidR="00151CC7">
        <w:rPr>
          <w:lang w:val="pl-PL"/>
        </w:rPr>
        <w:t xml:space="preserve">nr </w:t>
      </w:r>
      <w:r w:rsidRPr="00B20F4F">
        <w:rPr>
          <w:lang w:val="pl-PL"/>
        </w:rPr>
        <w:t>1 w odniesieniu do skarg dotyczących systemu czynszu regulowanego narzucającego wynajmującym (właścicielom) zbyt niski poziom czynszów</w:t>
      </w:r>
      <w:bookmarkEnd w:id="4"/>
    </w:p>
    <w:p w:rsidR="00FB3243" w:rsidRPr="00B20F4F" w:rsidRDefault="00FB3243" w:rsidP="00C53FD6">
      <w:pPr>
        <w:pStyle w:val="Nagwek3"/>
        <w:spacing w:before="0"/>
        <w:rPr>
          <w:lang w:val="pl-PL"/>
        </w:rPr>
      </w:pPr>
      <w:bookmarkStart w:id="5" w:name="_Toc428457801"/>
      <w:r w:rsidRPr="00B20F4F">
        <w:rPr>
          <w:lang w:val="pl-PL"/>
        </w:rPr>
        <w:t>- odszkodowanie wyliczone przez Trybunał w oparciu o zasadę słuszności</w:t>
      </w:r>
      <w:bookmarkEnd w:id="5"/>
      <w:r w:rsidRPr="00B20F4F">
        <w:rPr>
          <w:lang w:val="pl-PL"/>
        </w:rPr>
        <w:t xml:space="preserve"> </w:t>
      </w:r>
    </w:p>
    <w:p w:rsidR="00FB3243" w:rsidRPr="00A43F12" w:rsidRDefault="00FB3243" w:rsidP="00FB3243">
      <w:pPr>
        <w:spacing w:after="120"/>
        <w:jc w:val="both"/>
        <w:rPr>
          <w:rFonts w:cs="Arial"/>
          <w:color w:val="222222"/>
          <w:u w:val="single"/>
          <w:lang w:val="pl-PL"/>
        </w:rPr>
      </w:pPr>
      <w:r w:rsidRPr="00A43F12">
        <w:rPr>
          <w:rFonts w:cs="Arial"/>
          <w:color w:val="222222"/>
          <w:u w:val="single"/>
          <w:lang w:val="pl-PL"/>
        </w:rPr>
        <w:t>Stan faktyczny i zarzuty skarżących</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Skarżący to 21 obywateli słowackich - właścicieli lub współwłaścicieli budynków</w:t>
      </w:r>
      <w:r w:rsidRPr="00A43F12">
        <w:rPr>
          <w:rStyle w:val="hps"/>
          <w:rFonts w:cs="Arial"/>
          <w:color w:val="222222"/>
          <w:lang w:val="pl-PL"/>
        </w:rPr>
        <w:t xml:space="preserve"> mieszkalnych w</w:t>
      </w:r>
      <w:r w:rsidRPr="00A43F12">
        <w:rPr>
          <w:rFonts w:cs="Arial"/>
          <w:color w:val="222222"/>
          <w:lang w:val="pl-PL"/>
        </w:rPr>
        <w:t xml:space="preserve"> </w:t>
      </w:r>
      <w:r w:rsidRPr="00A43F12">
        <w:rPr>
          <w:rStyle w:val="hps"/>
          <w:rFonts w:cs="Arial"/>
          <w:color w:val="222222"/>
          <w:lang w:val="pl-PL"/>
        </w:rPr>
        <w:t>Bratysławie i</w:t>
      </w:r>
      <w:r w:rsidRPr="00A43F12">
        <w:rPr>
          <w:rFonts w:cs="Arial"/>
          <w:color w:val="222222"/>
          <w:lang w:val="pl-PL"/>
        </w:rPr>
        <w:t xml:space="preserve"> </w:t>
      </w:r>
      <w:proofErr w:type="spellStart"/>
      <w:r w:rsidRPr="00A43F12">
        <w:rPr>
          <w:rStyle w:val="hps"/>
          <w:rFonts w:cs="Arial"/>
          <w:color w:val="222222"/>
          <w:lang w:val="pl-PL"/>
        </w:rPr>
        <w:t>Trnavie</w:t>
      </w:r>
      <w:proofErr w:type="spellEnd"/>
      <w:r w:rsidRPr="00A43F12">
        <w:rPr>
          <w:rFonts w:cs="Arial"/>
          <w:color w:val="222222"/>
          <w:lang w:val="pl-PL"/>
        </w:rPr>
        <w:t>, do których miał zastosowanie system czynszu regulowanego, zgodnie z ustawą o cenach z 1996 r. oraz innymi stosownymi p</w:t>
      </w:r>
      <w:r w:rsidRPr="00A43F12">
        <w:rPr>
          <w:rStyle w:val="hps"/>
          <w:rFonts w:cs="Arial"/>
          <w:color w:val="222222"/>
          <w:lang w:val="pl-PL"/>
        </w:rPr>
        <w:t>rzepisami</w:t>
      </w:r>
      <w:r w:rsidRPr="00A43F12">
        <w:rPr>
          <w:rFonts w:cs="Arial"/>
          <w:color w:val="222222"/>
          <w:lang w:val="pl-PL"/>
        </w:rPr>
        <w:t xml:space="preserve">. Na podstawie obowiązujących przepisów właściciele nie mogli </w:t>
      </w:r>
      <w:r w:rsidRPr="00A43F12">
        <w:rPr>
          <w:rStyle w:val="hps"/>
          <w:rFonts w:cs="Arial"/>
          <w:color w:val="222222"/>
          <w:lang w:val="pl-PL"/>
        </w:rPr>
        <w:t>swobodnie</w:t>
      </w:r>
      <w:r w:rsidRPr="00A43F12">
        <w:rPr>
          <w:rFonts w:cs="Arial"/>
          <w:color w:val="222222"/>
          <w:lang w:val="pl-PL"/>
        </w:rPr>
        <w:t xml:space="preserve"> </w:t>
      </w:r>
      <w:r w:rsidRPr="00A43F12">
        <w:rPr>
          <w:rStyle w:val="hps"/>
          <w:rFonts w:cs="Arial"/>
          <w:color w:val="222222"/>
          <w:lang w:val="pl-PL"/>
        </w:rPr>
        <w:t>negocjować</w:t>
      </w:r>
      <w:r w:rsidRPr="00A43F12">
        <w:rPr>
          <w:rFonts w:cs="Arial"/>
          <w:color w:val="222222"/>
          <w:lang w:val="pl-PL"/>
        </w:rPr>
        <w:t xml:space="preserve"> </w:t>
      </w:r>
      <w:r w:rsidRPr="00A43F12">
        <w:rPr>
          <w:rStyle w:val="hps"/>
          <w:rFonts w:cs="Arial"/>
          <w:color w:val="222222"/>
          <w:lang w:val="pl-PL"/>
        </w:rPr>
        <w:t>wysokości czynszu</w:t>
      </w:r>
      <w:r w:rsidRPr="00A43F12">
        <w:rPr>
          <w:rFonts w:cs="Arial"/>
          <w:color w:val="222222"/>
          <w:lang w:val="pl-PL"/>
        </w:rPr>
        <w:t xml:space="preserve"> </w:t>
      </w:r>
      <w:r w:rsidRPr="00A43F12">
        <w:rPr>
          <w:rStyle w:val="hps"/>
          <w:rFonts w:cs="Arial"/>
          <w:color w:val="222222"/>
          <w:lang w:val="pl-PL"/>
        </w:rPr>
        <w:t>za ich</w:t>
      </w:r>
      <w:r w:rsidRPr="00A43F12">
        <w:rPr>
          <w:rFonts w:cs="Arial"/>
          <w:color w:val="222222"/>
          <w:lang w:val="pl-PL"/>
        </w:rPr>
        <w:t xml:space="preserve"> </w:t>
      </w:r>
      <w:r w:rsidRPr="00A43F12">
        <w:rPr>
          <w:rStyle w:val="hps"/>
          <w:rFonts w:cs="Arial"/>
          <w:color w:val="222222"/>
          <w:lang w:val="pl-PL"/>
        </w:rPr>
        <w:t>mieszkania</w:t>
      </w:r>
      <w:r w:rsidRPr="00A43F12">
        <w:rPr>
          <w:rFonts w:cs="Arial"/>
          <w:color w:val="222222"/>
          <w:lang w:val="pl-PL"/>
        </w:rPr>
        <w:t xml:space="preserve">, a </w:t>
      </w:r>
      <w:r w:rsidRPr="00A43F12">
        <w:rPr>
          <w:rStyle w:val="hps"/>
          <w:rFonts w:cs="Arial"/>
          <w:color w:val="222222"/>
          <w:lang w:val="pl-PL"/>
        </w:rPr>
        <w:t>wypowiedzenie</w:t>
      </w:r>
      <w:r w:rsidRPr="00A43F12">
        <w:rPr>
          <w:rFonts w:cs="Arial"/>
          <w:color w:val="222222"/>
          <w:lang w:val="pl-PL"/>
        </w:rPr>
        <w:t xml:space="preserve"> </w:t>
      </w:r>
      <w:r w:rsidRPr="00A43F12">
        <w:rPr>
          <w:rStyle w:val="hps"/>
          <w:rFonts w:cs="Arial"/>
          <w:color w:val="222222"/>
          <w:lang w:val="pl-PL"/>
        </w:rPr>
        <w:t>najmu</w:t>
      </w:r>
      <w:r w:rsidRPr="00A43F12">
        <w:rPr>
          <w:rFonts w:cs="Arial"/>
          <w:color w:val="222222"/>
          <w:lang w:val="pl-PL"/>
        </w:rPr>
        <w:t xml:space="preserve"> </w:t>
      </w:r>
      <w:r w:rsidRPr="00A43F12">
        <w:rPr>
          <w:rStyle w:val="hps"/>
          <w:rFonts w:cs="Arial"/>
          <w:color w:val="222222"/>
          <w:lang w:val="pl-PL"/>
        </w:rPr>
        <w:t>tych mieszkań</w:t>
      </w:r>
      <w:r w:rsidRPr="00A43F12">
        <w:rPr>
          <w:rFonts w:cs="Arial"/>
          <w:color w:val="222222"/>
          <w:lang w:val="pl-PL"/>
        </w:rPr>
        <w:t xml:space="preserve"> </w:t>
      </w:r>
      <w:r w:rsidRPr="00A43F12">
        <w:rPr>
          <w:rStyle w:val="hps"/>
          <w:rFonts w:cs="Arial"/>
          <w:color w:val="222222"/>
          <w:lang w:val="pl-PL"/>
        </w:rPr>
        <w:t>było</w:t>
      </w:r>
      <w:r w:rsidRPr="00A43F12">
        <w:rPr>
          <w:rFonts w:cs="Arial"/>
          <w:color w:val="222222"/>
          <w:lang w:val="pl-PL"/>
        </w:rPr>
        <w:t xml:space="preserve"> </w:t>
      </w:r>
      <w:r w:rsidRPr="00A43F12">
        <w:rPr>
          <w:rStyle w:val="hps"/>
          <w:rFonts w:cs="Arial"/>
          <w:color w:val="222222"/>
          <w:lang w:val="pl-PL"/>
        </w:rPr>
        <w:t>uzależnione od</w:t>
      </w:r>
      <w:r w:rsidRPr="00A43F12">
        <w:rPr>
          <w:rFonts w:cs="Arial"/>
          <w:color w:val="222222"/>
          <w:lang w:val="pl-PL"/>
        </w:rPr>
        <w:t xml:space="preserve"> </w:t>
      </w:r>
      <w:r w:rsidRPr="00A43F12">
        <w:rPr>
          <w:rStyle w:val="hps"/>
          <w:rFonts w:cs="Arial"/>
          <w:color w:val="222222"/>
          <w:lang w:val="pl-PL"/>
        </w:rPr>
        <w:t>zapewnienia</w:t>
      </w:r>
      <w:r w:rsidRPr="00A43F12">
        <w:rPr>
          <w:rFonts w:cs="Arial"/>
          <w:color w:val="222222"/>
          <w:lang w:val="pl-PL"/>
        </w:rPr>
        <w:t xml:space="preserve"> </w:t>
      </w:r>
      <w:r w:rsidRPr="00A43F12">
        <w:rPr>
          <w:rStyle w:val="hps"/>
          <w:rFonts w:cs="Arial"/>
          <w:color w:val="222222"/>
          <w:lang w:val="pl-PL"/>
        </w:rPr>
        <w:t>najemcom</w:t>
      </w:r>
      <w:r w:rsidRPr="00A43F12">
        <w:rPr>
          <w:rFonts w:cs="Arial"/>
          <w:color w:val="222222"/>
          <w:lang w:val="pl-PL"/>
        </w:rPr>
        <w:t xml:space="preserve"> </w:t>
      </w:r>
      <w:r w:rsidRPr="00A43F12">
        <w:rPr>
          <w:rStyle w:val="hps"/>
          <w:rFonts w:cs="Arial"/>
          <w:color w:val="222222"/>
          <w:lang w:val="pl-PL"/>
        </w:rPr>
        <w:t>odpowiedniego alternatywnego zakwaterowania</w:t>
      </w:r>
      <w:r w:rsidRPr="00A43F12">
        <w:rPr>
          <w:rFonts w:cs="Arial"/>
          <w:color w:val="222222"/>
          <w:lang w:val="pl-PL"/>
        </w:rPr>
        <w:t>. Skarżący uzyskali prawo własności swoich budynków w drodze restytucji, darowizny</w:t>
      </w:r>
      <w:r>
        <w:rPr>
          <w:rFonts w:cs="Arial"/>
          <w:color w:val="222222"/>
          <w:lang w:val="pl-PL"/>
        </w:rPr>
        <w:t xml:space="preserve"> lub</w:t>
      </w:r>
      <w:r w:rsidRPr="00A43F12">
        <w:rPr>
          <w:rFonts w:cs="Arial"/>
          <w:color w:val="222222"/>
          <w:lang w:val="pl-PL"/>
        </w:rPr>
        <w:t xml:space="preserve"> dziedziczenia od krewnych, którzy nabyli własność w drodze restytucji. Większość skarżących nabyła prawo własności w latach 90-tych. Lokale mieszkalne w tych budynkach były w większości zajęte przez lokatorów, którzy płacili nowym właścicielom stawki czynszu regulowane przez państwo i których eksmisja była praktycznie niemożliwa.</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Skarżący zarzucali, że otrzymywany przez nich czynsz był jedynie ułamkiem tego</w:t>
      </w:r>
      <w:r>
        <w:rPr>
          <w:rFonts w:cs="Arial"/>
          <w:color w:val="222222"/>
          <w:lang w:val="pl-PL"/>
        </w:rPr>
        <w:t>,</w:t>
      </w:r>
      <w:r w:rsidRPr="00A43F12">
        <w:rPr>
          <w:rFonts w:cs="Arial"/>
          <w:color w:val="222222"/>
          <w:lang w:val="pl-PL"/>
        </w:rPr>
        <w:t xml:space="preserve"> co mogliby otrzymać, jeśli mieszkania byłyby wynajmowane na wolnym rynku. Ponadto skarżący twierdzili, że wysokość czynszu regulowanego nie była w stanie pokryć </w:t>
      </w:r>
      <w:r w:rsidR="00151CC7" w:rsidRPr="00A43F12">
        <w:rPr>
          <w:rFonts w:cs="Arial"/>
          <w:color w:val="222222"/>
          <w:lang w:val="pl-PL"/>
        </w:rPr>
        <w:t xml:space="preserve">nawet </w:t>
      </w:r>
      <w:r w:rsidRPr="00A43F12">
        <w:rPr>
          <w:rFonts w:cs="Arial"/>
          <w:color w:val="222222"/>
          <w:lang w:val="pl-PL"/>
        </w:rPr>
        <w:t>kosztów konserwacji i napraw.</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 xml:space="preserve">Skarżący, mając na uwadze art. 1 Protokołu </w:t>
      </w:r>
      <w:r>
        <w:rPr>
          <w:rFonts w:cs="Arial"/>
          <w:color w:val="222222"/>
          <w:lang w:val="pl-PL"/>
        </w:rPr>
        <w:t xml:space="preserve">nr </w:t>
      </w:r>
      <w:r w:rsidRPr="00A43F12">
        <w:rPr>
          <w:rFonts w:cs="Arial"/>
          <w:color w:val="222222"/>
          <w:lang w:val="pl-PL"/>
        </w:rPr>
        <w:t xml:space="preserve">1 </w:t>
      </w:r>
      <w:r>
        <w:rPr>
          <w:rFonts w:cs="Arial"/>
          <w:color w:val="222222"/>
          <w:lang w:val="pl-PL"/>
        </w:rPr>
        <w:t xml:space="preserve">do </w:t>
      </w:r>
      <w:r w:rsidRPr="00A43F12">
        <w:rPr>
          <w:rFonts w:cs="Arial"/>
          <w:color w:val="222222"/>
          <w:lang w:val="pl-PL"/>
        </w:rPr>
        <w:t xml:space="preserve">Konwencji, zarzucali, że system czynszu regulowanego łamie ich prawo do </w:t>
      </w:r>
      <w:r>
        <w:rPr>
          <w:rFonts w:cs="Arial"/>
          <w:color w:val="222222"/>
          <w:lang w:val="pl-PL"/>
        </w:rPr>
        <w:t xml:space="preserve">poszanowania ich </w:t>
      </w:r>
      <w:r w:rsidRPr="00A43F12">
        <w:rPr>
          <w:rFonts w:cs="Arial"/>
          <w:color w:val="222222"/>
          <w:lang w:val="pl-PL"/>
        </w:rPr>
        <w:t xml:space="preserve">mienia. Ponadto skarżący podnosili, że ograniczenia nałożone na nich przez system czynszów regulowanych nosiły cechy traktowania dyskryminującego. Dlatego też zarzucali również naruszenie art. 14 Konwencji. </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Skarżący zauważyli także, że dalsze utrzymywanie systemu czynszu regulowanego miało charakter problemu systemowego w świetle Konwencji i dotyczyło wielu osób. Wnosili o podjęcie odpowiednich środków, w szczególności z uwagi na fakt, że stopn</w:t>
      </w:r>
      <w:r>
        <w:rPr>
          <w:rFonts w:cs="Arial"/>
          <w:color w:val="222222"/>
          <w:lang w:val="pl-PL"/>
        </w:rPr>
        <w:t>iowa deregulacja systemu czynszu</w:t>
      </w:r>
      <w:r w:rsidRPr="00A43F12">
        <w:rPr>
          <w:rFonts w:cs="Arial"/>
          <w:color w:val="222222"/>
          <w:lang w:val="pl-PL"/>
        </w:rPr>
        <w:t xml:space="preserve"> nie zakładała środków kompensacyjnych za zaniżone stawki czynszu.     </w:t>
      </w:r>
    </w:p>
    <w:p w:rsidR="00FB3243" w:rsidRPr="00A43F12" w:rsidRDefault="00FB3243" w:rsidP="00FB3243">
      <w:pPr>
        <w:spacing w:after="120"/>
        <w:jc w:val="both"/>
        <w:rPr>
          <w:rStyle w:val="hps"/>
          <w:rFonts w:cs="Arial"/>
          <w:u w:val="single"/>
          <w:lang w:val="pl-PL"/>
        </w:rPr>
      </w:pPr>
      <w:r w:rsidRPr="00A43F12">
        <w:rPr>
          <w:rStyle w:val="hps"/>
          <w:rFonts w:cs="Arial"/>
          <w:u w:val="single"/>
          <w:lang w:val="pl-PL"/>
        </w:rPr>
        <w:t>Ocena Trybunału</w:t>
      </w:r>
      <w:r>
        <w:rPr>
          <w:rStyle w:val="hps"/>
          <w:rFonts w:cs="Arial"/>
          <w:u w:val="single"/>
          <w:lang w:val="pl-PL"/>
        </w:rPr>
        <w:t xml:space="preserve"> w pierwszym wyroku (ws. meritum)</w:t>
      </w:r>
      <w:r w:rsidRPr="00A43F12">
        <w:rPr>
          <w:rStyle w:val="hps"/>
          <w:rFonts w:cs="Arial"/>
          <w:u w:val="single"/>
          <w:lang w:val="pl-PL"/>
        </w:rPr>
        <w:t>:</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 xml:space="preserve">W ocenie Trybunału przepisy krajowe regulujące system czynszu kontrolowanego </w:t>
      </w:r>
      <w:r>
        <w:rPr>
          <w:rFonts w:cs="Arial"/>
          <w:color w:val="222222"/>
          <w:lang w:val="pl-PL"/>
        </w:rPr>
        <w:t xml:space="preserve">stanowiły </w:t>
      </w:r>
      <w:r w:rsidRPr="00A43F12">
        <w:rPr>
          <w:rFonts w:cs="Arial"/>
          <w:color w:val="222222"/>
          <w:lang w:val="pl-PL"/>
        </w:rPr>
        <w:t>ingerencję w prawo skarżących w związku z u</w:t>
      </w:r>
      <w:r>
        <w:rPr>
          <w:rFonts w:cs="Arial"/>
          <w:color w:val="222222"/>
          <w:lang w:val="pl-PL"/>
        </w:rPr>
        <w:t>prawnionym</w:t>
      </w:r>
      <w:r w:rsidRPr="00A43F12">
        <w:rPr>
          <w:rFonts w:cs="Arial"/>
          <w:color w:val="222222"/>
          <w:lang w:val="pl-PL"/>
        </w:rPr>
        <w:t xml:space="preserve"> celem społecznym. Kontrola korzystania z prawa własności przez skarżących była zatem </w:t>
      </w:r>
      <w:r w:rsidR="00151CC7">
        <w:rPr>
          <w:rFonts w:cs="Arial"/>
          <w:color w:val="222222"/>
          <w:lang w:val="pl-PL"/>
        </w:rPr>
        <w:t xml:space="preserve">w </w:t>
      </w:r>
      <w:r w:rsidRPr="00A43F12">
        <w:rPr>
          <w:rFonts w:cs="Arial"/>
          <w:color w:val="222222"/>
          <w:lang w:val="pl-PL"/>
        </w:rPr>
        <w:t>interes</w:t>
      </w:r>
      <w:r w:rsidR="00151CC7">
        <w:rPr>
          <w:rFonts w:cs="Arial"/>
          <w:color w:val="222222"/>
          <w:lang w:val="pl-PL"/>
        </w:rPr>
        <w:t>ie</w:t>
      </w:r>
      <w:r w:rsidRPr="00A43F12">
        <w:rPr>
          <w:rFonts w:cs="Arial"/>
          <w:color w:val="222222"/>
          <w:lang w:val="pl-PL"/>
        </w:rPr>
        <w:t xml:space="preserve"> ogólnym, zgodnie z wymogami drugiego akapitu </w:t>
      </w:r>
      <w:r>
        <w:rPr>
          <w:rFonts w:cs="Arial"/>
          <w:color w:val="222222"/>
          <w:lang w:val="pl-PL"/>
        </w:rPr>
        <w:t>art.</w:t>
      </w:r>
      <w:r w:rsidRPr="00A43F12">
        <w:rPr>
          <w:rFonts w:cs="Arial"/>
          <w:color w:val="222222"/>
          <w:lang w:val="pl-PL"/>
        </w:rPr>
        <w:t xml:space="preserve"> 1 Protokołu nr 1.</w:t>
      </w:r>
    </w:p>
    <w:p w:rsidR="00FB3243" w:rsidRPr="00A43F12" w:rsidRDefault="00FB3243" w:rsidP="00B20F4F">
      <w:pPr>
        <w:spacing w:after="120" w:line="240" w:lineRule="auto"/>
        <w:jc w:val="both"/>
        <w:rPr>
          <w:rFonts w:cs="Arial"/>
          <w:color w:val="222222"/>
          <w:lang w:val="pl-PL"/>
        </w:rPr>
      </w:pPr>
      <w:r>
        <w:rPr>
          <w:rFonts w:cs="Arial"/>
          <w:color w:val="222222"/>
          <w:lang w:val="pl-PL"/>
        </w:rPr>
        <w:t>Oceniając proporcjonalność</w:t>
      </w:r>
      <w:r w:rsidRPr="00A43F12">
        <w:rPr>
          <w:rFonts w:cs="Arial"/>
          <w:color w:val="222222"/>
          <w:lang w:val="pl-PL"/>
        </w:rPr>
        <w:t xml:space="preserve"> </w:t>
      </w:r>
      <w:r w:rsidR="00151CC7">
        <w:rPr>
          <w:rFonts w:cs="Arial"/>
          <w:color w:val="222222"/>
          <w:lang w:val="pl-PL"/>
        </w:rPr>
        <w:t xml:space="preserve">tej </w:t>
      </w:r>
      <w:r w:rsidRPr="00A43F12">
        <w:rPr>
          <w:rFonts w:cs="Arial"/>
          <w:color w:val="222222"/>
          <w:lang w:val="pl-PL"/>
        </w:rPr>
        <w:t xml:space="preserve">ingerencji, Trybunał wskazał w pierwszej kolejności, że </w:t>
      </w:r>
      <w:r>
        <w:rPr>
          <w:rFonts w:cs="Arial"/>
          <w:color w:val="222222"/>
          <w:lang w:val="pl-PL"/>
        </w:rPr>
        <w:t xml:space="preserve">w kontekście, w jakim został wprowadzony system czynszu kontrolowanego, </w:t>
      </w:r>
      <w:r w:rsidRPr="00A43F12">
        <w:rPr>
          <w:rFonts w:cs="Arial"/>
          <w:color w:val="222222"/>
          <w:lang w:val="pl-PL"/>
        </w:rPr>
        <w:t>na decyzję</w:t>
      </w:r>
      <w:r>
        <w:rPr>
          <w:rFonts w:cs="Arial"/>
          <w:color w:val="222222"/>
          <w:lang w:val="pl-PL"/>
        </w:rPr>
        <w:t>,</w:t>
      </w:r>
      <w:r w:rsidRPr="00A43F12">
        <w:rPr>
          <w:rFonts w:cs="Arial"/>
          <w:color w:val="222222"/>
          <w:lang w:val="pl-PL"/>
        </w:rPr>
        <w:t xml:space="preserve"> jak pogodzić sprzeczne interesy dotyczące </w:t>
      </w:r>
      <w:r>
        <w:rPr>
          <w:rFonts w:cs="Arial"/>
          <w:color w:val="222222"/>
          <w:lang w:val="pl-PL"/>
        </w:rPr>
        <w:t xml:space="preserve">wysokości </w:t>
      </w:r>
      <w:r w:rsidRPr="00A43F12">
        <w:rPr>
          <w:rFonts w:cs="Arial"/>
          <w:color w:val="222222"/>
          <w:lang w:val="pl-PL"/>
        </w:rPr>
        <w:t xml:space="preserve">stawki </w:t>
      </w:r>
      <w:r>
        <w:rPr>
          <w:rFonts w:cs="Arial"/>
          <w:color w:val="222222"/>
          <w:lang w:val="pl-PL"/>
        </w:rPr>
        <w:t>czynszu</w:t>
      </w:r>
      <w:r w:rsidR="00151CC7">
        <w:rPr>
          <w:rFonts w:cs="Arial"/>
          <w:color w:val="222222"/>
          <w:lang w:val="pl-PL"/>
        </w:rPr>
        <w:t>,</w:t>
      </w:r>
      <w:r>
        <w:rPr>
          <w:rFonts w:cs="Arial"/>
          <w:color w:val="222222"/>
          <w:lang w:val="pl-PL"/>
        </w:rPr>
        <w:t xml:space="preserve"> </w:t>
      </w:r>
      <w:r w:rsidRPr="00A43F12">
        <w:rPr>
          <w:rFonts w:cs="Arial"/>
          <w:color w:val="222222"/>
          <w:lang w:val="pl-PL"/>
        </w:rPr>
        <w:t xml:space="preserve">składały się złożone zagadnienia dotyczące kwestii społecznych, gospodarczych i politycznych, które najwłaściwiej mogły ocenić władze krajowe.  </w:t>
      </w:r>
    </w:p>
    <w:p w:rsidR="00FB3243" w:rsidRPr="00A43F12" w:rsidRDefault="00FB3243" w:rsidP="00B20F4F">
      <w:pPr>
        <w:spacing w:after="120" w:line="240" w:lineRule="auto"/>
        <w:jc w:val="both"/>
        <w:rPr>
          <w:rFonts w:cs="Arial"/>
          <w:color w:val="222222"/>
          <w:lang w:val="pl-PL"/>
        </w:rPr>
      </w:pPr>
      <w:r>
        <w:rPr>
          <w:rFonts w:cs="Arial"/>
          <w:color w:val="222222"/>
          <w:lang w:val="pl-PL"/>
        </w:rPr>
        <w:t>Tym niemniej, j</w:t>
      </w:r>
      <w:r w:rsidRPr="00A43F12">
        <w:rPr>
          <w:rFonts w:cs="Arial"/>
          <w:color w:val="222222"/>
          <w:lang w:val="pl-PL"/>
        </w:rPr>
        <w:t>ak zauważył Trybunał, mimo że zarówno polityka rządu jak i planowane zmiany legislacyjne miały na celu stopniow</w:t>
      </w:r>
      <w:r>
        <w:rPr>
          <w:rFonts w:cs="Arial"/>
          <w:color w:val="222222"/>
          <w:lang w:val="pl-PL"/>
        </w:rPr>
        <w:t>e</w:t>
      </w:r>
      <w:r w:rsidRPr="00A43F12">
        <w:rPr>
          <w:rFonts w:cs="Arial"/>
          <w:color w:val="222222"/>
          <w:lang w:val="pl-PL"/>
        </w:rPr>
        <w:t xml:space="preserve"> zwiększenie maksymalnej stawki c</w:t>
      </w:r>
      <w:r w:rsidR="00151CC7">
        <w:rPr>
          <w:rFonts w:cs="Arial"/>
          <w:color w:val="222222"/>
          <w:lang w:val="pl-PL"/>
        </w:rPr>
        <w:t>zynszu, a na późniejszym etapie</w:t>
      </w:r>
      <w:r w:rsidRPr="00A43F12">
        <w:rPr>
          <w:rFonts w:cs="Arial"/>
          <w:color w:val="222222"/>
          <w:lang w:val="pl-PL"/>
        </w:rPr>
        <w:t xml:space="preserve"> również wprowadzenie ram instytucjonalnych i terminu rozwiązania najmu, okazało się</w:t>
      </w:r>
      <w:r>
        <w:rPr>
          <w:rFonts w:cs="Arial"/>
          <w:color w:val="222222"/>
          <w:lang w:val="pl-PL"/>
        </w:rPr>
        <w:t xml:space="preserve"> jednak</w:t>
      </w:r>
      <w:r w:rsidRPr="00A43F12">
        <w:rPr>
          <w:rFonts w:cs="Arial"/>
          <w:color w:val="222222"/>
          <w:lang w:val="pl-PL"/>
        </w:rPr>
        <w:t>, że rynek najmu w Słowacji nadal pozostawał niedostatecznie rozwinięty</w:t>
      </w:r>
      <w:r>
        <w:rPr>
          <w:rFonts w:cs="Arial"/>
          <w:color w:val="222222"/>
          <w:lang w:val="pl-PL"/>
        </w:rPr>
        <w:t>,</w:t>
      </w:r>
      <w:r w:rsidRPr="00A43F12">
        <w:rPr>
          <w:rFonts w:cs="Arial"/>
          <w:color w:val="222222"/>
          <w:lang w:val="pl-PL"/>
        </w:rPr>
        <w:t xml:space="preserve"> ponadto miały miejsce </w:t>
      </w:r>
      <w:r w:rsidRPr="007034D0">
        <w:rPr>
          <w:rFonts w:cs="Arial"/>
          <w:color w:val="222222"/>
          <w:lang w:val="pl-PL"/>
        </w:rPr>
        <w:t>niedociągnięcia w realizacji deklarowan</w:t>
      </w:r>
      <w:r>
        <w:rPr>
          <w:rFonts w:cs="Arial"/>
          <w:color w:val="222222"/>
          <w:lang w:val="pl-PL"/>
        </w:rPr>
        <w:t>ego</w:t>
      </w:r>
      <w:r w:rsidRPr="00A43F12">
        <w:rPr>
          <w:rFonts w:cs="Arial"/>
          <w:color w:val="222222"/>
          <w:lang w:val="pl-PL"/>
        </w:rPr>
        <w:t xml:space="preserve"> kierunku polityki państwa w tym zakresie.  </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Z informacji posiadanych przez Trybunał wynikało, że mimo kilku podwyżek stawek czynszu regulowanego po 2000 roku, stawka t</w:t>
      </w:r>
      <w:r w:rsidR="00151CC7">
        <w:rPr>
          <w:rFonts w:cs="Arial"/>
          <w:color w:val="222222"/>
          <w:lang w:val="pl-PL"/>
        </w:rPr>
        <w:t>e</w:t>
      </w:r>
      <w:r w:rsidRPr="00A43F12">
        <w:rPr>
          <w:rFonts w:cs="Arial"/>
          <w:color w:val="222222"/>
          <w:lang w:val="pl-PL"/>
        </w:rPr>
        <w:t>go czynszu pozostawała nadal znacznie niższa niż stawka wolnorynkow</w:t>
      </w:r>
      <w:r>
        <w:rPr>
          <w:rFonts w:cs="Arial"/>
          <w:color w:val="222222"/>
          <w:lang w:val="pl-PL"/>
        </w:rPr>
        <w:t>a</w:t>
      </w:r>
      <w:r w:rsidRPr="00A43F12">
        <w:rPr>
          <w:rFonts w:cs="Arial"/>
          <w:color w:val="222222"/>
          <w:lang w:val="pl-PL"/>
        </w:rPr>
        <w:t xml:space="preserve">. </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Dlatego też interesy skarżących, w tym uprawnieni</w:t>
      </w:r>
      <w:r w:rsidR="00151CC7">
        <w:rPr>
          <w:rFonts w:cs="Arial"/>
          <w:color w:val="222222"/>
          <w:lang w:val="pl-PL"/>
        </w:rPr>
        <w:t>e</w:t>
      </w:r>
      <w:r w:rsidRPr="00A43F12">
        <w:rPr>
          <w:rFonts w:cs="Arial"/>
          <w:color w:val="222222"/>
          <w:lang w:val="pl-PL"/>
        </w:rPr>
        <w:t xml:space="preserve"> do pobierania pożytków z ich własności, nie były realizowane. W tym kontekście Trybunał zauważył, że uzasadnione interesy społeczeństwa wymagały sprawiedliwego podziału obciążeń s</w:t>
      </w:r>
      <w:r>
        <w:rPr>
          <w:rFonts w:cs="Arial"/>
          <w:color w:val="222222"/>
          <w:lang w:val="pl-PL"/>
        </w:rPr>
        <w:t>połecznych</w:t>
      </w:r>
      <w:r w:rsidRPr="00A43F12">
        <w:rPr>
          <w:rFonts w:cs="Arial"/>
          <w:color w:val="222222"/>
          <w:lang w:val="pl-PL"/>
        </w:rPr>
        <w:t xml:space="preserve"> i finansowych </w:t>
      </w:r>
      <w:r>
        <w:rPr>
          <w:rFonts w:cs="Arial"/>
          <w:color w:val="222222"/>
          <w:lang w:val="pl-PL"/>
        </w:rPr>
        <w:t xml:space="preserve">związanym z procesem transformacji </w:t>
      </w:r>
      <w:r w:rsidRPr="00A43F12">
        <w:rPr>
          <w:rFonts w:cs="Arial"/>
          <w:color w:val="222222"/>
          <w:lang w:val="pl-PL"/>
        </w:rPr>
        <w:t xml:space="preserve">i reformy mieszkalnictwa w kraju. Te obciążenia nie </w:t>
      </w:r>
      <w:r>
        <w:rPr>
          <w:rFonts w:cs="Arial"/>
          <w:color w:val="222222"/>
          <w:lang w:val="pl-PL"/>
        </w:rPr>
        <w:t xml:space="preserve">powinny </w:t>
      </w:r>
      <w:r w:rsidRPr="00A43F12">
        <w:rPr>
          <w:rFonts w:cs="Arial"/>
          <w:color w:val="222222"/>
          <w:lang w:val="pl-PL"/>
        </w:rPr>
        <w:t>być skierowane tylko do jednej grupy społecznej, niezależnie od tego</w:t>
      </w:r>
      <w:r>
        <w:rPr>
          <w:rFonts w:cs="Arial"/>
          <w:color w:val="222222"/>
          <w:lang w:val="pl-PL"/>
        </w:rPr>
        <w:t>,</w:t>
      </w:r>
      <w:r w:rsidRPr="00A43F12">
        <w:rPr>
          <w:rFonts w:cs="Arial"/>
          <w:color w:val="222222"/>
          <w:lang w:val="pl-PL"/>
        </w:rPr>
        <w:t xml:space="preserve"> jak ważne mogą być interesy innej grupy lub całego społeczeństwa. </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 xml:space="preserve">W świetle powyższych rozważań Trybunał stwierdził, iż władzom słowackim nie udało się </w:t>
      </w:r>
      <w:r>
        <w:rPr>
          <w:rFonts w:cs="Arial"/>
          <w:color w:val="222222"/>
          <w:lang w:val="pl-PL"/>
        </w:rPr>
        <w:t>osiągnąć</w:t>
      </w:r>
      <w:r w:rsidRPr="00A43F12">
        <w:rPr>
          <w:rFonts w:cs="Arial"/>
          <w:color w:val="222222"/>
          <w:lang w:val="pl-PL"/>
        </w:rPr>
        <w:t xml:space="preserve"> niezbędnej sprawiedliwej równowagi między ogólnym interesem społecz</w:t>
      </w:r>
      <w:r w:rsidR="00D47270">
        <w:rPr>
          <w:rFonts w:cs="Arial"/>
          <w:color w:val="222222"/>
          <w:lang w:val="pl-PL"/>
        </w:rPr>
        <w:t>eństwa</w:t>
      </w:r>
      <w:r w:rsidRPr="00A43F12">
        <w:rPr>
          <w:rFonts w:cs="Arial"/>
          <w:color w:val="222222"/>
          <w:lang w:val="pl-PL"/>
        </w:rPr>
        <w:t xml:space="preserve"> a ochron</w:t>
      </w:r>
      <w:r>
        <w:rPr>
          <w:rFonts w:cs="Arial"/>
          <w:color w:val="222222"/>
          <w:lang w:val="pl-PL"/>
        </w:rPr>
        <w:t>ą</w:t>
      </w:r>
      <w:r w:rsidRPr="00A43F12">
        <w:rPr>
          <w:rFonts w:cs="Arial"/>
          <w:color w:val="222222"/>
          <w:lang w:val="pl-PL"/>
        </w:rPr>
        <w:t xml:space="preserve"> prawa własności skarżących.</w:t>
      </w:r>
    </w:p>
    <w:p w:rsidR="00FB3243" w:rsidRPr="00A43F12" w:rsidRDefault="00FB3243" w:rsidP="00B20F4F">
      <w:pPr>
        <w:spacing w:after="120" w:line="240" w:lineRule="auto"/>
        <w:jc w:val="both"/>
        <w:rPr>
          <w:rFonts w:cs="Arial"/>
          <w:color w:val="222222"/>
          <w:lang w:val="pl-PL"/>
        </w:rPr>
      </w:pPr>
      <w:r>
        <w:rPr>
          <w:rFonts w:cs="Arial"/>
          <w:color w:val="222222"/>
          <w:lang w:val="pl-PL"/>
        </w:rPr>
        <w:t>M</w:t>
      </w:r>
      <w:r w:rsidRPr="00A43F12">
        <w:rPr>
          <w:rFonts w:cs="Arial"/>
          <w:color w:val="222222"/>
          <w:lang w:val="pl-PL"/>
        </w:rPr>
        <w:t>ając na uwadze powyższe</w:t>
      </w:r>
      <w:r>
        <w:rPr>
          <w:rFonts w:cs="Arial"/>
          <w:color w:val="222222"/>
          <w:lang w:val="pl-PL"/>
        </w:rPr>
        <w:t>,</w:t>
      </w:r>
      <w:r w:rsidRPr="00A43F12">
        <w:rPr>
          <w:rFonts w:cs="Arial"/>
          <w:color w:val="222222"/>
          <w:lang w:val="pl-PL"/>
        </w:rPr>
        <w:t xml:space="preserve"> Trybunał w wyroku z dnia </w:t>
      </w:r>
      <w:r w:rsidRPr="00A43F12">
        <w:rPr>
          <w:rFonts w:cs="Arial"/>
          <w:bCs/>
          <w:color w:val="222222"/>
          <w:lang w:val="pl-PL"/>
        </w:rPr>
        <w:t xml:space="preserve">28 stycznia 2014 r. orzekł </w:t>
      </w:r>
      <w:r w:rsidRPr="00A43F12">
        <w:rPr>
          <w:rFonts w:cs="Arial"/>
          <w:color w:val="222222"/>
          <w:lang w:val="pl-PL"/>
        </w:rPr>
        <w:t>naruszenie art. 1 Protokołu 1 Konwencji.</w:t>
      </w:r>
    </w:p>
    <w:p w:rsidR="00FB3243" w:rsidRPr="00A43F12" w:rsidRDefault="00FB3243" w:rsidP="00B20F4F">
      <w:pPr>
        <w:spacing w:after="120" w:line="240" w:lineRule="auto"/>
        <w:jc w:val="both"/>
        <w:rPr>
          <w:rFonts w:cs="Arial"/>
          <w:color w:val="222222"/>
          <w:lang w:val="pl-PL"/>
        </w:rPr>
      </w:pPr>
      <w:r w:rsidRPr="00A43F12">
        <w:rPr>
          <w:rFonts w:cs="Arial"/>
          <w:color w:val="222222"/>
          <w:lang w:val="pl-PL"/>
        </w:rPr>
        <w:t>Jednocześnie, w związku z</w:t>
      </w:r>
      <w:r>
        <w:rPr>
          <w:rFonts w:cs="Arial"/>
          <w:color w:val="222222"/>
          <w:lang w:val="pl-PL"/>
        </w:rPr>
        <w:t>e stwierdzeniem</w:t>
      </w:r>
      <w:r w:rsidRPr="00A43F12">
        <w:rPr>
          <w:rFonts w:cs="Arial"/>
          <w:color w:val="222222"/>
          <w:lang w:val="pl-PL"/>
        </w:rPr>
        <w:t xml:space="preserve"> naruszenia art. 1 Protokołu 1 Konwencji, Trybunał stwierdził, że nie ma konieczności rozpoznawania </w:t>
      </w:r>
      <w:r>
        <w:rPr>
          <w:rFonts w:cs="Arial"/>
          <w:color w:val="222222"/>
          <w:lang w:val="pl-PL"/>
        </w:rPr>
        <w:t xml:space="preserve">zarzutu </w:t>
      </w:r>
      <w:r w:rsidRPr="00A43F12">
        <w:rPr>
          <w:rFonts w:cs="Arial"/>
          <w:color w:val="222222"/>
          <w:lang w:val="pl-PL"/>
        </w:rPr>
        <w:t xml:space="preserve">naruszenia art. 14 Konwencji.  </w:t>
      </w:r>
    </w:p>
    <w:p w:rsidR="00FB3243" w:rsidRPr="00A43F12" w:rsidRDefault="00FB3243" w:rsidP="00B20F4F">
      <w:pPr>
        <w:spacing w:after="120" w:line="240" w:lineRule="auto"/>
        <w:jc w:val="both"/>
        <w:rPr>
          <w:rFonts w:eastAsia="Times New Roman Bold" w:cs="Times New Roman"/>
          <w:color w:val="222222"/>
          <w:sz w:val="24"/>
          <w:szCs w:val="24"/>
          <w:u w:val="single" w:color="222222"/>
          <w:lang w:val="pl-PL"/>
        </w:rPr>
      </w:pPr>
      <w:r w:rsidRPr="00A43F12">
        <w:rPr>
          <w:rFonts w:cs="Arial"/>
          <w:color w:val="222222"/>
          <w:lang w:val="pl-PL"/>
        </w:rPr>
        <w:t xml:space="preserve">Ponadto na podstawie art. 46 Konwencji, Trybunał odnotował fakt, że władze krajowe podejmowały środki mające na celu stopniową poprawę sytuacji właścicieli </w:t>
      </w:r>
      <w:r>
        <w:rPr>
          <w:rFonts w:cs="Arial"/>
          <w:color w:val="222222"/>
          <w:lang w:val="pl-PL"/>
        </w:rPr>
        <w:t>poprzez</w:t>
      </w:r>
      <w:r w:rsidRPr="00A43F12">
        <w:rPr>
          <w:rFonts w:cs="Arial"/>
          <w:color w:val="222222"/>
          <w:lang w:val="pl-PL"/>
        </w:rPr>
        <w:t xml:space="preserve"> całkowite zniesienie skutków czynszów regulowanych w stosunku do właścicieli wynajmowanych mieszkań od 2017</w:t>
      </w:r>
      <w:r>
        <w:rPr>
          <w:rFonts w:cs="Arial"/>
          <w:color w:val="222222"/>
          <w:lang w:val="pl-PL"/>
        </w:rPr>
        <w:t xml:space="preserve"> r</w:t>
      </w:r>
      <w:r w:rsidRPr="00A43F12">
        <w:rPr>
          <w:rFonts w:cs="Arial"/>
          <w:color w:val="222222"/>
          <w:lang w:val="pl-PL"/>
        </w:rPr>
        <w:t xml:space="preserve">. Podejmowane działania nie miały jednak zastosowania do sytuacji mającej miejsce przed ich wprowadzeniem. Dlatego też Trybunał zobowiązał Słowację </w:t>
      </w:r>
      <w:r>
        <w:rPr>
          <w:rFonts w:cs="Arial"/>
          <w:color w:val="222222"/>
          <w:lang w:val="pl-PL"/>
        </w:rPr>
        <w:t>do wprowadzenia jak najszybciej</w:t>
      </w:r>
      <w:r w:rsidRPr="00A43F12">
        <w:rPr>
          <w:rFonts w:cs="Arial"/>
          <w:color w:val="222222"/>
          <w:lang w:val="pl-PL"/>
        </w:rPr>
        <w:t xml:space="preserve"> szczegółowych i jasno uregulowanych środków kompensacyjnych w celu zapewnienia efektywnej rekompensaty za stwierdzone naruszenie.       </w:t>
      </w:r>
    </w:p>
    <w:p w:rsidR="00FB3243" w:rsidRPr="00A43F12" w:rsidRDefault="00FB3243" w:rsidP="00B20F4F">
      <w:pPr>
        <w:spacing w:after="120" w:line="240" w:lineRule="auto"/>
        <w:jc w:val="both"/>
        <w:rPr>
          <w:rStyle w:val="hps"/>
          <w:rFonts w:cs="Arial"/>
          <w:u w:val="single"/>
          <w:lang w:val="pl-PL"/>
        </w:rPr>
      </w:pPr>
      <w:r w:rsidRPr="00A43F12">
        <w:rPr>
          <w:rStyle w:val="hps"/>
          <w:rFonts w:cs="Arial"/>
          <w:u w:val="single"/>
          <w:lang w:val="pl-PL"/>
        </w:rPr>
        <w:t>Ocena Trybunału</w:t>
      </w:r>
      <w:r>
        <w:rPr>
          <w:rStyle w:val="hps"/>
          <w:rFonts w:cs="Arial"/>
          <w:u w:val="single"/>
          <w:lang w:val="pl-PL"/>
        </w:rPr>
        <w:t xml:space="preserve"> w drugim wyroku (ws. słusznego zadośćuczynienia)</w:t>
      </w:r>
      <w:r w:rsidRPr="00A43F12">
        <w:rPr>
          <w:rStyle w:val="hps"/>
          <w:rFonts w:cs="Arial"/>
          <w:u w:val="single"/>
          <w:lang w:val="pl-PL"/>
        </w:rPr>
        <w:t>:</w:t>
      </w:r>
    </w:p>
    <w:p w:rsidR="00FB3243" w:rsidRDefault="00FB3243" w:rsidP="00B20F4F">
      <w:pPr>
        <w:spacing w:line="240" w:lineRule="auto"/>
        <w:jc w:val="both"/>
        <w:rPr>
          <w:rFonts w:cs="Arial"/>
          <w:color w:val="222222"/>
          <w:lang w:val="pl-PL"/>
        </w:rPr>
      </w:pPr>
      <w:r>
        <w:rPr>
          <w:rFonts w:cs="Arial"/>
          <w:color w:val="222222"/>
          <w:lang w:val="pl-PL"/>
        </w:rPr>
        <w:t xml:space="preserve">W pierwszym wyroku </w:t>
      </w:r>
      <w:r w:rsidRPr="00A43F12">
        <w:rPr>
          <w:rFonts w:cs="Arial"/>
          <w:color w:val="222222"/>
          <w:lang w:val="pl-PL"/>
        </w:rPr>
        <w:t xml:space="preserve">Trybunał </w:t>
      </w:r>
      <w:r>
        <w:rPr>
          <w:rFonts w:cs="Arial"/>
          <w:color w:val="222222"/>
          <w:lang w:val="pl-PL"/>
        </w:rPr>
        <w:t xml:space="preserve">odroczył rozstrzygnięcie w przedmiocie słusznego zadośćuczynienia. Na podstawie kolejnego wyroku z dnia </w:t>
      </w:r>
      <w:r w:rsidRPr="00A43F12">
        <w:rPr>
          <w:rFonts w:cs="Arial"/>
          <w:color w:val="222222"/>
          <w:lang w:val="pl-PL"/>
        </w:rPr>
        <w:t>7 lipca 2015 r. Trybunał zasądził 21 skarżącym łączn</w:t>
      </w:r>
      <w:r>
        <w:rPr>
          <w:rFonts w:cs="Arial"/>
          <w:color w:val="222222"/>
          <w:lang w:val="pl-PL"/>
        </w:rPr>
        <w:t>ą</w:t>
      </w:r>
      <w:r w:rsidRPr="00A43F12">
        <w:rPr>
          <w:rFonts w:cs="Arial"/>
          <w:color w:val="222222"/>
          <w:lang w:val="pl-PL"/>
        </w:rPr>
        <w:t xml:space="preserve"> kwotę 2.170.000 euro tytułem szkody majątkowej i niemajątkowej oraz kwotę 79.922 euro tytułem </w:t>
      </w:r>
      <w:r>
        <w:rPr>
          <w:rFonts w:cs="Arial"/>
          <w:color w:val="222222"/>
          <w:lang w:val="pl-PL"/>
        </w:rPr>
        <w:t xml:space="preserve">zwrotu </w:t>
      </w:r>
      <w:r w:rsidRPr="00A43F12">
        <w:rPr>
          <w:rFonts w:cs="Arial"/>
          <w:color w:val="222222"/>
          <w:lang w:val="pl-PL"/>
        </w:rPr>
        <w:t xml:space="preserve">kosztów i wydatków. </w:t>
      </w:r>
    </w:p>
    <w:p w:rsidR="00FB3243" w:rsidRPr="00A56BA1" w:rsidRDefault="00FB3243" w:rsidP="00B20F4F">
      <w:pPr>
        <w:spacing w:line="240" w:lineRule="auto"/>
        <w:jc w:val="both"/>
        <w:rPr>
          <w:rFonts w:cs="Arial"/>
          <w:color w:val="222222"/>
          <w:lang w:val="pl-PL"/>
        </w:rPr>
      </w:pPr>
      <w:r w:rsidRPr="00E51584">
        <w:rPr>
          <w:rFonts w:cs="Arial"/>
          <w:color w:val="222222"/>
          <w:lang w:val="pl-PL"/>
        </w:rPr>
        <w:t xml:space="preserve">Z uwagi na naturę stwierdzonego naruszenia i okoliczności </w:t>
      </w:r>
      <w:r w:rsidRPr="00A56BA1">
        <w:rPr>
          <w:rFonts w:cs="Arial"/>
          <w:color w:val="222222"/>
          <w:lang w:val="pl-PL"/>
        </w:rPr>
        <w:t xml:space="preserve">faktycznych Trybunał uznał, że zadośćuczynienie za szkodę majątkową skarżących powinno ograniczać się jedynie do odpowiedniego odszkodowania, które wyliczył w oparciu o zasadę słuszności. W tym względzie przypomniał </w:t>
      </w:r>
      <w:r w:rsidRPr="00E51584">
        <w:rPr>
          <w:rFonts w:cs="Arial"/>
          <w:color w:val="222222"/>
          <w:lang w:val="pl-PL"/>
        </w:rPr>
        <w:t>swoje wcześniejsze orzecznictw</w:t>
      </w:r>
      <w:r w:rsidRPr="00A56BA1">
        <w:rPr>
          <w:rFonts w:cs="Arial"/>
          <w:color w:val="222222"/>
          <w:lang w:val="pl-PL"/>
        </w:rPr>
        <w:t>o, z którego wynika, że w sytuacji, w której ograniczenia praw nakładane były w uprawnionym interesie publicznym, stanowiąc środki związane z reformami gospodarczymi lub mające na celu osiągnięci</w:t>
      </w:r>
      <w:r w:rsidR="009324B4">
        <w:rPr>
          <w:rFonts w:cs="Arial"/>
          <w:color w:val="222222"/>
          <w:lang w:val="pl-PL"/>
        </w:rPr>
        <w:t>e</w:t>
      </w:r>
      <w:r w:rsidRPr="00A56BA1">
        <w:rPr>
          <w:rFonts w:cs="Arial"/>
          <w:color w:val="222222"/>
          <w:lang w:val="pl-PL"/>
        </w:rPr>
        <w:t xml:space="preserve"> większej sprawiedliwości społecznej, może to uzasadniać zwrot kwoty mniejszej niż pełna wartość rynkowa. </w:t>
      </w:r>
      <w:r w:rsidRPr="00E51584">
        <w:rPr>
          <w:rFonts w:cs="Arial"/>
          <w:color w:val="222222"/>
          <w:lang w:val="pl-PL"/>
        </w:rPr>
        <w:t xml:space="preserve">Trybunał przypomniał, że ingerencja w sprawie skarżących była zgodna z prawem </w:t>
      </w:r>
      <w:r w:rsidRPr="00A56BA1">
        <w:rPr>
          <w:rFonts w:cs="Arial"/>
          <w:color w:val="222222"/>
          <w:lang w:val="pl-PL"/>
        </w:rPr>
        <w:t xml:space="preserve">i została dokonana w uprawnionym celu związanym z polityką społeczną. </w:t>
      </w:r>
    </w:p>
    <w:p w:rsidR="00FB3243" w:rsidRPr="00E51584" w:rsidRDefault="00FB3243" w:rsidP="00B20F4F">
      <w:pPr>
        <w:spacing w:line="240" w:lineRule="auto"/>
        <w:jc w:val="both"/>
        <w:rPr>
          <w:rFonts w:cs="Arial"/>
          <w:color w:val="222222"/>
          <w:lang w:val="pl-PL"/>
        </w:rPr>
      </w:pPr>
      <w:r w:rsidRPr="00A56BA1">
        <w:rPr>
          <w:rFonts w:cs="Arial"/>
          <w:color w:val="222222"/>
          <w:lang w:val="pl-PL"/>
        </w:rPr>
        <w:t xml:space="preserve">Choć przy określaniu wysokości odszkodowania należy opierać się m.in. na różnicy między czynszem uzyskiwanym w warunkach wolnorynkowych a czynszem, do którego skarżący byli uprawnieni w świetle prawa krajowego, a który został uznany za nieadekwatnym przez Trybunał, to jednak zważywszy na szczególne okoliczności sprawy, </w:t>
      </w:r>
      <w:r w:rsidR="00FB49D9">
        <w:rPr>
          <w:rFonts w:cs="Arial"/>
          <w:color w:val="222222"/>
          <w:lang w:val="pl-PL"/>
        </w:rPr>
        <w:t xml:space="preserve">Trybunał uznał, ze </w:t>
      </w:r>
      <w:r w:rsidRPr="00A56BA1">
        <w:rPr>
          <w:rFonts w:cs="Arial"/>
          <w:color w:val="222222"/>
          <w:lang w:val="pl-PL"/>
        </w:rPr>
        <w:t xml:space="preserve">odpowiednie odszkodowanie </w:t>
      </w:r>
      <w:r w:rsidR="00FB49D9">
        <w:rPr>
          <w:rFonts w:cs="Arial"/>
          <w:color w:val="222222"/>
          <w:lang w:val="pl-PL"/>
        </w:rPr>
        <w:t xml:space="preserve">dla skarżących </w:t>
      </w:r>
      <w:r w:rsidRPr="00A56BA1">
        <w:rPr>
          <w:rFonts w:cs="Arial"/>
          <w:color w:val="222222"/>
          <w:lang w:val="pl-PL"/>
        </w:rPr>
        <w:t xml:space="preserve">nie musi odzwierciedlać idei całkowitego usunięcia wszystkich skutków stwierdzonego naruszenia. Oceniając rozbieżne wyliczenia przedstawione przez strony Trybunał podkreślił, że co do zasady nie jest zobowiązany do uwzględniania wyliczeń krajowych. Odrzucił też argument rządu o potrzebie ustalenia, do jakiego momentu czynsz kontrolowany mógł być uznawany za uzasadniony dla celów art. 1 Protokołu nr 1. Nie podzielił też opinii rządu, że </w:t>
      </w:r>
      <w:r w:rsidR="00FB49D9">
        <w:rPr>
          <w:rFonts w:cs="Arial"/>
          <w:color w:val="222222"/>
          <w:lang w:val="pl-PL"/>
        </w:rPr>
        <w:t xml:space="preserve">niektórzy </w:t>
      </w:r>
      <w:r w:rsidRPr="00A56BA1">
        <w:rPr>
          <w:rFonts w:cs="Arial"/>
          <w:color w:val="222222"/>
          <w:lang w:val="pl-PL"/>
        </w:rPr>
        <w:t xml:space="preserve">skarżący, którzy nabyli przedmiotowe mieszkania w 2005 r., powinni byli być świadomi ograniczeń wynikających z systemu czynszu regulowanego. Trybunał przypomniał swe stwierdzenie zawarte w pierwszym wyroku, iż </w:t>
      </w:r>
      <w:r w:rsidR="00FB49D9" w:rsidRPr="00A56BA1">
        <w:rPr>
          <w:rFonts w:cs="Arial"/>
          <w:color w:val="222222"/>
          <w:lang w:val="pl-PL"/>
        </w:rPr>
        <w:t xml:space="preserve">na podstawie planów i deklaracji rządu </w:t>
      </w:r>
      <w:r w:rsidRPr="00A56BA1">
        <w:rPr>
          <w:rFonts w:cs="Arial"/>
          <w:color w:val="222222"/>
          <w:lang w:val="pl-PL"/>
        </w:rPr>
        <w:t>skarżący ci mogli byli w sposób rozsądny oczekiwać, że system czynszu regulowanego zostanie wkrótce zlikwidowany. Ponadto, ochrona praw konwencyjnych nie powinna być uzależniona od sposobu nabycia przez skarżących ich praw właścicielskich. Trybunał oddalił natomiast roszczenia skarżących dotyczące możliwych przyszłych strat wynikających z dalszego utrzymywania systemu czynszu regulowanego (</w:t>
      </w:r>
      <w:r w:rsidR="00FB49D9">
        <w:rPr>
          <w:rFonts w:cs="Arial"/>
          <w:color w:val="222222"/>
          <w:lang w:val="pl-PL"/>
        </w:rPr>
        <w:t xml:space="preserve">nie wykluczając </w:t>
      </w:r>
      <w:r w:rsidRPr="00A56BA1">
        <w:rPr>
          <w:rFonts w:cs="Arial"/>
          <w:color w:val="222222"/>
          <w:lang w:val="pl-PL"/>
        </w:rPr>
        <w:t xml:space="preserve">możliwości podnoszenia przez nich roszczeń w przyszłości). </w:t>
      </w:r>
    </w:p>
    <w:p w:rsidR="00FB3243" w:rsidRPr="00901F6D" w:rsidRDefault="00FB3243" w:rsidP="00B20F4F">
      <w:pPr>
        <w:spacing w:line="240" w:lineRule="auto"/>
        <w:jc w:val="both"/>
        <w:rPr>
          <w:rFonts w:cs="Times New Roman"/>
          <w:color w:val="222222"/>
          <w:sz w:val="24"/>
          <w:szCs w:val="24"/>
          <w:u w:color="222222"/>
          <w:lang w:val="pl-PL"/>
        </w:rPr>
      </w:pPr>
      <w:r w:rsidRPr="00A56BA1">
        <w:rPr>
          <w:rFonts w:cs="Arial"/>
          <w:color w:val="222222"/>
          <w:u w:val="single"/>
          <w:lang w:val="pl-PL"/>
        </w:rPr>
        <w:t xml:space="preserve">Znaczenie wyroku </w:t>
      </w:r>
      <w:r w:rsidR="00A56BA1" w:rsidRPr="00A56BA1">
        <w:rPr>
          <w:rFonts w:cs="Arial"/>
          <w:color w:val="222222"/>
          <w:u w:val="single"/>
          <w:lang w:val="pl-PL"/>
        </w:rPr>
        <w:t>dla</w:t>
      </w:r>
      <w:r w:rsidRPr="00A56BA1">
        <w:rPr>
          <w:rFonts w:cs="Arial"/>
          <w:color w:val="222222"/>
          <w:u w:val="single"/>
          <w:lang w:val="pl-PL"/>
        </w:rPr>
        <w:t xml:space="preserve"> Polski</w:t>
      </w:r>
      <w:r w:rsidRPr="00901F6D">
        <w:rPr>
          <w:rFonts w:cs="Arial"/>
          <w:color w:val="222222"/>
          <w:lang w:val="pl-PL"/>
        </w:rPr>
        <w:t xml:space="preserve">: Powyższe orzeczenia Trybunału są zgodne z linią orzeczniczą przyjętą m.in. w sprawie </w:t>
      </w:r>
      <w:proofErr w:type="spellStart"/>
      <w:r w:rsidRPr="00901F6D">
        <w:rPr>
          <w:rFonts w:cs="Arial"/>
          <w:color w:val="222222"/>
          <w:lang w:val="pl-PL"/>
        </w:rPr>
        <w:t>Hutten</w:t>
      </w:r>
      <w:proofErr w:type="spellEnd"/>
      <w:r w:rsidRPr="00901F6D">
        <w:rPr>
          <w:rFonts w:cs="Arial"/>
          <w:color w:val="222222"/>
          <w:lang w:val="pl-PL"/>
        </w:rPr>
        <w:t xml:space="preserve">-Czapska przeciwko Polsce, skarga nr 35014/97, wyrok z dnia 19 czerwca </w:t>
      </w:r>
      <w:r w:rsidR="00D47270">
        <w:rPr>
          <w:rFonts w:cs="Arial"/>
          <w:color w:val="222222"/>
          <w:lang w:val="pl-PL"/>
        </w:rPr>
        <w:br/>
      </w:r>
      <w:r w:rsidRPr="00901F6D">
        <w:rPr>
          <w:rFonts w:cs="Arial"/>
          <w:color w:val="222222"/>
          <w:lang w:val="pl-PL"/>
        </w:rPr>
        <w:t>2006</w:t>
      </w:r>
      <w:r w:rsidR="00D47270">
        <w:rPr>
          <w:rFonts w:cs="Arial"/>
          <w:color w:val="222222"/>
          <w:lang w:val="pl-PL"/>
        </w:rPr>
        <w:t xml:space="preserve"> </w:t>
      </w:r>
      <w:r w:rsidRPr="00901F6D">
        <w:rPr>
          <w:rFonts w:cs="Arial"/>
          <w:color w:val="222222"/>
          <w:lang w:val="pl-PL"/>
        </w:rPr>
        <w:t xml:space="preserve">r.  </w:t>
      </w:r>
    </w:p>
    <w:p w:rsidR="00110518" w:rsidRDefault="00110518" w:rsidP="00110518">
      <w:pPr>
        <w:pStyle w:val="Nagwek2"/>
        <w:numPr>
          <w:ilvl w:val="0"/>
          <w:numId w:val="1"/>
        </w:numPr>
      </w:pPr>
      <w:bookmarkStart w:id="6" w:name="_Toc428457802"/>
      <w:proofErr w:type="spellStart"/>
      <w:r>
        <w:t>Nicklinson</w:t>
      </w:r>
      <w:proofErr w:type="spellEnd"/>
      <w:r>
        <w:t xml:space="preserve"> p. Zjednoczonemu </w:t>
      </w:r>
      <w:r w:rsidR="00465A41">
        <w:t>Królestwu</w:t>
      </w:r>
      <w:r>
        <w:t xml:space="preserve"> oraz </w:t>
      </w:r>
      <w:proofErr w:type="spellStart"/>
      <w:r>
        <w:t>Lamb</w:t>
      </w:r>
      <w:proofErr w:type="spellEnd"/>
      <w:r>
        <w:t xml:space="preserve"> p. Zjednoczonemu Królestwu </w:t>
      </w:r>
      <w:r w:rsidR="006D1AFF">
        <w:t>(</w:t>
      </w:r>
      <w:r>
        <w:t>skargi nr 2478/15 i 1787/15</w:t>
      </w:r>
      <w:r w:rsidR="006D1AFF">
        <w:t>)</w:t>
      </w:r>
      <w:r>
        <w:t>, decyzja o niedopuszczalności z 23</w:t>
      </w:r>
      <w:r w:rsidR="005E1709">
        <w:t>.06.</w:t>
      </w:r>
      <w:r>
        <w:t xml:space="preserve">2015 r., </w:t>
      </w:r>
      <w:r w:rsidR="006D1AFF">
        <w:t>opublikowana 16</w:t>
      </w:r>
      <w:r w:rsidR="005E1709">
        <w:t>.07.</w:t>
      </w:r>
      <w:r w:rsidR="006D1AFF">
        <w:t xml:space="preserve">2015 r., </w:t>
      </w:r>
      <w:r>
        <w:t>ostateczna</w:t>
      </w:r>
      <w:bookmarkEnd w:id="6"/>
      <w:r>
        <w:t xml:space="preserve"> </w:t>
      </w:r>
    </w:p>
    <w:p w:rsidR="00465A41" w:rsidRDefault="00465A41" w:rsidP="00C53FD6">
      <w:pPr>
        <w:pStyle w:val="Nagwek3"/>
        <w:spacing w:after="120"/>
        <w:rPr>
          <w:lang w:val="pl-PL"/>
        </w:rPr>
      </w:pPr>
      <w:bookmarkStart w:id="7" w:name="_Toc428457803"/>
      <w:r>
        <w:rPr>
          <w:lang w:val="pl-PL"/>
        </w:rPr>
        <w:t xml:space="preserve">- oczywista niezasadność i niedopuszczalność skargi na gruncie art. 8 Konwencji (prawo </w:t>
      </w:r>
      <w:r w:rsidR="00B40984">
        <w:rPr>
          <w:lang w:val="pl-PL"/>
        </w:rPr>
        <w:br/>
      </w:r>
      <w:r>
        <w:rPr>
          <w:lang w:val="pl-PL"/>
        </w:rPr>
        <w:t xml:space="preserve">do poszanowania życia prywatnego i rodzinnego) dotyczącej odmowy zbadania przez sąd krajowy zgodności z art. 8 Konwencji przepisu </w:t>
      </w:r>
      <w:r w:rsidR="003152E7">
        <w:rPr>
          <w:lang w:val="pl-PL"/>
        </w:rPr>
        <w:t>kryminalizującego udzielanie</w:t>
      </w:r>
      <w:r>
        <w:rPr>
          <w:lang w:val="pl-PL"/>
        </w:rPr>
        <w:t xml:space="preserve"> pomocy w popełnieniu samobójstwa przez osobę ciężko chorą</w:t>
      </w:r>
      <w:bookmarkEnd w:id="7"/>
    </w:p>
    <w:p w:rsidR="00FB4CD2" w:rsidRPr="00C53FD6" w:rsidRDefault="00FB4CD2" w:rsidP="00C53FD6">
      <w:pPr>
        <w:pStyle w:val="Nagwek3"/>
        <w:spacing w:before="0"/>
        <w:rPr>
          <w:lang w:val="pl-PL"/>
        </w:rPr>
      </w:pPr>
      <w:bookmarkStart w:id="8" w:name="_Toc428457804"/>
      <w:r w:rsidRPr="00C53FD6">
        <w:rPr>
          <w:lang w:val="pl-PL"/>
        </w:rPr>
        <w:t xml:space="preserve">- niedopuszczalność </w:t>
      </w:r>
      <w:r w:rsidR="00465A41" w:rsidRPr="00C53FD6">
        <w:rPr>
          <w:lang w:val="pl-PL"/>
        </w:rPr>
        <w:t xml:space="preserve">z uwagi na niewykorzystanie środków krajowych </w:t>
      </w:r>
      <w:r w:rsidR="00FB49D9" w:rsidRPr="00C53FD6">
        <w:rPr>
          <w:lang w:val="pl-PL"/>
        </w:rPr>
        <w:t xml:space="preserve">skargi na gruncie art. 8 Konwencji dotyczącej </w:t>
      </w:r>
      <w:r w:rsidRPr="00C53FD6">
        <w:rPr>
          <w:lang w:val="pl-PL"/>
        </w:rPr>
        <w:t>braku możliwości ubiegania się o wydanie przez sąd upoważnienia</w:t>
      </w:r>
      <w:r w:rsidR="00B40984">
        <w:rPr>
          <w:lang w:val="pl-PL"/>
        </w:rPr>
        <w:br/>
      </w:r>
      <w:r w:rsidRPr="00C53FD6">
        <w:rPr>
          <w:lang w:val="pl-PL"/>
        </w:rPr>
        <w:t>do dokonania dobrowolnej eutanazji</w:t>
      </w:r>
      <w:bookmarkEnd w:id="8"/>
      <w:r w:rsidRPr="00C53FD6">
        <w:rPr>
          <w:lang w:val="pl-PL"/>
        </w:rPr>
        <w:t xml:space="preserve"> </w:t>
      </w:r>
    </w:p>
    <w:p w:rsidR="00110518" w:rsidRPr="005D7088" w:rsidRDefault="00110518" w:rsidP="00110518">
      <w:pPr>
        <w:spacing w:line="240" w:lineRule="auto"/>
        <w:jc w:val="both"/>
        <w:rPr>
          <w:u w:val="single"/>
          <w:lang w:val="pl-PL"/>
        </w:rPr>
      </w:pPr>
      <w:r w:rsidRPr="005D7088">
        <w:rPr>
          <w:u w:val="single"/>
          <w:lang w:val="pl-PL"/>
        </w:rPr>
        <w:t>Stan faktyczny</w:t>
      </w:r>
      <w:r w:rsidR="006D1AFF">
        <w:rPr>
          <w:u w:val="single"/>
          <w:lang w:val="pl-PL"/>
        </w:rPr>
        <w:t xml:space="preserve"> i </w:t>
      </w:r>
      <w:r w:rsidR="00427079">
        <w:rPr>
          <w:u w:val="single"/>
          <w:lang w:val="pl-PL"/>
        </w:rPr>
        <w:t>prawo krajowe</w:t>
      </w:r>
    </w:p>
    <w:p w:rsidR="00110518" w:rsidRPr="00552ECF" w:rsidRDefault="00110518" w:rsidP="00110518">
      <w:pPr>
        <w:spacing w:after="120" w:line="240" w:lineRule="auto"/>
        <w:jc w:val="both"/>
        <w:rPr>
          <w:lang w:val="pl-PL"/>
        </w:rPr>
      </w:pPr>
      <w:r w:rsidRPr="00552ECF">
        <w:rPr>
          <w:lang w:val="pl-PL"/>
        </w:rPr>
        <w:t xml:space="preserve">Pierwsza skarżąca, </w:t>
      </w:r>
      <w:r w:rsidR="00A90AB1">
        <w:rPr>
          <w:lang w:val="pl-PL"/>
        </w:rPr>
        <w:t xml:space="preserve">Pani Jane </w:t>
      </w:r>
      <w:proofErr w:type="spellStart"/>
      <w:r w:rsidR="00A90AB1">
        <w:rPr>
          <w:lang w:val="pl-PL"/>
        </w:rPr>
        <w:t>Nicklinson</w:t>
      </w:r>
      <w:proofErr w:type="spellEnd"/>
      <w:r w:rsidR="00A90AB1">
        <w:rPr>
          <w:lang w:val="pl-PL"/>
        </w:rPr>
        <w:t xml:space="preserve">, </w:t>
      </w:r>
      <w:r w:rsidRPr="00552ECF">
        <w:rPr>
          <w:lang w:val="pl-PL"/>
        </w:rPr>
        <w:t xml:space="preserve">wdowa, złożyła skargę w imieniu własnym oraz zmarłego męża, </w:t>
      </w:r>
      <w:proofErr w:type="spellStart"/>
      <w:r w:rsidRPr="00552ECF">
        <w:rPr>
          <w:lang w:val="pl-PL"/>
        </w:rPr>
        <w:t>Tony’ego</w:t>
      </w:r>
      <w:proofErr w:type="spellEnd"/>
      <w:r w:rsidRPr="00552ECF">
        <w:rPr>
          <w:lang w:val="pl-PL"/>
        </w:rPr>
        <w:t xml:space="preserve"> </w:t>
      </w:r>
      <w:proofErr w:type="spellStart"/>
      <w:r w:rsidRPr="00552ECF">
        <w:rPr>
          <w:lang w:val="pl-PL"/>
        </w:rPr>
        <w:t>Nicklinsona</w:t>
      </w:r>
      <w:proofErr w:type="spellEnd"/>
      <w:r w:rsidR="006D1AFF">
        <w:rPr>
          <w:lang w:val="pl-PL"/>
        </w:rPr>
        <w:t>, który</w:t>
      </w:r>
      <w:r w:rsidRPr="00552ECF">
        <w:rPr>
          <w:lang w:val="pl-PL"/>
        </w:rPr>
        <w:t xml:space="preserve"> został całkowicie sparaliżowany </w:t>
      </w:r>
      <w:r>
        <w:rPr>
          <w:lang w:val="pl-PL"/>
        </w:rPr>
        <w:t>na skutek wypadku</w:t>
      </w:r>
      <w:r w:rsidRPr="00552ECF">
        <w:rPr>
          <w:lang w:val="pl-PL"/>
        </w:rPr>
        <w:t xml:space="preserve">. Z uwagi na liczne cierpienia fizyczne i psychiczne, chciał zakończyć życie. Z uwagi na niepełnosprawność nie był w stanie popełnić samobójstwa </w:t>
      </w:r>
      <w:r>
        <w:rPr>
          <w:lang w:val="pl-PL"/>
        </w:rPr>
        <w:t xml:space="preserve">inaczej </w:t>
      </w:r>
      <w:r w:rsidRPr="00552ECF">
        <w:rPr>
          <w:lang w:val="pl-PL"/>
        </w:rPr>
        <w:t xml:space="preserve">niż odmawiając jedzenia i picia. By oszczędzić cierpień rodzinie, dochodził możliwości uzyskania </w:t>
      </w:r>
      <w:r>
        <w:rPr>
          <w:lang w:val="pl-PL"/>
        </w:rPr>
        <w:t xml:space="preserve">pomocy </w:t>
      </w:r>
      <w:r w:rsidRPr="00552ECF">
        <w:rPr>
          <w:lang w:val="pl-PL"/>
        </w:rPr>
        <w:t xml:space="preserve">osoby trzeciej, </w:t>
      </w:r>
      <w:r>
        <w:rPr>
          <w:lang w:val="pl-PL"/>
        </w:rPr>
        <w:t xml:space="preserve">w szczególności poprzez podanie zastrzyku ze </w:t>
      </w:r>
      <w:r w:rsidRPr="00552ECF">
        <w:rPr>
          <w:lang w:val="pl-PL"/>
        </w:rPr>
        <w:t xml:space="preserve"> </w:t>
      </w:r>
      <w:r>
        <w:rPr>
          <w:lang w:val="pl-PL"/>
        </w:rPr>
        <w:t>śmiertelną substancją</w:t>
      </w:r>
      <w:r w:rsidRPr="00552ECF">
        <w:rPr>
          <w:lang w:val="pl-PL"/>
        </w:rPr>
        <w:t xml:space="preserve">. Na gruncie prawa angielskiego osoba taka podlegałaby jednak odpowiedzialności karnej jak za zabójstwo. Inne formy </w:t>
      </w:r>
      <w:r w:rsidR="009F1E6B">
        <w:rPr>
          <w:lang w:val="pl-PL"/>
        </w:rPr>
        <w:t>pomocy</w:t>
      </w:r>
      <w:r w:rsidRPr="00552ECF">
        <w:rPr>
          <w:lang w:val="pl-PL"/>
        </w:rPr>
        <w:t xml:space="preserve"> przez osobę trzecią stanowiłyby </w:t>
      </w:r>
      <w:r w:rsidR="006D1AFF">
        <w:rPr>
          <w:lang w:val="pl-PL"/>
        </w:rPr>
        <w:t xml:space="preserve">zaś </w:t>
      </w:r>
      <w:r w:rsidRPr="00552ECF">
        <w:rPr>
          <w:lang w:val="pl-PL"/>
        </w:rPr>
        <w:t xml:space="preserve">przestępstwo na podstawie art. 2 ust. 1 ustawy z 1961 r. </w:t>
      </w:r>
      <w:r w:rsidR="00A96163">
        <w:rPr>
          <w:lang w:val="pl-PL"/>
        </w:rPr>
        <w:t>kryminalizującego</w:t>
      </w:r>
      <w:r w:rsidRPr="00552ECF">
        <w:rPr>
          <w:lang w:val="pl-PL"/>
        </w:rPr>
        <w:t xml:space="preserve"> </w:t>
      </w:r>
      <w:r w:rsidR="00A96163">
        <w:rPr>
          <w:lang w:val="pl-PL"/>
        </w:rPr>
        <w:t>zachęcanie i pomaganie</w:t>
      </w:r>
      <w:r w:rsidRPr="00552ECF">
        <w:rPr>
          <w:lang w:val="pl-PL"/>
        </w:rPr>
        <w:t xml:space="preserve"> w popełnieniu samobójstwa</w:t>
      </w:r>
      <w:r w:rsidR="007C236B">
        <w:rPr>
          <w:rStyle w:val="Odwoanieprzypisudolnego"/>
          <w:lang w:val="pl-PL"/>
        </w:rPr>
        <w:footnoteReference w:id="1"/>
      </w:r>
      <w:r w:rsidRPr="00552ECF">
        <w:rPr>
          <w:lang w:val="pl-PL"/>
        </w:rPr>
        <w:t xml:space="preserve">. </w:t>
      </w:r>
    </w:p>
    <w:p w:rsidR="00110518" w:rsidRDefault="00110518" w:rsidP="00110518">
      <w:pPr>
        <w:spacing w:after="120" w:line="240" w:lineRule="auto"/>
        <w:jc w:val="both"/>
        <w:rPr>
          <w:lang w:val="pl-PL"/>
        </w:rPr>
      </w:pPr>
      <w:r w:rsidRPr="00552ECF">
        <w:rPr>
          <w:lang w:val="pl-PL"/>
        </w:rPr>
        <w:t xml:space="preserve">Drugi skarżący, Pan Paul </w:t>
      </w:r>
      <w:proofErr w:type="spellStart"/>
      <w:r w:rsidRPr="00552ECF">
        <w:rPr>
          <w:lang w:val="pl-PL"/>
        </w:rPr>
        <w:t>L</w:t>
      </w:r>
      <w:r w:rsidR="00C54247">
        <w:rPr>
          <w:lang w:val="pl-PL"/>
        </w:rPr>
        <w:t>a</w:t>
      </w:r>
      <w:r w:rsidRPr="00552ECF">
        <w:rPr>
          <w:lang w:val="pl-PL"/>
        </w:rPr>
        <w:t>mb</w:t>
      </w:r>
      <w:proofErr w:type="spellEnd"/>
      <w:r w:rsidRPr="00552ECF">
        <w:rPr>
          <w:lang w:val="pl-PL"/>
        </w:rPr>
        <w:t xml:space="preserve">, </w:t>
      </w:r>
      <w:r w:rsidR="006D1AFF">
        <w:rPr>
          <w:lang w:val="pl-PL"/>
        </w:rPr>
        <w:t xml:space="preserve">jest </w:t>
      </w:r>
      <w:r w:rsidRPr="00552ECF">
        <w:rPr>
          <w:lang w:val="pl-PL"/>
        </w:rPr>
        <w:t xml:space="preserve">również prawie całkowicie i w sposób nieodwracalny sparaliżowany. </w:t>
      </w:r>
      <w:r>
        <w:rPr>
          <w:lang w:val="pl-PL"/>
        </w:rPr>
        <w:t>Otrzymuje morfinę, s</w:t>
      </w:r>
      <w:r w:rsidRPr="00552ECF">
        <w:rPr>
          <w:lang w:val="pl-PL"/>
        </w:rPr>
        <w:t xml:space="preserve">pędza całe dnie na wózku inwalidzkim. Ma poczucie uwięzienia w swym ciele i chce zakończyć życie. Z uwagi na niepełnosprawność nie jest w stanie tego zrobić samodzielnie. Chciałby otrzymać śmiertelną dawkę leku. </w:t>
      </w:r>
    </w:p>
    <w:p w:rsidR="008C69E1" w:rsidRDefault="00110518" w:rsidP="00110518">
      <w:pPr>
        <w:spacing w:after="120" w:line="240" w:lineRule="auto"/>
        <w:jc w:val="both"/>
        <w:rPr>
          <w:lang w:val="pl-PL"/>
        </w:rPr>
      </w:pPr>
      <w:r w:rsidRPr="00552ECF">
        <w:rPr>
          <w:lang w:val="pl-PL"/>
        </w:rPr>
        <w:t xml:space="preserve">Pan </w:t>
      </w:r>
      <w:proofErr w:type="spellStart"/>
      <w:r w:rsidRPr="00552ECF">
        <w:rPr>
          <w:lang w:val="pl-PL"/>
        </w:rPr>
        <w:t>Nicklinson</w:t>
      </w:r>
      <w:proofErr w:type="spellEnd"/>
      <w:r w:rsidR="008C69E1">
        <w:rPr>
          <w:lang w:val="pl-PL"/>
        </w:rPr>
        <w:t xml:space="preserve"> prowadził postępowanie krajowe</w:t>
      </w:r>
      <w:r w:rsidRPr="00552ECF">
        <w:rPr>
          <w:lang w:val="pl-PL"/>
        </w:rPr>
        <w:t xml:space="preserve"> dotycz</w:t>
      </w:r>
      <w:r w:rsidR="008C69E1">
        <w:rPr>
          <w:lang w:val="pl-PL"/>
        </w:rPr>
        <w:t>ące</w:t>
      </w:r>
      <w:r w:rsidRPr="00552ECF">
        <w:rPr>
          <w:lang w:val="pl-PL"/>
        </w:rPr>
        <w:t xml:space="preserve"> zasadniczo dwóch kwestii</w:t>
      </w:r>
      <w:r>
        <w:rPr>
          <w:lang w:val="pl-PL"/>
        </w:rPr>
        <w:t>:</w:t>
      </w:r>
      <w:r w:rsidR="006D1AFF">
        <w:rPr>
          <w:lang w:val="pl-PL"/>
        </w:rPr>
        <w:t xml:space="preserve"> </w:t>
      </w:r>
    </w:p>
    <w:p w:rsidR="008C69E1" w:rsidRDefault="008C69E1" w:rsidP="00110518">
      <w:pPr>
        <w:spacing w:after="120" w:line="240" w:lineRule="auto"/>
        <w:jc w:val="both"/>
        <w:rPr>
          <w:lang w:val="pl-PL"/>
        </w:rPr>
      </w:pPr>
      <w:r>
        <w:rPr>
          <w:lang w:val="pl-PL"/>
        </w:rPr>
        <w:t xml:space="preserve">- </w:t>
      </w:r>
      <w:r w:rsidR="00427079">
        <w:rPr>
          <w:lang w:val="pl-PL"/>
        </w:rPr>
        <w:t>stwierdzenia przez sąd</w:t>
      </w:r>
      <w:r w:rsidR="00733A1B">
        <w:rPr>
          <w:lang w:val="pl-PL"/>
        </w:rPr>
        <w:t xml:space="preserve">, że udzielenie pomocy medycznej w celu zakończenia jego życia nie będzie bezprawne z uwagi </w:t>
      </w:r>
      <w:r w:rsidR="00444B39">
        <w:rPr>
          <w:lang w:val="pl-PL"/>
        </w:rPr>
        <w:t xml:space="preserve">na stan wyższej konieczności </w:t>
      </w:r>
      <w:r w:rsidR="00733A1B">
        <w:rPr>
          <w:lang w:val="pl-PL"/>
        </w:rPr>
        <w:t>(obrona</w:t>
      </w:r>
      <w:r w:rsidR="00444B39">
        <w:rPr>
          <w:lang w:val="pl-PL"/>
        </w:rPr>
        <w:t xml:space="preserve"> przed zarzutem zabójstwa </w:t>
      </w:r>
      <w:r w:rsidR="006609DA">
        <w:rPr>
          <w:lang w:val="pl-PL"/>
        </w:rPr>
        <w:t>wobec osoby</w:t>
      </w:r>
      <w:r w:rsidR="00444B39">
        <w:rPr>
          <w:lang w:val="pl-PL"/>
        </w:rPr>
        <w:t>, która dokonała</w:t>
      </w:r>
      <w:r w:rsidR="009D1E70">
        <w:rPr>
          <w:lang w:val="pl-PL"/>
        </w:rPr>
        <w:t>b</w:t>
      </w:r>
      <w:r w:rsidR="006609DA">
        <w:rPr>
          <w:lang w:val="pl-PL"/>
        </w:rPr>
        <w:t>y</w:t>
      </w:r>
      <w:r w:rsidR="00444B39">
        <w:rPr>
          <w:lang w:val="pl-PL"/>
        </w:rPr>
        <w:t xml:space="preserve"> dobrowolnej eutanazji</w:t>
      </w:r>
      <w:r w:rsidR="00733A1B">
        <w:rPr>
          <w:lang w:val="pl-PL"/>
        </w:rPr>
        <w:t>)</w:t>
      </w:r>
      <w:r>
        <w:rPr>
          <w:lang w:val="pl-PL"/>
        </w:rPr>
        <w:t>, lub</w:t>
      </w:r>
    </w:p>
    <w:p w:rsidR="00110518" w:rsidRPr="00552ECF" w:rsidRDefault="008C69E1" w:rsidP="00110518">
      <w:pPr>
        <w:spacing w:after="120" w:line="240" w:lineRule="auto"/>
        <w:jc w:val="both"/>
        <w:rPr>
          <w:lang w:val="pl-PL"/>
        </w:rPr>
      </w:pPr>
      <w:r>
        <w:rPr>
          <w:lang w:val="pl-PL"/>
        </w:rPr>
        <w:t xml:space="preserve">- </w:t>
      </w:r>
      <w:r w:rsidR="00110518">
        <w:rPr>
          <w:lang w:val="pl-PL"/>
        </w:rPr>
        <w:t>uznania</w:t>
      </w:r>
      <w:r w:rsidR="00110518" w:rsidRPr="00552ECF">
        <w:rPr>
          <w:lang w:val="pl-PL"/>
        </w:rPr>
        <w:t xml:space="preserve">, że regulacje dotyczące zabójstwa i </w:t>
      </w:r>
      <w:r w:rsidR="007B6C97">
        <w:rPr>
          <w:lang w:val="pl-PL"/>
        </w:rPr>
        <w:t>kryminalizacji</w:t>
      </w:r>
      <w:r w:rsidR="00110518" w:rsidRPr="00552ECF">
        <w:rPr>
          <w:lang w:val="pl-PL"/>
        </w:rPr>
        <w:t xml:space="preserve"> pomocy w popełnieniu samobójstwa (art. 2 ust. 1 ustawy z 1961 r.) są niezgodne z art. 2 i 8 Konwencji</w:t>
      </w:r>
      <w:r w:rsidR="007C236B">
        <w:rPr>
          <w:rStyle w:val="Odwoanieprzypisudolnego"/>
          <w:lang w:val="pl-PL"/>
        </w:rPr>
        <w:footnoteReference w:id="2"/>
      </w:r>
      <w:r w:rsidR="00110518" w:rsidRPr="00552ECF">
        <w:rPr>
          <w:lang w:val="pl-PL"/>
        </w:rPr>
        <w:t>.</w:t>
      </w:r>
    </w:p>
    <w:p w:rsidR="00110518" w:rsidRPr="00552ECF" w:rsidRDefault="00110518" w:rsidP="00110518">
      <w:pPr>
        <w:spacing w:after="120" w:line="240" w:lineRule="auto"/>
        <w:jc w:val="both"/>
        <w:rPr>
          <w:lang w:val="pl-PL"/>
        </w:rPr>
      </w:pPr>
      <w:r w:rsidRPr="00552ECF">
        <w:rPr>
          <w:lang w:val="pl-PL"/>
        </w:rPr>
        <w:t>Sąd I instancji wyrokiem z 16 sierpnia 2012 r. oddalił wniosek, uznając m.in. w świetle dotychczasowego orzecznictwa sądów krajowych oraz ETPC</w:t>
      </w:r>
      <w:r w:rsidR="008C69E1">
        <w:rPr>
          <w:lang w:val="pl-PL"/>
        </w:rPr>
        <w:t>z</w:t>
      </w:r>
      <w:r w:rsidRPr="00552ECF">
        <w:rPr>
          <w:lang w:val="pl-PL"/>
        </w:rPr>
        <w:t xml:space="preserve"> (</w:t>
      </w:r>
      <w:proofErr w:type="spellStart"/>
      <w:r w:rsidRPr="00552ECF">
        <w:rPr>
          <w:lang w:val="pl-PL"/>
        </w:rPr>
        <w:t>Pretty</w:t>
      </w:r>
      <w:proofErr w:type="spellEnd"/>
      <w:r w:rsidRPr="00552ECF">
        <w:rPr>
          <w:lang w:val="pl-PL"/>
        </w:rPr>
        <w:t xml:space="preserve"> p. Wielkiej Brytanii, nr 2346/02</w:t>
      </w:r>
      <w:r>
        <w:rPr>
          <w:rStyle w:val="Odwoanieprzypisudolnego"/>
          <w:lang w:val="pl-PL"/>
        </w:rPr>
        <w:footnoteReference w:id="3"/>
      </w:r>
      <w:r w:rsidRPr="00552ECF">
        <w:rPr>
          <w:lang w:val="pl-PL"/>
        </w:rPr>
        <w:t xml:space="preserve">), </w:t>
      </w:r>
      <w:r>
        <w:rPr>
          <w:lang w:val="pl-PL"/>
        </w:rPr>
        <w:t xml:space="preserve">że </w:t>
      </w:r>
      <w:r w:rsidRPr="00552ECF">
        <w:rPr>
          <w:lang w:val="pl-PL"/>
        </w:rPr>
        <w:t xml:space="preserve">art. 8 Konwencji nie </w:t>
      </w:r>
      <w:r w:rsidR="00427079">
        <w:rPr>
          <w:lang w:val="pl-PL"/>
        </w:rPr>
        <w:t>gwarantuje</w:t>
      </w:r>
      <w:r w:rsidRPr="00552ECF">
        <w:rPr>
          <w:lang w:val="pl-PL"/>
        </w:rPr>
        <w:t xml:space="preserve">, by fakt dokonania dobrowolnej eutanazji </w:t>
      </w:r>
      <w:r>
        <w:rPr>
          <w:lang w:val="pl-PL"/>
        </w:rPr>
        <w:t xml:space="preserve">mógł zostać powołany do obrony przed zarzutem </w:t>
      </w:r>
      <w:r w:rsidRPr="00552ECF">
        <w:rPr>
          <w:lang w:val="pl-PL"/>
        </w:rPr>
        <w:t xml:space="preserve">zabójstwa. </w:t>
      </w:r>
      <w:r w:rsidR="00935BDD">
        <w:rPr>
          <w:lang w:val="pl-PL"/>
        </w:rPr>
        <w:t>W</w:t>
      </w:r>
      <w:r w:rsidR="006609DA">
        <w:rPr>
          <w:lang w:val="pl-PL"/>
        </w:rPr>
        <w:t xml:space="preserve"> odniesieniu zaś do zarzutu niezgodności z Konwencją </w:t>
      </w:r>
      <w:r w:rsidR="007B6C97">
        <w:rPr>
          <w:lang w:val="pl-PL"/>
        </w:rPr>
        <w:t>kryminalizacji</w:t>
      </w:r>
      <w:r w:rsidR="006609DA">
        <w:rPr>
          <w:lang w:val="pl-PL"/>
        </w:rPr>
        <w:t xml:space="preserve"> udzielenia pomocy w popełnieniu samobójstwa </w:t>
      </w:r>
      <w:r w:rsidR="00211F8F">
        <w:rPr>
          <w:lang w:val="pl-PL"/>
        </w:rPr>
        <w:t xml:space="preserve">(art. 2 ust. 1 ustawy z 1961 r.) </w:t>
      </w:r>
      <w:r w:rsidR="006609DA">
        <w:rPr>
          <w:lang w:val="pl-PL"/>
        </w:rPr>
        <w:t xml:space="preserve">sąd uznał, że kwestia ta została rozstrzygnięta na najwyższym szczeblu, ponadto należy </w:t>
      </w:r>
      <w:r w:rsidR="008E71F9">
        <w:rPr>
          <w:lang w:val="pl-PL"/>
        </w:rPr>
        <w:t xml:space="preserve">ona </w:t>
      </w:r>
      <w:r w:rsidRPr="00552ECF">
        <w:rPr>
          <w:lang w:val="pl-PL"/>
        </w:rPr>
        <w:t>do obszaru szeroki</w:t>
      </w:r>
      <w:r>
        <w:rPr>
          <w:lang w:val="pl-PL"/>
        </w:rPr>
        <w:t>ego</w:t>
      </w:r>
      <w:r w:rsidRPr="00552ECF">
        <w:rPr>
          <w:lang w:val="pl-PL"/>
        </w:rPr>
        <w:t xml:space="preserve"> margines</w:t>
      </w:r>
      <w:r>
        <w:rPr>
          <w:lang w:val="pl-PL"/>
        </w:rPr>
        <w:t>u</w:t>
      </w:r>
      <w:r w:rsidRPr="00552ECF">
        <w:rPr>
          <w:lang w:val="pl-PL"/>
        </w:rPr>
        <w:t xml:space="preserve"> oceny</w:t>
      </w:r>
      <w:r>
        <w:rPr>
          <w:lang w:val="pl-PL"/>
        </w:rPr>
        <w:t xml:space="preserve"> państw</w:t>
      </w:r>
      <w:r w:rsidR="006609DA">
        <w:rPr>
          <w:lang w:val="pl-PL"/>
        </w:rPr>
        <w:t xml:space="preserve"> i </w:t>
      </w:r>
      <w:r w:rsidRPr="00552ECF">
        <w:rPr>
          <w:lang w:val="pl-PL"/>
        </w:rPr>
        <w:t xml:space="preserve">do kompetencji </w:t>
      </w:r>
      <w:r w:rsidR="00427079">
        <w:rPr>
          <w:lang w:val="pl-PL"/>
        </w:rPr>
        <w:t>p</w:t>
      </w:r>
      <w:r w:rsidRPr="00552ECF">
        <w:rPr>
          <w:lang w:val="pl-PL"/>
        </w:rPr>
        <w:t xml:space="preserve">arlamentu. </w:t>
      </w:r>
    </w:p>
    <w:p w:rsidR="00110518" w:rsidRPr="00552ECF" w:rsidRDefault="00110518" w:rsidP="00110518">
      <w:pPr>
        <w:spacing w:after="120" w:line="240" w:lineRule="auto"/>
        <w:jc w:val="both"/>
        <w:rPr>
          <w:lang w:val="pl-PL"/>
        </w:rPr>
      </w:pPr>
      <w:r w:rsidRPr="00552ECF">
        <w:rPr>
          <w:lang w:val="pl-PL"/>
        </w:rPr>
        <w:t xml:space="preserve">Po tym rozstrzygnięciu Pan </w:t>
      </w:r>
      <w:proofErr w:type="spellStart"/>
      <w:r w:rsidRPr="00552ECF">
        <w:rPr>
          <w:lang w:val="pl-PL"/>
        </w:rPr>
        <w:t>Nicklinson</w:t>
      </w:r>
      <w:proofErr w:type="spellEnd"/>
      <w:r w:rsidRPr="00552ECF">
        <w:rPr>
          <w:lang w:val="pl-PL"/>
        </w:rPr>
        <w:t xml:space="preserve"> zaprzestał przyjmowania jedzenia i pica oraz leków i zmarł na zapalenie płuc. Po jego śmierci toczyły się dalsze postępowania, w których uczestniczyła jego żona, pierwsza skarżąca, i do których przyłączył się drugi skarżący</w:t>
      </w:r>
      <w:r w:rsidR="009D1E70">
        <w:rPr>
          <w:lang w:val="pl-PL"/>
        </w:rPr>
        <w:t xml:space="preserve">, który </w:t>
      </w:r>
      <w:r w:rsidR="00427079">
        <w:rPr>
          <w:lang w:val="pl-PL"/>
        </w:rPr>
        <w:t>ubiegał</w:t>
      </w:r>
      <w:r w:rsidR="009D1E70">
        <w:rPr>
          <w:lang w:val="pl-PL"/>
        </w:rPr>
        <w:t xml:space="preserve"> się o </w:t>
      </w:r>
      <w:r w:rsidR="008E71F9">
        <w:rPr>
          <w:lang w:val="pl-PL"/>
        </w:rPr>
        <w:t>wydanie tych samych oświadczeń</w:t>
      </w:r>
      <w:r w:rsidR="009D1E70">
        <w:rPr>
          <w:lang w:val="pl-PL"/>
        </w:rPr>
        <w:t xml:space="preserve"> sądu, jakich dochodził Pan </w:t>
      </w:r>
      <w:proofErr w:type="spellStart"/>
      <w:r w:rsidR="009D1E70">
        <w:rPr>
          <w:lang w:val="pl-PL"/>
        </w:rPr>
        <w:t>Nicklinson</w:t>
      </w:r>
      <w:proofErr w:type="spellEnd"/>
      <w:r w:rsidRPr="00552ECF">
        <w:rPr>
          <w:lang w:val="pl-PL"/>
        </w:rPr>
        <w:t xml:space="preserve">. </w:t>
      </w:r>
      <w:r w:rsidR="00444B39">
        <w:rPr>
          <w:lang w:val="pl-PL"/>
        </w:rPr>
        <w:t>Apelacja</w:t>
      </w:r>
      <w:r w:rsidR="009D1E70">
        <w:rPr>
          <w:lang w:val="pl-PL"/>
        </w:rPr>
        <w:t xml:space="preserve"> została </w:t>
      </w:r>
      <w:r w:rsidR="00444B39">
        <w:rPr>
          <w:lang w:val="pl-PL"/>
        </w:rPr>
        <w:t>oddalona przez sąd</w:t>
      </w:r>
      <w:r w:rsidR="008E71F9">
        <w:rPr>
          <w:lang w:val="pl-PL"/>
        </w:rPr>
        <w:t xml:space="preserve"> II instancji</w:t>
      </w:r>
      <w:r w:rsidR="00444B39">
        <w:rPr>
          <w:lang w:val="pl-PL"/>
        </w:rPr>
        <w:t>, który p</w:t>
      </w:r>
      <w:r w:rsidRPr="00552ECF">
        <w:rPr>
          <w:lang w:val="pl-PL"/>
        </w:rPr>
        <w:t xml:space="preserve">owołał się m.in. na </w:t>
      </w:r>
      <w:r w:rsidR="008E71F9">
        <w:rPr>
          <w:lang w:val="pl-PL"/>
        </w:rPr>
        <w:t xml:space="preserve">nieistnienie </w:t>
      </w:r>
      <w:r w:rsidRPr="00552ECF">
        <w:rPr>
          <w:lang w:val="pl-PL"/>
        </w:rPr>
        <w:t xml:space="preserve">prawa do samobójstwa (przepisy przewidują jedynie brak karalności osób, które je popełniły), a także na szeroki margines oceny i kompetencje parlamentu do decydowania o tych kwestiach. </w:t>
      </w:r>
      <w:r>
        <w:rPr>
          <w:lang w:val="pl-PL"/>
        </w:rPr>
        <w:t xml:space="preserve"> </w:t>
      </w:r>
      <w:r w:rsidR="009D1E70">
        <w:rPr>
          <w:lang w:val="pl-PL"/>
        </w:rPr>
        <w:t>Sędziowie uznali też, że blankietowy zakaz przewidziany w art. 2 ust. 1 ustawy z 1961 r. jest zgodny z art. 8 Konwencji.</w:t>
      </w:r>
    </w:p>
    <w:p w:rsidR="00110518" w:rsidRPr="00552ECF" w:rsidRDefault="00110518" w:rsidP="00110518">
      <w:pPr>
        <w:spacing w:after="120" w:line="240" w:lineRule="auto"/>
        <w:jc w:val="both"/>
        <w:rPr>
          <w:lang w:val="pl-PL"/>
        </w:rPr>
      </w:pPr>
      <w:r w:rsidRPr="00552ECF">
        <w:rPr>
          <w:lang w:val="pl-PL"/>
        </w:rPr>
        <w:t xml:space="preserve">W postępowaniu przed Sądem Najwyższym skarżący kwestionowali </w:t>
      </w:r>
      <w:r>
        <w:rPr>
          <w:lang w:val="pl-PL"/>
        </w:rPr>
        <w:t xml:space="preserve">już </w:t>
      </w:r>
      <w:r w:rsidRPr="00552ECF">
        <w:rPr>
          <w:lang w:val="pl-PL"/>
        </w:rPr>
        <w:t xml:space="preserve">jedynie zgodność </w:t>
      </w:r>
      <w:r>
        <w:rPr>
          <w:lang w:val="pl-PL"/>
        </w:rPr>
        <w:t>zakazu</w:t>
      </w:r>
      <w:r w:rsidRPr="00552ECF">
        <w:rPr>
          <w:lang w:val="pl-PL"/>
        </w:rPr>
        <w:t xml:space="preserve"> udzielania pomocy </w:t>
      </w:r>
      <w:r>
        <w:rPr>
          <w:lang w:val="pl-PL"/>
        </w:rPr>
        <w:t>w popełnieniu</w:t>
      </w:r>
      <w:r w:rsidRPr="00552ECF">
        <w:rPr>
          <w:lang w:val="pl-PL"/>
        </w:rPr>
        <w:t xml:space="preserve"> samobójstwa </w:t>
      </w:r>
      <w:r w:rsidR="008E71F9" w:rsidRPr="00552ECF">
        <w:rPr>
          <w:lang w:val="pl-PL"/>
        </w:rPr>
        <w:t xml:space="preserve">z </w:t>
      </w:r>
      <w:r w:rsidR="008E71F9">
        <w:rPr>
          <w:lang w:val="pl-PL"/>
        </w:rPr>
        <w:t>art. 8 Konwencji</w:t>
      </w:r>
      <w:r w:rsidR="008E71F9" w:rsidRPr="00552ECF">
        <w:rPr>
          <w:lang w:val="pl-PL"/>
        </w:rPr>
        <w:t xml:space="preserve"> </w:t>
      </w:r>
      <w:r w:rsidRPr="00552ECF">
        <w:rPr>
          <w:lang w:val="pl-PL"/>
        </w:rPr>
        <w:t>(</w:t>
      </w:r>
      <w:r w:rsidR="00CB4E5D">
        <w:rPr>
          <w:lang w:val="pl-PL"/>
        </w:rPr>
        <w:t xml:space="preserve">odstąpili natomiast od argumentów dotyczących niezgodności </w:t>
      </w:r>
      <w:r w:rsidR="008E71F9">
        <w:rPr>
          <w:lang w:val="pl-PL"/>
        </w:rPr>
        <w:t xml:space="preserve">z art. 8 Konwencji </w:t>
      </w:r>
      <w:r w:rsidR="00CB4E5D">
        <w:rPr>
          <w:lang w:val="pl-PL"/>
        </w:rPr>
        <w:t xml:space="preserve">regulacji dotyczących zabójstwa oraz </w:t>
      </w:r>
      <w:r w:rsidR="008E71F9">
        <w:rPr>
          <w:lang w:val="pl-PL"/>
        </w:rPr>
        <w:t>nie ubiegali się o stwierdzenie</w:t>
      </w:r>
      <w:r w:rsidR="00CB4E5D">
        <w:rPr>
          <w:lang w:val="pl-PL"/>
        </w:rPr>
        <w:t xml:space="preserve">, że stan wyższej konieczności może </w:t>
      </w:r>
      <w:r w:rsidR="00427079">
        <w:rPr>
          <w:lang w:val="pl-PL"/>
        </w:rPr>
        <w:t xml:space="preserve">być powołany </w:t>
      </w:r>
      <w:r w:rsidR="000C7C4F">
        <w:rPr>
          <w:lang w:val="pl-PL"/>
        </w:rPr>
        <w:t xml:space="preserve">jako obrona </w:t>
      </w:r>
      <w:r w:rsidR="00CB4E5D">
        <w:rPr>
          <w:lang w:val="pl-PL"/>
        </w:rPr>
        <w:t>w sytuacji popełnienia dobrowolnej eutanazji lub udzielenia pomocy w popełnieniu samobójstwa</w:t>
      </w:r>
      <w:r w:rsidRPr="00552ECF">
        <w:rPr>
          <w:lang w:val="pl-PL"/>
        </w:rPr>
        <w:t>).</w:t>
      </w:r>
    </w:p>
    <w:p w:rsidR="00110518" w:rsidRPr="00552ECF" w:rsidRDefault="00F342F5" w:rsidP="00110518">
      <w:pPr>
        <w:spacing w:after="120" w:line="240" w:lineRule="auto"/>
        <w:jc w:val="both"/>
        <w:rPr>
          <w:lang w:val="pl-PL"/>
        </w:rPr>
      </w:pPr>
      <w:r w:rsidRPr="00552ECF">
        <w:rPr>
          <w:lang w:val="pl-PL"/>
        </w:rPr>
        <w:t xml:space="preserve">25 czerwca  2013 r. </w:t>
      </w:r>
      <w:r w:rsidR="00110518" w:rsidRPr="00353062">
        <w:rPr>
          <w:lang w:val="pl-PL"/>
        </w:rPr>
        <w:t>Sąd Najwyższy</w:t>
      </w:r>
      <w:r w:rsidR="00110518" w:rsidRPr="00552ECF">
        <w:rPr>
          <w:lang w:val="pl-PL"/>
        </w:rPr>
        <w:t xml:space="preserve"> oddalił</w:t>
      </w:r>
      <w:r w:rsidR="00110518">
        <w:rPr>
          <w:lang w:val="pl-PL"/>
        </w:rPr>
        <w:t xml:space="preserve"> ich wniosek</w:t>
      </w:r>
      <w:r w:rsidR="00041638">
        <w:rPr>
          <w:lang w:val="pl-PL"/>
        </w:rPr>
        <w:t xml:space="preserve"> większością głosów</w:t>
      </w:r>
      <w:r w:rsidR="00110518" w:rsidRPr="00552ECF">
        <w:rPr>
          <w:lang w:val="pl-PL"/>
        </w:rPr>
        <w:t xml:space="preserve">. </w:t>
      </w:r>
      <w:r w:rsidR="00110518">
        <w:rPr>
          <w:lang w:val="pl-PL"/>
        </w:rPr>
        <w:t>Jednomyślnie u</w:t>
      </w:r>
      <w:r w:rsidR="00110518" w:rsidRPr="00552ECF">
        <w:rPr>
          <w:lang w:val="pl-PL"/>
        </w:rPr>
        <w:t xml:space="preserve">znał, że </w:t>
      </w:r>
      <w:r w:rsidR="00110518">
        <w:rPr>
          <w:lang w:val="pl-PL"/>
        </w:rPr>
        <w:t xml:space="preserve">uregulowania dotyczące </w:t>
      </w:r>
      <w:r w:rsidR="00110518" w:rsidRPr="00552ECF">
        <w:rPr>
          <w:lang w:val="pl-PL"/>
        </w:rPr>
        <w:t xml:space="preserve">pomocy w popełnieniu samobójstwa </w:t>
      </w:r>
      <w:r w:rsidR="00110518">
        <w:rPr>
          <w:lang w:val="pl-PL"/>
        </w:rPr>
        <w:t>należą do obszaru objętego marginesem</w:t>
      </w:r>
      <w:r w:rsidR="00110518" w:rsidRPr="00552ECF">
        <w:rPr>
          <w:lang w:val="pl-PL"/>
        </w:rPr>
        <w:t xml:space="preserve"> oceny </w:t>
      </w:r>
      <w:r w:rsidR="00B9643F">
        <w:rPr>
          <w:lang w:val="pl-PL"/>
        </w:rPr>
        <w:t>Wielkiej Brytanii</w:t>
      </w:r>
      <w:r w:rsidR="00110518" w:rsidRPr="00552ECF">
        <w:rPr>
          <w:lang w:val="pl-PL"/>
        </w:rPr>
        <w:t xml:space="preserve">. </w:t>
      </w:r>
      <w:r>
        <w:rPr>
          <w:lang w:val="pl-PL"/>
        </w:rPr>
        <w:t>Zrezygnował z wydania</w:t>
      </w:r>
      <w:r w:rsidR="00935BDD">
        <w:rPr>
          <w:lang w:val="pl-PL"/>
        </w:rPr>
        <w:t xml:space="preserve"> </w:t>
      </w:r>
      <w:r w:rsidR="00110518" w:rsidRPr="00552ECF">
        <w:rPr>
          <w:lang w:val="pl-PL"/>
        </w:rPr>
        <w:t xml:space="preserve">deklaracji o niezgodności </w:t>
      </w:r>
      <w:r w:rsidR="00110518">
        <w:rPr>
          <w:lang w:val="pl-PL"/>
        </w:rPr>
        <w:t>zaskarżonego przepisu</w:t>
      </w:r>
      <w:r w:rsidR="00041638">
        <w:rPr>
          <w:lang w:val="pl-PL"/>
        </w:rPr>
        <w:t xml:space="preserve"> z art. 8 Konwencji.</w:t>
      </w:r>
      <w:r w:rsidR="00110518" w:rsidRPr="00552ECF">
        <w:rPr>
          <w:lang w:val="pl-PL"/>
        </w:rPr>
        <w:t xml:space="preserve"> </w:t>
      </w:r>
      <w:r w:rsidR="00041638">
        <w:rPr>
          <w:lang w:val="pl-PL"/>
        </w:rPr>
        <w:t xml:space="preserve">Większość sędziów </w:t>
      </w:r>
      <w:r w:rsidR="00F14D00">
        <w:rPr>
          <w:lang w:val="pl-PL"/>
        </w:rPr>
        <w:t>wskazywała na rolę parlamentu w dokonywaniu oceny</w:t>
      </w:r>
      <w:r w:rsidR="00041638">
        <w:rPr>
          <w:lang w:val="pl-PL"/>
        </w:rPr>
        <w:t xml:space="preserve"> zgodności przedmiotowych regulacji z Konwencją</w:t>
      </w:r>
      <w:r w:rsidR="00110518" w:rsidRPr="00552ECF">
        <w:rPr>
          <w:lang w:val="pl-PL"/>
        </w:rPr>
        <w:t xml:space="preserve">. </w:t>
      </w:r>
    </w:p>
    <w:p w:rsidR="00110518" w:rsidRPr="00DF7F41" w:rsidRDefault="00110518" w:rsidP="00110518">
      <w:pPr>
        <w:spacing w:after="120" w:line="240" w:lineRule="auto"/>
        <w:jc w:val="both"/>
        <w:rPr>
          <w:u w:val="single"/>
          <w:lang w:val="pl-PL"/>
        </w:rPr>
      </w:pPr>
      <w:r w:rsidRPr="00DF7F41">
        <w:rPr>
          <w:u w:val="single"/>
          <w:lang w:val="pl-PL"/>
        </w:rPr>
        <w:t xml:space="preserve">Zarzuty </w:t>
      </w:r>
      <w:r>
        <w:rPr>
          <w:u w:val="single"/>
          <w:lang w:val="pl-PL"/>
        </w:rPr>
        <w:t>pierwszej skarżącej i ocena Trybunału</w:t>
      </w:r>
    </w:p>
    <w:p w:rsidR="00110518" w:rsidRPr="00552ECF" w:rsidRDefault="00110518" w:rsidP="00110518">
      <w:pPr>
        <w:spacing w:after="120" w:line="240" w:lineRule="auto"/>
        <w:jc w:val="both"/>
        <w:rPr>
          <w:lang w:val="pl-PL"/>
        </w:rPr>
      </w:pPr>
      <w:r w:rsidRPr="00552ECF">
        <w:rPr>
          <w:lang w:val="pl-PL"/>
        </w:rPr>
        <w:t xml:space="preserve">Pierwsza skarżąca zarzucała, że poprzez </w:t>
      </w:r>
      <w:r w:rsidR="00211EB9">
        <w:rPr>
          <w:lang w:val="pl-PL"/>
        </w:rPr>
        <w:t xml:space="preserve">odmowę </w:t>
      </w:r>
      <w:r w:rsidRPr="00552ECF">
        <w:rPr>
          <w:lang w:val="pl-PL"/>
        </w:rPr>
        <w:t xml:space="preserve">ustalenia </w:t>
      </w:r>
      <w:r w:rsidR="00211EB9">
        <w:rPr>
          <w:lang w:val="pl-PL"/>
        </w:rPr>
        <w:t xml:space="preserve">przez sąd krajowy </w:t>
      </w:r>
      <w:r w:rsidRPr="00552ECF">
        <w:rPr>
          <w:lang w:val="pl-PL"/>
        </w:rPr>
        <w:t>zgodności art. 2 ust. 1 ustawy z 1961 r. z prawem do poszanowania życia prywatnego</w:t>
      </w:r>
      <w:r w:rsidR="00211EB9">
        <w:rPr>
          <w:lang w:val="pl-PL"/>
        </w:rPr>
        <w:t xml:space="preserve"> (art. 8 Konwencji)</w:t>
      </w:r>
      <w:r>
        <w:rPr>
          <w:lang w:val="pl-PL"/>
        </w:rPr>
        <w:t xml:space="preserve"> </w:t>
      </w:r>
      <w:r w:rsidR="008C69E1">
        <w:rPr>
          <w:lang w:val="pl-PL"/>
        </w:rPr>
        <w:t xml:space="preserve">naruszone zostało </w:t>
      </w:r>
      <w:r w:rsidRPr="00552ECF">
        <w:rPr>
          <w:lang w:val="pl-PL"/>
        </w:rPr>
        <w:t xml:space="preserve"> </w:t>
      </w:r>
      <w:r>
        <w:rPr>
          <w:lang w:val="pl-PL"/>
        </w:rPr>
        <w:t xml:space="preserve">to </w:t>
      </w:r>
      <w:r w:rsidRPr="00552ECF">
        <w:rPr>
          <w:lang w:val="pl-PL"/>
        </w:rPr>
        <w:t xml:space="preserve">prawo </w:t>
      </w:r>
      <w:r>
        <w:rPr>
          <w:lang w:val="pl-PL"/>
        </w:rPr>
        <w:t>w odniesieniu do niej oraz jej męża</w:t>
      </w:r>
      <w:r w:rsidRPr="00552ECF">
        <w:rPr>
          <w:lang w:val="pl-PL"/>
        </w:rPr>
        <w:t xml:space="preserve">. Nie </w:t>
      </w:r>
      <w:r w:rsidR="00427079">
        <w:rPr>
          <w:lang w:val="pl-PL"/>
        </w:rPr>
        <w:t xml:space="preserve">dochodziła natomiast </w:t>
      </w:r>
      <w:r w:rsidRPr="00552ECF">
        <w:rPr>
          <w:lang w:val="pl-PL"/>
        </w:rPr>
        <w:t xml:space="preserve">wprost </w:t>
      </w:r>
      <w:r w:rsidR="00513AAA">
        <w:rPr>
          <w:lang w:val="pl-PL"/>
        </w:rPr>
        <w:t>zmiany</w:t>
      </w:r>
      <w:r w:rsidRPr="00552ECF">
        <w:rPr>
          <w:lang w:val="pl-PL"/>
        </w:rPr>
        <w:t xml:space="preserve"> przez Trybunał rozstrzygnięcia </w:t>
      </w:r>
      <w:r>
        <w:rPr>
          <w:lang w:val="pl-PL"/>
        </w:rPr>
        <w:t xml:space="preserve">co do meritum </w:t>
      </w:r>
      <w:r w:rsidRPr="00552ECF">
        <w:rPr>
          <w:lang w:val="pl-PL"/>
        </w:rPr>
        <w:t xml:space="preserve">przyjętego w sprawie </w:t>
      </w:r>
      <w:proofErr w:type="spellStart"/>
      <w:r w:rsidRPr="00552ECF">
        <w:rPr>
          <w:lang w:val="pl-PL"/>
        </w:rPr>
        <w:t>Pretty</w:t>
      </w:r>
      <w:proofErr w:type="spellEnd"/>
      <w:r w:rsidRPr="00552ECF">
        <w:rPr>
          <w:lang w:val="pl-PL"/>
        </w:rPr>
        <w:t xml:space="preserve"> p. Zjednoczonemu Królestwu.</w:t>
      </w:r>
    </w:p>
    <w:p w:rsidR="00110518" w:rsidRDefault="00110518" w:rsidP="00110518">
      <w:pPr>
        <w:spacing w:after="120" w:line="240" w:lineRule="auto"/>
        <w:jc w:val="both"/>
        <w:rPr>
          <w:lang w:val="pl-PL"/>
        </w:rPr>
      </w:pPr>
      <w:r w:rsidRPr="00552ECF">
        <w:rPr>
          <w:lang w:val="pl-PL"/>
        </w:rPr>
        <w:t xml:space="preserve">Trybunał uznał, że skarga jest w sposób oczywisty nieuzasadniona i w rezultacie niedopuszczalna na mocy art. 35 ust. 3 i 4 Konwencji. </w:t>
      </w:r>
      <w:r>
        <w:rPr>
          <w:lang w:val="pl-PL"/>
        </w:rPr>
        <w:t>P</w:t>
      </w:r>
      <w:r w:rsidRPr="00552ECF">
        <w:rPr>
          <w:lang w:val="pl-PL"/>
        </w:rPr>
        <w:t xml:space="preserve">rzypomniał, że </w:t>
      </w:r>
      <w:r w:rsidR="00D90C67" w:rsidRPr="00552ECF">
        <w:rPr>
          <w:lang w:val="pl-PL"/>
        </w:rPr>
        <w:t>co prawda</w:t>
      </w:r>
      <w:r w:rsidR="00D90C67">
        <w:rPr>
          <w:lang w:val="pl-PL"/>
        </w:rPr>
        <w:t xml:space="preserve"> </w:t>
      </w:r>
      <w:r>
        <w:rPr>
          <w:lang w:val="pl-PL"/>
        </w:rPr>
        <w:t>osoby</w:t>
      </w:r>
      <w:r w:rsidRPr="00552ECF">
        <w:rPr>
          <w:lang w:val="pl-PL"/>
        </w:rPr>
        <w:t xml:space="preserve"> powinny mieć możliwość powoływania się w postępowaniu krajowym na argum</w:t>
      </w:r>
      <w:r w:rsidR="00204E57">
        <w:rPr>
          <w:lang w:val="pl-PL"/>
        </w:rPr>
        <w:t>enty oparte na art. 8 Konwencji i</w:t>
      </w:r>
      <w:r w:rsidRPr="00552ECF">
        <w:rPr>
          <w:lang w:val="pl-PL"/>
        </w:rPr>
        <w:t xml:space="preserve"> argumenty </w:t>
      </w:r>
      <w:r>
        <w:rPr>
          <w:lang w:val="pl-PL"/>
        </w:rPr>
        <w:t xml:space="preserve">te </w:t>
      </w:r>
      <w:r w:rsidRPr="00552ECF">
        <w:rPr>
          <w:lang w:val="pl-PL"/>
        </w:rPr>
        <w:t xml:space="preserve">powinny zostać rozważone, a tam gdzie </w:t>
      </w:r>
      <w:r>
        <w:rPr>
          <w:lang w:val="pl-PL"/>
        </w:rPr>
        <w:t xml:space="preserve">to </w:t>
      </w:r>
      <w:r w:rsidRPr="00552ECF">
        <w:rPr>
          <w:lang w:val="pl-PL"/>
        </w:rPr>
        <w:t xml:space="preserve">stosowne, uwzględnione w rozstrzygnięciach sądów krajowych.  Z drugiej strony przywołał jednak swe wcześniejsze orzecznictwo, iż art. 13 Konwencji (prawo do skutecznego środka odwoławczego) nie wymaga od państw zagwarantowania środka krajowego umożliwiającego jednostce kwestionowanie przed organem krajowym zgodności ustawodawstwa z Konwencją. </w:t>
      </w:r>
    </w:p>
    <w:p w:rsidR="00110518" w:rsidRPr="00552ECF" w:rsidRDefault="00AB19F8" w:rsidP="00110518">
      <w:pPr>
        <w:spacing w:after="120" w:line="240" w:lineRule="auto"/>
        <w:jc w:val="both"/>
        <w:rPr>
          <w:lang w:val="pl-PL"/>
        </w:rPr>
      </w:pPr>
      <w:r>
        <w:rPr>
          <w:lang w:val="pl-PL"/>
        </w:rPr>
        <w:t xml:space="preserve">Podstawowym zagadnieniem prawnym rozstrzyganym przez Trybunał w tej sprawie był fakt, że </w:t>
      </w:r>
      <w:r w:rsidR="00110518" w:rsidRPr="00552ECF">
        <w:rPr>
          <w:lang w:val="pl-PL"/>
        </w:rPr>
        <w:t xml:space="preserve">państwo </w:t>
      </w:r>
      <w:r w:rsidR="00D90C67">
        <w:rPr>
          <w:lang w:val="pl-PL"/>
        </w:rPr>
        <w:t xml:space="preserve">samo </w:t>
      </w:r>
      <w:r w:rsidR="00110518" w:rsidRPr="00552ECF">
        <w:rPr>
          <w:lang w:val="pl-PL"/>
        </w:rPr>
        <w:t>przyznało uprawnienie</w:t>
      </w:r>
      <w:r w:rsidR="004C546A">
        <w:rPr>
          <w:lang w:val="pl-PL"/>
        </w:rPr>
        <w:t xml:space="preserve"> do kwestionowania </w:t>
      </w:r>
      <w:r w:rsidR="00F60282">
        <w:rPr>
          <w:lang w:val="pl-PL"/>
        </w:rPr>
        <w:t xml:space="preserve">ustawodawstwa przed sądem </w:t>
      </w:r>
      <w:r w:rsidR="004C546A">
        <w:rPr>
          <w:lang w:val="pl-PL"/>
        </w:rPr>
        <w:t>w oparciu o zarzut niezgodności z Konwencją (art. 4 ust. 2 brytyjskiej ustawy o prawach człowieka)</w:t>
      </w:r>
      <w:r w:rsidR="00F60282">
        <w:rPr>
          <w:lang w:val="pl-PL"/>
        </w:rPr>
        <w:t>. Trybunał zbadał</w:t>
      </w:r>
      <w:r w:rsidR="00A53C3D">
        <w:rPr>
          <w:lang w:val="pl-PL"/>
        </w:rPr>
        <w:t xml:space="preserve"> więc</w:t>
      </w:r>
      <w:r w:rsidR="00F60282">
        <w:rPr>
          <w:lang w:val="pl-PL"/>
        </w:rPr>
        <w:t xml:space="preserve">, czy </w:t>
      </w:r>
      <w:r w:rsidR="00D90C67">
        <w:rPr>
          <w:lang w:val="pl-PL"/>
        </w:rPr>
        <w:t xml:space="preserve">uprawnienie </w:t>
      </w:r>
      <w:r w:rsidR="00237D99">
        <w:rPr>
          <w:lang w:val="pl-PL"/>
        </w:rPr>
        <w:t xml:space="preserve">takie </w:t>
      </w:r>
      <w:r w:rsidR="00110518" w:rsidRPr="00552ECF">
        <w:rPr>
          <w:lang w:val="pl-PL"/>
        </w:rPr>
        <w:t xml:space="preserve">podlega </w:t>
      </w:r>
      <w:r w:rsidR="00F60282">
        <w:rPr>
          <w:lang w:val="pl-PL"/>
        </w:rPr>
        <w:t xml:space="preserve">ochronie w ramach </w:t>
      </w:r>
      <w:r w:rsidR="00110518" w:rsidRPr="00552ECF">
        <w:rPr>
          <w:lang w:val="pl-PL"/>
        </w:rPr>
        <w:t xml:space="preserve">wymogów </w:t>
      </w:r>
      <w:r w:rsidR="00237D99" w:rsidRPr="00552ECF">
        <w:rPr>
          <w:lang w:val="pl-PL"/>
        </w:rPr>
        <w:t xml:space="preserve">proceduralnych </w:t>
      </w:r>
      <w:r w:rsidR="00110518" w:rsidRPr="00552ECF">
        <w:rPr>
          <w:lang w:val="pl-PL"/>
        </w:rPr>
        <w:t xml:space="preserve">wynikających z art. 8 Konwencji, w szczególności wymogu zbadania roszczenia co do meritum. </w:t>
      </w:r>
      <w:r>
        <w:rPr>
          <w:lang w:val="pl-PL"/>
        </w:rPr>
        <w:t>P</w:t>
      </w:r>
      <w:r w:rsidR="004C546A">
        <w:rPr>
          <w:lang w:val="pl-PL"/>
        </w:rPr>
        <w:t xml:space="preserve">rzypomniał </w:t>
      </w:r>
      <w:r w:rsidR="00237D99">
        <w:rPr>
          <w:lang w:val="pl-PL"/>
        </w:rPr>
        <w:t xml:space="preserve">w tym względzie </w:t>
      </w:r>
      <w:r w:rsidR="004C546A">
        <w:rPr>
          <w:lang w:val="pl-PL"/>
        </w:rPr>
        <w:t>sprawy</w:t>
      </w:r>
      <w:r w:rsidR="00110518" w:rsidRPr="00552ECF">
        <w:rPr>
          <w:lang w:val="pl-PL"/>
        </w:rPr>
        <w:t xml:space="preserve"> </w:t>
      </w:r>
      <w:hyperlink r:id="rId10" w:history="1">
        <w:proofErr w:type="spellStart"/>
        <w:r w:rsidR="00110518" w:rsidRPr="007A5A1A">
          <w:rPr>
            <w:rStyle w:val="Hipercze"/>
            <w:lang w:val="pl-PL"/>
          </w:rPr>
          <w:t>McCann</w:t>
        </w:r>
        <w:proofErr w:type="spellEnd"/>
        <w:r w:rsidR="00110518" w:rsidRPr="007A5A1A">
          <w:rPr>
            <w:rStyle w:val="Hipercze"/>
            <w:lang w:val="pl-PL"/>
          </w:rPr>
          <w:t xml:space="preserve"> p. Wielkiej Brytanii</w:t>
        </w:r>
      </w:hyperlink>
      <w:r w:rsidR="00110518">
        <w:rPr>
          <w:lang w:val="pl-PL"/>
        </w:rPr>
        <w:t xml:space="preserve"> (nr 19009/04</w:t>
      </w:r>
      <w:r w:rsidR="004C546A">
        <w:rPr>
          <w:rStyle w:val="Odwoanieprzypisudolnego"/>
          <w:lang w:val="pl-PL"/>
        </w:rPr>
        <w:footnoteReference w:id="4"/>
      </w:r>
      <w:r w:rsidR="00110518">
        <w:rPr>
          <w:lang w:val="pl-PL"/>
        </w:rPr>
        <w:t xml:space="preserve">) oraz </w:t>
      </w:r>
      <w:r w:rsidR="00237D99">
        <w:rPr>
          <w:lang w:val="pl-PL"/>
        </w:rPr>
        <w:t xml:space="preserve">zwłaszcza </w:t>
      </w:r>
      <w:r w:rsidR="00110518" w:rsidRPr="00552ECF">
        <w:rPr>
          <w:lang w:val="pl-PL"/>
        </w:rPr>
        <w:t>Koch p. Niemcom</w:t>
      </w:r>
      <w:r w:rsidR="00110518">
        <w:rPr>
          <w:lang w:val="pl-PL"/>
        </w:rPr>
        <w:t xml:space="preserve"> (nr 49</w:t>
      </w:r>
      <w:r w:rsidR="00A53C3D">
        <w:rPr>
          <w:lang w:val="pl-PL"/>
        </w:rPr>
        <w:t>7/09, wyrok z 19 lipca 2012 r.), w której</w:t>
      </w:r>
      <w:r w:rsidR="00110518" w:rsidRPr="00552ECF">
        <w:rPr>
          <w:lang w:val="pl-PL"/>
        </w:rPr>
        <w:t xml:space="preserve"> stwierdził</w:t>
      </w:r>
      <w:r w:rsidR="00A53C3D">
        <w:rPr>
          <w:lang w:val="pl-PL"/>
        </w:rPr>
        <w:t>, że</w:t>
      </w:r>
      <w:r w:rsidR="00110518" w:rsidRPr="00552ECF">
        <w:rPr>
          <w:lang w:val="pl-PL"/>
        </w:rPr>
        <w:t xml:space="preserve"> brak merytorycznego rozpoznania przez sądy krajowe skargi na odmowę lekarzy prz</w:t>
      </w:r>
      <w:r w:rsidR="004C546A">
        <w:rPr>
          <w:lang w:val="pl-PL"/>
        </w:rPr>
        <w:t>episania</w:t>
      </w:r>
      <w:r w:rsidR="00110518" w:rsidRPr="00552ECF">
        <w:rPr>
          <w:lang w:val="pl-PL"/>
        </w:rPr>
        <w:t xml:space="preserve"> śmiertelnej dawki środka</w:t>
      </w:r>
      <w:r w:rsidR="00A53C3D">
        <w:rPr>
          <w:lang w:val="pl-PL"/>
        </w:rPr>
        <w:t xml:space="preserve"> umożliwiającej popełnienie </w:t>
      </w:r>
      <w:r w:rsidR="00110518" w:rsidRPr="00552ECF">
        <w:rPr>
          <w:lang w:val="pl-PL"/>
        </w:rPr>
        <w:t>sa</w:t>
      </w:r>
      <w:r w:rsidR="00A53C3D">
        <w:rPr>
          <w:lang w:val="pl-PL"/>
        </w:rPr>
        <w:t>mobójstwa przez żonę skarżącego, stanowił naruszenie art. 8 Konwencji</w:t>
      </w:r>
      <w:r w:rsidR="00981CF1">
        <w:rPr>
          <w:lang w:val="pl-PL"/>
        </w:rPr>
        <w:t xml:space="preserve"> (sądy krajowe uznały tam brak legitymacji pr</w:t>
      </w:r>
      <w:r>
        <w:rPr>
          <w:lang w:val="pl-PL"/>
        </w:rPr>
        <w:t>ocesowej</w:t>
      </w:r>
      <w:r w:rsidR="00981CF1">
        <w:rPr>
          <w:lang w:val="pl-PL"/>
        </w:rPr>
        <w:t xml:space="preserve"> męża do popierania </w:t>
      </w:r>
      <w:r>
        <w:rPr>
          <w:lang w:val="pl-PL"/>
        </w:rPr>
        <w:t xml:space="preserve">takiej </w:t>
      </w:r>
      <w:r w:rsidR="00981CF1">
        <w:rPr>
          <w:lang w:val="pl-PL"/>
        </w:rPr>
        <w:t>skargi w imieniu jego zmarłej żony)</w:t>
      </w:r>
      <w:r w:rsidR="00A53C3D">
        <w:rPr>
          <w:lang w:val="pl-PL"/>
        </w:rPr>
        <w:t>.</w:t>
      </w:r>
      <w:r w:rsidR="00110518" w:rsidRPr="00552ECF">
        <w:rPr>
          <w:lang w:val="pl-PL"/>
        </w:rPr>
        <w:t xml:space="preserve">   </w:t>
      </w:r>
    </w:p>
    <w:p w:rsidR="0020365D" w:rsidRDefault="00110518" w:rsidP="00110518">
      <w:pPr>
        <w:spacing w:after="120" w:line="240" w:lineRule="auto"/>
        <w:jc w:val="both"/>
        <w:rPr>
          <w:lang w:val="pl-PL"/>
        </w:rPr>
      </w:pPr>
      <w:r w:rsidRPr="00552ECF">
        <w:rPr>
          <w:lang w:val="pl-PL"/>
        </w:rPr>
        <w:t xml:space="preserve">Trybunał nie uznał </w:t>
      </w:r>
      <w:r>
        <w:rPr>
          <w:lang w:val="pl-PL"/>
        </w:rPr>
        <w:t xml:space="preserve">jednak </w:t>
      </w:r>
      <w:r w:rsidRPr="00552ECF">
        <w:rPr>
          <w:lang w:val="pl-PL"/>
        </w:rPr>
        <w:t xml:space="preserve">za </w:t>
      </w:r>
      <w:r w:rsidR="003A49A5">
        <w:rPr>
          <w:lang w:val="pl-PL"/>
        </w:rPr>
        <w:t>właściwe</w:t>
      </w:r>
      <w:r w:rsidRPr="00552ECF">
        <w:rPr>
          <w:lang w:val="pl-PL"/>
        </w:rPr>
        <w:t xml:space="preserve"> </w:t>
      </w:r>
      <w:r w:rsidR="00AB19F8">
        <w:rPr>
          <w:lang w:val="pl-PL"/>
        </w:rPr>
        <w:t>dokonać rozszerzenia</w:t>
      </w:r>
      <w:r w:rsidRPr="00552ECF">
        <w:rPr>
          <w:lang w:val="pl-PL"/>
        </w:rPr>
        <w:t xml:space="preserve"> zakres</w:t>
      </w:r>
      <w:r w:rsidR="00AB19F8">
        <w:rPr>
          <w:lang w:val="pl-PL"/>
        </w:rPr>
        <w:t>u</w:t>
      </w:r>
      <w:r w:rsidRPr="00552ECF">
        <w:rPr>
          <w:lang w:val="pl-PL"/>
        </w:rPr>
        <w:t xml:space="preserve"> gwarancji proceduralnych </w:t>
      </w:r>
      <w:r>
        <w:rPr>
          <w:lang w:val="pl-PL"/>
        </w:rPr>
        <w:t xml:space="preserve">wymaganych </w:t>
      </w:r>
      <w:r w:rsidRPr="00552ECF">
        <w:rPr>
          <w:lang w:val="pl-PL"/>
        </w:rPr>
        <w:t>na podstawie art. 8</w:t>
      </w:r>
      <w:r w:rsidR="007A5A1A">
        <w:rPr>
          <w:lang w:val="pl-PL"/>
        </w:rPr>
        <w:t xml:space="preserve"> Konwencji</w:t>
      </w:r>
      <w:r w:rsidR="000145E5">
        <w:rPr>
          <w:lang w:val="pl-PL"/>
        </w:rPr>
        <w:t>.</w:t>
      </w:r>
      <w:r w:rsidRPr="00552ECF">
        <w:rPr>
          <w:lang w:val="pl-PL"/>
        </w:rPr>
        <w:t xml:space="preserve"> </w:t>
      </w:r>
      <w:r w:rsidR="008913F3">
        <w:rPr>
          <w:lang w:val="pl-PL"/>
        </w:rPr>
        <w:t xml:space="preserve">Byłoby to problematyczne z uwagi na stosowanie </w:t>
      </w:r>
      <w:r w:rsidRPr="00552ECF">
        <w:rPr>
          <w:lang w:val="pl-PL"/>
        </w:rPr>
        <w:t>margines</w:t>
      </w:r>
      <w:r w:rsidR="008913F3">
        <w:rPr>
          <w:lang w:val="pl-PL"/>
        </w:rPr>
        <w:t>u oceny przyznanego</w:t>
      </w:r>
      <w:r w:rsidRPr="00552ECF">
        <w:rPr>
          <w:lang w:val="pl-PL"/>
        </w:rPr>
        <w:t xml:space="preserve"> państwom w spraw</w:t>
      </w:r>
      <w:r w:rsidR="00DA2A22">
        <w:rPr>
          <w:lang w:val="pl-PL"/>
        </w:rPr>
        <w:t xml:space="preserve">ach </w:t>
      </w:r>
      <w:r w:rsidRPr="00552ECF">
        <w:rPr>
          <w:lang w:val="pl-PL"/>
        </w:rPr>
        <w:t>dotyczą</w:t>
      </w:r>
      <w:r w:rsidR="00DA2A22">
        <w:rPr>
          <w:lang w:val="pl-PL"/>
        </w:rPr>
        <w:t>cych</w:t>
      </w:r>
      <w:r w:rsidRPr="00552ECF">
        <w:rPr>
          <w:lang w:val="pl-PL"/>
        </w:rPr>
        <w:t xml:space="preserve"> zarzutów wobec ustawodawstwa</w:t>
      </w:r>
      <w:r w:rsidR="008913F3">
        <w:rPr>
          <w:lang w:val="pl-PL"/>
        </w:rPr>
        <w:t xml:space="preserve"> na gruncie art. 8</w:t>
      </w:r>
      <w:r w:rsidR="00AB19F8">
        <w:rPr>
          <w:lang w:val="pl-PL"/>
        </w:rPr>
        <w:t xml:space="preserve"> Konwencji</w:t>
      </w:r>
      <w:r w:rsidRPr="00552ECF">
        <w:rPr>
          <w:lang w:val="pl-PL"/>
        </w:rPr>
        <w:t>. To do państw należy określenie</w:t>
      </w:r>
      <w:r w:rsidR="00374FE9">
        <w:rPr>
          <w:lang w:val="pl-PL"/>
        </w:rPr>
        <w:t xml:space="preserve"> w ramach marginesu oceny</w:t>
      </w:r>
      <w:r w:rsidRPr="00552ECF">
        <w:rPr>
          <w:lang w:val="pl-PL"/>
        </w:rPr>
        <w:t>, jaki organ władzy jest odpowiedzialny za podejmowanie decyzji dotyc</w:t>
      </w:r>
      <w:r>
        <w:rPr>
          <w:lang w:val="pl-PL"/>
        </w:rPr>
        <w:t>zących polityki i ustawodawstwa.</w:t>
      </w:r>
      <w:r w:rsidRPr="00552ECF">
        <w:rPr>
          <w:lang w:val="pl-PL"/>
        </w:rPr>
        <w:t xml:space="preserve"> Nie jest rolą Trybunału wkraczanie w rozwiązania konstytucyjne państw. Gdy Trybunał stwierdza, że dana ustawa objęta jest marginesem oceny państwa, z reguły ma na myśli </w:t>
      </w:r>
      <w:r w:rsidR="007A5A1A">
        <w:rPr>
          <w:lang w:val="pl-PL"/>
        </w:rPr>
        <w:t xml:space="preserve">ocenę </w:t>
      </w:r>
      <w:r w:rsidRPr="00552ECF">
        <w:rPr>
          <w:lang w:val="pl-PL"/>
        </w:rPr>
        <w:t>parlament</w:t>
      </w:r>
      <w:r w:rsidR="007A5A1A">
        <w:rPr>
          <w:lang w:val="pl-PL"/>
        </w:rPr>
        <w:t>u</w:t>
      </w:r>
      <w:r w:rsidRPr="00552ECF">
        <w:rPr>
          <w:lang w:val="pl-PL"/>
        </w:rPr>
        <w:t xml:space="preserve">. W sprawie </w:t>
      </w:r>
      <w:proofErr w:type="spellStart"/>
      <w:r w:rsidRPr="00552ECF">
        <w:rPr>
          <w:lang w:val="pl-PL"/>
        </w:rPr>
        <w:t>Pretty</w:t>
      </w:r>
      <w:proofErr w:type="spellEnd"/>
      <w:r w:rsidRPr="00552ECF">
        <w:rPr>
          <w:lang w:val="pl-PL"/>
        </w:rPr>
        <w:t xml:space="preserve"> p. Zjednoczonemu Królestwu Trybunał uznał, że do państw należy ocena ryzyka i możliwych nadużyć, do </w:t>
      </w:r>
      <w:r w:rsidR="004C743C">
        <w:rPr>
          <w:lang w:val="pl-PL"/>
        </w:rPr>
        <w:t>jakich</w:t>
      </w:r>
      <w:r w:rsidRPr="00552ECF">
        <w:rPr>
          <w:lang w:val="pl-PL"/>
        </w:rPr>
        <w:t xml:space="preserve"> mogłoby dojść w razie złagodzenia zakazu udzielania pomocy w popełnieniu samobójstwa. Parlament brytyjski przeprowadził taką ocenę </w:t>
      </w:r>
      <w:r>
        <w:rPr>
          <w:lang w:val="pl-PL"/>
        </w:rPr>
        <w:t>przy okazji uchwalania nowego brzmienia przepisów</w:t>
      </w:r>
      <w:r w:rsidRPr="00552ECF">
        <w:rPr>
          <w:lang w:val="pl-PL"/>
        </w:rPr>
        <w:t xml:space="preserve"> w 2009 r. Gdyby uznać, że sądy krajowe mają obowiązek wydania orzeczenia</w:t>
      </w:r>
      <w:r w:rsidR="008913F3">
        <w:rPr>
          <w:lang w:val="pl-PL"/>
        </w:rPr>
        <w:t xml:space="preserve"> co do meritum</w:t>
      </w:r>
      <w:r w:rsidRPr="00552ECF">
        <w:rPr>
          <w:lang w:val="pl-PL"/>
        </w:rPr>
        <w:t xml:space="preserve"> w </w:t>
      </w:r>
      <w:r>
        <w:rPr>
          <w:lang w:val="pl-PL"/>
        </w:rPr>
        <w:t xml:space="preserve">tej </w:t>
      </w:r>
      <w:r w:rsidR="008913F3">
        <w:rPr>
          <w:lang w:val="pl-PL"/>
        </w:rPr>
        <w:t>sprawie, stanowiłoby to narzucanie</w:t>
      </w:r>
      <w:r w:rsidRPr="00552ECF">
        <w:rPr>
          <w:lang w:val="pl-PL"/>
        </w:rPr>
        <w:t xml:space="preserve"> im roli nie przewidzianej przez krajowy porządek konstytucyjny. Oznaczałoby to wymaganie od sądów, by podejmowały – zamiast parlamentu – decyzje dotyczące kwestii etycznych, filozoficznych czy społecznych. Trybunał nie uznał za zasadne</w:t>
      </w:r>
      <w:r w:rsidR="000145E5">
        <w:rPr>
          <w:lang w:val="pl-PL"/>
        </w:rPr>
        <w:t xml:space="preserve"> rozszerzać zakresu art. 8 Konwencji i</w:t>
      </w:r>
      <w:r w:rsidRPr="00552ECF">
        <w:rPr>
          <w:lang w:val="pl-PL"/>
        </w:rPr>
        <w:t xml:space="preserve"> wymagać od państw stworzenia procedury umożliwiającej podejmowanie przez sądy decyzji </w:t>
      </w:r>
      <w:r>
        <w:rPr>
          <w:lang w:val="pl-PL"/>
        </w:rPr>
        <w:t>odnośnie</w:t>
      </w:r>
      <w:r w:rsidRPr="00552ECF">
        <w:rPr>
          <w:lang w:val="pl-PL"/>
        </w:rPr>
        <w:t xml:space="preserve"> meritum </w:t>
      </w:r>
      <w:r>
        <w:rPr>
          <w:lang w:val="pl-PL"/>
        </w:rPr>
        <w:t xml:space="preserve">w </w:t>
      </w:r>
      <w:r w:rsidRPr="00552ECF">
        <w:rPr>
          <w:lang w:val="pl-PL"/>
        </w:rPr>
        <w:t>spraw</w:t>
      </w:r>
      <w:r>
        <w:rPr>
          <w:lang w:val="pl-PL"/>
        </w:rPr>
        <w:t>ach</w:t>
      </w:r>
      <w:r w:rsidRPr="00552ECF">
        <w:rPr>
          <w:lang w:val="pl-PL"/>
        </w:rPr>
        <w:t xml:space="preserve"> podobnych do obecnej. </w:t>
      </w:r>
    </w:p>
    <w:p w:rsidR="00110518" w:rsidRPr="00552ECF" w:rsidRDefault="00110518" w:rsidP="00110518">
      <w:pPr>
        <w:spacing w:after="120" w:line="240" w:lineRule="auto"/>
        <w:jc w:val="both"/>
        <w:rPr>
          <w:lang w:val="pl-PL"/>
        </w:rPr>
      </w:pPr>
      <w:r w:rsidRPr="00552ECF">
        <w:rPr>
          <w:lang w:val="pl-PL"/>
        </w:rPr>
        <w:t xml:space="preserve">Przy okazji Trybunał odnotował, </w:t>
      </w:r>
      <w:r w:rsidRPr="00733A1B">
        <w:rPr>
          <w:lang w:val="pl-PL"/>
        </w:rPr>
        <w:t>że SN w istocie zbadał meritum sprawy pierwsze</w:t>
      </w:r>
      <w:r w:rsidR="004C743C">
        <w:rPr>
          <w:lang w:val="pl-PL"/>
        </w:rPr>
        <w:t>j</w:t>
      </w:r>
      <w:r w:rsidRPr="00733A1B">
        <w:rPr>
          <w:lang w:val="pl-PL"/>
        </w:rPr>
        <w:t xml:space="preserve"> skarżące</w:t>
      </w:r>
      <w:r w:rsidR="004C743C">
        <w:rPr>
          <w:lang w:val="pl-PL"/>
        </w:rPr>
        <w:t>j</w:t>
      </w:r>
      <w:r w:rsidRPr="00733A1B">
        <w:rPr>
          <w:lang w:val="pl-PL"/>
        </w:rPr>
        <w:t xml:space="preserve"> i dokonał oceny proporcjonalności </w:t>
      </w:r>
      <w:r w:rsidR="004C743C">
        <w:rPr>
          <w:lang w:val="pl-PL"/>
        </w:rPr>
        <w:t>przyjętych regulacji ustawowych. SN uznał</w:t>
      </w:r>
      <w:r w:rsidRPr="00733A1B">
        <w:rPr>
          <w:lang w:val="pl-PL"/>
        </w:rPr>
        <w:t xml:space="preserve">, że nie wykazano, by od czasu wyroku w sprawie </w:t>
      </w:r>
      <w:proofErr w:type="spellStart"/>
      <w:r w:rsidRPr="00733A1B">
        <w:rPr>
          <w:lang w:val="pl-PL"/>
        </w:rPr>
        <w:t>Pretty</w:t>
      </w:r>
      <w:proofErr w:type="spellEnd"/>
      <w:r w:rsidRPr="00733A1B">
        <w:rPr>
          <w:lang w:val="pl-PL"/>
        </w:rPr>
        <w:t xml:space="preserve"> doszło do zmiany sytuacji</w:t>
      </w:r>
      <w:r w:rsidR="00237D99" w:rsidRPr="00733A1B">
        <w:rPr>
          <w:lang w:val="pl-PL"/>
        </w:rPr>
        <w:t>, która uzasadniałaby</w:t>
      </w:r>
      <w:r w:rsidRPr="00733A1B">
        <w:rPr>
          <w:lang w:val="pl-PL"/>
        </w:rPr>
        <w:t xml:space="preserve"> twierdzenie, że regulacje te nie są już proporcjonalne. Nie można </w:t>
      </w:r>
      <w:r w:rsidR="00237D99" w:rsidRPr="00733A1B">
        <w:rPr>
          <w:lang w:val="pl-PL"/>
        </w:rPr>
        <w:t xml:space="preserve">też </w:t>
      </w:r>
      <w:r w:rsidRPr="00733A1B">
        <w:rPr>
          <w:lang w:val="pl-PL"/>
        </w:rPr>
        <w:t>twierdzić, że SN nie dokonał wyważenia interesów (</w:t>
      </w:r>
      <w:proofErr w:type="spellStart"/>
      <w:r w:rsidRPr="00733A1B">
        <w:rPr>
          <w:i/>
          <w:lang w:val="pl-PL"/>
        </w:rPr>
        <w:t>balancing</w:t>
      </w:r>
      <w:proofErr w:type="spellEnd"/>
      <w:r w:rsidRPr="00733A1B">
        <w:rPr>
          <w:i/>
          <w:lang w:val="pl-PL"/>
        </w:rPr>
        <w:t xml:space="preserve"> </w:t>
      </w:r>
      <w:proofErr w:type="spellStart"/>
      <w:r w:rsidRPr="00733A1B">
        <w:rPr>
          <w:i/>
          <w:lang w:val="pl-PL"/>
        </w:rPr>
        <w:t>exercise</w:t>
      </w:r>
      <w:proofErr w:type="spellEnd"/>
      <w:r w:rsidRPr="00733A1B">
        <w:rPr>
          <w:lang w:val="pl-PL"/>
        </w:rPr>
        <w:t xml:space="preserve">) </w:t>
      </w:r>
      <w:r w:rsidR="007A5A1A" w:rsidRPr="00733A1B">
        <w:rPr>
          <w:lang w:val="pl-PL"/>
        </w:rPr>
        <w:t xml:space="preserve">– </w:t>
      </w:r>
      <w:r w:rsidRPr="00733A1B">
        <w:rPr>
          <w:lang w:val="pl-PL"/>
        </w:rPr>
        <w:t>większość sędziów uznała jednak (do czego była up</w:t>
      </w:r>
      <w:r w:rsidRPr="00552ECF">
        <w:rPr>
          <w:lang w:val="pl-PL"/>
        </w:rPr>
        <w:t>rawniona z uwagi na wrażliwy charakter sprawy i brak konsensu wśród Państw-Stron), że w tym względzie opinia parlamentu ma</w:t>
      </w:r>
      <w:r w:rsidR="007A5A1A">
        <w:rPr>
          <w:lang w:val="pl-PL"/>
        </w:rPr>
        <w:t xml:space="preserve"> </w:t>
      </w:r>
      <w:r w:rsidR="00C63309">
        <w:rPr>
          <w:lang w:val="pl-PL"/>
        </w:rPr>
        <w:t xml:space="preserve">doniosłe </w:t>
      </w:r>
      <w:r w:rsidR="007A5A1A">
        <w:rPr>
          <w:lang w:val="pl-PL"/>
        </w:rPr>
        <w:t>znaczenie</w:t>
      </w:r>
      <w:r w:rsidRPr="00552ECF">
        <w:rPr>
          <w:lang w:val="pl-PL"/>
        </w:rPr>
        <w:t xml:space="preserve">. </w:t>
      </w:r>
    </w:p>
    <w:p w:rsidR="00110518" w:rsidRDefault="00110518" w:rsidP="00110518">
      <w:pPr>
        <w:spacing w:after="120" w:line="240" w:lineRule="auto"/>
        <w:jc w:val="both"/>
        <w:rPr>
          <w:lang w:val="pl-PL"/>
        </w:rPr>
      </w:pPr>
      <w:r w:rsidRPr="00DF7F41">
        <w:rPr>
          <w:u w:val="single"/>
          <w:lang w:val="pl-PL"/>
        </w:rPr>
        <w:t xml:space="preserve">Zarzuty </w:t>
      </w:r>
      <w:r>
        <w:rPr>
          <w:u w:val="single"/>
          <w:lang w:val="pl-PL"/>
        </w:rPr>
        <w:t>drugiego skarżące</w:t>
      </w:r>
      <w:r w:rsidR="00BC7511">
        <w:rPr>
          <w:u w:val="single"/>
          <w:lang w:val="pl-PL"/>
        </w:rPr>
        <w:t>go</w:t>
      </w:r>
      <w:r>
        <w:rPr>
          <w:u w:val="single"/>
          <w:lang w:val="pl-PL"/>
        </w:rPr>
        <w:t xml:space="preserve"> i ocena Trybunału</w:t>
      </w:r>
    </w:p>
    <w:p w:rsidR="00110518" w:rsidRDefault="00110518" w:rsidP="00110518">
      <w:pPr>
        <w:spacing w:after="120" w:line="240" w:lineRule="auto"/>
        <w:jc w:val="both"/>
        <w:rPr>
          <w:lang w:val="pl-PL"/>
        </w:rPr>
      </w:pPr>
      <w:r w:rsidRPr="00552ECF">
        <w:rPr>
          <w:lang w:val="pl-PL"/>
        </w:rPr>
        <w:t xml:space="preserve">Drugi skarżący podniósł zarzut dotyczący </w:t>
      </w:r>
      <w:r w:rsidR="00652F29">
        <w:rPr>
          <w:lang w:val="pl-PL"/>
        </w:rPr>
        <w:t xml:space="preserve">naruszenia art. 6, 8 13 i 14 Konwencji z uwagi na </w:t>
      </w:r>
      <w:r w:rsidRPr="00552ECF">
        <w:rPr>
          <w:lang w:val="pl-PL"/>
        </w:rPr>
        <w:t>br</w:t>
      </w:r>
      <w:r w:rsidR="00652F29">
        <w:rPr>
          <w:lang w:val="pl-PL"/>
        </w:rPr>
        <w:t>ak</w:t>
      </w:r>
      <w:r w:rsidRPr="00552ECF">
        <w:rPr>
          <w:lang w:val="pl-PL"/>
        </w:rPr>
        <w:t xml:space="preserve"> </w:t>
      </w:r>
      <w:r w:rsidR="004C743C">
        <w:rPr>
          <w:lang w:val="pl-PL"/>
        </w:rPr>
        <w:t xml:space="preserve">możliwości ubiegania się o </w:t>
      </w:r>
      <w:r w:rsidR="00374FE9">
        <w:rPr>
          <w:lang w:val="pl-PL"/>
        </w:rPr>
        <w:t>wydanie upoważnienia</w:t>
      </w:r>
      <w:r w:rsidR="004C743C">
        <w:rPr>
          <w:lang w:val="pl-PL"/>
        </w:rPr>
        <w:t xml:space="preserve"> przez sąd</w:t>
      </w:r>
      <w:r w:rsidRPr="00552ECF">
        <w:rPr>
          <w:lang w:val="pl-PL"/>
        </w:rPr>
        <w:t xml:space="preserve"> do dokonania dobrowolnej eutanazji</w:t>
      </w:r>
      <w:r w:rsidR="004C743C">
        <w:rPr>
          <w:lang w:val="pl-PL"/>
        </w:rPr>
        <w:t xml:space="preserve"> </w:t>
      </w:r>
      <w:r w:rsidRPr="00552ECF">
        <w:rPr>
          <w:lang w:val="pl-PL"/>
        </w:rPr>
        <w:t>w przypadkach</w:t>
      </w:r>
      <w:r w:rsidR="007A5A1A" w:rsidRPr="007A5A1A">
        <w:rPr>
          <w:lang w:val="pl-PL"/>
        </w:rPr>
        <w:t xml:space="preserve"> </w:t>
      </w:r>
      <w:r w:rsidR="007A5A1A" w:rsidRPr="00552ECF">
        <w:rPr>
          <w:lang w:val="pl-PL"/>
        </w:rPr>
        <w:t>takich</w:t>
      </w:r>
      <w:r w:rsidRPr="00552ECF">
        <w:rPr>
          <w:lang w:val="pl-PL"/>
        </w:rPr>
        <w:t xml:space="preserve"> jak jego</w:t>
      </w:r>
      <w:r w:rsidR="004C743C">
        <w:rPr>
          <w:lang w:val="pl-PL"/>
        </w:rPr>
        <w:t xml:space="preserve"> (chodziłoby o zaaplikowanie mu przez osobę trzecią śmiertelnej dawki)</w:t>
      </w:r>
      <w:r w:rsidRPr="00552ECF">
        <w:rPr>
          <w:lang w:val="pl-PL"/>
        </w:rPr>
        <w:t xml:space="preserve">. </w:t>
      </w:r>
    </w:p>
    <w:p w:rsidR="00110518" w:rsidRPr="00552ECF" w:rsidRDefault="00110518" w:rsidP="00110518">
      <w:pPr>
        <w:spacing w:after="120" w:line="240" w:lineRule="auto"/>
        <w:jc w:val="both"/>
        <w:rPr>
          <w:lang w:val="pl-PL"/>
        </w:rPr>
      </w:pPr>
      <w:r w:rsidRPr="00552ECF">
        <w:rPr>
          <w:lang w:val="pl-PL"/>
        </w:rPr>
        <w:t xml:space="preserve">Skarga została uznana za niedopuszczalną </w:t>
      </w:r>
      <w:r>
        <w:rPr>
          <w:lang w:val="pl-PL"/>
        </w:rPr>
        <w:t xml:space="preserve">na podstawie art. 35 ust. 1 i 4 Konwencji </w:t>
      </w:r>
      <w:r w:rsidRPr="00552ECF">
        <w:rPr>
          <w:lang w:val="pl-PL"/>
        </w:rPr>
        <w:t>z uwagi na niewykorzystanie środków krajowy</w:t>
      </w:r>
      <w:r>
        <w:rPr>
          <w:lang w:val="pl-PL"/>
        </w:rPr>
        <w:t>ch.</w:t>
      </w:r>
      <w:r w:rsidRPr="00552ECF">
        <w:rPr>
          <w:lang w:val="pl-PL"/>
        </w:rPr>
        <w:t xml:space="preserve"> </w:t>
      </w:r>
      <w:r>
        <w:rPr>
          <w:lang w:val="pl-PL"/>
        </w:rPr>
        <w:t>S</w:t>
      </w:r>
      <w:r w:rsidRPr="00552ECF">
        <w:rPr>
          <w:lang w:val="pl-PL"/>
        </w:rPr>
        <w:t xml:space="preserve">karżący zrezygnował </w:t>
      </w:r>
      <w:r>
        <w:rPr>
          <w:lang w:val="pl-PL"/>
        </w:rPr>
        <w:t xml:space="preserve">bowiem </w:t>
      </w:r>
      <w:r w:rsidRPr="00552ECF">
        <w:rPr>
          <w:lang w:val="pl-PL"/>
        </w:rPr>
        <w:t>z dochodzenia tego zarzutu przed Sądem Najwyższym – postępowanie przed SN dotyczyło wyłącznie zgodności art. 2 ust. 1 ustawy z 1961 r.</w:t>
      </w:r>
      <w:r w:rsidR="00652F29">
        <w:rPr>
          <w:lang w:val="pl-PL"/>
        </w:rPr>
        <w:t xml:space="preserve"> z Konwencją</w:t>
      </w:r>
      <w:r w:rsidR="00DE00EB">
        <w:rPr>
          <w:lang w:val="pl-PL"/>
        </w:rPr>
        <w:t xml:space="preserve"> (a więc przepisów dotyczących </w:t>
      </w:r>
      <w:r w:rsidR="003152E7">
        <w:rPr>
          <w:lang w:val="pl-PL"/>
        </w:rPr>
        <w:t>kryminalizacji</w:t>
      </w:r>
      <w:r w:rsidR="00DE00EB">
        <w:rPr>
          <w:lang w:val="pl-PL"/>
        </w:rPr>
        <w:t xml:space="preserve"> pomocy w popełnieniu samobójstwa, a nie przepisów dotyczących </w:t>
      </w:r>
      <w:r w:rsidR="003152E7">
        <w:rPr>
          <w:lang w:val="pl-PL"/>
        </w:rPr>
        <w:t>kryminalizacji</w:t>
      </w:r>
      <w:r w:rsidR="00DE00EB">
        <w:rPr>
          <w:lang w:val="pl-PL"/>
        </w:rPr>
        <w:t xml:space="preserve"> pozbawienia życia osoby w warunkach dobrowolnej eutanazji)</w:t>
      </w:r>
      <w:r w:rsidR="00652F29">
        <w:rPr>
          <w:lang w:val="pl-PL"/>
        </w:rPr>
        <w:t>.</w:t>
      </w:r>
      <w:r w:rsidRPr="00552ECF">
        <w:rPr>
          <w:lang w:val="pl-PL"/>
        </w:rPr>
        <w:t xml:space="preserve"> </w:t>
      </w:r>
      <w:r w:rsidR="00011FCA">
        <w:rPr>
          <w:lang w:val="pl-PL"/>
        </w:rPr>
        <w:t>W opinii Trybunału, w</w:t>
      </w:r>
      <w:r w:rsidRPr="00552ECF">
        <w:rPr>
          <w:lang w:val="pl-PL"/>
        </w:rPr>
        <w:t xml:space="preserve"> ten sposób skarżący pozbawił SN możliwości zbadania zarzucanego </w:t>
      </w:r>
      <w:r w:rsidR="00652F29">
        <w:rPr>
          <w:lang w:val="pl-PL"/>
        </w:rPr>
        <w:t xml:space="preserve">obecnie </w:t>
      </w:r>
      <w:r w:rsidRPr="00552ECF">
        <w:rPr>
          <w:lang w:val="pl-PL"/>
        </w:rPr>
        <w:t>naruszenia Konwencji. Trybunał przypomniał swe utrwalone orzecznictwo w świetle którego, jeśli istnieje możliwość powołania się na naruszenie Konwencji w postępowaniu krajowym, skarżący powinien z niej skorzystać, i nie jest wystarczający fakt, że wykorzystał inne środki, które również umożliwiały uchylenie zaskarżonego środka, lecz na innej podstawie</w:t>
      </w:r>
      <w:r w:rsidR="00011FCA">
        <w:rPr>
          <w:lang w:val="pl-PL"/>
        </w:rPr>
        <w:t>,</w:t>
      </w:r>
      <w:r w:rsidRPr="00552ECF">
        <w:rPr>
          <w:lang w:val="pl-PL"/>
        </w:rPr>
        <w:t xml:space="preserve"> niezwiązanej ze skargą na naruszenie Konwencji. </w:t>
      </w:r>
      <w:r w:rsidR="00981CF1">
        <w:rPr>
          <w:lang w:val="pl-PL"/>
        </w:rPr>
        <w:t>Byłoby to w</w:t>
      </w:r>
      <w:r w:rsidRPr="00552ECF">
        <w:rPr>
          <w:lang w:val="pl-PL"/>
        </w:rPr>
        <w:t>brew subsydiarnej naturze mechanizmu konwencyjnego, gdyby</w:t>
      </w:r>
      <w:r w:rsidRPr="0038370C">
        <w:rPr>
          <w:lang w:val="pl-PL"/>
        </w:rPr>
        <w:t xml:space="preserve"> </w:t>
      </w:r>
      <w:r w:rsidRPr="00552ECF">
        <w:rPr>
          <w:lang w:val="pl-PL"/>
        </w:rPr>
        <w:t xml:space="preserve">ignorując możliwe argumenty </w:t>
      </w:r>
      <w:r>
        <w:rPr>
          <w:lang w:val="pl-PL"/>
        </w:rPr>
        <w:t>oparte na Konwencji</w:t>
      </w:r>
      <w:r w:rsidRPr="00552ECF">
        <w:rPr>
          <w:lang w:val="pl-PL"/>
        </w:rPr>
        <w:t xml:space="preserve"> skarżący mógł powoływać się przed organami krajowymi na inne względy w celu zakwestionowania przedmiotowego środka, a następnie składałby skargę do Trybunału powołując się na argumenty konwencyjne. </w:t>
      </w:r>
    </w:p>
    <w:p w:rsidR="00110518" w:rsidRDefault="00110518" w:rsidP="004C743C">
      <w:pPr>
        <w:spacing w:after="120" w:line="240" w:lineRule="auto"/>
        <w:jc w:val="both"/>
        <w:rPr>
          <w:lang w:val="pl-PL"/>
        </w:rPr>
      </w:pPr>
      <w:r w:rsidRPr="005E1709">
        <w:rPr>
          <w:u w:val="single"/>
          <w:lang w:val="pl-PL"/>
        </w:rPr>
        <w:t>Znaczenie decyzji dla Polski</w:t>
      </w:r>
      <w:r w:rsidRPr="00552ECF">
        <w:rPr>
          <w:lang w:val="pl-PL"/>
        </w:rPr>
        <w:t xml:space="preserve">: zasługuje na uwagę ze względu na podobieństwo regulacji polskich </w:t>
      </w:r>
      <w:r>
        <w:rPr>
          <w:lang w:val="pl-PL"/>
        </w:rPr>
        <w:t xml:space="preserve">i angielskich </w:t>
      </w:r>
      <w:r w:rsidRPr="00552ECF">
        <w:rPr>
          <w:lang w:val="pl-PL"/>
        </w:rPr>
        <w:t xml:space="preserve">dotyczących </w:t>
      </w:r>
      <w:r w:rsidR="0024315E">
        <w:rPr>
          <w:lang w:val="pl-PL"/>
        </w:rPr>
        <w:t xml:space="preserve">kryminalizacji </w:t>
      </w:r>
      <w:r w:rsidR="00AF1D34">
        <w:rPr>
          <w:lang w:val="pl-PL"/>
        </w:rPr>
        <w:t xml:space="preserve">udzielenia </w:t>
      </w:r>
      <w:r w:rsidRPr="00552ECF">
        <w:rPr>
          <w:lang w:val="pl-PL"/>
        </w:rPr>
        <w:t xml:space="preserve">pomocy w popełnieniu samobójstwa. Trybunał nie odstąpił od ustaleń przyjętych w sprawie </w:t>
      </w:r>
      <w:proofErr w:type="spellStart"/>
      <w:r w:rsidRPr="00552ECF">
        <w:rPr>
          <w:lang w:val="pl-PL"/>
        </w:rPr>
        <w:t>Pretty</w:t>
      </w:r>
      <w:proofErr w:type="spellEnd"/>
      <w:r w:rsidRPr="00552ECF">
        <w:rPr>
          <w:lang w:val="pl-PL"/>
        </w:rPr>
        <w:t xml:space="preserve"> p. Zjednoczonemu Królestwu. Potwierdził, iż </w:t>
      </w:r>
      <w:r w:rsidR="00E65DB0">
        <w:rPr>
          <w:lang w:val="pl-PL"/>
        </w:rPr>
        <w:t xml:space="preserve">regulacje </w:t>
      </w:r>
      <w:r w:rsidRPr="00552ECF">
        <w:rPr>
          <w:lang w:val="pl-PL"/>
        </w:rPr>
        <w:t xml:space="preserve">dotyczące </w:t>
      </w:r>
      <w:r w:rsidR="00E65DB0">
        <w:rPr>
          <w:lang w:val="pl-PL"/>
        </w:rPr>
        <w:t xml:space="preserve">takiego </w:t>
      </w:r>
      <w:r w:rsidR="00CC7D89">
        <w:rPr>
          <w:lang w:val="pl-PL"/>
        </w:rPr>
        <w:t xml:space="preserve">zakazu </w:t>
      </w:r>
      <w:r w:rsidRPr="00552ECF">
        <w:rPr>
          <w:lang w:val="pl-PL"/>
        </w:rPr>
        <w:t xml:space="preserve">należą do marginesu oceny państw. </w:t>
      </w:r>
    </w:p>
    <w:p w:rsidR="00110518" w:rsidRDefault="001B2CC7" w:rsidP="004C743C">
      <w:pPr>
        <w:spacing w:after="120" w:line="240" w:lineRule="auto"/>
        <w:jc w:val="both"/>
        <w:rPr>
          <w:lang w:val="pl-PL"/>
        </w:rPr>
      </w:pPr>
      <w:r>
        <w:rPr>
          <w:lang w:val="pl-PL"/>
        </w:rPr>
        <w:t>W skardze podjęto próbę zakwestionowania takich uregulowań</w:t>
      </w:r>
      <w:r w:rsidR="004C7AAE">
        <w:rPr>
          <w:lang w:val="pl-PL"/>
        </w:rPr>
        <w:t xml:space="preserve"> pośrednio – poprzez</w:t>
      </w:r>
      <w:r>
        <w:rPr>
          <w:lang w:val="pl-PL"/>
        </w:rPr>
        <w:t xml:space="preserve"> </w:t>
      </w:r>
      <w:r w:rsidR="004C7AAE">
        <w:rPr>
          <w:lang w:val="pl-PL"/>
        </w:rPr>
        <w:t>powołanie</w:t>
      </w:r>
      <w:r>
        <w:rPr>
          <w:lang w:val="pl-PL"/>
        </w:rPr>
        <w:t xml:space="preserve"> się na gwarancje proceduralne wynikające z art. 8 Konwencji. </w:t>
      </w:r>
      <w:r w:rsidR="005F25A5">
        <w:rPr>
          <w:lang w:val="pl-PL"/>
        </w:rPr>
        <w:t xml:space="preserve">Podstawą do takiej próby mogło być w szczególności rozstrzygnięcie Trybunału z </w:t>
      </w:r>
      <w:r w:rsidR="00110518">
        <w:rPr>
          <w:lang w:val="pl-PL"/>
        </w:rPr>
        <w:t>2012 r. w sprawie Koch p. Niemcom</w:t>
      </w:r>
      <w:r w:rsidR="00981CF1">
        <w:rPr>
          <w:lang w:val="pl-PL"/>
        </w:rPr>
        <w:t xml:space="preserve">, w którym </w:t>
      </w:r>
      <w:r w:rsidR="00110518">
        <w:rPr>
          <w:lang w:val="pl-PL"/>
        </w:rPr>
        <w:t>stwierdził</w:t>
      </w:r>
      <w:r w:rsidR="00DC5C06">
        <w:rPr>
          <w:lang w:val="pl-PL"/>
        </w:rPr>
        <w:t xml:space="preserve"> </w:t>
      </w:r>
      <w:r w:rsidR="005B6FAE">
        <w:rPr>
          <w:lang w:val="pl-PL"/>
        </w:rPr>
        <w:t xml:space="preserve">on </w:t>
      </w:r>
      <w:r w:rsidR="00110518">
        <w:rPr>
          <w:lang w:val="pl-PL"/>
        </w:rPr>
        <w:t xml:space="preserve">naruszenie art. 8 Konwencji </w:t>
      </w:r>
      <w:r w:rsidR="00B948E7">
        <w:rPr>
          <w:lang w:val="pl-PL"/>
        </w:rPr>
        <w:t xml:space="preserve">w jego proceduralnym aspekcie </w:t>
      </w:r>
      <w:r w:rsidR="00110518">
        <w:rPr>
          <w:lang w:val="pl-PL"/>
        </w:rPr>
        <w:t>z uwagi na brak merytorycznego rozpatrzenia przez sądy skargi na odmowę przepisania śmiertelnej dawki umożliwiającej popełnienie samobójstwa</w:t>
      </w:r>
      <w:r w:rsidR="00C45BB5">
        <w:rPr>
          <w:lang w:val="pl-PL"/>
        </w:rPr>
        <w:t xml:space="preserve"> przez żonę skarżącego</w:t>
      </w:r>
      <w:r w:rsidR="00110518">
        <w:rPr>
          <w:lang w:val="pl-PL"/>
        </w:rPr>
        <w:t>.</w:t>
      </w:r>
      <w:r w:rsidR="00B948E7">
        <w:rPr>
          <w:lang w:val="pl-PL"/>
        </w:rPr>
        <w:t xml:space="preserve"> </w:t>
      </w:r>
      <w:r w:rsidR="00110518">
        <w:rPr>
          <w:lang w:val="pl-PL"/>
        </w:rPr>
        <w:t xml:space="preserve">W obecnej sprawie </w:t>
      </w:r>
      <w:r w:rsidR="005F25A5">
        <w:rPr>
          <w:lang w:val="pl-PL"/>
        </w:rPr>
        <w:t xml:space="preserve">Trybunał </w:t>
      </w:r>
      <w:r w:rsidR="00110518">
        <w:rPr>
          <w:lang w:val="pl-PL"/>
        </w:rPr>
        <w:t xml:space="preserve">uznał jednak, że państwa nie mają </w:t>
      </w:r>
      <w:r w:rsidR="00011FCA">
        <w:rPr>
          <w:lang w:val="pl-PL"/>
        </w:rPr>
        <w:t xml:space="preserve">na gruncie art. 8 Konwencji </w:t>
      </w:r>
      <w:r w:rsidR="00110518">
        <w:rPr>
          <w:lang w:val="pl-PL"/>
        </w:rPr>
        <w:t xml:space="preserve">obowiązku zapewnienia </w:t>
      </w:r>
      <w:r w:rsidR="005F25A5">
        <w:rPr>
          <w:lang w:val="pl-PL"/>
        </w:rPr>
        <w:t xml:space="preserve">merytorycznego </w:t>
      </w:r>
      <w:r>
        <w:rPr>
          <w:lang w:val="pl-PL"/>
        </w:rPr>
        <w:t xml:space="preserve">rozpoznania </w:t>
      </w:r>
      <w:r w:rsidR="00C254C8">
        <w:rPr>
          <w:lang w:val="pl-PL"/>
        </w:rPr>
        <w:t xml:space="preserve">przez sądy </w:t>
      </w:r>
      <w:r>
        <w:rPr>
          <w:lang w:val="pl-PL"/>
        </w:rPr>
        <w:t>wniosku kwestion</w:t>
      </w:r>
      <w:r w:rsidR="00213877">
        <w:rPr>
          <w:lang w:val="pl-PL"/>
        </w:rPr>
        <w:t xml:space="preserve">ującego </w:t>
      </w:r>
      <w:r>
        <w:rPr>
          <w:lang w:val="pl-PL"/>
        </w:rPr>
        <w:t>regulacje</w:t>
      </w:r>
      <w:r w:rsidR="00110518">
        <w:rPr>
          <w:lang w:val="pl-PL"/>
        </w:rPr>
        <w:t xml:space="preserve">, które </w:t>
      </w:r>
      <w:r w:rsidR="00B948E7">
        <w:rPr>
          <w:lang w:val="pl-PL"/>
        </w:rPr>
        <w:t>możliwość pomocy</w:t>
      </w:r>
      <w:r w:rsidR="005F25A5">
        <w:rPr>
          <w:lang w:val="pl-PL"/>
        </w:rPr>
        <w:t xml:space="preserve"> w popełnieniu samobójstwa wykluczają</w:t>
      </w:r>
      <w:r w:rsidR="00110518">
        <w:rPr>
          <w:lang w:val="pl-PL"/>
        </w:rPr>
        <w:t xml:space="preserve">. </w:t>
      </w:r>
    </w:p>
    <w:p w:rsidR="00C16974" w:rsidRDefault="00C16974" w:rsidP="004C743C">
      <w:pPr>
        <w:spacing w:after="120" w:line="240" w:lineRule="auto"/>
        <w:jc w:val="both"/>
        <w:rPr>
          <w:lang w:val="pl-PL"/>
        </w:rPr>
      </w:pPr>
      <w:r>
        <w:rPr>
          <w:lang w:val="pl-PL"/>
        </w:rPr>
        <w:t xml:space="preserve">Decyzja </w:t>
      </w:r>
      <w:r w:rsidRPr="00552ECF">
        <w:rPr>
          <w:lang w:val="pl-PL"/>
        </w:rPr>
        <w:t>Trybunał</w:t>
      </w:r>
      <w:r>
        <w:rPr>
          <w:lang w:val="pl-PL"/>
        </w:rPr>
        <w:t>u respektuje kluczową rolę parlamentów</w:t>
      </w:r>
      <w:r w:rsidRPr="00552ECF">
        <w:rPr>
          <w:lang w:val="pl-PL"/>
        </w:rPr>
        <w:t xml:space="preserve"> w rozstrzyganiu </w:t>
      </w:r>
      <w:r w:rsidR="00BD34D8">
        <w:rPr>
          <w:lang w:val="pl-PL"/>
        </w:rPr>
        <w:t xml:space="preserve">o kierunkach ustawodawstwa dotyczącego  </w:t>
      </w:r>
      <w:r w:rsidRPr="00552ECF">
        <w:rPr>
          <w:lang w:val="pl-PL"/>
        </w:rPr>
        <w:t>szczególnie trudnych kwestii o charakterze moralnym i etycznym</w:t>
      </w:r>
      <w:r>
        <w:rPr>
          <w:lang w:val="pl-PL"/>
        </w:rPr>
        <w:t xml:space="preserve"> objętych marginesem oceny państwa, i nie wymaga od sądów krajowych wchodzenia w tę rolę</w:t>
      </w:r>
      <w:r w:rsidRPr="00552ECF">
        <w:rPr>
          <w:lang w:val="pl-PL"/>
        </w:rPr>
        <w:t>.</w:t>
      </w:r>
      <w:r w:rsidR="00A04D68">
        <w:rPr>
          <w:lang w:val="pl-PL"/>
        </w:rPr>
        <w:t xml:space="preserve"> </w:t>
      </w:r>
      <w:r w:rsidR="003A19B3">
        <w:rPr>
          <w:lang w:val="pl-PL"/>
        </w:rPr>
        <w:t xml:space="preserve"> </w:t>
      </w:r>
    </w:p>
    <w:p w:rsidR="00110518" w:rsidRPr="00552ECF" w:rsidRDefault="00992836" w:rsidP="005E1709">
      <w:pPr>
        <w:spacing w:after="240" w:line="240" w:lineRule="auto"/>
        <w:jc w:val="both"/>
        <w:rPr>
          <w:lang w:val="pl-PL"/>
        </w:rPr>
      </w:pPr>
      <w:r>
        <w:rPr>
          <w:lang w:val="pl-PL"/>
        </w:rPr>
        <w:t>D</w:t>
      </w:r>
      <w:r w:rsidR="00110518" w:rsidRPr="00552ECF">
        <w:rPr>
          <w:lang w:val="pl-PL"/>
        </w:rPr>
        <w:t xml:space="preserve">ecyzja zawiera </w:t>
      </w:r>
      <w:r w:rsidR="005B6FAE">
        <w:rPr>
          <w:lang w:val="pl-PL"/>
        </w:rPr>
        <w:t xml:space="preserve">też </w:t>
      </w:r>
      <w:r w:rsidR="00110518" w:rsidRPr="00552ECF">
        <w:rPr>
          <w:lang w:val="pl-PL"/>
        </w:rPr>
        <w:t>interesujące rozważania na temat</w:t>
      </w:r>
      <w:r w:rsidR="00CC7D89">
        <w:rPr>
          <w:lang w:val="pl-PL"/>
        </w:rPr>
        <w:t xml:space="preserve"> zakresu</w:t>
      </w:r>
      <w:r>
        <w:rPr>
          <w:lang w:val="pl-PL"/>
        </w:rPr>
        <w:t xml:space="preserve"> konwencyjnej</w:t>
      </w:r>
      <w:r w:rsidR="00CC7D89">
        <w:rPr>
          <w:lang w:val="pl-PL"/>
        </w:rPr>
        <w:t xml:space="preserve"> ochrony</w:t>
      </w:r>
      <w:r w:rsidR="00110518" w:rsidRPr="00552ECF">
        <w:rPr>
          <w:lang w:val="pl-PL"/>
        </w:rPr>
        <w:t xml:space="preserve"> </w:t>
      </w:r>
      <w:r w:rsidR="00FC5F62">
        <w:rPr>
          <w:lang w:val="pl-PL"/>
        </w:rPr>
        <w:t xml:space="preserve">praw </w:t>
      </w:r>
      <w:r>
        <w:rPr>
          <w:lang w:val="pl-PL"/>
        </w:rPr>
        <w:t xml:space="preserve">jednostki </w:t>
      </w:r>
      <w:r w:rsidR="00FC5F62">
        <w:rPr>
          <w:lang w:val="pl-PL"/>
        </w:rPr>
        <w:t xml:space="preserve">do </w:t>
      </w:r>
      <w:r w:rsidR="00555EC2">
        <w:rPr>
          <w:lang w:val="pl-PL"/>
        </w:rPr>
        <w:t xml:space="preserve">uzyskania rozstrzygnięcia sądu krajowego w przedmiocie </w:t>
      </w:r>
      <w:r>
        <w:rPr>
          <w:lang w:val="pl-PL"/>
        </w:rPr>
        <w:t xml:space="preserve">zgodności </w:t>
      </w:r>
      <w:r w:rsidR="00110518" w:rsidRPr="00552ECF">
        <w:rPr>
          <w:lang w:val="pl-PL"/>
        </w:rPr>
        <w:t xml:space="preserve">uregulowań ustawowych </w:t>
      </w:r>
      <w:r>
        <w:rPr>
          <w:lang w:val="pl-PL"/>
        </w:rPr>
        <w:t xml:space="preserve">z </w:t>
      </w:r>
      <w:r w:rsidR="00110518" w:rsidRPr="00552ECF">
        <w:rPr>
          <w:lang w:val="pl-PL"/>
        </w:rPr>
        <w:t>Konwencj</w:t>
      </w:r>
      <w:r>
        <w:rPr>
          <w:lang w:val="pl-PL"/>
        </w:rPr>
        <w:t>ą</w:t>
      </w:r>
      <w:r w:rsidR="005B6FAE">
        <w:rPr>
          <w:lang w:val="pl-PL"/>
        </w:rPr>
        <w:t xml:space="preserve">, </w:t>
      </w:r>
      <w:r w:rsidR="00061066">
        <w:rPr>
          <w:lang w:val="pl-PL"/>
        </w:rPr>
        <w:t>w szczególności</w:t>
      </w:r>
      <w:r w:rsidR="005B6FAE">
        <w:rPr>
          <w:lang w:val="pl-PL"/>
        </w:rPr>
        <w:t xml:space="preserve"> w zakresie, w jakim uregulowania te należą do marginesu oceny państwa</w:t>
      </w:r>
      <w:r w:rsidR="00110518" w:rsidRPr="00552ECF">
        <w:rPr>
          <w:lang w:val="pl-PL"/>
        </w:rPr>
        <w:t>. W tym względzie Trybunał potwierdził swe wcześniejsze orzecznictwo, iż</w:t>
      </w:r>
      <w:r w:rsidR="004C392A">
        <w:rPr>
          <w:lang w:val="pl-PL"/>
        </w:rPr>
        <w:t xml:space="preserve"> gwarancji ochrony</w:t>
      </w:r>
      <w:r w:rsidR="00110518" w:rsidRPr="00552ECF">
        <w:rPr>
          <w:lang w:val="pl-PL"/>
        </w:rPr>
        <w:t xml:space="preserve"> takiego uprawnienia nie można wywieść na gruncie </w:t>
      </w:r>
      <w:r w:rsidR="00C16974">
        <w:rPr>
          <w:lang w:val="pl-PL"/>
        </w:rPr>
        <w:t xml:space="preserve">art. </w:t>
      </w:r>
      <w:r w:rsidR="005B6FAE">
        <w:rPr>
          <w:lang w:val="pl-PL"/>
        </w:rPr>
        <w:t>13</w:t>
      </w:r>
      <w:r w:rsidR="00C16974">
        <w:rPr>
          <w:lang w:val="pl-PL"/>
        </w:rPr>
        <w:t xml:space="preserve"> </w:t>
      </w:r>
      <w:r w:rsidR="00110518" w:rsidRPr="00552ECF">
        <w:rPr>
          <w:lang w:val="pl-PL"/>
        </w:rPr>
        <w:t>Konwencji</w:t>
      </w:r>
      <w:r w:rsidR="00555EC2">
        <w:rPr>
          <w:lang w:val="pl-PL"/>
        </w:rPr>
        <w:t>, nie uznał też za stosowne poszerzyć zakresu gwarancji proceduralnych wynikających z art. 8 Konwencji o ten aspekt, nawet jeśli prawo krajowe przewiduje uprawnieni</w:t>
      </w:r>
      <w:r w:rsidR="004826EA">
        <w:rPr>
          <w:lang w:val="pl-PL"/>
        </w:rPr>
        <w:t>e</w:t>
      </w:r>
      <w:r w:rsidR="00555EC2">
        <w:rPr>
          <w:lang w:val="pl-PL"/>
        </w:rPr>
        <w:t xml:space="preserve"> do kwestionowania zgo</w:t>
      </w:r>
      <w:r w:rsidR="007363E5">
        <w:rPr>
          <w:lang w:val="pl-PL"/>
        </w:rPr>
        <w:t>dności ustawodawstwa z Konwencją</w:t>
      </w:r>
      <w:r w:rsidR="00110518" w:rsidRPr="00552ECF">
        <w:rPr>
          <w:lang w:val="pl-PL"/>
        </w:rPr>
        <w:t>.</w:t>
      </w:r>
      <w:r w:rsidR="005B6FAE">
        <w:rPr>
          <w:lang w:val="pl-PL"/>
        </w:rPr>
        <w:t xml:space="preserve"> Decyzję warto przeanalizować z perspektywy </w:t>
      </w:r>
      <w:r w:rsidR="005B6FAE" w:rsidRPr="00552ECF">
        <w:rPr>
          <w:lang w:val="pl-PL"/>
        </w:rPr>
        <w:t>prawa do skargi</w:t>
      </w:r>
      <w:r w:rsidR="005B6FAE">
        <w:rPr>
          <w:lang w:val="pl-PL"/>
        </w:rPr>
        <w:t xml:space="preserve"> konstytucyjnej, ale może </w:t>
      </w:r>
      <w:r w:rsidR="00555EC2">
        <w:rPr>
          <w:lang w:val="pl-PL"/>
        </w:rPr>
        <w:t xml:space="preserve">ona </w:t>
      </w:r>
      <w:r w:rsidR="005B6FAE">
        <w:rPr>
          <w:lang w:val="pl-PL"/>
        </w:rPr>
        <w:t>mieć też znaczenie w odniesieniu do wszelkich innych sytuacji, w których sądy krajowe</w:t>
      </w:r>
      <w:r w:rsidR="00373568">
        <w:rPr>
          <w:lang w:val="pl-PL"/>
        </w:rPr>
        <w:t xml:space="preserve"> dokonują wykładni prawa krajowego w świetle Konwencji</w:t>
      </w:r>
      <w:r w:rsidR="005B6FAE" w:rsidRPr="00552ECF">
        <w:rPr>
          <w:lang w:val="pl-PL"/>
        </w:rPr>
        <w:t>.</w:t>
      </w:r>
    </w:p>
    <w:p w:rsidR="008148A0" w:rsidRPr="008148A0" w:rsidRDefault="008148A0" w:rsidP="008148A0">
      <w:pPr>
        <w:pStyle w:val="Nagwek2"/>
        <w:numPr>
          <w:ilvl w:val="0"/>
          <w:numId w:val="1"/>
        </w:numPr>
      </w:pPr>
      <w:bookmarkStart w:id="9" w:name="_Toc428457805"/>
      <w:proofErr w:type="spellStart"/>
      <w:r w:rsidRPr="008148A0">
        <w:t>Oliari</w:t>
      </w:r>
      <w:proofErr w:type="spellEnd"/>
      <w:r w:rsidRPr="008148A0">
        <w:t xml:space="preserve"> i inni przeciwko Włochom </w:t>
      </w:r>
      <w:r>
        <w:t>(</w:t>
      </w:r>
      <w:r w:rsidRPr="008148A0">
        <w:t>skarg</w:t>
      </w:r>
      <w:r>
        <w:t>i nr</w:t>
      </w:r>
      <w:r w:rsidRPr="008148A0">
        <w:t xml:space="preserve"> 18766/11 oraz 36030/11</w:t>
      </w:r>
      <w:r>
        <w:t>)</w:t>
      </w:r>
      <w:r w:rsidRPr="008148A0">
        <w:t>, wyrok Izby z dnia 21</w:t>
      </w:r>
      <w:r>
        <w:t>.07.</w:t>
      </w:r>
      <w:r w:rsidRPr="008148A0">
        <w:t>2015 r., nieostateczny</w:t>
      </w:r>
      <w:bookmarkEnd w:id="9"/>
    </w:p>
    <w:p w:rsidR="008148A0" w:rsidRDefault="008148A0" w:rsidP="00822277">
      <w:pPr>
        <w:pStyle w:val="Nagwek3"/>
        <w:spacing w:after="120"/>
        <w:rPr>
          <w:lang w:val="pl-PL"/>
        </w:rPr>
      </w:pPr>
      <w:bookmarkStart w:id="10" w:name="_Toc428457806"/>
      <w:r w:rsidRPr="00314FB8">
        <w:rPr>
          <w:lang w:val="pl-PL"/>
        </w:rPr>
        <w:t>- naruszenie art. 8 Konwencji (prawo do poszanowania życia prywatnego i rodzinnego) z uwagi na brak przewidzianej prawem możliwości zawarcia związku partnerskiego osób tej samej płci</w:t>
      </w:r>
      <w:bookmarkEnd w:id="10"/>
    </w:p>
    <w:p w:rsidR="008148A0" w:rsidRDefault="008148A0" w:rsidP="00822277">
      <w:pPr>
        <w:pStyle w:val="Nagwek3"/>
        <w:spacing w:before="0"/>
        <w:rPr>
          <w:lang w:val="pl-PL"/>
        </w:rPr>
      </w:pPr>
      <w:bookmarkStart w:id="11" w:name="_Toc428457807"/>
      <w:r>
        <w:rPr>
          <w:lang w:val="pl-PL"/>
        </w:rPr>
        <w:t xml:space="preserve">- oczywista niezasadność </w:t>
      </w:r>
      <w:r w:rsidR="00A960F1">
        <w:rPr>
          <w:lang w:val="pl-PL"/>
        </w:rPr>
        <w:t xml:space="preserve">i niedopuszczalność </w:t>
      </w:r>
      <w:r>
        <w:rPr>
          <w:lang w:val="pl-PL"/>
        </w:rPr>
        <w:t>skargi na gruncie art. 12 Konwencji (prawo do zawarcia małżeństwa) oraz art. 14 (zakaz dyskryminacji) w związku z art. 12 Konwencji w odniesieniu do braku przewidzianej prawem możliwości zawarcia małżeństwa przez osoby tej samej płci</w:t>
      </w:r>
      <w:bookmarkEnd w:id="11"/>
    </w:p>
    <w:p w:rsidR="008148A0" w:rsidRPr="008148A0" w:rsidRDefault="00314FB8" w:rsidP="00712554">
      <w:pPr>
        <w:spacing w:after="120" w:line="240" w:lineRule="auto"/>
        <w:jc w:val="both"/>
        <w:rPr>
          <w:u w:val="single"/>
          <w:lang w:val="pl-PL"/>
        </w:rPr>
      </w:pPr>
      <w:r>
        <w:rPr>
          <w:u w:val="single"/>
          <w:lang w:val="pl-PL"/>
        </w:rPr>
        <w:t>Stan faktyczny i z</w:t>
      </w:r>
      <w:r w:rsidR="008148A0" w:rsidRPr="008148A0">
        <w:rPr>
          <w:u w:val="single"/>
          <w:lang w:val="pl-PL"/>
        </w:rPr>
        <w:t>arzuty skarżących</w:t>
      </w:r>
    </w:p>
    <w:p w:rsidR="008148A0" w:rsidRPr="008148A0" w:rsidRDefault="008148A0" w:rsidP="004A2D5E">
      <w:pPr>
        <w:spacing w:after="240" w:line="240" w:lineRule="auto"/>
        <w:jc w:val="both"/>
        <w:rPr>
          <w:lang w:val="pl-PL"/>
        </w:rPr>
      </w:pPr>
      <w:r w:rsidRPr="008148A0">
        <w:rPr>
          <w:lang w:val="pl-PL"/>
        </w:rPr>
        <w:t xml:space="preserve">Sprawa dotyczy trzech par homoseksualnych, które zarzucały Rządowi Włoch brak możliwości zawarcia małżeństwa bądź innego rodzaju związku o charakterze cywilnoprawnym oraz dyskryminację ze względu na ich orientację seksualną. W toku postępowań krajowych prowadzonych przez pierwszą parę sąd apelacyjny zwrócił się do Trybunału Konstytucyjnego z wnioskiem o zbadanie konstytucyjności mającego zastosowanie ustawodawstwa. W 2010 r. Trybunał Konstytucyjny wyrokiem uznał wniosek o stwierdzenie niekonstytucyjności za niedopuszczalny, stwierdzając, że w świetle konstytucji włoskiej prawo do małżeństwa nie rozciąga się na związki homoseksualne, a jedynie małżeństwa rozumiane tradycyjnie, co nie stanowi nieuzasadnionej dyskryminacji. Jednocześnie Trybunał Konstytucyjny podkreślił potrzebę uregulowania kwestii sądowego uznania praw i obowiązków par homoseksualnych, a kompetencje w tym zakresie należą do parlamentu. Apelacja skarżących została oddalona. </w:t>
      </w:r>
    </w:p>
    <w:p w:rsidR="008148A0" w:rsidRPr="00314FB8" w:rsidRDefault="008148A0" w:rsidP="00712554">
      <w:pPr>
        <w:spacing w:after="120" w:line="240" w:lineRule="auto"/>
        <w:jc w:val="both"/>
        <w:rPr>
          <w:rFonts w:cs="Arial"/>
          <w:color w:val="222222"/>
          <w:u w:val="single"/>
          <w:lang w:val="pl-PL"/>
        </w:rPr>
      </w:pPr>
      <w:r w:rsidRPr="00314FB8">
        <w:rPr>
          <w:rFonts w:cs="Arial"/>
          <w:color w:val="222222"/>
          <w:u w:val="single"/>
          <w:lang w:val="pl-PL"/>
        </w:rPr>
        <w:t>Ocena Trybunału</w:t>
      </w:r>
    </w:p>
    <w:p w:rsidR="008148A0" w:rsidRPr="008148A0" w:rsidRDefault="008148A0" w:rsidP="00712554">
      <w:pPr>
        <w:spacing w:after="120" w:line="240" w:lineRule="auto"/>
        <w:jc w:val="both"/>
        <w:rPr>
          <w:lang w:val="pl-PL"/>
        </w:rPr>
      </w:pPr>
      <w:r w:rsidRPr="008148A0">
        <w:rPr>
          <w:lang w:val="pl-PL"/>
        </w:rPr>
        <w:t>Trybunał uznał, że obowiązujące we Włoszech regulacje prawne nie zapewniły skarżącym ochrony ich podstawowych potrzeb związanych z faktem pozostawania w stabilnym związku. Wytknął też, że regulacje prawne charakteryzowały się niepewnością. Zawieranie związków przez pary homoseksualne jest bowiem we Włoszech możliwe tylko w niektórych regionach, a przepisy w tym zakresie mają jedynie symboliczne znaczenie (nie idzie za tym uznanie statusu prawnego ani też ochrona uprawnień stron np. w zakresie prawa spadkowego</w:t>
      </w:r>
      <w:r w:rsidR="00AE5127">
        <w:rPr>
          <w:lang w:val="pl-PL"/>
        </w:rPr>
        <w:t xml:space="preserve"> czy</w:t>
      </w:r>
      <w:r w:rsidRPr="008148A0">
        <w:rPr>
          <w:lang w:val="pl-PL"/>
        </w:rPr>
        <w:t xml:space="preserve"> obowiązków alimentacyjnych).  Analizując okoliczności faktyczne ETPC</w:t>
      </w:r>
      <w:r w:rsidR="00AE5127">
        <w:rPr>
          <w:lang w:val="pl-PL"/>
        </w:rPr>
        <w:t>z</w:t>
      </w:r>
      <w:r w:rsidRPr="008148A0">
        <w:rPr>
          <w:lang w:val="pl-PL"/>
        </w:rPr>
        <w:t xml:space="preserve"> zwrócił uwagę, że w sprawie pierwszej pary skarżących włoski Trybunał Konstytucyjny wydał wyrok i wielokrotnie wzywał do ochrony i uznania praw par żyjących w związkach homoseksualnych. ETPC</w:t>
      </w:r>
      <w:r w:rsidR="00AE5127">
        <w:rPr>
          <w:lang w:val="pl-PL"/>
        </w:rPr>
        <w:t>z</w:t>
      </w:r>
      <w:r w:rsidRPr="008148A0">
        <w:rPr>
          <w:lang w:val="pl-PL"/>
        </w:rPr>
        <w:t xml:space="preserve"> wziął także pod uwagę sondaże wskazujące na poparcie dla prawnego uznania związków homoseksualnych przez większość społeczeństwa we Włoszech. Mimo to, rząd włoski nie podjął żadnych działań w kierunku realizacji tych zaleceń. </w:t>
      </w:r>
    </w:p>
    <w:p w:rsidR="008148A0" w:rsidRPr="008148A0" w:rsidRDefault="008148A0" w:rsidP="00712554">
      <w:pPr>
        <w:spacing w:after="120" w:line="240" w:lineRule="auto"/>
        <w:jc w:val="both"/>
        <w:rPr>
          <w:lang w:val="pl-PL"/>
        </w:rPr>
      </w:pPr>
      <w:r w:rsidRPr="008148A0">
        <w:rPr>
          <w:lang w:val="pl-PL"/>
        </w:rPr>
        <w:t>Ze wskazanych powodów sędziowie ETPC</w:t>
      </w:r>
      <w:r w:rsidR="00AE5127">
        <w:rPr>
          <w:lang w:val="pl-PL"/>
        </w:rPr>
        <w:t>z</w:t>
      </w:r>
      <w:r w:rsidRPr="008148A0">
        <w:rPr>
          <w:lang w:val="pl-PL"/>
        </w:rPr>
        <w:t xml:space="preserve"> stwierdzili, że istnieje konflikt między rzeczywistością społeczną, w jakiej żyją skarżący</w:t>
      </w:r>
      <w:r w:rsidR="00781137">
        <w:rPr>
          <w:lang w:val="pl-PL"/>
        </w:rPr>
        <w:t>,</w:t>
      </w:r>
      <w:r w:rsidRPr="008148A0">
        <w:rPr>
          <w:lang w:val="pl-PL"/>
        </w:rPr>
        <w:t xml:space="preserve"> a prawem, które nie uznaje ich związków. Wobec tego uznali, że Włochy nie wypełniły swoich pozytywnych obowiązków w zakresie wprowadzenia regulacji prawnych zapewniających skarżącym uznanie oraz ochronę ich związków i w ten sposób doszło do naruszenia art. 8 Konwencji. Trybunał odnotował też, że rząd włoski nie wskazał w sposób wyraźny, jakie względy w interesie społecznym były przyczyną niewprowadzenia takich uregulowań, a jedynie powoływał się na czas potrzebny do ugruntowania się wspólnego poglądu społeczeństwa w tej sprawie i poszukiwanie jednomyślnej zgody wśród różnych punktów widzenia i wrażliwości. Jak podkreślił Trybunał, Rząd włoski zaprzeczył kategorycznie jakoby brak uznania i ochrony związków osób tej samej płci miał na celu ochronę tradycyjnej koncepcji rodziny bądź moralności społecznej. Zamiast tego powoływał się na przysługujący państwu margines oceny w wyborze czasu i szczegółowych ram prawnych.  </w:t>
      </w:r>
    </w:p>
    <w:p w:rsidR="008148A0" w:rsidRPr="008148A0" w:rsidRDefault="008148A0" w:rsidP="00712554">
      <w:pPr>
        <w:spacing w:after="120" w:line="240" w:lineRule="auto"/>
        <w:jc w:val="both"/>
        <w:rPr>
          <w:lang w:val="pl-PL"/>
        </w:rPr>
      </w:pPr>
      <w:r w:rsidRPr="008148A0">
        <w:rPr>
          <w:lang w:val="pl-PL"/>
        </w:rPr>
        <w:t xml:space="preserve">Trybunał zwrócił uwagę, że wśród państw członkowskich Rady Europy istnieje trend w kierunku prawnego uznawania par homoseksualnych (odpowiednie ustawodawstwo istnieje w 24 wśród ogólnej liczby 47 państw Rady Europy). </w:t>
      </w:r>
    </w:p>
    <w:p w:rsidR="008148A0" w:rsidRPr="008148A0" w:rsidRDefault="008148A0" w:rsidP="00712554">
      <w:pPr>
        <w:spacing w:after="120" w:line="240" w:lineRule="auto"/>
        <w:jc w:val="both"/>
        <w:rPr>
          <w:lang w:val="pl-PL"/>
        </w:rPr>
      </w:pPr>
      <w:r w:rsidRPr="008148A0">
        <w:rPr>
          <w:lang w:val="pl-PL"/>
        </w:rPr>
        <w:t xml:space="preserve">Trybunał przypomniał przy okazji obowiązki państw w zakresie realizacji wyroków sądów krajowych, i uznał, że powtarzające się przez długi czas zaniechanie ustawodawcy uwzględnienia wypowiedzi Trybunału Konstytucyjnego lub jego zaleceń dotyczących zgodności z Konstytucją może potencjalnie podważyć odpowiedzialność sądownictwa i pozostawić jednostki w sytuacji braku pewności prawnej. </w:t>
      </w:r>
    </w:p>
    <w:p w:rsidR="008148A0" w:rsidRPr="008148A0" w:rsidRDefault="008148A0" w:rsidP="00712554">
      <w:pPr>
        <w:spacing w:after="120" w:line="240" w:lineRule="auto"/>
        <w:jc w:val="both"/>
        <w:rPr>
          <w:lang w:val="pl-PL"/>
        </w:rPr>
      </w:pPr>
      <w:r w:rsidRPr="008148A0">
        <w:rPr>
          <w:lang w:val="pl-PL"/>
        </w:rPr>
        <w:t>W sytuacji, w której rząd włoski nie powołał się na przeważający interes społeczny, w stosunku do którego można byłoby dokonać wyważenia interesów skarżących, a także w świetle ustaleń sądów krajowych, Trybunał uznał, że władze włoskie przekroczyły swój margines oceny i nie dopełniły obowiązków pozytywnych na gruncie art. 8 Konwencji.</w:t>
      </w:r>
    </w:p>
    <w:p w:rsidR="008148A0" w:rsidRPr="008148A0" w:rsidRDefault="008148A0" w:rsidP="00712554">
      <w:pPr>
        <w:spacing w:after="120" w:line="240" w:lineRule="auto"/>
        <w:jc w:val="both"/>
        <w:rPr>
          <w:lang w:val="pl-PL"/>
        </w:rPr>
      </w:pPr>
      <w:r w:rsidRPr="008148A0">
        <w:rPr>
          <w:lang w:val="pl-PL"/>
        </w:rPr>
        <w:t>Trybunał zasugerował jednocześnie sposób wykonania wyroku. Mianowicie, w sytuacji braku uznania małżeństw par homoseksualnych najbardziej adekwatną formą uznania związków dla par homoseksualnych byłby związek cywilnoprawny lub rejestrowany związek partnerski. Trybunał zasądził na rzecz każdego ze skarżących kwotę 5 000 euro tytułem zadośćuczynienia za szkodę o charakterze niematerialnym oraz zwrot kosztów postepowania.</w:t>
      </w:r>
    </w:p>
    <w:p w:rsidR="008148A0" w:rsidRPr="008148A0" w:rsidRDefault="008148A0" w:rsidP="00712554">
      <w:pPr>
        <w:spacing w:after="120" w:line="240" w:lineRule="auto"/>
        <w:jc w:val="both"/>
        <w:rPr>
          <w:lang w:val="pl-PL"/>
        </w:rPr>
      </w:pPr>
      <w:r w:rsidRPr="008148A0">
        <w:rPr>
          <w:lang w:val="pl-PL"/>
        </w:rPr>
        <w:t>Jednocześnie Trybunał uznał, ze brak jest potrzeby badania, czy w sprawie doszło jednocześnie do naruszenia zakazu dyskryminacji (art. 14) w odniesieniu do korzystania przez skarżących z prawa do poszanowania życia prywatnego i rodzinnego (art. 8).</w:t>
      </w:r>
    </w:p>
    <w:p w:rsidR="008148A0" w:rsidRPr="008148A0" w:rsidRDefault="008148A0" w:rsidP="00712554">
      <w:pPr>
        <w:spacing w:after="120" w:line="240" w:lineRule="auto"/>
        <w:jc w:val="both"/>
        <w:rPr>
          <w:lang w:val="pl-PL"/>
        </w:rPr>
      </w:pPr>
      <w:r w:rsidRPr="008148A0">
        <w:rPr>
          <w:lang w:val="pl-PL"/>
        </w:rPr>
        <w:t xml:space="preserve">W odniesieniu zaś do zarzutu naruszenia prawa do zawarcia małżeństwa (art. 12 Konwencji) oraz zakazu dyskryminacji (art. 14) w korzystaniu z tego prawa, Trybunał uznał, że skarga jest w sposób oczywisty nieuzasadniona i niedopuszczalna. Pomimo odnotowania stopniowej ewolucji ustawodawstwa państw RE w tym zakresie, Trybunał nie zmienił dotychczasowego podejścia, iż art. 12 Konwencji nie nakłada na państwa obowiązku udzielenia parom homoseksualnym dostępu do małżeństwa. </w:t>
      </w:r>
    </w:p>
    <w:p w:rsidR="008148A0" w:rsidRPr="008148A0" w:rsidRDefault="008148A0" w:rsidP="004A2D5E">
      <w:pPr>
        <w:spacing w:after="240" w:line="240" w:lineRule="auto"/>
        <w:jc w:val="both"/>
        <w:rPr>
          <w:lang w:val="pl-PL"/>
        </w:rPr>
      </w:pPr>
      <w:r w:rsidRPr="008148A0">
        <w:rPr>
          <w:lang w:val="pl-PL"/>
        </w:rPr>
        <w:t xml:space="preserve">Wyrok nie jest prawomocny. Trzeba natomiast podkreślić, że zapadł on jednogłośnie. </w:t>
      </w:r>
    </w:p>
    <w:p w:rsidR="008148A0" w:rsidRPr="008148A0" w:rsidRDefault="008148A0" w:rsidP="00712554">
      <w:pPr>
        <w:spacing w:after="120" w:line="240" w:lineRule="auto"/>
        <w:jc w:val="both"/>
        <w:rPr>
          <w:rFonts w:cs="Calibri"/>
          <w:lang w:val="pl-PL"/>
        </w:rPr>
      </w:pPr>
      <w:r w:rsidRPr="008148A0">
        <w:rPr>
          <w:rFonts w:cs="Calibri"/>
          <w:u w:val="single"/>
          <w:lang w:val="pl-PL"/>
        </w:rPr>
        <w:t>Wnioski</w:t>
      </w:r>
    </w:p>
    <w:p w:rsidR="008148A0" w:rsidRPr="008148A0" w:rsidRDefault="008148A0" w:rsidP="00B67E40">
      <w:pPr>
        <w:spacing w:after="240" w:line="240" w:lineRule="auto"/>
        <w:jc w:val="both"/>
        <w:rPr>
          <w:rFonts w:cs="Calibri"/>
          <w:lang w:val="pl-PL"/>
        </w:rPr>
      </w:pPr>
      <w:r w:rsidRPr="008148A0">
        <w:rPr>
          <w:rFonts w:cs="Calibri"/>
          <w:lang w:val="pl-PL"/>
        </w:rPr>
        <w:t>Po raz pierwszy Trybunał doszedł do tak daleko idących wniosków. W dotychczasowym orzecznictwie wprawdzie stwierdzał, że związki homoseksualne wpisują się w „życie rodzinne” chronione na podstawie art. 8 Konwencji, jak też państwa Rady Europy bywały zachęcane do doprecyzowania już wprowadzonych przez siebie regulacji prawnych</w:t>
      </w:r>
      <w:r w:rsidRPr="008148A0">
        <w:rPr>
          <w:lang w:val="pl-PL"/>
        </w:rPr>
        <w:t xml:space="preserve"> dotyczących związków partnerskich (zob. np. </w:t>
      </w:r>
      <w:proofErr w:type="spellStart"/>
      <w:r w:rsidRPr="008148A0">
        <w:rPr>
          <w:rFonts w:cs="Calibri"/>
          <w:i/>
          <w:lang w:val="pl-PL"/>
        </w:rPr>
        <w:t>Vallianatos</w:t>
      </w:r>
      <w:proofErr w:type="spellEnd"/>
      <w:r w:rsidRPr="008148A0">
        <w:rPr>
          <w:rFonts w:cs="Calibri"/>
          <w:i/>
          <w:lang w:val="pl-PL"/>
        </w:rPr>
        <w:t xml:space="preserve"> i inni p. Grecji</w:t>
      </w:r>
      <w:r w:rsidRPr="008148A0">
        <w:rPr>
          <w:rFonts w:cs="Calibri"/>
          <w:lang w:val="pl-PL"/>
        </w:rPr>
        <w:t xml:space="preserve">, skarga nr 29381/09, wyrok z 7.11.2013), lecz do tej pory żadne z państw nie zostało wprost zobowiązane do wprowadzenia nowego ustawodawstwa w tym zakresie. Warto zwrócić uwagę, że w omawianej sprawie Trybunał wziął pod uwagę szczególne okoliczności występujące na poziomie krajowym, takie jak wydanie wyroku Trybunału Konstytucyjnego niezrealizowanego przez włoski parlament, wysoki poziom poparcia społecznego dla wprowadzenia związków partnerskich, a także brak powołania się przez rząd włoski na istotne względy w interesie społecznym. Wyrok nie jest ostateczny, na tym etapie nie jest jeszcze jasne, czy strona włoska skorzysta z prawa do wnioskowania o skierowanie sprawy do Wielkiej Izby. </w:t>
      </w:r>
    </w:p>
    <w:p w:rsidR="00CE730E" w:rsidRDefault="00CE730E" w:rsidP="00CE730E">
      <w:pPr>
        <w:pStyle w:val="Nagwek2"/>
        <w:numPr>
          <w:ilvl w:val="0"/>
          <w:numId w:val="1"/>
        </w:numPr>
      </w:pPr>
      <w:bookmarkStart w:id="12" w:name="_Toc428457808"/>
      <w:proofErr w:type="spellStart"/>
      <w:r w:rsidRPr="00CE730E">
        <w:t>Zammit</w:t>
      </w:r>
      <w:proofErr w:type="spellEnd"/>
      <w:r w:rsidRPr="00CE730E">
        <w:t xml:space="preserve"> </w:t>
      </w:r>
      <w:r>
        <w:t xml:space="preserve">i </w:t>
      </w:r>
      <w:proofErr w:type="spellStart"/>
      <w:r w:rsidRPr="00CE730E">
        <w:t>Attard</w:t>
      </w:r>
      <w:proofErr w:type="spellEnd"/>
      <w:r w:rsidRPr="00CE730E">
        <w:t xml:space="preserve"> </w:t>
      </w:r>
      <w:proofErr w:type="spellStart"/>
      <w:r w:rsidRPr="00CE730E">
        <w:t>Cassar</w:t>
      </w:r>
      <w:proofErr w:type="spellEnd"/>
      <w:r w:rsidRPr="00CE730E">
        <w:t xml:space="preserve"> </w:t>
      </w:r>
      <w:r>
        <w:t>p</w:t>
      </w:r>
      <w:r w:rsidRPr="00CE730E">
        <w:t>. Mal</w:t>
      </w:r>
      <w:r>
        <w:t>cie</w:t>
      </w:r>
      <w:r w:rsidRPr="00CE730E">
        <w:t xml:space="preserve"> (</w:t>
      </w:r>
      <w:r>
        <w:t>skarga nr</w:t>
      </w:r>
      <w:r w:rsidRPr="00CE730E">
        <w:t xml:space="preserve"> 1046/12), wyrok Izby z 30</w:t>
      </w:r>
      <w:r w:rsidR="009D6EC7">
        <w:t>.07.</w:t>
      </w:r>
      <w:r w:rsidRPr="00CE730E">
        <w:t>2015 r.</w:t>
      </w:r>
      <w:r>
        <w:t>, nieostateczny</w:t>
      </w:r>
      <w:bookmarkEnd w:id="12"/>
      <w:r w:rsidRPr="00CE730E">
        <w:t xml:space="preserve"> </w:t>
      </w:r>
    </w:p>
    <w:p w:rsidR="00E601BC" w:rsidRDefault="00E601BC" w:rsidP="002708A5">
      <w:pPr>
        <w:pStyle w:val="Nagwek3"/>
        <w:spacing w:after="120"/>
        <w:rPr>
          <w:lang w:val="pl-PL"/>
        </w:rPr>
      </w:pPr>
      <w:bookmarkStart w:id="13" w:name="_Toc428457809"/>
      <w:r>
        <w:rPr>
          <w:lang w:val="pl-PL"/>
        </w:rPr>
        <w:t xml:space="preserve">- naruszenie art. 1 Protokołu nr 1 do Konwencji (ochrona własności) z uwagi na nieproporcjonalne ograniczenia możliwości podwyższania czynszu najmu </w:t>
      </w:r>
      <w:r w:rsidR="0081415A">
        <w:rPr>
          <w:lang w:val="pl-PL"/>
        </w:rPr>
        <w:t>przez właścicieli nieruchomości wynajmowanych na cele działalności gospodarczej</w:t>
      </w:r>
      <w:bookmarkEnd w:id="13"/>
    </w:p>
    <w:p w:rsidR="0081415A" w:rsidRPr="00E601BC" w:rsidRDefault="0081415A" w:rsidP="002708A5">
      <w:pPr>
        <w:pStyle w:val="Nagwek3"/>
        <w:spacing w:after="120"/>
        <w:rPr>
          <w:lang w:val="pl-PL"/>
        </w:rPr>
      </w:pPr>
      <w:bookmarkStart w:id="14" w:name="_Toc428457810"/>
      <w:r>
        <w:rPr>
          <w:lang w:val="pl-PL"/>
        </w:rPr>
        <w:t xml:space="preserve">- oczywista niezasadność i niedopuszczalność skargi na podstawie art. 14 Konwencji (zakaz dyskryminacji) w związku z art. 1 Protokołu nr 1 do Konwencji w </w:t>
      </w:r>
      <w:r w:rsidR="00934C10">
        <w:rPr>
          <w:lang w:val="pl-PL"/>
        </w:rPr>
        <w:t>odniesieniu do zarzutu</w:t>
      </w:r>
      <w:r w:rsidR="007611E7">
        <w:rPr>
          <w:lang w:val="pl-PL"/>
        </w:rPr>
        <w:t>, iż</w:t>
      </w:r>
      <w:r w:rsidR="00934C10">
        <w:rPr>
          <w:lang w:val="pl-PL"/>
        </w:rPr>
        <w:t xml:space="preserve"> </w:t>
      </w:r>
      <w:r w:rsidR="00803BCE">
        <w:rPr>
          <w:lang w:val="pl-PL"/>
        </w:rPr>
        <w:t>po wejściu</w:t>
      </w:r>
      <w:r w:rsidR="007611E7">
        <w:rPr>
          <w:lang w:val="pl-PL"/>
        </w:rPr>
        <w:t xml:space="preserve"> w życie zmian legislacyjnych </w:t>
      </w:r>
      <w:r>
        <w:rPr>
          <w:lang w:val="pl-PL"/>
        </w:rPr>
        <w:t>mających na c</w:t>
      </w:r>
      <w:r w:rsidR="00803BCE">
        <w:rPr>
          <w:lang w:val="pl-PL"/>
        </w:rPr>
        <w:t>elu poprawę sytuacji właścicieli</w:t>
      </w:r>
      <w:r w:rsidR="007611E7">
        <w:rPr>
          <w:lang w:val="pl-PL"/>
        </w:rPr>
        <w:t xml:space="preserve"> do skarżących miały zastosowanie mniej korzystne (dotychczasowe) regulacje w porównaniu do osób objętych nowym reżimem prawnym.</w:t>
      </w:r>
      <w:bookmarkEnd w:id="14"/>
      <w:r w:rsidR="007611E7">
        <w:rPr>
          <w:lang w:val="pl-PL"/>
        </w:rPr>
        <w:t xml:space="preserve"> </w:t>
      </w:r>
    </w:p>
    <w:p w:rsidR="00CE730E" w:rsidRPr="00CE730E" w:rsidRDefault="00E601BC" w:rsidP="00CE730E">
      <w:pPr>
        <w:spacing w:after="120" w:line="240" w:lineRule="auto"/>
        <w:jc w:val="both"/>
        <w:rPr>
          <w:u w:val="single"/>
          <w:lang w:val="pl-PL"/>
        </w:rPr>
      </w:pPr>
      <w:r>
        <w:rPr>
          <w:u w:val="single"/>
          <w:lang w:val="pl-PL"/>
        </w:rPr>
        <w:t>Stan faktyczny</w:t>
      </w:r>
      <w:r w:rsidR="00CE730E" w:rsidRPr="00CE730E">
        <w:rPr>
          <w:u w:val="single"/>
          <w:lang w:val="pl-PL"/>
        </w:rPr>
        <w:t xml:space="preserve"> </w:t>
      </w:r>
    </w:p>
    <w:p w:rsidR="00CE730E" w:rsidRPr="00CE730E" w:rsidRDefault="00CE730E" w:rsidP="00CE730E">
      <w:pPr>
        <w:spacing w:after="120" w:line="240" w:lineRule="auto"/>
        <w:jc w:val="both"/>
        <w:rPr>
          <w:rFonts w:cs="Calibri"/>
          <w:lang w:val="pl-PL"/>
        </w:rPr>
      </w:pPr>
      <w:r w:rsidRPr="00CE730E">
        <w:rPr>
          <w:rFonts w:cs="Calibri"/>
          <w:lang w:val="pl-PL"/>
        </w:rPr>
        <w:t xml:space="preserve">W październiku 2000 r. skarżący odziedziczyli nieruchomość zabudowaną przez ich wuja w </w:t>
      </w:r>
      <w:r>
        <w:rPr>
          <w:rFonts w:cs="Calibri"/>
          <w:lang w:val="pl-PL"/>
        </w:rPr>
        <w:t xml:space="preserve">latach </w:t>
      </w:r>
      <w:r w:rsidRPr="00CE730E">
        <w:rPr>
          <w:rFonts w:cs="Calibri"/>
          <w:lang w:val="pl-PL"/>
        </w:rPr>
        <w:t xml:space="preserve">60-tych, która od lat 70-tych była wynajmowana przedsiębiorstwu na podstawie dobrowolnie zawartej umowy najmu. Zgodnie z aktami prawnymi regulującymi taki najem, eksmisja lub ustalenie wysokości czynszu najmu mogły mieć miejsce wyłącznie po uzyskaniu zgody Zarządu Regulacji Czynszów. </w:t>
      </w:r>
    </w:p>
    <w:p w:rsidR="00CE730E" w:rsidRPr="00CE730E" w:rsidRDefault="00CE730E" w:rsidP="00CE730E">
      <w:pPr>
        <w:spacing w:after="120" w:line="240" w:lineRule="auto"/>
        <w:jc w:val="both"/>
        <w:rPr>
          <w:rFonts w:cs="Calibri"/>
          <w:lang w:val="pl-PL"/>
        </w:rPr>
      </w:pPr>
      <w:r w:rsidRPr="00CE730E">
        <w:rPr>
          <w:rFonts w:cs="Calibri"/>
          <w:lang w:val="pl-PL"/>
        </w:rPr>
        <w:t>Skarżący, po przeprowadzeniu oszacowania wartości nieruchomości, podjęli decyzję o podniesieniu czynszu</w:t>
      </w:r>
      <w:r>
        <w:rPr>
          <w:rFonts w:cs="Calibri"/>
          <w:lang w:val="pl-PL"/>
        </w:rPr>
        <w:t>,</w:t>
      </w:r>
      <w:r w:rsidRPr="00CE730E">
        <w:rPr>
          <w:rFonts w:cs="Calibri"/>
          <w:lang w:val="pl-PL"/>
        </w:rPr>
        <w:t xml:space="preserve"> o czym poinformowali najemcę. Najemca nie zgodził się z proponowana podwyżką i zwrócił się do w</w:t>
      </w:r>
      <w:r>
        <w:rPr>
          <w:rFonts w:cs="Calibri"/>
          <w:lang w:val="pl-PL"/>
        </w:rPr>
        <w:t xml:space="preserve">skazanego wyżej </w:t>
      </w:r>
      <w:r w:rsidRPr="00CE730E">
        <w:rPr>
          <w:rFonts w:cs="Calibri"/>
          <w:lang w:val="pl-PL"/>
        </w:rPr>
        <w:t xml:space="preserve">Zarządu o oddalenie żądania podwyższenia czynszu. Skarżący w swojej odpowiedzi wskazali, że wysokość czynszu powinna odzwierciedlać wartość rynkową nieruchomości. </w:t>
      </w:r>
    </w:p>
    <w:p w:rsidR="00CE730E" w:rsidRPr="00CE730E" w:rsidRDefault="00CE730E" w:rsidP="00CE730E">
      <w:pPr>
        <w:spacing w:after="120" w:line="240" w:lineRule="auto"/>
        <w:jc w:val="both"/>
        <w:rPr>
          <w:rFonts w:cs="Calibri"/>
          <w:lang w:val="pl-PL"/>
        </w:rPr>
      </w:pPr>
      <w:r w:rsidRPr="00CE730E">
        <w:rPr>
          <w:rFonts w:cs="Calibri"/>
          <w:lang w:val="pl-PL"/>
        </w:rPr>
        <w:t xml:space="preserve">Zarząd </w:t>
      </w:r>
      <w:r>
        <w:rPr>
          <w:rFonts w:cs="Calibri"/>
          <w:lang w:val="pl-PL"/>
        </w:rPr>
        <w:t xml:space="preserve">– </w:t>
      </w:r>
      <w:r w:rsidRPr="00CE730E">
        <w:rPr>
          <w:rFonts w:cs="Calibri"/>
          <w:lang w:val="pl-PL"/>
        </w:rPr>
        <w:t>po uprzednim uzyskaniu negatywn</w:t>
      </w:r>
      <w:r>
        <w:rPr>
          <w:rFonts w:cs="Calibri"/>
          <w:lang w:val="pl-PL"/>
        </w:rPr>
        <w:t>ej opinii architektów –</w:t>
      </w:r>
      <w:r w:rsidRPr="00CE730E">
        <w:rPr>
          <w:rFonts w:cs="Calibri"/>
          <w:lang w:val="pl-PL"/>
        </w:rPr>
        <w:t xml:space="preserve"> nie przychylił się do żądania skarżących. Ponadto wskazał, że nie posiada kompetencji do orzekania w kwestii zarzucanego naruszenia prawa własności skarżących w rozumieniu Konwencji. </w:t>
      </w:r>
    </w:p>
    <w:p w:rsidR="00CE730E" w:rsidRPr="00CE730E" w:rsidRDefault="00CE730E" w:rsidP="00803BCE">
      <w:pPr>
        <w:spacing w:after="240" w:line="240" w:lineRule="auto"/>
        <w:jc w:val="both"/>
        <w:rPr>
          <w:rFonts w:cs="Calibri"/>
          <w:lang w:val="pl-PL"/>
        </w:rPr>
      </w:pPr>
      <w:r w:rsidRPr="00CE730E">
        <w:rPr>
          <w:rFonts w:cs="Calibri"/>
          <w:lang w:val="pl-PL"/>
        </w:rPr>
        <w:t xml:space="preserve">Skarżący wielokrotnie odwoływali się od niekorzystnych dla nich orzeczeń, aż sprawa została poddana badaniu Trybunału Konstytucyjnego. Stwierdził on, że zmarły wujek skarżących, w momencie zawarcia umowy najmu, jak i później sami skarżący, powinni byli zdawać sobie </w:t>
      </w:r>
      <w:r>
        <w:rPr>
          <w:rFonts w:cs="Calibri"/>
          <w:lang w:val="pl-PL"/>
        </w:rPr>
        <w:t>sprawę z konsekwencji</w:t>
      </w:r>
      <w:r w:rsidRPr="00CE730E">
        <w:rPr>
          <w:rFonts w:cs="Calibri"/>
          <w:lang w:val="pl-PL"/>
        </w:rPr>
        <w:t xml:space="preserve"> obowiązujących przepisów regulujących zasady najmu, a tym samym nie mieli oni prawa zarzucać naruszenia praw wynikających z Konwencji. </w:t>
      </w:r>
    </w:p>
    <w:p w:rsidR="00C56043" w:rsidRPr="00314FB8" w:rsidRDefault="00E601BC" w:rsidP="00C56043">
      <w:pPr>
        <w:spacing w:after="120" w:line="240" w:lineRule="auto"/>
        <w:jc w:val="both"/>
        <w:rPr>
          <w:rFonts w:cs="Arial"/>
          <w:color w:val="222222"/>
          <w:u w:val="single"/>
          <w:lang w:val="pl-PL"/>
        </w:rPr>
      </w:pPr>
      <w:r w:rsidRPr="00CE730E">
        <w:rPr>
          <w:u w:val="single"/>
          <w:lang w:val="pl-PL"/>
        </w:rPr>
        <w:t>Zarzuty skarżących</w:t>
      </w:r>
      <w:r w:rsidRPr="00314FB8">
        <w:rPr>
          <w:rFonts w:cs="Arial"/>
          <w:color w:val="222222"/>
          <w:u w:val="single"/>
          <w:lang w:val="pl-PL"/>
        </w:rPr>
        <w:t xml:space="preserve"> </w:t>
      </w:r>
      <w:r>
        <w:rPr>
          <w:rFonts w:cs="Arial"/>
          <w:color w:val="222222"/>
          <w:u w:val="single"/>
          <w:lang w:val="pl-PL"/>
        </w:rPr>
        <w:t>i o</w:t>
      </w:r>
      <w:r w:rsidR="00C56043" w:rsidRPr="00314FB8">
        <w:rPr>
          <w:rFonts w:cs="Arial"/>
          <w:color w:val="222222"/>
          <w:u w:val="single"/>
          <w:lang w:val="pl-PL"/>
        </w:rPr>
        <w:t>cena Trybunału</w:t>
      </w:r>
    </w:p>
    <w:p w:rsidR="00E601BC" w:rsidRPr="00CE730E" w:rsidRDefault="00E601BC" w:rsidP="00E601BC">
      <w:pPr>
        <w:spacing w:after="120" w:line="240" w:lineRule="auto"/>
        <w:jc w:val="both"/>
        <w:rPr>
          <w:rFonts w:cs="Calibri"/>
          <w:lang w:val="pl-PL"/>
        </w:rPr>
      </w:pPr>
      <w:r>
        <w:rPr>
          <w:rFonts w:cs="Calibri"/>
          <w:lang w:val="pl-PL"/>
        </w:rPr>
        <w:t xml:space="preserve">W skardze </w:t>
      </w:r>
      <w:r w:rsidRPr="00CE730E">
        <w:rPr>
          <w:rFonts w:cs="Calibri"/>
          <w:lang w:val="pl-PL"/>
        </w:rPr>
        <w:t xml:space="preserve">do ETPCz </w:t>
      </w:r>
      <w:r>
        <w:rPr>
          <w:rFonts w:cs="Calibri"/>
          <w:lang w:val="pl-PL"/>
        </w:rPr>
        <w:t>skarżący</w:t>
      </w:r>
      <w:r w:rsidR="00803BCE">
        <w:rPr>
          <w:rFonts w:cs="Calibri"/>
          <w:lang w:val="pl-PL"/>
        </w:rPr>
        <w:t>,</w:t>
      </w:r>
      <w:r>
        <w:rPr>
          <w:rFonts w:cs="Calibri"/>
          <w:lang w:val="pl-PL"/>
        </w:rPr>
        <w:t xml:space="preserve"> po pierwsze</w:t>
      </w:r>
      <w:r w:rsidR="00803BCE">
        <w:rPr>
          <w:rFonts w:cs="Calibri"/>
          <w:lang w:val="pl-PL"/>
        </w:rPr>
        <w:t>,</w:t>
      </w:r>
      <w:r>
        <w:rPr>
          <w:rFonts w:cs="Calibri"/>
          <w:lang w:val="pl-PL"/>
        </w:rPr>
        <w:t xml:space="preserve"> zarzucili</w:t>
      </w:r>
      <w:r w:rsidRPr="00CE730E">
        <w:rPr>
          <w:rFonts w:cs="Calibri"/>
          <w:lang w:val="pl-PL"/>
        </w:rPr>
        <w:t>, że prawo obowiązujące na Malcie nie pozwalało im na podwyższenie czynszu najmu odzwierciedlające wartość rynkową wynajm</w:t>
      </w:r>
      <w:r>
        <w:rPr>
          <w:rFonts w:cs="Calibri"/>
          <w:lang w:val="pl-PL"/>
        </w:rPr>
        <w:t>owanej nieruchomości, a wymagało</w:t>
      </w:r>
      <w:r w:rsidRPr="00CE730E">
        <w:rPr>
          <w:rFonts w:cs="Calibri"/>
          <w:lang w:val="pl-PL"/>
        </w:rPr>
        <w:t xml:space="preserve"> od nich uwzględnienia już nieaktualnej wartości ustalonej w 1914 r. Skarżący wskazali, że </w:t>
      </w:r>
      <w:r>
        <w:rPr>
          <w:rFonts w:cs="Calibri"/>
          <w:lang w:val="pl-PL"/>
        </w:rPr>
        <w:t xml:space="preserve">podwyżka, której chcieli dokonać, </w:t>
      </w:r>
      <w:r w:rsidRPr="00CE730E">
        <w:rPr>
          <w:rFonts w:cs="Calibri"/>
          <w:lang w:val="pl-PL"/>
        </w:rPr>
        <w:t>nie była nadmierna</w:t>
      </w:r>
      <w:r>
        <w:rPr>
          <w:rFonts w:cs="Calibri"/>
          <w:lang w:val="pl-PL"/>
        </w:rPr>
        <w:t>,</w:t>
      </w:r>
      <w:r w:rsidRPr="00CE730E">
        <w:rPr>
          <w:rFonts w:cs="Calibri"/>
          <w:lang w:val="pl-PL"/>
        </w:rPr>
        <w:t xml:space="preserve"> gdyż czynsz wynosiłby ok</w:t>
      </w:r>
      <w:r>
        <w:rPr>
          <w:rFonts w:cs="Calibri"/>
          <w:lang w:val="pl-PL"/>
        </w:rPr>
        <w:t>.</w:t>
      </w:r>
      <w:r w:rsidRPr="00CE730E">
        <w:rPr>
          <w:rFonts w:cs="Calibri"/>
          <w:lang w:val="pl-PL"/>
        </w:rPr>
        <w:t xml:space="preserve"> 1</w:t>
      </w:r>
      <w:r>
        <w:rPr>
          <w:rFonts w:cs="Calibri"/>
          <w:lang w:val="pl-PL"/>
        </w:rPr>
        <w:t>.</w:t>
      </w:r>
      <w:r w:rsidRPr="00CE730E">
        <w:rPr>
          <w:rFonts w:cs="Calibri"/>
          <w:lang w:val="pl-PL"/>
        </w:rPr>
        <w:t>500 euro rocznie (dotychczas ok</w:t>
      </w:r>
      <w:r>
        <w:rPr>
          <w:rFonts w:cs="Calibri"/>
          <w:lang w:val="pl-PL"/>
        </w:rPr>
        <w:t>.</w:t>
      </w:r>
      <w:r w:rsidRPr="00CE730E">
        <w:rPr>
          <w:rFonts w:cs="Calibri"/>
          <w:lang w:val="pl-PL"/>
        </w:rPr>
        <w:t xml:space="preserve"> 860 euro rocznie)</w:t>
      </w:r>
      <w:r>
        <w:rPr>
          <w:rFonts w:cs="Calibri"/>
          <w:lang w:val="pl-PL"/>
        </w:rPr>
        <w:t>, podczas gdy</w:t>
      </w:r>
      <w:r w:rsidRPr="00CE730E">
        <w:rPr>
          <w:rFonts w:cs="Calibri"/>
          <w:lang w:val="pl-PL"/>
        </w:rPr>
        <w:t>, zgodnie z ich oszacowaniami</w:t>
      </w:r>
      <w:r>
        <w:rPr>
          <w:rFonts w:cs="Calibri"/>
          <w:lang w:val="pl-PL"/>
        </w:rPr>
        <w:t>,</w:t>
      </w:r>
      <w:r w:rsidRPr="00CE730E">
        <w:rPr>
          <w:rFonts w:cs="Calibri"/>
          <w:lang w:val="pl-PL"/>
        </w:rPr>
        <w:t xml:space="preserve"> czynsz powinien wynosić 7</w:t>
      </w:r>
      <w:r>
        <w:rPr>
          <w:rFonts w:cs="Calibri"/>
          <w:lang w:val="pl-PL"/>
        </w:rPr>
        <w:t>.</w:t>
      </w:r>
      <w:r w:rsidRPr="00CE730E">
        <w:rPr>
          <w:rFonts w:cs="Calibri"/>
          <w:lang w:val="pl-PL"/>
        </w:rPr>
        <w:t xml:space="preserve">000 euro rocznie. W związku z powyższym skarżący zarzucili, że obowiązujące przepisy </w:t>
      </w:r>
      <w:r>
        <w:rPr>
          <w:rFonts w:cs="Calibri"/>
          <w:lang w:val="pl-PL"/>
        </w:rPr>
        <w:t xml:space="preserve">nakładają na </w:t>
      </w:r>
      <w:r w:rsidRPr="00CE730E">
        <w:rPr>
          <w:rFonts w:cs="Calibri"/>
          <w:lang w:val="pl-PL"/>
        </w:rPr>
        <w:t xml:space="preserve">nich nadmierny ciężar, </w:t>
      </w:r>
      <w:r>
        <w:rPr>
          <w:rFonts w:cs="Calibri"/>
          <w:lang w:val="pl-PL"/>
        </w:rPr>
        <w:t>w szczególności biorąc pod uwagę fakt</w:t>
      </w:r>
      <w:r w:rsidRPr="00CE730E">
        <w:rPr>
          <w:rFonts w:cs="Calibri"/>
          <w:lang w:val="pl-PL"/>
        </w:rPr>
        <w:t xml:space="preserve">, że najemcą był przedsiębiorca prowadzący działalność handlową. </w:t>
      </w:r>
    </w:p>
    <w:p w:rsidR="007F6CE9" w:rsidRDefault="00CE730E" w:rsidP="00CE730E">
      <w:pPr>
        <w:spacing w:after="120" w:line="240" w:lineRule="auto"/>
        <w:jc w:val="both"/>
        <w:rPr>
          <w:rFonts w:cs="Calibri"/>
          <w:lang w:val="pl-PL"/>
        </w:rPr>
      </w:pPr>
      <w:r w:rsidRPr="00CE730E">
        <w:rPr>
          <w:rFonts w:cs="Calibri"/>
          <w:lang w:val="pl-PL"/>
        </w:rPr>
        <w:t xml:space="preserve">Trybunał w pierwszej kolejności wskazał, powołując się </w:t>
      </w:r>
      <w:r w:rsidR="007F6CE9">
        <w:rPr>
          <w:rFonts w:cs="Calibri"/>
          <w:lang w:val="pl-PL"/>
        </w:rPr>
        <w:t xml:space="preserve">m.in. </w:t>
      </w:r>
      <w:r w:rsidRPr="00CE730E">
        <w:rPr>
          <w:rFonts w:cs="Calibri"/>
          <w:lang w:val="pl-PL"/>
        </w:rPr>
        <w:t xml:space="preserve">na sprawę </w:t>
      </w:r>
      <w:proofErr w:type="spellStart"/>
      <w:r w:rsidRPr="00CE730E">
        <w:rPr>
          <w:rFonts w:cs="Calibri"/>
          <w:lang w:val="pl-PL"/>
        </w:rPr>
        <w:t>Hutten</w:t>
      </w:r>
      <w:proofErr w:type="spellEnd"/>
      <w:r w:rsidRPr="00CE730E">
        <w:rPr>
          <w:rFonts w:cs="Calibri"/>
          <w:lang w:val="pl-PL"/>
        </w:rPr>
        <w:t xml:space="preserve">-Czapska p. Polsce, że kwestie czynszów regulowanych podlegają ocenie w poparciu o </w:t>
      </w:r>
      <w:r w:rsidR="00C56043">
        <w:rPr>
          <w:rFonts w:cs="Calibri"/>
          <w:lang w:val="pl-PL"/>
        </w:rPr>
        <w:t>art.</w:t>
      </w:r>
      <w:r w:rsidRPr="00CE730E">
        <w:rPr>
          <w:rFonts w:cs="Calibri"/>
          <w:lang w:val="pl-PL"/>
        </w:rPr>
        <w:t xml:space="preserve"> 1 Protokołu nr 1 do Konwencji. </w:t>
      </w:r>
      <w:r w:rsidR="007F6CE9">
        <w:rPr>
          <w:rFonts w:cs="Calibri"/>
          <w:lang w:val="pl-PL"/>
        </w:rPr>
        <w:t>Pomimo, iż poprzednik prawny skarżących zawarł umowę najmu ze świadomością mających zastosowanie ograniczeń, nie można uznać, że doszło do zrze</w:t>
      </w:r>
      <w:r w:rsidR="00FE4102">
        <w:rPr>
          <w:rFonts w:cs="Calibri"/>
          <w:lang w:val="pl-PL"/>
        </w:rPr>
        <w:t>czenia się praw właścicielskich</w:t>
      </w:r>
      <w:r w:rsidR="00803BCE">
        <w:rPr>
          <w:rFonts w:cs="Calibri"/>
          <w:lang w:val="pl-PL"/>
        </w:rPr>
        <w:t xml:space="preserve"> w tym zakresie</w:t>
      </w:r>
      <w:r w:rsidR="00FE4102">
        <w:rPr>
          <w:rFonts w:cs="Calibri"/>
          <w:lang w:val="pl-PL"/>
        </w:rPr>
        <w:t>.</w:t>
      </w:r>
      <w:r w:rsidR="007F6CE9">
        <w:rPr>
          <w:rFonts w:cs="Calibri"/>
          <w:lang w:val="pl-PL"/>
        </w:rPr>
        <w:t xml:space="preserve"> Trybunał uznał, że system kontroli czynszów w obecnej sprawie stanowił ingerencję w prawo skarżących do korzystania z ich własności i podlega ocenie z punktu widzenia drugiego paragrafu art. 1 P</w:t>
      </w:r>
      <w:r w:rsidR="00FE4102">
        <w:rPr>
          <w:rFonts w:cs="Calibri"/>
          <w:lang w:val="pl-PL"/>
        </w:rPr>
        <w:t xml:space="preserve">rotokołu nr 1 do Konwencji dotyczącego </w:t>
      </w:r>
      <w:r w:rsidR="005B6C70">
        <w:rPr>
          <w:rFonts w:cs="Calibri"/>
          <w:lang w:val="pl-PL"/>
        </w:rPr>
        <w:t>uregulowania sposobu korzystania</w:t>
      </w:r>
      <w:r w:rsidR="00FE4102">
        <w:rPr>
          <w:rFonts w:cs="Calibri"/>
          <w:lang w:val="pl-PL"/>
        </w:rPr>
        <w:t xml:space="preserve"> z własności. </w:t>
      </w:r>
    </w:p>
    <w:p w:rsidR="00FE4102" w:rsidRPr="00FE4102" w:rsidRDefault="00FE4102" w:rsidP="00CE730E">
      <w:pPr>
        <w:spacing w:after="120" w:line="240" w:lineRule="auto"/>
        <w:jc w:val="both"/>
        <w:rPr>
          <w:rFonts w:cs="Calibri"/>
          <w:lang w:val="pl-PL"/>
        </w:rPr>
      </w:pPr>
      <w:r w:rsidRPr="00FE4102">
        <w:rPr>
          <w:rStyle w:val="sb8d990e2"/>
          <w:lang w:val="pl-PL"/>
        </w:rPr>
        <w:t xml:space="preserve">Trybunał zgodził się z rządem maltańskim, że przedmiotowa ingerencja dążyła do </w:t>
      </w:r>
      <w:r w:rsidR="007E26FA">
        <w:rPr>
          <w:rStyle w:val="sb8d990e2"/>
          <w:lang w:val="pl-PL"/>
        </w:rPr>
        <w:t xml:space="preserve">realizacji </w:t>
      </w:r>
      <w:r w:rsidRPr="00FE4102">
        <w:rPr>
          <w:rStyle w:val="sb8d990e2"/>
          <w:lang w:val="pl-PL"/>
        </w:rPr>
        <w:t>uprawnionego celu, jakim jest ochron</w:t>
      </w:r>
      <w:r w:rsidR="00815F4C">
        <w:rPr>
          <w:rStyle w:val="sb8d990e2"/>
          <w:lang w:val="pl-PL"/>
        </w:rPr>
        <w:t>a</w:t>
      </w:r>
      <w:r w:rsidRPr="00FE4102">
        <w:rPr>
          <w:rStyle w:val="sb8d990e2"/>
          <w:lang w:val="pl-PL"/>
        </w:rPr>
        <w:t xml:space="preserve"> stabilności prowadzenia działalności gospodarczej, </w:t>
      </w:r>
      <w:r>
        <w:rPr>
          <w:rStyle w:val="sb8d990e2"/>
          <w:lang w:val="pl-PL"/>
        </w:rPr>
        <w:t xml:space="preserve">ochrona </w:t>
      </w:r>
      <w:r w:rsidRPr="00FE4102">
        <w:rPr>
          <w:rStyle w:val="sb8d990e2"/>
          <w:lang w:val="pl-PL"/>
        </w:rPr>
        <w:t xml:space="preserve">zatrudnienia osób, </w:t>
      </w:r>
      <w:r>
        <w:rPr>
          <w:rStyle w:val="sb8d990e2"/>
          <w:lang w:val="pl-PL"/>
        </w:rPr>
        <w:t>które</w:t>
      </w:r>
      <w:r w:rsidRPr="00FE4102">
        <w:rPr>
          <w:rStyle w:val="sb8d990e2"/>
          <w:lang w:val="pl-PL"/>
        </w:rPr>
        <w:t xml:space="preserve"> zależało </w:t>
      </w:r>
      <w:r>
        <w:rPr>
          <w:rStyle w:val="sb8d990e2"/>
          <w:lang w:val="pl-PL"/>
        </w:rPr>
        <w:t>od prowadzenia</w:t>
      </w:r>
      <w:r w:rsidRPr="00FE4102">
        <w:rPr>
          <w:rStyle w:val="sb8d990e2"/>
          <w:lang w:val="pl-PL"/>
        </w:rPr>
        <w:t xml:space="preserve"> tej </w:t>
      </w:r>
      <w:r>
        <w:rPr>
          <w:rStyle w:val="sb8d990e2"/>
          <w:lang w:val="pl-PL"/>
        </w:rPr>
        <w:t xml:space="preserve">działalności, zapobieżenie </w:t>
      </w:r>
      <w:r w:rsidR="007E26FA">
        <w:rPr>
          <w:rStyle w:val="sb8d990e2"/>
          <w:lang w:val="pl-PL"/>
        </w:rPr>
        <w:t>wykorzystywania</w:t>
      </w:r>
      <w:r>
        <w:rPr>
          <w:rStyle w:val="sb8d990e2"/>
          <w:lang w:val="pl-PL"/>
        </w:rPr>
        <w:t xml:space="preserve"> </w:t>
      </w:r>
      <w:r w:rsidR="007E26FA">
        <w:rPr>
          <w:rStyle w:val="sb8d990e2"/>
          <w:lang w:val="pl-PL"/>
        </w:rPr>
        <w:t xml:space="preserve">działalności gospodarczej najemcy </w:t>
      </w:r>
      <w:r>
        <w:rPr>
          <w:rStyle w:val="sb8d990e2"/>
          <w:lang w:val="pl-PL"/>
        </w:rPr>
        <w:t>przez właścicieli nieruchomości</w:t>
      </w:r>
      <w:r w:rsidR="007E26FA">
        <w:rPr>
          <w:rStyle w:val="sb8d990e2"/>
          <w:lang w:val="pl-PL"/>
        </w:rPr>
        <w:t xml:space="preserve">, zapewnienie zaś rentowności przedsiębiorstw handlowych </w:t>
      </w:r>
      <w:r w:rsidR="00815F4C">
        <w:rPr>
          <w:rStyle w:val="sb8d990e2"/>
          <w:lang w:val="pl-PL"/>
        </w:rPr>
        <w:t xml:space="preserve">pozostaje </w:t>
      </w:r>
      <w:r w:rsidR="007E26FA">
        <w:rPr>
          <w:rStyle w:val="sb8d990e2"/>
          <w:lang w:val="pl-PL"/>
        </w:rPr>
        <w:t xml:space="preserve">w interesie zarówno tych przedsiębiorstw, jak i konsumentów, a więc </w:t>
      </w:r>
      <w:r w:rsidR="00815F4C">
        <w:rPr>
          <w:rStyle w:val="sb8d990e2"/>
          <w:lang w:val="pl-PL"/>
        </w:rPr>
        <w:t xml:space="preserve">jest </w:t>
      </w:r>
      <w:r w:rsidR="007E26FA">
        <w:rPr>
          <w:rStyle w:val="sb8d990e2"/>
          <w:lang w:val="pl-PL"/>
        </w:rPr>
        <w:t>w interesie ogólnym.</w:t>
      </w:r>
    </w:p>
    <w:p w:rsidR="00CE730E" w:rsidRDefault="00C56043" w:rsidP="00CE730E">
      <w:pPr>
        <w:spacing w:after="120" w:line="240" w:lineRule="auto"/>
        <w:jc w:val="both"/>
        <w:rPr>
          <w:rFonts w:cs="Calibri"/>
          <w:lang w:val="pl-PL"/>
        </w:rPr>
      </w:pPr>
      <w:r>
        <w:rPr>
          <w:rFonts w:cs="Calibri"/>
          <w:lang w:val="pl-PL"/>
        </w:rPr>
        <w:t>Trybunał odnotował</w:t>
      </w:r>
      <w:r w:rsidR="007E26FA">
        <w:rPr>
          <w:rFonts w:cs="Calibri"/>
          <w:lang w:val="pl-PL"/>
        </w:rPr>
        <w:t xml:space="preserve"> jednak</w:t>
      </w:r>
      <w:r w:rsidR="00CE730E" w:rsidRPr="00CE730E">
        <w:rPr>
          <w:rFonts w:cs="Calibri"/>
          <w:lang w:val="pl-PL"/>
        </w:rPr>
        <w:t xml:space="preserve">, że żądana przez skarżących podwyżka czynszu najmu </w:t>
      </w:r>
      <w:r w:rsidR="00F6352F">
        <w:rPr>
          <w:rFonts w:cs="Calibri"/>
          <w:lang w:val="pl-PL"/>
        </w:rPr>
        <w:t>była</w:t>
      </w:r>
      <w:r w:rsidR="00CE730E" w:rsidRPr="00CE730E">
        <w:rPr>
          <w:rFonts w:cs="Calibri"/>
          <w:lang w:val="pl-PL"/>
        </w:rPr>
        <w:t xml:space="preserve"> dużo niższa niż wynikałaby z dokonanych przez nich oszacowań, czego państwo pozwane nie negowało, </w:t>
      </w:r>
      <w:r w:rsidR="00F6352F">
        <w:rPr>
          <w:rFonts w:cs="Calibri"/>
          <w:lang w:val="pl-PL"/>
        </w:rPr>
        <w:t>a regulacje prawne funkcjonowały w tej sprawie w sposób automatyczny, który nie zapewniał możliwości wyważenia interesów obu stron.</w:t>
      </w:r>
      <w:r>
        <w:rPr>
          <w:rFonts w:cs="Calibri"/>
          <w:lang w:val="pl-PL"/>
        </w:rPr>
        <w:t xml:space="preserve"> W świetle powyższych faktów</w:t>
      </w:r>
      <w:r w:rsidR="00CE730E" w:rsidRPr="00CE730E">
        <w:rPr>
          <w:rFonts w:cs="Calibri"/>
          <w:lang w:val="pl-PL"/>
        </w:rPr>
        <w:t xml:space="preserve"> </w:t>
      </w:r>
      <w:r>
        <w:rPr>
          <w:rFonts w:cs="Calibri"/>
          <w:lang w:val="pl-PL"/>
        </w:rPr>
        <w:t xml:space="preserve">Trybunał </w:t>
      </w:r>
      <w:r w:rsidR="00CE730E" w:rsidRPr="00CE730E">
        <w:rPr>
          <w:rFonts w:cs="Calibri"/>
          <w:lang w:val="pl-PL"/>
        </w:rPr>
        <w:t>stwierdził</w:t>
      </w:r>
      <w:r>
        <w:rPr>
          <w:rFonts w:cs="Calibri"/>
          <w:lang w:val="pl-PL"/>
        </w:rPr>
        <w:t>,</w:t>
      </w:r>
      <w:r w:rsidR="00CE730E" w:rsidRPr="00CE730E">
        <w:rPr>
          <w:rFonts w:cs="Calibri"/>
          <w:lang w:val="pl-PL"/>
        </w:rPr>
        <w:t xml:space="preserve"> że władze maltańskie nie zapewniły odpowiedniej równowagi między interesem ogółu w regulowaniu czynszów a poszanowaniem praw skarżących</w:t>
      </w:r>
      <w:r w:rsidR="00F6352F">
        <w:rPr>
          <w:rFonts w:cs="Calibri"/>
          <w:lang w:val="pl-PL"/>
        </w:rPr>
        <w:t xml:space="preserve">, przez co na skarżących nałożono </w:t>
      </w:r>
      <w:r w:rsidR="00B833B3">
        <w:rPr>
          <w:rFonts w:cs="Calibri"/>
          <w:lang w:val="pl-PL"/>
        </w:rPr>
        <w:t xml:space="preserve">nieproporcjonalny, nadmierny ciężar, obarczając ich koniecznością ponoszenia znacznej części </w:t>
      </w:r>
      <w:r w:rsidR="00F6352F">
        <w:rPr>
          <w:rFonts w:cs="Calibri"/>
          <w:lang w:val="pl-PL"/>
        </w:rPr>
        <w:t>społeczny</w:t>
      </w:r>
      <w:r w:rsidR="00B833B3">
        <w:rPr>
          <w:rFonts w:cs="Calibri"/>
          <w:lang w:val="pl-PL"/>
        </w:rPr>
        <w:t>ch</w:t>
      </w:r>
      <w:r w:rsidR="00F6352F">
        <w:rPr>
          <w:rFonts w:cs="Calibri"/>
          <w:lang w:val="pl-PL"/>
        </w:rPr>
        <w:t xml:space="preserve"> i finansowy</w:t>
      </w:r>
      <w:r w:rsidR="00B833B3">
        <w:rPr>
          <w:rFonts w:cs="Calibri"/>
          <w:lang w:val="pl-PL"/>
        </w:rPr>
        <w:t>ch</w:t>
      </w:r>
      <w:r w:rsidR="00F6352F">
        <w:rPr>
          <w:rFonts w:cs="Calibri"/>
          <w:lang w:val="pl-PL"/>
        </w:rPr>
        <w:t xml:space="preserve"> koszt</w:t>
      </w:r>
      <w:r w:rsidR="00B833B3">
        <w:rPr>
          <w:rFonts w:cs="Calibri"/>
          <w:lang w:val="pl-PL"/>
        </w:rPr>
        <w:t>ów</w:t>
      </w:r>
      <w:r w:rsidR="00F6352F">
        <w:rPr>
          <w:rFonts w:cs="Calibri"/>
          <w:lang w:val="pl-PL"/>
        </w:rPr>
        <w:t xml:space="preserve"> wspierania przedsiębiorczości. D</w:t>
      </w:r>
      <w:r w:rsidR="00F6352F" w:rsidRPr="00CE730E">
        <w:rPr>
          <w:rFonts w:cs="Calibri"/>
          <w:lang w:val="pl-PL"/>
        </w:rPr>
        <w:t xml:space="preserve">oszło </w:t>
      </w:r>
      <w:r w:rsidR="00F6352F">
        <w:rPr>
          <w:rFonts w:cs="Calibri"/>
          <w:lang w:val="pl-PL"/>
        </w:rPr>
        <w:t xml:space="preserve">więc </w:t>
      </w:r>
      <w:r w:rsidR="00F6352F" w:rsidRPr="00CE730E">
        <w:rPr>
          <w:rFonts w:cs="Calibri"/>
          <w:lang w:val="pl-PL"/>
        </w:rPr>
        <w:t xml:space="preserve">do naruszenia </w:t>
      </w:r>
      <w:r w:rsidR="00F6352F">
        <w:rPr>
          <w:rFonts w:cs="Calibri"/>
          <w:lang w:val="pl-PL"/>
        </w:rPr>
        <w:t>a</w:t>
      </w:r>
      <w:r w:rsidR="00F6352F" w:rsidRPr="00CE730E">
        <w:rPr>
          <w:rFonts w:cs="Calibri"/>
          <w:lang w:val="pl-PL"/>
        </w:rPr>
        <w:t>rt. 1 Protokołu nr 1 do Konwencji</w:t>
      </w:r>
      <w:r w:rsidR="00CE730E" w:rsidRPr="00CE730E">
        <w:rPr>
          <w:rFonts w:cs="Calibri"/>
          <w:lang w:val="pl-PL"/>
        </w:rPr>
        <w:t>.</w:t>
      </w:r>
      <w:r>
        <w:rPr>
          <w:rFonts w:cs="Calibri"/>
          <w:lang w:val="pl-PL"/>
        </w:rPr>
        <w:t xml:space="preserve"> </w:t>
      </w:r>
      <w:r w:rsidR="00B833B3">
        <w:rPr>
          <w:rFonts w:cs="Calibri"/>
          <w:lang w:val="pl-PL"/>
        </w:rPr>
        <w:t>Trybunał p</w:t>
      </w:r>
      <w:r w:rsidR="00CE730E" w:rsidRPr="00CE730E">
        <w:rPr>
          <w:rFonts w:cs="Calibri"/>
          <w:lang w:val="pl-PL"/>
        </w:rPr>
        <w:t>rzyznał skarżącym odszkodowanie z tytułu szkody majątkowej w wysokości 40</w:t>
      </w:r>
      <w:r>
        <w:rPr>
          <w:rFonts w:cs="Calibri"/>
          <w:lang w:val="pl-PL"/>
        </w:rPr>
        <w:t>.</w:t>
      </w:r>
      <w:r w:rsidR="00CE730E" w:rsidRPr="00CE730E">
        <w:rPr>
          <w:rFonts w:cs="Calibri"/>
          <w:lang w:val="pl-PL"/>
        </w:rPr>
        <w:t xml:space="preserve">000 </w:t>
      </w:r>
      <w:r>
        <w:rPr>
          <w:rFonts w:cs="Calibri"/>
          <w:lang w:val="pl-PL"/>
        </w:rPr>
        <w:t xml:space="preserve">euro </w:t>
      </w:r>
      <w:r w:rsidR="00CE730E" w:rsidRPr="00CE730E">
        <w:rPr>
          <w:rFonts w:cs="Calibri"/>
          <w:lang w:val="pl-PL"/>
        </w:rPr>
        <w:t>oraz zwrot kosztów postępowania w wysokości 10</w:t>
      </w:r>
      <w:r w:rsidR="0081235F">
        <w:rPr>
          <w:rFonts w:cs="Calibri"/>
          <w:lang w:val="pl-PL"/>
        </w:rPr>
        <w:t>.</w:t>
      </w:r>
      <w:r w:rsidR="00CE730E" w:rsidRPr="00CE730E">
        <w:rPr>
          <w:rFonts w:cs="Calibri"/>
          <w:lang w:val="pl-PL"/>
        </w:rPr>
        <w:t xml:space="preserve">000 euro. </w:t>
      </w:r>
    </w:p>
    <w:p w:rsidR="008148A0" w:rsidRDefault="00B833B3" w:rsidP="00B67E40">
      <w:pPr>
        <w:spacing w:after="240" w:line="240" w:lineRule="auto"/>
        <w:jc w:val="both"/>
        <w:rPr>
          <w:rFonts w:cs="Calibri"/>
          <w:lang w:val="pl-PL"/>
        </w:rPr>
      </w:pPr>
      <w:r>
        <w:rPr>
          <w:rFonts w:cs="Calibri"/>
          <w:lang w:val="pl-PL"/>
        </w:rPr>
        <w:t xml:space="preserve">Skarżący podnieśli ponadto, że zostali potraktowani w sposób </w:t>
      </w:r>
      <w:r w:rsidR="00E601BC">
        <w:rPr>
          <w:rFonts w:cs="Calibri"/>
          <w:lang w:val="pl-PL"/>
        </w:rPr>
        <w:t xml:space="preserve">dyskryminujący w porównaniu do </w:t>
      </w:r>
      <w:r>
        <w:rPr>
          <w:rFonts w:cs="Calibri"/>
          <w:lang w:val="pl-PL"/>
        </w:rPr>
        <w:t xml:space="preserve">właścicieli nieruchomości, którzy </w:t>
      </w:r>
      <w:r w:rsidR="002F70C7">
        <w:rPr>
          <w:rFonts w:cs="Calibri"/>
          <w:lang w:val="pl-PL"/>
        </w:rPr>
        <w:t>zawarli umowy najmu po 1995 r. i którzy w świetle nowego ustawodawstwa nie byli objęci</w:t>
      </w:r>
      <w:r w:rsidR="00F76127">
        <w:rPr>
          <w:rFonts w:cs="Calibri"/>
          <w:lang w:val="pl-PL"/>
        </w:rPr>
        <w:t xml:space="preserve"> wcześniejszymi</w:t>
      </w:r>
      <w:r w:rsidR="002F70C7">
        <w:rPr>
          <w:rFonts w:cs="Calibri"/>
          <w:lang w:val="pl-PL"/>
        </w:rPr>
        <w:t xml:space="preserve"> ograniczeniami</w:t>
      </w:r>
      <w:r w:rsidR="00934C10">
        <w:rPr>
          <w:rFonts w:cs="Calibri"/>
          <w:lang w:val="pl-PL"/>
        </w:rPr>
        <w:t xml:space="preserve"> mającymi</w:t>
      </w:r>
      <w:r w:rsidR="002F70C7">
        <w:rPr>
          <w:rFonts w:cs="Calibri"/>
          <w:lang w:val="pl-PL"/>
        </w:rPr>
        <w:t xml:space="preserve"> </w:t>
      </w:r>
      <w:r w:rsidR="00F76127">
        <w:rPr>
          <w:rFonts w:cs="Calibri"/>
          <w:lang w:val="pl-PL"/>
        </w:rPr>
        <w:t xml:space="preserve">nadal </w:t>
      </w:r>
      <w:r w:rsidR="002F70C7">
        <w:rPr>
          <w:rFonts w:cs="Calibri"/>
          <w:lang w:val="pl-PL"/>
        </w:rPr>
        <w:t xml:space="preserve">zastosowanie do skarżących. </w:t>
      </w:r>
      <w:r>
        <w:rPr>
          <w:rFonts w:cs="Calibri"/>
          <w:lang w:val="pl-PL"/>
        </w:rPr>
        <w:t xml:space="preserve">Trybunał </w:t>
      </w:r>
      <w:r w:rsidR="00934C10">
        <w:rPr>
          <w:rFonts w:cs="Calibri"/>
          <w:lang w:val="pl-PL"/>
        </w:rPr>
        <w:t>odnotował, że ograniczenia miały zastosowanie do wszystkich osób w podobnej sytuacji, które zawarły umowy przed 1995 r. P</w:t>
      </w:r>
      <w:r w:rsidR="002F70C7">
        <w:rPr>
          <w:rFonts w:cs="Calibri"/>
          <w:lang w:val="pl-PL"/>
        </w:rPr>
        <w:t>odkreślił</w:t>
      </w:r>
      <w:r w:rsidR="00934C10">
        <w:rPr>
          <w:rFonts w:cs="Calibri"/>
          <w:lang w:val="pl-PL"/>
        </w:rPr>
        <w:t xml:space="preserve"> też</w:t>
      </w:r>
      <w:r w:rsidR="002F70C7">
        <w:rPr>
          <w:rFonts w:cs="Calibri"/>
          <w:lang w:val="pl-PL"/>
        </w:rPr>
        <w:t xml:space="preserve">, że nie dochodzi do </w:t>
      </w:r>
      <w:r w:rsidR="00E601BC">
        <w:rPr>
          <w:rFonts w:cs="Calibri"/>
          <w:lang w:val="pl-PL"/>
        </w:rPr>
        <w:t>dyskryminacji</w:t>
      </w:r>
      <w:r w:rsidR="002F70C7">
        <w:rPr>
          <w:rFonts w:cs="Calibri"/>
          <w:lang w:val="pl-PL"/>
        </w:rPr>
        <w:t xml:space="preserve"> w rezultacie wyboru określonej daty, od której ma zastosowanie nowy reżim prawny</w:t>
      </w:r>
      <w:r w:rsidR="00934C10">
        <w:rPr>
          <w:rFonts w:cs="Calibri"/>
          <w:lang w:val="pl-PL"/>
        </w:rPr>
        <w:t>, jeśli</w:t>
      </w:r>
      <w:r w:rsidR="002F70C7">
        <w:rPr>
          <w:rFonts w:cs="Calibri"/>
          <w:lang w:val="pl-PL"/>
        </w:rPr>
        <w:t xml:space="preserve"> </w:t>
      </w:r>
      <w:r w:rsidR="00934C10">
        <w:rPr>
          <w:rFonts w:cs="Calibri"/>
          <w:lang w:val="pl-PL"/>
        </w:rPr>
        <w:t>z</w:t>
      </w:r>
      <w:r w:rsidR="002F70C7">
        <w:rPr>
          <w:rFonts w:cs="Calibri"/>
          <w:lang w:val="pl-PL"/>
        </w:rPr>
        <w:t xml:space="preserve">różnicowane traktowanie wynikające z wdrożenia </w:t>
      </w:r>
      <w:r w:rsidR="00934C10">
        <w:rPr>
          <w:rFonts w:cs="Calibri"/>
          <w:lang w:val="pl-PL"/>
        </w:rPr>
        <w:t xml:space="preserve">takich </w:t>
      </w:r>
      <w:r w:rsidR="002F70C7">
        <w:rPr>
          <w:rFonts w:cs="Calibri"/>
          <w:lang w:val="pl-PL"/>
        </w:rPr>
        <w:t xml:space="preserve">zmian legislacyjnych jest uzasadnione w sposób rozsądny i obiektywny w interesie dobrego wymiaru sprawiedliwości. W tym względzie Trybunał </w:t>
      </w:r>
      <w:r w:rsidR="00934C10">
        <w:rPr>
          <w:rFonts w:cs="Calibri"/>
          <w:lang w:val="pl-PL"/>
        </w:rPr>
        <w:t>uznał</w:t>
      </w:r>
      <w:r w:rsidR="002F70C7">
        <w:rPr>
          <w:rFonts w:cs="Calibri"/>
          <w:lang w:val="pl-PL"/>
        </w:rPr>
        <w:t>, że zmiany wprowadzone w 1995 r. miały na celu poprawienie sytuacji właścicieli nieruchomości, tak by osiągnąć równowagę między różnymi konkuru</w:t>
      </w:r>
      <w:r w:rsidR="00E601BC">
        <w:rPr>
          <w:rFonts w:cs="Calibri"/>
          <w:lang w:val="pl-PL"/>
        </w:rPr>
        <w:t>jącymi między sobą interesami</w:t>
      </w:r>
      <w:r w:rsidR="00934C10">
        <w:rPr>
          <w:rFonts w:cs="Calibri"/>
          <w:lang w:val="pl-PL"/>
        </w:rPr>
        <w:t xml:space="preserve">, i </w:t>
      </w:r>
      <w:r w:rsidR="00E601BC">
        <w:rPr>
          <w:rFonts w:cs="Calibri"/>
          <w:lang w:val="pl-PL"/>
        </w:rPr>
        <w:t xml:space="preserve">nie dopatrzył się, by </w:t>
      </w:r>
      <w:r w:rsidR="004C01AF">
        <w:rPr>
          <w:rFonts w:cs="Calibri"/>
          <w:lang w:val="pl-PL"/>
        </w:rPr>
        <w:t xml:space="preserve">zmiany te </w:t>
      </w:r>
      <w:r w:rsidR="00E601BC">
        <w:rPr>
          <w:rFonts w:cs="Calibri"/>
          <w:lang w:val="pl-PL"/>
        </w:rPr>
        <w:t xml:space="preserve">miały charakter arbitralny lub nierozsądny. W rezultacie Trybunał stwierdził, że zarzut dyskryminacji </w:t>
      </w:r>
      <w:r w:rsidR="00934C10">
        <w:rPr>
          <w:rFonts w:cs="Calibri"/>
          <w:lang w:val="pl-PL"/>
        </w:rPr>
        <w:t xml:space="preserve">w obecnej sprawie </w:t>
      </w:r>
      <w:r w:rsidR="00E601BC">
        <w:rPr>
          <w:rFonts w:cs="Calibri"/>
          <w:lang w:val="pl-PL"/>
        </w:rPr>
        <w:t>jest w sposób oczywiście nieuzasadniony, a skarga</w:t>
      </w:r>
      <w:r w:rsidR="00180C2F">
        <w:rPr>
          <w:rFonts w:cs="Calibri"/>
          <w:lang w:val="pl-PL"/>
        </w:rPr>
        <w:t xml:space="preserve"> na podstawie art. 14 Konwencji w związku z art. 1 Protokołu nr 1 do Konwencji jest </w:t>
      </w:r>
      <w:r w:rsidR="00E601BC">
        <w:rPr>
          <w:rFonts w:cs="Calibri"/>
          <w:lang w:val="pl-PL"/>
        </w:rPr>
        <w:t>w tym względzie niedopuszczalna w świetle art. 35 ust</w:t>
      </w:r>
      <w:r w:rsidR="00934C10">
        <w:rPr>
          <w:rFonts w:cs="Calibri"/>
          <w:lang w:val="pl-PL"/>
        </w:rPr>
        <w:t>.</w:t>
      </w:r>
      <w:r w:rsidR="00E601BC">
        <w:rPr>
          <w:rFonts w:cs="Calibri"/>
          <w:lang w:val="pl-PL"/>
        </w:rPr>
        <w:t xml:space="preserve"> 3 i 4 Konwencji.</w:t>
      </w:r>
    </w:p>
    <w:p w:rsidR="00293C8C" w:rsidRPr="009D6EC7" w:rsidRDefault="00293C8C" w:rsidP="009D6EC7">
      <w:pPr>
        <w:pStyle w:val="Nagwek2"/>
        <w:numPr>
          <w:ilvl w:val="0"/>
          <w:numId w:val="1"/>
        </w:numPr>
      </w:pPr>
      <w:bookmarkStart w:id="15" w:name="_Toc428457811"/>
      <w:r w:rsidRPr="009D6EC7">
        <w:t xml:space="preserve">Ferreira Santos </w:t>
      </w:r>
      <w:proofErr w:type="spellStart"/>
      <w:r w:rsidRPr="009D6EC7">
        <w:t>Pardal</w:t>
      </w:r>
      <w:proofErr w:type="spellEnd"/>
      <w:r w:rsidRPr="009D6EC7">
        <w:t xml:space="preserve"> przeciwko Portugalii (skarga nr 30123/10), wyrok Izby z </w:t>
      </w:r>
      <w:r w:rsidR="009D6EC7" w:rsidRPr="009D6EC7">
        <w:t>30.07.2015 r.</w:t>
      </w:r>
      <w:r w:rsidRPr="009D6EC7">
        <w:t>, nieostateczny</w:t>
      </w:r>
      <w:bookmarkEnd w:id="15"/>
    </w:p>
    <w:p w:rsidR="00293C8C" w:rsidRPr="00B11E3A" w:rsidRDefault="005D2C60" w:rsidP="00B67E40">
      <w:pPr>
        <w:pStyle w:val="Nagwek3"/>
        <w:rPr>
          <w:lang w:val="pl-PL"/>
        </w:rPr>
      </w:pPr>
      <w:bookmarkStart w:id="16" w:name="_Toc428457812"/>
      <w:r w:rsidRPr="00B11E3A">
        <w:rPr>
          <w:lang w:val="pl-PL"/>
        </w:rPr>
        <w:t>- naruszenie art. 6 ust. 1 Konwencji (prawo do rzetelnego procesu sądowego) z uwagi na rozbieżność w orzecznictwie Sądu Najwyższego i brak skutecznego mechanizmu zapewnienia spójności jego orzecznictwa</w:t>
      </w:r>
      <w:r w:rsidR="00B11E3A">
        <w:rPr>
          <w:lang w:val="pl-PL"/>
        </w:rPr>
        <w:t xml:space="preserve"> w sprawie dotyczącej oddalenia powództwa skarżącego przeciwko państwu</w:t>
      </w:r>
      <w:bookmarkEnd w:id="16"/>
      <w:r w:rsidRPr="00B11E3A">
        <w:rPr>
          <w:lang w:val="pl-PL"/>
        </w:rPr>
        <w:t xml:space="preserve"> </w:t>
      </w:r>
    </w:p>
    <w:p w:rsidR="00293C8C" w:rsidRPr="0007098B" w:rsidRDefault="00293C8C" w:rsidP="00293C8C">
      <w:pPr>
        <w:spacing w:after="120" w:line="240" w:lineRule="auto"/>
        <w:jc w:val="both"/>
        <w:rPr>
          <w:rFonts w:cs="Calibri"/>
          <w:u w:val="single"/>
          <w:lang w:val="pl-PL"/>
        </w:rPr>
      </w:pPr>
      <w:r w:rsidRPr="0007098B">
        <w:rPr>
          <w:rFonts w:cs="Calibri"/>
          <w:u w:val="single"/>
          <w:lang w:val="pl-PL"/>
        </w:rPr>
        <w:t xml:space="preserve">Stan faktyczny </w:t>
      </w:r>
      <w:r w:rsidR="0007098B">
        <w:rPr>
          <w:rFonts w:cs="Calibri"/>
          <w:u w:val="single"/>
          <w:lang w:val="pl-PL"/>
        </w:rPr>
        <w:t>i zarzuty skarżącego</w:t>
      </w:r>
    </w:p>
    <w:p w:rsidR="00293C8C" w:rsidRPr="0007098B" w:rsidRDefault="00293C8C" w:rsidP="0007098B">
      <w:pPr>
        <w:spacing w:after="120" w:line="240" w:lineRule="auto"/>
        <w:jc w:val="both"/>
        <w:rPr>
          <w:rFonts w:cs="Calibri"/>
          <w:lang w:val="pl-PL"/>
        </w:rPr>
      </w:pPr>
      <w:r w:rsidRPr="0007098B">
        <w:rPr>
          <w:rFonts w:cs="Calibri"/>
          <w:lang w:val="pl-PL"/>
        </w:rPr>
        <w:t xml:space="preserve">Skarżący, </w:t>
      </w:r>
      <w:proofErr w:type="spellStart"/>
      <w:r w:rsidRPr="0007098B">
        <w:rPr>
          <w:rFonts w:cs="Calibri"/>
          <w:lang w:val="pl-PL"/>
        </w:rPr>
        <w:t>Jose</w:t>
      </w:r>
      <w:proofErr w:type="spellEnd"/>
      <w:r w:rsidRPr="0007098B">
        <w:rPr>
          <w:rFonts w:cs="Calibri"/>
          <w:lang w:val="pl-PL"/>
        </w:rPr>
        <w:t xml:space="preserve"> Luis Ferreira Santos </w:t>
      </w:r>
      <w:proofErr w:type="spellStart"/>
      <w:r w:rsidRPr="0007098B">
        <w:rPr>
          <w:rFonts w:cs="Calibri"/>
          <w:lang w:val="pl-PL"/>
        </w:rPr>
        <w:t>Pardal</w:t>
      </w:r>
      <w:proofErr w:type="spellEnd"/>
      <w:r w:rsidRPr="0007098B">
        <w:rPr>
          <w:rFonts w:cs="Calibri"/>
          <w:lang w:val="pl-PL"/>
        </w:rPr>
        <w:t xml:space="preserve">, w październiku 1997 r. uczestniczył </w:t>
      </w:r>
      <w:r w:rsidRPr="0007098B">
        <w:rPr>
          <w:rFonts w:cs="Calibri"/>
          <w:lang w:val="pl-PL"/>
        </w:rPr>
        <w:br/>
      </w:r>
      <w:r w:rsidR="00180C2F">
        <w:rPr>
          <w:rFonts w:cs="Calibri"/>
          <w:lang w:val="pl-PL"/>
        </w:rPr>
        <w:t>w wypadku drogowym</w:t>
      </w:r>
      <w:r w:rsidRPr="0007098B">
        <w:rPr>
          <w:rFonts w:cs="Calibri"/>
          <w:lang w:val="pl-PL"/>
        </w:rPr>
        <w:t xml:space="preserve"> jako pasażer w swoim własnym samochodzie. Jego firma </w:t>
      </w:r>
      <w:r w:rsidR="00B90070" w:rsidRPr="0007098B">
        <w:rPr>
          <w:rFonts w:cs="Calibri"/>
          <w:lang w:val="pl-PL"/>
        </w:rPr>
        <w:t xml:space="preserve">ubezpieczeniowa </w:t>
      </w:r>
      <w:r w:rsidRPr="0007098B">
        <w:rPr>
          <w:rFonts w:cs="Calibri"/>
          <w:lang w:val="pl-PL"/>
        </w:rPr>
        <w:t>pokryła koszty hospitalizacji i wydatki związane z kosztami leczenia do końca 1998 r. Następnie poinformowała go, że wrócił do zdrowia i oświadczyła, że jest</w:t>
      </w:r>
      <w:r w:rsidR="00B90070" w:rsidRPr="0007098B">
        <w:rPr>
          <w:rFonts w:cs="Calibri"/>
          <w:lang w:val="pl-PL"/>
        </w:rPr>
        <w:t xml:space="preserve"> on</w:t>
      </w:r>
      <w:r w:rsidRPr="0007098B">
        <w:rPr>
          <w:rFonts w:cs="Calibri"/>
          <w:lang w:val="pl-PL"/>
        </w:rPr>
        <w:t xml:space="preserve"> </w:t>
      </w:r>
      <w:r w:rsidR="00B90070" w:rsidRPr="0007098B">
        <w:rPr>
          <w:rFonts w:cs="Calibri"/>
          <w:lang w:val="pl-PL"/>
        </w:rPr>
        <w:t xml:space="preserve">w sposób </w:t>
      </w:r>
      <w:r w:rsidRPr="0007098B">
        <w:rPr>
          <w:rFonts w:cs="Calibri"/>
          <w:lang w:val="pl-PL"/>
        </w:rPr>
        <w:t>trwa</w:t>
      </w:r>
      <w:r w:rsidR="00B90070" w:rsidRPr="0007098B">
        <w:rPr>
          <w:rFonts w:cs="Calibri"/>
          <w:lang w:val="pl-PL"/>
        </w:rPr>
        <w:t>ły</w:t>
      </w:r>
      <w:r w:rsidRPr="0007098B">
        <w:rPr>
          <w:rFonts w:cs="Calibri"/>
          <w:lang w:val="pl-PL"/>
        </w:rPr>
        <w:t xml:space="preserve"> częściowo niezdolny do pracy. </w:t>
      </w:r>
    </w:p>
    <w:p w:rsidR="00293C8C" w:rsidRPr="0007098B" w:rsidRDefault="00B90070" w:rsidP="0007098B">
      <w:pPr>
        <w:spacing w:after="120" w:line="240" w:lineRule="auto"/>
        <w:jc w:val="both"/>
        <w:rPr>
          <w:rFonts w:cs="Calibri"/>
          <w:lang w:val="pl-PL"/>
        </w:rPr>
      </w:pPr>
      <w:r w:rsidRPr="0007098B">
        <w:rPr>
          <w:rFonts w:cs="Calibri"/>
          <w:lang w:val="pl-PL"/>
        </w:rPr>
        <w:t xml:space="preserve">Powództwo cywilne </w:t>
      </w:r>
      <w:r w:rsidR="00B11E3A" w:rsidRPr="0007098B">
        <w:rPr>
          <w:rFonts w:cs="Calibri"/>
          <w:lang w:val="pl-PL"/>
        </w:rPr>
        <w:t xml:space="preserve">o odszkodowanie z tytułu uszczerbku na zdrowiu, </w:t>
      </w:r>
      <w:r w:rsidRPr="0007098B">
        <w:rPr>
          <w:rFonts w:cs="Calibri"/>
          <w:lang w:val="pl-PL"/>
        </w:rPr>
        <w:t xml:space="preserve">wniesione przez skarżącego </w:t>
      </w:r>
      <w:r w:rsidR="00293C8C" w:rsidRPr="0007098B">
        <w:rPr>
          <w:rFonts w:cs="Calibri"/>
          <w:lang w:val="pl-PL"/>
        </w:rPr>
        <w:t xml:space="preserve">przeciwko firmie ubezpieczeniowej </w:t>
      </w:r>
      <w:r w:rsidRPr="0007098B">
        <w:rPr>
          <w:rFonts w:cs="Calibri"/>
          <w:lang w:val="pl-PL"/>
        </w:rPr>
        <w:t>zostało oddalone przez</w:t>
      </w:r>
      <w:r w:rsidR="00293C8C" w:rsidRPr="0007098B">
        <w:rPr>
          <w:rFonts w:cs="Calibri"/>
          <w:lang w:val="pl-PL"/>
        </w:rPr>
        <w:t xml:space="preserve"> sąd</w:t>
      </w:r>
      <w:r w:rsidRPr="0007098B">
        <w:rPr>
          <w:rFonts w:cs="Calibri"/>
          <w:lang w:val="pl-PL"/>
        </w:rPr>
        <w:t xml:space="preserve"> I instancji</w:t>
      </w:r>
      <w:r w:rsidR="00B11E3A" w:rsidRPr="0007098B">
        <w:rPr>
          <w:rFonts w:cs="Calibri"/>
          <w:lang w:val="pl-PL"/>
        </w:rPr>
        <w:t>, który uznał, że ubezpieczenie nie obejmowało sytuacji skarżącego, który poniósł szkodę będąc pasażerem w swoim samochodzie</w:t>
      </w:r>
      <w:r w:rsidR="00293C8C" w:rsidRPr="0007098B">
        <w:rPr>
          <w:rFonts w:cs="Calibri"/>
          <w:lang w:val="pl-PL"/>
        </w:rPr>
        <w:t xml:space="preserve">. </w:t>
      </w:r>
      <w:r w:rsidRPr="0007098B">
        <w:rPr>
          <w:rFonts w:cs="Calibri"/>
          <w:lang w:val="pl-PL"/>
        </w:rPr>
        <w:t xml:space="preserve">W apelacji wniesionej do </w:t>
      </w:r>
      <w:r w:rsidR="00293C8C" w:rsidRPr="0007098B">
        <w:rPr>
          <w:rFonts w:cs="Calibri"/>
          <w:lang w:val="pl-PL"/>
        </w:rPr>
        <w:t xml:space="preserve">sądu apelacyjnego w Porto </w:t>
      </w:r>
      <w:r w:rsidRPr="0007098B">
        <w:rPr>
          <w:rFonts w:cs="Calibri"/>
          <w:lang w:val="pl-PL"/>
        </w:rPr>
        <w:t xml:space="preserve">skarżący wnioskował o skierowanie </w:t>
      </w:r>
      <w:r w:rsidR="00293C8C" w:rsidRPr="0007098B">
        <w:rPr>
          <w:rFonts w:cs="Calibri"/>
          <w:lang w:val="pl-PL"/>
        </w:rPr>
        <w:t>pytania prejudycjalnego do Trybunału Sprawiedliwości Unii Europejskiej (TSUE)</w:t>
      </w:r>
      <w:r w:rsidRPr="0007098B">
        <w:rPr>
          <w:rFonts w:cs="Calibri"/>
          <w:lang w:val="pl-PL"/>
        </w:rPr>
        <w:t xml:space="preserve"> w celu ustalenia, </w:t>
      </w:r>
      <w:r w:rsidR="00293C8C" w:rsidRPr="0007098B">
        <w:rPr>
          <w:rFonts w:cs="Calibri"/>
          <w:lang w:val="pl-PL"/>
        </w:rPr>
        <w:t xml:space="preserve">czy Dyrektywa Unii Europejskiej 90/232/EEC z 14 maja 1990 r. rozszerzyła </w:t>
      </w:r>
      <w:r w:rsidRPr="0007098B">
        <w:rPr>
          <w:rFonts w:cs="Calibri"/>
          <w:lang w:val="pl-PL"/>
        </w:rPr>
        <w:t xml:space="preserve">zakres </w:t>
      </w:r>
      <w:r w:rsidR="00293C8C" w:rsidRPr="0007098B">
        <w:rPr>
          <w:rFonts w:cs="Calibri"/>
          <w:lang w:val="pl-PL"/>
        </w:rPr>
        <w:t xml:space="preserve">szkody </w:t>
      </w:r>
      <w:r w:rsidR="00180C2F">
        <w:rPr>
          <w:rFonts w:cs="Calibri"/>
          <w:lang w:val="pl-PL"/>
        </w:rPr>
        <w:t xml:space="preserve">objętej </w:t>
      </w:r>
      <w:r w:rsidR="00293C8C" w:rsidRPr="0007098B">
        <w:rPr>
          <w:rFonts w:cs="Calibri"/>
          <w:lang w:val="pl-PL"/>
        </w:rPr>
        <w:t>ubezpieczenie</w:t>
      </w:r>
      <w:r w:rsidR="00180C2F">
        <w:rPr>
          <w:rFonts w:cs="Calibri"/>
          <w:lang w:val="pl-PL"/>
        </w:rPr>
        <w:t>m</w:t>
      </w:r>
      <w:r w:rsidR="00293C8C" w:rsidRPr="0007098B">
        <w:rPr>
          <w:rFonts w:cs="Calibri"/>
          <w:lang w:val="pl-PL"/>
        </w:rPr>
        <w:t xml:space="preserve"> od odpowiedzialności cywilnej na </w:t>
      </w:r>
      <w:r w:rsidRPr="0007098B">
        <w:rPr>
          <w:rFonts w:cs="Calibri"/>
          <w:lang w:val="pl-PL"/>
        </w:rPr>
        <w:t xml:space="preserve">szkody na osobie </w:t>
      </w:r>
      <w:r w:rsidR="00293C8C" w:rsidRPr="0007098B">
        <w:rPr>
          <w:rFonts w:cs="Calibri"/>
          <w:lang w:val="pl-PL"/>
        </w:rPr>
        <w:t xml:space="preserve">poniesione, gdy ubezpieczony był pasażerem w swoim samochodzie podczas wypadku. Sąd Apelacyjny w Porto </w:t>
      </w:r>
      <w:r w:rsidRPr="0007098B">
        <w:rPr>
          <w:rFonts w:cs="Calibri"/>
          <w:lang w:val="pl-PL"/>
        </w:rPr>
        <w:t>oddalił</w:t>
      </w:r>
      <w:r w:rsidR="00293C8C" w:rsidRPr="0007098B">
        <w:rPr>
          <w:rFonts w:cs="Calibri"/>
          <w:lang w:val="pl-PL"/>
        </w:rPr>
        <w:t xml:space="preserve"> odwołanie i utrzymał wyrok sądu </w:t>
      </w:r>
      <w:r w:rsidRPr="0007098B">
        <w:rPr>
          <w:rFonts w:cs="Calibri"/>
          <w:lang w:val="pl-PL"/>
        </w:rPr>
        <w:t xml:space="preserve">I instancji, uznając, </w:t>
      </w:r>
      <w:r w:rsidR="00293C8C" w:rsidRPr="0007098B">
        <w:rPr>
          <w:rFonts w:cs="Calibri"/>
          <w:lang w:val="pl-PL"/>
        </w:rPr>
        <w:t xml:space="preserve">że nie było konieczne zwracanie się z pytaniem prejudycjalnym do TSUE, ponieważ ustawodawstwo </w:t>
      </w:r>
      <w:r w:rsidRPr="0007098B">
        <w:rPr>
          <w:rFonts w:cs="Calibri"/>
          <w:lang w:val="pl-PL"/>
        </w:rPr>
        <w:t xml:space="preserve">portugalskie wdrożyło przedmiotową Dyrektywę </w:t>
      </w:r>
      <w:r w:rsidR="00B11E3A" w:rsidRPr="0007098B">
        <w:rPr>
          <w:rFonts w:cs="Calibri"/>
          <w:lang w:val="pl-PL"/>
        </w:rPr>
        <w:t>a</w:t>
      </w:r>
      <w:r w:rsidR="00293C8C" w:rsidRPr="0007098B">
        <w:rPr>
          <w:rFonts w:cs="Calibri"/>
          <w:lang w:val="pl-PL"/>
        </w:rPr>
        <w:t xml:space="preserve"> sąd nie miał wątpliwości co do tej sprawy.</w:t>
      </w:r>
      <w:r w:rsidR="00191EF5" w:rsidRPr="0007098B">
        <w:rPr>
          <w:rFonts w:cs="Calibri"/>
          <w:lang w:val="pl-PL"/>
        </w:rPr>
        <w:t xml:space="preserve"> Kasacja wniesiona przez skarżącego do Sądu Najwyższego z tym samym wnioskiem również została oddalona. </w:t>
      </w:r>
    </w:p>
    <w:p w:rsidR="00D70B7E" w:rsidRPr="0007098B" w:rsidRDefault="00293C8C" w:rsidP="0007098B">
      <w:pPr>
        <w:spacing w:after="120" w:line="240" w:lineRule="auto"/>
        <w:jc w:val="both"/>
        <w:rPr>
          <w:rFonts w:cs="Calibri"/>
          <w:lang w:val="pl-PL"/>
        </w:rPr>
      </w:pPr>
      <w:r w:rsidRPr="0007098B">
        <w:rPr>
          <w:rFonts w:cs="Calibri"/>
          <w:lang w:val="pl-PL"/>
        </w:rPr>
        <w:t>W grudniu 2007 r. skarżący wszczął postępowanie przed sądem w Braga</w:t>
      </w:r>
      <w:r w:rsidR="00191EF5" w:rsidRPr="0007098B">
        <w:rPr>
          <w:rFonts w:cs="Calibri"/>
          <w:lang w:val="pl-PL"/>
        </w:rPr>
        <w:t xml:space="preserve">, wnioskując o stwierdzenie odpowiedzialności Państwa z tytułu </w:t>
      </w:r>
      <w:r w:rsidRPr="0007098B">
        <w:rPr>
          <w:rFonts w:cs="Calibri"/>
          <w:lang w:val="pl-PL"/>
        </w:rPr>
        <w:t xml:space="preserve">błędu </w:t>
      </w:r>
      <w:r w:rsidR="00191EF5" w:rsidRPr="0007098B">
        <w:rPr>
          <w:rFonts w:cs="Calibri"/>
          <w:lang w:val="pl-PL"/>
        </w:rPr>
        <w:t xml:space="preserve">popełnionego </w:t>
      </w:r>
      <w:r w:rsidRPr="0007098B">
        <w:rPr>
          <w:rFonts w:cs="Calibri"/>
          <w:lang w:val="pl-PL"/>
        </w:rPr>
        <w:t xml:space="preserve">przez sąd w </w:t>
      </w:r>
      <w:r w:rsidR="00191EF5" w:rsidRPr="0007098B">
        <w:rPr>
          <w:rFonts w:cs="Calibri"/>
          <w:lang w:val="pl-PL"/>
        </w:rPr>
        <w:t>postępowaniu</w:t>
      </w:r>
      <w:r w:rsidRPr="0007098B">
        <w:rPr>
          <w:rFonts w:cs="Calibri"/>
          <w:lang w:val="pl-PL"/>
        </w:rPr>
        <w:t xml:space="preserve"> pr</w:t>
      </w:r>
      <w:r w:rsidR="00D70B7E" w:rsidRPr="0007098B">
        <w:rPr>
          <w:rFonts w:cs="Calibri"/>
          <w:lang w:val="pl-PL"/>
        </w:rPr>
        <w:t xml:space="preserve">zeciwko firmie ubezpieczeniowej poprzez </w:t>
      </w:r>
      <w:r w:rsidR="00180C2F">
        <w:rPr>
          <w:rFonts w:cs="Calibri"/>
          <w:lang w:val="pl-PL"/>
        </w:rPr>
        <w:t>nieprawidłową</w:t>
      </w:r>
      <w:r w:rsidRPr="0007098B">
        <w:rPr>
          <w:rFonts w:cs="Calibri"/>
          <w:lang w:val="pl-PL"/>
        </w:rPr>
        <w:t xml:space="preserve"> </w:t>
      </w:r>
      <w:r w:rsidR="00191EF5" w:rsidRPr="0007098B">
        <w:rPr>
          <w:rFonts w:cs="Calibri"/>
          <w:lang w:val="pl-PL"/>
        </w:rPr>
        <w:t xml:space="preserve">wykładnię </w:t>
      </w:r>
      <w:r w:rsidRPr="0007098B">
        <w:rPr>
          <w:rFonts w:cs="Calibri"/>
          <w:lang w:val="pl-PL"/>
        </w:rPr>
        <w:t xml:space="preserve">wspomnianej dyrektywy. Sąd </w:t>
      </w:r>
      <w:r w:rsidR="00191EF5" w:rsidRPr="0007098B">
        <w:rPr>
          <w:rFonts w:cs="Calibri"/>
          <w:lang w:val="pl-PL"/>
        </w:rPr>
        <w:t xml:space="preserve">I instancji </w:t>
      </w:r>
      <w:r w:rsidRPr="0007098B">
        <w:rPr>
          <w:rFonts w:cs="Calibri"/>
          <w:lang w:val="pl-PL"/>
        </w:rPr>
        <w:t>oddalił powództwo</w:t>
      </w:r>
      <w:r w:rsidR="0040549F" w:rsidRPr="0007098B">
        <w:rPr>
          <w:rFonts w:cs="Calibri"/>
          <w:lang w:val="pl-PL"/>
        </w:rPr>
        <w:t xml:space="preserve">, jednak sąd </w:t>
      </w:r>
      <w:r w:rsidRPr="0007098B">
        <w:rPr>
          <w:rFonts w:cs="Calibri"/>
          <w:lang w:val="pl-PL"/>
        </w:rPr>
        <w:t xml:space="preserve">apelacyjny w </w:t>
      </w:r>
      <w:proofErr w:type="spellStart"/>
      <w:r w:rsidRPr="0007098B">
        <w:rPr>
          <w:rFonts w:cs="Calibri"/>
          <w:lang w:val="pl-PL"/>
        </w:rPr>
        <w:t>Guimarães</w:t>
      </w:r>
      <w:proofErr w:type="spellEnd"/>
      <w:r w:rsidRPr="0007098B">
        <w:rPr>
          <w:rFonts w:cs="Calibri"/>
          <w:lang w:val="pl-PL"/>
        </w:rPr>
        <w:t xml:space="preserve"> </w:t>
      </w:r>
      <w:r w:rsidR="0040549F" w:rsidRPr="0007098B">
        <w:rPr>
          <w:rFonts w:cs="Calibri"/>
          <w:lang w:val="pl-PL"/>
        </w:rPr>
        <w:t xml:space="preserve">częściowo </w:t>
      </w:r>
      <w:r w:rsidR="000F22DE" w:rsidRPr="0007098B">
        <w:rPr>
          <w:rFonts w:cs="Calibri"/>
          <w:lang w:val="pl-PL"/>
        </w:rPr>
        <w:t xml:space="preserve">uwzględnił </w:t>
      </w:r>
      <w:r w:rsidRPr="0007098B">
        <w:rPr>
          <w:rFonts w:cs="Calibri"/>
          <w:lang w:val="pl-PL"/>
        </w:rPr>
        <w:t xml:space="preserve">jego </w:t>
      </w:r>
      <w:r w:rsidR="0040549F" w:rsidRPr="0007098B">
        <w:rPr>
          <w:rFonts w:cs="Calibri"/>
          <w:lang w:val="pl-PL"/>
        </w:rPr>
        <w:t>odwołanie</w:t>
      </w:r>
      <w:r w:rsidRPr="0007098B">
        <w:rPr>
          <w:rFonts w:cs="Calibri"/>
          <w:lang w:val="pl-PL"/>
        </w:rPr>
        <w:t xml:space="preserve">, wskazując, że Sąd Najwyższy nie </w:t>
      </w:r>
      <w:r w:rsidR="0040549F" w:rsidRPr="0007098B">
        <w:rPr>
          <w:rFonts w:cs="Calibri"/>
          <w:lang w:val="pl-PL"/>
        </w:rPr>
        <w:t xml:space="preserve">dopełnił obowiązku w zakresie zwrócenia się </w:t>
      </w:r>
      <w:r w:rsidRPr="0007098B">
        <w:rPr>
          <w:rFonts w:cs="Calibri"/>
          <w:lang w:val="pl-PL"/>
        </w:rPr>
        <w:t xml:space="preserve">z pytaniem prejudycjalnym do TSUE, </w:t>
      </w:r>
      <w:r w:rsidR="0040549F" w:rsidRPr="0007098B">
        <w:rPr>
          <w:rFonts w:cs="Calibri"/>
          <w:lang w:val="pl-PL"/>
        </w:rPr>
        <w:t xml:space="preserve">co stanowiło </w:t>
      </w:r>
      <w:r w:rsidRPr="0007098B">
        <w:rPr>
          <w:rFonts w:cs="Calibri"/>
          <w:lang w:val="pl-PL"/>
        </w:rPr>
        <w:t xml:space="preserve">poważny i oczywisty błąd polegający na naruszeniu prawa wspólnotowego. </w:t>
      </w:r>
      <w:r w:rsidR="00D70B7E" w:rsidRPr="0007098B">
        <w:rPr>
          <w:rFonts w:cs="Calibri"/>
          <w:lang w:val="pl-PL"/>
        </w:rPr>
        <w:t xml:space="preserve">W świetle orzecznictwa TSUE sąd apelacyjny uznał, że odpowiedzialność państwa została dowiedziona, jeśli wykazano, że sądownictwo krajowe nie przestrzegało prawa wspólnotowego. </w:t>
      </w:r>
    </w:p>
    <w:p w:rsidR="00293C8C" w:rsidRPr="0007098B" w:rsidRDefault="00AE6F95" w:rsidP="0007098B">
      <w:pPr>
        <w:spacing w:after="120" w:line="240" w:lineRule="auto"/>
        <w:jc w:val="both"/>
        <w:rPr>
          <w:rFonts w:cs="Calibri"/>
          <w:lang w:val="pl-PL"/>
        </w:rPr>
      </w:pPr>
      <w:r w:rsidRPr="0007098B">
        <w:rPr>
          <w:rFonts w:cs="Calibri"/>
          <w:lang w:val="pl-PL"/>
        </w:rPr>
        <w:t>Jednakże na skutek kasacji wniesionej przez pozwane Państwo</w:t>
      </w:r>
      <w:r w:rsidR="00180C2F">
        <w:rPr>
          <w:rFonts w:cs="Calibri"/>
          <w:lang w:val="pl-PL"/>
        </w:rPr>
        <w:t>,</w:t>
      </w:r>
      <w:r w:rsidRPr="0007098B">
        <w:rPr>
          <w:rFonts w:cs="Calibri"/>
          <w:lang w:val="pl-PL"/>
        </w:rPr>
        <w:t xml:space="preserve"> </w:t>
      </w:r>
      <w:r w:rsidR="00180C2F">
        <w:rPr>
          <w:rFonts w:cs="Calibri"/>
          <w:lang w:val="pl-PL"/>
        </w:rPr>
        <w:t xml:space="preserve">w </w:t>
      </w:r>
      <w:r w:rsidRPr="0007098B">
        <w:rPr>
          <w:rFonts w:cs="Calibri"/>
          <w:lang w:val="pl-PL"/>
        </w:rPr>
        <w:t>d</w:t>
      </w:r>
      <w:r w:rsidR="00180C2F">
        <w:rPr>
          <w:rFonts w:cs="Calibri"/>
          <w:lang w:val="pl-PL"/>
        </w:rPr>
        <w:t>niu</w:t>
      </w:r>
      <w:r w:rsidRPr="0007098B">
        <w:rPr>
          <w:rFonts w:cs="Calibri"/>
          <w:lang w:val="pl-PL"/>
        </w:rPr>
        <w:t xml:space="preserve"> </w:t>
      </w:r>
      <w:r w:rsidR="00293C8C" w:rsidRPr="0007098B">
        <w:rPr>
          <w:rFonts w:cs="Calibri"/>
          <w:lang w:val="pl-PL"/>
        </w:rPr>
        <w:t xml:space="preserve">3 grudnia 2009 r. Sąd Najwyższy uchylił </w:t>
      </w:r>
      <w:r w:rsidRPr="0007098B">
        <w:rPr>
          <w:rFonts w:cs="Calibri"/>
          <w:lang w:val="pl-PL"/>
        </w:rPr>
        <w:t>rozstrzygnięcie</w:t>
      </w:r>
      <w:r w:rsidR="00293C8C" w:rsidRPr="0007098B">
        <w:rPr>
          <w:rFonts w:cs="Calibri"/>
          <w:lang w:val="pl-PL"/>
        </w:rPr>
        <w:t xml:space="preserve"> </w:t>
      </w:r>
      <w:r w:rsidRPr="0007098B">
        <w:rPr>
          <w:rFonts w:cs="Calibri"/>
          <w:lang w:val="pl-PL"/>
        </w:rPr>
        <w:t xml:space="preserve">sądu apelacyjnego </w:t>
      </w:r>
      <w:r w:rsidR="00293C8C" w:rsidRPr="0007098B">
        <w:rPr>
          <w:rFonts w:cs="Calibri"/>
          <w:lang w:val="pl-PL"/>
        </w:rPr>
        <w:t xml:space="preserve">w </w:t>
      </w:r>
      <w:proofErr w:type="spellStart"/>
      <w:r w:rsidR="00293C8C" w:rsidRPr="0007098B">
        <w:rPr>
          <w:rFonts w:cs="Calibri"/>
          <w:lang w:val="pl-PL"/>
        </w:rPr>
        <w:t>Guimarães</w:t>
      </w:r>
      <w:proofErr w:type="spellEnd"/>
      <w:r w:rsidR="00293C8C" w:rsidRPr="0007098B">
        <w:rPr>
          <w:rFonts w:cs="Calibri"/>
          <w:lang w:val="pl-PL"/>
        </w:rPr>
        <w:t xml:space="preserve">, utrzymując w mocy wyrok sądu </w:t>
      </w:r>
      <w:r w:rsidRPr="0007098B">
        <w:rPr>
          <w:rFonts w:cs="Calibri"/>
          <w:lang w:val="pl-PL"/>
        </w:rPr>
        <w:t>I instancji</w:t>
      </w:r>
      <w:r w:rsidR="00293C8C" w:rsidRPr="0007098B">
        <w:rPr>
          <w:rFonts w:cs="Calibri"/>
          <w:lang w:val="pl-PL"/>
        </w:rPr>
        <w:t>.</w:t>
      </w:r>
      <w:r w:rsidR="00BA4625" w:rsidRPr="0007098B">
        <w:rPr>
          <w:rFonts w:cs="Calibri"/>
          <w:lang w:val="pl-PL"/>
        </w:rPr>
        <w:t xml:space="preserve"> Sąd Najwyższy uznał, że w przedmiotowym czasie nie obowiązywały regulacje mogące być podstawą odpowiedzialności państwa za błąd sędziowski w </w:t>
      </w:r>
      <w:r w:rsidR="00180C2F">
        <w:rPr>
          <w:rFonts w:cs="Calibri"/>
          <w:lang w:val="pl-PL"/>
        </w:rPr>
        <w:t>okolicznościach sprawy</w:t>
      </w:r>
      <w:r w:rsidR="00BA4625" w:rsidRPr="0007098B">
        <w:rPr>
          <w:rFonts w:cs="Calibri"/>
          <w:lang w:val="pl-PL"/>
        </w:rPr>
        <w:t xml:space="preserve"> skarżącego.</w:t>
      </w:r>
    </w:p>
    <w:p w:rsidR="00293C8C" w:rsidRPr="0007098B" w:rsidRDefault="000F22DE" w:rsidP="00B67E40">
      <w:pPr>
        <w:spacing w:after="240" w:line="240" w:lineRule="auto"/>
        <w:jc w:val="both"/>
        <w:rPr>
          <w:rFonts w:cs="Calibri"/>
          <w:lang w:val="pl-PL"/>
        </w:rPr>
      </w:pPr>
      <w:r w:rsidRPr="0007098B">
        <w:rPr>
          <w:rFonts w:cs="Calibri"/>
          <w:lang w:val="pl-PL"/>
        </w:rPr>
        <w:t xml:space="preserve">W oparciu o </w:t>
      </w:r>
      <w:r w:rsidR="00293C8C" w:rsidRPr="0007098B">
        <w:rPr>
          <w:rFonts w:cs="Calibri"/>
          <w:lang w:val="pl-PL"/>
        </w:rPr>
        <w:t>art. 6</w:t>
      </w:r>
      <w:r w:rsidRPr="0007098B">
        <w:rPr>
          <w:rFonts w:cs="Calibri"/>
          <w:lang w:val="pl-PL"/>
        </w:rPr>
        <w:t xml:space="preserve"> ust. </w:t>
      </w:r>
      <w:r w:rsidR="00293C8C" w:rsidRPr="0007098B">
        <w:rPr>
          <w:rFonts w:cs="Calibri"/>
          <w:lang w:val="pl-PL"/>
        </w:rPr>
        <w:t>1</w:t>
      </w:r>
      <w:r w:rsidRPr="0007098B">
        <w:rPr>
          <w:rFonts w:cs="Calibri"/>
          <w:lang w:val="pl-PL"/>
        </w:rPr>
        <w:t xml:space="preserve"> Konwencji</w:t>
      </w:r>
      <w:r w:rsidR="00293C8C" w:rsidRPr="0007098B">
        <w:rPr>
          <w:rFonts w:cs="Calibri"/>
          <w:lang w:val="pl-PL"/>
        </w:rPr>
        <w:t xml:space="preserve"> skarżący </w:t>
      </w:r>
      <w:r w:rsidRPr="0007098B">
        <w:rPr>
          <w:rFonts w:cs="Calibri"/>
          <w:lang w:val="pl-PL"/>
        </w:rPr>
        <w:t>podnosił</w:t>
      </w:r>
      <w:r w:rsidR="00841F72" w:rsidRPr="0007098B">
        <w:rPr>
          <w:rFonts w:cs="Calibri"/>
          <w:lang w:val="pl-PL"/>
        </w:rPr>
        <w:t xml:space="preserve"> przed Trybunałem</w:t>
      </w:r>
      <w:r w:rsidR="00293C8C" w:rsidRPr="0007098B">
        <w:rPr>
          <w:rFonts w:cs="Calibri"/>
          <w:lang w:val="pl-PL"/>
        </w:rPr>
        <w:t xml:space="preserve">, że </w:t>
      </w:r>
      <w:r w:rsidR="00841F72" w:rsidRPr="0007098B">
        <w:rPr>
          <w:rFonts w:cs="Calibri"/>
          <w:lang w:val="pl-PL"/>
        </w:rPr>
        <w:t>wykładnia</w:t>
      </w:r>
      <w:r w:rsidR="00293C8C" w:rsidRPr="0007098B">
        <w:rPr>
          <w:rFonts w:cs="Calibri"/>
          <w:lang w:val="pl-PL"/>
        </w:rPr>
        <w:t xml:space="preserve"> przepisów krajowych w odniesieniu do odpowiedzialności Państwa </w:t>
      </w:r>
      <w:r w:rsidR="00841F72" w:rsidRPr="0007098B">
        <w:rPr>
          <w:rFonts w:cs="Calibri"/>
          <w:lang w:val="pl-PL"/>
        </w:rPr>
        <w:t>przy wykonywaniu</w:t>
      </w:r>
      <w:r w:rsidR="00293C8C" w:rsidRPr="0007098B">
        <w:rPr>
          <w:rFonts w:cs="Calibri"/>
          <w:lang w:val="pl-PL"/>
        </w:rPr>
        <w:t xml:space="preserve"> funkcji sądowniczej, </w:t>
      </w:r>
      <w:r w:rsidRPr="0007098B">
        <w:rPr>
          <w:rFonts w:cs="Calibri"/>
          <w:lang w:val="pl-PL"/>
        </w:rPr>
        <w:t xml:space="preserve">przyjęta </w:t>
      </w:r>
      <w:r w:rsidR="00293C8C" w:rsidRPr="0007098B">
        <w:rPr>
          <w:rFonts w:cs="Calibri"/>
          <w:lang w:val="pl-PL"/>
        </w:rPr>
        <w:t xml:space="preserve">w wyroku Sądu Najwyższego z 3 grudnia 2009 r., </w:t>
      </w:r>
      <w:r w:rsidR="00841F72" w:rsidRPr="0007098B">
        <w:rPr>
          <w:rFonts w:cs="Calibri"/>
          <w:lang w:val="pl-PL"/>
        </w:rPr>
        <w:t>była</w:t>
      </w:r>
      <w:r w:rsidR="00293C8C" w:rsidRPr="0007098B">
        <w:rPr>
          <w:rFonts w:cs="Calibri"/>
          <w:lang w:val="pl-PL"/>
        </w:rPr>
        <w:t xml:space="preserve"> </w:t>
      </w:r>
      <w:r w:rsidR="00841F72" w:rsidRPr="0007098B">
        <w:rPr>
          <w:rFonts w:cs="Calibri"/>
          <w:lang w:val="pl-PL"/>
        </w:rPr>
        <w:t xml:space="preserve">sprzeczna </w:t>
      </w:r>
      <w:r w:rsidR="00293C8C" w:rsidRPr="0007098B">
        <w:rPr>
          <w:rFonts w:cs="Calibri"/>
          <w:lang w:val="pl-PL"/>
        </w:rPr>
        <w:t xml:space="preserve">z </w:t>
      </w:r>
      <w:r w:rsidR="00841F72" w:rsidRPr="0007098B">
        <w:rPr>
          <w:rFonts w:cs="Calibri"/>
          <w:lang w:val="pl-PL"/>
        </w:rPr>
        <w:t xml:space="preserve">jego </w:t>
      </w:r>
      <w:r w:rsidR="00293C8C" w:rsidRPr="0007098B">
        <w:rPr>
          <w:rFonts w:cs="Calibri"/>
          <w:lang w:val="pl-PL"/>
        </w:rPr>
        <w:t>orzecznictwem i narusza</w:t>
      </w:r>
      <w:r w:rsidR="00841F72" w:rsidRPr="0007098B">
        <w:rPr>
          <w:rFonts w:cs="Calibri"/>
          <w:lang w:val="pl-PL"/>
        </w:rPr>
        <w:t>ła</w:t>
      </w:r>
      <w:r w:rsidR="00293C8C" w:rsidRPr="0007098B">
        <w:rPr>
          <w:rFonts w:cs="Calibri"/>
          <w:lang w:val="pl-PL"/>
        </w:rPr>
        <w:t xml:space="preserve"> zasady pewności prawa oraz praw</w:t>
      </w:r>
      <w:r w:rsidR="00841F72" w:rsidRPr="0007098B">
        <w:rPr>
          <w:rFonts w:cs="Calibri"/>
          <w:lang w:val="pl-PL"/>
        </w:rPr>
        <w:t>o</w:t>
      </w:r>
      <w:r w:rsidR="00293C8C" w:rsidRPr="0007098B">
        <w:rPr>
          <w:rFonts w:cs="Calibri"/>
          <w:lang w:val="pl-PL"/>
        </w:rPr>
        <w:t xml:space="preserve"> do rzetelnego procesu sądowego. </w:t>
      </w:r>
      <w:r w:rsidRPr="0007098B">
        <w:rPr>
          <w:rFonts w:cs="Calibri"/>
          <w:lang w:val="pl-PL"/>
        </w:rPr>
        <w:t xml:space="preserve"> </w:t>
      </w:r>
    </w:p>
    <w:p w:rsidR="00293C8C" w:rsidRPr="0007098B" w:rsidRDefault="00293C8C" w:rsidP="0007098B">
      <w:pPr>
        <w:spacing w:after="120" w:line="240" w:lineRule="auto"/>
        <w:jc w:val="both"/>
        <w:rPr>
          <w:rFonts w:cs="Calibri"/>
          <w:u w:val="single"/>
          <w:lang w:val="pl-PL"/>
        </w:rPr>
      </w:pPr>
      <w:r w:rsidRPr="0007098B">
        <w:rPr>
          <w:rFonts w:cs="Calibri"/>
          <w:u w:val="single"/>
          <w:lang w:val="pl-PL"/>
        </w:rPr>
        <w:t>O</w:t>
      </w:r>
      <w:r w:rsidR="000F22DE" w:rsidRPr="0007098B">
        <w:rPr>
          <w:rFonts w:cs="Calibri"/>
          <w:u w:val="single"/>
          <w:lang w:val="pl-PL"/>
        </w:rPr>
        <w:t>cena</w:t>
      </w:r>
      <w:r w:rsidRPr="0007098B">
        <w:rPr>
          <w:rFonts w:cs="Calibri"/>
          <w:u w:val="single"/>
          <w:lang w:val="pl-PL"/>
        </w:rPr>
        <w:t xml:space="preserve"> Trybunału</w:t>
      </w:r>
    </w:p>
    <w:p w:rsidR="007B4EA8" w:rsidRPr="0007098B" w:rsidRDefault="00293C8C" w:rsidP="0007098B">
      <w:pPr>
        <w:spacing w:after="120" w:line="240" w:lineRule="auto"/>
        <w:jc w:val="both"/>
        <w:rPr>
          <w:rFonts w:cs="Calibri"/>
          <w:lang w:val="pl-PL"/>
        </w:rPr>
      </w:pPr>
      <w:r w:rsidRPr="0007098B">
        <w:rPr>
          <w:rFonts w:cs="Calibri"/>
          <w:lang w:val="pl-PL"/>
        </w:rPr>
        <w:t xml:space="preserve">Trybunał zauważył, że </w:t>
      </w:r>
      <w:r w:rsidR="00841F72" w:rsidRPr="0007098B">
        <w:rPr>
          <w:rFonts w:cs="Calibri"/>
          <w:lang w:val="pl-PL"/>
        </w:rPr>
        <w:t>strona r</w:t>
      </w:r>
      <w:r w:rsidRPr="0007098B">
        <w:rPr>
          <w:rFonts w:cs="Calibri"/>
          <w:lang w:val="pl-PL"/>
        </w:rPr>
        <w:t>ząd</w:t>
      </w:r>
      <w:r w:rsidR="00841F72" w:rsidRPr="0007098B">
        <w:rPr>
          <w:rFonts w:cs="Calibri"/>
          <w:lang w:val="pl-PL"/>
        </w:rPr>
        <w:t>owa</w:t>
      </w:r>
      <w:r w:rsidRPr="0007098B">
        <w:rPr>
          <w:rFonts w:cs="Calibri"/>
          <w:lang w:val="pl-PL"/>
        </w:rPr>
        <w:t xml:space="preserve"> nie kwestionował</w:t>
      </w:r>
      <w:r w:rsidR="00841F72" w:rsidRPr="0007098B">
        <w:rPr>
          <w:rFonts w:cs="Calibri"/>
          <w:lang w:val="pl-PL"/>
        </w:rPr>
        <w:t>a</w:t>
      </w:r>
      <w:r w:rsidRPr="0007098B">
        <w:rPr>
          <w:rFonts w:cs="Calibri"/>
          <w:lang w:val="pl-PL"/>
        </w:rPr>
        <w:t xml:space="preserve"> faktu, iż orzecznictwo </w:t>
      </w:r>
      <w:r w:rsidR="00841F72" w:rsidRPr="0007098B">
        <w:rPr>
          <w:rFonts w:cs="Calibri"/>
          <w:lang w:val="pl-PL"/>
        </w:rPr>
        <w:t xml:space="preserve">krajowe </w:t>
      </w:r>
      <w:r w:rsidRPr="0007098B">
        <w:rPr>
          <w:rFonts w:cs="Calibri"/>
          <w:lang w:val="pl-PL"/>
        </w:rPr>
        <w:t xml:space="preserve">dopuszczało możliwość wniesienia powództwa cywilnego przeciwko Państwu z powodu szkody wynikłej z błędu sędziowskiego. </w:t>
      </w:r>
      <w:r w:rsidR="007B4EA8" w:rsidRPr="0007098B">
        <w:rPr>
          <w:rFonts w:cs="Calibri"/>
          <w:lang w:val="pl-PL"/>
        </w:rPr>
        <w:t>J</w:t>
      </w:r>
      <w:r w:rsidRPr="0007098B">
        <w:rPr>
          <w:rFonts w:cs="Calibri"/>
          <w:lang w:val="pl-PL"/>
        </w:rPr>
        <w:t xml:space="preserve">ednakże, </w:t>
      </w:r>
      <w:r w:rsidR="007B4EA8" w:rsidRPr="0007098B">
        <w:rPr>
          <w:rFonts w:cs="Calibri"/>
          <w:lang w:val="pl-PL"/>
        </w:rPr>
        <w:t xml:space="preserve">Sąd </w:t>
      </w:r>
      <w:r w:rsidRPr="0007098B">
        <w:rPr>
          <w:rFonts w:cs="Calibri"/>
          <w:lang w:val="pl-PL"/>
        </w:rPr>
        <w:t xml:space="preserve">Najwyższy stwierdził w wyroku z 3 grudnia 2009 r., że możliwość </w:t>
      </w:r>
      <w:r w:rsidR="007B4EA8" w:rsidRPr="0007098B">
        <w:rPr>
          <w:rFonts w:cs="Calibri"/>
          <w:lang w:val="pl-PL"/>
        </w:rPr>
        <w:t xml:space="preserve">ta </w:t>
      </w:r>
      <w:r w:rsidRPr="0007098B">
        <w:rPr>
          <w:rFonts w:cs="Calibri"/>
          <w:lang w:val="pl-PL"/>
        </w:rPr>
        <w:t xml:space="preserve">nie była </w:t>
      </w:r>
      <w:r w:rsidR="007B4EA8" w:rsidRPr="0007098B">
        <w:rPr>
          <w:rFonts w:cs="Calibri"/>
          <w:lang w:val="pl-PL"/>
        </w:rPr>
        <w:t xml:space="preserve">dostępna </w:t>
      </w:r>
      <w:r w:rsidRPr="0007098B">
        <w:rPr>
          <w:rFonts w:cs="Calibri"/>
          <w:lang w:val="pl-PL"/>
        </w:rPr>
        <w:t>w</w:t>
      </w:r>
      <w:r w:rsidR="00180C2F">
        <w:rPr>
          <w:rFonts w:cs="Calibri"/>
          <w:lang w:val="pl-PL"/>
        </w:rPr>
        <w:t xml:space="preserve"> przedmiotowym</w:t>
      </w:r>
      <w:r w:rsidRPr="0007098B">
        <w:rPr>
          <w:rFonts w:cs="Calibri"/>
          <w:lang w:val="pl-PL"/>
        </w:rPr>
        <w:t xml:space="preserve"> czasie. A zatem to wyrok Sądu Najwyższego doprowadził do </w:t>
      </w:r>
      <w:r w:rsidR="007B4EA8" w:rsidRPr="0007098B">
        <w:rPr>
          <w:rFonts w:cs="Calibri"/>
          <w:lang w:val="pl-PL"/>
        </w:rPr>
        <w:t>rozbieżności w orzecznictwie, na które</w:t>
      </w:r>
      <w:r w:rsidRPr="0007098B">
        <w:rPr>
          <w:rFonts w:cs="Calibri"/>
          <w:lang w:val="pl-PL"/>
        </w:rPr>
        <w:t xml:space="preserve"> skarżył się </w:t>
      </w:r>
      <w:r w:rsidR="000F22DE" w:rsidRPr="0007098B">
        <w:rPr>
          <w:rFonts w:cs="Calibri"/>
          <w:lang w:val="pl-PL"/>
        </w:rPr>
        <w:t>skarżący</w:t>
      </w:r>
      <w:r w:rsidRPr="0007098B">
        <w:rPr>
          <w:rFonts w:cs="Calibri"/>
          <w:lang w:val="pl-PL"/>
        </w:rPr>
        <w:t xml:space="preserve">. </w:t>
      </w:r>
    </w:p>
    <w:p w:rsidR="00293C8C" w:rsidRPr="0007098B" w:rsidRDefault="00293C8C" w:rsidP="0007098B">
      <w:pPr>
        <w:spacing w:after="120" w:line="240" w:lineRule="auto"/>
        <w:jc w:val="both"/>
        <w:rPr>
          <w:rFonts w:cs="Calibri"/>
          <w:lang w:val="pl-PL"/>
        </w:rPr>
      </w:pPr>
      <w:r w:rsidRPr="0007098B">
        <w:rPr>
          <w:rFonts w:cs="Calibri"/>
          <w:lang w:val="pl-PL"/>
        </w:rPr>
        <w:t xml:space="preserve">Trybunał </w:t>
      </w:r>
      <w:r w:rsidR="007B4EA8" w:rsidRPr="0007098B">
        <w:rPr>
          <w:rFonts w:cs="Calibri"/>
          <w:lang w:val="pl-PL"/>
        </w:rPr>
        <w:t>przypomniał</w:t>
      </w:r>
      <w:r w:rsidRPr="0007098B">
        <w:rPr>
          <w:rFonts w:cs="Calibri"/>
          <w:lang w:val="pl-PL"/>
        </w:rPr>
        <w:t xml:space="preserve">, że rozbieżności w orzecznictwie </w:t>
      </w:r>
      <w:r w:rsidR="000F22DE" w:rsidRPr="0007098B">
        <w:rPr>
          <w:rFonts w:cs="Calibri"/>
          <w:lang w:val="pl-PL"/>
        </w:rPr>
        <w:t xml:space="preserve">są </w:t>
      </w:r>
      <w:r w:rsidRPr="0007098B">
        <w:rPr>
          <w:rFonts w:cs="Calibri"/>
          <w:lang w:val="pl-PL"/>
        </w:rPr>
        <w:t xml:space="preserve">nieodłączną </w:t>
      </w:r>
      <w:r w:rsidR="000F22DE" w:rsidRPr="0007098B">
        <w:rPr>
          <w:rFonts w:cs="Calibri"/>
          <w:lang w:val="pl-PL"/>
        </w:rPr>
        <w:t xml:space="preserve">częścią </w:t>
      </w:r>
      <w:r w:rsidRPr="0007098B">
        <w:rPr>
          <w:rFonts w:cs="Calibri"/>
          <w:lang w:val="pl-PL"/>
        </w:rPr>
        <w:t xml:space="preserve">każdego systemu sądowego, który </w:t>
      </w:r>
      <w:r w:rsidR="00463DEB" w:rsidRPr="0007098B">
        <w:rPr>
          <w:rFonts w:cs="Calibri"/>
          <w:lang w:val="pl-PL"/>
        </w:rPr>
        <w:t xml:space="preserve">opiera się </w:t>
      </w:r>
      <w:r w:rsidRPr="0007098B">
        <w:rPr>
          <w:rFonts w:cs="Calibri"/>
          <w:lang w:val="pl-PL"/>
        </w:rPr>
        <w:t xml:space="preserve">na sieci sądów I instancji i sądów odwoławczych, które sprawują nadzór nad obszarem swojej jurysdykcji terytorialnej. </w:t>
      </w:r>
      <w:r w:rsidR="007B4EA8" w:rsidRPr="0007098B">
        <w:rPr>
          <w:rFonts w:cs="Calibri"/>
          <w:lang w:val="pl-PL"/>
        </w:rPr>
        <w:t xml:space="preserve">Tym niemniej właśnie rolą </w:t>
      </w:r>
      <w:r w:rsidRPr="0007098B">
        <w:rPr>
          <w:rFonts w:cs="Calibri"/>
          <w:lang w:val="pl-PL"/>
        </w:rPr>
        <w:t>Sądu Najwyższego jest rozwiązywanie ta</w:t>
      </w:r>
      <w:r w:rsidR="007B4EA8" w:rsidRPr="0007098B">
        <w:rPr>
          <w:rFonts w:cs="Calibri"/>
          <w:lang w:val="pl-PL"/>
        </w:rPr>
        <w:t>kich konfliktów. Jeśli rozbieżna praktyka</w:t>
      </w:r>
      <w:r w:rsidRPr="0007098B">
        <w:rPr>
          <w:rFonts w:cs="Calibri"/>
          <w:lang w:val="pl-PL"/>
        </w:rPr>
        <w:t xml:space="preserve"> rozwi</w:t>
      </w:r>
      <w:r w:rsidR="007B4EA8" w:rsidRPr="0007098B">
        <w:rPr>
          <w:rFonts w:cs="Calibri"/>
          <w:lang w:val="pl-PL"/>
        </w:rPr>
        <w:t xml:space="preserve">ja się </w:t>
      </w:r>
      <w:r w:rsidRPr="0007098B">
        <w:rPr>
          <w:rFonts w:cs="Calibri"/>
          <w:lang w:val="pl-PL"/>
        </w:rPr>
        <w:t>w obrębie najwyższ</w:t>
      </w:r>
      <w:r w:rsidR="00EB0132">
        <w:rPr>
          <w:rFonts w:cs="Calibri"/>
          <w:lang w:val="pl-PL"/>
        </w:rPr>
        <w:t>ej</w:t>
      </w:r>
      <w:r w:rsidRPr="0007098B">
        <w:rPr>
          <w:rFonts w:cs="Calibri"/>
          <w:lang w:val="pl-PL"/>
        </w:rPr>
        <w:t xml:space="preserve"> władz</w:t>
      </w:r>
      <w:r w:rsidR="00EB0132">
        <w:rPr>
          <w:rFonts w:cs="Calibri"/>
          <w:lang w:val="pl-PL"/>
        </w:rPr>
        <w:t>y sądowniczej</w:t>
      </w:r>
      <w:r w:rsidRPr="0007098B">
        <w:rPr>
          <w:rFonts w:cs="Calibri"/>
          <w:lang w:val="pl-PL"/>
        </w:rPr>
        <w:t xml:space="preserve"> </w:t>
      </w:r>
      <w:r w:rsidR="007B4EA8" w:rsidRPr="0007098B">
        <w:rPr>
          <w:rFonts w:cs="Calibri"/>
          <w:lang w:val="pl-PL"/>
        </w:rPr>
        <w:t>danego państwa</w:t>
      </w:r>
      <w:r w:rsidR="000F22DE" w:rsidRPr="0007098B">
        <w:rPr>
          <w:rFonts w:cs="Calibri"/>
          <w:lang w:val="pl-PL"/>
        </w:rPr>
        <w:t>,</w:t>
      </w:r>
      <w:r w:rsidRPr="0007098B">
        <w:rPr>
          <w:rFonts w:cs="Calibri"/>
          <w:lang w:val="pl-PL"/>
        </w:rPr>
        <w:t xml:space="preserve"> sąd ten</w:t>
      </w:r>
      <w:r w:rsidR="007B4EA8" w:rsidRPr="0007098B">
        <w:rPr>
          <w:rFonts w:cs="Calibri"/>
          <w:lang w:val="pl-PL"/>
        </w:rPr>
        <w:t xml:space="preserve"> staje</w:t>
      </w:r>
      <w:r w:rsidRPr="0007098B">
        <w:rPr>
          <w:rFonts w:cs="Calibri"/>
          <w:lang w:val="pl-PL"/>
        </w:rPr>
        <w:t xml:space="preserve"> się źródłem niepewności prawnej, tym samym podważając zasadę pewności prawa i zmniejszając zaufanie obywateli do wymiaru sprawiedliwości. </w:t>
      </w:r>
    </w:p>
    <w:p w:rsidR="00293C8C" w:rsidRPr="0007098B" w:rsidRDefault="007B4EA8" w:rsidP="0007098B">
      <w:pPr>
        <w:spacing w:after="120" w:line="240" w:lineRule="auto"/>
        <w:jc w:val="both"/>
        <w:rPr>
          <w:rFonts w:cs="Calibri"/>
          <w:lang w:val="pl-PL"/>
        </w:rPr>
      </w:pPr>
      <w:r w:rsidRPr="0007098B">
        <w:rPr>
          <w:rFonts w:cs="Calibri"/>
          <w:lang w:val="pl-PL"/>
        </w:rPr>
        <w:t xml:space="preserve">W obecnej sprawie </w:t>
      </w:r>
      <w:r w:rsidR="00293C8C" w:rsidRPr="0007098B">
        <w:rPr>
          <w:rFonts w:cs="Calibri"/>
          <w:lang w:val="pl-PL"/>
        </w:rPr>
        <w:t xml:space="preserve">Sąd Najwyższy </w:t>
      </w:r>
      <w:r w:rsidRPr="0007098B">
        <w:rPr>
          <w:rFonts w:cs="Calibri"/>
          <w:lang w:val="pl-PL"/>
        </w:rPr>
        <w:t xml:space="preserve">przyjął </w:t>
      </w:r>
      <w:r w:rsidR="00293C8C" w:rsidRPr="0007098B">
        <w:rPr>
          <w:rFonts w:cs="Calibri"/>
          <w:lang w:val="pl-PL"/>
        </w:rPr>
        <w:t xml:space="preserve">diametralnie odmienne stanowisko niż przyjęte w </w:t>
      </w:r>
      <w:r w:rsidRPr="0007098B">
        <w:rPr>
          <w:rFonts w:cs="Calibri"/>
          <w:lang w:val="pl-PL"/>
        </w:rPr>
        <w:t xml:space="preserve">utrwalonym </w:t>
      </w:r>
      <w:r w:rsidR="00293C8C" w:rsidRPr="0007098B">
        <w:rPr>
          <w:rFonts w:cs="Calibri"/>
          <w:lang w:val="pl-PL"/>
        </w:rPr>
        <w:t xml:space="preserve">krajowym orzecznictwie. </w:t>
      </w:r>
      <w:r w:rsidRPr="0007098B">
        <w:rPr>
          <w:rFonts w:cs="Calibri"/>
          <w:lang w:val="pl-PL"/>
        </w:rPr>
        <w:t>D</w:t>
      </w:r>
      <w:r w:rsidR="00293C8C" w:rsidRPr="0007098B">
        <w:rPr>
          <w:rFonts w:cs="Calibri"/>
          <w:lang w:val="pl-PL"/>
        </w:rPr>
        <w:t xml:space="preserve">ecyzja </w:t>
      </w:r>
      <w:r w:rsidRPr="0007098B">
        <w:rPr>
          <w:rFonts w:cs="Calibri"/>
          <w:lang w:val="pl-PL"/>
        </w:rPr>
        <w:t xml:space="preserve">ta </w:t>
      </w:r>
      <w:r w:rsidR="00293C8C" w:rsidRPr="0007098B">
        <w:rPr>
          <w:rFonts w:cs="Calibri"/>
          <w:lang w:val="pl-PL"/>
        </w:rPr>
        <w:t xml:space="preserve">nie stanowiła </w:t>
      </w:r>
      <w:r w:rsidRPr="0007098B">
        <w:rPr>
          <w:rFonts w:cs="Calibri"/>
          <w:lang w:val="pl-PL"/>
        </w:rPr>
        <w:t xml:space="preserve">jednak </w:t>
      </w:r>
      <w:r w:rsidR="00293C8C" w:rsidRPr="0007098B">
        <w:rPr>
          <w:rFonts w:cs="Calibri"/>
          <w:lang w:val="pl-PL"/>
        </w:rPr>
        <w:t xml:space="preserve">odejścia od </w:t>
      </w:r>
      <w:r w:rsidR="00B92402" w:rsidRPr="0007098B">
        <w:rPr>
          <w:rFonts w:cs="Calibri"/>
          <w:lang w:val="pl-PL"/>
        </w:rPr>
        <w:t xml:space="preserve">dotychczasowej wykładni </w:t>
      </w:r>
      <w:r w:rsidR="00AE78D2" w:rsidRPr="0007098B">
        <w:rPr>
          <w:rFonts w:cs="Calibri"/>
          <w:lang w:val="pl-PL"/>
        </w:rPr>
        <w:t xml:space="preserve">prawa </w:t>
      </w:r>
      <w:r w:rsidR="00B92402" w:rsidRPr="0007098B">
        <w:rPr>
          <w:rFonts w:cs="Calibri"/>
          <w:lang w:val="pl-PL"/>
        </w:rPr>
        <w:t xml:space="preserve">w oparciu o </w:t>
      </w:r>
      <w:r w:rsidR="00AE78D2" w:rsidRPr="0007098B">
        <w:rPr>
          <w:rFonts w:cs="Calibri"/>
          <w:lang w:val="pl-PL"/>
        </w:rPr>
        <w:t xml:space="preserve">jego </w:t>
      </w:r>
      <w:r w:rsidR="00B92402" w:rsidRPr="0007098B">
        <w:rPr>
          <w:rFonts w:cs="Calibri"/>
          <w:lang w:val="pl-PL"/>
        </w:rPr>
        <w:t>nową</w:t>
      </w:r>
      <w:r w:rsidR="003E56B1">
        <w:rPr>
          <w:rFonts w:cs="Calibri"/>
          <w:lang w:val="pl-PL"/>
        </w:rPr>
        <w:t xml:space="preserve"> interpretację</w:t>
      </w:r>
      <w:r w:rsidR="00B92402" w:rsidRPr="0007098B">
        <w:rPr>
          <w:rFonts w:cs="Calibri"/>
          <w:lang w:val="pl-PL"/>
        </w:rPr>
        <w:t xml:space="preserve">, jako że </w:t>
      </w:r>
      <w:r w:rsidR="009D6EC7" w:rsidRPr="0007098B">
        <w:rPr>
          <w:rFonts w:cs="Calibri"/>
          <w:lang w:val="pl-PL"/>
        </w:rPr>
        <w:t xml:space="preserve">następnie </w:t>
      </w:r>
      <w:r w:rsidR="00B92402" w:rsidRPr="0007098B">
        <w:rPr>
          <w:rFonts w:cs="Calibri"/>
          <w:lang w:val="pl-PL"/>
        </w:rPr>
        <w:t xml:space="preserve">w kolejnych orzeczeniach </w:t>
      </w:r>
      <w:r w:rsidR="00293C8C" w:rsidRPr="0007098B">
        <w:rPr>
          <w:rFonts w:cs="Calibri"/>
          <w:lang w:val="pl-PL"/>
        </w:rPr>
        <w:t>Sąd Najwyższy powrócił do</w:t>
      </w:r>
      <w:r w:rsidR="00AE78D2" w:rsidRPr="0007098B">
        <w:rPr>
          <w:rFonts w:cs="Calibri"/>
          <w:lang w:val="pl-PL"/>
        </w:rPr>
        <w:t xml:space="preserve"> swego wcześniej</w:t>
      </w:r>
      <w:r w:rsidR="00293C8C" w:rsidRPr="0007098B">
        <w:rPr>
          <w:rFonts w:cs="Calibri"/>
          <w:lang w:val="pl-PL"/>
        </w:rPr>
        <w:t xml:space="preserve"> </w:t>
      </w:r>
      <w:r w:rsidR="00B92402" w:rsidRPr="0007098B">
        <w:rPr>
          <w:rFonts w:cs="Calibri"/>
          <w:lang w:val="pl-PL"/>
        </w:rPr>
        <w:t xml:space="preserve">utrwalonego </w:t>
      </w:r>
      <w:r w:rsidR="00293C8C" w:rsidRPr="0007098B">
        <w:rPr>
          <w:rFonts w:cs="Calibri"/>
          <w:lang w:val="pl-PL"/>
        </w:rPr>
        <w:t>orzecznictwa.</w:t>
      </w:r>
    </w:p>
    <w:p w:rsidR="00293C8C" w:rsidRPr="0007098B" w:rsidRDefault="00463DEB" w:rsidP="0007098B">
      <w:pPr>
        <w:spacing w:after="120" w:line="240" w:lineRule="auto"/>
        <w:jc w:val="both"/>
        <w:rPr>
          <w:rFonts w:cs="Calibri"/>
          <w:lang w:val="pl-PL"/>
        </w:rPr>
      </w:pPr>
      <w:r w:rsidRPr="0007098B">
        <w:rPr>
          <w:rFonts w:cs="Calibri"/>
          <w:lang w:val="pl-PL"/>
        </w:rPr>
        <w:t>W</w:t>
      </w:r>
      <w:r w:rsidR="00293C8C" w:rsidRPr="0007098B">
        <w:rPr>
          <w:rFonts w:cs="Calibri"/>
          <w:lang w:val="pl-PL"/>
        </w:rPr>
        <w:t xml:space="preserve"> odniesieniu do </w:t>
      </w:r>
      <w:r w:rsidRPr="0007098B">
        <w:rPr>
          <w:rFonts w:cs="Calibri"/>
          <w:lang w:val="pl-PL"/>
        </w:rPr>
        <w:t xml:space="preserve">zarzutu niewyczerpania przez skarżącego </w:t>
      </w:r>
      <w:r w:rsidR="00293C8C" w:rsidRPr="0007098B">
        <w:rPr>
          <w:rFonts w:cs="Calibri"/>
          <w:lang w:val="pl-PL"/>
        </w:rPr>
        <w:t xml:space="preserve">środków </w:t>
      </w:r>
      <w:r w:rsidR="00AE78D2" w:rsidRPr="0007098B">
        <w:rPr>
          <w:rFonts w:cs="Calibri"/>
          <w:lang w:val="pl-PL"/>
        </w:rPr>
        <w:t>krajowych</w:t>
      </w:r>
      <w:r w:rsidRPr="0007098B">
        <w:rPr>
          <w:rFonts w:cs="Calibri"/>
          <w:lang w:val="pl-PL"/>
        </w:rPr>
        <w:t xml:space="preserve"> Trybunał zauważył, </w:t>
      </w:r>
      <w:r w:rsidR="00AE78D2" w:rsidRPr="0007098B">
        <w:rPr>
          <w:rFonts w:cs="Calibri"/>
          <w:lang w:val="pl-PL"/>
        </w:rPr>
        <w:t xml:space="preserve">iż </w:t>
      </w:r>
      <w:r w:rsidRPr="0007098B">
        <w:rPr>
          <w:rFonts w:cs="Calibri"/>
          <w:lang w:val="pl-PL"/>
        </w:rPr>
        <w:t xml:space="preserve">możliwość skierowania przez </w:t>
      </w:r>
      <w:r w:rsidR="00293C8C" w:rsidRPr="0007098B">
        <w:rPr>
          <w:rFonts w:cs="Calibri"/>
          <w:lang w:val="pl-PL"/>
        </w:rPr>
        <w:t>Prezes</w:t>
      </w:r>
      <w:r w:rsidRPr="0007098B">
        <w:rPr>
          <w:rFonts w:cs="Calibri"/>
          <w:lang w:val="pl-PL"/>
        </w:rPr>
        <w:t>a</w:t>
      </w:r>
      <w:r w:rsidR="00293C8C" w:rsidRPr="0007098B">
        <w:rPr>
          <w:rFonts w:cs="Calibri"/>
          <w:lang w:val="pl-PL"/>
        </w:rPr>
        <w:t xml:space="preserve"> Sadu Najwyższego </w:t>
      </w:r>
      <w:r w:rsidRPr="0007098B">
        <w:rPr>
          <w:rFonts w:cs="Calibri"/>
          <w:lang w:val="pl-PL"/>
        </w:rPr>
        <w:t xml:space="preserve">wniosku </w:t>
      </w:r>
      <w:r w:rsidR="00AE78D2" w:rsidRPr="0007098B">
        <w:rPr>
          <w:rFonts w:cs="Calibri"/>
          <w:lang w:val="pl-PL"/>
        </w:rPr>
        <w:t>do pełnego</w:t>
      </w:r>
      <w:r w:rsidR="00293C8C" w:rsidRPr="0007098B">
        <w:rPr>
          <w:rFonts w:cs="Calibri"/>
          <w:lang w:val="pl-PL"/>
        </w:rPr>
        <w:t xml:space="preserve"> skład</w:t>
      </w:r>
      <w:r w:rsidR="00AE78D2" w:rsidRPr="0007098B">
        <w:rPr>
          <w:rFonts w:cs="Calibri"/>
          <w:lang w:val="pl-PL"/>
        </w:rPr>
        <w:t>u</w:t>
      </w:r>
      <w:r w:rsidR="00293C8C" w:rsidRPr="0007098B">
        <w:rPr>
          <w:rFonts w:cs="Calibri"/>
          <w:lang w:val="pl-PL"/>
        </w:rPr>
        <w:t xml:space="preserve"> sądu</w:t>
      </w:r>
      <w:r w:rsidR="00B67E40">
        <w:rPr>
          <w:rFonts w:cs="Calibri"/>
          <w:lang w:val="pl-PL"/>
        </w:rPr>
        <w:t xml:space="preserve"> w sprawie zapewnienia jednolitości</w:t>
      </w:r>
      <w:r w:rsidR="00293C8C" w:rsidRPr="0007098B">
        <w:rPr>
          <w:rFonts w:cs="Calibri"/>
          <w:lang w:val="pl-PL"/>
        </w:rPr>
        <w:t xml:space="preserve"> orzecznictwa, </w:t>
      </w:r>
      <w:r w:rsidRPr="0007098B">
        <w:rPr>
          <w:rFonts w:cs="Calibri"/>
          <w:lang w:val="pl-PL"/>
        </w:rPr>
        <w:t xml:space="preserve">była uzależniona od decyzji Prezesa (Trybunał zauważył przy tym, że mechanizm ten nie funkcjonował, jako że pomimo rozbieżności w orzecznictwie Prezes SN nie skierował stosownego wniosku </w:t>
      </w:r>
      <w:r w:rsidR="0007098B" w:rsidRPr="0007098B">
        <w:rPr>
          <w:rFonts w:cs="Calibri"/>
          <w:lang w:val="pl-PL"/>
        </w:rPr>
        <w:t xml:space="preserve">z urzędu, </w:t>
      </w:r>
      <w:r w:rsidR="00293C8C" w:rsidRPr="0007098B">
        <w:rPr>
          <w:rFonts w:cs="Calibri"/>
          <w:lang w:val="pl-PL"/>
        </w:rPr>
        <w:t xml:space="preserve">chociaż – zgodnie z przepisami Kodeksu Postępowania Cywilnego – </w:t>
      </w:r>
      <w:r w:rsidRPr="0007098B">
        <w:rPr>
          <w:rFonts w:cs="Calibri"/>
          <w:lang w:val="pl-PL"/>
        </w:rPr>
        <w:t>mógł</w:t>
      </w:r>
      <w:r w:rsidR="00293C8C" w:rsidRPr="0007098B">
        <w:rPr>
          <w:rFonts w:cs="Calibri"/>
          <w:lang w:val="pl-PL"/>
        </w:rPr>
        <w:t xml:space="preserve"> </w:t>
      </w:r>
      <w:r w:rsidR="00AE78D2" w:rsidRPr="0007098B">
        <w:rPr>
          <w:rFonts w:cs="Calibri"/>
          <w:lang w:val="pl-PL"/>
        </w:rPr>
        <w:t xml:space="preserve">był to </w:t>
      </w:r>
      <w:r w:rsidR="00293C8C" w:rsidRPr="0007098B">
        <w:rPr>
          <w:rFonts w:cs="Calibri"/>
          <w:lang w:val="pl-PL"/>
        </w:rPr>
        <w:t>uczynić</w:t>
      </w:r>
      <w:r w:rsidRPr="0007098B">
        <w:rPr>
          <w:rFonts w:cs="Calibri"/>
          <w:lang w:val="pl-PL"/>
        </w:rPr>
        <w:t>)</w:t>
      </w:r>
      <w:r w:rsidR="00293C8C" w:rsidRPr="0007098B">
        <w:rPr>
          <w:rFonts w:cs="Calibri"/>
          <w:lang w:val="pl-PL"/>
        </w:rPr>
        <w:t xml:space="preserve">.  </w:t>
      </w:r>
    </w:p>
    <w:p w:rsidR="00293C8C" w:rsidRPr="0007098B" w:rsidRDefault="00B67E40" w:rsidP="00B67E40">
      <w:pPr>
        <w:spacing w:after="240" w:line="240" w:lineRule="auto"/>
        <w:jc w:val="both"/>
        <w:rPr>
          <w:rFonts w:cs="Calibri"/>
          <w:lang w:val="pl-PL"/>
        </w:rPr>
      </w:pPr>
      <w:r>
        <w:rPr>
          <w:rFonts w:cs="Calibri"/>
          <w:lang w:val="pl-PL"/>
        </w:rPr>
        <w:t xml:space="preserve">W podsumowaniu </w:t>
      </w:r>
      <w:r w:rsidR="00293C8C" w:rsidRPr="0007098B">
        <w:rPr>
          <w:rFonts w:cs="Calibri"/>
          <w:lang w:val="pl-PL"/>
        </w:rPr>
        <w:t>Trybunał</w:t>
      </w:r>
      <w:r>
        <w:rPr>
          <w:rFonts w:cs="Calibri"/>
          <w:lang w:val="pl-PL"/>
        </w:rPr>
        <w:t xml:space="preserve"> uznał</w:t>
      </w:r>
      <w:r w:rsidR="00293C8C" w:rsidRPr="0007098B">
        <w:rPr>
          <w:rFonts w:cs="Calibri"/>
          <w:lang w:val="pl-PL"/>
        </w:rPr>
        <w:t xml:space="preserve">, że niepewność orzecznictwa, która doprowadziła do oddalenia powództwa wniesionego przez </w:t>
      </w:r>
      <w:r w:rsidR="00FA6D6F" w:rsidRPr="0007098B">
        <w:rPr>
          <w:rFonts w:cs="Calibri"/>
          <w:lang w:val="pl-PL"/>
        </w:rPr>
        <w:t>skarżącego</w:t>
      </w:r>
      <w:r w:rsidR="00293C8C" w:rsidRPr="0007098B">
        <w:rPr>
          <w:rFonts w:cs="Calibri"/>
          <w:lang w:val="pl-PL"/>
        </w:rPr>
        <w:t xml:space="preserve">, wraz z brakiem mechanizmu zapewniającym spójność orzecznictwa </w:t>
      </w:r>
      <w:r w:rsidR="00943A28">
        <w:rPr>
          <w:rFonts w:cs="Calibri"/>
          <w:lang w:val="pl-PL"/>
        </w:rPr>
        <w:t xml:space="preserve">Sądu Najwyższego </w:t>
      </w:r>
      <w:r w:rsidR="00293C8C" w:rsidRPr="0007098B">
        <w:rPr>
          <w:rFonts w:cs="Calibri"/>
          <w:lang w:val="pl-PL"/>
        </w:rPr>
        <w:t xml:space="preserve">pozbawiły skarżącego możliwości </w:t>
      </w:r>
      <w:r w:rsidR="00AE78D2" w:rsidRPr="0007098B">
        <w:rPr>
          <w:rFonts w:cs="Calibri"/>
          <w:lang w:val="pl-PL"/>
        </w:rPr>
        <w:t xml:space="preserve">uzyskania zbadania jego </w:t>
      </w:r>
      <w:r w:rsidR="00293C8C" w:rsidRPr="0007098B">
        <w:rPr>
          <w:rFonts w:cs="Calibri"/>
          <w:lang w:val="pl-PL"/>
        </w:rPr>
        <w:t xml:space="preserve">powództwa przeciwko </w:t>
      </w:r>
      <w:r w:rsidR="001754D6" w:rsidRPr="0007098B">
        <w:rPr>
          <w:rFonts w:cs="Calibri"/>
          <w:lang w:val="pl-PL"/>
        </w:rPr>
        <w:t>państwu</w:t>
      </w:r>
      <w:r w:rsidR="00293C8C" w:rsidRPr="0007098B">
        <w:rPr>
          <w:rFonts w:cs="Calibri"/>
          <w:lang w:val="pl-PL"/>
        </w:rPr>
        <w:t>, chociaż inne osoby znajdujące się w podobnej sytuacji miały taką możliwość. Doszło do naruszenia art. 6</w:t>
      </w:r>
      <w:r w:rsidR="00FA6D6F" w:rsidRPr="0007098B">
        <w:rPr>
          <w:rFonts w:cs="Calibri"/>
          <w:lang w:val="pl-PL"/>
        </w:rPr>
        <w:t xml:space="preserve"> ust. </w:t>
      </w:r>
      <w:r w:rsidR="00293C8C" w:rsidRPr="0007098B">
        <w:rPr>
          <w:rFonts w:cs="Calibri"/>
          <w:lang w:val="pl-PL"/>
        </w:rPr>
        <w:t>1</w:t>
      </w:r>
      <w:r w:rsidR="00FA6D6F" w:rsidRPr="0007098B">
        <w:rPr>
          <w:rFonts w:cs="Calibri"/>
          <w:lang w:val="pl-PL"/>
        </w:rPr>
        <w:t xml:space="preserve"> Konwencji</w:t>
      </w:r>
      <w:r w:rsidR="00293C8C" w:rsidRPr="0007098B">
        <w:rPr>
          <w:rFonts w:cs="Calibri"/>
          <w:lang w:val="pl-PL"/>
        </w:rPr>
        <w:t>.</w:t>
      </w:r>
    </w:p>
    <w:p w:rsidR="00FB1CB7" w:rsidRDefault="0007098B" w:rsidP="00BE5B69">
      <w:pPr>
        <w:spacing w:after="120" w:line="240" w:lineRule="auto"/>
        <w:jc w:val="both"/>
        <w:rPr>
          <w:rFonts w:cs="Calibri"/>
          <w:lang w:val="pl-PL"/>
        </w:rPr>
      </w:pPr>
      <w:r w:rsidRPr="00C757C8">
        <w:rPr>
          <w:rFonts w:cs="Calibri"/>
          <w:u w:val="single"/>
          <w:lang w:val="pl-PL"/>
        </w:rPr>
        <w:t>Znaczenie wyroku dla Polski</w:t>
      </w:r>
      <w:r>
        <w:rPr>
          <w:rFonts w:cs="Calibri"/>
          <w:lang w:val="pl-PL"/>
        </w:rPr>
        <w:t xml:space="preserve"> –</w:t>
      </w:r>
      <w:r w:rsidR="00C757C8">
        <w:rPr>
          <w:rFonts w:cs="Calibri"/>
          <w:lang w:val="pl-PL"/>
        </w:rPr>
        <w:t xml:space="preserve"> zważywszy, że rozbieżności w orzecz</w:t>
      </w:r>
      <w:r w:rsidR="00B67E40">
        <w:rPr>
          <w:rFonts w:cs="Calibri"/>
          <w:lang w:val="pl-PL"/>
        </w:rPr>
        <w:t>nictwie</w:t>
      </w:r>
      <w:r w:rsidR="00C757C8">
        <w:rPr>
          <w:rFonts w:cs="Calibri"/>
          <w:lang w:val="pl-PL"/>
        </w:rPr>
        <w:t xml:space="preserve"> Sądu Najwyższego zostały uznane za źródło naruszenia art. 6 ust. 1 Konwencji, a Trybunał wytknął też brak skutecznego mechanizmu zapewniającego spójność orzecznictwa Sądu Najwyższego, wyrok </w:t>
      </w:r>
      <w:r>
        <w:rPr>
          <w:rFonts w:cs="Calibri"/>
          <w:lang w:val="pl-PL"/>
        </w:rPr>
        <w:t xml:space="preserve">zasługuje na </w:t>
      </w:r>
      <w:r w:rsidR="00C757C8">
        <w:rPr>
          <w:rFonts w:cs="Calibri"/>
          <w:lang w:val="pl-PL"/>
        </w:rPr>
        <w:t xml:space="preserve">dokładne </w:t>
      </w:r>
      <w:r>
        <w:rPr>
          <w:rFonts w:cs="Calibri"/>
          <w:lang w:val="pl-PL"/>
        </w:rPr>
        <w:t>przeanalizowanie w kontekście</w:t>
      </w:r>
      <w:r w:rsidR="00C46191">
        <w:rPr>
          <w:rFonts w:cs="Calibri"/>
          <w:lang w:val="pl-PL"/>
        </w:rPr>
        <w:t xml:space="preserve"> zapewniania spójności orzecznictwa</w:t>
      </w:r>
      <w:r w:rsidR="00C46191" w:rsidRPr="00C46191">
        <w:rPr>
          <w:rFonts w:cs="Calibri"/>
          <w:lang w:val="pl-PL"/>
        </w:rPr>
        <w:t xml:space="preserve"> </w:t>
      </w:r>
      <w:r w:rsidR="00C46191">
        <w:rPr>
          <w:rFonts w:cs="Calibri"/>
          <w:lang w:val="pl-PL"/>
        </w:rPr>
        <w:t xml:space="preserve">Sądu Najwyższego i Naczelnego Sądu Administracyjnego, </w:t>
      </w:r>
      <w:r w:rsidR="00FB1CB7">
        <w:rPr>
          <w:rFonts w:cs="Calibri"/>
          <w:lang w:val="pl-PL"/>
        </w:rPr>
        <w:t xml:space="preserve">a także w kontekście </w:t>
      </w:r>
      <w:r w:rsidR="00C46191">
        <w:rPr>
          <w:rFonts w:cs="Calibri"/>
          <w:lang w:val="pl-PL"/>
        </w:rPr>
        <w:t xml:space="preserve">odpowiedniego </w:t>
      </w:r>
      <w:r w:rsidR="00B11865">
        <w:rPr>
          <w:rFonts w:cs="Calibri"/>
          <w:lang w:val="pl-PL"/>
        </w:rPr>
        <w:t>uzasadniania orzeczeń</w:t>
      </w:r>
      <w:r w:rsidR="00943A28">
        <w:rPr>
          <w:rFonts w:cs="Calibri"/>
          <w:lang w:val="pl-PL"/>
        </w:rPr>
        <w:t xml:space="preserve"> stanowiących odejście od dotychczasowego orzecznictwa</w:t>
      </w:r>
      <w:r w:rsidR="00FB1CB7">
        <w:rPr>
          <w:rFonts w:cs="Calibri"/>
          <w:lang w:val="pl-PL"/>
        </w:rPr>
        <w:t xml:space="preserve"> oraz</w:t>
      </w:r>
      <w:r w:rsidR="00B11865">
        <w:rPr>
          <w:rFonts w:cs="Calibri"/>
          <w:lang w:val="pl-PL"/>
        </w:rPr>
        <w:t xml:space="preserve"> </w:t>
      </w:r>
      <w:r w:rsidR="00EB0132">
        <w:rPr>
          <w:rFonts w:cs="Calibri"/>
          <w:lang w:val="pl-PL"/>
        </w:rPr>
        <w:t xml:space="preserve">z punktu widzenia </w:t>
      </w:r>
      <w:r w:rsidR="00943A28">
        <w:rPr>
          <w:rFonts w:cs="Calibri"/>
          <w:lang w:val="pl-PL"/>
        </w:rPr>
        <w:t xml:space="preserve">dostępności </w:t>
      </w:r>
      <w:r w:rsidR="00C46191">
        <w:rPr>
          <w:rFonts w:cs="Calibri"/>
          <w:lang w:val="pl-PL"/>
        </w:rPr>
        <w:t>skutecz</w:t>
      </w:r>
      <w:r w:rsidR="00EB0132">
        <w:rPr>
          <w:rFonts w:cs="Calibri"/>
          <w:lang w:val="pl-PL"/>
        </w:rPr>
        <w:t>nych</w:t>
      </w:r>
      <w:r>
        <w:rPr>
          <w:rFonts w:cs="Calibri"/>
          <w:lang w:val="pl-PL"/>
        </w:rPr>
        <w:t xml:space="preserve"> mechanizmów zapobiegania rozbieżnościom w orzecznictwie</w:t>
      </w:r>
      <w:r w:rsidR="00C46191">
        <w:rPr>
          <w:rFonts w:cs="Calibri"/>
          <w:lang w:val="pl-PL"/>
        </w:rPr>
        <w:t xml:space="preserve"> </w:t>
      </w:r>
      <w:r w:rsidR="00EB0132">
        <w:rPr>
          <w:rFonts w:cs="Calibri"/>
          <w:lang w:val="pl-PL"/>
        </w:rPr>
        <w:t xml:space="preserve">polskich </w:t>
      </w:r>
      <w:r w:rsidR="00C46191">
        <w:rPr>
          <w:rFonts w:cs="Calibri"/>
          <w:lang w:val="pl-PL"/>
        </w:rPr>
        <w:t>sadów najwyższych</w:t>
      </w:r>
      <w:r w:rsidR="00FC1AFE">
        <w:rPr>
          <w:rFonts w:cs="Calibri"/>
          <w:lang w:val="pl-PL"/>
        </w:rPr>
        <w:t xml:space="preserve">. </w:t>
      </w:r>
    </w:p>
    <w:p w:rsidR="00293C8C" w:rsidRPr="0007098B" w:rsidRDefault="00FC1AFE" w:rsidP="00BE5B69">
      <w:pPr>
        <w:spacing w:after="120" w:line="240" w:lineRule="auto"/>
        <w:jc w:val="both"/>
        <w:rPr>
          <w:rFonts w:cs="Calibri"/>
          <w:lang w:val="pl-PL"/>
        </w:rPr>
      </w:pPr>
      <w:r>
        <w:rPr>
          <w:rFonts w:cs="Calibri"/>
          <w:lang w:val="pl-PL"/>
        </w:rPr>
        <w:t xml:space="preserve">Wreszcie, </w:t>
      </w:r>
      <w:r w:rsidR="00B11865">
        <w:rPr>
          <w:rFonts w:cs="Calibri"/>
          <w:lang w:val="pl-PL"/>
        </w:rPr>
        <w:t xml:space="preserve">może mieć znaczenie </w:t>
      </w:r>
      <w:r w:rsidR="0007098B">
        <w:rPr>
          <w:rFonts w:cs="Calibri"/>
          <w:lang w:val="pl-PL"/>
        </w:rPr>
        <w:t xml:space="preserve">w kontekście funkcjonowania skargi o stwierdzenie niezgodności </w:t>
      </w:r>
      <w:r w:rsidR="00FB1CB7">
        <w:rPr>
          <w:rFonts w:cs="Calibri"/>
          <w:lang w:val="pl-PL"/>
        </w:rPr>
        <w:br/>
      </w:r>
      <w:r w:rsidR="0007098B">
        <w:rPr>
          <w:rFonts w:cs="Calibri"/>
          <w:lang w:val="pl-PL"/>
        </w:rPr>
        <w:t>z prawem prawomocnego orzeczenia sądu</w:t>
      </w:r>
      <w:r w:rsidR="00807B35">
        <w:rPr>
          <w:rFonts w:cs="Calibri"/>
          <w:lang w:val="pl-PL"/>
        </w:rPr>
        <w:t>, a także</w:t>
      </w:r>
      <w:r w:rsidR="00C757C8">
        <w:rPr>
          <w:rFonts w:cs="Calibri"/>
          <w:lang w:val="pl-PL"/>
        </w:rPr>
        <w:t xml:space="preserve"> </w:t>
      </w:r>
      <w:r w:rsidR="00B11865">
        <w:rPr>
          <w:rFonts w:cs="Calibri"/>
          <w:lang w:val="pl-PL"/>
        </w:rPr>
        <w:t xml:space="preserve">wszelkich </w:t>
      </w:r>
      <w:r w:rsidR="00C757C8">
        <w:rPr>
          <w:rFonts w:cs="Calibri"/>
          <w:lang w:val="pl-PL"/>
        </w:rPr>
        <w:t>innych mechanizmów dotyczących odpowiedzialności państwa z tytułu błędu sędziowskiego</w:t>
      </w:r>
      <w:r w:rsidR="0007098B">
        <w:rPr>
          <w:rFonts w:cs="Calibri"/>
          <w:lang w:val="pl-PL"/>
        </w:rPr>
        <w:t xml:space="preserve">. </w:t>
      </w:r>
      <w:r w:rsidR="00520084">
        <w:rPr>
          <w:rFonts w:cs="Calibri"/>
          <w:lang w:val="pl-PL"/>
        </w:rPr>
        <w:t xml:space="preserve">Wyrok zawiera też interesujące podsumowanie zasad wypracowanych we wcześniejszym orzecznictwie Trybunału dotyczących </w:t>
      </w:r>
      <w:r w:rsidR="00DA0BD7">
        <w:rPr>
          <w:rFonts w:cs="Calibri"/>
          <w:lang w:val="pl-PL"/>
        </w:rPr>
        <w:t xml:space="preserve">rozumienia </w:t>
      </w:r>
      <w:r w:rsidR="00520084">
        <w:rPr>
          <w:rFonts w:cs="Calibri"/>
          <w:lang w:val="pl-PL"/>
        </w:rPr>
        <w:t>zasady pewności prawnej w kontekście działalności orzeczniczej sądów krajowych.</w:t>
      </w:r>
    </w:p>
    <w:sectPr w:rsidR="00293C8C" w:rsidRPr="0007098B" w:rsidSect="0053148F">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A26" w:rsidRDefault="00263A26" w:rsidP="003C7DF2">
      <w:pPr>
        <w:spacing w:after="0" w:line="240" w:lineRule="auto"/>
      </w:pPr>
      <w:r>
        <w:separator/>
      </w:r>
    </w:p>
  </w:endnote>
  <w:endnote w:type="continuationSeparator" w:id="0">
    <w:p w:rsidR="00263A26" w:rsidRDefault="00263A26" w:rsidP="003C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 New Roman Bold">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8E" w:rsidRDefault="00D4388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060254"/>
      <w:docPartObj>
        <w:docPartGallery w:val="Page Numbers (Bottom of Page)"/>
        <w:docPartUnique/>
      </w:docPartObj>
    </w:sdtPr>
    <w:sdtEndPr/>
    <w:sdtContent>
      <w:p w:rsidR="00D97B9B" w:rsidRDefault="00D97B9B">
        <w:pPr>
          <w:pStyle w:val="Stopka"/>
          <w:jc w:val="right"/>
        </w:pPr>
        <w:r>
          <w:fldChar w:fldCharType="begin"/>
        </w:r>
        <w:r>
          <w:instrText>PAGE   \* MERGEFORMAT</w:instrText>
        </w:r>
        <w:r>
          <w:fldChar w:fldCharType="separate"/>
        </w:r>
        <w:r w:rsidR="00094397" w:rsidRPr="00094397">
          <w:rPr>
            <w:noProof/>
            <w:lang w:val="pl-PL"/>
          </w:rPr>
          <w:t>3</w:t>
        </w:r>
        <w:r>
          <w:fldChar w:fldCharType="end"/>
        </w:r>
      </w:p>
    </w:sdtContent>
  </w:sdt>
  <w:p w:rsidR="00D97B9B" w:rsidRDefault="00D97B9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8E" w:rsidRDefault="00D4388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A26" w:rsidRDefault="00263A26" w:rsidP="003C7DF2">
      <w:pPr>
        <w:spacing w:after="0" w:line="240" w:lineRule="auto"/>
      </w:pPr>
      <w:r>
        <w:separator/>
      </w:r>
    </w:p>
  </w:footnote>
  <w:footnote w:type="continuationSeparator" w:id="0">
    <w:p w:rsidR="00263A26" w:rsidRDefault="00263A26" w:rsidP="003C7DF2">
      <w:pPr>
        <w:spacing w:after="0" w:line="240" w:lineRule="auto"/>
      </w:pPr>
      <w:r>
        <w:continuationSeparator/>
      </w:r>
    </w:p>
  </w:footnote>
  <w:footnote w:id="1">
    <w:p w:rsidR="007C236B" w:rsidRPr="007C236B" w:rsidRDefault="007C236B" w:rsidP="007C236B">
      <w:pPr>
        <w:spacing w:after="60" w:line="240" w:lineRule="auto"/>
        <w:jc w:val="both"/>
        <w:rPr>
          <w:sz w:val="20"/>
          <w:szCs w:val="20"/>
          <w:lang w:val="pl-PL"/>
        </w:rPr>
      </w:pPr>
      <w:r>
        <w:rPr>
          <w:rStyle w:val="Odwoanieprzypisudolnego"/>
        </w:rPr>
        <w:footnoteRef/>
      </w:r>
      <w:r w:rsidRPr="007C236B">
        <w:rPr>
          <w:lang w:val="pl-PL"/>
        </w:rPr>
        <w:t xml:space="preserve"> </w:t>
      </w:r>
      <w:r w:rsidRPr="007C236B">
        <w:rPr>
          <w:sz w:val="20"/>
          <w:szCs w:val="20"/>
          <w:lang w:val="pl-PL"/>
        </w:rPr>
        <w:t xml:space="preserve">Prawo angielskie nie przewiduje szczególnego przestępstwa dokonania dobrowolnej eutanazji, jednakże umyślne zabicie innej osoby, w tym za jej zgodą, stanowi przestępstwo zabójstwa. </w:t>
      </w:r>
    </w:p>
    <w:p w:rsidR="007C236B" w:rsidRPr="007C236B" w:rsidRDefault="007C236B" w:rsidP="007C236B">
      <w:pPr>
        <w:spacing w:after="60" w:line="240" w:lineRule="auto"/>
        <w:jc w:val="both"/>
        <w:rPr>
          <w:lang w:val="pl-PL"/>
        </w:rPr>
      </w:pPr>
      <w:r w:rsidRPr="007C236B">
        <w:rPr>
          <w:sz w:val="20"/>
          <w:szCs w:val="20"/>
          <w:lang w:val="pl-PL"/>
        </w:rPr>
        <w:t xml:space="preserve">Art. 2 ust. 1 ustawy z 1961 r. ws. samobójstwa, w wersji obowiązującej po zmianach wprowadzonych w 2009 r., przewiduje, że popełnia przestępstwo osoba dopuszczająca się czynu mogącego zachęcić lub pomóc w dokonaniu samobójstwa lub podjęciu próby samobójczej przez inną osobę. W sprawie </w:t>
      </w:r>
      <w:r w:rsidRPr="007C236B">
        <w:rPr>
          <w:i/>
          <w:sz w:val="20"/>
          <w:szCs w:val="20"/>
          <w:lang w:val="pl-PL"/>
        </w:rPr>
        <w:t xml:space="preserve">(R) </w:t>
      </w:r>
      <w:proofErr w:type="spellStart"/>
      <w:r w:rsidRPr="007C236B">
        <w:rPr>
          <w:i/>
          <w:sz w:val="20"/>
          <w:szCs w:val="20"/>
          <w:lang w:val="pl-PL"/>
        </w:rPr>
        <w:t>Pretty</w:t>
      </w:r>
      <w:proofErr w:type="spellEnd"/>
      <w:r w:rsidRPr="007C236B">
        <w:rPr>
          <w:i/>
          <w:sz w:val="20"/>
          <w:szCs w:val="20"/>
          <w:lang w:val="pl-PL"/>
        </w:rPr>
        <w:t xml:space="preserve"> v. </w:t>
      </w:r>
      <w:proofErr w:type="spellStart"/>
      <w:r w:rsidRPr="007C236B">
        <w:rPr>
          <w:i/>
          <w:sz w:val="20"/>
          <w:szCs w:val="20"/>
          <w:lang w:val="pl-PL"/>
        </w:rPr>
        <w:t>Director</w:t>
      </w:r>
      <w:proofErr w:type="spellEnd"/>
      <w:r w:rsidRPr="007C236B">
        <w:rPr>
          <w:i/>
          <w:sz w:val="20"/>
          <w:szCs w:val="20"/>
          <w:lang w:val="pl-PL"/>
        </w:rPr>
        <w:t xml:space="preserve"> of Public </w:t>
      </w:r>
      <w:proofErr w:type="spellStart"/>
      <w:r w:rsidRPr="007C236B">
        <w:rPr>
          <w:i/>
          <w:sz w:val="20"/>
          <w:szCs w:val="20"/>
          <w:lang w:val="pl-PL"/>
        </w:rPr>
        <w:t>Prosecutions</w:t>
      </w:r>
      <w:proofErr w:type="spellEnd"/>
      <w:r w:rsidRPr="007C236B">
        <w:rPr>
          <w:sz w:val="20"/>
          <w:szCs w:val="20"/>
          <w:lang w:val="pl-PL"/>
        </w:rPr>
        <w:t xml:space="preserve"> [2001] UKHL 61, Izba Lordów badała zgodność tego zakazu m.in. z art. 8 Konwencji, uznając jednomyślnie, że nie narusza on Konwencji. Od tego czasu odbyły się liczne debaty oraz podejmowano w Izbie Gmin lub Izbie Lordów próby zmian legislacyjnych. W 2009 r. przyjęta została ustawa, która nieco zmodyfikowała art. 2 ust. 1 ustawy z 1961 r., nie zmieniła jednak zasad, na jakich się on opiera. Inne projekty ustawowe mające na celu zmianę art. 2 ust. 1 nie zostały przyjęte. </w:t>
      </w:r>
    </w:p>
  </w:footnote>
  <w:footnote w:id="2">
    <w:p w:rsidR="007C236B" w:rsidRPr="007C236B" w:rsidRDefault="007C236B" w:rsidP="007C236B">
      <w:pPr>
        <w:pStyle w:val="Tekstprzypisudolnego"/>
        <w:jc w:val="both"/>
        <w:rPr>
          <w:lang w:val="pl-PL"/>
        </w:rPr>
      </w:pPr>
      <w:r>
        <w:rPr>
          <w:rStyle w:val="Odwoanieprzypisudolnego"/>
        </w:rPr>
        <w:footnoteRef/>
      </w:r>
      <w:r w:rsidRPr="007C236B">
        <w:rPr>
          <w:lang w:val="pl-PL"/>
        </w:rPr>
        <w:t xml:space="preserve"> Zgodnie z </w:t>
      </w:r>
      <w:r>
        <w:rPr>
          <w:lang w:val="pl-PL"/>
        </w:rPr>
        <w:t xml:space="preserve">brytyjską </w:t>
      </w:r>
      <w:r w:rsidRPr="007C236B">
        <w:rPr>
          <w:lang w:val="pl-PL"/>
        </w:rPr>
        <w:t>ustawą o prawach człowieka (</w:t>
      </w:r>
      <w:r w:rsidRPr="000C7C4F">
        <w:rPr>
          <w:i/>
          <w:lang w:val="pl-PL"/>
        </w:rPr>
        <w:t xml:space="preserve">Human </w:t>
      </w:r>
      <w:proofErr w:type="spellStart"/>
      <w:r w:rsidRPr="000C7C4F">
        <w:rPr>
          <w:i/>
          <w:lang w:val="pl-PL"/>
        </w:rPr>
        <w:t>Rights</w:t>
      </w:r>
      <w:proofErr w:type="spellEnd"/>
      <w:r w:rsidRPr="000C7C4F">
        <w:rPr>
          <w:i/>
          <w:lang w:val="pl-PL"/>
        </w:rPr>
        <w:t xml:space="preserve"> </w:t>
      </w:r>
      <w:proofErr w:type="spellStart"/>
      <w:r w:rsidRPr="000C7C4F">
        <w:rPr>
          <w:i/>
          <w:lang w:val="pl-PL"/>
        </w:rPr>
        <w:t>Act</w:t>
      </w:r>
      <w:proofErr w:type="spellEnd"/>
      <w:r w:rsidRPr="007C236B">
        <w:rPr>
          <w:lang w:val="pl-PL"/>
        </w:rPr>
        <w:t>), jeśli sąd uznaje, że przepis ustawy jest niezgodny z prawami konwencyjnymi, może wydać oświadczenie o tej niezgodności.</w:t>
      </w:r>
    </w:p>
  </w:footnote>
  <w:footnote w:id="3">
    <w:p w:rsidR="00110518" w:rsidRPr="00887C02" w:rsidRDefault="00110518" w:rsidP="00444B39">
      <w:pPr>
        <w:pStyle w:val="Tekstprzypisudolnego"/>
        <w:jc w:val="both"/>
        <w:rPr>
          <w:lang w:val="pl-PL"/>
        </w:rPr>
      </w:pPr>
      <w:r>
        <w:rPr>
          <w:rStyle w:val="Odwoanieprzypisudolnego"/>
        </w:rPr>
        <w:footnoteRef/>
      </w:r>
      <w:r w:rsidRPr="00887C02">
        <w:rPr>
          <w:lang w:val="pl-PL"/>
        </w:rPr>
        <w:t xml:space="preserve"> </w:t>
      </w:r>
      <w:r>
        <w:rPr>
          <w:lang w:val="pl-PL"/>
        </w:rPr>
        <w:t xml:space="preserve">W sprawie </w:t>
      </w:r>
      <w:proofErr w:type="spellStart"/>
      <w:r>
        <w:rPr>
          <w:lang w:val="pl-PL"/>
        </w:rPr>
        <w:t>Pretty</w:t>
      </w:r>
      <w:proofErr w:type="spellEnd"/>
      <w:r>
        <w:rPr>
          <w:lang w:val="pl-PL"/>
        </w:rPr>
        <w:t xml:space="preserve"> p. UK Trybunał stwierdził brak naruszenia art. 2, 3, 8, 9 i 14 Konwencji w odniesieniu do zarzutów, że prawo angielskie przewidywało karalność udzielania pomocy w </w:t>
      </w:r>
      <w:r w:rsidR="00A96163">
        <w:rPr>
          <w:lang w:val="pl-PL"/>
        </w:rPr>
        <w:t>popełnieniu samobójstwa</w:t>
      </w:r>
      <w:r>
        <w:rPr>
          <w:lang w:val="pl-PL"/>
        </w:rPr>
        <w:t xml:space="preserve"> osob</w:t>
      </w:r>
      <w:r w:rsidR="00444B39">
        <w:rPr>
          <w:lang w:val="pl-PL"/>
        </w:rPr>
        <w:t>ie</w:t>
      </w:r>
      <w:r>
        <w:rPr>
          <w:lang w:val="pl-PL"/>
        </w:rPr>
        <w:t xml:space="preserve"> ciężko chorej. </w:t>
      </w:r>
    </w:p>
  </w:footnote>
  <w:footnote w:id="4">
    <w:p w:rsidR="004C546A" w:rsidRPr="004C546A" w:rsidRDefault="004C546A">
      <w:pPr>
        <w:pStyle w:val="Tekstprzypisudolnego"/>
        <w:rPr>
          <w:lang w:val="pl-PL"/>
        </w:rPr>
      </w:pPr>
      <w:r>
        <w:rPr>
          <w:rStyle w:val="Odwoanieprzypisudolnego"/>
        </w:rPr>
        <w:footnoteRef/>
      </w:r>
      <w:r w:rsidRPr="004C546A">
        <w:rPr>
          <w:lang w:val="pl-PL"/>
        </w:rPr>
        <w:t xml:space="preserve"> </w:t>
      </w:r>
      <w:hyperlink r:id="rId1" w:history="1">
        <w:r w:rsidRPr="007A5A1A">
          <w:rPr>
            <w:rStyle w:val="Hipercze"/>
            <w:lang w:val="pl-PL"/>
          </w:rPr>
          <w:t xml:space="preserve">Zob. tłumaczenie wyroku w sprawie </w:t>
        </w:r>
        <w:proofErr w:type="spellStart"/>
        <w:r w:rsidRPr="007A5A1A">
          <w:rPr>
            <w:rStyle w:val="Hipercze"/>
            <w:lang w:val="pl-PL"/>
          </w:rPr>
          <w:t>McCann</w:t>
        </w:r>
        <w:proofErr w:type="spellEnd"/>
        <w:r w:rsidRPr="007A5A1A">
          <w:rPr>
            <w:rStyle w:val="Hipercze"/>
            <w:lang w:val="pl-PL"/>
          </w:rPr>
          <w:t xml:space="preserve"> przygotowane przez Naczelny Sąd Administracyjny</w:t>
        </w:r>
      </w:hyperlink>
      <w:r>
        <w:rPr>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8E" w:rsidRDefault="00D4388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8E" w:rsidRDefault="00D4388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B9B" w:rsidRDefault="00D97B9B">
    <w:pPr>
      <w:pStyle w:val="Nagwek"/>
    </w:pP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37DF513C" wp14:editId="0D3C2C70">
          <wp:simplePos x="0" y="0"/>
          <wp:positionH relativeFrom="page">
            <wp:posOffset>466725</wp:posOffset>
          </wp:positionH>
          <wp:positionV relativeFrom="page">
            <wp:posOffset>-238125</wp:posOffset>
          </wp:positionV>
          <wp:extent cx="2527935" cy="2608580"/>
          <wp:effectExtent l="0" t="0" r="5715" b="127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2608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390D"/>
    <w:multiLevelType w:val="hybridMultilevel"/>
    <w:tmpl w:val="C70E1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096919"/>
    <w:multiLevelType w:val="hybridMultilevel"/>
    <w:tmpl w:val="4CFCC7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E86366C"/>
    <w:multiLevelType w:val="hybridMultilevel"/>
    <w:tmpl w:val="33D0076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nsid w:val="22276E07"/>
    <w:multiLevelType w:val="multilevel"/>
    <w:tmpl w:val="BD04EB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4068299F"/>
    <w:multiLevelType w:val="hybridMultilevel"/>
    <w:tmpl w:val="C70E1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0A26B59"/>
    <w:multiLevelType w:val="hybridMultilevel"/>
    <w:tmpl w:val="EA0EBC82"/>
    <w:lvl w:ilvl="0" w:tplc="4220274A">
      <w:start w:val="1"/>
      <w:numFmt w:val="decimal"/>
      <w:pStyle w:val="Nagwek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2700EA8"/>
    <w:multiLevelType w:val="hybridMultilevel"/>
    <w:tmpl w:val="C70E1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4"/>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3"/>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2"/>
  </w:num>
  <w:num w:numId="21">
    <w:abstractNumId w:val="5"/>
  </w:num>
  <w:num w:numId="22">
    <w:abstractNumId w:val="1"/>
  </w:num>
  <w:num w:numId="23">
    <w:abstractNumId w:val="5"/>
  </w:num>
  <w:num w:numId="24">
    <w:abstractNumId w:val="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55"/>
    <w:rsid w:val="0001044C"/>
    <w:rsid w:val="00011FCA"/>
    <w:rsid w:val="000145E5"/>
    <w:rsid w:val="00026AC5"/>
    <w:rsid w:val="00041638"/>
    <w:rsid w:val="00054F22"/>
    <w:rsid w:val="00060B88"/>
    <w:rsid w:val="00061066"/>
    <w:rsid w:val="000645B9"/>
    <w:rsid w:val="0007098B"/>
    <w:rsid w:val="00073C40"/>
    <w:rsid w:val="000767D1"/>
    <w:rsid w:val="00094397"/>
    <w:rsid w:val="000A0792"/>
    <w:rsid w:val="000C7C4F"/>
    <w:rsid w:val="000E7670"/>
    <w:rsid w:val="000F22DE"/>
    <w:rsid w:val="000F6790"/>
    <w:rsid w:val="00102BE1"/>
    <w:rsid w:val="00105DFE"/>
    <w:rsid w:val="00110518"/>
    <w:rsid w:val="001109E7"/>
    <w:rsid w:val="0012588A"/>
    <w:rsid w:val="001260FD"/>
    <w:rsid w:val="00127C20"/>
    <w:rsid w:val="0013265E"/>
    <w:rsid w:val="001350CC"/>
    <w:rsid w:val="00151CC7"/>
    <w:rsid w:val="00154B43"/>
    <w:rsid w:val="001754D6"/>
    <w:rsid w:val="00180C2F"/>
    <w:rsid w:val="00183D21"/>
    <w:rsid w:val="00191EF5"/>
    <w:rsid w:val="001B2CC7"/>
    <w:rsid w:val="001C167D"/>
    <w:rsid w:val="001D11BB"/>
    <w:rsid w:val="001F2167"/>
    <w:rsid w:val="002032DF"/>
    <w:rsid w:val="0020365D"/>
    <w:rsid w:val="00204E57"/>
    <w:rsid w:val="00211EB9"/>
    <w:rsid w:val="00211F8F"/>
    <w:rsid w:val="00213102"/>
    <w:rsid w:val="00213877"/>
    <w:rsid w:val="00226174"/>
    <w:rsid w:val="002356D3"/>
    <w:rsid w:val="002360D2"/>
    <w:rsid w:val="00237D99"/>
    <w:rsid w:val="0024315E"/>
    <w:rsid w:val="00250635"/>
    <w:rsid w:val="00257C2D"/>
    <w:rsid w:val="00263A26"/>
    <w:rsid w:val="002674CA"/>
    <w:rsid w:val="002708A5"/>
    <w:rsid w:val="002907D9"/>
    <w:rsid w:val="0029096B"/>
    <w:rsid w:val="00292B87"/>
    <w:rsid w:val="00293C8C"/>
    <w:rsid w:val="002A3CCC"/>
    <w:rsid w:val="002B5A4C"/>
    <w:rsid w:val="002B6A75"/>
    <w:rsid w:val="002D2C70"/>
    <w:rsid w:val="002F13F2"/>
    <w:rsid w:val="002F70C7"/>
    <w:rsid w:val="0030039D"/>
    <w:rsid w:val="00301552"/>
    <w:rsid w:val="00314FB8"/>
    <w:rsid w:val="003152E7"/>
    <w:rsid w:val="00330A5F"/>
    <w:rsid w:val="00353062"/>
    <w:rsid w:val="00373568"/>
    <w:rsid w:val="00374FE9"/>
    <w:rsid w:val="00396E3C"/>
    <w:rsid w:val="00397BB2"/>
    <w:rsid w:val="003A113C"/>
    <w:rsid w:val="003A1381"/>
    <w:rsid w:val="003A19B3"/>
    <w:rsid w:val="003A49A5"/>
    <w:rsid w:val="003A68A5"/>
    <w:rsid w:val="003B745A"/>
    <w:rsid w:val="003C7DF2"/>
    <w:rsid w:val="003E56B1"/>
    <w:rsid w:val="0040549F"/>
    <w:rsid w:val="0041026E"/>
    <w:rsid w:val="00413536"/>
    <w:rsid w:val="00414C20"/>
    <w:rsid w:val="00427079"/>
    <w:rsid w:val="004334D7"/>
    <w:rsid w:val="00435E85"/>
    <w:rsid w:val="004379A9"/>
    <w:rsid w:val="00442874"/>
    <w:rsid w:val="00444B39"/>
    <w:rsid w:val="00460166"/>
    <w:rsid w:val="00463DEB"/>
    <w:rsid w:val="00465A41"/>
    <w:rsid w:val="00467800"/>
    <w:rsid w:val="004826EA"/>
    <w:rsid w:val="00494936"/>
    <w:rsid w:val="00497E93"/>
    <w:rsid w:val="004A2D5E"/>
    <w:rsid w:val="004B3BEE"/>
    <w:rsid w:val="004C01AF"/>
    <w:rsid w:val="004C392A"/>
    <w:rsid w:val="004C546A"/>
    <w:rsid w:val="004C743C"/>
    <w:rsid w:val="004C7AAE"/>
    <w:rsid w:val="004D6FF9"/>
    <w:rsid w:val="004D7B6A"/>
    <w:rsid w:val="004E7FF2"/>
    <w:rsid w:val="00513AAA"/>
    <w:rsid w:val="00520084"/>
    <w:rsid w:val="00520674"/>
    <w:rsid w:val="0052370B"/>
    <w:rsid w:val="0053148F"/>
    <w:rsid w:val="00552244"/>
    <w:rsid w:val="00552393"/>
    <w:rsid w:val="00555EC2"/>
    <w:rsid w:val="005734CF"/>
    <w:rsid w:val="00580EAF"/>
    <w:rsid w:val="00584490"/>
    <w:rsid w:val="00591444"/>
    <w:rsid w:val="005A5120"/>
    <w:rsid w:val="005B6C70"/>
    <w:rsid w:val="005B6FAE"/>
    <w:rsid w:val="005D2C60"/>
    <w:rsid w:val="005D557E"/>
    <w:rsid w:val="005D6AFB"/>
    <w:rsid w:val="005E1709"/>
    <w:rsid w:val="005E7FF4"/>
    <w:rsid w:val="005F25A5"/>
    <w:rsid w:val="005F53A4"/>
    <w:rsid w:val="005F60D3"/>
    <w:rsid w:val="006137B4"/>
    <w:rsid w:val="006162AC"/>
    <w:rsid w:val="00621504"/>
    <w:rsid w:val="0062651D"/>
    <w:rsid w:val="006273EE"/>
    <w:rsid w:val="006466A3"/>
    <w:rsid w:val="00652F29"/>
    <w:rsid w:val="006609DA"/>
    <w:rsid w:val="00660B4C"/>
    <w:rsid w:val="0066679B"/>
    <w:rsid w:val="006827C6"/>
    <w:rsid w:val="006928D4"/>
    <w:rsid w:val="006A0355"/>
    <w:rsid w:val="006A4CE8"/>
    <w:rsid w:val="006B37D8"/>
    <w:rsid w:val="006D1832"/>
    <w:rsid w:val="006D1AFF"/>
    <w:rsid w:val="006D726F"/>
    <w:rsid w:val="006E12AB"/>
    <w:rsid w:val="00712554"/>
    <w:rsid w:val="00713DA1"/>
    <w:rsid w:val="00732C33"/>
    <w:rsid w:val="00732DED"/>
    <w:rsid w:val="00733A1B"/>
    <w:rsid w:val="007363E5"/>
    <w:rsid w:val="00743A56"/>
    <w:rsid w:val="007611E7"/>
    <w:rsid w:val="00770A84"/>
    <w:rsid w:val="007734B7"/>
    <w:rsid w:val="00781137"/>
    <w:rsid w:val="00793985"/>
    <w:rsid w:val="007A5A1A"/>
    <w:rsid w:val="007B4EA8"/>
    <w:rsid w:val="007B6C97"/>
    <w:rsid w:val="007C236B"/>
    <w:rsid w:val="007E26FA"/>
    <w:rsid w:val="007F6CE9"/>
    <w:rsid w:val="00803BCE"/>
    <w:rsid w:val="008061D6"/>
    <w:rsid w:val="00807B35"/>
    <w:rsid w:val="0081235F"/>
    <w:rsid w:val="0081415A"/>
    <w:rsid w:val="008148A0"/>
    <w:rsid w:val="00815F4C"/>
    <w:rsid w:val="00822277"/>
    <w:rsid w:val="00830622"/>
    <w:rsid w:val="00834556"/>
    <w:rsid w:val="00841F72"/>
    <w:rsid w:val="0084780B"/>
    <w:rsid w:val="00864F2F"/>
    <w:rsid w:val="008749D3"/>
    <w:rsid w:val="00884846"/>
    <w:rsid w:val="008913F3"/>
    <w:rsid w:val="00896D71"/>
    <w:rsid w:val="008A1BCD"/>
    <w:rsid w:val="008A34AD"/>
    <w:rsid w:val="008B0445"/>
    <w:rsid w:val="008C1766"/>
    <w:rsid w:val="008C69E1"/>
    <w:rsid w:val="008D3934"/>
    <w:rsid w:val="008E13A5"/>
    <w:rsid w:val="008E4F3D"/>
    <w:rsid w:val="008E71F9"/>
    <w:rsid w:val="008E785D"/>
    <w:rsid w:val="008F0929"/>
    <w:rsid w:val="008F5FBD"/>
    <w:rsid w:val="00900BFF"/>
    <w:rsid w:val="0091697B"/>
    <w:rsid w:val="009270D4"/>
    <w:rsid w:val="009324B4"/>
    <w:rsid w:val="00934C10"/>
    <w:rsid w:val="00935BDD"/>
    <w:rsid w:val="00943A28"/>
    <w:rsid w:val="00951FA5"/>
    <w:rsid w:val="00957824"/>
    <w:rsid w:val="009705C9"/>
    <w:rsid w:val="00981CF1"/>
    <w:rsid w:val="0099009E"/>
    <w:rsid w:val="009910DF"/>
    <w:rsid w:val="00992836"/>
    <w:rsid w:val="00993BB9"/>
    <w:rsid w:val="009A24C1"/>
    <w:rsid w:val="009B2BEE"/>
    <w:rsid w:val="009C04B2"/>
    <w:rsid w:val="009D1E70"/>
    <w:rsid w:val="009D6EC7"/>
    <w:rsid w:val="009F1E6B"/>
    <w:rsid w:val="009F3660"/>
    <w:rsid w:val="009F4FB5"/>
    <w:rsid w:val="00A01B84"/>
    <w:rsid w:val="00A04D68"/>
    <w:rsid w:val="00A2206C"/>
    <w:rsid w:val="00A237B5"/>
    <w:rsid w:val="00A53C3D"/>
    <w:rsid w:val="00A567DD"/>
    <w:rsid w:val="00A56B18"/>
    <w:rsid w:val="00A56BA1"/>
    <w:rsid w:val="00A90AB1"/>
    <w:rsid w:val="00A951FA"/>
    <w:rsid w:val="00A960F1"/>
    <w:rsid w:val="00A96163"/>
    <w:rsid w:val="00A965A9"/>
    <w:rsid w:val="00AA5A73"/>
    <w:rsid w:val="00AB19F8"/>
    <w:rsid w:val="00AB4310"/>
    <w:rsid w:val="00AB603A"/>
    <w:rsid w:val="00AB6079"/>
    <w:rsid w:val="00AC29DE"/>
    <w:rsid w:val="00AC2EC2"/>
    <w:rsid w:val="00AC3061"/>
    <w:rsid w:val="00AD7A1D"/>
    <w:rsid w:val="00AE5127"/>
    <w:rsid w:val="00AE6F95"/>
    <w:rsid w:val="00AE78D2"/>
    <w:rsid w:val="00AF1C3C"/>
    <w:rsid w:val="00AF1D34"/>
    <w:rsid w:val="00AF3B55"/>
    <w:rsid w:val="00AF57AB"/>
    <w:rsid w:val="00AF751D"/>
    <w:rsid w:val="00B11865"/>
    <w:rsid w:val="00B11E3A"/>
    <w:rsid w:val="00B17508"/>
    <w:rsid w:val="00B20F4F"/>
    <w:rsid w:val="00B33937"/>
    <w:rsid w:val="00B40984"/>
    <w:rsid w:val="00B523C5"/>
    <w:rsid w:val="00B54642"/>
    <w:rsid w:val="00B65F9C"/>
    <w:rsid w:val="00B67E40"/>
    <w:rsid w:val="00B77EC0"/>
    <w:rsid w:val="00B833B3"/>
    <w:rsid w:val="00B90070"/>
    <w:rsid w:val="00B90E51"/>
    <w:rsid w:val="00B92402"/>
    <w:rsid w:val="00B948E7"/>
    <w:rsid w:val="00B9643F"/>
    <w:rsid w:val="00BA4625"/>
    <w:rsid w:val="00BB7656"/>
    <w:rsid w:val="00BC45F2"/>
    <w:rsid w:val="00BC4E06"/>
    <w:rsid w:val="00BC7511"/>
    <w:rsid w:val="00BD2BD9"/>
    <w:rsid w:val="00BD34D8"/>
    <w:rsid w:val="00BE5B69"/>
    <w:rsid w:val="00BE6B7C"/>
    <w:rsid w:val="00BF0915"/>
    <w:rsid w:val="00C16974"/>
    <w:rsid w:val="00C21B3F"/>
    <w:rsid w:val="00C23E44"/>
    <w:rsid w:val="00C254C8"/>
    <w:rsid w:val="00C36466"/>
    <w:rsid w:val="00C45BB5"/>
    <w:rsid w:val="00C46191"/>
    <w:rsid w:val="00C53FD6"/>
    <w:rsid w:val="00C54247"/>
    <w:rsid w:val="00C56043"/>
    <w:rsid w:val="00C60A61"/>
    <w:rsid w:val="00C63309"/>
    <w:rsid w:val="00C65F7B"/>
    <w:rsid w:val="00C757C8"/>
    <w:rsid w:val="00CB4E5D"/>
    <w:rsid w:val="00CC7D89"/>
    <w:rsid w:val="00CD2793"/>
    <w:rsid w:val="00CD77E3"/>
    <w:rsid w:val="00CE730E"/>
    <w:rsid w:val="00CF7736"/>
    <w:rsid w:val="00D0538E"/>
    <w:rsid w:val="00D0768A"/>
    <w:rsid w:val="00D179B3"/>
    <w:rsid w:val="00D42EA1"/>
    <w:rsid w:val="00D4388E"/>
    <w:rsid w:val="00D47270"/>
    <w:rsid w:val="00D609C5"/>
    <w:rsid w:val="00D70B7E"/>
    <w:rsid w:val="00D7186F"/>
    <w:rsid w:val="00D7274E"/>
    <w:rsid w:val="00D76F5C"/>
    <w:rsid w:val="00D90C67"/>
    <w:rsid w:val="00D922A1"/>
    <w:rsid w:val="00D97B9B"/>
    <w:rsid w:val="00DA0BD7"/>
    <w:rsid w:val="00DA2266"/>
    <w:rsid w:val="00DA2A22"/>
    <w:rsid w:val="00DC5C06"/>
    <w:rsid w:val="00DE00EB"/>
    <w:rsid w:val="00E033DE"/>
    <w:rsid w:val="00E11579"/>
    <w:rsid w:val="00E15455"/>
    <w:rsid w:val="00E16E6F"/>
    <w:rsid w:val="00E17F15"/>
    <w:rsid w:val="00E46784"/>
    <w:rsid w:val="00E601BC"/>
    <w:rsid w:val="00E65DB0"/>
    <w:rsid w:val="00E83243"/>
    <w:rsid w:val="00E94F72"/>
    <w:rsid w:val="00E95A40"/>
    <w:rsid w:val="00EB0132"/>
    <w:rsid w:val="00EC57F0"/>
    <w:rsid w:val="00ED6A1B"/>
    <w:rsid w:val="00EE680C"/>
    <w:rsid w:val="00EF030D"/>
    <w:rsid w:val="00F12497"/>
    <w:rsid w:val="00F14D00"/>
    <w:rsid w:val="00F342F5"/>
    <w:rsid w:val="00F47558"/>
    <w:rsid w:val="00F60282"/>
    <w:rsid w:val="00F6352F"/>
    <w:rsid w:val="00F655D4"/>
    <w:rsid w:val="00F748AD"/>
    <w:rsid w:val="00F76127"/>
    <w:rsid w:val="00FA6D6F"/>
    <w:rsid w:val="00FA6FD7"/>
    <w:rsid w:val="00FB08C1"/>
    <w:rsid w:val="00FB1CB7"/>
    <w:rsid w:val="00FB3243"/>
    <w:rsid w:val="00FB49D9"/>
    <w:rsid w:val="00FB4CD2"/>
    <w:rsid w:val="00FB670B"/>
    <w:rsid w:val="00FB6BB0"/>
    <w:rsid w:val="00FC1AFE"/>
    <w:rsid w:val="00FC5F62"/>
    <w:rsid w:val="00FD045F"/>
    <w:rsid w:val="00FD6763"/>
    <w:rsid w:val="00FE4102"/>
    <w:rsid w:val="00FF4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3"/>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iPriority w:val="99"/>
    <w:semiHidden/>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uiPriority w:val="99"/>
    <w:semiHidden/>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3"/>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iPriority w:val="99"/>
    <w:semiHidden/>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uiPriority w:val="99"/>
    <w:semiHidden/>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62497">
      <w:bodyDiv w:val="1"/>
      <w:marLeft w:val="0"/>
      <w:marRight w:val="0"/>
      <w:marTop w:val="0"/>
      <w:marBottom w:val="0"/>
      <w:divBdr>
        <w:top w:val="none" w:sz="0" w:space="0" w:color="auto"/>
        <w:left w:val="none" w:sz="0" w:space="0" w:color="auto"/>
        <w:bottom w:val="none" w:sz="0" w:space="0" w:color="auto"/>
        <w:right w:val="none" w:sz="0" w:space="0" w:color="auto"/>
      </w:divBdr>
    </w:div>
    <w:div w:id="513030993">
      <w:bodyDiv w:val="1"/>
      <w:marLeft w:val="0"/>
      <w:marRight w:val="0"/>
      <w:marTop w:val="0"/>
      <w:marBottom w:val="0"/>
      <w:divBdr>
        <w:top w:val="none" w:sz="0" w:space="0" w:color="auto"/>
        <w:left w:val="none" w:sz="0" w:space="0" w:color="auto"/>
        <w:bottom w:val="none" w:sz="0" w:space="0" w:color="auto"/>
        <w:right w:val="none" w:sz="0" w:space="0" w:color="auto"/>
      </w:divBdr>
      <w:divsChild>
        <w:div w:id="1232618338">
          <w:marLeft w:val="0"/>
          <w:marRight w:val="0"/>
          <w:marTop w:val="0"/>
          <w:marBottom w:val="0"/>
          <w:divBdr>
            <w:top w:val="none" w:sz="0" w:space="0" w:color="auto"/>
            <w:left w:val="none" w:sz="0" w:space="0" w:color="auto"/>
            <w:bottom w:val="none" w:sz="0" w:space="0" w:color="auto"/>
            <w:right w:val="none" w:sz="0" w:space="0" w:color="auto"/>
          </w:divBdr>
          <w:divsChild>
            <w:div w:id="1986004003">
              <w:marLeft w:val="0"/>
              <w:marRight w:val="0"/>
              <w:marTop w:val="0"/>
              <w:marBottom w:val="0"/>
              <w:divBdr>
                <w:top w:val="none" w:sz="0" w:space="0" w:color="auto"/>
                <w:left w:val="none" w:sz="0" w:space="0" w:color="auto"/>
                <w:bottom w:val="none" w:sz="0" w:space="0" w:color="auto"/>
                <w:right w:val="none" w:sz="0" w:space="0" w:color="auto"/>
              </w:divBdr>
              <w:divsChild>
                <w:div w:id="156770863">
                  <w:marLeft w:val="0"/>
                  <w:marRight w:val="0"/>
                  <w:marTop w:val="0"/>
                  <w:marBottom w:val="0"/>
                  <w:divBdr>
                    <w:top w:val="none" w:sz="0" w:space="0" w:color="auto"/>
                    <w:left w:val="none" w:sz="0" w:space="0" w:color="auto"/>
                    <w:bottom w:val="none" w:sz="0" w:space="0" w:color="auto"/>
                    <w:right w:val="none" w:sz="0" w:space="0" w:color="auto"/>
                  </w:divBdr>
                  <w:divsChild>
                    <w:div w:id="1632324600">
                      <w:marLeft w:val="0"/>
                      <w:marRight w:val="0"/>
                      <w:marTop w:val="0"/>
                      <w:marBottom w:val="0"/>
                      <w:divBdr>
                        <w:top w:val="none" w:sz="0" w:space="0" w:color="auto"/>
                        <w:left w:val="none" w:sz="0" w:space="0" w:color="auto"/>
                        <w:bottom w:val="none" w:sz="0" w:space="0" w:color="auto"/>
                        <w:right w:val="none" w:sz="0" w:space="0" w:color="auto"/>
                      </w:divBdr>
                      <w:divsChild>
                        <w:div w:id="2048526099">
                          <w:marLeft w:val="0"/>
                          <w:marRight w:val="0"/>
                          <w:marTop w:val="0"/>
                          <w:marBottom w:val="0"/>
                          <w:divBdr>
                            <w:top w:val="none" w:sz="0" w:space="0" w:color="auto"/>
                            <w:left w:val="none" w:sz="0" w:space="0" w:color="auto"/>
                            <w:bottom w:val="none" w:sz="0" w:space="0" w:color="auto"/>
                            <w:right w:val="none" w:sz="0" w:space="0" w:color="auto"/>
                          </w:divBdr>
                          <w:divsChild>
                            <w:div w:id="12528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401520">
      <w:bodyDiv w:val="1"/>
      <w:marLeft w:val="0"/>
      <w:marRight w:val="0"/>
      <w:marTop w:val="0"/>
      <w:marBottom w:val="0"/>
      <w:divBdr>
        <w:top w:val="none" w:sz="0" w:space="0" w:color="auto"/>
        <w:left w:val="none" w:sz="0" w:space="0" w:color="auto"/>
        <w:bottom w:val="none" w:sz="0" w:space="0" w:color="auto"/>
        <w:right w:val="none" w:sz="0" w:space="0" w:color="auto"/>
      </w:divBdr>
    </w:div>
    <w:div w:id="736319198">
      <w:bodyDiv w:val="1"/>
      <w:marLeft w:val="0"/>
      <w:marRight w:val="0"/>
      <w:marTop w:val="0"/>
      <w:marBottom w:val="0"/>
      <w:divBdr>
        <w:top w:val="none" w:sz="0" w:space="0" w:color="auto"/>
        <w:left w:val="none" w:sz="0" w:space="0" w:color="auto"/>
        <w:bottom w:val="none" w:sz="0" w:space="0" w:color="auto"/>
        <w:right w:val="none" w:sz="0" w:space="0" w:color="auto"/>
      </w:divBdr>
    </w:div>
    <w:div w:id="961572944">
      <w:bodyDiv w:val="1"/>
      <w:marLeft w:val="0"/>
      <w:marRight w:val="0"/>
      <w:marTop w:val="0"/>
      <w:marBottom w:val="0"/>
      <w:divBdr>
        <w:top w:val="none" w:sz="0" w:space="0" w:color="auto"/>
        <w:left w:val="none" w:sz="0" w:space="0" w:color="auto"/>
        <w:bottom w:val="none" w:sz="0" w:space="0" w:color="auto"/>
        <w:right w:val="none" w:sz="0" w:space="0" w:color="auto"/>
      </w:divBdr>
    </w:div>
    <w:div w:id="1649096156">
      <w:bodyDiv w:val="1"/>
      <w:marLeft w:val="0"/>
      <w:marRight w:val="0"/>
      <w:marTop w:val="0"/>
      <w:marBottom w:val="0"/>
      <w:divBdr>
        <w:top w:val="none" w:sz="0" w:space="0" w:color="auto"/>
        <w:left w:val="none" w:sz="0" w:space="0" w:color="auto"/>
        <w:bottom w:val="none" w:sz="0" w:space="0" w:color="auto"/>
        <w:right w:val="none" w:sz="0" w:space="0" w:color="auto"/>
      </w:divBdr>
      <w:divsChild>
        <w:div w:id="271523668">
          <w:marLeft w:val="0"/>
          <w:marRight w:val="0"/>
          <w:marTop w:val="0"/>
          <w:marBottom w:val="0"/>
          <w:divBdr>
            <w:top w:val="none" w:sz="0" w:space="0" w:color="auto"/>
            <w:left w:val="none" w:sz="0" w:space="0" w:color="auto"/>
            <w:bottom w:val="none" w:sz="0" w:space="0" w:color="auto"/>
            <w:right w:val="none" w:sz="0" w:space="0" w:color="auto"/>
          </w:divBdr>
          <w:divsChild>
            <w:div w:id="240795913">
              <w:marLeft w:val="0"/>
              <w:marRight w:val="0"/>
              <w:marTop w:val="0"/>
              <w:marBottom w:val="0"/>
              <w:divBdr>
                <w:top w:val="none" w:sz="0" w:space="0" w:color="auto"/>
                <w:left w:val="none" w:sz="0" w:space="0" w:color="auto"/>
                <w:bottom w:val="none" w:sz="0" w:space="0" w:color="auto"/>
                <w:right w:val="none" w:sz="0" w:space="0" w:color="auto"/>
              </w:divBdr>
              <w:divsChild>
                <w:div w:id="1983122103">
                  <w:marLeft w:val="0"/>
                  <w:marRight w:val="0"/>
                  <w:marTop w:val="0"/>
                  <w:marBottom w:val="0"/>
                  <w:divBdr>
                    <w:top w:val="none" w:sz="0" w:space="0" w:color="auto"/>
                    <w:left w:val="none" w:sz="0" w:space="0" w:color="auto"/>
                    <w:bottom w:val="none" w:sz="0" w:space="0" w:color="auto"/>
                    <w:right w:val="none" w:sz="0" w:space="0" w:color="auto"/>
                  </w:divBdr>
                  <w:divsChild>
                    <w:div w:id="366024528">
                      <w:marLeft w:val="0"/>
                      <w:marRight w:val="0"/>
                      <w:marTop w:val="0"/>
                      <w:marBottom w:val="0"/>
                      <w:divBdr>
                        <w:top w:val="none" w:sz="0" w:space="0" w:color="auto"/>
                        <w:left w:val="none" w:sz="0" w:space="0" w:color="auto"/>
                        <w:bottom w:val="none" w:sz="0" w:space="0" w:color="auto"/>
                        <w:right w:val="none" w:sz="0" w:space="0" w:color="auto"/>
                      </w:divBdr>
                      <w:divsChild>
                        <w:div w:id="2033876428">
                          <w:marLeft w:val="0"/>
                          <w:marRight w:val="0"/>
                          <w:marTop w:val="0"/>
                          <w:marBottom w:val="0"/>
                          <w:divBdr>
                            <w:top w:val="none" w:sz="0" w:space="0" w:color="auto"/>
                            <w:left w:val="none" w:sz="0" w:space="0" w:color="auto"/>
                            <w:bottom w:val="none" w:sz="0" w:space="0" w:color="auto"/>
                            <w:right w:val="none" w:sz="0" w:space="0" w:color="auto"/>
                          </w:divBdr>
                          <w:divsChild>
                            <w:div w:id="15282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9752">
      <w:bodyDiv w:val="1"/>
      <w:marLeft w:val="0"/>
      <w:marRight w:val="0"/>
      <w:marTop w:val="0"/>
      <w:marBottom w:val="0"/>
      <w:divBdr>
        <w:top w:val="none" w:sz="0" w:space="0" w:color="auto"/>
        <w:left w:val="none" w:sz="0" w:space="0" w:color="auto"/>
        <w:bottom w:val="none" w:sz="0" w:space="0" w:color="auto"/>
        <w:right w:val="none" w:sz="0" w:space="0" w:color="auto"/>
      </w:divBdr>
      <w:divsChild>
        <w:div w:id="1978491163">
          <w:marLeft w:val="0"/>
          <w:marRight w:val="0"/>
          <w:marTop w:val="0"/>
          <w:marBottom w:val="0"/>
          <w:divBdr>
            <w:top w:val="none" w:sz="0" w:space="0" w:color="auto"/>
            <w:left w:val="none" w:sz="0" w:space="0" w:color="auto"/>
            <w:bottom w:val="none" w:sz="0" w:space="0" w:color="auto"/>
            <w:right w:val="none" w:sz="0" w:space="0" w:color="auto"/>
          </w:divBdr>
          <w:divsChild>
            <w:div w:id="146434382">
              <w:marLeft w:val="0"/>
              <w:marRight w:val="0"/>
              <w:marTop w:val="0"/>
              <w:marBottom w:val="0"/>
              <w:divBdr>
                <w:top w:val="none" w:sz="0" w:space="0" w:color="auto"/>
                <w:left w:val="none" w:sz="0" w:space="0" w:color="auto"/>
                <w:bottom w:val="none" w:sz="0" w:space="0" w:color="auto"/>
                <w:right w:val="none" w:sz="0" w:space="0" w:color="auto"/>
              </w:divBdr>
              <w:divsChild>
                <w:div w:id="11077102">
                  <w:marLeft w:val="0"/>
                  <w:marRight w:val="0"/>
                  <w:marTop w:val="0"/>
                  <w:marBottom w:val="0"/>
                  <w:divBdr>
                    <w:top w:val="none" w:sz="0" w:space="0" w:color="auto"/>
                    <w:left w:val="none" w:sz="0" w:space="0" w:color="auto"/>
                    <w:bottom w:val="none" w:sz="0" w:space="0" w:color="auto"/>
                    <w:right w:val="none" w:sz="0" w:space="0" w:color="auto"/>
                  </w:divBdr>
                  <w:divsChild>
                    <w:div w:id="470444233">
                      <w:marLeft w:val="0"/>
                      <w:marRight w:val="0"/>
                      <w:marTop w:val="0"/>
                      <w:marBottom w:val="0"/>
                      <w:divBdr>
                        <w:top w:val="none" w:sz="0" w:space="0" w:color="auto"/>
                        <w:left w:val="none" w:sz="0" w:space="0" w:color="auto"/>
                        <w:bottom w:val="none" w:sz="0" w:space="0" w:color="auto"/>
                        <w:right w:val="none" w:sz="0" w:space="0" w:color="auto"/>
                      </w:divBdr>
                      <w:divsChild>
                        <w:div w:id="1549419045">
                          <w:marLeft w:val="0"/>
                          <w:marRight w:val="0"/>
                          <w:marTop w:val="0"/>
                          <w:marBottom w:val="0"/>
                          <w:divBdr>
                            <w:top w:val="none" w:sz="0" w:space="0" w:color="auto"/>
                            <w:left w:val="none" w:sz="0" w:space="0" w:color="auto"/>
                            <w:bottom w:val="none" w:sz="0" w:space="0" w:color="auto"/>
                            <w:right w:val="none" w:sz="0" w:space="0" w:color="auto"/>
                          </w:divBdr>
                          <w:divsChild>
                            <w:div w:id="9472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16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nsa.gov.pl/download.php?id=211"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nsa.gov.pl/download.php?id=2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A052D-96CD-432B-8A6D-30E19B8B2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6757</Words>
  <Characters>38518</Characters>
  <Application>Microsoft Office Word</Application>
  <DocSecurity>0</DocSecurity>
  <Lines>320</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2015-07-13T16:51:00Z</dcterms:created>
  <dcterms:modified xsi:type="dcterms:W3CDTF">2015-08-27T14:54:00Z</dcterms:modified>
</cp:coreProperties>
</file>