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48F" w:rsidRPr="00D7274E" w:rsidRDefault="0053148F" w:rsidP="00D7274E">
      <w:pPr>
        <w:pStyle w:val="Nagwek1"/>
        <w:spacing w:line="240" w:lineRule="auto"/>
        <w:jc w:val="center"/>
        <w:rPr>
          <w:rFonts w:asciiTheme="minorHAnsi" w:hAnsiTheme="minorHAnsi"/>
          <w:lang w:val="pl-PL"/>
        </w:rPr>
      </w:pPr>
      <w:bookmarkStart w:id="0" w:name="_Toc421029254"/>
    </w:p>
    <w:p w:rsidR="0053148F" w:rsidRPr="00D7274E" w:rsidRDefault="0053148F" w:rsidP="00D7274E">
      <w:pPr>
        <w:pStyle w:val="Nagwek1"/>
        <w:spacing w:line="240" w:lineRule="auto"/>
        <w:jc w:val="center"/>
        <w:rPr>
          <w:rFonts w:asciiTheme="minorHAnsi" w:hAnsiTheme="minorHAnsi"/>
          <w:lang w:val="pl-PL"/>
        </w:rPr>
      </w:pPr>
    </w:p>
    <w:p w:rsidR="00E15455" w:rsidRPr="00D7274E" w:rsidRDefault="00E15455" w:rsidP="00D7274E">
      <w:pPr>
        <w:pStyle w:val="Nagwek1"/>
        <w:spacing w:before="7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D3934" w:rsidRPr="00D7274E" w:rsidRDefault="00E94F72" w:rsidP="00D7274E">
      <w:pPr>
        <w:pStyle w:val="Nagwek1"/>
        <w:spacing w:before="7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 w:rsidRPr="00D7274E">
        <w:rPr>
          <w:rFonts w:asciiTheme="minorHAnsi" w:hAnsiTheme="minorHAnsi"/>
          <w:sz w:val="32"/>
          <w:szCs w:val="32"/>
          <w:lang w:val="pl-PL"/>
        </w:rPr>
        <w:t>Przegląd orzecznictwa Europej</w:t>
      </w:r>
      <w:r w:rsidR="00B90E51" w:rsidRPr="00D7274E">
        <w:rPr>
          <w:rFonts w:asciiTheme="minorHAnsi" w:hAnsiTheme="minorHAnsi"/>
          <w:sz w:val="32"/>
          <w:szCs w:val="32"/>
          <w:lang w:val="pl-PL"/>
        </w:rPr>
        <w:t>skiego Trybunału Praw Człowieka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br/>
      </w:r>
      <w:r w:rsidRPr="00D7274E">
        <w:rPr>
          <w:rFonts w:asciiTheme="minorHAnsi" w:hAnsiTheme="minorHAnsi"/>
          <w:sz w:val="32"/>
          <w:szCs w:val="32"/>
          <w:lang w:val="pl-PL"/>
        </w:rPr>
        <w:t>w sprawach dotyczących państw trzecich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– </w:t>
      </w:r>
      <w:r w:rsidR="00D7274E" w:rsidRPr="00D7274E">
        <w:rPr>
          <w:rFonts w:asciiTheme="minorHAnsi" w:hAnsiTheme="minorHAnsi"/>
          <w:sz w:val="32"/>
          <w:szCs w:val="32"/>
          <w:lang w:val="pl-PL"/>
        </w:rPr>
        <w:t>czerwiec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2015 r.</w:t>
      </w:r>
      <w:bookmarkEnd w:id="0"/>
    </w:p>
    <w:p w:rsidR="00E15455" w:rsidRPr="00D7274E" w:rsidRDefault="00E15455" w:rsidP="00D7274E">
      <w:pPr>
        <w:spacing w:line="240" w:lineRule="auto"/>
        <w:rPr>
          <w:lang w:val="pl-PL"/>
        </w:rPr>
      </w:pPr>
    </w:p>
    <w:p w:rsidR="00E15455" w:rsidRPr="00D7274E" w:rsidRDefault="00E15455" w:rsidP="00D7274E">
      <w:pPr>
        <w:spacing w:before="600" w:line="240" w:lineRule="auto"/>
        <w:rPr>
          <w:lang w:val="pl-PL"/>
        </w:rPr>
      </w:pPr>
      <w:r w:rsidRPr="00D7274E">
        <w:rPr>
          <w:noProof/>
          <w:lang w:eastAsia="en-GB"/>
        </w:rPr>
        <w:drawing>
          <wp:inline distT="0" distB="0" distL="0" distR="0" wp14:anchorId="114DC8A2" wp14:editId="7016A971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tpcz_lato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55" w:rsidRPr="00D7274E" w:rsidRDefault="00E15455" w:rsidP="00D7274E">
      <w:pPr>
        <w:spacing w:before="120" w:after="360" w:line="240" w:lineRule="auto"/>
        <w:jc w:val="center"/>
        <w:rPr>
          <w:b/>
          <w:sz w:val="26"/>
          <w:lang w:val="pl-PL"/>
        </w:rPr>
      </w:pPr>
    </w:p>
    <w:p w:rsidR="00E94F72" w:rsidRPr="00D7274E" w:rsidRDefault="00E94F72" w:rsidP="00D7274E">
      <w:pPr>
        <w:spacing w:before="120" w:after="360" w:line="240" w:lineRule="auto"/>
        <w:jc w:val="center"/>
        <w:rPr>
          <w:b/>
          <w:sz w:val="26"/>
          <w:lang w:val="pl-PL"/>
        </w:rPr>
      </w:pPr>
      <w:r w:rsidRPr="00D7274E">
        <w:rPr>
          <w:b/>
          <w:sz w:val="26"/>
          <w:lang w:val="pl-PL"/>
        </w:rPr>
        <w:t xml:space="preserve">Nr </w:t>
      </w:r>
      <w:r w:rsidR="00D7274E" w:rsidRPr="00D7274E">
        <w:rPr>
          <w:b/>
          <w:sz w:val="26"/>
          <w:lang w:val="pl-PL"/>
        </w:rPr>
        <w:t>2</w:t>
      </w:r>
      <w:r w:rsidRPr="00D7274E">
        <w:rPr>
          <w:b/>
          <w:sz w:val="26"/>
          <w:lang w:val="pl-PL"/>
        </w:rPr>
        <w:t>/2015</w:t>
      </w:r>
    </w:p>
    <w:p w:rsidR="00E15455" w:rsidRPr="00D7274E" w:rsidRDefault="00E15455" w:rsidP="00D7274E">
      <w:pPr>
        <w:spacing w:before="120" w:after="360" w:line="240" w:lineRule="auto"/>
        <w:jc w:val="both"/>
        <w:rPr>
          <w:b/>
          <w:sz w:val="26"/>
          <w:lang w:val="pl-PL"/>
        </w:rPr>
      </w:pPr>
    </w:p>
    <w:p w:rsidR="00E15455" w:rsidRPr="00D7274E" w:rsidRDefault="00E15455" w:rsidP="00D7274E">
      <w:pPr>
        <w:spacing w:before="120" w:after="360" w:line="240" w:lineRule="auto"/>
        <w:jc w:val="both"/>
        <w:rPr>
          <w:b/>
          <w:sz w:val="26"/>
          <w:lang w:val="pl-PL"/>
        </w:rPr>
      </w:pPr>
    </w:p>
    <w:bookmarkStart w:id="1" w:name="_GoBack"/>
    <w:bookmarkEnd w:id="1"/>
    <w:p w:rsidR="006B37D8" w:rsidRDefault="00F47558">
      <w:pPr>
        <w:pStyle w:val="Spistreci2"/>
        <w:rPr>
          <w:rFonts w:eastAsiaTheme="minorEastAsia"/>
          <w:smallCaps w:val="0"/>
          <w:color w:val="auto"/>
          <w:sz w:val="22"/>
          <w:szCs w:val="22"/>
          <w:lang w:eastAsia="en-GB"/>
        </w:rPr>
      </w:pPr>
      <w:r w:rsidRPr="00D7274E">
        <w:rPr>
          <w:lang w:val="pl-PL"/>
        </w:rPr>
        <w:lastRenderedPageBreak/>
        <w:fldChar w:fldCharType="begin"/>
      </w:r>
      <w:r w:rsidRPr="00D7274E">
        <w:rPr>
          <w:lang w:val="pl-PL"/>
        </w:rPr>
        <w:instrText xml:space="preserve"> TOC \o "2-3" \h \z \u </w:instrText>
      </w:r>
      <w:r w:rsidRPr="00D7274E">
        <w:rPr>
          <w:lang w:val="pl-PL"/>
        </w:rPr>
        <w:fldChar w:fldCharType="separate"/>
      </w:r>
      <w:hyperlink w:anchor="_Toc424579193" w:history="1">
        <w:r w:rsidR="006B37D8" w:rsidRPr="001B4E5E">
          <w:rPr>
            <w:rStyle w:val="Hipercze"/>
          </w:rPr>
          <w:t>1.</w:t>
        </w:r>
        <w:r w:rsidR="006B37D8">
          <w:rPr>
            <w:rFonts w:eastAsiaTheme="minorEastAsia"/>
            <w:smallCaps w:val="0"/>
            <w:color w:val="auto"/>
            <w:sz w:val="22"/>
            <w:szCs w:val="22"/>
            <w:lang w:eastAsia="en-GB"/>
          </w:rPr>
          <w:tab/>
        </w:r>
        <w:r w:rsidR="006B37D8" w:rsidRPr="001B4E5E">
          <w:rPr>
            <w:rStyle w:val="Hipercze"/>
          </w:rPr>
          <w:t>Lambert i Inni p. Francji (skarga nr 46043/14), wyrok Wielkiej Izby z 05.06.2015 r., ostateczny</w:t>
        </w:r>
        <w:r w:rsidR="006B37D8">
          <w:rPr>
            <w:webHidden/>
          </w:rPr>
          <w:tab/>
        </w:r>
        <w:r w:rsidR="006B37D8">
          <w:rPr>
            <w:webHidden/>
          </w:rPr>
          <w:fldChar w:fldCharType="begin"/>
        </w:r>
        <w:r w:rsidR="006B37D8">
          <w:rPr>
            <w:webHidden/>
          </w:rPr>
          <w:instrText xml:space="preserve"> PAGEREF _Toc424579193 \h </w:instrText>
        </w:r>
        <w:r w:rsidR="006B37D8">
          <w:rPr>
            <w:webHidden/>
          </w:rPr>
        </w:r>
        <w:r w:rsidR="006B37D8">
          <w:rPr>
            <w:webHidden/>
          </w:rPr>
          <w:fldChar w:fldCharType="separate"/>
        </w:r>
        <w:r w:rsidR="006B37D8">
          <w:rPr>
            <w:webHidden/>
          </w:rPr>
          <w:t>2</w:t>
        </w:r>
        <w:r w:rsidR="006B37D8">
          <w:rPr>
            <w:webHidden/>
          </w:rPr>
          <w:fldChar w:fldCharType="end"/>
        </w:r>
      </w:hyperlink>
    </w:p>
    <w:p w:rsidR="006B37D8" w:rsidRDefault="006B37D8">
      <w:pPr>
        <w:pStyle w:val="Spistreci3"/>
        <w:tabs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en-GB"/>
        </w:rPr>
      </w:pPr>
      <w:hyperlink w:anchor="_Toc424579194" w:history="1">
        <w:r w:rsidRPr="001B4E5E">
          <w:rPr>
            <w:rStyle w:val="Hipercze"/>
            <w:noProof/>
            <w:lang w:val="pl-PL"/>
          </w:rPr>
          <w:t>- zezwolenie przez francuską Radę Stanu na zaprzestanie sztucznego nawadniania i odżywiania pacjenta cierpiącego na tetraplegię – brak naruszenia art. 2 Konwencji o ochronie praw człowieka  i podstawowych wolności (prawo do ochrony życia) w razie wykonania tego orzeczenia; niedopuszczalność skargi na podstawie art. 6 Konwencji (prawo do rzetelnego procesu sądowego); brak potrzeby odrębnego badania skargi na podstawie art. 8 Konwencji (prawo do poszanowania życia prywatnego i rodzinnego)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_Toc424579194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B37D8" w:rsidRDefault="006B37D8">
      <w:pPr>
        <w:pStyle w:val="Spistreci2"/>
        <w:rPr>
          <w:rFonts w:eastAsiaTheme="minorEastAsia"/>
          <w:smallCaps w:val="0"/>
          <w:color w:val="auto"/>
          <w:sz w:val="22"/>
          <w:szCs w:val="22"/>
          <w:lang w:eastAsia="en-GB"/>
        </w:rPr>
      </w:pPr>
      <w:hyperlink w:anchor="_Toc424579195" w:history="1">
        <w:r w:rsidRPr="001B4E5E">
          <w:rPr>
            <w:rStyle w:val="Hipercze"/>
          </w:rPr>
          <w:t>2.</w:t>
        </w:r>
        <w:r>
          <w:rPr>
            <w:rFonts w:eastAsiaTheme="minorEastAsia"/>
            <w:smallCaps w:val="0"/>
            <w:color w:val="auto"/>
            <w:sz w:val="22"/>
            <w:szCs w:val="22"/>
            <w:lang w:eastAsia="en-GB"/>
          </w:rPr>
          <w:tab/>
        </w:r>
        <w:r w:rsidRPr="001B4E5E">
          <w:rPr>
            <w:rStyle w:val="Hipercze"/>
          </w:rPr>
          <w:t>Tahirov p. Azerbejdżanowi (skarga nr 31953/11), wyrok Izby z 11.06.2015 r., nieostateczny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_Toc424579195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B37D8" w:rsidRDefault="006B37D8">
      <w:pPr>
        <w:pStyle w:val="Spistreci3"/>
        <w:tabs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en-GB"/>
        </w:rPr>
      </w:pPr>
      <w:hyperlink w:anchor="_Toc424579196" w:history="1">
        <w:r w:rsidRPr="001B4E5E">
          <w:rPr>
            <w:rStyle w:val="Hipercze"/>
            <w:noProof/>
            <w:lang w:val="pl-PL"/>
          </w:rPr>
          <w:t>- arbitralność procedury, w której odmówiono rejestracji kandydata w wyborach parlamentarnych - naruszenie art. 3 Protokołu nr 1 do Konwencji (prawo do wolnych wyborów)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_Toc424579196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37D8" w:rsidRDefault="006B37D8">
      <w:pPr>
        <w:pStyle w:val="Spistreci2"/>
        <w:rPr>
          <w:rFonts w:eastAsiaTheme="minorEastAsia"/>
          <w:smallCaps w:val="0"/>
          <w:color w:val="auto"/>
          <w:sz w:val="22"/>
          <w:szCs w:val="22"/>
          <w:lang w:eastAsia="en-GB"/>
        </w:rPr>
      </w:pPr>
      <w:hyperlink w:anchor="_Toc424579197" w:history="1">
        <w:r w:rsidRPr="001B4E5E">
          <w:rPr>
            <w:rStyle w:val="Hipercze"/>
          </w:rPr>
          <w:t>3.</w:t>
        </w:r>
        <w:r>
          <w:rPr>
            <w:rFonts w:eastAsiaTheme="minorEastAsia"/>
            <w:smallCaps w:val="0"/>
            <w:color w:val="auto"/>
            <w:sz w:val="22"/>
            <w:szCs w:val="22"/>
            <w:lang w:eastAsia="en-GB"/>
          </w:rPr>
          <w:tab/>
        </w:r>
        <w:r w:rsidRPr="001B4E5E">
          <w:rPr>
            <w:rStyle w:val="Hipercze"/>
          </w:rPr>
          <w:t>Delfi AS p. Estonii (skarga nr 64569/09), wyrok Wielkiej Izby z 16.06.2015, 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_Toc424579197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B37D8" w:rsidRDefault="006B37D8">
      <w:pPr>
        <w:pStyle w:val="Spistreci3"/>
        <w:tabs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en-GB"/>
        </w:rPr>
      </w:pPr>
      <w:hyperlink w:anchor="_Toc424579198" w:history="1">
        <w:r w:rsidRPr="001B4E5E">
          <w:rPr>
            <w:rStyle w:val="Hipercze"/>
            <w:noProof/>
            <w:lang w:val="pl-PL"/>
          </w:rPr>
          <w:t>- stwierdzenie przez sądy krajowe odpowiedzialności właściciela portalu internetowego  za obraźliwe komentarze internautów publikowane na jego portalu – brak naruszenia art. 10 Konwencji (wolność wyrażania opinii)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_Toc424579198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37D8" w:rsidRDefault="006B37D8">
      <w:pPr>
        <w:pStyle w:val="Spistreci2"/>
        <w:rPr>
          <w:rFonts w:eastAsiaTheme="minorEastAsia"/>
          <w:smallCaps w:val="0"/>
          <w:color w:val="auto"/>
          <w:sz w:val="22"/>
          <w:szCs w:val="22"/>
          <w:lang w:eastAsia="en-GB"/>
        </w:rPr>
      </w:pPr>
      <w:hyperlink w:anchor="_Toc424579199" w:history="1">
        <w:r w:rsidRPr="001B4E5E">
          <w:rPr>
            <w:rStyle w:val="Hipercze"/>
          </w:rPr>
          <w:t>4.</w:t>
        </w:r>
        <w:r>
          <w:rPr>
            <w:rFonts w:eastAsiaTheme="minorEastAsia"/>
            <w:smallCaps w:val="0"/>
            <w:color w:val="auto"/>
            <w:sz w:val="22"/>
            <w:szCs w:val="22"/>
            <w:lang w:eastAsia="en-GB"/>
          </w:rPr>
          <w:tab/>
        </w:r>
        <w:r w:rsidRPr="001B4E5E">
          <w:rPr>
            <w:rStyle w:val="Hipercze"/>
          </w:rPr>
          <w:t>Caraian p. Rumunii (skarga nr 34456/07), wyrok Izby z 23.06.2015 r. nieostateczny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_Toc424579199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B37D8" w:rsidRDefault="006B37D8">
      <w:pPr>
        <w:pStyle w:val="Spistreci3"/>
        <w:tabs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en-GB"/>
        </w:rPr>
      </w:pPr>
      <w:hyperlink w:anchor="_Toc424579200" w:history="1">
        <w:r w:rsidRPr="001B4E5E">
          <w:rPr>
            <w:rStyle w:val="Hipercze"/>
            <w:noProof/>
            <w:lang w:val="pl-PL"/>
          </w:rPr>
          <w:t>- umorzenie przez sąd krajowy postępowania karnego przeciwko skarżącemu z uwagi  na przedawnienie, przy równoczesnym uznaniu za udowodniony faktu popełnienia  przez skarżącego zarzucanych mu przestępstw – naruszenie art. 6 ust. 2 Konwencji (zasada domniemania niewinności)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_Toc424579200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B37D8" w:rsidRDefault="006B37D8">
      <w:pPr>
        <w:pStyle w:val="Spistreci2"/>
        <w:rPr>
          <w:rFonts w:eastAsiaTheme="minorEastAsia"/>
          <w:smallCaps w:val="0"/>
          <w:color w:val="auto"/>
          <w:sz w:val="22"/>
          <w:szCs w:val="22"/>
          <w:lang w:eastAsia="en-GB"/>
        </w:rPr>
      </w:pPr>
      <w:hyperlink w:anchor="_Toc424579201" w:history="1">
        <w:r w:rsidRPr="001B4E5E">
          <w:rPr>
            <w:rStyle w:val="Hipercze"/>
          </w:rPr>
          <w:t>5.</w:t>
        </w:r>
        <w:r>
          <w:rPr>
            <w:rFonts w:eastAsiaTheme="minorEastAsia"/>
            <w:smallCaps w:val="0"/>
            <w:color w:val="auto"/>
            <w:sz w:val="22"/>
            <w:szCs w:val="22"/>
            <w:lang w:eastAsia="en-GB"/>
          </w:rPr>
          <w:tab/>
        </w:r>
        <w:r w:rsidRPr="001B4E5E">
          <w:rPr>
            <w:rStyle w:val="Hipercze"/>
          </w:rPr>
          <w:t>A.S. p. Szwajcarii (skarga nr 39350/13), wyrok Izby z 30.06.2015 r., nieostateczny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_Toc424579201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B37D8" w:rsidRDefault="006B37D8">
      <w:pPr>
        <w:pStyle w:val="Spistreci3"/>
        <w:tabs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en-GB"/>
        </w:rPr>
      </w:pPr>
      <w:hyperlink w:anchor="_Toc424579202" w:history="1">
        <w:r w:rsidRPr="001B4E5E">
          <w:rPr>
            <w:rStyle w:val="Hipercze"/>
            <w:noProof/>
            <w:lang w:val="pl-PL"/>
          </w:rPr>
          <w:t>- odmowa przyznania skarżącemu azylu na terytorium Szwajcarii przy równoczesnym nakazie powrotu do kraju poprzedniego miejsca pobytu tj. do Włoch – brak naruszenia przez Szwajcarię art. 3 (zakaz tortur) i art. 8 (prawo do poszanowania życia prywatnego i rodzinnego) Konwencji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_Toc424579202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C1766" w:rsidRPr="00D7274E" w:rsidRDefault="00F47558" w:rsidP="00D7274E">
      <w:pPr>
        <w:spacing w:after="120" w:line="240" w:lineRule="auto"/>
        <w:jc w:val="both"/>
        <w:rPr>
          <w:smallCaps/>
          <w:sz w:val="20"/>
          <w:szCs w:val="20"/>
          <w:lang w:val="pl-PL"/>
        </w:rPr>
      </w:pPr>
      <w:r w:rsidRPr="00D7274E">
        <w:rPr>
          <w:smallCaps/>
          <w:sz w:val="20"/>
          <w:szCs w:val="20"/>
          <w:lang w:val="pl-PL"/>
        </w:rPr>
        <w:fldChar w:fldCharType="end"/>
      </w:r>
    </w:p>
    <w:p w:rsidR="00D7274E" w:rsidRPr="00D7274E" w:rsidRDefault="00C65F7B" w:rsidP="00D7274E">
      <w:pPr>
        <w:pStyle w:val="Nagwek2"/>
        <w:numPr>
          <w:ilvl w:val="0"/>
          <w:numId w:val="1"/>
        </w:numPr>
      </w:pPr>
      <w:bookmarkStart w:id="2" w:name="_Toc424579193"/>
      <w:r>
        <w:t>Lambert i Inni p. Francji</w:t>
      </w:r>
      <w:r w:rsidR="00D7274E" w:rsidRPr="00D7274E">
        <w:t xml:space="preserve"> </w:t>
      </w:r>
      <w:r>
        <w:t xml:space="preserve">(skarga </w:t>
      </w:r>
      <w:r w:rsidR="00D7274E" w:rsidRPr="00D7274E">
        <w:t>nr 46043/14</w:t>
      </w:r>
      <w:r>
        <w:t>)</w:t>
      </w:r>
      <w:r w:rsidR="00D7274E" w:rsidRPr="00D7274E">
        <w:t xml:space="preserve">, wyrok Wielkiej Izby z </w:t>
      </w:r>
      <w:r>
        <w:t>0</w:t>
      </w:r>
      <w:r w:rsidR="00D7274E" w:rsidRPr="00D7274E">
        <w:t>5</w:t>
      </w:r>
      <w:r>
        <w:t>.06.</w:t>
      </w:r>
      <w:r w:rsidR="002360D2">
        <w:t>2015</w:t>
      </w:r>
      <w:r w:rsidR="00793985">
        <w:t xml:space="preserve"> r.</w:t>
      </w:r>
      <w:r>
        <w:t>, ostateczny</w:t>
      </w:r>
      <w:bookmarkEnd w:id="2"/>
    </w:p>
    <w:p w:rsidR="005734CF" w:rsidRPr="005734CF" w:rsidRDefault="005734CF" w:rsidP="00497E93">
      <w:pPr>
        <w:pStyle w:val="Nagwek3"/>
        <w:rPr>
          <w:lang w:val="pl-PL"/>
        </w:rPr>
      </w:pPr>
      <w:bookmarkStart w:id="3" w:name="_Toc424579194"/>
      <w:r w:rsidRPr="005734CF">
        <w:rPr>
          <w:lang w:val="pl-PL"/>
        </w:rPr>
        <w:t xml:space="preserve">- </w:t>
      </w:r>
      <w:r w:rsidR="00DA2266">
        <w:rPr>
          <w:lang w:val="pl-PL"/>
        </w:rPr>
        <w:t>zezwolenie przez francuską</w:t>
      </w:r>
      <w:r>
        <w:rPr>
          <w:lang w:val="pl-PL"/>
        </w:rPr>
        <w:t xml:space="preserve"> </w:t>
      </w:r>
      <w:r w:rsidR="00DA2266">
        <w:rPr>
          <w:lang w:val="pl-PL"/>
        </w:rPr>
        <w:t>Radę</w:t>
      </w:r>
      <w:r>
        <w:rPr>
          <w:lang w:val="pl-PL"/>
        </w:rPr>
        <w:t xml:space="preserve"> Stanu na </w:t>
      </w:r>
      <w:r w:rsidRPr="00497E93">
        <w:rPr>
          <w:lang w:val="pl-PL"/>
        </w:rPr>
        <w:t>zaprzestanie sztucznego nawadniania i odżywiania pacjenta</w:t>
      </w:r>
      <w:r w:rsidR="00497E93">
        <w:rPr>
          <w:lang w:val="pl-PL"/>
        </w:rPr>
        <w:t xml:space="preserve"> cierpiącego na </w:t>
      </w:r>
      <w:proofErr w:type="spellStart"/>
      <w:r w:rsidR="00497E93">
        <w:rPr>
          <w:lang w:val="pl-PL"/>
        </w:rPr>
        <w:t>tetraplegię</w:t>
      </w:r>
      <w:proofErr w:type="spellEnd"/>
      <w:r>
        <w:rPr>
          <w:lang w:val="pl-PL"/>
        </w:rPr>
        <w:t xml:space="preserve"> –</w:t>
      </w:r>
      <w:r w:rsidR="000E7670">
        <w:rPr>
          <w:lang w:val="pl-PL"/>
        </w:rPr>
        <w:t xml:space="preserve"> </w:t>
      </w:r>
      <w:r>
        <w:rPr>
          <w:lang w:val="pl-PL"/>
        </w:rPr>
        <w:t>brak naruszenia art. 2 Konwencji</w:t>
      </w:r>
      <w:r w:rsidR="0062651D">
        <w:rPr>
          <w:lang w:val="pl-PL"/>
        </w:rPr>
        <w:t xml:space="preserve"> o ochronie praw człowieka </w:t>
      </w:r>
      <w:r w:rsidR="008B0445">
        <w:rPr>
          <w:lang w:val="pl-PL"/>
        </w:rPr>
        <w:br/>
      </w:r>
      <w:r w:rsidR="0062651D">
        <w:rPr>
          <w:lang w:val="pl-PL"/>
        </w:rPr>
        <w:t>i podstawowych wolności</w:t>
      </w:r>
      <w:r>
        <w:rPr>
          <w:lang w:val="pl-PL"/>
        </w:rPr>
        <w:t xml:space="preserve"> (prawo do ochrony życia) w razie w</w:t>
      </w:r>
      <w:r w:rsidR="005D6AFB">
        <w:rPr>
          <w:lang w:val="pl-PL"/>
        </w:rPr>
        <w:t>ykonania</w:t>
      </w:r>
      <w:r>
        <w:rPr>
          <w:lang w:val="pl-PL"/>
        </w:rPr>
        <w:t xml:space="preserve"> tego orzeczenia</w:t>
      </w:r>
      <w:r w:rsidR="000E7670">
        <w:rPr>
          <w:lang w:val="pl-PL"/>
        </w:rPr>
        <w:t>;</w:t>
      </w:r>
      <w:r>
        <w:rPr>
          <w:lang w:val="pl-PL"/>
        </w:rPr>
        <w:t xml:space="preserve"> niedopuszczalność skargi na podstawie </w:t>
      </w:r>
      <w:r w:rsidR="00DA2266">
        <w:rPr>
          <w:lang w:val="pl-PL"/>
        </w:rPr>
        <w:t xml:space="preserve">art. </w:t>
      </w:r>
      <w:r>
        <w:rPr>
          <w:lang w:val="pl-PL"/>
        </w:rPr>
        <w:t xml:space="preserve">6 </w:t>
      </w:r>
      <w:r w:rsidR="00497E93">
        <w:rPr>
          <w:lang w:val="pl-PL"/>
        </w:rPr>
        <w:t xml:space="preserve">Konwencji </w:t>
      </w:r>
      <w:r>
        <w:rPr>
          <w:lang w:val="pl-PL"/>
        </w:rPr>
        <w:t>(prawo do rzetelnego procesu sądowego)</w:t>
      </w:r>
      <w:r w:rsidR="000E7670">
        <w:rPr>
          <w:lang w:val="pl-PL"/>
        </w:rPr>
        <w:t>;</w:t>
      </w:r>
      <w:r w:rsidR="005D6AFB">
        <w:rPr>
          <w:lang w:val="pl-PL"/>
        </w:rPr>
        <w:t xml:space="preserve"> </w:t>
      </w:r>
      <w:r w:rsidR="00497E93">
        <w:rPr>
          <w:lang w:val="pl-PL"/>
        </w:rPr>
        <w:t xml:space="preserve">brak </w:t>
      </w:r>
      <w:r w:rsidR="005D6AFB">
        <w:rPr>
          <w:lang w:val="pl-PL"/>
        </w:rPr>
        <w:t xml:space="preserve">potrzeby odrębnego </w:t>
      </w:r>
      <w:r w:rsidR="00497E93">
        <w:rPr>
          <w:lang w:val="pl-PL"/>
        </w:rPr>
        <w:t xml:space="preserve">badania skargi na podstawie </w:t>
      </w:r>
      <w:r>
        <w:rPr>
          <w:lang w:val="pl-PL"/>
        </w:rPr>
        <w:t xml:space="preserve">art. 8 </w:t>
      </w:r>
      <w:r w:rsidR="00497E93">
        <w:rPr>
          <w:lang w:val="pl-PL"/>
        </w:rPr>
        <w:t xml:space="preserve">Konwencji </w:t>
      </w:r>
      <w:r>
        <w:rPr>
          <w:lang w:val="pl-PL"/>
        </w:rPr>
        <w:t>(prawo do poszanowania życia prywatnego i rodzinnego)</w:t>
      </w:r>
      <w:bookmarkEnd w:id="3"/>
    </w:p>
    <w:p w:rsidR="005734CF" w:rsidRPr="005734CF" w:rsidRDefault="005734CF" w:rsidP="005734CF">
      <w:pPr>
        <w:spacing w:line="240" w:lineRule="auto"/>
        <w:jc w:val="both"/>
        <w:rPr>
          <w:u w:val="single"/>
          <w:lang w:val="pl-PL"/>
        </w:rPr>
      </w:pPr>
      <w:r w:rsidRPr="005734CF">
        <w:rPr>
          <w:u w:val="single"/>
          <w:lang w:val="pl-PL"/>
        </w:rPr>
        <w:t>Zastosowana proce</w:t>
      </w:r>
      <w:r>
        <w:rPr>
          <w:u w:val="single"/>
          <w:lang w:val="pl-PL"/>
        </w:rPr>
        <w:t>d</w:t>
      </w:r>
      <w:r w:rsidR="00BE5B69">
        <w:rPr>
          <w:u w:val="single"/>
          <w:lang w:val="pl-PL"/>
        </w:rPr>
        <w:t>ura</w:t>
      </w:r>
    </w:p>
    <w:p w:rsidR="005734CF" w:rsidRPr="00C60A61" w:rsidRDefault="00D7274E" w:rsidP="00C60A61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C60A61">
        <w:rPr>
          <w:rFonts w:cs="Arial"/>
          <w:color w:val="222222"/>
          <w:lang w:val="pl-PL"/>
        </w:rPr>
        <w:t xml:space="preserve">Sprawa </w:t>
      </w:r>
      <w:r w:rsidR="00257C2D" w:rsidRPr="00C60A61">
        <w:rPr>
          <w:rFonts w:cs="Arial"/>
          <w:color w:val="222222"/>
          <w:lang w:val="pl-PL"/>
        </w:rPr>
        <w:t xml:space="preserve">została </w:t>
      </w:r>
      <w:r w:rsidRPr="00C60A61">
        <w:rPr>
          <w:rFonts w:cs="Arial"/>
          <w:color w:val="222222"/>
          <w:lang w:val="pl-PL"/>
        </w:rPr>
        <w:t>rozpoznana przez Wielką Izbę w wyniku zastosowania art. 30 Konwencji o ochronie praw człowieka i podstawowych wolności (zrzeczenie się właściwości przez Izbę</w:t>
      </w:r>
      <w:r w:rsidR="00DA2266" w:rsidRPr="00C60A61">
        <w:rPr>
          <w:rFonts w:cs="Arial"/>
          <w:color w:val="222222"/>
          <w:lang w:val="pl-PL"/>
        </w:rPr>
        <w:t xml:space="preserve"> na rzecz Wielkiej Izby</w:t>
      </w:r>
      <w:r w:rsidRPr="00C60A61">
        <w:rPr>
          <w:rFonts w:cs="Arial"/>
          <w:color w:val="222222"/>
          <w:lang w:val="pl-PL"/>
        </w:rPr>
        <w:t>).</w:t>
      </w:r>
      <w:r w:rsidR="005734CF" w:rsidRPr="00C60A61">
        <w:rPr>
          <w:rFonts w:cs="Arial"/>
          <w:color w:val="222222"/>
          <w:lang w:val="pl-PL"/>
        </w:rPr>
        <w:t xml:space="preserve"> W trakcie postępowania Trybunał zastosował tzw. środek tymczasowy (</w:t>
      </w:r>
      <w:r w:rsidR="005734CF" w:rsidRPr="00C60A61">
        <w:rPr>
          <w:rFonts w:cs="Arial"/>
          <w:i/>
          <w:color w:val="222222"/>
          <w:lang w:val="pl-PL"/>
        </w:rPr>
        <w:t xml:space="preserve">interim </w:t>
      </w:r>
      <w:proofErr w:type="spellStart"/>
      <w:r w:rsidR="005734CF" w:rsidRPr="00C60A61">
        <w:rPr>
          <w:rFonts w:cs="Arial"/>
          <w:i/>
          <w:color w:val="222222"/>
          <w:lang w:val="pl-PL"/>
        </w:rPr>
        <w:t>measure</w:t>
      </w:r>
      <w:proofErr w:type="spellEnd"/>
      <w:r w:rsidR="005734CF" w:rsidRPr="00C60A61">
        <w:rPr>
          <w:rFonts w:cs="Arial"/>
          <w:color w:val="222222"/>
          <w:lang w:val="pl-PL"/>
        </w:rPr>
        <w:t xml:space="preserve"> – wstrzymanie wykonania wyroku</w:t>
      </w:r>
      <w:r w:rsidR="0062651D">
        <w:rPr>
          <w:rFonts w:cs="Arial"/>
          <w:color w:val="222222"/>
          <w:lang w:val="pl-PL"/>
        </w:rPr>
        <w:t xml:space="preserve"> Rady Stanu</w:t>
      </w:r>
      <w:r w:rsidR="005734CF" w:rsidRPr="00C60A61">
        <w:rPr>
          <w:rFonts w:cs="Arial"/>
          <w:color w:val="222222"/>
          <w:lang w:val="pl-PL"/>
        </w:rPr>
        <w:t xml:space="preserve"> z dnia 24 czerwca 2014 r.), a ponadto nadał </w:t>
      </w:r>
      <w:r w:rsidR="000E7670">
        <w:rPr>
          <w:rFonts w:cs="Arial"/>
          <w:color w:val="222222"/>
          <w:lang w:val="pl-PL"/>
        </w:rPr>
        <w:t>skardze</w:t>
      </w:r>
      <w:r w:rsidR="005734CF" w:rsidRPr="00C60A61">
        <w:rPr>
          <w:rFonts w:cs="Arial"/>
          <w:color w:val="222222"/>
          <w:lang w:val="pl-PL"/>
        </w:rPr>
        <w:t xml:space="preserve"> charakter priorytetowy. </w:t>
      </w:r>
    </w:p>
    <w:p w:rsidR="00D7274E" w:rsidRPr="00026AC5" w:rsidRDefault="00026AC5" w:rsidP="00D7274E">
      <w:pPr>
        <w:spacing w:line="240" w:lineRule="auto"/>
        <w:jc w:val="both"/>
        <w:rPr>
          <w:u w:val="single"/>
          <w:lang w:val="pl-PL"/>
        </w:rPr>
      </w:pPr>
      <w:r w:rsidRPr="00026AC5">
        <w:rPr>
          <w:u w:val="single"/>
          <w:lang w:val="pl-PL"/>
        </w:rPr>
        <w:t>Stan faktyczny</w:t>
      </w:r>
      <w:r w:rsidR="00BE5B69">
        <w:rPr>
          <w:u w:val="single"/>
          <w:lang w:val="pl-PL"/>
        </w:rPr>
        <w:t xml:space="preserve"> i zarzuty skarżących</w:t>
      </w:r>
    </w:p>
    <w:p w:rsidR="00D7274E" w:rsidRPr="00C60A61" w:rsidRDefault="00D7274E" w:rsidP="00C60A61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C60A61">
        <w:rPr>
          <w:rFonts w:cs="Arial"/>
          <w:color w:val="222222"/>
          <w:lang w:val="pl-PL"/>
        </w:rPr>
        <w:t xml:space="preserve">Skarżącymi w niniejszej sprawie </w:t>
      </w:r>
      <w:r w:rsidR="00D0538E" w:rsidRPr="00C60A61">
        <w:rPr>
          <w:rFonts w:cs="Arial"/>
          <w:color w:val="222222"/>
          <w:lang w:val="pl-PL"/>
        </w:rPr>
        <w:t xml:space="preserve">byli </w:t>
      </w:r>
      <w:r w:rsidRPr="00C60A61">
        <w:rPr>
          <w:rFonts w:cs="Arial"/>
          <w:color w:val="222222"/>
          <w:lang w:val="pl-PL"/>
        </w:rPr>
        <w:t>rodzice, brat przyrodni oraz siostra</w:t>
      </w:r>
      <w:r w:rsidR="00D0538E" w:rsidRPr="00C60A61">
        <w:rPr>
          <w:rFonts w:cs="Arial"/>
          <w:color w:val="222222"/>
          <w:lang w:val="pl-PL"/>
        </w:rPr>
        <w:t xml:space="preserve"> Vincenta Lamberta</w:t>
      </w:r>
      <w:r w:rsidRPr="00C60A61">
        <w:rPr>
          <w:rFonts w:cs="Arial"/>
          <w:color w:val="222222"/>
          <w:lang w:val="pl-PL"/>
        </w:rPr>
        <w:t xml:space="preserve">. Zgodę </w:t>
      </w:r>
      <w:r w:rsidR="008B0445">
        <w:rPr>
          <w:rFonts w:cs="Arial"/>
          <w:color w:val="222222"/>
          <w:lang w:val="pl-PL"/>
        </w:rPr>
        <w:br/>
      </w:r>
      <w:r w:rsidRPr="00C60A61">
        <w:rPr>
          <w:rFonts w:cs="Arial"/>
          <w:color w:val="222222"/>
          <w:lang w:val="pl-PL"/>
        </w:rPr>
        <w:t>na przedstawienie stanowiska w sprawie jako strona trzecia otrzymali: żona Vincenta Lambert</w:t>
      </w:r>
      <w:r w:rsidR="00D0538E" w:rsidRPr="00C60A61">
        <w:rPr>
          <w:rFonts w:cs="Arial"/>
          <w:color w:val="222222"/>
          <w:lang w:val="pl-PL"/>
        </w:rPr>
        <w:t>a</w:t>
      </w:r>
      <w:r w:rsidRPr="00C60A61">
        <w:rPr>
          <w:rFonts w:cs="Arial"/>
          <w:color w:val="222222"/>
          <w:lang w:val="pl-PL"/>
        </w:rPr>
        <w:t xml:space="preserve">, </w:t>
      </w:r>
      <w:r w:rsidR="008B0445">
        <w:rPr>
          <w:rFonts w:cs="Arial"/>
          <w:color w:val="222222"/>
          <w:lang w:val="pl-PL"/>
        </w:rPr>
        <w:br/>
      </w:r>
      <w:r w:rsidRPr="00C60A61">
        <w:rPr>
          <w:rFonts w:cs="Arial"/>
          <w:color w:val="222222"/>
          <w:lang w:val="pl-PL"/>
        </w:rPr>
        <w:t xml:space="preserve">jego bratanek oraz przyrodnia siostra, którzy występowali w opozycji do skarżących. Stanowisko </w:t>
      </w:r>
      <w:r w:rsidR="008B0445">
        <w:rPr>
          <w:rFonts w:cs="Arial"/>
          <w:color w:val="222222"/>
          <w:lang w:val="pl-PL"/>
        </w:rPr>
        <w:br/>
      </w:r>
      <w:r w:rsidRPr="00C60A61">
        <w:rPr>
          <w:rFonts w:cs="Arial"/>
          <w:color w:val="222222"/>
          <w:lang w:val="pl-PL"/>
        </w:rPr>
        <w:t xml:space="preserve">w sprawie przedstawiły ponadto dwie organizacje społeczne m. in. działające na rzecz rodzin osób </w:t>
      </w:r>
      <w:r w:rsidR="008B0445">
        <w:rPr>
          <w:rFonts w:cs="Arial"/>
          <w:color w:val="222222"/>
          <w:lang w:val="pl-PL"/>
        </w:rPr>
        <w:br/>
      </w:r>
      <w:r w:rsidRPr="00C60A61">
        <w:rPr>
          <w:rFonts w:cs="Arial"/>
          <w:color w:val="222222"/>
          <w:lang w:val="pl-PL"/>
        </w:rPr>
        <w:t xml:space="preserve">z urazami głowy i uszkodzeniem mózgu. </w:t>
      </w:r>
    </w:p>
    <w:p w:rsidR="00D7274E" w:rsidRPr="00BE5B69" w:rsidRDefault="00D7274E" w:rsidP="00C60A61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C60A61">
        <w:rPr>
          <w:rFonts w:cs="Arial"/>
          <w:color w:val="222222"/>
          <w:lang w:val="pl-PL"/>
        </w:rPr>
        <w:t xml:space="preserve">Vincent Lambert cierpi na </w:t>
      </w:r>
      <w:proofErr w:type="spellStart"/>
      <w:r w:rsidRPr="00C60A61">
        <w:rPr>
          <w:rFonts w:cs="Arial"/>
          <w:color w:val="222222"/>
          <w:lang w:val="pl-PL"/>
        </w:rPr>
        <w:t>tetraplegię</w:t>
      </w:r>
      <w:proofErr w:type="spellEnd"/>
      <w:r w:rsidRPr="00C60A61">
        <w:rPr>
          <w:rFonts w:cs="Arial"/>
          <w:color w:val="222222"/>
          <w:lang w:val="pl-PL"/>
        </w:rPr>
        <w:t>, będącą skutkiem wypadku komunikacyjnego</w:t>
      </w:r>
      <w:r w:rsidR="00026AC5" w:rsidRPr="00C60A61">
        <w:rPr>
          <w:rFonts w:cs="Arial"/>
          <w:color w:val="222222"/>
          <w:lang w:val="pl-PL"/>
        </w:rPr>
        <w:t>,</w:t>
      </w:r>
      <w:r w:rsidRPr="00C60A61">
        <w:rPr>
          <w:rFonts w:cs="Arial"/>
          <w:color w:val="222222"/>
          <w:lang w:val="pl-PL"/>
        </w:rPr>
        <w:t xml:space="preserve"> którego doznał </w:t>
      </w:r>
      <w:r w:rsidR="008B0445">
        <w:rPr>
          <w:rFonts w:cs="Arial"/>
          <w:color w:val="222222"/>
          <w:lang w:val="pl-PL"/>
        </w:rPr>
        <w:br/>
      </w:r>
      <w:r w:rsidRPr="00C60A61">
        <w:rPr>
          <w:rFonts w:cs="Arial"/>
          <w:color w:val="222222"/>
          <w:lang w:val="pl-PL"/>
        </w:rPr>
        <w:t xml:space="preserve">w 2008 r. (paraliż czterokończynowy powstający na skutek uszkodzenia rdzenia kręgowego w odcinku szyjnym). Skarżący wymaga sztucznego nawadniania i odżywiania. Na początku 2013 r. została </w:t>
      </w:r>
      <w:r w:rsidRPr="00C60A61">
        <w:rPr>
          <w:rFonts w:cs="Arial"/>
          <w:color w:val="222222"/>
          <w:lang w:val="pl-PL"/>
        </w:rPr>
        <w:lastRenderedPageBreak/>
        <w:t xml:space="preserve">wdrożona w stosunku do </w:t>
      </w:r>
      <w:r w:rsidR="00026AC5" w:rsidRPr="00C60A61">
        <w:rPr>
          <w:rFonts w:cs="Arial"/>
          <w:color w:val="222222"/>
          <w:lang w:val="pl-PL"/>
        </w:rPr>
        <w:t xml:space="preserve">niego </w:t>
      </w:r>
      <w:r w:rsidRPr="00C60A61">
        <w:rPr>
          <w:rFonts w:cs="Arial"/>
          <w:color w:val="222222"/>
          <w:lang w:val="pl-PL"/>
        </w:rPr>
        <w:t>procedura zaprzestania nawadniania i odżywiania, przewidziana francuską ustawą z dnia 22 kwietnia 2005 r.</w:t>
      </w:r>
      <w:r w:rsidRPr="00D7274E">
        <w:rPr>
          <w:lang w:val="pl-PL"/>
        </w:rPr>
        <w:t xml:space="preserve"> (</w:t>
      </w:r>
      <w:proofErr w:type="spellStart"/>
      <w:r w:rsidRPr="00026AC5">
        <w:rPr>
          <w:i/>
          <w:lang w:val="pl-PL"/>
        </w:rPr>
        <w:t>Act</w:t>
      </w:r>
      <w:proofErr w:type="spellEnd"/>
      <w:r w:rsidRPr="00026AC5">
        <w:rPr>
          <w:i/>
          <w:lang w:val="pl-PL"/>
        </w:rPr>
        <w:t xml:space="preserve"> of 22 </w:t>
      </w:r>
      <w:proofErr w:type="spellStart"/>
      <w:r w:rsidRPr="00026AC5">
        <w:rPr>
          <w:i/>
          <w:lang w:val="pl-PL"/>
        </w:rPr>
        <w:t>April</w:t>
      </w:r>
      <w:proofErr w:type="spellEnd"/>
      <w:r w:rsidRPr="00026AC5">
        <w:rPr>
          <w:i/>
          <w:lang w:val="pl-PL"/>
        </w:rPr>
        <w:t xml:space="preserve"> 2005 on </w:t>
      </w:r>
      <w:proofErr w:type="spellStart"/>
      <w:r w:rsidRPr="00026AC5">
        <w:rPr>
          <w:i/>
          <w:lang w:val="pl-PL"/>
        </w:rPr>
        <w:t>patients</w:t>
      </w:r>
      <w:proofErr w:type="spellEnd"/>
      <w:r w:rsidRPr="00026AC5">
        <w:rPr>
          <w:i/>
          <w:lang w:val="pl-PL"/>
        </w:rPr>
        <w:t xml:space="preserve">’ </w:t>
      </w:r>
      <w:proofErr w:type="spellStart"/>
      <w:r w:rsidRPr="00026AC5">
        <w:rPr>
          <w:i/>
          <w:lang w:val="pl-PL"/>
        </w:rPr>
        <w:t>rights</w:t>
      </w:r>
      <w:proofErr w:type="spellEnd"/>
      <w:r w:rsidRPr="00026AC5">
        <w:rPr>
          <w:i/>
          <w:lang w:val="pl-PL"/>
        </w:rPr>
        <w:t xml:space="preserve"> and end-of-life </w:t>
      </w:r>
      <w:proofErr w:type="spellStart"/>
      <w:r w:rsidRPr="00026AC5">
        <w:rPr>
          <w:i/>
          <w:lang w:val="pl-PL"/>
        </w:rPr>
        <w:t>issues</w:t>
      </w:r>
      <w:proofErr w:type="spellEnd"/>
      <w:r w:rsidRPr="00D7274E">
        <w:rPr>
          <w:lang w:val="pl-PL"/>
        </w:rPr>
        <w:t xml:space="preserve">). </w:t>
      </w:r>
      <w:r w:rsidRPr="00BE5B69">
        <w:rPr>
          <w:rFonts w:cs="Arial"/>
          <w:color w:val="222222"/>
          <w:lang w:val="pl-PL"/>
        </w:rPr>
        <w:t xml:space="preserve">Wdrożenie tej procedury zostało zaskarżone przez </w:t>
      </w:r>
      <w:r w:rsidR="00732C33" w:rsidRPr="00BE5B69">
        <w:rPr>
          <w:rFonts w:cs="Arial"/>
          <w:color w:val="222222"/>
          <w:lang w:val="pl-PL"/>
        </w:rPr>
        <w:t>skarżących</w:t>
      </w:r>
      <w:r w:rsidRPr="00BE5B69">
        <w:rPr>
          <w:rFonts w:cs="Arial"/>
          <w:color w:val="222222"/>
          <w:lang w:val="pl-PL"/>
        </w:rPr>
        <w:t xml:space="preserve">, a sąd rozpoznający </w:t>
      </w:r>
      <w:r w:rsidR="00732C33" w:rsidRPr="00BE5B69">
        <w:rPr>
          <w:rFonts w:cs="Arial"/>
          <w:color w:val="222222"/>
          <w:lang w:val="pl-PL"/>
        </w:rPr>
        <w:t xml:space="preserve">ich </w:t>
      </w:r>
      <w:r w:rsidRPr="00BE5B69">
        <w:rPr>
          <w:rFonts w:cs="Arial"/>
          <w:color w:val="222222"/>
          <w:lang w:val="pl-PL"/>
        </w:rPr>
        <w:t>wniosek stwierdził uchybienia w zastosowanej procedurze (udział w niej za</w:t>
      </w:r>
      <w:r w:rsidR="00026AC5" w:rsidRPr="00BE5B69">
        <w:rPr>
          <w:rFonts w:cs="Arial"/>
          <w:color w:val="222222"/>
          <w:lang w:val="pl-PL"/>
        </w:rPr>
        <w:t>pewniono</w:t>
      </w:r>
      <w:r w:rsidRPr="00BE5B69">
        <w:rPr>
          <w:rFonts w:cs="Arial"/>
          <w:color w:val="222222"/>
          <w:lang w:val="pl-PL"/>
        </w:rPr>
        <w:t xml:space="preserve"> jedynie żonie skarżącego, z całkowitym pominięciem udziału i woli jego rodziców). Wskutek powyższego, procedura była kontynuowana w rozszerzonym gronie, uwzględniającym licznych specjalistów,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m. in. z zakresu neurologii, kardiologii, ale przede wszystkim rodziców skarżącego. W wyniku przeprowadzonych konsultacji lekarz prowadzący w styczniu 2014 r. stwierdził potrzebę zaprzestania nawadniania i odżywiania Vincenta Lambert</w:t>
      </w:r>
      <w:r w:rsidR="000E7670">
        <w:rPr>
          <w:rFonts w:cs="Arial"/>
          <w:color w:val="222222"/>
          <w:lang w:val="pl-PL"/>
        </w:rPr>
        <w:t>a</w:t>
      </w:r>
      <w:r w:rsidRPr="00BE5B69">
        <w:rPr>
          <w:rFonts w:cs="Arial"/>
          <w:color w:val="222222"/>
          <w:lang w:val="pl-PL"/>
        </w:rPr>
        <w:t xml:space="preserve">. Decyzja lekarza została zaskarżona przez </w:t>
      </w:r>
      <w:r w:rsidR="00127C20" w:rsidRPr="00BE5B69">
        <w:rPr>
          <w:rFonts w:cs="Arial"/>
          <w:color w:val="222222"/>
          <w:lang w:val="pl-PL"/>
        </w:rPr>
        <w:t>skarżących</w:t>
      </w:r>
      <w:r w:rsidRPr="00BE5B69">
        <w:rPr>
          <w:rFonts w:cs="Arial"/>
          <w:color w:val="222222"/>
          <w:lang w:val="pl-PL"/>
        </w:rPr>
        <w:t>. Ostatnią instancją krajową, która zajmowała się sprawą</w:t>
      </w:r>
      <w:r w:rsidR="0062651D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była Rada Stanu, która w dniu 24 czerwca 2014 r. wydała wyrok zezwalający na zaprzestanie sztucznego odżywiania i nawadniania. W wyroku tym stwierdzono, iż taka decyzja lekarzy nie narusza art. 2, 6, 7 oraz 8 Konwencji.</w:t>
      </w:r>
    </w:p>
    <w:p w:rsidR="005734CF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W skardze wniesionej do Trybunału skarżący zarzucili, iż wykonanie wyroku z dnia 24 czerwca 2014 r. narusz</w:t>
      </w:r>
      <w:r w:rsidR="0062651D">
        <w:rPr>
          <w:rFonts w:cs="Arial"/>
          <w:color w:val="222222"/>
          <w:lang w:val="pl-PL"/>
        </w:rPr>
        <w:t>y</w:t>
      </w:r>
      <w:r w:rsidRPr="00BE5B69">
        <w:rPr>
          <w:rFonts w:cs="Arial"/>
          <w:color w:val="222222"/>
          <w:lang w:val="pl-PL"/>
        </w:rPr>
        <w:t xml:space="preserve"> art. 2</w:t>
      </w:r>
      <w:r w:rsidR="00E46784" w:rsidRPr="00BE5B69">
        <w:rPr>
          <w:rFonts w:cs="Arial"/>
          <w:color w:val="222222"/>
          <w:lang w:val="pl-PL"/>
        </w:rPr>
        <w:t xml:space="preserve"> (prawo do ochrony życia)</w:t>
      </w:r>
      <w:r w:rsidRPr="00BE5B69">
        <w:rPr>
          <w:rFonts w:cs="Arial"/>
          <w:color w:val="222222"/>
          <w:lang w:val="pl-PL"/>
        </w:rPr>
        <w:t xml:space="preserve">, </w:t>
      </w:r>
      <w:r w:rsidR="00E46784" w:rsidRPr="00BE5B69">
        <w:rPr>
          <w:rFonts w:cs="Arial"/>
          <w:color w:val="222222"/>
          <w:lang w:val="pl-PL"/>
        </w:rPr>
        <w:t xml:space="preserve">art. </w:t>
      </w:r>
      <w:r w:rsidR="00B33937" w:rsidRPr="00BE5B69">
        <w:rPr>
          <w:rFonts w:cs="Arial"/>
          <w:color w:val="222222"/>
          <w:lang w:val="pl-PL"/>
        </w:rPr>
        <w:t>3</w:t>
      </w:r>
      <w:r w:rsidRPr="00BE5B69">
        <w:rPr>
          <w:rFonts w:cs="Arial"/>
          <w:color w:val="222222"/>
          <w:lang w:val="pl-PL"/>
        </w:rPr>
        <w:t xml:space="preserve"> </w:t>
      </w:r>
      <w:r w:rsidR="00E46784" w:rsidRPr="00BE5B69">
        <w:rPr>
          <w:rFonts w:cs="Arial"/>
          <w:color w:val="222222"/>
          <w:lang w:val="pl-PL"/>
        </w:rPr>
        <w:t>(</w:t>
      </w:r>
      <w:r w:rsidR="00B33937" w:rsidRPr="00BE5B69">
        <w:rPr>
          <w:rFonts w:cs="Arial"/>
          <w:color w:val="222222"/>
          <w:lang w:val="pl-PL"/>
        </w:rPr>
        <w:t>zakaz tortur</w:t>
      </w:r>
      <w:r w:rsidR="00E46784" w:rsidRPr="00BE5B69">
        <w:rPr>
          <w:rFonts w:cs="Arial"/>
          <w:color w:val="222222"/>
          <w:lang w:val="pl-PL"/>
        </w:rPr>
        <w:t>)</w:t>
      </w:r>
      <w:r w:rsidR="001350CC" w:rsidRPr="00BE5B69">
        <w:rPr>
          <w:rFonts w:cs="Arial"/>
          <w:color w:val="222222"/>
          <w:lang w:val="pl-PL"/>
        </w:rPr>
        <w:t>, art. 6 (prawo do rzetelnego procesu sądowego)</w:t>
      </w:r>
      <w:r w:rsidR="00E46784" w:rsidRPr="00BE5B69">
        <w:rPr>
          <w:rFonts w:cs="Arial"/>
          <w:color w:val="222222"/>
          <w:lang w:val="pl-PL"/>
        </w:rPr>
        <w:t xml:space="preserve"> </w:t>
      </w:r>
      <w:r w:rsidRPr="00BE5B69">
        <w:rPr>
          <w:rFonts w:cs="Arial"/>
          <w:color w:val="222222"/>
          <w:lang w:val="pl-PL"/>
        </w:rPr>
        <w:t xml:space="preserve">oraz </w:t>
      </w:r>
      <w:r w:rsidR="00E46784" w:rsidRPr="00BE5B69">
        <w:rPr>
          <w:rFonts w:cs="Arial"/>
          <w:color w:val="222222"/>
          <w:lang w:val="pl-PL"/>
        </w:rPr>
        <w:t xml:space="preserve">art. </w:t>
      </w:r>
      <w:r w:rsidRPr="00BE5B69">
        <w:rPr>
          <w:rFonts w:cs="Arial"/>
          <w:color w:val="222222"/>
          <w:lang w:val="pl-PL"/>
        </w:rPr>
        <w:t>8 Konwencji</w:t>
      </w:r>
      <w:r w:rsidR="00E46784" w:rsidRPr="00BE5B69">
        <w:rPr>
          <w:rFonts w:cs="Arial"/>
          <w:color w:val="222222"/>
          <w:lang w:val="pl-PL"/>
        </w:rPr>
        <w:t xml:space="preserve"> (prawo do poszanowania życia prywatnego i rodzinnego)</w:t>
      </w:r>
      <w:r w:rsidRPr="00BE5B69">
        <w:rPr>
          <w:rFonts w:cs="Arial"/>
          <w:color w:val="222222"/>
          <w:lang w:val="pl-PL"/>
        </w:rPr>
        <w:t xml:space="preserve">. </w:t>
      </w:r>
    </w:p>
    <w:p w:rsidR="00C65F7B" w:rsidRPr="000E7670" w:rsidRDefault="00C65F7B" w:rsidP="00C65F7B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 w:rsidRPr="000E7670">
        <w:rPr>
          <w:rFonts w:cs="Arial"/>
          <w:color w:val="222222"/>
          <w:u w:val="single"/>
          <w:lang w:val="pl-PL"/>
        </w:rPr>
        <w:t>Oce</w:t>
      </w:r>
      <w:r w:rsidR="00BE5B69" w:rsidRPr="000E7670">
        <w:rPr>
          <w:rFonts w:cs="Arial"/>
          <w:color w:val="222222"/>
          <w:u w:val="single"/>
          <w:lang w:val="pl-PL"/>
        </w:rPr>
        <w:t>na Trybunału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uznał, iż wykonanie wyroku Rady Stanu nie narusz</w:t>
      </w:r>
      <w:r w:rsidR="00127C20" w:rsidRPr="00BE5B69">
        <w:rPr>
          <w:rFonts w:cs="Arial"/>
          <w:color w:val="222222"/>
          <w:lang w:val="pl-PL"/>
        </w:rPr>
        <w:t>y</w:t>
      </w:r>
      <w:r w:rsidRPr="00BE5B69">
        <w:rPr>
          <w:rFonts w:cs="Arial"/>
          <w:color w:val="222222"/>
          <w:lang w:val="pl-PL"/>
        </w:rPr>
        <w:t xml:space="preserve"> art. 2 Konwencji. Trybunał zaznaczył,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iż w sprawach dotyczących zezwolenia na zaprzestanie sztucznego podtrzymywania życia państwa członkowskie nie prezentują jednolitego stanowiska i dlatego też niewątpliwie posiadają margines </w:t>
      </w:r>
      <w:r w:rsidR="0084780B" w:rsidRPr="00BE5B69">
        <w:rPr>
          <w:rFonts w:cs="Arial"/>
          <w:color w:val="222222"/>
          <w:lang w:val="pl-PL"/>
        </w:rPr>
        <w:t xml:space="preserve">oceny </w:t>
      </w:r>
      <w:r w:rsidRPr="00BE5B69">
        <w:rPr>
          <w:rFonts w:cs="Arial"/>
          <w:color w:val="222222"/>
          <w:lang w:val="pl-PL"/>
        </w:rPr>
        <w:t>co do tego</w:t>
      </w:r>
      <w:r w:rsidR="0084780B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jak ukształtować prawo i praktykę funkcjonowania władz krajowych w tej materii. Prawo francuskie przewiduje stosowną procedurę dla podjęcia decyzji o zaprzestaniu sztucznego podtrzymywania życia i w takim zakresie</w:t>
      </w:r>
      <w:r w:rsidR="00C65F7B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w jakim przepisy ustawy z dnia 22 kwietnia 2005 r. zostały zastosowane przez Radę Stanu, Trybunał uznał je za jednoznaczne. Zastosowanie tych przepisów przez władze krajowe było w ocenie Trybunału prawidłowe.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Ponadto, Trybunał uznał, że w tak szczególnych kwestiach jego rola ogranicza się wyłącznie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do zbadania wypełnienia przez państwo członkowskie pozytywnych obowiązków proceduralnych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na gruncie art. 2 Konwencji. Do władz krajowych natomiast należy badanie zgodności decyzji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o zaprzestaniu leczenia z prawem krajowym i Konwencją, a także ustalenie woli pacjenta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w tym zakresie.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odniesieniu do zarzutu naruszenia art. 8 Konwencji Trybunał stwierdził, iż odrębne rozpatrzenie </w:t>
      </w:r>
      <w:r w:rsidR="0001044C">
        <w:rPr>
          <w:rFonts w:cs="Arial"/>
          <w:color w:val="222222"/>
          <w:lang w:val="pl-PL"/>
        </w:rPr>
        <w:t xml:space="preserve">tego zarzutu </w:t>
      </w:r>
      <w:r w:rsidRPr="00BE5B69">
        <w:rPr>
          <w:rFonts w:cs="Arial"/>
          <w:color w:val="222222"/>
          <w:lang w:val="pl-PL"/>
        </w:rPr>
        <w:t xml:space="preserve">nie jest wymagane w okolicznościach tej sprawy. W pozostałym zakresie Trybunał uznał skargę za niedopuszczalną.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Do wyroku dołączone jest częściowe zdanie odrębne pięciu sędziów.</w:t>
      </w:r>
    </w:p>
    <w:p w:rsidR="00D7274E" w:rsidRPr="00D7274E" w:rsidRDefault="00D7274E" w:rsidP="00D7274E">
      <w:pPr>
        <w:pStyle w:val="Nagwek2"/>
        <w:numPr>
          <w:ilvl w:val="0"/>
          <w:numId w:val="1"/>
        </w:numPr>
      </w:pPr>
      <w:bookmarkStart w:id="4" w:name="_Toc424579195"/>
      <w:proofErr w:type="spellStart"/>
      <w:r w:rsidRPr="00D7274E">
        <w:t>Tahirov</w:t>
      </w:r>
      <w:proofErr w:type="spellEnd"/>
      <w:r w:rsidRPr="00D7274E">
        <w:t xml:space="preserve"> p. Azerbejdżan</w:t>
      </w:r>
      <w:r w:rsidR="00900BFF">
        <w:t>owi</w:t>
      </w:r>
      <w:r w:rsidRPr="00D7274E">
        <w:t xml:space="preserve"> (skarga nr 31953/11), wyrok </w:t>
      </w:r>
      <w:r w:rsidR="00C21B3F">
        <w:t xml:space="preserve">Izby </w:t>
      </w:r>
      <w:r w:rsidRPr="00D7274E">
        <w:t>z 11</w:t>
      </w:r>
      <w:r w:rsidR="002360D2">
        <w:t>.06.</w:t>
      </w:r>
      <w:r w:rsidRPr="00D7274E">
        <w:t>2015</w:t>
      </w:r>
      <w:r w:rsidR="00793985">
        <w:t xml:space="preserve"> r.</w:t>
      </w:r>
      <w:r w:rsidR="0066679B">
        <w:t>, nieostateczny</w:t>
      </w:r>
      <w:bookmarkEnd w:id="4"/>
    </w:p>
    <w:p w:rsidR="00D7274E" w:rsidRPr="0001044C" w:rsidRDefault="00900BFF" w:rsidP="0001044C">
      <w:pPr>
        <w:pStyle w:val="Nagwek3"/>
        <w:rPr>
          <w:lang w:val="pl-PL"/>
        </w:rPr>
      </w:pPr>
      <w:bookmarkStart w:id="5" w:name="_Toc424579196"/>
      <w:r w:rsidRPr="0001044C">
        <w:rPr>
          <w:lang w:val="pl-PL"/>
        </w:rPr>
        <w:t xml:space="preserve">- </w:t>
      </w:r>
      <w:r w:rsidR="0001044C">
        <w:rPr>
          <w:lang w:val="pl-PL"/>
        </w:rPr>
        <w:t>arbitralność</w:t>
      </w:r>
      <w:r w:rsidR="00E16E6F" w:rsidRPr="0001044C">
        <w:rPr>
          <w:lang w:val="pl-PL"/>
        </w:rPr>
        <w:t xml:space="preserve"> procedury, w której odmówiono rejestracji kandydata w wyborach parlamentarnych - </w:t>
      </w:r>
      <w:r w:rsidRPr="0001044C">
        <w:rPr>
          <w:lang w:val="pl-PL"/>
        </w:rPr>
        <w:t>naruszenie art. 3 Protokołu</w:t>
      </w:r>
      <w:r w:rsidR="00D7274E" w:rsidRPr="0001044C">
        <w:rPr>
          <w:lang w:val="pl-PL"/>
        </w:rPr>
        <w:t xml:space="preserve"> </w:t>
      </w:r>
      <w:r w:rsidRPr="0001044C">
        <w:rPr>
          <w:lang w:val="pl-PL"/>
        </w:rPr>
        <w:t>n</w:t>
      </w:r>
      <w:r w:rsidR="00D7274E" w:rsidRPr="0001044C">
        <w:rPr>
          <w:lang w:val="pl-PL"/>
        </w:rPr>
        <w:t>r 1</w:t>
      </w:r>
      <w:r w:rsidR="00E16E6F" w:rsidRPr="0001044C">
        <w:rPr>
          <w:lang w:val="pl-PL"/>
        </w:rPr>
        <w:t xml:space="preserve"> do Konwencji (prawo do wolnych wyborów)</w:t>
      </w:r>
      <w:bookmarkEnd w:id="5"/>
    </w:p>
    <w:p w:rsidR="00B523C5" w:rsidRPr="00D7274E" w:rsidRDefault="00B523C5" w:rsidP="00B523C5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 w:rsidRPr="00D7274E">
        <w:rPr>
          <w:rFonts w:cs="Arial"/>
          <w:color w:val="222222"/>
          <w:u w:val="single"/>
          <w:lang w:val="pl-PL"/>
        </w:rPr>
        <w:t>Stan faktyczny</w:t>
      </w:r>
      <w:r w:rsidR="0001044C">
        <w:rPr>
          <w:rFonts w:cs="Arial"/>
          <w:color w:val="222222"/>
          <w:u w:val="single"/>
          <w:lang w:val="pl-PL"/>
        </w:rPr>
        <w:t xml:space="preserve"> i zarzuty</w:t>
      </w:r>
      <w:r>
        <w:rPr>
          <w:rFonts w:cs="Arial"/>
          <w:color w:val="222222"/>
          <w:u w:val="single"/>
          <w:lang w:val="pl-PL"/>
        </w:rPr>
        <w:t xml:space="preserve"> skarżącego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Skarżący, obywatel Azerbejdżanu, </w:t>
      </w:r>
      <w:r w:rsidR="00520674" w:rsidRPr="00BE5B69">
        <w:rPr>
          <w:rFonts w:cs="Arial"/>
          <w:color w:val="222222"/>
          <w:lang w:val="pl-PL"/>
        </w:rPr>
        <w:t>zgłosił</w:t>
      </w:r>
      <w:r w:rsidRPr="00BE5B69">
        <w:rPr>
          <w:rFonts w:cs="Arial"/>
          <w:color w:val="222222"/>
          <w:lang w:val="pl-PL"/>
        </w:rPr>
        <w:t xml:space="preserve"> swoją kandydaturę w wyborach parlamentarnych</w:t>
      </w:r>
      <w:r w:rsidR="0001044C">
        <w:rPr>
          <w:rFonts w:cs="Arial"/>
          <w:color w:val="222222"/>
          <w:lang w:val="pl-PL"/>
        </w:rPr>
        <w:t xml:space="preserve"> przewidzianych</w:t>
      </w:r>
      <w:r w:rsidRPr="00BE5B69">
        <w:rPr>
          <w:rFonts w:cs="Arial"/>
          <w:color w:val="222222"/>
          <w:lang w:val="pl-PL"/>
        </w:rPr>
        <w:t xml:space="preserve"> w listopadzie 2010 r. Zgodnie z obowiązującym kodeksem wyborczym zebrał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600 podpisów popierających jego kandydaturę</w:t>
      </w:r>
      <w:r w:rsidR="00520674" w:rsidRPr="00BE5B69">
        <w:rPr>
          <w:rFonts w:cs="Arial"/>
          <w:color w:val="222222"/>
          <w:lang w:val="pl-PL"/>
        </w:rPr>
        <w:t xml:space="preserve"> (przy wymogu minimalnym - 450)</w:t>
      </w:r>
      <w:r w:rsidRPr="00BE5B69">
        <w:rPr>
          <w:rFonts w:cs="Arial"/>
          <w:color w:val="222222"/>
          <w:lang w:val="pl-PL"/>
        </w:rPr>
        <w:t xml:space="preserve">, które następnie przekazał do komisji wyborczej. </w:t>
      </w:r>
    </w:p>
    <w:p w:rsidR="00D7274E" w:rsidRPr="00BE5B69" w:rsidRDefault="00520674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Przed wyborami</w:t>
      </w:r>
      <w:r w:rsidR="00D7274E" w:rsidRPr="00BE5B69">
        <w:rPr>
          <w:rFonts w:cs="Arial"/>
          <w:color w:val="222222"/>
          <w:lang w:val="pl-PL"/>
        </w:rPr>
        <w:t xml:space="preserve"> skarżący otrzymał informację, że komisja wyborcza odmówiła rejestracji </w:t>
      </w:r>
      <w:r w:rsidRPr="00BE5B69">
        <w:rPr>
          <w:rFonts w:cs="Arial"/>
          <w:color w:val="222222"/>
          <w:lang w:val="pl-PL"/>
        </w:rPr>
        <w:t xml:space="preserve">jego </w:t>
      </w:r>
      <w:r w:rsidR="00D7274E" w:rsidRPr="00BE5B69">
        <w:rPr>
          <w:rFonts w:cs="Arial"/>
          <w:color w:val="222222"/>
          <w:lang w:val="pl-PL"/>
        </w:rPr>
        <w:t xml:space="preserve">kandydatury, </w:t>
      </w:r>
      <w:r w:rsidRPr="00BE5B69">
        <w:rPr>
          <w:rFonts w:cs="Arial"/>
          <w:color w:val="222222"/>
          <w:lang w:val="pl-PL"/>
        </w:rPr>
        <w:t>uznając</w:t>
      </w:r>
      <w:r w:rsidR="00D7274E" w:rsidRPr="00BE5B69">
        <w:rPr>
          <w:rFonts w:cs="Arial"/>
          <w:color w:val="222222"/>
          <w:lang w:val="pl-PL"/>
        </w:rPr>
        <w:t xml:space="preserve">, że wiele z przedłożonych </w:t>
      </w:r>
      <w:r w:rsidRPr="00BE5B69">
        <w:rPr>
          <w:rFonts w:cs="Arial"/>
          <w:color w:val="222222"/>
          <w:lang w:val="pl-PL"/>
        </w:rPr>
        <w:t>przez niego podpisów było nieważnych</w:t>
      </w:r>
      <w:r w:rsidR="00900BFF" w:rsidRPr="00BE5B69">
        <w:rPr>
          <w:rFonts w:cs="Arial"/>
          <w:color w:val="222222"/>
          <w:lang w:val="pl-PL"/>
        </w:rPr>
        <w:t>,</w:t>
      </w:r>
      <w:r w:rsidR="00D7274E" w:rsidRPr="00BE5B69">
        <w:rPr>
          <w:rFonts w:cs="Arial"/>
          <w:color w:val="222222"/>
          <w:lang w:val="pl-PL"/>
        </w:rPr>
        <w:t xml:space="preserve">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lastRenderedPageBreak/>
        <w:t xml:space="preserve">a w konsekwencji całkowita liczba zebranych, ważnych podpisów nie przekroczyła wymaganych 450 (w zależności od opinii ekspertów odpowiednio 172 lub 243 podpisy </w:t>
      </w:r>
      <w:r w:rsidRPr="00BE5B69">
        <w:rPr>
          <w:rFonts w:cs="Arial"/>
          <w:color w:val="222222"/>
          <w:lang w:val="pl-PL"/>
        </w:rPr>
        <w:t>zostały uznane za</w:t>
      </w:r>
      <w:r w:rsidR="00D7274E" w:rsidRPr="00BE5B69">
        <w:rPr>
          <w:rFonts w:cs="Arial"/>
          <w:color w:val="222222"/>
          <w:lang w:val="pl-PL"/>
        </w:rPr>
        <w:t xml:space="preserve"> nieważne). </w:t>
      </w:r>
    </w:p>
    <w:p w:rsidR="00D7274E" w:rsidRPr="00BE5B69" w:rsidRDefault="00520674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S</w:t>
      </w:r>
      <w:r w:rsidR="00D7274E" w:rsidRPr="00BE5B69">
        <w:rPr>
          <w:rFonts w:cs="Arial"/>
          <w:color w:val="222222"/>
          <w:lang w:val="pl-PL"/>
        </w:rPr>
        <w:t xml:space="preserve">karżący odwołał się do Centralnej Komisji Wyborczej, która przeprowadziła dodatkową analizę podpisów. Dwóch ekspertów stwierdziło, że za nieważne należało uznać </w:t>
      </w:r>
      <w:r w:rsidRPr="00BE5B69">
        <w:rPr>
          <w:rFonts w:cs="Arial"/>
          <w:color w:val="222222"/>
          <w:lang w:val="pl-PL"/>
        </w:rPr>
        <w:t xml:space="preserve">w sumie </w:t>
      </w:r>
      <w:r w:rsidR="00D7274E" w:rsidRPr="00BE5B69">
        <w:rPr>
          <w:rFonts w:cs="Arial"/>
          <w:color w:val="222222"/>
          <w:lang w:val="pl-PL"/>
        </w:rPr>
        <w:t xml:space="preserve">178 podpisów. Skarżący nie </w:t>
      </w:r>
      <w:r w:rsidR="00900BFF" w:rsidRPr="00BE5B69">
        <w:rPr>
          <w:rFonts w:cs="Arial"/>
          <w:color w:val="222222"/>
          <w:lang w:val="pl-PL"/>
        </w:rPr>
        <w:t xml:space="preserve">uczestniczył </w:t>
      </w:r>
      <w:r w:rsidR="00D7274E" w:rsidRPr="00BE5B69">
        <w:rPr>
          <w:rFonts w:cs="Arial"/>
          <w:color w:val="222222"/>
          <w:lang w:val="pl-PL"/>
        </w:rPr>
        <w:t>ani w przygotowywaniu powyższych opinii</w:t>
      </w:r>
      <w:r w:rsidR="00900BFF" w:rsidRPr="00BE5B69">
        <w:rPr>
          <w:rFonts w:cs="Arial"/>
          <w:color w:val="222222"/>
          <w:lang w:val="pl-PL"/>
        </w:rPr>
        <w:t>,</w:t>
      </w:r>
      <w:r w:rsidR="00D7274E" w:rsidRPr="00BE5B69">
        <w:rPr>
          <w:rFonts w:cs="Arial"/>
          <w:color w:val="222222"/>
          <w:lang w:val="pl-PL"/>
        </w:rPr>
        <w:t xml:space="preserve"> ani </w:t>
      </w:r>
      <w:r w:rsidR="0001044C">
        <w:rPr>
          <w:rFonts w:cs="Arial"/>
          <w:color w:val="222222"/>
          <w:lang w:val="pl-PL"/>
        </w:rPr>
        <w:t xml:space="preserve">też </w:t>
      </w:r>
      <w:r w:rsidR="00D7274E" w:rsidRPr="00BE5B69">
        <w:rPr>
          <w:rFonts w:cs="Arial"/>
          <w:color w:val="222222"/>
          <w:lang w:val="pl-PL"/>
        </w:rPr>
        <w:t>w posiedzeniu komisji rozpatrującej jego odwołanie. Centralna Komisja utrzymała w mocy decyzję komisji wyborczej odmawiającej rejestracji kandydatury skarżącego.</w:t>
      </w:r>
      <w:r w:rsidRPr="00BE5B69">
        <w:rPr>
          <w:rFonts w:cs="Arial"/>
          <w:color w:val="222222"/>
          <w:lang w:val="pl-PL"/>
        </w:rPr>
        <w:t xml:space="preserve"> </w:t>
      </w:r>
      <w:r w:rsidR="00D7274E" w:rsidRPr="00BE5B69">
        <w:rPr>
          <w:rFonts w:cs="Arial"/>
          <w:color w:val="222222"/>
          <w:lang w:val="pl-PL"/>
        </w:rPr>
        <w:t xml:space="preserve">Odwołania skarżącego do sądu apelacyjnego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 xml:space="preserve">w Baku oraz Sądu Najwyższego nie przyniosły rezultatu. </w:t>
      </w:r>
    </w:p>
    <w:p w:rsidR="00D7274E" w:rsidRPr="00BE5B69" w:rsidRDefault="00900BFF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S</w:t>
      </w:r>
      <w:r w:rsidR="00D7274E" w:rsidRPr="00BE5B69">
        <w:rPr>
          <w:rFonts w:cs="Arial"/>
          <w:color w:val="222222"/>
          <w:lang w:val="pl-PL"/>
        </w:rPr>
        <w:t xml:space="preserve">karżący wniósł do ETPCz skargę na podstawie art. 3 Protokołu </w:t>
      </w:r>
      <w:r w:rsidRPr="00BE5B69">
        <w:rPr>
          <w:rFonts w:cs="Arial"/>
          <w:color w:val="222222"/>
          <w:lang w:val="pl-PL"/>
        </w:rPr>
        <w:t>nr 1 do Konwencji, zarzucając</w:t>
      </w:r>
      <w:r w:rsidR="00D7274E" w:rsidRPr="00BE5B69">
        <w:rPr>
          <w:rFonts w:cs="Arial"/>
          <w:color w:val="222222"/>
          <w:lang w:val="pl-PL"/>
        </w:rPr>
        <w:t xml:space="preserve">,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>że odmowa uznania jego wniosku o rejestrację</w:t>
      </w:r>
      <w:r w:rsidR="002B5A4C" w:rsidRPr="00BE5B69">
        <w:rPr>
          <w:rFonts w:cs="Arial"/>
          <w:color w:val="222222"/>
          <w:lang w:val="pl-PL"/>
        </w:rPr>
        <w:t xml:space="preserve"> jego</w:t>
      </w:r>
      <w:r w:rsidR="00D7274E" w:rsidRPr="00BE5B69">
        <w:rPr>
          <w:rFonts w:cs="Arial"/>
          <w:color w:val="222222"/>
          <w:lang w:val="pl-PL"/>
        </w:rPr>
        <w:t xml:space="preserve"> kandydatury </w:t>
      </w:r>
      <w:r w:rsidR="002B5A4C" w:rsidRPr="00BE5B69">
        <w:rPr>
          <w:rFonts w:cs="Arial"/>
          <w:color w:val="222222"/>
          <w:lang w:val="pl-PL"/>
        </w:rPr>
        <w:t xml:space="preserve">w wyborach </w:t>
      </w:r>
      <w:r w:rsidR="00D7274E" w:rsidRPr="00BE5B69">
        <w:rPr>
          <w:rFonts w:cs="Arial"/>
          <w:color w:val="222222"/>
          <w:lang w:val="pl-PL"/>
        </w:rPr>
        <w:t>miała charakter arbitralny.</w:t>
      </w:r>
    </w:p>
    <w:p w:rsidR="00B523C5" w:rsidRPr="00D7274E" w:rsidRDefault="0001044C" w:rsidP="00B523C5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>
        <w:rPr>
          <w:rFonts w:cs="Arial"/>
          <w:color w:val="222222"/>
          <w:u w:val="single"/>
          <w:lang w:val="pl-PL"/>
        </w:rPr>
        <w:t>Ocena Trybunału</w:t>
      </w:r>
    </w:p>
    <w:p w:rsidR="00D7274E" w:rsidRPr="00BE5B69" w:rsidRDefault="00B523C5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w pierwszej kolejności</w:t>
      </w:r>
      <w:r w:rsidR="00D7274E" w:rsidRPr="00BE5B69">
        <w:rPr>
          <w:rFonts w:cs="Arial"/>
          <w:color w:val="222222"/>
          <w:lang w:val="pl-PL"/>
        </w:rPr>
        <w:t xml:space="preserve"> </w:t>
      </w:r>
      <w:r w:rsidR="002B5A4C" w:rsidRPr="00BE5B69">
        <w:rPr>
          <w:rFonts w:cs="Arial"/>
          <w:color w:val="222222"/>
          <w:lang w:val="pl-PL"/>
        </w:rPr>
        <w:t>przypomniał</w:t>
      </w:r>
      <w:r w:rsidR="00D7274E" w:rsidRPr="00BE5B69">
        <w:rPr>
          <w:rFonts w:cs="Arial"/>
          <w:color w:val="222222"/>
          <w:lang w:val="pl-PL"/>
        </w:rPr>
        <w:t xml:space="preserve">, że </w:t>
      </w:r>
      <w:r w:rsidR="002B5A4C" w:rsidRPr="00BE5B69">
        <w:rPr>
          <w:rFonts w:cs="Arial"/>
          <w:color w:val="222222"/>
          <w:lang w:val="pl-PL"/>
        </w:rPr>
        <w:t>art. 3 Protokołu nr 1 do Konwencji</w:t>
      </w:r>
      <w:r w:rsidR="0001044C">
        <w:rPr>
          <w:rFonts w:cs="Arial"/>
          <w:color w:val="222222"/>
          <w:lang w:val="pl-PL"/>
        </w:rPr>
        <w:t xml:space="preserve"> odzwierciedla</w:t>
      </w:r>
      <w:r w:rsidR="002B5A4C" w:rsidRPr="00BE5B69">
        <w:rPr>
          <w:rFonts w:cs="Arial"/>
          <w:color w:val="222222"/>
          <w:lang w:val="pl-PL"/>
        </w:rPr>
        <w:t xml:space="preserve"> zasadę skutecznie funkcjonującej demokracji politycznej</w:t>
      </w:r>
      <w:r w:rsidR="0001044C">
        <w:rPr>
          <w:rFonts w:cs="Arial"/>
          <w:color w:val="222222"/>
          <w:lang w:val="pl-PL"/>
        </w:rPr>
        <w:t xml:space="preserve"> i</w:t>
      </w:r>
      <w:r w:rsidR="002B5A4C" w:rsidRPr="00BE5B69">
        <w:rPr>
          <w:rFonts w:cs="Arial"/>
          <w:color w:val="222222"/>
          <w:lang w:val="pl-PL"/>
        </w:rPr>
        <w:t xml:space="preserve"> </w:t>
      </w:r>
      <w:r w:rsidR="00D7274E" w:rsidRPr="00BE5B69">
        <w:rPr>
          <w:rFonts w:cs="Arial"/>
          <w:color w:val="222222"/>
          <w:lang w:val="pl-PL"/>
        </w:rPr>
        <w:t xml:space="preserve">ma kluczowe znaczenie </w:t>
      </w:r>
      <w:r w:rsidR="002B5A4C" w:rsidRPr="00BE5B69">
        <w:rPr>
          <w:rFonts w:cs="Arial"/>
          <w:color w:val="222222"/>
          <w:lang w:val="pl-PL"/>
        </w:rPr>
        <w:t xml:space="preserve">dla </w:t>
      </w:r>
      <w:r w:rsidR="00D7274E" w:rsidRPr="00BE5B69">
        <w:rPr>
          <w:rFonts w:cs="Arial"/>
          <w:color w:val="222222"/>
          <w:lang w:val="pl-PL"/>
        </w:rPr>
        <w:t>system</w:t>
      </w:r>
      <w:r w:rsidR="002B5A4C" w:rsidRPr="00BE5B69">
        <w:rPr>
          <w:rFonts w:cs="Arial"/>
          <w:color w:val="222222"/>
          <w:lang w:val="pl-PL"/>
        </w:rPr>
        <w:t>u</w:t>
      </w:r>
      <w:r w:rsidR="00D7274E" w:rsidRPr="00BE5B69">
        <w:rPr>
          <w:rFonts w:cs="Arial"/>
          <w:color w:val="222222"/>
          <w:lang w:val="pl-PL"/>
        </w:rPr>
        <w:t xml:space="preserve"> konwencyjnego</w:t>
      </w:r>
      <w:r w:rsidR="002B5A4C" w:rsidRPr="00BE5B69">
        <w:rPr>
          <w:rFonts w:cs="Arial"/>
          <w:color w:val="222222"/>
          <w:lang w:val="pl-PL"/>
        </w:rPr>
        <w:t xml:space="preserve">. Zgodnie z orzecznictwem Trybunału, postanowienie to przewiduje prawa indywidualne, w tym do głosowania i </w:t>
      </w:r>
      <w:r w:rsidR="00D7274E" w:rsidRPr="00BE5B69">
        <w:rPr>
          <w:rFonts w:cs="Arial"/>
          <w:color w:val="222222"/>
          <w:lang w:val="pl-PL"/>
        </w:rPr>
        <w:t>kandydowania w wy</w:t>
      </w:r>
      <w:r w:rsidRPr="00BE5B69">
        <w:rPr>
          <w:rFonts w:cs="Arial"/>
          <w:color w:val="222222"/>
          <w:lang w:val="pl-PL"/>
        </w:rPr>
        <w:t>borach</w:t>
      </w:r>
      <w:r w:rsidR="00D7274E" w:rsidRPr="00BE5B69">
        <w:rPr>
          <w:rFonts w:cs="Arial"/>
          <w:color w:val="222222"/>
          <w:lang w:val="pl-PL"/>
        </w:rPr>
        <w:t>.</w:t>
      </w:r>
      <w:r w:rsidR="002B5A4C" w:rsidRPr="00BE5B69">
        <w:rPr>
          <w:rFonts w:cs="Arial"/>
          <w:color w:val="222222"/>
          <w:lang w:val="pl-PL"/>
        </w:rPr>
        <w:t xml:space="preserve"> Prawa ta nie mają charakteru absolutnego i mogą podlegać pewnym ograniczeniom. </w:t>
      </w:r>
      <w:r w:rsidR="00D7274E" w:rsidRPr="00BE5B69">
        <w:rPr>
          <w:rFonts w:cs="Arial"/>
          <w:color w:val="222222"/>
          <w:lang w:val="pl-PL"/>
        </w:rPr>
        <w:t xml:space="preserve">Art. 3 nie </w:t>
      </w:r>
      <w:r w:rsidR="002B5A4C" w:rsidRPr="00BE5B69">
        <w:rPr>
          <w:rFonts w:cs="Arial"/>
          <w:color w:val="222222"/>
          <w:lang w:val="pl-PL"/>
        </w:rPr>
        <w:t xml:space="preserve">precyzuje, w jaki sposób  </w:t>
      </w:r>
      <w:r w:rsidR="000767D1" w:rsidRPr="00BE5B69">
        <w:rPr>
          <w:rFonts w:cs="Arial"/>
          <w:color w:val="222222"/>
          <w:lang w:val="pl-PL"/>
        </w:rPr>
        <w:t>państwa powinny szczegółowo uregulować kwestie</w:t>
      </w:r>
      <w:r w:rsidR="00D7274E" w:rsidRPr="00BE5B69">
        <w:rPr>
          <w:rFonts w:cs="Arial"/>
          <w:color w:val="222222"/>
          <w:lang w:val="pl-PL"/>
        </w:rPr>
        <w:t xml:space="preserve"> prawa wyborczego</w:t>
      </w:r>
      <w:r w:rsidRPr="00BE5B69">
        <w:rPr>
          <w:rFonts w:cs="Arial"/>
          <w:color w:val="222222"/>
          <w:lang w:val="pl-PL"/>
        </w:rPr>
        <w:t>,</w:t>
      </w:r>
      <w:r w:rsidR="00D7274E" w:rsidRPr="00BE5B69">
        <w:rPr>
          <w:rFonts w:cs="Arial"/>
          <w:color w:val="222222"/>
          <w:lang w:val="pl-PL"/>
        </w:rPr>
        <w:t xml:space="preserve"> pozostawiając </w:t>
      </w:r>
      <w:r w:rsidR="000767D1" w:rsidRPr="00BE5B69">
        <w:rPr>
          <w:rFonts w:cs="Arial"/>
          <w:color w:val="222222"/>
          <w:lang w:val="pl-PL"/>
        </w:rPr>
        <w:t>im w tym względzie szeroki margines</w:t>
      </w:r>
      <w:r w:rsidRPr="00BE5B69">
        <w:rPr>
          <w:rFonts w:cs="Arial"/>
          <w:color w:val="222222"/>
          <w:lang w:val="pl-PL"/>
        </w:rPr>
        <w:t xml:space="preserve"> oceny</w:t>
      </w:r>
      <w:r w:rsidR="00D7274E" w:rsidRPr="00BE5B69">
        <w:rPr>
          <w:rFonts w:cs="Arial"/>
          <w:color w:val="222222"/>
          <w:lang w:val="pl-PL"/>
        </w:rPr>
        <w:t xml:space="preserve">. Jednakże, </w:t>
      </w:r>
      <w:r w:rsidR="000767D1" w:rsidRPr="00BE5B69">
        <w:rPr>
          <w:rFonts w:cs="Arial"/>
          <w:color w:val="222222"/>
          <w:lang w:val="pl-PL"/>
        </w:rPr>
        <w:t>do Trybunału należy ocena, czy wymogi art. 3 Protokołu nr 1 zostały spełnione. S</w:t>
      </w:r>
      <w:r w:rsidRPr="00BE5B69">
        <w:rPr>
          <w:rFonts w:cs="Arial"/>
          <w:color w:val="222222"/>
          <w:lang w:val="pl-PL"/>
        </w:rPr>
        <w:t xml:space="preserve">tosowane </w:t>
      </w:r>
      <w:r w:rsidR="000767D1" w:rsidRPr="00BE5B69">
        <w:rPr>
          <w:rFonts w:cs="Arial"/>
          <w:color w:val="222222"/>
          <w:lang w:val="pl-PL"/>
        </w:rPr>
        <w:t xml:space="preserve">wymogi </w:t>
      </w:r>
      <w:r w:rsidR="00D7274E" w:rsidRPr="00BE5B69">
        <w:rPr>
          <w:rFonts w:cs="Arial"/>
          <w:color w:val="222222"/>
          <w:lang w:val="pl-PL"/>
        </w:rPr>
        <w:t xml:space="preserve">nie mogą </w:t>
      </w:r>
      <w:r w:rsidR="000767D1" w:rsidRPr="00BE5B69">
        <w:rPr>
          <w:rFonts w:cs="Arial"/>
          <w:color w:val="222222"/>
          <w:lang w:val="pl-PL"/>
        </w:rPr>
        <w:t xml:space="preserve">ograniczać praw </w:t>
      </w:r>
      <w:r w:rsidR="008E13A5">
        <w:rPr>
          <w:rFonts w:cs="Arial"/>
          <w:color w:val="222222"/>
          <w:lang w:val="pl-PL"/>
        </w:rPr>
        <w:t xml:space="preserve">indywidualnych </w:t>
      </w:r>
      <w:r w:rsidR="000767D1" w:rsidRPr="00BE5B69">
        <w:rPr>
          <w:rFonts w:cs="Arial"/>
          <w:color w:val="222222"/>
          <w:lang w:val="pl-PL"/>
        </w:rPr>
        <w:t>w sposób naruszający ich istotę i pozbawiający je skuteczności</w:t>
      </w:r>
      <w:r w:rsidR="008E13A5">
        <w:rPr>
          <w:rFonts w:cs="Arial"/>
          <w:color w:val="222222"/>
          <w:lang w:val="pl-PL"/>
        </w:rPr>
        <w:t xml:space="preserve">, </w:t>
      </w:r>
      <w:r w:rsidR="000767D1" w:rsidRPr="00BE5B69">
        <w:rPr>
          <w:rFonts w:cs="Arial"/>
          <w:color w:val="222222"/>
          <w:lang w:val="pl-PL"/>
        </w:rPr>
        <w:t xml:space="preserve">powinny </w:t>
      </w:r>
      <w:r w:rsidR="008E13A5">
        <w:rPr>
          <w:rFonts w:cs="Arial"/>
          <w:color w:val="222222"/>
          <w:lang w:val="pl-PL"/>
        </w:rPr>
        <w:t xml:space="preserve">one </w:t>
      </w:r>
      <w:r w:rsidR="000767D1" w:rsidRPr="00BE5B69">
        <w:rPr>
          <w:rFonts w:cs="Arial"/>
          <w:color w:val="222222"/>
          <w:lang w:val="pl-PL"/>
        </w:rPr>
        <w:t>być nakładane w uprawnionym celu</w:t>
      </w:r>
      <w:r w:rsidR="008E13A5">
        <w:rPr>
          <w:rFonts w:cs="Arial"/>
          <w:color w:val="222222"/>
          <w:lang w:val="pl-PL"/>
        </w:rPr>
        <w:t xml:space="preserve"> i</w:t>
      </w:r>
      <w:r w:rsidR="000767D1" w:rsidRPr="00BE5B69">
        <w:rPr>
          <w:rFonts w:cs="Arial"/>
          <w:color w:val="222222"/>
          <w:lang w:val="pl-PL"/>
        </w:rPr>
        <w:t xml:space="preserve"> nie mogą być nieproporcjonalne. Warunki takie nie mogą </w:t>
      </w:r>
      <w:r w:rsidR="00D7274E" w:rsidRPr="00BE5B69">
        <w:rPr>
          <w:rFonts w:cs="Arial"/>
          <w:color w:val="222222"/>
          <w:lang w:val="pl-PL"/>
        </w:rPr>
        <w:t xml:space="preserve">stać w sprzeczności ze swobodą wypowiedzi społeczeństwa </w:t>
      </w:r>
      <w:r w:rsidR="000767D1" w:rsidRPr="00BE5B69">
        <w:rPr>
          <w:rFonts w:cs="Arial"/>
          <w:color w:val="222222"/>
          <w:lang w:val="pl-PL"/>
        </w:rPr>
        <w:t xml:space="preserve">w </w:t>
      </w:r>
      <w:r w:rsidR="008E13A5">
        <w:rPr>
          <w:rFonts w:cs="Arial"/>
          <w:color w:val="222222"/>
          <w:lang w:val="pl-PL"/>
        </w:rPr>
        <w:t xml:space="preserve">odniesieniu do </w:t>
      </w:r>
      <w:r w:rsidR="000767D1" w:rsidRPr="00BE5B69">
        <w:rPr>
          <w:rFonts w:cs="Arial"/>
          <w:color w:val="222222"/>
          <w:lang w:val="pl-PL"/>
        </w:rPr>
        <w:t xml:space="preserve">wyboru </w:t>
      </w:r>
      <w:r w:rsidRPr="00BE5B69">
        <w:rPr>
          <w:rFonts w:cs="Arial"/>
          <w:color w:val="222222"/>
          <w:lang w:val="pl-PL"/>
        </w:rPr>
        <w:t xml:space="preserve">organu </w:t>
      </w:r>
      <w:r w:rsidR="000767D1" w:rsidRPr="00BE5B69">
        <w:rPr>
          <w:rFonts w:cs="Arial"/>
          <w:color w:val="222222"/>
          <w:lang w:val="pl-PL"/>
        </w:rPr>
        <w:t>ustawodawczego</w:t>
      </w:r>
      <w:r w:rsidR="00D7274E" w:rsidRPr="00BE5B69">
        <w:rPr>
          <w:rFonts w:cs="Arial"/>
          <w:color w:val="222222"/>
          <w:lang w:val="pl-PL"/>
        </w:rPr>
        <w:t xml:space="preserve">. Wszelkie działania władz krajowych muszą </w:t>
      </w:r>
      <w:r w:rsidRPr="00BE5B69">
        <w:rPr>
          <w:rFonts w:cs="Arial"/>
          <w:color w:val="222222"/>
          <w:lang w:val="pl-PL"/>
        </w:rPr>
        <w:t>zapewniać wymogi niezależności</w:t>
      </w:r>
      <w:r w:rsidR="00D7274E" w:rsidRPr="00BE5B69">
        <w:rPr>
          <w:rFonts w:cs="Arial"/>
          <w:color w:val="222222"/>
          <w:lang w:val="pl-PL"/>
        </w:rPr>
        <w:t xml:space="preserve">, a wszelkie decyzje przez nie podjęte </w:t>
      </w:r>
      <w:r w:rsidR="008E13A5">
        <w:rPr>
          <w:rFonts w:cs="Arial"/>
          <w:color w:val="222222"/>
          <w:lang w:val="pl-PL"/>
        </w:rPr>
        <w:t xml:space="preserve">powinny </w:t>
      </w:r>
      <w:r w:rsidR="00D7274E" w:rsidRPr="00BE5B69">
        <w:rPr>
          <w:rFonts w:cs="Arial"/>
          <w:color w:val="222222"/>
          <w:lang w:val="pl-PL"/>
        </w:rPr>
        <w:t>być odpowiednio uzasadnione.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odniesieniu do przedmiotowej sprawy Trybunał uznał, że wymóg zdobycia 450 podpisów </w:t>
      </w:r>
      <w:r w:rsidR="00060B88" w:rsidRPr="00BE5B69">
        <w:rPr>
          <w:rFonts w:cs="Arial"/>
          <w:color w:val="222222"/>
          <w:lang w:val="pl-PL"/>
        </w:rPr>
        <w:t xml:space="preserve">przez kandydata </w:t>
      </w:r>
      <w:r w:rsidR="008E13A5">
        <w:rPr>
          <w:rFonts w:cs="Arial"/>
          <w:color w:val="222222"/>
          <w:lang w:val="pl-PL"/>
        </w:rPr>
        <w:t xml:space="preserve">w wyborach </w:t>
      </w:r>
      <w:r w:rsidRPr="00BE5B69">
        <w:rPr>
          <w:rFonts w:cs="Arial"/>
          <w:color w:val="222222"/>
          <w:lang w:val="pl-PL"/>
        </w:rPr>
        <w:t>jest u</w:t>
      </w:r>
      <w:r w:rsidR="00060B88" w:rsidRPr="00BE5B69">
        <w:rPr>
          <w:rFonts w:cs="Arial"/>
          <w:color w:val="222222"/>
          <w:lang w:val="pl-PL"/>
        </w:rPr>
        <w:t>prawniony</w:t>
      </w:r>
      <w:r w:rsidRPr="00BE5B69">
        <w:rPr>
          <w:rFonts w:cs="Arial"/>
          <w:color w:val="222222"/>
          <w:lang w:val="pl-PL"/>
        </w:rPr>
        <w:t xml:space="preserve">. Z tego </w:t>
      </w:r>
      <w:r w:rsidR="00B523C5" w:rsidRPr="00BE5B69">
        <w:rPr>
          <w:rFonts w:cs="Arial"/>
          <w:color w:val="222222"/>
          <w:lang w:val="pl-PL"/>
        </w:rPr>
        <w:t xml:space="preserve">też względu Trybunał </w:t>
      </w:r>
      <w:r w:rsidR="00660B4C">
        <w:rPr>
          <w:rFonts w:cs="Arial"/>
          <w:color w:val="222222"/>
          <w:lang w:val="pl-PL"/>
        </w:rPr>
        <w:t>o</w:t>
      </w:r>
      <w:r w:rsidR="00B523C5" w:rsidRPr="00BE5B69">
        <w:rPr>
          <w:rFonts w:cs="Arial"/>
          <w:color w:val="222222"/>
          <w:lang w:val="pl-PL"/>
        </w:rPr>
        <w:t>dniósł się</w:t>
      </w:r>
      <w:r w:rsidRPr="00BE5B69">
        <w:rPr>
          <w:rFonts w:cs="Arial"/>
          <w:color w:val="222222"/>
          <w:lang w:val="pl-PL"/>
        </w:rPr>
        <w:t xml:space="preserve"> nie do </w:t>
      </w:r>
      <w:r w:rsidR="008E13A5">
        <w:rPr>
          <w:rFonts w:cs="Arial"/>
          <w:color w:val="222222"/>
          <w:lang w:val="pl-PL"/>
        </w:rPr>
        <w:t>tego</w:t>
      </w:r>
      <w:r w:rsidRPr="00BE5B69">
        <w:rPr>
          <w:rFonts w:cs="Arial"/>
          <w:color w:val="222222"/>
          <w:lang w:val="pl-PL"/>
        </w:rPr>
        <w:t xml:space="preserve"> ograniczenia, ale zbadał</w:t>
      </w:r>
      <w:r w:rsidR="00B523C5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czy </w:t>
      </w:r>
      <w:r w:rsidR="00060B88" w:rsidRPr="00BE5B69">
        <w:rPr>
          <w:rFonts w:cs="Arial"/>
          <w:color w:val="222222"/>
          <w:lang w:val="pl-PL"/>
        </w:rPr>
        <w:t xml:space="preserve">procedura </w:t>
      </w:r>
      <w:r w:rsidR="00660B4C">
        <w:rPr>
          <w:rFonts w:cs="Arial"/>
          <w:color w:val="222222"/>
          <w:lang w:val="pl-PL"/>
        </w:rPr>
        <w:t>weryfikowania</w:t>
      </w:r>
      <w:r w:rsidR="00060B88" w:rsidRPr="00BE5B69">
        <w:rPr>
          <w:rFonts w:cs="Arial"/>
          <w:color w:val="222222"/>
          <w:lang w:val="pl-PL"/>
        </w:rPr>
        <w:t xml:space="preserve"> </w:t>
      </w:r>
      <w:r w:rsidR="00A567DD" w:rsidRPr="00BE5B69">
        <w:rPr>
          <w:rFonts w:cs="Arial"/>
          <w:color w:val="222222"/>
          <w:lang w:val="pl-PL"/>
        </w:rPr>
        <w:t xml:space="preserve">przez organy krajowe </w:t>
      </w:r>
      <w:r w:rsidR="00060B88" w:rsidRPr="00BE5B69">
        <w:rPr>
          <w:rFonts w:cs="Arial"/>
          <w:color w:val="222222"/>
          <w:lang w:val="pl-PL"/>
        </w:rPr>
        <w:t xml:space="preserve">spełnienia tego wymogu </w:t>
      </w:r>
      <w:r w:rsidR="008E13A5">
        <w:rPr>
          <w:rFonts w:cs="Arial"/>
          <w:color w:val="222222"/>
          <w:lang w:val="pl-PL"/>
        </w:rPr>
        <w:t xml:space="preserve">przez kandydata </w:t>
      </w:r>
      <w:r w:rsidR="00060B88" w:rsidRPr="00BE5B69">
        <w:rPr>
          <w:rFonts w:cs="Arial"/>
          <w:color w:val="222222"/>
          <w:lang w:val="pl-PL"/>
        </w:rPr>
        <w:t>przewidywała wystarczające gwarancje chroniące przed arbitralnością.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ETPCz</w:t>
      </w:r>
      <w:r w:rsidR="00A567DD" w:rsidRPr="00BE5B69">
        <w:rPr>
          <w:rFonts w:cs="Arial"/>
          <w:color w:val="222222"/>
          <w:lang w:val="pl-PL"/>
        </w:rPr>
        <w:t xml:space="preserve"> zauważył</w:t>
      </w:r>
      <w:r w:rsidRPr="00BE5B69">
        <w:rPr>
          <w:rFonts w:cs="Arial"/>
          <w:color w:val="222222"/>
          <w:lang w:val="pl-PL"/>
        </w:rPr>
        <w:t>, że w swoim raporcie O</w:t>
      </w:r>
      <w:r w:rsidR="00B523C5" w:rsidRPr="00BE5B69">
        <w:rPr>
          <w:rFonts w:cs="Arial"/>
          <w:color w:val="222222"/>
          <w:lang w:val="pl-PL"/>
        </w:rPr>
        <w:t>rganizacja Bezpieczeństwa i Współpracy w Europie (O</w:t>
      </w:r>
      <w:r w:rsidRPr="00BE5B69">
        <w:rPr>
          <w:rFonts w:cs="Arial"/>
          <w:color w:val="222222"/>
          <w:lang w:val="pl-PL"/>
        </w:rPr>
        <w:t>BWE</w:t>
      </w:r>
      <w:r w:rsidR="00B523C5" w:rsidRPr="00BE5B69">
        <w:rPr>
          <w:rFonts w:cs="Arial"/>
          <w:color w:val="222222"/>
          <w:lang w:val="pl-PL"/>
        </w:rPr>
        <w:t>)</w:t>
      </w:r>
      <w:r w:rsidRPr="00BE5B69">
        <w:rPr>
          <w:rFonts w:cs="Arial"/>
          <w:color w:val="222222"/>
          <w:lang w:val="pl-PL"/>
        </w:rPr>
        <w:t xml:space="preserve"> </w:t>
      </w:r>
      <w:r w:rsidR="00A567DD" w:rsidRPr="00BE5B69">
        <w:rPr>
          <w:rFonts w:cs="Arial"/>
          <w:color w:val="222222"/>
          <w:lang w:val="pl-PL"/>
        </w:rPr>
        <w:t xml:space="preserve">odnotowała </w:t>
      </w:r>
      <w:r w:rsidRPr="00BE5B69">
        <w:rPr>
          <w:rFonts w:cs="Arial"/>
          <w:color w:val="222222"/>
          <w:lang w:val="pl-PL"/>
        </w:rPr>
        <w:t xml:space="preserve">poważne </w:t>
      </w:r>
      <w:r w:rsidR="00B523C5" w:rsidRPr="00BE5B69">
        <w:rPr>
          <w:rFonts w:cs="Arial"/>
          <w:color w:val="222222"/>
          <w:lang w:val="pl-PL"/>
        </w:rPr>
        <w:t>obawy</w:t>
      </w:r>
      <w:r w:rsidR="00467800" w:rsidRPr="00BE5B69">
        <w:rPr>
          <w:rFonts w:cs="Arial"/>
          <w:color w:val="222222"/>
          <w:lang w:val="pl-PL"/>
        </w:rPr>
        <w:t xml:space="preserve"> </w:t>
      </w:r>
      <w:r w:rsidR="00A567DD" w:rsidRPr="00BE5B69">
        <w:rPr>
          <w:rFonts w:cs="Arial"/>
          <w:color w:val="222222"/>
          <w:lang w:val="pl-PL"/>
        </w:rPr>
        <w:t xml:space="preserve">wyrażane przez obserwatorów wyborów </w:t>
      </w:r>
      <w:r w:rsidR="00467800" w:rsidRPr="00BE5B69">
        <w:rPr>
          <w:rFonts w:cs="Arial"/>
          <w:color w:val="222222"/>
          <w:lang w:val="pl-PL"/>
        </w:rPr>
        <w:t>co do bezstronności komisji wyborczych w Azerbejdżanie</w:t>
      </w:r>
      <w:r w:rsidR="00A567DD" w:rsidRPr="00BE5B69">
        <w:rPr>
          <w:rFonts w:cs="Arial"/>
          <w:color w:val="222222"/>
          <w:lang w:val="pl-PL"/>
        </w:rPr>
        <w:t xml:space="preserve">, które zdawały się faworyzować kandydatów </w:t>
      </w:r>
      <w:r w:rsidRPr="00BE5B69">
        <w:rPr>
          <w:rFonts w:cs="Arial"/>
          <w:color w:val="222222"/>
          <w:lang w:val="pl-PL"/>
        </w:rPr>
        <w:t xml:space="preserve">partii rządzącej,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w szczególności w </w:t>
      </w:r>
      <w:r w:rsidR="00660B4C">
        <w:rPr>
          <w:rFonts w:cs="Arial"/>
          <w:color w:val="222222"/>
          <w:lang w:val="pl-PL"/>
        </w:rPr>
        <w:t>trakcie</w:t>
      </w:r>
      <w:r w:rsidRPr="00BE5B69">
        <w:rPr>
          <w:rFonts w:cs="Arial"/>
          <w:color w:val="222222"/>
          <w:lang w:val="pl-PL"/>
        </w:rPr>
        <w:t xml:space="preserve"> procedury rejestracji k</w:t>
      </w:r>
      <w:r w:rsidR="00B523C5" w:rsidRPr="00BE5B69">
        <w:rPr>
          <w:rFonts w:cs="Arial"/>
          <w:color w:val="222222"/>
          <w:lang w:val="pl-PL"/>
        </w:rPr>
        <w:t xml:space="preserve">andydatów. Ponadto </w:t>
      </w:r>
      <w:r w:rsidR="008E13A5">
        <w:rPr>
          <w:rFonts w:cs="Arial"/>
          <w:color w:val="222222"/>
          <w:lang w:val="pl-PL"/>
        </w:rPr>
        <w:t xml:space="preserve">obserwatorzy </w:t>
      </w:r>
      <w:r w:rsidR="00ED6A1B" w:rsidRPr="00BE5B69">
        <w:rPr>
          <w:rFonts w:cs="Arial"/>
          <w:color w:val="222222"/>
          <w:lang w:val="pl-PL"/>
        </w:rPr>
        <w:t>wskazali</w:t>
      </w:r>
      <w:r w:rsidRPr="00BE5B69">
        <w:rPr>
          <w:rFonts w:cs="Arial"/>
          <w:color w:val="222222"/>
          <w:lang w:val="pl-PL"/>
        </w:rPr>
        <w:t xml:space="preserve">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że działan</w:t>
      </w:r>
      <w:r w:rsidR="00B523C5" w:rsidRPr="00BE5B69">
        <w:rPr>
          <w:rFonts w:cs="Arial"/>
          <w:color w:val="222222"/>
          <w:lang w:val="pl-PL"/>
        </w:rPr>
        <w:t xml:space="preserve">iom komisji wyborczych brak </w:t>
      </w:r>
      <w:r w:rsidR="008E13A5">
        <w:rPr>
          <w:rFonts w:cs="Arial"/>
          <w:color w:val="222222"/>
          <w:lang w:val="pl-PL"/>
        </w:rPr>
        <w:t xml:space="preserve">było </w:t>
      </w:r>
      <w:r w:rsidR="00ED6A1B" w:rsidRPr="00BE5B69">
        <w:rPr>
          <w:rFonts w:cs="Arial"/>
          <w:color w:val="222222"/>
          <w:lang w:val="pl-PL"/>
        </w:rPr>
        <w:t>przejrzystośc</w:t>
      </w:r>
      <w:r w:rsidR="00B523C5" w:rsidRPr="00BE5B69">
        <w:rPr>
          <w:rFonts w:cs="Arial"/>
          <w:color w:val="222222"/>
          <w:lang w:val="pl-PL"/>
        </w:rPr>
        <w:t>i</w:t>
      </w:r>
      <w:r w:rsidR="00ED6A1B" w:rsidRPr="00BE5B69">
        <w:rPr>
          <w:rFonts w:cs="Arial"/>
          <w:color w:val="222222"/>
          <w:lang w:val="pl-PL"/>
        </w:rPr>
        <w:t>,</w:t>
      </w:r>
      <w:r w:rsidR="00B523C5" w:rsidRPr="00BE5B69">
        <w:rPr>
          <w:rFonts w:cs="Arial"/>
          <w:color w:val="222222"/>
          <w:lang w:val="pl-PL"/>
        </w:rPr>
        <w:t xml:space="preserve"> dochodzi</w:t>
      </w:r>
      <w:r w:rsidR="008E13A5">
        <w:rPr>
          <w:rFonts w:cs="Arial"/>
          <w:color w:val="222222"/>
          <w:lang w:val="pl-PL"/>
        </w:rPr>
        <w:t>ło</w:t>
      </w:r>
      <w:r w:rsidRPr="00BE5B69">
        <w:rPr>
          <w:rFonts w:cs="Arial"/>
          <w:color w:val="222222"/>
          <w:lang w:val="pl-PL"/>
        </w:rPr>
        <w:t xml:space="preserve"> </w:t>
      </w:r>
      <w:r w:rsidR="00ED6A1B" w:rsidRPr="00BE5B69">
        <w:rPr>
          <w:rFonts w:cs="Arial"/>
          <w:color w:val="222222"/>
          <w:lang w:val="pl-PL"/>
        </w:rPr>
        <w:t xml:space="preserve">ponadto </w:t>
      </w:r>
      <w:r w:rsidRPr="00BE5B69">
        <w:rPr>
          <w:rFonts w:cs="Arial"/>
          <w:color w:val="222222"/>
          <w:lang w:val="pl-PL"/>
        </w:rPr>
        <w:t xml:space="preserve">do </w:t>
      </w:r>
      <w:r w:rsidR="00ED6A1B" w:rsidRPr="00BE5B69">
        <w:rPr>
          <w:rFonts w:cs="Arial"/>
          <w:color w:val="222222"/>
          <w:lang w:val="pl-PL"/>
        </w:rPr>
        <w:t xml:space="preserve">naruszeń licznych </w:t>
      </w:r>
      <w:r w:rsidRPr="00BE5B69">
        <w:rPr>
          <w:rFonts w:cs="Arial"/>
          <w:color w:val="222222"/>
          <w:lang w:val="pl-PL"/>
        </w:rPr>
        <w:t>gwarancji</w:t>
      </w:r>
      <w:r w:rsidR="00467800" w:rsidRPr="00BE5B69">
        <w:rPr>
          <w:rFonts w:cs="Arial"/>
          <w:color w:val="222222"/>
          <w:lang w:val="pl-PL"/>
        </w:rPr>
        <w:t xml:space="preserve"> </w:t>
      </w:r>
      <w:r w:rsidR="00ED6A1B" w:rsidRPr="00BE5B69">
        <w:rPr>
          <w:rFonts w:cs="Arial"/>
          <w:color w:val="222222"/>
          <w:lang w:val="pl-PL"/>
        </w:rPr>
        <w:t>ustawowych</w:t>
      </w:r>
      <w:r w:rsidRPr="00BE5B69">
        <w:rPr>
          <w:rFonts w:cs="Arial"/>
          <w:color w:val="222222"/>
          <w:lang w:val="pl-PL"/>
        </w:rPr>
        <w:t xml:space="preserve">. Bardzo często dochodziło do odmowy rejestracji kandydata ze względu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na drobne nieprawidłowości techniczne</w:t>
      </w:r>
      <w:r w:rsidR="00ED6A1B" w:rsidRPr="00BE5B69">
        <w:rPr>
          <w:rFonts w:cs="Arial"/>
          <w:color w:val="222222"/>
          <w:lang w:val="pl-PL"/>
        </w:rPr>
        <w:t>, postanowienia kodeksu wyborczego były stosowane zbyt restryk</w:t>
      </w:r>
      <w:r w:rsidR="008E13A5">
        <w:rPr>
          <w:rFonts w:cs="Arial"/>
          <w:color w:val="222222"/>
          <w:lang w:val="pl-PL"/>
        </w:rPr>
        <w:t>cyjnie</w:t>
      </w:r>
      <w:r w:rsidR="00ED6A1B" w:rsidRPr="00BE5B69">
        <w:rPr>
          <w:rFonts w:cs="Arial"/>
          <w:color w:val="222222"/>
          <w:lang w:val="pl-PL"/>
        </w:rPr>
        <w:t xml:space="preserve">, a kandydatom odmawiano prawa do udziału w wyborach z uwagi na drobne błędy techniczne, bez zbadania, czy decyzje takie były proporcjonalne w stosunku do </w:t>
      </w:r>
      <w:r w:rsidR="008E13A5">
        <w:rPr>
          <w:rFonts w:cs="Arial"/>
          <w:color w:val="222222"/>
          <w:lang w:val="pl-PL"/>
        </w:rPr>
        <w:t xml:space="preserve">wagi </w:t>
      </w:r>
      <w:r w:rsidR="00ED6A1B" w:rsidRPr="00BE5B69">
        <w:rPr>
          <w:rFonts w:cs="Arial"/>
          <w:color w:val="222222"/>
          <w:lang w:val="pl-PL"/>
        </w:rPr>
        <w:t>tych błędów</w:t>
      </w:r>
      <w:r w:rsidRPr="00BE5B69">
        <w:rPr>
          <w:rFonts w:cs="Arial"/>
          <w:color w:val="222222"/>
          <w:lang w:val="pl-PL"/>
        </w:rPr>
        <w:t>. Trybunał wskazał również na zarzut</w:t>
      </w:r>
      <w:r w:rsidR="00467800" w:rsidRPr="00BE5B69">
        <w:rPr>
          <w:rFonts w:cs="Arial"/>
          <w:color w:val="222222"/>
          <w:lang w:val="pl-PL"/>
        </w:rPr>
        <w:t>y</w:t>
      </w:r>
      <w:r w:rsidRPr="00BE5B69">
        <w:rPr>
          <w:rFonts w:cs="Arial"/>
          <w:color w:val="222222"/>
          <w:lang w:val="pl-PL"/>
        </w:rPr>
        <w:t xml:space="preserve"> </w:t>
      </w:r>
      <w:r w:rsidR="00ED6A1B" w:rsidRPr="00BE5B69">
        <w:rPr>
          <w:rFonts w:cs="Arial"/>
          <w:color w:val="222222"/>
          <w:lang w:val="pl-PL"/>
        </w:rPr>
        <w:t xml:space="preserve">obserwatorów </w:t>
      </w:r>
      <w:r w:rsidRPr="00BE5B69">
        <w:rPr>
          <w:rFonts w:cs="Arial"/>
          <w:color w:val="222222"/>
          <w:lang w:val="pl-PL"/>
        </w:rPr>
        <w:t xml:space="preserve">OBWE </w:t>
      </w:r>
      <w:r w:rsidR="00467800" w:rsidRPr="00BE5B69">
        <w:rPr>
          <w:rFonts w:cs="Arial"/>
          <w:color w:val="222222"/>
          <w:lang w:val="pl-PL"/>
        </w:rPr>
        <w:t>dotyczące</w:t>
      </w:r>
      <w:r w:rsidR="0041026E">
        <w:rPr>
          <w:rFonts w:cs="Arial"/>
          <w:color w:val="222222"/>
          <w:lang w:val="pl-PL"/>
        </w:rPr>
        <w:t>:</w:t>
      </w:r>
      <w:r w:rsidR="00467800" w:rsidRPr="00BE5B69">
        <w:rPr>
          <w:rFonts w:cs="Arial"/>
          <w:color w:val="222222"/>
          <w:lang w:val="pl-PL"/>
        </w:rPr>
        <w:t xml:space="preserve"> </w:t>
      </w:r>
      <w:r w:rsidRPr="00BE5B69">
        <w:rPr>
          <w:rFonts w:cs="Arial"/>
          <w:color w:val="222222"/>
          <w:lang w:val="pl-PL"/>
        </w:rPr>
        <w:t>braku możliwości</w:t>
      </w:r>
      <w:r w:rsidR="00467800" w:rsidRPr="00BE5B69">
        <w:rPr>
          <w:rFonts w:cs="Arial"/>
          <w:color w:val="222222"/>
          <w:lang w:val="pl-PL"/>
        </w:rPr>
        <w:t xml:space="preserve"> uczestniczenia</w:t>
      </w:r>
      <w:r w:rsidRPr="00BE5B69">
        <w:rPr>
          <w:rFonts w:cs="Arial"/>
          <w:color w:val="222222"/>
          <w:lang w:val="pl-PL"/>
        </w:rPr>
        <w:t xml:space="preserve"> w postępowaniach, których przedmiotem były odwołania od decyzji </w:t>
      </w:r>
      <w:r w:rsidR="00467800" w:rsidRPr="00BE5B69">
        <w:rPr>
          <w:rFonts w:cs="Arial"/>
          <w:color w:val="222222"/>
          <w:lang w:val="pl-PL"/>
        </w:rPr>
        <w:t>o odmowie</w:t>
      </w:r>
      <w:r w:rsidRPr="00BE5B69">
        <w:rPr>
          <w:rFonts w:cs="Arial"/>
          <w:color w:val="222222"/>
          <w:lang w:val="pl-PL"/>
        </w:rPr>
        <w:t xml:space="preserve"> rejestracji</w:t>
      </w:r>
      <w:r w:rsidR="00467800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</w:t>
      </w:r>
      <w:r w:rsidR="0041026E">
        <w:rPr>
          <w:rFonts w:cs="Arial"/>
          <w:color w:val="222222"/>
          <w:lang w:val="pl-PL"/>
        </w:rPr>
        <w:t>nieuwzględniania</w:t>
      </w:r>
      <w:r w:rsidR="00494936" w:rsidRPr="00BE5B69">
        <w:rPr>
          <w:rFonts w:cs="Arial"/>
          <w:color w:val="222222"/>
          <w:lang w:val="pl-PL"/>
        </w:rPr>
        <w:t xml:space="preserve"> dowodów przedkładanych przez wnioskodawców oraz </w:t>
      </w:r>
      <w:r w:rsidRPr="00BE5B69">
        <w:rPr>
          <w:rFonts w:cs="Arial"/>
          <w:color w:val="222222"/>
          <w:lang w:val="pl-PL"/>
        </w:rPr>
        <w:t>braku odpowiednich uzasadnień decyzji</w:t>
      </w:r>
      <w:r w:rsidR="008E13A5">
        <w:rPr>
          <w:rFonts w:cs="Arial"/>
          <w:color w:val="222222"/>
          <w:lang w:val="pl-PL"/>
        </w:rPr>
        <w:t xml:space="preserve"> o odmowie rejestracji</w:t>
      </w:r>
      <w:r w:rsidRPr="00BE5B69">
        <w:rPr>
          <w:rFonts w:cs="Arial"/>
          <w:color w:val="222222"/>
          <w:lang w:val="pl-PL"/>
        </w:rPr>
        <w:t>.</w:t>
      </w:r>
    </w:p>
    <w:p w:rsidR="00D7274E" w:rsidRPr="00BE5B69" w:rsidRDefault="00494936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Jak zauważył Trybunał, w przedmiotowej sprawie</w:t>
      </w:r>
      <w:r w:rsidR="00D7274E" w:rsidRPr="00BE5B69">
        <w:rPr>
          <w:rFonts w:cs="Arial"/>
          <w:color w:val="222222"/>
          <w:lang w:val="pl-PL"/>
        </w:rPr>
        <w:t xml:space="preserve"> na pierwszym etapie podpisy osób popierających kandydaturę skarżącego były analizowane przez dwie grupy robocze, z których faktycznie tylko jedna badała poprawność podpisów</w:t>
      </w:r>
      <w:r w:rsidRPr="00BE5B69">
        <w:rPr>
          <w:rFonts w:cs="Arial"/>
          <w:color w:val="222222"/>
          <w:lang w:val="pl-PL"/>
        </w:rPr>
        <w:t>.</w:t>
      </w:r>
      <w:r w:rsidR="00D7274E" w:rsidRPr="00BE5B69">
        <w:rPr>
          <w:rFonts w:cs="Arial"/>
          <w:color w:val="222222"/>
          <w:lang w:val="pl-PL"/>
        </w:rPr>
        <w:t xml:space="preserve"> </w:t>
      </w:r>
      <w:r w:rsidRPr="00BE5B69">
        <w:rPr>
          <w:rFonts w:cs="Arial"/>
          <w:color w:val="222222"/>
          <w:lang w:val="pl-PL"/>
        </w:rPr>
        <w:t>O</w:t>
      </w:r>
      <w:r w:rsidR="00D7274E" w:rsidRPr="00BE5B69">
        <w:rPr>
          <w:rFonts w:cs="Arial"/>
          <w:color w:val="222222"/>
          <w:lang w:val="pl-PL"/>
        </w:rPr>
        <w:t>soby oceniające bazowały jedynie na ogólny</w:t>
      </w:r>
      <w:r w:rsidR="00467800" w:rsidRPr="00BE5B69">
        <w:rPr>
          <w:rFonts w:cs="Arial"/>
          <w:color w:val="222222"/>
          <w:lang w:val="pl-PL"/>
        </w:rPr>
        <w:t>m</w:t>
      </w:r>
      <w:r w:rsidR="00D7274E" w:rsidRPr="00BE5B69">
        <w:rPr>
          <w:rFonts w:cs="Arial"/>
          <w:color w:val="222222"/>
          <w:lang w:val="pl-PL"/>
        </w:rPr>
        <w:t xml:space="preserve"> poró</w:t>
      </w:r>
      <w:r w:rsidR="00467800" w:rsidRPr="00BE5B69">
        <w:rPr>
          <w:rFonts w:cs="Arial"/>
          <w:color w:val="222222"/>
          <w:lang w:val="pl-PL"/>
        </w:rPr>
        <w:t xml:space="preserve">wnaniu własnoręcznych podpisów – </w:t>
      </w:r>
      <w:r w:rsidR="00D7274E" w:rsidRPr="00BE5B69">
        <w:rPr>
          <w:rFonts w:cs="Arial"/>
          <w:color w:val="222222"/>
          <w:lang w:val="pl-PL"/>
        </w:rPr>
        <w:t xml:space="preserve">ich ocena wskazywała jedynie na prawdopodobieństwo,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>że część  przedłożonych podpisów była nieważna. Pomimo zapytania Trybunału, rząd Azerbejdżanu nie przestawił informacji na temat kwalifikacji osób badających podpisy. ETPCz wskazał przy tym,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 xml:space="preserve">że obowiązujące przepisy ustawy w ogóle nie odnosiły się do </w:t>
      </w:r>
      <w:r w:rsidRPr="00BE5B69">
        <w:rPr>
          <w:rFonts w:cs="Arial"/>
          <w:color w:val="222222"/>
          <w:lang w:val="pl-PL"/>
        </w:rPr>
        <w:t xml:space="preserve">kwestii </w:t>
      </w:r>
      <w:r w:rsidR="00D7274E" w:rsidRPr="00BE5B69">
        <w:rPr>
          <w:rFonts w:cs="Arial"/>
          <w:color w:val="222222"/>
          <w:lang w:val="pl-PL"/>
        </w:rPr>
        <w:t xml:space="preserve">kwalifikacji lub szczególnych </w:t>
      </w:r>
      <w:r w:rsidR="00D7274E" w:rsidRPr="00BE5B69">
        <w:rPr>
          <w:rFonts w:cs="Arial"/>
          <w:color w:val="222222"/>
          <w:lang w:val="pl-PL"/>
        </w:rPr>
        <w:lastRenderedPageBreak/>
        <w:t>szkoleń dla osób weryfikujących podpisy. Ponadto ustawa krajowa przewidywała możliwość zasięgnięcia od kandydata</w:t>
      </w:r>
      <w:r w:rsidRPr="00BE5B69">
        <w:rPr>
          <w:rFonts w:cs="Arial"/>
          <w:color w:val="222222"/>
          <w:lang w:val="pl-PL"/>
        </w:rPr>
        <w:t xml:space="preserve"> lub innych osób</w:t>
      </w:r>
      <w:r w:rsidR="00D7274E" w:rsidRPr="00BE5B69">
        <w:rPr>
          <w:rFonts w:cs="Arial"/>
          <w:color w:val="222222"/>
          <w:lang w:val="pl-PL"/>
        </w:rPr>
        <w:t xml:space="preserve"> dodatkowych informacji </w:t>
      </w:r>
      <w:r w:rsidR="00467800" w:rsidRPr="00BE5B69">
        <w:rPr>
          <w:rFonts w:cs="Arial"/>
          <w:color w:val="222222"/>
          <w:lang w:val="pl-PL"/>
        </w:rPr>
        <w:t xml:space="preserve">dotyczących jego wniosku, jednakże w przedmiotowej sprawie </w:t>
      </w:r>
      <w:r w:rsidR="00D7274E" w:rsidRPr="00BE5B69">
        <w:rPr>
          <w:rFonts w:cs="Arial"/>
          <w:color w:val="222222"/>
          <w:lang w:val="pl-PL"/>
        </w:rPr>
        <w:t>nie zwrócono si</w:t>
      </w:r>
      <w:r w:rsidR="00467800" w:rsidRPr="00BE5B69">
        <w:rPr>
          <w:rFonts w:cs="Arial"/>
          <w:color w:val="222222"/>
          <w:lang w:val="pl-PL"/>
        </w:rPr>
        <w:t>ę</w:t>
      </w:r>
      <w:r w:rsidR="00D7274E" w:rsidRPr="00BE5B69">
        <w:rPr>
          <w:rFonts w:cs="Arial"/>
          <w:color w:val="222222"/>
          <w:lang w:val="pl-PL"/>
        </w:rPr>
        <w:t xml:space="preserve"> w tej kwestii do skarżącego.</w:t>
      </w:r>
      <w:r w:rsidRPr="00BE5B69">
        <w:rPr>
          <w:rFonts w:cs="Arial"/>
          <w:color w:val="222222"/>
          <w:lang w:val="pl-PL"/>
        </w:rPr>
        <w:t xml:space="preserve"> W sprawie skarżącego nie respektowano gwarancji proceduralnych przewidzianych w ustawie</w:t>
      </w:r>
      <w:r w:rsidR="000A0792" w:rsidRPr="00BE5B69">
        <w:rPr>
          <w:rFonts w:cs="Arial"/>
          <w:color w:val="222222"/>
          <w:lang w:val="pl-PL"/>
        </w:rPr>
        <w:t>.</w:t>
      </w:r>
      <w:r w:rsidR="00D7274E" w:rsidRPr="00BE5B69">
        <w:rPr>
          <w:rFonts w:cs="Arial"/>
          <w:color w:val="222222"/>
          <w:lang w:val="pl-PL"/>
        </w:rPr>
        <w:t xml:space="preserve"> W związku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>z powyższym Trybunał stwierdził, że wydanie odmownej decyzji w sprawie skarżącego miało charakter arbitralny</w:t>
      </w:r>
      <w:r w:rsidR="000A0792" w:rsidRPr="00BE5B69">
        <w:rPr>
          <w:rFonts w:cs="Arial"/>
          <w:color w:val="222222"/>
          <w:lang w:val="pl-PL"/>
        </w:rPr>
        <w:t>.</w:t>
      </w:r>
      <w:r w:rsidR="002D2C70" w:rsidRPr="00BE5B69">
        <w:rPr>
          <w:rFonts w:cs="Arial"/>
          <w:color w:val="222222"/>
          <w:lang w:val="pl-PL"/>
        </w:rPr>
        <w:t xml:space="preserve"> </w:t>
      </w:r>
      <w:r w:rsidR="00D7274E" w:rsidRPr="00BE5B69">
        <w:rPr>
          <w:rFonts w:cs="Arial"/>
          <w:color w:val="222222"/>
          <w:lang w:val="pl-PL"/>
        </w:rPr>
        <w:t xml:space="preserve">ETPCz </w:t>
      </w:r>
      <w:r w:rsidR="000A0792" w:rsidRPr="00BE5B69">
        <w:rPr>
          <w:rFonts w:cs="Arial"/>
          <w:color w:val="222222"/>
          <w:lang w:val="pl-PL"/>
        </w:rPr>
        <w:t>uznał</w:t>
      </w:r>
      <w:r w:rsidR="00D7274E" w:rsidRPr="00BE5B69">
        <w:rPr>
          <w:rFonts w:cs="Arial"/>
          <w:color w:val="222222"/>
          <w:lang w:val="pl-PL"/>
        </w:rPr>
        <w:t>, że skarżący został pozbawiony w</w:t>
      </w:r>
      <w:r w:rsidR="00105DFE" w:rsidRPr="00BE5B69">
        <w:rPr>
          <w:rFonts w:cs="Arial"/>
          <w:color w:val="222222"/>
          <w:lang w:val="pl-PL"/>
        </w:rPr>
        <w:t xml:space="preserve">skazanych wyżej </w:t>
      </w:r>
      <w:r w:rsidR="00D7274E" w:rsidRPr="00BE5B69">
        <w:rPr>
          <w:rFonts w:cs="Arial"/>
          <w:color w:val="222222"/>
          <w:lang w:val="pl-PL"/>
        </w:rPr>
        <w:t xml:space="preserve">gwarancji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>w postępowaniu przed komisją wyborczą</w:t>
      </w:r>
      <w:r w:rsidR="00105DFE" w:rsidRPr="00BE5B69">
        <w:rPr>
          <w:rFonts w:cs="Arial"/>
          <w:color w:val="222222"/>
          <w:lang w:val="pl-PL"/>
        </w:rPr>
        <w:t>,</w:t>
      </w:r>
      <w:r w:rsidR="00D7274E" w:rsidRPr="00BE5B69">
        <w:rPr>
          <w:rFonts w:cs="Arial"/>
          <w:color w:val="222222"/>
          <w:lang w:val="pl-PL"/>
        </w:rPr>
        <w:t xml:space="preserve"> a ponadto </w:t>
      </w:r>
      <w:r w:rsidR="00105DFE" w:rsidRPr="00BE5B69">
        <w:rPr>
          <w:rFonts w:cs="Arial"/>
          <w:color w:val="222222"/>
          <w:lang w:val="pl-PL"/>
        </w:rPr>
        <w:t xml:space="preserve">został </w:t>
      </w:r>
      <w:r w:rsidR="00D7274E" w:rsidRPr="00BE5B69">
        <w:rPr>
          <w:rFonts w:cs="Arial"/>
          <w:color w:val="222222"/>
          <w:lang w:val="pl-PL"/>
        </w:rPr>
        <w:t>również pozbawiony z możliwości skorzystania z nich przed Centralną Komisją Wyborczą. Dodatkowo sąd odwoławczy nie przedstawił żadnego uzasadnienia swojego orzeczenia, co nie zostało również wytknięte przez Sąd Najwyższy.</w:t>
      </w:r>
      <w:r w:rsidR="00292B87" w:rsidRPr="00BE5B69">
        <w:rPr>
          <w:rFonts w:cs="Arial"/>
          <w:color w:val="222222"/>
          <w:lang w:val="pl-PL"/>
        </w:rPr>
        <w:t xml:space="preserve"> Trybunał uznał, że postępowanie komisji wyborczych oraz sądów w tej sprawie, oraz wydane przez nie orzeczenia, ujawniły brak ich rzeczywistego zainteresowania zapewnieniem zasady rządów prawa i ochrony integralności wyborów.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konsekwencji Trybunał </w:t>
      </w:r>
      <w:r w:rsidR="00105DFE" w:rsidRPr="00BE5B69">
        <w:rPr>
          <w:rFonts w:cs="Arial"/>
          <w:color w:val="222222"/>
          <w:lang w:val="pl-PL"/>
        </w:rPr>
        <w:t xml:space="preserve">stwierdził </w:t>
      </w:r>
      <w:r w:rsidRPr="00BE5B69">
        <w:rPr>
          <w:rFonts w:cs="Arial"/>
          <w:color w:val="222222"/>
          <w:lang w:val="pl-PL"/>
        </w:rPr>
        <w:t xml:space="preserve">naruszenie art. 3 Protokołu </w:t>
      </w:r>
      <w:r w:rsidR="00105DFE" w:rsidRPr="00BE5B69">
        <w:rPr>
          <w:rFonts w:cs="Arial"/>
          <w:color w:val="222222"/>
          <w:lang w:val="pl-PL"/>
        </w:rPr>
        <w:t>n</w:t>
      </w:r>
      <w:r w:rsidRPr="00BE5B69">
        <w:rPr>
          <w:rFonts w:cs="Arial"/>
          <w:color w:val="222222"/>
          <w:lang w:val="pl-PL"/>
        </w:rPr>
        <w:t xml:space="preserve">r 1 do Konwencji </w:t>
      </w:r>
      <w:r w:rsidR="00105DFE" w:rsidRPr="00BE5B69">
        <w:rPr>
          <w:rFonts w:cs="Arial"/>
          <w:color w:val="222222"/>
          <w:lang w:val="pl-PL"/>
        </w:rPr>
        <w:t>i przyznał</w:t>
      </w:r>
      <w:r w:rsidRPr="00BE5B69">
        <w:rPr>
          <w:rFonts w:cs="Arial"/>
          <w:color w:val="222222"/>
          <w:lang w:val="pl-PL"/>
        </w:rPr>
        <w:t xml:space="preserve"> skarżącemu zadośćuczynienie w wysokości 7 500 </w:t>
      </w:r>
      <w:r w:rsidR="00621504">
        <w:rPr>
          <w:rFonts w:cs="Arial"/>
          <w:color w:val="222222"/>
          <w:lang w:val="pl-PL"/>
        </w:rPr>
        <w:t xml:space="preserve">euro </w:t>
      </w:r>
      <w:r w:rsidRPr="00BE5B69">
        <w:rPr>
          <w:rFonts w:cs="Arial"/>
          <w:color w:val="222222"/>
          <w:lang w:val="pl-PL"/>
        </w:rPr>
        <w:t>(+ koszty 2</w:t>
      </w:r>
      <w:r w:rsidR="00621504">
        <w:rPr>
          <w:rFonts w:cs="Arial"/>
          <w:color w:val="222222"/>
          <w:lang w:val="pl-PL"/>
        </w:rPr>
        <w:t> </w:t>
      </w:r>
      <w:r w:rsidRPr="00BE5B69">
        <w:rPr>
          <w:rFonts w:cs="Arial"/>
          <w:color w:val="222222"/>
          <w:lang w:val="pl-PL"/>
        </w:rPr>
        <w:t>150</w:t>
      </w:r>
      <w:r w:rsidR="00621504">
        <w:rPr>
          <w:rFonts w:cs="Arial"/>
          <w:color w:val="222222"/>
          <w:lang w:val="pl-PL"/>
        </w:rPr>
        <w:t xml:space="preserve"> euro</w:t>
      </w:r>
      <w:r w:rsidRPr="00BE5B69">
        <w:rPr>
          <w:rFonts w:cs="Arial"/>
          <w:color w:val="222222"/>
          <w:lang w:val="pl-PL"/>
        </w:rPr>
        <w:t xml:space="preserve">). </w:t>
      </w:r>
    </w:p>
    <w:p w:rsidR="00D7274E" w:rsidRPr="001260FD" w:rsidRDefault="00D7274E" w:rsidP="00D7274E">
      <w:pPr>
        <w:pStyle w:val="Nagwek2"/>
        <w:numPr>
          <w:ilvl w:val="0"/>
          <w:numId w:val="1"/>
        </w:numPr>
      </w:pPr>
      <w:bookmarkStart w:id="6" w:name="_Toc424579197"/>
      <w:proofErr w:type="spellStart"/>
      <w:r w:rsidRPr="001260FD">
        <w:t>Delfi</w:t>
      </w:r>
      <w:proofErr w:type="spellEnd"/>
      <w:r w:rsidRPr="001260FD">
        <w:t xml:space="preserve"> AS p. Estonii (</w:t>
      </w:r>
      <w:r w:rsidR="00FA6FD7">
        <w:t>skarga nr</w:t>
      </w:r>
      <w:r w:rsidRPr="001260FD">
        <w:t xml:space="preserve"> 64569/09)</w:t>
      </w:r>
      <w:r w:rsidR="001260FD" w:rsidRPr="001260FD">
        <w:t xml:space="preserve">, wyrok Wielkiej Izby z </w:t>
      </w:r>
      <w:r w:rsidR="001260FD" w:rsidRPr="00FA6FD7">
        <w:t>16.06.2015, ostateczny</w:t>
      </w:r>
      <w:bookmarkEnd w:id="6"/>
    </w:p>
    <w:p w:rsidR="0099009E" w:rsidRPr="00FA6FD7" w:rsidRDefault="0099009E" w:rsidP="00FA6FD7">
      <w:pPr>
        <w:pStyle w:val="Nagwek3"/>
        <w:rPr>
          <w:lang w:val="pl-PL"/>
        </w:rPr>
      </w:pPr>
      <w:bookmarkStart w:id="7" w:name="_Toc424579198"/>
      <w:r w:rsidRPr="00FA6FD7">
        <w:rPr>
          <w:lang w:val="pl-PL"/>
        </w:rPr>
        <w:t xml:space="preserve">- stwierdzenie przez sądy krajowe odpowiedzialności właściciela portalu internetowego </w:t>
      </w:r>
      <w:r w:rsidR="0041026E">
        <w:rPr>
          <w:lang w:val="pl-PL"/>
        </w:rPr>
        <w:br/>
      </w:r>
      <w:r w:rsidRPr="00FA6FD7">
        <w:rPr>
          <w:lang w:val="pl-PL"/>
        </w:rPr>
        <w:t xml:space="preserve">za </w:t>
      </w:r>
      <w:r w:rsidR="005F60D3" w:rsidRPr="00FA6FD7">
        <w:rPr>
          <w:lang w:val="pl-PL"/>
        </w:rPr>
        <w:t xml:space="preserve">obraźliwe komentarze </w:t>
      </w:r>
      <w:r w:rsidR="004334D7">
        <w:rPr>
          <w:lang w:val="pl-PL"/>
        </w:rPr>
        <w:t xml:space="preserve">internautów </w:t>
      </w:r>
      <w:r w:rsidR="005F60D3" w:rsidRPr="00FA6FD7">
        <w:rPr>
          <w:lang w:val="pl-PL"/>
        </w:rPr>
        <w:t>publikowane na jego portalu – brak naruszenia art. 10 Konwencji (wolność wyrażania opinii)</w:t>
      </w:r>
      <w:bookmarkEnd w:id="7"/>
    </w:p>
    <w:p w:rsidR="00D7274E" w:rsidRPr="00D7274E" w:rsidRDefault="00D7274E" w:rsidP="00413536">
      <w:pPr>
        <w:spacing w:line="240" w:lineRule="auto"/>
        <w:rPr>
          <w:u w:val="single"/>
          <w:lang w:val="pl-PL"/>
        </w:rPr>
      </w:pPr>
      <w:r w:rsidRPr="00D7274E">
        <w:rPr>
          <w:u w:val="single"/>
          <w:lang w:val="pl-PL"/>
        </w:rPr>
        <w:t>Stan faktyczny</w:t>
      </w:r>
      <w:r w:rsidR="00E83243">
        <w:rPr>
          <w:u w:val="single"/>
          <w:lang w:val="pl-PL"/>
        </w:rPr>
        <w:t xml:space="preserve"> i </w:t>
      </w:r>
      <w:r w:rsidR="00C60A61">
        <w:rPr>
          <w:u w:val="single"/>
          <w:lang w:val="pl-PL"/>
        </w:rPr>
        <w:t>zarzuty</w:t>
      </w:r>
      <w:r w:rsidR="00E83243">
        <w:rPr>
          <w:u w:val="single"/>
          <w:lang w:val="pl-PL"/>
        </w:rPr>
        <w:t xml:space="preserve"> skarżącego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Skarżący</w:t>
      </w:r>
      <w:r w:rsidR="00793985" w:rsidRPr="00BE5B69">
        <w:rPr>
          <w:rFonts w:cs="Arial"/>
          <w:color w:val="222222"/>
          <w:lang w:val="pl-PL"/>
        </w:rPr>
        <w:t>m jest</w:t>
      </w:r>
      <w:r w:rsidRPr="00BE5B69">
        <w:rPr>
          <w:rFonts w:cs="Arial"/>
          <w:color w:val="222222"/>
          <w:lang w:val="pl-PL"/>
        </w:rPr>
        <w:t xml:space="preserve"> estońska spółka będąca właścicielem </w:t>
      </w:r>
      <w:r w:rsidR="00793985" w:rsidRPr="00BE5B69">
        <w:rPr>
          <w:rFonts w:cs="Arial"/>
          <w:color w:val="222222"/>
          <w:lang w:val="pl-PL"/>
        </w:rPr>
        <w:t>„</w:t>
      </w:r>
      <w:proofErr w:type="spellStart"/>
      <w:r w:rsidR="00793985" w:rsidRPr="00BE5B69">
        <w:rPr>
          <w:rFonts w:cs="Arial"/>
          <w:color w:val="222222"/>
          <w:lang w:val="pl-PL"/>
        </w:rPr>
        <w:t>Delfi</w:t>
      </w:r>
      <w:proofErr w:type="spellEnd"/>
      <w:r w:rsidR="00793985" w:rsidRPr="00BE5B69">
        <w:rPr>
          <w:rFonts w:cs="Arial"/>
          <w:color w:val="222222"/>
          <w:lang w:val="pl-PL"/>
        </w:rPr>
        <w:t xml:space="preserve">”, </w:t>
      </w:r>
      <w:r w:rsidRPr="00BE5B69">
        <w:rPr>
          <w:rFonts w:cs="Arial"/>
          <w:color w:val="222222"/>
          <w:lang w:val="pl-PL"/>
        </w:rPr>
        <w:t>jednego z największych portali internetowych w Estonii</w:t>
      </w:r>
      <w:r w:rsidR="00793985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publikującego do 330 artykułów dziennie. W okresie, którego dotyczy przedmiotowa skarga</w:t>
      </w:r>
      <w:r w:rsidR="00793985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czytelnicy mieli możliwość komentowania publikowanych artykułów. Komentarze były publikowane automatycznie – bez uprzedniej edycji i moderacji przez administratorów portalu. Jednocześnie działał system </w:t>
      </w:r>
      <w:proofErr w:type="spellStart"/>
      <w:r w:rsidRPr="00BE5B69">
        <w:rPr>
          <w:rFonts w:cs="Arial"/>
          <w:i/>
          <w:color w:val="222222"/>
          <w:lang w:val="pl-PL"/>
        </w:rPr>
        <w:t>notice</w:t>
      </w:r>
      <w:proofErr w:type="spellEnd"/>
      <w:r w:rsidRPr="00BE5B69">
        <w:rPr>
          <w:rFonts w:cs="Arial"/>
          <w:i/>
          <w:color w:val="222222"/>
          <w:lang w:val="pl-PL"/>
        </w:rPr>
        <w:t>-and-</w:t>
      </w:r>
      <w:proofErr w:type="spellStart"/>
      <w:r w:rsidRPr="00BE5B69">
        <w:rPr>
          <w:rFonts w:cs="Arial"/>
          <w:i/>
          <w:color w:val="222222"/>
          <w:lang w:val="pl-PL"/>
        </w:rPr>
        <w:t>take</w:t>
      </w:r>
      <w:proofErr w:type="spellEnd"/>
      <w:r w:rsidRPr="00BE5B69">
        <w:rPr>
          <w:rFonts w:cs="Arial"/>
          <w:i/>
          <w:color w:val="222222"/>
          <w:lang w:val="pl-PL"/>
        </w:rPr>
        <w:t>-down</w:t>
      </w:r>
      <w:r w:rsidRPr="00BE5B69">
        <w:rPr>
          <w:rFonts w:cs="Arial"/>
          <w:color w:val="222222"/>
          <w:lang w:val="pl-PL"/>
        </w:rPr>
        <w:t xml:space="preserve">, co oznacza, że każdy czytelnik mógł oznaczyć komentarz jako </w:t>
      </w:r>
      <w:proofErr w:type="spellStart"/>
      <w:r w:rsidRPr="00BE5B69">
        <w:rPr>
          <w:rFonts w:cs="Arial"/>
          <w:i/>
          <w:color w:val="222222"/>
          <w:lang w:val="pl-PL"/>
        </w:rPr>
        <w:t>leim</w:t>
      </w:r>
      <w:proofErr w:type="spellEnd"/>
      <w:r w:rsidRPr="00BE5B69">
        <w:rPr>
          <w:rFonts w:cs="Arial"/>
          <w:i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co w języku estońskim oznacza obraźliwy, szyderczy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lub zachęcający do nienawiści. Komentarze oznaczone w ten sposób były szybko i sprawnie usuwane. Ponadto system automatycznie usuwał komentarze zawierające słowa uznane za obraźliwe.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styczniu 2006 r. na portalu ukazał się krytyczny artykuł na temat spółki </w:t>
      </w:r>
      <w:r w:rsidR="00793985" w:rsidRPr="00BE5B69">
        <w:rPr>
          <w:rFonts w:cs="Arial"/>
          <w:color w:val="222222"/>
          <w:lang w:val="pl-PL"/>
        </w:rPr>
        <w:t>SLK będącej właścicielem promów</w:t>
      </w:r>
      <w:r w:rsidRPr="00BE5B69">
        <w:rPr>
          <w:rFonts w:cs="Arial"/>
          <w:color w:val="222222"/>
          <w:lang w:val="pl-PL"/>
        </w:rPr>
        <w:t xml:space="preserve"> kursujących między Estonią i pobliskimi wyspami. Pod artykułem pojawiło się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185 komentarzy, pośród których znalazły się takie, które miały obraźliwy charakter i zawierały groźby </w:t>
      </w:r>
      <w:r w:rsidR="00793985" w:rsidRPr="00BE5B69">
        <w:rPr>
          <w:rFonts w:cs="Arial"/>
          <w:color w:val="222222"/>
          <w:lang w:val="pl-PL"/>
        </w:rPr>
        <w:t xml:space="preserve">personalne </w:t>
      </w:r>
      <w:r w:rsidRPr="00BE5B69">
        <w:rPr>
          <w:rFonts w:cs="Arial"/>
          <w:color w:val="222222"/>
          <w:lang w:val="pl-PL"/>
        </w:rPr>
        <w:t>pod adresem członka rady nadzorczej spółki – L., który zażądał usunięcia 20 obraźliwych komentarzy i wypłacenia kwoty 320 euro. Właściciel portalu usunął komentarze</w:t>
      </w:r>
      <w:r w:rsidR="00793985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odmawiając jednocześnie zapłacenia żądanej sumy.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konsekwencji L. wystąpił z powództwem o ochronę dóbr osobistych, które </w:t>
      </w:r>
      <w:r w:rsidR="00793985" w:rsidRPr="00BE5B69">
        <w:rPr>
          <w:rFonts w:cs="Arial"/>
          <w:color w:val="222222"/>
          <w:lang w:val="pl-PL"/>
        </w:rPr>
        <w:t>ostatecznie</w:t>
      </w:r>
      <w:r w:rsidRPr="00BE5B69">
        <w:rPr>
          <w:rFonts w:cs="Arial"/>
          <w:color w:val="222222"/>
          <w:lang w:val="pl-PL"/>
        </w:rPr>
        <w:t xml:space="preserve"> zostało uznane za zasadne przez estoński wymiar sprawiedliwości (wyrok sądu apelacyjnego utrzymany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 w mocy przez Sąd Najwyższy)</w:t>
      </w:r>
      <w:r w:rsidR="00793985" w:rsidRPr="00BE5B69">
        <w:rPr>
          <w:rFonts w:cs="Arial"/>
          <w:color w:val="222222"/>
          <w:lang w:val="pl-PL"/>
        </w:rPr>
        <w:t xml:space="preserve">, który </w:t>
      </w:r>
      <w:r w:rsidRPr="00BE5B69">
        <w:rPr>
          <w:rFonts w:cs="Arial"/>
          <w:color w:val="222222"/>
          <w:lang w:val="pl-PL"/>
        </w:rPr>
        <w:t>argument</w:t>
      </w:r>
      <w:r w:rsidR="00793985" w:rsidRPr="00BE5B69">
        <w:rPr>
          <w:rFonts w:cs="Arial"/>
          <w:color w:val="222222"/>
          <w:lang w:val="pl-PL"/>
        </w:rPr>
        <w:t>ował</w:t>
      </w:r>
      <w:r w:rsidR="00FA6FD7">
        <w:rPr>
          <w:rFonts w:cs="Arial"/>
          <w:color w:val="222222"/>
          <w:lang w:val="pl-PL"/>
        </w:rPr>
        <w:t>, że portal odpowiada</w:t>
      </w:r>
      <w:r w:rsidRPr="00BE5B69">
        <w:rPr>
          <w:rFonts w:cs="Arial"/>
          <w:color w:val="222222"/>
          <w:lang w:val="pl-PL"/>
        </w:rPr>
        <w:t xml:space="preserve"> za treść komentarzy,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do publikacji których aktywnie zachęcał i na których zarabiał. W związku z tym sądy przyjęły,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że portalu nie można traktować w tym przypadku jak „pośrednika usług internetowych”,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lecz jak aktywny podmiot. Dlatego też nie zastosowano wobec niego mechanizmu wykluczenia odpowiedzialności </w:t>
      </w:r>
      <w:r w:rsidR="00413536" w:rsidRPr="00BE5B69">
        <w:rPr>
          <w:rFonts w:cs="Arial"/>
          <w:color w:val="222222"/>
          <w:lang w:val="pl-PL"/>
        </w:rPr>
        <w:t>w stosunku do</w:t>
      </w:r>
      <w:r w:rsidRPr="00BE5B69">
        <w:rPr>
          <w:rFonts w:cs="Arial"/>
          <w:color w:val="222222"/>
          <w:lang w:val="pl-PL"/>
        </w:rPr>
        <w:t xml:space="preserve"> administratorów, którzy nie wiedzieli o bezprawnym charakterze komentarzy lub niezwłocznie je usunęli, przewidzianego Ustawą o usługa</w:t>
      </w:r>
      <w:r w:rsidR="0013265E" w:rsidRPr="00BE5B69">
        <w:rPr>
          <w:rFonts w:cs="Arial"/>
          <w:color w:val="222222"/>
          <w:lang w:val="pl-PL"/>
        </w:rPr>
        <w:t>ch społeczeństwa informacyjnego</w:t>
      </w:r>
      <w:r w:rsidRPr="00BE5B69">
        <w:rPr>
          <w:rFonts w:cs="Arial"/>
          <w:color w:val="222222"/>
          <w:lang w:val="pl-PL"/>
        </w:rPr>
        <w:t xml:space="preserve">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Skarżący zarzucił, że uznanie go </w:t>
      </w:r>
      <w:r w:rsidR="00413536" w:rsidRPr="00BE5B69">
        <w:rPr>
          <w:rFonts w:cs="Arial"/>
          <w:color w:val="222222"/>
          <w:lang w:val="pl-PL"/>
        </w:rPr>
        <w:t xml:space="preserve">przez sądy </w:t>
      </w:r>
      <w:r w:rsidRPr="00BE5B69">
        <w:rPr>
          <w:rFonts w:cs="Arial"/>
          <w:color w:val="222222"/>
          <w:lang w:val="pl-PL"/>
        </w:rPr>
        <w:t>odpowiedzialnym za treść publikowanych komentarzy  naruszyło wolność wyrażania opinii zagwarantowaną w art. 10 Konwencji.</w:t>
      </w:r>
    </w:p>
    <w:p w:rsidR="009F3660" w:rsidRDefault="009F3660">
      <w:pPr>
        <w:rPr>
          <w:u w:val="single"/>
          <w:lang w:val="pl-PL"/>
        </w:rPr>
      </w:pPr>
      <w:r>
        <w:rPr>
          <w:u w:val="single"/>
          <w:lang w:val="pl-PL"/>
        </w:rPr>
        <w:br w:type="page"/>
      </w:r>
    </w:p>
    <w:p w:rsidR="00D7274E" w:rsidRPr="00D7274E" w:rsidRDefault="00FA6FD7" w:rsidP="00413536">
      <w:pPr>
        <w:spacing w:line="240" w:lineRule="auto"/>
        <w:rPr>
          <w:u w:val="single"/>
          <w:lang w:val="pl-PL"/>
        </w:rPr>
      </w:pPr>
      <w:r>
        <w:rPr>
          <w:u w:val="single"/>
          <w:lang w:val="pl-PL"/>
        </w:rPr>
        <w:lastRenderedPageBreak/>
        <w:t>Ocena</w:t>
      </w:r>
      <w:r w:rsidR="00B17508">
        <w:rPr>
          <w:u w:val="single"/>
          <w:lang w:val="pl-PL"/>
        </w:rPr>
        <w:t xml:space="preserve"> Trybunału zawarta</w:t>
      </w:r>
      <w:r>
        <w:rPr>
          <w:u w:val="single"/>
          <w:lang w:val="pl-PL"/>
        </w:rPr>
        <w:t xml:space="preserve"> w wyroku Izby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</w:t>
      </w:r>
      <w:r w:rsidR="0041026E">
        <w:rPr>
          <w:rFonts w:cs="Arial"/>
          <w:color w:val="222222"/>
          <w:lang w:val="pl-PL"/>
        </w:rPr>
        <w:t xml:space="preserve">pierwszym </w:t>
      </w:r>
      <w:r w:rsidRPr="00BE5B69">
        <w:rPr>
          <w:rFonts w:cs="Arial"/>
          <w:color w:val="222222"/>
          <w:lang w:val="pl-PL"/>
        </w:rPr>
        <w:t xml:space="preserve">wyroku </w:t>
      </w:r>
      <w:r w:rsidR="0041026E">
        <w:rPr>
          <w:rFonts w:cs="Arial"/>
          <w:color w:val="222222"/>
          <w:lang w:val="pl-PL"/>
        </w:rPr>
        <w:t xml:space="preserve">- </w:t>
      </w:r>
      <w:r w:rsidRPr="00BE5B69">
        <w:rPr>
          <w:rFonts w:cs="Arial"/>
          <w:color w:val="222222"/>
          <w:lang w:val="pl-PL"/>
        </w:rPr>
        <w:t>z dnia 10 października 2013 r.</w:t>
      </w:r>
      <w:r w:rsidR="0041026E">
        <w:rPr>
          <w:rFonts w:cs="Arial"/>
          <w:color w:val="222222"/>
          <w:lang w:val="pl-PL"/>
        </w:rPr>
        <w:t xml:space="preserve"> –</w:t>
      </w:r>
      <w:r w:rsidRPr="00BE5B69">
        <w:rPr>
          <w:rFonts w:cs="Arial"/>
          <w:color w:val="222222"/>
          <w:lang w:val="pl-PL"/>
        </w:rPr>
        <w:t xml:space="preserve"> Trybunał stwierdził </w:t>
      </w:r>
      <w:r w:rsidR="00413536" w:rsidRPr="00BE5B69">
        <w:rPr>
          <w:rFonts w:cs="Arial"/>
          <w:color w:val="222222"/>
          <w:lang w:val="pl-PL"/>
        </w:rPr>
        <w:t xml:space="preserve">brak </w:t>
      </w:r>
      <w:r w:rsidRPr="00BE5B69">
        <w:rPr>
          <w:rFonts w:cs="Arial"/>
          <w:color w:val="222222"/>
          <w:lang w:val="pl-PL"/>
        </w:rPr>
        <w:t>naruszenia art. 10 Konwencji,</w:t>
      </w:r>
      <w:r w:rsidR="00413536" w:rsidRPr="00BE5B69">
        <w:rPr>
          <w:rFonts w:cs="Arial"/>
          <w:color w:val="222222"/>
          <w:lang w:val="pl-PL"/>
        </w:rPr>
        <w:t xml:space="preserve"> uznając,</w:t>
      </w:r>
      <w:r w:rsidRPr="00BE5B69">
        <w:rPr>
          <w:rFonts w:cs="Arial"/>
          <w:color w:val="222222"/>
          <w:lang w:val="pl-PL"/>
        </w:rPr>
        <w:t xml:space="preserve"> że </w:t>
      </w:r>
      <w:r w:rsidR="00413536" w:rsidRPr="00BE5B69">
        <w:rPr>
          <w:rFonts w:cs="Arial"/>
          <w:color w:val="222222"/>
          <w:lang w:val="pl-PL"/>
        </w:rPr>
        <w:t xml:space="preserve">przyjęcie odpowiedzialności skarżącego </w:t>
      </w:r>
      <w:r w:rsidRPr="00BE5B69">
        <w:rPr>
          <w:rFonts w:cs="Arial"/>
          <w:color w:val="222222"/>
          <w:lang w:val="pl-PL"/>
        </w:rPr>
        <w:t xml:space="preserve">za obraźliwe komentarze zamieszczane przez internautów na jego portalu było </w:t>
      </w:r>
      <w:r w:rsidR="00413536" w:rsidRPr="00BE5B69">
        <w:rPr>
          <w:rFonts w:cs="Arial"/>
          <w:color w:val="222222"/>
          <w:lang w:val="pl-PL"/>
        </w:rPr>
        <w:t xml:space="preserve">środkiem </w:t>
      </w:r>
      <w:r w:rsidRPr="00BE5B69">
        <w:rPr>
          <w:rFonts w:cs="Arial"/>
          <w:color w:val="222222"/>
          <w:lang w:val="pl-PL"/>
        </w:rPr>
        <w:t>uzasadnionym i proporcjonalnym.</w:t>
      </w:r>
    </w:p>
    <w:p w:rsidR="00413536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Trybunał nie podjął się oceny, czy skarżący był usługodawcą w rozumieniu prawa UE (Dyrektywa 2000/31/EC o handlu elektronicznym) i powtórzył stanowisko sądów krajowych wyłączające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go spod ochrony przewidzianej Dyrektywą.</w:t>
      </w:r>
      <w:r w:rsidR="00413536" w:rsidRPr="00BE5B69">
        <w:rPr>
          <w:rFonts w:cs="Arial"/>
          <w:color w:val="222222"/>
          <w:lang w:val="pl-PL"/>
        </w:rPr>
        <w:t xml:space="preserve"> </w:t>
      </w:r>
    </w:p>
    <w:p w:rsidR="00D7274E" w:rsidRPr="00BE5B69" w:rsidRDefault="00413536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p</w:t>
      </w:r>
      <w:r w:rsidR="00D7274E" w:rsidRPr="00BE5B69">
        <w:rPr>
          <w:rFonts w:cs="Arial"/>
          <w:color w:val="222222"/>
          <w:lang w:val="pl-PL"/>
        </w:rPr>
        <w:t xml:space="preserve">rzyjął, że skarżący powinien podjąć działania uniemożliwiające publikację negatywnych komentarzy, spodziewając się, że mogą się one pojawić pod przedmiotowym artykułem,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>a zastosowane przez niego środki (oświadczenie o braku odpowiedzialności portalu za treść publikowanych komentarzy, system usuwający komentarze zawierające słowa uznane za obraźliwe,</w:t>
      </w:r>
      <w:r w:rsidR="00D7274E" w:rsidRPr="00D7274E">
        <w:rPr>
          <w:lang w:val="pl-PL"/>
        </w:rPr>
        <w:t xml:space="preserve"> </w:t>
      </w:r>
      <w:r w:rsidRPr="00BE5B69">
        <w:rPr>
          <w:rFonts w:cs="Arial"/>
          <w:color w:val="222222"/>
          <w:lang w:val="pl-PL"/>
        </w:rPr>
        <w:t xml:space="preserve">system </w:t>
      </w:r>
      <w:proofErr w:type="spellStart"/>
      <w:r w:rsidR="00D7274E" w:rsidRPr="00BE5B69">
        <w:rPr>
          <w:rFonts w:cs="Arial"/>
          <w:i/>
          <w:color w:val="222222"/>
          <w:lang w:val="pl-PL"/>
        </w:rPr>
        <w:t>notice</w:t>
      </w:r>
      <w:proofErr w:type="spellEnd"/>
      <w:r w:rsidR="00D7274E" w:rsidRPr="00BE5B69">
        <w:rPr>
          <w:rFonts w:cs="Arial"/>
          <w:i/>
          <w:color w:val="222222"/>
          <w:lang w:val="pl-PL"/>
        </w:rPr>
        <w:t>-and-</w:t>
      </w:r>
      <w:proofErr w:type="spellStart"/>
      <w:r w:rsidR="00D7274E" w:rsidRPr="00BE5B69">
        <w:rPr>
          <w:rFonts w:cs="Arial"/>
          <w:i/>
          <w:color w:val="222222"/>
          <w:lang w:val="pl-PL"/>
        </w:rPr>
        <w:t>take</w:t>
      </w:r>
      <w:proofErr w:type="spellEnd"/>
      <w:r w:rsidR="00D7274E" w:rsidRPr="00BE5B69">
        <w:rPr>
          <w:rFonts w:cs="Arial"/>
          <w:i/>
          <w:color w:val="222222"/>
          <w:lang w:val="pl-PL"/>
        </w:rPr>
        <w:t>-down</w:t>
      </w:r>
      <w:r w:rsidR="00D7274E" w:rsidRPr="00BE5B69">
        <w:rPr>
          <w:rFonts w:cs="Arial"/>
          <w:color w:val="222222"/>
          <w:lang w:val="pl-PL"/>
        </w:rPr>
        <w:t>) uznał za niewystarczające. Uznając</w:t>
      </w:r>
      <w:r w:rsidR="00AF1C3C" w:rsidRPr="00BE5B69">
        <w:rPr>
          <w:rFonts w:cs="Arial"/>
          <w:color w:val="222222"/>
          <w:lang w:val="pl-PL"/>
        </w:rPr>
        <w:t>, że</w:t>
      </w:r>
      <w:r w:rsidR="00D7274E" w:rsidRPr="00BE5B69">
        <w:rPr>
          <w:rFonts w:cs="Arial"/>
          <w:color w:val="222222"/>
          <w:lang w:val="pl-PL"/>
        </w:rPr>
        <w:t xml:space="preserve"> zastosowane obostrzenia </w:t>
      </w:r>
      <w:r w:rsidR="00AF1C3C" w:rsidRPr="00BE5B69">
        <w:rPr>
          <w:rFonts w:cs="Arial"/>
          <w:color w:val="222222"/>
          <w:lang w:val="pl-PL"/>
        </w:rPr>
        <w:t>były</w:t>
      </w:r>
      <w:r w:rsidR="00D7274E" w:rsidRPr="00BE5B69">
        <w:rPr>
          <w:rFonts w:cs="Arial"/>
          <w:color w:val="222222"/>
          <w:lang w:val="pl-PL"/>
        </w:rPr>
        <w:t xml:space="preserve"> niewystarczające dla zapobieżenia naruszeniu dóbr osobistych, Trybunał stwierdził, że pociągnięcie do odpowiedzialności autorów obraźliwych komentarzy stanowiłoby nadmierne obciążenie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 xml:space="preserve">dla poszkodowanej osoby, a jednocześnie byłoby technicznie i finansowo możliwe </w:t>
      </w:r>
      <w:r w:rsidR="008B0445">
        <w:rPr>
          <w:rFonts w:cs="Arial"/>
          <w:color w:val="222222"/>
          <w:lang w:val="pl-PL"/>
        </w:rPr>
        <w:br/>
      </w:r>
      <w:r w:rsidR="00D7274E" w:rsidRPr="00BE5B69">
        <w:rPr>
          <w:rFonts w:cs="Arial"/>
          <w:color w:val="222222"/>
          <w:lang w:val="pl-PL"/>
        </w:rPr>
        <w:t xml:space="preserve">do przeprowadzenia przez podmiot taki jak </w:t>
      </w:r>
      <w:proofErr w:type="spellStart"/>
      <w:r w:rsidR="00BE5B69">
        <w:rPr>
          <w:rFonts w:cs="Arial"/>
          <w:color w:val="222222"/>
          <w:lang w:val="pl-PL"/>
        </w:rPr>
        <w:t>Delfi</w:t>
      </w:r>
      <w:proofErr w:type="spellEnd"/>
      <w:r w:rsidR="00D7274E" w:rsidRPr="00BE5B69">
        <w:rPr>
          <w:rFonts w:cs="Arial"/>
          <w:color w:val="222222"/>
          <w:lang w:val="pl-PL"/>
        </w:rPr>
        <w:t xml:space="preserve">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Trybunał zwrócił również uwagę na komercyjny charakter działalności skarżącego i osiągany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w związku z nią zysk. Zauważył, że w momencie publikacji komentarza jego autor tracił możliwość oddziaływania na jego treść, dlatego też jedynie skarżący miał możliwość następczego usunięcia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go ze strony.</w:t>
      </w:r>
    </w:p>
    <w:p w:rsidR="00D7274E" w:rsidRPr="00D7274E" w:rsidRDefault="00E83243" w:rsidP="00E83243">
      <w:pPr>
        <w:spacing w:line="240" w:lineRule="auto"/>
        <w:rPr>
          <w:u w:val="single"/>
          <w:lang w:val="pl-PL"/>
        </w:rPr>
      </w:pPr>
      <w:r>
        <w:rPr>
          <w:u w:val="single"/>
          <w:lang w:val="pl-PL"/>
        </w:rPr>
        <w:t xml:space="preserve">Ocena </w:t>
      </w:r>
      <w:r w:rsidR="00B17508">
        <w:rPr>
          <w:u w:val="single"/>
          <w:lang w:val="pl-PL"/>
        </w:rPr>
        <w:t xml:space="preserve">Trybunału zawarta </w:t>
      </w:r>
      <w:r w:rsidR="00FA6FD7">
        <w:rPr>
          <w:u w:val="single"/>
          <w:lang w:val="pl-PL"/>
        </w:rPr>
        <w:t xml:space="preserve">w wyroku </w:t>
      </w:r>
      <w:r>
        <w:rPr>
          <w:u w:val="single"/>
          <w:lang w:val="pl-PL"/>
        </w:rPr>
        <w:t>Wielkiej Izby</w:t>
      </w:r>
      <w:r w:rsidR="00FA6FD7">
        <w:rPr>
          <w:u w:val="single"/>
          <w:lang w:val="pl-PL"/>
        </w:rPr>
        <w:t xml:space="preserve"> (ostateczne rozstrzygnięcie)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Wyrokiem z dnia 16 czerwca 2015 r. Trybunał orzekający w składzie Wielkiej Izby podtrzymał wyrok Izby stwierdzający brak naruszenia art. 10 Konwencji w przedmiotowej sprawie. Wyrok </w:t>
      </w:r>
      <w:r w:rsidR="00AF1C3C" w:rsidRPr="00BE5B69">
        <w:rPr>
          <w:rFonts w:cs="Arial"/>
          <w:color w:val="222222"/>
          <w:lang w:val="pl-PL"/>
        </w:rPr>
        <w:t xml:space="preserve">zapadł stosunkiem głosów 15:2 (do wyroku załączono </w:t>
      </w:r>
      <w:r w:rsidRPr="00BE5B69">
        <w:rPr>
          <w:rFonts w:cs="Arial"/>
          <w:color w:val="222222"/>
          <w:lang w:val="pl-PL"/>
        </w:rPr>
        <w:t>dwie opinie zbieżne i jedn</w:t>
      </w:r>
      <w:r w:rsidR="00AF1C3C" w:rsidRPr="00BE5B69">
        <w:rPr>
          <w:rFonts w:cs="Arial"/>
          <w:color w:val="222222"/>
          <w:lang w:val="pl-PL"/>
        </w:rPr>
        <w:t>ą opinię rozbieżną</w:t>
      </w:r>
      <w:r w:rsidRPr="00BE5B69">
        <w:rPr>
          <w:rFonts w:cs="Arial"/>
          <w:color w:val="222222"/>
          <w:lang w:val="pl-PL"/>
        </w:rPr>
        <w:t>).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powołał się na stanowisko estońskiego Sądu Najwyższego</w:t>
      </w:r>
      <w:r w:rsidR="00AF1C3C" w:rsidRPr="00BE5B69">
        <w:rPr>
          <w:rFonts w:cs="Arial"/>
          <w:color w:val="222222"/>
          <w:lang w:val="pl-PL"/>
        </w:rPr>
        <w:t>, który uznał</w:t>
      </w:r>
      <w:r w:rsidRPr="00BE5B69">
        <w:rPr>
          <w:rFonts w:cs="Arial"/>
          <w:color w:val="222222"/>
          <w:lang w:val="pl-PL"/>
        </w:rPr>
        <w:t xml:space="preserve"> publikowanie informacji i komentarzy w </w:t>
      </w:r>
      <w:r w:rsidR="00AF1C3C" w:rsidRPr="00BE5B69">
        <w:rPr>
          <w:rFonts w:cs="Arial"/>
          <w:color w:val="222222"/>
          <w:lang w:val="pl-PL"/>
        </w:rPr>
        <w:t>i</w:t>
      </w:r>
      <w:r w:rsidRPr="00BE5B69">
        <w:rPr>
          <w:rFonts w:cs="Arial"/>
          <w:color w:val="222222"/>
          <w:lang w:val="pl-PL"/>
        </w:rPr>
        <w:t>nternecie za działalność dziennikarską</w:t>
      </w:r>
      <w:r w:rsidR="00AF1C3C" w:rsidRPr="00BE5B69">
        <w:rPr>
          <w:rFonts w:cs="Arial"/>
          <w:color w:val="222222"/>
          <w:lang w:val="pl-PL"/>
        </w:rPr>
        <w:t xml:space="preserve"> i uwzględnił</w:t>
      </w:r>
      <w:r w:rsidRPr="00BE5B69">
        <w:rPr>
          <w:rFonts w:cs="Arial"/>
          <w:color w:val="222222"/>
          <w:lang w:val="pl-PL"/>
        </w:rPr>
        <w:t xml:space="preserve"> istnienie interesu finansowego po stronie portalu w związku z publikacją komentarzy. Trybunał przyjął, że zgodnie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z ustaleniami sądów krajowych - w świetle kodeksu cywilnego - właściciela portalu należy traktować jak wydawcę w przypadku mediów drukowanych.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Trybunał potwierdził, że nie jest </w:t>
      </w:r>
      <w:r w:rsidR="00AF1C3C" w:rsidRPr="00BE5B69">
        <w:rPr>
          <w:rFonts w:cs="Arial"/>
          <w:color w:val="222222"/>
          <w:lang w:val="pl-PL"/>
        </w:rPr>
        <w:t xml:space="preserve">jego zadaniem </w:t>
      </w:r>
      <w:r w:rsidRPr="00BE5B69">
        <w:rPr>
          <w:rFonts w:cs="Arial"/>
          <w:color w:val="222222"/>
          <w:lang w:val="pl-PL"/>
        </w:rPr>
        <w:t>zastępowanie sądów krajowych w zakresie stosowania prawa ani kwestionowanie metod przyjętych przez władzę ustawodawczą w procesie regulowania dan</w:t>
      </w:r>
      <w:r w:rsidR="00AF1C3C" w:rsidRPr="00BE5B69">
        <w:rPr>
          <w:rFonts w:cs="Arial"/>
          <w:color w:val="222222"/>
          <w:lang w:val="pl-PL"/>
        </w:rPr>
        <w:t>ego zagadnienia,</w:t>
      </w:r>
      <w:r w:rsidRPr="00BE5B69">
        <w:rPr>
          <w:rFonts w:cs="Arial"/>
          <w:color w:val="222222"/>
          <w:lang w:val="pl-PL"/>
        </w:rPr>
        <w:t xml:space="preserve"> w związku z czym nie podważył słuszności niezastosowania Dyrektywy o handlu elektronicznym i </w:t>
      </w:r>
      <w:r w:rsidR="0013265E" w:rsidRPr="00BE5B69">
        <w:rPr>
          <w:rFonts w:cs="Arial"/>
          <w:color w:val="222222"/>
          <w:lang w:val="pl-PL"/>
        </w:rPr>
        <w:t>Ustawy o usługach społeczeństwa informacyjnego (</w:t>
      </w:r>
      <w:r w:rsidRPr="00BE5B69">
        <w:rPr>
          <w:rFonts w:cs="Arial"/>
          <w:i/>
          <w:color w:val="222222"/>
          <w:lang w:val="pl-PL"/>
        </w:rPr>
        <w:t xml:space="preserve">Information </w:t>
      </w:r>
      <w:proofErr w:type="spellStart"/>
      <w:r w:rsidRPr="00BE5B69">
        <w:rPr>
          <w:rFonts w:cs="Arial"/>
          <w:i/>
          <w:color w:val="222222"/>
          <w:lang w:val="pl-PL"/>
        </w:rPr>
        <w:t>Society</w:t>
      </w:r>
      <w:proofErr w:type="spellEnd"/>
      <w:r w:rsidRPr="00BE5B69">
        <w:rPr>
          <w:rFonts w:cs="Arial"/>
          <w:i/>
          <w:color w:val="222222"/>
          <w:lang w:val="pl-PL"/>
        </w:rPr>
        <w:t xml:space="preserve"> Services </w:t>
      </w:r>
      <w:proofErr w:type="spellStart"/>
      <w:r w:rsidRPr="00BE5B69">
        <w:rPr>
          <w:rFonts w:cs="Arial"/>
          <w:i/>
          <w:color w:val="222222"/>
          <w:lang w:val="pl-PL"/>
        </w:rPr>
        <w:t>Act</w:t>
      </w:r>
      <w:proofErr w:type="spellEnd"/>
      <w:r w:rsidR="0013265E" w:rsidRPr="00BE5B69">
        <w:rPr>
          <w:rFonts w:cs="Arial"/>
          <w:color w:val="222222"/>
          <w:lang w:val="pl-PL"/>
        </w:rPr>
        <w:t xml:space="preserve">) </w:t>
      </w:r>
      <w:r w:rsidRPr="00BE5B69">
        <w:rPr>
          <w:rFonts w:cs="Arial"/>
          <w:color w:val="222222"/>
          <w:lang w:val="pl-PL"/>
        </w:rPr>
        <w:t>w przedmiotowej sprawie.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podtrzymał argumenty wskazane w wyroku Izby w przedmiocie</w:t>
      </w:r>
      <w:r w:rsidR="00AF1C3C" w:rsidRPr="00BE5B69">
        <w:rPr>
          <w:rFonts w:cs="Arial"/>
          <w:color w:val="222222"/>
          <w:lang w:val="pl-PL"/>
        </w:rPr>
        <w:t>:</w:t>
      </w:r>
      <w:r w:rsidRPr="00BE5B69">
        <w:rPr>
          <w:rFonts w:cs="Arial"/>
          <w:color w:val="222222"/>
          <w:lang w:val="pl-PL"/>
        </w:rPr>
        <w:t xml:space="preserve"> komercyjnej działalności portalu, niewystarczających środków przedsięwziętych celem powstrzymania publikacji obraźliwych komentarzy, jak również jedynie teoretycznej możliwości pociągnięcia do odpowiedzialności autorów komentarzy.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Jednocześnie Trybunał </w:t>
      </w:r>
      <w:r w:rsidR="00A951FA">
        <w:rPr>
          <w:rFonts w:cs="Arial"/>
          <w:color w:val="222222"/>
          <w:lang w:val="pl-PL"/>
        </w:rPr>
        <w:t>odnotował</w:t>
      </w:r>
      <w:r w:rsidRPr="00BE5B69">
        <w:rPr>
          <w:rFonts w:cs="Arial"/>
          <w:color w:val="222222"/>
          <w:lang w:val="pl-PL"/>
        </w:rPr>
        <w:t xml:space="preserve">, że </w:t>
      </w:r>
      <w:r w:rsidR="00A951FA">
        <w:rPr>
          <w:rFonts w:cs="Arial"/>
          <w:color w:val="222222"/>
          <w:lang w:val="pl-PL"/>
        </w:rPr>
        <w:t xml:space="preserve">przedmiotowa sprawa </w:t>
      </w:r>
      <w:r w:rsidRPr="00BE5B69">
        <w:rPr>
          <w:rFonts w:cs="Arial"/>
          <w:color w:val="222222"/>
          <w:lang w:val="pl-PL"/>
        </w:rPr>
        <w:t xml:space="preserve">nie </w:t>
      </w:r>
      <w:r w:rsidR="00A951FA">
        <w:rPr>
          <w:rFonts w:cs="Arial"/>
          <w:color w:val="222222"/>
          <w:lang w:val="pl-PL"/>
        </w:rPr>
        <w:t xml:space="preserve">dotyczy </w:t>
      </w:r>
      <w:r w:rsidRPr="00BE5B69">
        <w:rPr>
          <w:rFonts w:cs="Arial"/>
          <w:color w:val="222222"/>
          <w:lang w:val="pl-PL"/>
        </w:rPr>
        <w:t>innych forów internetowych, na których mogą być publikowane komentarze osób trzecich (np. fora dyskusyjne, tablice ogłoszeń), a dyskusja nie jest moderowana</w:t>
      </w:r>
      <w:r w:rsidR="00AD7A1D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czy </w:t>
      </w:r>
      <w:r w:rsidR="00AD7A1D">
        <w:rPr>
          <w:rFonts w:cs="Arial"/>
          <w:color w:val="222222"/>
          <w:lang w:val="pl-PL"/>
        </w:rPr>
        <w:t xml:space="preserve">też </w:t>
      </w:r>
      <w:r w:rsidRPr="00BE5B69">
        <w:rPr>
          <w:rFonts w:cs="Arial"/>
          <w:color w:val="222222"/>
          <w:lang w:val="pl-PL"/>
        </w:rPr>
        <w:t xml:space="preserve">portali społecznościowych, w przypadku których właściciel witryny nie zamieszcza żadnej treści, a czyni to osoba trzecia „prowadząca” stronę lub bloga w sposób hobbystyczny.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Ponadto Trybunał potwierdził, że skarżący </w:t>
      </w:r>
      <w:r w:rsidR="00AF1C3C" w:rsidRPr="00BE5B69">
        <w:rPr>
          <w:rFonts w:cs="Arial"/>
          <w:color w:val="222222"/>
          <w:lang w:val="pl-PL"/>
        </w:rPr>
        <w:t xml:space="preserve">– </w:t>
      </w:r>
      <w:r w:rsidRPr="00BE5B69">
        <w:rPr>
          <w:rFonts w:cs="Arial"/>
          <w:color w:val="222222"/>
          <w:lang w:val="pl-PL"/>
        </w:rPr>
        <w:t xml:space="preserve">będąc właścicielem jednego z największych estońskich portali internetowych </w:t>
      </w:r>
      <w:r w:rsidR="00AF1C3C" w:rsidRPr="00BE5B69">
        <w:rPr>
          <w:rFonts w:cs="Arial"/>
          <w:color w:val="222222"/>
          <w:lang w:val="pl-PL"/>
        </w:rPr>
        <w:t xml:space="preserve">– </w:t>
      </w:r>
      <w:r w:rsidRPr="00BE5B69">
        <w:rPr>
          <w:rFonts w:cs="Arial"/>
          <w:color w:val="222222"/>
          <w:lang w:val="pl-PL"/>
        </w:rPr>
        <w:t xml:space="preserve">powinien przewidzieć potencjalne konsekwencje prowadzonej działalności,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a nakazanie usunięcia obraźliwych komentarzy będących mową nienawiści nie było </w:t>
      </w:r>
      <w:r w:rsidRPr="00BE5B69">
        <w:rPr>
          <w:rFonts w:cs="Arial"/>
          <w:color w:val="222222"/>
          <w:lang w:val="pl-PL"/>
        </w:rPr>
        <w:lastRenderedPageBreak/>
        <w:t>nieproporcjonalnym naruszeniem wolności wypowiedzi i nie może być traktowane jak „prywatna cenzura”.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>Trybunał zwrócił uwagę na orzecznictwo sądów krajowych pow</w:t>
      </w:r>
      <w:r w:rsidR="005E7FF4" w:rsidRPr="00BE5B69">
        <w:rPr>
          <w:rFonts w:cs="Arial"/>
          <w:color w:val="222222"/>
          <w:lang w:val="pl-PL"/>
        </w:rPr>
        <w:t xml:space="preserve">stałe pod wpływem sprawy </w:t>
      </w:r>
      <w:proofErr w:type="spellStart"/>
      <w:r w:rsidR="005E7FF4" w:rsidRPr="00BE5B69">
        <w:rPr>
          <w:rFonts w:cs="Arial"/>
          <w:color w:val="222222"/>
          <w:lang w:val="pl-PL"/>
        </w:rPr>
        <w:t>Delfi</w:t>
      </w:r>
      <w:proofErr w:type="spellEnd"/>
      <w:r w:rsidR="005E7FF4" w:rsidRPr="00BE5B69">
        <w:rPr>
          <w:rFonts w:cs="Arial"/>
          <w:color w:val="222222"/>
          <w:lang w:val="pl-PL"/>
        </w:rPr>
        <w:t xml:space="preserve">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i nakazujące usuwanie obraźliwych komentarzy przy jednoczesny niezasądzaniu zadośćuczynienia.</w:t>
      </w:r>
    </w:p>
    <w:p w:rsidR="00E83243" w:rsidRPr="00AF3B55" w:rsidRDefault="00E83243" w:rsidP="00E83243">
      <w:pPr>
        <w:spacing w:line="240" w:lineRule="auto"/>
        <w:jc w:val="both"/>
        <w:rPr>
          <w:u w:val="single"/>
          <w:lang w:val="pl-PL"/>
        </w:rPr>
      </w:pPr>
      <w:r w:rsidRPr="00AF3B55">
        <w:rPr>
          <w:u w:val="single"/>
          <w:lang w:val="pl-PL"/>
        </w:rPr>
        <w:t>Zdania odrębne dołączone do wyroku Wielkiej Izby</w:t>
      </w:r>
    </w:p>
    <w:p w:rsidR="00D97B9B" w:rsidRPr="00BE5B69" w:rsidRDefault="00AF3B55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Do wyroku załączone zostały zdania odrębne: </w:t>
      </w:r>
      <w:r w:rsidR="00D7274E" w:rsidRPr="00BE5B69">
        <w:rPr>
          <w:rFonts w:cs="Arial"/>
          <w:color w:val="222222"/>
          <w:lang w:val="pl-PL"/>
        </w:rPr>
        <w:t>dwie opinie zbieżne</w:t>
      </w:r>
      <w:r w:rsidRPr="00BE5B69">
        <w:rPr>
          <w:rFonts w:cs="Arial"/>
          <w:color w:val="222222"/>
          <w:lang w:val="pl-PL"/>
        </w:rPr>
        <w:t xml:space="preserve"> i jedna opinia rozbieżna</w:t>
      </w:r>
      <w:r w:rsidR="00D7274E" w:rsidRPr="00BE5B69">
        <w:rPr>
          <w:rFonts w:cs="Arial"/>
          <w:color w:val="222222"/>
          <w:lang w:val="pl-PL"/>
        </w:rPr>
        <w:t xml:space="preserve">. 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Pierwsza </w:t>
      </w:r>
      <w:r w:rsidR="00D97B9B" w:rsidRPr="00BE5B69">
        <w:rPr>
          <w:rFonts w:cs="Arial"/>
          <w:color w:val="222222"/>
          <w:lang w:val="pl-PL"/>
        </w:rPr>
        <w:t>opinia zbieżna</w:t>
      </w:r>
      <w:r w:rsidRPr="00BE5B69">
        <w:rPr>
          <w:rFonts w:cs="Arial"/>
          <w:color w:val="222222"/>
          <w:lang w:val="pl-PL"/>
        </w:rPr>
        <w:t xml:space="preserve">, sporządzona przez sędziów: </w:t>
      </w:r>
      <w:proofErr w:type="spellStart"/>
      <w:r w:rsidRPr="00BE5B69">
        <w:rPr>
          <w:rFonts w:cs="Arial"/>
          <w:color w:val="222222"/>
          <w:lang w:val="pl-PL"/>
        </w:rPr>
        <w:t>Raimondi</w:t>
      </w:r>
      <w:proofErr w:type="spellEnd"/>
      <w:r w:rsidRPr="00BE5B69">
        <w:rPr>
          <w:rFonts w:cs="Arial"/>
          <w:color w:val="222222"/>
          <w:lang w:val="pl-PL"/>
        </w:rPr>
        <w:t xml:space="preserve">, </w:t>
      </w:r>
      <w:proofErr w:type="spellStart"/>
      <w:r w:rsidRPr="00BE5B69">
        <w:rPr>
          <w:rFonts w:cs="Arial"/>
          <w:color w:val="222222"/>
          <w:lang w:val="pl-PL"/>
        </w:rPr>
        <w:t>Karakas</w:t>
      </w:r>
      <w:proofErr w:type="spellEnd"/>
      <w:r w:rsidRPr="00BE5B69">
        <w:rPr>
          <w:rFonts w:cs="Arial"/>
          <w:color w:val="222222"/>
          <w:lang w:val="pl-PL"/>
        </w:rPr>
        <w:t xml:space="preserve">, de Gaetano i </w:t>
      </w:r>
      <w:proofErr w:type="spellStart"/>
      <w:r w:rsidRPr="00BE5B69">
        <w:rPr>
          <w:rFonts w:cs="Arial"/>
          <w:color w:val="222222"/>
          <w:lang w:val="pl-PL"/>
        </w:rPr>
        <w:t>Kjølbro</w:t>
      </w:r>
      <w:proofErr w:type="spellEnd"/>
      <w:r w:rsidR="00D97B9B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wyraża wątpliwoś</w:t>
      </w:r>
      <w:r w:rsidR="00D97B9B" w:rsidRPr="00BE5B69">
        <w:rPr>
          <w:rFonts w:cs="Arial"/>
          <w:color w:val="222222"/>
          <w:lang w:val="pl-PL"/>
        </w:rPr>
        <w:t>ci</w:t>
      </w:r>
      <w:r w:rsidRPr="00BE5B69">
        <w:rPr>
          <w:rFonts w:cs="Arial"/>
          <w:color w:val="222222"/>
          <w:lang w:val="pl-PL"/>
        </w:rPr>
        <w:t xml:space="preserve"> co do sposobu odczytania przez Trybunał wyroku Sądu Najwyższego, zgodnie z którym </w:t>
      </w:r>
      <w:r w:rsidR="00B17508">
        <w:rPr>
          <w:rFonts w:cs="Arial"/>
          <w:color w:val="222222"/>
          <w:lang w:val="pl-PL"/>
        </w:rPr>
        <w:t xml:space="preserve">skarżąca spółka </w:t>
      </w:r>
      <w:r w:rsidR="002032DF">
        <w:rPr>
          <w:rFonts w:cs="Arial"/>
          <w:color w:val="222222"/>
          <w:lang w:val="pl-PL"/>
        </w:rPr>
        <w:t>nie zapobiegła</w:t>
      </w:r>
      <w:r w:rsidRPr="00BE5B69">
        <w:rPr>
          <w:rFonts w:cs="Arial"/>
          <w:color w:val="222222"/>
          <w:lang w:val="pl-PL"/>
        </w:rPr>
        <w:t xml:space="preserve"> publikacji komentarzy, a </w:t>
      </w:r>
      <w:r w:rsidR="002032DF">
        <w:rPr>
          <w:rFonts w:cs="Arial"/>
          <w:color w:val="222222"/>
          <w:lang w:val="pl-PL"/>
        </w:rPr>
        <w:t xml:space="preserve">ponieważ </w:t>
      </w:r>
      <w:r w:rsidRPr="00BE5B69">
        <w:rPr>
          <w:rFonts w:cs="Arial"/>
          <w:color w:val="222222"/>
          <w:lang w:val="pl-PL"/>
        </w:rPr>
        <w:t>następnie nie</w:t>
      </w:r>
      <w:r w:rsidR="002032DF">
        <w:rPr>
          <w:rFonts w:cs="Arial"/>
          <w:color w:val="222222"/>
          <w:lang w:val="pl-PL"/>
        </w:rPr>
        <w:t xml:space="preserve"> usunęła</w:t>
      </w:r>
      <w:r w:rsidRPr="00BE5B69">
        <w:rPr>
          <w:rFonts w:cs="Arial"/>
          <w:color w:val="222222"/>
          <w:lang w:val="pl-PL"/>
        </w:rPr>
        <w:t xml:space="preserve"> ich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 bez zbędnej zwłoki</w:t>
      </w:r>
      <w:r w:rsidR="002032DF">
        <w:rPr>
          <w:rFonts w:cs="Arial"/>
          <w:color w:val="222222"/>
          <w:lang w:val="pl-PL"/>
        </w:rPr>
        <w:t>, ponosi za nie odpowiedzialność</w:t>
      </w:r>
      <w:r w:rsidRPr="00BE5B69">
        <w:rPr>
          <w:rFonts w:cs="Arial"/>
          <w:color w:val="222222"/>
          <w:lang w:val="pl-PL"/>
        </w:rPr>
        <w:t xml:space="preserve">. Zdaniem sędziów, odczytując wyrok </w:t>
      </w:r>
      <w:r w:rsidR="00AA5A73">
        <w:rPr>
          <w:rFonts w:cs="Arial"/>
          <w:color w:val="222222"/>
          <w:lang w:val="pl-PL"/>
        </w:rPr>
        <w:t xml:space="preserve">SN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w ten sposób Trybunał uniknął niewygodnego pytania o potencjalną odpowiedzialność portalu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za sam fakt niezapobieżenia publikacji komentarzy. Ponadto sędziowie </w:t>
      </w:r>
      <w:r w:rsidR="006137B4">
        <w:rPr>
          <w:rFonts w:cs="Arial"/>
          <w:color w:val="222222"/>
          <w:lang w:val="pl-PL"/>
        </w:rPr>
        <w:t>stwierdzili, że Trybunał powinien był doprecyzować zasady</w:t>
      </w:r>
      <w:r w:rsidR="00E83243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którymi kierował się stwierdzając br</w:t>
      </w:r>
      <w:r w:rsidR="006137B4">
        <w:rPr>
          <w:rFonts w:cs="Arial"/>
          <w:color w:val="222222"/>
          <w:lang w:val="pl-PL"/>
        </w:rPr>
        <w:t xml:space="preserve">ak naruszenia art. 10 Konwencji – </w:t>
      </w:r>
      <w:r w:rsidRPr="00BE5B69">
        <w:rPr>
          <w:rFonts w:cs="Arial"/>
          <w:color w:val="222222"/>
          <w:lang w:val="pl-PL"/>
        </w:rPr>
        <w:t xml:space="preserve">rozumowanie Trybunału odnosiło się tylko do tego stanu faktycznego i nie wskazał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on </w:t>
      </w:r>
      <w:r w:rsidR="00E83243" w:rsidRPr="00BE5B69">
        <w:rPr>
          <w:rFonts w:cs="Arial"/>
          <w:color w:val="222222"/>
          <w:lang w:val="pl-PL"/>
        </w:rPr>
        <w:t>zasad</w:t>
      </w:r>
      <w:r w:rsidRPr="00BE5B69">
        <w:rPr>
          <w:rFonts w:cs="Arial"/>
          <w:color w:val="222222"/>
          <w:lang w:val="pl-PL"/>
        </w:rPr>
        <w:t>, które mogłyby być rozwijane w podobnych sprawach.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Druga opinia – sporządzona przez sędziego </w:t>
      </w:r>
      <w:proofErr w:type="spellStart"/>
      <w:r w:rsidRPr="00BE5B69">
        <w:rPr>
          <w:rFonts w:cs="Arial"/>
          <w:color w:val="222222"/>
          <w:lang w:val="pl-PL"/>
        </w:rPr>
        <w:t>Zupanĉiĉa</w:t>
      </w:r>
      <w:proofErr w:type="spellEnd"/>
      <w:r w:rsidRPr="00BE5B69">
        <w:rPr>
          <w:rFonts w:cs="Arial"/>
          <w:color w:val="222222"/>
          <w:lang w:val="pl-PL"/>
        </w:rPr>
        <w:t xml:space="preserve">, wyraża przekonanie, że przyzwolenie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na publikowanie anonimowych komentarzy w Internecie czy innych środkach masowego przekazu jest nieakceptowalne. Zdaniem sędziego, zasądzona kwota 300 euro jest nieadekwatnie niska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w stosunku do wywołanych publikacją komentarzy szkód.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Opinię rozbieżną wyrazili sędziowie </w:t>
      </w:r>
      <w:proofErr w:type="spellStart"/>
      <w:r w:rsidRPr="00BE5B69">
        <w:rPr>
          <w:rFonts w:cs="Arial"/>
          <w:color w:val="222222"/>
          <w:lang w:val="pl-PL"/>
        </w:rPr>
        <w:t>Sajó</w:t>
      </w:r>
      <w:proofErr w:type="spellEnd"/>
      <w:r w:rsidRPr="00BE5B69">
        <w:rPr>
          <w:rFonts w:cs="Arial"/>
          <w:color w:val="222222"/>
          <w:lang w:val="pl-PL"/>
        </w:rPr>
        <w:t xml:space="preserve"> i </w:t>
      </w:r>
      <w:proofErr w:type="spellStart"/>
      <w:r w:rsidRPr="00BE5B69">
        <w:rPr>
          <w:rFonts w:cs="Arial"/>
          <w:color w:val="222222"/>
          <w:lang w:val="pl-PL"/>
        </w:rPr>
        <w:t>Tsotsoria</w:t>
      </w:r>
      <w:proofErr w:type="spellEnd"/>
      <w:r w:rsidRPr="00BE5B69">
        <w:rPr>
          <w:rFonts w:cs="Arial"/>
          <w:color w:val="222222"/>
          <w:lang w:val="pl-PL"/>
        </w:rPr>
        <w:t>. Wyrazili oni</w:t>
      </w:r>
      <w:r w:rsidR="00552244">
        <w:rPr>
          <w:rFonts w:cs="Arial"/>
          <w:color w:val="222222"/>
          <w:lang w:val="pl-PL"/>
        </w:rPr>
        <w:t xml:space="preserve"> m.in.</w:t>
      </w:r>
      <w:r w:rsidRPr="00BE5B69">
        <w:rPr>
          <w:rFonts w:cs="Arial"/>
          <w:color w:val="222222"/>
          <w:lang w:val="pl-PL"/>
        </w:rPr>
        <w:t xml:space="preserve"> obawę, że sposób rozumowania przyjęty przez Trybunał może prowadzić do niepożądanej autocenzury wynikającej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z</w:t>
      </w:r>
      <w:r w:rsidR="00E83243" w:rsidRPr="00BE5B69">
        <w:rPr>
          <w:rFonts w:cs="Arial"/>
          <w:color w:val="222222"/>
          <w:lang w:val="pl-PL"/>
        </w:rPr>
        <w:t xml:space="preserve"> obawy</w:t>
      </w:r>
      <w:r w:rsidRPr="00BE5B69">
        <w:rPr>
          <w:rFonts w:cs="Arial"/>
          <w:color w:val="222222"/>
          <w:lang w:val="pl-PL"/>
        </w:rPr>
        <w:t xml:space="preserve"> przed odpowiedzialnością – w obawie przed obraźliwym wydźwiękiem komentarzy internetowych wszystkie powinny być monitorowane. Zdaniem sędziów, cenzura nie zawsze musi wyrażać się w bezpośrednich działaniach państwa, może </w:t>
      </w:r>
      <w:r w:rsidR="00D97B9B" w:rsidRPr="00BE5B69">
        <w:rPr>
          <w:rFonts w:cs="Arial"/>
          <w:color w:val="222222"/>
          <w:lang w:val="pl-PL"/>
        </w:rPr>
        <w:t xml:space="preserve">zaś </w:t>
      </w:r>
      <w:r w:rsidRPr="00BE5B69">
        <w:rPr>
          <w:rFonts w:cs="Arial"/>
          <w:color w:val="222222"/>
          <w:lang w:val="pl-PL"/>
        </w:rPr>
        <w:t xml:space="preserve">polegać </w:t>
      </w:r>
      <w:r w:rsidR="00D97B9B" w:rsidRPr="00BE5B69">
        <w:rPr>
          <w:rFonts w:cs="Arial"/>
          <w:color w:val="222222"/>
          <w:lang w:val="pl-PL"/>
        </w:rPr>
        <w:t xml:space="preserve">także </w:t>
      </w:r>
      <w:r w:rsidRPr="00BE5B69">
        <w:rPr>
          <w:rFonts w:cs="Arial"/>
          <w:color w:val="222222"/>
          <w:lang w:val="pl-PL"/>
        </w:rPr>
        <w:t xml:space="preserve">na wywieraniu presji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i pociąganiu do odpowiedzialności podmiotów kontrolujących infrastrukturę techniczną (np. Internet Service Providers – ISP). Sędziowie zwrócili uwagę, że podejście estońskie jest wyjątkowe, ponieważ w większości państw członkowskich Rady Europy i innych państw demokratycznych system </w:t>
      </w:r>
      <w:r w:rsidR="006137B4">
        <w:rPr>
          <w:rFonts w:cs="Arial"/>
          <w:color w:val="222222"/>
          <w:lang w:val="pl-PL"/>
        </w:rPr>
        <w:t>regulacyjny</w:t>
      </w:r>
      <w:r w:rsidR="006137B4" w:rsidRPr="00BE5B69">
        <w:rPr>
          <w:rFonts w:cs="Arial"/>
          <w:color w:val="222222"/>
          <w:lang w:val="pl-PL"/>
        </w:rPr>
        <w:t xml:space="preserve"> </w:t>
      </w:r>
      <w:r w:rsidRPr="00BE5B69">
        <w:rPr>
          <w:rFonts w:cs="Arial"/>
          <w:color w:val="222222"/>
          <w:lang w:val="pl-PL"/>
        </w:rPr>
        <w:t>jest oparty na</w:t>
      </w:r>
      <w:r w:rsidR="006137B4">
        <w:rPr>
          <w:rFonts w:cs="Arial"/>
          <w:color w:val="222222"/>
          <w:lang w:val="pl-PL"/>
        </w:rPr>
        <w:t xml:space="preserve"> zasadzie</w:t>
      </w:r>
      <w:r w:rsidRPr="00BE5B69">
        <w:rPr>
          <w:rFonts w:cs="Arial"/>
          <w:color w:val="222222"/>
          <w:lang w:val="pl-PL"/>
        </w:rPr>
        <w:t xml:space="preserve"> </w:t>
      </w:r>
      <w:r w:rsidR="006137B4">
        <w:rPr>
          <w:rFonts w:cs="Arial"/>
          <w:color w:val="222222"/>
          <w:lang w:val="pl-PL"/>
        </w:rPr>
        <w:t xml:space="preserve">rzeczywistej </w:t>
      </w:r>
      <w:r w:rsidRPr="00BE5B69">
        <w:rPr>
          <w:rFonts w:cs="Arial"/>
          <w:color w:val="222222"/>
          <w:lang w:val="pl-PL"/>
        </w:rPr>
        <w:t>wiedzy</w:t>
      </w:r>
      <w:r w:rsidR="006137B4">
        <w:rPr>
          <w:rFonts w:cs="Arial"/>
          <w:color w:val="222222"/>
          <w:lang w:val="pl-PL"/>
        </w:rPr>
        <w:t xml:space="preserve"> (w szczególności system </w:t>
      </w:r>
      <w:r w:rsidR="006137B4" w:rsidRPr="006137B4">
        <w:rPr>
          <w:rStyle w:val="sb8d990e2"/>
          <w:lang w:val="pl-PL"/>
        </w:rPr>
        <w:t>“</w:t>
      </w:r>
      <w:proofErr w:type="spellStart"/>
      <w:r w:rsidR="006137B4" w:rsidRPr="006137B4">
        <w:rPr>
          <w:rStyle w:val="sb8d990e2"/>
          <w:i/>
          <w:lang w:val="pl-PL"/>
        </w:rPr>
        <w:t>notice</w:t>
      </w:r>
      <w:proofErr w:type="spellEnd"/>
      <w:r w:rsidR="006137B4" w:rsidRPr="006137B4">
        <w:rPr>
          <w:rStyle w:val="sb8d990e2"/>
          <w:i/>
          <w:lang w:val="pl-PL"/>
        </w:rPr>
        <w:t xml:space="preserve"> and </w:t>
      </w:r>
      <w:proofErr w:type="spellStart"/>
      <w:r w:rsidR="006137B4" w:rsidRPr="006137B4">
        <w:rPr>
          <w:rStyle w:val="sb8d990e2"/>
          <w:i/>
          <w:lang w:val="pl-PL"/>
        </w:rPr>
        <w:t>take</w:t>
      </w:r>
      <w:proofErr w:type="spellEnd"/>
      <w:r w:rsidR="006137B4" w:rsidRPr="006137B4">
        <w:rPr>
          <w:rStyle w:val="sb8d990e2"/>
          <w:i/>
          <w:lang w:val="pl-PL"/>
        </w:rPr>
        <w:t xml:space="preserve"> down</w:t>
      </w:r>
      <w:r w:rsidR="006137B4" w:rsidRPr="006137B4">
        <w:rPr>
          <w:rStyle w:val="sb8d990e2"/>
          <w:lang w:val="pl-PL"/>
        </w:rPr>
        <w:t>”)</w:t>
      </w:r>
      <w:r w:rsidRPr="00BE5B69">
        <w:rPr>
          <w:rFonts w:cs="Arial"/>
          <w:color w:val="222222"/>
          <w:lang w:val="pl-PL"/>
        </w:rPr>
        <w:t>. Ponadto stwierdzono, że Sąd Najwyższy w sposób niewystarczający zważył interes publiczny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i interes skarżącego w kontekście ograniczenia wolności wyrażania opinii. W opinii zwrócono uwagę na fakt nieuzasadnienia przez sądy krajowe i Trybunał niezastosowania w przedmiotowej sprawie prawa europejskiego, które stanowi część krajowego porządku prawnego. </w:t>
      </w:r>
    </w:p>
    <w:p w:rsidR="00D7274E" w:rsidRPr="00D7274E" w:rsidRDefault="00D7274E" w:rsidP="00D7274E">
      <w:pPr>
        <w:pStyle w:val="Nagwek2"/>
        <w:numPr>
          <w:ilvl w:val="0"/>
          <w:numId w:val="1"/>
        </w:numPr>
      </w:pPr>
      <w:bookmarkStart w:id="8" w:name="_Toc424579199"/>
      <w:proofErr w:type="spellStart"/>
      <w:r w:rsidRPr="00D7274E">
        <w:t>Caraian</w:t>
      </w:r>
      <w:proofErr w:type="spellEnd"/>
      <w:r w:rsidRPr="00D7274E">
        <w:t xml:space="preserve"> p. Rumunii (ska</w:t>
      </w:r>
      <w:r w:rsidR="00A237B5">
        <w:t xml:space="preserve">rga nr 34456/07), wyrok Izby z </w:t>
      </w:r>
      <w:r w:rsidRPr="00D7274E">
        <w:t>2</w:t>
      </w:r>
      <w:r w:rsidR="00A237B5">
        <w:t>3</w:t>
      </w:r>
      <w:r w:rsidRPr="00D7274E">
        <w:t>.06.2015 r. nieostateczny</w:t>
      </w:r>
      <w:bookmarkEnd w:id="8"/>
    </w:p>
    <w:p w:rsidR="00D7274E" w:rsidRPr="005A5120" w:rsidRDefault="00580EAF" w:rsidP="005A5120">
      <w:pPr>
        <w:pStyle w:val="Nagwek3"/>
        <w:rPr>
          <w:lang w:val="pl-PL"/>
        </w:rPr>
      </w:pPr>
      <w:bookmarkStart w:id="9" w:name="_Toc424579200"/>
      <w:r w:rsidRPr="005A5120">
        <w:rPr>
          <w:lang w:val="pl-PL"/>
        </w:rPr>
        <w:t xml:space="preserve">- umorzenie przez sąd krajowy postępowania karnego przeciwko skarżącemu z uwagi </w:t>
      </w:r>
      <w:r w:rsidR="008B0445">
        <w:rPr>
          <w:lang w:val="pl-PL"/>
        </w:rPr>
        <w:br/>
      </w:r>
      <w:r w:rsidRPr="005A5120">
        <w:rPr>
          <w:lang w:val="pl-PL"/>
        </w:rPr>
        <w:t xml:space="preserve">na przedawnienie, przy równoczesnym uznaniu za udowodniony faktu popełnienia </w:t>
      </w:r>
      <w:r w:rsidR="008B0445">
        <w:rPr>
          <w:lang w:val="pl-PL"/>
        </w:rPr>
        <w:br/>
      </w:r>
      <w:r w:rsidRPr="005A5120">
        <w:rPr>
          <w:lang w:val="pl-PL"/>
        </w:rPr>
        <w:t xml:space="preserve">przez skarżącego zarzucanych mu przestępstw </w:t>
      </w:r>
      <w:r w:rsidR="00621504">
        <w:rPr>
          <w:lang w:val="pl-PL"/>
        </w:rPr>
        <w:t>–</w:t>
      </w:r>
      <w:r w:rsidRPr="005A5120">
        <w:rPr>
          <w:lang w:val="pl-PL"/>
        </w:rPr>
        <w:t xml:space="preserve"> n</w:t>
      </w:r>
      <w:r w:rsidR="00D7274E" w:rsidRPr="005A5120">
        <w:rPr>
          <w:lang w:val="pl-PL"/>
        </w:rPr>
        <w:t xml:space="preserve">aruszenie art. 6 </w:t>
      </w:r>
      <w:r w:rsidRPr="005A5120">
        <w:rPr>
          <w:lang w:val="pl-PL"/>
        </w:rPr>
        <w:t>ust.</w:t>
      </w:r>
      <w:r w:rsidR="00D7274E" w:rsidRPr="005A5120">
        <w:rPr>
          <w:lang w:val="pl-PL"/>
        </w:rPr>
        <w:t xml:space="preserve"> 2 Konwencji </w:t>
      </w:r>
      <w:r w:rsidRPr="005A5120">
        <w:rPr>
          <w:lang w:val="pl-PL"/>
        </w:rPr>
        <w:t>(zasada</w:t>
      </w:r>
      <w:r w:rsidR="00D7274E" w:rsidRPr="005A5120">
        <w:rPr>
          <w:lang w:val="pl-PL"/>
        </w:rPr>
        <w:t xml:space="preserve"> domniemania niewinności</w:t>
      </w:r>
      <w:r w:rsidRPr="005A5120">
        <w:rPr>
          <w:lang w:val="pl-PL"/>
        </w:rPr>
        <w:t>)</w:t>
      </w:r>
      <w:bookmarkEnd w:id="9"/>
      <w:r w:rsidRPr="005A5120">
        <w:rPr>
          <w:lang w:val="pl-PL"/>
        </w:rPr>
        <w:t xml:space="preserve"> </w:t>
      </w:r>
    </w:p>
    <w:p w:rsidR="00D7274E" w:rsidRPr="00621504" w:rsidRDefault="00D7274E" w:rsidP="00D7274E">
      <w:pPr>
        <w:spacing w:after="120" w:line="240" w:lineRule="auto"/>
        <w:jc w:val="both"/>
        <w:rPr>
          <w:rFonts w:eastAsia="Times New Roman Bold" w:cs="Times New Roman Bold"/>
          <w:color w:val="222222"/>
          <w:u w:val="single" w:color="222222"/>
          <w:lang w:val="pl-PL"/>
        </w:rPr>
      </w:pPr>
      <w:r w:rsidRPr="00621504">
        <w:rPr>
          <w:color w:val="222222"/>
          <w:u w:val="single" w:color="222222"/>
          <w:lang w:val="pl-PL"/>
        </w:rPr>
        <w:t>Stan faktyczny i zarzuty skarżącego</w:t>
      </w:r>
    </w:p>
    <w:p w:rsidR="00D7274E" w:rsidRPr="00BE5B69" w:rsidRDefault="00D7274E" w:rsidP="00D7274E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We wrześniu 1997 r. </w:t>
      </w:r>
      <w:proofErr w:type="spellStart"/>
      <w:r w:rsidRPr="00BE5B69">
        <w:rPr>
          <w:rFonts w:cs="Arial"/>
          <w:color w:val="222222"/>
          <w:lang w:val="pl-PL"/>
        </w:rPr>
        <w:t>Vasile</w:t>
      </w:r>
      <w:proofErr w:type="spellEnd"/>
      <w:r w:rsidRPr="00BE5B69">
        <w:rPr>
          <w:rFonts w:cs="Arial"/>
          <w:color w:val="222222"/>
          <w:lang w:val="pl-PL"/>
        </w:rPr>
        <w:t xml:space="preserve"> </w:t>
      </w:r>
      <w:proofErr w:type="spellStart"/>
      <w:r w:rsidRPr="00BE5B69">
        <w:rPr>
          <w:rFonts w:cs="Arial"/>
          <w:color w:val="222222"/>
          <w:lang w:val="pl-PL"/>
        </w:rPr>
        <w:t>Caraian</w:t>
      </w:r>
      <w:proofErr w:type="spellEnd"/>
      <w:r w:rsidRPr="00BE5B69">
        <w:rPr>
          <w:rFonts w:cs="Arial"/>
          <w:color w:val="222222"/>
          <w:lang w:val="pl-PL"/>
        </w:rPr>
        <w:t xml:space="preserve">, obywatel Rumunii zamieszkały w Bukareszcie, został oskarżony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o dokonanie licznych przestępstw, w tym przekupstwa, współudziału w oszustwie i fałszerstwie.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W czerwcu 2000 r. Sąd Rejonowy w Sibiu uniewinnił skarżącego, jednakże w wyniku apelacji prokuratury, Sąd Apelacyjny w Alba </w:t>
      </w:r>
      <w:proofErr w:type="spellStart"/>
      <w:r w:rsidRPr="00BE5B69">
        <w:rPr>
          <w:rFonts w:cs="Arial"/>
          <w:color w:val="222222"/>
          <w:lang w:val="pl-PL"/>
        </w:rPr>
        <w:t>Iulia</w:t>
      </w:r>
      <w:proofErr w:type="spellEnd"/>
      <w:r w:rsidRPr="00BE5B69">
        <w:rPr>
          <w:rFonts w:cs="Arial"/>
          <w:color w:val="222222"/>
          <w:lang w:val="pl-PL"/>
        </w:rPr>
        <w:t xml:space="preserve"> uchylił wyrok sądu pierwszej instancji, uznał </w:t>
      </w:r>
      <w:proofErr w:type="spellStart"/>
      <w:r w:rsidRPr="00BE5B69">
        <w:rPr>
          <w:rFonts w:cs="Arial"/>
          <w:color w:val="222222"/>
          <w:lang w:val="pl-PL"/>
        </w:rPr>
        <w:t>Vasile</w:t>
      </w:r>
      <w:proofErr w:type="spellEnd"/>
      <w:r w:rsidRPr="00BE5B69">
        <w:rPr>
          <w:rFonts w:cs="Arial"/>
          <w:color w:val="222222"/>
          <w:lang w:val="pl-PL"/>
        </w:rPr>
        <w:t xml:space="preserve"> </w:t>
      </w:r>
      <w:proofErr w:type="spellStart"/>
      <w:r w:rsidRPr="00BE5B69">
        <w:rPr>
          <w:rFonts w:cs="Arial"/>
          <w:color w:val="222222"/>
          <w:lang w:val="pl-PL"/>
        </w:rPr>
        <w:t>Caraiana</w:t>
      </w:r>
      <w:proofErr w:type="spellEnd"/>
      <w:r w:rsidRPr="00BE5B69">
        <w:rPr>
          <w:rFonts w:cs="Arial"/>
          <w:color w:val="222222"/>
          <w:lang w:val="pl-PL"/>
        </w:rPr>
        <w:t xml:space="preserve"> winnego zarzucanych mu przestępstw i skazał go na trzy lata pozbawienia wolności. W wyniku skargi kasacyjnej wniesionej przez skarżącego wyrok skazujący został uchylony przez Sąd Kasacyjny i sprawa została zwrócona do prokuratury w Sibiu w celu ponownego przeprowadzenia postępowania </w:t>
      </w:r>
      <w:r w:rsidRPr="00BE5B69">
        <w:rPr>
          <w:rFonts w:cs="Arial"/>
          <w:color w:val="222222"/>
          <w:lang w:val="pl-PL"/>
        </w:rPr>
        <w:lastRenderedPageBreak/>
        <w:t xml:space="preserve">przygotowawczego. Prokuratura w Sibiu przekazała prowadzenie sprawy do Krajowej Prokuratury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ds. Antykorupcji, która po przeprowadzeniu czynności w sprawie umorzyła postępowanie przeciwko skarżącemu odnośnie zarzutu przekupstwa oraz wywierania wpływów, uznając, że nie doszło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do zarzucanych panu </w:t>
      </w:r>
      <w:proofErr w:type="spellStart"/>
      <w:r w:rsidRPr="00BE5B69">
        <w:rPr>
          <w:rFonts w:cs="Arial"/>
          <w:color w:val="222222"/>
          <w:lang w:val="pl-PL"/>
        </w:rPr>
        <w:t>Caraianowi</w:t>
      </w:r>
      <w:proofErr w:type="spellEnd"/>
      <w:r w:rsidRPr="00BE5B69">
        <w:rPr>
          <w:rFonts w:cs="Arial"/>
          <w:color w:val="222222"/>
          <w:lang w:val="pl-PL"/>
        </w:rPr>
        <w:t xml:space="preserve"> czynów. W pozostałym zakresie Krajowa Prokuratura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ds. Antykorupcji przekazała sprawę do Prokuratury w Sibiu, która następnie umorzyła postępowanie. W uzasadnieniu wskazano, iż pomimo niezaprzeczalności popełnienia przez skarżącego zarzucanych mu przestępstw, postępowanie karne należało umorzyć z uwagi na przedawnienie. Skarżący zaskarżył postanowienie prokuratury domagając się kontynuowania postępowania w celu ustalenia jego niewinności. Wznowione postępowanie zostało ponownie umorzone, zaś uzasadnienie w dalszym ciągu wskazywało jakoby popełnienie przez skarżącego zarzucanych mu przestępstw zostało udowodnione. Na skutek apelacji skarżącego Sąd Rejonowy w Sibiu przekazał sprawę do prokuratury</w:t>
      </w:r>
      <w:r w:rsidR="00621504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nakazując wznowienie śledztwa. W marcu 2005 r. podczas trzeciej rundy prowadzonego postępowania przygotowawczego Prokurator w Sibiu postanowił zakończyć prowadzenie sprawy</w:t>
      </w:r>
      <w:r w:rsidR="003A113C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uznając, że chociaż </w:t>
      </w:r>
      <w:r w:rsidR="003A113C" w:rsidRPr="00BE5B69">
        <w:rPr>
          <w:rFonts w:cs="Arial"/>
          <w:color w:val="222222"/>
          <w:lang w:val="pl-PL"/>
        </w:rPr>
        <w:t xml:space="preserve">V. </w:t>
      </w:r>
      <w:proofErr w:type="spellStart"/>
      <w:r w:rsidRPr="00BE5B69">
        <w:rPr>
          <w:rFonts w:cs="Arial"/>
          <w:color w:val="222222"/>
          <w:lang w:val="pl-PL"/>
        </w:rPr>
        <w:t>Caraian</w:t>
      </w:r>
      <w:proofErr w:type="spellEnd"/>
      <w:r w:rsidRPr="00BE5B69">
        <w:rPr>
          <w:rFonts w:cs="Arial"/>
          <w:color w:val="222222"/>
          <w:lang w:val="pl-PL"/>
        </w:rPr>
        <w:t xml:space="preserve"> był winny przestępstw</w:t>
      </w:r>
      <w:r w:rsidR="003A113C" w:rsidRPr="00BE5B69">
        <w:rPr>
          <w:rFonts w:cs="Arial"/>
          <w:color w:val="222222"/>
          <w:lang w:val="pl-PL"/>
        </w:rPr>
        <w:t>,</w:t>
      </w:r>
      <w:r w:rsidRPr="00BE5B69">
        <w:rPr>
          <w:rFonts w:cs="Arial"/>
          <w:color w:val="222222"/>
          <w:lang w:val="pl-PL"/>
        </w:rPr>
        <w:t xml:space="preserve"> o które został oskarżony, postępowanie karne przeciwko niemu uległo przedawnieniu. Postanowienie prokuratury zostało następnie potwierdzone wyrokami sądowymi. Prawomocnym wyrokiem z marca 2007 r. Sąd Powiatowy w </w:t>
      </w:r>
      <w:proofErr w:type="spellStart"/>
      <w:r w:rsidRPr="00BE5B69">
        <w:rPr>
          <w:rFonts w:cs="Arial"/>
          <w:color w:val="222222"/>
          <w:lang w:val="pl-PL"/>
        </w:rPr>
        <w:t>Bacâu</w:t>
      </w:r>
      <w:proofErr w:type="spellEnd"/>
      <w:r w:rsidRPr="00BE5B69">
        <w:rPr>
          <w:rFonts w:cs="Arial"/>
          <w:color w:val="222222"/>
          <w:lang w:val="pl-PL"/>
        </w:rPr>
        <w:t xml:space="preserve"> oddalił apelację skarżącego, uznając, że postanowienie Prokuratura w Sibiu oraz wyrok sądu pierwszej instancji były zgodne z prawem, a </w:t>
      </w:r>
      <w:r w:rsidR="003A113C" w:rsidRPr="00BE5B69">
        <w:rPr>
          <w:rFonts w:cs="Arial"/>
          <w:color w:val="222222"/>
          <w:lang w:val="pl-PL"/>
        </w:rPr>
        <w:t xml:space="preserve">V. </w:t>
      </w:r>
      <w:proofErr w:type="spellStart"/>
      <w:r w:rsidRPr="00BE5B69">
        <w:rPr>
          <w:rFonts w:cs="Arial"/>
          <w:color w:val="222222"/>
          <w:lang w:val="pl-PL"/>
        </w:rPr>
        <w:t>Caraian</w:t>
      </w:r>
      <w:proofErr w:type="spellEnd"/>
      <w:r w:rsidRPr="00BE5B69">
        <w:rPr>
          <w:rFonts w:cs="Arial"/>
          <w:color w:val="222222"/>
          <w:lang w:val="pl-PL"/>
        </w:rPr>
        <w:t xml:space="preserve">  współdziałał w popełnieniu zarzucanych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mu przestępstw.</w:t>
      </w:r>
    </w:p>
    <w:p w:rsidR="00D7274E" w:rsidRPr="00BE5B69" w:rsidRDefault="00D7274E" w:rsidP="00D7274E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okolicznościach niniejszej sprawy skarżący, w oparciu o art. 6 </w:t>
      </w:r>
      <w:r w:rsidR="003A113C" w:rsidRPr="00BE5B69">
        <w:rPr>
          <w:rFonts w:cs="Arial"/>
          <w:color w:val="222222"/>
          <w:lang w:val="pl-PL"/>
        </w:rPr>
        <w:t>ust. 1 oraz art. 6 ust.</w:t>
      </w:r>
      <w:r w:rsidRPr="00BE5B69">
        <w:rPr>
          <w:rFonts w:cs="Arial"/>
          <w:color w:val="222222"/>
          <w:lang w:val="pl-PL"/>
        </w:rPr>
        <w:t xml:space="preserve"> 2 Konwencji, podniósł zarzut przewlekłości postępowania karnego prowadzonego przeciwko niemu, </w:t>
      </w:r>
      <w:r w:rsidR="008B0445">
        <w:rPr>
          <w:rFonts w:cs="Arial"/>
          <w:color w:val="222222"/>
          <w:lang w:val="pl-PL"/>
        </w:rPr>
        <w:br/>
      </w:r>
      <w:r w:rsidR="003A113C" w:rsidRPr="00BE5B69">
        <w:rPr>
          <w:rFonts w:cs="Arial"/>
          <w:color w:val="222222"/>
          <w:lang w:val="pl-PL"/>
        </w:rPr>
        <w:t xml:space="preserve">a także </w:t>
      </w:r>
      <w:r w:rsidRPr="00BE5B69">
        <w:rPr>
          <w:rFonts w:cs="Arial"/>
          <w:color w:val="222222"/>
          <w:lang w:val="pl-PL"/>
        </w:rPr>
        <w:t xml:space="preserve">naruszenia zasady domniemania niewinności oraz prawa do rzetelnego sądu. Skarżący podniósł w szczególności, że krajowe sądy potwierdziły jego winę bez rozpatrzenia sprawy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i przeprowadzenia dodatkowych dowodów.</w:t>
      </w:r>
    </w:p>
    <w:p w:rsidR="00D7274E" w:rsidRPr="00621504" w:rsidRDefault="00E95A40" w:rsidP="00D7274E">
      <w:pPr>
        <w:spacing w:after="120" w:line="240" w:lineRule="auto"/>
        <w:jc w:val="both"/>
        <w:rPr>
          <w:rFonts w:eastAsia="Times New Roman Bold" w:cs="Times New Roman Bold"/>
          <w:color w:val="222222"/>
          <w:u w:val="single" w:color="222222"/>
          <w:lang w:val="pl-PL"/>
        </w:rPr>
      </w:pPr>
      <w:r w:rsidRPr="00621504">
        <w:rPr>
          <w:color w:val="222222"/>
          <w:u w:val="single" w:color="222222"/>
          <w:lang w:val="pl-PL"/>
        </w:rPr>
        <w:t>Ocena Trybunału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Biorąc pod uwagę warunki deklaracji jednostronnej rządu rumuńskiego w odniesieniu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do przedmiotowej skargi w zakresie przewlekłości postępowania karnego, w której strona rządowa przyznała się do naruszenia art. 6 </w:t>
      </w:r>
      <w:r w:rsidR="003A113C" w:rsidRPr="00BE5B69">
        <w:rPr>
          <w:rFonts w:cs="Arial"/>
          <w:color w:val="222222"/>
          <w:lang w:val="pl-PL"/>
        </w:rPr>
        <w:t>ust.</w:t>
      </w:r>
      <w:r w:rsidRPr="00BE5B69">
        <w:rPr>
          <w:rFonts w:cs="Arial"/>
          <w:color w:val="222222"/>
          <w:lang w:val="pl-PL"/>
        </w:rPr>
        <w:t xml:space="preserve"> 1 Konwencji oraz zadeklarowała zapłatę 2,430 euro słusznego zadośćuczynienia, Trybunał skreślił tę część skargi z listy spraw zawisłych przed Trybunałem.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Trybunał stwierdził </w:t>
      </w:r>
      <w:r w:rsidR="003A113C" w:rsidRPr="00BE5B69">
        <w:rPr>
          <w:rFonts w:cs="Arial"/>
          <w:color w:val="222222"/>
          <w:lang w:val="pl-PL"/>
        </w:rPr>
        <w:t xml:space="preserve">natomiast </w:t>
      </w:r>
      <w:r w:rsidRPr="00BE5B69">
        <w:rPr>
          <w:rFonts w:cs="Arial"/>
          <w:color w:val="222222"/>
          <w:lang w:val="pl-PL"/>
        </w:rPr>
        <w:t xml:space="preserve">naruszenie art. 6 </w:t>
      </w:r>
      <w:r w:rsidR="003A113C" w:rsidRPr="00BE5B69">
        <w:rPr>
          <w:rFonts w:cs="Arial"/>
          <w:color w:val="222222"/>
          <w:lang w:val="pl-PL"/>
        </w:rPr>
        <w:t>ust.</w:t>
      </w:r>
      <w:r w:rsidRPr="00BE5B69">
        <w:rPr>
          <w:rFonts w:cs="Arial"/>
          <w:color w:val="222222"/>
          <w:lang w:val="pl-PL"/>
        </w:rPr>
        <w:t xml:space="preserve"> 2 Konwencji poprzez złamanie w stosunku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do skarżącego zasady domniemania niewinności oraz prawa do rzetelnego </w:t>
      </w:r>
      <w:r w:rsidR="009F4FB5">
        <w:rPr>
          <w:rFonts w:cs="Arial"/>
          <w:color w:val="222222"/>
          <w:lang w:val="pl-PL"/>
        </w:rPr>
        <w:t>procesu sądowego</w:t>
      </w:r>
      <w:r w:rsidRPr="00BE5B69">
        <w:rPr>
          <w:rFonts w:cs="Arial"/>
          <w:color w:val="222222"/>
          <w:lang w:val="pl-PL"/>
        </w:rPr>
        <w:t xml:space="preserve">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>w związku z działalnością prokuratury i sądów, które pomimo formalnego umorzenia postępowania karnego z powodu przedawnienia stwierdzały winę skarżącego. Trybunał zasądził słuszne zadośćuczynienie w wysokości 3,600 euro.</w:t>
      </w:r>
    </w:p>
    <w:p w:rsidR="002356D3" w:rsidRPr="00CF7736" w:rsidRDefault="002356D3" w:rsidP="00D7274E">
      <w:pPr>
        <w:spacing w:line="240" w:lineRule="auto"/>
        <w:jc w:val="both"/>
        <w:rPr>
          <w:color w:val="222222"/>
          <w:u w:val="single" w:color="222222"/>
          <w:lang w:val="pl-PL"/>
        </w:rPr>
      </w:pPr>
      <w:r w:rsidRPr="00CF7736">
        <w:rPr>
          <w:color w:val="222222"/>
          <w:u w:val="single" w:color="222222"/>
          <w:lang w:val="pl-PL"/>
        </w:rPr>
        <w:t>Znaczenie wyroku dla Polski</w:t>
      </w:r>
    </w:p>
    <w:p w:rsidR="00D7274E" w:rsidRPr="00BE5B69" w:rsidRDefault="00D7274E" w:rsidP="00BE5B69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BE5B69">
        <w:rPr>
          <w:rFonts w:cs="Arial"/>
          <w:color w:val="222222"/>
          <w:lang w:val="pl-PL"/>
        </w:rPr>
        <w:t xml:space="preserve">W kontekście niniejszej sprawy należy zwrócić uwagę na polskie przepisy regulujące postępowanie karne, tj. art. 17 § 1 pkt. 6 </w:t>
      </w:r>
      <w:proofErr w:type="spellStart"/>
      <w:r w:rsidRPr="00BE5B69">
        <w:rPr>
          <w:rFonts w:cs="Arial"/>
          <w:color w:val="222222"/>
          <w:lang w:val="pl-PL"/>
        </w:rPr>
        <w:t>Kpk</w:t>
      </w:r>
      <w:proofErr w:type="spellEnd"/>
      <w:r w:rsidRPr="00BE5B69">
        <w:rPr>
          <w:rFonts w:cs="Arial"/>
          <w:color w:val="222222"/>
          <w:lang w:val="pl-PL"/>
        </w:rPr>
        <w:t xml:space="preserve">, który również przewiduje umorzenie postępowania karnego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color w:val="222222"/>
          <w:lang w:val="pl-PL"/>
        </w:rPr>
        <w:t xml:space="preserve">w przypadku przedawnienia karalności przestępstwa. Jednakże art. 5 § 1 </w:t>
      </w:r>
      <w:proofErr w:type="spellStart"/>
      <w:r w:rsidRPr="00BE5B69">
        <w:rPr>
          <w:rFonts w:cs="Arial"/>
          <w:color w:val="222222"/>
          <w:lang w:val="pl-PL"/>
        </w:rPr>
        <w:t>Kpk</w:t>
      </w:r>
      <w:proofErr w:type="spellEnd"/>
      <w:r w:rsidRPr="00BE5B69">
        <w:rPr>
          <w:rFonts w:cs="Arial"/>
          <w:color w:val="222222"/>
          <w:lang w:val="pl-PL"/>
        </w:rPr>
        <w:t xml:space="preserve"> regulujący zasadę </w:t>
      </w:r>
      <w:r w:rsidR="008B0445">
        <w:rPr>
          <w:rFonts w:cs="Arial"/>
          <w:color w:val="222222"/>
          <w:lang w:val="pl-PL"/>
        </w:rPr>
        <w:br/>
      </w:r>
      <w:r w:rsidRPr="00BE5B69">
        <w:rPr>
          <w:rFonts w:cs="Arial"/>
          <w:i/>
          <w:color w:val="222222"/>
          <w:lang w:val="pl-PL"/>
        </w:rPr>
        <w:t xml:space="preserve">in dubio pro </w:t>
      </w:r>
      <w:proofErr w:type="spellStart"/>
      <w:r w:rsidRPr="00BE5B69">
        <w:rPr>
          <w:rFonts w:cs="Arial"/>
          <w:i/>
          <w:color w:val="222222"/>
          <w:lang w:val="pl-PL"/>
        </w:rPr>
        <w:t>reo</w:t>
      </w:r>
      <w:proofErr w:type="spellEnd"/>
      <w:r w:rsidRPr="00BE5B69">
        <w:rPr>
          <w:rFonts w:cs="Arial"/>
          <w:i/>
          <w:color w:val="222222"/>
          <w:lang w:val="pl-PL"/>
        </w:rPr>
        <w:t xml:space="preserve">, </w:t>
      </w:r>
      <w:proofErr w:type="spellStart"/>
      <w:r w:rsidRPr="00BE5B69">
        <w:rPr>
          <w:rFonts w:cs="Arial"/>
          <w:i/>
          <w:color w:val="222222"/>
          <w:lang w:val="pl-PL"/>
        </w:rPr>
        <w:t>expresis</w:t>
      </w:r>
      <w:proofErr w:type="spellEnd"/>
      <w:r w:rsidRPr="00BE5B69">
        <w:rPr>
          <w:rFonts w:cs="Arial"/>
          <w:i/>
          <w:color w:val="222222"/>
          <w:lang w:val="pl-PL"/>
        </w:rPr>
        <w:t xml:space="preserve"> verbis</w:t>
      </w:r>
      <w:r w:rsidRPr="00BE5B69">
        <w:rPr>
          <w:rFonts w:cs="Arial"/>
          <w:color w:val="222222"/>
          <w:lang w:val="pl-PL"/>
        </w:rPr>
        <w:t xml:space="preserve"> stanowi, iż wina skarżącego winna być udowodniona i stwierdzona prawomocnym wyrokiem sądu. Tym samym sytuacja taka jak w sprawie rumuńskiej mogłaby mieć miejsce wyłącznie na skutek błędnego zastosowania prawa przez właściwe organy wymiaru sprawiedliwości</w:t>
      </w:r>
      <w:r w:rsidR="003A1381" w:rsidRPr="00BE5B69">
        <w:rPr>
          <w:rFonts w:cs="Arial"/>
          <w:color w:val="222222"/>
          <w:lang w:val="pl-PL"/>
        </w:rPr>
        <w:t xml:space="preserve">, w szczególności </w:t>
      </w:r>
      <w:r w:rsidR="002A3CCC">
        <w:rPr>
          <w:rFonts w:cs="Arial"/>
          <w:color w:val="222222"/>
          <w:lang w:val="pl-PL"/>
        </w:rPr>
        <w:t>w razie wadliwych sformułowań zawartych</w:t>
      </w:r>
      <w:r w:rsidR="003A1381" w:rsidRPr="00BE5B69">
        <w:rPr>
          <w:rFonts w:cs="Arial"/>
          <w:color w:val="222222"/>
          <w:lang w:val="pl-PL"/>
        </w:rPr>
        <w:t xml:space="preserve"> w uzasadnieniach postanowień stosownych orzeczeń</w:t>
      </w:r>
      <w:r w:rsidRPr="00BE5B69">
        <w:rPr>
          <w:rFonts w:cs="Arial"/>
          <w:color w:val="222222"/>
          <w:lang w:val="pl-PL"/>
        </w:rPr>
        <w:t>.</w:t>
      </w:r>
    </w:p>
    <w:p w:rsidR="00D7274E" w:rsidRPr="00D7274E" w:rsidRDefault="00D7274E" w:rsidP="00D7274E">
      <w:pPr>
        <w:spacing w:line="240" w:lineRule="auto"/>
        <w:rPr>
          <w:lang w:val="pl-PL"/>
        </w:rPr>
      </w:pPr>
    </w:p>
    <w:p w:rsidR="00D7274E" w:rsidRDefault="00D7274E" w:rsidP="00D7274E">
      <w:pPr>
        <w:spacing w:after="120" w:line="240" w:lineRule="auto"/>
        <w:jc w:val="both"/>
        <w:rPr>
          <w:lang w:val="pl-PL"/>
        </w:rPr>
      </w:pPr>
    </w:p>
    <w:p w:rsidR="006162AC" w:rsidRPr="006162AC" w:rsidRDefault="006162AC" w:rsidP="006162AC">
      <w:pPr>
        <w:pStyle w:val="Nagwek2"/>
        <w:numPr>
          <w:ilvl w:val="0"/>
          <w:numId w:val="1"/>
        </w:numPr>
      </w:pPr>
      <w:bookmarkStart w:id="10" w:name="_Toc424579201"/>
      <w:r w:rsidRPr="006162AC">
        <w:lastRenderedPageBreak/>
        <w:t>A.S. p. Szwajcarii (skarga nr 39350/13), wyrok Izby z 30.06.2015 r.</w:t>
      </w:r>
      <w:r>
        <w:t>,</w:t>
      </w:r>
      <w:r w:rsidRPr="006162AC">
        <w:t xml:space="preserve"> nieostateczny</w:t>
      </w:r>
      <w:bookmarkEnd w:id="10"/>
    </w:p>
    <w:p w:rsidR="006162AC" w:rsidRPr="006162AC" w:rsidRDefault="00FB670B" w:rsidP="006162AC">
      <w:pPr>
        <w:pStyle w:val="Nagwek3"/>
        <w:rPr>
          <w:lang w:val="pl-PL"/>
        </w:rPr>
      </w:pPr>
      <w:bookmarkStart w:id="11" w:name="_Toc424579202"/>
      <w:r w:rsidRPr="00FB670B">
        <w:rPr>
          <w:lang w:val="pl-PL"/>
        </w:rPr>
        <w:t>- odmowa</w:t>
      </w:r>
      <w:r w:rsidR="006162AC" w:rsidRPr="00FB670B">
        <w:rPr>
          <w:lang w:val="pl-PL"/>
        </w:rPr>
        <w:t xml:space="preserve"> przyznania skarżącemu azylu na terytorium Szwajcarii przy równoczesnym nakazie powrotu do kraju poprzedniego miejsca pobytu tj. do Włoch</w:t>
      </w:r>
      <w:r>
        <w:rPr>
          <w:lang w:val="pl-PL"/>
        </w:rPr>
        <w:t xml:space="preserve"> </w:t>
      </w:r>
      <w:r w:rsidR="00154B43">
        <w:rPr>
          <w:lang w:val="pl-PL"/>
        </w:rPr>
        <w:t>–</w:t>
      </w:r>
      <w:r>
        <w:rPr>
          <w:lang w:val="pl-PL"/>
        </w:rPr>
        <w:t xml:space="preserve"> </w:t>
      </w:r>
      <w:r w:rsidRPr="00FB670B">
        <w:rPr>
          <w:lang w:val="pl-PL"/>
        </w:rPr>
        <w:t>brak naruszenia przez Szwajcarię art. 3</w:t>
      </w:r>
      <w:r>
        <w:rPr>
          <w:lang w:val="pl-PL"/>
        </w:rPr>
        <w:t xml:space="preserve"> (zakaz tortur) </w:t>
      </w:r>
      <w:r w:rsidRPr="00FB670B">
        <w:rPr>
          <w:lang w:val="pl-PL"/>
        </w:rPr>
        <w:t xml:space="preserve">i art. 8 </w:t>
      </w:r>
      <w:r>
        <w:rPr>
          <w:lang w:val="pl-PL"/>
        </w:rPr>
        <w:t>(prawo do poszanowania życia prywatnego i rodzinnego) Konwencji</w:t>
      </w:r>
      <w:bookmarkEnd w:id="11"/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 w:rsidRPr="006162AC">
        <w:rPr>
          <w:rFonts w:cs="Arial"/>
          <w:color w:val="222222"/>
          <w:u w:val="single"/>
          <w:lang w:val="pl-PL"/>
        </w:rPr>
        <w:t>Stan faktyczny i zarzuty skarżącego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6162AC">
        <w:rPr>
          <w:rFonts w:cs="Arial"/>
          <w:color w:val="222222"/>
          <w:lang w:val="pl-PL"/>
        </w:rPr>
        <w:t xml:space="preserve">Skarżący jest obywatelem </w:t>
      </w:r>
      <w:r>
        <w:rPr>
          <w:rFonts w:cs="Arial"/>
          <w:color w:val="222222"/>
          <w:lang w:val="pl-PL"/>
        </w:rPr>
        <w:t>s</w:t>
      </w:r>
      <w:r w:rsidRPr="006162AC">
        <w:rPr>
          <w:rFonts w:cs="Arial"/>
          <w:color w:val="222222"/>
          <w:lang w:val="pl-PL"/>
        </w:rPr>
        <w:t>yryjskim pochodzenia</w:t>
      </w:r>
      <w:r w:rsidR="00A56B18" w:rsidRPr="00A56B18">
        <w:rPr>
          <w:rFonts w:cs="Arial"/>
          <w:color w:val="222222"/>
          <w:lang w:val="pl-PL"/>
        </w:rPr>
        <w:t xml:space="preserve"> </w:t>
      </w:r>
      <w:r w:rsidR="00A56B18" w:rsidRPr="006162AC">
        <w:rPr>
          <w:rFonts w:cs="Arial"/>
          <w:color w:val="222222"/>
          <w:lang w:val="pl-PL"/>
        </w:rPr>
        <w:t>kurdyjskiego</w:t>
      </w:r>
      <w:r w:rsidRPr="006162AC">
        <w:rPr>
          <w:rFonts w:cs="Arial"/>
          <w:color w:val="222222"/>
          <w:lang w:val="pl-PL"/>
        </w:rPr>
        <w:t xml:space="preserve">. W bliżej nieokreślonym terminie wjechał on na teren Szwajcarii z Włoch (gdzie przybył w nieokreślonym czasie). W dniu 18 lutego 2013 </w:t>
      </w:r>
      <w:r>
        <w:rPr>
          <w:rFonts w:cs="Arial"/>
          <w:color w:val="222222"/>
          <w:lang w:val="pl-PL"/>
        </w:rPr>
        <w:t xml:space="preserve">r. </w:t>
      </w:r>
      <w:r w:rsidRPr="006162AC">
        <w:rPr>
          <w:rFonts w:cs="Arial"/>
          <w:color w:val="222222"/>
          <w:lang w:val="pl-PL"/>
        </w:rPr>
        <w:t>złożył wniosek o udzielenie mu azylu. W dniu 8 maja 2013 r</w:t>
      </w:r>
      <w:r>
        <w:rPr>
          <w:rFonts w:cs="Arial"/>
          <w:color w:val="222222"/>
          <w:lang w:val="pl-PL"/>
        </w:rPr>
        <w:t>.</w:t>
      </w:r>
      <w:r w:rsidRPr="006162AC">
        <w:rPr>
          <w:rFonts w:cs="Arial"/>
          <w:color w:val="222222"/>
          <w:lang w:val="pl-PL"/>
        </w:rPr>
        <w:t xml:space="preserve"> Federalny Urząd Migracyjny odrzucił jego wniosek na </w:t>
      </w:r>
      <w:r>
        <w:rPr>
          <w:rFonts w:cs="Arial"/>
          <w:color w:val="222222"/>
          <w:lang w:val="pl-PL"/>
        </w:rPr>
        <w:t xml:space="preserve">tej </w:t>
      </w:r>
      <w:r w:rsidRPr="006162AC">
        <w:rPr>
          <w:rFonts w:cs="Arial"/>
          <w:color w:val="222222"/>
          <w:lang w:val="pl-PL"/>
        </w:rPr>
        <w:t>podstawie, że jego odciski palców zostały już zarejestrowane w systemie EURODAC</w:t>
      </w:r>
      <w:r w:rsidRPr="00E033DE">
        <w:rPr>
          <w:rFonts w:cs="Arial"/>
          <w:vertAlign w:val="superscript"/>
        </w:rPr>
        <w:footnoteReference w:id="1"/>
      </w:r>
      <w:r w:rsidRPr="006162AC">
        <w:rPr>
          <w:rFonts w:cs="Arial"/>
          <w:color w:val="222222"/>
          <w:lang w:val="pl-PL"/>
        </w:rPr>
        <w:t xml:space="preserve"> w Grecji w dniu 16 sierpnia 2012 r. oraz we Włoszech w dniu 21 stycznia 2013 r. Ponadto władze włoskie, na prośbę władz Szwajcarii, zgodziły się przyjąć skarżącego na swoje terytorium zgodnie z art. 10 § 1 Rozporządzenia nr 343/2003/WE (tzw. Dublin II)</w:t>
      </w:r>
      <w:r w:rsidRPr="00E033DE">
        <w:rPr>
          <w:rFonts w:cs="Arial"/>
          <w:vertAlign w:val="superscript"/>
        </w:rPr>
        <w:footnoteReference w:id="2"/>
      </w:r>
      <w:r w:rsidRPr="006162AC">
        <w:rPr>
          <w:rFonts w:cs="Arial"/>
          <w:color w:val="222222"/>
          <w:lang w:val="pl-PL"/>
        </w:rPr>
        <w:t xml:space="preserve">. Równocześnie urząd zauważył, że dwie siostry skarżącego, przebywające w Szwajcarii odpowiednio od 2006 i 2012 roku, nie mogą być uznane za „członków rodziny” w rozumieniu art. 2 Rozporządzenia Dublin II. Poza tym urząd stwierdził, że podnoszone przez skarżącego problemy z kręgosłupem nie uniemożliwiają jego transferu do Włoch, a na władzach </w:t>
      </w:r>
      <w:r>
        <w:rPr>
          <w:rFonts w:cs="Arial"/>
          <w:color w:val="222222"/>
          <w:lang w:val="pl-PL"/>
        </w:rPr>
        <w:t xml:space="preserve">włoskich </w:t>
      </w:r>
      <w:r w:rsidRPr="006162AC">
        <w:rPr>
          <w:rFonts w:cs="Arial"/>
          <w:color w:val="222222"/>
          <w:lang w:val="pl-PL"/>
        </w:rPr>
        <w:t xml:space="preserve">ciąży obowiązek zapewnienia mu odpowiedniego leczenia. Skarżący odwołał się od </w:t>
      </w:r>
      <w:r>
        <w:rPr>
          <w:rFonts w:cs="Arial"/>
          <w:color w:val="222222"/>
          <w:lang w:val="pl-PL"/>
        </w:rPr>
        <w:t xml:space="preserve">tej </w:t>
      </w:r>
      <w:r w:rsidRPr="006162AC">
        <w:rPr>
          <w:rFonts w:cs="Arial"/>
          <w:color w:val="222222"/>
          <w:lang w:val="pl-PL"/>
        </w:rPr>
        <w:t>decyzji do Federalnego Sądu Administracyjnego. W apelacji podkreślił, że uciekł z Syrii, ponieważ był tam prześladowany, aresztowany i torturowany</w:t>
      </w:r>
      <w:r>
        <w:rPr>
          <w:rFonts w:cs="Arial"/>
          <w:color w:val="222222"/>
          <w:lang w:val="pl-PL"/>
        </w:rPr>
        <w:t>.</w:t>
      </w:r>
      <w:r w:rsidRPr="006162AC">
        <w:rPr>
          <w:rFonts w:cs="Arial"/>
          <w:color w:val="222222"/>
          <w:lang w:val="pl-PL"/>
        </w:rPr>
        <w:t xml:space="preserve"> </w:t>
      </w:r>
      <w:r>
        <w:rPr>
          <w:rFonts w:cs="Arial"/>
          <w:color w:val="222222"/>
          <w:lang w:val="pl-PL"/>
        </w:rPr>
        <w:t>P</w:t>
      </w:r>
      <w:r w:rsidRPr="006162AC">
        <w:rPr>
          <w:rFonts w:cs="Arial"/>
          <w:color w:val="222222"/>
          <w:lang w:val="pl-PL"/>
        </w:rPr>
        <w:t xml:space="preserve">rzedstawił zaświadczenie lekarskie stwierdzające u niego ciężki zespół stresu pourazowego, z uwagi na który jest leczony, jak również zaświadczenie potwierdzające leczenie problemów z kręgosłupem. Podkreślił,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>że wydalenie go do Włoch, gdzie nie ma żadnej rodziny, pogłębi tylko jego problemy psychiczne i tym samym naruszy art. 3 i 8 Konwencji. 13 czerwca 2013 r. Federalny Sąd Administracyjny oddalił apelację skarżącego</w:t>
      </w:r>
      <w:r>
        <w:rPr>
          <w:rFonts w:cs="Arial"/>
          <w:color w:val="222222"/>
          <w:lang w:val="pl-PL"/>
        </w:rPr>
        <w:t>,</w:t>
      </w:r>
      <w:r w:rsidRPr="006162AC">
        <w:rPr>
          <w:rFonts w:cs="Arial"/>
          <w:color w:val="222222"/>
          <w:lang w:val="pl-PL"/>
        </w:rPr>
        <w:t xml:space="preserve"> uznając, że zgodnie z Rozporządzeniem Dublin II powinien wrócić do Włoch.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 xml:space="preserve">Sąd zaznaczył, że stan zdrowia  skarżącego nie jest na tyle poważny, aby wymagał on pomocy ze strony sióstr. Ponadto zauważył, że poziom leczenia uchodźców i osób starających się o azyl zapewniony przez Włochy nie wykazuje problemów strukturalnych i w związku z tym przetransportowanie skarżącego do Włoch nie naruszy art. 3 Konwencji.   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6162AC">
        <w:rPr>
          <w:rFonts w:cs="Arial"/>
          <w:color w:val="222222"/>
          <w:lang w:val="pl-PL"/>
        </w:rPr>
        <w:t>W skardze wniesionej do Trybunału skarżący zarzucił, iż wydalenie go do Włoch naruszy art. 3 Konwencji oraz będzie stanowiło ingerencję w jego życie rodzinne i prywatne w rozumieniu art. 8</w:t>
      </w:r>
      <w:r w:rsidR="00D922A1">
        <w:rPr>
          <w:rFonts w:cs="Arial"/>
          <w:color w:val="222222"/>
          <w:lang w:val="pl-PL"/>
        </w:rPr>
        <w:t>.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>
        <w:rPr>
          <w:rFonts w:cs="Arial"/>
          <w:color w:val="222222"/>
          <w:u w:val="single"/>
          <w:lang w:val="pl-PL"/>
        </w:rPr>
        <w:t>Ocena Trybunału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6162AC">
        <w:rPr>
          <w:rFonts w:cs="Arial"/>
          <w:color w:val="222222"/>
          <w:lang w:val="pl-PL"/>
        </w:rPr>
        <w:t xml:space="preserve">Trybunał uznał, że przeniesienie skarżącego do Włoch nie naruszy art. 3 Konwencji. Obecny stan zdrowia skarżącego nie jest na tyle poważny, aby możliwe było jego gwałtowne pogorszenie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 xml:space="preserve">na skutek wydalenia z terenu Szwajcarii. Również poziom leczenia zaoferowany mu we Włoszech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>nie odbiega od tego</w:t>
      </w:r>
      <w:r w:rsidR="00D609C5">
        <w:rPr>
          <w:rFonts w:cs="Arial"/>
          <w:color w:val="222222"/>
          <w:lang w:val="pl-PL"/>
        </w:rPr>
        <w:t>,</w:t>
      </w:r>
      <w:r w:rsidRPr="006162AC">
        <w:rPr>
          <w:rFonts w:cs="Arial"/>
          <w:color w:val="222222"/>
          <w:lang w:val="pl-PL"/>
        </w:rPr>
        <w:t xml:space="preserve"> jakie otrzymuje w Szwajcarii. Ponadto w sprawie skarżącego nie można doszukać się wyjątkowych przesłanek o podłożu humanitarnym uzasadniających jego pozostanie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 xml:space="preserve">na terenie Szwajcarii, jak to miało miejsce w sprawach D. p. Wielkiej Brytanii (skarga nr 30240/96)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 xml:space="preserve">czy </w:t>
      </w:r>
      <w:proofErr w:type="spellStart"/>
      <w:r w:rsidRPr="006162AC">
        <w:rPr>
          <w:rFonts w:cs="Arial"/>
          <w:color w:val="222222"/>
          <w:lang w:val="pl-PL"/>
        </w:rPr>
        <w:t>Bensaid</w:t>
      </w:r>
      <w:proofErr w:type="spellEnd"/>
      <w:r w:rsidRPr="006162AC">
        <w:rPr>
          <w:rFonts w:cs="Arial"/>
          <w:color w:val="222222"/>
          <w:lang w:val="pl-PL"/>
        </w:rPr>
        <w:t xml:space="preserve"> p. Wielkiej Brytanii (skarga nr 44599/98).  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lang w:val="pl-PL"/>
        </w:rPr>
      </w:pPr>
      <w:r w:rsidRPr="006162AC">
        <w:rPr>
          <w:rFonts w:cs="Arial"/>
          <w:color w:val="222222"/>
          <w:lang w:val="pl-PL"/>
        </w:rPr>
        <w:t xml:space="preserve">Trybunał nie stwierdził również naruszenia art. 8 Konwencji w przedmiotowej sprawie. </w:t>
      </w:r>
      <w:r w:rsidR="001C167D">
        <w:rPr>
          <w:rFonts w:cs="Arial"/>
          <w:color w:val="222222"/>
          <w:lang w:val="pl-PL"/>
        </w:rPr>
        <w:t>Z</w:t>
      </w:r>
      <w:r w:rsidRPr="006162AC">
        <w:rPr>
          <w:rFonts w:cs="Arial"/>
          <w:color w:val="222222"/>
          <w:lang w:val="pl-PL"/>
        </w:rPr>
        <w:t xml:space="preserve">aznaczył,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t xml:space="preserve">że nie ma dowodów na pobyt skarżącego na terytorium Szwajcarii przed złożeniem wniosku o azyl. Odnosząc się do dotychczasowego orzecznictwa zauważył, że relacje między rodzicami </w:t>
      </w:r>
      <w:r w:rsidR="00D609C5">
        <w:rPr>
          <w:rFonts w:cs="Arial"/>
          <w:color w:val="222222"/>
          <w:lang w:val="pl-PL"/>
        </w:rPr>
        <w:t>a</w:t>
      </w:r>
      <w:r w:rsidRPr="006162AC">
        <w:rPr>
          <w:rFonts w:cs="Arial"/>
          <w:color w:val="222222"/>
          <w:lang w:val="pl-PL"/>
        </w:rPr>
        <w:t xml:space="preserve"> dorosłymi dziećmi</w:t>
      </w:r>
      <w:r w:rsidR="00D609C5">
        <w:rPr>
          <w:rFonts w:cs="Arial"/>
          <w:color w:val="222222"/>
          <w:lang w:val="pl-PL"/>
        </w:rPr>
        <w:t>,</w:t>
      </w:r>
      <w:r w:rsidRPr="006162AC">
        <w:rPr>
          <w:rFonts w:cs="Arial"/>
          <w:color w:val="222222"/>
          <w:lang w:val="pl-PL"/>
        </w:rPr>
        <w:t xml:space="preserve"> jak również między dorosłym rodzeństwem nie stanowią życia rodzinnego w rozumieniu </w:t>
      </w:r>
      <w:r w:rsidR="009F3660">
        <w:rPr>
          <w:rFonts w:cs="Arial"/>
          <w:color w:val="222222"/>
          <w:lang w:val="pl-PL"/>
        </w:rPr>
        <w:br/>
      </w:r>
      <w:r w:rsidRPr="006162AC">
        <w:rPr>
          <w:rFonts w:cs="Arial"/>
          <w:color w:val="222222"/>
          <w:lang w:val="pl-PL"/>
        </w:rPr>
        <w:lastRenderedPageBreak/>
        <w:t xml:space="preserve">art. 8 Konwencji, o ile nie można wykazać istniejących między nimi dodatkowych elementów zależności. </w:t>
      </w:r>
    </w:p>
    <w:p w:rsidR="006162AC" w:rsidRPr="006162AC" w:rsidRDefault="006162AC" w:rsidP="006162AC">
      <w:pPr>
        <w:spacing w:after="120" w:line="240" w:lineRule="auto"/>
        <w:jc w:val="both"/>
        <w:rPr>
          <w:rFonts w:cs="Arial"/>
          <w:color w:val="222222"/>
          <w:u w:val="single"/>
          <w:lang w:val="pl-PL"/>
        </w:rPr>
      </w:pPr>
      <w:r w:rsidRPr="006162AC">
        <w:rPr>
          <w:rFonts w:cs="Arial"/>
          <w:color w:val="222222"/>
          <w:u w:val="single"/>
          <w:lang w:val="pl-PL"/>
        </w:rPr>
        <w:t>Znaczenie orzeczenia z punktu widzenia Polski</w:t>
      </w:r>
    </w:p>
    <w:p w:rsidR="006162AC" w:rsidRPr="006162AC" w:rsidRDefault="00D609C5" w:rsidP="006162AC">
      <w:pPr>
        <w:spacing w:after="120" w:line="240" w:lineRule="auto"/>
        <w:jc w:val="both"/>
        <w:rPr>
          <w:rFonts w:cs="Arial"/>
          <w:color w:val="222222"/>
          <w:lang w:val="pl-PL"/>
        </w:rPr>
      </w:pPr>
      <w:r>
        <w:rPr>
          <w:rFonts w:cs="Arial"/>
          <w:color w:val="222222"/>
          <w:lang w:val="pl-PL"/>
        </w:rPr>
        <w:t xml:space="preserve">Wyrok zawiera </w:t>
      </w:r>
      <w:r w:rsidR="006162AC" w:rsidRPr="006162AC">
        <w:rPr>
          <w:rFonts w:cs="Arial"/>
          <w:color w:val="222222"/>
          <w:lang w:val="pl-PL"/>
        </w:rPr>
        <w:t xml:space="preserve">analizę przesłanek uzasadniających odmowę przyjęcia osoby poszukującej azylu </w:t>
      </w:r>
      <w:r w:rsidR="009F3660">
        <w:rPr>
          <w:rFonts w:cs="Arial"/>
          <w:color w:val="222222"/>
          <w:lang w:val="pl-PL"/>
        </w:rPr>
        <w:br/>
      </w:r>
      <w:r w:rsidR="006162AC" w:rsidRPr="006162AC">
        <w:rPr>
          <w:rFonts w:cs="Arial"/>
          <w:color w:val="222222"/>
          <w:lang w:val="pl-PL"/>
        </w:rPr>
        <w:t xml:space="preserve">i </w:t>
      </w:r>
      <w:r>
        <w:rPr>
          <w:rFonts w:cs="Arial"/>
          <w:color w:val="222222"/>
          <w:lang w:val="pl-PL"/>
        </w:rPr>
        <w:t xml:space="preserve">jej </w:t>
      </w:r>
      <w:r w:rsidR="001C167D">
        <w:rPr>
          <w:rFonts w:cs="Arial"/>
          <w:color w:val="222222"/>
          <w:lang w:val="pl-PL"/>
        </w:rPr>
        <w:t xml:space="preserve">przekazanie </w:t>
      </w:r>
      <w:r w:rsidR="00EC57F0">
        <w:rPr>
          <w:rFonts w:cs="Arial"/>
          <w:color w:val="222222"/>
          <w:lang w:val="pl-PL"/>
        </w:rPr>
        <w:t>do innego państwa odpowiedzialnego za rozpatrzenie wniosku o azyl</w:t>
      </w:r>
      <w:r w:rsidR="006162AC" w:rsidRPr="006162AC">
        <w:rPr>
          <w:rFonts w:cs="Arial"/>
          <w:color w:val="222222"/>
          <w:lang w:val="pl-PL"/>
        </w:rPr>
        <w:t xml:space="preserve">, </w:t>
      </w:r>
      <w:r w:rsidR="009F3660">
        <w:rPr>
          <w:rFonts w:cs="Arial"/>
          <w:color w:val="222222"/>
          <w:lang w:val="pl-PL"/>
        </w:rPr>
        <w:br/>
      </w:r>
      <w:r w:rsidR="006162AC" w:rsidRPr="006162AC">
        <w:rPr>
          <w:rFonts w:cs="Arial"/>
          <w:color w:val="222222"/>
          <w:lang w:val="pl-PL"/>
        </w:rPr>
        <w:t xml:space="preserve">które nie będą stanowiły naruszeń poszczególnych artykułów Konwencji. </w:t>
      </w:r>
    </w:p>
    <w:p w:rsidR="006162AC" w:rsidRPr="00804733" w:rsidRDefault="006162AC" w:rsidP="006162AC">
      <w:pPr>
        <w:jc w:val="both"/>
        <w:rPr>
          <w:rFonts w:ascii="Times New Roman" w:hAnsi="Times New Roman" w:cs="Times New Roman"/>
          <w:color w:val="222222"/>
          <w:sz w:val="24"/>
          <w:szCs w:val="24"/>
          <w:u w:color="222222"/>
          <w:lang w:val="pl-PL"/>
        </w:rPr>
      </w:pPr>
      <w:r w:rsidRPr="00804733">
        <w:rPr>
          <w:rFonts w:ascii="Times New Roman" w:hAnsi="Times New Roman" w:cs="Times New Roman"/>
          <w:color w:val="222222"/>
          <w:sz w:val="24"/>
          <w:szCs w:val="24"/>
          <w:u w:color="222222"/>
          <w:lang w:val="pl-PL"/>
        </w:rPr>
        <w:t xml:space="preserve"> </w:t>
      </w:r>
    </w:p>
    <w:p w:rsidR="006162AC" w:rsidRPr="00D7274E" w:rsidRDefault="006162AC" w:rsidP="00D7274E">
      <w:pPr>
        <w:spacing w:after="120" w:line="240" w:lineRule="auto"/>
        <w:jc w:val="both"/>
        <w:rPr>
          <w:lang w:val="pl-PL"/>
        </w:rPr>
      </w:pPr>
    </w:p>
    <w:sectPr w:rsidR="006162AC" w:rsidRPr="00D7274E" w:rsidSect="005314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B7" w:rsidRDefault="007734B7" w:rsidP="003C7DF2">
      <w:pPr>
        <w:spacing w:after="0" w:line="240" w:lineRule="auto"/>
      </w:pPr>
      <w:r>
        <w:separator/>
      </w:r>
    </w:p>
  </w:endnote>
  <w:endnote w:type="continuationSeparator" w:id="0">
    <w:p w:rsidR="007734B7" w:rsidRDefault="007734B7" w:rsidP="003C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 Bold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B" w:rsidRDefault="00D97B9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60254"/>
      <w:docPartObj>
        <w:docPartGallery w:val="Page Numbers (Bottom of Page)"/>
        <w:docPartUnique/>
      </w:docPartObj>
    </w:sdtPr>
    <w:sdtEndPr/>
    <w:sdtContent>
      <w:p w:rsidR="00D97B9B" w:rsidRDefault="00D97B9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7D8" w:rsidRPr="006B37D8">
          <w:rPr>
            <w:noProof/>
            <w:lang w:val="pl-PL"/>
          </w:rPr>
          <w:t>10</w:t>
        </w:r>
        <w:r>
          <w:fldChar w:fldCharType="end"/>
        </w:r>
      </w:p>
    </w:sdtContent>
  </w:sdt>
  <w:p w:rsidR="00D97B9B" w:rsidRDefault="00D97B9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B" w:rsidRDefault="00D97B9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B7" w:rsidRDefault="007734B7" w:rsidP="003C7DF2">
      <w:pPr>
        <w:spacing w:after="0" w:line="240" w:lineRule="auto"/>
      </w:pPr>
      <w:r>
        <w:separator/>
      </w:r>
    </w:p>
  </w:footnote>
  <w:footnote w:type="continuationSeparator" w:id="0">
    <w:p w:rsidR="007734B7" w:rsidRDefault="007734B7" w:rsidP="003C7DF2">
      <w:pPr>
        <w:spacing w:after="0" w:line="240" w:lineRule="auto"/>
      </w:pPr>
      <w:r>
        <w:continuationSeparator/>
      </w:r>
    </w:p>
  </w:footnote>
  <w:footnote w:id="1">
    <w:p w:rsidR="006162AC" w:rsidRPr="001C167D" w:rsidRDefault="006162AC" w:rsidP="001C167D">
      <w:pPr>
        <w:pStyle w:val="Tekstprzypisudolnego"/>
        <w:spacing w:after="60"/>
        <w:jc w:val="both"/>
        <w:rPr>
          <w:rFonts w:asciiTheme="minorHAnsi" w:hAnsiTheme="minorHAnsi"/>
          <w:lang w:val="pl-PL"/>
        </w:rPr>
      </w:pPr>
      <w:r w:rsidRPr="001C167D">
        <w:rPr>
          <w:rStyle w:val="Odwoanieprzypisudolnego"/>
          <w:rFonts w:asciiTheme="minorHAnsi" w:hAnsiTheme="minorHAnsi"/>
        </w:rPr>
        <w:footnoteRef/>
      </w:r>
      <w:r w:rsidRPr="001C167D">
        <w:rPr>
          <w:rFonts w:asciiTheme="minorHAnsi" w:hAnsiTheme="minorHAnsi"/>
          <w:lang w:val="pl-PL"/>
        </w:rPr>
        <w:t xml:space="preserve"> </w:t>
      </w:r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>Europejski Zautomatyzowany System Rozpoznawania Odcisków Palców (</w:t>
      </w:r>
      <w:proofErr w:type="spellStart"/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>Eurodac</w:t>
      </w:r>
      <w:proofErr w:type="spellEnd"/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 xml:space="preserve">) jest systemem informatycznym utworzonym na podstawie rozporządzenia Rady (WE) Nr 2725/2000 z dnia 11 grudnia 2000 r. dotyczącego ustanowienia systemu </w:t>
      </w:r>
      <w:proofErr w:type="spellStart"/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>Eurodac</w:t>
      </w:r>
      <w:proofErr w:type="spellEnd"/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 xml:space="preserve"> do porównywania odcisków palców w celu skutecznego stosowania Konwencji Dublińskiej.</w:t>
      </w:r>
    </w:p>
  </w:footnote>
  <w:footnote w:id="2">
    <w:p w:rsidR="006162AC" w:rsidRPr="00887BA9" w:rsidRDefault="006162AC" w:rsidP="001C167D">
      <w:pPr>
        <w:pStyle w:val="Tekstprzypisudolnego"/>
        <w:spacing w:after="60"/>
        <w:jc w:val="both"/>
        <w:rPr>
          <w:lang w:val="pl-PL"/>
        </w:rPr>
      </w:pPr>
      <w:r w:rsidRPr="001C167D">
        <w:rPr>
          <w:rStyle w:val="Odwoanieprzypisudolnego"/>
          <w:rFonts w:asciiTheme="minorHAnsi" w:hAnsiTheme="minorHAnsi"/>
        </w:rPr>
        <w:footnoteRef/>
      </w:r>
      <w:r w:rsidRPr="001C167D">
        <w:rPr>
          <w:rFonts w:asciiTheme="minorHAnsi" w:hAnsiTheme="minorHAnsi"/>
          <w:lang w:val="pl-PL"/>
        </w:rPr>
        <w:t xml:space="preserve"> </w:t>
      </w:r>
      <w:r w:rsidRPr="001C167D">
        <w:rPr>
          <w:rFonts w:asciiTheme="minorHAnsi" w:hAnsiTheme="minorHAnsi"/>
          <w:color w:val="222222"/>
          <w:sz w:val="18"/>
          <w:szCs w:val="18"/>
          <w:u w:color="222222"/>
          <w:lang w:val="pl-PL"/>
        </w:rPr>
        <w:t>Rozporządzenie Rady (WE) nr 343/2003 z dnia 18 lutego 2003, ustanawiające kryteria i mechanizmy dla określenia Kraju Członkowskiego odpowiedzialnego za rozpatrzenie wniosku o azyl złożonego w jednym z Krajów Członkowskich przez obywatela trzeciego kraju.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B" w:rsidRDefault="00D97B9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B" w:rsidRDefault="00D97B9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B" w:rsidRDefault="00D97B9B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7708C75A" wp14:editId="26D4C846">
          <wp:simplePos x="0" y="0"/>
          <wp:positionH relativeFrom="page">
            <wp:posOffset>466725</wp:posOffset>
          </wp:positionH>
          <wp:positionV relativeFrom="page">
            <wp:posOffset>-238125</wp:posOffset>
          </wp:positionV>
          <wp:extent cx="2527935" cy="2608580"/>
          <wp:effectExtent l="0" t="0" r="5715" b="127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935" cy="2608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390D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76E07"/>
    <w:multiLevelType w:val="multilevel"/>
    <w:tmpl w:val="BD04E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068299F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26B59"/>
    <w:multiLevelType w:val="hybridMultilevel"/>
    <w:tmpl w:val="EA0EBC82"/>
    <w:lvl w:ilvl="0" w:tplc="4220274A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00EA8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1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55"/>
    <w:rsid w:val="0001044C"/>
    <w:rsid w:val="00026AC5"/>
    <w:rsid w:val="00054F22"/>
    <w:rsid w:val="00060B88"/>
    <w:rsid w:val="000645B9"/>
    <w:rsid w:val="000767D1"/>
    <w:rsid w:val="000A0792"/>
    <w:rsid w:val="000E7670"/>
    <w:rsid w:val="00102BE1"/>
    <w:rsid w:val="00105DFE"/>
    <w:rsid w:val="0012588A"/>
    <w:rsid w:val="001260FD"/>
    <w:rsid w:val="00127C20"/>
    <w:rsid w:val="0013265E"/>
    <w:rsid w:val="001350CC"/>
    <w:rsid w:val="00154B43"/>
    <w:rsid w:val="001C167D"/>
    <w:rsid w:val="001D11BB"/>
    <w:rsid w:val="001F2167"/>
    <w:rsid w:val="002032DF"/>
    <w:rsid w:val="00226174"/>
    <w:rsid w:val="002356D3"/>
    <w:rsid w:val="002360D2"/>
    <w:rsid w:val="00250635"/>
    <w:rsid w:val="00257C2D"/>
    <w:rsid w:val="002674CA"/>
    <w:rsid w:val="0029096B"/>
    <w:rsid w:val="00292B87"/>
    <w:rsid w:val="002A3CCC"/>
    <w:rsid w:val="002B5A4C"/>
    <w:rsid w:val="002B6A75"/>
    <w:rsid w:val="002D2C70"/>
    <w:rsid w:val="002F13F2"/>
    <w:rsid w:val="0030039D"/>
    <w:rsid w:val="00301552"/>
    <w:rsid w:val="00330A5F"/>
    <w:rsid w:val="00396E3C"/>
    <w:rsid w:val="00397BB2"/>
    <w:rsid w:val="003A113C"/>
    <w:rsid w:val="003A1381"/>
    <w:rsid w:val="003A68A5"/>
    <w:rsid w:val="003B745A"/>
    <w:rsid w:val="003C7DF2"/>
    <w:rsid w:val="0041026E"/>
    <w:rsid w:val="00413536"/>
    <w:rsid w:val="00414C20"/>
    <w:rsid w:val="004334D7"/>
    <w:rsid w:val="00435E85"/>
    <w:rsid w:val="004379A9"/>
    <w:rsid w:val="00442874"/>
    <w:rsid w:val="00460166"/>
    <w:rsid w:val="00467800"/>
    <w:rsid w:val="00494936"/>
    <w:rsid w:val="00497E93"/>
    <w:rsid w:val="004B3BEE"/>
    <w:rsid w:val="004D6FF9"/>
    <w:rsid w:val="004E7FF2"/>
    <w:rsid w:val="00520674"/>
    <w:rsid w:val="0053148F"/>
    <w:rsid w:val="00552244"/>
    <w:rsid w:val="00552393"/>
    <w:rsid w:val="005734CF"/>
    <w:rsid w:val="00580EAF"/>
    <w:rsid w:val="00584490"/>
    <w:rsid w:val="005A5120"/>
    <w:rsid w:val="005D557E"/>
    <w:rsid w:val="005D6AFB"/>
    <w:rsid w:val="005E7FF4"/>
    <w:rsid w:val="005F53A4"/>
    <w:rsid w:val="005F60D3"/>
    <w:rsid w:val="006137B4"/>
    <w:rsid w:val="006162AC"/>
    <w:rsid w:val="00621504"/>
    <w:rsid w:val="0062651D"/>
    <w:rsid w:val="006466A3"/>
    <w:rsid w:val="00660B4C"/>
    <w:rsid w:val="0066679B"/>
    <w:rsid w:val="006827C6"/>
    <w:rsid w:val="006A0355"/>
    <w:rsid w:val="006A4CE8"/>
    <w:rsid w:val="006B37D8"/>
    <w:rsid w:val="006D1832"/>
    <w:rsid w:val="006D726F"/>
    <w:rsid w:val="006E12AB"/>
    <w:rsid w:val="00713DA1"/>
    <w:rsid w:val="00732C33"/>
    <w:rsid w:val="00732DED"/>
    <w:rsid w:val="00743A56"/>
    <w:rsid w:val="007734B7"/>
    <w:rsid w:val="00793985"/>
    <w:rsid w:val="008061D6"/>
    <w:rsid w:val="00830622"/>
    <w:rsid w:val="00834556"/>
    <w:rsid w:val="0084780B"/>
    <w:rsid w:val="00864F2F"/>
    <w:rsid w:val="008749D3"/>
    <w:rsid w:val="00884846"/>
    <w:rsid w:val="00896D71"/>
    <w:rsid w:val="008A1BCD"/>
    <w:rsid w:val="008B0445"/>
    <w:rsid w:val="008C1766"/>
    <w:rsid w:val="008D3934"/>
    <w:rsid w:val="008E13A5"/>
    <w:rsid w:val="008E4F3D"/>
    <w:rsid w:val="008E785D"/>
    <w:rsid w:val="008F5FBD"/>
    <w:rsid w:val="00900BFF"/>
    <w:rsid w:val="0091697B"/>
    <w:rsid w:val="009270D4"/>
    <w:rsid w:val="00951FA5"/>
    <w:rsid w:val="00957824"/>
    <w:rsid w:val="009705C9"/>
    <w:rsid w:val="0099009E"/>
    <w:rsid w:val="009910DF"/>
    <w:rsid w:val="00993BB9"/>
    <w:rsid w:val="009A24C1"/>
    <w:rsid w:val="009B2BEE"/>
    <w:rsid w:val="009C04B2"/>
    <w:rsid w:val="009F3660"/>
    <w:rsid w:val="009F4FB5"/>
    <w:rsid w:val="00A237B5"/>
    <w:rsid w:val="00A567DD"/>
    <w:rsid w:val="00A56B18"/>
    <w:rsid w:val="00A951FA"/>
    <w:rsid w:val="00AA5A73"/>
    <w:rsid w:val="00AB6079"/>
    <w:rsid w:val="00AC29DE"/>
    <w:rsid w:val="00AC2EC2"/>
    <w:rsid w:val="00AC3061"/>
    <w:rsid w:val="00AD7A1D"/>
    <w:rsid w:val="00AF1C3C"/>
    <w:rsid w:val="00AF3B55"/>
    <w:rsid w:val="00AF57AB"/>
    <w:rsid w:val="00AF751D"/>
    <w:rsid w:val="00B17508"/>
    <w:rsid w:val="00B33937"/>
    <w:rsid w:val="00B523C5"/>
    <w:rsid w:val="00B65F9C"/>
    <w:rsid w:val="00B90E51"/>
    <w:rsid w:val="00BB7656"/>
    <w:rsid w:val="00BC45F2"/>
    <w:rsid w:val="00BC4E06"/>
    <w:rsid w:val="00BE5B69"/>
    <w:rsid w:val="00BE6B7C"/>
    <w:rsid w:val="00BF0915"/>
    <w:rsid w:val="00C21B3F"/>
    <w:rsid w:val="00C23E44"/>
    <w:rsid w:val="00C36466"/>
    <w:rsid w:val="00C60A61"/>
    <w:rsid w:val="00C65F7B"/>
    <w:rsid w:val="00CD2793"/>
    <w:rsid w:val="00CF7736"/>
    <w:rsid w:val="00D0538E"/>
    <w:rsid w:val="00D179B3"/>
    <w:rsid w:val="00D609C5"/>
    <w:rsid w:val="00D7274E"/>
    <w:rsid w:val="00D922A1"/>
    <w:rsid w:val="00D97B9B"/>
    <w:rsid w:val="00DA2266"/>
    <w:rsid w:val="00E033DE"/>
    <w:rsid w:val="00E15455"/>
    <w:rsid w:val="00E16E6F"/>
    <w:rsid w:val="00E17F15"/>
    <w:rsid w:val="00E46784"/>
    <w:rsid w:val="00E83243"/>
    <w:rsid w:val="00E94F72"/>
    <w:rsid w:val="00E95A40"/>
    <w:rsid w:val="00EC57F0"/>
    <w:rsid w:val="00ED6A1B"/>
    <w:rsid w:val="00EF030D"/>
    <w:rsid w:val="00F47558"/>
    <w:rsid w:val="00FA6FD7"/>
    <w:rsid w:val="00FB08C1"/>
    <w:rsid w:val="00FB670B"/>
    <w:rsid w:val="00FB6BB0"/>
    <w:rsid w:val="00FD045F"/>
    <w:rsid w:val="00FF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3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3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7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310F4-4BB1-48A3-A798-90D4036F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4655</Words>
  <Characters>26535</Characters>
  <Application>Microsoft Office Word</Application>
  <DocSecurity>0</DocSecurity>
  <Lines>221</Lines>
  <Paragraphs>62</Paragraphs>
  <ScaleCrop>false</ScaleCrop>
  <Company/>
  <LinksUpToDate>false</LinksUpToDate>
  <CharactersWithSpaces>31128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2015-07-13T16:51:00Z</dcterms:created>
  <dcterms:modified xsi:type="dcterms:W3CDTF">2015-07-13T17:32:00Z</dcterms:modified>
</cp:coreProperties>
</file>