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E99" w:rsidRDefault="00184E99" w:rsidP="002555FB">
      <w:pPr>
        <w:jc w:val="center"/>
      </w:pPr>
      <w:bookmarkStart w:id="0" w:name="_GoBack"/>
      <w:bookmarkEnd w:id="0"/>
    </w:p>
    <w:p w:rsidR="00DC3921" w:rsidRDefault="00DC3921" w:rsidP="00DC3921">
      <w:pPr>
        <w:ind w:left="0" w:firstLine="0"/>
        <w:jc w:val="center"/>
      </w:pPr>
      <w:r>
        <w:rPr>
          <w:noProof/>
          <w:lang w:val="pl-PL" w:eastAsia="pl-PL"/>
        </w:rPr>
        <w:drawing>
          <wp:inline distT="0" distB="0" distL="0" distR="0" wp14:anchorId="7E9EA5A6" wp14:editId="2F1265D8">
            <wp:extent cx="8505825" cy="5448300"/>
            <wp:effectExtent l="0" t="0" r="9525" b="19050"/>
            <wp:docPr id="20" name="Wykres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C4184" w:rsidRDefault="000C4184" w:rsidP="002F7173">
      <w:r>
        <w:rPr>
          <w:noProof/>
          <w:lang w:val="pl-PL" w:eastAsia="pl-PL"/>
        </w:rPr>
        <w:lastRenderedPageBreak/>
        <w:drawing>
          <wp:inline distT="0" distB="0" distL="0" distR="0" wp14:anchorId="56C2AA64" wp14:editId="19D34920">
            <wp:extent cx="8886825" cy="5686425"/>
            <wp:effectExtent l="0" t="0" r="9525" b="9525"/>
            <wp:docPr id="7" name="Wykres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126F8" w:rsidRDefault="007126F8" w:rsidP="002F7173">
      <w:r>
        <w:rPr>
          <w:noProof/>
          <w:lang w:val="pl-PL" w:eastAsia="pl-PL"/>
        </w:rPr>
        <w:lastRenderedPageBreak/>
        <w:drawing>
          <wp:inline distT="0" distB="0" distL="0" distR="0" wp14:anchorId="425B7B24" wp14:editId="4A8FDF15">
            <wp:extent cx="8820150" cy="5581650"/>
            <wp:effectExtent l="0" t="0" r="0" b="0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7126F8" w:rsidSect="002F717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1C6" w:rsidRDefault="004151C6" w:rsidP="009B5D25">
      <w:pPr>
        <w:spacing w:after="0"/>
      </w:pPr>
      <w:r>
        <w:separator/>
      </w:r>
    </w:p>
  </w:endnote>
  <w:endnote w:type="continuationSeparator" w:id="0">
    <w:p w:rsidR="004151C6" w:rsidRDefault="004151C6" w:rsidP="009B5D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1C6" w:rsidRDefault="004151C6" w:rsidP="009B5D25">
      <w:pPr>
        <w:spacing w:after="0"/>
      </w:pPr>
      <w:r>
        <w:separator/>
      </w:r>
    </w:p>
  </w:footnote>
  <w:footnote w:type="continuationSeparator" w:id="0">
    <w:p w:rsidR="004151C6" w:rsidRDefault="004151C6" w:rsidP="009B5D2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173"/>
    <w:rsid w:val="00034EEE"/>
    <w:rsid w:val="0006562E"/>
    <w:rsid w:val="000B0AAC"/>
    <w:rsid w:val="000C096C"/>
    <w:rsid w:val="000C4184"/>
    <w:rsid w:val="00127BB4"/>
    <w:rsid w:val="00184E99"/>
    <w:rsid w:val="002555FB"/>
    <w:rsid w:val="002F7173"/>
    <w:rsid w:val="004151C6"/>
    <w:rsid w:val="00580725"/>
    <w:rsid w:val="006C1671"/>
    <w:rsid w:val="007126F8"/>
    <w:rsid w:val="00746CD5"/>
    <w:rsid w:val="008D4EEA"/>
    <w:rsid w:val="009B5D25"/>
    <w:rsid w:val="00AD3433"/>
    <w:rsid w:val="00CD7716"/>
    <w:rsid w:val="00D76FD6"/>
    <w:rsid w:val="00D962D8"/>
    <w:rsid w:val="00DC3921"/>
    <w:rsid w:val="00E1186E"/>
    <w:rsid w:val="00EF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717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717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B5D2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B5D25"/>
  </w:style>
  <w:style w:type="paragraph" w:styleId="Stopka">
    <w:name w:val="footer"/>
    <w:basedOn w:val="Normalny"/>
    <w:link w:val="StopkaZnak"/>
    <w:uiPriority w:val="99"/>
    <w:unhideWhenUsed/>
    <w:rsid w:val="009B5D2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B5D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7173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717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B5D2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B5D25"/>
  </w:style>
  <w:style w:type="paragraph" w:styleId="Stopka">
    <w:name w:val="footer"/>
    <w:basedOn w:val="Normalny"/>
    <w:link w:val="StopkaZnak"/>
    <w:uiPriority w:val="99"/>
    <w:unhideWhenUsed/>
    <w:rsid w:val="009B5D2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B5D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plwar-fs01\public\BPdsPpMOOPC\private\Kwoty%20zas&#261;dze&#324;%20ETPCz%20-%2094-2014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plwar-fs01\public\BPdsPpMOOPC\private\Kwoty%20zas&#261;dze&#324;%20ETPCz%20-%2094-2014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14"/>
    </mc:Choice>
    <mc:Fallback>
      <c:style val="14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s</a:t>
            </a:r>
            <a:r>
              <a:rPr lang="pl-PL"/>
              <a:t>twierdzone naruszenia Konwencji 1994-2014</a:t>
            </a:r>
          </a:p>
          <a:p>
            <a:pPr>
              <a:defRPr/>
            </a:pPr>
            <a:endParaRPr lang="en-US"/>
          </a:p>
        </c:rich>
      </c:tx>
      <c:layout>
        <c:manualLayout>
          <c:xMode val="edge"/>
          <c:yMode val="edge"/>
          <c:x val="0.47817733309652083"/>
          <c:y val="0.39725141978261985"/>
        </c:manualLayout>
      </c:layout>
      <c:overlay val="1"/>
    </c:title>
    <c:autoTitleDeleted val="0"/>
    <c:plotArea>
      <c:layout>
        <c:manualLayout>
          <c:layoutTarget val="inner"/>
          <c:xMode val="edge"/>
          <c:yMode val="edge"/>
          <c:x val="0.24853231183939845"/>
          <c:y val="3.1786163661923682E-2"/>
          <c:w val="0.73334160256994907"/>
          <c:h val="0.94803365844833276"/>
        </c:manualLayout>
      </c:layout>
      <c:barChart>
        <c:barDir val="bar"/>
        <c:grouping val="clustered"/>
        <c:varyColors val="0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'naruszenia poszczególnych praw'!$A$1:$A$24</c:f>
              <c:strCache>
                <c:ptCount val="24"/>
                <c:pt idx="0">
                  <c:v>długość postępowania</c:v>
                </c:pt>
                <c:pt idx="1">
                  <c:v>prawo do wolności i bezpieczeństwa osobistego</c:v>
                </c:pt>
                <c:pt idx="2">
                  <c:v>prawo do rzetelnego procesu sądowego</c:v>
                </c:pt>
                <c:pt idx="3">
                  <c:v>prawo do poszanowania życia prywatnego i rodzinnego</c:v>
                </c:pt>
                <c:pt idx="4">
                  <c:v>ochrona własności</c:v>
                </c:pt>
                <c:pt idx="5">
                  <c:v>nieludzkie lub poniżające traktowanie</c:v>
                </c:pt>
                <c:pt idx="6">
                  <c:v>prawo do skutecznego środka odwoławczego</c:v>
                </c:pt>
                <c:pt idx="7">
                  <c:v>wolność wyrażania opinii</c:v>
                </c:pt>
                <c:pt idx="8">
                  <c:v>art. 3 - brak skutecznego śledztwa</c:v>
                </c:pt>
                <c:pt idx="9">
                  <c:v>prawo do życia - pozbawienie życia</c:v>
                </c:pt>
                <c:pt idx="10">
                  <c:v>prawo do życia - brak skutecznego śledztwa</c:v>
                </c:pt>
                <c:pt idx="11">
                  <c:v>zakaz dyskryminacji</c:v>
                </c:pt>
                <c:pt idx="12">
                  <c:v>brak egzekucji</c:v>
                </c:pt>
                <c:pt idx="13">
                  <c:v>prawo do zawarcia małżeństwa</c:v>
                </c:pt>
                <c:pt idx="14">
                  <c:v>zakaz tortur</c:v>
                </c:pt>
                <c:pt idx="15">
                  <c:v>wolność myśli, sumienia i wyznania</c:v>
                </c:pt>
                <c:pt idx="16">
                  <c:v>wolność zgromadzeń i stowarzyszania się</c:v>
                </c:pt>
                <c:pt idx="17">
                  <c:v>warunkowe naruszenie</c:v>
                </c:pt>
                <c:pt idx="18">
                  <c:v>zakaz niewolnictwa / pracy przymusowej`</c:v>
                </c:pt>
                <c:pt idx="19">
                  <c:v>zakaz karania bez podstawy prawnej </c:v>
                </c:pt>
                <c:pt idx="20">
                  <c:v>prawo do edukacji</c:v>
                </c:pt>
                <c:pt idx="21">
                  <c:v>prawo do wolnych wyborów</c:v>
                </c:pt>
                <c:pt idx="22">
                  <c:v>zakaz ponownego sądzenia lub karania</c:v>
                </c:pt>
                <c:pt idx="23">
                  <c:v>inne artykuły Konwencji</c:v>
                </c:pt>
              </c:strCache>
            </c:strRef>
          </c:cat>
          <c:val>
            <c:numRef>
              <c:f>'naruszenia poszczególnych praw'!$C$1:$C$24</c:f>
              <c:numCache>
                <c:formatCode>General</c:formatCode>
                <c:ptCount val="24"/>
                <c:pt idx="0">
                  <c:v>425</c:v>
                </c:pt>
                <c:pt idx="1">
                  <c:v>295</c:v>
                </c:pt>
                <c:pt idx="2">
                  <c:v>105</c:v>
                </c:pt>
                <c:pt idx="3">
                  <c:v>103</c:v>
                </c:pt>
                <c:pt idx="4">
                  <c:v>51</c:v>
                </c:pt>
                <c:pt idx="5">
                  <c:v>32</c:v>
                </c:pt>
                <c:pt idx="6">
                  <c:v>24</c:v>
                </c:pt>
                <c:pt idx="7">
                  <c:v>23</c:v>
                </c:pt>
                <c:pt idx="8">
                  <c:v>8</c:v>
                </c:pt>
                <c:pt idx="9">
                  <c:v>6</c:v>
                </c:pt>
                <c:pt idx="10">
                  <c:v>5</c:v>
                </c:pt>
                <c:pt idx="11">
                  <c:v>4</c:v>
                </c:pt>
                <c:pt idx="12">
                  <c:v>3</c:v>
                </c:pt>
                <c:pt idx="13">
                  <c:v>2</c:v>
                </c:pt>
                <c:pt idx="14">
                  <c:v>2</c:v>
                </c:pt>
                <c:pt idx="15">
                  <c:v>1</c:v>
                </c:pt>
                <c:pt idx="16">
                  <c:v>1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7181568"/>
        <c:axId val="107180032"/>
      </c:barChart>
      <c:valAx>
        <c:axId val="107180032"/>
        <c:scaling>
          <c:orientation val="minMax"/>
        </c:scaling>
        <c:delete val="0"/>
        <c:axPos val="t"/>
        <c:numFmt formatCode="General" sourceLinked="1"/>
        <c:majorTickMark val="out"/>
        <c:minorTickMark val="none"/>
        <c:tickLblPos val="nextTo"/>
        <c:crossAx val="107181568"/>
        <c:crosses val="autoZero"/>
        <c:crossBetween val="between"/>
      </c:valAx>
      <c:catAx>
        <c:axId val="107181568"/>
        <c:scaling>
          <c:orientation val="maxMin"/>
        </c:scaling>
        <c:delete val="0"/>
        <c:axPos val="l"/>
        <c:majorTickMark val="out"/>
        <c:minorTickMark val="none"/>
        <c:tickLblPos val="nextTo"/>
        <c:crossAx val="107180032"/>
        <c:crosses val="autoZero"/>
        <c:auto val="1"/>
        <c:lblAlgn val="ctr"/>
        <c:lblOffset val="100"/>
        <c:noMultiLvlLbl val="0"/>
      </c:cat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liczba wyroków </a:t>
            </a:r>
            <a:r>
              <a:rPr lang="pl-PL"/>
              <a:t>wobec Polski w poszczególnych latach</a:t>
            </a:r>
            <a:endParaRPr lang="en-US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1"/>
          <c:order val="0"/>
          <c:tx>
            <c:v>liczba wyroków wydanych w roku</c:v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'staystyki cd.'!$A$2:$A$22</c:f>
              <c:numCache>
                <c:formatCode>General</c:formatCode>
                <c:ptCount val="21"/>
                <c:pt idx="0">
                  <c:v>1994</c:v>
                </c:pt>
                <c:pt idx="1">
                  <c:v>1995</c:v>
                </c:pt>
                <c:pt idx="2">
                  <c:v>1996</c:v>
                </c:pt>
                <c:pt idx="3">
                  <c:v>1997</c:v>
                </c:pt>
                <c:pt idx="4">
                  <c:v>1998</c:v>
                </c:pt>
                <c:pt idx="5">
                  <c:v>1999</c:v>
                </c:pt>
                <c:pt idx="6">
                  <c:v>2000</c:v>
                </c:pt>
                <c:pt idx="7">
                  <c:v>2001</c:v>
                </c:pt>
                <c:pt idx="8">
                  <c:v>2002</c:v>
                </c:pt>
                <c:pt idx="9">
                  <c:v>2003</c:v>
                </c:pt>
                <c:pt idx="10">
                  <c:v>2004</c:v>
                </c:pt>
                <c:pt idx="11">
                  <c:v>2005</c:v>
                </c:pt>
                <c:pt idx="12">
                  <c:v>2006</c:v>
                </c:pt>
                <c:pt idx="13">
                  <c:v>2007</c:v>
                </c:pt>
                <c:pt idx="14">
                  <c:v>2008</c:v>
                </c:pt>
                <c:pt idx="15">
                  <c:v>2009</c:v>
                </c:pt>
                <c:pt idx="16">
                  <c:v>2010</c:v>
                </c:pt>
                <c:pt idx="17">
                  <c:v>2011</c:v>
                </c:pt>
                <c:pt idx="18">
                  <c:v>2012</c:v>
                </c:pt>
                <c:pt idx="19">
                  <c:v>2013</c:v>
                </c:pt>
                <c:pt idx="20">
                  <c:v>2014</c:v>
                </c:pt>
              </c:numCache>
            </c:numRef>
          </c:cat>
          <c:val>
            <c:numRef>
              <c:f>'staystyki cd.'!$B$2:$B$22</c:f>
              <c:numCache>
                <c:formatCode>General</c:formatCode>
                <c:ptCount val="2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  <c:pt idx="4">
                  <c:v>3</c:v>
                </c:pt>
                <c:pt idx="5">
                  <c:v>3</c:v>
                </c:pt>
                <c:pt idx="6">
                  <c:v>19</c:v>
                </c:pt>
                <c:pt idx="7">
                  <c:v>20</c:v>
                </c:pt>
                <c:pt idx="8">
                  <c:v>26</c:v>
                </c:pt>
                <c:pt idx="9">
                  <c:v>67</c:v>
                </c:pt>
                <c:pt idx="10">
                  <c:v>79</c:v>
                </c:pt>
                <c:pt idx="11">
                  <c:v>49</c:v>
                </c:pt>
                <c:pt idx="12">
                  <c:v>115</c:v>
                </c:pt>
                <c:pt idx="13">
                  <c:v>111</c:v>
                </c:pt>
                <c:pt idx="14">
                  <c:v>141</c:v>
                </c:pt>
                <c:pt idx="15">
                  <c:v>133</c:v>
                </c:pt>
                <c:pt idx="16">
                  <c:v>107</c:v>
                </c:pt>
                <c:pt idx="17">
                  <c:v>71</c:v>
                </c:pt>
                <c:pt idx="18">
                  <c:v>74</c:v>
                </c:pt>
                <c:pt idx="19">
                  <c:v>23</c:v>
                </c:pt>
                <c:pt idx="20">
                  <c:v>28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5"/>
        <c:gapDepth val="55"/>
        <c:shape val="cylinder"/>
        <c:axId val="107203200"/>
        <c:axId val="107204992"/>
        <c:axId val="0"/>
      </c:bar3DChart>
      <c:catAx>
        <c:axId val="1072032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07204992"/>
        <c:crosses val="autoZero"/>
        <c:auto val="1"/>
        <c:lblAlgn val="ctr"/>
        <c:lblOffset val="100"/>
        <c:noMultiLvlLbl val="0"/>
      </c:catAx>
      <c:valAx>
        <c:axId val="10720499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072032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43"/>
    </mc:Choice>
    <mc:Fallback>
      <c:style val="43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liczba spraw uznanych za wykonane przez Komitet Ministrów Rady Europy</c:v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'staystyki cd.'!$A$19:$A$22</c:f>
              <c:numCache>
                <c:formatCode>General</c:formatCode>
                <c:ptCount val="4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</c:numCache>
            </c:numRef>
          </c:cat>
          <c:val>
            <c:numRef>
              <c:f>'staystyki cd.'!$S$19:$S$22</c:f>
              <c:numCache>
                <c:formatCode>General</c:formatCode>
                <c:ptCount val="4"/>
                <c:pt idx="0">
                  <c:v>58</c:v>
                </c:pt>
                <c:pt idx="1">
                  <c:v>164</c:v>
                </c:pt>
                <c:pt idx="2">
                  <c:v>278</c:v>
                </c:pt>
                <c:pt idx="3">
                  <c:v>352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7211776"/>
        <c:axId val="143368960"/>
      </c:barChart>
      <c:catAx>
        <c:axId val="1072117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43368960"/>
        <c:crosses val="autoZero"/>
        <c:auto val="1"/>
        <c:lblAlgn val="ctr"/>
        <c:lblOffset val="100"/>
        <c:noMultiLvlLbl val="0"/>
      </c:catAx>
      <c:valAx>
        <c:axId val="1433689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7211776"/>
        <c:crosses val="autoZero"/>
        <c:crossBetween val="between"/>
      </c:valAx>
      <c:spPr>
        <a:solidFill>
          <a:schemeClr val="tx2">
            <a:lumMod val="75000"/>
          </a:schemeClr>
        </a:solidFill>
      </c:spPr>
    </c:plotArea>
    <c:plotVisOnly val="1"/>
    <c:dispBlanksAs val="gap"/>
    <c:showDLblsOverMax val="0"/>
  </c:chart>
  <c:spPr>
    <a:solidFill>
      <a:schemeClr val="tx2">
        <a:lumMod val="75000"/>
      </a:schemeClr>
    </a:solidFill>
  </c:spPr>
  <c:externalData r:id="rId2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 Zagranicznych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Suchożebrska Eliza</dc:creator>
  <cp:lastModifiedBy>Szafrańska Urszula  (DWMPC)</cp:lastModifiedBy>
  <cp:revision>2</cp:revision>
  <cp:lastPrinted>2015-05-26T10:13:00Z</cp:lastPrinted>
  <dcterms:created xsi:type="dcterms:W3CDTF">2015-05-26T14:05:00Z</dcterms:created>
  <dcterms:modified xsi:type="dcterms:W3CDTF">2015-05-26T14:05:00Z</dcterms:modified>
</cp:coreProperties>
</file>