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866" w:rsidRPr="00CE6AB3" w:rsidRDefault="004639C8" w:rsidP="00542866">
      <w:pPr>
        <w:autoSpaceDE w:val="0"/>
        <w:autoSpaceDN w:val="0"/>
        <w:ind w:left="360"/>
        <w:contextualSpacing/>
        <w:jc w:val="right"/>
      </w:pPr>
      <w:r>
        <w:t>Załącznik nr 4</w:t>
      </w:r>
      <w:bookmarkStart w:id="0" w:name="_GoBack"/>
      <w:bookmarkEnd w:id="0"/>
      <w:r w:rsidR="00542866">
        <w:t>b</w:t>
      </w:r>
      <w:r w:rsidR="00542866" w:rsidRPr="00CE6AB3">
        <w:t xml:space="preserve"> do pisma z dnia 03.10.2018 r.</w:t>
      </w:r>
    </w:p>
    <w:p w:rsidR="009D1369" w:rsidRDefault="009D1369" w:rsidP="00542866">
      <w:pPr>
        <w:autoSpaceDE w:val="0"/>
        <w:autoSpaceDN w:val="0"/>
        <w:ind w:left="360"/>
        <w:contextualSpacing/>
        <w:jc w:val="center"/>
        <w:rPr>
          <w:b/>
        </w:rPr>
      </w:pPr>
    </w:p>
    <w:p w:rsidR="00542866" w:rsidRPr="00CE6AB3" w:rsidRDefault="00542866" w:rsidP="00542866">
      <w:pPr>
        <w:autoSpaceDE w:val="0"/>
        <w:autoSpaceDN w:val="0"/>
        <w:ind w:left="360"/>
        <w:contextualSpacing/>
        <w:jc w:val="center"/>
        <w:rPr>
          <w:b/>
        </w:rPr>
      </w:pPr>
      <w:r>
        <w:rPr>
          <w:b/>
        </w:rPr>
        <w:t>Opis Przedmiotu Zamówienia</w:t>
      </w:r>
      <w:r w:rsidRPr="00CE6AB3">
        <w:rPr>
          <w:b/>
        </w:rPr>
        <w:t xml:space="preserve"> dla zadania III wariant </w:t>
      </w:r>
      <w:r>
        <w:rPr>
          <w:b/>
        </w:rPr>
        <w:t>B</w:t>
      </w:r>
    </w:p>
    <w:p w:rsidR="00A21FE2" w:rsidRPr="00E96CFC" w:rsidRDefault="00A21FE2" w:rsidP="00542866">
      <w:pPr>
        <w:autoSpaceDE w:val="0"/>
        <w:autoSpaceDN w:val="0"/>
        <w:contextualSpacing/>
        <w:rPr>
          <w:b/>
        </w:rPr>
      </w:pPr>
    </w:p>
    <w:p w:rsidR="00A21FE2" w:rsidRPr="00E96CFC" w:rsidRDefault="00A21FE2" w:rsidP="00A21FE2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b/>
        </w:rPr>
      </w:pPr>
      <w:r w:rsidRPr="00E96CFC">
        <w:rPr>
          <w:b/>
        </w:rPr>
        <w:t>OGÓLNE WARUNKI ZAMÓWIENIA</w:t>
      </w:r>
    </w:p>
    <w:p w:rsidR="00A21FE2" w:rsidRPr="00E96CFC" w:rsidRDefault="00A21FE2" w:rsidP="00A21FE2">
      <w:pPr>
        <w:autoSpaceDE w:val="0"/>
        <w:autoSpaceDN w:val="0"/>
        <w:ind w:left="360"/>
        <w:contextualSpacing/>
        <w:rPr>
          <w:b/>
        </w:rPr>
      </w:pPr>
    </w:p>
    <w:p w:rsidR="00A21FE2" w:rsidRPr="00E96CFC" w:rsidRDefault="00A21FE2" w:rsidP="00A21FE2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b/>
        </w:rPr>
      </w:pPr>
      <w:r w:rsidRPr="00E96CFC">
        <w:rPr>
          <w:b/>
        </w:rPr>
        <w:t>PRZEDMIOT ZAMÓWIENIA</w:t>
      </w:r>
    </w:p>
    <w:p w:rsidR="00A21FE2" w:rsidRPr="00E96CFC" w:rsidRDefault="00A21FE2" w:rsidP="00A21FE2">
      <w:pPr>
        <w:widowControl w:val="0"/>
        <w:numPr>
          <w:ilvl w:val="2"/>
          <w:numId w:val="6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dostawa, montaż, instalacja, konfiguracja</w:t>
      </w:r>
      <w:r w:rsidR="00023C76">
        <w:t xml:space="preserve">, </w:t>
      </w:r>
      <w:r w:rsidRPr="00E96CFC">
        <w:t>uruchomienie</w:t>
      </w:r>
      <w:r w:rsidR="00EF7D2A">
        <w:t xml:space="preserve"> </w:t>
      </w:r>
      <w:r w:rsidR="00EF7D2A">
        <w:rPr>
          <w:b/>
        </w:rPr>
        <w:t>2</w:t>
      </w:r>
      <w:r w:rsidR="00EF7D2A" w:rsidRPr="00E96CFC">
        <w:rPr>
          <w:b/>
        </w:rPr>
        <w:t xml:space="preserve"> szt. </w:t>
      </w:r>
      <w:r w:rsidR="00EF7D2A" w:rsidRPr="00E96CFC">
        <w:rPr>
          <w:b/>
          <w:bCs/>
        </w:rPr>
        <w:t>macierzy dyskow</w:t>
      </w:r>
      <w:r w:rsidR="00EF7D2A">
        <w:rPr>
          <w:b/>
          <w:bCs/>
        </w:rPr>
        <w:t>ych</w:t>
      </w:r>
      <w:r w:rsidR="00EF7D2A">
        <w:t xml:space="preserve"> </w:t>
      </w:r>
      <w:r w:rsidR="00C514DA">
        <w:t>(</w:t>
      </w:r>
      <w:r w:rsidR="00C514DA" w:rsidRPr="00E96CFC">
        <w:rPr>
          <w:bCs/>
        </w:rPr>
        <w:t>zwan</w:t>
      </w:r>
      <w:r w:rsidR="00C514DA">
        <w:rPr>
          <w:bCs/>
        </w:rPr>
        <w:t>ych</w:t>
      </w:r>
      <w:r w:rsidR="00C514DA" w:rsidRPr="00E96CFC">
        <w:rPr>
          <w:bCs/>
        </w:rPr>
        <w:t xml:space="preserve"> dalej „urządzeni</w:t>
      </w:r>
      <w:r w:rsidR="00C514DA">
        <w:rPr>
          <w:bCs/>
        </w:rPr>
        <w:t>ami)</w:t>
      </w:r>
      <w:r w:rsidR="00C514DA">
        <w:t xml:space="preserve"> </w:t>
      </w:r>
      <w:r w:rsidR="00EF7D2A">
        <w:t>wraz z</w:t>
      </w:r>
      <w:r w:rsidR="00023C76">
        <w:t xml:space="preserve"> migracj</w:t>
      </w:r>
      <w:r w:rsidR="00EF7D2A">
        <w:t>ą</w:t>
      </w:r>
      <w:r w:rsidR="00542866">
        <w:t xml:space="preserve"> danych</w:t>
      </w:r>
      <w:r w:rsidRPr="00E96CFC">
        <w:rPr>
          <w:bCs/>
        </w:rPr>
        <w:t>;</w:t>
      </w:r>
    </w:p>
    <w:p w:rsidR="00A21FE2" w:rsidRPr="00E96CFC" w:rsidRDefault="00A21FE2" w:rsidP="00A21FE2">
      <w:pPr>
        <w:widowControl w:val="0"/>
        <w:numPr>
          <w:ilvl w:val="2"/>
          <w:numId w:val="6"/>
        </w:numPr>
        <w:autoSpaceDE w:val="0"/>
        <w:autoSpaceDN w:val="0"/>
        <w:adjustRightInd w:val="0"/>
        <w:ind w:left="709" w:hanging="283"/>
        <w:contextualSpacing/>
        <w:jc w:val="both"/>
        <w:rPr>
          <w:lang w:eastAsia="x-none"/>
        </w:rPr>
      </w:pPr>
      <w:r w:rsidRPr="00E96CFC">
        <w:rPr>
          <w:bCs/>
        </w:rPr>
        <w:t xml:space="preserve">udzielenie lub zapewnienie udzielenia licencji na </w:t>
      </w:r>
      <w:r w:rsidR="00CE3B05" w:rsidRPr="00DB5544">
        <w:t xml:space="preserve">oprogramowanie do zarządzania </w:t>
      </w:r>
      <w:r w:rsidR="00CE3B05">
        <w:t xml:space="preserve">macierzami </w:t>
      </w:r>
      <w:r w:rsidR="00CE3B05" w:rsidRPr="00DB5544">
        <w:t xml:space="preserve">z jednego miejsca </w:t>
      </w:r>
      <w:r w:rsidR="00CE3B05">
        <w:t>wyspecyfikowane w pkt. 13 tabeli</w:t>
      </w:r>
      <w:r w:rsidR="00CE3B05" w:rsidRPr="00E96CFC">
        <w:rPr>
          <w:bCs/>
        </w:rPr>
        <w:t xml:space="preserve"> </w:t>
      </w:r>
      <w:r w:rsidR="00CE3B05">
        <w:rPr>
          <w:bCs/>
        </w:rPr>
        <w:t xml:space="preserve">oraz na </w:t>
      </w:r>
      <w:r w:rsidRPr="00E96CFC">
        <w:rPr>
          <w:bCs/>
        </w:rPr>
        <w:t xml:space="preserve">oprogramowanie </w:t>
      </w:r>
      <w:proofErr w:type="spellStart"/>
      <w:r w:rsidRPr="00E96CFC">
        <w:rPr>
          <w:bCs/>
        </w:rPr>
        <w:t>firmware</w:t>
      </w:r>
      <w:proofErr w:type="spellEnd"/>
      <w:r w:rsidRPr="00E96CFC">
        <w:rPr>
          <w:bCs/>
        </w:rPr>
        <w:t xml:space="preserve"> urządzenia </w:t>
      </w:r>
      <w:r w:rsidRPr="00E96CFC">
        <w:t>oraz na dodatkowe funkcjonalności:</w:t>
      </w:r>
    </w:p>
    <w:p w:rsidR="00A21FE2" w:rsidRPr="00E96CFC" w:rsidRDefault="00A21FE2" w:rsidP="00A21FE2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  <w:rPr>
          <w:lang w:eastAsia="x-none"/>
        </w:rPr>
      </w:pPr>
      <w:r w:rsidRPr="00E96CFC">
        <w:t>obsługę maksymalnej pojemności dyskowej, o której mowa w  lp. 10 pkt 7 tabeli;</w:t>
      </w:r>
    </w:p>
    <w:p w:rsidR="00A21FE2" w:rsidRPr="00E96CFC" w:rsidRDefault="00A21FE2" w:rsidP="00A21FE2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  <w:rPr>
          <w:lang w:eastAsia="x-none"/>
        </w:rPr>
      </w:pPr>
      <w:r w:rsidRPr="00E96CFC">
        <w:t xml:space="preserve">obsługę funkcjonalności wirtualnego przydziału przestrzeni dyskowej dla serwerów tzw. </w:t>
      </w:r>
      <w:proofErr w:type="spellStart"/>
      <w:r w:rsidRPr="00E96CFC">
        <w:t>Thin</w:t>
      </w:r>
      <w:proofErr w:type="spellEnd"/>
      <w:r w:rsidRPr="00E96CFC">
        <w:t xml:space="preserve"> </w:t>
      </w:r>
      <w:proofErr w:type="spellStart"/>
      <w:r w:rsidRPr="00E96CFC">
        <w:t>Provisioning</w:t>
      </w:r>
      <w:proofErr w:type="spellEnd"/>
      <w:r w:rsidRPr="00E96CFC">
        <w:t xml:space="preserve"> dla całej macierzy dyskowej, o której mowa w  lp.12 pkt 1 tabeli;</w:t>
      </w:r>
    </w:p>
    <w:p w:rsidR="00A21FE2" w:rsidRDefault="00A21FE2" w:rsidP="00A21FE2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</w:pPr>
      <w:r w:rsidRPr="00E96CFC">
        <w:t>obsługę funkcjonalności monitorowania całej ścieżki danych od serwer</w:t>
      </w:r>
      <w:r w:rsidR="005E28B3">
        <w:t>ów</w:t>
      </w:r>
      <w:r w:rsidRPr="00E96CFC">
        <w:t xml:space="preserve"> poprzez sieć SAN do macierzy dyskowej oraz raportowanie o wąskich gardłach występujących na drodze danych, o której mowa w  lp. 14 pkt 2 tabeli;</w:t>
      </w:r>
    </w:p>
    <w:p w:rsidR="00A21FE2" w:rsidRPr="00E96CFC" w:rsidRDefault="00A21FE2" w:rsidP="005637B6">
      <w:pPr>
        <w:widowControl w:val="0"/>
        <w:numPr>
          <w:ilvl w:val="2"/>
          <w:numId w:val="6"/>
        </w:numPr>
        <w:autoSpaceDE w:val="0"/>
        <w:autoSpaceDN w:val="0"/>
        <w:adjustRightInd w:val="0"/>
        <w:ind w:left="709" w:hanging="283"/>
        <w:contextualSpacing/>
        <w:jc w:val="both"/>
      </w:pPr>
      <w:r w:rsidRPr="005637B6">
        <w:t>świadczenie serwisu gwarancyjnego dostarczon</w:t>
      </w:r>
      <w:r w:rsidR="005E28B3" w:rsidRPr="005637B6">
        <w:t>ych</w:t>
      </w:r>
      <w:r w:rsidRPr="005637B6">
        <w:t xml:space="preserve"> urządze</w:t>
      </w:r>
      <w:r w:rsidR="005E28B3" w:rsidRPr="005637B6">
        <w:t>ń</w:t>
      </w:r>
      <w:r w:rsidRPr="005637B6">
        <w:t>;</w:t>
      </w:r>
    </w:p>
    <w:p w:rsidR="00A21FE2" w:rsidRPr="00E96CFC" w:rsidRDefault="00A21FE2" w:rsidP="005637B6">
      <w:pPr>
        <w:widowControl w:val="0"/>
        <w:numPr>
          <w:ilvl w:val="2"/>
          <w:numId w:val="6"/>
        </w:numPr>
        <w:autoSpaceDE w:val="0"/>
        <w:autoSpaceDN w:val="0"/>
        <w:adjustRightInd w:val="0"/>
        <w:ind w:left="709" w:hanging="283"/>
        <w:contextualSpacing/>
        <w:jc w:val="both"/>
      </w:pPr>
      <w:r w:rsidRPr="005637B6">
        <w:t>wykonanie i dostarczenie dokumentacji powykonawczej;</w:t>
      </w:r>
    </w:p>
    <w:p w:rsidR="00A21FE2" w:rsidRPr="00E96CFC" w:rsidRDefault="00A21FE2" w:rsidP="005637B6">
      <w:pPr>
        <w:widowControl w:val="0"/>
        <w:numPr>
          <w:ilvl w:val="2"/>
          <w:numId w:val="6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wsparcie techniczne w liczbie 200 godzin.</w:t>
      </w:r>
    </w:p>
    <w:p w:rsidR="00A21FE2" w:rsidRPr="00E96CFC" w:rsidRDefault="00A21FE2" w:rsidP="00A21FE2">
      <w:pPr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E96CFC">
        <w:rPr>
          <w:rFonts w:eastAsia="Calibri"/>
          <w:b/>
          <w:lang w:eastAsia="en-US"/>
        </w:rPr>
        <w:t xml:space="preserve">TERMIN REALIZACJI PRZEDMIOTU ZAMÓWIENIA: </w:t>
      </w:r>
    </w:p>
    <w:p w:rsidR="00A21FE2" w:rsidRPr="00E96CFC" w:rsidRDefault="00A21FE2" w:rsidP="00A21FE2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</w:pPr>
      <w:r w:rsidRPr="00E96CFC">
        <w:t xml:space="preserve">w zakresie wymienionym w pkt 1 ppkt 1), ppkt 2) i ppkt 4) w terminie do </w:t>
      </w:r>
      <w:r w:rsidR="007B7697">
        <w:t>6</w:t>
      </w:r>
      <w:r w:rsidRPr="00E96CFC">
        <w:t xml:space="preserve">0 </w:t>
      </w:r>
      <w:r w:rsidR="007B7697">
        <w:t xml:space="preserve">kalendarzowych </w:t>
      </w:r>
      <w:r w:rsidRPr="00E96CFC">
        <w:t>dni od dnia zawarcia umowy;</w:t>
      </w:r>
    </w:p>
    <w:p w:rsidR="00A21FE2" w:rsidRPr="00E96CFC" w:rsidRDefault="00A21FE2" w:rsidP="00542866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</w:pPr>
      <w:r w:rsidRPr="00E96CFC">
        <w:t>w zakresie wymienionym w pkt 1 ppkt 3) – przez okres 48 miesięcy od dnia podpisania przez Zamawiającego bez zastrzeżeń Protokołu Odbioru Jakościowego Urządzeń i Licencji;</w:t>
      </w:r>
    </w:p>
    <w:p w:rsidR="00A21FE2" w:rsidRPr="00E96CFC" w:rsidRDefault="00A21FE2" w:rsidP="00542866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</w:pPr>
      <w:r w:rsidRPr="00E96CFC">
        <w:t>w zakresie wymienionym w pkt 1  ppkt 5) przez okres 48 miesięcy od dnia podpisania przez Zamawiającego bez zastrzeżeń Protokołu Odbioru Jakościowego Urządzeń i Licencji lub do wyczerpania puli godzin, w zależności które zdarzenie nastąpi wcześniej.</w:t>
      </w:r>
    </w:p>
    <w:p w:rsidR="00A21FE2" w:rsidRPr="00E96CFC" w:rsidRDefault="00A21FE2" w:rsidP="00A21FE2">
      <w:pPr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96CFC">
        <w:rPr>
          <w:rFonts w:eastAsia="Calibri"/>
          <w:b/>
          <w:lang w:eastAsia="en-US"/>
        </w:rPr>
        <w:t>MIEJSCE REALIZACJI PRZEDMIOTU ZAMÓWIENIA</w:t>
      </w:r>
    </w:p>
    <w:p w:rsidR="00A21FE2" w:rsidRPr="00E96CFC" w:rsidRDefault="00A21FE2" w:rsidP="00A21FE2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Miejscem realizacji przedmiotu zamówienia jest :</w:t>
      </w:r>
    </w:p>
    <w:p w:rsidR="00A21FE2" w:rsidRPr="00E96CFC" w:rsidRDefault="00A21FE2" w:rsidP="00534A28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E96CFC">
        <w:t>Ministerstwo Sprawiedliwości w Warszawie przy ul. Czerniakowskiej 100</w:t>
      </w:r>
    </w:p>
    <w:p w:rsidR="00A21FE2" w:rsidRPr="00E96CFC" w:rsidRDefault="00A21FE2" w:rsidP="00A21FE2">
      <w:pPr>
        <w:widowControl w:val="0"/>
        <w:autoSpaceDE w:val="0"/>
        <w:autoSpaceDN w:val="0"/>
        <w:adjustRightInd w:val="0"/>
        <w:ind w:left="1276"/>
        <w:contextualSpacing/>
        <w:jc w:val="both"/>
      </w:pPr>
      <w:r w:rsidRPr="00E96CFC">
        <w:t xml:space="preserve">lub </w:t>
      </w:r>
    </w:p>
    <w:p w:rsidR="00A21FE2" w:rsidRPr="00E96CFC" w:rsidRDefault="00A21FE2" w:rsidP="00534A28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E96CFC">
        <w:t>Ministerstwo Sprawiedliwości w Warszawie przy ul. Zwycięzców 34.</w:t>
      </w:r>
    </w:p>
    <w:p w:rsidR="00A21FE2" w:rsidRPr="00E96CFC" w:rsidRDefault="00A21FE2" w:rsidP="00A21FE2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Zamawiający zastrzega sobie prawo do zmiany lokalizacji urządzenia będącego przedmiotem zamówienia w trakcie trwania  umowy, wynikającą ze zmian organizacyjnych Zamawiającego, w tym m.in. w związku ze zmianą siedziby Zamawiającego lub zmianą miejsca realizacji przedmiotu zamówienia w obrębie województwa mazowieckiego, po pisemnym zawiadomieniu Wykonawcy na co najmniej 5 dni przed terminem zmiany.</w:t>
      </w:r>
    </w:p>
    <w:p w:rsidR="00A21FE2" w:rsidRPr="00E96CFC" w:rsidRDefault="00A21FE2" w:rsidP="00534A28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Zamawiający zastrzega sobie prawo do zmiany miejsca umieszczenia urządzeniem, będącego przedmiotem zamówienia bez utraty prawa do gwarancji.</w:t>
      </w:r>
    </w:p>
    <w:p w:rsidR="00A21FE2" w:rsidRPr="00E96CFC" w:rsidRDefault="00A21FE2" w:rsidP="00534A28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Zamawiający wymaga realizacji zgłoszeń w miejscu określonym w ppkt 1.  </w:t>
      </w:r>
    </w:p>
    <w:p w:rsidR="00A21FE2" w:rsidRPr="00E96CFC" w:rsidRDefault="00A21FE2" w:rsidP="00534A28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Naprawy gwarancyjne będą dokonywane w miejscu eksploatacji urządzeń określonym w ppkt 1). W przypadku niemożności dokonania naprawy gwarancyjnej  u Zamawiającego, Wykonawca dostarczy urządzenie do punktu serwisowego. Koszty dostarczenia uszkodzonego urządzenia do punktu serwisowego oraz z punktu serwisowego do miejsca eksploatacji urządzeń oraz jego ponownej instalacji i konfiguracji pokrywa Wykonawca.</w:t>
      </w:r>
    </w:p>
    <w:p w:rsidR="00A21FE2" w:rsidRPr="00E96CFC" w:rsidRDefault="00A21FE2" w:rsidP="00534A28">
      <w:pPr>
        <w:widowControl w:val="0"/>
        <w:numPr>
          <w:ilvl w:val="0"/>
          <w:numId w:val="25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lastRenderedPageBreak/>
        <w:t>Komunikacja oraz wszelka korespondencja pomiędzy Stronami będzie odbywała się w języku polskim.</w:t>
      </w:r>
    </w:p>
    <w:p w:rsidR="00A21FE2" w:rsidRPr="00E96CFC" w:rsidRDefault="00A21FE2" w:rsidP="00A21FE2">
      <w:pPr>
        <w:ind w:left="709"/>
        <w:contextualSpacing/>
        <w:jc w:val="both"/>
        <w:rPr>
          <w:rFonts w:eastAsia="Calibri"/>
          <w:lang w:eastAsia="en-US"/>
        </w:rPr>
      </w:pPr>
    </w:p>
    <w:p w:rsidR="00A21FE2" w:rsidRPr="00E96CFC" w:rsidRDefault="00A21FE2" w:rsidP="00A21FE2">
      <w:pPr>
        <w:widowControl w:val="0"/>
        <w:numPr>
          <w:ilvl w:val="1"/>
          <w:numId w:val="7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96CFC">
        <w:rPr>
          <w:rFonts w:eastAsia="Calibri"/>
          <w:b/>
          <w:lang w:eastAsia="en-US"/>
        </w:rPr>
        <w:t>SERWIS GWARANCYJNY URZĄDZENIA</w:t>
      </w:r>
    </w:p>
    <w:p w:rsidR="00A21FE2" w:rsidRPr="00E96CFC" w:rsidRDefault="00A21FE2" w:rsidP="00A21FE2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</w:rPr>
        <w:t>Wykonawca udzieli gwarancji na prawidłowe działanie urządzeń, co do ich jakości oraz zgodności z dokumentacją techniczną urządzeń i dokumentacją powykonawczą, na okres równy okresowi serwisu gwarancyjnego.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t>Wykonawca nie później niż w dniu podpisania Protokołu Odbioru Jakościowego Urządzeń i Licencji ma obowiązek przekazać Zamawiającemu w formie pisemnej dokument „Instrukcja zgłaszania, obsługi i eskalacji zgłoszeń serwisu", zawierający:</w:t>
      </w:r>
    </w:p>
    <w:p w:rsidR="00A21FE2" w:rsidRPr="00534A28" w:rsidRDefault="00A21FE2" w:rsidP="00534A2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instrukcje zgłaszania awarii, w tym formularz Zgłoszenia gwarancyjnego;</w:t>
      </w:r>
    </w:p>
    <w:p w:rsidR="00A21FE2" w:rsidRPr="00534A28" w:rsidRDefault="00A21FE2" w:rsidP="00534A2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procedury eskalacyjne (pod pojęciem procedury eskalacji Zamawiający rozumie tryb postępowania stron w sytuacji braku realizacji zgłoszenia lub reakcji na zgłoszenie);</w:t>
      </w:r>
    </w:p>
    <w:p w:rsidR="00A21FE2" w:rsidRPr="00534A28" w:rsidRDefault="00A21FE2" w:rsidP="00534A2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dane świadczącego usługi gwarancyjne - adresy, numery telefonów i faksów, adresy poczty elektronicznej;</w:t>
      </w:r>
    </w:p>
    <w:p w:rsidR="00A21FE2" w:rsidRPr="00534A28" w:rsidRDefault="00A21FE2" w:rsidP="00534A2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instrukcje dotyczące przeglądania statusu umowy oraz urządzeń nią objętych;</w:t>
      </w:r>
    </w:p>
    <w:p w:rsidR="00A21FE2" w:rsidRPr="00534A28" w:rsidRDefault="00A21FE2" w:rsidP="00534A28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instrukcje dotyczące pobierania poprawek i nowych wersji oprogramowania ze stron www producenta urządzeń i oprogramowania online  bez ponoszenia dodatkowych kosztów.</w:t>
      </w:r>
    </w:p>
    <w:p w:rsidR="00A21FE2" w:rsidRPr="00E96CFC" w:rsidRDefault="00A21FE2" w:rsidP="00A21FE2">
      <w:pPr>
        <w:ind w:left="708"/>
        <w:contextualSpacing/>
        <w:jc w:val="both"/>
      </w:pPr>
      <w:r w:rsidRPr="00E96CFC">
        <w:t>Instrukcje i proce</w:t>
      </w:r>
      <w:r>
        <w:t>d</w:t>
      </w:r>
      <w:r w:rsidRPr="00E96CFC">
        <w:t>ury, o których mowa powyżej, nie mogą być sprzeczne lub niezgodne z  postanowieniami umowy.</w:t>
      </w:r>
    </w:p>
    <w:p w:rsidR="00A21FE2" w:rsidRPr="00E96CFC" w:rsidRDefault="00A21FE2" w:rsidP="00A21FE2">
      <w:pPr>
        <w:ind w:left="708"/>
        <w:contextualSpacing/>
        <w:jc w:val="both"/>
      </w:pPr>
      <w:r w:rsidRPr="00E96CFC">
        <w:t>Zmiana dokumentów wymienionych w niniejszym ustępie wymaga powiadomienia Zamawiającego w formie pisemnej.</w:t>
      </w:r>
    </w:p>
    <w:p w:rsidR="00A21FE2" w:rsidRPr="00E96CFC" w:rsidRDefault="00A21FE2" w:rsidP="00A21FE2">
      <w:pPr>
        <w:ind w:left="708"/>
        <w:contextualSpacing/>
        <w:jc w:val="both"/>
      </w:pPr>
      <w:r w:rsidRPr="00E96CFC">
        <w:t xml:space="preserve">Wykonawca zobowiązuje się wdrożyć i stosować przez cały okres obowiązywania Umowy powyższe procedury i instrukcje. </w:t>
      </w:r>
    </w:p>
    <w:p w:rsidR="00A21FE2" w:rsidRPr="00E96CFC" w:rsidRDefault="00A21FE2" w:rsidP="00A21FE2">
      <w:pPr>
        <w:ind w:left="708"/>
        <w:contextualSpacing/>
        <w:jc w:val="both"/>
      </w:pPr>
      <w:r w:rsidRPr="00E96CFC">
        <w:t>Przekazane przez Wykonawcę procedury i instrukcje podlegają akceptacji Zamawiającego. Zamawiający może zgłosić uwagi i poprawki do instrukcji i procedur przekazanych przez Wykonawcę, a Wykonawca jest zobowiązany do ich uwzględnienia i przedstawienia do ponownej akceptacji przez Zamawiającego.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Zgłoszenie awarii urządzenia objętego gwarancją może być dokonywane w postaci: zgłoszenia telefonicznego, za pomocą faksu, z wykorzystaniem serwisu www udostępnionego przez Wykonawcę, za pomocą poczty elektronicznej oraz zgłoszeń generowanych automatycznie przez system monitoringu macierzy.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t>Wykonawca będzie przyjmował zgłoszenia awarii i konsultacji technicznych  urządzenia całodobowo - 24 godziny na dobę, 7 dni w tygodniu, 365 dni w roku</w:t>
      </w:r>
      <w:r w:rsidRPr="00E96CFC">
        <w:rPr>
          <w:rFonts w:eastAsia="Calibri"/>
          <w:lang w:eastAsia="en-US"/>
        </w:rPr>
        <w:t>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Konsultacje techniczne w ramach serwisu gwarancyjnego mogą być przeprowadzone pomiędzy Wykonawcą a Zamawiającym osobiście, telefonicznie lub za pomocą poczty elektronicznej.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Wykonawca jest zobowiązany do potwierdzenia przyjęcia zgłoszenia awarii w terminie do 60 minut jego przyjęcia za pomocą faxu na numer 22 39 76 111 lub na adres poczty elektronicznej</w:t>
      </w:r>
      <w:hyperlink r:id="rId9" w:history="1">
        <w:r w:rsidRPr="00E96CFC">
          <w:rPr>
            <w:rFonts w:eastAsia="Calibri"/>
            <w:lang w:eastAsia="en-US"/>
          </w:rPr>
          <w:t xml:space="preserve"> popd@ms.gov.pl</w:t>
        </w:r>
      </w:hyperlink>
      <w:r w:rsidRPr="00E96CFC">
        <w:rPr>
          <w:rFonts w:eastAsia="Calibri"/>
          <w:lang w:eastAsia="en-US"/>
        </w:rPr>
        <w:t xml:space="preserve"> lub telefonicznie - na numer podany podczas rejestracji zgłoszenia, niezwłocznie przesyłając potwierdzenie mailem na powyższy adres mailowy, przy czym za chwilę potwierdzenia przyjęcia zgłoszenia uważa się moment potwierdzenia telefonicznego. W przypadku braku potwierdzenia po upływie 60 minut od zgłoszenia awarii przez Zamawiającego, Zamawiający wdroży procedurę eskalacji zgłoszenia, o której mowa w pkt 2 lit. b..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Wykonawca jest zobowiązany do zapewnienia procedury eskalacyjnych zgłoszeń zawierających  co najmniej dodatkowe dwa numery telefonów. Pod pojęciem procedury eskalacji Zamawiający rozumie tryb postępowania stron w sytuacji braku realizacji/reakcji  zgłoszenia na zgłoszenie, na zasadach określonych w ppkt 2 lit. b.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 xml:space="preserve">Wykonawca jest zobowiązany do zapewnienia Zamawiającemu bieżącego śledzenia </w:t>
      </w:r>
      <w:r w:rsidRPr="00E96CFC">
        <w:rPr>
          <w:bCs/>
        </w:rPr>
        <w:lastRenderedPageBreak/>
        <w:t>statusu zgłoszenia za pośrednictwem co najmniej strony www – Wykonawca przekaże Zamawiającemu login i hasło nie później niż w dniu podpisania Protokołu Odbioru Jakościowego Urządzeń i Licencji.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bCs/>
        </w:rPr>
        <w:t>Wykonawca zapewni Zamawiającemu dostęp do monitorowania statusu zgłoszeń  gwarancyjnych w systemie producenta.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 xml:space="preserve">Zamawiający wymaga zapewnienia ciągłości usług serwisu gwarancyjnego.   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</w:pPr>
      <w:r w:rsidRPr="00E96CFC">
        <w:t xml:space="preserve">W ramach serwisu gwarancyjnego Wykonawca jest zobowiązany do  usunięcia </w:t>
      </w:r>
      <w:r w:rsidRPr="00E96CFC">
        <w:rPr>
          <w:b/>
        </w:rPr>
        <w:t>awarii</w:t>
      </w:r>
      <w:r w:rsidRPr="00E96CFC">
        <w:t xml:space="preserve"> urządzeń w terminie </w:t>
      </w:r>
      <w:r w:rsidRPr="00E96CFC">
        <w:rPr>
          <w:b/>
        </w:rPr>
        <w:t xml:space="preserve">do … godzin </w:t>
      </w:r>
      <w:r w:rsidRPr="00E96CFC">
        <w:rPr>
          <w:b/>
          <w:i/>
        </w:rPr>
        <w:t>(zgodnie z ofertą Wykonawcy, nie więcej niż 36 godzin)</w:t>
      </w:r>
      <w:r w:rsidRPr="00E96CFC">
        <w:rPr>
          <w:b/>
        </w:rPr>
        <w:t xml:space="preserve"> </w:t>
      </w:r>
      <w:r w:rsidRPr="00E96CFC">
        <w:t xml:space="preserve">od chwili zgłoszenia awarii, bez względu na to, czy zgłoszenie zostało potwierdzone czy nie.  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przypadku, gdy Wykonawca nie wykona obowiązku wynikającego z ppkt 11:</w:t>
      </w:r>
    </w:p>
    <w:p w:rsidR="00A21FE2" w:rsidRPr="00E96CFC" w:rsidRDefault="00A21FE2" w:rsidP="00534A28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Zamawiający ma prawo wypożyczyć, zainstalować i uruchomić na koszt Wykonawcy u dowolnego innego dostawcy urządzenie zastępcze, zachowując jednocześnie prawo do kary umownej i odszkodowania.</w:t>
      </w:r>
    </w:p>
    <w:p w:rsidR="00A21FE2" w:rsidRPr="00E96CFC" w:rsidRDefault="00A21FE2" w:rsidP="00534A28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Zamawiający ma prawo zlecić dowolnemu innemu dostawcy naprawę urządzenia, a kosztami naprawy obciążyć Wykonawcę zachowując jednocześnie prawo do kary umownej i odszkodowania.</w:t>
      </w:r>
    </w:p>
    <w:p w:rsidR="00A21FE2" w:rsidRPr="00E96CFC" w:rsidRDefault="00A21FE2" w:rsidP="00534A28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W przypadku wystąpienia okoliczności opisanych w ppkt a) i b) Zamawiający nie traci prawa do gwarancji.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ramach usunięcia awarii urządzenia Zamawiający dopuszcza możliwość wymiany przez Wykonawcę po uzgodnieniu z Zamawiającym  poszczególnych elementów lub podzespołów lub całego urządzenia na nowe takie samo lub inne, o co najmniej takich samych parametrach, funkcjonalności i standardzie.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 przypadku, gdy w wyniku usuwania awarii Wykonawca zapewnił urządzenie zastępcze, a naprawa urządzenia Zamawiającego trwa dłużej niż 6 tygodni lub gdy ten sam element/ podzespół/ cześć urządzenia będzie naprawiane trzykrotnie w okresie obowiązywania umowy i nastąpi kolejna (czwarta) awaria, Zamawiający może żądać od Wykonawcy wymiany urządzenia na nowe, takie samo lub inne, uzgodnione z Zamawiającym, w terminie 30 dni od zgłoszenie takiego żądania przez Zamawiającego, o co najmniej takich samych parametrach, funkcjonalności i standardzie. Dostarczone w ramach wymiany urządzenie musi być wyprodukowane nie wcześniej niż 6  miesięcy przed dostawą, wolne od wad, fabrycznie nowe - bez śladów używania i bez uszkodzeń, </w:t>
      </w:r>
      <w:r w:rsidRPr="00927D32">
        <w:rPr>
          <w:rFonts w:eastAsia="Calibri"/>
          <w:lang w:eastAsia="en-US"/>
        </w:rPr>
        <w:t>wprowadzone na rynek zgodnie z przepisami ustawy o zużytym sprzęcie elektrycznym i elektronicznym z dnia 11 września 2015 r. (Dz.U. z 2015 r. poz. 1688) i</w:t>
      </w:r>
      <w:r w:rsidRPr="00E96CFC">
        <w:rPr>
          <w:rFonts w:eastAsia="Calibri"/>
          <w:lang w:eastAsia="en-US"/>
        </w:rPr>
        <w:t xml:space="preserve"> dostarczone Zamawiającemu w oryginalnych opakowaniach fabrycznych, zabezpieczających przed uszkodzeniem w trakcie transportu i składowania. W przypadku wymiany urządzenia na nowe Wykonawca sporządzi protokół z wymiany.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E96CFC">
        <w:rPr>
          <w:rFonts w:eastAsia="Calibri"/>
        </w:rPr>
        <w:t>Wykonawca każdorazowo dostarczy Zamawiającemu Raport z naprawy urządzenia, zawierający datę i godzinę zgłoszenia, informację co było przedmiotem naprawy oraz w przypadku przekroczenia czasu usunięcia awarii, o którym mowa w ppkt 11, Wykonawca uwzględni informację na ten temat w Raporcie z naprawy.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Wykonawca zainstaluje uaktualnienia oprogramowania wewnętrznego (firmware) danego urządzenia lub jego podzespołów na następujących zasadach: </w:t>
      </w:r>
    </w:p>
    <w:p w:rsidR="00A21FE2" w:rsidRPr="00534A28" w:rsidRDefault="00A21FE2" w:rsidP="00534A28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534A28">
        <w:t xml:space="preserve">W ramach gwarancji, podczas usuwania zgłoszonej awarii, Wykonawca, po konsultacjach z Zamawiającym, dokona instalacji dostępnych </w:t>
      </w:r>
      <w:r w:rsidRPr="00534A28">
        <w:br/>
        <w:t xml:space="preserve">i zalecanych w danym czasie ulepszeń technicznych w celu zapewnienia poprawnego działania urządzenia oraz podwyższenia jego wydajności oraz sprawnego usunięcia awarii. </w:t>
      </w:r>
    </w:p>
    <w:p w:rsidR="00A21FE2" w:rsidRPr="00534A28" w:rsidRDefault="00A21FE2" w:rsidP="00534A28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534A28">
        <w:t xml:space="preserve">Wykonawca zapewni wszelkie elementy, podzespoły, części zamienne i materiały, które są niezbędne do utrzymania urządzeń objętych umową w należytym stanie technicznym w zakresie dostępnych i zalecanych ulepszeń technicznych w ramach </w:t>
      </w:r>
      <w:r w:rsidRPr="00534A28">
        <w:lastRenderedPageBreak/>
        <w:t>wynagrodzenia umownego.</w:t>
      </w:r>
    </w:p>
    <w:p w:rsidR="00A21FE2" w:rsidRPr="00534A28" w:rsidRDefault="00A21FE2" w:rsidP="00534A28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534A28">
        <w:t>Instalacja aktualizacji oprogramowania nie może naruszać praw autorskich producenta oprogramowania.</w:t>
      </w:r>
      <w:r w:rsidRPr="00E96CFC">
        <w:t xml:space="preserve"> </w:t>
      </w:r>
    </w:p>
    <w:p w:rsidR="00A21FE2" w:rsidRPr="00534A28" w:rsidRDefault="00A21FE2" w:rsidP="00534A28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534A28">
        <w:t>Czasu przeznaczonego na instalacje usprawnień technicznych lub aktualizację wbudowanego oprogramowania i testy zastosowanego rozwiązania nie wyłącza się z czasu naprawy (usunięcia awarii urządzenia.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celu zapewnienia kompatybilności i poprawności eksploatacji infrastruktury informatycznej posiadanej przez zamawiającego, zamawiający wymaga aby, w ramach gwarancji Wykonawca zapewnił:</w:t>
      </w:r>
    </w:p>
    <w:p w:rsidR="00A21FE2" w:rsidRPr="00534A28" w:rsidRDefault="00A21FE2" w:rsidP="00534A28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534A28">
        <w:t>dostęp do portali internetowych producenta zawierających narzędzia wsparcia elektronicznego oraz zapewni możliwość korzystania z nich.</w:t>
      </w:r>
    </w:p>
    <w:p w:rsidR="00A21FE2" w:rsidRPr="00E96CFC" w:rsidRDefault="00A21FE2" w:rsidP="00534A28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przeszukiwanie   bazy   wiedzy   producenta   dotyczącej   urządzeń i oprogramowania stanowiącego przedmiot umowy,</w:t>
      </w:r>
    </w:p>
    <w:p w:rsidR="00A21FE2" w:rsidRPr="00E96CFC" w:rsidRDefault="00A21FE2" w:rsidP="00534A28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pobieranie z serwera WWW lub ftp producenta urządzeń poprawek, aktualizacji, oprogramowania narzędziowego i  nowych wersji systemu operacyjnego urządzenia (firmware), umożliwiających  jego instalację,  udostępnionych przez producenta w okresie trwania umowy; pobieranie tych aktualizacji musi być zgodne z zasadami licencjonowania producenta oprogramowania.</w:t>
      </w:r>
    </w:p>
    <w:p w:rsidR="00A21FE2" w:rsidRPr="00534A28" w:rsidRDefault="00A21FE2" w:rsidP="00534A28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uzyskanie informacji o statusie umowy oraz o urządzeniach nią objętych.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Na wezwanie Zamawiającego Wykonawca w ramach świadczenia usług serwisu gwarancyjnego wykona aktualizację firmware nie rzadziej niż w odstępach 12-miesięcznych za pomocą narzędzi aktualizujących do wersji uzgodnionej z Zamawiającym w zgodzie z zasadami licencjonowania producenta oprogramowania firmware dla urządzenia wyspecyfikowanego w</w:t>
      </w:r>
      <w:r w:rsidRPr="00E96CFC">
        <w:t xml:space="preserve"> rozdziale II - Specyfikacja techniczna.</w:t>
      </w:r>
      <w:r w:rsidRPr="00E96CFC">
        <w:rPr>
          <w:rFonts w:eastAsia="Calibri"/>
          <w:lang w:eastAsia="en-US"/>
        </w:rPr>
        <w:t xml:space="preserve">  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Harmonogram wykonania wszystkich aktualizacji oprogramowania dla urządzenia wyspecyfikowanego </w:t>
      </w:r>
      <w:r w:rsidRPr="00E96CFC">
        <w:t xml:space="preserve">w  rozdziale II - Specyfikacja techniczna </w:t>
      </w:r>
      <w:r w:rsidRPr="00E96CFC">
        <w:rPr>
          <w:rFonts w:eastAsia="Calibri"/>
          <w:lang w:eastAsia="en-US"/>
        </w:rPr>
        <w:t xml:space="preserve">będzie uzgadniany z Zamawiającym w formie pisemnej w terminie do 30 dni przed przystąpieniem do tych prac. 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E96CFC">
        <w:rPr>
          <w:rFonts w:eastAsia="Calibri"/>
        </w:rPr>
        <w:t>Zamawiający zastrzega sobie prawo do planowanego wyłączenia oraz   włączenia urządzenia wyspecyfikowanego w rozdziale II – Specyfikacja techniczna, które będzie realizowane przez Wykonawcę przy asyście Zamawiającego. Wykonawca zostanie powiadomiony o fakcie planowanego wyłączenia lub włączenia urządzeń nie później niż 24 godziny przed tą czynnością.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</w:pPr>
      <w:r w:rsidRPr="00E96CFC">
        <w:rPr>
          <w:rFonts w:eastAsia="Calibri"/>
        </w:rPr>
        <w:t xml:space="preserve">Zamawiający zastrzega sobie prawo do nieplanowanego wyłączenia i włączenia urządzenia wyspecyfikowanego </w:t>
      </w:r>
      <w:r w:rsidRPr="00E96CFC">
        <w:t>w rozdziale II - Specyfikacja techniczna</w:t>
      </w:r>
      <w:r w:rsidRPr="00E96CFC">
        <w:rPr>
          <w:rFonts w:eastAsia="Calibri"/>
        </w:rPr>
        <w:t>, które będzie realizowane przez Wykonawcę przy asyście Zamawiającego lub też samodzielnie przez Zamawiającego. Nieplanowane wyłączenie i włączenie urządzenia może nastąpić w wyniku zdarzeń losowych będących zagrożeniem dla przetwarzanych danych. Zamawiający skontaktuje się z Wykonawcą, jednak w przypadku, gdy Wykonawca nie będzie w stanie zapewnić asysty w wymaganym czasie, Zamawiający samodzielnie wyłączy lub włączy urządzenie korzystając ze wsparcia telefonicznego Wykonawcy.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okresie trwania umowy Zamawiający ma prawo do instalowania, wymiany standardowych kart rozszerzeń/modułów i urządzeń (np. modułów optycznych itp.) oraz rozbudowy urządzenia oraz instalacji pobranych poprawek, aktualizacji, oprogramowania narzędziowego  i  nowych wersji systemu operacyjnego urządzenia (firmware) zgodnie z zasadami sztuki w tym zakresie przez wykwalifikowany personel Zamawiającego lub podmiotu zewnętrznego, któremu zleci te prace Zamawiający.</w:t>
      </w:r>
    </w:p>
    <w:p w:rsidR="00A21FE2" w:rsidRPr="00E96CFC" w:rsidRDefault="00A21FE2" w:rsidP="00534A28">
      <w:pPr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przypadku awarii dysku twardego, powodującej konieczność jego wymiany, uszkodzony dysk pozostanie u Zamawiającego. Koszty dysków twardych wymienianych z powodu ich awarii ponosi Wykonawca.</w:t>
      </w:r>
    </w:p>
    <w:p w:rsidR="00A21FE2" w:rsidRPr="00E96CFC" w:rsidRDefault="00A21FE2" w:rsidP="00A21FE2">
      <w:pPr>
        <w:ind w:left="349"/>
        <w:jc w:val="both"/>
        <w:rPr>
          <w:rFonts w:eastAsia="Calibri"/>
          <w:lang w:eastAsia="en-US"/>
        </w:rPr>
      </w:pPr>
    </w:p>
    <w:p w:rsidR="00A21FE2" w:rsidRPr="00E96CFC" w:rsidRDefault="00A21FE2" w:rsidP="00A21FE2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357"/>
        <w:jc w:val="both"/>
        <w:rPr>
          <w:b/>
        </w:rPr>
      </w:pPr>
      <w:r w:rsidRPr="00E96CFC">
        <w:rPr>
          <w:b/>
        </w:rPr>
        <w:t>USŁUGI WSPARCIA TECHNICZNEGO</w:t>
      </w:r>
    </w:p>
    <w:p w:rsidR="00A21FE2" w:rsidRPr="00E96CFC" w:rsidRDefault="00A21FE2" w:rsidP="00A21FE2">
      <w:pPr>
        <w:widowControl w:val="0"/>
        <w:numPr>
          <w:ilvl w:val="0"/>
          <w:numId w:val="28"/>
        </w:numPr>
        <w:autoSpaceDE w:val="0"/>
        <w:autoSpaceDN w:val="0"/>
        <w:adjustRightInd w:val="0"/>
        <w:contextualSpacing/>
        <w:jc w:val="both"/>
      </w:pPr>
      <w:r w:rsidRPr="00E96CFC">
        <w:t>Wykonawca zapewni 200 godzin wsparcia technicznego w zakresie:</w:t>
      </w:r>
    </w:p>
    <w:p w:rsidR="00A21FE2" w:rsidRPr="00E96CFC" w:rsidRDefault="00A21FE2" w:rsidP="00534A28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konfiguracji ,</w:t>
      </w:r>
    </w:p>
    <w:p w:rsidR="00A21FE2" w:rsidRPr="00E96CFC" w:rsidRDefault="00A21FE2" w:rsidP="00534A28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zarządzania,</w:t>
      </w:r>
    </w:p>
    <w:p w:rsidR="00A21FE2" w:rsidRPr="00E96CFC" w:rsidRDefault="00A21FE2" w:rsidP="00534A28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rozwiązywania problemów eksploatacyjnych,</w:t>
      </w:r>
    </w:p>
    <w:p w:rsidR="00A21FE2" w:rsidRPr="00E96CFC" w:rsidRDefault="00A21FE2" w:rsidP="00534A28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konsultacji technicznych,</w:t>
      </w:r>
    </w:p>
    <w:p w:rsidR="00A21FE2" w:rsidRPr="00E96CFC" w:rsidRDefault="00A21FE2" w:rsidP="00534A28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Okresowych przeglądów przedmiotu umowy.</w:t>
      </w:r>
    </w:p>
    <w:p w:rsidR="00A21FE2" w:rsidRPr="00E96CFC" w:rsidRDefault="00A21FE2" w:rsidP="00A21FE2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lang w:eastAsia="en-US"/>
        </w:rPr>
      </w:pPr>
      <w:r w:rsidRPr="00E96CFC">
        <w:t>Wsparcie techniczne będzie dotyczyło urządzenia określonego w rozdziale II -  Specyfikacja techniczna.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Usługi wsparcia technicznego realizowane będą na podstawie odrębnych, pisemnych zleceń Zamawiającego,</w:t>
      </w:r>
      <w:r w:rsidRPr="00E96CFC">
        <w:rPr>
          <w:rFonts w:eastAsia="Calibri"/>
        </w:rPr>
        <w:t xml:space="preserve"> przesyłanych na adres Wykonawcy.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Zamawiający przekazywać będzie Wykonawcy zlecenia, w których każdorazowo określi przedmiot zlecenia oraz maksymalny termin realizacji oczekiwany przez Zamawiającego z określeniem wstępnej ilości godzin.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Wykonawca, w terminie wyznaczonym przez Zamawiającego, nie krótszym niż jeden dzień roboczy od daty otrzymania zlecenia na wykonanie danej pracy, przekaże Zamawiającemu propozycję wykonania zlecenia zawierającą:</w:t>
      </w:r>
    </w:p>
    <w:p w:rsidR="00A21FE2" w:rsidRPr="00E96CFC" w:rsidRDefault="00A21FE2" w:rsidP="00534A28">
      <w:pPr>
        <w:widowControl w:val="0"/>
        <w:numPr>
          <w:ilvl w:val="0"/>
          <w:numId w:val="46"/>
        </w:numPr>
        <w:autoSpaceDE w:val="0"/>
        <w:autoSpaceDN w:val="0"/>
        <w:adjustRightInd w:val="0"/>
        <w:jc w:val="both"/>
        <w:outlineLvl w:val="0"/>
      </w:pPr>
      <w:r w:rsidRPr="00E96CFC">
        <w:t>Szczegółową wycenę usług wsparcia technicznego określonych w zleceniu, sporządzoną w oparciu o proponowaną ilość godzin w ocenie Wykonawcy niezbędnych do wykonania zlecenia;</w:t>
      </w:r>
    </w:p>
    <w:p w:rsidR="00A21FE2" w:rsidRPr="00E96CFC" w:rsidRDefault="00A21FE2" w:rsidP="00534A28">
      <w:pPr>
        <w:widowControl w:val="0"/>
        <w:numPr>
          <w:ilvl w:val="0"/>
          <w:numId w:val="46"/>
        </w:numPr>
        <w:autoSpaceDE w:val="0"/>
        <w:autoSpaceDN w:val="0"/>
        <w:adjustRightInd w:val="0"/>
        <w:jc w:val="both"/>
        <w:outlineLvl w:val="0"/>
      </w:pPr>
      <w:r w:rsidRPr="00E96CFC">
        <w:t>proponowany termin realizacji zlecenia.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Zamawiający może:</w:t>
      </w:r>
    </w:p>
    <w:p w:rsidR="00A21FE2" w:rsidRPr="00E96CFC" w:rsidRDefault="00A21FE2" w:rsidP="00534A28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outlineLvl w:val="0"/>
      </w:pPr>
      <w:r w:rsidRPr="00E96CFC">
        <w:t>zaakceptować propozycję wykonania zlecenia przedstawioną przez Wykonawcę;</w:t>
      </w:r>
    </w:p>
    <w:p w:rsidR="00A21FE2" w:rsidRPr="00E96CFC" w:rsidRDefault="00A21FE2" w:rsidP="00534A28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outlineLvl w:val="0"/>
      </w:pPr>
      <w:r w:rsidRPr="00E96CFC">
        <w:t>odrzucić propozycję wykonania zlecenia, co jest równoznaczne z nieudzieleniem zlecenia Wykonawcy;</w:t>
      </w:r>
    </w:p>
    <w:p w:rsidR="00A21FE2" w:rsidRPr="00E96CFC" w:rsidRDefault="00A21FE2" w:rsidP="00534A28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outlineLvl w:val="0"/>
      </w:pPr>
      <w:r w:rsidRPr="00E96CFC">
        <w:t>zażądać od Wykonawcy dodatkowych wyjaśnień w przedmiocie przedstawionej przez Wykonawcę propozycji wykonania zlecenia.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Wyjaśnienia, o których mowa w pkt 6 ppkt c), Wykonawca jest zobowiązany przedłożyć Zamawiającemu niezwłocznie, nie później jednak niż w kolejnym dniu roboczym następującym po dniu otrzymania żądania wyjaśnień od Zamawiającego.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Zamawiający może zaakceptować wyjaśnienia Wykonawcy, o których mowa w pkt 7 ppkt c), albo je odrzucić. Odrzucenie wyjaśnień Wykonawcy jest równoznaczne z nieudzieleniem zlecenia Wykonawcy.</w:t>
      </w:r>
    </w:p>
    <w:p w:rsidR="00A21FE2" w:rsidRPr="00E96CFC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>W przypadku akceptacji propozycji wykonania zlecenia lub w przypadku akceptacji wyjaśnień, o których mowa w pkt 7 ppkt c), Zamawiający przedkłada Wykonawcy zamówienie, które zawiera w szczególności:</w:t>
      </w:r>
    </w:p>
    <w:p w:rsidR="00A21FE2" w:rsidRPr="00E96CFC" w:rsidRDefault="00A21FE2" w:rsidP="00534A28">
      <w:pPr>
        <w:widowControl w:val="0"/>
        <w:numPr>
          <w:ilvl w:val="0"/>
          <w:numId w:val="48"/>
        </w:numPr>
        <w:autoSpaceDE w:val="0"/>
        <w:autoSpaceDN w:val="0"/>
        <w:adjustRightInd w:val="0"/>
        <w:jc w:val="both"/>
        <w:outlineLvl w:val="0"/>
      </w:pPr>
      <w:r w:rsidRPr="00E96CFC">
        <w:t>zakres zamawianych prac;</w:t>
      </w:r>
    </w:p>
    <w:p w:rsidR="00A21FE2" w:rsidRPr="00E96CFC" w:rsidRDefault="00A21FE2" w:rsidP="00534A28">
      <w:pPr>
        <w:widowControl w:val="0"/>
        <w:numPr>
          <w:ilvl w:val="0"/>
          <w:numId w:val="48"/>
        </w:numPr>
        <w:autoSpaceDE w:val="0"/>
        <w:autoSpaceDN w:val="0"/>
        <w:adjustRightInd w:val="0"/>
        <w:jc w:val="both"/>
        <w:outlineLvl w:val="0"/>
      </w:pPr>
      <w:r w:rsidRPr="00E96CFC">
        <w:t>liczbę godzin wsparcia niezbędną do wykonania zamawianych prac;</w:t>
      </w:r>
    </w:p>
    <w:p w:rsidR="00A21FE2" w:rsidRPr="00E96CFC" w:rsidRDefault="00A21FE2" w:rsidP="00534A28">
      <w:pPr>
        <w:widowControl w:val="0"/>
        <w:numPr>
          <w:ilvl w:val="0"/>
          <w:numId w:val="48"/>
        </w:numPr>
        <w:autoSpaceDE w:val="0"/>
        <w:autoSpaceDN w:val="0"/>
        <w:adjustRightInd w:val="0"/>
        <w:jc w:val="both"/>
        <w:outlineLvl w:val="0"/>
      </w:pPr>
      <w:r w:rsidRPr="00E96CFC">
        <w:t>termin wykonania zamawianych prac.</w:t>
      </w:r>
    </w:p>
    <w:p w:rsidR="00A21FE2" w:rsidRDefault="00A21FE2" w:rsidP="00A21FE2">
      <w:pPr>
        <w:widowControl w:val="0"/>
        <w:numPr>
          <w:ilvl w:val="0"/>
          <w:numId w:val="23"/>
        </w:numPr>
        <w:autoSpaceDE w:val="0"/>
        <w:autoSpaceDN w:val="0"/>
        <w:adjustRightInd w:val="0"/>
        <w:contextualSpacing/>
        <w:jc w:val="both"/>
      </w:pPr>
      <w:r w:rsidRPr="00E96CFC">
        <w:t>W godzinę wsparcia nie wlicza się czasu dojazdu. Przy obliczaniu liczby godzin nie ma znaczenia ile osób będzie świadczyło wsparcie techniczne w danej godzinie/godzinach u Zamawiającego. Rozliczenie godzin wsparcia technicznego odbywać się będzie co kwartał za faktycznie wykorzystane godziny, na podstawie miesięcznego Protokołu Odbioru Usług Wsparcia Technicznego,  którego stanowi załącznik do umowy.</w:t>
      </w:r>
    </w:p>
    <w:p w:rsidR="00A21FE2" w:rsidRDefault="00A21FE2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A21FE2" w:rsidRDefault="00A21FE2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A21FE2" w:rsidRDefault="00A21FE2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9D1369" w:rsidRDefault="009D1369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9D1369" w:rsidRDefault="009D1369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9D1369" w:rsidRDefault="009D1369" w:rsidP="00A21FE2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A21FE2" w:rsidRPr="00E96CFC" w:rsidRDefault="00A21FE2" w:rsidP="007B7142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bCs/>
        </w:rPr>
      </w:pPr>
      <w:r w:rsidRPr="00E96CFC">
        <w:rPr>
          <w:b/>
        </w:rPr>
        <w:lastRenderedPageBreak/>
        <w:t>SPECYFIKACJA TECHNICZNA</w:t>
      </w:r>
    </w:p>
    <w:p w:rsidR="00A21FE2" w:rsidRPr="00E96CFC" w:rsidRDefault="00A21FE2" w:rsidP="007E4893">
      <w:pPr>
        <w:widowControl w:val="0"/>
        <w:numPr>
          <w:ilvl w:val="0"/>
          <w:numId w:val="11"/>
        </w:numPr>
        <w:autoSpaceDE w:val="0"/>
        <w:autoSpaceDN w:val="0"/>
        <w:adjustRightInd w:val="0"/>
        <w:rPr>
          <w:bCs/>
        </w:rPr>
      </w:pPr>
      <w:r w:rsidRPr="00E96CFC">
        <w:rPr>
          <w:bCs/>
        </w:rPr>
        <w:t>Infrastruktura posiadana przez Zamawiającego:</w:t>
      </w:r>
    </w:p>
    <w:tbl>
      <w:tblPr>
        <w:tblW w:w="7656" w:type="dxa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3260"/>
      </w:tblGrid>
      <w:tr w:rsidR="00A21FE2" w:rsidRPr="00E96CFC" w:rsidTr="0040742C">
        <w:tc>
          <w:tcPr>
            <w:tcW w:w="711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L.p.</w:t>
            </w:r>
          </w:p>
        </w:tc>
        <w:tc>
          <w:tcPr>
            <w:tcW w:w="3685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Element konfiguracji</w:t>
            </w:r>
          </w:p>
        </w:tc>
        <w:tc>
          <w:tcPr>
            <w:tcW w:w="3260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Model</w:t>
            </w:r>
          </w:p>
        </w:tc>
      </w:tr>
      <w:tr w:rsidR="00A21FE2" w:rsidRPr="00E96CFC" w:rsidTr="0040742C">
        <w:tc>
          <w:tcPr>
            <w:tcW w:w="711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>Macierz dyskowa</w:t>
            </w:r>
          </w:p>
        </w:tc>
        <w:tc>
          <w:tcPr>
            <w:tcW w:w="3260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HDS G200</w:t>
            </w:r>
          </w:p>
        </w:tc>
      </w:tr>
      <w:tr w:rsidR="00A21FE2" w:rsidRPr="00E96CFC" w:rsidTr="0040742C">
        <w:tc>
          <w:tcPr>
            <w:tcW w:w="711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>Macierz dyskowa</w:t>
            </w:r>
          </w:p>
        </w:tc>
        <w:tc>
          <w:tcPr>
            <w:tcW w:w="3260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HDS G200</w:t>
            </w:r>
          </w:p>
        </w:tc>
      </w:tr>
      <w:tr w:rsidR="00A21FE2" w:rsidRPr="00E96CFC" w:rsidTr="0040742C">
        <w:tc>
          <w:tcPr>
            <w:tcW w:w="711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</w:pPr>
            <w:r w:rsidRPr="00E96CFC">
              <w:t xml:space="preserve">Oprogramowanie zarządzające </w:t>
            </w:r>
          </w:p>
        </w:tc>
        <w:tc>
          <w:tcPr>
            <w:tcW w:w="3260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 xml:space="preserve">Hitachi </w:t>
            </w:r>
            <w:proofErr w:type="spellStart"/>
            <w:r w:rsidRPr="00E96CFC">
              <w:t>Command</w:t>
            </w:r>
            <w:proofErr w:type="spellEnd"/>
            <w:r w:rsidRPr="00E96CFC">
              <w:t xml:space="preserve"> Suite 8</w:t>
            </w:r>
          </w:p>
        </w:tc>
      </w:tr>
      <w:tr w:rsidR="00A21FE2" w:rsidRPr="004639C8" w:rsidTr="0040742C">
        <w:tc>
          <w:tcPr>
            <w:tcW w:w="711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</w:pPr>
            <w:r w:rsidRPr="00E96CFC">
              <w:t xml:space="preserve">Oprogramowanie </w:t>
            </w:r>
          </w:p>
        </w:tc>
        <w:tc>
          <w:tcPr>
            <w:tcW w:w="3260" w:type="dxa"/>
            <w:shd w:val="clear" w:color="auto" w:fill="auto"/>
          </w:tcPr>
          <w:p w:rsidR="00A21FE2" w:rsidRPr="00E96CFC" w:rsidRDefault="00A21FE2" w:rsidP="007E489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lang w:val="en-US"/>
              </w:rPr>
            </w:pPr>
            <w:proofErr w:type="spellStart"/>
            <w:r w:rsidRPr="00E96CFC">
              <w:rPr>
                <w:lang w:val="en-US"/>
              </w:rPr>
              <w:t>Vmware</w:t>
            </w:r>
            <w:proofErr w:type="spellEnd"/>
            <w:r w:rsidRPr="00E96CFC">
              <w:rPr>
                <w:lang w:val="en-US"/>
              </w:rPr>
              <w:t xml:space="preserve"> vSphere Metro Storage Cluster </w:t>
            </w:r>
            <w:proofErr w:type="spellStart"/>
            <w:r w:rsidRPr="00E96CFC">
              <w:rPr>
                <w:lang w:val="en-US"/>
              </w:rPr>
              <w:t>ver</w:t>
            </w:r>
            <w:proofErr w:type="spellEnd"/>
            <w:r w:rsidRPr="00E96CFC">
              <w:rPr>
                <w:lang w:val="en-US"/>
              </w:rPr>
              <w:t xml:space="preserve"> ….</w:t>
            </w:r>
          </w:p>
        </w:tc>
      </w:tr>
    </w:tbl>
    <w:p w:rsidR="00A21FE2" w:rsidRPr="00E96CFC" w:rsidRDefault="00A21FE2" w:rsidP="007E4893">
      <w:pPr>
        <w:autoSpaceDE w:val="0"/>
        <w:autoSpaceDN w:val="0"/>
        <w:adjustRightInd w:val="0"/>
        <w:ind w:left="426"/>
        <w:rPr>
          <w:rFonts w:eastAsia="Arial Unicode MS"/>
        </w:rPr>
      </w:pPr>
      <w:r w:rsidRPr="00E96CFC">
        <w:rPr>
          <w:rFonts w:eastAsia="Arial Unicode MS"/>
        </w:rPr>
        <w:t xml:space="preserve">Każda z macierzy składa się z: 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387"/>
        <w:gridCol w:w="850"/>
      </w:tblGrid>
      <w:tr w:rsidR="00A21FE2" w:rsidRPr="00E96CFC" w:rsidTr="00FA5E9B">
        <w:trPr>
          <w:trHeight w:val="348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P/N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Opis produktów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Sztuk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VSP-G200-A0001.S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Product Unified (FC/iSCSI)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DW800-CBSS.P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HM800-S Controller Box - SFF 2U x 24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DW-F800-CTLS.P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VSP G-S Controller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DW-F800-BM10.P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 Cache Flash Memory Mid for S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HDW2-F800-CM16G.P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Cache Memory (16GB) DDR3 RDIMM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HDW2-F800-4HF8.P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VSP G200 Host I/O Module FC 8Gbps 4port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HDW2-F800-400MEM.P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G200 400GB SFF Solid State Drive 12Gbps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HDW2-F800-1R2J7M.P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1.2TB 10K rpm LFF Disk Drive for DB60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96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HDW2-F800-4R0H4M.P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4TB 7.2K rpm LFF Disk Drive for DB60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120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HDW2-F800-DB60.P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Drive Box (Dense)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3290517-001.P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96CFC">
              <w:rPr>
                <w:color w:val="000000"/>
              </w:rPr>
              <w:t>Dummy</w:t>
            </w:r>
            <w:proofErr w:type="spellEnd"/>
            <w:r w:rsidRPr="00E96CFC">
              <w:rPr>
                <w:color w:val="000000"/>
              </w:rPr>
              <w:t xml:space="preserve"> </w:t>
            </w:r>
            <w:proofErr w:type="spellStart"/>
            <w:r w:rsidRPr="00E96CFC">
              <w:rPr>
                <w:color w:val="000000"/>
              </w:rPr>
              <w:t>drive</w:t>
            </w:r>
            <w:proofErr w:type="spellEnd"/>
            <w:r w:rsidRPr="00E96CFC">
              <w:rPr>
                <w:color w:val="000000"/>
              </w:rPr>
              <w:t xml:space="preserve"> for DB60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3919435-HDW2.P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SVP - Service Processor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WS-003-002.P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J2F Power </w:t>
            </w:r>
            <w:proofErr w:type="spellStart"/>
            <w:r w:rsidRPr="00E96CFC">
              <w:rPr>
                <w:color w:val="000000"/>
              </w:rPr>
              <w:t>Cord</w:t>
            </w:r>
            <w:proofErr w:type="spellEnd"/>
            <w:r w:rsidRPr="00E96CFC">
              <w:rPr>
                <w:color w:val="000000"/>
              </w:rPr>
              <w:t xml:space="preserve">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8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WS-003-002-060.P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Power cord IEC C13-C14 (60cm)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3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A34V-600-850-UNI.P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Universal </w:t>
            </w:r>
            <w:proofErr w:type="spellStart"/>
            <w:r w:rsidRPr="00E96CFC">
              <w:rPr>
                <w:color w:val="000000"/>
              </w:rPr>
              <w:t>rail</w:t>
            </w:r>
            <w:proofErr w:type="spellEnd"/>
            <w:r w:rsidRPr="00E96CFC">
              <w:rPr>
                <w:color w:val="000000"/>
              </w:rPr>
              <w:t xml:space="preserve"> kit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A3BF-600-1200-V2.P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proofErr w:type="spellStart"/>
            <w:r w:rsidRPr="00E96CFC">
              <w:rPr>
                <w:b/>
                <w:bCs/>
                <w:color w:val="000000"/>
                <w:lang w:val="en-US"/>
              </w:rPr>
              <w:t>Minkels</w:t>
            </w:r>
            <w:proofErr w:type="spellEnd"/>
            <w:r w:rsidRPr="00E96CFC">
              <w:rPr>
                <w:b/>
                <w:bCs/>
                <w:color w:val="000000"/>
                <w:lang w:val="en-US"/>
              </w:rPr>
              <w:t xml:space="preserve"> Universal Rack 600x1200x2010 mm (</w:t>
            </w:r>
            <w:proofErr w:type="spellStart"/>
            <w:r w:rsidRPr="00E96CFC">
              <w:rPr>
                <w:b/>
                <w:bCs/>
                <w:color w:val="000000"/>
                <w:lang w:val="en-US"/>
              </w:rPr>
              <w:t>WxDxH</w:t>
            </w:r>
            <w:proofErr w:type="spellEnd"/>
            <w:r w:rsidRPr="00E96CFC">
              <w:rPr>
                <w:b/>
                <w:bCs/>
                <w:color w:val="000000"/>
                <w:lang w:val="en-US"/>
              </w:rPr>
              <w:t xml:space="preserve">) 42U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A3CR-123294-51.P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PDU 0RU 12xC13 2xC19 1Phase 230V 32A 2P+E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A3BF-Z-PAN-1200.P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>Side Panel 1200 mm Depth (</w:t>
            </w:r>
            <w:proofErr w:type="spellStart"/>
            <w:r w:rsidRPr="00E96CFC">
              <w:rPr>
                <w:color w:val="000000"/>
                <w:lang w:val="en-US"/>
              </w:rPr>
              <w:t>qty</w:t>
            </w:r>
            <w:proofErr w:type="spellEnd"/>
            <w:r w:rsidRPr="00E96CFC">
              <w:rPr>
                <w:color w:val="000000"/>
                <w:lang w:val="en-US"/>
              </w:rPr>
              <w:t xml:space="preserve"> 1)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044-236018-03.P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SVOS - Frame License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044-236021-03.P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Data Mobility - Frame License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044-236020-03.P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Local Replication - Frame License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044-236019-03.P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Remote Replication - Frame License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A21FE2" w:rsidRPr="00E96CFC" w:rsidTr="00FA5E9B">
        <w:trPr>
          <w:trHeight w:val="75"/>
        </w:trPr>
        <w:tc>
          <w:tcPr>
            <w:tcW w:w="2693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044-236077-03.P </w:t>
            </w:r>
          </w:p>
        </w:tc>
        <w:tc>
          <w:tcPr>
            <w:tcW w:w="5387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Global Active Device - Frame License </w:t>
            </w:r>
          </w:p>
        </w:tc>
        <w:tc>
          <w:tcPr>
            <w:tcW w:w="850" w:type="dxa"/>
          </w:tcPr>
          <w:p w:rsidR="00A21FE2" w:rsidRPr="00E96CFC" w:rsidRDefault="00A21FE2" w:rsidP="007E489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</w:tbl>
    <w:p w:rsidR="00A21FE2" w:rsidRPr="00E96CFC" w:rsidRDefault="00A21FE2" w:rsidP="00A21FE2">
      <w:pPr>
        <w:widowControl w:val="0"/>
        <w:tabs>
          <w:tab w:val="left" w:pos="715"/>
        </w:tabs>
        <w:autoSpaceDE w:val="0"/>
        <w:autoSpaceDN w:val="0"/>
        <w:adjustRightInd w:val="0"/>
        <w:ind w:left="715"/>
        <w:jc w:val="both"/>
        <w:rPr>
          <w:rFonts w:eastAsia="Arial Unicode MS"/>
        </w:rPr>
      </w:pP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Wszystkie oferowane produkty pod względem zasilania elektrycznego  muszą spełniać wymagania norm CE. 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Elementy i podzespoły urządzenia muszą być ze sobą kompatybilne, Wykonawca musi zapewnić jak najlepsze dopasowanie rozwiązań technicznych mających wpływ na pełną interoperacyjność gwarantującą bezkolizyjną integrację elementów i podzespołów urządzenia na poziomie funkcjonalnym. 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Oferowane urządzenie musi pochodzić z oficjalnego kanału dystrybucji producenta.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Oferowane urządzenie nie jest przeznaczone przez producenta do wycofania z produkcji.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 xml:space="preserve">Wszystkie parametry i funkcje oferowanej macierzy muszą być wspierane przez producenta i zaimplementowane fabrycznie oraz dostępne w seryjnej produkcji danego modelu urządzenia. Zamawiający nie dopuszcza dostosowywania funkcji na potrzeby </w:t>
      </w:r>
      <w:r w:rsidRPr="00E96CFC">
        <w:rPr>
          <w:bCs/>
        </w:rPr>
        <w:lastRenderedPageBreak/>
        <w:t>niniejszego postępowania.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>Wszystkie parametry i funkcje oferowan</w:t>
      </w:r>
      <w:r w:rsidR="007B7142">
        <w:rPr>
          <w:bCs/>
        </w:rPr>
        <w:t>ych</w:t>
      </w:r>
      <w:r w:rsidRPr="00E96CFC">
        <w:rPr>
          <w:bCs/>
        </w:rPr>
        <w:t xml:space="preserve"> macierzy muszą być potwierdzone w ogólnodostępnej dokumentacji producenta.</w:t>
      </w:r>
    </w:p>
    <w:p w:rsidR="00A21FE2" w:rsidRPr="00E96CFC" w:rsidRDefault="00A21FE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 xml:space="preserve">Dostarczone </w:t>
      </w:r>
      <w:r w:rsidR="007B7142" w:rsidRPr="00E96CFC">
        <w:rPr>
          <w:bCs/>
        </w:rPr>
        <w:t>urządzeni</w:t>
      </w:r>
      <w:r w:rsidR="007B7142">
        <w:rPr>
          <w:bCs/>
        </w:rPr>
        <w:t>a</w:t>
      </w:r>
      <w:r w:rsidR="007B7142" w:rsidRPr="00E96CFC">
        <w:rPr>
          <w:bCs/>
        </w:rPr>
        <w:t xml:space="preserve"> </w:t>
      </w:r>
      <w:r w:rsidRPr="00E96CFC">
        <w:rPr>
          <w:bCs/>
        </w:rPr>
        <w:t>mus</w:t>
      </w:r>
      <w:r w:rsidR="005E28B3">
        <w:rPr>
          <w:bCs/>
        </w:rPr>
        <w:t>zą</w:t>
      </w:r>
      <w:r w:rsidRPr="00E96CFC">
        <w:rPr>
          <w:bCs/>
        </w:rPr>
        <w:t xml:space="preserve"> być fabrycznie nowe, wolne od wad, bez śladów używania i bez uszkodzeń, </w:t>
      </w:r>
      <w:r w:rsidRPr="00927D32">
        <w:rPr>
          <w:bCs/>
        </w:rPr>
        <w:t>wprowadzone na rynek zgodnie z przepisami ustawy o zużytym sprzęcie elektrycznym i elektronicznym z dnia 11 września 2015 r. (Dz.U. z 2015 r. poz. 1688), a data produkcji urządzenia nie może być starsza niż 6 miesięcy wstecz od</w:t>
      </w:r>
      <w:r w:rsidRPr="00E96CFC">
        <w:rPr>
          <w:bCs/>
        </w:rPr>
        <w:t xml:space="preserve"> daty dostawy urządzenia. Urządzeni</w:t>
      </w:r>
      <w:r w:rsidR="00B11C12">
        <w:rPr>
          <w:bCs/>
        </w:rPr>
        <w:t>a</w:t>
      </w:r>
      <w:r w:rsidRPr="00E96CFC">
        <w:rPr>
          <w:bCs/>
        </w:rPr>
        <w:t xml:space="preserve"> mus</w:t>
      </w:r>
      <w:r w:rsidR="00B11C12">
        <w:rPr>
          <w:bCs/>
        </w:rPr>
        <w:t>zą</w:t>
      </w:r>
      <w:r w:rsidRPr="00E96CFC">
        <w:rPr>
          <w:bCs/>
        </w:rPr>
        <w:t xml:space="preserve"> być dostarczone Zamawiającemu w oryginalnych opakowaniach fabrycznych, zabezpieczających przed uszkodzeniem w trakcie transportu  i składowania, z załączonymi kartami gwarancyjnymi i instrukcjami obsługi w języku polskim.</w:t>
      </w:r>
    </w:p>
    <w:p w:rsidR="00A21FE2" w:rsidRPr="00E96CFC" w:rsidRDefault="00B11C12" w:rsidP="00A21FE2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  <w:strike/>
        </w:rPr>
      </w:pPr>
      <w:r>
        <w:rPr>
          <w:bCs/>
        </w:rPr>
        <w:t>Każda z o</w:t>
      </w:r>
      <w:r w:rsidR="00A21FE2" w:rsidRPr="00E96CFC">
        <w:rPr>
          <w:bCs/>
        </w:rPr>
        <w:t>ferowan</w:t>
      </w:r>
      <w:r>
        <w:rPr>
          <w:bCs/>
        </w:rPr>
        <w:t>ych</w:t>
      </w:r>
      <w:r w:rsidR="00A21FE2" w:rsidRPr="00E96CFC">
        <w:rPr>
          <w:bCs/>
        </w:rPr>
        <w:t xml:space="preserve"> macierz</w:t>
      </w:r>
      <w:r>
        <w:rPr>
          <w:bCs/>
        </w:rPr>
        <w:t>y</w:t>
      </w:r>
      <w:r w:rsidR="00A21FE2" w:rsidRPr="00E96CFC">
        <w:rPr>
          <w:bCs/>
        </w:rPr>
        <w:t xml:space="preserve"> dyskow</w:t>
      </w:r>
      <w:r>
        <w:rPr>
          <w:bCs/>
        </w:rPr>
        <w:t>ych</w:t>
      </w:r>
      <w:r w:rsidR="00A21FE2" w:rsidRPr="00E96CFC">
        <w:rPr>
          <w:bCs/>
        </w:rPr>
        <w:t xml:space="preserve"> mus</w:t>
      </w:r>
      <w:r>
        <w:rPr>
          <w:bCs/>
        </w:rPr>
        <w:t>i</w:t>
      </w:r>
      <w:r w:rsidR="00A21FE2" w:rsidRPr="00E96CFC">
        <w:rPr>
          <w:bCs/>
        </w:rPr>
        <w:t xml:space="preserve"> spełniać następujące wymagania minimalne:</w:t>
      </w:r>
    </w:p>
    <w:p w:rsidR="00A21FE2" w:rsidRPr="00E96CFC" w:rsidRDefault="00A21FE2" w:rsidP="00A21FE2">
      <w:pPr>
        <w:widowControl w:val="0"/>
        <w:autoSpaceDE w:val="0"/>
        <w:autoSpaceDN w:val="0"/>
        <w:adjustRightInd w:val="0"/>
        <w:ind w:left="11344"/>
        <w:outlineLvl w:val="0"/>
        <w:rPr>
          <w:b/>
        </w:rPr>
      </w:pPr>
    </w:p>
    <w:tbl>
      <w:tblPr>
        <w:tblW w:w="92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284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842"/>
        <w:gridCol w:w="4689"/>
      </w:tblGrid>
      <w:tr w:rsidR="00A21FE2" w:rsidRPr="00E96CFC" w:rsidTr="0040742C">
        <w:trPr>
          <w:trHeight w:val="809"/>
        </w:trPr>
        <w:tc>
          <w:tcPr>
            <w:tcW w:w="724" w:type="dxa"/>
            <w:shd w:val="clear" w:color="auto" w:fill="C0C0C0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96CFC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985" w:type="dxa"/>
            <w:shd w:val="clear" w:color="auto" w:fill="C0C0C0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 xml:space="preserve">Parametr </w:t>
            </w:r>
            <w:r w:rsidRPr="00E96CFC">
              <w:rPr>
                <w:b/>
                <w:bCs/>
              </w:rPr>
              <w:br/>
            </w:r>
          </w:p>
        </w:tc>
        <w:tc>
          <w:tcPr>
            <w:tcW w:w="6531" w:type="dxa"/>
            <w:gridSpan w:val="2"/>
            <w:shd w:val="clear" w:color="auto" w:fill="C0C0C0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Opis</w:t>
            </w:r>
            <w:r w:rsidRPr="00E96CFC">
              <w:rPr>
                <w:b/>
              </w:rPr>
              <w:t xml:space="preserve"> wymagań minimalnych</w:t>
            </w:r>
          </w:p>
        </w:tc>
      </w:tr>
      <w:tr w:rsidR="00A21FE2" w:rsidRPr="00E96CFC" w:rsidTr="0040742C">
        <w:trPr>
          <w:trHeight w:val="490"/>
        </w:trPr>
        <w:tc>
          <w:tcPr>
            <w:tcW w:w="724" w:type="dxa"/>
            <w:shd w:val="clear" w:color="auto" w:fill="auto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96CFC">
              <w:rPr>
                <w:bCs/>
              </w:rPr>
              <w:t xml:space="preserve">Obudowa macierzy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  <w:r w:rsidRPr="00E96CFC">
              <w:t>Macierz musi zostać dostarczona z fabryczną szafą rack.19”.</w:t>
            </w:r>
          </w:p>
        </w:tc>
      </w:tr>
      <w:tr w:rsidR="00A21FE2" w:rsidRPr="00E96CFC" w:rsidTr="0040742C">
        <w:trPr>
          <w:trHeight w:val="75"/>
        </w:trPr>
        <w:tc>
          <w:tcPr>
            <w:tcW w:w="724" w:type="dxa"/>
            <w:shd w:val="clear" w:color="auto" w:fill="auto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Obudowa kontroler</w:t>
            </w:r>
            <w:r w:rsidR="009F2F8B">
              <w:t>ów</w:t>
            </w:r>
            <w:r w:rsidRPr="00E96CFC">
              <w:t xml:space="preserve">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2"/>
                <w:numId w:val="11"/>
              </w:numPr>
              <w:tabs>
                <w:tab w:val="num" w:pos="680"/>
              </w:tabs>
              <w:autoSpaceDE w:val="0"/>
              <w:autoSpaceDN w:val="0"/>
              <w:adjustRightInd w:val="0"/>
            </w:pPr>
            <w:r w:rsidRPr="00E96CFC">
              <w:t xml:space="preserve">Instalacja w standardowej szafie </w:t>
            </w:r>
            <w:proofErr w:type="spellStart"/>
            <w:r w:rsidRPr="00E96CFC">
              <w:t>rack</w:t>
            </w:r>
            <w:proofErr w:type="spellEnd"/>
            <w:r w:rsidRPr="00E96CFC">
              <w:t xml:space="preserve"> 19”.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11"/>
              </w:numPr>
              <w:tabs>
                <w:tab w:val="num" w:pos="680"/>
              </w:tabs>
              <w:autoSpaceDE w:val="0"/>
              <w:autoSpaceDN w:val="0"/>
              <w:adjustRightInd w:val="0"/>
            </w:pPr>
            <w:r w:rsidRPr="00E96CFC">
              <w:t>Maksymalna wysokość 4U.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Obudowa modułów rozszerzeń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2"/>
                <w:numId w:val="12"/>
              </w:numPr>
              <w:autoSpaceDE w:val="0"/>
              <w:autoSpaceDN w:val="0"/>
              <w:adjustRightInd w:val="0"/>
            </w:pPr>
            <w:r w:rsidRPr="00E96CFC">
              <w:t xml:space="preserve">Instalacja w standardowej szafie </w:t>
            </w:r>
            <w:proofErr w:type="spellStart"/>
            <w:r w:rsidRPr="00E96CFC">
              <w:t>rack</w:t>
            </w:r>
            <w:proofErr w:type="spellEnd"/>
            <w:r w:rsidRPr="00E96CFC">
              <w:t xml:space="preserve"> 19”.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12"/>
              </w:numPr>
              <w:autoSpaceDE w:val="0"/>
              <w:autoSpaceDN w:val="0"/>
              <w:adjustRightInd w:val="0"/>
            </w:pPr>
            <w:r w:rsidRPr="00E96CFC">
              <w:t>Musi umożliwiać instalację dysków o rozmiarze 2,5 cala i/lub 3,5 cala.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Zasilanie i chłodzenie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CFC">
              <w:t>Obudowy macierzy dyskowej muszą zawierać układ nadmiarowy dla modułów zasilania i chłodzenia umożliwiający wymianę tych elementów (tego elementu) bez konieczności wyłączania macierzy.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Pojemność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Macierz dyskowa musi umożliwiać instalację minimum 24 dysków rozmiaru 2,5 cala w ramach jednej obudowy modułu rozszerzeń.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Macierz dyskowa musi umożliwiać  instalację  minimum 12 dysków rozmiaru 3,5 cala w ramach jednej obudowy modułu rozszerzeń.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Możliwość rozbudowy macierzy dyskowej do co najmniej 720 dysków twardych.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Wspierane poziomy RAID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CFC">
              <w:rPr>
                <w:lang w:val="en-US"/>
              </w:rPr>
              <w:t>10, 5, 6</w:t>
            </w:r>
          </w:p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Architektura urządzenia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2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Oferowane urządzenie musi składać się z pojedynczej macierzy dyskowej wyposażonej w co najmniej 2 kontrolery pracujące w trybie </w:t>
            </w:r>
            <w:r w:rsidRPr="00E96CFC">
              <w:rPr>
                <w:i/>
              </w:rPr>
              <w:t>„</w:t>
            </w:r>
            <w:proofErr w:type="spellStart"/>
            <w:r w:rsidRPr="00E96CFC">
              <w:rPr>
                <w:i/>
              </w:rPr>
              <w:t>active</w:t>
            </w:r>
            <w:r w:rsidRPr="00E96CFC">
              <w:rPr>
                <w:i/>
              </w:rPr>
              <w:noBreakHyphen/>
              <w:t>active</w:t>
            </w:r>
            <w:proofErr w:type="spellEnd"/>
            <w:r w:rsidRPr="00E96CFC">
              <w:rPr>
                <w:i/>
              </w:rPr>
              <w:t>”</w:t>
            </w:r>
            <w:r w:rsidRPr="00E96CFC">
              <w:t>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2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Zamawiający nie dopuszcza rozwiązań opartych o zestawy kilku macierzy lub macierzy z oddzielnym urządzeniem będącym </w:t>
            </w:r>
            <w:proofErr w:type="spellStart"/>
            <w:r w:rsidRPr="00E96CFC">
              <w:t>wirtualizatorem</w:t>
            </w:r>
            <w:proofErr w:type="spellEnd"/>
            <w:r w:rsidRPr="00E96CFC">
              <w:t xml:space="preserve"> macierzy dyskowej. 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96CFC">
              <w:rPr>
                <w:lang w:val="en-US"/>
              </w:rPr>
              <w:t>Kontrolery</w:t>
            </w:r>
            <w:proofErr w:type="spellEnd"/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FA73F5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minimum 2 kontrolery pracujące w układzie nadmiarowym typu </w:t>
            </w:r>
            <w:r w:rsidRPr="00E96CFC">
              <w:rPr>
                <w:i/>
              </w:rPr>
              <w:t>„</w:t>
            </w:r>
            <w:proofErr w:type="spellStart"/>
            <w:r w:rsidRPr="00E96CFC">
              <w:rPr>
                <w:i/>
              </w:rPr>
              <w:t>active</w:t>
            </w:r>
            <w:r w:rsidRPr="00E96CFC">
              <w:rPr>
                <w:i/>
              </w:rPr>
              <w:noBreakHyphen/>
              <w:t>active</w:t>
            </w:r>
            <w:proofErr w:type="spellEnd"/>
            <w:r w:rsidRPr="00E96CFC">
              <w:t>” z zainstalowanymi minimum 128 GB</w:t>
            </w:r>
            <w:r w:rsidR="00FA73F5">
              <w:t xml:space="preserve"> DRAM</w:t>
            </w:r>
            <w:r w:rsidRPr="00E96CFC">
              <w:t xml:space="preserve"> pamięci podręcznej każdy.</w:t>
            </w:r>
            <w:r w:rsidR="009F2F8B">
              <w:t xml:space="preserve"> </w:t>
            </w:r>
            <w:r w:rsidR="009F2F8B" w:rsidRPr="009F2F8B">
              <w:t>Pod pojęciem „</w:t>
            </w:r>
            <w:proofErr w:type="spellStart"/>
            <w:r w:rsidR="009F2F8B" w:rsidRPr="009F2F8B">
              <w:t>active-active</w:t>
            </w:r>
            <w:proofErr w:type="spellEnd"/>
            <w:r w:rsidR="009F2F8B" w:rsidRPr="009F2F8B">
              <w:t xml:space="preserve">" Zamawiający oczekuje kontrolerów, które równocześnie w sposób symetryczny potrafią aktywnie obsługiwać ruch z </w:t>
            </w:r>
            <w:r w:rsidR="009F2F8B" w:rsidRPr="009F2F8B">
              <w:lastRenderedPageBreak/>
              <w:t>hostów bez konieczności przełączania właściciela LUN pomiędzy kontrolerami</w:t>
            </w:r>
            <w:r w:rsidR="009F2F8B">
              <w:t>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Kontrolery muszą mieć możliwość rozbudowy do 256GB </w:t>
            </w:r>
            <w:r w:rsidR="00534A28">
              <w:t xml:space="preserve">DRAM </w:t>
            </w:r>
            <w:r w:rsidRPr="00E96CFC">
              <w:t>pamięci podręcznej każdy.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Pamięć podręczna zapisu musi być zabezpieczona poprzez zapis lustrzany.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zapewniać technologię ochrony danych z pamięci podręcznej w razie utraty zasilania. Kontrolery muszą  posiadać  możliwość  ich wymiany bez konieczności wyłączania zasilania całego urządzenia.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pozwalać na wymianę kontrolera bez utraty danych zapisanych na dyskach.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wbudowaną w  kontrolery funkcjonalność wirtualizacji zewnętrznych zasobów blokowych przy użyciu protokołu FC oraz </w:t>
            </w:r>
            <w:proofErr w:type="spellStart"/>
            <w:r w:rsidRPr="00E96CFC">
              <w:t>iSCSI</w:t>
            </w:r>
            <w:proofErr w:type="spellEnd"/>
            <w:r w:rsidRPr="00E96CFC">
              <w:t>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obsługiwać protokół FC w sposób natywny. Nie dopuszczalne są rozwiązania hybrydowe lub realizujące zapis na poziomie systemu plików.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umożliwiać aktualizację oprogramowania układowego (firmware) bez przerywania dostępu do danych zgromadzonych na macierzy i bez wyłączenia.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Każdy z kontrolerów musi posiadać minimum 1 dedykowany interfejs zarządzający RJ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45 Ethernet obsługujący połączenia z prędkościami: 1000Mb/s, 100Mb/s do komunikacji z oprogramowaniem zarządzającym i konfiguracyjnym macierzy.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Interfejsy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 wyposażona w minimum 8 portów FC pracujących z prędkością co najmniej 16Gb/s wyprowadzonych na każdy kontroler.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mieć możliwość rozbudowy portów FC do prędkości co najmniej 32Gb/s bez konieczności wymiany kontrolerów macierzy.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mieć możliwość uruchomienia wszystkich dostępnych portów FC w wybranych trybach inicjator, replikacja, wirtualizacja. Pojedynczy port musi mieć możliwość pracy zarówno w dowolnych wybranych jak i wszystkich trybach pracy jednocześnie.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Wspierane dyski twarde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Dyski z interfejsem SAS co najmniej 6Gb/s, hot</w:t>
            </w:r>
            <w:r w:rsidRPr="00E96CFC">
              <w:noBreakHyphen/>
              <w:t>plug, o pojemności min. 600GB i prędkości obrotowej min. 10 000 obrotów na minutę.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Dyski </w:t>
            </w:r>
            <w:proofErr w:type="spellStart"/>
            <w:r w:rsidRPr="00E96CFC">
              <w:t>NearLine</w:t>
            </w:r>
            <w:proofErr w:type="spellEnd"/>
            <w:r w:rsidRPr="00E96CFC">
              <w:softHyphen/>
            </w:r>
            <w:r w:rsidRPr="00E96CFC">
              <w:noBreakHyphen/>
              <w:t>SAS interfejsem SAS co najmniej 6Gb/s, hot</w:t>
            </w:r>
            <w:r w:rsidRPr="00E96CFC">
              <w:noBreakHyphen/>
              <w:t>plug, o pojemnościach min. 6TB i prędkości obrotowej 7200 obrotów na minutę.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Dyski SSD z interfejsem SAS co najmniej 12Gb/s, hot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plug o pojemnościach min. 400GB.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mieszaną konfigurację dysków SAS, </w:t>
            </w:r>
            <w:proofErr w:type="spellStart"/>
            <w:r w:rsidRPr="00E96CFC">
              <w:t>NearLine</w:t>
            </w:r>
            <w:proofErr w:type="spellEnd"/>
            <w:r w:rsidRPr="00E96CFC">
              <w:noBreakHyphen/>
              <w:t>SAS i SSD w obrębie całej macierzy.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umożliwiać  definiowanie i obsługę  dysków zapasowych tzw. Hot</w:t>
            </w:r>
            <w:r w:rsidRPr="00E96CFC">
              <w:noBreakHyphen/>
            </w:r>
            <w:proofErr w:type="spellStart"/>
            <w:r w:rsidRPr="00E96CFC">
              <w:t>spare</w:t>
            </w:r>
            <w:proofErr w:type="spellEnd"/>
            <w:r w:rsidRPr="00E96CFC">
              <w:t xml:space="preserve"> w trybie globalnym lub odpowiednik w postaci zarezerwowanej przestrzeni dyskowej.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mieć możliwość rozbudowy o pojedynczy </w:t>
            </w:r>
            <w:r w:rsidRPr="00E96CFC">
              <w:lastRenderedPageBreak/>
              <w:t>dysk.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 dostarczona z aktywną licencją na obsługę maksymalnej pojemności dyskowej w rozwiązaniu.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Zainstalowane dyski twarde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6"/>
              </w:numPr>
              <w:autoSpaceDE w:val="0"/>
              <w:autoSpaceDN w:val="0"/>
              <w:adjustRightInd w:val="0"/>
              <w:jc w:val="both"/>
            </w:pPr>
            <w:r w:rsidRPr="00E96CFC">
              <w:t>Minimum 453 dyski twarde z interfejsem SAS, minimum 6Gb/s, hot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plug, o pojemności minimum 1,8 TB  i prędkości obrotowej 10000 obrotów na minutę.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6"/>
              </w:numPr>
              <w:autoSpaceDE w:val="0"/>
              <w:autoSpaceDN w:val="0"/>
              <w:adjustRightInd w:val="0"/>
              <w:jc w:val="both"/>
            </w:pPr>
            <w:r w:rsidRPr="00E96CFC">
              <w:t>Co najmniej 73 dyski twarde SSD z interfejsem SAS 12Gb/s, hot-plug, o pojemności 3,8TB.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Funkcje dotyczące przestrzeni dyskowej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funkcje wirtualnego przydziału przestrzeni dyskowej dla serwerów tzw. </w:t>
            </w:r>
            <w:proofErr w:type="spellStart"/>
            <w:r w:rsidRPr="00E96CFC">
              <w:t>Thin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Provisioning</w:t>
            </w:r>
            <w:proofErr w:type="spellEnd"/>
            <w:r w:rsidRPr="00E96CFC">
              <w:t>. Wymagane jest dostarczenie aktywnej licencji do obsługi tej funkcjonalności dla całej macierzy dyskowej (obsługa maksymalnej pojemności dyskowej w rozwiązaniu).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wspierać tworzenie wolumenów dyskowych o pojemności pojedynczego wolumenu minimum 200TB.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bookmarkStart w:id="1" w:name="OLE_LINK3"/>
            <w:bookmarkStart w:id="2" w:name="OLE_LINK4"/>
            <w:r w:rsidRPr="00E96CFC">
              <w:t xml:space="preserve">Macierz musi wspierać funkcje automatycznego przenoszenia części danych pomiędzy różnymi rodzajami dysków twardych w celu uzyskania optymalnego rozmieszczenia danych pod kątem uzyskania najlepszej wydajności tzw. </w:t>
            </w:r>
            <w:proofErr w:type="spellStart"/>
            <w:r w:rsidRPr="00E96CFC">
              <w:t>Automated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storage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tiering</w:t>
            </w:r>
            <w:proofErr w:type="spellEnd"/>
            <w:r w:rsidRPr="00E96CFC">
              <w:t>. Wymagane jest dostarczenie aktywnej licencji do obsługi tej funkcjonalności dla całej macierzy dyskowej (obsługa maksymalnej pojemności dyskowej w rozwiązaniu).</w:t>
            </w:r>
          </w:p>
          <w:bookmarkEnd w:id="1"/>
          <w:bookmarkEnd w:id="2"/>
          <w:p w:rsidR="00A21FE2" w:rsidRPr="00E96CFC" w:rsidRDefault="00A21FE2" w:rsidP="00A21FE2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funkcję przenoszenia całych wolumenów logicznych (LUN) udostępnionych do serwerów pomiędzy różnymi zasobami dyskowymi (ang. Storage </w:t>
            </w:r>
            <w:proofErr w:type="spellStart"/>
            <w:r w:rsidRPr="00E96CFC">
              <w:t>Pools</w:t>
            </w:r>
            <w:proofErr w:type="spellEnd"/>
            <w:r w:rsidRPr="00E96CFC">
              <w:t>) bez przerywania dostępu serwerów i aplikacji do danych. Wymagane jest aby proces można było skonfigurować i ustawić w harmonogramie do późniejszego wykonania. Wymagane jest dostarczenie aktywnej licencji do obsługi tej funkcjonalności dla całej macierzy dyskowej (obsługa maksymalnej pojemności dyskowej w rozwiązaniu).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funkcjonalność migracji on-line danych z istniejącej macierzy na macierz tej samej rodziny lub nowszej bez konieczności wyłączania serwerów korzystających z danych ma macierzach.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Zarządzanie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7E4893" w:rsidRDefault="00A21FE2" w:rsidP="007B7142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Macierz musi </w:t>
            </w:r>
            <w:r w:rsidR="007B7142">
              <w:t xml:space="preserve">posiadać dedykowane </w:t>
            </w:r>
            <w:r w:rsidR="00B77DC9">
              <w:t>oprogramowani</w:t>
            </w:r>
            <w:r w:rsidR="00A907E2">
              <w:t>e</w:t>
            </w:r>
            <w:r w:rsidR="007B7142">
              <w:t xml:space="preserve"> do zarządzania </w:t>
            </w:r>
            <w:r w:rsidR="00644A6B">
              <w:t>z jednego miejsca 2 sztukami macie</w:t>
            </w:r>
            <w:r w:rsidR="00B77DC9">
              <w:t>rz</w:t>
            </w:r>
            <w:r w:rsidR="00644A6B">
              <w:t>y</w:t>
            </w:r>
            <w:r w:rsidR="00A907E2">
              <w:t>,</w:t>
            </w:r>
            <w:r w:rsidR="00644A6B">
              <w:t xml:space="preserve"> </w:t>
            </w:r>
            <w:r w:rsidR="007E4893">
              <w:t xml:space="preserve">oprogramowanie musi </w:t>
            </w:r>
            <w:proofErr w:type="spellStart"/>
            <w:r w:rsidR="00A907E2">
              <w:t>zapwenić</w:t>
            </w:r>
            <w:proofErr w:type="spellEnd"/>
            <w:r w:rsidR="007E4893">
              <w:t xml:space="preserve"> co najmniej:</w:t>
            </w:r>
          </w:p>
          <w:p w:rsidR="007E4893" w:rsidRDefault="007E4893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>Tworzenie grup RAID</w:t>
            </w:r>
            <w:r w:rsidR="007D4949">
              <w:t>.</w:t>
            </w:r>
          </w:p>
          <w:p w:rsidR="007E4893" w:rsidRDefault="007E4893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 xml:space="preserve">Tworzenie puli </w:t>
            </w:r>
            <w:proofErr w:type="spellStart"/>
            <w:r w:rsidR="006E6BCB" w:rsidRPr="006E6BCB">
              <w:t>Thin</w:t>
            </w:r>
            <w:proofErr w:type="spellEnd"/>
            <w:r w:rsidR="006E6BCB" w:rsidRPr="006E6BCB">
              <w:t xml:space="preserve"> </w:t>
            </w:r>
            <w:proofErr w:type="spellStart"/>
            <w:r w:rsidR="006E6BCB" w:rsidRPr="006E6BCB">
              <w:t>Provisioning</w:t>
            </w:r>
            <w:proofErr w:type="spellEnd"/>
            <w:r w:rsidR="007D4949">
              <w:t>.</w:t>
            </w:r>
          </w:p>
          <w:p w:rsidR="007E4893" w:rsidRDefault="007E4893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>Konfigurację grup replikacji</w:t>
            </w:r>
            <w:r w:rsidR="00576840">
              <w:t xml:space="preserve"> synch</w:t>
            </w:r>
            <w:r>
              <w:t>ronicznej i asynchronicznej</w:t>
            </w:r>
            <w:r w:rsidR="00576840">
              <w:t xml:space="preserve"> oraz</w:t>
            </w:r>
            <w:r>
              <w:t xml:space="preserve"> zarządzanie nimi.</w:t>
            </w:r>
          </w:p>
          <w:p w:rsidR="007E4893" w:rsidRDefault="007E4893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>Dodawanie, modyfikowanie i kasowanie woluminów dyskowych</w:t>
            </w:r>
            <w:r w:rsidR="007D4949">
              <w:t>.</w:t>
            </w:r>
          </w:p>
          <w:p w:rsidR="007E4893" w:rsidRDefault="007E4893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>Zarządzanie udostępnianiem woluminów dla hostów</w:t>
            </w:r>
          </w:p>
          <w:p w:rsidR="00576840" w:rsidRDefault="00BD217A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>
              <w:t xml:space="preserve">Konfigurację klastra </w:t>
            </w:r>
            <w:r w:rsidR="00576840">
              <w:t>geograficznego</w:t>
            </w:r>
            <w:r w:rsidR="007D4949">
              <w:t>.</w:t>
            </w:r>
            <w:r>
              <w:t xml:space="preserve"> </w:t>
            </w:r>
          </w:p>
          <w:p w:rsidR="00A21FE2" w:rsidRPr="00E96CFC" w:rsidRDefault="00BD217A" w:rsidP="00964747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</w:pPr>
            <w:r w:rsidRPr="009D1369">
              <w:t>Jeżeli oprogramowanie wymaga dodatkow</w:t>
            </w:r>
            <w:r w:rsidR="00A907E2" w:rsidRPr="009D1369">
              <w:t>ych</w:t>
            </w:r>
            <w:r w:rsidRPr="009D1369">
              <w:t xml:space="preserve"> licencji</w:t>
            </w:r>
            <w:r w:rsidR="00A907E2" w:rsidRPr="009D1369">
              <w:t xml:space="preserve"> to </w:t>
            </w:r>
            <w:r w:rsidRPr="009D1369">
              <w:t xml:space="preserve">wymagane jest </w:t>
            </w:r>
            <w:r w:rsidR="00A907E2" w:rsidRPr="009D1369">
              <w:t xml:space="preserve">ich </w:t>
            </w:r>
            <w:r w:rsidRPr="009D1369">
              <w:t>dostarczenie licencji</w:t>
            </w:r>
            <w:r w:rsidR="00A907E2" w:rsidRPr="009D1369">
              <w:t xml:space="preserve"> na wszystkie wyspecyfikowane </w:t>
            </w:r>
            <w:r w:rsidR="00B11C12" w:rsidRPr="009D1369">
              <w:t>funkcjonalności</w:t>
            </w:r>
            <w:r w:rsidR="007E4893" w:rsidRPr="009D1369">
              <w:t>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Monitorowanie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8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 wyposażona w funkcjonalność umożliwiającą zdalne monitorowania statusu urządzenia objętego serwisem, automatycznie powiadamiające serwis Wykonawcy o wystąpieniu awarii. W razie wystąpienia awarii następuje automatyczne otwarcie zgłoszenia serwisowego w serwisie Wykonawcy z jednoczesnym powiadomieniem Zamawiającego za pomocą poczty elektronicznej. Wykonawca wykona instalację i konfiguracje ww. funkcjonalności, tak aby umożliwić Zamawiającemu automatyczne wykonywanie przez macierz dyskową zgłoszeń do serwisu Wykonawcy.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8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funkcjonalność monitoringu wydajności macierzy w ujęciu bieżącym i historycznym. Oprogramowanie do obsługi tej funkcjonalności musi posiadać możliwość monitorowania całej ścieżki danych od serwera poprzez sieć SAN do macierzy dyskowej oraz raportowanie o ew. wąskich gardłach występujących na drodze danych. Wymagane jest dostarczenie aktywnej licencji do obsługi tej funkcjonalności dla całej macierzy dyskowej (obsługa maksymalnej pojemności dyskowej w rozwiązaniu) oraz 40 przełączników SAN i serwerów.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Kopie lokalne (wewnątrz macierzy)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funkcjonalność tworzenia kopii migawkowych (ang. </w:t>
            </w:r>
            <w:proofErr w:type="spellStart"/>
            <w:r w:rsidRPr="00E96CFC">
              <w:t>snapshot</w:t>
            </w:r>
            <w:proofErr w:type="spellEnd"/>
            <w:r w:rsidRPr="00E96CFC">
              <w:t xml:space="preserve">), jak  i pełnych kopii danych (ang. clone). Wymagane jest dostarczenie licencji pozwalających na utworzenie minimum dwóch kopii dla dowolnie wybranego logicznego urządzenia oraz minimum 8 kopii dla dowolnie wybranych, różnych logicznych urządzeń. 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W ramach funkcjonalności kopii pełnych i kopii migawkowych musi istnieć możliwość definiowania grup konsystencji umożliwiających zachowanie spójności danych w grupie wolumenów. 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pozwalać na udostępnianie do serwerów wykonanych wcześniej kopii migawkowych w trybie odczyt/zapis.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wspierać funkcję przywrócenia danych z wcześniej wykonanej kopii migawkowej.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Oprogramowanie musi zapewniać funkcjonalność zawieszania i ponownej przyrostowej </w:t>
            </w:r>
            <w:proofErr w:type="spellStart"/>
            <w:r w:rsidRPr="00E96CFC">
              <w:t>resynchronizacji</w:t>
            </w:r>
            <w:proofErr w:type="spellEnd"/>
            <w:r w:rsidRPr="00E96CFC">
              <w:t xml:space="preserve"> kopii z oryginałem.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96CFC">
              <w:t xml:space="preserve">W funkcjonalności kopii lokalnych  musi istnieć możliwość definiowania grup konsystencji umożliwiających zachowanie spójności danych na grupie wolumenów. 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Kopie zdalne (Replikacja danych do innych macierzy)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pozwalać na bezpośrednią replikacje synchroniczną i asynchronicznym pomiędzy zaoferowan</w:t>
            </w:r>
            <w:r w:rsidR="004105CC">
              <w:t>ymi</w:t>
            </w:r>
            <w:r w:rsidRPr="00E96CFC">
              <w:t xml:space="preserve"> macierz</w:t>
            </w:r>
            <w:r w:rsidR="00644A6B">
              <w:t>ami.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funkcjonalność zdalnej replikacji danych do macierzy tej samej rodziny w trybie synchronicznym oraz asynchronicznym bez użycia dodatkowych serwerów lub urządzeń wirtualizujących. Oprogramowanie musi zapewniać funkcjonalność zawieszania i ponownej przyrostowej </w:t>
            </w:r>
            <w:proofErr w:type="spellStart"/>
            <w:r w:rsidRPr="00E96CFC">
              <w:t>resynchronizacji</w:t>
            </w:r>
            <w:proofErr w:type="spellEnd"/>
            <w:r w:rsidRPr="00E96CFC">
              <w:t xml:space="preserve"> kopii </w:t>
            </w:r>
            <w:r w:rsidRPr="00E96CFC">
              <w:lastRenderedPageBreak/>
              <w:t>z oryginałem. Do replikacji wymagane jest użycie interfejsów FC. Macierz musi wspierać użycie do replikacji jednocześnie minimum 2 portów FC na każdym z kontrolerów.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W ramach funkcjonalności replikacji musi istnieć możliwość definiowania grup konsystencji umożliwiających zachowanie spójności danych na grupie wolumenów. 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umożliwiać integrację zdalnej replikacji danych z oprogramowaniem klastrowym – rozwiązania klastrów rozległych geograficznie. </w:t>
            </w:r>
          </w:p>
          <w:p w:rsidR="00A21FE2" w:rsidRPr="00E96CFC" w:rsidRDefault="00B11C12" w:rsidP="00B11C1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>
              <w:t>Każda z z</w:t>
            </w:r>
            <w:r w:rsidR="003F3E8D">
              <w:t>aoferowan</w:t>
            </w:r>
            <w:r>
              <w:t>ych</w:t>
            </w:r>
            <w:r w:rsidR="003F3E8D">
              <w:t xml:space="preserve"> m</w:t>
            </w:r>
            <w:r w:rsidR="00A21FE2" w:rsidRPr="00E96CFC">
              <w:t>acierz</w:t>
            </w:r>
            <w:r>
              <w:t>y</w:t>
            </w:r>
            <w:r w:rsidR="00A21FE2" w:rsidRPr="00E96CFC">
              <w:t xml:space="preserve"> musi umożliwiać </w:t>
            </w:r>
            <w:r w:rsidR="00644A6B">
              <w:t>utworzenie</w:t>
            </w:r>
            <w:r>
              <w:t xml:space="preserve"> </w:t>
            </w:r>
            <w:r w:rsidRPr="00B11C12">
              <w:t>pomiędzy nimi</w:t>
            </w:r>
            <w:r w:rsidR="00EE6CED">
              <w:t> </w:t>
            </w:r>
            <w:r w:rsidR="00A21FE2" w:rsidRPr="00E96CFC">
              <w:t>środowisk</w:t>
            </w:r>
            <w:r w:rsidR="00644A6B">
              <w:t>a</w:t>
            </w:r>
            <w:r w:rsidR="00A21FE2" w:rsidRPr="00E96CFC">
              <w:t xml:space="preserve"> klastra geograficznego Global Active Device.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współpracować – być kompatybilna</w:t>
            </w:r>
            <w:r w:rsidR="00A203EC">
              <w:t xml:space="preserve"> -</w:t>
            </w:r>
            <w:r w:rsidRPr="00E96CFC">
              <w:t xml:space="preserve"> z posiadanym przez Zamawiającego oprogramowaniem </w:t>
            </w:r>
            <w:proofErr w:type="spellStart"/>
            <w:r w:rsidRPr="00E96CFC">
              <w:t>V</w:t>
            </w:r>
            <w:r w:rsidR="00A203EC">
              <w:t>M</w:t>
            </w:r>
            <w:r w:rsidRPr="00E96CFC">
              <w:t>ware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vSphere</w:t>
            </w:r>
            <w:proofErr w:type="spellEnd"/>
            <w:r w:rsidRPr="00E96CFC">
              <w:t xml:space="preserve"> Metro Storage Cluster</w:t>
            </w:r>
            <w:r w:rsidR="00A203EC">
              <w:t>, musi posiadać</w:t>
            </w:r>
            <w:r w:rsidRPr="00E96CFC">
              <w:t xml:space="preserve">  certyfikat </w:t>
            </w:r>
            <w:proofErr w:type="spellStart"/>
            <w:r w:rsidRPr="00E96CFC">
              <w:t>V</w:t>
            </w:r>
            <w:r w:rsidR="00A203EC">
              <w:t>M</w:t>
            </w:r>
            <w:r w:rsidRPr="00E96CFC">
              <w:t>ware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vSphere</w:t>
            </w:r>
            <w:proofErr w:type="spellEnd"/>
            <w:r w:rsidRPr="00E96CFC">
              <w:t xml:space="preserve"> Metro Storage Cluster. Wymagane jest dostarczenie oprogramowania</w:t>
            </w:r>
            <w:r w:rsidR="00A203EC">
              <w:t xml:space="preserve"> z </w:t>
            </w:r>
            <w:r w:rsidRPr="00E96CFC">
              <w:t>licencj</w:t>
            </w:r>
            <w:r w:rsidR="00A203EC">
              <w:t>ą</w:t>
            </w:r>
            <w:r w:rsidRPr="00E96CFC">
              <w:t xml:space="preserve"> do obsługi tego rozwiązania.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Oferowana macierz dyskowa musi umożliwiać wykonanie w trybie synchronicznym i asynchronicznym zdalnej kopii danych całej powierzchni użytkowej macierzy.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Wymagane jest dostarczenie aktywnej licencji do obsługi tej funkcjonalności dla całej macierzy dyskowej (obsługa maksymalnej pojemności dyskowej w rozwiązaniu)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funkcję jednoczesnej replikacji tego samego wolumenu do dwóch różnych macierzy w trybie synchronicznym (jedna macierz) i asynchronicznym (druga macierz) – replikacja 3DC. Wymagane jest dostarczenie oprogramowania/licencji do obsługi tego rozwiązania.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funkcje replikacji synchronicznej w układzie jeden do wielu tzn. z jednej macierzy podstawowej musi istnieć dla różnych wolumenów możliwość replikacji synchronicznej do minimum 8 macierzy zapasowych.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Kompatybilność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A21FE2" w:rsidRPr="00DB7382" w:rsidRDefault="00A21FE2" w:rsidP="00A21FE2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</w:pPr>
            <w:r w:rsidRPr="00DB7382">
              <w:t>Macierz musi współpracować z systemami operacyjnymi: Microsoft Windows Server 2008/2008R2, 2012/2012R2</w:t>
            </w:r>
            <w:r w:rsidR="00C27BF0" w:rsidRPr="00DB7382">
              <w:t xml:space="preserve"> i </w:t>
            </w:r>
            <w:r w:rsidR="00C27BF0" w:rsidRPr="00C27BF0">
              <w:t>nowsze</w:t>
            </w:r>
            <w:r w:rsidRPr="00DB7382">
              <w:t xml:space="preserve">, </w:t>
            </w:r>
            <w:proofErr w:type="spellStart"/>
            <w:r w:rsidRPr="00DB7382">
              <w:t>SuSE</w:t>
            </w:r>
            <w:proofErr w:type="spellEnd"/>
            <w:r w:rsidRPr="00DB7382">
              <w:t xml:space="preserve"> Linux Enterprise Server 11</w:t>
            </w:r>
            <w:r w:rsidR="00C27BF0" w:rsidRPr="00DB7382">
              <w:t>,</w:t>
            </w:r>
            <w:r w:rsidRPr="00DB7382">
              <w:t xml:space="preserve"> 12</w:t>
            </w:r>
            <w:r w:rsidR="00C27BF0" w:rsidRPr="00DB7382">
              <w:t xml:space="preserve"> i </w:t>
            </w:r>
            <w:r w:rsidR="00C27BF0" w:rsidRPr="00C27BF0">
              <w:t>nowsze</w:t>
            </w:r>
            <w:r w:rsidRPr="00DB7382">
              <w:t xml:space="preserve">, </w:t>
            </w:r>
            <w:proofErr w:type="spellStart"/>
            <w:r w:rsidRPr="00DB7382">
              <w:t>VMWare</w:t>
            </w:r>
            <w:proofErr w:type="spellEnd"/>
            <w:r w:rsidRPr="00DB7382">
              <w:t xml:space="preserve"> 5.5, 6.0, 6.5</w:t>
            </w:r>
            <w:r w:rsidR="00C27BF0" w:rsidRPr="00DB7382">
              <w:t xml:space="preserve"> i </w:t>
            </w:r>
            <w:r w:rsidR="00C27BF0" w:rsidRPr="00C27BF0">
              <w:t>nowsze</w:t>
            </w:r>
            <w:r w:rsidRPr="00DB7382">
              <w:t>.</w:t>
            </w:r>
          </w:p>
          <w:p w:rsidR="00A21FE2" w:rsidRPr="00E96CFC" w:rsidRDefault="00A21FE2" w:rsidP="00A21FE2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obsługiwać technologie </w:t>
            </w:r>
            <w:proofErr w:type="spellStart"/>
            <w:r w:rsidRPr="00E96CFC">
              <w:t>VMWare</w:t>
            </w:r>
            <w:proofErr w:type="spellEnd"/>
            <w:r w:rsidRPr="00E96CFC">
              <w:t xml:space="preserve"> VASA oraz </w:t>
            </w:r>
            <w:proofErr w:type="spellStart"/>
            <w:r w:rsidRPr="00E96CFC">
              <w:t>VMWare</w:t>
            </w:r>
            <w:proofErr w:type="spellEnd"/>
            <w:r w:rsidRPr="00E96CFC">
              <w:t xml:space="preserve"> VAAI.</w:t>
            </w:r>
          </w:p>
          <w:p w:rsidR="00A21FE2" w:rsidRPr="00E96CFC" w:rsidRDefault="00A21FE2" w:rsidP="00C27BF0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obsługiwać </w:t>
            </w:r>
            <w:proofErr w:type="spellStart"/>
            <w:r w:rsidRPr="00E96CFC">
              <w:t>wielościeżkowość</w:t>
            </w:r>
            <w:proofErr w:type="spellEnd"/>
            <w:r w:rsidRPr="00E96CFC">
              <w:t xml:space="preserve"> (</w:t>
            </w:r>
            <w:proofErr w:type="spellStart"/>
            <w:r w:rsidRPr="00E96CFC">
              <w:t>multipathing</w:t>
            </w:r>
            <w:proofErr w:type="spellEnd"/>
            <w:r w:rsidRPr="00E96CFC">
              <w:t>) dla systemów Windows Server 2008/2008R2 i 2012/2012R2</w:t>
            </w:r>
            <w:r w:rsidR="00C27BF0">
              <w:t xml:space="preserve"> </w:t>
            </w:r>
            <w:r w:rsidR="00C27BF0" w:rsidRPr="00DB7382">
              <w:t xml:space="preserve">i </w:t>
            </w:r>
            <w:r w:rsidR="00C27BF0" w:rsidRPr="00C27BF0">
              <w:t>nowsze</w:t>
            </w:r>
            <w:r w:rsidRPr="00E96CFC">
              <w:t>, SLES 11 i 12</w:t>
            </w:r>
            <w:r w:rsidR="00C27BF0">
              <w:t xml:space="preserve"> </w:t>
            </w:r>
            <w:r w:rsidR="00C27BF0" w:rsidRPr="00DB7382">
              <w:t xml:space="preserve">i </w:t>
            </w:r>
            <w:r w:rsidR="00C27BF0" w:rsidRPr="00C27BF0">
              <w:t>nowsze</w:t>
            </w:r>
            <w:r w:rsidRPr="00E96CFC">
              <w:t xml:space="preserve">, </w:t>
            </w:r>
            <w:bookmarkStart w:id="3" w:name="OLE_LINK1"/>
            <w:bookmarkStart w:id="4" w:name="OLE_LINK2"/>
            <w:proofErr w:type="spellStart"/>
            <w:r w:rsidRPr="00E96CFC">
              <w:t>VMWare</w:t>
            </w:r>
            <w:proofErr w:type="spellEnd"/>
            <w:r w:rsidRPr="00E96CFC">
              <w:t xml:space="preserve"> 5.5, 6.0, 6.5</w:t>
            </w:r>
            <w:bookmarkEnd w:id="3"/>
            <w:bookmarkEnd w:id="4"/>
            <w:r w:rsidR="00C27BF0">
              <w:t xml:space="preserve"> </w:t>
            </w:r>
            <w:r w:rsidR="00C27BF0" w:rsidRPr="00DB7382">
              <w:t xml:space="preserve">i </w:t>
            </w:r>
            <w:r w:rsidR="00C27BF0" w:rsidRPr="00C27BF0">
              <w:t>nowsze</w:t>
            </w:r>
            <w:r w:rsidRPr="00E96CFC">
              <w:t>.</w:t>
            </w:r>
          </w:p>
        </w:tc>
      </w:tr>
      <w:tr w:rsidR="00A21FE2" w:rsidRPr="00E96CFC" w:rsidTr="0040742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t>18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Wymagania dodatkowe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E96CFC">
              <w:t>Wykonawca w uzgodnieniu z Zamawiającym przygotuje na swój koszt projekt instalacji w tym projekt połączeń sieciowych LAN i SAN instalowanych urządzeń, w terminie 15 dni roboczych od dnia podpisania umowy.</w:t>
            </w:r>
          </w:p>
        </w:tc>
      </w:tr>
      <w:tr w:rsidR="00A21FE2" w:rsidRPr="00E96CFC" w:rsidTr="0040742C">
        <w:trPr>
          <w:trHeight w:val="1125"/>
        </w:trPr>
        <w:tc>
          <w:tcPr>
            <w:tcW w:w="724" w:type="dxa"/>
            <w:vMerge w:val="restart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t>19</w:t>
            </w:r>
          </w:p>
        </w:tc>
        <w:tc>
          <w:tcPr>
            <w:tcW w:w="1985" w:type="dxa"/>
            <w:vMerge w:val="restart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Wdrożenie 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  <w:r w:rsidRPr="00E96CFC">
              <w:t xml:space="preserve">Instalacja, aktywacja </w:t>
            </w:r>
            <w:r w:rsidRPr="00E96CFC">
              <w:br/>
              <w:t>i konfiguracja</w:t>
            </w:r>
          </w:p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</w:tc>
        <w:tc>
          <w:tcPr>
            <w:tcW w:w="4689" w:type="dxa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5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Macierz dyskowa musi być dostarczona z kompletem elementów niezbędnych do jej instalacji: przewody FC, przewody LAN, przewody SAS, moduły SFP, </w:t>
            </w:r>
            <w:r w:rsidRPr="00E96CFC">
              <w:lastRenderedPageBreak/>
              <w:t>kable zasilające, wymaganymi przez producentów oferowanego rozwiązania do jego prawidłowego podłączenia i konfiguracji.</w:t>
            </w:r>
          </w:p>
          <w:p w:rsidR="00A21FE2" w:rsidRPr="00E96CFC" w:rsidRDefault="00A21FE2" w:rsidP="00A21FE2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Montaż w dostarczonych szafach </w:t>
            </w:r>
            <w:proofErr w:type="spellStart"/>
            <w:r w:rsidRPr="00E96CFC">
              <w:t>rack’owych</w:t>
            </w:r>
            <w:proofErr w:type="spellEnd"/>
            <w:r w:rsidRPr="00E96CFC">
              <w:t>.</w:t>
            </w:r>
          </w:p>
          <w:p w:rsidR="00A21FE2" w:rsidRPr="00E96CFC" w:rsidRDefault="00A21FE2" w:rsidP="00A21FE2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Podłączenie do sieci SAN FC (dual-</w:t>
            </w:r>
            <w:proofErr w:type="spellStart"/>
            <w:r w:rsidRPr="00E96CFC">
              <w:t>fabric</w:t>
            </w:r>
            <w:proofErr w:type="spellEnd"/>
            <w:r w:rsidRPr="00E96CFC">
              <w:t xml:space="preserve">) Zamawiającego – konfiguracja urządzeń SAN zostanie wykonana przez </w:t>
            </w:r>
            <w:r w:rsidR="00644A6B">
              <w:t>W</w:t>
            </w:r>
            <w:r w:rsidR="007E4893">
              <w:t>ykonawcę</w:t>
            </w:r>
            <w:r w:rsidRPr="00E96CFC">
              <w:t xml:space="preserve">. </w:t>
            </w:r>
          </w:p>
          <w:p w:rsidR="00A21FE2" w:rsidRPr="00E96CFC" w:rsidRDefault="00A21FE2" w:rsidP="00A21FE2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Podłączenie do sieci LAN, Zamawiającego - konfiguracja urządzeń LAN zostanie wykonana przez Zamawiającego.</w:t>
            </w:r>
          </w:p>
          <w:p w:rsidR="00A21FE2" w:rsidRPr="00E96CFC" w:rsidRDefault="00A21FE2" w:rsidP="00A21FE2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Okablowanie LAN/SAN łączące poszczególne szafy dystrybucyjne powinno być poprowadzone pod podłoga techniczną, w peszlach (peszel - plastikowa karbowana rura osłonowa na kable teletechniczne: elektryczne, telefoniczne, światłowody itp.).</w:t>
            </w:r>
          </w:p>
          <w:p w:rsidR="00A21FE2" w:rsidRPr="00E96CFC" w:rsidRDefault="00A21FE2" w:rsidP="00A21FE2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Inicjalizacja macierzy dyskowej.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>Instalacja i konfiguracja oprogramowania do zarządzania macierzami.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 xml:space="preserve">Instalacja i konfiguracja oprogramowania do obsługi wielościeżkowego dostępu do wolumenów na serwerach </w:t>
            </w:r>
            <w:proofErr w:type="spellStart"/>
            <w:r w:rsidRPr="00E96CFC">
              <w:t>V</w:t>
            </w:r>
            <w:r w:rsidR="00540CB4">
              <w:t>M</w:t>
            </w:r>
            <w:r w:rsidRPr="00E96CFC">
              <w:t>ware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ESXi</w:t>
            </w:r>
            <w:proofErr w:type="spellEnd"/>
            <w:r w:rsidRPr="00E96CFC">
              <w:t xml:space="preserve"> Zamawiającego (instalacja na co najmniej 48 serwerach fizycznych).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tabs>
                <w:tab w:val="clear" w:pos="501"/>
                <w:tab w:val="num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 xml:space="preserve">Instalacja i konfiguracja oprogramowania do obsługi bezprzerwowego przełączenia dostępu do wolumenu dyskowego pomiędzy macierzami dyskowymi w środowisku </w:t>
            </w:r>
            <w:proofErr w:type="spellStart"/>
            <w:r w:rsidRPr="00E96CFC">
              <w:t>V</w:t>
            </w:r>
            <w:r w:rsidR="00540CB4">
              <w:t>M</w:t>
            </w:r>
            <w:r w:rsidRPr="00E96CFC">
              <w:t>ware</w:t>
            </w:r>
            <w:proofErr w:type="spellEnd"/>
            <w:r w:rsidRPr="00E96CFC">
              <w:t xml:space="preserve"> Metro Storage Cluster.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tabs>
                <w:tab w:val="clear" w:pos="501"/>
                <w:tab w:val="num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>Instalacja i konfiguracja oprogramowania do obsługi bezprzerwowej migracji wolumenu dyskowego pomiędzy różnymi obszarami fizycznej przestrzeni dyskowej.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tabs>
                <w:tab w:val="clear" w:pos="501"/>
                <w:tab w:val="num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>Instalacja najnowszych wersji oprogramowania wbudowanego macierzy.</w:t>
            </w:r>
          </w:p>
          <w:p w:rsidR="00A21FE2" w:rsidRPr="00E96CFC" w:rsidRDefault="00A21FE2" w:rsidP="00534A28">
            <w:pPr>
              <w:widowControl w:val="0"/>
              <w:numPr>
                <w:ilvl w:val="1"/>
                <w:numId w:val="21"/>
              </w:numPr>
              <w:tabs>
                <w:tab w:val="clear" w:pos="501"/>
                <w:tab w:val="num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</w:pPr>
            <w:r w:rsidRPr="00E96CFC">
              <w:t>Konfiguracja zasobów dyskowych oraz funkcjonalności.</w:t>
            </w:r>
          </w:p>
        </w:tc>
      </w:tr>
      <w:tr w:rsidR="00A21FE2" w:rsidRPr="00E96CFC" w:rsidTr="00644A6B">
        <w:trPr>
          <w:trHeight w:val="489"/>
        </w:trPr>
        <w:tc>
          <w:tcPr>
            <w:tcW w:w="724" w:type="dxa"/>
            <w:vMerge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21FE2" w:rsidRPr="00E96CFC" w:rsidRDefault="00644A6B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  <w:r>
              <w:t xml:space="preserve">Migracja Danych </w:t>
            </w:r>
          </w:p>
        </w:tc>
        <w:tc>
          <w:tcPr>
            <w:tcW w:w="4689" w:type="dxa"/>
            <w:shd w:val="clear" w:color="auto" w:fill="FFFFFF"/>
            <w:vAlign w:val="center"/>
          </w:tcPr>
          <w:p w:rsidR="00A21FE2" w:rsidRDefault="00BD217A" w:rsidP="00964747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</w:pPr>
            <w:r>
              <w:t xml:space="preserve">Zamawiający wymaga migracji danych z obecnie eksploatowanych macierzy wyspecyfikowanych w </w:t>
            </w:r>
            <w:r w:rsidR="00F275D3">
              <w:t xml:space="preserve">rozdziale II pkt 1 tabelka pkt 1 i </w:t>
            </w:r>
            <w:r>
              <w:t>2</w:t>
            </w:r>
            <w:r w:rsidR="00540CB4">
              <w:t xml:space="preserve"> na nowe macierze</w:t>
            </w:r>
            <w:r w:rsidR="00F04D70">
              <w:t xml:space="preserve"> </w:t>
            </w:r>
            <w:r w:rsidR="00F04D70">
              <w:lastRenderedPageBreak/>
              <w:t>zaoferowane przez Wykonawcę w tym wariancie</w:t>
            </w:r>
            <w:r w:rsidR="00540CB4">
              <w:t>.</w:t>
            </w:r>
          </w:p>
          <w:p w:rsidR="00BD217A" w:rsidRDefault="00BD217A" w:rsidP="00F275D3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 xml:space="preserve">Migracja musi odbywać się  poza godzinami pracy </w:t>
            </w:r>
            <w:r w:rsidR="00F04D70">
              <w:t>M</w:t>
            </w:r>
            <w:r>
              <w:t>inisterstwa</w:t>
            </w:r>
            <w:r w:rsidR="00F04D70">
              <w:t xml:space="preserve"> Sprawiedliwości</w:t>
            </w:r>
            <w:r w:rsidR="00540CB4">
              <w:t xml:space="preserve"> tj. po godz. 18:00 w dni robocze oraz oraz w dni wolne od pracy</w:t>
            </w:r>
            <w:r w:rsidR="00F04D70">
              <w:t xml:space="preserve"> i ma zakończyć się do </w:t>
            </w:r>
            <w:proofErr w:type="spellStart"/>
            <w:r w:rsidR="00F04D70">
              <w:t>godz</w:t>
            </w:r>
            <w:proofErr w:type="spellEnd"/>
            <w:r w:rsidR="00F04D70">
              <w:t xml:space="preserve"> 7:00</w:t>
            </w:r>
          </w:p>
          <w:p w:rsidR="00372ED1" w:rsidRDefault="00BD217A" w:rsidP="00F275D3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>Migracja musi odbywać</w:t>
            </w:r>
            <w:r w:rsidR="00A0223A">
              <w:t xml:space="preserve"> się </w:t>
            </w:r>
            <w:r>
              <w:t xml:space="preserve"> bezprzerwowo</w:t>
            </w:r>
            <w:r w:rsidR="009B5B09">
              <w:t>,</w:t>
            </w:r>
            <w:r w:rsidR="00576840">
              <w:t xml:space="preserve"> bez zatrzymania  działania systemów </w:t>
            </w:r>
            <w:r w:rsidR="00EC5505">
              <w:t xml:space="preserve">eksploatowanych przez Zamawiającego </w:t>
            </w:r>
            <w:proofErr w:type="spellStart"/>
            <w:r w:rsidR="00EC5505">
              <w:t>i</w:t>
            </w:r>
            <w:r w:rsidR="00576840">
              <w:t>restart</w:t>
            </w:r>
            <w:r w:rsidR="00EC5505">
              <w:t>ów</w:t>
            </w:r>
            <w:proofErr w:type="spellEnd"/>
            <w:r w:rsidR="00576840">
              <w:t xml:space="preserve"> serwerów. </w:t>
            </w:r>
          </w:p>
          <w:p w:rsidR="00BD217A" w:rsidRDefault="00E955EA" w:rsidP="00F275D3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 xml:space="preserve">Migracja nie może </w:t>
            </w:r>
            <w:r w:rsidR="00576840">
              <w:t xml:space="preserve"> </w:t>
            </w:r>
            <w:r w:rsidR="00BD217A">
              <w:t xml:space="preserve">powodować utraty dostępu do danych. </w:t>
            </w:r>
          </w:p>
          <w:p w:rsidR="0074711B" w:rsidRDefault="0074711B" w:rsidP="00372ED1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 xml:space="preserve">Wykonawca przed przystąpieniem do migracji wykona analizę konfiguracji obecnie eksploatowanych przełączników SAN i macierzy wyspecyfikowanych w rozdziale II pkt 1 tabelka pkt 1 i 2  pod kątem migracji. Wynikiem analizy będzie utworzenie raportu zawierającego obecną konfigurację. Rekomendację utworzenia grup RAID, puli dyskowych, host grup, utworzenie </w:t>
            </w:r>
            <w:proofErr w:type="spellStart"/>
            <w:r>
              <w:t>zoningu</w:t>
            </w:r>
            <w:proofErr w:type="spellEnd"/>
            <w:r>
              <w:t xml:space="preserve"> w sieci SAN, proponowany harmonogram prac.    </w:t>
            </w:r>
          </w:p>
          <w:p w:rsidR="00BD217A" w:rsidRDefault="00A0223A" w:rsidP="00F275D3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>W ramach migracji wykonawca wykona konfigurację sieci SAN pomiędzy dostarczonymi urządzeniami a serwerami zamawiającego.</w:t>
            </w:r>
          </w:p>
          <w:p w:rsidR="00372ED1" w:rsidRDefault="00F275D3" w:rsidP="00372ED1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>Wykonawca po uzgodnieniu z zamawiającym utworzy grupy RAID, pule dyskowe</w:t>
            </w:r>
            <w:r w:rsidR="00F04D70">
              <w:t xml:space="preserve"> </w:t>
            </w:r>
            <w:r w:rsidR="006E6BCB">
              <w:t>(</w:t>
            </w:r>
            <w:proofErr w:type="spellStart"/>
            <w:r w:rsidR="006E6BCB" w:rsidRPr="00E96CFC">
              <w:t>Thin</w:t>
            </w:r>
            <w:proofErr w:type="spellEnd"/>
            <w:r w:rsidR="006E6BCB" w:rsidRPr="00E96CFC">
              <w:t xml:space="preserve"> </w:t>
            </w:r>
            <w:proofErr w:type="spellStart"/>
            <w:r w:rsidR="006E6BCB" w:rsidRPr="00E96CFC">
              <w:t>Provisioning</w:t>
            </w:r>
            <w:proofErr w:type="spellEnd"/>
            <w:r w:rsidR="006E6BCB">
              <w:t>), host grupy</w:t>
            </w:r>
            <w:r w:rsidR="00372ED1">
              <w:t>.</w:t>
            </w:r>
          </w:p>
          <w:p w:rsidR="00F275D3" w:rsidRDefault="00A0223A" w:rsidP="00372ED1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497"/>
              <w:jc w:val="both"/>
            </w:pPr>
            <w:r>
              <w:t>Wykonawca przeniesie konfiguracj</w:t>
            </w:r>
            <w:r w:rsidR="00EC5505">
              <w:t>e</w:t>
            </w:r>
            <w:r>
              <w:t xml:space="preserve"> woluminów dyskowych, </w:t>
            </w:r>
            <w:r w:rsidR="00F275D3">
              <w:t xml:space="preserve">grup </w:t>
            </w:r>
            <w:r>
              <w:t>replikacji, k</w:t>
            </w:r>
            <w:r w:rsidR="00F275D3">
              <w:t>opi</w:t>
            </w:r>
            <w:r w:rsidR="00EC5505">
              <w:t>i</w:t>
            </w:r>
            <w:r w:rsidR="00F275D3">
              <w:t xml:space="preserve"> migawkowych z obecnie eksploatowanych macierzy wyspecyfikowanych w rozdziale II pkt 1 tabelka pkt 1 i 2</w:t>
            </w:r>
          </w:p>
          <w:p w:rsidR="00A0223A" w:rsidRPr="00E96CFC" w:rsidRDefault="00F04D70" w:rsidP="00F04D70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</w:pPr>
            <w:r>
              <w:t xml:space="preserve">Po wykonaniu migracji przez Wykonawcę, wszystkie dane dla systemów Zamawiającego, które były poddane  migracji, muszą być dostępne. </w:t>
            </w:r>
            <w:r w:rsidR="00372ED1">
              <w:t>.</w:t>
            </w:r>
          </w:p>
        </w:tc>
      </w:tr>
      <w:tr w:rsidR="00644A6B" w:rsidRPr="00E96CFC" w:rsidTr="0040742C">
        <w:trPr>
          <w:trHeight w:val="5298"/>
        </w:trPr>
        <w:tc>
          <w:tcPr>
            <w:tcW w:w="724" w:type="dxa"/>
            <w:vMerge/>
            <w:shd w:val="clear" w:color="auto" w:fill="FFFFFF"/>
            <w:vAlign w:val="center"/>
          </w:tcPr>
          <w:p w:rsidR="00644A6B" w:rsidRPr="00E96CFC" w:rsidRDefault="00644A6B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:rsidR="00644A6B" w:rsidRPr="00E96CFC" w:rsidRDefault="00644A6B" w:rsidP="0040742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644A6B" w:rsidRPr="00E96CFC" w:rsidRDefault="00644A6B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  <w:r w:rsidRPr="00E96CFC">
              <w:t>Testy funkcjonalne</w:t>
            </w:r>
          </w:p>
          <w:p w:rsidR="00644A6B" w:rsidRPr="00E96CFC" w:rsidRDefault="00644A6B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  <w:p w:rsidR="00644A6B" w:rsidRPr="00E96CFC" w:rsidRDefault="00644A6B" w:rsidP="0040742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</w:tc>
        <w:tc>
          <w:tcPr>
            <w:tcW w:w="4689" w:type="dxa"/>
            <w:shd w:val="clear" w:color="auto" w:fill="FFFFFF"/>
            <w:vAlign w:val="center"/>
          </w:tcPr>
          <w:p w:rsidR="00C56607" w:rsidRDefault="00C56607" w:rsidP="00C27BF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W ramach testów dostarczonego rozwiązania należy wykonać następujące czynności:</w:t>
            </w:r>
          </w:p>
          <w:p w:rsidR="00644A6B" w:rsidRDefault="00644A6B" w:rsidP="00C27BF0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</w:pPr>
            <w:r w:rsidRPr="00E96CFC">
              <w:t>Uruchamianie i zatrzymywanie macierzy.</w:t>
            </w:r>
          </w:p>
          <w:p w:rsidR="00644A6B" w:rsidRPr="00E96CFC" w:rsidRDefault="00644A6B" w:rsidP="00644A6B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497" w:hanging="283"/>
              <w:jc w:val="both"/>
            </w:pPr>
            <w:r w:rsidRPr="00E96CFC">
              <w:t>Wykonanie bezprzerwowej migracji wolumenu dyskowego pomiędzy różnymi obszarami fizycznej przestrzeni dyskowej.</w:t>
            </w:r>
          </w:p>
          <w:p w:rsidR="00644A6B" w:rsidRPr="00E96CFC" w:rsidRDefault="00644A6B" w:rsidP="00644A6B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497" w:hanging="283"/>
              <w:jc w:val="both"/>
            </w:pPr>
            <w:r w:rsidRPr="00E96CFC">
              <w:t>Wykonanie planowanego bezprzerwowego przełączenia dostępu do wolumenu dyskowego pomiędzy macierzami dyskowymi w środowisku Vmware Metro Storage Cluster.</w:t>
            </w:r>
          </w:p>
          <w:p w:rsidR="00644A6B" w:rsidRPr="00E96CFC" w:rsidRDefault="00644A6B" w:rsidP="00644A6B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497" w:hanging="283"/>
              <w:jc w:val="both"/>
            </w:pPr>
            <w:r w:rsidRPr="00E96CFC">
              <w:t>Wykonanie nieplanowanego bezprzerwowego przełączenia dostępu do wolumenu dyskowego pomiędzy macierzami dyskowymi w środowisku Vmware Metro Storage Cluster (symulacja awarii całej macierzy).</w:t>
            </w:r>
          </w:p>
          <w:p w:rsidR="00644A6B" w:rsidRPr="00E96CFC" w:rsidRDefault="00644A6B" w:rsidP="00644A6B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497" w:hanging="283"/>
              <w:jc w:val="both"/>
            </w:pPr>
            <w:r w:rsidRPr="00E96CFC">
              <w:t xml:space="preserve">Symulacja awarii pojedynczego portu </w:t>
            </w:r>
            <w:proofErr w:type="spellStart"/>
            <w:r w:rsidRPr="00E96CFC">
              <w:t>Fibre</w:t>
            </w:r>
            <w:proofErr w:type="spellEnd"/>
            <w:r w:rsidRPr="00E96CFC">
              <w:t xml:space="preserve"> Channel na macierzy.</w:t>
            </w:r>
          </w:p>
          <w:p w:rsidR="00644A6B" w:rsidRPr="00E96CFC" w:rsidRDefault="00644A6B" w:rsidP="00644A6B">
            <w:pPr>
              <w:pStyle w:val="Akapitzlist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497" w:hanging="283"/>
              <w:jc w:val="both"/>
            </w:pPr>
            <w:r w:rsidRPr="00E96CFC">
              <w:t>Symulacja awarii pojedynczego kontrolera macierzowego.</w:t>
            </w:r>
          </w:p>
        </w:tc>
      </w:tr>
      <w:tr w:rsidR="00A21FE2" w:rsidRPr="00E96CFC" w:rsidTr="0040742C">
        <w:trPr>
          <w:trHeight w:val="2541"/>
        </w:trPr>
        <w:tc>
          <w:tcPr>
            <w:tcW w:w="724" w:type="dxa"/>
            <w:vMerge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21FE2" w:rsidRPr="00E96CFC" w:rsidRDefault="00A21FE2" w:rsidP="00FA73F5">
            <w:pPr>
              <w:widowControl w:val="0"/>
              <w:autoSpaceDE w:val="0"/>
              <w:autoSpaceDN w:val="0"/>
              <w:adjustRightInd w:val="0"/>
              <w:ind w:left="71" w:right="-143"/>
              <w:contextualSpacing/>
              <w:jc w:val="both"/>
            </w:pPr>
            <w:r w:rsidRPr="00E96CFC">
              <w:t>Dokumentacja powykonawcza</w:t>
            </w:r>
          </w:p>
        </w:tc>
        <w:tc>
          <w:tcPr>
            <w:tcW w:w="4689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Wykonawca dostarczy dokumentacj</w:t>
            </w:r>
            <w:r w:rsidR="00534A28">
              <w:t>ę</w:t>
            </w:r>
            <w:r w:rsidRPr="00E96CFC">
              <w:t xml:space="preserve"> powykonawczą zawierającą: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 xml:space="preserve">Konfigurację elementów infrastruktury. Konfiguracja musi obejmować wszystkie elementy wdrożone, zainstalowane w ramach infrastruktury. Przykładowy zestaw wymaganych danych konfiguracyjnych: 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 xml:space="preserve">model macierzy, parametry urządzenia (kontrolery, półki dyskowe, dyski, itp.), 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 xml:space="preserve">konfigurację macierzy (grupy dyskowe, zasoby dyskowe, LUN </w:t>
            </w:r>
            <w:proofErr w:type="spellStart"/>
            <w:r w:rsidRPr="00E96CFC">
              <w:t>masking</w:t>
            </w:r>
            <w:proofErr w:type="spellEnd"/>
            <w:r w:rsidRPr="00E96CFC">
              <w:t>, itp.),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>sposób podłączenia do infrastruktury Zamawiającego.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Schemat infrastruktury wraz z opisem.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Zasady licencjonowania dostarczonych elementów infrastruktury.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Informacje o ograniczeniach technologicznych (itp. na ilość dysków, rozmiar cache, itp.) dostarczonych elementów infrastruktury.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Raport z przeprowadzonych testów.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wykonywania bezprzerwowej migracji wolumenu dyskowego pomiędzy różnymi obszarami fizycznej przestrzeni dyskowej.</w:t>
            </w:r>
          </w:p>
          <w:p w:rsidR="00A21FE2" w:rsidRPr="00E96CFC" w:rsidRDefault="00A21FE2" w:rsidP="00A21FE2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lastRenderedPageBreak/>
              <w:t>Procedury planowanego bezprzerwowego przełączania dostępu do wolumenu dyskowego pomiędzy macierzami dyskowymi w środowisku Vmware Metro Storage Cluster.</w:t>
            </w:r>
          </w:p>
          <w:p w:rsidR="00A21FE2" w:rsidRPr="00E96CFC" w:rsidRDefault="00A21FE2" w:rsidP="00FA73F5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uruchamiania i zatrzymywania macierzy.</w:t>
            </w:r>
          </w:p>
          <w:p w:rsidR="00A21FE2" w:rsidRPr="00E96CFC" w:rsidRDefault="00A21FE2" w:rsidP="00FA73F5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aktualizacji oprogramowania wbudowanego.</w:t>
            </w:r>
          </w:p>
          <w:p w:rsidR="00A21FE2" w:rsidRPr="00E96CFC" w:rsidRDefault="00A21FE2" w:rsidP="00FA73F5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Wytyczne (dobre praktyki) dla administratorów.</w:t>
            </w:r>
          </w:p>
          <w:p w:rsidR="00A21FE2" w:rsidRPr="00E96CFC" w:rsidRDefault="00A21FE2" w:rsidP="00FA73F5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zgłaszania problemów do serwisu.</w:t>
            </w:r>
          </w:p>
        </w:tc>
      </w:tr>
      <w:tr w:rsidR="00A21FE2" w:rsidRPr="00E96CFC" w:rsidTr="0040742C">
        <w:trPr>
          <w:trHeight w:val="2533"/>
        </w:trPr>
        <w:tc>
          <w:tcPr>
            <w:tcW w:w="724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lastRenderedPageBreak/>
              <w:t>2</w:t>
            </w:r>
            <w:r w:rsidR="00FA73F5">
              <w:rPr>
                <w:sz w:val="16"/>
                <w:szCs w:val="16"/>
              </w:rPr>
              <w:t>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A21FE2" w:rsidRPr="00E96CFC" w:rsidRDefault="00A21FE2" w:rsidP="0040742C">
            <w:pPr>
              <w:widowControl w:val="0"/>
              <w:autoSpaceDE w:val="0"/>
              <w:autoSpaceDN w:val="0"/>
              <w:adjustRightInd w:val="0"/>
            </w:pPr>
            <w:r w:rsidRPr="00E96CFC">
              <w:t>Instruktaż techniczny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A21FE2" w:rsidRPr="00E96CFC" w:rsidRDefault="00A21FE2" w:rsidP="00A21FE2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Wykonawca zapewni minimum 10 dniowy instruktaż techniczny dla każdego z pracowników Zamawiającego z zakresu konfiguracji i administracji dostarczonych macierzy w ośrodku szkoleniowym na terenie Warszawy.</w:t>
            </w:r>
          </w:p>
          <w:p w:rsidR="008B1455" w:rsidRDefault="00A21FE2" w:rsidP="00A21FE2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 xml:space="preserve">Liczba osób do przeszkolenia: 2. 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Instruktaż musi być przeprowadzon</w:t>
            </w:r>
            <w:r w:rsidR="008B1455">
              <w:t>y</w:t>
            </w:r>
            <w:r w:rsidRPr="00E96CFC">
              <w:t xml:space="preserve"> w co najmniej dwóch </w:t>
            </w:r>
            <w:r w:rsidR="008B1455">
              <w:t xml:space="preserve">różnych </w:t>
            </w:r>
            <w:r w:rsidRPr="00E96CFC">
              <w:t>terminach.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Instruktaż musi być prowadzony w języku polskim.</w:t>
            </w:r>
          </w:p>
          <w:p w:rsidR="00A21FE2" w:rsidRPr="00E96CFC" w:rsidRDefault="00A21FE2" w:rsidP="00A21FE2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Możliwość odbycia instruktażu w ciągu 12 miesięcy od daty podpisania protokołu ilościow</w:t>
            </w:r>
            <w:r w:rsidR="00FA73F5">
              <w:t>ego</w:t>
            </w:r>
            <w:r w:rsidRPr="00E96CFC">
              <w:t xml:space="preserve"> i jakościowego urządzenia.</w:t>
            </w:r>
          </w:p>
        </w:tc>
      </w:tr>
    </w:tbl>
    <w:p w:rsidR="00D06AB7" w:rsidRDefault="00D06AB7" w:rsidP="005637B6"/>
    <w:sectPr w:rsidR="00D06AB7" w:rsidSect="00E96CFC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813" w:rsidRDefault="00654813">
      <w:r>
        <w:separator/>
      </w:r>
    </w:p>
  </w:endnote>
  <w:endnote w:type="continuationSeparator" w:id="0">
    <w:p w:rsidR="00654813" w:rsidRDefault="0065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2EF" w:rsidRPr="002A7A9B" w:rsidRDefault="00143741">
    <w:pPr>
      <w:pStyle w:val="Stopka"/>
      <w:ind w:right="360"/>
      <w:jc w:val="right"/>
      <w:rPr>
        <w:rFonts w:ascii="Arial" w:hAnsi="Arial" w:cs="Arial"/>
        <w:b/>
        <w:bCs/>
        <w:sz w:val="16"/>
        <w:szCs w:val="16"/>
      </w:rPr>
    </w:pPr>
    <w:r w:rsidRPr="002A7A9B">
      <w:rPr>
        <w:rStyle w:val="Numerstrony"/>
        <w:rFonts w:ascii="Arial" w:hAnsi="Arial" w:cs="Arial"/>
        <w:bCs/>
      </w:rPr>
      <w:fldChar w:fldCharType="begin"/>
    </w:r>
    <w:r w:rsidRPr="002A7A9B">
      <w:rPr>
        <w:rStyle w:val="Numerstrony"/>
        <w:rFonts w:ascii="Arial" w:hAnsi="Arial" w:cs="Arial"/>
        <w:bCs/>
      </w:rPr>
      <w:instrText xml:space="preserve"> PAGE </w:instrText>
    </w:r>
    <w:r w:rsidRPr="002A7A9B">
      <w:rPr>
        <w:rStyle w:val="Numerstrony"/>
        <w:rFonts w:ascii="Arial" w:hAnsi="Arial" w:cs="Arial"/>
        <w:bCs/>
      </w:rPr>
      <w:fldChar w:fldCharType="separate"/>
    </w:r>
    <w:r w:rsidR="004639C8">
      <w:rPr>
        <w:rStyle w:val="Numerstrony"/>
        <w:rFonts w:ascii="Arial" w:hAnsi="Arial" w:cs="Arial"/>
        <w:bCs/>
        <w:noProof/>
      </w:rPr>
      <w:t>1</w:t>
    </w:r>
    <w:r w:rsidRPr="002A7A9B">
      <w:rPr>
        <w:rStyle w:val="Numerstrony"/>
        <w:rFonts w:ascii="Arial" w:hAnsi="Arial" w:cs="Arial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813" w:rsidRDefault="00654813">
      <w:r>
        <w:separator/>
      </w:r>
    </w:p>
  </w:footnote>
  <w:footnote w:type="continuationSeparator" w:id="0">
    <w:p w:rsidR="00654813" w:rsidRDefault="00654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E9E"/>
    <w:multiLevelType w:val="hybridMultilevel"/>
    <w:tmpl w:val="02966D02"/>
    <w:lvl w:ilvl="0" w:tplc="4F86238E">
      <w:start w:val="1"/>
      <w:numFmt w:val="lowerLetter"/>
      <w:lvlText w:val="%1)"/>
      <w:lvlJc w:val="left"/>
      <w:pPr>
        <w:ind w:left="1495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3AE53EB"/>
    <w:multiLevelType w:val="hybridMultilevel"/>
    <w:tmpl w:val="FEE66A10"/>
    <w:lvl w:ilvl="0" w:tplc="857AFD5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36712C"/>
    <w:multiLevelType w:val="hybridMultilevel"/>
    <w:tmpl w:val="D6D0A28E"/>
    <w:lvl w:ilvl="0" w:tplc="BD96BF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8170C"/>
    <w:multiLevelType w:val="hybridMultilevel"/>
    <w:tmpl w:val="83CE0AC4"/>
    <w:lvl w:ilvl="0" w:tplc="04150017">
      <w:start w:val="1"/>
      <w:numFmt w:val="lowerLetter"/>
      <w:lvlText w:val="%1)"/>
      <w:lvlJc w:val="left"/>
      <w:pPr>
        <w:ind w:left="163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7" w:hanging="360"/>
      </w:pPr>
    </w:lvl>
    <w:lvl w:ilvl="2" w:tplc="0415001B">
      <w:start w:val="1"/>
      <w:numFmt w:val="lowerRoman"/>
      <w:lvlText w:val="%3."/>
      <w:lvlJc w:val="right"/>
      <w:pPr>
        <w:ind w:left="3077" w:hanging="180"/>
      </w:pPr>
    </w:lvl>
    <w:lvl w:ilvl="3" w:tplc="0415000F">
      <w:start w:val="1"/>
      <w:numFmt w:val="decimal"/>
      <w:lvlText w:val="%4."/>
      <w:lvlJc w:val="left"/>
      <w:pPr>
        <w:ind w:left="3797" w:hanging="360"/>
      </w:pPr>
    </w:lvl>
    <w:lvl w:ilvl="4" w:tplc="04150019">
      <w:start w:val="1"/>
      <w:numFmt w:val="lowerLetter"/>
      <w:lvlText w:val="%5."/>
      <w:lvlJc w:val="left"/>
      <w:pPr>
        <w:ind w:left="4517" w:hanging="360"/>
      </w:pPr>
    </w:lvl>
    <w:lvl w:ilvl="5" w:tplc="0415001B">
      <w:start w:val="1"/>
      <w:numFmt w:val="lowerRoman"/>
      <w:lvlText w:val="%6."/>
      <w:lvlJc w:val="right"/>
      <w:pPr>
        <w:ind w:left="5237" w:hanging="180"/>
      </w:pPr>
    </w:lvl>
    <w:lvl w:ilvl="6" w:tplc="0415000F">
      <w:start w:val="1"/>
      <w:numFmt w:val="decimal"/>
      <w:lvlText w:val="%7."/>
      <w:lvlJc w:val="left"/>
      <w:pPr>
        <w:ind w:left="5957" w:hanging="360"/>
      </w:pPr>
    </w:lvl>
    <w:lvl w:ilvl="7" w:tplc="04150019">
      <w:start w:val="1"/>
      <w:numFmt w:val="lowerLetter"/>
      <w:lvlText w:val="%8."/>
      <w:lvlJc w:val="left"/>
      <w:pPr>
        <w:ind w:left="6677" w:hanging="360"/>
      </w:pPr>
    </w:lvl>
    <w:lvl w:ilvl="8" w:tplc="0415001B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0A174DF2"/>
    <w:multiLevelType w:val="multilevel"/>
    <w:tmpl w:val="1A8A6A3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28822D0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B6489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F7AD0"/>
    <w:multiLevelType w:val="hybridMultilevel"/>
    <w:tmpl w:val="81E0CE4A"/>
    <w:lvl w:ilvl="0" w:tplc="616E3B52">
      <w:start w:val="1"/>
      <w:numFmt w:val="lowerLetter"/>
      <w:lvlText w:val="%1)"/>
      <w:lvlJc w:val="left"/>
      <w:pPr>
        <w:ind w:left="1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E679B"/>
    <w:multiLevelType w:val="hybridMultilevel"/>
    <w:tmpl w:val="E07450AC"/>
    <w:lvl w:ilvl="0" w:tplc="C5107AA2">
      <w:start w:val="1"/>
      <w:numFmt w:val="lowerLetter"/>
      <w:lvlText w:val="%1)"/>
      <w:lvlJc w:val="left"/>
      <w:pPr>
        <w:ind w:left="16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A3CDD"/>
    <w:multiLevelType w:val="hybridMultilevel"/>
    <w:tmpl w:val="AEB4C666"/>
    <w:lvl w:ilvl="0" w:tplc="C97E597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1B500634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299C0E46"/>
    <w:multiLevelType w:val="multilevel"/>
    <w:tmpl w:val="13726A7E"/>
    <w:lvl w:ilvl="0">
      <w:start w:val="1"/>
      <w:numFmt w:val="upperRoman"/>
      <w:lvlText w:val="%1."/>
      <w:lvlJc w:val="righ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lowerLetter"/>
      <w:lvlText w:val="%3)"/>
      <w:lvlJc w:val="left"/>
      <w:pPr>
        <w:ind w:left="1855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CBC63AF"/>
    <w:multiLevelType w:val="hybridMultilevel"/>
    <w:tmpl w:val="C778BA36"/>
    <w:lvl w:ilvl="0" w:tplc="F0D271C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2B03F3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B07648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>
    <w:nsid w:val="2F632A78"/>
    <w:multiLevelType w:val="hybridMultilevel"/>
    <w:tmpl w:val="E00E04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9C12AA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>
    <w:nsid w:val="3354655A"/>
    <w:multiLevelType w:val="multilevel"/>
    <w:tmpl w:val="7276BD50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hAnsi="Calibri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5564FE8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DD240B"/>
    <w:multiLevelType w:val="hybridMultilevel"/>
    <w:tmpl w:val="D3309328"/>
    <w:lvl w:ilvl="0" w:tplc="3A5426D8">
      <w:start w:val="1"/>
      <w:numFmt w:val="lowerLetter"/>
      <w:lvlText w:val="%1)"/>
      <w:lvlJc w:val="left"/>
      <w:pPr>
        <w:ind w:left="16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05D14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DC1626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>
    <w:nsid w:val="44176799"/>
    <w:multiLevelType w:val="hybridMultilevel"/>
    <w:tmpl w:val="413AA376"/>
    <w:lvl w:ilvl="0" w:tplc="04150017">
      <w:start w:val="1"/>
      <w:numFmt w:val="lowerLetter"/>
      <w:lvlText w:val="%1)"/>
      <w:lvlJc w:val="left"/>
      <w:pPr>
        <w:ind w:left="1648" w:hanging="360"/>
      </w:p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3">
    <w:nsid w:val="471D6DC0"/>
    <w:multiLevelType w:val="hybridMultilevel"/>
    <w:tmpl w:val="51941A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F6B25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>
    <w:nsid w:val="48134C00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877BF4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8507B5"/>
    <w:multiLevelType w:val="hybridMultilevel"/>
    <w:tmpl w:val="BBA073FC"/>
    <w:lvl w:ilvl="0" w:tplc="EA708EAC">
      <w:start w:val="1"/>
      <w:numFmt w:val="decimal"/>
      <w:lvlText w:val="%1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1173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63908"/>
    <w:multiLevelType w:val="hybridMultilevel"/>
    <w:tmpl w:val="6DEC5770"/>
    <w:lvl w:ilvl="0" w:tplc="AF12B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23BBE"/>
    <w:multiLevelType w:val="hybridMultilevel"/>
    <w:tmpl w:val="516AAC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3F41C2"/>
    <w:multiLevelType w:val="hybridMultilevel"/>
    <w:tmpl w:val="DDAE18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9C51D14"/>
    <w:multiLevelType w:val="hybridMultilevel"/>
    <w:tmpl w:val="97563128"/>
    <w:lvl w:ilvl="0" w:tplc="4FA01A5C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0E1951"/>
    <w:multiLevelType w:val="hybridMultilevel"/>
    <w:tmpl w:val="FAE261A6"/>
    <w:lvl w:ilvl="0" w:tplc="423C5C70">
      <w:start w:val="1"/>
      <w:numFmt w:val="lowerLetter"/>
      <w:lvlText w:val="%1)"/>
      <w:lvlJc w:val="left"/>
      <w:pPr>
        <w:ind w:left="1495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2C122F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5">
    <w:nsid w:val="5E4E1063"/>
    <w:multiLevelType w:val="hybridMultilevel"/>
    <w:tmpl w:val="C778BA36"/>
    <w:lvl w:ilvl="0" w:tplc="F0D271C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BE7CCE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>
    <w:nsid w:val="5F1B6862"/>
    <w:multiLevelType w:val="hybridMultilevel"/>
    <w:tmpl w:val="A112A2D4"/>
    <w:lvl w:ilvl="0" w:tplc="4F0843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5E2D25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122A6A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246ED3"/>
    <w:multiLevelType w:val="multilevel"/>
    <w:tmpl w:val="417C8B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1">
    <w:nsid w:val="6721184C"/>
    <w:multiLevelType w:val="multilevel"/>
    <w:tmpl w:val="89700C18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 w:hint="default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697B5242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3">
    <w:nsid w:val="6D8C5068"/>
    <w:multiLevelType w:val="hybridMultilevel"/>
    <w:tmpl w:val="41D6129A"/>
    <w:lvl w:ilvl="0" w:tplc="2F72A20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F85474"/>
    <w:multiLevelType w:val="hybridMultilevel"/>
    <w:tmpl w:val="46DCD260"/>
    <w:lvl w:ilvl="0" w:tplc="6C8A55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293ED4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6">
    <w:nsid w:val="7BFC580A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7">
    <w:nsid w:val="7F830F36"/>
    <w:multiLevelType w:val="hybridMultilevel"/>
    <w:tmpl w:val="7174E544"/>
    <w:lvl w:ilvl="0" w:tplc="84786E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2"/>
  </w:num>
  <w:num w:numId="4">
    <w:abstractNumId w:val="3"/>
  </w:num>
  <w:num w:numId="5">
    <w:abstractNumId w:val="35"/>
  </w:num>
  <w:num w:numId="6">
    <w:abstractNumId w:val="17"/>
  </w:num>
  <w:num w:numId="7">
    <w:abstractNumId w:val="41"/>
  </w:num>
  <w:num w:numId="8">
    <w:abstractNumId w:val="31"/>
  </w:num>
  <w:num w:numId="9">
    <w:abstractNumId w:val="27"/>
  </w:num>
  <w:num w:numId="10">
    <w:abstractNumId w:val="43"/>
  </w:num>
  <w:num w:numId="11">
    <w:abstractNumId w:val="40"/>
  </w:num>
  <w:num w:numId="12">
    <w:abstractNumId w:val="10"/>
  </w:num>
  <w:num w:numId="13">
    <w:abstractNumId w:val="34"/>
  </w:num>
  <w:num w:numId="14">
    <w:abstractNumId w:val="24"/>
  </w:num>
  <w:num w:numId="15">
    <w:abstractNumId w:val="16"/>
  </w:num>
  <w:num w:numId="16">
    <w:abstractNumId w:val="21"/>
  </w:num>
  <w:num w:numId="17">
    <w:abstractNumId w:val="42"/>
  </w:num>
  <w:num w:numId="18">
    <w:abstractNumId w:val="45"/>
  </w:num>
  <w:num w:numId="19">
    <w:abstractNumId w:val="46"/>
  </w:num>
  <w:num w:numId="20">
    <w:abstractNumId w:val="36"/>
  </w:num>
  <w:num w:numId="21">
    <w:abstractNumId w:val="14"/>
  </w:num>
  <w:num w:numId="22">
    <w:abstractNumId w:val="4"/>
  </w:num>
  <w:num w:numId="23">
    <w:abstractNumId w:val="32"/>
  </w:num>
  <w:num w:numId="24">
    <w:abstractNumId w:val="44"/>
  </w:num>
  <w:num w:numId="25">
    <w:abstractNumId w:val="37"/>
  </w:num>
  <w:num w:numId="26">
    <w:abstractNumId w:val="29"/>
  </w:num>
  <w:num w:numId="27">
    <w:abstractNumId w:val="2"/>
  </w:num>
  <w:num w:numId="28">
    <w:abstractNumId w:val="47"/>
  </w:num>
  <w:num w:numId="29">
    <w:abstractNumId w:val="7"/>
  </w:num>
  <w:num w:numId="30">
    <w:abstractNumId w:val="19"/>
  </w:num>
  <w:num w:numId="31">
    <w:abstractNumId w:val="8"/>
  </w:num>
  <w:num w:numId="32">
    <w:abstractNumId w:val="13"/>
  </w:num>
  <w:num w:numId="33">
    <w:abstractNumId w:val="33"/>
  </w:num>
  <w:num w:numId="34">
    <w:abstractNumId w:val="12"/>
  </w:num>
  <w:num w:numId="35">
    <w:abstractNumId w:val="15"/>
  </w:num>
  <w:num w:numId="36">
    <w:abstractNumId w:val="23"/>
  </w:num>
  <w:num w:numId="37">
    <w:abstractNumId w:val="1"/>
  </w:num>
  <w:num w:numId="38">
    <w:abstractNumId w:val="9"/>
  </w:num>
  <w:num w:numId="39">
    <w:abstractNumId w:val="30"/>
  </w:num>
  <w:num w:numId="40">
    <w:abstractNumId w:val="5"/>
  </w:num>
  <w:num w:numId="41">
    <w:abstractNumId w:val="39"/>
  </w:num>
  <w:num w:numId="42">
    <w:abstractNumId w:val="25"/>
  </w:num>
  <w:num w:numId="43">
    <w:abstractNumId w:val="38"/>
  </w:num>
  <w:num w:numId="44">
    <w:abstractNumId w:val="26"/>
  </w:num>
  <w:num w:numId="45">
    <w:abstractNumId w:val="6"/>
  </w:num>
  <w:num w:numId="46">
    <w:abstractNumId w:val="28"/>
  </w:num>
  <w:num w:numId="47">
    <w:abstractNumId w:val="20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FE2"/>
    <w:rsid w:val="00023C76"/>
    <w:rsid w:val="00143741"/>
    <w:rsid w:val="0028491F"/>
    <w:rsid w:val="002B0A75"/>
    <w:rsid w:val="00372ED1"/>
    <w:rsid w:val="003F3E8D"/>
    <w:rsid w:val="004105CC"/>
    <w:rsid w:val="00440847"/>
    <w:rsid w:val="004639C8"/>
    <w:rsid w:val="00534A28"/>
    <w:rsid w:val="00540CB4"/>
    <w:rsid w:val="00542866"/>
    <w:rsid w:val="005637B6"/>
    <w:rsid w:val="00576840"/>
    <w:rsid w:val="005E28B3"/>
    <w:rsid w:val="00644A6B"/>
    <w:rsid w:val="00654813"/>
    <w:rsid w:val="006A2288"/>
    <w:rsid w:val="006D5E92"/>
    <w:rsid w:val="006E6BCB"/>
    <w:rsid w:val="0074711B"/>
    <w:rsid w:val="007B7142"/>
    <w:rsid w:val="007B7697"/>
    <w:rsid w:val="007D4949"/>
    <w:rsid w:val="007E4893"/>
    <w:rsid w:val="00860065"/>
    <w:rsid w:val="008B1455"/>
    <w:rsid w:val="00951759"/>
    <w:rsid w:val="00964747"/>
    <w:rsid w:val="009B5B09"/>
    <w:rsid w:val="009D1369"/>
    <w:rsid w:val="009F2F8B"/>
    <w:rsid w:val="009F7EB4"/>
    <w:rsid w:val="00A0223A"/>
    <w:rsid w:val="00A203EC"/>
    <w:rsid w:val="00A21FE2"/>
    <w:rsid w:val="00A907E2"/>
    <w:rsid w:val="00B11C12"/>
    <w:rsid w:val="00B7568A"/>
    <w:rsid w:val="00B77DC9"/>
    <w:rsid w:val="00BA759F"/>
    <w:rsid w:val="00BD217A"/>
    <w:rsid w:val="00C20201"/>
    <w:rsid w:val="00C27BF0"/>
    <w:rsid w:val="00C514DA"/>
    <w:rsid w:val="00C56607"/>
    <w:rsid w:val="00C9690D"/>
    <w:rsid w:val="00CA4053"/>
    <w:rsid w:val="00CE3B05"/>
    <w:rsid w:val="00D06AB7"/>
    <w:rsid w:val="00DB5544"/>
    <w:rsid w:val="00DB7382"/>
    <w:rsid w:val="00DF4959"/>
    <w:rsid w:val="00E955EA"/>
    <w:rsid w:val="00EC5505"/>
    <w:rsid w:val="00EE6CED"/>
    <w:rsid w:val="00EF7D2A"/>
    <w:rsid w:val="00F04D70"/>
    <w:rsid w:val="00F231A6"/>
    <w:rsid w:val="00F275D3"/>
    <w:rsid w:val="00FA5E9B"/>
    <w:rsid w:val="00FA73F5"/>
    <w:rsid w:val="00FD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21FE2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A21FE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rsid w:val="00A21FE2"/>
  </w:style>
  <w:style w:type="paragraph" w:styleId="Tekstdymka">
    <w:name w:val="Balloon Text"/>
    <w:basedOn w:val="Normalny"/>
    <w:link w:val="TekstdymkaZnak"/>
    <w:uiPriority w:val="99"/>
    <w:semiHidden/>
    <w:unhideWhenUsed/>
    <w:rsid w:val="007B7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142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44A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D22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22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22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22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22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D7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D7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D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21FE2"/>
    <w:pPr>
      <w:tabs>
        <w:tab w:val="center" w:pos="4536"/>
        <w:tab w:val="right" w:pos="9072"/>
      </w:tabs>
    </w:pPr>
    <w:rPr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A21FE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rsid w:val="00A21FE2"/>
  </w:style>
  <w:style w:type="paragraph" w:styleId="Tekstdymka">
    <w:name w:val="Balloon Text"/>
    <w:basedOn w:val="Normalny"/>
    <w:link w:val="TekstdymkaZnak"/>
    <w:uiPriority w:val="99"/>
    <w:semiHidden/>
    <w:unhideWhenUsed/>
    <w:rsid w:val="007B7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142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44A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D22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22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22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22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22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D7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D7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D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pd@m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2EE8D-CEC6-4E7B-935C-AA8D80FA8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15</Pages>
  <Words>5163</Words>
  <Characters>30984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Kucharczyk Arkadiusz  (DIRS)</dc:creator>
  <cp:lastModifiedBy>Kwiatkowski Dariusz  (BOF)</cp:lastModifiedBy>
  <cp:revision>8</cp:revision>
  <dcterms:created xsi:type="dcterms:W3CDTF">2018-09-19T13:56:00Z</dcterms:created>
  <dcterms:modified xsi:type="dcterms:W3CDTF">2018-10-03T14:10:00Z</dcterms:modified>
</cp:coreProperties>
</file>