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AFA" w:rsidRPr="00726D32" w:rsidRDefault="007E4AFA" w:rsidP="00726D32">
      <w:pPr>
        <w:pStyle w:val="OPZNrZal"/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726D32">
        <w:rPr>
          <w:rFonts w:asciiTheme="minorHAnsi" w:hAnsiTheme="minorHAnsi" w:cstheme="minorHAnsi"/>
          <w:sz w:val="22"/>
          <w:szCs w:val="22"/>
        </w:rPr>
        <w:t>Załącznik nr 6 do Umowy nr ... z dnia ...</w:t>
      </w:r>
    </w:p>
    <w:p w:rsidR="007E4AFA" w:rsidRPr="00726D32" w:rsidRDefault="007E4AFA" w:rsidP="00726D32">
      <w:pPr>
        <w:pStyle w:val="OPZTytulZalTabela"/>
        <w:spacing w:before="840" w:after="840" w:line="360" w:lineRule="auto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Tryb prowadzenia nadzoru nad eksploatacją Systemu SDE</w:t>
      </w:r>
    </w:p>
    <w:p w:rsidR="007E4AFA" w:rsidRPr="00E565FC" w:rsidRDefault="007E4AFA" w:rsidP="00726D32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E565FC">
        <w:rPr>
          <w:rFonts w:asciiTheme="minorHAnsi" w:hAnsiTheme="minorHAnsi" w:cstheme="minorHAnsi"/>
          <w:b/>
          <w:sz w:val="22"/>
          <w:szCs w:val="22"/>
          <w:lang w:val="pl-PL"/>
        </w:rPr>
        <w:t>Wykonawca realizując Etap III Umowy: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Rejestruje Błędy wykryte w Aplikacji SDE24 w postaci zgłoszeń odnośnie tych zdarzeń otrzymywanych od Administratorów Zamawiającego oraz od Zespołu obsługi Centrali Monitorowania.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Usuwa skutki zarejestrowanych Błędów związanych z obowiązkami Wykonawcy.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Wprowadza poprawki do Aplikacji SDE24 w razie potrzeby</w:t>
      </w:r>
      <w:r w:rsidR="00FE2773">
        <w:rPr>
          <w:rFonts w:asciiTheme="minorHAnsi" w:hAnsiTheme="minorHAnsi" w:cstheme="minorHAnsi"/>
          <w:sz w:val="22"/>
          <w:szCs w:val="22"/>
        </w:rPr>
        <w:t>,</w:t>
      </w:r>
      <w:r w:rsidR="00675821" w:rsidRPr="00726D32">
        <w:rPr>
          <w:rFonts w:asciiTheme="minorHAnsi" w:hAnsiTheme="minorHAnsi" w:cstheme="minorHAnsi"/>
          <w:sz w:val="22"/>
          <w:szCs w:val="22"/>
        </w:rPr>
        <w:t xml:space="preserve"> zgodnie z procedurą zarządzania wydaniami</w:t>
      </w:r>
      <w:r w:rsidRPr="00726D32">
        <w:rPr>
          <w:rFonts w:asciiTheme="minorHAnsi" w:hAnsiTheme="minorHAnsi" w:cstheme="minorHAnsi"/>
          <w:sz w:val="22"/>
          <w:szCs w:val="22"/>
        </w:rPr>
        <w:t>.</w:t>
      </w:r>
    </w:p>
    <w:p w:rsidR="007E4AFA" w:rsidRPr="00726D32" w:rsidRDefault="007E4AFA" w:rsidP="00726D32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sz w:val="22"/>
          <w:szCs w:val="22"/>
          <w:lang w:val="pl-PL"/>
        </w:rPr>
      </w:pPr>
      <w:r w:rsidRPr="00726D32">
        <w:rPr>
          <w:rFonts w:asciiTheme="minorHAnsi" w:hAnsiTheme="minorHAnsi" w:cstheme="minorHAnsi"/>
          <w:sz w:val="22"/>
          <w:szCs w:val="22"/>
          <w:lang w:val="pl-PL"/>
        </w:rPr>
        <w:t>Zgłoszenia Błędów w Aplikacji SDE24 Wykonawca rejestruje w Module ewidencji zgłoszeń.</w:t>
      </w:r>
    </w:p>
    <w:p w:rsidR="007E4AFA" w:rsidRPr="00726D32" w:rsidRDefault="007E4AFA" w:rsidP="00726D32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sz w:val="22"/>
          <w:szCs w:val="22"/>
          <w:lang w:val="pl-PL"/>
        </w:rPr>
      </w:pPr>
      <w:r w:rsidRPr="00726D32">
        <w:rPr>
          <w:rFonts w:asciiTheme="minorHAnsi" w:hAnsiTheme="minorHAnsi" w:cstheme="minorHAnsi"/>
          <w:sz w:val="22"/>
          <w:szCs w:val="22"/>
          <w:lang w:val="pl-PL"/>
        </w:rPr>
        <w:t xml:space="preserve">Błędy dzielą się na krytyczne i niekrytyczne. Błędy krytyczne Wykonawca usuwa </w:t>
      </w:r>
      <w:r w:rsidR="00EA3E39" w:rsidRPr="00726D32">
        <w:rPr>
          <w:rFonts w:asciiTheme="minorHAnsi" w:hAnsiTheme="minorHAnsi" w:cstheme="minorHAnsi"/>
          <w:sz w:val="22"/>
          <w:szCs w:val="22"/>
          <w:lang w:val="pl-PL"/>
        </w:rPr>
        <w:t>do 4 godzin</w:t>
      </w:r>
      <w:r w:rsidRPr="00726D32">
        <w:rPr>
          <w:rFonts w:asciiTheme="minorHAnsi" w:hAnsiTheme="minorHAnsi" w:cstheme="minorHAnsi"/>
          <w:sz w:val="22"/>
          <w:szCs w:val="22"/>
          <w:lang w:val="pl-PL"/>
        </w:rPr>
        <w:t xml:space="preserve"> od ich zarejestrowania, a niekrytyczne </w:t>
      </w:r>
      <w:r w:rsidR="00EA3E39" w:rsidRPr="00726D32">
        <w:rPr>
          <w:rFonts w:asciiTheme="minorHAnsi" w:hAnsiTheme="minorHAnsi" w:cstheme="minorHAnsi"/>
          <w:sz w:val="22"/>
          <w:szCs w:val="22"/>
          <w:lang w:val="pl-PL"/>
        </w:rPr>
        <w:t>do 7</w:t>
      </w:r>
      <w:r w:rsidRPr="00726D32">
        <w:rPr>
          <w:rFonts w:asciiTheme="minorHAnsi" w:hAnsiTheme="minorHAnsi" w:cstheme="minorHAnsi"/>
          <w:sz w:val="22"/>
          <w:szCs w:val="22"/>
          <w:lang w:val="pl-PL"/>
        </w:rPr>
        <w:t xml:space="preserve"> dni kalendarzowych od ich zarejestrowania.</w:t>
      </w:r>
    </w:p>
    <w:p w:rsidR="007E4AFA" w:rsidRPr="00E565FC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E565FC">
        <w:rPr>
          <w:rFonts w:asciiTheme="minorHAnsi" w:hAnsiTheme="minorHAnsi" w:cstheme="minorHAnsi"/>
          <w:b/>
          <w:sz w:val="22"/>
          <w:szCs w:val="22"/>
        </w:rPr>
        <w:t>Błędy krytyczne: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Niewykrycie przez System SDE nieobecności Osoby objętej systemem w miejscu przebywania w czasie, gdy powin</w:t>
      </w:r>
      <w:r w:rsidR="00FE2773">
        <w:rPr>
          <w:rFonts w:asciiTheme="minorHAnsi" w:hAnsiTheme="minorHAnsi" w:cstheme="minorHAnsi"/>
          <w:sz w:val="22"/>
          <w:szCs w:val="22"/>
        </w:rPr>
        <w:t>na</w:t>
      </w:r>
      <w:r w:rsidRPr="00726D32">
        <w:rPr>
          <w:rFonts w:asciiTheme="minorHAnsi" w:hAnsiTheme="minorHAnsi" w:cstheme="minorHAnsi"/>
          <w:sz w:val="22"/>
          <w:szCs w:val="22"/>
        </w:rPr>
        <w:t xml:space="preserve"> być w miejscu przebywania zgodnie z Harmonogramem wykonywania Dozoru elektronicznego.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 xml:space="preserve">Niewykrycie przez System SDE naruszenia integralności </w:t>
      </w:r>
      <w:r w:rsidR="00FE2773">
        <w:rPr>
          <w:rFonts w:asciiTheme="minorHAnsi" w:hAnsiTheme="minorHAnsi" w:cstheme="minorHAnsi"/>
          <w:sz w:val="22"/>
          <w:szCs w:val="22"/>
        </w:rPr>
        <w:t>Urządzeń monitorujących</w:t>
      </w:r>
      <w:r w:rsidRPr="00726D32">
        <w:rPr>
          <w:rFonts w:asciiTheme="minorHAnsi" w:hAnsiTheme="minorHAnsi" w:cstheme="minorHAnsi"/>
          <w:sz w:val="22"/>
          <w:szCs w:val="22"/>
        </w:rPr>
        <w:t>.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Niewykrycie przez System SDE zbliżenia Nadajnika lub Nadajnika z funkcją lokalizacji GPS Osoby objętej systemem do Osoby chronionej w określonej strefie.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Niewykrycie</w:t>
      </w:r>
      <w:r w:rsidR="004541BA" w:rsidRPr="00726D32">
        <w:rPr>
          <w:rFonts w:asciiTheme="minorHAnsi" w:hAnsiTheme="minorHAnsi" w:cstheme="minorHAnsi"/>
          <w:sz w:val="22"/>
          <w:szCs w:val="22"/>
        </w:rPr>
        <w:t xml:space="preserve"> przez</w:t>
      </w:r>
      <w:r w:rsidRPr="00726D32">
        <w:rPr>
          <w:rFonts w:asciiTheme="minorHAnsi" w:hAnsiTheme="minorHAnsi" w:cstheme="minorHAnsi"/>
          <w:sz w:val="22"/>
          <w:szCs w:val="22"/>
        </w:rPr>
        <w:t xml:space="preserve"> Aplikację SDE24 wyłączenia Urządzenia monitorującego.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Utrata zgromadzonych danych w pamięci Urządzenia monitorującego, które nie zostały przesłane do Centrali monitorowania.</w:t>
      </w:r>
    </w:p>
    <w:p w:rsidR="007E4AFA" w:rsidRPr="00AB7A8F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 xml:space="preserve">Wystąpienie co najmniej 20 przypadków samoistnych wypięć Pasków sygnalizowanych przez Urządzenie monitorujące służących do zapinania Nadajnika oraz Nadajnika z funkcją lokalizacji GPS w okresie 30 kolejnych </w:t>
      </w:r>
      <w:r w:rsidR="00FE2773">
        <w:rPr>
          <w:rFonts w:asciiTheme="minorHAnsi" w:hAnsiTheme="minorHAnsi" w:cstheme="minorHAnsi"/>
          <w:sz w:val="22"/>
          <w:szCs w:val="22"/>
        </w:rPr>
        <w:t>D</w:t>
      </w:r>
      <w:r w:rsidRPr="00726D32">
        <w:rPr>
          <w:rFonts w:asciiTheme="minorHAnsi" w:hAnsiTheme="minorHAnsi" w:cstheme="minorHAnsi"/>
          <w:sz w:val="22"/>
          <w:szCs w:val="22"/>
        </w:rPr>
        <w:t xml:space="preserve">ni </w:t>
      </w:r>
      <w:r w:rsidR="00FE2773">
        <w:rPr>
          <w:rFonts w:asciiTheme="minorHAnsi" w:hAnsiTheme="minorHAnsi" w:cstheme="minorHAnsi"/>
          <w:sz w:val="22"/>
          <w:szCs w:val="22"/>
        </w:rPr>
        <w:t xml:space="preserve">kalendarzowych </w:t>
      </w:r>
      <w:r w:rsidRPr="00726D32">
        <w:rPr>
          <w:rFonts w:asciiTheme="minorHAnsi" w:hAnsiTheme="minorHAnsi" w:cstheme="minorHAnsi"/>
          <w:sz w:val="22"/>
          <w:szCs w:val="22"/>
        </w:rPr>
        <w:t xml:space="preserve">lub co najmniej 100 przypadków samoistnych wypięć tych Pasków </w:t>
      </w:r>
      <w:r w:rsidRPr="00AB7A8F">
        <w:rPr>
          <w:rFonts w:asciiTheme="minorHAnsi" w:hAnsiTheme="minorHAnsi" w:cstheme="minorHAnsi"/>
          <w:sz w:val="22"/>
          <w:szCs w:val="22"/>
        </w:rPr>
        <w:t xml:space="preserve">sygnalizowanych przez Urządzenie monitorujące w okresie kolejnych 365 </w:t>
      </w:r>
      <w:r w:rsidR="00FE2773">
        <w:rPr>
          <w:rFonts w:asciiTheme="minorHAnsi" w:hAnsiTheme="minorHAnsi" w:cstheme="minorHAnsi"/>
          <w:sz w:val="22"/>
          <w:szCs w:val="22"/>
        </w:rPr>
        <w:t>D</w:t>
      </w:r>
      <w:r w:rsidRPr="00AB7A8F">
        <w:rPr>
          <w:rFonts w:asciiTheme="minorHAnsi" w:hAnsiTheme="minorHAnsi" w:cstheme="minorHAnsi"/>
          <w:sz w:val="22"/>
          <w:szCs w:val="22"/>
        </w:rPr>
        <w:t>ni</w:t>
      </w:r>
      <w:r w:rsidR="00FE2773">
        <w:rPr>
          <w:rFonts w:asciiTheme="minorHAnsi" w:hAnsiTheme="minorHAnsi" w:cstheme="minorHAnsi"/>
          <w:sz w:val="22"/>
          <w:szCs w:val="22"/>
        </w:rPr>
        <w:t xml:space="preserve"> kalendarzowych</w:t>
      </w:r>
      <w:r w:rsidRPr="00AB7A8F">
        <w:rPr>
          <w:rFonts w:asciiTheme="minorHAnsi" w:hAnsiTheme="minorHAnsi" w:cstheme="minorHAnsi"/>
          <w:sz w:val="22"/>
          <w:szCs w:val="22"/>
        </w:rPr>
        <w:t>, spowodowanych przyczynami, nie mającymi znamion celowego uszkodzenia Paska.</w:t>
      </w:r>
    </w:p>
    <w:p w:rsidR="007E4AFA" w:rsidRPr="00AB7A8F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AB7A8F">
        <w:rPr>
          <w:rFonts w:asciiTheme="minorHAnsi" w:hAnsiTheme="minorHAnsi" w:cstheme="minorHAnsi"/>
          <w:sz w:val="22"/>
          <w:szCs w:val="22"/>
        </w:rPr>
        <w:t xml:space="preserve">Stwierdzono </w:t>
      </w:r>
      <w:r w:rsidR="002B541E">
        <w:rPr>
          <w:rFonts w:asciiTheme="minorHAnsi" w:hAnsiTheme="minorHAnsi" w:cstheme="minorHAnsi"/>
          <w:sz w:val="22"/>
          <w:szCs w:val="22"/>
        </w:rPr>
        <w:t>niedostępność</w:t>
      </w:r>
      <w:r w:rsidRPr="00AB7A8F">
        <w:rPr>
          <w:rFonts w:asciiTheme="minorHAnsi" w:hAnsiTheme="minorHAnsi" w:cstheme="minorHAnsi"/>
          <w:sz w:val="22"/>
          <w:szCs w:val="22"/>
        </w:rPr>
        <w:t xml:space="preserve"> Systemu SDE. Poprzez </w:t>
      </w:r>
      <w:r w:rsidR="002B541E">
        <w:rPr>
          <w:rFonts w:asciiTheme="minorHAnsi" w:hAnsiTheme="minorHAnsi" w:cstheme="minorHAnsi"/>
          <w:sz w:val="22"/>
          <w:szCs w:val="22"/>
        </w:rPr>
        <w:t>niedostępność</w:t>
      </w:r>
      <w:r w:rsidRPr="00AB7A8F">
        <w:rPr>
          <w:rFonts w:asciiTheme="minorHAnsi" w:hAnsiTheme="minorHAnsi" w:cstheme="minorHAnsi"/>
          <w:sz w:val="22"/>
          <w:szCs w:val="22"/>
        </w:rPr>
        <w:t xml:space="preserve"> Systemu SDE Zamawiający rozumie:</w:t>
      </w:r>
    </w:p>
    <w:p w:rsidR="007E4AFA" w:rsidRPr="00726D32" w:rsidRDefault="007E4AFA" w:rsidP="00726D32">
      <w:pPr>
        <w:pStyle w:val="OPZLista4"/>
        <w:spacing w:before="0" w:after="0" w:line="360" w:lineRule="auto"/>
        <w:outlineLvl w:val="3"/>
        <w:rPr>
          <w:rFonts w:asciiTheme="minorHAnsi" w:hAnsiTheme="minorHAnsi" w:cstheme="minorHAnsi"/>
          <w:sz w:val="22"/>
          <w:szCs w:val="22"/>
        </w:rPr>
      </w:pPr>
      <w:r w:rsidRPr="00AB7A8F">
        <w:rPr>
          <w:rFonts w:asciiTheme="minorHAnsi" w:hAnsiTheme="minorHAnsi" w:cstheme="minorHAnsi"/>
          <w:sz w:val="22"/>
          <w:szCs w:val="22"/>
        </w:rPr>
        <w:t>Niedostępność Aplikacji SDE24</w:t>
      </w:r>
      <w:r w:rsidRPr="00726D32">
        <w:rPr>
          <w:rFonts w:asciiTheme="minorHAnsi" w:hAnsiTheme="minorHAnsi" w:cstheme="minorHAnsi"/>
          <w:sz w:val="22"/>
          <w:szCs w:val="22"/>
        </w:rPr>
        <w:t xml:space="preserve"> dla Użytkowników zewnętrznych.</w:t>
      </w:r>
    </w:p>
    <w:p w:rsidR="007E4AFA" w:rsidRPr="00726D32" w:rsidRDefault="007E4AFA" w:rsidP="00726D32">
      <w:pPr>
        <w:pStyle w:val="OPZLista4"/>
        <w:spacing w:before="0" w:after="0" w:line="360" w:lineRule="auto"/>
        <w:outlineLvl w:val="3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lastRenderedPageBreak/>
        <w:t>Niedostępność Aplikacji SDE24 dla Użytkowników wewnętrznych (domenowych).</w:t>
      </w:r>
    </w:p>
    <w:p w:rsidR="007E4AFA" w:rsidRPr="00726D32" w:rsidRDefault="007E4AFA" w:rsidP="00726D32">
      <w:pPr>
        <w:pStyle w:val="OPZLista4"/>
        <w:spacing w:before="0" w:after="0" w:line="360" w:lineRule="auto"/>
        <w:outlineLvl w:val="3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Niedostępność Aplikacji SDE24 dla Użytkowników mobilnych.</w:t>
      </w:r>
    </w:p>
    <w:p w:rsidR="007E4AFA" w:rsidRPr="00726D32" w:rsidRDefault="007E4AFA" w:rsidP="00726D32">
      <w:pPr>
        <w:pStyle w:val="OPZLista4"/>
        <w:spacing w:before="0" w:after="0" w:line="360" w:lineRule="auto"/>
        <w:outlineLvl w:val="3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Niedostępność Aplikacji SDE24 dla Administratorów Zamawiającego.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 xml:space="preserve">Nieodwracalna utrata danych zawartych </w:t>
      </w:r>
      <w:r w:rsidR="00B92C13" w:rsidRPr="00726D32">
        <w:rPr>
          <w:rFonts w:asciiTheme="minorHAnsi" w:hAnsiTheme="minorHAnsi" w:cstheme="minorHAnsi"/>
          <w:sz w:val="22"/>
          <w:szCs w:val="22"/>
        </w:rPr>
        <w:t>w bazach danych Systemu SDE w</w:t>
      </w:r>
      <w:r w:rsidR="00726D32" w:rsidRPr="00726D32">
        <w:rPr>
          <w:rFonts w:asciiTheme="minorHAnsi" w:hAnsiTheme="minorHAnsi" w:cstheme="minorHAnsi"/>
          <w:sz w:val="22"/>
          <w:szCs w:val="22"/>
        </w:rPr>
        <w:t> </w:t>
      </w:r>
      <w:r w:rsidR="00B92C13" w:rsidRPr="00726D32">
        <w:rPr>
          <w:rFonts w:asciiTheme="minorHAnsi" w:hAnsiTheme="minorHAnsi" w:cstheme="minorHAnsi"/>
          <w:sz w:val="22"/>
          <w:szCs w:val="22"/>
        </w:rPr>
        <w:t>Środowisku produkcyjnym</w:t>
      </w:r>
      <w:r w:rsidRPr="00726D32">
        <w:rPr>
          <w:rFonts w:asciiTheme="minorHAnsi" w:hAnsiTheme="minorHAnsi" w:cstheme="minorHAnsi"/>
          <w:sz w:val="22"/>
          <w:szCs w:val="22"/>
        </w:rPr>
        <w:t>.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Brak możliwości przeprowadzenia Proces</w:t>
      </w:r>
      <w:r w:rsidR="00735F80" w:rsidRPr="00726D32">
        <w:rPr>
          <w:rFonts w:asciiTheme="minorHAnsi" w:hAnsiTheme="minorHAnsi" w:cstheme="minorHAnsi"/>
          <w:sz w:val="22"/>
          <w:szCs w:val="22"/>
        </w:rPr>
        <w:t>ów</w:t>
      </w:r>
      <w:r w:rsidRPr="00726D32">
        <w:rPr>
          <w:rFonts w:asciiTheme="minorHAnsi" w:hAnsiTheme="minorHAnsi" w:cstheme="minorHAnsi"/>
          <w:sz w:val="22"/>
          <w:szCs w:val="22"/>
        </w:rPr>
        <w:t xml:space="preserve"> biznesow</w:t>
      </w:r>
      <w:r w:rsidR="00735F80" w:rsidRPr="00726D32">
        <w:rPr>
          <w:rFonts w:asciiTheme="minorHAnsi" w:hAnsiTheme="minorHAnsi" w:cstheme="minorHAnsi"/>
          <w:sz w:val="22"/>
          <w:szCs w:val="22"/>
        </w:rPr>
        <w:t xml:space="preserve">ych wymienionych w </w:t>
      </w:r>
      <w:r w:rsidR="003A5F49" w:rsidRPr="008260AE">
        <w:rPr>
          <w:rFonts w:asciiTheme="minorHAnsi" w:hAnsiTheme="minorHAnsi" w:cstheme="minorHAnsi"/>
          <w:sz w:val="22"/>
          <w:szCs w:val="22"/>
        </w:rPr>
        <w:t xml:space="preserve">pkt. </w:t>
      </w:r>
      <w:r w:rsidR="008260AE" w:rsidRPr="008260AE">
        <w:rPr>
          <w:rFonts w:asciiTheme="minorHAnsi" w:hAnsiTheme="minorHAnsi" w:cstheme="minorHAnsi"/>
          <w:sz w:val="22"/>
          <w:szCs w:val="22"/>
        </w:rPr>
        <w:t>4.5.</w:t>
      </w:r>
      <w:r w:rsidR="003A5F49" w:rsidRPr="008260AE">
        <w:rPr>
          <w:rFonts w:asciiTheme="minorHAnsi" w:hAnsiTheme="minorHAnsi" w:cstheme="minorHAnsi"/>
          <w:sz w:val="22"/>
          <w:szCs w:val="22"/>
        </w:rPr>
        <w:t xml:space="preserve"> </w:t>
      </w:r>
      <w:r w:rsidR="00735F80" w:rsidRPr="008260AE">
        <w:rPr>
          <w:rFonts w:asciiTheme="minorHAnsi" w:hAnsiTheme="minorHAnsi" w:cstheme="minorHAnsi"/>
          <w:sz w:val="22"/>
          <w:szCs w:val="22"/>
        </w:rPr>
        <w:t>Załącznik</w:t>
      </w:r>
      <w:r w:rsidR="003A5F49" w:rsidRPr="008260AE">
        <w:rPr>
          <w:rFonts w:asciiTheme="minorHAnsi" w:hAnsiTheme="minorHAnsi" w:cstheme="minorHAnsi"/>
          <w:sz w:val="22"/>
          <w:szCs w:val="22"/>
        </w:rPr>
        <w:t>a</w:t>
      </w:r>
      <w:r w:rsidR="00735F80" w:rsidRPr="008260AE">
        <w:rPr>
          <w:rFonts w:asciiTheme="minorHAnsi" w:hAnsiTheme="minorHAnsi" w:cstheme="minorHAnsi"/>
          <w:sz w:val="22"/>
          <w:szCs w:val="22"/>
        </w:rPr>
        <w:t xml:space="preserve"> nr 1A do SIWZ – „Opis aktualnej aplikacji sde24.pl” oraz wszystkich now</w:t>
      </w:r>
      <w:r w:rsidR="00FE2773">
        <w:rPr>
          <w:rFonts w:asciiTheme="minorHAnsi" w:hAnsiTheme="minorHAnsi" w:cstheme="minorHAnsi"/>
          <w:sz w:val="22"/>
          <w:szCs w:val="22"/>
        </w:rPr>
        <w:t>ych Procesów biznesowych</w:t>
      </w:r>
      <w:r w:rsidR="00735F80" w:rsidRPr="008260AE">
        <w:rPr>
          <w:rFonts w:asciiTheme="minorHAnsi" w:hAnsiTheme="minorHAnsi" w:cstheme="minorHAnsi"/>
          <w:sz w:val="22"/>
          <w:szCs w:val="22"/>
        </w:rPr>
        <w:t xml:space="preserve"> dodanych</w:t>
      </w:r>
      <w:r w:rsidR="00735F80" w:rsidRPr="00726D32">
        <w:rPr>
          <w:rFonts w:asciiTheme="minorHAnsi" w:hAnsiTheme="minorHAnsi" w:cstheme="minorHAnsi"/>
          <w:sz w:val="22"/>
          <w:szCs w:val="22"/>
        </w:rPr>
        <w:t xml:space="preserve"> do Aplikacji SDE24 przez Wykonawcę w czasie trwania całej Umowy.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 xml:space="preserve">Utrata możliwości nawiązywania przychodzących lub wychodzących połączeń telefonicznych </w:t>
      </w:r>
      <w:r w:rsidR="00D46ECB" w:rsidRPr="00726D32">
        <w:rPr>
          <w:rFonts w:asciiTheme="minorHAnsi" w:hAnsiTheme="minorHAnsi" w:cstheme="minorHAnsi"/>
          <w:sz w:val="22"/>
          <w:szCs w:val="22"/>
        </w:rPr>
        <w:t xml:space="preserve">(stacjonarnych) </w:t>
      </w:r>
      <w:r w:rsidRPr="00726D32">
        <w:rPr>
          <w:rFonts w:asciiTheme="minorHAnsi" w:hAnsiTheme="minorHAnsi" w:cstheme="minorHAnsi"/>
          <w:sz w:val="22"/>
          <w:szCs w:val="22"/>
        </w:rPr>
        <w:t xml:space="preserve">poprzez system telekomunikacyjny z Urządzeniami monitorującymi </w:t>
      </w:r>
      <w:r w:rsidR="00FE2773">
        <w:rPr>
          <w:rFonts w:asciiTheme="minorHAnsi" w:hAnsiTheme="minorHAnsi" w:cstheme="minorHAnsi"/>
          <w:sz w:val="22"/>
          <w:szCs w:val="22"/>
        </w:rPr>
        <w:t>oraz</w:t>
      </w:r>
      <w:r w:rsidRPr="00726D32">
        <w:rPr>
          <w:rFonts w:asciiTheme="minorHAnsi" w:hAnsiTheme="minorHAnsi" w:cstheme="minorHAnsi"/>
          <w:sz w:val="22"/>
          <w:szCs w:val="22"/>
        </w:rPr>
        <w:t xml:space="preserve"> </w:t>
      </w:r>
      <w:r w:rsidR="00FE2773">
        <w:rPr>
          <w:rFonts w:asciiTheme="minorHAnsi" w:hAnsiTheme="minorHAnsi" w:cstheme="minorHAnsi"/>
          <w:sz w:val="22"/>
          <w:szCs w:val="22"/>
        </w:rPr>
        <w:t>Terminalami mobilnymi będącymi wyposażeniem</w:t>
      </w:r>
      <w:r w:rsidR="00D46ECB" w:rsidRPr="00726D32">
        <w:rPr>
          <w:rFonts w:asciiTheme="minorHAnsi" w:hAnsiTheme="minorHAnsi" w:cstheme="minorHAnsi"/>
          <w:sz w:val="22"/>
          <w:szCs w:val="22"/>
        </w:rPr>
        <w:t xml:space="preserve"> </w:t>
      </w:r>
      <w:r w:rsidRPr="00726D32">
        <w:rPr>
          <w:rFonts w:asciiTheme="minorHAnsi" w:hAnsiTheme="minorHAnsi" w:cstheme="minorHAnsi"/>
          <w:sz w:val="22"/>
          <w:szCs w:val="22"/>
        </w:rPr>
        <w:t>Zespo</w:t>
      </w:r>
      <w:r w:rsidR="00D46ECB" w:rsidRPr="00726D32">
        <w:rPr>
          <w:rFonts w:asciiTheme="minorHAnsi" w:hAnsiTheme="minorHAnsi" w:cstheme="minorHAnsi"/>
          <w:sz w:val="22"/>
          <w:szCs w:val="22"/>
        </w:rPr>
        <w:t>łów</w:t>
      </w:r>
      <w:r w:rsidRPr="00726D32">
        <w:rPr>
          <w:rFonts w:asciiTheme="minorHAnsi" w:hAnsiTheme="minorHAnsi" w:cstheme="minorHAnsi"/>
          <w:sz w:val="22"/>
          <w:szCs w:val="22"/>
        </w:rPr>
        <w:t xml:space="preserve"> terenowy</w:t>
      </w:r>
      <w:r w:rsidR="00D46ECB" w:rsidRPr="00726D32">
        <w:rPr>
          <w:rFonts w:asciiTheme="minorHAnsi" w:hAnsiTheme="minorHAnsi" w:cstheme="minorHAnsi"/>
          <w:sz w:val="22"/>
          <w:szCs w:val="22"/>
        </w:rPr>
        <w:t>ch.</w:t>
      </w:r>
      <w:r w:rsidRPr="00726D32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Utrata łączności pomiędzy Centralą monitorowania a Urządzeniami monitorującymi trwająca dłużej niż 4 godziny jednorazowo, równocześnie w co najmniej 10% aktywnych Urządzeń monitorujących wyposażonych w karty GSM (brak widocznych w Aplikacji SDE24 Komunikatów z Urządzeń monitorujących).</w:t>
      </w:r>
    </w:p>
    <w:p w:rsidR="007E4AFA" w:rsidRPr="00726D32" w:rsidRDefault="00EA3E39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Stwierdzono nieuprawniony</w:t>
      </w:r>
      <w:r w:rsidR="007E4AFA" w:rsidRPr="00726D32">
        <w:rPr>
          <w:rFonts w:asciiTheme="minorHAnsi" w:hAnsiTheme="minorHAnsi" w:cstheme="minorHAnsi"/>
          <w:sz w:val="22"/>
          <w:szCs w:val="22"/>
        </w:rPr>
        <w:t xml:space="preserve"> dostęp do Aplikacji SDE24.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 xml:space="preserve">Stwierdzono </w:t>
      </w:r>
      <w:r w:rsidR="00EA3E39" w:rsidRPr="00726D32">
        <w:rPr>
          <w:rFonts w:asciiTheme="minorHAnsi" w:hAnsiTheme="minorHAnsi" w:cstheme="minorHAnsi"/>
          <w:sz w:val="22"/>
          <w:szCs w:val="22"/>
        </w:rPr>
        <w:t>nieuprawnione operacje</w:t>
      </w:r>
      <w:r w:rsidRPr="00726D32">
        <w:rPr>
          <w:rFonts w:asciiTheme="minorHAnsi" w:hAnsiTheme="minorHAnsi" w:cstheme="minorHAnsi"/>
          <w:sz w:val="22"/>
          <w:szCs w:val="22"/>
        </w:rPr>
        <w:t xml:space="preserve"> na bazie danych Aplikacji SDE24.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 xml:space="preserve">Stwierdzono ujawnienie danych osobowych z bazy danych Aplikacji SDE24 z przyczyn leżących po stronie Wykonawcy. 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Aplikacja SDE24 na podstawie przychodzącego z Urządzenia monitorującego Komunikatu nie wygenerowała Zdarzenia lub Naruszenia, a w konsekwencji nie poinformowała o tym zdarzeniu Użytkowników: sądu, sędziego, kuratora oraz Zespołu obsługi Centrali monitorowania.</w:t>
      </w:r>
    </w:p>
    <w:p w:rsidR="007E4AFA" w:rsidRPr="00E565FC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E565FC">
        <w:rPr>
          <w:rFonts w:asciiTheme="minorHAnsi" w:hAnsiTheme="minorHAnsi" w:cstheme="minorHAnsi"/>
          <w:b/>
          <w:sz w:val="22"/>
          <w:szCs w:val="22"/>
        </w:rPr>
        <w:t>Błędy niekrytyczne</w:t>
      </w:r>
      <w:r w:rsidR="008838F0" w:rsidRPr="00E565FC">
        <w:rPr>
          <w:rFonts w:asciiTheme="minorHAnsi" w:hAnsiTheme="minorHAnsi" w:cstheme="minorHAnsi"/>
          <w:b/>
          <w:sz w:val="22"/>
          <w:szCs w:val="22"/>
        </w:rPr>
        <w:t>: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 xml:space="preserve">W Aplikacji SDE24 wykryto w trakcie eksploatacji Błąd </w:t>
      </w:r>
      <w:r w:rsidR="00054219" w:rsidRPr="00726D32">
        <w:rPr>
          <w:rFonts w:asciiTheme="minorHAnsi" w:hAnsiTheme="minorHAnsi" w:cstheme="minorHAnsi"/>
          <w:sz w:val="22"/>
          <w:szCs w:val="22"/>
        </w:rPr>
        <w:t>unie</w:t>
      </w:r>
      <w:r w:rsidRPr="00726D32">
        <w:rPr>
          <w:rFonts w:asciiTheme="minorHAnsi" w:hAnsiTheme="minorHAnsi" w:cstheme="minorHAnsi"/>
          <w:sz w:val="22"/>
          <w:szCs w:val="22"/>
        </w:rPr>
        <w:t xml:space="preserve">możliwiający </w:t>
      </w:r>
      <w:r w:rsidR="00054219" w:rsidRPr="00726D32">
        <w:rPr>
          <w:rFonts w:asciiTheme="minorHAnsi" w:hAnsiTheme="minorHAnsi" w:cstheme="minorHAnsi"/>
          <w:sz w:val="22"/>
          <w:szCs w:val="22"/>
        </w:rPr>
        <w:t xml:space="preserve">prawidłowe </w:t>
      </w:r>
      <w:r w:rsidRPr="00726D32">
        <w:rPr>
          <w:rFonts w:asciiTheme="minorHAnsi" w:hAnsiTheme="minorHAnsi" w:cstheme="minorHAnsi"/>
          <w:sz w:val="22"/>
          <w:szCs w:val="22"/>
        </w:rPr>
        <w:t>przeprowadzani</w:t>
      </w:r>
      <w:r w:rsidR="00054219" w:rsidRPr="00726D32">
        <w:rPr>
          <w:rFonts w:asciiTheme="minorHAnsi" w:hAnsiTheme="minorHAnsi" w:cstheme="minorHAnsi"/>
          <w:sz w:val="22"/>
          <w:szCs w:val="22"/>
        </w:rPr>
        <w:t>e</w:t>
      </w:r>
      <w:r w:rsidRPr="00726D32">
        <w:rPr>
          <w:rFonts w:asciiTheme="minorHAnsi" w:hAnsiTheme="minorHAnsi" w:cstheme="minorHAnsi"/>
          <w:sz w:val="22"/>
          <w:szCs w:val="22"/>
        </w:rPr>
        <w:t xml:space="preserve"> Proces</w:t>
      </w:r>
      <w:r w:rsidR="00FE2773">
        <w:rPr>
          <w:rFonts w:asciiTheme="minorHAnsi" w:hAnsiTheme="minorHAnsi" w:cstheme="minorHAnsi"/>
          <w:sz w:val="22"/>
          <w:szCs w:val="22"/>
        </w:rPr>
        <w:t>ów</w:t>
      </w:r>
      <w:r w:rsidRPr="00726D32">
        <w:rPr>
          <w:rFonts w:asciiTheme="minorHAnsi" w:hAnsiTheme="minorHAnsi" w:cstheme="minorHAnsi"/>
          <w:sz w:val="22"/>
          <w:szCs w:val="22"/>
        </w:rPr>
        <w:t xml:space="preserve"> biznesow</w:t>
      </w:r>
      <w:r w:rsidR="00FE2773">
        <w:rPr>
          <w:rFonts w:asciiTheme="minorHAnsi" w:hAnsiTheme="minorHAnsi" w:cstheme="minorHAnsi"/>
          <w:sz w:val="22"/>
          <w:szCs w:val="22"/>
        </w:rPr>
        <w:t xml:space="preserve">ych </w:t>
      </w:r>
      <w:r w:rsidR="00FE2773" w:rsidRPr="00726D32">
        <w:rPr>
          <w:rFonts w:asciiTheme="minorHAnsi" w:hAnsiTheme="minorHAnsi" w:cstheme="minorHAnsi"/>
          <w:sz w:val="22"/>
          <w:szCs w:val="22"/>
        </w:rPr>
        <w:t xml:space="preserve">wymienionych w </w:t>
      </w:r>
      <w:r w:rsidR="00FE2773" w:rsidRPr="008260AE">
        <w:rPr>
          <w:rFonts w:asciiTheme="minorHAnsi" w:hAnsiTheme="minorHAnsi" w:cstheme="minorHAnsi"/>
          <w:sz w:val="22"/>
          <w:szCs w:val="22"/>
        </w:rPr>
        <w:t>pkt. 4.5. Załącznika nr 1A do SIWZ – „Opis aktualnej aplikacji sde24.pl” oraz wszystkich now</w:t>
      </w:r>
      <w:r w:rsidR="00FE2773">
        <w:rPr>
          <w:rFonts w:asciiTheme="minorHAnsi" w:hAnsiTheme="minorHAnsi" w:cstheme="minorHAnsi"/>
          <w:sz w:val="22"/>
          <w:szCs w:val="22"/>
        </w:rPr>
        <w:t>ych Procesów biznesowych</w:t>
      </w:r>
      <w:r w:rsidR="00FE2773" w:rsidRPr="008260AE">
        <w:rPr>
          <w:rFonts w:asciiTheme="minorHAnsi" w:hAnsiTheme="minorHAnsi" w:cstheme="minorHAnsi"/>
          <w:sz w:val="22"/>
          <w:szCs w:val="22"/>
        </w:rPr>
        <w:t xml:space="preserve"> dodanych</w:t>
      </w:r>
      <w:r w:rsidR="00FE2773" w:rsidRPr="00726D32">
        <w:rPr>
          <w:rFonts w:asciiTheme="minorHAnsi" w:hAnsiTheme="minorHAnsi" w:cstheme="minorHAnsi"/>
          <w:sz w:val="22"/>
          <w:szCs w:val="22"/>
        </w:rPr>
        <w:t xml:space="preserve"> do Aplikacji SDE24 przez Wykonawcę w czasie trwania całej Umowy.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Stwierdzono brak aktualnej informacji o osobach oraz danych kontaktowych pracowników Wykonawcy przewidzianych w Umowie</w:t>
      </w:r>
      <w:r w:rsidR="00234DAB" w:rsidRPr="00726D32">
        <w:rPr>
          <w:rFonts w:asciiTheme="minorHAnsi" w:hAnsiTheme="minorHAnsi" w:cstheme="minorHAnsi"/>
          <w:sz w:val="22"/>
          <w:szCs w:val="22"/>
        </w:rPr>
        <w:t>.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 xml:space="preserve">Stwierdzono brak </w:t>
      </w:r>
      <w:r w:rsidR="00C445E0" w:rsidRPr="00726D32">
        <w:rPr>
          <w:rFonts w:asciiTheme="minorHAnsi" w:hAnsiTheme="minorHAnsi" w:cstheme="minorHAnsi"/>
          <w:sz w:val="22"/>
          <w:szCs w:val="22"/>
        </w:rPr>
        <w:t>możliwości</w:t>
      </w:r>
      <w:r w:rsidR="00AD28BC" w:rsidRPr="00726D32">
        <w:rPr>
          <w:rFonts w:asciiTheme="minorHAnsi" w:hAnsiTheme="minorHAnsi" w:cstheme="minorHAnsi"/>
          <w:sz w:val="22"/>
          <w:szCs w:val="22"/>
        </w:rPr>
        <w:t xml:space="preserve"> </w:t>
      </w:r>
      <w:r w:rsidRPr="00726D32">
        <w:rPr>
          <w:rFonts w:asciiTheme="minorHAnsi" w:hAnsiTheme="minorHAnsi" w:cstheme="minorHAnsi"/>
          <w:sz w:val="22"/>
          <w:szCs w:val="22"/>
        </w:rPr>
        <w:t>ewidencji zgłoszeń</w:t>
      </w:r>
      <w:r w:rsidR="00AD28BC" w:rsidRPr="00726D32">
        <w:rPr>
          <w:rFonts w:asciiTheme="minorHAnsi" w:hAnsiTheme="minorHAnsi" w:cstheme="minorHAnsi"/>
          <w:sz w:val="22"/>
          <w:szCs w:val="22"/>
        </w:rPr>
        <w:t xml:space="preserve"> w MEZ (</w:t>
      </w:r>
      <w:r w:rsidRPr="00726D32">
        <w:rPr>
          <w:rFonts w:asciiTheme="minorHAnsi" w:hAnsiTheme="minorHAnsi" w:cstheme="minorHAnsi"/>
          <w:sz w:val="22"/>
          <w:szCs w:val="22"/>
        </w:rPr>
        <w:t>służące</w:t>
      </w:r>
      <w:r w:rsidR="00AD28BC" w:rsidRPr="00726D32">
        <w:rPr>
          <w:rFonts w:asciiTheme="minorHAnsi" w:hAnsiTheme="minorHAnsi" w:cstheme="minorHAnsi"/>
          <w:sz w:val="22"/>
          <w:szCs w:val="22"/>
        </w:rPr>
        <w:t>j</w:t>
      </w:r>
      <w:r w:rsidRPr="00726D32">
        <w:rPr>
          <w:rFonts w:asciiTheme="minorHAnsi" w:hAnsiTheme="minorHAnsi" w:cstheme="minorHAnsi"/>
          <w:sz w:val="22"/>
          <w:szCs w:val="22"/>
        </w:rPr>
        <w:t xml:space="preserve"> do rejestracji Błędów</w:t>
      </w:r>
      <w:r w:rsidR="00AD28BC" w:rsidRPr="00726D32">
        <w:rPr>
          <w:rFonts w:asciiTheme="minorHAnsi" w:hAnsiTheme="minorHAnsi" w:cstheme="minorHAnsi"/>
          <w:sz w:val="22"/>
          <w:szCs w:val="22"/>
        </w:rPr>
        <w:t>),</w:t>
      </w:r>
      <w:r w:rsidRPr="00726D32">
        <w:rPr>
          <w:rFonts w:asciiTheme="minorHAnsi" w:hAnsiTheme="minorHAnsi" w:cstheme="minorHAnsi"/>
          <w:sz w:val="22"/>
          <w:szCs w:val="22"/>
        </w:rPr>
        <w:t xml:space="preserve"> mimo pojawienia się informacji o tym Błędzie w Aplikacji SDE24 (niezgodność między stanem ewidencji a stanem faktycznym).</w:t>
      </w:r>
    </w:p>
    <w:p w:rsidR="00234DAB" w:rsidRPr="00726D32" w:rsidRDefault="00234DAB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W przypadku Błędu Aplikacji SDE24 powodującego konieczność naprawy bazy danych Aplikacji SDE24 Wykonawca zobowiązany jest do naprawy bazy danych w ciągu 24 godzin od zgłoszenia tego zdarzenia.</w:t>
      </w:r>
    </w:p>
    <w:p w:rsidR="00234DAB" w:rsidRPr="00E565FC" w:rsidRDefault="00704F99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E565FC">
        <w:rPr>
          <w:rFonts w:asciiTheme="minorHAnsi" w:hAnsiTheme="minorHAnsi" w:cstheme="minorHAnsi"/>
          <w:b/>
          <w:sz w:val="22"/>
          <w:szCs w:val="22"/>
        </w:rPr>
        <w:lastRenderedPageBreak/>
        <w:t>Niedotrzymanie przez Wykonawcę standardów wymaganych przez Zamawiająceg</w:t>
      </w:r>
      <w:r w:rsidR="00234DAB" w:rsidRPr="00E565FC">
        <w:rPr>
          <w:rFonts w:asciiTheme="minorHAnsi" w:hAnsiTheme="minorHAnsi" w:cstheme="minorHAnsi"/>
          <w:b/>
          <w:sz w:val="22"/>
          <w:szCs w:val="22"/>
        </w:rPr>
        <w:t>o.</w:t>
      </w:r>
    </w:p>
    <w:p w:rsidR="00234DAB" w:rsidRPr="00726D32" w:rsidRDefault="00234DAB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 xml:space="preserve"> W przypadku, gdy zlecona Modyfikacja Aplikacji SDE24 została wykonana powyżej 30 </w:t>
      </w:r>
      <w:r w:rsidR="00AB7A8F">
        <w:rPr>
          <w:rFonts w:asciiTheme="minorHAnsi" w:hAnsiTheme="minorHAnsi" w:cstheme="minorHAnsi"/>
          <w:sz w:val="22"/>
          <w:szCs w:val="22"/>
        </w:rPr>
        <w:t>D</w:t>
      </w:r>
      <w:r w:rsidRPr="00726D32">
        <w:rPr>
          <w:rFonts w:asciiTheme="minorHAnsi" w:hAnsiTheme="minorHAnsi" w:cstheme="minorHAnsi"/>
          <w:sz w:val="22"/>
          <w:szCs w:val="22"/>
        </w:rPr>
        <w:t xml:space="preserve">ni </w:t>
      </w:r>
      <w:r w:rsidR="00AB7A8F">
        <w:rPr>
          <w:rFonts w:asciiTheme="minorHAnsi" w:hAnsiTheme="minorHAnsi" w:cstheme="minorHAnsi"/>
          <w:sz w:val="22"/>
          <w:szCs w:val="22"/>
        </w:rPr>
        <w:t xml:space="preserve">kalendarzowych </w:t>
      </w:r>
      <w:r w:rsidRPr="00726D32">
        <w:rPr>
          <w:rFonts w:asciiTheme="minorHAnsi" w:hAnsiTheme="minorHAnsi" w:cstheme="minorHAnsi"/>
          <w:sz w:val="22"/>
          <w:szCs w:val="22"/>
        </w:rPr>
        <w:t>od uzgodnionego z Zamawiającym terminem.</w:t>
      </w:r>
    </w:p>
    <w:p w:rsidR="00234DAB" w:rsidRPr="00726D32" w:rsidRDefault="00234DAB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Urządzenia monitorujące nie spełniają wymagań funkcjonalnych i technicznych określonych w Załączniku nr 2B</w:t>
      </w:r>
      <w:r w:rsidR="00AB7A8F">
        <w:rPr>
          <w:rFonts w:asciiTheme="minorHAnsi" w:hAnsiTheme="minorHAnsi" w:cstheme="minorHAnsi"/>
          <w:sz w:val="22"/>
          <w:szCs w:val="22"/>
        </w:rPr>
        <w:t xml:space="preserve"> do Umowy – „Urządzenia monitorujące”</w:t>
      </w:r>
      <w:r w:rsidRPr="00726D32">
        <w:rPr>
          <w:rFonts w:asciiTheme="minorHAnsi" w:hAnsiTheme="minorHAnsi" w:cstheme="minorHAnsi"/>
          <w:sz w:val="22"/>
          <w:szCs w:val="22"/>
        </w:rPr>
        <w:t>.</w:t>
      </w:r>
    </w:p>
    <w:p w:rsidR="00234DAB" w:rsidRPr="00726D32" w:rsidRDefault="00234DAB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Stwierdzono brak dostępności pracowników Wykonawcy we wskazanych w Umowie terminach.</w:t>
      </w:r>
    </w:p>
    <w:p w:rsidR="00234DAB" w:rsidRPr="00726D32" w:rsidRDefault="00234DAB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 xml:space="preserve"> Wykonawca nie przedstawił rozliczenia za ubiegły miesiąc w wymaganym terminie i</w:t>
      </w:r>
      <w:r w:rsidR="00726D32" w:rsidRPr="00726D32">
        <w:rPr>
          <w:rFonts w:asciiTheme="minorHAnsi" w:hAnsiTheme="minorHAnsi" w:cstheme="minorHAnsi"/>
          <w:sz w:val="22"/>
          <w:szCs w:val="22"/>
        </w:rPr>
        <w:t> </w:t>
      </w:r>
      <w:r w:rsidRPr="00726D32">
        <w:rPr>
          <w:rFonts w:asciiTheme="minorHAnsi" w:hAnsiTheme="minorHAnsi" w:cstheme="minorHAnsi"/>
          <w:sz w:val="22"/>
          <w:szCs w:val="22"/>
        </w:rPr>
        <w:t>formie wraz z przewidzianymi dokumentami.</w:t>
      </w:r>
    </w:p>
    <w:p w:rsidR="00234DAB" w:rsidRPr="00726D32" w:rsidRDefault="00234DAB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Zaewidencjonowane Błędy w Aplikacji SDE24 nie zostały usunięte w przewidzianym terminie.</w:t>
      </w:r>
    </w:p>
    <w:p w:rsidR="00234DAB" w:rsidRPr="00726D32" w:rsidRDefault="00234DAB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Niewykonanie zleconej Modyfikacji Aplikacji SDE24 w uzgodnionym z Zamawiającym terminie i termin ten przekroczył 7 Dni kalendarzowych.</w:t>
      </w:r>
    </w:p>
    <w:p w:rsidR="00234DAB" w:rsidRPr="00726D32" w:rsidRDefault="00234DAB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Przekroczenie o co najmniej 2 Dni robocze przez Wykonawcę terminu 10 Dni roboczych na uzupełnienie stanów ilościowych Urządzeń monitorujących</w:t>
      </w:r>
      <w:r w:rsidR="00FE2773">
        <w:rPr>
          <w:rFonts w:asciiTheme="minorHAnsi" w:hAnsiTheme="minorHAnsi" w:cstheme="minorHAnsi"/>
          <w:sz w:val="22"/>
          <w:szCs w:val="22"/>
        </w:rPr>
        <w:t xml:space="preserve">, Narzędzi diagnostyczno-instalacyjnych oraz </w:t>
      </w:r>
      <w:r w:rsidRPr="00726D32">
        <w:rPr>
          <w:rFonts w:asciiTheme="minorHAnsi" w:hAnsiTheme="minorHAnsi" w:cstheme="minorHAnsi"/>
          <w:sz w:val="22"/>
          <w:szCs w:val="22"/>
        </w:rPr>
        <w:t>Pasków</w:t>
      </w:r>
      <w:r w:rsidR="00FE2773">
        <w:rPr>
          <w:rFonts w:asciiTheme="minorHAnsi" w:hAnsiTheme="minorHAnsi" w:cstheme="minorHAnsi"/>
          <w:sz w:val="22"/>
          <w:szCs w:val="22"/>
        </w:rPr>
        <w:t xml:space="preserve"> </w:t>
      </w:r>
      <w:r w:rsidRPr="00726D32">
        <w:rPr>
          <w:rFonts w:asciiTheme="minorHAnsi" w:hAnsiTheme="minorHAnsi" w:cstheme="minorHAnsi"/>
          <w:sz w:val="22"/>
          <w:szCs w:val="22"/>
        </w:rPr>
        <w:t xml:space="preserve">we wszystkich wskazanych przez Zamawiającego lokalizacjach w pkt. </w:t>
      </w:r>
      <w:r w:rsidR="00095B8B">
        <w:rPr>
          <w:rFonts w:asciiTheme="minorHAnsi" w:hAnsiTheme="minorHAnsi" w:cstheme="minorHAnsi"/>
          <w:sz w:val="22"/>
          <w:szCs w:val="22"/>
        </w:rPr>
        <w:t>2</w:t>
      </w:r>
      <w:r w:rsidRPr="00726D32">
        <w:rPr>
          <w:rFonts w:asciiTheme="minorHAnsi" w:hAnsiTheme="minorHAnsi" w:cstheme="minorHAnsi"/>
          <w:sz w:val="22"/>
          <w:szCs w:val="22"/>
        </w:rPr>
        <w:t>.3. Załącznika nr 2B do Umowy – „Urządzenia monitorujące”.</w:t>
      </w:r>
    </w:p>
    <w:p w:rsidR="007E4AFA" w:rsidRPr="00E565FC" w:rsidRDefault="007E4AFA" w:rsidP="00726D32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E565FC">
        <w:rPr>
          <w:rFonts w:asciiTheme="minorHAnsi" w:hAnsiTheme="minorHAnsi" w:cstheme="minorHAnsi"/>
          <w:b/>
          <w:sz w:val="22"/>
          <w:szCs w:val="22"/>
          <w:lang w:val="pl-PL"/>
        </w:rPr>
        <w:t>Sposób naprawy bazy danych Wykonawca zobowiązany jest odnotować w ewidencji zawierającej co najmniej następujące dane: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numer kolejny naprawy;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data zgłoszenia;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data naprawy;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sposób usunięcia usterki, zakres i opis wprowadzonych zmian;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szczegółowy opis zmian struktury bazy danych, o ile uległa zmianie;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uwagi,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imię i nazwisko osoby odpowiedzialnej za naprawę bazy danych.</w:t>
      </w:r>
    </w:p>
    <w:p w:rsidR="007E4AFA" w:rsidRPr="00E565FC" w:rsidRDefault="007E4AFA" w:rsidP="00726D32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E565FC">
        <w:rPr>
          <w:rFonts w:asciiTheme="minorHAnsi" w:hAnsiTheme="minorHAnsi" w:cstheme="minorHAnsi"/>
          <w:b/>
          <w:sz w:val="22"/>
          <w:szCs w:val="22"/>
          <w:lang w:val="pl-PL"/>
        </w:rPr>
        <w:t>Poprawki i Modyfikacje Aplikacji SDE24.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Wszelkie poprawki i Modyfikacje Aplikacji SDE24 wynikające z uszkodzeń, niepoprawnego jej działania, zmian wynikających z przepisów oraz doskonalenia w wyniku doświadczeń z jej eksploatacji są realizowane przez Wykonawcę na pisemne zlecenie Zamawiającego lub pisemną zgodę Zamawiającego, gdy z wnioskiem o wprowadzenie Modyfikacji w Aplikacji SDE24 występuje Wykonawca.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Przed zleceniem Modyfikacji w Aplikacji SDE24 Wykonawca wspólnie z Zamawiającym szacuje pracochłonność i termin wykonania Modyfikacji Aplikacji SDE24, biorąc pod uwagę limity pracochłonności prac programistycznych przewidziane w Umowie.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lastRenderedPageBreak/>
        <w:t>Poprawki w Aplikacji SDE24 wynikające z jego Błędnego działania Wykonawca realizuje poza wymienionym limitem pracochłonności.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Wykonawca dostarcza Zamawiającemu zmiany w Dokumentacji SDE obejmujące zmiany w</w:t>
      </w:r>
      <w:r w:rsidR="00726D32" w:rsidRPr="00726D32">
        <w:rPr>
          <w:rFonts w:asciiTheme="minorHAnsi" w:hAnsiTheme="minorHAnsi" w:cstheme="minorHAnsi"/>
          <w:sz w:val="22"/>
          <w:szCs w:val="22"/>
        </w:rPr>
        <w:t> </w:t>
      </w:r>
      <w:r w:rsidRPr="00726D32">
        <w:rPr>
          <w:rFonts w:asciiTheme="minorHAnsi" w:hAnsiTheme="minorHAnsi" w:cstheme="minorHAnsi"/>
          <w:sz w:val="22"/>
          <w:szCs w:val="22"/>
        </w:rPr>
        <w:t xml:space="preserve">Aplikacji SDE24 dokonane w czasie jego Modyfikacji. </w:t>
      </w:r>
    </w:p>
    <w:p w:rsidR="007E4AFA" w:rsidRPr="00726D32" w:rsidRDefault="006506E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W</w:t>
      </w:r>
      <w:r w:rsidR="007E4AFA" w:rsidRPr="00726D32">
        <w:rPr>
          <w:rFonts w:asciiTheme="minorHAnsi" w:hAnsiTheme="minorHAnsi" w:cstheme="minorHAnsi"/>
          <w:sz w:val="22"/>
          <w:szCs w:val="22"/>
        </w:rPr>
        <w:t>ykonawca prowadzi szczegółową ewidencję Modyfikacji w Aplikacji SDE24 zawierającą co najmniej: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numer kolejny Modyfikacji,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datę wprowadzenia Modyfikacji,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opis wprowadzonej Modyfikacji, w tym zmian struktury bazy danych Aplikacji SDE24,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uwagi,</w:t>
      </w:r>
    </w:p>
    <w:p w:rsidR="007E4AFA" w:rsidRPr="00726D32" w:rsidRDefault="007E4AFA" w:rsidP="00726D32">
      <w:pPr>
        <w:pStyle w:val="OPZLista3"/>
        <w:spacing w:before="0" w:after="0" w:line="360" w:lineRule="auto"/>
        <w:outlineLvl w:val="2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imię i nazwisko osoby wprowadzającej zgłoszenie.</w:t>
      </w:r>
    </w:p>
    <w:p w:rsidR="007E4AFA" w:rsidRPr="00E565FC" w:rsidRDefault="007E4AFA" w:rsidP="00726D32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E565FC">
        <w:rPr>
          <w:rFonts w:asciiTheme="minorHAnsi" w:hAnsiTheme="minorHAnsi" w:cstheme="minorHAnsi"/>
          <w:b/>
          <w:sz w:val="22"/>
          <w:szCs w:val="22"/>
          <w:lang w:val="pl-PL"/>
        </w:rPr>
        <w:t xml:space="preserve">Wraz z fakturą, o której </w:t>
      </w:r>
      <w:r w:rsidRPr="00EA7E25">
        <w:rPr>
          <w:rFonts w:asciiTheme="minorHAnsi" w:hAnsiTheme="minorHAnsi" w:cstheme="minorHAnsi"/>
          <w:b/>
          <w:sz w:val="22"/>
          <w:szCs w:val="22"/>
          <w:lang w:val="pl-PL"/>
        </w:rPr>
        <w:t xml:space="preserve">mowa </w:t>
      </w:r>
      <w:r w:rsidR="00EA7E25" w:rsidRPr="00EA7E25">
        <w:rPr>
          <w:rFonts w:asciiTheme="minorHAnsi" w:hAnsiTheme="minorHAnsi" w:cstheme="minorHAnsi"/>
          <w:b/>
          <w:sz w:val="22"/>
          <w:szCs w:val="22"/>
          <w:lang w:val="pl-PL"/>
        </w:rPr>
        <w:t>w § 14</w:t>
      </w:r>
      <w:r w:rsidRPr="00EA7E25">
        <w:rPr>
          <w:rFonts w:asciiTheme="minorHAnsi" w:hAnsiTheme="minorHAnsi" w:cstheme="minorHAnsi"/>
          <w:b/>
          <w:sz w:val="22"/>
          <w:szCs w:val="22"/>
          <w:lang w:val="pl-PL"/>
        </w:rPr>
        <w:t xml:space="preserve"> ust. 6 Umowy Wykonawca</w:t>
      </w:r>
      <w:r w:rsidRPr="00E565FC">
        <w:rPr>
          <w:rFonts w:asciiTheme="minorHAnsi" w:hAnsiTheme="minorHAnsi" w:cstheme="minorHAnsi"/>
          <w:b/>
          <w:sz w:val="22"/>
          <w:szCs w:val="22"/>
          <w:lang w:val="pl-PL"/>
        </w:rPr>
        <w:t xml:space="preserve"> przedstawia za ubiegły miesiąc następujące rozliczenie zawierające: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ewidencję Błędów w Aplikacji SDE24;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ewidencję napraw bazy danych Aplikacji SDE24;</w:t>
      </w:r>
    </w:p>
    <w:p w:rsidR="007E4AFA" w:rsidRPr="00726D32" w:rsidRDefault="007E4AFA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ewidencję Modyfikacji Aplikacji SDE24.</w:t>
      </w:r>
    </w:p>
    <w:p w:rsidR="009513BD" w:rsidRPr="00726D32" w:rsidRDefault="009513BD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 w:rsidRPr="00726D32">
        <w:rPr>
          <w:rFonts w:asciiTheme="minorHAnsi" w:hAnsiTheme="minorHAnsi" w:cstheme="minorHAnsi"/>
          <w:sz w:val="22"/>
          <w:szCs w:val="22"/>
        </w:rPr>
        <w:t>Protokół, o którym mowa w pkt. 4.21. Załącznika nr 7 do Umowy – „Instalacja poprawek i</w:t>
      </w:r>
      <w:r w:rsidR="00726D32" w:rsidRPr="00726D32">
        <w:rPr>
          <w:rFonts w:asciiTheme="minorHAnsi" w:hAnsiTheme="minorHAnsi" w:cstheme="minorHAnsi"/>
          <w:sz w:val="22"/>
          <w:szCs w:val="22"/>
        </w:rPr>
        <w:t> </w:t>
      </w:r>
      <w:r w:rsidRPr="00726D32">
        <w:rPr>
          <w:rFonts w:asciiTheme="minorHAnsi" w:hAnsiTheme="minorHAnsi" w:cstheme="minorHAnsi"/>
          <w:sz w:val="22"/>
          <w:szCs w:val="22"/>
        </w:rPr>
        <w:t>modyfikacji”.</w:t>
      </w:r>
    </w:p>
    <w:p w:rsidR="007E4AFA" w:rsidRPr="00726D32" w:rsidRDefault="007E4AFA" w:rsidP="00726D32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sz w:val="22"/>
          <w:szCs w:val="22"/>
          <w:lang w:val="pl-PL"/>
        </w:rPr>
      </w:pPr>
      <w:r w:rsidRPr="00726D32">
        <w:rPr>
          <w:rFonts w:asciiTheme="minorHAnsi" w:hAnsiTheme="minorHAnsi" w:cstheme="minorHAnsi"/>
          <w:sz w:val="22"/>
          <w:szCs w:val="22"/>
          <w:lang w:val="pl-PL"/>
        </w:rPr>
        <w:t>Wykonawca do miesięcznego rozliczenia przedstawianego Zamawiającemu dołącza wnioski zawierające sposoby działań, a także działania podjęte lub planowane do podjęcia, zmierzające do ostatecznego rozwiązania zgłoszonych Błędów (mające na celu uniknięcie ich w przyszłości).</w:t>
      </w:r>
    </w:p>
    <w:p w:rsidR="007E4AFA" w:rsidRPr="00726D32" w:rsidRDefault="007E4AFA" w:rsidP="00726D32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sz w:val="22"/>
          <w:szCs w:val="22"/>
          <w:lang w:val="pl-PL"/>
        </w:rPr>
      </w:pPr>
      <w:r w:rsidRPr="00726D32">
        <w:rPr>
          <w:rFonts w:asciiTheme="minorHAnsi" w:hAnsiTheme="minorHAnsi" w:cstheme="minorHAnsi"/>
          <w:sz w:val="22"/>
          <w:szCs w:val="22"/>
          <w:lang w:val="pl-PL"/>
        </w:rPr>
        <w:t>W terminie do ostatniego dnia każdego miesiąca Zamawiający opracowuje protokół odbioru usługi eksploatacji Systemu SDE za ubiegły miesiąc, który jest podstawą wypłaty Wykonawcy miesięcznego wynagrodzenia.</w:t>
      </w:r>
    </w:p>
    <w:p w:rsidR="007E4AFA" w:rsidRPr="00726D32" w:rsidRDefault="007E4AFA" w:rsidP="00726D32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sz w:val="22"/>
          <w:szCs w:val="22"/>
          <w:lang w:val="pl-PL"/>
        </w:rPr>
      </w:pPr>
      <w:r w:rsidRPr="00726D32">
        <w:rPr>
          <w:rFonts w:asciiTheme="minorHAnsi" w:hAnsiTheme="minorHAnsi" w:cstheme="minorHAnsi"/>
          <w:sz w:val="22"/>
          <w:szCs w:val="22"/>
          <w:lang w:val="pl-PL"/>
        </w:rPr>
        <w:t xml:space="preserve">W przypadku stwierdzenia uchybień w realizacji usługi eksploatacji Systemu SDE przez Wykonawcę Zamawiający wymienia w protokole </w:t>
      </w:r>
      <w:r w:rsidR="00FE2773">
        <w:rPr>
          <w:rFonts w:asciiTheme="minorHAnsi" w:hAnsiTheme="minorHAnsi" w:cstheme="minorHAnsi"/>
          <w:sz w:val="22"/>
          <w:szCs w:val="22"/>
          <w:lang w:val="pl-PL"/>
        </w:rPr>
        <w:t xml:space="preserve">wskazanym w pkt. 8 </w:t>
      </w:r>
      <w:r w:rsidRPr="00726D32">
        <w:rPr>
          <w:rFonts w:asciiTheme="minorHAnsi" w:hAnsiTheme="minorHAnsi" w:cstheme="minorHAnsi"/>
          <w:sz w:val="22"/>
          <w:szCs w:val="22"/>
          <w:lang w:val="pl-PL"/>
        </w:rPr>
        <w:t>te uchybienia i określa wielkość kar umownych przewidzianych w Umowie potrącanych z wynagrodzenia miesięcznego Wykonawcy za eksploatację SDE w ubiegłym miesiącu.</w:t>
      </w:r>
    </w:p>
    <w:p w:rsidR="007E4AFA" w:rsidRPr="00E565FC" w:rsidRDefault="00C54B58" w:rsidP="00726D32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E565FC">
        <w:rPr>
          <w:rFonts w:asciiTheme="minorHAnsi" w:hAnsiTheme="minorHAnsi" w:cstheme="minorHAnsi"/>
          <w:b/>
          <w:sz w:val="22"/>
          <w:szCs w:val="22"/>
          <w:lang w:val="pl-PL"/>
        </w:rPr>
        <w:t>N</w:t>
      </w:r>
      <w:r w:rsidR="00A0646E" w:rsidRPr="00E565FC">
        <w:rPr>
          <w:rFonts w:asciiTheme="minorHAnsi" w:hAnsiTheme="minorHAnsi" w:cstheme="minorHAnsi"/>
          <w:b/>
          <w:sz w:val="22"/>
          <w:szCs w:val="22"/>
          <w:lang w:val="pl-PL"/>
        </w:rPr>
        <w:t>ieusunięci</w:t>
      </w:r>
      <w:r w:rsidRPr="00E565FC">
        <w:rPr>
          <w:rFonts w:asciiTheme="minorHAnsi" w:hAnsiTheme="minorHAnsi" w:cstheme="minorHAnsi"/>
          <w:b/>
          <w:sz w:val="22"/>
          <w:szCs w:val="22"/>
          <w:lang w:val="pl-PL"/>
        </w:rPr>
        <w:t>e</w:t>
      </w:r>
      <w:r w:rsidR="00A0646E" w:rsidRPr="00E565FC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="007E4AFA" w:rsidRPr="00E565FC">
        <w:rPr>
          <w:rFonts w:asciiTheme="minorHAnsi" w:hAnsiTheme="minorHAnsi" w:cstheme="minorHAnsi"/>
          <w:b/>
          <w:sz w:val="22"/>
          <w:szCs w:val="22"/>
          <w:lang w:val="pl-PL"/>
        </w:rPr>
        <w:t xml:space="preserve">Błędów </w:t>
      </w:r>
      <w:r w:rsidRPr="00E565FC">
        <w:rPr>
          <w:rFonts w:asciiTheme="minorHAnsi" w:hAnsiTheme="minorHAnsi" w:cstheme="minorHAnsi"/>
          <w:b/>
          <w:sz w:val="22"/>
          <w:szCs w:val="22"/>
          <w:lang w:val="pl-PL"/>
        </w:rPr>
        <w:t xml:space="preserve">w terminie </w:t>
      </w:r>
      <w:r w:rsidR="007E4AFA" w:rsidRPr="00E565FC">
        <w:rPr>
          <w:rFonts w:asciiTheme="minorHAnsi" w:hAnsiTheme="minorHAnsi" w:cstheme="minorHAnsi"/>
          <w:b/>
          <w:sz w:val="22"/>
          <w:szCs w:val="22"/>
          <w:lang w:val="pl-PL"/>
        </w:rPr>
        <w:t>(uchybienia przez Wykonawcę warunkom usługi eksploatacji Systemu SDE) skutkuje naliczeniem kar umownych:</w:t>
      </w:r>
    </w:p>
    <w:p w:rsidR="007E4AFA" w:rsidRPr="00726D32" w:rsidRDefault="002B541E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Nie usunięcie w terminie </w:t>
      </w:r>
      <w:r w:rsidR="00FE2773">
        <w:rPr>
          <w:rFonts w:asciiTheme="minorHAnsi" w:hAnsiTheme="minorHAnsi" w:cstheme="minorHAnsi"/>
          <w:sz w:val="22"/>
          <w:szCs w:val="22"/>
        </w:rPr>
        <w:t>B</w:t>
      </w:r>
      <w:r>
        <w:rPr>
          <w:rFonts w:asciiTheme="minorHAnsi" w:hAnsiTheme="minorHAnsi" w:cstheme="minorHAnsi"/>
          <w:sz w:val="22"/>
          <w:szCs w:val="22"/>
        </w:rPr>
        <w:t>łędu krytycznego</w:t>
      </w:r>
      <w:r w:rsidRPr="002B541E">
        <w:rPr>
          <w:rFonts w:asciiTheme="minorHAnsi" w:hAnsiTheme="minorHAnsi" w:cstheme="minorHAnsi"/>
          <w:sz w:val="22"/>
          <w:szCs w:val="22"/>
        </w:rPr>
        <w:t xml:space="preserve"> </w:t>
      </w:r>
      <w:r w:rsidRPr="00726D32">
        <w:rPr>
          <w:rFonts w:asciiTheme="minorHAnsi" w:hAnsiTheme="minorHAnsi" w:cstheme="minorHAnsi"/>
          <w:sz w:val="22"/>
          <w:szCs w:val="22"/>
        </w:rPr>
        <w:t xml:space="preserve">– </w:t>
      </w:r>
      <w:r>
        <w:rPr>
          <w:rFonts w:asciiTheme="minorHAnsi" w:hAnsiTheme="minorHAnsi" w:cstheme="minorHAnsi"/>
          <w:sz w:val="22"/>
          <w:szCs w:val="22"/>
        </w:rPr>
        <w:t xml:space="preserve">kara </w:t>
      </w:r>
      <w:r w:rsidRPr="00726D32">
        <w:rPr>
          <w:rFonts w:asciiTheme="minorHAnsi" w:hAnsiTheme="minorHAnsi" w:cstheme="minorHAnsi"/>
          <w:sz w:val="22"/>
          <w:szCs w:val="22"/>
        </w:rPr>
        <w:t xml:space="preserve">5 % wynagrodzenia miesięcznego Wykonawcy, o którym </w:t>
      </w:r>
      <w:r w:rsidRPr="009E7900">
        <w:rPr>
          <w:rFonts w:asciiTheme="minorHAnsi" w:hAnsiTheme="minorHAnsi" w:cstheme="minorHAnsi"/>
          <w:sz w:val="22"/>
          <w:szCs w:val="22"/>
        </w:rPr>
        <w:t xml:space="preserve">mowa </w:t>
      </w:r>
      <w:r w:rsidR="009E7900" w:rsidRPr="009E7900">
        <w:rPr>
          <w:rFonts w:asciiTheme="minorHAnsi" w:hAnsiTheme="minorHAnsi" w:cstheme="minorHAnsi"/>
          <w:sz w:val="22"/>
          <w:szCs w:val="22"/>
        </w:rPr>
        <w:t>w § 14 ust. 3</w:t>
      </w:r>
      <w:r w:rsidRPr="009E7900">
        <w:rPr>
          <w:rFonts w:asciiTheme="minorHAnsi" w:hAnsiTheme="minorHAnsi" w:cstheme="minorHAnsi"/>
          <w:sz w:val="22"/>
          <w:szCs w:val="22"/>
        </w:rPr>
        <w:t xml:space="preserve"> pkt. 2 Umowy</w:t>
      </w:r>
      <w:r w:rsidR="007E4AFA" w:rsidRPr="009E7900">
        <w:rPr>
          <w:rFonts w:asciiTheme="minorHAnsi" w:hAnsiTheme="minorHAnsi" w:cstheme="minorHAnsi"/>
          <w:sz w:val="22"/>
          <w:szCs w:val="22"/>
        </w:rPr>
        <w:t>;</w:t>
      </w:r>
    </w:p>
    <w:p w:rsidR="009D25BB" w:rsidRPr="00726D32" w:rsidRDefault="002B541E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Nie usunięcie w terminie </w:t>
      </w:r>
      <w:r w:rsidR="00FE2773">
        <w:rPr>
          <w:rFonts w:asciiTheme="minorHAnsi" w:hAnsiTheme="minorHAnsi" w:cstheme="minorHAnsi"/>
          <w:sz w:val="22"/>
          <w:szCs w:val="22"/>
        </w:rPr>
        <w:t>B</w:t>
      </w:r>
      <w:r>
        <w:rPr>
          <w:rFonts w:asciiTheme="minorHAnsi" w:hAnsiTheme="minorHAnsi" w:cstheme="minorHAnsi"/>
          <w:sz w:val="22"/>
          <w:szCs w:val="22"/>
        </w:rPr>
        <w:t>łędu niekrytycznego</w:t>
      </w:r>
      <w:r w:rsidRPr="002B541E">
        <w:rPr>
          <w:rFonts w:asciiTheme="minorHAnsi" w:hAnsiTheme="minorHAnsi" w:cstheme="minorHAnsi"/>
          <w:sz w:val="22"/>
          <w:szCs w:val="22"/>
        </w:rPr>
        <w:t xml:space="preserve"> </w:t>
      </w:r>
      <w:r w:rsidRPr="00726D32">
        <w:rPr>
          <w:rFonts w:asciiTheme="minorHAnsi" w:hAnsiTheme="minorHAnsi" w:cstheme="minorHAnsi"/>
          <w:sz w:val="22"/>
          <w:szCs w:val="22"/>
        </w:rPr>
        <w:t>–</w:t>
      </w:r>
      <w:r>
        <w:rPr>
          <w:rFonts w:asciiTheme="minorHAnsi" w:hAnsiTheme="minorHAnsi" w:cstheme="minorHAnsi"/>
          <w:sz w:val="22"/>
          <w:szCs w:val="22"/>
        </w:rPr>
        <w:t xml:space="preserve"> kara</w:t>
      </w:r>
      <w:r w:rsidRPr="00726D32">
        <w:rPr>
          <w:rFonts w:asciiTheme="minorHAnsi" w:hAnsiTheme="minorHAnsi" w:cstheme="minorHAnsi"/>
          <w:sz w:val="22"/>
          <w:szCs w:val="22"/>
        </w:rPr>
        <w:t xml:space="preserve"> 1 % wynagrodzenia miesięcznego Wykonawcy o którym </w:t>
      </w:r>
      <w:r w:rsidRPr="009E7900">
        <w:rPr>
          <w:rFonts w:asciiTheme="minorHAnsi" w:hAnsiTheme="minorHAnsi" w:cstheme="minorHAnsi"/>
          <w:sz w:val="22"/>
          <w:szCs w:val="22"/>
        </w:rPr>
        <w:t xml:space="preserve">mowa </w:t>
      </w:r>
      <w:r w:rsidR="009E7900" w:rsidRPr="009E7900">
        <w:rPr>
          <w:rFonts w:asciiTheme="minorHAnsi" w:hAnsiTheme="minorHAnsi" w:cstheme="minorHAnsi"/>
          <w:sz w:val="22"/>
          <w:szCs w:val="22"/>
        </w:rPr>
        <w:t>w § 14 ust. 3</w:t>
      </w:r>
      <w:r w:rsidRPr="009E7900">
        <w:rPr>
          <w:rFonts w:asciiTheme="minorHAnsi" w:hAnsiTheme="minorHAnsi" w:cstheme="minorHAnsi"/>
          <w:sz w:val="22"/>
          <w:szCs w:val="22"/>
        </w:rPr>
        <w:t xml:space="preserve"> pkt. 2 Umowy</w:t>
      </w:r>
      <w:r w:rsidR="007E4AFA" w:rsidRPr="009E7900">
        <w:rPr>
          <w:rFonts w:asciiTheme="minorHAnsi" w:hAnsiTheme="minorHAnsi" w:cstheme="minorHAnsi"/>
          <w:sz w:val="22"/>
          <w:szCs w:val="22"/>
        </w:rPr>
        <w:t>;</w:t>
      </w:r>
    </w:p>
    <w:p w:rsidR="00CD60AC" w:rsidRPr="00095B8B" w:rsidRDefault="002B541E" w:rsidP="00726D32">
      <w:pPr>
        <w:pStyle w:val="OPZLista2"/>
        <w:spacing w:before="0" w:after="0" w:line="360" w:lineRule="auto"/>
        <w:outlineLvl w:val="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N</w:t>
      </w:r>
      <w:r w:rsidR="00A0646E" w:rsidRPr="00726D32">
        <w:rPr>
          <w:rFonts w:asciiTheme="minorHAnsi" w:hAnsiTheme="minorHAnsi" w:cstheme="minorHAnsi"/>
          <w:sz w:val="22"/>
          <w:szCs w:val="22"/>
        </w:rPr>
        <w:t>iedotrzymanie przez Wykonawcę standardów wymaganych przez Zamawiającego</w:t>
      </w:r>
      <w:r w:rsidR="00CD60AC" w:rsidRPr="00726D32">
        <w:rPr>
          <w:rFonts w:asciiTheme="minorHAnsi" w:hAnsiTheme="minorHAnsi" w:cstheme="minorHAnsi"/>
          <w:sz w:val="22"/>
          <w:szCs w:val="22"/>
        </w:rPr>
        <w:t xml:space="preserve"> </w:t>
      </w:r>
      <w:r w:rsidR="00726D32" w:rsidRPr="00726D32">
        <w:rPr>
          <w:rFonts w:asciiTheme="minorHAnsi" w:hAnsiTheme="minorHAnsi" w:cstheme="minorHAnsi"/>
          <w:sz w:val="22"/>
          <w:szCs w:val="22"/>
        </w:rPr>
        <w:t>–</w:t>
      </w:r>
      <w:r w:rsidR="00A0646E" w:rsidRPr="00726D32">
        <w:rPr>
          <w:rFonts w:asciiTheme="minorHAnsi" w:hAnsiTheme="minorHAnsi" w:cstheme="minorHAnsi"/>
          <w:sz w:val="22"/>
          <w:szCs w:val="22"/>
        </w:rPr>
        <w:t xml:space="preserve"> 1</w:t>
      </w:r>
      <w:r w:rsidR="00726D32" w:rsidRPr="00726D32">
        <w:rPr>
          <w:rFonts w:asciiTheme="minorHAnsi" w:hAnsiTheme="minorHAnsi" w:cstheme="minorHAnsi"/>
          <w:sz w:val="22"/>
          <w:szCs w:val="22"/>
        </w:rPr>
        <w:t> </w:t>
      </w:r>
      <w:r w:rsidR="00A0646E" w:rsidRPr="00726D32">
        <w:rPr>
          <w:rFonts w:asciiTheme="minorHAnsi" w:hAnsiTheme="minorHAnsi" w:cstheme="minorHAnsi"/>
          <w:sz w:val="22"/>
          <w:szCs w:val="22"/>
        </w:rPr>
        <w:t>% wynagrodzenia miesięcznego Wykonawcy</w:t>
      </w:r>
      <w:r w:rsidR="00FE2773">
        <w:rPr>
          <w:rFonts w:asciiTheme="minorHAnsi" w:hAnsiTheme="minorHAnsi" w:cstheme="minorHAnsi"/>
          <w:sz w:val="22"/>
          <w:szCs w:val="22"/>
        </w:rPr>
        <w:t>,</w:t>
      </w:r>
      <w:r w:rsidR="00A0646E" w:rsidRPr="00726D32">
        <w:rPr>
          <w:rFonts w:asciiTheme="minorHAnsi" w:hAnsiTheme="minorHAnsi" w:cstheme="minorHAnsi"/>
          <w:sz w:val="22"/>
          <w:szCs w:val="22"/>
        </w:rPr>
        <w:t xml:space="preserve"> o którym </w:t>
      </w:r>
      <w:r w:rsidR="00A0646E" w:rsidRPr="009E7900">
        <w:rPr>
          <w:rFonts w:asciiTheme="minorHAnsi" w:hAnsiTheme="minorHAnsi" w:cstheme="minorHAnsi"/>
          <w:sz w:val="22"/>
          <w:szCs w:val="22"/>
        </w:rPr>
        <w:t xml:space="preserve">mowa </w:t>
      </w:r>
      <w:r w:rsidR="009E7900" w:rsidRPr="009E7900">
        <w:rPr>
          <w:rFonts w:asciiTheme="minorHAnsi" w:hAnsiTheme="minorHAnsi" w:cstheme="minorHAnsi"/>
          <w:sz w:val="22"/>
          <w:szCs w:val="22"/>
        </w:rPr>
        <w:t>w § 14 ust. 3</w:t>
      </w:r>
      <w:r w:rsidR="00A0646E" w:rsidRPr="009E7900">
        <w:rPr>
          <w:rFonts w:asciiTheme="minorHAnsi" w:hAnsiTheme="minorHAnsi" w:cstheme="minorHAnsi"/>
          <w:sz w:val="22"/>
          <w:szCs w:val="22"/>
        </w:rPr>
        <w:t xml:space="preserve"> pkt. 2 Umowy;</w:t>
      </w:r>
    </w:p>
    <w:p w:rsidR="00996939" w:rsidRPr="00095B8B" w:rsidRDefault="009D25BB" w:rsidP="00726D32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sz w:val="22"/>
          <w:szCs w:val="22"/>
          <w:lang w:val="pl-PL"/>
        </w:rPr>
      </w:pPr>
      <w:r w:rsidRPr="00095B8B">
        <w:rPr>
          <w:rFonts w:asciiTheme="minorHAnsi" w:hAnsiTheme="minorHAnsi" w:cstheme="minorHAnsi"/>
          <w:sz w:val="22"/>
          <w:szCs w:val="22"/>
          <w:lang w:val="pl-PL"/>
        </w:rPr>
        <w:t xml:space="preserve"> W przypadku niedotrzymania przez Wykonawcę terminu przedstawienia do odbioru Etapu I, Wykonawca zapłaci karę umowną w wysokości 1 % wartości brutto wynagrodzenia przewidzianego za ten </w:t>
      </w:r>
      <w:r w:rsidR="00FE2773">
        <w:rPr>
          <w:rFonts w:asciiTheme="minorHAnsi" w:hAnsiTheme="minorHAnsi" w:cstheme="minorHAnsi"/>
          <w:sz w:val="22"/>
          <w:szCs w:val="22"/>
          <w:lang w:val="pl-PL"/>
        </w:rPr>
        <w:t>E</w:t>
      </w:r>
      <w:r w:rsidRPr="00095B8B">
        <w:rPr>
          <w:rFonts w:asciiTheme="minorHAnsi" w:hAnsiTheme="minorHAnsi" w:cstheme="minorHAnsi"/>
          <w:sz w:val="22"/>
          <w:szCs w:val="22"/>
          <w:lang w:val="pl-PL"/>
        </w:rPr>
        <w:t xml:space="preserve">tap za każdy </w:t>
      </w:r>
      <w:r w:rsidR="00FE2773">
        <w:rPr>
          <w:rFonts w:asciiTheme="minorHAnsi" w:hAnsiTheme="minorHAnsi" w:cstheme="minorHAnsi"/>
          <w:sz w:val="22"/>
          <w:szCs w:val="22"/>
          <w:lang w:val="pl-PL"/>
        </w:rPr>
        <w:t>D</w:t>
      </w:r>
      <w:r w:rsidRPr="00095B8B">
        <w:rPr>
          <w:rFonts w:asciiTheme="minorHAnsi" w:hAnsiTheme="minorHAnsi" w:cstheme="minorHAnsi"/>
          <w:sz w:val="22"/>
          <w:szCs w:val="22"/>
          <w:lang w:val="pl-PL"/>
        </w:rPr>
        <w:t>zień kalendarzowy zwłoki. Przekroczenie terminu wykonania Etapu I przez Wykonawcę o 60 Dni kalendarzowych skutkuje rozwiązaniem Umowy z winy Wykonawcy.</w:t>
      </w:r>
    </w:p>
    <w:p w:rsidR="00996939" w:rsidRPr="00726D32" w:rsidRDefault="00996939" w:rsidP="00726D32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sz w:val="22"/>
          <w:szCs w:val="22"/>
          <w:lang w:val="pl-PL"/>
        </w:rPr>
      </w:pPr>
      <w:r w:rsidRPr="00095B8B">
        <w:rPr>
          <w:rFonts w:asciiTheme="minorHAnsi" w:hAnsiTheme="minorHAnsi" w:cstheme="minorHAnsi"/>
          <w:sz w:val="22"/>
          <w:szCs w:val="22"/>
          <w:lang w:val="pl-PL"/>
        </w:rPr>
        <w:t xml:space="preserve">W przypadku niedotrzymania przez Wykonawcę zadeklarowanego, skróconego terminu przedstawienia do odbioru Etapu I, Wykonawca zapłaci karę umowną w wysokości 1 000 000 zł brutto oraz 50 000 zł brutto za każdy kolejny </w:t>
      </w:r>
      <w:r w:rsidR="00FE2773">
        <w:rPr>
          <w:rFonts w:asciiTheme="minorHAnsi" w:hAnsiTheme="minorHAnsi" w:cstheme="minorHAnsi"/>
          <w:sz w:val="22"/>
          <w:szCs w:val="22"/>
          <w:lang w:val="pl-PL"/>
        </w:rPr>
        <w:t>D</w:t>
      </w:r>
      <w:r w:rsidRPr="00095B8B">
        <w:rPr>
          <w:rFonts w:asciiTheme="minorHAnsi" w:hAnsiTheme="minorHAnsi" w:cstheme="minorHAnsi"/>
          <w:sz w:val="22"/>
          <w:szCs w:val="22"/>
          <w:lang w:val="pl-PL"/>
        </w:rPr>
        <w:t>zień kalendarzowy zwłoki. Przekroczenie terminu wykonania Etapu I przez Wykonawcę o 60 Dni kalendarzowych skutkuje rozwiązaniem Umowy z winy</w:t>
      </w:r>
      <w:r w:rsidRPr="00726D32">
        <w:rPr>
          <w:rFonts w:asciiTheme="minorHAnsi" w:hAnsiTheme="minorHAnsi" w:cstheme="minorHAnsi"/>
          <w:sz w:val="22"/>
          <w:szCs w:val="22"/>
          <w:lang w:val="pl-PL"/>
        </w:rPr>
        <w:t xml:space="preserve"> Wykonawcy.</w:t>
      </w:r>
    </w:p>
    <w:p w:rsidR="006808EE" w:rsidRPr="00726D32" w:rsidRDefault="006808EE" w:rsidP="00472927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sz w:val="22"/>
          <w:szCs w:val="22"/>
          <w:lang w:val="pl-PL"/>
        </w:rPr>
      </w:pPr>
      <w:r w:rsidRPr="00726D32">
        <w:rPr>
          <w:rFonts w:asciiTheme="minorHAnsi" w:hAnsiTheme="minorHAnsi" w:cstheme="minorHAnsi"/>
          <w:sz w:val="22"/>
          <w:szCs w:val="22"/>
          <w:lang w:val="pl-PL"/>
        </w:rPr>
        <w:t>Warunki gwarantowanego poziomu świadczenia usług</w:t>
      </w:r>
      <w:r w:rsidR="002B541E">
        <w:rPr>
          <w:rFonts w:asciiTheme="minorHAnsi" w:hAnsiTheme="minorHAnsi" w:cstheme="minorHAnsi"/>
          <w:sz w:val="22"/>
          <w:szCs w:val="22"/>
          <w:lang w:val="pl-PL"/>
        </w:rPr>
        <w:t xml:space="preserve">, według opisanych </w:t>
      </w:r>
      <w:r w:rsidR="00FE2773">
        <w:rPr>
          <w:rFonts w:asciiTheme="minorHAnsi" w:hAnsiTheme="minorHAnsi" w:cstheme="minorHAnsi"/>
          <w:sz w:val="22"/>
          <w:szCs w:val="22"/>
          <w:lang w:val="pl-PL"/>
        </w:rPr>
        <w:t>B</w:t>
      </w:r>
      <w:r w:rsidR="002B541E">
        <w:rPr>
          <w:rFonts w:asciiTheme="minorHAnsi" w:hAnsiTheme="minorHAnsi" w:cstheme="minorHAnsi"/>
          <w:sz w:val="22"/>
          <w:szCs w:val="22"/>
          <w:lang w:val="pl-PL"/>
        </w:rPr>
        <w:t xml:space="preserve">łędów w pkt. </w:t>
      </w:r>
      <w:r w:rsidR="00090515">
        <w:rPr>
          <w:rFonts w:asciiTheme="minorHAnsi" w:hAnsiTheme="minorHAnsi" w:cstheme="minorHAnsi"/>
          <w:sz w:val="22"/>
          <w:szCs w:val="22"/>
          <w:lang w:val="pl-PL"/>
        </w:rPr>
        <w:t>3</w:t>
      </w:r>
      <w:r w:rsidR="002B541E">
        <w:rPr>
          <w:rFonts w:asciiTheme="minorHAnsi" w:hAnsiTheme="minorHAnsi" w:cstheme="minorHAnsi"/>
          <w:sz w:val="22"/>
          <w:szCs w:val="22"/>
          <w:lang w:val="pl-PL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5"/>
        <w:gridCol w:w="1884"/>
        <w:gridCol w:w="4298"/>
        <w:gridCol w:w="2008"/>
        <w:gridCol w:w="523"/>
      </w:tblGrid>
      <w:tr w:rsidR="002B541E" w:rsidRPr="00472927" w:rsidTr="0092627C">
        <w:tc>
          <w:tcPr>
            <w:tcW w:w="546" w:type="dxa"/>
            <w:vAlign w:val="center"/>
          </w:tcPr>
          <w:p w:rsidR="002B541E" w:rsidRPr="00472927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472927">
              <w:rPr>
                <w:rFonts w:asciiTheme="minorHAnsi" w:hAnsiTheme="minorHAnsi" w:cstheme="minorHAnsi"/>
                <w:b/>
                <w:lang w:val="pl-PL"/>
              </w:rPr>
              <w:t>L.p.</w:t>
            </w:r>
          </w:p>
        </w:tc>
        <w:tc>
          <w:tcPr>
            <w:tcW w:w="1892" w:type="dxa"/>
            <w:vAlign w:val="center"/>
          </w:tcPr>
          <w:p w:rsidR="002B541E" w:rsidRPr="00472927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472927">
              <w:rPr>
                <w:rFonts w:asciiTheme="minorHAnsi" w:hAnsiTheme="minorHAnsi" w:cstheme="minorHAnsi"/>
                <w:b/>
                <w:lang w:val="pl-PL"/>
              </w:rPr>
              <w:t>Numer punktu opisującego Błąd</w:t>
            </w:r>
          </w:p>
        </w:tc>
        <w:tc>
          <w:tcPr>
            <w:tcW w:w="4333" w:type="dxa"/>
            <w:vAlign w:val="center"/>
          </w:tcPr>
          <w:p w:rsidR="002B541E" w:rsidRPr="00472927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472927">
              <w:rPr>
                <w:rFonts w:asciiTheme="minorHAnsi" w:hAnsiTheme="minorHAnsi" w:cstheme="minorHAnsi"/>
                <w:b/>
                <w:lang w:val="pl-PL"/>
              </w:rPr>
              <w:t>Parametr Błędu</w:t>
            </w:r>
          </w:p>
        </w:tc>
        <w:tc>
          <w:tcPr>
            <w:tcW w:w="2517" w:type="dxa"/>
            <w:gridSpan w:val="2"/>
            <w:vAlign w:val="center"/>
          </w:tcPr>
          <w:p w:rsidR="002B541E" w:rsidRPr="00472927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472927">
              <w:rPr>
                <w:rFonts w:asciiTheme="minorHAnsi" w:hAnsiTheme="minorHAnsi" w:cstheme="minorHAnsi"/>
                <w:b/>
                <w:lang w:val="pl-PL"/>
              </w:rPr>
              <w:t xml:space="preserve">Rodzaj </w:t>
            </w:r>
            <w:r w:rsidR="00FE2773">
              <w:rPr>
                <w:rFonts w:asciiTheme="minorHAnsi" w:hAnsiTheme="minorHAnsi" w:cstheme="minorHAnsi"/>
                <w:b/>
                <w:lang w:val="pl-PL"/>
              </w:rPr>
              <w:t>B</w:t>
            </w:r>
            <w:r w:rsidRPr="00472927">
              <w:rPr>
                <w:rFonts w:asciiTheme="minorHAnsi" w:hAnsiTheme="minorHAnsi" w:cstheme="minorHAnsi"/>
                <w:b/>
                <w:lang w:val="pl-PL"/>
              </w:rPr>
              <w:t>łędu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1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.1.1.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2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.1.2.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3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.1.3.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4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.1.4.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5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.1.5.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6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.1.6.</w:t>
            </w:r>
          </w:p>
        </w:tc>
        <w:tc>
          <w:tcPr>
            <w:tcW w:w="4333" w:type="dxa"/>
          </w:tcPr>
          <w:p w:rsidR="002B541E" w:rsidRPr="00095B8B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095B8B">
              <w:rPr>
                <w:rFonts w:asciiTheme="minorHAnsi" w:hAnsiTheme="minorHAnsi" w:cstheme="minorHAnsi"/>
                <w:lang w:val="pl-PL"/>
              </w:rPr>
              <w:t xml:space="preserve">Wystąpienie co najmniej 20 zdarzeń / 30 </w:t>
            </w:r>
            <w:r w:rsidR="00FE2773">
              <w:rPr>
                <w:rFonts w:asciiTheme="minorHAnsi" w:hAnsiTheme="minorHAnsi" w:cstheme="minorHAnsi"/>
                <w:lang w:val="pl-PL"/>
              </w:rPr>
              <w:t>D</w:t>
            </w:r>
            <w:r w:rsidRPr="00095B8B">
              <w:rPr>
                <w:rFonts w:asciiTheme="minorHAnsi" w:hAnsiTheme="minorHAnsi" w:cstheme="minorHAnsi"/>
                <w:lang w:val="pl-PL"/>
              </w:rPr>
              <w:t>ni</w:t>
            </w:r>
            <w:r w:rsidR="00FE2773">
              <w:rPr>
                <w:rFonts w:asciiTheme="minorHAnsi" w:hAnsiTheme="minorHAnsi" w:cstheme="minorHAnsi"/>
                <w:lang w:val="pl-PL"/>
              </w:rPr>
              <w:t xml:space="preserve"> kalendarzowych</w:t>
            </w:r>
            <w:r w:rsidRPr="00095B8B">
              <w:rPr>
                <w:rFonts w:asciiTheme="minorHAnsi" w:hAnsiTheme="minorHAnsi" w:cstheme="minorHAnsi"/>
                <w:lang w:val="pl-PL"/>
              </w:rPr>
              <w:t xml:space="preserve"> lub 100 zdarzeń / 365 </w:t>
            </w:r>
            <w:r w:rsidR="00FE2773">
              <w:rPr>
                <w:rFonts w:asciiTheme="minorHAnsi" w:hAnsiTheme="minorHAnsi" w:cstheme="minorHAnsi"/>
                <w:lang w:val="pl-PL"/>
              </w:rPr>
              <w:t>D</w:t>
            </w:r>
            <w:r w:rsidRPr="00095B8B">
              <w:rPr>
                <w:rFonts w:asciiTheme="minorHAnsi" w:hAnsiTheme="minorHAnsi" w:cstheme="minorHAnsi"/>
                <w:lang w:val="pl-PL"/>
              </w:rPr>
              <w:t xml:space="preserve">ni </w:t>
            </w:r>
            <w:r w:rsidR="00FE2773">
              <w:rPr>
                <w:rFonts w:asciiTheme="minorHAnsi" w:hAnsiTheme="minorHAnsi" w:cstheme="minorHAnsi"/>
                <w:lang w:val="pl-PL"/>
              </w:rPr>
              <w:t xml:space="preserve">kalendarzowych </w:t>
            </w:r>
            <w:r w:rsidRPr="00095B8B">
              <w:rPr>
                <w:rFonts w:asciiTheme="minorHAnsi" w:hAnsiTheme="minorHAnsi" w:cstheme="minorHAnsi"/>
                <w:lang w:val="pl-PL"/>
              </w:rPr>
              <w:t>przypadków samoistnych wypięć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rPr>
          <w:trHeight w:val="831"/>
        </w:trPr>
        <w:tc>
          <w:tcPr>
            <w:tcW w:w="546" w:type="dxa"/>
            <w:vMerge w:val="restart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7</w:t>
            </w:r>
          </w:p>
        </w:tc>
        <w:tc>
          <w:tcPr>
            <w:tcW w:w="1892" w:type="dxa"/>
            <w:vMerge w:val="restart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.1.7.</w:t>
            </w:r>
          </w:p>
        </w:tc>
        <w:tc>
          <w:tcPr>
            <w:tcW w:w="4333" w:type="dxa"/>
          </w:tcPr>
          <w:p w:rsidR="002B541E" w:rsidRPr="00CA31E0" w:rsidRDefault="000322A4" w:rsidP="000322A4">
            <w:pPr>
              <w:pStyle w:val="OPZLista1"/>
              <w:numPr>
                <w:ilvl w:val="0"/>
                <w:numId w:val="9"/>
              </w:numPr>
              <w:spacing w:before="0" w:after="0" w:line="360" w:lineRule="auto"/>
              <w:ind w:left="142" w:firstLine="0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 xml:space="preserve">Wystąpienie zdarzenia powyżej </w:t>
            </w:r>
            <w:r w:rsidR="002B541E" w:rsidRPr="00095B8B">
              <w:rPr>
                <w:rFonts w:asciiTheme="minorHAnsi" w:hAnsiTheme="minorHAnsi" w:cstheme="minorHAnsi"/>
                <w:lang w:val="pl-PL"/>
              </w:rPr>
              <w:t>4 razy</w:t>
            </w:r>
            <w:r w:rsidR="002B541E" w:rsidRPr="0036088B">
              <w:rPr>
                <w:rFonts w:asciiTheme="minorHAnsi" w:hAnsiTheme="minorHAnsi" w:cstheme="minorHAnsi"/>
                <w:sz w:val="18"/>
                <w:lang w:val="pl-PL"/>
              </w:rPr>
              <w:t xml:space="preserve"> </w:t>
            </w:r>
            <w:r w:rsidR="002B541E" w:rsidRPr="0036088B">
              <w:rPr>
                <w:rFonts w:asciiTheme="minorHAnsi" w:hAnsiTheme="minorHAnsi" w:cstheme="minorHAnsi"/>
                <w:lang w:val="pl-PL"/>
              </w:rPr>
              <w:t>w czasie 365 Dni</w:t>
            </w:r>
            <w:r w:rsidR="002B541E" w:rsidRPr="0036088B">
              <w:rPr>
                <w:rFonts w:asciiTheme="minorHAnsi" w:hAnsiTheme="minorHAnsi" w:cstheme="minorHAnsi"/>
                <w:szCs w:val="18"/>
                <w:lang w:val="pl-PL"/>
              </w:rPr>
              <w:t xml:space="preserve"> kalendarzowych</w:t>
            </w:r>
            <w:r w:rsidR="002B541E">
              <w:rPr>
                <w:rFonts w:asciiTheme="minorHAnsi" w:hAnsiTheme="minorHAnsi" w:cstheme="minorHAnsi"/>
                <w:szCs w:val="18"/>
                <w:lang w:val="pl-PL"/>
              </w:rPr>
              <w:t>.</w:t>
            </w:r>
          </w:p>
        </w:tc>
        <w:tc>
          <w:tcPr>
            <w:tcW w:w="2019" w:type="dxa"/>
          </w:tcPr>
          <w:p w:rsidR="002B541E" w:rsidRPr="001F43CD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240" w:lineRule="auto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 xml:space="preserve">365 Dni kalendarzowych </w:t>
            </w:r>
            <w:r w:rsidRPr="001F43CD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kolejno liczon</w:t>
            </w:r>
            <w:r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e</w:t>
            </w:r>
            <w:r w:rsidRPr="001F43CD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 xml:space="preserve"> od wystąpienia pierwszego Błędu krytycznego</w:t>
            </w:r>
            <w:r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 xml:space="preserve"> </w:t>
            </w:r>
            <w:r w:rsidRPr="0036088B">
              <w:rPr>
                <w:rFonts w:asciiTheme="minorHAnsi" w:hAnsiTheme="minorHAnsi" w:cstheme="minorHAnsi"/>
                <w:sz w:val="18"/>
                <w:lang w:val="pl-PL"/>
              </w:rPr>
              <w:t>(czas trwania zdarzeń do 10 godzin łącznie).</w:t>
            </w:r>
          </w:p>
        </w:tc>
        <w:tc>
          <w:tcPr>
            <w:tcW w:w="498" w:type="dxa"/>
            <w:vMerge w:val="restart"/>
            <w:textDirection w:val="btLr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240" w:lineRule="auto"/>
              <w:ind w:left="113" w:right="113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rPr>
          <w:trHeight w:val="897"/>
        </w:trPr>
        <w:tc>
          <w:tcPr>
            <w:tcW w:w="546" w:type="dxa"/>
            <w:vMerge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892" w:type="dxa"/>
            <w:vMerge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4333" w:type="dxa"/>
          </w:tcPr>
          <w:p w:rsidR="002B541E" w:rsidRPr="00095B8B" w:rsidRDefault="000322A4" w:rsidP="004E01C5">
            <w:pPr>
              <w:pStyle w:val="OPZLista1"/>
              <w:numPr>
                <w:ilvl w:val="0"/>
                <w:numId w:val="9"/>
              </w:numPr>
              <w:spacing w:before="0" w:after="0" w:line="360" w:lineRule="auto"/>
              <w:ind w:left="142" w:firstLine="0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 xml:space="preserve">Wystąpienie zdarzeń przekraczających </w:t>
            </w:r>
            <w:r w:rsidR="002B541E">
              <w:rPr>
                <w:rFonts w:asciiTheme="minorHAnsi" w:hAnsiTheme="minorHAnsi" w:cstheme="minorHAnsi"/>
                <w:lang w:val="pl-PL"/>
              </w:rPr>
              <w:t>łącznie</w:t>
            </w:r>
            <w:r w:rsidR="002B541E" w:rsidRPr="00095B8B">
              <w:rPr>
                <w:rFonts w:asciiTheme="minorHAnsi" w:hAnsiTheme="minorHAnsi" w:cstheme="minorHAnsi"/>
                <w:lang w:val="pl-PL"/>
              </w:rPr>
              <w:t xml:space="preserve"> 10 godzin w </w:t>
            </w:r>
            <w:r w:rsidR="002B541E">
              <w:rPr>
                <w:rFonts w:asciiTheme="minorHAnsi" w:hAnsiTheme="minorHAnsi" w:cstheme="minorHAnsi"/>
                <w:lang w:val="pl-PL"/>
              </w:rPr>
              <w:t>czasie 365 Dni kalendarzowych, niezależnie od ilości występowania zdarzeń.</w:t>
            </w:r>
          </w:p>
        </w:tc>
        <w:tc>
          <w:tcPr>
            <w:tcW w:w="2019" w:type="dxa"/>
          </w:tcPr>
          <w:p w:rsidR="002B541E" w:rsidRPr="001F43CD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240" w:lineRule="auto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7035F4">
              <w:rPr>
                <w:rFonts w:asciiTheme="minorHAnsi" w:hAnsiTheme="minorHAnsi" w:cstheme="minorHAnsi"/>
                <w:sz w:val="18"/>
                <w:lang w:val="pl-PL"/>
              </w:rPr>
              <w:t xml:space="preserve">365 </w:t>
            </w:r>
            <w:r>
              <w:rPr>
                <w:rFonts w:asciiTheme="minorHAnsi" w:hAnsiTheme="minorHAnsi" w:cstheme="minorHAnsi"/>
                <w:sz w:val="18"/>
                <w:lang w:val="pl-PL"/>
              </w:rPr>
              <w:t>D</w:t>
            </w:r>
            <w:r w:rsidRPr="007035F4">
              <w:rPr>
                <w:rFonts w:asciiTheme="minorHAnsi" w:hAnsiTheme="minorHAnsi" w:cstheme="minorHAnsi"/>
                <w:sz w:val="18"/>
                <w:lang w:val="pl-PL"/>
              </w:rPr>
              <w:t>ni</w:t>
            </w:r>
            <w:r w:rsidRPr="007035F4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 xml:space="preserve"> kalendarzowych </w:t>
            </w:r>
            <w:r w:rsidRPr="001F43CD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kolejno liczon</w:t>
            </w:r>
            <w:r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e</w:t>
            </w:r>
            <w:r w:rsidRPr="001F43CD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 xml:space="preserve"> od wystąpienia pierwszego Błędu krytycznego</w:t>
            </w:r>
            <w:r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.</w:t>
            </w:r>
          </w:p>
        </w:tc>
        <w:tc>
          <w:tcPr>
            <w:tcW w:w="498" w:type="dxa"/>
            <w:vMerge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2B541E" w:rsidRPr="00726D32" w:rsidTr="0092627C">
        <w:trPr>
          <w:trHeight w:val="897"/>
        </w:trPr>
        <w:tc>
          <w:tcPr>
            <w:tcW w:w="546" w:type="dxa"/>
            <w:vMerge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892" w:type="dxa"/>
            <w:vMerge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4333" w:type="dxa"/>
          </w:tcPr>
          <w:p w:rsidR="002B541E" w:rsidRPr="00095B8B" w:rsidRDefault="004E01C5" w:rsidP="002B541E">
            <w:pPr>
              <w:pStyle w:val="OPZLista1"/>
              <w:numPr>
                <w:ilvl w:val="0"/>
                <w:numId w:val="9"/>
              </w:numPr>
              <w:spacing w:before="0" w:after="0" w:line="360" w:lineRule="auto"/>
              <w:ind w:left="142" w:firstLine="0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Wystąpienie zdarzeń przekraczających wielokrotność</w:t>
            </w:r>
            <w:r w:rsidR="00AF0D39">
              <w:rPr>
                <w:rFonts w:asciiTheme="minorHAnsi" w:hAnsiTheme="minorHAnsi" w:cstheme="minorHAnsi"/>
                <w:lang w:val="pl-PL"/>
              </w:rPr>
              <w:t xml:space="preserve"> </w:t>
            </w:r>
            <w:r w:rsidR="002B541E" w:rsidRPr="00095B8B">
              <w:rPr>
                <w:rFonts w:asciiTheme="minorHAnsi" w:hAnsiTheme="minorHAnsi" w:cstheme="minorHAnsi"/>
                <w:lang w:val="pl-PL"/>
              </w:rPr>
              <w:t>10 godzin</w:t>
            </w:r>
            <w:r w:rsidR="002B541E">
              <w:rPr>
                <w:rFonts w:asciiTheme="minorHAnsi" w:hAnsiTheme="minorHAnsi" w:cstheme="minorHAnsi"/>
                <w:lang w:val="pl-PL"/>
              </w:rPr>
              <w:t>.</w:t>
            </w:r>
          </w:p>
        </w:tc>
        <w:tc>
          <w:tcPr>
            <w:tcW w:w="2019" w:type="dxa"/>
          </w:tcPr>
          <w:p w:rsidR="002B541E" w:rsidRPr="001F43CD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240" w:lineRule="auto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W tym przypadku godziny zdarzenia będą sumowane od chwili wystąpienia pierwszego Błędu krytycznego, a kary nakładane będą za przekroczenie każdych następnych 10 godzin. Rozpoczęcie naliczania okresu 365 Dni kalendarzowych następuje od chwili wystąpienia ostatniego Błędu krytycznego.</w:t>
            </w:r>
          </w:p>
        </w:tc>
        <w:tc>
          <w:tcPr>
            <w:tcW w:w="498" w:type="dxa"/>
            <w:vMerge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8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.1.8.</w:t>
            </w:r>
          </w:p>
        </w:tc>
        <w:tc>
          <w:tcPr>
            <w:tcW w:w="4333" w:type="dxa"/>
          </w:tcPr>
          <w:p w:rsidR="002B541E" w:rsidRPr="00095B8B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095B8B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rPr>
          <w:trHeight w:val="60"/>
        </w:trPr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9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.1.9.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10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.1.10.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Jednorazowo powyżej 2 godzin miesięcznie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11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.1.11.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 xml:space="preserve">Jednorazowo powyżej 4 godzin dla co najmniej 10% </w:t>
            </w:r>
            <w:r w:rsidR="00FE2773">
              <w:rPr>
                <w:rFonts w:asciiTheme="minorHAnsi" w:hAnsiTheme="minorHAnsi" w:cstheme="minorHAnsi"/>
                <w:lang w:val="pl-PL"/>
              </w:rPr>
              <w:t>Ur</w:t>
            </w:r>
            <w:r w:rsidRPr="00726D32">
              <w:rPr>
                <w:rFonts w:asciiTheme="minorHAnsi" w:hAnsiTheme="minorHAnsi" w:cstheme="minorHAnsi"/>
                <w:lang w:val="pl-PL"/>
              </w:rPr>
              <w:t>ządzeń</w:t>
            </w:r>
            <w:r w:rsidR="00FE2773">
              <w:rPr>
                <w:rFonts w:asciiTheme="minorHAnsi" w:hAnsiTheme="minorHAnsi" w:cstheme="minorHAnsi"/>
                <w:lang w:val="pl-PL"/>
              </w:rPr>
              <w:t xml:space="preserve"> monitorujących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12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.1.12.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13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.1.13.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14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.1.14.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15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.1.15.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16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.2.1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Niekrytyczny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17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.2.2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Niekrytyczny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18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.2.3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Niekrytyczny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19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.2.4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Przekroczenie 24 godzin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Niekrytyczny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20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.3.1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Przekroczenie terminu 30 Dni kalendarzowych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Niekrytyczny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21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.3.2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Niekrytyczny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22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.3.3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Niekrytyczny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23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.3.4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Niekrytyczny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24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.3.5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Wystąpienie zdarzenia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Niekrytyczny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25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.3.6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Przekroczenie terminu o 7 Dni kalendarzowych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Niekrytyczny</w:t>
            </w:r>
          </w:p>
        </w:tc>
      </w:tr>
      <w:tr w:rsidR="002B541E" w:rsidRPr="00726D32" w:rsidTr="0092627C">
        <w:tc>
          <w:tcPr>
            <w:tcW w:w="546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26</w:t>
            </w:r>
          </w:p>
        </w:tc>
        <w:tc>
          <w:tcPr>
            <w:tcW w:w="1892" w:type="dxa"/>
          </w:tcPr>
          <w:p w:rsidR="002B541E" w:rsidRPr="00726D32" w:rsidRDefault="00EC5780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</w:t>
            </w:r>
            <w:r w:rsidR="002B541E" w:rsidRPr="00726D32">
              <w:rPr>
                <w:rFonts w:asciiTheme="minorHAnsi" w:hAnsiTheme="minorHAnsi" w:cstheme="minorHAnsi"/>
                <w:lang w:val="pl-PL"/>
              </w:rPr>
              <w:t>.3.7</w:t>
            </w:r>
          </w:p>
        </w:tc>
        <w:tc>
          <w:tcPr>
            <w:tcW w:w="4333" w:type="dxa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Przekroczenie terminu o 2 Dni robocze</w:t>
            </w:r>
          </w:p>
        </w:tc>
        <w:tc>
          <w:tcPr>
            <w:tcW w:w="2517" w:type="dxa"/>
            <w:gridSpan w:val="2"/>
          </w:tcPr>
          <w:p w:rsidR="002B541E" w:rsidRPr="00726D32" w:rsidRDefault="002B541E" w:rsidP="0092627C">
            <w:pPr>
              <w:pStyle w:val="OPZLista1"/>
              <w:numPr>
                <w:ilvl w:val="0"/>
                <w:numId w:val="0"/>
              </w:numPr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26D32">
              <w:rPr>
                <w:rFonts w:asciiTheme="minorHAnsi" w:hAnsiTheme="minorHAnsi" w:cstheme="minorHAnsi"/>
                <w:lang w:val="pl-PL"/>
              </w:rPr>
              <w:t>Niekrytyczny</w:t>
            </w:r>
          </w:p>
        </w:tc>
      </w:tr>
    </w:tbl>
    <w:p w:rsidR="006808EE" w:rsidRPr="00726D32" w:rsidRDefault="006808EE" w:rsidP="00726D32">
      <w:pPr>
        <w:pStyle w:val="OPZLista1"/>
        <w:numPr>
          <w:ilvl w:val="0"/>
          <w:numId w:val="0"/>
        </w:numPr>
        <w:spacing w:before="0" w:after="0" w:line="360" w:lineRule="auto"/>
        <w:rPr>
          <w:rFonts w:asciiTheme="minorHAnsi" w:hAnsiTheme="minorHAnsi" w:cstheme="minorHAnsi"/>
          <w:sz w:val="22"/>
          <w:szCs w:val="22"/>
          <w:lang w:val="pl-PL"/>
        </w:rPr>
      </w:pPr>
    </w:p>
    <w:p w:rsidR="002F4B98" w:rsidRPr="00726D32" w:rsidRDefault="004908DA" w:rsidP="00472927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sz w:val="22"/>
          <w:szCs w:val="22"/>
          <w:lang w:val="pl-PL"/>
        </w:rPr>
      </w:pPr>
      <w:r w:rsidRPr="00726D32">
        <w:rPr>
          <w:rFonts w:asciiTheme="minorHAnsi" w:hAnsiTheme="minorHAnsi" w:cstheme="minorHAnsi"/>
          <w:sz w:val="22"/>
          <w:szCs w:val="22"/>
          <w:lang w:val="pl-PL"/>
        </w:rPr>
        <w:lastRenderedPageBreak/>
        <w:t xml:space="preserve">Zamawiający może odstąpić od Umowy w przypadku </w:t>
      </w:r>
      <w:r w:rsidR="002F4B98" w:rsidRPr="00726D32">
        <w:rPr>
          <w:rFonts w:asciiTheme="minorHAnsi" w:hAnsiTheme="minorHAnsi" w:cstheme="minorHAnsi"/>
          <w:sz w:val="22"/>
          <w:szCs w:val="22"/>
          <w:lang w:val="pl-PL"/>
        </w:rPr>
        <w:t>nieusun</w:t>
      </w:r>
      <w:r w:rsidR="006808EE" w:rsidRPr="00726D32">
        <w:rPr>
          <w:rFonts w:asciiTheme="minorHAnsi" w:hAnsiTheme="minorHAnsi" w:cstheme="minorHAnsi"/>
          <w:sz w:val="22"/>
          <w:szCs w:val="22"/>
          <w:lang w:val="pl-PL"/>
        </w:rPr>
        <w:t>i</w:t>
      </w:r>
      <w:r w:rsidR="002F4B98" w:rsidRPr="00726D32">
        <w:rPr>
          <w:rFonts w:asciiTheme="minorHAnsi" w:hAnsiTheme="minorHAnsi" w:cstheme="minorHAnsi"/>
          <w:sz w:val="22"/>
          <w:szCs w:val="22"/>
          <w:lang w:val="pl-PL"/>
        </w:rPr>
        <w:t xml:space="preserve">ęcia przez Wykonawcę Błędu krytycznego w czasie do 72 godzin </w:t>
      </w:r>
      <w:r w:rsidRPr="00726D32">
        <w:rPr>
          <w:rFonts w:asciiTheme="minorHAnsi" w:hAnsiTheme="minorHAnsi" w:cstheme="minorHAnsi"/>
          <w:sz w:val="22"/>
          <w:szCs w:val="22"/>
          <w:lang w:val="pl-PL"/>
        </w:rPr>
        <w:t xml:space="preserve">od momentu </w:t>
      </w:r>
      <w:r w:rsidR="002F4B98" w:rsidRPr="00726D32">
        <w:rPr>
          <w:rFonts w:asciiTheme="minorHAnsi" w:hAnsiTheme="minorHAnsi" w:cstheme="minorHAnsi"/>
          <w:sz w:val="22"/>
          <w:szCs w:val="22"/>
          <w:lang w:val="pl-PL"/>
        </w:rPr>
        <w:t xml:space="preserve">jego </w:t>
      </w:r>
      <w:r w:rsidRPr="00726D32">
        <w:rPr>
          <w:rFonts w:asciiTheme="minorHAnsi" w:hAnsiTheme="minorHAnsi" w:cstheme="minorHAnsi"/>
          <w:sz w:val="22"/>
          <w:szCs w:val="22"/>
          <w:lang w:val="pl-PL"/>
        </w:rPr>
        <w:t xml:space="preserve">zgłoszenia. </w:t>
      </w:r>
    </w:p>
    <w:p w:rsidR="002F4B98" w:rsidRPr="00726D32" w:rsidRDefault="002F4B98" w:rsidP="00472927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sz w:val="22"/>
          <w:szCs w:val="22"/>
          <w:lang w:val="pl-PL"/>
        </w:rPr>
      </w:pPr>
      <w:r w:rsidRPr="00726D32">
        <w:rPr>
          <w:rFonts w:asciiTheme="minorHAnsi" w:hAnsiTheme="minorHAnsi" w:cstheme="minorHAnsi"/>
          <w:sz w:val="22"/>
          <w:szCs w:val="22"/>
          <w:lang w:val="pl-PL"/>
        </w:rPr>
        <w:t xml:space="preserve">Zamawiający może odstąpić od Umowy w przypadku </w:t>
      </w:r>
      <w:r w:rsidR="006808EE" w:rsidRPr="00726D32">
        <w:rPr>
          <w:rFonts w:asciiTheme="minorHAnsi" w:hAnsiTheme="minorHAnsi" w:cstheme="minorHAnsi"/>
          <w:sz w:val="22"/>
          <w:szCs w:val="22"/>
          <w:lang w:val="pl-PL"/>
        </w:rPr>
        <w:t>nieusunięcia</w:t>
      </w:r>
      <w:r w:rsidRPr="00726D32">
        <w:rPr>
          <w:rFonts w:asciiTheme="minorHAnsi" w:hAnsiTheme="minorHAnsi" w:cstheme="minorHAnsi"/>
          <w:sz w:val="22"/>
          <w:szCs w:val="22"/>
          <w:lang w:val="pl-PL"/>
        </w:rPr>
        <w:t xml:space="preserve"> przez Wykonawcę Błędu niekrytycznego w czasie do 168 godzin od momentu jego zgłoszenia. </w:t>
      </w:r>
    </w:p>
    <w:p w:rsidR="00A02D41" w:rsidRPr="00726D32" w:rsidRDefault="007E4AFA" w:rsidP="00472927">
      <w:pPr>
        <w:pStyle w:val="OPZLista1"/>
        <w:spacing w:before="0" w:after="0" w:line="360" w:lineRule="auto"/>
        <w:outlineLvl w:val="0"/>
        <w:rPr>
          <w:rFonts w:asciiTheme="minorHAnsi" w:hAnsiTheme="minorHAnsi" w:cstheme="minorHAnsi"/>
          <w:sz w:val="22"/>
          <w:szCs w:val="22"/>
          <w:lang w:val="pl-PL"/>
        </w:rPr>
      </w:pPr>
      <w:r w:rsidRPr="00726D32">
        <w:rPr>
          <w:rFonts w:asciiTheme="minorHAnsi" w:hAnsiTheme="minorHAnsi" w:cstheme="minorHAnsi"/>
          <w:sz w:val="22"/>
          <w:szCs w:val="22"/>
          <w:lang w:val="pl-PL"/>
        </w:rPr>
        <w:t>Naliczone kary umowne są sumowane.</w:t>
      </w:r>
    </w:p>
    <w:sectPr w:rsidR="00A02D41" w:rsidRPr="00726D32" w:rsidSect="003C623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B44" w:rsidRDefault="00C26B44" w:rsidP="00E37DF0">
      <w:r>
        <w:separator/>
      </w:r>
    </w:p>
  </w:endnote>
  <w:endnote w:type="continuationSeparator" w:id="0">
    <w:p w:rsidR="00C26B44" w:rsidRDefault="00C26B44" w:rsidP="00E37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46416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808EE" w:rsidRDefault="006808EE" w:rsidP="00E37DF0">
            <w:pPr>
              <w:pStyle w:val="Stopka"/>
            </w:pPr>
            <w:r>
              <w:t xml:space="preserve">Strona </w:t>
            </w:r>
            <w:r w:rsidR="00035AEB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035AEB">
              <w:rPr>
                <w:b/>
                <w:bCs/>
              </w:rPr>
              <w:fldChar w:fldCharType="separate"/>
            </w:r>
            <w:r w:rsidR="009F591B">
              <w:rPr>
                <w:b/>
                <w:bCs/>
                <w:noProof/>
              </w:rPr>
              <w:t>7</w:t>
            </w:r>
            <w:r w:rsidR="00035AEB">
              <w:rPr>
                <w:b/>
                <w:bCs/>
              </w:rPr>
              <w:fldChar w:fldCharType="end"/>
            </w:r>
            <w:r>
              <w:t xml:space="preserve"> z </w:t>
            </w:r>
            <w:r w:rsidR="00035AEB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035AEB">
              <w:rPr>
                <w:b/>
                <w:bCs/>
              </w:rPr>
              <w:fldChar w:fldCharType="separate"/>
            </w:r>
            <w:r w:rsidR="009F591B">
              <w:rPr>
                <w:b/>
                <w:bCs/>
                <w:noProof/>
              </w:rPr>
              <w:t>7</w:t>
            </w:r>
            <w:r w:rsidR="00035AEB"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B44" w:rsidRDefault="00C26B44" w:rsidP="00E37DF0">
      <w:r>
        <w:separator/>
      </w:r>
    </w:p>
  </w:footnote>
  <w:footnote w:type="continuationSeparator" w:id="0">
    <w:p w:rsidR="00C26B44" w:rsidRDefault="00C26B44" w:rsidP="00E37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6F93"/>
    <w:multiLevelType w:val="multilevel"/>
    <w:tmpl w:val="A170D6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E0842B4"/>
    <w:multiLevelType w:val="multilevel"/>
    <w:tmpl w:val="2EA26090"/>
    <w:lvl w:ilvl="0">
      <w:start w:val="1"/>
      <w:numFmt w:val="decimal"/>
      <w:pStyle w:val="Nagwek1"/>
      <w:suff w:val="nothing"/>
      <w:lvlText w:val="§ %1."/>
      <w:lvlJc w:val="center"/>
      <w:pPr>
        <w:ind w:left="411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decimal"/>
      <w:pStyle w:val="Nagwek2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pStyle w:val="Nagwek3"/>
      <w:lvlText w:val="%3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2">
    <w:nsid w:val="28657104"/>
    <w:multiLevelType w:val="hybridMultilevel"/>
    <w:tmpl w:val="CA081C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D6377D"/>
    <w:multiLevelType w:val="hybridMultilevel"/>
    <w:tmpl w:val="005415DC"/>
    <w:lvl w:ilvl="0" w:tplc="7BA854A0">
      <w:start w:val="5"/>
      <w:numFmt w:val="decimal"/>
      <w:suff w:val="space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11598E"/>
    <w:multiLevelType w:val="hybridMultilevel"/>
    <w:tmpl w:val="48961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A4A618E2">
      <w:start w:val="1"/>
      <w:numFmt w:val="decimal"/>
      <w:lvlText w:val="%7."/>
      <w:lvlJc w:val="left"/>
      <w:pPr>
        <w:ind w:left="502" w:hanging="360"/>
      </w:pPr>
      <w:rPr>
        <w:strike w:val="0"/>
        <w:color w:val="auto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881014"/>
    <w:multiLevelType w:val="multilevel"/>
    <w:tmpl w:val="97340DEA"/>
    <w:name w:val="OPZ_Lista"/>
    <w:lvl w:ilvl="0">
      <w:start w:val="1"/>
      <w:numFmt w:val="decimal"/>
      <w:pStyle w:val="OPZLista1"/>
      <w:lvlText w:val="%1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1">
      <w:start w:val="1"/>
      <w:numFmt w:val="decimal"/>
      <w:pStyle w:val="OPZLista2"/>
      <w:lvlText w:val="%1.%2."/>
      <w:lvlJc w:val="left"/>
      <w:pPr>
        <w:ind w:left="0" w:firstLine="0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OPZLista3"/>
      <w:lvlText w:val="%1.%2.%3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3">
      <w:start w:val="1"/>
      <w:numFmt w:val="decimal"/>
      <w:pStyle w:val="OPZLista4"/>
      <w:lvlText w:val="%1.%2.%3.%4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4">
      <w:start w:val="1"/>
      <w:numFmt w:val="decimal"/>
      <w:pStyle w:val="OPZLista5"/>
      <w:lvlText w:val="%1.%2.%3.%4.%5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6">
    <w:nsid w:val="6C5241E3"/>
    <w:multiLevelType w:val="hybridMultilevel"/>
    <w:tmpl w:val="C860C028"/>
    <w:name w:val="OPZ_Lista2"/>
    <w:lvl w:ilvl="0" w:tplc="91FAC9C4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02C0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7F8A1954"/>
    <w:multiLevelType w:val="multilevel"/>
    <w:tmpl w:val="5086B47A"/>
    <w:lvl w:ilvl="0">
      <w:start w:val="5"/>
      <w:numFmt w:val="decimal"/>
      <w:suff w:val="space"/>
      <w:lvlText w:val="%1."/>
      <w:lvlJc w:val="left"/>
      <w:pPr>
        <w:ind w:left="360" w:hanging="360"/>
      </w:pPr>
      <w:rPr>
        <w:rFonts w:asciiTheme="minorHAnsi" w:hAnsiTheme="minorHAnsi" w:cstheme="minorHAnsi" w:hint="default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1800" w:hanging="360"/>
      </w:pPr>
      <w:rPr>
        <w:rFonts w:asciiTheme="minorHAnsi" w:hAnsiTheme="minorHAnsi" w:cstheme="minorHAnsi" w:hint="default"/>
        <w:strike w:val="0"/>
        <w:color w:val="auto"/>
        <w:sz w:val="22"/>
      </w:rPr>
    </w:lvl>
    <w:lvl w:ilvl="2">
      <w:start w:val="1"/>
      <w:numFmt w:val="decimal"/>
      <w:suff w:val="space"/>
      <w:lvlText w:val="%1.%2.%3."/>
      <w:lvlJc w:val="left"/>
      <w:pPr>
        <w:ind w:left="3600" w:hanging="720"/>
      </w:pPr>
      <w:rPr>
        <w:rFonts w:asciiTheme="minorHAnsi" w:hAnsiTheme="minorHAnsi" w:cs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asciiTheme="minorHAnsi" w:hAnsiTheme="minorHAnsi" w:cs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asciiTheme="minorHAnsi" w:hAnsiTheme="minorHAnsi" w:cs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asciiTheme="minorHAnsi" w:hAnsiTheme="minorHAnsi" w:cs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asciiTheme="minorHAnsi" w:hAnsiTheme="minorHAnsi" w:cs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asciiTheme="minorHAnsi" w:hAnsiTheme="minorHAnsi" w:cs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asciiTheme="minorHAnsi" w:hAnsiTheme="minorHAnsi" w:cstheme="minorHAnsi" w:hint="default"/>
        <w:sz w:val="22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1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E73"/>
    <w:rsid w:val="00015A05"/>
    <w:rsid w:val="00031BD7"/>
    <w:rsid w:val="000322A4"/>
    <w:rsid w:val="00035AEB"/>
    <w:rsid w:val="00054219"/>
    <w:rsid w:val="00061A21"/>
    <w:rsid w:val="00090515"/>
    <w:rsid w:val="00091F5C"/>
    <w:rsid w:val="00095B8B"/>
    <w:rsid w:val="000D0E26"/>
    <w:rsid w:val="001022A8"/>
    <w:rsid w:val="00113868"/>
    <w:rsid w:val="0011744B"/>
    <w:rsid w:val="00117B17"/>
    <w:rsid w:val="00150E82"/>
    <w:rsid w:val="00202212"/>
    <w:rsid w:val="00234DAB"/>
    <w:rsid w:val="002409F1"/>
    <w:rsid w:val="002800BC"/>
    <w:rsid w:val="002B0AA9"/>
    <w:rsid w:val="002B541E"/>
    <w:rsid w:val="002F4B98"/>
    <w:rsid w:val="002F4E73"/>
    <w:rsid w:val="00305CF0"/>
    <w:rsid w:val="00384A98"/>
    <w:rsid w:val="003A5F49"/>
    <w:rsid w:val="003B7AF3"/>
    <w:rsid w:val="003C623A"/>
    <w:rsid w:val="003E4A7C"/>
    <w:rsid w:val="003E7B9E"/>
    <w:rsid w:val="004031CE"/>
    <w:rsid w:val="004137A8"/>
    <w:rsid w:val="00421755"/>
    <w:rsid w:val="00441DCF"/>
    <w:rsid w:val="004541BA"/>
    <w:rsid w:val="004650F2"/>
    <w:rsid w:val="004666B2"/>
    <w:rsid w:val="00472927"/>
    <w:rsid w:val="004908DA"/>
    <w:rsid w:val="004E01C5"/>
    <w:rsid w:val="004F1A0F"/>
    <w:rsid w:val="005060E4"/>
    <w:rsid w:val="00515BB7"/>
    <w:rsid w:val="00555DBB"/>
    <w:rsid w:val="005706FD"/>
    <w:rsid w:val="005C0B21"/>
    <w:rsid w:val="006506EA"/>
    <w:rsid w:val="006551C0"/>
    <w:rsid w:val="00675821"/>
    <w:rsid w:val="006808EE"/>
    <w:rsid w:val="006B7719"/>
    <w:rsid w:val="006C1B28"/>
    <w:rsid w:val="006C6693"/>
    <w:rsid w:val="006E17A2"/>
    <w:rsid w:val="006E17FB"/>
    <w:rsid w:val="006F48BD"/>
    <w:rsid w:val="00704F99"/>
    <w:rsid w:val="00726D32"/>
    <w:rsid w:val="00735F80"/>
    <w:rsid w:val="0074767C"/>
    <w:rsid w:val="007557DD"/>
    <w:rsid w:val="00761C3E"/>
    <w:rsid w:val="00765FD3"/>
    <w:rsid w:val="007E4AFA"/>
    <w:rsid w:val="007F7EC9"/>
    <w:rsid w:val="008260AE"/>
    <w:rsid w:val="00863D68"/>
    <w:rsid w:val="008838F0"/>
    <w:rsid w:val="008A6636"/>
    <w:rsid w:val="008A6C6B"/>
    <w:rsid w:val="008B502F"/>
    <w:rsid w:val="008C7962"/>
    <w:rsid w:val="008E0862"/>
    <w:rsid w:val="008E1BA7"/>
    <w:rsid w:val="008E5BF1"/>
    <w:rsid w:val="00914DEF"/>
    <w:rsid w:val="009279EF"/>
    <w:rsid w:val="009513BD"/>
    <w:rsid w:val="00971763"/>
    <w:rsid w:val="00981D84"/>
    <w:rsid w:val="00996939"/>
    <w:rsid w:val="009B489A"/>
    <w:rsid w:val="009D25BB"/>
    <w:rsid w:val="009E6841"/>
    <w:rsid w:val="009E7900"/>
    <w:rsid w:val="009F591B"/>
    <w:rsid w:val="00A02D41"/>
    <w:rsid w:val="00A0646E"/>
    <w:rsid w:val="00A14972"/>
    <w:rsid w:val="00A249BE"/>
    <w:rsid w:val="00A57FB8"/>
    <w:rsid w:val="00AB7A8F"/>
    <w:rsid w:val="00AD28BC"/>
    <w:rsid w:val="00AF0D39"/>
    <w:rsid w:val="00AF65B7"/>
    <w:rsid w:val="00B35C33"/>
    <w:rsid w:val="00B77289"/>
    <w:rsid w:val="00B92C13"/>
    <w:rsid w:val="00B95B5A"/>
    <w:rsid w:val="00BB1734"/>
    <w:rsid w:val="00BB29EC"/>
    <w:rsid w:val="00BD23EC"/>
    <w:rsid w:val="00BF0D0B"/>
    <w:rsid w:val="00C03161"/>
    <w:rsid w:val="00C11F81"/>
    <w:rsid w:val="00C13CE4"/>
    <w:rsid w:val="00C17BF4"/>
    <w:rsid w:val="00C26B44"/>
    <w:rsid w:val="00C445E0"/>
    <w:rsid w:val="00C54B58"/>
    <w:rsid w:val="00C724C4"/>
    <w:rsid w:val="00CD60AC"/>
    <w:rsid w:val="00CE6946"/>
    <w:rsid w:val="00D012A3"/>
    <w:rsid w:val="00D15B16"/>
    <w:rsid w:val="00D46ECB"/>
    <w:rsid w:val="00D81099"/>
    <w:rsid w:val="00D90B86"/>
    <w:rsid w:val="00DA716D"/>
    <w:rsid w:val="00DB14D8"/>
    <w:rsid w:val="00DB6969"/>
    <w:rsid w:val="00DE49AF"/>
    <w:rsid w:val="00DF1248"/>
    <w:rsid w:val="00DF4C31"/>
    <w:rsid w:val="00E07221"/>
    <w:rsid w:val="00E37DF0"/>
    <w:rsid w:val="00E41895"/>
    <w:rsid w:val="00E565FC"/>
    <w:rsid w:val="00E823FA"/>
    <w:rsid w:val="00EA3E39"/>
    <w:rsid w:val="00EA7E25"/>
    <w:rsid w:val="00EC5780"/>
    <w:rsid w:val="00EF7F38"/>
    <w:rsid w:val="00F2317F"/>
    <w:rsid w:val="00F3409F"/>
    <w:rsid w:val="00F6346D"/>
    <w:rsid w:val="00F704A2"/>
    <w:rsid w:val="00F778DF"/>
    <w:rsid w:val="00FB3961"/>
    <w:rsid w:val="00FD6D78"/>
    <w:rsid w:val="00FE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D25BB"/>
    <w:pPr>
      <w:keepNext/>
      <w:numPr>
        <w:numId w:val="6"/>
      </w:numPr>
      <w:spacing w:before="240" w:after="240"/>
      <w:jc w:val="center"/>
      <w:outlineLvl w:val="0"/>
    </w:pPr>
    <w:rPr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D25BB"/>
    <w:pPr>
      <w:numPr>
        <w:ilvl w:val="1"/>
        <w:numId w:val="6"/>
      </w:numPr>
      <w:spacing w:after="240"/>
      <w:jc w:val="both"/>
      <w:outlineLvl w:val="1"/>
    </w:pPr>
    <w:rPr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9D25BB"/>
    <w:pPr>
      <w:numPr>
        <w:ilvl w:val="2"/>
        <w:numId w:val="6"/>
      </w:numPr>
      <w:spacing w:after="240"/>
      <w:jc w:val="both"/>
      <w:outlineLvl w:val="2"/>
    </w:pPr>
    <w:rPr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49BE"/>
    <w:pPr>
      <w:ind w:left="720"/>
      <w:contextualSpacing/>
    </w:pPr>
  </w:style>
  <w:style w:type="paragraph" w:customStyle="1" w:styleId="OPZLista1">
    <w:name w:val="OPZ_Lista.1"/>
    <w:basedOn w:val="OPZAkapit"/>
    <w:qFormat/>
    <w:rsid w:val="00761C3E"/>
    <w:pPr>
      <w:numPr>
        <w:numId w:val="2"/>
      </w:numPr>
    </w:pPr>
    <w:rPr>
      <w:lang w:val="en-US"/>
    </w:rPr>
  </w:style>
  <w:style w:type="paragraph" w:styleId="Bezodstpw">
    <w:name w:val="No Spacing"/>
    <w:uiPriority w:val="1"/>
    <w:qFormat/>
    <w:rsid w:val="00A249BE"/>
    <w:pPr>
      <w:spacing w:after="0" w:line="240" w:lineRule="auto"/>
    </w:pPr>
  </w:style>
  <w:style w:type="paragraph" w:styleId="Lista">
    <w:name w:val="List"/>
    <w:basedOn w:val="Normalny"/>
    <w:uiPriority w:val="99"/>
    <w:semiHidden/>
    <w:unhideWhenUsed/>
    <w:rsid w:val="00A249BE"/>
    <w:pPr>
      <w:ind w:left="283" w:hanging="283"/>
      <w:contextualSpacing/>
    </w:pPr>
  </w:style>
  <w:style w:type="paragraph" w:customStyle="1" w:styleId="OPZLista2">
    <w:name w:val="OPZ_Lista.2"/>
    <w:basedOn w:val="OPZAkapit"/>
    <w:qFormat/>
    <w:rsid w:val="00A249BE"/>
    <w:pPr>
      <w:numPr>
        <w:ilvl w:val="1"/>
        <w:numId w:val="2"/>
      </w:numPr>
    </w:pPr>
  </w:style>
  <w:style w:type="paragraph" w:customStyle="1" w:styleId="OPZLista3">
    <w:name w:val="OPZ_Lista.3"/>
    <w:basedOn w:val="OPZAkapit"/>
    <w:qFormat/>
    <w:rsid w:val="00A249BE"/>
    <w:pPr>
      <w:numPr>
        <w:ilvl w:val="2"/>
        <w:numId w:val="2"/>
      </w:numPr>
    </w:pPr>
  </w:style>
  <w:style w:type="paragraph" w:styleId="Lista2">
    <w:name w:val="List 2"/>
    <w:basedOn w:val="Normalny"/>
    <w:uiPriority w:val="99"/>
    <w:semiHidden/>
    <w:unhideWhenUsed/>
    <w:rsid w:val="00A249BE"/>
    <w:pPr>
      <w:ind w:left="566" w:hanging="283"/>
      <w:contextualSpacing/>
    </w:pPr>
  </w:style>
  <w:style w:type="paragraph" w:customStyle="1" w:styleId="OPZLista4">
    <w:name w:val="OPZ_Lista.4"/>
    <w:basedOn w:val="OPZAkapit"/>
    <w:qFormat/>
    <w:rsid w:val="00A249BE"/>
    <w:pPr>
      <w:numPr>
        <w:ilvl w:val="3"/>
        <w:numId w:val="2"/>
      </w:numPr>
    </w:pPr>
  </w:style>
  <w:style w:type="paragraph" w:styleId="Lista3">
    <w:name w:val="List 3"/>
    <w:basedOn w:val="Normalny"/>
    <w:uiPriority w:val="99"/>
    <w:semiHidden/>
    <w:unhideWhenUsed/>
    <w:rsid w:val="00A249BE"/>
    <w:pPr>
      <w:ind w:left="849" w:hanging="283"/>
      <w:contextualSpacing/>
    </w:pPr>
  </w:style>
  <w:style w:type="paragraph" w:customStyle="1" w:styleId="OPZLista5">
    <w:name w:val="OPZ_Lista.5"/>
    <w:basedOn w:val="OPZAkapit"/>
    <w:qFormat/>
    <w:rsid w:val="00A249BE"/>
    <w:pPr>
      <w:numPr>
        <w:ilvl w:val="4"/>
        <w:numId w:val="2"/>
      </w:numPr>
    </w:pPr>
  </w:style>
  <w:style w:type="paragraph" w:customStyle="1" w:styleId="OPZLista6">
    <w:name w:val="OPZ_Lista.6"/>
    <w:basedOn w:val="OPZAkapit"/>
    <w:qFormat/>
    <w:rsid w:val="00761C3E"/>
    <w:pPr>
      <w:numPr>
        <w:ilvl w:val="5"/>
        <w:numId w:val="2"/>
      </w:numPr>
    </w:pPr>
  </w:style>
  <w:style w:type="paragraph" w:customStyle="1" w:styleId="OPZLista7">
    <w:name w:val="OPZ_Lista.7"/>
    <w:basedOn w:val="OPZAkapit"/>
    <w:qFormat/>
    <w:rsid w:val="00761C3E"/>
    <w:pPr>
      <w:numPr>
        <w:ilvl w:val="6"/>
        <w:numId w:val="2"/>
      </w:numPr>
    </w:pPr>
  </w:style>
  <w:style w:type="paragraph" w:customStyle="1" w:styleId="OPZLista8">
    <w:name w:val="OPZ_Lista.8"/>
    <w:basedOn w:val="OPZAkapit"/>
    <w:qFormat/>
    <w:rsid w:val="00761C3E"/>
    <w:pPr>
      <w:numPr>
        <w:ilvl w:val="7"/>
        <w:numId w:val="2"/>
      </w:numPr>
    </w:pPr>
  </w:style>
  <w:style w:type="paragraph" w:customStyle="1" w:styleId="OPZLista9">
    <w:name w:val="OPZ_Lista.9"/>
    <w:basedOn w:val="OPZAkapit"/>
    <w:qFormat/>
    <w:rsid w:val="00761C3E"/>
    <w:pPr>
      <w:numPr>
        <w:ilvl w:val="8"/>
        <w:numId w:val="2"/>
      </w:numPr>
    </w:pPr>
  </w:style>
  <w:style w:type="paragraph" w:customStyle="1" w:styleId="OPZAkapit">
    <w:name w:val="OPZ_Akapit"/>
    <w:basedOn w:val="Tekstpodstawowy"/>
    <w:qFormat/>
    <w:rsid w:val="00031BD7"/>
    <w:pPr>
      <w:spacing w:before="160" w:after="160" w:line="276" w:lineRule="auto"/>
      <w:jc w:val="both"/>
    </w:pPr>
    <w:rPr>
      <w:rFonts w:ascii="Calibri" w:hAnsi="Calibri"/>
    </w:rPr>
  </w:style>
  <w:style w:type="paragraph" w:customStyle="1" w:styleId="OPZTytulZalTabela">
    <w:name w:val="OPZ_Tytul.Zal_Tabela"/>
    <w:basedOn w:val="OPZAkapit"/>
    <w:next w:val="OPZAkapit"/>
    <w:qFormat/>
    <w:rsid w:val="006506EA"/>
    <w:pPr>
      <w:spacing w:before="360" w:after="360"/>
      <w:jc w:val="center"/>
    </w:pPr>
    <w:rPr>
      <w:b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31B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31BD7"/>
  </w:style>
  <w:style w:type="paragraph" w:customStyle="1" w:styleId="OPZNrZal">
    <w:name w:val="OPZ_Nr.Zal"/>
    <w:basedOn w:val="OPZAkapit"/>
    <w:next w:val="OPZTytulZalTabela"/>
    <w:qFormat/>
    <w:rsid w:val="00C03161"/>
    <w:pPr>
      <w:jc w:val="right"/>
    </w:pPr>
  </w:style>
  <w:style w:type="paragraph" w:styleId="Nagwek">
    <w:name w:val="header"/>
    <w:basedOn w:val="Normalny"/>
    <w:link w:val="NagwekZnak"/>
    <w:uiPriority w:val="99"/>
    <w:unhideWhenUsed/>
    <w:rsid w:val="00E37D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7DF0"/>
  </w:style>
  <w:style w:type="paragraph" w:styleId="Stopka">
    <w:name w:val="footer"/>
    <w:aliases w:val="OPZ_Stopka"/>
    <w:basedOn w:val="Normalny"/>
    <w:link w:val="StopkaZnak"/>
    <w:uiPriority w:val="99"/>
    <w:unhideWhenUsed/>
    <w:rsid w:val="00E37DF0"/>
    <w:pPr>
      <w:tabs>
        <w:tab w:val="center" w:pos="4536"/>
        <w:tab w:val="right" w:pos="9072"/>
      </w:tabs>
      <w:jc w:val="center"/>
    </w:pPr>
    <w:rPr>
      <w:rFonts w:ascii="Calibri" w:hAnsi="Calibri"/>
    </w:rPr>
  </w:style>
  <w:style w:type="character" w:customStyle="1" w:styleId="StopkaZnak">
    <w:name w:val="Stopka Znak"/>
    <w:aliases w:val="OPZ_Stopka Znak"/>
    <w:basedOn w:val="Domylnaczcionkaakapitu"/>
    <w:link w:val="Stopka"/>
    <w:uiPriority w:val="99"/>
    <w:rsid w:val="00E37DF0"/>
    <w:rPr>
      <w:rFonts w:ascii="Calibri" w:hAnsi="Calibri"/>
    </w:rPr>
  </w:style>
  <w:style w:type="table" w:styleId="Tabela-Siatka">
    <w:name w:val="Table Grid"/>
    <w:basedOn w:val="Standardowy"/>
    <w:uiPriority w:val="39"/>
    <w:rsid w:val="00A02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D25BB"/>
    <w:rPr>
      <w:rFonts w:ascii="Times New Roman" w:eastAsia="Times New Roman" w:hAnsi="Times New Roman" w:cs="Times New Roman"/>
      <w:b/>
      <w:bCs/>
      <w:kern w:val="32"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9D25BB"/>
    <w:rPr>
      <w:rFonts w:ascii="Times New Roman" w:eastAsia="Times New Roman" w:hAnsi="Times New Roman" w:cs="Times New Roman"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9D25BB"/>
    <w:rPr>
      <w:rFonts w:ascii="Times New Roman" w:eastAsia="Times New Roman" w:hAnsi="Times New Roman" w:cs="Times New Roman"/>
      <w:bCs/>
      <w:sz w:val="24"/>
      <w:szCs w:val="2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69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693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693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69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693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69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693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D25BB"/>
    <w:pPr>
      <w:keepNext/>
      <w:numPr>
        <w:numId w:val="6"/>
      </w:numPr>
      <w:spacing w:before="240" w:after="240"/>
      <w:jc w:val="center"/>
      <w:outlineLvl w:val="0"/>
    </w:pPr>
    <w:rPr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D25BB"/>
    <w:pPr>
      <w:numPr>
        <w:ilvl w:val="1"/>
        <w:numId w:val="6"/>
      </w:numPr>
      <w:spacing w:after="240"/>
      <w:jc w:val="both"/>
      <w:outlineLvl w:val="1"/>
    </w:pPr>
    <w:rPr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9D25BB"/>
    <w:pPr>
      <w:numPr>
        <w:ilvl w:val="2"/>
        <w:numId w:val="6"/>
      </w:numPr>
      <w:spacing w:after="240"/>
      <w:jc w:val="both"/>
      <w:outlineLvl w:val="2"/>
    </w:pPr>
    <w:rPr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49BE"/>
    <w:pPr>
      <w:ind w:left="720"/>
      <w:contextualSpacing/>
    </w:pPr>
  </w:style>
  <w:style w:type="paragraph" w:customStyle="1" w:styleId="OPZLista1">
    <w:name w:val="OPZ_Lista.1"/>
    <w:basedOn w:val="OPZAkapit"/>
    <w:qFormat/>
    <w:rsid w:val="00761C3E"/>
    <w:pPr>
      <w:numPr>
        <w:numId w:val="2"/>
      </w:numPr>
    </w:pPr>
    <w:rPr>
      <w:lang w:val="en-US"/>
    </w:rPr>
  </w:style>
  <w:style w:type="paragraph" w:styleId="Bezodstpw">
    <w:name w:val="No Spacing"/>
    <w:uiPriority w:val="1"/>
    <w:qFormat/>
    <w:rsid w:val="00A249BE"/>
    <w:pPr>
      <w:spacing w:after="0" w:line="240" w:lineRule="auto"/>
    </w:pPr>
  </w:style>
  <w:style w:type="paragraph" w:styleId="Lista">
    <w:name w:val="List"/>
    <w:basedOn w:val="Normalny"/>
    <w:uiPriority w:val="99"/>
    <w:semiHidden/>
    <w:unhideWhenUsed/>
    <w:rsid w:val="00A249BE"/>
    <w:pPr>
      <w:ind w:left="283" w:hanging="283"/>
      <w:contextualSpacing/>
    </w:pPr>
  </w:style>
  <w:style w:type="paragraph" w:customStyle="1" w:styleId="OPZLista2">
    <w:name w:val="OPZ_Lista.2"/>
    <w:basedOn w:val="OPZAkapit"/>
    <w:qFormat/>
    <w:rsid w:val="00A249BE"/>
    <w:pPr>
      <w:numPr>
        <w:ilvl w:val="1"/>
        <w:numId w:val="2"/>
      </w:numPr>
    </w:pPr>
  </w:style>
  <w:style w:type="paragraph" w:customStyle="1" w:styleId="OPZLista3">
    <w:name w:val="OPZ_Lista.3"/>
    <w:basedOn w:val="OPZAkapit"/>
    <w:qFormat/>
    <w:rsid w:val="00A249BE"/>
    <w:pPr>
      <w:numPr>
        <w:ilvl w:val="2"/>
        <w:numId w:val="2"/>
      </w:numPr>
    </w:pPr>
  </w:style>
  <w:style w:type="paragraph" w:styleId="Lista2">
    <w:name w:val="List 2"/>
    <w:basedOn w:val="Normalny"/>
    <w:uiPriority w:val="99"/>
    <w:semiHidden/>
    <w:unhideWhenUsed/>
    <w:rsid w:val="00A249BE"/>
    <w:pPr>
      <w:ind w:left="566" w:hanging="283"/>
      <w:contextualSpacing/>
    </w:pPr>
  </w:style>
  <w:style w:type="paragraph" w:customStyle="1" w:styleId="OPZLista4">
    <w:name w:val="OPZ_Lista.4"/>
    <w:basedOn w:val="OPZAkapit"/>
    <w:qFormat/>
    <w:rsid w:val="00A249BE"/>
    <w:pPr>
      <w:numPr>
        <w:ilvl w:val="3"/>
        <w:numId w:val="2"/>
      </w:numPr>
    </w:pPr>
  </w:style>
  <w:style w:type="paragraph" w:styleId="Lista3">
    <w:name w:val="List 3"/>
    <w:basedOn w:val="Normalny"/>
    <w:uiPriority w:val="99"/>
    <w:semiHidden/>
    <w:unhideWhenUsed/>
    <w:rsid w:val="00A249BE"/>
    <w:pPr>
      <w:ind w:left="849" w:hanging="283"/>
      <w:contextualSpacing/>
    </w:pPr>
  </w:style>
  <w:style w:type="paragraph" w:customStyle="1" w:styleId="OPZLista5">
    <w:name w:val="OPZ_Lista.5"/>
    <w:basedOn w:val="OPZAkapit"/>
    <w:qFormat/>
    <w:rsid w:val="00A249BE"/>
    <w:pPr>
      <w:numPr>
        <w:ilvl w:val="4"/>
        <w:numId w:val="2"/>
      </w:numPr>
    </w:pPr>
  </w:style>
  <w:style w:type="paragraph" w:customStyle="1" w:styleId="OPZLista6">
    <w:name w:val="OPZ_Lista.6"/>
    <w:basedOn w:val="OPZAkapit"/>
    <w:qFormat/>
    <w:rsid w:val="00761C3E"/>
    <w:pPr>
      <w:numPr>
        <w:ilvl w:val="5"/>
        <w:numId w:val="2"/>
      </w:numPr>
    </w:pPr>
  </w:style>
  <w:style w:type="paragraph" w:customStyle="1" w:styleId="OPZLista7">
    <w:name w:val="OPZ_Lista.7"/>
    <w:basedOn w:val="OPZAkapit"/>
    <w:qFormat/>
    <w:rsid w:val="00761C3E"/>
    <w:pPr>
      <w:numPr>
        <w:ilvl w:val="6"/>
        <w:numId w:val="2"/>
      </w:numPr>
    </w:pPr>
  </w:style>
  <w:style w:type="paragraph" w:customStyle="1" w:styleId="OPZLista8">
    <w:name w:val="OPZ_Lista.8"/>
    <w:basedOn w:val="OPZAkapit"/>
    <w:qFormat/>
    <w:rsid w:val="00761C3E"/>
    <w:pPr>
      <w:numPr>
        <w:ilvl w:val="7"/>
        <w:numId w:val="2"/>
      </w:numPr>
    </w:pPr>
  </w:style>
  <w:style w:type="paragraph" w:customStyle="1" w:styleId="OPZLista9">
    <w:name w:val="OPZ_Lista.9"/>
    <w:basedOn w:val="OPZAkapit"/>
    <w:qFormat/>
    <w:rsid w:val="00761C3E"/>
    <w:pPr>
      <w:numPr>
        <w:ilvl w:val="8"/>
        <w:numId w:val="2"/>
      </w:numPr>
    </w:pPr>
  </w:style>
  <w:style w:type="paragraph" w:customStyle="1" w:styleId="OPZAkapit">
    <w:name w:val="OPZ_Akapit"/>
    <w:basedOn w:val="Tekstpodstawowy"/>
    <w:qFormat/>
    <w:rsid w:val="00031BD7"/>
    <w:pPr>
      <w:spacing w:before="160" w:after="160" w:line="276" w:lineRule="auto"/>
      <w:jc w:val="both"/>
    </w:pPr>
    <w:rPr>
      <w:rFonts w:ascii="Calibri" w:hAnsi="Calibri"/>
    </w:rPr>
  </w:style>
  <w:style w:type="paragraph" w:customStyle="1" w:styleId="OPZTytulZalTabela">
    <w:name w:val="OPZ_Tytul.Zal_Tabela"/>
    <w:basedOn w:val="OPZAkapit"/>
    <w:next w:val="OPZAkapit"/>
    <w:qFormat/>
    <w:rsid w:val="006506EA"/>
    <w:pPr>
      <w:spacing w:before="360" w:after="360"/>
      <w:jc w:val="center"/>
    </w:pPr>
    <w:rPr>
      <w:b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31B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31BD7"/>
  </w:style>
  <w:style w:type="paragraph" w:customStyle="1" w:styleId="OPZNrZal">
    <w:name w:val="OPZ_Nr.Zal"/>
    <w:basedOn w:val="OPZAkapit"/>
    <w:next w:val="OPZTytulZalTabela"/>
    <w:qFormat/>
    <w:rsid w:val="00C03161"/>
    <w:pPr>
      <w:jc w:val="right"/>
    </w:pPr>
  </w:style>
  <w:style w:type="paragraph" w:styleId="Nagwek">
    <w:name w:val="header"/>
    <w:basedOn w:val="Normalny"/>
    <w:link w:val="NagwekZnak"/>
    <w:uiPriority w:val="99"/>
    <w:unhideWhenUsed/>
    <w:rsid w:val="00E37D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7DF0"/>
  </w:style>
  <w:style w:type="paragraph" w:styleId="Stopka">
    <w:name w:val="footer"/>
    <w:aliases w:val="OPZ_Stopka"/>
    <w:basedOn w:val="Normalny"/>
    <w:link w:val="StopkaZnak"/>
    <w:uiPriority w:val="99"/>
    <w:unhideWhenUsed/>
    <w:rsid w:val="00E37DF0"/>
    <w:pPr>
      <w:tabs>
        <w:tab w:val="center" w:pos="4536"/>
        <w:tab w:val="right" w:pos="9072"/>
      </w:tabs>
      <w:jc w:val="center"/>
    </w:pPr>
    <w:rPr>
      <w:rFonts w:ascii="Calibri" w:hAnsi="Calibri"/>
    </w:rPr>
  </w:style>
  <w:style w:type="character" w:customStyle="1" w:styleId="StopkaZnak">
    <w:name w:val="Stopka Znak"/>
    <w:aliases w:val="OPZ_Stopka Znak"/>
    <w:basedOn w:val="Domylnaczcionkaakapitu"/>
    <w:link w:val="Stopka"/>
    <w:uiPriority w:val="99"/>
    <w:rsid w:val="00E37DF0"/>
    <w:rPr>
      <w:rFonts w:ascii="Calibri" w:hAnsi="Calibri"/>
    </w:rPr>
  </w:style>
  <w:style w:type="table" w:styleId="Tabela-Siatka">
    <w:name w:val="Table Grid"/>
    <w:basedOn w:val="Standardowy"/>
    <w:uiPriority w:val="39"/>
    <w:rsid w:val="00A02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D25BB"/>
    <w:rPr>
      <w:rFonts w:ascii="Times New Roman" w:eastAsia="Times New Roman" w:hAnsi="Times New Roman" w:cs="Times New Roman"/>
      <w:b/>
      <w:bCs/>
      <w:kern w:val="32"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9D25BB"/>
    <w:rPr>
      <w:rFonts w:ascii="Times New Roman" w:eastAsia="Times New Roman" w:hAnsi="Times New Roman" w:cs="Times New Roman"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9D25BB"/>
    <w:rPr>
      <w:rFonts w:ascii="Times New Roman" w:eastAsia="Times New Roman" w:hAnsi="Times New Roman" w:cs="Times New Roman"/>
      <w:bCs/>
      <w:sz w:val="24"/>
      <w:szCs w:val="2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69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693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693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69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693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69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693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48831-6351-4EC7-B52D-7EAAC64BD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1733</Words>
  <Characters>10399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12108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Nawrocki</dc:creator>
  <cp:lastModifiedBy>Gecyngier Paulina  (BA-F)</cp:lastModifiedBy>
  <cp:revision>7</cp:revision>
  <cp:lastPrinted>2018-02-13T13:09:00Z</cp:lastPrinted>
  <dcterms:created xsi:type="dcterms:W3CDTF">2018-02-09T10:26:00Z</dcterms:created>
  <dcterms:modified xsi:type="dcterms:W3CDTF">2018-02-13T13:09:00Z</dcterms:modified>
</cp:coreProperties>
</file>