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4751" w:rsidRPr="004F3B9A" w:rsidRDefault="005D01D0" w:rsidP="004F3B9A">
      <w:pPr>
        <w:spacing w:after="0" w:line="360" w:lineRule="auto"/>
        <w:jc w:val="right"/>
        <w:rPr>
          <w:rFonts w:asciiTheme="minorHAnsi" w:hAnsiTheme="minorHAnsi" w:cstheme="minorHAnsi"/>
        </w:rPr>
      </w:pPr>
      <w:bookmarkStart w:id="0" w:name="_GoBack"/>
      <w:bookmarkEnd w:id="0"/>
      <w:r w:rsidRPr="004F3B9A">
        <w:rPr>
          <w:rFonts w:asciiTheme="minorHAnsi" w:hAnsiTheme="minorHAnsi" w:cstheme="minorHAnsi"/>
        </w:rPr>
        <w:t xml:space="preserve">Załącznik nr </w:t>
      </w:r>
      <w:r w:rsidR="00BC6707" w:rsidRPr="004F3B9A">
        <w:rPr>
          <w:rFonts w:asciiTheme="minorHAnsi" w:hAnsiTheme="minorHAnsi" w:cstheme="minorHAnsi"/>
        </w:rPr>
        <w:t>5</w:t>
      </w:r>
      <w:r w:rsidRPr="004F3B9A">
        <w:rPr>
          <w:rFonts w:asciiTheme="minorHAnsi" w:hAnsiTheme="minorHAnsi" w:cstheme="minorHAnsi"/>
        </w:rPr>
        <w:t xml:space="preserve"> do Umowy nr … z dnia …</w:t>
      </w:r>
    </w:p>
    <w:p w:rsidR="008B4751" w:rsidRPr="006D521D" w:rsidRDefault="005D01D0" w:rsidP="006D521D">
      <w:pPr>
        <w:spacing w:before="840" w:after="840" w:line="360" w:lineRule="auto"/>
        <w:jc w:val="center"/>
        <w:rPr>
          <w:rFonts w:asciiTheme="minorHAnsi" w:hAnsiTheme="minorHAnsi" w:cstheme="minorHAnsi"/>
          <w:b/>
        </w:rPr>
      </w:pPr>
      <w:r w:rsidRPr="006D521D">
        <w:rPr>
          <w:rFonts w:asciiTheme="minorHAnsi" w:hAnsiTheme="minorHAnsi" w:cstheme="minorHAnsi"/>
          <w:b/>
        </w:rPr>
        <w:t>Dokumentacja</w:t>
      </w:r>
      <w:r w:rsidR="00A408EE" w:rsidRPr="006D521D">
        <w:rPr>
          <w:rFonts w:asciiTheme="minorHAnsi" w:hAnsiTheme="minorHAnsi" w:cstheme="minorHAnsi"/>
          <w:b/>
        </w:rPr>
        <w:t xml:space="preserve"> SDE</w:t>
      </w:r>
    </w:p>
    <w:p w:rsidR="008B4751" w:rsidRPr="0036273B" w:rsidRDefault="005D01D0" w:rsidP="006D521D">
      <w:pPr>
        <w:pStyle w:val="Akapitzlist"/>
        <w:numPr>
          <w:ilvl w:val="0"/>
          <w:numId w:val="1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Dokumentacja</w:t>
      </w:r>
      <w:r w:rsidR="00034B37" w:rsidRPr="0036273B">
        <w:rPr>
          <w:rFonts w:asciiTheme="minorHAnsi" w:hAnsiTheme="minorHAnsi" w:cstheme="minorHAnsi"/>
          <w:b/>
          <w:color w:val="000000"/>
        </w:rPr>
        <w:t xml:space="preserve"> SDE</w:t>
      </w:r>
      <w:r w:rsidRPr="0036273B">
        <w:rPr>
          <w:rFonts w:asciiTheme="minorHAnsi" w:hAnsiTheme="minorHAnsi" w:cstheme="minorHAnsi"/>
          <w:b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opracuje i przekaże Zamawiającemu nowo wytworzoną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okumentację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zobowiązany jest do opracowania, dostarczenia</w:t>
      </w:r>
      <w:r w:rsidR="001C4C0C">
        <w:rPr>
          <w:rFonts w:asciiTheme="minorHAnsi" w:hAnsiTheme="minorHAnsi" w:cstheme="minorHAnsi"/>
          <w:color w:val="000000"/>
        </w:rPr>
        <w:t xml:space="preserve"> Zamawiającemu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i </w:t>
      </w:r>
      <w:r w:rsidR="00034B37" w:rsidRPr="004F3B9A">
        <w:rPr>
          <w:rFonts w:asciiTheme="minorHAnsi" w:hAnsiTheme="minorHAnsi" w:cstheme="minorHAnsi"/>
          <w:color w:val="000000"/>
        </w:rPr>
        <w:t>K</w:t>
      </w:r>
      <w:r w:rsidRPr="004F3B9A">
        <w:rPr>
          <w:rFonts w:asciiTheme="minorHAnsi" w:hAnsiTheme="minorHAnsi" w:cstheme="minorHAnsi"/>
          <w:color w:val="000000"/>
        </w:rPr>
        <w:t xml:space="preserve">odów źródłowych i ich </w:t>
      </w:r>
      <w:r w:rsidR="0077194E">
        <w:rPr>
          <w:rFonts w:asciiTheme="minorHAnsi" w:hAnsiTheme="minorHAnsi" w:cstheme="minorHAnsi"/>
          <w:color w:val="000000"/>
        </w:rPr>
        <w:t xml:space="preserve">każdorazowych </w:t>
      </w:r>
      <w:r w:rsidRPr="004F3B9A">
        <w:rPr>
          <w:rFonts w:asciiTheme="minorHAnsi" w:hAnsiTheme="minorHAnsi" w:cstheme="minorHAnsi"/>
          <w:color w:val="000000"/>
        </w:rPr>
        <w:t>aktualizacji w</w:t>
      </w:r>
      <w:r w:rsidR="0077194E">
        <w:rPr>
          <w:rFonts w:asciiTheme="minorHAnsi" w:hAnsiTheme="minorHAnsi" w:cstheme="minorHAnsi"/>
          <w:color w:val="000000"/>
        </w:rPr>
        <w:t xml:space="preserve"> czasie</w:t>
      </w:r>
      <w:r w:rsidRPr="004F3B9A">
        <w:rPr>
          <w:rFonts w:asciiTheme="minorHAnsi" w:hAnsiTheme="minorHAnsi" w:cstheme="minorHAnsi"/>
          <w:color w:val="000000"/>
        </w:rPr>
        <w:t xml:space="preserve"> trwania</w:t>
      </w:r>
      <w:r w:rsidR="0077194E">
        <w:rPr>
          <w:rFonts w:asciiTheme="minorHAnsi" w:hAnsiTheme="minorHAnsi" w:cstheme="minorHAnsi"/>
          <w:color w:val="000000"/>
        </w:rPr>
        <w:t xml:space="preserve"> całej </w:t>
      </w:r>
      <w:r w:rsidR="00034B37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mowy.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Pierwszą pełną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okumentację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Wykonawca przekaże Zamawiającemu do zatwierdzenia nie później niż 60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ni </w:t>
      </w:r>
      <w:r w:rsidR="00034B37" w:rsidRPr="004F3B9A">
        <w:rPr>
          <w:rFonts w:asciiTheme="minorHAnsi" w:hAnsiTheme="minorHAnsi" w:cstheme="minorHAnsi"/>
          <w:color w:val="000000"/>
        </w:rPr>
        <w:t xml:space="preserve">kalendarzowych </w:t>
      </w:r>
      <w:r w:rsidRPr="004F3B9A">
        <w:rPr>
          <w:rFonts w:asciiTheme="minorHAnsi" w:hAnsiTheme="minorHAnsi" w:cstheme="minorHAnsi"/>
          <w:color w:val="000000"/>
        </w:rPr>
        <w:t xml:space="preserve">od produkcyjnego uruchomienia Systemu SDE na nowym </w:t>
      </w:r>
      <w:r w:rsidR="00503B54">
        <w:rPr>
          <w:rFonts w:asciiTheme="minorHAnsi" w:hAnsiTheme="minorHAnsi" w:cstheme="minorHAnsi"/>
          <w:color w:val="000000"/>
        </w:rPr>
        <w:t>Ś</w:t>
      </w:r>
      <w:r w:rsidRPr="004F3B9A">
        <w:rPr>
          <w:rFonts w:asciiTheme="minorHAnsi" w:hAnsiTheme="minorHAnsi" w:cstheme="minorHAnsi"/>
          <w:color w:val="000000"/>
        </w:rPr>
        <w:t>rodowisku</w:t>
      </w:r>
      <w:r w:rsidR="00503B54">
        <w:rPr>
          <w:rFonts w:asciiTheme="minorHAnsi" w:hAnsiTheme="minorHAnsi" w:cstheme="minorHAnsi"/>
          <w:color w:val="000000"/>
        </w:rPr>
        <w:t xml:space="preserve"> produkcyjnym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Cała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okumentacja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powstała w wyniku realizacji zamówienia i przekazana Zamawiającemu przez Wykonawcę stanowi własność Zamawiającego.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 wytworzonej w ramach realizacji przedmiotu zamówienia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, stanowiącej utwór w rozumieniu </w:t>
      </w:r>
      <w:r w:rsidR="00034B37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 xml:space="preserve">stawy z dnia 4 lutego 1994 r. o prawie autorskim i prawach pokrewnych (tekst jednolity: Dz. U. z 2006 r. Nr 90, poz. 631, z </w:t>
      </w:r>
      <w:proofErr w:type="spellStart"/>
      <w:r w:rsidRPr="004F3B9A">
        <w:rPr>
          <w:rFonts w:asciiTheme="minorHAnsi" w:hAnsiTheme="minorHAnsi" w:cstheme="minorHAnsi"/>
          <w:color w:val="000000"/>
        </w:rPr>
        <w:t>późn</w:t>
      </w:r>
      <w:proofErr w:type="spellEnd"/>
      <w:r w:rsidRPr="004F3B9A">
        <w:rPr>
          <w:rFonts w:asciiTheme="minorHAnsi" w:hAnsiTheme="minorHAnsi" w:cstheme="minorHAnsi"/>
          <w:color w:val="000000"/>
        </w:rPr>
        <w:t>. zm.), Wykonawca przeniesie na Zamawiającego wszelkie autorskie prawa majątkowe oraz prawa do zezwalania na wykonywanie zależnych praw autorskich oraz przenoszenia praw na inne osoby wraz z prawem do wykonywania w nich zmian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wykonywania praw zależnych.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nie może udostępniać </w:t>
      </w:r>
      <w:r w:rsidR="00503B54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 SDE osobom trzecim bez pisemnej zgody Zamawiającego.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Dokumentacja</w:t>
      </w:r>
      <w:r w:rsidR="001C4C0C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musi być dostarczona w języku polskim.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1C4C0C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powinna być pogrupowana tematycznie i zawierać spis i charakterystykę wszystkich składników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.</w:t>
      </w:r>
      <w:r w:rsidRPr="004F3B9A">
        <w:rPr>
          <w:rFonts w:asciiTheme="minorHAnsi" w:hAnsiTheme="minorHAnsi" w:cstheme="minorHAnsi"/>
          <w:color w:val="000000"/>
          <w:shd w:val="clear" w:color="auto" w:fill="FFFF00"/>
        </w:rPr>
        <w:t xml:space="preserve"> 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dostarczy Zamawiającemu ostateczną wersję każdej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w 4 kopiach w postaci wydrukowanej</w:t>
      </w:r>
      <w:r w:rsidR="00A1439B">
        <w:rPr>
          <w:rFonts w:asciiTheme="minorHAnsi" w:hAnsiTheme="minorHAnsi" w:cstheme="minorHAnsi"/>
          <w:color w:val="000000"/>
        </w:rPr>
        <w:t xml:space="preserve"> w formacie A-4</w:t>
      </w:r>
      <w:r w:rsidRPr="004F3B9A">
        <w:rPr>
          <w:rFonts w:asciiTheme="minorHAnsi" w:hAnsiTheme="minorHAnsi" w:cstheme="minorHAnsi"/>
          <w:color w:val="000000"/>
        </w:rPr>
        <w:t>, w formie spiętych, zszytych lub zbindowanych egzemplarzy oraz na nośniku elektronicznym, w formatach DOC lub DOCX, format A-4, w formie do edycji oraz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formacie PDF.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przekaże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okumentację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227996">
        <w:rPr>
          <w:rFonts w:asciiTheme="minorHAnsi" w:hAnsiTheme="minorHAnsi" w:cstheme="minorHAnsi"/>
          <w:color w:val="000000" w:themeColor="text1"/>
        </w:rPr>
        <w:t xml:space="preserve">wskazaną w pkt. 7 oraz </w:t>
      </w:r>
      <w:r w:rsidRPr="004F3B9A">
        <w:rPr>
          <w:rFonts w:asciiTheme="minorHAnsi" w:hAnsiTheme="minorHAnsi" w:cstheme="minorHAnsi"/>
          <w:color w:val="000000"/>
        </w:rPr>
        <w:t>każdą jej aktualizację Zamawiającemu, na nośniku elektronicznym, w formatach DOC lub DOCX, format A-4, w formie do edycji oraz w formacie PDF.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 xml:space="preserve">Z przekazania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musi zostać sporządzony protokół przekazania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.</w:t>
      </w:r>
      <w:r w:rsidR="008A4CA9" w:rsidRPr="004F3B9A">
        <w:rPr>
          <w:rFonts w:asciiTheme="minorHAnsi" w:hAnsiTheme="minorHAnsi" w:cstheme="minorHAnsi"/>
          <w:color w:val="000000"/>
        </w:rPr>
        <w:t xml:space="preserve"> Wzór protokołu opracuje Wykonawca i przekaże Zamawiającemu do akceptacji.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Dokumentacja</w:t>
      </w:r>
      <w:r w:rsidR="00AD6BEB">
        <w:rPr>
          <w:rFonts w:asciiTheme="minorHAnsi" w:hAnsiTheme="minorHAnsi" w:cstheme="minorHAnsi"/>
          <w:color w:val="000000"/>
        </w:rPr>
        <w:t xml:space="preserve"> projektu Systemu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musi być zgodna z wymogami metodyki PRINCE2 lub równoważnej.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musi być tworzona zgodnie z notacją UML 2.0.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Każdy egzemplarz przekazany przez Wykonawcę Zamawiającemu w formie elektronicznej musi posiadać oznaczenie wersji identycznej jak aktualna wersja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>, którą opisuje (wraz z datą produkcji lub dostawy).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Suplementy (dodatki, uzupełnienia) do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muszą być spisane w odrębnej liście (numer suplementu oraz datę wydania i wersję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).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zapewni Zamawiającemu możliwość uzyskiwania jednoznacznych wyjaśnień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interpretacji w zakresie zapisów w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w całym okresie trwania </w:t>
      </w:r>
      <w:r w:rsidR="00503B54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mowy.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Układ i grafika rysunków, diagramów zamieszczonych w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 SDE musi czytelnie obrazować przyjęte rozwiązania oraz być skalowalna.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 przypadku wprowadzenia zmian do Systemu SDE wymagających odzwierciedlenia w</w:t>
      </w:r>
      <w:r w:rsidR="0054369D">
        <w:rPr>
          <w:rFonts w:asciiTheme="minorHAnsi" w:hAnsiTheme="minorHAnsi" w:cstheme="minorHAnsi"/>
          <w:color w:val="000000"/>
        </w:rPr>
        <w:t> 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, zarówno wskutek pojawienia się aktualizacji Systemu SDE, jak i </w:t>
      </w:r>
      <w:r w:rsidR="00503B54">
        <w:rPr>
          <w:rFonts w:asciiTheme="minorHAnsi" w:hAnsiTheme="minorHAnsi" w:cstheme="minorHAnsi"/>
          <w:color w:val="000000"/>
        </w:rPr>
        <w:t>naprawy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503B54">
        <w:rPr>
          <w:rFonts w:asciiTheme="minorHAnsi" w:hAnsiTheme="minorHAnsi" w:cstheme="minorHAnsi"/>
          <w:color w:val="000000"/>
        </w:rPr>
        <w:t>B</w:t>
      </w:r>
      <w:r w:rsidRPr="004F3B9A">
        <w:rPr>
          <w:rFonts w:asciiTheme="minorHAnsi" w:hAnsiTheme="minorHAnsi" w:cstheme="minorHAnsi"/>
          <w:color w:val="000000"/>
        </w:rPr>
        <w:t xml:space="preserve">łędów lub zmian konfiguracji, Wykonawca dostarczy na nośniku elektronicznym zaktualizowaną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okumentację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w terminie nie przekraczającym 15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ni </w:t>
      </w:r>
      <w:r w:rsidR="00034B37" w:rsidRPr="004F3B9A">
        <w:rPr>
          <w:rFonts w:asciiTheme="minorHAnsi" w:hAnsiTheme="minorHAnsi" w:cstheme="minorHAnsi"/>
          <w:color w:val="000000"/>
        </w:rPr>
        <w:t xml:space="preserve">kalendarzowych </w:t>
      </w:r>
      <w:r w:rsidRPr="004F3B9A">
        <w:rPr>
          <w:rFonts w:asciiTheme="minorHAnsi" w:hAnsiTheme="minorHAnsi" w:cstheme="minorHAnsi"/>
          <w:color w:val="000000"/>
        </w:rPr>
        <w:t>od daty dokonania zmian, chyba że pomiędzy Zamawiającym a Wykonawcą ustalony zostanie inny termin.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Wraz z nową wersją zaktualizowana </w:t>
      </w:r>
      <w:r w:rsidR="00503B54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okumentacja </w:t>
      </w:r>
      <w:r w:rsidR="00503B54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musi zwierać w szczególności: nazwę wersji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, aktualny dziennik zmian, cel aktualizacji oraz deltę zmian w przekazywanej wersji od ostatniej zainstalowanej produkcyjnie wersji (w szczególności: dodane funkcjonalności, naprawione </w:t>
      </w:r>
      <w:r w:rsidR="00503B54">
        <w:rPr>
          <w:rFonts w:asciiTheme="minorHAnsi" w:hAnsiTheme="minorHAnsi" w:cstheme="minorHAnsi"/>
          <w:color w:val="000000"/>
        </w:rPr>
        <w:t>B</w:t>
      </w:r>
      <w:r w:rsidRPr="004F3B9A">
        <w:rPr>
          <w:rFonts w:asciiTheme="minorHAnsi" w:hAnsiTheme="minorHAnsi" w:cstheme="minorHAnsi"/>
          <w:color w:val="000000"/>
        </w:rPr>
        <w:t xml:space="preserve">łędy, numery zgłoszeń). Zaktualizowana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okumentacja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musi zawierać </w:t>
      </w:r>
      <w:r w:rsidR="00034B37" w:rsidRPr="004F3B9A">
        <w:rPr>
          <w:rFonts w:asciiTheme="minorHAnsi" w:hAnsiTheme="minorHAnsi" w:cstheme="minorHAnsi"/>
          <w:color w:val="000000"/>
        </w:rPr>
        <w:t>K</w:t>
      </w:r>
      <w:r w:rsidRPr="004F3B9A">
        <w:rPr>
          <w:rFonts w:asciiTheme="minorHAnsi" w:hAnsiTheme="minorHAnsi" w:cstheme="minorHAnsi"/>
          <w:color w:val="000000"/>
        </w:rPr>
        <w:t xml:space="preserve">ody źródłowe możliwe do skompilowania wraz z listą oprogramowania, komponentów, bibliotek programistycznych (m. in. programy .exe, * </w:t>
      </w:r>
      <w:proofErr w:type="spellStart"/>
      <w:r w:rsidRPr="004F3B9A">
        <w:rPr>
          <w:rFonts w:asciiTheme="minorHAnsi" w:hAnsiTheme="minorHAnsi" w:cstheme="minorHAnsi"/>
          <w:color w:val="000000"/>
        </w:rPr>
        <w:t>dll</w:t>
      </w:r>
      <w:proofErr w:type="spellEnd"/>
      <w:r w:rsidRPr="004F3B9A">
        <w:rPr>
          <w:rFonts w:asciiTheme="minorHAnsi" w:hAnsiTheme="minorHAnsi" w:cstheme="minorHAnsi"/>
          <w:color w:val="000000"/>
        </w:rPr>
        <w:t>).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najpóźniej dwa miesiące przed zakończeniem Umowy przekaże Zamawiającemu ostateczną, aktualną wersję każdej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w 4 kopiach w postaci wydrukowanej, w formie spiętych, zszytych lub zbindowanych egzemplarzy, format A-4 oraz na nośniku elektronicznym,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formatach DOC lub DOCX, w formie do edycji oraz w formacie PDF.</w:t>
      </w:r>
    </w:p>
    <w:p w:rsidR="008B4751" w:rsidRPr="0036273B" w:rsidRDefault="005D01D0" w:rsidP="00D541C3">
      <w:pPr>
        <w:pStyle w:val="Akapitzlist"/>
        <w:numPr>
          <w:ilvl w:val="0"/>
          <w:numId w:val="2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Plan Projektu.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zobowiązany będzie do opracowania </w:t>
      </w:r>
      <w:r w:rsidR="00034B37" w:rsidRPr="004F3B9A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 xml:space="preserve">lanu projektu. 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</w:rPr>
      </w:pPr>
      <w:r w:rsidRPr="004F3B9A">
        <w:rPr>
          <w:rFonts w:asciiTheme="minorHAnsi" w:hAnsiTheme="minorHAnsi" w:cstheme="minorHAnsi"/>
          <w:color w:val="000000"/>
        </w:rPr>
        <w:t xml:space="preserve">Plan projektu powinien przedstawiać kluczowe informacje zarządcze istotne dla sprawnego wykonania przedmiotu zamówienia. Plan projektu powinien zostać opracowany z uwzględnieniem powszechnie przyjętych metodyk zarządzania projektami (np. </w:t>
      </w:r>
      <w:r w:rsidR="00AD6BEB">
        <w:rPr>
          <w:rFonts w:asciiTheme="minorHAnsi" w:hAnsiTheme="minorHAnsi" w:cstheme="minorHAnsi"/>
          <w:color w:val="000000"/>
        </w:rPr>
        <w:t>Dokumentacji Inicjującej Projekt wg</w:t>
      </w:r>
      <w:r w:rsidR="00AD6BEB" w:rsidRPr="004F3B9A">
        <w:rPr>
          <w:rFonts w:asciiTheme="minorHAnsi" w:hAnsiTheme="minorHAnsi" w:cstheme="minorHAnsi"/>
          <w:color w:val="000000"/>
        </w:rPr>
        <w:t xml:space="preserve"> </w:t>
      </w:r>
      <w:r w:rsidRPr="004F3B9A">
        <w:rPr>
          <w:rFonts w:asciiTheme="minorHAnsi" w:hAnsiTheme="minorHAnsi" w:cstheme="minorHAnsi"/>
          <w:color w:val="000000"/>
        </w:rPr>
        <w:lastRenderedPageBreak/>
        <w:t>PRINCE 2 lub PMI [</w:t>
      </w:r>
      <w:r w:rsidRPr="004F3B9A">
        <w:rPr>
          <w:rFonts w:asciiTheme="minorHAnsi" w:hAnsiTheme="minorHAnsi" w:cstheme="minorHAnsi"/>
          <w:color w:val="000000"/>
          <w:shd w:val="clear" w:color="auto" w:fill="FFFFFF"/>
        </w:rPr>
        <w:t>międzynarodowy instytut zrzeszający kierowników projektów</w:t>
      </w:r>
      <w:r w:rsidRPr="004F3B9A">
        <w:rPr>
          <w:rFonts w:asciiTheme="minorHAnsi" w:hAnsiTheme="minorHAnsi" w:cstheme="minorHAnsi"/>
          <w:color w:val="000000"/>
        </w:rPr>
        <w:t>]), w szczególności powinien zawierać następujące elementy: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Struktura wykonywanych zadań, m.in. z uwzględnieniem podziału na produkty, które Wykonawca przedstawi do odbioru Zamawiającemu.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Przedstawienie sekwencji implementacji poszczególnych składników rozwiązań odzwierciedlających logikę realizacji przedmiotu zamówienia.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Schemat oraz opis struktury organizacyjnej projektu wraz z podaniem zakresu obowiązków dla poszczególnych ról w projekcie.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Harmonogram realizacji zadań, w szczególności uwzględniający wskazanie terminów wymagających zaangażowania pracowników Zamawiającego (np. uzgodnienia, odbiory, szkolenia, etc.) jak również wskazania terminów alokacji posiadanych przez Zamawiającego składników systemów informatycznych do działań dotyczących realizacji przedmiotu zamówienia.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Plan komunikacji, z uwzględnieniem w szczególności danych kontaktowych (zarówno po stronie Wykonawcy jak i Zamawiającego) dotyczących świadczenia wsparcia technicznego</w:t>
      </w:r>
      <w:r w:rsidR="00034B37" w:rsidRPr="004F3B9A">
        <w:rPr>
          <w:rFonts w:asciiTheme="minorHAnsi" w:hAnsiTheme="minorHAnsi" w:cstheme="minorHAnsi"/>
          <w:color w:val="000000"/>
        </w:rPr>
        <w:t>, serwisu</w:t>
      </w:r>
      <w:r w:rsidRPr="004F3B9A">
        <w:rPr>
          <w:rFonts w:asciiTheme="minorHAnsi" w:hAnsiTheme="minorHAnsi" w:cstheme="minorHAnsi"/>
          <w:color w:val="000000"/>
        </w:rPr>
        <w:t xml:space="preserve"> oraz gwarancji jakości.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zasad zarządzania ryzykiem, z uwzględnieniem następujących wymagań: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zobowiązany będzie do prowadzenia rejestru </w:t>
      </w:r>
      <w:proofErr w:type="spellStart"/>
      <w:r w:rsidRPr="004F3B9A">
        <w:rPr>
          <w:rFonts w:asciiTheme="minorHAnsi" w:hAnsiTheme="minorHAnsi" w:cstheme="minorHAnsi"/>
          <w:color w:val="000000"/>
        </w:rPr>
        <w:t>ryzyk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, zawierającego listę zidentyfikowanych </w:t>
      </w:r>
      <w:proofErr w:type="spellStart"/>
      <w:r w:rsidRPr="004F3B9A">
        <w:rPr>
          <w:rFonts w:asciiTheme="minorHAnsi" w:hAnsiTheme="minorHAnsi" w:cstheme="minorHAnsi"/>
          <w:color w:val="000000"/>
        </w:rPr>
        <w:t>ryzyk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, zgłoszonych i zakwalifikowanych do zarządzania w ramach </w:t>
      </w:r>
      <w:r w:rsidR="001C4C0C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>rojektu.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ryzyka powinien zawierać następujące informacje: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unikalny identyfikator,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ryzyka,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wpływ na projekt: produkty, cały projekt, termin, jakość,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czynniki decydujące o prawdopodobieństwie wystąpienia ryzyka (przyczyna ryzyka),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ocenę prawdopodobieństwa wystąpienia ryzyka (niskie, średnie, wysokie wystąpienie),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działań minimalizujących prawdopodobieństwo wystąpienia ryzyka,</w:t>
      </w:r>
    </w:p>
    <w:p w:rsidR="008B4751" w:rsidRPr="004F3B9A" w:rsidRDefault="005D01D0" w:rsidP="006D521D">
      <w:pPr>
        <w:pStyle w:val="Akapitzlist"/>
        <w:numPr>
          <w:ilvl w:val="0"/>
          <w:numId w:val="3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działań minimalizujących skutki wystąpienia ryzyka.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zasad zarządzania konfiguracją.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zasad zarządzania jakością.</w:t>
      </w:r>
    </w:p>
    <w:p w:rsidR="008B4751" w:rsidRPr="004F3B9A" w:rsidRDefault="005D01D0" w:rsidP="006D521D">
      <w:pPr>
        <w:pStyle w:val="Akapitzlist"/>
        <w:numPr>
          <w:ilvl w:val="2"/>
          <w:numId w:val="2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procedur związanych z zarządzaniem zmianą, z uwzględnieniem następujących wymagań: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Procedurze zarządzania zmianą podlegają produkty dostarczane przez Wykonawcę w ramach realizacji Umowy.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zobowiązany jest do prowadzenia rejestru zmian, zawierającego listę wniosków o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zmianę, zgłoszonych w ramach </w:t>
      </w:r>
      <w:r w:rsidR="00034B37" w:rsidRPr="004F3B9A">
        <w:rPr>
          <w:rFonts w:asciiTheme="minorHAnsi" w:hAnsiTheme="minorHAnsi" w:cstheme="minorHAnsi"/>
          <w:color w:val="000000"/>
        </w:rPr>
        <w:t>Umowy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Formularz wniosku o zmianę powinien zawierać: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>Unikatowy identyfikator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Krótki opis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Stronę zgłaszającą.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Osobę odpowiedzialną za realizację.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Datę zgłoszenia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Merytoryczny opis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Charakter zmiany:</w:t>
      </w:r>
    </w:p>
    <w:p w:rsidR="008B4751" w:rsidRPr="004F3B9A" w:rsidRDefault="005D01D0" w:rsidP="006D521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zmiana dotycząca zakresu projektu,</w:t>
      </w:r>
    </w:p>
    <w:p w:rsidR="008B4751" w:rsidRPr="004F3B9A" w:rsidRDefault="005D01D0" w:rsidP="006D521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zmiana dotycząca produktu,</w:t>
      </w:r>
    </w:p>
    <w:p w:rsidR="008B4751" w:rsidRPr="004F3B9A" w:rsidRDefault="005D01D0" w:rsidP="006D521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zmiana dotycząca harmonogramu,</w:t>
      </w:r>
    </w:p>
    <w:p w:rsidR="008B4751" w:rsidRPr="004F3B9A" w:rsidRDefault="005D01D0" w:rsidP="006D521D">
      <w:pPr>
        <w:pStyle w:val="Akapitzlist"/>
        <w:numPr>
          <w:ilvl w:val="0"/>
          <w:numId w:val="4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zmiana o charakterze organizacyjnym wewnątrz projektu, np. zmiany personalne, zmiany związane z Zasadami zarządzania projektem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Uzasadnienie zmiany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Rekomendowane rozwiązanie ze wskazaniem sposobu realizacji.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Ocenę wpływu na projekt, w szczególności na:</w:t>
      </w:r>
    </w:p>
    <w:p w:rsidR="008B4751" w:rsidRPr="004F3B9A" w:rsidRDefault="005D01D0" w:rsidP="006D521D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ryzyka projektu,</w:t>
      </w:r>
    </w:p>
    <w:p w:rsidR="008B4751" w:rsidRPr="004F3B9A" w:rsidRDefault="005D01D0" w:rsidP="006D521D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harmonogram projektu,</w:t>
      </w:r>
    </w:p>
    <w:p w:rsidR="008B4751" w:rsidRPr="004F3B9A" w:rsidRDefault="005D01D0" w:rsidP="006D521D">
      <w:pPr>
        <w:pStyle w:val="Akapitzlist"/>
        <w:numPr>
          <w:ilvl w:val="0"/>
          <w:numId w:val="5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koszty projektu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Decyzję o umieszczeniu zmiany w rejestrze zmian.</w:t>
      </w:r>
    </w:p>
    <w:p w:rsidR="008B4751" w:rsidRPr="004F3B9A" w:rsidRDefault="005D01D0" w:rsidP="006D521D">
      <w:pPr>
        <w:pStyle w:val="Akapitzlist"/>
        <w:numPr>
          <w:ilvl w:val="3"/>
          <w:numId w:val="2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zmiany w rejestrze zmian powinien posiadać: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Unikatowy identyfikator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Krótki opis zmian.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Stronę zgłaszającą.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Datę zgłoszenia zmiany.</w:t>
      </w:r>
    </w:p>
    <w:p w:rsidR="008B4751" w:rsidRPr="004F3B9A" w:rsidRDefault="005D01D0" w:rsidP="006D521D">
      <w:pPr>
        <w:pStyle w:val="Akapitzlist"/>
        <w:numPr>
          <w:ilvl w:val="4"/>
          <w:numId w:val="2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Decyzję o przeprowadzeniu zmian (przyjęta, odrzucona, odroczona).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przygotowując plan projektu zobowiązany będzie do zapoznania się z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uwarunkowaniami organizacyjnymi i wykonawczymi występującymi po stronie Zamawiającego mającymi wpływ na realizację przedmiotu zamówienia a następnie uwzględni je w planie projektu. Na pisemny wniosek Wykonawcy, Zamawiający - w zakresie niezbędnym do realizacji przedmiotu zamówienia - przedstawi uwarunkowania organizacyjne i wykonawcze występujące po jego stronie.</w:t>
      </w:r>
    </w:p>
    <w:p w:rsidR="008B4751" w:rsidRPr="004F3B9A" w:rsidRDefault="005D01D0" w:rsidP="006D521D">
      <w:pPr>
        <w:pStyle w:val="Akapitzlist"/>
        <w:numPr>
          <w:ilvl w:val="1"/>
          <w:numId w:val="2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Po dokonaniu odbioru planu projektu przez Zamawiającego Wykonawca zobowiązany będzie do realizacji świadczeń również z uwzględnieniem postanowień zawartych w tym planie.</w:t>
      </w:r>
    </w:p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bookmarkStart w:id="1" w:name="_Hlk489201727"/>
      <w:r w:rsidRPr="0036273B">
        <w:rPr>
          <w:rFonts w:asciiTheme="minorHAnsi" w:hAnsiTheme="minorHAnsi" w:cstheme="minorHAnsi"/>
          <w:b/>
          <w:color w:val="000000"/>
        </w:rPr>
        <w:t>Dokumentacja analityczno-projektowa.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przeprowadzi analizę </w:t>
      </w:r>
      <w:r w:rsidR="00AD6BEB">
        <w:rPr>
          <w:rFonts w:asciiTheme="minorHAnsi" w:hAnsiTheme="minorHAnsi" w:cstheme="minorHAnsi"/>
          <w:color w:val="000000"/>
        </w:rPr>
        <w:t>wymagań funkcjonalnych</w:t>
      </w:r>
      <w:r w:rsidRPr="004F3B9A">
        <w:rPr>
          <w:rFonts w:asciiTheme="minorHAnsi" w:hAnsiTheme="minorHAnsi" w:cstheme="minorHAnsi"/>
          <w:color w:val="000000"/>
        </w:rPr>
        <w:t xml:space="preserve"> w celu wyspecyfikowania funkcjonalności Aplikacji SDE24 w oparciu o wywiady z wytypowanymi </w:t>
      </w:r>
      <w:r w:rsidR="00503B54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żytkownikami</w:t>
      </w:r>
      <w:r w:rsidR="00503B54">
        <w:rPr>
          <w:rFonts w:asciiTheme="minorHAnsi" w:hAnsiTheme="minorHAnsi" w:cstheme="minorHAnsi"/>
          <w:color w:val="000000"/>
        </w:rPr>
        <w:t xml:space="preserve"> Systemu SDE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Pr="004F3B9A">
        <w:rPr>
          <w:rFonts w:asciiTheme="minorHAnsi" w:hAnsiTheme="minorHAnsi" w:cstheme="minorHAnsi"/>
          <w:color w:val="000000"/>
        </w:rPr>
        <w:lastRenderedPageBreak/>
        <w:t>Zamawiającego, dane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dokumenty udostępnione przez Zamawiającego oraz informacje z eksploatowanej przez Zamawiającego Aplikacji SDE24. 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Na potrzeby wykonania analizy </w:t>
      </w:r>
      <w:r w:rsidR="00AD6BEB">
        <w:rPr>
          <w:rFonts w:asciiTheme="minorHAnsi" w:hAnsiTheme="minorHAnsi" w:cstheme="minorHAnsi"/>
          <w:color w:val="000000"/>
        </w:rPr>
        <w:t>wymagań funkcjonalnych</w:t>
      </w:r>
      <w:r w:rsidRPr="004F3B9A">
        <w:rPr>
          <w:rFonts w:asciiTheme="minorHAnsi" w:hAnsiTheme="minorHAnsi" w:cstheme="minorHAnsi"/>
          <w:color w:val="000000"/>
        </w:rPr>
        <w:t xml:space="preserve"> przez Wykonawcę, Zamawiający umożliwi</w:t>
      </w:r>
      <w:r w:rsidR="001C4C0C">
        <w:rPr>
          <w:rFonts w:asciiTheme="minorHAnsi" w:hAnsiTheme="minorHAnsi" w:cstheme="minorHAnsi"/>
          <w:color w:val="000000"/>
        </w:rPr>
        <w:t xml:space="preserve"> w siedzibie Zamawiającego, w Warszawie na ulicy Zwycięzców 34,</w:t>
      </w:r>
      <w:r w:rsidRPr="004F3B9A">
        <w:rPr>
          <w:rFonts w:asciiTheme="minorHAnsi" w:hAnsiTheme="minorHAnsi" w:cstheme="minorHAnsi"/>
          <w:color w:val="000000"/>
        </w:rPr>
        <w:t xml:space="preserve"> prowadzenie spotkań analitycznych ze wskazanymi pracownikami Zamawiającego.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Po przeprowadzeniu analizy </w:t>
      </w:r>
      <w:r w:rsidR="00AD6BEB">
        <w:rPr>
          <w:rFonts w:asciiTheme="minorHAnsi" w:hAnsiTheme="minorHAnsi" w:cstheme="minorHAnsi"/>
          <w:color w:val="000000"/>
        </w:rPr>
        <w:t>wymagań funkcjonalnych</w:t>
      </w:r>
      <w:r w:rsidRPr="004F3B9A">
        <w:rPr>
          <w:rFonts w:asciiTheme="minorHAnsi" w:hAnsiTheme="minorHAnsi" w:cstheme="minorHAnsi"/>
          <w:color w:val="000000"/>
        </w:rPr>
        <w:t>, Wykonawca przedstawi projekt funkcjonalny Aplikacji SDE24, zawierający co najmniej następujące elementy:</w:t>
      </w:r>
    </w:p>
    <w:p w:rsidR="008B4751" w:rsidRPr="004F3B9A" w:rsidRDefault="005D01D0" w:rsidP="004F3B9A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Model przypadków użycia realizowanych przez Aplikację SDE24, złożony z diagramu (diagramów) przypadków użycia w języku UML oraz opisów przypadków użycia, zawierających co najmniej: nazwę przypadku użycia, priorytet, warunki początkowe, </w:t>
      </w:r>
      <w:r w:rsidR="00275C52" w:rsidRPr="004F3B9A">
        <w:rPr>
          <w:rFonts w:asciiTheme="minorHAnsi" w:hAnsiTheme="minorHAnsi" w:cstheme="minorHAnsi"/>
          <w:color w:val="000000"/>
        </w:rPr>
        <w:t xml:space="preserve">warunki końcowe, </w:t>
      </w:r>
      <w:r w:rsidRPr="004F3B9A">
        <w:rPr>
          <w:rFonts w:asciiTheme="minorHAnsi" w:hAnsiTheme="minorHAnsi" w:cstheme="minorHAnsi"/>
          <w:color w:val="000000"/>
        </w:rPr>
        <w:t>scenariusz podstawowy, informacje sterujące, scenariusze działań, aktorów.</w:t>
      </w:r>
    </w:p>
    <w:p w:rsidR="008B4751" w:rsidRPr="004F3B9A" w:rsidRDefault="005D01D0" w:rsidP="004F3B9A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Model dziedziny biznesowej w postaci diagramu (diagramów) klas w języku UML.</w:t>
      </w:r>
    </w:p>
    <w:p w:rsidR="008B4751" w:rsidRPr="004F3B9A" w:rsidRDefault="005D01D0" w:rsidP="004F3B9A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Diagramy stanów w języku UML.</w:t>
      </w:r>
    </w:p>
    <w:p w:rsidR="008B4751" w:rsidRPr="004F3B9A" w:rsidRDefault="005D01D0" w:rsidP="004F3B9A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Reguły biznesowe, które będą wykorzystane przy sprawdzaniu poprawności obiektów informacyjnych wprowadzanych do Aplikacji SDE24. </w:t>
      </w:r>
    </w:p>
    <w:p w:rsidR="008B4751" w:rsidRPr="004F3B9A" w:rsidRDefault="005D01D0" w:rsidP="004F3B9A">
      <w:pPr>
        <w:pStyle w:val="Akapitzlist"/>
        <w:numPr>
          <w:ilvl w:val="0"/>
          <w:numId w:val="7"/>
        </w:numPr>
        <w:spacing w:after="0" w:line="360" w:lineRule="auto"/>
        <w:ind w:left="0" w:firstLine="0"/>
        <w:jc w:val="both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Określenie kluczowych funkcji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 SDE24.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Zakres opracowania modelu przypadków użycia musi obejmować wszystkie wymagania funkcjonalne </w:t>
      </w:r>
      <w:r w:rsidR="00034B37" w:rsidRPr="004F3B9A">
        <w:rPr>
          <w:rFonts w:asciiTheme="minorHAnsi" w:hAnsiTheme="minorHAnsi" w:cstheme="minorHAnsi"/>
          <w:color w:val="000000"/>
        </w:rPr>
        <w:t>Aplikacji</w:t>
      </w:r>
      <w:r w:rsidRPr="004F3B9A">
        <w:rPr>
          <w:rFonts w:asciiTheme="minorHAnsi" w:hAnsiTheme="minorHAnsi" w:cstheme="minorHAnsi"/>
          <w:color w:val="000000"/>
        </w:rPr>
        <w:t xml:space="preserve"> SDE24.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Hierarchia przypadków użycia musi uwzględniać systemy zewnętrzne gromadzące dane wytwarzane w ramach </w:t>
      </w:r>
      <w:r w:rsidR="00034B37" w:rsidRPr="004F3B9A">
        <w:rPr>
          <w:rFonts w:asciiTheme="minorHAnsi" w:hAnsiTheme="minorHAnsi" w:cstheme="minorHAnsi"/>
          <w:color w:val="000000"/>
        </w:rPr>
        <w:t>Aplikacji</w:t>
      </w:r>
      <w:r w:rsidRPr="004F3B9A">
        <w:rPr>
          <w:rFonts w:asciiTheme="minorHAnsi" w:hAnsiTheme="minorHAnsi" w:cstheme="minorHAnsi"/>
          <w:color w:val="000000"/>
        </w:rPr>
        <w:t xml:space="preserve"> SDE, lecz funkcjonujące poza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plikacją SDE24.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Projekt funkcjonalny Aplikacji SDE24 będzie podlegał zatwierdzeniu przez Zamawiającego. 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 terminie do 7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ni roboczych po zatwierdzeniu projektu funkcjonalnego Aplikacji SDE24, Wykonawca sporządzi protokół odbioru projektu funkcjonalnego Aplikacji SDE24, który zostanie podpisany przez Wykonawcę i zatwierdzony przez Zamawiającego.</w:t>
      </w:r>
      <w:r w:rsidR="008A4CA9" w:rsidRPr="004F3B9A">
        <w:rPr>
          <w:rFonts w:asciiTheme="minorHAnsi" w:hAnsiTheme="minorHAnsi" w:cstheme="minorHAnsi"/>
          <w:color w:val="000000"/>
        </w:rPr>
        <w:t xml:space="preserve"> Wzór protokołu opracuje Wykonawca i przekaże Zamawiającemu do akceptacji.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Na podstawie wyników przeprowadzonej analizy, Wykonawca opracuje projekt techniczny Systemu SDE, opisujący co najmniej: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Schemat i opis struktury i organizacji połączeń sieciowych.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Schemat i opis połączeń sprzętu komputerowego i urządzeń dodatkowych.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Schemat i opis organizacji informacji przetwarzanych w systemie, obejmujący strukturę </w:t>
      </w:r>
      <w:r w:rsidR="00503B54">
        <w:rPr>
          <w:rFonts w:asciiTheme="minorHAnsi" w:hAnsiTheme="minorHAnsi" w:cstheme="minorHAnsi"/>
          <w:color w:val="000000"/>
        </w:rPr>
        <w:t>O</w:t>
      </w:r>
      <w:r w:rsidRPr="004F3B9A">
        <w:rPr>
          <w:rFonts w:asciiTheme="minorHAnsi" w:hAnsiTheme="minorHAnsi" w:cstheme="minorHAnsi"/>
          <w:color w:val="000000"/>
        </w:rPr>
        <w:t xml:space="preserve">programowania </w:t>
      </w:r>
      <w:r w:rsidR="00503B54">
        <w:rPr>
          <w:rFonts w:asciiTheme="minorHAnsi" w:hAnsiTheme="minorHAnsi" w:cstheme="minorHAnsi"/>
          <w:color w:val="000000"/>
        </w:rPr>
        <w:t xml:space="preserve">standardowego/narzędziowego </w:t>
      </w:r>
      <w:r w:rsidRPr="004F3B9A">
        <w:rPr>
          <w:rFonts w:asciiTheme="minorHAnsi" w:hAnsiTheme="minorHAnsi" w:cstheme="minorHAnsi"/>
          <w:color w:val="000000"/>
        </w:rPr>
        <w:t xml:space="preserve">współpracującego z </w:t>
      </w:r>
      <w:r w:rsidR="00034B37" w:rsidRPr="004F3B9A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>ystemem</w:t>
      </w:r>
      <w:r w:rsidR="00034B37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(np. oprogramowanie sieciowe, systemy operacyjne, bazy danych).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parametrów sprzętu, urządzeń i komponentów </w:t>
      </w:r>
      <w:r w:rsidR="00503B54">
        <w:rPr>
          <w:rFonts w:asciiTheme="minorHAnsi" w:hAnsiTheme="minorHAnsi" w:cstheme="minorHAnsi"/>
          <w:color w:val="000000"/>
        </w:rPr>
        <w:t>Op</w:t>
      </w:r>
      <w:r w:rsidR="00503B54" w:rsidRPr="004F3B9A">
        <w:rPr>
          <w:rFonts w:asciiTheme="minorHAnsi" w:hAnsiTheme="minorHAnsi" w:cstheme="minorHAnsi"/>
          <w:color w:val="000000"/>
        </w:rPr>
        <w:t xml:space="preserve">rogramowania </w:t>
      </w:r>
      <w:r w:rsidR="00503B54">
        <w:rPr>
          <w:rFonts w:asciiTheme="minorHAnsi" w:hAnsiTheme="minorHAnsi" w:cstheme="minorHAnsi"/>
          <w:color w:val="000000"/>
        </w:rPr>
        <w:t>standardowego/narzędziowego oraz oprogramowania Aplikacji SDE24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 xml:space="preserve">Schemat i opis integracji </w:t>
      </w:r>
      <w:r w:rsidR="00034B37" w:rsidRPr="004F3B9A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 xml:space="preserve">ystemu </w:t>
      </w:r>
      <w:r w:rsidR="00034B37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z innymi systemami.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Projekt techniczny Systemu SDE będzie podlegał zatwierdzeniu przez Zamawiającego.</w:t>
      </w:r>
    </w:p>
    <w:bookmarkEnd w:id="1"/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Dokumentacja z przeprowadzonych testów.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Opracowana przez Wykonawcę </w:t>
      </w:r>
      <w:r w:rsidR="00503B54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okumentacja testów musi zawierać w szczególności następujące dokumenty składowe: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Specyfikacja przypadków i scenariuszy testowych.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Specyfikacja danych testowych.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Plan testów.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Raport z testów.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testów powinna dokumentować w szczególności potwierdzenie, że System SDE spełnia wymagania określone w Umowie oraz że jest zgodna z odebraną przez Zamawiającego </w:t>
      </w:r>
      <w:r w:rsidR="001C4C0C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okumentacją analityczno-projektową.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Specyfikacja przypadków użycia i scenariuszy testowych powinna obejmować: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Listę przypadków użycia i scenariuszy testowych.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przypadków użycia i scenariuszy testowych – uwzględniający w szczególności dla każdego przypadku testowego:</w:t>
      </w:r>
    </w:p>
    <w:p w:rsidR="008B4751" w:rsidRPr="004F3B9A" w:rsidRDefault="005D01D0" w:rsidP="006D521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Wskazanie identyfikatora przypadku testowego.</w:t>
      </w:r>
    </w:p>
    <w:p w:rsidR="008B4751" w:rsidRPr="004F3B9A" w:rsidRDefault="005D01D0" w:rsidP="006D521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Przedstawienie kroków testu.</w:t>
      </w:r>
    </w:p>
    <w:p w:rsidR="008B4751" w:rsidRPr="004F3B9A" w:rsidRDefault="005D01D0" w:rsidP="006D521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Wskazanie danych wejściowych oraz spodziewanego wyniku.</w:t>
      </w:r>
    </w:p>
    <w:p w:rsidR="008B4751" w:rsidRPr="004F3B9A" w:rsidRDefault="005D01D0" w:rsidP="006D521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Określenie sposobu weryfikacji zgodności otrzymanych wyników testu z oczekiwanymi.</w:t>
      </w:r>
    </w:p>
    <w:p w:rsidR="008B4751" w:rsidRPr="004F3B9A" w:rsidRDefault="005D01D0" w:rsidP="006D521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Wskazanie niezgodności przypadków testowych, w których brak oczekiwanych wyników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przeprowadzonym teście skutkować będzie zgłoszeniem </w:t>
      </w:r>
      <w:r w:rsidR="00F81899">
        <w:rPr>
          <w:rFonts w:asciiTheme="minorHAnsi" w:hAnsiTheme="minorHAnsi" w:cstheme="minorHAnsi"/>
          <w:color w:val="000000"/>
        </w:rPr>
        <w:t>Błędu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Specyfikacja danych testowych powinna przedstawiać podstawowe informacje opisujące dane wykorzystywane do testów (np. lista zbiorów danych wykorzystywanych do testów oraz podstawowe informacje dotyczące treści danych).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 ile nie zostanie z Zamawiającym uzgodnione inaczej, Wykonawca przygotuje </w:t>
      </w:r>
      <w:r w:rsidR="00275C52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ane testowe. Dane te zostaną przygotowane zgodnie ze </w:t>
      </w:r>
      <w:r w:rsidR="0052661C" w:rsidRPr="004F3B9A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 xml:space="preserve">pecyfikacją danych testowych i wykorzystane do przeprowadzania testów określonych w </w:t>
      </w:r>
      <w:r w:rsidR="0052661C" w:rsidRPr="004F3B9A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>pecyfikacji przypadków użycia i scenariuszy testowych.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Plan testów powinien zawierać następujące elementy:</w:t>
      </w:r>
    </w:p>
    <w:p w:rsidR="00AD6BEB" w:rsidRPr="00AD6BEB" w:rsidRDefault="00AD6BEB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>
        <w:t>Przypadki/scenariusze testowe</w:t>
      </w:r>
      <w:r w:rsidR="001C4C0C">
        <w:t>.</w:t>
      </w:r>
    </w:p>
    <w:p w:rsidR="00AD6BEB" w:rsidRPr="00AD6BEB" w:rsidRDefault="00AD6BEB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>
        <w:t>Dane testowe do każdego ze scenariuszy</w:t>
      </w:r>
      <w:r w:rsidR="001C4C0C">
        <w:t>.</w:t>
      </w:r>
    </w:p>
    <w:p w:rsidR="00AD6BEB" w:rsidRDefault="00AD6BEB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>
        <w:t>Oczekiwany wynik testu</w:t>
      </w:r>
      <w:r w:rsidR="001C4C0C"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Wskazanie obszarów tematycznych i zakresu testów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Wskazanie zasobów potrzebnych do przeprowadzenia testów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Określenie zadań, organizacji i harmonogramu testów</w:t>
      </w:r>
      <w:r w:rsidR="001C4C0C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 xml:space="preserve">Wzór </w:t>
      </w:r>
      <w:r w:rsidR="0052661C" w:rsidRPr="004F3B9A">
        <w:rPr>
          <w:rFonts w:asciiTheme="minorHAnsi" w:hAnsiTheme="minorHAnsi" w:cstheme="minorHAnsi"/>
          <w:color w:val="000000"/>
        </w:rPr>
        <w:t>r</w:t>
      </w:r>
      <w:r w:rsidRPr="004F3B9A">
        <w:rPr>
          <w:rFonts w:asciiTheme="minorHAnsi" w:hAnsiTheme="minorHAnsi" w:cstheme="minorHAnsi"/>
          <w:color w:val="000000"/>
        </w:rPr>
        <w:t>aportu z testów.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Plan testów powinien przewidzieć możliwość przeprowadzenia dwóch iteracji testów (tzn.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powtórnego przeprowadzenia testów) oraz możliwość zgłoszenia uwag przez Zamawiającego po pierwszej iteracji testów oraz uzgodnienia tych uwag i uwzględnienia w dokumentacji testów. Uwagi o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których mowa polegać będą na przedstawieniu zidentyfikowanych niezgodności (o ile takie będą występować) testowanych rozwiązań Wykonawcy z zakresem przedmiotu zamówienia.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Wyniki testów, o których mowa powyżej, udokumentowane</w:t>
      </w:r>
      <w:r w:rsidR="00034B37" w:rsidRPr="004F3B9A">
        <w:rPr>
          <w:rFonts w:asciiTheme="minorHAnsi" w:hAnsiTheme="minorHAnsi" w:cstheme="minorHAnsi"/>
          <w:color w:val="000000"/>
        </w:rPr>
        <w:t xml:space="preserve"> i przekazane </w:t>
      </w:r>
      <w:r w:rsidRPr="004F3B9A">
        <w:rPr>
          <w:rFonts w:asciiTheme="minorHAnsi" w:hAnsiTheme="minorHAnsi" w:cstheme="minorHAnsi"/>
          <w:color w:val="000000"/>
        </w:rPr>
        <w:t xml:space="preserve">zostaną </w:t>
      </w:r>
      <w:r w:rsidR="00034B37" w:rsidRPr="004F3B9A">
        <w:rPr>
          <w:rFonts w:asciiTheme="minorHAnsi" w:hAnsiTheme="minorHAnsi" w:cstheme="minorHAnsi"/>
          <w:color w:val="000000"/>
        </w:rPr>
        <w:t xml:space="preserve">Zamawiającemu </w:t>
      </w:r>
      <w:r w:rsidRPr="004F3B9A">
        <w:rPr>
          <w:rFonts w:asciiTheme="minorHAnsi" w:hAnsiTheme="minorHAnsi" w:cstheme="minorHAnsi"/>
          <w:color w:val="000000"/>
        </w:rPr>
        <w:t xml:space="preserve">w </w:t>
      </w:r>
      <w:r w:rsidR="00034B37" w:rsidRPr="004F3B9A">
        <w:rPr>
          <w:rFonts w:asciiTheme="minorHAnsi" w:hAnsiTheme="minorHAnsi" w:cstheme="minorHAnsi"/>
          <w:color w:val="000000"/>
        </w:rPr>
        <w:t xml:space="preserve">formie </w:t>
      </w:r>
      <w:r w:rsidRPr="004F3B9A">
        <w:rPr>
          <w:rFonts w:asciiTheme="minorHAnsi" w:hAnsiTheme="minorHAnsi" w:cstheme="minorHAnsi"/>
          <w:color w:val="000000"/>
        </w:rPr>
        <w:t>rapor</w:t>
      </w:r>
      <w:r w:rsidR="00034B37" w:rsidRPr="004F3B9A">
        <w:rPr>
          <w:rFonts w:asciiTheme="minorHAnsi" w:hAnsiTheme="minorHAnsi" w:cstheme="minorHAnsi"/>
          <w:color w:val="000000"/>
        </w:rPr>
        <w:t>tu</w:t>
      </w:r>
      <w:r w:rsidRPr="004F3B9A">
        <w:rPr>
          <w:rFonts w:asciiTheme="minorHAnsi" w:hAnsiTheme="minorHAnsi" w:cstheme="minorHAnsi"/>
          <w:color w:val="000000"/>
        </w:rPr>
        <w:t xml:space="preserve"> z testów - dokumencie przygotowanym przez Wykonawcę – tzn. przedstawiającym rezultaty wykonanych testów wskazanych w specyfikacji przypadków użycia i scenariuszy testowych.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Po pozytywnym zakończeniu testów Wykonawca opracuje i przekaże Zamawiającemu </w:t>
      </w:r>
      <w:r w:rsidR="003E61B2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okumentację powykonawczą.</w:t>
      </w:r>
    </w:p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 xml:space="preserve">Dokumentacja migracji </w:t>
      </w:r>
      <w:r w:rsidR="00A26DCB">
        <w:rPr>
          <w:rFonts w:asciiTheme="minorHAnsi" w:hAnsiTheme="minorHAnsi" w:cstheme="minorHAnsi"/>
          <w:b/>
          <w:color w:val="000000"/>
        </w:rPr>
        <w:t xml:space="preserve">oraz replikacji </w:t>
      </w:r>
      <w:r w:rsidRPr="0036273B">
        <w:rPr>
          <w:rFonts w:asciiTheme="minorHAnsi" w:hAnsiTheme="minorHAnsi" w:cstheme="minorHAnsi"/>
          <w:b/>
          <w:color w:val="000000"/>
        </w:rPr>
        <w:t>danych.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dotycząca migracji </w:t>
      </w:r>
      <w:r w:rsidR="00A26DCB">
        <w:rPr>
          <w:rFonts w:asciiTheme="minorHAnsi" w:hAnsiTheme="minorHAnsi" w:cstheme="minorHAnsi"/>
          <w:color w:val="000000"/>
        </w:rPr>
        <w:t xml:space="preserve">oraz replikacji </w:t>
      </w:r>
      <w:r w:rsidRPr="004F3B9A">
        <w:rPr>
          <w:rFonts w:asciiTheme="minorHAnsi" w:hAnsiTheme="minorHAnsi" w:cstheme="minorHAnsi"/>
          <w:color w:val="000000"/>
        </w:rPr>
        <w:t>danych, musi zawierać w szczególności: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Szczegółowy opis procedury wykonania migracji</w:t>
      </w:r>
      <w:r w:rsidR="00A26DCB">
        <w:rPr>
          <w:rFonts w:asciiTheme="minorHAnsi" w:hAnsiTheme="minorHAnsi" w:cstheme="minorHAnsi"/>
          <w:color w:val="000000"/>
        </w:rPr>
        <w:t>, replikacji</w:t>
      </w:r>
      <w:r w:rsidRPr="004F3B9A">
        <w:rPr>
          <w:rFonts w:asciiTheme="minorHAnsi" w:hAnsiTheme="minorHAnsi" w:cstheme="minorHAnsi"/>
          <w:color w:val="000000"/>
        </w:rPr>
        <w:t xml:space="preserve"> i weryfikacji danych (w tym opis produktów przejściowych i końcowych migracji </w:t>
      </w:r>
      <w:r w:rsidR="00A26DCB">
        <w:rPr>
          <w:rFonts w:asciiTheme="minorHAnsi" w:hAnsiTheme="minorHAnsi" w:cstheme="minorHAnsi"/>
          <w:color w:val="000000"/>
        </w:rPr>
        <w:t xml:space="preserve">oraz replikacji </w:t>
      </w:r>
      <w:r w:rsidRPr="004F3B9A">
        <w:rPr>
          <w:rFonts w:asciiTheme="minorHAnsi" w:hAnsiTheme="minorHAnsi" w:cstheme="minorHAnsi"/>
          <w:color w:val="000000"/>
        </w:rPr>
        <w:t>danych).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Określenie źródeł i docelowego miejsca migracji</w:t>
      </w:r>
      <w:r w:rsidR="00A26DCB">
        <w:rPr>
          <w:rFonts w:asciiTheme="minorHAnsi" w:hAnsiTheme="minorHAnsi" w:cstheme="minorHAnsi"/>
          <w:color w:val="000000"/>
        </w:rPr>
        <w:t xml:space="preserve"> oraz replikacji </w:t>
      </w:r>
      <w:r w:rsidRPr="004F3B9A">
        <w:rPr>
          <w:rFonts w:asciiTheme="minorHAnsi" w:hAnsiTheme="minorHAnsi" w:cstheme="minorHAnsi"/>
          <w:color w:val="000000"/>
        </w:rPr>
        <w:t>danych.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Analizę danych źródłowych i określenie sposobu migracji</w:t>
      </w:r>
      <w:r w:rsidR="00A26DCB">
        <w:rPr>
          <w:rFonts w:asciiTheme="minorHAnsi" w:hAnsiTheme="minorHAnsi" w:cstheme="minorHAnsi"/>
          <w:color w:val="000000"/>
        </w:rPr>
        <w:t xml:space="preserve"> oraz replikacji</w:t>
      </w:r>
      <w:r w:rsidRPr="004F3B9A">
        <w:rPr>
          <w:rFonts w:asciiTheme="minorHAnsi" w:hAnsiTheme="minorHAnsi" w:cstheme="minorHAnsi"/>
          <w:color w:val="000000"/>
        </w:rPr>
        <w:t xml:space="preserve"> danych.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narzędzi do migracji </w:t>
      </w:r>
      <w:r w:rsidR="00A26DCB">
        <w:rPr>
          <w:rFonts w:asciiTheme="minorHAnsi" w:hAnsiTheme="minorHAnsi" w:cstheme="minorHAnsi"/>
          <w:color w:val="000000"/>
        </w:rPr>
        <w:t xml:space="preserve">oraz replikacji </w:t>
      </w:r>
      <w:r w:rsidRPr="004F3B9A">
        <w:rPr>
          <w:rFonts w:asciiTheme="minorHAnsi" w:hAnsiTheme="minorHAnsi" w:cstheme="minorHAnsi"/>
          <w:color w:val="000000"/>
        </w:rPr>
        <w:t>danych.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Wyniki migracji danych.</w:t>
      </w:r>
    </w:p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Dokumentacja administratora.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administratora zawierać musi w szczególności: 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procedur związanych z przydzielaniem uprawnień </w:t>
      </w:r>
      <w:r w:rsidR="00AD6BEB">
        <w:rPr>
          <w:rFonts w:asciiTheme="minorHAnsi" w:hAnsiTheme="minorHAnsi" w:cstheme="minorHAnsi"/>
          <w:color w:val="000000"/>
        </w:rPr>
        <w:t>oraz</w:t>
      </w:r>
      <w:r w:rsidRPr="004F3B9A">
        <w:rPr>
          <w:rFonts w:asciiTheme="minorHAnsi" w:hAnsiTheme="minorHAnsi" w:cstheme="minorHAnsi"/>
          <w:color w:val="000000"/>
        </w:rPr>
        <w:t xml:space="preserve"> parametryzacją Systemu SDE.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Wykaz czynności niezbędnych do wykonania przez administratora Wykonawcy w celu zapewnienia prawidłowego i niezawodnego działania Systemu SDE.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sposobów postępowania w sytuacjach szczególnych i awaryjnych</w:t>
      </w:r>
      <w:r w:rsidR="003E61B2">
        <w:rPr>
          <w:rFonts w:asciiTheme="minorHAnsi" w:hAnsiTheme="minorHAnsi" w:cstheme="minorHAnsi"/>
          <w:color w:val="000000"/>
        </w:rPr>
        <w:t xml:space="preserve"> związanych z Systemem SDE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Szczegółową (krok po kroku) instrukcję instalacji i konfiguracji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 SDE24.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Pełny opis parametrów instalacyjnych i konfiguracyjnych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 xml:space="preserve">plikacji SDE24 wraz z opisem dopuszczalnych wartości i ich wpływem na działanie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 SDE24, obejmujący także wartości zalecanych ustawień.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Szczegółową (krok po kroku) instrukcję </w:t>
      </w:r>
      <w:r w:rsidR="00AD6BEB">
        <w:rPr>
          <w:rFonts w:asciiTheme="minorHAnsi" w:hAnsiTheme="minorHAnsi" w:cstheme="minorHAnsi"/>
          <w:color w:val="000000"/>
        </w:rPr>
        <w:t>instalacji</w:t>
      </w:r>
      <w:r w:rsidRPr="004F3B9A">
        <w:rPr>
          <w:rFonts w:asciiTheme="minorHAnsi" w:hAnsiTheme="minorHAnsi" w:cstheme="minorHAnsi"/>
          <w:color w:val="000000"/>
        </w:rPr>
        <w:t xml:space="preserve"> nowych wersji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 SDE24.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 xml:space="preserve">Szczegółowy opis możliwych do nadawania oraz zastosowania </w:t>
      </w:r>
      <w:r w:rsidR="003E61B2">
        <w:rPr>
          <w:rFonts w:asciiTheme="minorHAnsi" w:hAnsiTheme="minorHAnsi" w:cstheme="minorHAnsi"/>
          <w:color w:val="000000"/>
        </w:rPr>
        <w:t>R</w:t>
      </w:r>
      <w:r w:rsidRPr="004F3B9A">
        <w:rPr>
          <w:rFonts w:asciiTheme="minorHAnsi" w:hAnsiTheme="minorHAnsi" w:cstheme="minorHAnsi"/>
          <w:color w:val="000000"/>
        </w:rPr>
        <w:t xml:space="preserve">ól i uprawnień wraz z ich wpływem na działanie </w:t>
      </w:r>
      <w:r w:rsidR="00034B37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 SDE24.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Pełny wykaz </w:t>
      </w:r>
      <w:r w:rsidR="0065749A">
        <w:rPr>
          <w:rFonts w:asciiTheme="minorHAnsi" w:hAnsiTheme="minorHAnsi" w:cstheme="minorHAnsi"/>
          <w:color w:val="000000"/>
        </w:rPr>
        <w:t xml:space="preserve">obsługi </w:t>
      </w:r>
      <w:r w:rsidRPr="004F3B9A">
        <w:rPr>
          <w:rFonts w:asciiTheme="minorHAnsi" w:hAnsiTheme="minorHAnsi" w:cstheme="minorHAnsi"/>
          <w:color w:val="000000"/>
        </w:rPr>
        <w:t xml:space="preserve">błędów i </w:t>
      </w:r>
      <w:r w:rsidR="0065749A">
        <w:rPr>
          <w:rFonts w:asciiTheme="minorHAnsi" w:hAnsiTheme="minorHAnsi" w:cstheme="minorHAnsi"/>
          <w:color w:val="000000"/>
        </w:rPr>
        <w:t>wyjątków</w:t>
      </w:r>
      <w:r w:rsidRPr="004F3B9A">
        <w:rPr>
          <w:rFonts w:asciiTheme="minorHAnsi" w:hAnsiTheme="minorHAnsi" w:cstheme="minorHAnsi"/>
          <w:color w:val="000000"/>
        </w:rPr>
        <w:t xml:space="preserve"> Aplikacji SDE24 wraz z opisem.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zasad administrowania </w:t>
      </w:r>
      <w:r w:rsidR="003E61B2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 xml:space="preserve">ystemem SDE, obejmujący </w:t>
      </w:r>
      <w:r w:rsidR="003E61B2">
        <w:rPr>
          <w:rFonts w:asciiTheme="minorHAnsi" w:hAnsiTheme="minorHAnsi" w:cstheme="minorHAnsi"/>
          <w:color w:val="000000"/>
        </w:rPr>
        <w:t xml:space="preserve">w szczególności </w:t>
      </w:r>
      <w:r w:rsidRPr="004F3B9A">
        <w:rPr>
          <w:rFonts w:asciiTheme="minorHAnsi" w:hAnsiTheme="minorHAnsi" w:cstheme="minorHAnsi"/>
          <w:color w:val="000000"/>
        </w:rPr>
        <w:t>zalecenia dotyczące zasad monitorowania pracy Systemu SDE, tworzenia kopii bezpieczeństwa danych, odtwarzania z kopii bezpieczeństwa, monitorowania pojemności, zarządzania uprawnieniami.</w:t>
      </w:r>
    </w:p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Dokumentacja użytkownika.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3E61B2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 xml:space="preserve">żytkownika stanowi instrukcję jak </w:t>
      </w:r>
      <w:r w:rsidR="003E61B2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 xml:space="preserve">żytkownik </w:t>
      </w:r>
      <w:r w:rsidR="003E61B2">
        <w:rPr>
          <w:rFonts w:asciiTheme="minorHAnsi" w:hAnsiTheme="minorHAnsi" w:cstheme="minorHAnsi"/>
          <w:color w:val="000000"/>
        </w:rPr>
        <w:t>Systemu SDE</w:t>
      </w:r>
      <w:r w:rsidRPr="004F3B9A">
        <w:rPr>
          <w:rFonts w:asciiTheme="minorHAnsi" w:hAnsiTheme="minorHAnsi" w:cstheme="minorHAnsi"/>
          <w:color w:val="000000"/>
        </w:rPr>
        <w:t xml:space="preserve"> ma posługiwać się Aplikacją SDE24 wraz ze szczegółowym opisem </w:t>
      </w:r>
      <w:r w:rsidR="00595F79">
        <w:rPr>
          <w:rFonts w:asciiTheme="minorHAnsi" w:hAnsiTheme="minorHAnsi" w:cstheme="minorHAnsi"/>
          <w:color w:val="000000"/>
        </w:rPr>
        <w:t xml:space="preserve">wszystkich </w:t>
      </w:r>
      <w:r w:rsidRPr="004F3B9A">
        <w:rPr>
          <w:rFonts w:asciiTheme="minorHAnsi" w:hAnsiTheme="minorHAnsi" w:cstheme="minorHAnsi"/>
          <w:color w:val="000000"/>
        </w:rPr>
        <w:t>dostarczanych funkcjonalności (schematy funkcjonalne Aplikacji SDE24 oraz jej elementów).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Zakres informacji zawartych w </w:t>
      </w:r>
      <w:r w:rsidR="00034B37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B87CBA">
        <w:rPr>
          <w:rFonts w:asciiTheme="minorHAnsi" w:hAnsiTheme="minorHAnsi" w:cstheme="minorHAnsi"/>
          <w:color w:val="000000"/>
        </w:rPr>
        <w:t>SDE</w:t>
      </w:r>
      <w:r w:rsidRPr="004F3B9A">
        <w:rPr>
          <w:rFonts w:asciiTheme="minorHAnsi" w:hAnsiTheme="minorHAnsi" w:cstheme="minorHAnsi"/>
          <w:color w:val="000000"/>
        </w:rPr>
        <w:t xml:space="preserve"> musi podlegać aktualizacji w trakcie prac wdrożeniowych.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B87CB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musi być wytworzona w</w:t>
      </w:r>
      <w:r w:rsidR="00595F79">
        <w:rPr>
          <w:rFonts w:asciiTheme="minorHAnsi" w:hAnsiTheme="minorHAnsi" w:cstheme="minorHAnsi"/>
          <w:color w:val="000000"/>
        </w:rPr>
        <w:t xml:space="preserve"> czterech</w:t>
      </w:r>
      <w:r w:rsidRPr="004F3B9A">
        <w:rPr>
          <w:rFonts w:asciiTheme="minorHAnsi" w:hAnsiTheme="minorHAnsi" w:cstheme="minorHAnsi"/>
          <w:color w:val="000000"/>
        </w:rPr>
        <w:t xml:space="preserve"> wersjach: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Dla </w:t>
      </w:r>
      <w:r w:rsidR="00034B37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żytkowników</w:t>
      </w:r>
      <w:r w:rsidR="00B87CBA">
        <w:rPr>
          <w:rFonts w:asciiTheme="minorHAnsi" w:hAnsiTheme="minorHAnsi" w:cstheme="minorHAnsi"/>
          <w:color w:val="000000"/>
        </w:rPr>
        <w:t xml:space="preserve"> </w:t>
      </w:r>
      <w:r w:rsidRPr="004F3B9A">
        <w:rPr>
          <w:rFonts w:asciiTheme="minorHAnsi" w:hAnsiTheme="minorHAnsi" w:cstheme="minorHAnsi"/>
          <w:color w:val="000000"/>
        </w:rPr>
        <w:t>zewnętrznych (</w:t>
      </w:r>
      <w:r w:rsidR="003277D1" w:rsidRPr="004F3B9A">
        <w:rPr>
          <w:rFonts w:asciiTheme="minorHAnsi" w:hAnsiTheme="minorHAnsi" w:cstheme="minorHAnsi"/>
          <w:color w:val="000000"/>
        </w:rPr>
        <w:t>sądy</w:t>
      </w:r>
      <w:r w:rsidRPr="004F3B9A">
        <w:rPr>
          <w:rFonts w:asciiTheme="minorHAnsi" w:hAnsiTheme="minorHAnsi" w:cstheme="minorHAnsi"/>
          <w:color w:val="000000"/>
        </w:rPr>
        <w:t>, kuratorzy).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Dla </w:t>
      </w:r>
      <w:r w:rsidR="00034B37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żytkowników</w:t>
      </w:r>
      <w:r w:rsidR="00B87CBA">
        <w:rPr>
          <w:rFonts w:asciiTheme="minorHAnsi" w:hAnsiTheme="minorHAnsi" w:cstheme="minorHAnsi"/>
          <w:color w:val="000000"/>
        </w:rPr>
        <w:t xml:space="preserve"> </w:t>
      </w:r>
      <w:r w:rsidR="003E61B2">
        <w:rPr>
          <w:rFonts w:asciiTheme="minorHAnsi" w:hAnsiTheme="minorHAnsi" w:cstheme="minorHAnsi"/>
          <w:color w:val="000000"/>
        </w:rPr>
        <w:t>mobilnych</w:t>
      </w:r>
      <w:r w:rsidRPr="004F3B9A">
        <w:rPr>
          <w:rFonts w:asciiTheme="minorHAnsi" w:hAnsiTheme="minorHAnsi" w:cstheme="minorHAnsi"/>
          <w:color w:val="000000"/>
        </w:rPr>
        <w:t xml:space="preserve"> (wchodzący</w:t>
      </w:r>
      <w:r w:rsidR="003E61B2">
        <w:rPr>
          <w:rFonts w:asciiTheme="minorHAnsi" w:hAnsiTheme="minorHAnsi" w:cstheme="minorHAnsi"/>
          <w:color w:val="000000"/>
        </w:rPr>
        <w:t>ch</w:t>
      </w:r>
      <w:r w:rsidRPr="004F3B9A">
        <w:rPr>
          <w:rFonts w:asciiTheme="minorHAnsi" w:hAnsiTheme="minorHAnsi" w:cstheme="minorHAnsi"/>
          <w:color w:val="000000"/>
        </w:rPr>
        <w:t xml:space="preserve"> w skład </w:t>
      </w:r>
      <w:r w:rsidR="003277D1" w:rsidRPr="004F3B9A">
        <w:rPr>
          <w:rFonts w:asciiTheme="minorHAnsi" w:hAnsiTheme="minorHAnsi" w:cstheme="minorHAnsi"/>
          <w:color w:val="000000"/>
        </w:rPr>
        <w:t>Z</w:t>
      </w:r>
      <w:r w:rsidRPr="004F3B9A">
        <w:rPr>
          <w:rFonts w:asciiTheme="minorHAnsi" w:hAnsiTheme="minorHAnsi" w:cstheme="minorHAnsi"/>
          <w:color w:val="000000"/>
        </w:rPr>
        <w:t>espołów terenowych).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Dla </w:t>
      </w:r>
      <w:r w:rsidR="00034B37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żytkowników</w:t>
      </w:r>
      <w:r w:rsidR="00B87CBA">
        <w:rPr>
          <w:rFonts w:asciiTheme="minorHAnsi" w:hAnsiTheme="minorHAnsi" w:cstheme="minorHAnsi"/>
          <w:color w:val="000000"/>
        </w:rPr>
        <w:t xml:space="preserve"> </w:t>
      </w:r>
      <w:r w:rsidRPr="004F3B9A">
        <w:rPr>
          <w:rFonts w:asciiTheme="minorHAnsi" w:hAnsiTheme="minorHAnsi" w:cstheme="minorHAnsi"/>
          <w:color w:val="000000"/>
        </w:rPr>
        <w:t xml:space="preserve">wewnętrznych </w:t>
      </w:r>
      <w:r w:rsidR="003E61B2">
        <w:rPr>
          <w:rFonts w:asciiTheme="minorHAnsi" w:hAnsiTheme="minorHAnsi" w:cstheme="minorHAnsi"/>
          <w:color w:val="000000"/>
        </w:rPr>
        <w:t>(domenowych)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B87CBA">
        <w:rPr>
          <w:rFonts w:asciiTheme="minorHAnsi" w:hAnsiTheme="minorHAnsi" w:cstheme="minorHAnsi"/>
          <w:color w:val="000000"/>
        </w:rPr>
        <w:t xml:space="preserve">SDE </w:t>
      </w:r>
      <w:r w:rsidR="003E61B2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żytkownika</w:t>
      </w:r>
      <w:r w:rsidR="003E61B2">
        <w:rPr>
          <w:rFonts w:asciiTheme="minorHAnsi" w:hAnsiTheme="minorHAnsi" w:cstheme="minorHAnsi"/>
          <w:color w:val="000000"/>
        </w:rPr>
        <w:t xml:space="preserve"> Systemu SDE</w:t>
      </w:r>
      <w:r w:rsidRPr="004F3B9A">
        <w:rPr>
          <w:rFonts w:asciiTheme="minorHAnsi" w:hAnsiTheme="minorHAnsi" w:cstheme="minorHAnsi"/>
          <w:color w:val="000000"/>
        </w:rPr>
        <w:t xml:space="preserve"> musi zawierać opis pełnej funkcjonalności Aplikacji SDE24 w sposób przejrzysty umożliwiający samodzielne jej użytkowanie.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B87CB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musi opisywać kolejność czynności i zakres możliwych danych do wprowadzenia oraz sposób postępowania w sytuacjach szczególnych.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9A6E38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musi zawierać, dla wszystkich funkcji i </w:t>
      </w:r>
      <w:r w:rsidR="003277D1" w:rsidRPr="004F3B9A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 xml:space="preserve">rocesów biznesowych </w:t>
      </w:r>
      <w:r w:rsidR="003277D1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3277D1" w:rsidRPr="004F3B9A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>, ścieżki postępowania – jak wykonać określoną operację krok po kroku wraz z zrzutami ekranów.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</w:t>
      </w:r>
      <w:r w:rsidR="009A6E38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musi zawierać opis wszystkich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nterfejsów, diagramy </w:t>
      </w:r>
      <w:r w:rsidR="003277D1" w:rsidRPr="004F3B9A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>rocesów biznesowych, opis każdego formularza, m.in.: jakie pola znajdują się na formularzu, zbiór wartości dopuszczalnych, lista wartości.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musi aktualizować materiały szkoleniowe e-learning w formie interaktywnego kursu, zamieszczone w Aplikacji SDE24.</w:t>
      </w:r>
    </w:p>
    <w:p w:rsidR="008B4751" w:rsidRPr="0036273B" w:rsidRDefault="005D01D0" w:rsidP="006D521D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  <w:color w:val="000000"/>
        </w:rPr>
      </w:pPr>
      <w:r w:rsidRPr="0036273B">
        <w:rPr>
          <w:rFonts w:asciiTheme="minorHAnsi" w:hAnsiTheme="minorHAnsi" w:cstheme="minorHAnsi"/>
          <w:b/>
          <w:color w:val="000000"/>
        </w:rPr>
        <w:t>Dokumentacja powykonawcza.</w:t>
      </w:r>
    </w:p>
    <w:p w:rsidR="008B4751" w:rsidRPr="004F3B9A" w:rsidRDefault="005D01D0" w:rsidP="006D521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Dokumentacja powykonawcza musi zawierać w szczególności: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Architekturę logiczną dostarczanej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nfrastruktury </w:t>
      </w:r>
      <w:r w:rsidR="003E61B2">
        <w:rPr>
          <w:rFonts w:asciiTheme="minorHAnsi" w:hAnsiTheme="minorHAnsi" w:cstheme="minorHAnsi"/>
          <w:color w:val="000000"/>
        </w:rPr>
        <w:t>t</w:t>
      </w:r>
      <w:r w:rsidR="003277D1" w:rsidRPr="004F3B9A">
        <w:rPr>
          <w:rFonts w:asciiTheme="minorHAnsi" w:hAnsiTheme="minorHAnsi" w:cstheme="minorHAnsi"/>
          <w:color w:val="000000"/>
        </w:rPr>
        <w:t>echniczno-systemowej</w:t>
      </w:r>
      <w:r w:rsidRPr="004F3B9A">
        <w:rPr>
          <w:rFonts w:asciiTheme="minorHAnsi" w:hAnsiTheme="minorHAnsi" w:cstheme="minorHAnsi"/>
          <w:color w:val="000000"/>
        </w:rPr>
        <w:t xml:space="preserve"> opisującą podsystemy/moduły wchodzące w skład Systemu SDE, relacje między nimi oraz wewnętrzną budowę poszczególnych podsystemów/modułów.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 xml:space="preserve">Opis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nterfejsów między podsystemami/modułami Systemu SDE oraz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>nterfejsów do systemów zewnętrznych.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Przedstawienie wykorzystywanych struktur baz danych </w:t>
      </w:r>
      <w:r w:rsidR="003E61B2">
        <w:rPr>
          <w:rFonts w:asciiTheme="minorHAnsi" w:hAnsiTheme="minorHAnsi" w:cstheme="minorHAnsi"/>
          <w:color w:val="000000"/>
        </w:rPr>
        <w:t xml:space="preserve">Systemu SDE </w:t>
      </w:r>
      <w:r w:rsidRPr="004F3B9A">
        <w:rPr>
          <w:rFonts w:asciiTheme="minorHAnsi" w:hAnsiTheme="minorHAnsi" w:cstheme="minorHAnsi"/>
          <w:color w:val="000000"/>
        </w:rPr>
        <w:t>(w tym np. diagramy ERD, podział bazy na schematy, określenie partycjonowania obiektów, określenie indeksów dla tabel, definicje sposobu i stopnia zrównoleglenia przetwarzania obiektów, etc.).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Przedstawienie schematu rozmieszczenia składników Systemu SDE24, </w:t>
      </w:r>
      <w:r w:rsidR="003E61B2">
        <w:rPr>
          <w:rFonts w:asciiTheme="minorHAnsi" w:hAnsiTheme="minorHAnsi" w:cstheme="minorHAnsi"/>
          <w:color w:val="000000"/>
        </w:rPr>
        <w:t>O</w:t>
      </w:r>
      <w:r w:rsidRPr="004F3B9A">
        <w:rPr>
          <w:rFonts w:asciiTheme="minorHAnsi" w:hAnsiTheme="minorHAnsi" w:cstheme="minorHAnsi"/>
          <w:color w:val="000000"/>
        </w:rPr>
        <w:t xml:space="preserve">programowania </w:t>
      </w:r>
      <w:r w:rsidR="003E61B2">
        <w:rPr>
          <w:rFonts w:asciiTheme="minorHAnsi" w:hAnsiTheme="minorHAnsi" w:cstheme="minorHAnsi"/>
          <w:color w:val="000000"/>
        </w:rPr>
        <w:t>standardowego/</w:t>
      </w:r>
      <w:r w:rsidRPr="004F3B9A">
        <w:rPr>
          <w:rFonts w:asciiTheme="minorHAnsi" w:hAnsiTheme="minorHAnsi" w:cstheme="minorHAnsi"/>
          <w:color w:val="000000"/>
        </w:rPr>
        <w:t xml:space="preserve">narzędziowego w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nfrastrukturze </w:t>
      </w:r>
      <w:r w:rsidR="003277D1" w:rsidRPr="004F3B9A">
        <w:rPr>
          <w:rFonts w:asciiTheme="minorHAnsi" w:hAnsiTheme="minorHAnsi" w:cstheme="minorHAnsi"/>
          <w:color w:val="000000"/>
        </w:rPr>
        <w:t>techniczno-systemowej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6D521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okumentacji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muszą być zawarte opisy wszelkich cech, właściwości i funkcjonalności pozwalających na poprawną z punktu widzenia technicznego eksploatację Systemu SDE.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szczególności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okumentacja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ta powinna zawierać:</w:t>
      </w:r>
    </w:p>
    <w:p w:rsidR="008B4751" w:rsidRPr="004F3B9A" w:rsidRDefault="005D01D0" w:rsidP="00346A3F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architektury Systemu SDE - musi zawierać w szczególności wyszczególnienie oraz opis powiązań wszystkich komponentów sprzętowych, systemowych i aplikacyjnych występujących lub wymaganych do poprawnej pracy Aplikacji SDE24 zgodnie z wymaganiami wydajności, funkcjonalności i bezpieczeństwa (minimalny, maksymalny, rekomendowany). </w:t>
      </w:r>
    </w:p>
    <w:p w:rsidR="008B4751" w:rsidRPr="004F3B9A" w:rsidRDefault="005D01D0" w:rsidP="00346A3F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Przykładowy zestaw wymaganych danych konfiguracyjnych obejmować musi: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Serwery – parametry sprzętowe (procesor, pamięć, dyski, karty sieciowe, zasilanie, itp.)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 Sieć – adresacja IP, itp. 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Podsystem dyskowy (punkty montowania/litery dysków, wolumeny logiczne, grupy wolumenowe, zasoby dyskowe, RAID, itp.).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System operacyjny (parametry jądra, moduły, usługi, stos TCP/IP, itp.).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Klaster (węzły fizyczne, paczki klastrowe, kolejność przełączania, itp.).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Listę zainstalowanego </w:t>
      </w:r>
      <w:r w:rsidR="00872DCD">
        <w:rPr>
          <w:rFonts w:asciiTheme="minorHAnsi" w:hAnsiTheme="minorHAnsi" w:cstheme="minorHAnsi"/>
          <w:color w:val="000000"/>
        </w:rPr>
        <w:t>O</w:t>
      </w:r>
      <w:r w:rsidRPr="004F3B9A">
        <w:rPr>
          <w:rFonts w:asciiTheme="minorHAnsi" w:hAnsiTheme="minorHAnsi" w:cstheme="minorHAnsi"/>
          <w:color w:val="000000"/>
        </w:rPr>
        <w:t>programowania</w:t>
      </w:r>
      <w:r w:rsidR="00872DCD">
        <w:rPr>
          <w:rFonts w:asciiTheme="minorHAnsi" w:hAnsiTheme="minorHAnsi" w:cstheme="minorHAnsi"/>
          <w:color w:val="000000"/>
        </w:rPr>
        <w:t xml:space="preserve"> standardowego/narzędziowego</w:t>
      </w:r>
      <w:r w:rsidRPr="004F3B9A">
        <w:rPr>
          <w:rFonts w:asciiTheme="minorHAnsi" w:hAnsiTheme="minorHAnsi" w:cstheme="minorHAnsi"/>
          <w:color w:val="000000"/>
        </w:rPr>
        <w:t>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Macierze – parametry sprzętowe (cache, półki dyskowe, dyski, karty/porty </w:t>
      </w:r>
      <w:proofErr w:type="spellStart"/>
      <w:r w:rsidRPr="004F3B9A">
        <w:rPr>
          <w:rFonts w:asciiTheme="minorHAnsi" w:hAnsiTheme="minorHAnsi" w:cstheme="minorHAnsi"/>
          <w:color w:val="000000"/>
        </w:rPr>
        <w:t>fibre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 channel, itp.), grupy dyskowe, zasoby dyskowe, maskowanie, kopie biznesowe, replikacja,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Infrastrukturę sieciową – parametry sprzętowe (porty </w:t>
      </w:r>
      <w:proofErr w:type="spellStart"/>
      <w:r w:rsidRPr="004F3B9A">
        <w:rPr>
          <w:rFonts w:asciiTheme="minorHAnsi" w:hAnsiTheme="minorHAnsi" w:cstheme="minorHAnsi"/>
          <w:color w:val="000000"/>
        </w:rPr>
        <w:t>fibre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 channel, aktywne licencje, itp.), </w:t>
      </w:r>
      <w:proofErr w:type="spellStart"/>
      <w:r w:rsidRPr="004F3B9A">
        <w:rPr>
          <w:rFonts w:asciiTheme="minorHAnsi" w:hAnsiTheme="minorHAnsi" w:cstheme="minorHAnsi"/>
          <w:color w:val="000000"/>
        </w:rPr>
        <w:t>fabric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, </w:t>
      </w:r>
      <w:proofErr w:type="spellStart"/>
      <w:r w:rsidRPr="004F3B9A">
        <w:rPr>
          <w:rFonts w:asciiTheme="minorHAnsi" w:hAnsiTheme="minorHAnsi" w:cstheme="minorHAnsi"/>
          <w:color w:val="000000"/>
        </w:rPr>
        <w:t>zonning</w:t>
      </w:r>
      <w:proofErr w:type="spellEnd"/>
      <w:r w:rsidRPr="004F3B9A">
        <w:rPr>
          <w:rFonts w:asciiTheme="minorHAnsi" w:hAnsiTheme="minorHAnsi" w:cstheme="minorHAnsi"/>
          <w:color w:val="000000"/>
        </w:rPr>
        <w:t>, aliasy,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konfiguracji</w:t>
      </w:r>
      <w:r w:rsidR="00872DCD">
        <w:rPr>
          <w:rFonts w:asciiTheme="minorHAnsi" w:hAnsiTheme="minorHAnsi" w:cstheme="minorHAnsi"/>
          <w:color w:val="000000"/>
        </w:rPr>
        <w:t xml:space="preserve"> wszystkich zainstalowanych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872DC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872DCD">
        <w:rPr>
          <w:rFonts w:asciiTheme="minorHAnsi" w:hAnsiTheme="minorHAnsi" w:cstheme="minorHAnsi"/>
          <w:color w:val="000000"/>
        </w:rPr>
        <w:t>/systemów</w:t>
      </w:r>
      <w:r w:rsidRPr="004F3B9A">
        <w:rPr>
          <w:rFonts w:asciiTheme="minorHAnsi" w:hAnsiTheme="minorHAnsi" w:cstheme="minorHAnsi"/>
          <w:color w:val="000000"/>
        </w:rPr>
        <w:t>: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musi obejmować ogół oprogramowania wdrożonego, zainstalowanego w System</w:t>
      </w:r>
      <w:r w:rsidR="00595F79">
        <w:rPr>
          <w:rFonts w:asciiTheme="minorHAnsi" w:hAnsiTheme="minorHAnsi" w:cstheme="minorHAnsi"/>
          <w:color w:val="000000"/>
        </w:rPr>
        <w:t>ie</w:t>
      </w:r>
      <w:r w:rsidRPr="004F3B9A">
        <w:rPr>
          <w:rFonts w:asciiTheme="minorHAnsi" w:hAnsiTheme="minorHAnsi" w:cstheme="minorHAnsi"/>
          <w:color w:val="000000"/>
        </w:rPr>
        <w:t xml:space="preserve"> SDE. Przykładowy zestaw wymaganych danych konfiguracyjnych obejmuje: wersję oprogramowania, narzędzia, </w:t>
      </w:r>
      <w:r w:rsidR="003277D1" w:rsidRPr="004F3B9A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żytkowników</w:t>
      </w:r>
      <w:r w:rsidR="00872DCD">
        <w:rPr>
          <w:rFonts w:asciiTheme="minorHAnsi" w:hAnsiTheme="minorHAnsi" w:cstheme="minorHAnsi"/>
          <w:color w:val="000000"/>
        </w:rPr>
        <w:t xml:space="preserve"> Systemu SDE</w:t>
      </w:r>
      <w:r w:rsidRPr="004F3B9A">
        <w:rPr>
          <w:rFonts w:asciiTheme="minorHAnsi" w:hAnsiTheme="minorHAnsi" w:cstheme="minorHAnsi"/>
          <w:color w:val="000000"/>
        </w:rPr>
        <w:t xml:space="preserve"> i grupy systemowe, katalog instalacyjny, położenie plików konfiguracyjnych, pierwotne parametry konfiguracyjne i zmodyfikowane w procesie instalacji, położenie plików logów, położenie i opis kluczowych plików i katalogów, parametry instalacji, itp.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Konfiguracja musi obejmować wersję </w:t>
      </w:r>
      <w:r w:rsidR="003277D1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3277D1" w:rsidRPr="004F3B9A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 xml:space="preserve">, pełen zestaw parametrów konfiguracyjnych </w:t>
      </w:r>
      <w:r w:rsidR="003277D1" w:rsidRPr="004F3B9A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 xml:space="preserve">plikacji </w:t>
      </w:r>
      <w:r w:rsidR="003277D1" w:rsidRPr="004F3B9A">
        <w:rPr>
          <w:rFonts w:asciiTheme="minorHAnsi" w:hAnsiTheme="minorHAnsi" w:cstheme="minorHAnsi"/>
          <w:color w:val="000000"/>
        </w:rPr>
        <w:t xml:space="preserve">SDE24 </w:t>
      </w:r>
      <w:r w:rsidRPr="004F3B9A">
        <w:rPr>
          <w:rFonts w:asciiTheme="minorHAnsi" w:hAnsiTheme="minorHAnsi" w:cstheme="minorHAnsi"/>
          <w:color w:val="000000"/>
        </w:rPr>
        <w:t>wraz z opisem użycia, katalogi instalacyjne, położenie plików konfiguracyjnych, położenie plików logów, położenie i opis innych kluczowych plików i katalogów,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>Opis architektury logicznej – schemat i opis powiązań logicznych poszczególnych komponentów i ich role w architekturze.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Mapy i opis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nterfejsów – muszą zawierać szczegółowy opis techniczny, w szczególności zawierać informację o: typie </w:t>
      </w:r>
      <w:r w:rsidR="007A07AD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nterfejsu, wykorzystywanych protokołach, portach sieciowych, strukturze </w:t>
      </w:r>
      <w:r w:rsidR="003277D1" w:rsidRPr="004F3B9A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>nterfejsu, itp. oraz o zakresie wymiany danych i sposobu kontroli prawidłowości działania.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Opis struktur danych musi w szczególności zawierać: listę tabel baz danych wraz z opisem pól, formaty danych, kryteria walidacji danych wejściowych, opis zmiennych konfiguracyjnych, listę funkcji, procedur składowanych, wyzwalaczy wraz z opisem,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Opis wymagań sprzętowych, systemowych, sieciowych, itp. 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Wymagania dla poszczególnych komponentów architektury, odniesienia do oczekiwanych wymagań wydajnościowych, funkcjonalnych i bezpieczeństwa (minimalny, maksymalny, rekomendowany). 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Dokumentacja eksploatacji, która w szczególności zawierać musi procedury: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okresowego tworzenia/odtwarzania kopii bezpieczeństwa operacyjnego</w:t>
      </w:r>
      <w:r w:rsidR="006336D0">
        <w:rPr>
          <w:rFonts w:asciiTheme="minorHAnsi" w:hAnsiTheme="minorHAnsi" w:cstheme="minorHAnsi"/>
          <w:color w:val="000000"/>
        </w:rPr>
        <w:t>,</w:t>
      </w:r>
      <w:r w:rsidRPr="004F3B9A">
        <w:rPr>
          <w:rFonts w:asciiTheme="minorHAnsi" w:hAnsiTheme="minorHAnsi" w:cstheme="minorHAnsi"/>
          <w:color w:val="000000"/>
        </w:rPr>
        <w:t xml:space="preserve"> kopii zapasowych oraz odtwarzania/kreowania z kopii wszystkich komponentów Aplikacji SDE24 i j</w:t>
      </w:r>
      <w:r w:rsidR="009A6E38">
        <w:rPr>
          <w:rFonts w:asciiTheme="minorHAnsi" w:hAnsiTheme="minorHAnsi" w:cstheme="minorHAnsi"/>
          <w:color w:val="000000"/>
        </w:rPr>
        <w:t>ej</w:t>
      </w:r>
      <w:r w:rsidRPr="004F3B9A">
        <w:rPr>
          <w:rFonts w:asciiTheme="minorHAnsi" w:hAnsiTheme="minorHAnsi" w:cstheme="minorHAnsi"/>
          <w:color w:val="000000"/>
        </w:rPr>
        <w:t xml:space="preserve"> środowiska (bazy danych, komponenty serwera aplikacji, klienta, itp.) oraz przechowywania kopii bezpieczeństwa.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odtwarzania Systemu SDE po katastrofie (</w:t>
      </w:r>
      <w:proofErr w:type="spellStart"/>
      <w:r w:rsidRPr="004F3B9A">
        <w:rPr>
          <w:rFonts w:asciiTheme="minorHAnsi" w:hAnsiTheme="minorHAnsi" w:cstheme="minorHAnsi"/>
          <w:color w:val="000000"/>
        </w:rPr>
        <w:t>disaster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 </w:t>
      </w:r>
      <w:proofErr w:type="spellStart"/>
      <w:r w:rsidRPr="004F3B9A">
        <w:rPr>
          <w:rFonts w:asciiTheme="minorHAnsi" w:hAnsiTheme="minorHAnsi" w:cstheme="minorHAnsi"/>
          <w:color w:val="000000"/>
        </w:rPr>
        <w:t>recovery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). 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Procedura zarządzania grupami </w:t>
      </w:r>
      <w:r w:rsidR="007A07AD">
        <w:rPr>
          <w:rFonts w:asciiTheme="minorHAnsi" w:hAnsiTheme="minorHAnsi" w:cstheme="minorHAnsi"/>
          <w:color w:val="000000"/>
        </w:rPr>
        <w:t>U</w:t>
      </w:r>
      <w:r w:rsidRPr="004F3B9A">
        <w:rPr>
          <w:rFonts w:asciiTheme="minorHAnsi" w:hAnsiTheme="minorHAnsi" w:cstheme="minorHAnsi"/>
          <w:color w:val="000000"/>
        </w:rPr>
        <w:t>żytkowników</w:t>
      </w:r>
      <w:r w:rsidR="007A07AD">
        <w:rPr>
          <w:rFonts w:asciiTheme="minorHAnsi" w:hAnsiTheme="minorHAnsi" w:cstheme="minorHAnsi"/>
          <w:color w:val="000000"/>
        </w:rPr>
        <w:t xml:space="preserve"> Systemu SDE</w:t>
      </w:r>
      <w:r w:rsidRPr="004F3B9A">
        <w:rPr>
          <w:rFonts w:asciiTheme="minorHAnsi" w:hAnsiTheme="minorHAnsi" w:cstheme="minorHAnsi"/>
          <w:color w:val="000000"/>
        </w:rPr>
        <w:t xml:space="preserve"> i hasłami.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audytu zmian w Systemie SDE (np. kontrola logów).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odtwarzania danych i Systemu SDE po awarii.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kontroli zdarzeń dotyczących bezpieczeństwa.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Procedura aktualizacji Aplikacji SDE24.</w:t>
      </w:r>
    </w:p>
    <w:p w:rsidR="008B4751" w:rsidRPr="004F3B9A" w:rsidRDefault="005D01D0" w:rsidP="00346A3F">
      <w:pPr>
        <w:pStyle w:val="Akapitzlist"/>
        <w:numPr>
          <w:ilvl w:val="5"/>
          <w:numId w:val="6"/>
        </w:numPr>
        <w:spacing w:after="0" w:line="360" w:lineRule="auto"/>
        <w:ind w:left="0" w:firstLine="0"/>
        <w:jc w:val="both"/>
        <w:outlineLvl w:val="5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Procedury muszą opisywać kolejne kroki powalające na bezpieczne zatrzymanie/uruchomienie element</w:t>
      </w:r>
      <w:r w:rsidR="007A07AD">
        <w:rPr>
          <w:rFonts w:asciiTheme="minorHAnsi" w:hAnsiTheme="minorHAnsi" w:cstheme="minorHAnsi"/>
          <w:color w:val="000000"/>
        </w:rPr>
        <w:t>ów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7A07AD">
        <w:rPr>
          <w:rFonts w:asciiTheme="minorHAnsi" w:hAnsiTheme="minorHAnsi" w:cstheme="minorHAnsi"/>
          <w:color w:val="000000"/>
        </w:rPr>
        <w:t>i</w:t>
      </w:r>
      <w:r w:rsidRPr="004F3B9A">
        <w:rPr>
          <w:rFonts w:asciiTheme="minorHAnsi" w:hAnsiTheme="minorHAnsi" w:cstheme="minorHAnsi"/>
          <w:color w:val="000000"/>
        </w:rPr>
        <w:t xml:space="preserve">nfrastruktury </w:t>
      </w:r>
      <w:proofErr w:type="spellStart"/>
      <w:r w:rsidRPr="004F3B9A">
        <w:rPr>
          <w:rFonts w:asciiTheme="minorHAnsi" w:hAnsiTheme="minorHAnsi" w:cstheme="minorHAnsi"/>
          <w:color w:val="000000"/>
        </w:rPr>
        <w:t>hardware’owej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 oraz 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7A07AD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 xml:space="preserve"> i elementów infrastruktury software’owej.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Procedury lub instrukcje instalacji, </w:t>
      </w:r>
      <w:proofErr w:type="spellStart"/>
      <w:r w:rsidRPr="004F3B9A">
        <w:rPr>
          <w:rFonts w:asciiTheme="minorHAnsi" w:hAnsiTheme="minorHAnsi" w:cstheme="minorHAnsi"/>
          <w:color w:val="000000"/>
        </w:rPr>
        <w:t>reinstalacji</w:t>
      </w:r>
      <w:proofErr w:type="spellEnd"/>
      <w:r w:rsidRPr="004F3B9A">
        <w:rPr>
          <w:rFonts w:asciiTheme="minorHAnsi" w:hAnsiTheme="minorHAnsi" w:cstheme="minorHAnsi"/>
          <w:color w:val="000000"/>
        </w:rPr>
        <w:t>, deinstalacji oraz aktualizacji. Szczegółowy opis postępowania w przypadku tworzenia lub zmian w środowisku. Jeżeli wykorzystywane są procedury lub instrukcje innych dostawców dla standardowych komponentów (np. baz danych) szczegółowe odniesienie do procedur standardowych właściwych dla tych komponentów.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Procedury backupowe: zalecany tryb backupu aplikacji i elementów infrastruktury software’owej oraz zakres danych podlegających backupowi. Procedury odtworzeniowe muszą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szczególności opisywać sposób odtworzenia funkcjonalności 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7A07AD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 xml:space="preserve"> i elementów infrastruktury software’owej w przypadku </w:t>
      </w:r>
      <w:r w:rsidR="00595F79">
        <w:rPr>
          <w:rFonts w:asciiTheme="minorHAnsi" w:hAnsiTheme="minorHAnsi" w:cstheme="minorHAnsi"/>
          <w:color w:val="000000"/>
        </w:rPr>
        <w:t>wystąpienia Błędu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>Dokumentacja administracyjna związana z poprawną eksploatacją Systemu SDE w postaci procedur lub instrukcji. Opis wszystkich rutynowych czynności administracyjnych dla systemu SDE (dziennych, tygodniowych, miesięcznych, itp.) oraz działań pozwalających na utrzymanie wymaganej dostępności, wydajności i bezpieczeństwa. Wymagane jest dostarczenie poprawnych inicjalnych sekwencji realizowanych czynności administracyjnych i utrzymaniowych i zasad ich aktualizacji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budowy, opis zasad pielęgnacji i utrzymania 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>plikacji</w:t>
      </w:r>
      <w:r w:rsidR="007A07AD">
        <w:rPr>
          <w:rFonts w:asciiTheme="minorHAnsi" w:hAnsiTheme="minorHAnsi" w:cstheme="minorHAnsi"/>
          <w:color w:val="000000"/>
        </w:rPr>
        <w:t xml:space="preserve"> SDE24</w:t>
      </w:r>
      <w:r w:rsidRPr="004F3B9A">
        <w:rPr>
          <w:rFonts w:asciiTheme="minorHAnsi" w:hAnsiTheme="minorHAnsi" w:cstheme="minorHAnsi"/>
          <w:color w:val="000000"/>
        </w:rPr>
        <w:t>. Procedury administracyjne powinny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szczególności zawierać informacje o okresowych zadaniach, które muszą być wykonane przez Wykonawcę, np. weryfikacja zajętości przestrzeni tabel, konieczność wykonywania analizy tabel, czyszczenia logów, itp.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Procedury standardowe: opis możliwości stosowania standardowych procedur poprawnej eksploatacji dla rozwiązań wspierających (sprzętowych lub aplikacyjnych).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Dokumentacja procesu parametryzacji: wyszczególnienie wszystkich parametryzowanych elementów </w:t>
      </w:r>
      <w:r w:rsidR="003277D1" w:rsidRPr="004F3B9A">
        <w:rPr>
          <w:rFonts w:asciiTheme="minorHAnsi" w:hAnsiTheme="minorHAnsi" w:cstheme="minorHAnsi"/>
          <w:color w:val="000000"/>
        </w:rPr>
        <w:t>S</w:t>
      </w:r>
      <w:r w:rsidRPr="004F3B9A">
        <w:rPr>
          <w:rFonts w:asciiTheme="minorHAnsi" w:hAnsiTheme="minorHAnsi" w:cstheme="minorHAnsi"/>
          <w:color w:val="000000"/>
        </w:rPr>
        <w:t>ystemu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wraz z opisem ich znaczenia i dopuszczalnych wartości oraz stosowanych wartości domyślnych.</w:t>
      </w:r>
    </w:p>
    <w:p w:rsidR="008B4751" w:rsidRPr="004F3B9A" w:rsidRDefault="005D01D0" w:rsidP="00346A3F">
      <w:pPr>
        <w:pStyle w:val="Akapitzlist"/>
        <w:numPr>
          <w:ilvl w:val="4"/>
          <w:numId w:val="6"/>
        </w:numPr>
        <w:spacing w:after="0" w:line="360" w:lineRule="auto"/>
        <w:ind w:left="0" w:firstLine="0"/>
        <w:jc w:val="both"/>
        <w:outlineLvl w:val="4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Dokumenty z testów: plan testów, scenariusze testowe i protokoły z testów akceptacyjnych, wydajnościowych, testów operacji administratora technicznego oraz testów bezpieczeństwa w tym ciągłości działania (przełączanie, odtwarzanie, weryfikacja poprawności).</w:t>
      </w:r>
    </w:p>
    <w:p w:rsidR="008B4751" w:rsidRPr="004F3B9A" w:rsidRDefault="005D01D0" w:rsidP="00346A3F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Dokumentacja powykonawcza musi zawierać uaktualniony projekt technicznych Systemu SDE, tj.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odzwierciedlający uzgodnione jego </w:t>
      </w:r>
      <w:r w:rsidR="007A07AD">
        <w:rPr>
          <w:rFonts w:asciiTheme="minorHAnsi" w:hAnsiTheme="minorHAnsi" w:cstheme="minorHAnsi"/>
          <w:color w:val="000000"/>
        </w:rPr>
        <w:t>M</w:t>
      </w:r>
      <w:r w:rsidRPr="004F3B9A">
        <w:rPr>
          <w:rFonts w:asciiTheme="minorHAnsi" w:hAnsiTheme="minorHAnsi" w:cstheme="minorHAnsi"/>
          <w:color w:val="000000"/>
        </w:rPr>
        <w:t>odyfikacje</w:t>
      </w:r>
      <w:r w:rsidR="00595F79">
        <w:rPr>
          <w:rFonts w:asciiTheme="minorHAnsi" w:hAnsiTheme="minorHAnsi" w:cstheme="minorHAnsi"/>
          <w:color w:val="000000"/>
        </w:rPr>
        <w:t xml:space="preserve"> i zmiany</w:t>
      </w:r>
      <w:r w:rsidRPr="004F3B9A">
        <w:rPr>
          <w:rFonts w:asciiTheme="minorHAnsi" w:hAnsiTheme="minorHAnsi" w:cstheme="minorHAnsi"/>
          <w:color w:val="000000"/>
        </w:rPr>
        <w:t xml:space="preserve"> dokonane w trakcie wytwarzania lub uruchamiania (w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tym testowania) Systemu SDE.</w:t>
      </w:r>
    </w:p>
    <w:p w:rsidR="008B4751" w:rsidRPr="0036273B" w:rsidRDefault="005D01D0" w:rsidP="00346A3F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</w:rPr>
      </w:pPr>
      <w:r w:rsidRPr="0036273B">
        <w:rPr>
          <w:rFonts w:asciiTheme="minorHAnsi" w:hAnsiTheme="minorHAnsi" w:cstheme="minorHAnsi"/>
          <w:b/>
          <w:color w:val="000000"/>
        </w:rPr>
        <w:t>Kody źródłowe.</w:t>
      </w:r>
    </w:p>
    <w:p w:rsidR="008B4751" w:rsidRPr="004F3B9A" w:rsidRDefault="005D01D0" w:rsidP="00346A3F">
      <w:pPr>
        <w:pStyle w:val="Akapitzlist"/>
        <w:numPr>
          <w:ilvl w:val="1"/>
          <w:numId w:val="6"/>
        </w:numPr>
        <w:suppressAutoHyphens w:val="0"/>
        <w:spacing w:after="0" w:line="360" w:lineRule="auto"/>
        <w:ind w:left="0" w:firstLine="0"/>
        <w:jc w:val="both"/>
        <w:textAlignment w:val="auto"/>
        <w:outlineLvl w:val="1"/>
        <w:rPr>
          <w:rFonts w:asciiTheme="minorHAnsi" w:eastAsia="Times New Roman" w:hAnsiTheme="minorHAnsi" w:cstheme="minorHAnsi"/>
          <w:color w:val="000000"/>
          <w:lang w:eastAsia="pl-PL"/>
        </w:rPr>
      </w:pPr>
      <w:r w:rsidRPr="004F3B9A">
        <w:rPr>
          <w:rFonts w:asciiTheme="minorHAnsi" w:eastAsia="Times New Roman" w:hAnsiTheme="minorHAnsi" w:cstheme="minorHAnsi"/>
          <w:color w:val="000000"/>
          <w:lang w:eastAsia="pl-PL"/>
        </w:rPr>
        <w:t xml:space="preserve">Wykonawca przekaże Zamawiającemu </w:t>
      </w:r>
      <w:r w:rsidR="003277D1" w:rsidRPr="004F3B9A">
        <w:rPr>
          <w:rFonts w:asciiTheme="minorHAnsi" w:eastAsia="Times New Roman" w:hAnsiTheme="minorHAnsi" w:cstheme="minorHAnsi"/>
          <w:color w:val="000000"/>
          <w:lang w:eastAsia="pl-PL"/>
        </w:rPr>
        <w:t>K</w:t>
      </w:r>
      <w:r w:rsidRPr="004F3B9A">
        <w:rPr>
          <w:rFonts w:asciiTheme="minorHAnsi" w:eastAsia="Times New Roman" w:hAnsiTheme="minorHAnsi" w:cstheme="minorHAnsi"/>
          <w:color w:val="000000"/>
          <w:lang w:eastAsia="pl-PL"/>
        </w:rPr>
        <w:t xml:space="preserve">ody źródłowe Aplikacji SDE24 z prawem do </w:t>
      </w:r>
      <w:r w:rsidR="00E20580">
        <w:rPr>
          <w:rFonts w:asciiTheme="minorHAnsi" w:eastAsia="Times New Roman" w:hAnsiTheme="minorHAnsi" w:cstheme="minorHAnsi"/>
          <w:color w:val="000000"/>
          <w:lang w:eastAsia="pl-PL"/>
        </w:rPr>
        <w:t>M</w:t>
      </w:r>
      <w:r w:rsidRPr="004F3B9A">
        <w:rPr>
          <w:rFonts w:asciiTheme="minorHAnsi" w:eastAsia="Times New Roman" w:hAnsiTheme="minorHAnsi" w:cstheme="minorHAnsi"/>
          <w:color w:val="000000"/>
          <w:lang w:eastAsia="pl-PL"/>
        </w:rPr>
        <w:t>odyfikacji w</w:t>
      </w:r>
      <w:r w:rsidR="0054369D">
        <w:rPr>
          <w:rFonts w:asciiTheme="minorHAnsi" w:eastAsia="Times New Roman" w:hAnsiTheme="minorHAnsi" w:cstheme="minorHAnsi"/>
          <w:color w:val="000000"/>
          <w:lang w:eastAsia="pl-PL"/>
        </w:rPr>
        <w:t> </w:t>
      </w:r>
      <w:r w:rsidRPr="004F3B9A">
        <w:rPr>
          <w:rFonts w:asciiTheme="minorHAnsi" w:eastAsia="Times New Roman" w:hAnsiTheme="minorHAnsi" w:cstheme="minorHAnsi"/>
          <w:color w:val="000000"/>
          <w:lang w:eastAsia="pl-PL"/>
        </w:rPr>
        <w:t xml:space="preserve">chwili jego odbioru oraz po każdej jego </w:t>
      </w:r>
      <w:r w:rsidR="00E20580">
        <w:rPr>
          <w:rFonts w:asciiTheme="minorHAnsi" w:eastAsia="Times New Roman" w:hAnsiTheme="minorHAnsi" w:cstheme="minorHAnsi"/>
          <w:color w:val="000000"/>
          <w:lang w:eastAsia="pl-PL"/>
        </w:rPr>
        <w:t>M</w:t>
      </w:r>
      <w:r w:rsidRPr="004F3B9A">
        <w:rPr>
          <w:rFonts w:asciiTheme="minorHAnsi" w:eastAsia="Times New Roman" w:hAnsiTheme="minorHAnsi" w:cstheme="minorHAnsi"/>
          <w:color w:val="000000"/>
          <w:lang w:eastAsia="pl-PL"/>
        </w:rPr>
        <w:t>odyfikacji.</w:t>
      </w:r>
    </w:p>
    <w:p w:rsidR="008B4751" w:rsidRPr="004F3B9A" w:rsidRDefault="005D01D0" w:rsidP="00346A3F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Kod źródłowy oznacza w szczególności: pliki źródłowe, skrypty, biblioteki .</w:t>
      </w:r>
      <w:proofErr w:type="spellStart"/>
      <w:r w:rsidRPr="004F3B9A">
        <w:rPr>
          <w:rFonts w:asciiTheme="minorHAnsi" w:hAnsiTheme="minorHAnsi" w:cstheme="minorHAnsi"/>
          <w:color w:val="000000"/>
        </w:rPr>
        <w:t>dll</w:t>
      </w:r>
      <w:proofErr w:type="spellEnd"/>
      <w:r w:rsidRPr="004F3B9A">
        <w:rPr>
          <w:rFonts w:asciiTheme="minorHAnsi" w:hAnsiTheme="minorHAnsi" w:cstheme="minorHAnsi"/>
          <w:color w:val="000000"/>
        </w:rPr>
        <w:t xml:space="preserve">, i inne niestandardowe narzędzia, niezbędne w procesie kompilacji i/lub konsolidacji, wykonania i dalszego utrzymywania Systemu SDE, a także strukturę baz danych i opisy struktur baz danych, słowników, definicji. Pliki te muszą być dostarczone w formie, która nie wymaga </w:t>
      </w:r>
      <w:r w:rsidR="0054369D" w:rsidRPr="004F3B9A">
        <w:rPr>
          <w:rFonts w:asciiTheme="minorHAnsi" w:hAnsiTheme="minorHAnsi" w:cstheme="minorHAnsi"/>
          <w:color w:val="000000"/>
        </w:rPr>
        <w:t>dezasemblacji</w:t>
      </w:r>
      <w:r w:rsidRPr="004F3B9A">
        <w:rPr>
          <w:rFonts w:asciiTheme="minorHAnsi" w:hAnsiTheme="minorHAnsi" w:cstheme="minorHAnsi"/>
          <w:color w:val="000000"/>
        </w:rPr>
        <w:t xml:space="preserve"> ani dekompilacji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 xml:space="preserve">pozwala na </w:t>
      </w:r>
      <w:r w:rsidR="00BC15AA">
        <w:rPr>
          <w:rFonts w:asciiTheme="minorHAnsi" w:hAnsiTheme="minorHAnsi" w:cstheme="minorHAnsi"/>
          <w:color w:val="000000"/>
        </w:rPr>
        <w:t>ich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M</w:t>
      </w:r>
      <w:r w:rsidRPr="004F3B9A">
        <w:rPr>
          <w:rFonts w:asciiTheme="minorHAnsi" w:hAnsiTheme="minorHAnsi" w:cstheme="minorHAnsi"/>
          <w:color w:val="000000"/>
        </w:rPr>
        <w:t xml:space="preserve">odyfikację </w:t>
      </w:r>
      <w:r w:rsidR="00BC15AA">
        <w:rPr>
          <w:rFonts w:asciiTheme="minorHAnsi" w:hAnsiTheme="minorHAnsi" w:cstheme="minorHAnsi"/>
          <w:color w:val="000000"/>
        </w:rPr>
        <w:t>wraz z niezbędną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7A07AD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</w:t>
      </w:r>
      <w:r w:rsidR="00BC15AA">
        <w:rPr>
          <w:rFonts w:asciiTheme="minorHAnsi" w:hAnsiTheme="minorHAnsi" w:cstheme="minorHAnsi"/>
          <w:color w:val="000000"/>
        </w:rPr>
        <w:t>ą</w:t>
      </w:r>
      <w:r w:rsidRPr="004F3B9A">
        <w:rPr>
          <w:rFonts w:asciiTheme="minorHAnsi" w:hAnsiTheme="minorHAnsi" w:cstheme="minorHAnsi"/>
          <w:color w:val="000000"/>
        </w:rPr>
        <w:t>/materiał</w:t>
      </w:r>
      <w:r w:rsidR="00BC15AA">
        <w:rPr>
          <w:rFonts w:asciiTheme="minorHAnsi" w:hAnsiTheme="minorHAnsi" w:cstheme="minorHAnsi"/>
          <w:color w:val="000000"/>
        </w:rPr>
        <w:t>ami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K</w:t>
      </w:r>
      <w:r w:rsidRPr="004F3B9A">
        <w:rPr>
          <w:rFonts w:asciiTheme="minorHAnsi" w:hAnsiTheme="minorHAnsi" w:cstheme="minorHAnsi"/>
          <w:color w:val="000000"/>
        </w:rPr>
        <w:t>odu źródłowego.</w:t>
      </w:r>
    </w:p>
    <w:p w:rsidR="008B4751" w:rsidRPr="004F3B9A" w:rsidRDefault="005D01D0" w:rsidP="00346A3F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zobowiązany jest do opisania dostarczonego </w:t>
      </w:r>
      <w:r w:rsidR="003277D1" w:rsidRPr="004F3B9A">
        <w:rPr>
          <w:rFonts w:asciiTheme="minorHAnsi" w:hAnsiTheme="minorHAnsi" w:cstheme="minorHAnsi"/>
          <w:color w:val="000000"/>
        </w:rPr>
        <w:t>K</w:t>
      </w:r>
      <w:r w:rsidRPr="004F3B9A">
        <w:rPr>
          <w:rFonts w:asciiTheme="minorHAnsi" w:hAnsiTheme="minorHAnsi" w:cstheme="minorHAnsi"/>
          <w:color w:val="000000"/>
        </w:rPr>
        <w:t>odu źródłowego odpowiednimi komentarzami pozwalającymi na zrozumienie jego celowości i logiki.</w:t>
      </w:r>
    </w:p>
    <w:p w:rsidR="008B4751" w:rsidRPr="0036273B" w:rsidRDefault="005D01D0" w:rsidP="00346A3F">
      <w:pPr>
        <w:pStyle w:val="Akapitzlist"/>
        <w:numPr>
          <w:ilvl w:val="0"/>
          <w:numId w:val="6"/>
        </w:numPr>
        <w:spacing w:after="0" w:line="360" w:lineRule="auto"/>
        <w:ind w:left="0" w:firstLine="0"/>
        <w:jc w:val="both"/>
        <w:outlineLvl w:val="0"/>
        <w:rPr>
          <w:rFonts w:asciiTheme="minorHAnsi" w:hAnsiTheme="minorHAnsi" w:cstheme="minorHAnsi"/>
          <w:b/>
        </w:rPr>
      </w:pPr>
      <w:r w:rsidRPr="0036273B">
        <w:rPr>
          <w:rFonts w:asciiTheme="minorHAnsi" w:hAnsiTheme="minorHAnsi" w:cstheme="minorHAnsi"/>
          <w:b/>
          <w:color w:val="000000"/>
        </w:rPr>
        <w:t xml:space="preserve">Sposoby i protokoły przekazania </w:t>
      </w:r>
      <w:r w:rsidR="007A07AD">
        <w:rPr>
          <w:rFonts w:asciiTheme="minorHAnsi" w:hAnsiTheme="minorHAnsi" w:cstheme="minorHAnsi"/>
          <w:b/>
          <w:color w:val="000000"/>
        </w:rPr>
        <w:t>D</w:t>
      </w:r>
      <w:r w:rsidRPr="0036273B">
        <w:rPr>
          <w:rFonts w:asciiTheme="minorHAnsi" w:hAnsiTheme="minorHAnsi" w:cstheme="minorHAnsi"/>
          <w:b/>
          <w:color w:val="000000"/>
        </w:rPr>
        <w:t>okumentacji</w:t>
      </w:r>
      <w:r w:rsidR="007A07AD">
        <w:rPr>
          <w:rFonts w:asciiTheme="minorHAnsi" w:hAnsiTheme="minorHAnsi" w:cstheme="minorHAnsi"/>
          <w:b/>
          <w:color w:val="000000"/>
        </w:rPr>
        <w:t xml:space="preserve"> SDE</w:t>
      </w:r>
      <w:r w:rsidRPr="0036273B">
        <w:rPr>
          <w:rFonts w:asciiTheme="minorHAnsi" w:hAnsiTheme="minorHAnsi" w:cstheme="minorHAnsi"/>
          <w:b/>
          <w:color w:val="000000"/>
        </w:rPr>
        <w:t>.</w:t>
      </w:r>
    </w:p>
    <w:p w:rsidR="008B4751" w:rsidRPr="004F3B9A" w:rsidRDefault="005D01D0" w:rsidP="0054369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Dokument</w:t>
      </w:r>
      <w:r w:rsidR="007A07AD">
        <w:rPr>
          <w:rFonts w:asciiTheme="minorHAnsi" w:hAnsiTheme="minorHAnsi" w:cstheme="minorHAnsi"/>
          <w:color w:val="000000"/>
        </w:rPr>
        <w:t>acja SDE</w:t>
      </w:r>
      <w:r w:rsidRPr="004F3B9A">
        <w:rPr>
          <w:rFonts w:asciiTheme="minorHAnsi" w:hAnsiTheme="minorHAnsi" w:cstheme="minorHAnsi"/>
          <w:color w:val="000000"/>
        </w:rPr>
        <w:t xml:space="preserve"> zgłoszon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 xml:space="preserve"> przez Wykonawcę do odbioru zostan</w:t>
      </w:r>
      <w:r w:rsidR="007A07AD">
        <w:rPr>
          <w:rFonts w:asciiTheme="minorHAnsi" w:hAnsiTheme="minorHAnsi" w:cstheme="minorHAnsi"/>
          <w:color w:val="000000"/>
        </w:rPr>
        <w:t>ie</w:t>
      </w:r>
      <w:r w:rsidRPr="004F3B9A">
        <w:rPr>
          <w:rFonts w:asciiTheme="minorHAnsi" w:hAnsiTheme="minorHAnsi" w:cstheme="minorHAnsi"/>
          <w:color w:val="000000"/>
        </w:rPr>
        <w:t> poddan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 xml:space="preserve"> weryfikacji przez Zamawiającego, zgodnie z opisaną poniżej procedurą</w:t>
      </w:r>
      <w:r w:rsidR="003277D1"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54369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Wykonawca przekazuje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</w:t>
      </w:r>
      <w:r w:rsidR="007A07AD">
        <w:rPr>
          <w:rFonts w:asciiTheme="minorHAnsi" w:hAnsiTheme="minorHAnsi" w:cstheme="minorHAnsi"/>
          <w:color w:val="000000"/>
        </w:rPr>
        <w:t>acje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do odbioru Zamawiającemu wraz z </w:t>
      </w:r>
      <w:r w:rsidR="003277D1" w:rsidRPr="004F3B9A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 xml:space="preserve">rotokołem </w:t>
      </w:r>
      <w:r w:rsidR="003277D1" w:rsidRPr="004F3B9A">
        <w:rPr>
          <w:rFonts w:asciiTheme="minorHAnsi" w:hAnsiTheme="minorHAnsi" w:cstheme="minorHAnsi"/>
          <w:color w:val="000000"/>
        </w:rPr>
        <w:t>p</w:t>
      </w:r>
      <w:r w:rsidRPr="004F3B9A">
        <w:rPr>
          <w:rFonts w:asciiTheme="minorHAnsi" w:hAnsiTheme="minorHAnsi" w:cstheme="minorHAnsi"/>
          <w:color w:val="000000"/>
        </w:rPr>
        <w:t>rzekazania Dokumentacji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.</w:t>
      </w:r>
    </w:p>
    <w:p w:rsidR="008B4751" w:rsidRPr="004F3B9A" w:rsidRDefault="005D01D0" w:rsidP="0054369D">
      <w:pPr>
        <w:pStyle w:val="Akapitzlist"/>
        <w:numPr>
          <w:ilvl w:val="2"/>
          <w:numId w:val="6"/>
        </w:numPr>
        <w:spacing w:after="0" w:line="360" w:lineRule="auto"/>
        <w:ind w:left="0" w:firstLine="0"/>
        <w:jc w:val="both"/>
        <w:outlineLvl w:val="2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lastRenderedPageBreak/>
        <w:t>Zamawiający zapoznaje się z dostarczon</w:t>
      </w:r>
      <w:r w:rsidR="007A07AD">
        <w:rPr>
          <w:rFonts w:asciiTheme="minorHAnsi" w:hAnsiTheme="minorHAnsi" w:cstheme="minorHAnsi"/>
          <w:color w:val="000000"/>
        </w:rPr>
        <w:t>ą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</w:t>
      </w:r>
      <w:r w:rsidR="007A07AD">
        <w:rPr>
          <w:rFonts w:asciiTheme="minorHAnsi" w:hAnsiTheme="minorHAnsi" w:cstheme="minorHAnsi"/>
          <w:color w:val="000000"/>
        </w:rPr>
        <w:t>cją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w czasie nie dłuższym niż 10 </w:t>
      </w:r>
      <w:r w:rsidR="007A07AD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 xml:space="preserve">ni roboczych. Jeśli Zamawiający w tym czasie nie zgłasza uwag, Wykonawca może uznać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okumentację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za zaakceptowaną i tym samym za zakończoną procedurę odbioru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okumentacji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>. W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przeciwnym wypadku Zamawiający rejestruje uwagi, które są przekazywane Wykonawcy i</w:t>
      </w:r>
      <w:r w:rsidR="0054369D">
        <w:rPr>
          <w:rFonts w:asciiTheme="minorHAnsi" w:hAnsiTheme="minorHAnsi" w:cstheme="minorHAnsi"/>
          <w:color w:val="000000"/>
        </w:rPr>
        <w:t> </w:t>
      </w:r>
      <w:r w:rsidRPr="004F3B9A">
        <w:rPr>
          <w:rFonts w:asciiTheme="minorHAnsi" w:hAnsiTheme="minorHAnsi" w:cstheme="minorHAnsi"/>
          <w:color w:val="000000"/>
        </w:rPr>
        <w:t>procedura przebiega zgodnie z poniższymi krokami:</w:t>
      </w:r>
    </w:p>
    <w:p w:rsidR="008B4751" w:rsidRPr="004F3B9A" w:rsidRDefault="005D01D0" w:rsidP="0054369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 uzgodnionym z Zamawiającym terminie (nie dłuższym niż 5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ni robocz</w:t>
      </w:r>
      <w:r w:rsidR="003277D1" w:rsidRPr="004F3B9A">
        <w:rPr>
          <w:rFonts w:asciiTheme="minorHAnsi" w:hAnsiTheme="minorHAnsi" w:cstheme="minorHAnsi"/>
          <w:color w:val="000000"/>
        </w:rPr>
        <w:t>ych</w:t>
      </w:r>
      <w:r w:rsidRPr="004F3B9A">
        <w:rPr>
          <w:rFonts w:asciiTheme="minorHAnsi" w:hAnsiTheme="minorHAnsi" w:cstheme="minorHAnsi"/>
          <w:color w:val="000000"/>
        </w:rPr>
        <w:t xml:space="preserve"> od dnia przekazania uwag), Wykonawca organizuje w siedzibie Zamawiającego spotkanie w celu omówienia dostarczone</w:t>
      </w:r>
      <w:r w:rsidR="007A07AD">
        <w:rPr>
          <w:rFonts w:asciiTheme="minorHAnsi" w:hAnsiTheme="minorHAnsi" w:cstheme="minorHAnsi"/>
          <w:color w:val="000000"/>
        </w:rPr>
        <w:t>j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</w:t>
      </w:r>
      <w:r w:rsidR="007A07AD">
        <w:rPr>
          <w:rFonts w:asciiTheme="minorHAnsi" w:hAnsiTheme="minorHAnsi" w:cstheme="minorHAnsi"/>
          <w:color w:val="000000"/>
        </w:rPr>
        <w:t>acji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i uwag Zamawiającego.</w:t>
      </w:r>
    </w:p>
    <w:p w:rsidR="008B4751" w:rsidRPr="004F3B9A" w:rsidRDefault="005D01D0" w:rsidP="0054369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W trakcie spotkania ustalany jest termin (nie dłuższy niż 5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ni robocz</w:t>
      </w:r>
      <w:r w:rsidR="003277D1" w:rsidRPr="004F3B9A">
        <w:rPr>
          <w:rFonts w:asciiTheme="minorHAnsi" w:hAnsiTheme="minorHAnsi" w:cstheme="minorHAnsi"/>
          <w:color w:val="000000"/>
        </w:rPr>
        <w:t>ych</w:t>
      </w:r>
      <w:r w:rsidRPr="004F3B9A">
        <w:rPr>
          <w:rFonts w:asciiTheme="minorHAnsi" w:hAnsiTheme="minorHAnsi" w:cstheme="minorHAnsi"/>
          <w:color w:val="000000"/>
        </w:rPr>
        <w:t xml:space="preserve">) </w:t>
      </w:r>
      <w:r w:rsidR="007A07AD">
        <w:rPr>
          <w:rFonts w:asciiTheme="minorHAnsi" w:hAnsiTheme="minorHAnsi" w:cstheme="minorHAnsi"/>
          <w:color w:val="000000"/>
        </w:rPr>
        <w:t xml:space="preserve">od </w:t>
      </w:r>
      <w:r w:rsidRPr="004F3B9A">
        <w:rPr>
          <w:rFonts w:asciiTheme="minorHAnsi" w:hAnsiTheme="minorHAnsi" w:cstheme="minorHAnsi"/>
          <w:color w:val="000000"/>
        </w:rPr>
        <w:t>przekazania przez Wykonawcę poprawione</w:t>
      </w:r>
      <w:r w:rsidR="007A07AD">
        <w:rPr>
          <w:rFonts w:asciiTheme="minorHAnsi" w:hAnsiTheme="minorHAnsi" w:cstheme="minorHAnsi"/>
          <w:color w:val="000000"/>
        </w:rPr>
        <w:t>j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</w:t>
      </w:r>
      <w:r w:rsidR="007A07AD">
        <w:rPr>
          <w:rFonts w:asciiTheme="minorHAnsi" w:hAnsiTheme="minorHAnsi" w:cstheme="minorHAnsi"/>
          <w:color w:val="000000"/>
        </w:rPr>
        <w:t>acji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zgodnie ze zgłoszonymi i omówionymi podczas spotkania uwagami.</w:t>
      </w:r>
    </w:p>
    <w:p w:rsidR="008B4751" w:rsidRPr="004F3B9A" w:rsidRDefault="005D01D0" w:rsidP="0054369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>Wykonawca zobowiązany jest przekazać razem z poprawion</w:t>
      </w:r>
      <w:r w:rsidR="007A07AD">
        <w:rPr>
          <w:rFonts w:asciiTheme="minorHAnsi" w:hAnsiTheme="minorHAnsi" w:cstheme="minorHAnsi"/>
          <w:color w:val="000000"/>
        </w:rPr>
        <w:t>ą</w:t>
      </w:r>
      <w:r w:rsidR="007A07AD"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okumenta</w:t>
      </w:r>
      <w:r w:rsidR="007A07AD">
        <w:rPr>
          <w:rFonts w:asciiTheme="minorHAnsi" w:hAnsiTheme="minorHAnsi" w:cstheme="minorHAnsi"/>
          <w:color w:val="000000"/>
        </w:rPr>
        <w:t xml:space="preserve">cją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>odniesienia do zgłoszonych uwag zawierające informacje dotyczące sposobu, w jaki zostały one obsłużone. Zaktualizowa</w:t>
      </w:r>
      <w:r w:rsidR="007A07AD">
        <w:rPr>
          <w:rFonts w:asciiTheme="minorHAnsi" w:hAnsiTheme="minorHAnsi" w:cstheme="minorHAnsi"/>
          <w:color w:val="000000"/>
        </w:rPr>
        <w:t>na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</w:t>
      </w:r>
      <w:r w:rsidR="007A07AD">
        <w:rPr>
          <w:rFonts w:asciiTheme="minorHAnsi" w:hAnsiTheme="minorHAnsi" w:cstheme="minorHAnsi"/>
          <w:color w:val="000000"/>
        </w:rPr>
        <w:t>acja</w:t>
      </w:r>
      <w:r w:rsidR="003277D1" w:rsidRPr="004F3B9A">
        <w:rPr>
          <w:rFonts w:asciiTheme="minorHAnsi" w:hAnsiTheme="minorHAnsi" w:cstheme="minorHAnsi"/>
          <w:color w:val="000000"/>
        </w:rPr>
        <w:t xml:space="preserve"> SDE</w:t>
      </w:r>
      <w:r w:rsidRPr="004F3B9A">
        <w:rPr>
          <w:rFonts w:asciiTheme="minorHAnsi" w:hAnsiTheme="minorHAnsi" w:cstheme="minorHAnsi"/>
          <w:color w:val="000000"/>
        </w:rPr>
        <w:t xml:space="preserve"> powin</w:t>
      </w:r>
      <w:r w:rsidR="007A07AD">
        <w:rPr>
          <w:rFonts w:asciiTheme="minorHAnsi" w:hAnsiTheme="minorHAnsi" w:cstheme="minorHAnsi"/>
          <w:color w:val="000000"/>
        </w:rPr>
        <w:t>na</w:t>
      </w:r>
      <w:r w:rsidRPr="004F3B9A">
        <w:rPr>
          <w:rFonts w:asciiTheme="minorHAnsi" w:hAnsiTheme="minorHAnsi" w:cstheme="minorHAnsi"/>
          <w:color w:val="000000"/>
        </w:rPr>
        <w:t xml:space="preserve"> być dostarczon</w:t>
      </w:r>
      <w:r w:rsidR="007A07AD">
        <w:rPr>
          <w:rFonts w:asciiTheme="minorHAnsi" w:hAnsiTheme="minorHAnsi" w:cstheme="minorHAnsi"/>
          <w:color w:val="000000"/>
        </w:rPr>
        <w:t>a</w:t>
      </w:r>
      <w:r w:rsidRPr="004F3B9A">
        <w:rPr>
          <w:rFonts w:asciiTheme="minorHAnsi" w:hAnsiTheme="minorHAnsi" w:cstheme="minorHAnsi"/>
          <w:color w:val="000000"/>
        </w:rPr>
        <w:t xml:space="preserve"> w taki sposób, aby widoczne były w ni</w:t>
      </w:r>
      <w:r w:rsidR="007A07AD">
        <w:rPr>
          <w:rFonts w:asciiTheme="minorHAnsi" w:hAnsiTheme="minorHAnsi" w:cstheme="minorHAnsi"/>
          <w:color w:val="000000"/>
        </w:rPr>
        <w:t>ej</w:t>
      </w:r>
      <w:r w:rsidRPr="004F3B9A">
        <w:rPr>
          <w:rFonts w:asciiTheme="minorHAnsi" w:hAnsiTheme="minorHAnsi" w:cstheme="minorHAnsi"/>
          <w:color w:val="000000"/>
        </w:rPr>
        <w:t xml:space="preserve"> naniesione zmiany (np. w trybie „śledzenia zmian”).</w:t>
      </w:r>
    </w:p>
    <w:p w:rsidR="008B4751" w:rsidRPr="004F3B9A" w:rsidRDefault="005D01D0" w:rsidP="0054369D">
      <w:pPr>
        <w:pStyle w:val="Akapitzlist"/>
        <w:numPr>
          <w:ilvl w:val="3"/>
          <w:numId w:val="6"/>
        </w:numPr>
        <w:spacing w:after="0" w:line="360" w:lineRule="auto"/>
        <w:ind w:left="0" w:firstLine="0"/>
        <w:jc w:val="both"/>
        <w:outlineLvl w:val="3"/>
        <w:rPr>
          <w:rFonts w:asciiTheme="minorHAnsi" w:hAnsiTheme="minorHAnsi" w:cstheme="minorHAnsi"/>
          <w:color w:val="000000"/>
        </w:rPr>
      </w:pPr>
      <w:r w:rsidRPr="004F3B9A">
        <w:rPr>
          <w:rFonts w:asciiTheme="minorHAnsi" w:hAnsiTheme="minorHAnsi" w:cstheme="minorHAnsi"/>
          <w:color w:val="000000"/>
        </w:rPr>
        <w:t xml:space="preserve">Jeżeli Zamawiający ponownie zgłosi uwagi do </w:t>
      </w:r>
      <w:r w:rsidR="007A07AD">
        <w:rPr>
          <w:rFonts w:asciiTheme="minorHAnsi" w:hAnsiTheme="minorHAnsi" w:cstheme="minorHAnsi"/>
          <w:color w:val="000000"/>
        </w:rPr>
        <w:t xml:space="preserve">przekazanej przez Wykonawcę </w:t>
      </w:r>
      <w:r w:rsidR="003277D1" w:rsidRPr="004F3B9A">
        <w:rPr>
          <w:rFonts w:asciiTheme="minorHAnsi" w:hAnsiTheme="minorHAnsi" w:cstheme="minorHAnsi"/>
          <w:color w:val="000000"/>
        </w:rPr>
        <w:t>D</w:t>
      </w:r>
      <w:r w:rsidRPr="004F3B9A">
        <w:rPr>
          <w:rFonts w:asciiTheme="minorHAnsi" w:hAnsiTheme="minorHAnsi" w:cstheme="minorHAnsi"/>
          <w:color w:val="000000"/>
        </w:rPr>
        <w:t>okument</w:t>
      </w:r>
      <w:r w:rsidR="007A07AD">
        <w:rPr>
          <w:rFonts w:asciiTheme="minorHAnsi" w:hAnsiTheme="minorHAnsi" w:cstheme="minorHAnsi"/>
          <w:color w:val="000000"/>
        </w:rPr>
        <w:t>acji</w:t>
      </w:r>
      <w:r w:rsidRPr="004F3B9A">
        <w:rPr>
          <w:rFonts w:asciiTheme="minorHAnsi" w:hAnsiTheme="minorHAnsi" w:cstheme="minorHAnsi"/>
          <w:color w:val="000000"/>
        </w:rPr>
        <w:t xml:space="preserve"> </w:t>
      </w:r>
      <w:r w:rsidR="003277D1" w:rsidRPr="004F3B9A">
        <w:rPr>
          <w:rFonts w:asciiTheme="minorHAnsi" w:hAnsiTheme="minorHAnsi" w:cstheme="minorHAnsi"/>
          <w:color w:val="000000"/>
        </w:rPr>
        <w:t xml:space="preserve">SDE </w:t>
      </w:r>
      <w:r w:rsidRPr="004F3B9A">
        <w:rPr>
          <w:rFonts w:asciiTheme="minorHAnsi" w:hAnsiTheme="minorHAnsi" w:cstheme="minorHAnsi"/>
          <w:color w:val="000000"/>
        </w:rPr>
        <w:t xml:space="preserve">następuje przejście procedury do kroku z pkt. 10.1.2.1. </w:t>
      </w:r>
    </w:p>
    <w:p w:rsidR="008B4751" w:rsidRPr="004F3B9A" w:rsidRDefault="005D01D0" w:rsidP="0054369D">
      <w:pPr>
        <w:pStyle w:val="Akapitzlist"/>
        <w:numPr>
          <w:ilvl w:val="1"/>
          <w:numId w:val="6"/>
        </w:numPr>
        <w:spacing w:after="0" w:line="360" w:lineRule="auto"/>
        <w:ind w:left="0" w:firstLine="0"/>
        <w:jc w:val="both"/>
        <w:outlineLvl w:val="1"/>
        <w:rPr>
          <w:rFonts w:asciiTheme="minorHAnsi" w:hAnsiTheme="minorHAnsi" w:cstheme="minorHAnsi"/>
        </w:rPr>
      </w:pPr>
      <w:r w:rsidRPr="004F3B9A">
        <w:rPr>
          <w:rFonts w:asciiTheme="minorHAnsi" w:hAnsiTheme="minorHAnsi" w:cstheme="minorHAnsi"/>
          <w:color w:val="000000"/>
        </w:rPr>
        <w:t>W uzasadnionych przypadkach Zamawiający z Wykonawcą mogą uzgodnić terminy odbiegające od wyżej wymienionych. Zmiany wymagają formy pisemnej.</w:t>
      </w:r>
    </w:p>
    <w:sectPr w:rsidR="008B4751" w:rsidRPr="004F3B9A">
      <w:footerReference w:type="default" r:id="rId8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3EE4" w:rsidRDefault="004B3EE4">
      <w:pPr>
        <w:spacing w:after="0"/>
      </w:pPr>
      <w:r>
        <w:separator/>
      </w:r>
    </w:p>
  </w:endnote>
  <w:endnote w:type="continuationSeparator" w:id="0">
    <w:p w:rsidR="004B3EE4" w:rsidRDefault="004B3EE4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9215890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946C8A" w:rsidRDefault="00946C8A">
            <w:pPr>
              <w:pStyle w:val="Stopka"/>
              <w:jc w:val="right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1430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161430">
              <w:rPr>
                <w:b/>
                <w:bCs/>
                <w:noProof/>
              </w:rPr>
              <w:t>12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946C8A" w:rsidRDefault="00946C8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3EE4" w:rsidRDefault="004B3EE4">
      <w:pPr>
        <w:spacing w:after="0"/>
      </w:pPr>
      <w:r>
        <w:rPr>
          <w:color w:val="000000"/>
        </w:rPr>
        <w:separator/>
      </w:r>
    </w:p>
  </w:footnote>
  <w:footnote w:type="continuationSeparator" w:id="0">
    <w:p w:rsidR="004B3EE4" w:rsidRDefault="004B3EE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133D86"/>
    <w:multiLevelType w:val="multilevel"/>
    <w:tmpl w:val="F884A1D4"/>
    <w:lvl w:ilvl="0">
      <w:start w:val="1"/>
      <w:numFmt w:val="decimal"/>
      <w:suff w:val="space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5045F"/>
    <w:multiLevelType w:val="multilevel"/>
    <w:tmpl w:val="A2589876"/>
    <w:lvl w:ilvl="0"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E4E5F08"/>
    <w:multiLevelType w:val="multilevel"/>
    <w:tmpl w:val="1F5208D0"/>
    <w:lvl w:ilvl="0">
      <w:start w:val="1"/>
      <w:numFmt w:val="lowerLetter"/>
      <w:suff w:val="space"/>
      <w:lvlText w:val="%1)"/>
      <w:lvlJc w:val="left"/>
      <w:pPr>
        <w:ind w:left="324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957907"/>
    <w:multiLevelType w:val="multilevel"/>
    <w:tmpl w:val="9BC8EE0A"/>
    <w:lvl w:ilvl="0">
      <w:start w:val="1"/>
      <w:numFmt w:val="lowerLetter"/>
      <w:suff w:val="space"/>
      <w:lvlText w:val="%1)"/>
      <w:lvlJc w:val="left"/>
      <w:pPr>
        <w:ind w:left="324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9805BDC"/>
    <w:multiLevelType w:val="multilevel"/>
    <w:tmpl w:val="A6A469FC"/>
    <w:lvl w:ilvl="0">
      <w:start w:val="1"/>
      <w:numFmt w:val="lowerLetter"/>
      <w:suff w:val="space"/>
      <w:lvlText w:val="%1)"/>
      <w:lvlJc w:val="left"/>
      <w:pPr>
        <w:ind w:left="3240" w:hanging="360"/>
      </w:pPr>
    </w:lvl>
    <w:lvl w:ilvl="1">
      <w:start w:val="1"/>
      <w:numFmt w:val="lowerLetter"/>
      <w:lvlText w:val="%2."/>
      <w:lvlJc w:val="left"/>
      <w:pPr>
        <w:ind w:left="3960" w:hanging="360"/>
      </w:pPr>
    </w:lvl>
    <w:lvl w:ilvl="2">
      <w:start w:val="1"/>
      <w:numFmt w:val="lowerRoman"/>
      <w:lvlText w:val="%3."/>
      <w:lvlJc w:val="right"/>
      <w:pPr>
        <w:ind w:left="4680" w:hanging="180"/>
      </w:pPr>
    </w:lvl>
    <w:lvl w:ilvl="3">
      <w:start w:val="1"/>
      <w:numFmt w:val="decimal"/>
      <w:lvlText w:val="%4."/>
      <w:lvlJc w:val="left"/>
      <w:pPr>
        <w:ind w:left="5400" w:hanging="360"/>
      </w:pPr>
    </w:lvl>
    <w:lvl w:ilvl="4">
      <w:start w:val="1"/>
      <w:numFmt w:val="lowerLetter"/>
      <w:lvlText w:val="%5."/>
      <w:lvlJc w:val="left"/>
      <w:pPr>
        <w:ind w:left="6120" w:hanging="360"/>
      </w:pPr>
    </w:lvl>
    <w:lvl w:ilvl="5">
      <w:start w:val="1"/>
      <w:numFmt w:val="lowerRoman"/>
      <w:lvlText w:val="%6."/>
      <w:lvlJc w:val="right"/>
      <w:pPr>
        <w:ind w:left="6840" w:hanging="180"/>
      </w:pPr>
    </w:lvl>
    <w:lvl w:ilvl="6">
      <w:start w:val="1"/>
      <w:numFmt w:val="decimal"/>
      <w:lvlText w:val="%7."/>
      <w:lvlJc w:val="left"/>
      <w:pPr>
        <w:ind w:left="7560" w:hanging="360"/>
      </w:pPr>
    </w:lvl>
    <w:lvl w:ilvl="7">
      <w:start w:val="1"/>
      <w:numFmt w:val="lowerLetter"/>
      <w:lvlText w:val="%8."/>
      <w:lvlJc w:val="left"/>
      <w:pPr>
        <w:ind w:left="8280" w:hanging="360"/>
      </w:pPr>
    </w:lvl>
    <w:lvl w:ilvl="8">
      <w:start w:val="1"/>
      <w:numFmt w:val="lowerRoman"/>
      <w:lvlText w:val="%9."/>
      <w:lvlJc w:val="right"/>
      <w:pPr>
        <w:ind w:left="9000" w:hanging="180"/>
      </w:pPr>
    </w:lvl>
  </w:abstractNum>
  <w:abstractNum w:abstractNumId="5">
    <w:nsid w:val="35874222"/>
    <w:multiLevelType w:val="multilevel"/>
    <w:tmpl w:val="45E23C52"/>
    <w:lvl w:ilvl="0">
      <w:start w:val="3"/>
      <w:numFmt w:val="decimal"/>
      <w:suff w:val="space"/>
      <w:lvlText w:val="%1."/>
      <w:lvlJc w:val="left"/>
      <w:pPr>
        <w:ind w:left="360" w:hanging="360"/>
      </w:pPr>
      <w:rPr>
        <w:b/>
        <w:sz w:val="22"/>
      </w:rPr>
    </w:lvl>
    <w:lvl w:ilvl="1">
      <w:start w:val="1"/>
      <w:numFmt w:val="decimal"/>
      <w:suff w:val="space"/>
      <w:lvlText w:val="%1.%2."/>
      <w:lvlJc w:val="left"/>
      <w:pPr>
        <w:ind w:left="1080" w:hanging="360"/>
      </w:pPr>
      <w:rPr>
        <w:b w:val="0"/>
      </w:rPr>
    </w:lvl>
    <w:lvl w:ilvl="2">
      <w:start w:val="1"/>
      <w:numFmt w:val="decimal"/>
      <w:suff w:val="space"/>
      <w:lvlText w:val="%1.%2.%3."/>
      <w:lvlJc w:val="left"/>
      <w:pPr>
        <w:ind w:left="1855" w:hanging="720"/>
      </w:pPr>
      <w:rPr>
        <w:b w:val="0"/>
      </w:rPr>
    </w:lvl>
    <w:lvl w:ilvl="3">
      <w:start w:val="1"/>
      <w:numFmt w:val="decimal"/>
      <w:suff w:val="space"/>
      <w:lvlText w:val="%1.%2.%3.%4."/>
      <w:lvlJc w:val="left"/>
      <w:pPr>
        <w:ind w:left="2880" w:hanging="720"/>
      </w:pPr>
      <w:rPr>
        <w:b w:val="0"/>
      </w:rPr>
    </w:lvl>
    <w:lvl w:ilvl="4">
      <w:start w:val="1"/>
      <w:numFmt w:val="decimal"/>
      <w:suff w:val="space"/>
      <w:lvlText w:val="%1.%2.%3.%4.%5."/>
      <w:lvlJc w:val="left"/>
      <w:pPr>
        <w:ind w:left="3960" w:hanging="1080"/>
      </w:pPr>
    </w:lvl>
    <w:lvl w:ilvl="5">
      <w:start w:val="1"/>
      <w:numFmt w:val="lowerLetter"/>
      <w:suff w:val="space"/>
      <w:lvlText w:val="%6)"/>
      <w:lvlJc w:val="left"/>
      <w:pPr>
        <w:ind w:left="4680" w:hanging="1080"/>
      </w:pPr>
      <w:rPr>
        <w:rFonts w:ascii="Calibri" w:eastAsia="Calibri" w:hAnsi="Calibri" w:cs="Times New Roman"/>
      </w:rPr>
    </w:lvl>
    <w:lvl w:ilvl="6">
      <w:start w:val="1"/>
      <w:numFmt w:val="decimal"/>
      <w:lvlText w:val="%1.%2.%3.%4.%5.%6.%7."/>
      <w:lvlJc w:val="left"/>
      <w:pPr>
        <w:ind w:left="5760" w:hanging="1440"/>
      </w:pPr>
    </w:lvl>
    <w:lvl w:ilvl="7">
      <w:start w:val="1"/>
      <w:numFmt w:val="decimal"/>
      <w:lvlText w:val="%1.%2.%3.%4.%5.%6.%7.%8."/>
      <w:lvlJc w:val="left"/>
      <w:pPr>
        <w:ind w:left="6480" w:hanging="1440"/>
      </w:pPr>
    </w:lvl>
    <w:lvl w:ilvl="8">
      <w:start w:val="1"/>
      <w:numFmt w:val="decimal"/>
      <w:lvlText w:val="%1.%2.%3.%4.%5.%6.%7.%8.%9."/>
      <w:lvlJc w:val="left"/>
      <w:pPr>
        <w:ind w:left="7560" w:hanging="1800"/>
      </w:pPr>
    </w:lvl>
  </w:abstractNum>
  <w:abstractNum w:abstractNumId="6">
    <w:nsid w:val="6C204D8E"/>
    <w:multiLevelType w:val="multilevel"/>
    <w:tmpl w:val="09FC78FE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720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suff w:val="space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num w:numId="1">
    <w:abstractNumId w:val="0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5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4751"/>
    <w:rsid w:val="00034B37"/>
    <w:rsid w:val="00161430"/>
    <w:rsid w:val="001C4C0C"/>
    <w:rsid w:val="00227996"/>
    <w:rsid w:val="0024788F"/>
    <w:rsid w:val="00275C52"/>
    <w:rsid w:val="002A16C0"/>
    <w:rsid w:val="002C7D9E"/>
    <w:rsid w:val="003277D1"/>
    <w:rsid w:val="00346A3F"/>
    <w:rsid w:val="0036273B"/>
    <w:rsid w:val="003E61B2"/>
    <w:rsid w:val="004A0ED2"/>
    <w:rsid w:val="004B3EE4"/>
    <w:rsid w:val="004F3B9A"/>
    <w:rsid w:val="00503B54"/>
    <w:rsid w:val="0052661C"/>
    <w:rsid w:val="0054369D"/>
    <w:rsid w:val="00595F79"/>
    <w:rsid w:val="005D01D0"/>
    <w:rsid w:val="006336D0"/>
    <w:rsid w:val="0065749A"/>
    <w:rsid w:val="0066488B"/>
    <w:rsid w:val="006D521D"/>
    <w:rsid w:val="006F1F41"/>
    <w:rsid w:val="0075359B"/>
    <w:rsid w:val="0077194E"/>
    <w:rsid w:val="007A07AD"/>
    <w:rsid w:val="00837AC7"/>
    <w:rsid w:val="00872DCD"/>
    <w:rsid w:val="008A4CA9"/>
    <w:rsid w:val="008B2AA3"/>
    <w:rsid w:val="008B4751"/>
    <w:rsid w:val="00946C8A"/>
    <w:rsid w:val="009A6E38"/>
    <w:rsid w:val="009B6F63"/>
    <w:rsid w:val="00A1439B"/>
    <w:rsid w:val="00A26DCB"/>
    <w:rsid w:val="00A27B38"/>
    <w:rsid w:val="00A34E39"/>
    <w:rsid w:val="00A408EE"/>
    <w:rsid w:val="00A43450"/>
    <w:rsid w:val="00AA0CB2"/>
    <w:rsid w:val="00AD6BEB"/>
    <w:rsid w:val="00B87CBA"/>
    <w:rsid w:val="00BC15AA"/>
    <w:rsid w:val="00BC6707"/>
    <w:rsid w:val="00C93E4F"/>
    <w:rsid w:val="00CC4FEC"/>
    <w:rsid w:val="00D541C3"/>
    <w:rsid w:val="00DB6835"/>
    <w:rsid w:val="00E20580"/>
    <w:rsid w:val="00F022CE"/>
    <w:rsid w:val="00F81899"/>
    <w:rsid w:val="00FD6379"/>
    <w:rsid w:val="00FF4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customStyle="1" w:styleId="Default">
    <w:name w:val="Default"/>
    <w:pPr>
      <w:autoSpaceDE w:val="0"/>
      <w:spacing w:after="0"/>
      <w:textAlignment w:val="auto"/>
    </w:pPr>
    <w:rPr>
      <w:rFonts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46C8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46C8A"/>
  </w:style>
  <w:style w:type="paragraph" w:styleId="Stopka">
    <w:name w:val="footer"/>
    <w:basedOn w:val="Normalny"/>
    <w:link w:val="StopkaZnak"/>
    <w:uiPriority w:val="99"/>
    <w:unhideWhenUsed/>
    <w:rsid w:val="00946C8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46C8A"/>
  </w:style>
  <w:style w:type="paragraph" w:styleId="Tekstdymka">
    <w:name w:val="Balloon Text"/>
    <w:basedOn w:val="Normalny"/>
    <w:link w:val="TekstdymkaZnak"/>
    <w:uiPriority w:val="99"/>
    <w:semiHidden/>
    <w:unhideWhenUsed/>
    <w:rsid w:val="00161430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43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pPr>
      <w:ind w:left="720"/>
    </w:pPr>
  </w:style>
  <w:style w:type="paragraph" w:customStyle="1" w:styleId="Default">
    <w:name w:val="Default"/>
    <w:pPr>
      <w:autoSpaceDE w:val="0"/>
      <w:spacing w:after="0"/>
      <w:textAlignment w:val="auto"/>
    </w:pPr>
    <w:rPr>
      <w:rFonts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946C8A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46C8A"/>
  </w:style>
  <w:style w:type="paragraph" w:styleId="Stopka">
    <w:name w:val="footer"/>
    <w:basedOn w:val="Normalny"/>
    <w:link w:val="StopkaZnak"/>
    <w:uiPriority w:val="99"/>
    <w:unhideWhenUsed/>
    <w:rsid w:val="00946C8A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46C8A"/>
  </w:style>
  <w:style w:type="paragraph" w:styleId="Tekstdymka">
    <w:name w:val="Balloon Text"/>
    <w:basedOn w:val="Normalny"/>
    <w:link w:val="TekstdymkaZnak"/>
    <w:uiPriority w:val="99"/>
    <w:semiHidden/>
    <w:unhideWhenUsed/>
    <w:rsid w:val="00161430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6143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12</Pages>
  <Words>3763</Words>
  <Characters>22582</Characters>
  <Application>Microsoft Office Word</Application>
  <DocSecurity>0</DocSecurity>
  <Lines>188</Lines>
  <Paragraphs>52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paulinio</dc:creator>
  <dc:description/>
  <cp:lastModifiedBy>Gecyngier Paulina  (BA-F)</cp:lastModifiedBy>
  <cp:revision>40</cp:revision>
  <cp:lastPrinted>2018-02-13T13:09:00Z</cp:lastPrinted>
  <dcterms:created xsi:type="dcterms:W3CDTF">2017-10-29T10:25:00Z</dcterms:created>
  <dcterms:modified xsi:type="dcterms:W3CDTF">2018-02-13T13:09:00Z</dcterms:modified>
</cp:coreProperties>
</file>