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FE0" w:rsidRPr="001C5801" w:rsidRDefault="00EB1FE0" w:rsidP="00550AAF">
      <w:pPr>
        <w:rPr>
          <w:rFonts w:ascii="Garamond" w:hAnsi="Garamond"/>
          <w:sz w:val="26"/>
          <w:szCs w:val="26"/>
        </w:rPr>
      </w:pPr>
      <w:r w:rsidRPr="001C5801">
        <w:rPr>
          <w:rFonts w:ascii="Garamond" w:hAnsi="Garamond"/>
          <w:sz w:val="26"/>
          <w:szCs w:val="26"/>
        </w:rPr>
        <w:t>Załącznik nr 1 do umowy ……………………</w:t>
      </w:r>
    </w:p>
    <w:p w:rsidR="00EB1FE0" w:rsidRDefault="00EB1FE0" w:rsidP="004754D0">
      <w:pPr>
        <w:jc w:val="center"/>
        <w:rPr>
          <w:rFonts w:ascii="Garamond" w:hAnsi="Garamond"/>
          <w:b/>
          <w:sz w:val="26"/>
          <w:szCs w:val="26"/>
        </w:rPr>
      </w:pPr>
      <w:r w:rsidRPr="00116FC7">
        <w:rPr>
          <w:rFonts w:ascii="Garamond" w:hAnsi="Garamond"/>
          <w:b/>
          <w:sz w:val="26"/>
          <w:szCs w:val="26"/>
        </w:rPr>
        <w:t>Szczegółowy opis przedmiotu zamówienia</w:t>
      </w:r>
    </w:p>
    <w:p w:rsidR="00EB1FE0" w:rsidRPr="0015522B" w:rsidRDefault="00EB1FE0" w:rsidP="0015522B">
      <w:pPr>
        <w:ind w:left="360"/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I. 1. </w:t>
      </w:r>
      <w:r w:rsidRPr="0015522B">
        <w:rPr>
          <w:rFonts w:ascii="Garamond" w:hAnsi="Garamond"/>
          <w:sz w:val="26"/>
          <w:szCs w:val="26"/>
        </w:rPr>
        <w:t xml:space="preserve">Sporządzenie elektronicznej ewidencji zasobu Archiwum Zakładowego Ministerstwa Sprawiedliwości, który </w:t>
      </w:r>
      <w:r w:rsidRPr="00B04045">
        <w:rPr>
          <w:rFonts w:ascii="Garamond" w:hAnsi="Garamond"/>
          <w:sz w:val="26"/>
          <w:szCs w:val="26"/>
        </w:rPr>
        <w:t>obejmuje nie więcej niż 2 600 metrów</w:t>
      </w:r>
      <w:r w:rsidRPr="0015522B">
        <w:rPr>
          <w:rFonts w:ascii="Garamond" w:hAnsi="Garamond"/>
          <w:sz w:val="26"/>
          <w:szCs w:val="26"/>
        </w:rPr>
        <w:t xml:space="preserve"> bieżących akt, zawiera  następujące dane:</w:t>
      </w:r>
    </w:p>
    <w:p w:rsidR="00EB1FE0" w:rsidRPr="00ED704C" w:rsidRDefault="00EB1FE0" w:rsidP="00746C32">
      <w:pPr>
        <w:pStyle w:val="ListParagraph"/>
        <w:numPr>
          <w:ilvl w:val="0"/>
          <w:numId w:val="2"/>
        </w:numPr>
        <w:ind w:left="851" w:hanging="426"/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numer spisu zdawczo – odbiorczego </w:t>
      </w:r>
      <w:r w:rsidRPr="00ED704C">
        <w:rPr>
          <w:rFonts w:ascii="Garamond" w:hAnsi="Garamond"/>
          <w:sz w:val="26"/>
          <w:szCs w:val="26"/>
        </w:rPr>
        <w:t>– tylko</w:t>
      </w:r>
      <w:r>
        <w:rPr>
          <w:rFonts w:ascii="Garamond" w:hAnsi="Garamond"/>
          <w:sz w:val="26"/>
          <w:szCs w:val="26"/>
        </w:rPr>
        <w:t xml:space="preserve"> w przypadku gdy jest na teczce</w:t>
      </w:r>
      <w:r w:rsidRPr="00ED704C">
        <w:rPr>
          <w:rFonts w:ascii="Garamond" w:hAnsi="Garamond"/>
          <w:sz w:val="26"/>
          <w:szCs w:val="26"/>
        </w:rPr>
        <w:t>;</w:t>
      </w:r>
    </w:p>
    <w:p w:rsidR="00EB1FE0" w:rsidRPr="00ED704C" w:rsidRDefault="00EB1FE0" w:rsidP="00204786">
      <w:pPr>
        <w:pStyle w:val="ListParagraph"/>
        <w:numPr>
          <w:ilvl w:val="0"/>
          <w:numId w:val="2"/>
        </w:numPr>
        <w:ind w:left="851" w:hanging="425"/>
        <w:jc w:val="both"/>
        <w:rPr>
          <w:rFonts w:ascii="Garamond" w:hAnsi="Garamond"/>
          <w:sz w:val="26"/>
          <w:szCs w:val="26"/>
        </w:rPr>
      </w:pPr>
      <w:r w:rsidRPr="00ED704C">
        <w:rPr>
          <w:rFonts w:ascii="Garamond" w:hAnsi="Garamond"/>
          <w:sz w:val="26"/>
          <w:szCs w:val="26"/>
        </w:rPr>
        <w:t>sygnatura archiwalna - tylko w przypadku gdy jest na teczce;</w:t>
      </w:r>
    </w:p>
    <w:p w:rsidR="00EB1FE0" w:rsidRPr="00ED704C" w:rsidRDefault="00EB1FE0" w:rsidP="00746C32">
      <w:pPr>
        <w:pStyle w:val="ListParagraph"/>
        <w:numPr>
          <w:ilvl w:val="0"/>
          <w:numId w:val="2"/>
        </w:numPr>
        <w:ind w:left="851" w:hanging="426"/>
        <w:jc w:val="both"/>
        <w:rPr>
          <w:rFonts w:ascii="Garamond" w:hAnsi="Garamond"/>
          <w:sz w:val="26"/>
          <w:szCs w:val="26"/>
        </w:rPr>
      </w:pPr>
      <w:r w:rsidRPr="00ED704C">
        <w:rPr>
          <w:rFonts w:ascii="Garamond" w:hAnsi="Garamond"/>
          <w:sz w:val="26"/>
          <w:szCs w:val="26"/>
        </w:rPr>
        <w:t>aktotwórca</w:t>
      </w:r>
      <w:r>
        <w:rPr>
          <w:rFonts w:ascii="Garamond" w:hAnsi="Garamond"/>
          <w:sz w:val="26"/>
          <w:szCs w:val="26"/>
        </w:rPr>
        <w:t>, tj. jednostka organizacyjna,  która wytworzyła dokumentację (Ministerstwo Sprawiedliwości, Ministerstwo Sprawiedliwości Prokuratura Krajowa, Prokuratura Generalna itp.)</w:t>
      </w:r>
      <w:r w:rsidRPr="00ED704C">
        <w:rPr>
          <w:rFonts w:ascii="Garamond" w:hAnsi="Garamond"/>
          <w:sz w:val="26"/>
          <w:szCs w:val="26"/>
        </w:rPr>
        <w:t xml:space="preserve">; </w:t>
      </w:r>
    </w:p>
    <w:p w:rsidR="00EB1FE0" w:rsidRPr="00ED704C" w:rsidRDefault="00EB1FE0" w:rsidP="00C80D9B">
      <w:pPr>
        <w:pStyle w:val="ListParagraph"/>
        <w:numPr>
          <w:ilvl w:val="0"/>
          <w:numId w:val="2"/>
        </w:numPr>
        <w:ind w:left="851" w:hanging="425"/>
        <w:jc w:val="both"/>
        <w:rPr>
          <w:rFonts w:ascii="Garamond" w:hAnsi="Garamond"/>
          <w:sz w:val="26"/>
          <w:szCs w:val="26"/>
        </w:rPr>
      </w:pPr>
      <w:r w:rsidRPr="00ED704C">
        <w:rPr>
          <w:rFonts w:ascii="Garamond" w:hAnsi="Garamond"/>
          <w:sz w:val="26"/>
          <w:szCs w:val="26"/>
        </w:rPr>
        <w:t>komórka organizacyjna (departament/biuro)</w:t>
      </w:r>
      <w:r>
        <w:rPr>
          <w:rFonts w:ascii="Garamond" w:hAnsi="Garamond"/>
          <w:sz w:val="26"/>
          <w:szCs w:val="26"/>
        </w:rPr>
        <w:t>, która wytworzyła dokumentację</w:t>
      </w:r>
      <w:r w:rsidRPr="00ED704C">
        <w:rPr>
          <w:rFonts w:ascii="Garamond" w:hAnsi="Garamond"/>
          <w:sz w:val="26"/>
          <w:szCs w:val="26"/>
        </w:rPr>
        <w:t xml:space="preserve">; </w:t>
      </w:r>
    </w:p>
    <w:p w:rsidR="00EB1FE0" w:rsidRPr="00ED704C" w:rsidRDefault="00EB1FE0" w:rsidP="00740EEC">
      <w:pPr>
        <w:pStyle w:val="ListParagraph"/>
        <w:numPr>
          <w:ilvl w:val="0"/>
          <w:numId w:val="2"/>
        </w:numPr>
        <w:ind w:left="851" w:hanging="425"/>
        <w:jc w:val="both"/>
        <w:rPr>
          <w:rFonts w:ascii="Garamond" w:hAnsi="Garamond"/>
          <w:sz w:val="26"/>
          <w:szCs w:val="26"/>
        </w:rPr>
      </w:pPr>
      <w:r w:rsidRPr="00ED704C">
        <w:rPr>
          <w:rFonts w:ascii="Garamond" w:hAnsi="Garamond"/>
          <w:sz w:val="26"/>
          <w:szCs w:val="26"/>
        </w:rPr>
        <w:t>wewnętrzna komórka organizacyjna (wydział)</w:t>
      </w:r>
      <w:r>
        <w:rPr>
          <w:rFonts w:ascii="Garamond" w:hAnsi="Garamond"/>
          <w:sz w:val="26"/>
          <w:szCs w:val="26"/>
        </w:rPr>
        <w:t xml:space="preserve">, </w:t>
      </w:r>
      <w:r w:rsidRPr="00740EEC">
        <w:rPr>
          <w:rFonts w:ascii="Garamond" w:hAnsi="Garamond"/>
          <w:sz w:val="26"/>
          <w:szCs w:val="26"/>
        </w:rPr>
        <w:t>która wytworzyła dokumentację</w:t>
      </w:r>
      <w:r w:rsidRPr="00ED704C">
        <w:t>;</w:t>
      </w:r>
    </w:p>
    <w:p w:rsidR="00EB1FE0" w:rsidRPr="00ED704C" w:rsidRDefault="00EB1FE0" w:rsidP="00746C32">
      <w:pPr>
        <w:pStyle w:val="ListParagraph"/>
        <w:numPr>
          <w:ilvl w:val="0"/>
          <w:numId w:val="2"/>
        </w:numPr>
        <w:ind w:left="851" w:hanging="426"/>
        <w:jc w:val="both"/>
        <w:rPr>
          <w:rFonts w:ascii="Garamond" w:hAnsi="Garamond"/>
          <w:sz w:val="26"/>
          <w:szCs w:val="26"/>
        </w:rPr>
      </w:pPr>
      <w:r w:rsidRPr="00ED704C">
        <w:rPr>
          <w:rFonts w:ascii="Garamond" w:hAnsi="Garamond"/>
          <w:sz w:val="26"/>
          <w:szCs w:val="26"/>
        </w:rPr>
        <w:t>symbol z jednolitego rzeczowego wykazu akt</w:t>
      </w:r>
      <w:r>
        <w:rPr>
          <w:rFonts w:ascii="Garamond" w:hAnsi="Garamond"/>
          <w:sz w:val="26"/>
          <w:szCs w:val="26"/>
        </w:rPr>
        <w:t xml:space="preserve"> (w przypadku gdy nie jest umieszczony na teczce, należy spisać z dokumentacji lub dla akt prowadzonych poza jednolitym rzeczowym wykazem akt oznaczenie repertorium, w którym sprawy były rejestrowane – wykaz oznaczeń repertoriów Wykonawca otrzyma od Zamawiającego)</w:t>
      </w:r>
      <w:r w:rsidRPr="00ED704C">
        <w:rPr>
          <w:rFonts w:ascii="Garamond" w:hAnsi="Garamond"/>
          <w:sz w:val="26"/>
          <w:szCs w:val="26"/>
        </w:rPr>
        <w:t>;</w:t>
      </w:r>
    </w:p>
    <w:p w:rsidR="00EB1FE0" w:rsidRPr="00ED704C" w:rsidRDefault="00EB1FE0" w:rsidP="00746C32">
      <w:pPr>
        <w:pStyle w:val="ListParagraph"/>
        <w:numPr>
          <w:ilvl w:val="0"/>
          <w:numId w:val="2"/>
        </w:numPr>
        <w:ind w:left="851" w:hanging="426"/>
        <w:jc w:val="both"/>
        <w:rPr>
          <w:rFonts w:ascii="Garamond" w:hAnsi="Garamond"/>
          <w:sz w:val="26"/>
          <w:szCs w:val="26"/>
        </w:rPr>
      </w:pPr>
      <w:r w:rsidRPr="00ED704C">
        <w:rPr>
          <w:rFonts w:ascii="Garamond" w:hAnsi="Garamond"/>
          <w:sz w:val="26"/>
          <w:szCs w:val="26"/>
        </w:rPr>
        <w:t>znak akt (w przypadku gdy w teczce znajduje się kilka spraw)</w:t>
      </w:r>
      <w:r>
        <w:rPr>
          <w:rFonts w:ascii="Garamond" w:hAnsi="Garamond"/>
          <w:sz w:val="26"/>
          <w:szCs w:val="26"/>
        </w:rPr>
        <w:t xml:space="preserve"> albo </w:t>
      </w:r>
      <w:r w:rsidRPr="00ED704C">
        <w:rPr>
          <w:rFonts w:ascii="Garamond" w:hAnsi="Garamond"/>
          <w:sz w:val="26"/>
          <w:szCs w:val="26"/>
        </w:rPr>
        <w:t xml:space="preserve">znak sprawy </w:t>
      </w:r>
      <w:r>
        <w:rPr>
          <w:rFonts w:ascii="Garamond" w:hAnsi="Garamond"/>
          <w:sz w:val="26"/>
          <w:szCs w:val="26"/>
        </w:rPr>
        <w:br/>
      </w:r>
      <w:r w:rsidRPr="00ED704C">
        <w:rPr>
          <w:rFonts w:ascii="Garamond" w:hAnsi="Garamond"/>
          <w:sz w:val="26"/>
          <w:szCs w:val="26"/>
        </w:rPr>
        <w:t>(w przypadku gdy w teczce znajduje się jedna sprawa);</w:t>
      </w:r>
    </w:p>
    <w:p w:rsidR="00EB1FE0" w:rsidRPr="00ED704C" w:rsidRDefault="00EB1FE0" w:rsidP="00A6326B">
      <w:pPr>
        <w:pStyle w:val="ListParagraph"/>
        <w:numPr>
          <w:ilvl w:val="0"/>
          <w:numId w:val="2"/>
        </w:numPr>
        <w:ind w:left="851" w:hanging="425"/>
        <w:jc w:val="both"/>
        <w:rPr>
          <w:rFonts w:ascii="Garamond" w:hAnsi="Garamond"/>
          <w:sz w:val="26"/>
          <w:szCs w:val="26"/>
        </w:rPr>
      </w:pPr>
      <w:r w:rsidRPr="00ED704C">
        <w:rPr>
          <w:rFonts w:ascii="Garamond" w:hAnsi="Garamond"/>
          <w:sz w:val="26"/>
          <w:szCs w:val="26"/>
        </w:rPr>
        <w:t>tytuł teczki (wraz z uszczegółowieniem faktycznej zawartości teczki jeżeli opis będzie zbyt ogólny, w przypadku akt P</w:t>
      </w:r>
      <w:r>
        <w:rPr>
          <w:rFonts w:ascii="Garamond" w:hAnsi="Garamond"/>
          <w:sz w:val="26"/>
          <w:szCs w:val="26"/>
        </w:rPr>
        <w:t xml:space="preserve">rokuratury Krajowej, </w:t>
      </w:r>
      <w:bookmarkStart w:id="0" w:name="_GoBack"/>
      <w:r w:rsidRPr="00B04045">
        <w:rPr>
          <w:rFonts w:ascii="Garamond" w:hAnsi="Garamond"/>
          <w:sz w:val="26"/>
          <w:szCs w:val="26"/>
        </w:rPr>
        <w:t>Prokuratury Generalnej oraz Departamentu Prokuratury w Ministerstwie Sprawiedliwości</w:t>
      </w:r>
      <w:r w:rsidRPr="007D7D4F">
        <w:rPr>
          <w:rFonts w:ascii="Garamond" w:hAnsi="Garamond"/>
          <w:color w:val="FF0000"/>
          <w:sz w:val="26"/>
          <w:szCs w:val="26"/>
        </w:rPr>
        <w:t xml:space="preserve"> </w:t>
      </w:r>
      <w:bookmarkEnd w:id="0"/>
      <w:r w:rsidRPr="00ED704C">
        <w:rPr>
          <w:rFonts w:ascii="Garamond" w:hAnsi="Garamond"/>
          <w:sz w:val="26"/>
          <w:szCs w:val="26"/>
        </w:rPr>
        <w:t>konieczne będzie ustalenie tytułu na podstawie</w:t>
      </w:r>
      <w:r>
        <w:rPr>
          <w:rFonts w:ascii="Garamond" w:hAnsi="Garamond"/>
          <w:sz w:val="26"/>
          <w:szCs w:val="26"/>
        </w:rPr>
        <w:t xml:space="preserve"> oznaczeń z rejestrów – </w:t>
      </w:r>
      <w:r w:rsidRPr="00ED704C">
        <w:rPr>
          <w:rFonts w:ascii="Garamond" w:hAnsi="Garamond"/>
          <w:sz w:val="26"/>
          <w:szCs w:val="26"/>
        </w:rPr>
        <w:t xml:space="preserve"> wyjaśnienie skrótów </w:t>
      </w:r>
      <w:r w:rsidRPr="00A6326B">
        <w:rPr>
          <w:rFonts w:ascii="Garamond" w:hAnsi="Garamond"/>
          <w:sz w:val="26"/>
          <w:szCs w:val="26"/>
        </w:rPr>
        <w:t>Wykonawca otrzyma od Zamawiającego</w:t>
      </w:r>
      <w:r>
        <w:rPr>
          <w:rFonts w:ascii="Garamond" w:hAnsi="Garamond"/>
          <w:sz w:val="26"/>
          <w:szCs w:val="26"/>
        </w:rPr>
        <w:t>)</w:t>
      </w:r>
      <w:r w:rsidRPr="00ED704C">
        <w:rPr>
          <w:rFonts w:ascii="Garamond" w:hAnsi="Garamond"/>
          <w:sz w:val="26"/>
          <w:szCs w:val="26"/>
        </w:rPr>
        <w:t>,</w:t>
      </w:r>
    </w:p>
    <w:p w:rsidR="00EB1FE0" w:rsidRPr="00ED704C" w:rsidRDefault="00EB1FE0" w:rsidP="00746C32">
      <w:pPr>
        <w:pStyle w:val="ListParagraph"/>
        <w:numPr>
          <w:ilvl w:val="0"/>
          <w:numId w:val="2"/>
        </w:numPr>
        <w:ind w:left="851" w:hanging="426"/>
        <w:jc w:val="both"/>
        <w:rPr>
          <w:rFonts w:ascii="Garamond" w:hAnsi="Garamond"/>
          <w:sz w:val="26"/>
          <w:szCs w:val="26"/>
        </w:rPr>
      </w:pPr>
      <w:r w:rsidRPr="00ED704C">
        <w:rPr>
          <w:rFonts w:ascii="Garamond" w:hAnsi="Garamond"/>
          <w:sz w:val="26"/>
          <w:szCs w:val="26"/>
        </w:rPr>
        <w:t>rok założenia teczki (np. rok pod którym sprawa była pr</w:t>
      </w:r>
      <w:r>
        <w:rPr>
          <w:rFonts w:ascii="Garamond" w:hAnsi="Garamond"/>
          <w:sz w:val="26"/>
          <w:szCs w:val="26"/>
        </w:rPr>
        <w:t>owadzona ostatnio – zgodnie z instrukcją kancelaryjną</w:t>
      </w:r>
      <w:r w:rsidRPr="00ED704C">
        <w:rPr>
          <w:rFonts w:ascii="Garamond" w:hAnsi="Garamond"/>
          <w:sz w:val="26"/>
          <w:szCs w:val="26"/>
        </w:rPr>
        <w:t xml:space="preserve"> </w:t>
      </w:r>
      <w:r>
        <w:rPr>
          <w:rFonts w:ascii="Garamond" w:hAnsi="Garamond"/>
          <w:sz w:val="26"/>
          <w:szCs w:val="26"/>
        </w:rPr>
        <w:t xml:space="preserve">Ministerstwa Sprawiedliwości; </w:t>
      </w:r>
      <w:r w:rsidRPr="00ED704C">
        <w:rPr>
          <w:rFonts w:ascii="Garamond" w:hAnsi="Garamond"/>
          <w:sz w:val="26"/>
          <w:szCs w:val="26"/>
        </w:rPr>
        <w:t xml:space="preserve"> w przypadku gdy sprawa nie zakończy się w ciągu dwóch lat od </w:t>
      </w:r>
      <w:r>
        <w:rPr>
          <w:rFonts w:ascii="Garamond" w:hAnsi="Garamond"/>
          <w:sz w:val="26"/>
          <w:szCs w:val="26"/>
        </w:rPr>
        <w:t xml:space="preserve">jej </w:t>
      </w:r>
      <w:r w:rsidRPr="00ED704C">
        <w:rPr>
          <w:rFonts w:ascii="Garamond" w:hAnsi="Garamond"/>
          <w:sz w:val="26"/>
          <w:szCs w:val="26"/>
        </w:rPr>
        <w:t>wszczęcia</w:t>
      </w:r>
      <w:r>
        <w:rPr>
          <w:rFonts w:ascii="Garamond" w:hAnsi="Garamond"/>
          <w:sz w:val="26"/>
          <w:szCs w:val="26"/>
        </w:rPr>
        <w:t>,</w:t>
      </w:r>
      <w:r w:rsidRPr="00ED704C">
        <w:rPr>
          <w:rFonts w:ascii="Garamond" w:hAnsi="Garamond"/>
          <w:sz w:val="26"/>
          <w:szCs w:val="26"/>
        </w:rPr>
        <w:t xml:space="preserve"> konieczne jest ponowne zarejestrowanie – sprawa otrzymuje nowy numer łamany na rok przerejestrowania, pozostałe akta sprawy dołączane są do ostatniej);</w:t>
      </w:r>
    </w:p>
    <w:p w:rsidR="00EB1FE0" w:rsidRPr="00ED704C" w:rsidRDefault="00EB1FE0" w:rsidP="00746C32">
      <w:pPr>
        <w:pStyle w:val="ListParagraph"/>
        <w:numPr>
          <w:ilvl w:val="0"/>
          <w:numId w:val="2"/>
        </w:numPr>
        <w:ind w:left="851" w:hanging="426"/>
        <w:jc w:val="both"/>
        <w:rPr>
          <w:rFonts w:ascii="Garamond" w:hAnsi="Garamond"/>
          <w:sz w:val="26"/>
          <w:szCs w:val="26"/>
        </w:rPr>
      </w:pPr>
      <w:r w:rsidRPr="00ED704C">
        <w:rPr>
          <w:rFonts w:ascii="Garamond" w:hAnsi="Garamond"/>
          <w:sz w:val="26"/>
          <w:szCs w:val="26"/>
        </w:rPr>
        <w:t xml:space="preserve">daty skrajne </w:t>
      </w:r>
      <w:r>
        <w:rPr>
          <w:rFonts w:ascii="Garamond" w:hAnsi="Garamond"/>
          <w:sz w:val="26"/>
          <w:szCs w:val="26"/>
        </w:rPr>
        <w:t>na</w:t>
      </w:r>
      <w:r w:rsidRPr="00ED704C">
        <w:rPr>
          <w:rFonts w:ascii="Garamond" w:hAnsi="Garamond"/>
          <w:sz w:val="26"/>
          <w:szCs w:val="26"/>
        </w:rPr>
        <w:t xml:space="preserve"> teczce;</w:t>
      </w:r>
    </w:p>
    <w:p w:rsidR="00EB1FE0" w:rsidRPr="00ED704C" w:rsidRDefault="00EB1FE0" w:rsidP="00746C32">
      <w:pPr>
        <w:pStyle w:val="ListParagraph"/>
        <w:numPr>
          <w:ilvl w:val="0"/>
          <w:numId w:val="2"/>
        </w:numPr>
        <w:ind w:left="851" w:hanging="426"/>
        <w:jc w:val="both"/>
        <w:rPr>
          <w:rFonts w:ascii="Garamond" w:hAnsi="Garamond"/>
          <w:i/>
          <w:sz w:val="26"/>
          <w:szCs w:val="26"/>
          <w:u w:val="single"/>
        </w:rPr>
      </w:pPr>
      <w:r w:rsidRPr="00ED704C">
        <w:rPr>
          <w:rFonts w:ascii="Garamond" w:hAnsi="Garamond"/>
          <w:sz w:val="26"/>
          <w:szCs w:val="26"/>
        </w:rPr>
        <w:t>kategoria archiwalna;</w:t>
      </w:r>
    </w:p>
    <w:p w:rsidR="00EB1FE0" w:rsidRDefault="00EB1FE0" w:rsidP="00746C32">
      <w:pPr>
        <w:pStyle w:val="ListParagraph"/>
        <w:numPr>
          <w:ilvl w:val="0"/>
          <w:numId w:val="2"/>
        </w:numPr>
        <w:ind w:left="851" w:hanging="426"/>
        <w:jc w:val="both"/>
        <w:rPr>
          <w:rFonts w:ascii="Garamond" w:hAnsi="Garamond"/>
          <w:sz w:val="26"/>
          <w:szCs w:val="26"/>
        </w:rPr>
      </w:pPr>
      <w:r w:rsidRPr="00ED704C">
        <w:rPr>
          <w:rFonts w:ascii="Garamond" w:hAnsi="Garamond"/>
          <w:sz w:val="26"/>
          <w:szCs w:val="26"/>
        </w:rPr>
        <w:t>liczba teczek</w:t>
      </w:r>
      <w:r>
        <w:rPr>
          <w:rFonts w:ascii="Garamond" w:hAnsi="Garamond"/>
          <w:sz w:val="26"/>
          <w:szCs w:val="26"/>
        </w:rPr>
        <w:t xml:space="preserve"> - w przypadku gdy kilka teczek z danego roku posiada ten sam opis;</w:t>
      </w:r>
    </w:p>
    <w:p w:rsidR="00EB1FE0" w:rsidRPr="00ED704C" w:rsidRDefault="00EB1FE0" w:rsidP="00746C32">
      <w:pPr>
        <w:pStyle w:val="ListParagraph"/>
        <w:numPr>
          <w:ilvl w:val="0"/>
          <w:numId w:val="2"/>
        </w:numPr>
        <w:ind w:left="851" w:hanging="426"/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liczba paczek - w przypadku gdy dokumentacja danej sprawy umieszczona jest </w:t>
      </w:r>
      <w:r>
        <w:rPr>
          <w:rFonts w:ascii="Garamond" w:hAnsi="Garamond"/>
          <w:sz w:val="26"/>
          <w:szCs w:val="26"/>
        </w:rPr>
        <w:br/>
        <w:t>w obwolucie, a kilka obwolut związanych jest w paczkę</w:t>
      </w:r>
      <w:r w:rsidRPr="00ED704C">
        <w:rPr>
          <w:rFonts w:ascii="Garamond" w:hAnsi="Garamond"/>
          <w:sz w:val="26"/>
          <w:szCs w:val="26"/>
        </w:rPr>
        <w:t xml:space="preserve">; </w:t>
      </w:r>
    </w:p>
    <w:p w:rsidR="00EB1FE0" w:rsidRPr="00ED704C" w:rsidRDefault="00EB1FE0" w:rsidP="00746C32">
      <w:pPr>
        <w:pStyle w:val="ListParagraph"/>
        <w:numPr>
          <w:ilvl w:val="0"/>
          <w:numId w:val="2"/>
        </w:numPr>
        <w:ind w:left="851" w:hanging="426"/>
        <w:jc w:val="both"/>
        <w:rPr>
          <w:rFonts w:ascii="Garamond" w:hAnsi="Garamond"/>
          <w:sz w:val="26"/>
          <w:szCs w:val="26"/>
        </w:rPr>
      </w:pPr>
      <w:r w:rsidRPr="00ED704C">
        <w:rPr>
          <w:rFonts w:ascii="Garamond" w:hAnsi="Garamond"/>
          <w:sz w:val="26"/>
          <w:szCs w:val="26"/>
        </w:rPr>
        <w:t>lokalizacja (nr magazynu, nr regału, nr półki);</w:t>
      </w:r>
    </w:p>
    <w:p w:rsidR="00EB1FE0" w:rsidRPr="00ED704C" w:rsidRDefault="00EB1FE0" w:rsidP="00746C32">
      <w:pPr>
        <w:pStyle w:val="ListParagraph"/>
        <w:numPr>
          <w:ilvl w:val="0"/>
          <w:numId w:val="2"/>
        </w:numPr>
        <w:ind w:left="851" w:hanging="426"/>
        <w:jc w:val="both"/>
        <w:rPr>
          <w:rFonts w:ascii="Garamond" w:hAnsi="Garamond"/>
          <w:sz w:val="26"/>
          <w:szCs w:val="26"/>
        </w:rPr>
      </w:pPr>
      <w:r w:rsidRPr="00ED704C">
        <w:rPr>
          <w:rFonts w:ascii="Garamond" w:hAnsi="Garamond"/>
          <w:sz w:val="26"/>
          <w:szCs w:val="26"/>
        </w:rPr>
        <w:t>do uporządkowania (TAK/NIE);</w:t>
      </w:r>
    </w:p>
    <w:p w:rsidR="00EB1FE0" w:rsidRDefault="00EB1FE0" w:rsidP="00746C32">
      <w:pPr>
        <w:pStyle w:val="ListParagraph"/>
        <w:numPr>
          <w:ilvl w:val="0"/>
          <w:numId w:val="2"/>
        </w:numPr>
        <w:ind w:left="851" w:hanging="426"/>
        <w:jc w:val="both"/>
        <w:rPr>
          <w:rFonts w:ascii="Garamond" w:hAnsi="Garamond"/>
          <w:sz w:val="26"/>
          <w:szCs w:val="26"/>
        </w:rPr>
      </w:pPr>
      <w:r w:rsidRPr="00ED704C">
        <w:rPr>
          <w:rFonts w:ascii="Garamond" w:hAnsi="Garamond"/>
          <w:sz w:val="26"/>
          <w:szCs w:val="26"/>
        </w:rPr>
        <w:t xml:space="preserve">elementy do poprawy (brak kompletnego opisu teczki – brak aktotwórcy, brak tytułu teczki, brak kategorii archiwalnej itp., dokumentacja nie zapakowana </w:t>
      </w:r>
      <w:r>
        <w:rPr>
          <w:rFonts w:ascii="Garamond" w:hAnsi="Garamond"/>
          <w:sz w:val="26"/>
          <w:szCs w:val="26"/>
        </w:rPr>
        <w:br/>
      </w:r>
      <w:r w:rsidRPr="00ED704C">
        <w:rPr>
          <w:rFonts w:ascii="Garamond" w:hAnsi="Garamond"/>
          <w:sz w:val="26"/>
          <w:szCs w:val="26"/>
        </w:rPr>
        <w:t>w teczki wiązane</w:t>
      </w:r>
      <w:r>
        <w:rPr>
          <w:rFonts w:ascii="Garamond" w:hAnsi="Garamond"/>
          <w:sz w:val="26"/>
          <w:szCs w:val="26"/>
        </w:rPr>
        <w:t>,</w:t>
      </w:r>
      <w:r w:rsidRPr="00ED704C">
        <w:rPr>
          <w:rFonts w:ascii="Garamond" w:hAnsi="Garamond"/>
          <w:sz w:val="26"/>
          <w:szCs w:val="26"/>
        </w:rPr>
        <w:t xml:space="preserve"> ewentualnie – przy kategorii A – akta nie zszyte, w aktach elementy metalowe, akta nie </w:t>
      </w:r>
      <w:r>
        <w:rPr>
          <w:rFonts w:ascii="Garamond" w:hAnsi="Garamond"/>
          <w:sz w:val="26"/>
          <w:szCs w:val="26"/>
        </w:rPr>
        <w:t>ponumerowan</w:t>
      </w:r>
      <w:r w:rsidRPr="00ED704C">
        <w:rPr>
          <w:rFonts w:ascii="Garamond" w:hAnsi="Garamond"/>
          <w:sz w:val="26"/>
          <w:szCs w:val="26"/>
        </w:rPr>
        <w:t>e)</w:t>
      </w:r>
      <w:r>
        <w:rPr>
          <w:rFonts w:ascii="Garamond" w:hAnsi="Garamond"/>
          <w:sz w:val="26"/>
          <w:szCs w:val="26"/>
        </w:rPr>
        <w:t>;</w:t>
      </w:r>
    </w:p>
    <w:p w:rsidR="00EB1FE0" w:rsidRPr="00ED704C" w:rsidRDefault="00EB1FE0" w:rsidP="00746C32">
      <w:pPr>
        <w:pStyle w:val="ListParagraph"/>
        <w:numPr>
          <w:ilvl w:val="0"/>
          <w:numId w:val="2"/>
        </w:numPr>
        <w:ind w:left="851" w:hanging="426"/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metraż przechowywanej na danej półce dokumentacji przekazanej do Archiwum Zakładowego na podstawie danego spisu zdawczo – odbiorczego, w przypadku braku numeru spisu zdawczo – odbiorczego jednorodnej grupy akt. </w:t>
      </w:r>
    </w:p>
    <w:p w:rsidR="00EB1FE0" w:rsidRPr="004754D0" w:rsidRDefault="00EB1FE0" w:rsidP="00F65DB3">
      <w:pPr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2. Ewidencja powinna zostać sporządzona w programie MS Excel (wersja 97-2003, format pliku .xls) i powinna zawierać powyżej wskazane rubryki.</w:t>
      </w:r>
    </w:p>
    <w:p w:rsidR="00EB1FE0" w:rsidRPr="009F10C4" w:rsidRDefault="00EB1FE0" w:rsidP="009F10C4">
      <w:pPr>
        <w:ind w:left="425"/>
        <w:jc w:val="both"/>
        <w:rPr>
          <w:rFonts w:ascii="Garamond" w:hAnsi="Garamond"/>
          <w:sz w:val="26"/>
          <w:szCs w:val="26"/>
        </w:rPr>
      </w:pPr>
    </w:p>
    <w:p w:rsidR="00EB1FE0" w:rsidRPr="00E4136C" w:rsidRDefault="00EB1FE0" w:rsidP="00E163FE">
      <w:pPr>
        <w:jc w:val="both"/>
        <w:rPr>
          <w:rFonts w:ascii="Garamond" w:hAnsi="Garamond"/>
          <w:sz w:val="26"/>
          <w:szCs w:val="26"/>
          <w:u w:val="single"/>
        </w:rPr>
      </w:pPr>
      <w:r>
        <w:rPr>
          <w:rFonts w:ascii="Garamond" w:hAnsi="Garamond"/>
          <w:sz w:val="26"/>
          <w:szCs w:val="26"/>
          <w:u w:val="single"/>
        </w:rPr>
        <w:t xml:space="preserve">II. </w:t>
      </w:r>
      <w:r w:rsidRPr="00E4136C">
        <w:rPr>
          <w:rFonts w:ascii="Garamond" w:hAnsi="Garamond"/>
          <w:sz w:val="26"/>
          <w:szCs w:val="26"/>
          <w:u w:val="single"/>
        </w:rPr>
        <w:t>Stan dokumentacji</w:t>
      </w:r>
      <w:r>
        <w:rPr>
          <w:rFonts w:ascii="Garamond" w:hAnsi="Garamond"/>
          <w:sz w:val="26"/>
          <w:szCs w:val="26"/>
          <w:u w:val="single"/>
        </w:rPr>
        <w:t xml:space="preserve"> będącej</w:t>
      </w:r>
      <w:r w:rsidRPr="00E4136C">
        <w:rPr>
          <w:rFonts w:ascii="Garamond" w:hAnsi="Garamond"/>
          <w:sz w:val="26"/>
          <w:szCs w:val="26"/>
          <w:u w:val="single"/>
        </w:rPr>
        <w:t xml:space="preserve"> przedmiot</w:t>
      </w:r>
      <w:r>
        <w:rPr>
          <w:rFonts w:ascii="Garamond" w:hAnsi="Garamond"/>
          <w:sz w:val="26"/>
          <w:szCs w:val="26"/>
          <w:u w:val="single"/>
        </w:rPr>
        <w:t xml:space="preserve">em </w:t>
      </w:r>
      <w:r w:rsidRPr="00E4136C">
        <w:rPr>
          <w:rFonts w:ascii="Garamond" w:hAnsi="Garamond"/>
          <w:sz w:val="26"/>
          <w:szCs w:val="26"/>
          <w:u w:val="single"/>
        </w:rPr>
        <w:t>zamówienia:</w:t>
      </w:r>
    </w:p>
    <w:p w:rsidR="00EB1FE0" w:rsidRDefault="00EB1FE0" w:rsidP="00E163FE">
      <w:pPr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1. Dokumentacja do Archiwum Zakładowego Ministerstwa Sprawiedliwości przekazywana była niejednorodnie, tj. w teczkach, w teczkach związanych sznurkiem w paczki, w obwolutach, w obwolutach związanych w paczki. Sposób postępowania </w:t>
      </w:r>
      <w:r>
        <w:rPr>
          <w:rFonts w:ascii="Garamond" w:hAnsi="Garamond"/>
          <w:sz w:val="26"/>
          <w:szCs w:val="26"/>
        </w:rPr>
        <w:br/>
        <w:t xml:space="preserve">z dokumentacją przy sporządzaniu ewidencji będzie uzależniony do sposobu przekazania dokumentacji do archiwum. </w:t>
      </w:r>
    </w:p>
    <w:p w:rsidR="00EB1FE0" w:rsidRDefault="00EB1FE0" w:rsidP="00E163FE">
      <w:pPr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2. W przypadku, gdy dokumentacja była przekazana w teczkach, każdą teczkę należy spisać odrębnie.</w:t>
      </w:r>
    </w:p>
    <w:p w:rsidR="00EB1FE0" w:rsidRDefault="00EB1FE0" w:rsidP="00E163FE">
      <w:pPr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3. W przypadku, gdy dokumentacja przekazana została w teczkach związanych w paczkę, każdą teczkę należy spisać odrębnie, chyba że w paczce jest jednorodna dokumentacja, zarejestrowana w danym roku, zawierająca ten sam opis – w takim przypadku należy dokumentację spisać w jednej pozycji podając liczbę teczek oraz liczbę paczek.</w:t>
      </w:r>
    </w:p>
    <w:p w:rsidR="00EB1FE0" w:rsidRDefault="00EB1FE0" w:rsidP="00E163FE">
      <w:pPr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4. W przypadku, gdy dokumentacja zapakowana została w obwoluty, każdą obwolutę należy spisać w odrębnej pozycji, chyba że dokumentacja jest jednorodna, np. rejestrowana była w danym roku w konkretnym repertorium – w takim przypadku cały zbiór z danego roku należy spisać w jednej pozycji, z wyszczególnieniem numerów każdej sprawy (jedna sprawa to jedna obwoluta) podając liczbę obwolut oraz liczbę paczek.</w:t>
      </w:r>
    </w:p>
    <w:p w:rsidR="00EB1FE0" w:rsidRDefault="00EB1FE0" w:rsidP="0015522B">
      <w:pPr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5. Część dokumentacji nie posiada pełnego opisu teczki, Wykonawca zobowiązany będzie do uzupełnienia w spisie elementów, których brakuje bezpośrednio z akt znajdujących się w danej teczce. </w:t>
      </w:r>
    </w:p>
    <w:p w:rsidR="00EB1FE0" w:rsidRDefault="00EB1FE0" w:rsidP="0015522B">
      <w:pPr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W takim przypadku (braku elementów w opisie teczki) należy w rubryce „elementy do poprawy” wskazać jakiego elementu brakuje.</w:t>
      </w:r>
    </w:p>
    <w:p w:rsidR="00EB1FE0" w:rsidRDefault="00EB1FE0" w:rsidP="00E163FE">
      <w:pPr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6. Do obowiązków Wykonawcy nie należy uzupełnianie brakujących elementów opisu teczki na teczce.</w:t>
      </w:r>
    </w:p>
    <w:p w:rsidR="00EB1FE0" w:rsidRDefault="00EB1FE0" w:rsidP="00E163FE">
      <w:pPr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7. </w:t>
      </w:r>
      <w:r w:rsidRPr="002012F3">
        <w:rPr>
          <w:rFonts w:ascii="Garamond" w:hAnsi="Garamond"/>
          <w:sz w:val="26"/>
          <w:szCs w:val="26"/>
        </w:rPr>
        <w:t xml:space="preserve">Do obowiązków Wykonawcy nie należy </w:t>
      </w:r>
      <w:r>
        <w:rPr>
          <w:rFonts w:ascii="Garamond" w:hAnsi="Garamond"/>
          <w:sz w:val="26"/>
          <w:szCs w:val="26"/>
        </w:rPr>
        <w:t>porządkowanie akt, które podlegać będą spisowi.</w:t>
      </w:r>
    </w:p>
    <w:p w:rsidR="00EB1FE0" w:rsidRDefault="00EB1FE0" w:rsidP="00E163FE">
      <w:pPr>
        <w:jc w:val="both"/>
        <w:rPr>
          <w:rFonts w:ascii="Garamond" w:hAnsi="Garamond"/>
          <w:sz w:val="26"/>
          <w:szCs w:val="26"/>
        </w:rPr>
      </w:pPr>
    </w:p>
    <w:p w:rsidR="00EB1FE0" w:rsidRPr="00C40300" w:rsidRDefault="00EB1FE0" w:rsidP="00700210">
      <w:pPr>
        <w:jc w:val="both"/>
        <w:rPr>
          <w:rFonts w:ascii="Garamond" w:hAnsi="Garamond"/>
          <w:sz w:val="26"/>
          <w:szCs w:val="26"/>
        </w:rPr>
      </w:pPr>
    </w:p>
    <w:sectPr w:rsidR="00EB1FE0" w:rsidRPr="00C40300" w:rsidSect="004754D0"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D27B5"/>
    <w:multiLevelType w:val="hybridMultilevel"/>
    <w:tmpl w:val="BA920A5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6ECC092A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CEA254C"/>
    <w:multiLevelType w:val="hybridMultilevel"/>
    <w:tmpl w:val="02386644"/>
    <w:lvl w:ilvl="0" w:tplc="D5A83282">
      <w:start w:val="1"/>
      <w:numFmt w:val="lowerLetter"/>
      <w:lvlText w:val="%1)"/>
      <w:lvlJc w:val="left"/>
      <w:pPr>
        <w:ind w:left="1440" w:hanging="360"/>
      </w:pPr>
      <w:rPr>
        <w:rFonts w:cs="Times New Roman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70646F87"/>
    <w:multiLevelType w:val="hybridMultilevel"/>
    <w:tmpl w:val="DC5C663E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3">
    <w:nsid w:val="7770631F"/>
    <w:multiLevelType w:val="hybridMultilevel"/>
    <w:tmpl w:val="AA761982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4">
    <w:nsid w:val="7AB71217"/>
    <w:multiLevelType w:val="hybridMultilevel"/>
    <w:tmpl w:val="840EA3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71CB"/>
    <w:rsid w:val="00046A14"/>
    <w:rsid w:val="000E7D99"/>
    <w:rsid w:val="00116FC7"/>
    <w:rsid w:val="0015522B"/>
    <w:rsid w:val="00164E99"/>
    <w:rsid w:val="001C5801"/>
    <w:rsid w:val="002012F3"/>
    <w:rsid w:val="00204786"/>
    <w:rsid w:val="002071CB"/>
    <w:rsid w:val="002212C8"/>
    <w:rsid w:val="00246476"/>
    <w:rsid w:val="00274D53"/>
    <w:rsid w:val="00323432"/>
    <w:rsid w:val="00326279"/>
    <w:rsid w:val="003310C5"/>
    <w:rsid w:val="004478D6"/>
    <w:rsid w:val="00455762"/>
    <w:rsid w:val="00463EF7"/>
    <w:rsid w:val="004754D0"/>
    <w:rsid w:val="00481B8A"/>
    <w:rsid w:val="004F776D"/>
    <w:rsid w:val="00514B9E"/>
    <w:rsid w:val="00520733"/>
    <w:rsid w:val="0053329F"/>
    <w:rsid w:val="00550AAF"/>
    <w:rsid w:val="005739A7"/>
    <w:rsid w:val="005E73DC"/>
    <w:rsid w:val="0061196A"/>
    <w:rsid w:val="00627FB2"/>
    <w:rsid w:val="00700210"/>
    <w:rsid w:val="007308EA"/>
    <w:rsid w:val="0074032A"/>
    <w:rsid w:val="00740EEC"/>
    <w:rsid w:val="00746C32"/>
    <w:rsid w:val="0078236A"/>
    <w:rsid w:val="007A1B1B"/>
    <w:rsid w:val="007D7D4F"/>
    <w:rsid w:val="00824769"/>
    <w:rsid w:val="009469AD"/>
    <w:rsid w:val="009F10C4"/>
    <w:rsid w:val="009F4655"/>
    <w:rsid w:val="00A6326B"/>
    <w:rsid w:val="00A86D0F"/>
    <w:rsid w:val="00AB1AE0"/>
    <w:rsid w:val="00B04045"/>
    <w:rsid w:val="00B22311"/>
    <w:rsid w:val="00B664E6"/>
    <w:rsid w:val="00BA18A0"/>
    <w:rsid w:val="00C40300"/>
    <w:rsid w:val="00C80D9B"/>
    <w:rsid w:val="00D80C17"/>
    <w:rsid w:val="00E163FE"/>
    <w:rsid w:val="00E4136C"/>
    <w:rsid w:val="00E63B58"/>
    <w:rsid w:val="00E665DF"/>
    <w:rsid w:val="00EB1FE0"/>
    <w:rsid w:val="00ED704C"/>
    <w:rsid w:val="00F25480"/>
    <w:rsid w:val="00F413E7"/>
    <w:rsid w:val="00F42FF0"/>
    <w:rsid w:val="00F65DB3"/>
    <w:rsid w:val="00F97238"/>
    <w:rsid w:val="00FE5035"/>
    <w:rsid w:val="00FF0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196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16F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2</Pages>
  <Words>654</Words>
  <Characters>3926</Characters>
  <Application>Microsoft Office Outlook</Application>
  <DocSecurity>0</DocSecurity>
  <Lines>0</Lines>
  <Paragraphs>0</Paragraphs>
  <ScaleCrop>false</ScaleCrop>
  <Company>MS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Frąckiewicz Agnieszka  (BOF);ac</dc:creator>
  <cp:keywords/>
  <dc:description/>
  <cp:lastModifiedBy>Administrator</cp:lastModifiedBy>
  <cp:revision>9</cp:revision>
  <cp:lastPrinted>2013-09-02T08:42:00Z</cp:lastPrinted>
  <dcterms:created xsi:type="dcterms:W3CDTF">2013-06-24T05:38:00Z</dcterms:created>
  <dcterms:modified xsi:type="dcterms:W3CDTF">2013-09-02T08:42:00Z</dcterms:modified>
</cp:coreProperties>
</file>