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097" w:rsidRDefault="00931D31" w:rsidP="00E07C80">
      <w:pPr>
        <w:tabs>
          <w:tab w:val="center" w:leader="dot" w:pos="4536"/>
          <w:tab w:val="right" w:leader="dot" w:pos="6237"/>
        </w:tabs>
        <w:spacing w:after="48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43.55pt;height:50.95pt;visibility:visible">
            <v:imagedata r:id="rId8" o:title=""/>
          </v:shape>
        </w:pict>
      </w:r>
    </w:p>
    <w:p w:rsidR="003413F3" w:rsidRDefault="003413F3" w:rsidP="003413F3">
      <w:pPr>
        <w:tabs>
          <w:tab w:val="center" w:leader="dot" w:pos="4536"/>
          <w:tab w:val="right" w:leader="dot" w:pos="6237"/>
        </w:tabs>
        <w:spacing w:after="0" w:line="240" w:lineRule="auto"/>
        <w:jc w:val="right"/>
        <w:rPr>
          <w:rFonts w:ascii="Times New Roman" w:hAnsi="Times New Roman"/>
          <w:sz w:val="20"/>
          <w:szCs w:val="20"/>
          <w:lang w:eastAsia="pl-PL"/>
        </w:rPr>
      </w:pPr>
    </w:p>
    <w:p w:rsidR="00AE5097" w:rsidRPr="002C7B3D" w:rsidRDefault="00AE5097" w:rsidP="00F441CF">
      <w:pPr>
        <w:tabs>
          <w:tab w:val="center" w:leader="dot" w:pos="4536"/>
          <w:tab w:val="right" w:leader="dot" w:pos="6237"/>
        </w:tabs>
        <w:spacing w:after="0" w:line="240" w:lineRule="auto"/>
        <w:jc w:val="right"/>
        <w:rPr>
          <w:rFonts w:ascii="Times New Roman" w:hAnsi="Times New Roman"/>
          <w:sz w:val="20"/>
          <w:szCs w:val="20"/>
          <w:lang w:eastAsia="pl-PL"/>
        </w:rPr>
      </w:pPr>
      <w:r w:rsidRPr="002C7B3D">
        <w:rPr>
          <w:rFonts w:ascii="Times New Roman" w:hAnsi="Times New Roman"/>
          <w:sz w:val="20"/>
          <w:szCs w:val="20"/>
          <w:lang w:eastAsia="pl-PL"/>
        </w:rPr>
        <w:t xml:space="preserve">Załącznik nr 11 do Umowy nr </w:t>
      </w:r>
      <w:r w:rsidRPr="002C7B3D">
        <w:rPr>
          <w:rFonts w:ascii="Times New Roman" w:hAnsi="Times New Roman"/>
          <w:sz w:val="20"/>
          <w:szCs w:val="20"/>
          <w:lang w:eastAsia="pl-PL"/>
        </w:rPr>
        <w:tab/>
        <w:t xml:space="preserve">z dnia </w:t>
      </w:r>
      <w:r w:rsidRPr="002C7B3D">
        <w:rPr>
          <w:rFonts w:ascii="Times New Roman" w:hAnsi="Times New Roman"/>
          <w:sz w:val="20"/>
          <w:szCs w:val="20"/>
          <w:lang w:eastAsia="pl-PL"/>
        </w:rPr>
        <w:tab/>
      </w:r>
    </w:p>
    <w:p w:rsidR="00F441CF" w:rsidRDefault="00F441CF">
      <w:pPr>
        <w:rPr>
          <w:b/>
          <w:sz w:val="28"/>
          <w:szCs w:val="28"/>
        </w:rPr>
      </w:pPr>
    </w:p>
    <w:p w:rsidR="00AE5097" w:rsidRDefault="00AE5097">
      <w:pPr>
        <w:rPr>
          <w:b/>
          <w:sz w:val="28"/>
          <w:szCs w:val="28"/>
        </w:rPr>
      </w:pPr>
      <w:r>
        <w:rPr>
          <w:b/>
          <w:sz w:val="28"/>
          <w:szCs w:val="28"/>
        </w:rPr>
        <w:t>Przewodnik po Narzędziu ITSM („</w:t>
      </w:r>
      <w:proofErr w:type="spellStart"/>
      <w:r>
        <w:rPr>
          <w:b/>
          <w:sz w:val="28"/>
          <w:szCs w:val="28"/>
        </w:rPr>
        <w:t>manual</w:t>
      </w:r>
      <w:proofErr w:type="spellEnd"/>
      <w:r>
        <w:rPr>
          <w:b/>
          <w:sz w:val="28"/>
          <w:szCs w:val="28"/>
        </w:rPr>
        <w:t>”)</w:t>
      </w:r>
    </w:p>
    <w:p w:rsidR="00AE5097" w:rsidRDefault="00AE5097">
      <w:pPr>
        <w:rPr>
          <w:i/>
          <w:sz w:val="20"/>
          <w:szCs w:val="20"/>
        </w:rPr>
      </w:pPr>
      <w:r w:rsidRPr="00AA605C">
        <w:rPr>
          <w:i/>
          <w:sz w:val="20"/>
          <w:szCs w:val="20"/>
        </w:rPr>
        <w:t>Dokument do opracowania na podstawie oferty wybranego Wykonawcy</w:t>
      </w:r>
    </w:p>
    <w:p w:rsidR="00AE5097" w:rsidRDefault="00AE5097">
      <w:pPr>
        <w:rPr>
          <w:i/>
          <w:sz w:val="20"/>
          <w:szCs w:val="20"/>
        </w:rPr>
      </w:pPr>
      <w:r>
        <w:rPr>
          <w:i/>
          <w:sz w:val="20"/>
          <w:szCs w:val="20"/>
        </w:rPr>
        <w:t>Spis treści:</w:t>
      </w:r>
    </w:p>
    <w:p w:rsidR="00AE5097" w:rsidRDefault="00AE5097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Rozdział I Wsparcie procesu Zarzadzania Incydentami oraz funkcji Service </w:t>
      </w:r>
      <w:proofErr w:type="spellStart"/>
      <w:r>
        <w:rPr>
          <w:i/>
          <w:sz w:val="20"/>
          <w:szCs w:val="20"/>
        </w:rPr>
        <w:t>Desk</w:t>
      </w:r>
      <w:proofErr w:type="spellEnd"/>
    </w:p>
    <w:p w:rsidR="00534E64" w:rsidRPr="00534E64" w:rsidRDefault="00AE5097" w:rsidP="00534E64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826D20">
        <w:rPr>
          <w:i/>
          <w:sz w:val="20"/>
          <w:szCs w:val="20"/>
        </w:rPr>
        <w:t>Rejestracja Incydentu za pomocą www oraz zgłoszonego telefonicznie z uwzględnieniem automatycznej identyfikacji użytkownika (wypełnianie danych w systemie o dzwoniącym).</w:t>
      </w:r>
    </w:p>
    <w:p w:rsidR="00AE5097" w:rsidRDefault="00AE5097" w:rsidP="007C5B66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826D20">
        <w:rPr>
          <w:i/>
          <w:sz w:val="20"/>
          <w:szCs w:val="20"/>
        </w:rPr>
        <w:t>Uwzględnienie w systemie pół obligatoryjnych: data i godzina Zgłoszenia, unikalny identyfikator Zgłoszenia (generowany automatycznie), Wpływ i Pilność, priorytet Zgłoszenia (definiowany na podstawie Wpływu i Pilności), kategoria Zgłoszenia, temat Zgłoszenia, pełny opis Zgłoszenia, dane dotyczące Zgłaszającego, Element Konfiguracji, którego dotyczy Zgłoszenie, status Zgłoszenia (wszystkie ze wskazanych).</w:t>
      </w:r>
    </w:p>
    <w:p w:rsidR="00AE5097" w:rsidRDefault="00AE5097" w:rsidP="007C5B66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826D20">
        <w:rPr>
          <w:i/>
          <w:sz w:val="20"/>
          <w:szCs w:val="20"/>
        </w:rPr>
        <w:t>Śledzenie cyklu życia zgłoszenia (prezentacja przykładowego zgłoszenia z zapisami od statusu nowe do statusu zamknięte ze wskazaniem jak uzasadnione przestoje w realizacji zgłoszenia (zawieszenia) wpływają na wydłużenie czasu realizacji zgłoszenia i dodanie czasu „przestoju” do terminów realizacji zdefiniowanych w umowie SLA:</w:t>
      </w:r>
      <w:r>
        <w:rPr>
          <w:i/>
          <w:sz w:val="20"/>
          <w:szCs w:val="20"/>
        </w:rPr>
        <w:t xml:space="preserve"> m</w:t>
      </w:r>
      <w:r w:rsidRPr="00826D20">
        <w:rPr>
          <w:i/>
          <w:sz w:val="20"/>
          <w:szCs w:val="20"/>
        </w:rPr>
        <w:t>ożliwości śledzenia statusów na każdym etapie realizacji zgłoszenia.</w:t>
      </w:r>
    </w:p>
    <w:p w:rsidR="00AE5097" w:rsidRPr="00484112" w:rsidRDefault="00AE5097" w:rsidP="007C5B66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826D20">
        <w:rPr>
          <w:i/>
          <w:sz w:val="20"/>
          <w:szCs w:val="20"/>
        </w:rPr>
        <w:t>Śledzenie cyklu życia zgłoszenia (prezentacja przykładowego zgłoszenia z zapisami od statusu nowe do statusu zamknięte ze wskazaniem jak uzasadnione przestoje w realizacji zgłoszenia (zawieszenia) wpływają na wydłużenie czasu realizacji zgłoszenia i dodanie czasu „przestoju” do terminów realizacji zdefiniowanych w umowie SLA:</w:t>
      </w:r>
      <w:r>
        <w:rPr>
          <w:i/>
          <w:sz w:val="20"/>
          <w:szCs w:val="20"/>
        </w:rPr>
        <w:t xml:space="preserve"> a</w:t>
      </w:r>
      <w:r w:rsidRPr="00484112">
        <w:rPr>
          <w:i/>
          <w:sz w:val="20"/>
          <w:szCs w:val="20"/>
        </w:rPr>
        <w:t xml:space="preserve">ktualizacji w narzędziu ITSM terminu realizacji zgłoszenia o przestoje wynikające z </w:t>
      </w:r>
      <w:proofErr w:type="spellStart"/>
      <w:r w:rsidRPr="00484112">
        <w:rPr>
          <w:i/>
          <w:sz w:val="20"/>
          <w:szCs w:val="20"/>
        </w:rPr>
        <w:t>zawieszeń</w:t>
      </w:r>
      <w:proofErr w:type="spellEnd"/>
      <w:r w:rsidRPr="00484112">
        <w:rPr>
          <w:i/>
          <w:sz w:val="20"/>
          <w:szCs w:val="20"/>
        </w:rPr>
        <w:t xml:space="preserve"> (uzasadnionych przestojów w realizacji zgłoszenia) z uwzględnieniem dni wyłączonych ze świadczenia usługi (np. dni świąteczne).</w:t>
      </w:r>
    </w:p>
    <w:p w:rsidR="00AE5097" w:rsidRDefault="00AE5097" w:rsidP="007C5B66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826D20">
        <w:rPr>
          <w:i/>
          <w:sz w:val="20"/>
          <w:szCs w:val="20"/>
        </w:rPr>
        <w:t>Zapewnienie możliwości przekazania zgłoszenia do odpowiednich Grup Wsparcia (na podstawie kategoryzacji), w tym do kilku grup jednocześnie.</w:t>
      </w:r>
    </w:p>
    <w:p w:rsidR="00AE5097" w:rsidRDefault="00AE5097" w:rsidP="007C5B66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826D20">
        <w:rPr>
          <w:i/>
          <w:sz w:val="20"/>
          <w:szCs w:val="20"/>
        </w:rPr>
        <w:t>Możliwość wykonania eskalacji funkcyjnej oraz hierarchicznej w sytuacji, gdy nie istniej możliwość rozwiązania zgłoszenia przez grupę/osobę, do której zgłoszenie zostało przypisane.</w:t>
      </w:r>
    </w:p>
    <w:p w:rsidR="00AE5097" w:rsidRDefault="00AE5097" w:rsidP="007C5B66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826D20">
        <w:rPr>
          <w:i/>
          <w:sz w:val="20"/>
          <w:szCs w:val="20"/>
        </w:rPr>
        <w:t>Możliwość zarządzania powiadomieniami (docierają tylko do osób przypisanych w zdefiniowanych okresach przez zbliżającym się terminem realizacji), możliwość dodawania dodatkowych osób spoza grupy realizującej zgłoszenie, do których także powinny trafiać powiadomienia.</w:t>
      </w:r>
    </w:p>
    <w:p w:rsidR="00AE5097" w:rsidRPr="00484112" w:rsidRDefault="00AE5097" w:rsidP="007C5B66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484112">
        <w:rPr>
          <w:i/>
          <w:sz w:val="20"/>
          <w:szCs w:val="20"/>
        </w:rPr>
        <w:t>Możliwość zdefiniowania wewnętrznych alarmów informujących o sytuacjach takich jak: przekroczona liczba przekazań zgłoszenia (między grupami wsparcia); zbliżający się termin rozwiązania; brak aktywności w kontekście wskazanych zgłoszeń.</w:t>
      </w:r>
    </w:p>
    <w:p w:rsidR="00AE5097" w:rsidRDefault="00AE5097" w:rsidP="007C5B66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484112">
        <w:rPr>
          <w:i/>
          <w:sz w:val="20"/>
          <w:szCs w:val="20"/>
        </w:rPr>
        <w:t>Możliwość bieżącego monitorowania statusu Incydentów przez Użytkownika.</w:t>
      </w:r>
    </w:p>
    <w:p w:rsidR="00AE5097" w:rsidRPr="00484112" w:rsidRDefault="00AE5097" w:rsidP="007C5B6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Rozdział II Wsparcie procesu Zarzadzania Zmianami</w:t>
      </w:r>
    </w:p>
    <w:p w:rsidR="00AE5097" w:rsidRDefault="00AE5097" w:rsidP="007C5B66">
      <w:pPr>
        <w:pStyle w:val="Akapitzlist"/>
        <w:numPr>
          <w:ilvl w:val="0"/>
          <w:numId w:val="5"/>
        </w:numPr>
        <w:jc w:val="both"/>
        <w:rPr>
          <w:i/>
          <w:sz w:val="20"/>
          <w:szCs w:val="20"/>
        </w:rPr>
      </w:pPr>
      <w:r w:rsidRPr="00484112">
        <w:rPr>
          <w:i/>
          <w:sz w:val="20"/>
          <w:szCs w:val="20"/>
        </w:rPr>
        <w:t>Możliwość śledzenia cyklu życia Zmiany z możliwością dodawania i modyfikacji szczegółów na każdym kroku cyklu życia Zmiany (rejestracja RFC, przegląd RFC, autoryzacja i koordynacja budowy i testów, autoryzacja i koordynacja wdrożenia, przegląd i zamknięcie).</w:t>
      </w:r>
    </w:p>
    <w:p w:rsidR="00AE5097" w:rsidRPr="00484112" w:rsidRDefault="00AE5097" w:rsidP="007C5B66">
      <w:pPr>
        <w:pStyle w:val="Akapitzlist"/>
        <w:numPr>
          <w:ilvl w:val="0"/>
          <w:numId w:val="5"/>
        </w:numPr>
        <w:jc w:val="both"/>
        <w:rPr>
          <w:i/>
          <w:sz w:val="20"/>
          <w:szCs w:val="20"/>
        </w:rPr>
      </w:pPr>
      <w:r w:rsidRPr="00484112">
        <w:rPr>
          <w:i/>
          <w:sz w:val="20"/>
          <w:szCs w:val="20"/>
        </w:rPr>
        <w:lastRenderedPageBreak/>
        <w:t>Możliwość zdefiniowania alarmów powiadamiających o krytycznych momentach w procesie realizacji Zmiany np. zbliżający się termin wykonania zadania.</w:t>
      </w:r>
    </w:p>
    <w:p w:rsidR="00AE5097" w:rsidRPr="00484112" w:rsidRDefault="00AE5097" w:rsidP="007C5B66">
      <w:pPr>
        <w:pStyle w:val="Akapitzlist"/>
        <w:numPr>
          <w:ilvl w:val="0"/>
          <w:numId w:val="5"/>
        </w:numPr>
        <w:jc w:val="both"/>
        <w:rPr>
          <w:i/>
          <w:sz w:val="20"/>
          <w:szCs w:val="20"/>
        </w:rPr>
      </w:pPr>
      <w:r w:rsidRPr="00484112">
        <w:rPr>
          <w:i/>
          <w:sz w:val="20"/>
          <w:szCs w:val="20"/>
        </w:rPr>
        <w:t>Możliwość zautomatyzowanego informowania innych procesów (co najmniej Zarządzania Incydentami, Zarządzania Problemami oraz Zarządzania Konfiguracją) o bieżących i planowanych Zmianach.</w:t>
      </w:r>
    </w:p>
    <w:p w:rsidR="00AE5097" w:rsidRDefault="00AE5097" w:rsidP="007C5B66">
      <w:pPr>
        <w:pStyle w:val="Akapitzlist"/>
        <w:numPr>
          <w:ilvl w:val="0"/>
          <w:numId w:val="5"/>
        </w:numPr>
        <w:jc w:val="both"/>
        <w:rPr>
          <w:i/>
          <w:sz w:val="20"/>
          <w:szCs w:val="20"/>
        </w:rPr>
      </w:pPr>
      <w:r w:rsidRPr="00484112">
        <w:rPr>
          <w:i/>
          <w:sz w:val="20"/>
          <w:szCs w:val="20"/>
        </w:rPr>
        <w:t>Możliwość prezentacji harmonogramu przyszłych zmian w formie graficznej</w:t>
      </w:r>
    </w:p>
    <w:p w:rsidR="00AE5097" w:rsidRDefault="00AE5097" w:rsidP="007C5B6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Rozdział III Wsparcie procesu Zarządzania Konfiguracją</w:t>
      </w:r>
    </w:p>
    <w:p w:rsidR="00AE5097" w:rsidRDefault="00AE5097" w:rsidP="007C5B66">
      <w:pPr>
        <w:pStyle w:val="Akapitzlist"/>
        <w:numPr>
          <w:ilvl w:val="0"/>
          <w:numId w:val="6"/>
        </w:numPr>
        <w:tabs>
          <w:tab w:val="left" w:pos="284"/>
          <w:tab w:val="left" w:pos="709"/>
        </w:tabs>
        <w:ind w:left="709" w:hanging="425"/>
        <w:jc w:val="both"/>
        <w:rPr>
          <w:i/>
          <w:sz w:val="20"/>
          <w:szCs w:val="20"/>
        </w:rPr>
      </w:pPr>
      <w:r w:rsidRPr="00484112">
        <w:rPr>
          <w:i/>
          <w:sz w:val="20"/>
          <w:szCs w:val="20"/>
        </w:rPr>
        <w:t>Możliwość śledzenie cyklu życia Elementów Konfiguracji od momentu zamówienia do wycofania z użycia.</w:t>
      </w:r>
    </w:p>
    <w:p w:rsidR="00AE5097" w:rsidRDefault="00AE5097" w:rsidP="007C5B66">
      <w:pPr>
        <w:pStyle w:val="Akapitzlist"/>
        <w:numPr>
          <w:ilvl w:val="0"/>
          <w:numId w:val="6"/>
        </w:numPr>
        <w:tabs>
          <w:tab w:val="left" w:pos="284"/>
          <w:tab w:val="left" w:pos="709"/>
        </w:tabs>
        <w:ind w:left="709" w:hanging="425"/>
        <w:jc w:val="both"/>
        <w:rPr>
          <w:i/>
          <w:sz w:val="20"/>
          <w:szCs w:val="20"/>
        </w:rPr>
      </w:pPr>
      <w:r w:rsidRPr="00484112">
        <w:rPr>
          <w:i/>
          <w:sz w:val="20"/>
          <w:szCs w:val="20"/>
        </w:rPr>
        <w:t>Dostęp do pełnej historii cyklu życia danego Elementu Konfiguracji (kiedy i kto zmieniał status Elementu Konfiguracji).</w:t>
      </w:r>
    </w:p>
    <w:p w:rsidR="00AE5097" w:rsidRDefault="00AE5097" w:rsidP="007C5B66">
      <w:pPr>
        <w:pStyle w:val="Akapitzlist"/>
        <w:numPr>
          <w:ilvl w:val="0"/>
          <w:numId w:val="6"/>
        </w:numPr>
        <w:tabs>
          <w:tab w:val="left" w:pos="284"/>
          <w:tab w:val="left" w:pos="709"/>
        </w:tabs>
        <w:ind w:left="709" w:hanging="425"/>
        <w:jc w:val="both"/>
        <w:rPr>
          <w:i/>
          <w:sz w:val="20"/>
          <w:szCs w:val="20"/>
        </w:rPr>
      </w:pPr>
      <w:r w:rsidRPr="00484112">
        <w:rPr>
          <w:i/>
          <w:sz w:val="20"/>
          <w:szCs w:val="20"/>
        </w:rPr>
        <w:t>Dane o Elementach Konfiguracji muszą być dostępne dla Zgłoszeń, Incydentów, Problemów i Wniosków o Zmiany w trybie on-</w:t>
      </w:r>
      <w:proofErr w:type="spellStart"/>
      <w:r w:rsidRPr="00484112">
        <w:rPr>
          <w:i/>
          <w:sz w:val="20"/>
          <w:szCs w:val="20"/>
        </w:rPr>
        <w:t>line</w:t>
      </w:r>
      <w:proofErr w:type="spellEnd"/>
      <w:r w:rsidRPr="00484112">
        <w:rPr>
          <w:i/>
          <w:sz w:val="20"/>
          <w:szCs w:val="20"/>
        </w:rPr>
        <w:t>.</w:t>
      </w:r>
    </w:p>
    <w:p w:rsidR="0058497D" w:rsidRDefault="0058497D" w:rsidP="007C5B66">
      <w:pPr>
        <w:pStyle w:val="Akapitzlist"/>
        <w:numPr>
          <w:ilvl w:val="0"/>
          <w:numId w:val="6"/>
        </w:numPr>
        <w:tabs>
          <w:tab w:val="left" w:pos="284"/>
          <w:tab w:val="left" w:pos="709"/>
        </w:tabs>
        <w:ind w:left="709" w:hanging="425"/>
        <w:jc w:val="both"/>
        <w:rPr>
          <w:i/>
          <w:sz w:val="20"/>
          <w:szCs w:val="20"/>
        </w:rPr>
      </w:pPr>
      <w:r w:rsidRPr="0058497D">
        <w:rPr>
          <w:i/>
          <w:sz w:val="20"/>
          <w:szCs w:val="20"/>
        </w:rPr>
        <w:t xml:space="preserve">Baza CMDB musi posiadać możliwość wprowadzenia typowych klas odpowiadających elementom konfiguracji występującym w infrastrukturze informatycznej (np. serwer, notebook, komputer PC, monitor, </w:t>
      </w:r>
      <w:proofErr w:type="spellStart"/>
      <w:r w:rsidRPr="0058497D">
        <w:rPr>
          <w:i/>
          <w:sz w:val="20"/>
          <w:szCs w:val="20"/>
        </w:rPr>
        <w:t>switch</w:t>
      </w:r>
      <w:proofErr w:type="spellEnd"/>
      <w:r w:rsidRPr="0058497D">
        <w:rPr>
          <w:i/>
          <w:sz w:val="20"/>
          <w:szCs w:val="20"/>
        </w:rPr>
        <w:t>, router).</w:t>
      </w:r>
    </w:p>
    <w:p w:rsidR="00AE5097" w:rsidRDefault="00AE5097" w:rsidP="007C5B66">
      <w:pPr>
        <w:pStyle w:val="Akapitzlist"/>
        <w:numPr>
          <w:ilvl w:val="0"/>
          <w:numId w:val="6"/>
        </w:numPr>
        <w:tabs>
          <w:tab w:val="left" w:pos="284"/>
          <w:tab w:val="left" w:pos="709"/>
        </w:tabs>
        <w:ind w:left="709" w:hanging="425"/>
        <w:jc w:val="both"/>
        <w:rPr>
          <w:i/>
          <w:sz w:val="20"/>
          <w:szCs w:val="20"/>
        </w:rPr>
      </w:pPr>
      <w:r w:rsidRPr="00484112">
        <w:rPr>
          <w:i/>
          <w:sz w:val="20"/>
          <w:szCs w:val="20"/>
        </w:rPr>
        <w:t>Baza CMDB musi posiadać mechanizm automatycznego wprowadzania danych pochodzących z różnych źródeł: wprowadzanych ręcznie, z narzędzi automatycznego wykrywania elementów infrastruktury.</w:t>
      </w:r>
    </w:p>
    <w:p w:rsidR="00AE5097" w:rsidRDefault="00AE5097" w:rsidP="007C5B6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Rozdział IV Wsparcie procesu Zarządzania Poziomem Usług </w:t>
      </w:r>
    </w:p>
    <w:p w:rsidR="00AE5097" w:rsidRDefault="00AE5097" w:rsidP="007C5B66">
      <w:pPr>
        <w:pStyle w:val="Akapitzlist"/>
        <w:numPr>
          <w:ilvl w:val="0"/>
          <w:numId w:val="7"/>
        </w:numPr>
        <w:ind w:left="709" w:hanging="425"/>
        <w:jc w:val="both"/>
        <w:rPr>
          <w:i/>
          <w:sz w:val="20"/>
          <w:szCs w:val="20"/>
        </w:rPr>
      </w:pPr>
      <w:r w:rsidRPr="007C5B66">
        <w:rPr>
          <w:i/>
          <w:sz w:val="20"/>
          <w:szCs w:val="20"/>
        </w:rPr>
        <w:t>Możliwość tworzenie centralnego repozytorium umów SLA wraz z opisem metryk w nich zawartych</w:t>
      </w:r>
      <w:r>
        <w:rPr>
          <w:i/>
          <w:sz w:val="20"/>
          <w:szCs w:val="20"/>
        </w:rPr>
        <w:t>.</w:t>
      </w:r>
    </w:p>
    <w:p w:rsidR="00AE5097" w:rsidRDefault="00AE5097" w:rsidP="007C5B66">
      <w:pPr>
        <w:pStyle w:val="Akapitzlist"/>
        <w:numPr>
          <w:ilvl w:val="0"/>
          <w:numId w:val="7"/>
        </w:numPr>
        <w:ind w:left="709" w:hanging="425"/>
        <w:jc w:val="both"/>
        <w:rPr>
          <w:i/>
          <w:sz w:val="20"/>
          <w:szCs w:val="20"/>
        </w:rPr>
      </w:pPr>
      <w:r w:rsidRPr="007C5B66">
        <w:rPr>
          <w:i/>
          <w:sz w:val="20"/>
          <w:szCs w:val="20"/>
        </w:rPr>
        <w:t>Możliwość monitorowania poziomu spełnienia warunków określonych w umowach SLA, co najmniej czasy realizacji zgłoszeń, dostępność i pojemność usług.</w:t>
      </w:r>
    </w:p>
    <w:p w:rsidR="00AE5097" w:rsidRDefault="00AE5097" w:rsidP="007C5B66">
      <w:pPr>
        <w:pStyle w:val="Akapitzlist"/>
        <w:numPr>
          <w:ilvl w:val="0"/>
          <w:numId w:val="7"/>
        </w:numPr>
        <w:ind w:left="709" w:hanging="425"/>
        <w:jc w:val="both"/>
        <w:rPr>
          <w:i/>
          <w:sz w:val="20"/>
          <w:szCs w:val="20"/>
        </w:rPr>
      </w:pPr>
      <w:r w:rsidRPr="007C5B66">
        <w:rPr>
          <w:i/>
          <w:sz w:val="20"/>
          <w:szCs w:val="20"/>
        </w:rPr>
        <w:t>Możliwość tworzenia dowolnej liczby kalendarzy czasu pracy z uwzględnieniem wyjątków (np. ze względu na dni świąteczne).</w:t>
      </w:r>
    </w:p>
    <w:p w:rsidR="00AE5097" w:rsidRDefault="00AE5097" w:rsidP="007C5B6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Rozdział V Raportowanie</w:t>
      </w:r>
    </w:p>
    <w:p w:rsidR="00AE5097" w:rsidRDefault="00AE5097" w:rsidP="007C5B66">
      <w:pPr>
        <w:pStyle w:val="Akapitzlist"/>
        <w:numPr>
          <w:ilvl w:val="0"/>
          <w:numId w:val="8"/>
        </w:numPr>
        <w:ind w:left="709" w:hanging="425"/>
        <w:jc w:val="both"/>
        <w:rPr>
          <w:i/>
          <w:sz w:val="20"/>
          <w:szCs w:val="20"/>
        </w:rPr>
      </w:pPr>
      <w:r w:rsidRPr="007C5B66">
        <w:rPr>
          <w:i/>
          <w:sz w:val="20"/>
          <w:szCs w:val="20"/>
        </w:rPr>
        <w:t>Możliwość samodzielnego budowania raportów w oparciu o bieżące potrzeby Zamawiającego.</w:t>
      </w:r>
    </w:p>
    <w:p w:rsidR="00AE5097" w:rsidRDefault="00AE5097" w:rsidP="007C5B66">
      <w:pPr>
        <w:pStyle w:val="Akapitzlist"/>
        <w:numPr>
          <w:ilvl w:val="0"/>
          <w:numId w:val="8"/>
        </w:numPr>
        <w:ind w:left="709" w:hanging="425"/>
        <w:jc w:val="both"/>
        <w:rPr>
          <w:i/>
          <w:sz w:val="20"/>
          <w:szCs w:val="20"/>
        </w:rPr>
      </w:pPr>
      <w:r w:rsidRPr="007C5B66">
        <w:rPr>
          <w:i/>
          <w:sz w:val="20"/>
          <w:szCs w:val="20"/>
        </w:rPr>
        <w:t>Udostępnienie graficznego narzędzie do projektowania raportów oraz wbudowanej funkcjonalności graficznego prezentowania wybranych metryk.</w:t>
      </w:r>
    </w:p>
    <w:p w:rsidR="00AE5097" w:rsidRDefault="00AE5097" w:rsidP="007C5B66">
      <w:pPr>
        <w:pStyle w:val="Akapitzlist"/>
        <w:numPr>
          <w:ilvl w:val="0"/>
          <w:numId w:val="8"/>
        </w:numPr>
        <w:ind w:left="709" w:hanging="425"/>
        <w:jc w:val="both"/>
        <w:rPr>
          <w:i/>
          <w:sz w:val="20"/>
          <w:szCs w:val="20"/>
        </w:rPr>
      </w:pPr>
      <w:r w:rsidRPr="007C5B66">
        <w:rPr>
          <w:i/>
          <w:sz w:val="20"/>
          <w:szCs w:val="20"/>
        </w:rPr>
        <w:t>Możliwość definiowania prostych raportów ad-hoc przez użytkowników końcowych z możliwością ich zapisania do kolejnego użycia</w:t>
      </w:r>
    </w:p>
    <w:p w:rsidR="00AE5097" w:rsidRPr="007C5B66" w:rsidRDefault="00AE5097" w:rsidP="007C5B66">
      <w:pPr>
        <w:pStyle w:val="Akapitzlist"/>
        <w:numPr>
          <w:ilvl w:val="0"/>
          <w:numId w:val="8"/>
        </w:numPr>
        <w:ind w:left="709" w:hanging="425"/>
        <w:jc w:val="both"/>
        <w:rPr>
          <w:i/>
          <w:sz w:val="20"/>
          <w:szCs w:val="20"/>
        </w:rPr>
      </w:pPr>
      <w:r w:rsidRPr="007C5B66">
        <w:rPr>
          <w:i/>
          <w:sz w:val="20"/>
          <w:szCs w:val="20"/>
        </w:rPr>
        <w:t>Mechanizm zabezpieczający przed uruchomieniem raportów zwracających za dużą liczbę rekordów.</w:t>
      </w:r>
    </w:p>
    <w:p w:rsidR="00AE5097" w:rsidRPr="003413F3" w:rsidRDefault="003413F3" w:rsidP="003413F3">
      <w:pPr>
        <w:jc w:val="both"/>
        <w:rPr>
          <w:b/>
          <w:sz w:val="20"/>
          <w:szCs w:val="20"/>
        </w:rPr>
      </w:pPr>
      <w:r w:rsidRPr="003413F3">
        <w:rPr>
          <w:b/>
          <w:sz w:val="20"/>
          <w:szCs w:val="20"/>
        </w:rPr>
        <w:t>Przygotowanie przewodnika po narzędziu ITSM „</w:t>
      </w:r>
      <w:proofErr w:type="spellStart"/>
      <w:r w:rsidRPr="003413F3">
        <w:rPr>
          <w:b/>
          <w:sz w:val="20"/>
          <w:szCs w:val="20"/>
        </w:rPr>
        <w:t>manual</w:t>
      </w:r>
      <w:proofErr w:type="spellEnd"/>
      <w:r w:rsidRPr="003413F3">
        <w:rPr>
          <w:b/>
          <w:sz w:val="20"/>
          <w:szCs w:val="20"/>
        </w:rPr>
        <w:t>”, który wskaże czynności realizowane w celu uzyskania pożądanego stanu. Opracowanie dokumentu zawierającego zrzuty z ekranu wraz ze szczegółowymi opisami każdego z pól i czynnościami (krok po kroku) jakie należy zrealizować aby osiągnąć opisany efekt/stan.</w:t>
      </w:r>
    </w:p>
    <w:sectPr w:rsidR="00AE5097" w:rsidRPr="003413F3" w:rsidSect="00DF14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D31" w:rsidRDefault="00931D31" w:rsidP="00931D31">
      <w:pPr>
        <w:spacing w:after="0" w:line="240" w:lineRule="auto"/>
      </w:pPr>
      <w:r>
        <w:separator/>
      </w:r>
    </w:p>
  </w:endnote>
  <w:endnote w:type="continuationSeparator" w:id="0">
    <w:p w:rsidR="00931D31" w:rsidRDefault="00931D31" w:rsidP="00931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D31" w:rsidRDefault="00931D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D31" w:rsidRDefault="00931D31">
    <w:pPr>
      <w:pStyle w:val="Stopka"/>
    </w:pPr>
    <w:r w:rsidRPr="001E20ED">
      <w:rPr>
        <w:sz w:val="20"/>
        <w:szCs w:val="20"/>
      </w:rPr>
      <w:t>Projekt współfinansowany przez Unię Europejską w ramach Europejskiego Funduszu Społecznego.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D31" w:rsidRDefault="00931D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D31" w:rsidRDefault="00931D31" w:rsidP="00931D31">
      <w:pPr>
        <w:spacing w:after="0" w:line="240" w:lineRule="auto"/>
      </w:pPr>
      <w:r>
        <w:separator/>
      </w:r>
    </w:p>
  </w:footnote>
  <w:footnote w:type="continuationSeparator" w:id="0">
    <w:p w:rsidR="00931D31" w:rsidRDefault="00931D31" w:rsidP="00931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D31" w:rsidRDefault="00931D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D31" w:rsidRDefault="00931D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D31" w:rsidRDefault="00931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C1458"/>
    <w:multiLevelType w:val="hybridMultilevel"/>
    <w:tmpl w:val="52AC2326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2F4A6814"/>
    <w:multiLevelType w:val="hybridMultilevel"/>
    <w:tmpl w:val="73946F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51F2E1B"/>
    <w:multiLevelType w:val="hybridMultilevel"/>
    <w:tmpl w:val="FDE020F6"/>
    <w:lvl w:ilvl="0" w:tplc="0415000F">
      <w:start w:val="1"/>
      <w:numFmt w:val="decimal"/>
      <w:lvlText w:val="%1."/>
      <w:lvlJc w:val="left"/>
      <w:pPr>
        <w:ind w:left="142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  <w:rPr>
        <w:rFonts w:cs="Times New Roman"/>
      </w:rPr>
    </w:lvl>
  </w:abstractNum>
  <w:abstractNum w:abstractNumId="3">
    <w:nsid w:val="3D203393"/>
    <w:multiLevelType w:val="hybridMultilevel"/>
    <w:tmpl w:val="ABAEC5D0"/>
    <w:lvl w:ilvl="0" w:tplc="0415000F">
      <w:start w:val="1"/>
      <w:numFmt w:val="decimal"/>
      <w:lvlText w:val="%1."/>
      <w:lvlJc w:val="left"/>
      <w:pPr>
        <w:ind w:left="142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  <w:rPr>
        <w:rFonts w:cs="Times New Roman"/>
      </w:rPr>
    </w:lvl>
  </w:abstractNum>
  <w:abstractNum w:abstractNumId="4">
    <w:nsid w:val="4B23337D"/>
    <w:multiLevelType w:val="hybridMultilevel"/>
    <w:tmpl w:val="39AE233E"/>
    <w:lvl w:ilvl="0" w:tplc="E51ADB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8D707C7"/>
    <w:multiLevelType w:val="hybridMultilevel"/>
    <w:tmpl w:val="085AB6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905771B"/>
    <w:multiLevelType w:val="hybridMultilevel"/>
    <w:tmpl w:val="451802B0"/>
    <w:lvl w:ilvl="0" w:tplc="0415000F">
      <w:start w:val="1"/>
      <w:numFmt w:val="decimal"/>
      <w:lvlText w:val="%1."/>
      <w:lvlJc w:val="left"/>
      <w:pPr>
        <w:ind w:left="142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  <w:rPr>
        <w:rFonts w:cs="Times New Roman"/>
      </w:rPr>
    </w:lvl>
  </w:abstractNum>
  <w:abstractNum w:abstractNumId="7">
    <w:nsid w:val="7EBC364F"/>
    <w:multiLevelType w:val="hybridMultilevel"/>
    <w:tmpl w:val="5252A4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05C"/>
    <w:rsid w:val="000265B3"/>
    <w:rsid w:val="000F788C"/>
    <w:rsid w:val="001071B0"/>
    <w:rsid w:val="002B00B7"/>
    <w:rsid w:val="002C7B3D"/>
    <w:rsid w:val="003413F3"/>
    <w:rsid w:val="00371AB5"/>
    <w:rsid w:val="00454D01"/>
    <w:rsid w:val="00484112"/>
    <w:rsid w:val="004D49EF"/>
    <w:rsid w:val="00534E64"/>
    <w:rsid w:val="00576E1D"/>
    <w:rsid w:val="0058497D"/>
    <w:rsid w:val="005D1E8B"/>
    <w:rsid w:val="0064324E"/>
    <w:rsid w:val="006D2F67"/>
    <w:rsid w:val="007C5B66"/>
    <w:rsid w:val="007E0CFC"/>
    <w:rsid w:val="00826D20"/>
    <w:rsid w:val="00905AB2"/>
    <w:rsid w:val="00931D31"/>
    <w:rsid w:val="009D6324"/>
    <w:rsid w:val="00AA605C"/>
    <w:rsid w:val="00AE5097"/>
    <w:rsid w:val="00B851DB"/>
    <w:rsid w:val="00CD3AB1"/>
    <w:rsid w:val="00DE2A52"/>
    <w:rsid w:val="00DF1481"/>
    <w:rsid w:val="00E07C80"/>
    <w:rsid w:val="00E14D59"/>
    <w:rsid w:val="00E72D9F"/>
    <w:rsid w:val="00E82AD8"/>
    <w:rsid w:val="00F338E5"/>
    <w:rsid w:val="00F4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324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07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07C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826D2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31D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1D31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31D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1D31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766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Waślicka Edyta  (DIRS)</dc:creator>
  <cp:keywords/>
  <dc:description/>
  <cp:lastModifiedBy>Waślicka Edyta  (DIRS)</cp:lastModifiedBy>
  <cp:revision>9</cp:revision>
  <cp:lastPrinted>2012-03-21T13:47:00Z</cp:lastPrinted>
  <dcterms:created xsi:type="dcterms:W3CDTF">2012-09-14T13:04:00Z</dcterms:created>
  <dcterms:modified xsi:type="dcterms:W3CDTF">2012-09-20T14:19:00Z</dcterms:modified>
</cp:coreProperties>
</file>