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6CE" w:rsidRPr="00D716CE" w:rsidRDefault="00D716CE" w:rsidP="00D716C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716CE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D716CE" w:rsidRPr="00D716CE" w:rsidRDefault="00D716CE" w:rsidP="00D716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D716CE" w:rsidRPr="00D716CE" w:rsidRDefault="00D716CE" w:rsidP="00D716CE">
      <w:pPr>
        <w:spacing w:after="24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WYROK TRYBUNAŁU (druga izba)</w:t>
      </w:r>
    </w:p>
    <w:p w:rsidR="00D716CE" w:rsidRPr="00D716CE" w:rsidRDefault="00D716CE" w:rsidP="00D716CE">
      <w:pPr>
        <w:spacing w:after="24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21 grudnia 2011 r.(</w:t>
      </w:r>
      <w:bookmarkStart w:id="1" w:name="Footref*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"http://curia.europa.eu/juris/document/document.jsf?text=&amp;docid=117196&amp;pageIndex=0&amp;doclang=pl&amp;mode=doc&amp;dir=&amp;occ=first&amp;part=1&amp;cid=402644" \l "Footnote*" </w:instrTex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D716C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*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bookmarkEnd w:id="1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D716CE" w:rsidRPr="00D716CE" w:rsidRDefault="00D716CE" w:rsidP="00D716CE">
      <w:pPr>
        <w:spacing w:before="600" w:after="56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policyjna i sądowa w sprawach karnych – Decyzja ramowa 2001/220/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WSiSW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Pozycja ofiar w postępowaniu karnym – Ochrona osób szczególnie podatnych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Przesłuchanie małoletnich jako świadków – Postępowanie incydentalne służące zabezpieczeniu dowodów – Odmowa złożenia przez prokuratora wniosku o przesłuchanie do sędziego prowadzącego postępowanie przygotowawcze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C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noBreakHyphen/>
        <w:t>507/10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mającej za przedmiot wniosek o wydanie, na podstawie art. 267 TFUE, orzeczenia w trybie prejudycjalnym, złożony przez sędziego prowadzącego postępowanie przygotowawcze przy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Tribunale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di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Firenze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(Włochy), postanowieniem z dnia 8 października 2010 r., które wpłynęło do Trybunału w dniu 25 października 2010 r., w postępowaniu karnym przeciwko: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X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 udziale: 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Y,</w:t>
      </w:r>
    </w:p>
    <w:p w:rsidR="00D716CE" w:rsidRPr="00D716CE" w:rsidRDefault="00D716CE" w:rsidP="00D716CE">
      <w:pPr>
        <w:spacing w:after="240" w:line="240" w:lineRule="auto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TRYBUNAŁ (druga izba),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składzie: J.N. Cunha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Rodrigues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(sprawozdawca), prezes izby, U.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Lõhmus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 A.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Rosas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A. Ó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Caoimh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 A.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Arabadjiev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 sędziowie,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rzecznik generalny: P. Cruz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Villalón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sekretarz: A.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Calot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Escobar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uwzględniając procedurę pisemną,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rozważywszy uwagi przedstawione:</w:t>
      </w:r>
    </w:p>
    <w:p w:rsidR="00D716CE" w:rsidRPr="00D716CE" w:rsidRDefault="00D716CE" w:rsidP="00D716CE">
      <w:pPr>
        <w:spacing w:before="100" w:beforeAutospacing="1" w:after="240" w:line="240" w:lineRule="auto"/>
        <w:ind w:left="113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–        w imieniu X przez F.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Bagattiniego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avvocato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716CE" w:rsidRPr="00D716CE" w:rsidRDefault="00D716CE" w:rsidP="00D716CE">
      <w:pPr>
        <w:spacing w:before="100" w:beforeAutospacing="1" w:after="240" w:line="240" w:lineRule="auto"/>
        <w:ind w:left="113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–        w imieniu Y przez G.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Vitiella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G.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Paloscię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avvocati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D716CE" w:rsidRPr="00D716CE" w:rsidRDefault="00D716CE" w:rsidP="00D716CE">
      <w:pPr>
        <w:spacing w:before="100" w:beforeAutospacing="1" w:after="240" w:line="240" w:lineRule="auto"/>
        <w:ind w:left="113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–        w imieniu rządu włoskiego przez G.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Palmieri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działającą w charakterze pełnomocnika, wspieraną przez F. Arenę,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avvocato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dello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Stato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716CE" w:rsidRPr="00D716CE" w:rsidRDefault="00D716CE" w:rsidP="00D716CE">
      <w:pPr>
        <w:spacing w:before="100" w:beforeAutospacing="1" w:after="240" w:line="240" w:lineRule="auto"/>
        <w:ind w:left="113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–        w imieniu rządu niemieckiego przez T.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Henzego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 działającego w charakterze pełnomocnika,</w:t>
      </w:r>
    </w:p>
    <w:p w:rsidR="00D716CE" w:rsidRPr="00D716CE" w:rsidRDefault="00D716CE" w:rsidP="00D716CE">
      <w:pPr>
        <w:spacing w:before="100" w:beforeAutospacing="1" w:after="240" w:line="240" w:lineRule="auto"/>
        <w:ind w:left="113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–        w imieniu Irlandii przez D.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O’Hagana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 działającego w charakterze pełnomocnika,</w:t>
      </w:r>
    </w:p>
    <w:p w:rsidR="00D716CE" w:rsidRPr="00D716CE" w:rsidRDefault="00D716CE" w:rsidP="00D716CE">
      <w:pPr>
        <w:spacing w:before="100" w:beforeAutospacing="1" w:after="240" w:line="240" w:lineRule="auto"/>
        <w:ind w:left="113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–        w imieniu rządu niderlandzkiego przez C.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Wissels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M. de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Ree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 działające w charakterze pełnomocników,</w:t>
      </w:r>
    </w:p>
    <w:p w:rsidR="00D716CE" w:rsidRPr="00D716CE" w:rsidRDefault="00D716CE" w:rsidP="00D716CE">
      <w:pPr>
        <w:spacing w:before="100" w:beforeAutospacing="1" w:after="240" w:line="240" w:lineRule="auto"/>
        <w:ind w:left="1134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–        w imieniu Komisji Europejskiej przez D.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Recchię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R.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Troostersa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 działających w charakterze pełnomocników,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po zapoznaniu się z opinią rzecznika generalnego na posiedzeniu w dniu 20 października 2011 r.,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wydaje następujący</w:t>
      </w:r>
    </w:p>
    <w:p w:rsidR="00D716CE" w:rsidRPr="00D716CE" w:rsidRDefault="00D716CE" w:rsidP="00D716CE">
      <w:pPr>
        <w:spacing w:before="480" w:after="48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Wyrok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" w:name="point1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bookmarkEnd w:id="2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Wniosek o wydanie orzeczenia w trybie prejudycjalnym dotyczy wykładni przepisów art. 2, 3 i 8 decyzji ramowej Rady 2001/220/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WSiSW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 dnia 15 marca 2001 r. w sprawie pozycji ofiar w postępowaniu karnym (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. L 82, s. 1, zwanej dalej „decyzją ramową”).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point2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bookmarkEnd w:id="3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Wniosek ten został złożony w ramach postępowania karnego wszczętego przeciwko X, podejrzanemu o popełnienie czynów o charakterze seksualnym wobec swej małoletniej córki Y.</w:t>
      </w:r>
    </w:p>
    <w:p w:rsidR="00D716CE" w:rsidRPr="00D716CE" w:rsidRDefault="00D716CE" w:rsidP="00D716CE">
      <w:pPr>
        <w:spacing w:before="480" w:after="24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Ramy prawne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Decyzja ramowa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point3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bookmarkEnd w:id="4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Zgodnie z art. 1 lit. a) decyzji ramowej przez „ofiarę” rozumie się „osobę fizyczną, która doznała szkody, włączając w to uszkodzenie ciała lub szkodę psychiczną, cierpienie emocjonalne lub stratę ekonomiczną, spowodowane bezpośrednio przez działania lub zaniechania stanowiące naruszenie prawa karnego państwa członkowskiego”.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5" w:name="point4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bookmarkEnd w:id="5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Na podstawie art. 2 decyzji ramowej, zatytułowanego „Poszanowanie i uznawanie”: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„1.      Każde państwo członkowskie w swoim systemie prawa karnego zapewnia ofiarom rzeczywistą i odpowiednią rolę. Państwo kontynuuje wszelkie wysiłki zmierzające do zapewnienia, aby ofiary w trakcie postępowania traktowane były z należytym poszanowaniem godności jednostki, a także uznaje prawa oraz uzasadnione interesy ofiar, w szczególności w ramach [postępowania] karnego.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      Każde państwo członkowskie zapewnia szczególnie wrażliwym ofiarom [ofiarom szczególnie podatnym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] szczególne traktowanie jak najlepiej odpowiadające ich sytuacji”.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6" w:name="point5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bookmarkEnd w:id="6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Artykuł 3 decyzji ramowej, zatytułowany „Wysłuchania oraz dostarczanie dowodów”, stanowi: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„Każde państwo członkowskie zapewnia ofiarom możliwość wysłuchania ich w trakcie postępowania oraz możliwość dostarczania dowodów.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Każde państwo członkowskie podejmuje środki właściwe dla zapewnienia, aby jego władze przesłuchiwały ofiary wyłącznie w stopniu koniecznym dla [potrzeb] postępowania karnego”.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7" w:name="point6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bookmarkEnd w:id="7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Artykuł 8 decyzji ramowej, zatytułowany „Prawo do ochrony”, stanowi: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„1.      Każde państwo członkowskie zapewnia odpowiedni poziom ochrony ofiarom oraz, gdzie właściwe, ich rodzinom lub osobom mającym pozycję zbliżoną do rodziny, w szczególności w odniesieniu do ich bezpieczeństwa i ochrony ich prywatności, w sytuacjach, gdzie właściwe władze uznają, że istnieje poważne ryzyko odwetu lub niezbity dowód poważnego zamiaru naruszenia ich prywatności.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    W tym celu, nie naruszając przepisów ust. 4, każde państwo członkowskie gwarantuje możliwość przyjęcia, gdy to konieczne, jako części postępowania sądowego, właściwych środków ochrony prywatności i obrazu fotograficznego ofiar oraz ich rodzin lub osób mających pozycję zbliżoną do rodziny.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3.      Każde państwo członkowskie zapewnia także możliwość uniknięcia kontaktu ofiar z przestępcami w pomieszczeniach sądowych, chyba że postępowanie karne wymaga takiego kontaktu. Gdzie to właściwe dla osiągnięcia tego celu, każde państwo członkowskie stopniowo zapewnia specjalne poczekalnie dla ofiar w pomieszczeniach sądowych.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      W przypadku gdy istnieje potrzeba ochrony ofiar – w szczególności tych najbardziej wrażliwych [najbardziej podatnych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] – przed skutkami dostarczania dowodów na sali rozpraw, każde państwo członkowskie zapewnia, aby ofiary mogły, w drodze decyzji podejmowanej przez sąd, zostać uprawnione do składania zeznań w sposób umożliwiający osiągnięcie tego celu, poprzez zastosowanie wszelkich środków zgodnych z podstawowymi zasadami prawnymi [tego państwa]”.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 Uregulowania krajowe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8" w:name="point7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bookmarkEnd w:id="8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Artykuł 392 ust. 1a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codice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di procedura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penale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(kodeksu postępowania karnego, zwanego dalej „CPP”), usystematyzowany w ramach księgi V zatytułowanej „Postępowanie przygotowawcze i rozprawa wstępna”, stanowi: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„W postępowaniach dotyczących przestępstw, o których mowa w art. […] 609c […] kodeksu karnego, prokurator, także na wniosek pokrzywdzonego lub osoby, której dotyczy dochodzenie, może zażądać, aby przyjęcie zeznań od małoletniego lub głównego pokrzywdzonego nastąpiło w ramach postępowania incydentalnego, także w wypadkach innych niż przewidziane w ust. 1”.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9" w:name="point8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bookmarkEnd w:id="9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Artykuł 394 CPP przewiduje: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„1.      Pokrzywdzony może złożyć wniosek do prokuratora o wszczęcie postępowania incydentalnego.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2.      W wypadku nieuwzględnienia tego wniosku prokurator wydaje uzasadnioną decyzję, która jest doręczana pokrzywdzonemu”.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0" w:name="point9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bookmarkEnd w:id="10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Artykuł 398 ust. 5a CPP stanowi:</w:t>
      </w:r>
    </w:p>
    <w:p w:rsidR="00D716CE" w:rsidRPr="00D716CE" w:rsidRDefault="00D716CE" w:rsidP="00D716CE">
      <w:pPr>
        <w:spacing w:after="24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„W wypadku dochodzeń dotyczących przestępstw przewidzianych w art. […] 609c [….] kodeksu karnego, jeżeli wśród osób, których dotyczy gromadzenie dowodów, znajdują się małoletni, zarządzeniem, o którym mowa w ust. 2, sąd określa miejsce, termin i szczególne zasady postępowania w formie incydentalnej, jeżeli wymogi ochrony osób czynią to koniecznym lub użytecznym. W tym celu przesłuchanie może zostać przeprowadzone również poza budynkiem sądu, w wyspecjalizowanej placówce pomocy, jeśli taka istnieje, bądź w braku takiej placówki – w miejscu zamieszkania osoby, której dotyczy uzyskanie dowodu. Zeznania powinny być utrwalone w całości za pomocą urządzeń do rejestracji dźwięku i obrazu. Jeżeli urządzenia nagrywające bądź personel techniczny są niedostępne, sąd skorzysta z opinii biegłego bądź eksperta technicznego. Ponadto z przesłuchania sporządza się protokół streszczający. Transkrypcji nagrań dokonuje się wyłącznie na wniosek stron”.</w:t>
      </w:r>
    </w:p>
    <w:p w:rsidR="00D716CE" w:rsidRPr="00D716CE" w:rsidRDefault="00D716CE" w:rsidP="00D716CE">
      <w:pPr>
        <w:spacing w:before="480" w:after="24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Postępowanie przed sądem krajowym i pytania prejudycjalne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1" w:name="point10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bookmarkEnd w:id="11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Z postanowienia odsyłającego wynika, że pani Z wniosła skargę przeciwko panu X z tytułu wielokrotnego dopuszczania się przez niego w 2007 r. czynów o charakterze seksualnym, zakazanych przez art. 609c kodeksu karnego w związku z art. 81 i nast. tego kodeksu, wobec swojej, wówczas pięcioletniej, córki Y.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2" w:name="point11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bookmarkEnd w:id="12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Skarga ta stanowiła podstawę wszczęcia dochodzenia wstępnego, podczas którego Y została wielokrotnie przesłuchana przez różnych biegłych z zakresu psychologii i pediatrii. W następstwie tych działań w dniu 8 maja 2008 r. prokurator złożył wniosek o umorzenie postępowania.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3" w:name="point12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bookmarkEnd w:id="13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Ze względu na to, że Y złożyła sprzeciw od tego wniosku, sąd śledczy zgodnie z właściwymi przepisami proceduralnymi wyznaczył posiedzenie niejawne w celu umożliwienia stronom zajęcia stanowiska w przedmiocie zasadności tego wniosku i ewentualnego żądania dochodzenia uzupełniającego lub skierowania sprawy do sądu. Na tym posiedzeniu na podstawie art. 394 CPP Y złożyła wniosek do prokuratora o przesłuchanie jej jako świadka w ramach postępowania incydentalnego służącego zabezpieczeniu dowodów, zwanego także „postępowaniem incydentalnym”.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4" w:name="point13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bookmarkEnd w:id="14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Po otrzymaniu zgody prokuratora w przedmiocie wniosku o wszczęcie postępowania incydentalnego sąd krajowy zarządził przesłuchanie małoletniej w trybie szczególnym na podstawie art. 398 ust. 5a CPP. W ramach tego przesłuchania Y potwierdziła, że jej ojciec dopuścił się wobec niej czynów o charakterze seksualnym.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5" w:name="point14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bookmarkEnd w:id="15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W dniu 27 maja 2010 r. Carte suprema di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cassazione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uchylił orzeczenie sądu krajowego o skorzystaniu z postępowania incydentalnego.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6" w:name="point15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bookmarkEnd w:id="16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W dniu 14 lipca 2010 r. prokurator ponownie złożył wniosek o umorzenie sprawy, od którego pokrzywdzona wniosła sprzeciw.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7" w:name="point16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bookmarkEnd w:id="17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Sąd krajowy wyznaczył nowe posiedzenie niejawne, na którym Y złożyła wniosek do prokuratora o ponowne przesłuchanie w ramach postępowania incydentalnego. Prokurator nie odniósł się do tego wniosku i powtórzył swój wniosek o umorzenie postępowania.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8" w:name="point17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17</w:t>
      </w:r>
      <w:bookmarkEnd w:id="18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Ze względu na to, że sędzia prowadzący postępowanie przygotowawcze przy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Tribunale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di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Firenze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 wątpliwości co do zgodności systemu proceduralnego mającego zastosowanie do pokrzywdzonych małoletnich na podstawie przepisów art. 392 ust. 1a, art. 394 i 398 CPP z art. 2, 3 i 8 decyzji ramowej w zakresie w jakim, po pierwsze, nie zobowiązuje on prokuratora do uwzględnienia wniosku pokrzywdzonego o skorzystanie z postępowania incydentalnego, a po drugie, nie umożliwia pokrzywdzonemu złożenia skargi do sądu w wypadku odmowy uwzględnienia przez prokuratora tego wniosku, postanowił zawiesić postępowanie i zwrócić się do Trybunału z wnioskiem o orzeczenie w przedmiocie zakresu powyższych artykułów decyzji ramowej.</w:t>
      </w:r>
    </w:p>
    <w:p w:rsidR="00D716CE" w:rsidRPr="00D716CE" w:rsidRDefault="00D716CE" w:rsidP="00D716CE">
      <w:pPr>
        <w:spacing w:before="480" w:after="24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W przedmiocie właściwości Trybunału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9" w:name="point18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18</w:t>
      </w:r>
      <w:bookmarkEnd w:id="19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Zgodnie z art. 9 protokołu nr 36 w sprawie postanowień przejściowych, załączonego do traktatu FUE, skutki prawne decyzji ramowej przyjętej na podstawie tytułu VI traktatu UE przed wejściem w życie traktatu z Lizbony zostają utrzymane do czasu uchylenia, unieważnienia lub zmiany decyzji ramowej w zastosowaniu traktatów.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0" w:name="point19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19</w:t>
      </w:r>
      <w:bookmarkEnd w:id="20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Ponadto art. 10 ust. 1 tego protokołu stanowi, że w odniesieniu do aktów prawnych Unii w dziedzinie współpracy policyjnej i współpracy sądowej w sprawach karnych, które zostały przyjęte przed wejściem w życie traktatu z Lizbony, uprawnienia przyznane Trybunałowi na mocy tytułu VI traktatu UE pozostają niezmienione, także w przypadku gdy zostały one uznane zgodnie z art. 35 ust. 2 UE. Na podstawie art. 10 ust. 3 owego protokołu środek przejściowy, o którym mowa w ust. 1, przestaje obowiązywać pięć lat po dniu 1 grudnia 2009 r., dacie wejścia w życie traktatu z Lizbony.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1" w:name="point20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bookmarkEnd w:id="21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Z informacji dotyczącej daty wejścia w życie traktatu z Amsterdamu opublikowanej w </w:t>
      </w:r>
      <w:r w:rsidRPr="00D716C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Dzienniku Urzędowym Wspólnot Europejskich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dniu 1 maja 1999 r. (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. L 114, s. 56) wynika, że Republika Włoska złożyła oświadczenie w trybie art. 35 ust. 2 UE, mocą którego uznała właściwość Trybunału do orzekania w przedmiocie ważności i wykładni aktów, o których mowa w art. 35 UE, na warunkach określonych w art. 35 ust. 3 lit. b) UE.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2" w:name="point21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bookmarkEnd w:id="22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Wiadomo również, że decyzja ramowa, której podstawę stanowią przepisy art. 31 UE i 34 UE, należy do aktów, o których mowa w art. 35 ust. 1 UE, w przedmiocie których Trybunał może orzekać w trybie prejudycjalnym. Bezsporne jest również, że sędzia prowadzący postępowanie przygotowawcze, działający w ramach postępowania takiego jakie ma miejsce przed sądem krajowym, może zostać uznany za sąd państwa członkowskiego w rozumieniu art. 35 UE (zob. w szczególności wyrok z dnia 28 czerwca 2007 r. w sprawie C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noBreakHyphen/>
        <w:t xml:space="preserve">467/05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Dell’Orto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Zb.Orz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. s. I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noBreakHyphen/>
        <w:t xml:space="preserve">5557, pkt 35). 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3" w:name="point22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22</w:t>
      </w:r>
      <w:bookmarkEnd w:id="23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W tych okolicznościach należy udzielić odpowiedzi na postawione pytania.</w:t>
      </w:r>
    </w:p>
    <w:p w:rsidR="00D716CE" w:rsidRPr="00D716CE" w:rsidRDefault="00D716CE" w:rsidP="00D716CE">
      <w:pPr>
        <w:spacing w:before="480" w:after="24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W przedmiocie pytań prejudycjalnych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4" w:name="point23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bookmarkEnd w:id="24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Poprzez swoje pytania sąd krajowy zasadniczo dąży do ustalenia, czy wykładni art. 2, 3 i art. 8 ust. 4 decyzji ramowej należy dokonywać w ten sposób, że stoją one na przeszkodzie przepisom krajowym takim jak art. 392 ust. 1a, art. 398 ust. 5a i art. 394 CPP, które po pierwsze nie przewidują po stronie prokuratora obowiązku 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wystąpienia do sądu orzekającego o umożliwienie przyjęcia zeznań od ofiary szczególnie podatnej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według zasad postępowania incydentalnego w fazie dowodowej procedury karnej, a po drugie, nie umożliwiają rzeczonej ofierze odwołania się do sądu w przedmiocie odmownej decyzji prokuratora dotyczącej jej wniosku o przyjęcie od niej zeznań według rzeczonych zasad.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5" w:name="point24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bookmarkEnd w:id="25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Zgodnie z przepisem art. 3 decyzji ramowej każde państwo członkowskie zapewnia ofiarom możliwość złożenia zeznań w trakcie postępowania oraz dostarczenia dowodów, jak również podejmuje środki właściwe dla zapewnienia, aby jego władze przesłuchiwały ofiary wyłącznie w stopniu niezbędnym dla potrzeb postępowania karnego.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6" w:name="point25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bookmarkEnd w:id="26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Artykuł 2 i art. 8 ust. 4 decyzji ramowej zobowiązują każde państwo członkowskie do podejmowania działań w celu zagwarantowania ofiarom między innymi należytego poszanowania ich godności osobistej w trakcie postępowania, do czuwania nad zapewnieniem ofiarom szczególnie podatnym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szczególnego traktowania jak najlepiej odpowiadającego ich sytuacji oraz, gdy istnieje potrzeba ochrony ofiar, w szczególności tych najbardziej podatnych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przed skutkami składania przez nich zeznań na rozprawie, do zagwarantowania im na mocy decyzji podejmowanej przez sąd możliwości składania zeznań w charakterze świadków w szczególnych warunkach, które zapewnią tę ochronę, za pomocą wszelkich środków zgodnych z podstawowymi zasadami prawa tego państwa.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7" w:name="point26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26</w:t>
      </w:r>
      <w:bookmarkEnd w:id="27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Decyzja ramowa nie definiuje pojęcia podatności ofiary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rozumieniu jej art. 2 ust. 2 oraz art. 8 ust. 4. Niemniej jednak nie ulega wątpliwości, że w przypadku gdy – jak ma to miejsce w sprawie przed sądem krajowym – małe dziecko twierdzi, że wielokrotnie było ofiarą czynów o charakterze seksualnym ze strony swojego ojca, dziecko to oczywiście może zostać zaliczone do tej kategorii, w szczególności ze względu na jego wiek oraz na charakter, ciężar i konsekwencje przestępstw, których – jak twierdzi – padło ofiarą, celem skorzystania ze szczególnej ochrony przewidzianej w cytowanych przepisach decyzji ramowej (zob. podobnie wyrok z dnia 16 czerwca 2005 r. w sprawie C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noBreakHyphen/>
        <w:t xml:space="preserve">105/03 Pupino,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Zb.Orz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. s. I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noBreakHyphen/>
        <w:t>5285, pkt 53).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8" w:name="point27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bookmarkEnd w:id="28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Żaden z cytowanych przez sąd krajowy trzech przepisów decyzji ramowej nie przewiduje konkretnych zasad realizacji wyznaczanych przez tę decyzję celów, na które składają się w szczególności: zapewnienie wszystkim ofiarom traktowania „z należytym poszanowaniem godności osobistej”, zapewnienie możliwości bycia wysłuchanym w ramach postępowania i „dostarczania dowodów” oraz sprawienie, aby ofiary były przesłuchiwane „wyłącznie w stopniu koniecznym dla potrzeb postępowania karnego”, a także zapewnienie „ofiarom szczególnie podatnym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” „szczególne[go] traktowani[a] jak najlepiej odpowiadające[go] ich sytuacji”, jak i zapewnienie, aby ofiary te w danym wypadku były chronione „przed skutkami dostarczania dowodów na sali rozpraw”, korzystając „w drodze decyzji podejmowanej przez sąd” ze „składania zeznań w sposób umożliwiający osiągnięcie tego celu, poprzez zastosowanie wszelkich środków zgodnych z podstawowymi zasadami prawnymi” (zob. ww. wyrok w sprawie Pupino, pkt 54).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29" w:name="point28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28</w:t>
      </w:r>
      <w:bookmarkEnd w:id="29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W braku obszerniejszych wskazówek w samych przepisach decyzji ramowej i przy uwzględnieniu art. 34 UE, który przyznaje sądom krajowym kompetencję w odniesieniu do formy i środków koniecznych do osiągnięcia rezultatu zamierzonego decyzją 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ramową należy przyznać, że decyzja ramowa pozostawia władzom krajowym szeroki zakres uprawnień dyskrecjonalnych co do konkretnych mechanizmów realizacji tych celów (zob. podobnie wyroki: z dnia 9 października 2008 r. w sprawie C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noBreakHyphen/>
        <w:t xml:space="preserve">404/07 Katz,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Zb.Orz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. s. I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noBreakHyphen/>
        <w:t>7607, pkt 46; z dnia 21 października 2010 r. w sprawie C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noBreakHyphen/>
        <w:t xml:space="preserve">205/09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Eredics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Sápi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 dotychczas nieopublikowany w Zbiorze, pkt 37, 38; a także z dnia 15 września 2011 r. w sprawach połączonych C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noBreakHyphen/>
        <w:t>483/09 i C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noBreakHyphen/>
        <w:t xml:space="preserve">1/10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Gueye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Salmerón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Sánchez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 dotychczas nieopublikowany w Zbiorze, pkt 57, 72, 74).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0" w:name="point29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29</w:t>
      </w:r>
      <w:bookmarkEnd w:id="30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Zgodnie z przepisami spornymi w sprawie głównej, aby móc uzyskać walor dowodu, zeznania złożone w fazie postępowania przygotowawczego muszą co do zasady zostać powtórzone na rozprawie. W niektórych przypadkach możliwe jest jednak składanie zeznań tylko jeden raz, w fazie postępowania przygotowawczego, przy czym zeznania te, składane w inny sposób niż te składane na rozprawie, mają taką samą moc dowodową (ww. wyrok w sprawie Pupino, pkt 55).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1" w:name="point30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bookmarkEnd w:id="31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W odniesieniu do tych przepisów Trybunał orzekł, że potrzeba realizacji celów leżących u podstaw cytowanych przepisów decyzji ramowej wymaga, aby sąd krajowy miał możliwość zastosowania w stosunku do ofiar szczególnie podatnych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szczególnego trybu postępowania, jak w tym przypadku przewidzianego w prawie włoskim incydentalnego postępowania służącego zabezpieczeniu dowodów oraz szczególnych zasad składania zeznań, jeśli taki tryb postępowania lepiej odpowiada sytuacji tych ofiar i jest konieczny celem uniknięcia utraty dowodów, zmniejszenia do minimum liczby przesłuchań oraz zapobieżenia negatywnym dla rzeczonych ofiar skutkom składania zeznań na rozprawie (ww. wyrok w sprawie Pupino, pkt 56).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2" w:name="point31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31</w:t>
      </w:r>
      <w:bookmarkEnd w:id="32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W odróżnieniu od sprawy, która doprowadziła do ww. wyroku Pupino, przestępstwo będące przedmiotem sprawy przed sądem krajowym obejmuje przestępstwa, dla których skorzystanie z tego postępowania jest co do zasady możliwe.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3" w:name="point32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32</w:t>
      </w:r>
      <w:bookmarkEnd w:id="33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Sąd krajowy uważa jednak, że brak obowiązku uwzględnienia przez prokuratora wniosku złożonego przez ofiarę szczególnie podatną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 fazie postępowania dowodowego o skorzystanie przez sąd orzekający z rzeczonego postępowania oraz przesłuchanie w również przewidzianym trybie szczególnym jest sprzeczny z ww. przepisami decyzji ramowej. Sędzia prowadzący postępowanie przygotowawcze w razie odmowy prokuratora i braku odpowiedniego wniosku ze strony osoby, której dotyczy dochodzenie, nie mógłby skorzystać z tego postępowania, nawet jeśli ten sam sąd mógłby zobowiązać prokuratora do sformułowania zarzutów oskarżenia w świetle ewentualnego wszczęcia postępowania przeciwko osobie ściganej.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4" w:name="point33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33</w:t>
      </w:r>
      <w:bookmarkEnd w:id="34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Jak bowiem zauważono w pkt 27 i 28 niniejszego wyroku, żaden z trzech przepisów decyzji ramowej wymienionych przez sąd krajowy nie przewiduje konkretnych sposobów realizacji określonych przez nie celów. W świetle brzmienia tych przepisów i przy uwzględnieniu art. 34 UE należy uznać szeroki zakres uznania przyznany władzom krajowym w odniesieniu do tych sposobów.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5" w:name="point34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34</w:t>
      </w:r>
      <w:bookmarkEnd w:id="35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Jeżeli, jak stwierdzono powyżej, szczególne zasady na rzecz ofiar szczególnie podatnych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powinny być ustanowione przez państwa członkowskie, nie musi z tego wynikać prawo na rzecz tych ofiar do korzystania w każdym wypadku 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 systemu takiego jak postępowanie incydentalne podczas fazy postępowania dowodowego do osiągnięcia celów zamierzonych decyzją ramową.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6" w:name="point35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35</w:t>
      </w:r>
      <w:bookmarkEnd w:id="36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Artykuł 8 ust. 4 decyzji ramowej zobowiązuje w szczególności państwa członkowskie do zapewnienia, gdy konieczna jest ochrona ofiar, w szczególności tych najbardziej podatnych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„przed skutkami dostarczania dowodów na sali rozpraw”, aby mogły one, „w drodze decyzji podejmowanej przez sąd, zostać uprawnione do składania zeznań w sposób umożliwiający osiągnięcie tego celu”, „poprzez zastosowanie wszelkich środków zgodnych z podstawowymi zasadami prawnymi tego państwa”.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7" w:name="point36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36</w:t>
      </w:r>
      <w:bookmarkEnd w:id="37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Jak jednak zauważył rzecznik generalny w pkt 53–58 opinii, zakresu uznania, jakim dysponują państwa członkowskie przy realizacji tego celu, nie przekraczają przepisy krajowe, które w systemie prawnym takim jak będący przedmiotem postępowania przed sądem krajowym przewidują system proceduralny, na mocy którego prokurator decyduje, czy należy uwzględnić wniosek pokrzywdzonego o skorzystanie z procedury takiej jak postępowanie incydentalne.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8" w:name="point37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37</w:t>
      </w:r>
      <w:bookmarkEnd w:id="38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Poza tym, że jak stanowi motyw 9 dyrektywy ramowej, nakłada ona na państwa członkowskie obowiązek zapewnienia, aby ofiary traktowano w sposób równy ze stronami postępowania (zob. w szczególności ww. wyrok w sprawach połączonych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Gueye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Salmerón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Sánchez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 pkt 53), okoliczność, iż we włoskim systemie prawa karnego do prokuratora należy decyzja o skierowaniu do sądu wniosku ofiary o skorzystanie w fazie postępowania dowodowego z postępowania incydentalnego, które stanowi odstępstwo od zasady, zgodnie z którą dowody są przyjmowane na rozprawie, może być uważana za wpisującą się w logikę systemu, w którym prokurator stanowi organ sądowy zobowiązany do przeprowadzenia postępowania karnego.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9" w:name="point38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38</w:t>
      </w:r>
      <w:bookmarkEnd w:id="39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Z powyższego wynika, po pierwsze, że przepisy krajowe będące przedmiotem postępowania przed sądem krajowym wynikają z fundamentalnych zasad systemu prawa karnego danego państwa członkowskiego, które powinny być przestrzegane zgodnie z art. 8 ust. 4 decyzji ramowej. Po drugie, ocena wniosku ofiary o skorzystanie z postępowania incydentalnego powinna uwzględniać konieczność interpretacji decyzji ramowej w taki sposób, aby przestrzegane były prawa podstawowe. W świetle tej konieczności władze krajowe w każdym wypadku powinny zapewnić, aby stosowanie takiego postępowania nie czyniło postępowania karnego, traktowanego jako całość, stronniczym w rozumieniu przytoczonych przepisów.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0" w:name="point39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39</w:t>
      </w:r>
      <w:bookmarkEnd w:id="40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Jeżeli we włoskim systemie prawnym sędzia prowadzący postępowanie przygotowawcze może zobowiązać prokuratora do sformułowania oskarżenia w sprawie, mimo że ten ostatni chciał jej umorzenia, wydaje się oczywiste, że w takim wypadku prokurator zawsze może w razie potrzeby złożyć wniosek o skorzystanie z procedury takiej jak postępowanie incydentalne, nawet do sądu rozstrzygającego w przedmiocie dalszego prowadzenia postępowania.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1" w:name="point40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bookmarkEnd w:id="41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Ponadto jak wyjaśnił rząd włoski, w odniesieniu do rozpraw przed właściwym sądem w wypadku wszczęcia postępowania głównego przeciwko obwinionemu ochrona ofiary jest zapewniona przez liczne przepisy CPP, które przewidują między innymi postępowanie przy drzwiach zamkniętych i możliwość skorzystania z zasad 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przewidzianych w art. 398 ust. 5a CPP, a ściślej rzecz biorąc, zasad, jakie zdaniem sądu krajowego powinny być zastosowane w fazie postępowania dowodowego.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2" w:name="point41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41</w:t>
      </w:r>
      <w:bookmarkEnd w:id="42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Wniosku sformułowanego w pkt 36 niniejszego wyroku nie podważa też okoliczność, że decyzja odmowna prokuratora, która powinna być uzasadniona, nie jest przedmiotem kontroli sądowej, bowiem okoliczność taka jest konsekwencją systemu, w którym oskarżenie jest co do zasady zastrzeżone dla prokuratora.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3" w:name="point42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42</w:t>
      </w:r>
      <w:bookmarkEnd w:id="43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Wprawdzie, jak orzekł Trybunał (zob. w szczególności ww. wyrok w sprawach połączonych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Gueye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 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Salmerón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Sánchez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, pkt 58, 59), art. 3 akapit pierwszy i art. 2 ust. 1 decyzji ramowej oznaczają w szczególności, że ofiara powinna mieć możliwość złożenia zeznania w ramach postępowania karnego i że zeznanie to powinno być uwzględnione jako dowód. W celu zapewnienia, by ofiara mogła w rzeczywisty i odpowiedni sposób wziąć udział w postępowaniu karnym, jej prawo do bycia wysłuchaną powinno jej umożliwiać nie tylko obiektywne opisanie przebiegu zdarzeń, ale także przedstawienie własnego punktu widzenia.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4" w:name="point43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43</w:t>
      </w:r>
      <w:bookmarkEnd w:id="44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Jednakże ani przepisy decyzji ramowej, ani art. 47 Karty praw podstawowych Unii Europejskiej (w odniesieniu do art. 6 Konwencji o ochronie praw człowieka i podstawowych wolności, podpisanej w Rzymie w dniu 4 listopada 1950 r. zob. w szczególności wyrok ETPC w sprawie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Asociación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Víctimas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del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Terrorismo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przeciwko Hiszpanii z dnia 29 marca 2001 r.) nie gwarantują ofierze przestępstwa prawa do spowodowania wszczęcia postępowania karnego przeciwko osobie trzeciej w celu uzyskania jej skazania.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5" w:name="point44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44</w:t>
      </w:r>
      <w:bookmarkEnd w:id="45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W świetle powyższych rozważań na przedstawione pytania należy odpowiedzieć, że wykładni art. 2, 3 i art. 8 ust. 4 decyzji ramowej należy dokonywać w ten sposób, że nie stoją one na przeszkodzie przepisom krajowym takim jak art. 392 ust. 1a, art. 398 ust. 5a i art. 394 CPP, które po pierwsze nie przewidują po stronie prokuratora obowiązku wystąpienia do sądu orzekającego o umożliwienie przyjęcia zeznań od ofiary szczególnie podatnej na </w:t>
      </w:r>
      <w:proofErr w:type="spellStart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według zasad postępowania incydentalnego w fazie dowodowej procedury karnej, a po drugie, nie umożliwiają rzeczonej ofierze odwołania się do sądu w przedmiocie odmownej decyzji prokuratora dotyczącej jej wniosku o przyjęcie od niej zeznań według rzeczonych zasad.</w:t>
      </w:r>
    </w:p>
    <w:p w:rsidR="00D716CE" w:rsidRPr="00D716CE" w:rsidRDefault="00D716CE" w:rsidP="00D716CE">
      <w:pPr>
        <w:spacing w:before="480" w:after="24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W przedmiocie kosztów</w:t>
      </w:r>
    </w:p>
    <w:p w:rsidR="00D716CE" w:rsidRPr="00D716CE" w:rsidRDefault="00D716CE" w:rsidP="00D716CE">
      <w:pPr>
        <w:spacing w:before="100" w:beforeAutospacing="1" w:after="240" w:line="240" w:lineRule="auto"/>
        <w:ind w:left="567" w:hanging="53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6" w:name="point45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45</w:t>
      </w:r>
      <w:bookmarkEnd w:id="46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Dla stron postępowania przed sądem krajowym niniejsze postępowanie ma charakter incydentalny, dotyczy bowiem kwestii podniesionej przed tym sądem; do niego zatem należy rozstrzygnięcie o kosztach. Koszty poniesione w związku z przedstawieniem uwag Trybunałowi, inne niż poniesione przez strony postępowania przed sądem krajowym, nie podlegają zwrotowi.</w:t>
      </w:r>
    </w:p>
    <w:p w:rsidR="00D716CE" w:rsidRPr="00D716CE" w:rsidRDefault="00D716CE" w:rsidP="00D71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Z powyższych względów Trybunał (druga izba) orzeka, co następuje:</w:t>
      </w:r>
    </w:p>
    <w:p w:rsidR="00D716CE" w:rsidRPr="00D716CE" w:rsidRDefault="00D716CE" w:rsidP="00D71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Wykładni art. 2, 3 i art. 8 ust. 4 decyzji ramowej Rady 2001/220/</w:t>
      </w:r>
      <w:proofErr w:type="spellStart"/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WSiSW</w:t>
      </w:r>
      <w:proofErr w:type="spellEnd"/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 dnia 15 marca 2001 r. w sprawie pozycji ofiar w postępowaniu karnym należy dokonywać w ten sposób, że nie stoją one na przeszkodzie przepisom krajowym takim jak art. 392 ust. 1a, art. 398 ust. 5a i art. 394 kodeksu postępowania karnego, które po pierwsze nie </w:t>
      </w:r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przewidują po stronie prokuratora obowiązku wystąpienia do sądu orzekającego o umożliwienie przyjęcia zeznań od ofiary szczególnie podatnej na </w:t>
      </w:r>
      <w:proofErr w:type="spellStart"/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wiktymizację</w:t>
      </w:r>
      <w:proofErr w:type="spellEnd"/>
      <w:r w:rsidRPr="00D716C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według zasad postępowania incydentalnego w fazie dowodowej procedury karnej, a po drugie, nie umożliwiają rzeczonej ofierze odwołania się do sądu w przedmiocie odmownej decyzji prokuratora dotyczącej jej wniosku o przyjęcie od niej zeznań według rzeczonych zasad.</w:t>
      </w:r>
    </w:p>
    <w:p w:rsidR="00D716CE" w:rsidRPr="00D716CE" w:rsidRDefault="00D716CE" w:rsidP="00D716CE">
      <w:pPr>
        <w:spacing w:after="120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Podpisy</w:t>
      </w:r>
    </w:p>
    <w:p w:rsidR="00D716CE" w:rsidRPr="00D716CE" w:rsidRDefault="00D716CE" w:rsidP="00D716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127" style="width:0;height:1.5pt" o:hralign="center" o:hrstd="t" o:hr="t" fillcolor="#aca899" stroked="f"/>
        </w:pict>
      </w:r>
    </w:p>
    <w:bookmarkStart w:id="47" w:name="Footnote*"/>
    <w:p w:rsidR="00D716CE" w:rsidRPr="00D716CE" w:rsidRDefault="00D716CE" w:rsidP="00D716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begin"/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instrText xml:space="preserve"> HYPERLINK "http://curia.europa.eu/juris/document/document.jsf?text=&amp;docid=117196&amp;pageIndex=0&amp;doclang=pl&amp;mode=doc&amp;dir=&amp;occ=first&amp;part=1&amp;cid=402644" \l "Footref*" </w:instrTex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separate"/>
      </w:r>
      <w:r w:rsidRPr="00D716C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pl-PL"/>
        </w:rPr>
        <w:t>*</w:t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fldChar w:fldCharType="end"/>
      </w:r>
      <w:bookmarkEnd w:id="47"/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Język postępowania: włoski.</w:t>
      </w:r>
    </w:p>
    <w:p w:rsidR="00D716CE" w:rsidRPr="00D716CE" w:rsidRDefault="00D716CE" w:rsidP="00D716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pict/>
      </w:r>
      <w:r w:rsidRPr="00D716CE">
        <w:rPr>
          <w:rFonts w:ascii="Times New Roman" w:eastAsia="Times New Roman" w:hAnsi="Times New Roman" w:cs="Times New Roman"/>
          <w:sz w:val="24"/>
          <w:szCs w:val="24"/>
          <w:lang w:eastAsia="pl-PL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47" type="#_x0000_t75" style="width:1in;height:18pt" o:ole="">
            <v:imagedata r:id="rId5" o:title=""/>
          </v:shape>
          <w:control r:id="rId6" w:name="DefaultOcxName5" w:shapeid="_x0000_i1147"/>
        </w:object>
      </w:r>
    </w:p>
    <w:p w:rsidR="00D716CE" w:rsidRPr="00D716CE" w:rsidRDefault="00D716CE" w:rsidP="00D716C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D716CE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EC0F8C" w:rsidRDefault="00EC0F8C"/>
    <w:sectPr w:rsidR="00EC0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6CE"/>
    <w:rsid w:val="00D716CE"/>
    <w:rsid w:val="00EC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716CE"/>
    <w:rPr>
      <w:color w:val="0000FF"/>
      <w:u w:val="single"/>
    </w:rPr>
  </w:style>
  <w:style w:type="paragraph" w:customStyle="1" w:styleId="c01pointnumerotealtn">
    <w:name w:val="c01pointnumerotealtn"/>
    <w:basedOn w:val="Normalny"/>
    <w:rsid w:val="00D716CE"/>
    <w:pPr>
      <w:spacing w:before="100" w:beforeAutospacing="1" w:after="240" w:line="240" w:lineRule="auto"/>
      <w:ind w:left="567" w:hanging="539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2alineaalta">
    <w:name w:val="c02alineaalta"/>
    <w:basedOn w:val="Normalny"/>
    <w:rsid w:val="00D716CE"/>
    <w:pPr>
      <w:spacing w:after="24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D716CE"/>
    <w:pPr>
      <w:spacing w:before="100" w:beforeAutospacing="1" w:after="240" w:line="240" w:lineRule="auto"/>
      <w:ind w:left="1134" w:hanging="567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4titre1">
    <w:name w:val="c04titre1"/>
    <w:basedOn w:val="Normalny"/>
    <w:rsid w:val="00D716CE"/>
    <w:pPr>
      <w:spacing w:before="480" w:after="240" w:line="240" w:lineRule="auto"/>
      <w:ind w:left="567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c05titre2">
    <w:name w:val="c05titre2"/>
    <w:basedOn w:val="Normalny"/>
    <w:rsid w:val="00D716CE"/>
    <w:pPr>
      <w:spacing w:after="240" w:line="240" w:lineRule="auto"/>
      <w:ind w:left="567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c19centre">
    <w:name w:val="c19centre"/>
    <w:basedOn w:val="Normalny"/>
    <w:rsid w:val="00D716CE"/>
    <w:pPr>
      <w:spacing w:after="240" w:line="240" w:lineRule="auto"/>
      <w:ind w:left="567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75debutdesmotifs">
    <w:name w:val="c75debutdesmotifs"/>
    <w:basedOn w:val="Normalny"/>
    <w:rsid w:val="00D716CE"/>
    <w:pPr>
      <w:spacing w:before="480" w:after="480" w:line="240" w:lineRule="auto"/>
      <w:ind w:left="567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c77signatures">
    <w:name w:val="c77signatures"/>
    <w:basedOn w:val="Normalny"/>
    <w:rsid w:val="00D716CE"/>
    <w:pPr>
      <w:spacing w:after="120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71indicateur">
    <w:name w:val="c71indicateur"/>
    <w:basedOn w:val="Normalny"/>
    <w:rsid w:val="00D716CE"/>
    <w:pPr>
      <w:spacing w:before="600" w:after="560" w:line="240" w:lineRule="auto"/>
      <w:ind w:left="567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D716C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D716CE"/>
    <w:rPr>
      <w:rFonts w:ascii="Arial" w:eastAsia="Times New Roman" w:hAnsi="Arial" w:cs="Arial"/>
      <w:vanish/>
      <w:sz w:val="16"/>
      <w:szCs w:val="16"/>
      <w:lang w:eastAsia="pl-PL"/>
    </w:rPr>
  </w:style>
  <w:style w:type="character" w:styleId="Pogrubienie">
    <w:name w:val="Strong"/>
    <w:basedOn w:val="Domylnaczcionkaakapitu"/>
    <w:uiPriority w:val="22"/>
    <w:qFormat/>
    <w:rsid w:val="00D716CE"/>
    <w:rPr>
      <w:b/>
      <w:bCs/>
    </w:rPr>
  </w:style>
  <w:style w:type="paragraph" w:customStyle="1" w:styleId="c41dispositifintroduction">
    <w:name w:val="c41dispositifintroduction"/>
    <w:basedOn w:val="Normalny"/>
    <w:rsid w:val="00D71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30dispositifalinea">
    <w:name w:val="c30dispositifalinea"/>
    <w:basedOn w:val="Normalny"/>
    <w:rsid w:val="00D71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42footnotelangue">
    <w:name w:val="c42footnotelangue"/>
    <w:basedOn w:val="Normalny"/>
    <w:rsid w:val="00D71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D716C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D716CE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1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6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716CE"/>
    <w:rPr>
      <w:color w:val="0000FF"/>
      <w:u w:val="single"/>
    </w:rPr>
  </w:style>
  <w:style w:type="paragraph" w:customStyle="1" w:styleId="c01pointnumerotealtn">
    <w:name w:val="c01pointnumerotealtn"/>
    <w:basedOn w:val="Normalny"/>
    <w:rsid w:val="00D716CE"/>
    <w:pPr>
      <w:spacing w:before="100" w:beforeAutospacing="1" w:after="240" w:line="240" w:lineRule="auto"/>
      <w:ind w:left="567" w:hanging="539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2alineaalta">
    <w:name w:val="c02alineaalta"/>
    <w:basedOn w:val="Normalny"/>
    <w:rsid w:val="00D716CE"/>
    <w:pPr>
      <w:spacing w:after="24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D716CE"/>
    <w:pPr>
      <w:spacing w:before="100" w:beforeAutospacing="1" w:after="240" w:line="240" w:lineRule="auto"/>
      <w:ind w:left="1134" w:hanging="567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4titre1">
    <w:name w:val="c04titre1"/>
    <w:basedOn w:val="Normalny"/>
    <w:rsid w:val="00D716CE"/>
    <w:pPr>
      <w:spacing w:before="480" w:after="240" w:line="240" w:lineRule="auto"/>
      <w:ind w:left="567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c05titre2">
    <w:name w:val="c05titre2"/>
    <w:basedOn w:val="Normalny"/>
    <w:rsid w:val="00D716CE"/>
    <w:pPr>
      <w:spacing w:after="240" w:line="240" w:lineRule="auto"/>
      <w:ind w:left="567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c19centre">
    <w:name w:val="c19centre"/>
    <w:basedOn w:val="Normalny"/>
    <w:rsid w:val="00D716CE"/>
    <w:pPr>
      <w:spacing w:after="240" w:line="240" w:lineRule="auto"/>
      <w:ind w:left="567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75debutdesmotifs">
    <w:name w:val="c75debutdesmotifs"/>
    <w:basedOn w:val="Normalny"/>
    <w:rsid w:val="00D716CE"/>
    <w:pPr>
      <w:spacing w:before="480" w:after="480" w:line="240" w:lineRule="auto"/>
      <w:ind w:left="567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c77signatures">
    <w:name w:val="c77signatures"/>
    <w:basedOn w:val="Normalny"/>
    <w:rsid w:val="00D716CE"/>
    <w:pPr>
      <w:spacing w:after="120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71indicateur">
    <w:name w:val="c71indicateur"/>
    <w:basedOn w:val="Normalny"/>
    <w:rsid w:val="00D716CE"/>
    <w:pPr>
      <w:spacing w:before="600" w:after="560" w:line="240" w:lineRule="auto"/>
      <w:ind w:left="567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D716C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D716CE"/>
    <w:rPr>
      <w:rFonts w:ascii="Arial" w:eastAsia="Times New Roman" w:hAnsi="Arial" w:cs="Arial"/>
      <w:vanish/>
      <w:sz w:val="16"/>
      <w:szCs w:val="16"/>
      <w:lang w:eastAsia="pl-PL"/>
    </w:rPr>
  </w:style>
  <w:style w:type="character" w:styleId="Pogrubienie">
    <w:name w:val="Strong"/>
    <w:basedOn w:val="Domylnaczcionkaakapitu"/>
    <w:uiPriority w:val="22"/>
    <w:qFormat/>
    <w:rsid w:val="00D716CE"/>
    <w:rPr>
      <w:b/>
      <w:bCs/>
    </w:rPr>
  </w:style>
  <w:style w:type="paragraph" w:customStyle="1" w:styleId="c41dispositifintroduction">
    <w:name w:val="c41dispositifintroduction"/>
    <w:basedOn w:val="Normalny"/>
    <w:rsid w:val="00D71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30dispositifalinea">
    <w:name w:val="c30dispositifalinea"/>
    <w:basedOn w:val="Normalny"/>
    <w:rsid w:val="00D71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42footnotelangue">
    <w:name w:val="c42footnotelangue"/>
    <w:basedOn w:val="Normalny"/>
    <w:rsid w:val="00D71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D716C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D716CE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16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16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4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94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88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343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879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6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736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0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5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2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3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7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6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5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74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70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7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40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75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89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21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3753</Words>
  <Characters>22520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Sprawiedliwości</Company>
  <LinksUpToDate>false</LinksUpToDate>
  <CharactersWithSpaces>26221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Hara Michał  (DPK)</dc:creator>
  <cp:keywords/>
  <dc:description/>
  <cp:lastModifiedBy>Hara Michał  (DPK)</cp:lastModifiedBy>
  <cp:revision>1</cp:revision>
  <dcterms:created xsi:type="dcterms:W3CDTF">2012-07-17T09:49:00Z</dcterms:created>
  <dcterms:modified xsi:type="dcterms:W3CDTF">2012-07-17T09:51:00Z</dcterms:modified>
</cp:coreProperties>
</file>